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281DC" w14:textId="69AA457E" w:rsidR="003517B0" w:rsidRPr="00BC129D" w:rsidRDefault="00BC129D" w:rsidP="00BC129D">
      <w:pPr>
        <w:pStyle w:val="TechnicalBlock"/>
        <w:ind w:left="-1134" w:right="-1134"/>
      </w:pPr>
      <w:bookmarkStart w:id="0" w:name="LW_BM_COVERPAGE"/>
      <w:bookmarkStart w:id="1" w:name="DW_BM_COVERPAGE"/>
      <w:r>
        <w:pict w14:anchorId="3F20D5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Document Cover Page.&#10;Document Number: 12976/23 ADD 4.&#10;Subject Codes: COMPET 873 MI 742 IND 467 ECOFIN 873 FIN 922 CODEC 1594 IA 225.&#10;Heading: COVER NOTE.&#10;Originator: Secretary-General of the European Commission, signed by Ms Martine DEPREZ, Director.&#10;Recipient: Ms Thérèse BLANCHET, Secretary-General of the Council of the European Union.&#10;Subject: COMMISSION STAFF WORKING DOCUMENT IMPACT ASSESSMENT REPORT Accompanying the document Proposal for a Regulation of the European Parliament and the Council on combating late payments in commercial transactions.&#10;Commission Document Number: SWD(2023) 314 final.&#10;Preceeding Document Number: Not Set.&#10;Location: Brussels.&#10;Date: 14 September 2023.&#10;Interinstitutional Files: 2023/0323(COD).&#10;Institutional Framework: Council of the European Union.&#10;Language: EN.&#10;Distribution Code: PUBLIC.&#10;GUID: 4678068569106618624_0" style="width:568.5pt;height:451.5pt">
            <v:imagedata r:id="rId11" o:title=""/>
          </v:shape>
        </w:pict>
      </w:r>
      <w:bookmarkEnd w:id="1"/>
    </w:p>
    <w:p w14:paraId="5986DCDC" w14:textId="418BD0FD" w:rsidR="003517B0" w:rsidRDefault="003517B0" w:rsidP="00BC129D">
      <w:pPr>
        <w:pStyle w:val="EntText"/>
        <w:spacing w:before="480"/>
      </w:pPr>
      <w:r w:rsidRPr="003517B0">
        <w:t xml:space="preserve">Delegations will find attached document </w:t>
      </w:r>
      <w:r>
        <w:fldChar w:fldCharType="begin"/>
      </w:r>
      <w:r>
        <w:instrText xml:space="preserve"> QUOTE "</w:instrText>
      </w:r>
      <w:r>
        <w:fldChar w:fldCharType="begin">
          <w:fldData xml:space="preserve">QwBvAG0AbQBEAG8AYwBzAHwAUwBMAA==
</w:fldData>
        </w:fldChar>
      </w:r>
      <w:r>
        <w:instrText xml:space="preserve"> ADDIN "DocuWrite metadata link" </w:instrText>
      </w:r>
      <w:r>
        <w:fldChar w:fldCharType="end"/>
      </w:r>
      <w:r w:rsidR="00BC129D" w:rsidRPr="00BC129D">
        <w:instrText>SWD(2023) 314 final</w:instrText>
      </w:r>
      <w:r>
        <w:instrText xml:space="preserve">" </w:instrText>
      </w:r>
      <w:r>
        <w:fldChar w:fldCharType="separate"/>
      </w:r>
      <w:r w:rsidR="00BC129D" w:rsidRPr="00BC129D">
        <w:t>SWD(2023) 314 final</w:t>
      </w:r>
      <w:r>
        <w:fldChar w:fldCharType="end"/>
      </w:r>
      <w:r w:rsidRPr="003517B0">
        <w:t>.</w:t>
      </w:r>
    </w:p>
    <w:p w14:paraId="4A14D1A1" w14:textId="77777777" w:rsidR="003517B0" w:rsidRDefault="003517B0" w:rsidP="003517B0">
      <w:pPr>
        <w:pStyle w:val="Lignefinal"/>
      </w:pPr>
    </w:p>
    <w:p w14:paraId="416F59DE" w14:textId="7F49FE97" w:rsidR="003517B0" w:rsidRDefault="003517B0" w:rsidP="00BC129D">
      <w:pPr>
        <w:pStyle w:val="pj"/>
        <w:spacing w:before="120"/>
      </w:pPr>
      <w:r w:rsidRPr="003517B0">
        <w:t xml:space="preserve">Encl.: </w:t>
      </w:r>
      <w:r>
        <w:fldChar w:fldCharType="begin"/>
      </w:r>
      <w:r>
        <w:instrText xml:space="preserve"> QUOTE "</w:instrText>
      </w:r>
      <w:r>
        <w:fldChar w:fldCharType="begin">
          <w:fldData xml:space="preserve">QwBvAG0AbQBEAG8AYwBzAHwAUwBMAA==
</w:fldData>
        </w:fldChar>
      </w:r>
      <w:r>
        <w:instrText xml:space="preserve"> ADDIN "DocuWrite metadata link" </w:instrText>
      </w:r>
      <w:r>
        <w:fldChar w:fldCharType="end"/>
      </w:r>
      <w:r w:rsidR="00BC129D" w:rsidRPr="00BC129D">
        <w:instrText>SWD(2023) 314 final</w:instrText>
      </w:r>
      <w:r>
        <w:instrText xml:space="preserve">" </w:instrText>
      </w:r>
      <w:r>
        <w:fldChar w:fldCharType="separate"/>
      </w:r>
      <w:r w:rsidR="00BC129D" w:rsidRPr="00BC129D">
        <w:t>SWD(2023) 314 final</w:t>
      </w:r>
      <w:r>
        <w:fldChar w:fldCharType="end"/>
      </w:r>
    </w:p>
    <w:p w14:paraId="27483B66" w14:textId="77777777" w:rsidR="003517B0" w:rsidRDefault="003517B0" w:rsidP="003517B0">
      <w:pPr>
        <w:rPr>
          <w:noProof/>
        </w:rPr>
        <w:sectPr w:rsidR="003517B0" w:rsidSect="00BC129D">
          <w:headerReference w:type="even" r:id="rId12"/>
          <w:headerReference w:type="default" r:id="rId13"/>
          <w:footerReference w:type="even" r:id="rId14"/>
          <w:footerReference w:type="default" r:id="rId15"/>
          <w:headerReference w:type="first" r:id="rId16"/>
          <w:footerReference w:type="first" r:id="rId17"/>
          <w:pgSz w:w="11906" w:h="16838"/>
          <w:pgMar w:top="624" w:right="1134" w:bottom="1134" w:left="1134" w:header="567" w:footer="567" w:gutter="0"/>
          <w:pgNumType w:start="0"/>
          <w:cols w:space="720"/>
          <w:titlePg/>
          <w:docGrid w:linePitch="326"/>
        </w:sectPr>
      </w:pPr>
    </w:p>
    <w:p w14:paraId="3F636181" w14:textId="55C12B5A" w:rsidR="006B087E" w:rsidRPr="00881BC8" w:rsidRDefault="003517B0" w:rsidP="00E90DE3">
      <w:pPr>
        <w:pStyle w:val="Pagedecouverture"/>
        <w:rPr>
          <w:noProof/>
        </w:rPr>
      </w:pPr>
      <w:r>
        <w:rPr>
          <w:noProof/>
        </w:rPr>
        <w:lastRenderedPageBreak/>
        <w:drawing>
          <wp:inline distT="0" distB="0" distL="0" distR="0" wp14:anchorId="104842A9" wp14:editId="79ACADC7">
            <wp:extent cx="5777865" cy="5225415"/>
            <wp:effectExtent l="0" t="0" r="0" b="0"/>
            <wp:docPr id="4" name="Picture 1" descr="299D9404-0A03-41FD-909A-261AEFC9DE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99D9404-0A03-41FD-909A-261AEFC9DE9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77865" cy="5225415"/>
                    </a:xfrm>
                    <a:prstGeom prst="rect">
                      <a:avLst/>
                    </a:prstGeom>
                    <a:noFill/>
                    <a:ln>
                      <a:noFill/>
                    </a:ln>
                  </pic:spPr>
                </pic:pic>
              </a:graphicData>
            </a:graphic>
          </wp:inline>
        </w:drawing>
      </w:r>
    </w:p>
    <w:bookmarkEnd w:id="0"/>
    <w:p w14:paraId="3F636182" w14:textId="77777777" w:rsidR="006B087E" w:rsidRPr="00881BC8" w:rsidRDefault="006B087E" w:rsidP="000E3086">
      <w:pPr>
        <w:pStyle w:val="TOCHeading"/>
        <w:rPr>
          <w:noProof/>
        </w:rPr>
        <w:sectPr w:rsidR="006B087E" w:rsidRPr="00881BC8" w:rsidSect="00E90DE3">
          <w:headerReference w:type="even" r:id="rId19"/>
          <w:headerReference w:type="default" r:id="rId20"/>
          <w:footerReference w:type="even" r:id="rId21"/>
          <w:footerReference w:type="default" r:id="rId22"/>
          <w:headerReference w:type="first" r:id="rId23"/>
          <w:footerReference w:type="first" r:id="rId24"/>
          <w:pgSz w:w="11906" w:h="16838"/>
          <w:pgMar w:top="1134" w:right="1417" w:bottom="1134" w:left="1417" w:header="709" w:footer="709" w:gutter="0"/>
          <w:pgNumType w:start="0"/>
          <w:cols w:space="720"/>
          <w:docGrid w:linePitch="326"/>
        </w:sectPr>
      </w:pPr>
    </w:p>
    <w:p w14:paraId="3F636183" w14:textId="5D357549" w:rsidR="006B087E" w:rsidRPr="00881BC8" w:rsidRDefault="006B087E" w:rsidP="000E3086">
      <w:pPr>
        <w:pStyle w:val="TOCHeading"/>
        <w:rPr>
          <w:noProof/>
        </w:rPr>
      </w:pPr>
      <w:r w:rsidRPr="00881BC8">
        <w:rPr>
          <w:noProof/>
        </w:rPr>
        <w:t>Table of contents</w:t>
      </w:r>
      <w:r w:rsidR="00EF640F" w:rsidRPr="00881BC8">
        <w:rPr>
          <w:noProof/>
        </w:rPr>
        <w:t xml:space="preserve"> *</w:t>
      </w:r>
    </w:p>
    <w:p w14:paraId="1EADAA81" w14:textId="2EA8E66B" w:rsidR="00C46507" w:rsidRDefault="004929D1">
      <w:pPr>
        <w:pStyle w:val="TOC1"/>
        <w:rPr>
          <w:rFonts w:asciiTheme="minorHAnsi" w:eastAsiaTheme="minorEastAsia" w:hAnsiTheme="minorHAnsi" w:cstheme="minorBidi"/>
          <w:caps w:val="0"/>
          <w:sz w:val="22"/>
          <w:szCs w:val="22"/>
          <w:lang w:val="en-IE" w:eastAsia="en-IE"/>
        </w:rPr>
      </w:pPr>
      <w:r w:rsidRPr="00881BC8">
        <w:rPr>
          <w:b/>
          <w:bCs/>
          <w:smallCaps/>
        </w:rPr>
        <w:fldChar w:fldCharType="begin"/>
      </w:r>
      <w:r w:rsidRPr="00881BC8">
        <w:rPr>
          <w:smallCaps/>
        </w:rPr>
        <w:instrText xml:space="preserve"> TOC \o "1-4" \h \z \u </w:instrText>
      </w:r>
      <w:r w:rsidRPr="00881BC8">
        <w:rPr>
          <w:b/>
          <w:bCs/>
          <w:smallCaps/>
        </w:rPr>
        <w:fldChar w:fldCharType="separate"/>
      </w:r>
      <w:hyperlink w:anchor="_Toc135237375" w:history="1">
        <w:r w:rsidR="00C46507" w:rsidRPr="001A689B">
          <w:rPr>
            <w:rStyle w:val="Hyperlink"/>
          </w:rPr>
          <w:t>1</w:t>
        </w:r>
        <w:r w:rsidR="00C46507">
          <w:rPr>
            <w:rFonts w:asciiTheme="minorHAnsi" w:eastAsiaTheme="minorEastAsia" w:hAnsiTheme="minorHAnsi" w:cstheme="minorBidi"/>
            <w:caps w:val="0"/>
            <w:sz w:val="22"/>
            <w:szCs w:val="22"/>
            <w:lang w:val="en-IE" w:eastAsia="en-IE"/>
          </w:rPr>
          <w:tab/>
        </w:r>
        <w:r w:rsidR="00C46507" w:rsidRPr="001A689B">
          <w:rPr>
            <w:rStyle w:val="Hyperlink"/>
          </w:rPr>
          <w:t>Introduction</w:t>
        </w:r>
        <w:r w:rsidR="00C46507">
          <w:rPr>
            <w:webHidden/>
          </w:rPr>
          <w:tab/>
        </w:r>
        <w:r w:rsidR="005851F4">
          <w:rPr>
            <w:webHidden/>
          </w:rPr>
          <w:t>8</w:t>
        </w:r>
      </w:hyperlink>
    </w:p>
    <w:p w14:paraId="0772D116" w14:textId="2CBC71DF" w:rsidR="00C46507" w:rsidRDefault="00BC129D">
      <w:pPr>
        <w:pStyle w:val="TOC2"/>
        <w:rPr>
          <w:rFonts w:asciiTheme="minorHAnsi" w:eastAsiaTheme="minorEastAsia" w:hAnsiTheme="minorHAnsi" w:cstheme="minorBidi"/>
          <w:sz w:val="22"/>
          <w:szCs w:val="22"/>
          <w:lang w:val="en-IE" w:eastAsia="en-IE"/>
        </w:rPr>
      </w:pPr>
      <w:hyperlink w:anchor="_Toc135237376" w:history="1">
        <w:r w:rsidR="00C46507" w:rsidRPr="001A689B">
          <w:rPr>
            <w:rStyle w:val="Hyperlink"/>
            <w:lang w:val="en-IE"/>
          </w:rPr>
          <w:t>1.1</w:t>
        </w:r>
        <w:r w:rsidR="00C46507">
          <w:rPr>
            <w:rFonts w:asciiTheme="minorHAnsi" w:eastAsiaTheme="minorEastAsia" w:hAnsiTheme="minorHAnsi" w:cstheme="minorBidi"/>
            <w:sz w:val="22"/>
            <w:szCs w:val="22"/>
            <w:lang w:val="en-IE" w:eastAsia="en-IE"/>
          </w:rPr>
          <w:tab/>
        </w:r>
        <w:r w:rsidR="00C46507" w:rsidRPr="001A689B">
          <w:rPr>
            <w:rStyle w:val="Hyperlink"/>
          </w:rPr>
          <w:t>Political context</w:t>
        </w:r>
        <w:r w:rsidR="00C46507">
          <w:rPr>
            <w:webHidden/>
          </w:rPr>
          <w:tab/>
        </w:r>
        <w:r w:rsidR="005851F4">
          <w:rPr>
            <w:webHidden/>
          </w:rPr>
          <w:t>8</w:t>
        </w:r>
      </w:hyperlink>
    </w:p>
    <w:p w14:paraId="5ACBF1A3" w14:textId="62CB8F9A" w:rsidR="00C46507" w:rsidRDefault="00BC129D">
      <w:pPr>
        <w:pStyle w:val="TOC2"/>
        <w:rPr>
          <w:rFonts w:asciiTheme="minorHAnsi" w:eastAsiaTheme="minorEastAsia" w:hAnsiTheme="minorHAnsi" w:cstheme="minorBidi"/>
          <w:sz w:val="22"/>
          <w:szCs w:val="22"/>
          <w:lang w:val="en-IE" w:eastAsia="en-IE"/>
        </w:rPr>
      </w:pPr>
      <w:hyperlink w:anchor="_Toc135237377" w:history="1">
        <w:r w:rsidR="00C46507" w:rsidRPr="001A689B">
          <w:rPr>
            <w:rStyle w:val="Hyperlink"/>
            <w:lang w:val="en-IE"/>
          </w:rPr>
          <w:t>1.2</w:t>
        </w:r>
        <w:r w:rsidR="00C46507">
          <w:rPr>
            <w:rFonts w:asciiTheme="minorHAnsi" w:eastAsiaTheme="minorEastAsia" w:hAnsiTheme="minorHAnsi" w:cstheme="minorBidi"/>
            <w:sz w:val="22"/>
            <w:szCs w:val="22"/>
            <w:lang w:val="en-IE" w:eastAsia="en-IE"/>
          </w:rPr>
          <w:tab/>
        </w:r>
        <w:r w:rsidR="00C46507" w:rsidRPr="001A689B">
          <w:rPr>
            <w:rStyle w:val="Hyperlink"/>
          </w:rPr>
          <w:t>Legal context</w:t>
        </w:r>
        <w:r w:rsidR="00C46507">
          <w:rPr>
            <w:webHidden/>
          </w:rPr>
          <w:tab/>
        </w:r>
        <w:r w:rsidR="005851F4">
          <w:rPr>
            <w:webHidden/>
          </w:rPr>
          <w:t>9</w:t>
        </w:r>
      </w:hyperlink>
    </w:p>
    <w:p w14:paraId="5D01E057" w14:textId="5881688B" w:rsidR="00C46507" w:rsidRDefault="00BC129D">
      <w:pPr>
        <w:pStyle w:val="TOC2"/>
        <w:rPr>
          <w:rFonts w:asciiTheme="minorHAnsi" w:eastAsiaTheme="minorEastAsia" w:hAnsiTheme="minorHAnsi" w:cstheme="minorBidi"/>
          <w:sz w:val="22"/>
          <w:szCs w:val="22"/>
          <w:lang w:val="en-IE" w:eastAsia="en-IE"/>
        </w:rPr>
      </w:pPr>
      <w:hyperlink w:anchor="_Toc135237378" w:history="1">
        <w:r w:rsidR="00C46507" w:rsidRPr="001A689B">
          <w:rPr>
            <w:rStyle w:val="Hyperlink"/>
            <w:lang w:val="en-IE"/>
          </w:rPr>
          <w:t>1.3</w:t>
        </w:r>
        <w:r w:rsidR="00C46507">
          <w:rPr>
            <w:rFonts w:asciiTheme="minorHAnsi" w:eastAsiaTheme="minorEastAsia" w:hAnsiTheme="minorHAnsi" w:cstheme="minorBidi"/>
            <w:sz w:val="22"/>
            <w:szCs w:val="22"/>
            <w:lang w:val="en-IE" w:eastAsia="en-IE"/>
          </w:rPr>
          <w:tab/>
        </w:r>
        <w:r w:rsidR="00C46507" w:rsidRPr="001A689B">
          <w:rPr>
            <w:rStyle w:val="Hyperlink"/>
          </w:rPr>
          <w:t>Implementation – state of play</w:t>
        </w:r>
        <w:r w:rsidR="00C46507">
          <w:rPr>
            <w:webHidden/>
          </w:rPr>
          <w:tab/>
        </w:r>
        <w:r w:rsidR="005851F4">
          <w:rPr>
            <w:webHidden/>
          </w:rPr>
          <w:t>10</w:t>
        </w:r>
      </w:hyperlink>
    </w:p>
    <w:p w14:paraId="2C08598D" w14:textId="16D1644E" w:rsidR="00C46507" w:rsidRDefault="00BC129D">
      <w:pPr>
        <w:pStyle w:val="TOC1"/>
        <w:rPr>
          <w:rFonts w:asciiTheme="minorHAnsi" w:eastAsiaTheme="minorEastAsia" w:hAnsiTheme="minorHAnsi" w:cstheme="minorBidi"/>
          <w:caps w:val="0"/>
          <w:sz w:val="22"/>
          <w:szCs w:val="22"/>
          <w:lang w:val="en-IE" w:eastAsia="en-IE"/>
        </w:rPr>
      </w:pPr>
      <w:hyperlink w:anchor="_Toc135237379" w:history="1">
        <w:r w:rsidR="00C46507" w:rsidRPr="001A689B">
          <w:rPr>
            <w:rStyle w:val="Hyperlink"/>
          </w:rPr>
          <w:t>2</w:t>
        </w:r>
        <w:r w:rsidR="00C46507">
          <w:rPr>
            <w:rFonts w:asciiTheme="minorHAnsi" w:eastAsiaTheme="minorEastAsia" w:hAnsiTheme="minorHAnsi" w:cstheme="minorBidi"/>
            <w:caps w:val="0"/>
            <w:sz w:val="22"/>
            <w:szCs w:val="22"/>
            <w:lang w:val="en-IE" w:eastAsia="en-IE"/>
          </w:rPr>
          <w:tab/>
        </w:r>
        <w:r w:rsidR="00C46507" w:rsidRPr="001A689B">
          <w:rPr>
            <w:rStyle w:val="Hyperlink"/>
          </w:rPr>
          <w:t>Problem definition</w:t>
        </w:r>
        <w:r w:rsidR="00C46507">
          <w:rPr>
            <w:webHidden/>
          </w:rPr>
          <w:tab/>
        </w:r>
        <w:r w:rsidR="005851F4">
          <w:rPr>
            <w:webHidden/>
          </w:rPr>
          <w:t>11</w:t>
        </w:r>
      </w:hyperlink>
    </w:p>
    <w:p w14:paraId="576037EF" w14:textId="2E1B0211" w:rsidR="00C46507" w:rsidRDefault="00BC129D">
      <w:pPr>
        <w:pStyle w:val="TOC2"/>
        <w:rPr>
          <w:rFonts w:asciiTheme="minorHAnsi" w:eastAsiaTheme="minorEastAsia" w:hAnsiTheme="minorHAnsi" w:cstheme="minorBidi"/>
          <w:sz w:val="22"/>
          <w:szCs w:val="22"/>
          <w:lang w:val="en-IE" w:eastAsia="en-IE"/>
        </w:rPr>
      </w:pPr>
      <w:hyperlink w:anchor="_Toc135237380" w:history="1">
        <w:r w:rsidR="00C46507" w:rsidRPr="001A689B">
          <w:rPr>
            <w:rStyle w:val="Hyperlink"/>
            <w:lang w:val="en-IE"/>
          </w:rPr>
          <w:t>2.1</w:t>
        </w:r>
        <w:r w:rsidR="00C46507">
          <w:rPr>
            <w:rFonts w:asciiTheme="minorHAnsi" w:eastAsiaTheme="minorEastAsia" w:hAnsiTheme="minorHAnsi" w:cstheme="minorBidi"/>
            <w:sz w:val="22"/>
            <w:szCs w:val="22"/>
            <w:lang w:val="en-IE" w:eastAsia="en-IE"/>
          </w:rPr>
          <w:tab/>
        </w:r>
        <w:r w:rsidR="00C46507" w:rsidRPr="001A689B">
          <w:rPr>
            <w:rStyle w:val="Hyperlink"/>
          </w:rPr>
          <w:t>What is the problem?</w:t>
        </w:r>
        <w:r w:rsidR="00C46507">
          <w:rPr>
            <w:webHidden/>
          </w:rPr>
          <w:tab/>
        </w:r>
        <w:r w:rsidR="005851F4">
          <w:rPr>
            <w:webHidden/>
          </w:rPr>
          <w:t>11</w:t>
        </w:r>
      </w:hyperlink>
    </w:p>
    <w:p w14:paraId="214EB121" w14:textId="559E42FE" w:rsidR="00C46507" w:rsidRDefault="00BC129D">
      <w:pPr>
        <w:pStyle w:val="TOC3"/>
        <w:rPr>
          <w:rFonts w:asciiTheme="minorHAnsi" w:eastAsiaTheme="minorEastAsia" w:hAnsiTheme="minorHAnsi" w:cstheme="minorBidi"/>
          <w:iCs w:val="0"/>
          <w:sz w:val="22"/>
          <w:szCs w:val="22"/>
          <w:lang w:val="en-IE" w:eastAsia="en-IE"/>
        </w:rPr>
      </w:pPr>
      <w:hyperlink w:anchor="_Toc135237381" w:history="1">
        <w:r w:rsidR="00C46507" w:rsidRPr="001A689B">
          <w:rPr>
            <w:rStyle w:val="Hyperlink"/>
          </w:rPr>
          <w:t>2.1.1</w:t>
        </w:r>
        <w:r w:rsidR="00C46507">
          <w:rPr>
            <w:rFonts w:asciiTheme="minorHAnsi" w:eastAsiaTheme="minorEastAsia" w:hAnsiTheme="minorHAnsi" w:cstheme="minorBidi"/>
            <w:iCs w:val="0"/>
            <w:sz w:val="22"/>
            <w:szCs w:val="22"/>
            <w:lang w:val="en-IE" w:eastAsia="en-IE"/>
          </w:rPr>
          <w:tab/>
        </w:r>
        <w:r w:rsidR="00C46507" w:rsidRPr="001A689B">
          <w:rPr>
            <w:rStyle w:val="Hyperlink"/>
          </w:rPr>
          <w:t>Public authorities often pay late</w:t>
        </w:r>
        <w:r w:rsidR="00C46507">
          <w:rPr>
            <w:webHidden/>
          </w:rPr>
          <w:tab/>
        </w:r>
        <w:r w:rsidR="005851F4">
          <w:rPr>
            <w:webHidden/>
          </w:rPr>
          <w:t>13</w:t>
        </w:r>
      </w:hyperlink>
    </w:p>
    <w:p w14:paraId="62EE08A4" w14:textId="5B8CA415" w:rsidR="00C46507" w:rsidRDefault="00BC129D">
      <w:pPr>
        <w:pStyle w:val="TOC3"/>
        <w:rPr>
          <w:rFonts w:asciiTheme="minorHAnsi" w:eastAsiaTheme="minorEastAsia" w:hAnsiTheme="minorHAnsi" w:cstheme="minorBidi"/>
          <w:iCs w:val="0"/>
          <w:sz w:val="22"/>
          <w:szCs w:val="22"/>
          <w:lang w:val="en-IE" w:eastAsia="en-IE"/>
        </w:rPr>
      </w:pPr>
      <w:hyperlink w:anchor="_Toc135237382" w:history="1">
        <w:r w:rsidR="00C46507" w:rsidRPr="001A689B">
          <w:rPr>
            <w:rStyle w:val="Hyperlink"/>
          </w:rPr>
          <w:t>2.1.2</w:t>
        </w:r>
        <w:r w:rsidR="00C46507">
          <w:rPr>
            <w:rFonts w:asciiTheme="minorHAnsi" w:eastAsiaTheme="minorEastAsia" w:hAnsiTheme="minorHAnsi" w:cstheme="minorBidi"/>
            <w:iCs w:val="0"/>
            <w:sz w:val="22"/>
            <w:szCs w:val="22"/>
            <w:lang w:val="en-IE" w:eastAsia="en-IE"/>
          </w:rPr>
          <w:tab/>
        </w:r>
        <w:r w:rsidR="00C46507" w:rsidRPr="001A689B">
          <w:rPr>
            <w:rStyle w:val="Hyperlink"/>
          </w:rPr>
          <w:t>Late payments affect SMEs more severely than large companies</w:t>
        </w:r>
        <w:r w:rsidR="00C46507">
          <w:rPr>
            <w:webHidden/>
          </w:rPr>
          <w:tab/>
        </w:r>
        <w:r w:rsidR="005851F4">
          <w:rPr>
            <w:webHidden/>
          </w:rPr>
          <w:t>14</w:t>
        </w:r>
      </w:hyperlink>
    </w:p>
    <w:p w14:paraId="60CE6A9F" w14:textId="63F2A120" w:rsidR="00C46507" w:rsidRDefault="00BC129D">
      <w:pPr>
        <w:pStyle w:val="TOC3"/>
        <w:rPr>
          <w:rFonts w:asciiTheme="minorHAnsi" w:eastAsiaTheme="minorEastAsia" w:hAnsiTheme="minorHAnsi" w:cstheme="minorBidi"/>
          <w:iCs w:val="0"/>
          <w:sz w:val="22"/>
          <w:szCs w:val="22"/>
          <w:lang w:val="en-IE" w:eastAsia="en-IE"/>
        </w:rPr>
      </w:pPr>
      <w:hyperlink w:anchor="_Toc135237383" w:history="1">
        <w:r w:rsidR="00C46507" w:rsidRPr="001A689B">
          <w:rPr>
            <w:rStyle w:val="Hyperlink"/>
          </w:rPr>
          <w:t>2.1.3</w:t>
        </w:r>
        <w:r w:rsidR="00C46507">
          <w:rPr>
            <w:rFonts w:asciiTheme="minorHAnsi" w:eastAsiaTheme="minorEastAsia" w:hAnsiTheme="minorHAnsi" w:cstheme="minorBidi"/>
            <w:iCs w:val="0"/>
            <w:sz w:val="22"/>
            <w:szCs w:val="22"/>
            <w:lang w:val="en-IE" w:eastAsia="en-IE"/>
          </w:rPr>
          <w:tab/>
        </w:r>
        <w:r w:rsidR="00C46507" w:rsidRPr="001A689B">
          <w:rPr>
            <w:rStyle w:val="Hyperlink"/>
          </w:rPr>
          <w:t>Late payment affects companies from all sectors</w:t>
        </w:r>
        <w:r w:rsidR="00C46507">
          <w:rPr>
            <w:webHidden/>
          </w:rPr>
          <w:tab/>
        </w:r>
        <w:r w:rsidR="005851F4">
          <w:rPr>
            <w:webHidden/>
          </w:rPr>
          <w:t>15</w:t>
        </w:r>
      </w:hyperlink>
    </w:p>
    <w:p w14:paraId="69DD36F1" w14:textId="48E73AF4" w:rsidR="00C46507" w:rsidRDefault="00BC129D">
      <w:pPr>
        <w:pStyle w:val="TOC3"/>
        <w:rPr>
          <w:rFonts w:asciiTheme="minorHAnsi" w:eastAsiaTheme="minorEastAsia" w:hAnsiTheme="minorHAnsi" w:cstheme="minorBidi"/>
          <w:iCs w:val="0"/>
          <w:sz w:val="22"/>
          <w:szCs w:val="22"/>
          <w:lang w:val="en-IE" w:eastAsia="en-IE"/>
        </w:rPr>
      </w:pPr>
      <w:hyperlink w:anchor="_Toc135237384" w:history="1">
        <w:r w:rsidR="00C46507" w:rsidRPr="001A689B">
          <w:rPr>
            <w:rStyle w:val="Hyperlink"/>
          </w:rPr>
          <w:t>2.1.4</w:t>
        </w:r>
        <w:r w:rsidR="00C46507">
          <w:rPr>
            <w:rFonts w:asciiTheme="minorHAnsi" w:eastAsiaTheme="minorEastAsia" w:hAnsiTheme="minorHAnsi" w:cstheme="minorBidi"/>
            <w:iCs w:val="0"/>
            <w:sz w:val="22"/>
            <w:szCs w:val="22"/>
            <w:lang w:val="en-IE" w:eastAsia="en-IE"/>
          </w:rPr>
          <w:tab/>
        </w:r>
        <w:r w:rsidR="00C46507" w:rsidRPr="001A689B">
          <w:rPr>
            <w:rStyle w:val="Hyperlink"/>
          </w:rPr>
          <w:t>Late payment is a worldwide problem</w:t>
        </w:r>
        <w:r w:rsidR="00C46507">
          <w:rPr>
            <w:webHidden/>
          </w:rPr>
          <w:tab/>
        </w:r>
        <w:r w:rsidR="005851F4">
          <w:rPr>
            <w:webHidden/>
          </w:rPr>
          <w:t>15</w:t>
        </w:r>
      </w:hyperlink>
    </w:p>
    <w:p w14:paraId="6691ABF1" w14:textId="0B724941" w:rsidR="00C46507" w:rsidRDefault="00BC129D">
      <w:pPr>
        <w:pStyle w:val="TOC3"/>
        <w:rPr>
          <w:rFonts w:asciiTheme="minorHAnsi" w:eastAsiaTheme="minorEastAsia" w:hAnsiTheme="minorHAnsi" w:cstheme="minorBidi"/>
          <w:iCs w:val="0"/>
          <w:sz w:val="22"/>
          <w:szCs w:val="22"/>
          <w:lang w:val="en-IE" w:eastAsia="en-IE"/>
        </w:rPr>
      </w:pPr>
      <w:hyperlink w:anchor="_Toc135237385" w:history="1">
        <w:r w:rsidR="00C46507" w:rsidRPr="001A689B">
          <w:rPr>
            <w:rStyle w:val="Hyperlink"/>
          </w:rPr>
          <w:t>2.1.5</w:t>
        </w:r>
        <w:r w:rsidR="00C46507">
          <w:rPr>
            <w:rFonts w:asciiTheme="minorHAnsi" w:eastAsiaTheme="minorEastAsia" w:hAnsiTheme="minorHAnsi" w:cstheme="minorBidi"/>
            <w:iCs w:val="0"/>
            <w:sz w:val="22"/>
            <w:szCs w:val="22"/>
            <w:lang w:val="en-IE" w:eastAsia="en-IE"/>
          </w:rPr>
          <w:tab/>
        </w:r>
        <w:r w:rsidR="00C46507" w:rsidRPr="001A689B">
          <w:rPr>
            <w:rStyle w:val="Hyperlink"/>
          </w:rPr>
          <w:t>Payment performance deteriorates in periods of adverse economic conditions: coronavirus-crisis and inflation</w:t>
        </w:r>
        <w:r w:rsidR="00C46507">
          <w:rPr>
            <w:webHidden/>
          </w:rPr>
          <w:tab/>
        </w:r>
        <w:r w:rsidR="005851F4">
          <w:rPr>
            <w:webHidden/>
          </w:rPr>
          <w:t>16</w:t>
        </w:r>
      </w:hyperlink>
    </w:p>
    <w:p w14:paraId="7D7E2812" w14:textId="1CF946DF" w:rsidR="00C46507" w:rsidRDefault="00BC129D">
      <w:pPr>
        <w:pStyle w:val="TOC2"/>
        <w:rPr>
          <w:rFonts w:asciiTheme="minorHAnsi" w:eastAsiaTheme="minorEastAsia" w:hAnsiTheme="minorHAnsi" w:cstheme="minorBidi"/>
          <w:sz w:val="22"/>
          <w:szCs w:val="22"/>
          <w:lang w:val="en-IE" w:eastAsia="en-IE"/>
        </w:rPr>
      </w:pPr>
      <w:hyperlink w:anchor="_Toc135237386" w:history="1">
        <w:r w:rsidR="00C46507" w:rsidRPr="001A689B">
          <w:rPr>
            <w:rStyle w:val="Hyperlink"/>
            <w:lang w:val="en-IE"/>
          </w:rPr>
          <w:t>2.2</w:t>
        </w:r>
        <w:r w:rsidR="00C46507">
          <w:rPr>
            <w:rFonts w:asciiTheme="minorHAnsi" w:eastAsiaTheme="minorEastAsia" w:hAnsiTheme="minorHAnsi" w:cstheme="minorBidi"/>
            <w:sz w:val="22"/>
            <w:szCs w:val="22"/>
            <w:lang w:val="en-IE" w:eastAsia="en-IE"/>
          </w:rPr>
          <w:tab/>
        </w:r>
        <w:r w:rsidR="00C46507" w:rsidRPr="001A689B">
          <w:rPr>
            <w:rStyle w:val="Hyperlink"/>
          </w:rPr>
          <w:t>Consequences of late payments</w:t>
        </w:r>
        <w:r w:rsidR="00C46507">
          <w:rPr>
            <w:webHidden/>
          </w:rPr>
          <w:tab/>
        </w:r>
        <w:r w:rsidR="005851F4">
          <w:rPr>
            <w:webHidden/>
          </w:rPr>
          <w:t>17</w:t>
        </w:r>
      </w:hyperlink>
    </w:p>
    <w:p w14:paraId="6BD42D7A" w14:textId="5832CCA1" w:rsidR="00C46507" w:rsidRDefault="00BC129D">
      <w:pPr>
        <w:pStyle w:val="TOC2"/>
        <w:rPr>
          <w:rFonts w:asciiTheme="minorHAnsi" w:eastAsiaTheme="minorEastAsia" w:hAnsiTheme="minorHAnsi" w:cstheme="minorBidi"/>
          <w:sz w:val="22"/>
          <w:szCs w:val="22"/>
          <w:lang w:val="en-IE" w:eastAsia="en-IE"/>
        </w:rPr>
      </w:pPr>
      <w:hyperlink w:anchor="_Toc135237387" w:history="1">
        <w:r w:rsidR="00C46507" w:rsidRPr="001A689B">
          <w:rPr>
            <w:rStyle w:val="Hyperlink"/>
            <w:lang w:val="en-IE"/>
          </w:rPr>
          <w:t>2.3</w:t>
        </w:r>
        <w:r w:rsidR="00C46507">
          <w:rPr>
            <w:rFonts w:asciiTheme="minorHAnsi" w:eastAsiaTheme="minorEastAsia" w:hAnsiTheme="minorHAnsi" w:cstheme="minorBidi"/>
            <w:sz w:val="22"/>
            <w:szCs w:val="22"/>
            <w:lang w:val="en-IE" w:eastAsia="en-IE"/>
          </w:rPr>
          <w:tab/>
        </w:r>
        <w:r w:rsidR="00C46507" w:rsidRPr="001A689B">
          <w:rPr>
            <w:rStyle w:val="Hyperlink"/>
          </w:rPr>
          <w:t>Problem drivers</w:t>
        </w:r>
        <w:r w:rsidR="00C46507">
          <w:rPr>
            <w:webHidden/>
          </w:rPr>
          <w:tab/>
        </w:r>
        <w:r w:rsidR="005851F4">
          <w:rPr>
            <w:webHidden/>
          </w:rPr>
          <w:t>18</w:t>
        </w:r>
      </w:hyperlink>
    </w:p>
    <w:p w14:paraId="45E193BC" w14:textId="6B2D8EA6" w:rsidR="00C46507" w:rsidRDefault="00BC129D">
      <w:pPr>
        <w:pStyle w:val="TOC3"/>
        <w:rPr>
          <w:rFonts w:asciiTheme="minorHAnsi" w:eastAsiaTheme="minorEastAsia" w:hAnsiTheme="minorHAnsi" w:cstheme="minorBidi"/>
          <w:iCs w:val="0"/>
          <w:sz w:val="22"/>
          <w:szCs w:val="22"/>
          <w:lang w:val="en-IE" w:eastAsia="en-IE"/>
        </w:rPr>
      </w:pPr>
      <w:hyperlink w:anchor="_Toc135237388" w:history="1">
        <w:r w:rsidR="00C46507" w:rsidRPr="001A689B">
          <w:rPr>
            <w:rStyle w:val="Hyperlink"/>
          </w:rPr>
          <w:t>2.3.1</w:t>
        </w:r>
        <w:r w:rsidR="00C46507">
          <w:rPr>
            <w:rFonts w:asciiTheme="minorHAnsi" w:eastAsiaTheme="minorEastAsia" w:hAnsiTheme="minorHAnsi" w:cstheme="minorBidi"/>
            <w:iCs w:val="0"/>
            <w:sz w:val="22"/>
            <w:szCs w:val="22"/>
            <w:lang w:val="en-IE" w:eastAsia="en-IE"/>
          </w:rPr>
          <w:tab/>
        </w:r>
        <w:r w:rsidR="00C46507" w:rsidRPr="001A689B">
          <w:rPr>
            <w:rStyle w:val="Hyperlink"/>
          </w:rPr>
          <w:t>Insufficient framework conditions</w:t>
        </w:r>
        <w:r w:rsidR="00C46507">
          <w:rPr>
            <w:webHidden/>
          </w:rPr>
          <w:tab/>
        </w:r>
        <w:r w:rsidR="005851F4">
          <w:rPr>
            <w:webHidden/>
          </w:rPr>
          <w:t>19</w:t>
        </w:r>
      </w:hyperlink>
    </w:p>
    <w:p w14:paraId="79ED7B38" w14:textId="4E815038" w:rsidR="00C46507" w:rsidRDefault="00BC129D">
      <w:pPr>
        <w:pStyle w:val="TOC3"/>
        <w:rPr>
          <w:rFonts w:asciiTheme="minorHAnsi" w:eastAsiaTheme="minorEastAsia" w:hAnsiTheme="minorHAnsi" w:cstheme="minorBidi"/>
          <w:iCs w:val="0"/>
          <w:sz w:val="22"/>
          <w:szCs w:val="22"/>
          <w:lang w:val="en-IE" w:eastAsia="en-IE"/>
        </w:rPr>
      </w:pPr>
      <w:hyperlink w:anchor="_Toc135237389" w:history="1">
        <w:r w:rsidR="00C46507" w:rsidRPr="001A689B">
          <w:rPr>
            <w:rStyle w:val="Hyperlink"/>
          </w:rPr>
          <w:t>2.3.2</w:t>
        </w:r>
        <w:r w:rsidR="00C46507">
          <w:rPr>
            <w:rFonts w:asciiTheme="minorHAnsi" w:eastAsiaTheme="minorEastAsia" w:hAnsiTheme="minorHAnsi" w:cstheme="minorBidi"/>
            <w:iCs w:val="0"/>
            <w:sz w:val="22"/>
            <w:szCs w:val="22"/>
            <w:lang w:val="en-IE" w:eastAsia="en-IE"/>
          </w:rPr>
          <w:tab/>
        </w:r>
        <w:r w:rsidR="00C46507" w:rsidRPr="001A689B">
          <w:rPr>
            <w:rStyle w:val="Hyperlink"/>
          </w:rPr>
          <w:t>Market failure – imbalances in bargaining power</w:t>
        </w:r>
        <w:r w:rsidR="00C46507">
          <w:rPr>
            <w:webHidden/>
          </w:rPr>
          <w:tab/>
        </w:r>
        <w:r w:rsidR="005851F4">
          <w:rPr>
            <w:webHidden/>
          </w:rPr>
          <w:t>20</w:t>
        </w:r>
      </w:hyperlink>
    </w:p>
    <w:p w14:paraId="269D1113" w14:textId="65354BA2" w:rsidR="00C46507" w:rsidRDefault="00BC129D">
      <w:pPr>
        <w:pStyle w:val="TOC3"/>
        <w:rPr>
          <w:rFonts w:asciiTheme="minorHAnsi" w:eastAsiaTheme="minorEastAsia" w:hAnsiTheme="minorHAnsi" w:cstheme="minorBidi"/>
          <w:iCs w:val="0"/>
          <w:sz w:val="22"/>
          <w:szCs w:val="22"/>
          <w:lang w:val="en-IE" w:eastAsia="en-IE"/>
        </w:rPr>
      </w:pPr>
      <w:hyperlink w:anchor="_Toc135237390" w:history="1">
        <w:r w:rsidR="00C46507" w:rsidRPr="001A689B">
          <w:rPr>
            <w:rStyle w:val="Hyperlink"/>
          </w:rPr>
          <w:t>2.3.3</w:t>
        </w:r>
        <w:r w:rsidR="00C46507">
          <w:rPr>
            <w:rFonts w:asciiTheme="minorHAnsi" w:eastAsiaTheme="minorEastAsia" w:hAnsiTheme="minorHAnsi" w:cstheme="minorBidi"/>
            <w:iCs w:val="0"/>
            <w:sz w:val="22"/>
            <w:szCs w:val="22"/>
            <w:lang w:val="en-IE" w:eastAsia="en-IE"/>
          </w:rPr>
          <w:tab/>
        </w:r>
        <w:r w:rsidR="00C46507" w:rsidRPr="001A689B">
          <w:rPr>
            <w:rStyle w:val="Hyperlink"/>
          </w:rPr>
          <w:t>Insufficient redress mechanisms</w:t>
        </w:r>
        <w:r w:rsidR="00C46507">
          <w:rPr>
            <w:webHidden/>
          </w:rPr>
          <w:tab/>
        </w:r>
        <w:r w:rsidR="005851F4">
          <w:rPr>
            <w:webHidden/>
          </w:rPr>
          <w:t>22</w:t>
        </w:r>
      </w:hyperlink>
    </w:p>
    <w:p w14:paraId="72A4D7F2" w14:textId="3F10B5AC" w:rsidR="00C46507" w:rsidRDefault="00BC129D">
      <w:pPr>
        <w:pStyle w:val="TOC2"/>
        <w:rPr>
          <w:rFonts w:asciiTheme="minorHAnsi" w:eastAsiaTheme="minorEastAsia" w:hAnsiTheme="minorHAnsi" w:cstheme="minorBidi"/>
          <w:sz w:val="22"/>
          <w:szCs w:val="22"/>
          <w:lang w:val="en-IE" w:eastAsia="en-IE"/>
        </w:rPr>
      </w:pPr>
      <w:hyperlink w:anchor="_Toc135237391" w:history="1">
        <w:r w:rsidR="00C46507" w:rsidRPr="001A689B">
          <w:rPr>
            <w:rStyle w:val="Hyperlink"/>
            <w:lang w:val="en-IE"/>
          </w:rPr>
          <w:t>2.4</w:t>
        </w:r>
        <w:r w:rsidR="00C46507">
          <w:rPr>
            <w:rFonts w:asciiTheme="minorHAnsi" w:eastAsiaTheme="minorEastAsia" w:hAnsiTheme="minorHAnsi" w:cstheme="minorBidi"/>
            <w:sz w:val="22"/>
            <w:szCs w:val="22"/>
            <w:lang w:val="en-IE" w:eastAsia="en-IE"/>
          </w:rPr>
          <w:tab/>
        </w:r>
        <w:r w:rsidR="00C46507" w:rsidRPr="001A689B">
          <w:rPr>
            <w:rStyle w:val="Hyperlink"/>
          </w:rPr>
          <w:t>How likely is the problem to persist?</w:t>
        </w:r>
        <w:r w:rsidR="00C46507">
          <w:rPr>
            <w:webHidden/>
          </w:rPr>
          <w:tab/>
        </w:r>
        <w:r w:rsidR="005851F4">
          <w:rPr>
            <w:webHidden/>
          </w:rPr>
          <w:t>22</w:t>
        </w:r>
      </w:hyperlink>
    </w:p>
    <w:p w14:paraId="38FD5B25" w14:textId="163C3A60" w:rsidR="00C46507" w:rsidRDefault="00BC129D">
      <w:pPr>
        <w:pStyle w:val="TOC1"/>
        <w:rPr>
          <w:rFonts w:asciiTheme="minorHAnsi" w:eastAsiaTheme="minorEastAsia" w:hAnsiTheme="minorHAnsi" w:cstheme="minorBidi"/>
          <w:caps w:val="0"/>
          <w:sz w:val="22"/>
          <w:szCs w:val="22"/>
          <w:lang w:val="en-IE" w:eastAsia="en-IE"/>
        </w:rPr>
      </w:pPr>
      <w:hyperlink w:anchor="_Toc135237392" w:history="1">
        <w:r w:rsidR="00C46507" w:rsidRPr="001A689B">
          <w:rPr>
            <w:rStyle w:val="Hyperlink"/>
          </w:rPr>
          <w:t>3</w:t>
        </w:r>
        <w:r w:rsidR="00C46507">
          <w:rPr>
            <w:rFonts w:asciiTheme="minorHAnsi" w:eastAsiaTheme="minorEastAsia" w:hAnsiTheme="minorHAnsi" w:cstheme="minorBidi"/>
            <w:caps w:val="0"/>
            <w:sz w:val="22"/>
            <w:szCs w:val="22"/>
            <w:lang w:val="en-IE" w:eastAsia="en-IE"/>
          </w:rPr>
          <w:tab/>
        </w:r>
        <w:r w:rsidR="00C46507" w:rsidRPr="001A689B">
          <w:rPr>
            <w:rStyle w:val="Hyperlink"/>
          </w:rPr>
          <w:t>Why should the EU act?</w:t>
        </w:r>
        <w:r w:rsidR="00C46507">
          <w:rPr>
            <w:webHidden/>
          </w:rPr>
          <w:tab/>
        </w:r>
        <w:r w:rsidR="005851F4">
          <w:rPr>
            <w:webHidden/>
          </w:rPr>
          <w:t>23</w:t>
        </w:r>
      </w:hyperlink>
    </w:p>
    <w:p w14:paraId="6A9E7A92" w14:textId="2A931EE7" w:rsidR="00C46507" w:rsidRDefault="00BC129D">
      <w:pPr>
        <w:pStyle w:val="TOC2"/>
        <w:rPr>
          <w:rFonts w:asciiTheme="minorHAnsi" w:eastAsiaTheme="minorEastAsia" w:hAnsiTheme="minorHAnsi" w:cstheme="minorBidi"/>
          <w:sz w:val="22"/>
          <w:szCs w:val="22"/>
          <w:lang w:val="en-IE" w:eastAsia="en-IE"/>
        </w:rPr>
      </w:pPr>
      <w:hyperlink w:anchor="_Toc135237393" w:history="1">
        <w:r w:rsidR="00C46507" w:rsidRPr="001A689B">
          <w:rPr>
            <w:rStyle w:val="Hyperlink"/>
            <w:lang w:val="en-IE"/>
          </w:rPr>
          <w:t>3.1</w:t>
        </w:r>
        <w:r w:rsidR="00C46507">
          <w:rPr>
            <w:rFonts w:asciiTheme="minorHAnsi" w:eastAsiaTheme="minorEastAsia" w:hAnsiTheme="minorHAnsi" w:cstheme="minorBidi"/>
            <w:sz w:val="22"/>
            <w:szCs w:val="22"/>
            <w:lang w:val="en-IE" w:eastAsia="en-IE"/>
          </w:rPr>
          <w:tab/>
        </w:r>
        <w:r w:rsidR="00C46507" w:rsidRPr="001A689B">
          <w:rPr>
            <w:rStyle w:val="Hyperlink"/>
          </w:rPr>
          <w:t>Legal basis</w:t>
        </w:r>
        <w:r w:rsidR="00C46507">
          <w:rPr>
            <w:webHidden/>
          </w:rPr>
          <w:tab/>
        </w:r>
        <w:r w:rsidR="005851F4">
          <w:rPr>
            <w:webHidden/>
          </w:rPr>
          <w:t>23</w:t>
        </w:r>
      </w:hyperlink>
    </w:p>
    <w:p w14:paraId="5CD134F7" w14:textId="742DA7F9" w:rsidR="00C46507" w:rsidRDefault="00BC129D">
      <w:pPr>
        <w:pStyle w:val="TOC2"/>
        <w:rPr>
          <w:rFonts w:asciiTheme="minorHAnsi" w:eastAsiaTheme="minorEastAsia" w:hAnsiTheme="minorHAnsi" w:cstheme="minorBidi"/>
          <w:sz w:val="22"/>
          <w:szCs w:val="22"/>
          <w:lang w:val="en-IE" w:eastAsia="en-IE"/>
        </w:rPr>
      </w:pPr>
      <w:hyperlink w:anchor="_Toc135237394" w:history="1">
        <w:r w:rsidR="00C46507" w:rsidRPr="001A689B">
          <w:rPr>
            <w:rStyle w:val="Hyperlink"/>
            <w:rFonts w:eastAsia="@Yu Mincho Light"/>
            <w:lang w:val="en-IE"/>
          </w:rPr>
          <w:t>3.2</w:t>
        </w:r>
        <w:r w:rsidR="00C46507">
          <w:rPr>
            <w:rFonts w:asciiTheme="minorHAnsi" w:eastAsiaTheme="minorEastAsia" w:hAnsiTheme="minorHAnsi" w:cstheme="minorBidi"/>
            <w:sz w:val="22"/>
            <w:szCs w:val="22"/>
            <w:lang w:val="en-IE" w:eastAsia="en-IE"/>
          </w:rPr>
          <w:tab/>
        </w:r>
        <w:r w:rsidR="00C46507" w:rsidRPr="001A689B">
          <w:rPr>
            <w:rStyle w:val="Hyperlink"/>
          </w:rPr>
          <w:t>Subsidiarity: necessity of EU action</w:t>
        </w:r>
        <w:r w:rsidR="00C46507">
          <w:rPr>
            <w:webHidden/>
          </w:rPr>
          <w:tab/>
        </w:r>
        <w:r w:rsidR="005851F4">
          <w:rPr>
            <w:webHidden/>
          </w:rPr>
          <w:t>24</w:t>
        </w:r>
      </w:hyperlink>
    </w:p>
    <w:p w14:paraId="60E9C038" w14:textId="77AA2892" w:rsidR="00C46507" w:rsidRDefault="00BC129D">
      <w:pPr>
        <w:pStyle w:val="TOC2"/>
        <w:rPr>
          <w:rFonts w:asciiTheme="minorHAnsi" w:eastAsiaTheme="minorEastAsia" w:hAnsiTheme="minorHAnsi" w:cstheme="minorBidi"/>
          <w:sz w:val="22"/>
          <w:szCs w:val="22"/>
          <w:lang w:val="en-IE" w:eastAsia="en-IE"/>
        </w:rPr>
      </w:pPr>
      <w:hyperlink w:anchor="_Toc135237395" w:history="1">
        <w:r w:rsidR="00C46507" w:rsidRPr="001A689B">
          <w:rPr>
            <w:rStyle w:val="Hyperlink"/>
            <w:lang w:val="en-IE"/>
          </w:rPr>
          <w:t>3.3</w:t>
        </w:r>
        <w:r w:rsidR="00C46507">
          <w:rPr>
            <w:rFonts w:asciiTheme="minorHAnsi" w:eastAsiaTheme="minorEastAsia" w:hAnsiTheme="minorHAnsi" w:cstheme="minorBidi"/>
            <w:sz w:val="22"/>
            <w:szCs w:val="22"/>
            <w:lang w:val="en-IE" w:eastAsia="en-IE"/>
          </w:rPr>
          <w:tab/>
        </w:r>
        <w:r w:rsidR="00C46507" w:rsidRPr="001A689B">
          <w:rPr>
            <w:rStyle w:val="Hyperlink"/>
          </w:rPr>
          <w:t>Subsidiarity: added value of EU action</w:t>
        </w:r>
        <w:r w:rsidR="00C46507">
          <w:rPr>
            <w:webHidden/>
          </w:rPr>
          <w:tab/>
        </w:r>
        <w:r w:rsidR="005851F4">
          <w:rPr>
            <w:webHidden/>
          </w:rPr>
          <w:t>25</w:t>
        </w:r>
      </w:hyperlink>
    </w:p>
    <w:p w14:paraId="0280120B" w14:textId="111B17C2" w:rsidR="00C46507" w:rsidRDefault="00BC129D">
      <w:pPr>
        <w:pStyle w:val="TOC1"/>
        <w:rPr>
          <w:rFonts w:asciiTheme="minorHAnsi" w:eastAsiaTheme="minorEastAsia" w:hAnsiTheme="minorHAnsi" w:cstheme="minorBidi"/>
          <w:caps w:val="0"/>
          <w:sz w:val="22"/>
          <w:szCs w:val="22"/>
          <w:lang w:val="en-IE" w:eastAsia="en-IE"/>
        </w:rPr>
      </w:pPr>
      <w:hyperlink w:anchor="_Toc135237396" w:history="1">
        <w:r w:rsidR="00C46507" w:rsidRPr="001A689B">
          <w:rPr>
            <w:rStyle w:val="Hyperlink"/>
          </w:rPr>
          <w:t>4</w:t>
        </w:r>
        <w:r w:rsidR="00C46507">
          <w:rPr>
            <w:rFonts w:asciiTheme="minorHAnsi" w:eastAsiaTheme="minorEastAsia" w:hAnsiTheme="minorHAnsi" w:cstheme="minorBidi"/>
            <w:caps w:val="0"/>
            <w:sz w:val="22"/>
            <w:szCs w:val="22"/>
            <w:lang w:val="en-IE" w:eastAsia="en-IE"/>
          </w:rPr>
          <w:tab/>
        </w:r>
        <w:r w:rsidR="00C46507" w:rsidRPr="001A689B">
          <w:rPr>
            <w:rStyle w:val="Hyperlink"/>
          </w:rPr>
          <w:t>Objectives: What is to be achieved?</w:t>
        </w:r>
        <w:r w:rsidR="00C46507">
          <w:rPr>
            <w:webHidden/>
          </w:rPr>
          <w:tab/>
        </w:r>
        <w:r w:rsidR="005851F4">
          <w:rPr>
            <w:webHidden/>
          </w:rPr>
          <w:t>25</w:t>
        </w:r>
      </w:hyperlink>
    </w:p>
    <w:p w14:paraId="0640E07B" w14:textId="44B3989D" w:rsidR="00C46507" w:rsidRDefault="00BC129D">
      <w:pPr>
        <w:pStyle w:val="TOC2"/>
        <w:rPr>
          <w:rFonts w:asciiTheme="minorHAnsi" w:eastAsiaTheme="minorEastAsia" w:hAnsiTheme="minorHAnsi" w:cstheme="minorBidi"/>
          <w:sz w:val="22"/>
          <w:szCs w:val="22"/>
          <w:lang w:val="en-IE" w:eastAsia="en-IE"/>
        </w:rPr>
      </w:pPr>
      <w:hyperlink w:anchor="_Toc135237397" w:history="1">
        <w:r w:rsidR="00C46507" w:rsidRPr="001A689B">
          <w:rPr>
            <w:rStyle w:val="Hyperlink"/>
            <w:lang w:val="en-IE"/>
          </w:rPr>
          <w:t>4.1</w:t>
        </w:r>
        <w:r w:rsidR="00C46507">
          <w:rPr>
            <w:rFonts w:asciiTheme="minorHAnsi" w:eastAsiaTheme="minorEastAsia" w:hAnsiTheme="minorHAnsi" w:cstheme="minorBidi"/>
            <w:sz w:val="22"/>
            <w:szCs w:val="22"/>
            <w:lang w:val="en-IE" w:eastAsia="en-IE"/>
          </w:rPr>
          <w:tab/>
        </w:r>
        <w:r w:rsidR="00C46507" w:rsidRPr="001A689B">
          <w:rPr>
            <w:rStyle w:val="Hyperlink"/>
          </w:rPr>
          <w:t>General objectives</w:t>
        </w:r>
        <w:r w:rsidR="00C46507">
          <w:rPr>
            <w:webHidden/>
          </w:rPr>
          <w:tab/>
        </w:r>
        <w:r w:rsidR="005851F4">
          <w:rPr>
            <w:webHidden/>
          </w:rPr>
          <w:t>25</w:t>
        </w:r>
      </w:hyperlink>
    </w:p>
    <w:p w14:paraId="01F06FCF" w14:textId="4D7AFF93" w:rsidR="00C46507" w:rsidRDefault="00BC129D">
      <w:pPr>
        <w:pStyle w:val="TOC2"/>
        <w:rPr>
          <w:rFonts w:asciiTheme="minorHAnsi" w:eastAsiaTheme="minorEastAsia" w:hAnsiTheme="minorHAnsi" w:cstheme="minorBidi"/>
          <w:sz w:val="22"/>
          <w:szCs w:val="22"/>
          <w:lang w:val="en-IE" w:eastAsia="en-IE"/>
        </w:rPr>
      </w:pPr>
      <w:hyperlink w:anchor="_Toc135237398" w:history="1">
        <w:r w:rsidR="00C46507" w:rsidRPr="001A689B">
          <w:rPr>
            <w:rStyle w:val="Hyperlink"/>
            <w:lang w:val="en-IE"/>
          </w:rPr>
          <w:t>4.2</w:t>
        </w:r>
        <w:r w:rsidR="00C46507">
          <w:rPr>
            <w:rFonts w:asciiTheme="minorHAnsi" w:eastAsiaTheme="minorEastAsia" w:hAnsiTheme="minorHAnsi" w:cstheme="minorBidi"/>
            <w:sz w:val="22"/>
            <w:szCs w:val="22"/>
            <w:lang w:val="en-IE" w:eastAsia="en-IE"/>
          </w:rPr>
          <w:tab/>
        </w:r>
        <w:r w:rsidR="00C46507" w:rsidRPr="001A689B">
          <w:rPr>
            <w:rStyle w:val="Hyperlink"/>
          </w:rPr>
          <w:t>Specific objectives</w:t>
        </w:r>
        <w:r w:rsidR="00C46507">
          <w:rPr>
            <w:webHidden/>
          </w:rPr>
          <w:tab/>
        </w:r>
        <w:r w:rsidR="005851F4">
          <w:rPr>
            <w:webHidden/>
          </w:rPr>
          <w:t>26</w:t>
        </w:r>
      </w:hyperlink>
    </w:p>
    <w:p w14:paraId="7FFE073E" w14:textId="078A40E2" w:rsidR="00C46507" w:rsidRDefault="00BC129D">
      <w:pPr>
        <w:pStyle w:val="TOC3"/>
        <w:rPr>
          <w:rFonts w:asciiTheme="minorHAnsi" w:eastAsiaTheme="minorEastAsia" w:hAnsiTheme="minorHAnsi" w:cstheme="minorBidi"/>
          <w:iCs w:val="0"/>
          <w:sz w:val="22"/>
          <w:szCs w:val="22"/>
          <w:lang w:val="en-IE" w:eastAsia="en-IE"/>
        </w:rPr>
      </w:pPr>
      <w:hyperlink w:anchor="_Toc135237399" w:history="1">
        <w:r w:rsidR="00C46507" w:rsidRPr="001A689B">
          <w:rPr>
            <w:rStyle w:val="Hyperlink"/>
          </w:rPr>
          <w:t>4.2.1</w:t>
        </w:r>
        <w:r w:rsidR="00C46507">
          <w:rPr>
            <w:rFonts w:asciiTheme="minorHAnsi" w:eastAsiaTheme="minorEastAsia" w:hAnsiTheme="minorHAnsi" w:cstheme="minorBidi"/>
            <w:iCs w:val="0"/>
            <w:sz w:val="22"/>
            <w:szCs w:val="22"/>
            <w:lang w:val="en-IE" w:eastAsia="en-IE"/>
          </w:rPr>
          <w:tab/>
        </w:r>
        <w:r w:rsidR="00C46507" w:rsidRPr="001A689B">
          <w:rPr>
            <w:rStyle w:val="Hyperlink"/>
          </w:rPr>
          <w:t>To prevent late payment from occurring</w:t>
        </w:r>
        <w:r w:rsidR="00C46507">
          <w:rPr>
            <w:webHidden/>
          </w:rPr>
          <w:tab/>
        </w:r>
        <w:r w:rsidR="005851F4">
          <w:rPr>
            <w:webHidden/>
          </w:rPr>
          <w:t>26</w:t>
        </w:r>
      </w:hyperlink>
    </w:p>
    <w:p w14:paraId="4F68C92B" w14:textId="207CEDA6" w:rsidR="00C46507" w:rsidRDefault="00BC129D">
      <w:pPr>
        <w:pStyle w:val="TOC3"/>
        <w:rPr>
          <w:rFonts w:asciiTheme="minorHAnsi" w:eastAsiaTheme="minorEastAsia" w:hAnsiTheme="minorHAnsi" w:cstheme="minorBidi"/>
          <w:iCs w:val="0"/>
          <w:sz w:val="22"/>
          <w:szCs w:val="22"/>
          <w:lang w:val="en-IE" w:eastAsia="en-IE"/>
        </w:rPr>
      </w:pPr>
      <w:hyperlink w:anchor="_Toc135237400" w:history="1">
        <w:r w:rsidR="00C46507" w:rsidRPr="001A689B">
          <w:rPr>
            <w:rStyle w:val="Hyperlink"/>
          </w:rPr>
          <w:t>4.2.2</w:t>
        </w:r>
        <w:r w:rsidR="00C46507">
          <w:rPr>
            <w:rFonts w:asciiTheme="minorHAnsi" w:eastAsiaTheme="minorEastAsia" w:hAnsiTheme="minorHAnsi" w:cstheme="minorBidi"/>
            <w:iCs w:val="0"/>
            <w:sz w:val="22"/>
            <w:szCs w:val="22"/>
            <w:lang w:val="en-IE" w:eastAsia="en-IE"/>
          </w:rPr>
          <w:tab/>
        </w:r>
        <w:r w:rsidR="00C46507" w:rsidRPr="001A689B">
          <w:rPr>
            <w:rStyle w:val="Hyperlink"/>
          </w:rPr>
          <w:t>To facilitate timely payment</w:t>
        </w:r>
        <w:r w:rsidR="00C46507">
          <w:rPr>
            <w:webHidden/>
          </w:rPr>
          <w:tab/>
        </w:r>
        <w:r w:rsidR="005851F4">
          <w:rPr>
            <w:webHidden/>
          </w:rPr>
          <w:t>27</w:t>
        </w:r>
      </w:hyperlink>
    </w:p>
    <w:p w14:paraId="01FA5303" w14:textId="20864EB8" w:rsidR="00C46507" w:rsidRDefault="00BC129D">
      <w:pPr>
        <w:pStyle w:val="TOC3"/>
        <w:rPr>
          <w:rFonts w:asciiTheme="minorHAnsi" w:eastAsiaTheme="minorEastAsia" w:hAnsiTheme="minorHAnsi" w:cstheme="minorBidi"/>
          <w:iCs w:val="0"/>
          <w:sz w:val="22"/>
          <w:szCs w:val="22"/>
          <w:lang w:val="en-IE" w:eastAsia="en-IE"/>
        </w:rPr>
      </w:pPr>
      <w:hyperlink w:anchor="_Toc135237401" w:history="1">
        <w:r w:rsidR="00C46507" w:rsidRPr="001A689B">
          <w:rPr>
            <w:rStyle w:val="Hyperlink"/>
          </w:rPr>
          <w:t>4.2.3</w:t>
        </w:r>
        <w:r w:rsidR="00C46507">
          <w:rPr>
            <w:rFonts w:asciiTheme="minorHAnsi" w:eastAsiaTheme="minorEastAsia" w:hAnsiTheme="minorHAnsi" w:cstheme="minorBidi"/>
            <w:iCs w:val="0"/>
            <w:sz w:val="22"/>
            <w:szCs w:val="22"/>
            <w:lang w:val="en-IE" w:eastAsia="en-IE"/>
          </w:rPr>
          <w:tab/>
        </w:r>
        <w:r w:rsidR="00C46507" w:rsidRPr="001A689B">
          <w:rPr>
            <w:rStyle w:val="Hyperlink"/>
          </w:rPr>
          <w:t>To empower SMEs and ensure more fairness in commercial transactions</w:t>
        </w:r>
        <w:r w:rsidR="00C46507">
          <w:rPr>
            <w:webHidden/>
          </w:rPr>
          <w:tab/>
        </w:r>
        <w:r w:rsidR="005851F4">
          <w:rPr>
            <w:webHidden/>
          </w:rPr>
          <w:t>27</w:t>
        </w:r>
      </w:hyperlink>
    </w:p>
    <w:p w14:paraId="7B4F4C23" w14:textId="5ABC92B2" w:rsidR="00C46507" w:rsidRDefault="00BC129D">
      <w:pPr>
        <w:pStyle w:val="TOC1"/>
        <w:rPr>
          <w:rFonts w:asciiTheme="minorHAnsi" w:eastAsiaTheme="minorEastAsia" w:hAnsiTheme="minorHAnsi" w:cstheme="minorBidi"/>
          <w:caps w:val="0"/>
          <w:sz w:val="22"/>
          <w:szCs w:val="22"/>
          <w:lang w:val="en-IE" w:eastAsia="en-IE"/>
        </w:rPr>
      </w:pPr>
      <w:hyperlink w:anchor="_Toc135237402" w:history="1">
        <w:r w:rsidR="00C46507" w:rsidRPr="001A689B">
          <w:rPr>
            <w:rStyle w:val="Hyperlink"/>
          </w:rPr>
          <w:t>5</w:t>
        </w:r>
        <w:r w:rsidR="00C46507">
          <w:rPr>
            <w:rFonts w:asciiTheme="minorHAnsi" w:eastAsiaTheme="minorEastAsia" w:hAnsiTheme="minorHAnsi" w:cstheme="minorBidi"/>
            <w:caps w:val="0"/>
            <w:sz w:val="22"/>
            <w:szCs w:val="22"/>
            <w:lang w:val="en-IE" w:eastAsia="en-IE"/>
          </w:rPr>
          <w:tab/>
        </w:r>
        <w:r w:rsidR="00C46507" w:rsidRPr="001A689B">
          <w:rPr>
            <w:rStyle w:val="Hyperlink"/>
          </w:rPr>
          <w:t>What are the available policy options?</w:t>
        </w:r>
        <w:r w:rsidR="00C46507">
          <w:rPr>
            <w:webHidden/>
          </w:rPr>
          <w:tab/>
        </w:r>
        <w:r w:rsidR="005851F4">
          <w:rPr>
            <w:webHidden/>
          </w:rPr>
          <w:t>27</w:t>
        </w:r>
      </w:hyperlink>
    </w:p>
    <w:p w14:paraId="2C28E7CF" w14:textId="3B242BEE" w:rsidR="00C46507" w:rsidRDefault="00BC129D">
      <w:pPr>
        <w:pStyle w:val="TOC2"/>
        <w:rPr>
          <w:rFonts w:asciiTheme="minorHAnsi" w:eastAsiaTheme="minorEastAsia" w:hAnsiTheme="minorHAnsi" w:cstheme="minorBidi"/>
          <w:sz w:val="22"/>
          <w:szCs w:val="22"/>
          <w:lang w:val="en-IE" w:eastAsia="en-IE"/>
        </w:rPr>
      </w:pPr>
      <w:hyperlink w:anchor="_Toc135237403" w:history="1">
        <w:r w:rsidR="00C46507" w:rsidRPr="001A689B">
          <w:rPr>
            <w:rStyle w:val="Hyperlink"/>
            <w:lang w:val="en-IE"/>
          </w:rPr>
          <w:t>5.1</w:t>
        </w:r>
        <w:r w:rsidR="00C46507">
          <w:rPr>
            <w:rFonts w:asciiTheme="minorHAnsi" w:eastAsiaTheme="minorEastAsia" w:hAnsiTheme="minorHAnsi" w:cstheme="minorBidi"/>
            <w:sz w:val="22"/>
            <w:szCs w:val="22"/>
            <w:lang w:val="en-IE" w:eastAsia="en-IE"/>
          </w:rPr>
          <w:tab/>
        </w:r>
        <w:r w:rsidR="00C46507" w:rsidRPr="001A689B">
          <w:rPr>
            <w:rStyle w:val="Hyperlink"/>
          </w:rPr>
          <w:t>What is the baseline from which options are assessed?</w:t>
        </w:r>
        <w:r w:rsidR="00C46507">
          <w:rPr>
            <w:webHidden/>
          </w:rPr>
          <w:tab/>
        </w:r>
        <w:r w:rsidR="005851F4">
          <w:rPr>
            <w:webHidden/>
          </w:rPr>
          <w:t>27</w:t>
        </w:r>
      </w:hyperlink>
    </w:p>
    <w:p w14:paraId="3851BBCD" w14:textId="687D86BF" w:rsidR="00C46507" w:rsidRDefault="00BC129D">
      <w:pPr>
        <w:pStyle w:val="TOC2"/>
        <w:rPr>
          <w:rFonts w:asciiTheme="minorHAnsi" w:eastAsiaTheme="minorEastAsia" w:hAnsiTheme="minorHAnsi" w:cstheme="minorBidi"/>
          <w:sz w:val="22"/>
          <w:szCs w:val="22"/>
          <w:lang w:val="en-IE" w:eastAsia="en-IE"/>
        </w:rPr>
      </w:pPr>
      <w:hyperlink w:anchor="_Toc135237404" w:history="1">
        <w:r w:rsidR="00C46507" w:rsidRPr="001A689B">
          <w:rPr>
            <w:rStyle w:val="Hyperlink"/>
            <w:rFonts w:eastAsia="@Yu Mincho Light"/>
            <w:lang w:val="en-IE"/>
          </w:rPr>
          <w:t>5.2</w:t>
        </w:r>
        <w:r w:rsidR="00C46507">
          <w:rPr>
            <w:rFonts w:asciiTheme="minorHAnsi" w:eastAsiaTheme="minorEastAsia" w:hAnsiTheme="minorHAnsi" w:cstheme="minorBidi"/>
            <w:sz w:val="22"/>
            <w:szCs w:val="22"/>
            <w:lang w:val="en-IE" w:eastAsia="en-IE"/>
          </w:rPr>
          <w:tab/>
        </w:r>
        <w:r w:rsidR="00C46507" w:rsidRPr="001A689B">
          <w:rPr>
            <w:rStyle w:val="Hyperlink"/>
            <w:rFonts w:eastAsia="@Yu Mincho Light"/>
          </w:rPr>
          <w:t>Description of the policy options</w:t>
        </w:r>
        <w:r w:rsidR="00C46507">
          <w:rPr>
            <w:webHidden/>
          </w:rPr>
          <w:tab/>
        </w:r>
        <w:r w:rsidR="005851F4">
          <w:rPr>
            <w:webHidden/>
          </w:rPr>
          <w:t>30</w:t>
        </w:r>
      </w:hyperlink>
    </w:p>
    <w:p w14:paraId="329E8BE1" w14:textId="5239A680" w:rsidR="00C46507" w:rsidRDefault="00BC129D">
      <w:pPr>
        <w:pStyle w:val="TOC3"/>
        <w:rPr>
          <w:rFonts w:asciiTheme="minorHAnsi" w:eastAsiaTheme="minorEastAsia" w:hAnsiTheme="minorHAnsi" w:cstheme="minorBidi"/>
          <w:iCs w:val="0"/>
          <w:sz w:val="22"/>
          <w:szCs w:val="22"/>
          <w:lang w:val="en-IE" w:eastAsia="en-IE"/>
        </w:rPr>
      </w:pPr>
      <w:hyperlink w:anchor="_Toc135237405" w:history="1">
        <w:r w:rsidR="00C46507" w:rsidRPr="001A689B">
          <w:rPr>
            <w:rStyle w:val="Hyperlink"/>
            <w:rFonts w:eastAsia="@Yu Mincho Light"/>
          </w:rPr>
          <w:t>5.2.1</w:t>
        </w:r>
        <w:r w:rsidR="00C46507">
          <w:rPr>
            <w:rFonts w:asciiTheme="minorHAnsi" w:eastAsiaTheme="minorEastAsia" w:hAnsiTheme="minorHAnsi" w:cstheme="minorBidi"/>
            <w:iCs w:val="0"/>
            <w:sz w:val="22"/>
            <w:szCs w:val="22"/>
            <w:lang w:val="en-IE" w:eastAsia="en-IE"/>
          </w:rPr>
          <w:tab/>
        </w:r>
        <w:r w:rsidR="00C46507" w:rsidRPr="001A689B">
          <w:rPr>
            <w:rStyle w:val="Hyperlink"/>
            <w:rFonts w:eastAsia="@Yu Mincho Light"/>
          </w:rPr>
          <w:t>Policy option 1: Prevent late payment from occurring</w:t>
        </w:r>
        <w:r w:rsidR="00C46507">
          <w:rPr>
            <w:webHidden/>
          </w:rPr>
          <w:tab/>
        </w:r>
        <w:r w:rsidR="005851F4">
          <w:rPr>
            <w:webHidden/>
          </w:rPr>
          <w:t>31</w:t>
        </w:r>
      </w:hyperlink>
    </w:p>
    <w:p w14:paraId="0768F981" w14:textId="2F95DB17" w:rsidR="00C46507" w:rsidRDefault="00BC129D">
      <w:pPr>
        <w:pStyle w:val="TOC3"/>
        <w:rPr>
          <w:rFonts w:asciiTheme="minorHAnsi" w:eastAsiaTheme="minorEastAsia" w:hAnsiTheme="minorHAnsi" w:cstheme="minorBidi"/>
          <w:iCs w:val="0"/>
          <w:sz w:val="22"/>
          <w:szCs w:val="22"/>
          <w:lang w:val="en-IE" w:eastAsia="en-IE"/>
        </w:rPr>
      </w:pPr>
      <w:hyperlink w:anchor="_Toc135237406" w:history="1">
        <w:r w:rsidR="00C46507" w:rsidRPr="001A689B">
          <w:rPr>
            <w:rStyle w:val="Hyperlink"/>
            <w:rFonts w:eastAsia="@Yu Mincho Light"/>
          </w:rPr>
          <w:t>5.2.2</w:t>
        </w:r>
        <w:r w:rsidR="00C46507">
          <w:rPr>
            <w:rFonts w:asciiTheme="minorHAnsi" w:eastAsiaTheme="minorEastAsia" w:hAnsiTheme="minorHAnsi" w:cstheme="minorBidi"/>
            <w:iCs w:val="0"/>
            <w:sz w:val="22"/>
            <w:szCs w:val="22"/>
            <w:lang w:val="en-IE" w:eastAsia="en-IE"/>
          </w:rPr>
          <w:tab/>
        </w:r>
        <w:r w:rsidR="00C46507" w:rsidRPr="001A689B">
          <w:rPr>
            <w:rStyle w:val="Hyperlink"/>
            <w:rFonts w:eastAsia="@Yu Mincho Light"/>
          </w:rPr>
          <w:t>Policy option 2: Facilitate timely payments</w:t>
        </w:r>
        <w:r w:rsidR="00C46507">
          <w:rPr>
            <w:webHidden/>
          </w:rPr>
          <w:tab/>
        </w:r>
        <w:r w:rsidR="005851F4">
          <w:rPr>
            <w:webHidden/>
          </w:rPr>
          <w:t>33</w:t>
        </w:r>
      </w:hyperlink>
    </w:p>
    <w:p w14:paraId="61387745" w14:textId="3CB48076" w:rsidR="00C46507" w:rsidRDefault="00BC129D">
      <w:pPr>
        <w:pStyle w:val="TOC3"/>
        <w:rPr>
          <w:rFonts w:asciiTheme="minorHAnsi" w:eastAsiaTheme="minorEastAsia" w:hAnsiTheme="minorHAnsi" w:cstheme="minorBidi"/>
          <w:iCs w:val="0"/>
          <w:sz w:val="22"/>
          <w:szCs w:val="22"/>
          <w:lang w:val="en-IE" w:eastAsia="en-IE"/>
        </w:rPr>
      </w:pPr>
      <w:hyperlink w:anchor="_Toc135237407" w:history="1">
        <w:r w:rsidR="00C46507" w:rsidRPr="001A689B">
          <w:rPr>
            <w:rStyle w:val="Hyperlink"/>
            <w:rFonts w:eastAsia="@Yu Mincho Light"/>
          </w:rPr>
          <w:t>5.2.3</w:t>
        </w:r>
        <w:r w:rsidR="00C46507">
          <w:rPr>
            <w:rFonts w:asciiTheme="minorHAnsi" w:eastAsiaTheme="minorEastAsia" w:hAnsiTheme="minorHAnsi" w:cstheme="minorBidi"/>
            <w:iCs w:val="0"/>
            <w:sz w:val="22"/>
            <w:szCs w:val="22"/>
            <w:lang w:val="en-IE" w:eastAsia="en-IE"/>
          </w:rPr>
          <w:tab/>
        </w:r>
        <w:r w:rsidR="00C46507" w:rsidRPr="001A689B">
          <w:rPr>
            <w:rStyle w:val="Hyperlink"/>
            <w:rFonts w:eastAsia="@Yu Mincho Light"/>
          </w:rPr>
          <w:t>Policy option 3: Strengthening redress mechanisms to ensure fair payment conditions and to empower SMEs</w:t>
        </w:r>
        <w:r w:rsidR="00C46507">
          <w:rPr>
            <w:webHidden/>
          </w:rPr>
          <w:tab/>
        </w:r>
        <w:r w:rsidR="005851F4">
          <w:rPr>
            <w:webHidden/>
          </w:rPr>
          <w:t>35</w:t>
        </w:r>
      </w:hyperlink>
    </w:p>
    <w:p w14:paraId="4E446EC1" w14:textId="692F1EDB" w:rsidR="00C46507" w:rsidRDefault="00BC129D">
      <w:pPr>
        <w:pStyle w:val="TOC2"/>
        <w:rPr>
          <w:rFonts w:asciiTheme="minorHAnsi" w:eastAsiaTheme="minorEastAsia" w:hAnsiTheme="minorHAnsi" w:cstheme="minorBidi"/>
          <w:sz w:val="22"/>
          <w:szCs w:val="22"/>
          <w:lang w:val="en-IE" w:eastAsia="en-IE"/>
        </w:rPr>
      </w:pPr>
      <w:hyperlink w:anchor="_Toc135237408" w:history="1">
        <w:r w:rsidR="00C46507" w:rsidRPr="001A689B">
          <w:rPr>
            <w:rStyle w:val="Hyperlink"/>
            <w:lang w:val="en-IE"/>
          </w:rPr>
          <w:t>5.3</w:t>
        </w:r>
        <w:r w:rsidR="00C46507">
          <w:rPr>
            <w:rFonts w:asciiTheme="minorHAnsi" w:eastAsiaTheme="minorEastAsia" w:hAnsiTheme="minorHAnsi" w:cstheme="minorBidi"/>
            <w:sz w:val="22"/>
            <w:szCs w:val="22"/>
            <w:lang w:val="en-IE" w:eastAsia="en-IE"/>
          </w:rPr>
          <w:tab/>
        </w:r>
        <w:r w:rsidR="00C46507" w:rsidRPr="001A689B">
          <w:rPr>
            <w:rStyle w:val="Hyperlink"/>
          </w:rPr>
          <w:t>Form of the legal act</w:t>
        </w:r>
        <w:r w:rsidR="00C46507">
          <w:rPr>
            <w:webHidden/>
          </w:rPr>
          <w:tab/>
        </w:r>
        <w:r w:rsidR="005851F4">
          <w:rPr>
            <w:webHidden/>
          </w:rPr>
          <w:t>38</w:t>
        </w:r>
      </w:hyperlink>
    </w:p>
    <w:p w14:paraId="3259B00A" w14:textId="0619A69F" w:rsidR="00C46507" w:rsidRDefault="00BC129D">
      <w:pPr>
        <w:pStyle w:val="TOC2"/>
        <w:rPr>
          <w:rFonts w:asciiTheme="minorHAnsi" w:eastAsiaTheme="minorEastAsia" w:hAnsiTheme="minorHAnsi" w:cstheme="minorBidi"/>
          <w:sz w:val="22"/>
          <w:szCs w:val="22"/>
          <w:lang w:val="en-IE" w:eastAsia="en-IE"/>
        </w:rPr>
      </w:pPr>
      <w:hyperlink w:anchor="_Toc135237409" w:history="1">
        <w:r w:rsidR="00C46507" w:rsidRPr="001A689B">
          <w:rPr>
            <w:rStyle w:val="Hyperlink"/>
            <w:rFonts w:eastAsia="@Yu Mincho Light"/>
            <w:lang w:val="en-IE"/>
          </w:rPr>
          <w:t>5.4</w:t>
        </w:r>
        <w:r w:rsidR="00C46507">
          <w:rPr>
            <w:rFonts w:asciiTheme="minorHAnsi" w:eastAsiaTheme="minorEastAsia" w:hAnsiTheme="minorHAnsi" w:cstheme="minorBidi"/>
            <w:sz w:val="22"/>
            <w:szCs w:val="22"/>
            <w:lang w:val="en-IE" w:eastAsia="en-IE"/>
          </w:rPr>
          <w:tab/>
        </w:r>
        <w:r w:rsidR="00C46507" w:rsidRPr="001A689B">
          <w:rPr>
            <w:rStyle w:val="Hyperlink"/>
            <w:rFonts w:eastAsia="@Yu Mincho Light"/>
          </w:rPr>
          <w:t>Measures discarded at an early stage</w:t>
        </w:r>
        <w:r w:rsidR="00C46507">
          <w:rPr>
            <w:webHidden/>
          </w:rPr>
          <w:tab/>
        </w:r>
        <w:r w:rsidR="005851F4">
          <w:rPr>
            <w:webHidden/>
          </w:rPr>
          <w:t>39</w:t>
        </w:r>
      </w:hyperlink>
    </w:p>
    <w:p w14:paraId="35C345E0" w14:textId="79E4F67F" w:rsidR="00C46507" w:rsidRDefault="00BC129D">
      <w:pPr>
        <w:pStyle w:val="TOC1"/>
        <w:rPr>
          <w:rFonts w:asciiTheme="minorHAnsi" w:eastAsiaTheme="minorEastAsia" w:hAnsiTheme="minorHAnsi" w:cstheme="minorBidi"/>
          <w:caps w:val="0"/>
          <w:sz w:val="22"/>
          <w:szCs w:val="22"/>
          <w:lang w:val="en-IE" w:eastAsia="en-IE"/>
        </w:rPr>
      </w:pPr>
      <w:hyperlink w:anchor="_Toc135237410" w:history="1">
        <w:r w:rsidR="00C46507" w:rsidRPr="001A689B">
          <w:rPr>
            <w:rStyle w:val="Hyperlink"/>
          </w:rPr>
          <w:t>6</w:t>
        </w:r>
        <w:r w:rsidR="00C46507">
          <w:rPr>
            <w:rFonts w:asciiTheme="minorHAnsi" w:eastAsiaTheme="minorEastAsia" w:hAnsiTheme="minorHAnsi" w:cstheme="minorBidi"/>
            <w:caps w:val="0"/>
            <w:sz w:val="22"/>
            <w:szCs w:val="22"/>
            <w:lang w:val="en-IE" w:eastAsia="en-IE"/>
          </w:rPr>
          <w:tab/>
        </w:r>
        <w:r w:rsidR="00C46507" w:rsidRPr="001A689B">
          <w:rPr>
            <w:rStyle w:val="Hyperlink"/>
          </w:rPr>
          <w:t>What are the impacts of the policy options?</w:t>
        </w:r>
        <w:r w:rsidR="00C46507">
          <w:rPr>
            <w:webHidden/>
          </w:rPr>
          <w:tab/>
        </w:r>
        <w:r w:rsidR="005851F4">
          <w:rPr>
            <w:webHidden/>
          </w:rPr>
          <w:t>39</w:t>
        </w:r>
      </w:hyperlink>
    </w:p>
    <w:p w14:paraId="1F5C7ED7" w14:textId="00136090" w:rsidR="00C46507" w:rsidRDefault="00BC129D">
      <w:pPr>
        <w:pStyle w:val="TOC2"/>
        <w:rPr>
          <w:rFonts w:asciiTheme="minorHAnsi" w:eastAsiaTheme="minorEastAsia" w:hAnsiTheme="minorHAnsi" w:cstheme="minorBidi"/>
          <w:sz w:val="22"/>
          <w:szCs w:val="22"/>
          <w:lang w:val="en-IE" w:eastAsia="en-IE"/>
        </w:rPr>
      </w:pPr>
      <w:hyperlink w:anchor="_Toc135237411" w:history="1">
        <w:r w:rsidR="00C46507" w:rsidRPr="001A689B">
          <w:rPr>
            <w:rStyle w:val="Hyperlink"/>
            <w:lang w:val="en-IE"/>
          </w:rPr>
          <w:t>6.1</w:t>
        </w:r>
        <w:r w:rsidR="00C46507">
          <w:rPr>
            <w:rFonts w:asciiTheme="minorHAnsi" w:eastAsiaTheme="minorEastAsia" w:hAnsiTheme="minorHAnsi" w:cstheme="minorBidi"/>
            <w:sz w:val="22"/>
            <w:szCs w:val="22"/>
            <w:lang w:val="en-IE" w:eastAsia="en-IE"/>
          </w:rPr>
          <w:tab/>
        </w:r>
        <w:r w:rsidR="00C46507" w:rsidRPr="001A689B">
          <w:rPr>
            <w:rStyle w:val="Hyperlink"/>
          </w:rPr>
          <w:t>Economic impacts</w:t>
        </w:r>
        <w:r w:rsidR="00C46507">
          <w:rPr>
            <w:webHidden/>
          </w:rPr>
          <w:tab/>
        </w:r>
        <w:r w:rsidR="005851F4">
          <w:rPr>
            <w:webHidden/>
          </w:rPr>
          <w:t>40</w:t>
        </w:r>
      </w:hyperlink>
    </w:p>
    <w:p w14:paraId="3A7AB720" w14:textId="0978EAFC" w:rsidR="00C46507" w:rsidRDefault="00BC129D">
      <w:pPr>
        <w:pStyle w:val="TOC3"/>
        <w:rPr>
          <w:rFonts w:asciiTheme="minorHAnsi" w:eastAsiaTheme="minorEastAsia" w:hAnsiTheme="minorHAnsi" w:cstheme="minorBidi"/>
          <w:iCs w:val="0"/>
          <w:sz w:val="22"/>
          <w:szCs w:val="22"/>
          <w:lang w:val="en-IE" w:eastAsia="en-IE"/>
        </w:rPr>
      </w:pPr>
      <w:hyperlink w:anchor="_Toc135237412" w:history="1">
        <w:r w:rsidR="00C46507" w:rsidRPr="001A689B">
          <w:rPr>
            <w:rStyle w:val="Hyperlink"/>
          </w:rPr>
          <w:t>6.1.1</w:t>
        </w:r>
        <w:r w:rsidR="00C46507">
          <w:rPr>
            <w:rFonts w:asciiTheme="minorHAnsi" w:eastAsiaTheme="minorEastAsia" w:hAnsiTheme="minorHAnsi" w:cstheme="minorBidi"/>
            <w:iCs w:val="0"/>
            <w:sz w:val="22"/>
            <w:szCs w:val="22"/>
            <w:lang w:val="en-IE" w:eastAsia="en-IE"/>
          </w:rPr>
          <w:tab/>
        </w:r>
        <w:r w:rsidR="00C46507" w:rsidRPr="001A689B">
          <w:rPr>
            <w:rStyle w:val="Hyperlink"/>
          </w:rPr>
          <w:t>Policy Option 1: Fix the framework conditions to prevent late payments</w:t>
        </w:r>
        <w:r w:rsidR="00C46507">
          <w:rPr>
            <w:webHidden/>
          </w:rPr>
          <w:tab/>
        </w:r>
        <w:r w:rsidR="005851F4">
          <w:rPr>
            <w:webHidden/>
          </w:rPr>
          <w:t>40</w:t>
        </w:r>
      </w:hyperlink>
    </w:p>
    <w:p w14:paraId="10D0293C" w14:textId="435814FC" w:rsidR="00C46507" w:rsidRDefault="00BC129D">
      <w:pPr>
        <w:pStyle w:val="TOC4"/>
        <w:tabs>
          <w:tab w:val="left" w:pos="1440"/>
          <w:tab w:val="right" w:leader="dot" w:pos="8608"/>
        </w:tabs>
        <w:rPr>
          <w:rFonts w:asciiTheme="minorHAnsi" w:eastAsiaTheme="minorEastAsia" w:hAnsiTheme="minorHAnsi" w:cstheme="minorBidi"/>
          <w:i w:val="0"/>
          <w:noProof/>
          <w:sz w:val="22"/>
          <w:szCs w:val="22"/>
          <w:lang w:val="en-IE" w:eastAsia="en-IE"/>
        </w:rPr>
      </w:pPr>
      <w:hyperlink w:anchor="_Toc135237413" w:history="1">
        <w:r w:rsidR="00C46507" w:rsidRPr="001A689B">
          <w:rPr>
            <w:rStyle w:val="Hyperlink"/>
            <w:noProof/>
          </w:rPr>
          <w:t>6.1.1.1</w:t>
        </w:r>
        <w:r w:rsidR="00C46507">
          <w:rPr>
            <w:rFonts w:asciiTheme="minorHAnsi" w:eastAsiaTheme="minorEastAsia" w:hAnsiTheme="minorHAnsi" w:cstheme="minorBidi"/>
            <w:i w:val="0"/>
            <w:noProof/>
            <w:sz w:val="22"/>
            <w:szCs w:val="22"/>
            <w:lang w:val="en-IE" w:eastAsia="en-IE"/>
          </w:rPr>
          <w:tab/>
        </w:r>
        <w:r w:rsidR="00C46507" w:rsidRPr="001A689B">
          <w:rPr>
            <w:rStyle w:val="Hyperlink"/>
            <w:noProof/>
          </w:rPr>
          <w:t>Impacts on enterprises</w:t>
        </w:r>
        <w:r w:rsidR="00C46507">
          <w:rPr>
            <w:noProof/>
            <w:webHidden/>
          </w:rPr>
          <w:tab/>
        </w:r>
        <w:r w:rsidR="005851F4">
          <w:rPr>
            <w:noProof/>
            <w:webHidden/>
          </w:rPr>
          <w:t>40</w:t>
        </w:r>
      </w:hyperlink>
    </w:p>
    <w:p w14:paraId="1CCA97C6" w14:textId="53875B53" w:rsidR="00C46507" w:rsidRDefault="00BC129D">
      <w:pPr>
        <w:pStyle w:val="TOC4"/>
        <w:tabs>
          <w:tab w:val="left" w:pos="1440"/>
          <w:tab w:val="right" w:leader="dot" w:pos="8608"/>
        </w:tabs>
        <w:rPr>
          <w:rFonts w:asciiTheme="minorHAnsi" w:eastAsiaTheme="minorEastAsia" w:hAnsiTheme="minorHAnsi" w:cstheme="minorBidi"/>
          <w:i w:val="0"/>
          <w:noProof/>
          <w:sz w:val="22"/>
          <w:szCs w:val="22"/>
          <w:lang w:val="en-IE" w:eastAsia="en-IE"/>
        </w:rPr>
      </w:pPr>
      <w:hyperlink w:anchor="_Toc135237414" w:history="1">
        <w:r w:rsidR="00C46507" w:rsidRPr="001A689B">
          <w:rPr>
            <w:rStyle w:val="Hyperlink"/>
            <w:noProof/>
          </w:rPr>
          <w:t>6.1.1.2</w:t>
        </w:r>
        <w:r w:rsidR="00C46507">
          <w:rPr>
            <w:rFonts w:asciiTheme="minorHAnsi" w:eastAsiaTheme="minorEastAsia" w:hAnsiTheme="minorHAnsi" w:cstheme="minorBidi"/>
            <w:i w:val="0"/>
            <w:noProof/>
            <w:sz w:val="22"/>
            <w:szCs w:val="22"/>
            <w:lang w:val="en-IE" w:eastAsia="en-IE"/>
          </w:rPr>
          <w:tab/>
        </w:r>
        <w:r w:rsidR="00C46507" w:rsidRPr="001A689B">
          <w:rPr>
            <w:rStyle w:val="Hyperlink"/>
            <w:noProof/>
          </w:rPr>
          <w:t>Impacts on SMEs and competitiveness</w:t>
        </w:r>
        <w:r w:rsidR="00C46507">
          <w:rPr>
            <w:noProof/>
            <w:webHidden/>
          </w:rPr>
          <w:tab/>
        </w:r>
        <w:r w:rsidR="005851F4">
          <w:rPr>
            <w:noProof/>
            <w:webHidden/>
          </w:rPr>
          <w:t>46</w:t>
        </w:r>
      </w:hyperlink>
    </w:p>
    <w:p w14:paraId="232D4A84" w14:textId="1E238923" w:rsidR="00C46507" w:rsidRDefault="00BC129D">
      <w:pPr>
        <w:pStyle w:val="TOC4"/>
        <w:tabs>
          <w:tab w:val="left" w:pos="1440"/>
          <w:tab w:val="right" w:leader="dot" w:pos="8608"/>
        </w:tabs>
        <w:rPr>
          <w:rFonts w:asciiTheme="minorHAnsi" w:eastAsiaTheme="minorEastAsia" w:hAnsiTheme="minorHAnsi" w:cstheme="minorBidi"/>
          <w:i w:val="0"/>
          <w:noProof/>
          <w:sz w:val="22"/>
          <w:szCs w:val="22"/>
          <w:lang w:val="en-IE" w:eastAsia="en-IE"/>
        </w:rPr>
      </w:pPr>
      <w:hyperlink w:anchor="_Toc135237415" w:history="1">
        <w:r w:rsidR="00C46507" w:rsidRPr="001A689B">
          <w:rPr>
            <w:rStyle w:val="Hyperlink"/>
            <w:noProof/>
          </w:rPr>
          <w:t>6.1.1.3</w:t>
        </w:r>
        <w:r w:rsidR="00C46507">
          <w:rPr>
            <w:rFonts w:asciiTheme="minorHAnsi" w:eastAsiaTheme="minorEastAsia" w:hAnsiTheme="minorHAnsi" w:cstheme="minorBidi"/>
            <w:i w:val="0"/>
            <w:noProof/>
            <w:sz w:val="22"/>
            <w:szCs w:val="22"/>
            <w:lang w:val="en-IE" w:eastAsia="en-IE"/>
          </w:rPr>
          <w:tab/>
        </w:r>
        <w:r w:rsidR="00C46507" w:rsidRPr="001A689B">
          <w:rPr>
            <w:rStyle w:val="Hyperlink"/>
            <w:noProof/>
          </w:rPr>
          <w:t>Impact on public authorities</w:t>
        </w:r>
        <w:r w:rsidR="00C46507">
          <w:rPr>
            <w:noProof/>
            <w:webHidden/>
          </w:rPr>
          <w:tab/>
        </w:r>
        <w:r w:rsidR="005851F4">
          <w:rPr>
            <w:noProof/>
            <w:webHidden/>
          </w:rPr>
          <w:t>47</w:t>
        </w:r>
      </w:hyperlink>
    </w:p>
    <w:p w14:paraId="1B907DA7" w14:textId="37B322EC" w:rsidR="00C46507" w:rsidRDefault="00BC129D">
      <w:pPr>
        <w:pStyle w:val="TOC3"/>
        <w:rPr>
          <w:rFonts w:asciiTheme="minorHAnsi" w:eastAsiaTheme="minorEastAsia" w:hAnsiTheme="minorHAnsi" w:cstheme="minorBidi"/>
          <w:iCs w:val="0"/>
          <w:sz w:val="22"/>
          <w:szCs w:val="22"/>
          <w:lang w:val="en-IE" w:eastAsia="en-IE"/>
        </w:rPr>
      </w:pPr>
      <w:hyperlink w:anchor="_Toc135237416" w:history="1">
        <w:r w:rsidR="00C46507" w:rsidRPr="001A689B">
          <w:rPr>
            <w:rStyle w:val="Hyperlink"/>
          </w:rPr>
          <w:t>6.1.2</w:t>
        </w:r>
        <w:r w:rsidR="00C46507">
          <w:rPr>
            <w:rFonts w:asciiTheme="minorHAnsi" w:eastAsiaTheme="minorEastAsia" w:hAnsiTheme="minorHAnsi" w:cstheme="minorBidi"/>
            <w:iCs w:val="0"/>
            <w:sz w:val="22"/>
            <w:szCs w:val="22"/>
            <w:lang w:val="en-IE" w:eastAsia="en-IE"/>
          </w:rPr>
          <w:tab/>
        </w:r>
        <w:r w:rsidR="00C46507" w:rsidRPr="001A689B">
          <w:rPr>
            <w:rStyle w:val="Hyperlink"/>
          </w:rPr>
          <w:t>Policy Option 2: Foster timely payments</w:t>
        </w:r>
        <w:r w:rsidR="00C46507">
          <w:rPr>
            <w:webHidden/>
          </w:rPr>
          <w:tab/>
        </w:r>
        <w:r w:rsidR="005851F4">
          <w:rPr>
            <w:webHidden/>
          </w:rPr>
          <w:t>48</w:t>
        </w:r>
      </w:hyperlink>
    </w:p>
    <w:p w14:paraId="11311F07" w14:textId="7BD5D9FD" w:rsidR="00C46507" w:rsidRDefault="00BC129D">
      <w:pPr>
        <w:pStyle w:val="TOC4"/>
        <w:tabs>
          <w:tab w:val="left" w:pos="1440"/>
          <w:tab w:val="right" w:leader="dot" w:pos="8608"/>
        </w:tabs>
        <w:rPr>
          <w:rFonts w:asciiTheme="minorHAnsi" w:eastAsiaTheme="minorEastAsia" w:hAnsiTheme="minorHAnsi" w:cstheme="minorBidi"/>
          <w:i w:val="0"/>
          <w:noProof/>
          <w:sz w:val="22"/>
          <w:szCs w:val="22"/>
          <w:lang w:val="en-IE" w:eastAsia="en-IE"/>
        </w:rPr>
      </w:pPr>
      <w:hyperlink w:anchor="_Toc135237417" w:history="1">
        <w:r w:rsidR="00C46507" w:rsidRPr="001A689B">
          <w:rPr>
            <w:rStyle w:val="Hyperlink"/>
            <w:noProof/>
          </w:rPr>
          <w:t>6.1.2.1</w:t>
        </w:r>
        <w:r w:rsidR="00C46507">
          <w:rPr>
            <w:rFonts w:asciiTheme="minorHAnsi" w:eastAsiaTheme="minorEastAsia" w:hAnsiTheme="minorHAnsi" w:cstheme="minorBidi"/>
            <w:i w:val="0"/>
            <w:noProof/>
            <w:sz w:val="22"/>
            <w:szCs w:val="22"/>
            <w:lang w:val="en-IE" w:eastAsia="en-IE"/>
          </w:rPr>
          <w:tab/>
        </w:r>
        <w:r w:rsidR="00C46507" w:rsidRPr="001A689B">
          <w:rPr>
            <w:rStyle w:val="Hyperlink"/>
            <w:noProof/>
          </w:rPr>
          <w:t>Impact on enterprises</w:t>
        </w:r>
        <w:r w:rsidR="00C46507">
          <w:rPr>
            <w:noProof/>
            <w:webHidden/>
          </w:rPr>
          <w:tab/>
        </w:r>
        <w:r w:rsidR="005851F4">
          <w:rPr>
            <w:noProof/>
            <w:webHidden/>
          </w:rPr>
          <w:t>48</w:t>
        </w:r>
      </w:hyperlink>
    </w:p>
    <w:p w14:paraId="247FFB3A" w14:textId="0BB6AC53" w:rsidR="00C46507" w:rsidRDefault="00BC129D">
      <w:pPr>
        <w:pStyle w:val="TOC4"/>
        <w:tabs>
          <w:tab w:val="left" w:pos="1440"/>
          <w:tab w:val="right" w:leader="dot" w:pos="8608"/>
        </w:tabs>
        <w:rPr>
          <w:rFonts w:asciiTheme="minorHAnsi" w:eastAsiaTheme="minorEastAsia" w:hAnsiTheme="minorHAnsi" w:cstheme="minorBidi"/>
          <w:i w:val="0"/>
          <w:noProof/>
          <w:sz w:val="22"/>
          <w:szCs w:val="22"/>
          <w:lang w:val="en-IE" w:eastAsia="en-IE"/>
        </w:rPr>
      </w:pPr>
      <w:hyperlink w:anchor="_Toc135237418" w:history="1">
        <w:r w:rsidR="00C46507" w:rsidRPr="001A689B">
          <w:rPr>
            <w:rStyle w:val="Hyperlink"/>
            <w:noProof/>
          </w:rPr>
          <w:t>6.1.2.2</w:t>
        </w:r>
        <w:r w:rsidR="00C46507">
          <w:rPr>
            <w:rFonts w:asciiTheme="minorHAnsi" w:eastAsiaTheme="minorEastAsia" w:hAnsiTheme="minorHAnsi" w:cstheme="minorBidi"/>
            <w:i w:val="0"/>
            <w:noProof/>
            <w:sz w:val="22"/>
            <w:szCs w:val="22"/>
            <w:lang w:val="en-IE" w:eastAsia="en-IE"/>
          </w:rPr>
          <w:tab/>
        </w:r>
        <w:r w:rsidR="00C46507" w:rsidRPr="001A689B">
          <w:rPr>
            <w:rStyle w:val="Hyperlink"/>
            <w:noProof/>
          </w:rPr>
          <w:t>Impacts on SMEs and competitiveness</w:t>
        </w:r>
        <w:r w:rsidR="00C46507">
          <w:rPr>
            <w:noProof/>
            <w:webHidden/>
          </w:rPr>
          <w:tab/>
        </w:r>
        <w:r w:rsidR="005851F4">
          <w:rPr>
            <w:noProof/>
            <w:webHidden/>
          </w:rPr>
          <w:t>53</w:t>
        </w:r>
      </w:hyperlink>
    </w:p>
    <w:p w14:paraId="5CD5B5F0" w14:textId="1199D865" w:rsidR="00C46507" w:rsidRDefault="00BC129D">
      <w:pPr>
        <w:pStyle w:val="TOC4"/>
        <w:tabs>
          <w:tab w:val="left" w:pos="1440"/>
          <w:tab w:val="right" w:leader="dot" w:pos="8608"/>
        </w:tabs>
        <w:rPr>
          <w:rFonts w:asciiTheme="minorHAnsi" w:eastAsiaTheme="minorEastAsia" w:hAnsiTheme="minorHAnsi" w:cstheme="minorBidi"/>
          <w:i w:val="0"/>
          <w:noProof/>
          <w:sz w:val="22"/>
          <w:szCs w:val="22"/>
          <w:lang w:val="en-IE" w:eastAsia="en-IE"/>
        </w:rPr>
      </w:pPr>
      <w:hyperlink w:anchor="_Toc135237419" w:history="1">
        <w:r w:rsidR="00C46507" w:rsidRPr="001A689B">
          <w:rPr>
            <w:rStyle w:val="Hyperlink"/>
            <w:noProof/>
          </w:rPr>
          <w:t>6.1.2.3</w:t>
        </w:r>
        <w:r w:rsidR="00C46507">
          <w:rPr>
            <w:rFonts w:asciiTheme="minorHAnsi" w:eastAsiaTheme="minorEastAsia" w:hAnsiTheme="minorHAnsi" w:cstheme="minorBidi"/>
            <w:i w:val="0"/>
            <w:noProof/>
            <w:sz w:val="22"/>
            <w:szCs w:val="22"/>
            <w:lang w:val="en-IE" w:eastAsia="en-IE"/>
          </w:rPr>
          <w:tab/>
        </w:r>
        <w:r w:rsidR="00C46507" w:rsidRPr="001A689B">
          <w:rPr>
            <w:rStyle w:val="Hyperlink"/>
            <w:noProof/>
          </w:rPr>
          <w:t>Impacts on public authorities</w:t>
        </w:r>
        <w:r w:rsidR="00C46507">
          <w:rPr>
            <w:noProof/>
            <w:webHidden/>
          </w:rPr>
          <w:tab/>
        </w:r>
        <w:r w:rsidR="005851F4">
          <w:rPr>
            <w:noProof/>
            <w:webHidden/>
          </w:rPr>
          <w:t>54</w:t>
        </w:r>
      </w:hyperlink>
    </w:p>
    <w:p w14:paraId="0DB1982D" w14:textId="28192C8C" w:rsidR="00C46507" w:rsidRDefault="00BC129D">
      <w:pPr>
        <w:pStyle w:val="TOC3"/>
        <w:rPr>
          <w:rFonts w:asciiTheme="minorHAnsi" w:eastAsiaTheme="minorEastAsia" w:hAnsiTheme="minorHAnsi" w:cstheme="minorBidi"/>
          <w:iCs w:val="0"/>
          <w:sz w:val="22"/>
          <w:szCs w:val="22"/>
          <w:lang w:val="en-IE" w:eastAsia="en-IE"/>
        </w:rPr>
      </w:pPr>
      <w:hyperlink w:anchor="_Toc135237420" w:history="1">
        <w:r w:rsidR="00C46507" w:rsidRPr="001A689B">
          <w:rPr>
            <w:rStyle w:val="Hyperlink"/>
          </w:rPr>
          <w:t>6.1.3</w:t>
        </w:r>
        <w:r w:rsidR="00C46507">
          <w:rPr>
            <w:rFonts w:asciiTheme="minorHAnsi" w:eastAsiaTheme="minorEastAsia" w:hAnsiTheme="minorHAnsi" w:cstheme="minorBidi"/>
            <w:iCs w:val="0"/>
            <w:sz w:val="22"/>
            <w:szCs w:val="22"/>
            <w:lang w:val="en-IE" w:eastAsia="en-IE"/>
          </w:rPr>
          <w:tab/>
        </w:r>
        <w:r w:rsidR="00C46507" w:rsidRPr="001A689B">
          <w:rPr>
            <w:rStyle w:val="Hyperlink"/>
          </w:rPr>
          <w:t>Policy Option 3: Empowering SMEs and ensuring more fairness in business transactions</w:t>
        </w:r>
        <w:r w:rsidR="00C46507">
          <w:rPr>
            <w:webHidden/>
          </w:rPr>
          <w:tab/>
        </w:r>
        <w:r w:rsidR="005851F4">
          <w:rPr>
            <w:webHidden/>
          </w:rPr>
          <w:t>55</w:t>
        </w:r>
      </w:hyperlink>
    </w:p>
    <w:p w14:paraId="71279D9B" w14:textId="6020C098" w:rsidR="00C46507" w:rsidRDefault="00BC129D">
      <w:pPr>
        <w:pStyle w:val="TOC4"/>
        <w:tabs>
          <w:tab w:val="left" w:pos="1440"/>
          <w:tab w:val="right" w:leader="dot" w:pos="8608"/>
        </w:tabs>
        <w:rPr>
          <w:rFonts w:asciiTheme="minorHAnsi" w:eastAsiaTheme="minorEastAsia" w:hAnsiTheme="minorHAnsi" w:cstheme="minorBidi"/>
          <w:i w:val="0"/>
          <w:noProof/>
          <w:sz w:val="22"/>
          <w:szCs w:val="22"/>
          <w:lang w:val="en-IE" w:eastAsia="en-IE"/>
        </w:rPr>
      </w:pPr>
      <w:hyperlink w:anchor="_Toc135237421" w:history="1">
        <w:r w:rsidR="00C46507" w:rsidRPr="001A689B">
          <w:rPr>
            <w:rStyle w:val="Hyperlink"/>
            <w:noProof/>
          </w:rPr>
          <w:t>6.1.3.1</w:t>
        </w:r>
        <w:r w:rsidR="00C46507">
          <w:rPr>
            <w:rFonts w:asciiTheme="minorHAnsi" w:eastAsiaTheme="minorEastAsia" w:hAnsiTheme="minorHAnsi" w:cstheme="minorBidi"/>
            <w:i w:val="0"/>
            <w:noProof/>
            <w:sz w:val="22"/>
            <w:szCs w:val="22"/>
            <w:lang w:val="en-IE" w:eastAsia="en-IE"/>
          </w:rPr>
          <w:tab/>
        </w:r>
        <w:r w:rsidR="00C46507" w:rsidRPr="001A689B">
          <w:rPr>
            <w:rStyle w:val="Hyperlink"/>
            <w:noProof/>
          </w:rPr>
          <w:t>Impacts on enterprises</w:t>
        </w:r>
        <w:r w:rsidR="00C46507">
          <w:rPr>
            <w:noProof/>
            <w:webHidden/>
          </w:rPr>
          <w:tab/>
        </w:r>
        <w:r w:rsidR="005851F4">
          <w:rPr>
            <w:noProof/>
            <w:webHidden/>
          </w:rPr>
          <w:t>55</w:t>
        </w:r>
      </w:hyperlink>
    </w:p>
    <w:p w14:paraId="17D64A68" w14:textId="2D5F5471" w:rsidR="00C46507" w:rsidRDefault="00BC129D">
      <w:pPr>
        <w:pStyle w:val="TOC4"/>
        <w:tabs>
          <w:tab w:val="left" w:pos="1440"/>
          <w:tab w:val="right" w:leader="dot" w:pos="8608"/>
        </w:tabs>
        <w:rPr>
          <w:rFonts w:asciiTheme="minorHAnsi" w:eastAsiaTheme="minorEastAsia" w:hAnsiTheme="minorHAnsi" w:cstheme="minorBidi"/>
          <w:i w:val="0"/>
          <w:noProof/>
          <w:sz w:val="22"/>
          <w:szCs w:val="22"/>
          <w:lang w:val="en-IE" w:eastAsia="en-IE"/>
        </w:rPr>
      </w:pPr>
      <w:hyperlink w:anchor="_Toc135237422" w:history="1">
        <w:r w:rsidR="00C46507" w:rsidRPr="001A689B">
          <w:rPr>
            <w:rStyle w:val="Hyperlink"/>
            <w:noProof/>
          </w:rPr>
          <w:t>6.1.3.2</w:t>
        </w:r>
        <w:r w:rsidR="00C46507">
          <w:rPr>
            <w:rFonts w:asciiTheme="minorHAnsi" w:eastAsiaTheme="minorEastAsia" w:hAnsiTheme="minorHAnsi" w:cstheme="minorBidi"/>
            <w:i w:val="0"/>
            <w:noProof/>
            <w:sz w:val="22"/>
            <w:szCs w:val="22"/>
            <w:lang w:val="en-IE" w:eastAsia="en-IE"/>
          </w:rPr>
          <w:tab/>
        </w:r>
        <w:r w:rsidR="00C46507" w:rsidRPr="001A689B">
          <w:rPr>
            <w:rStyle w:val="Hyperlink"/>
            <w:noProof/>
          </w:rPr>
          <w:t>Impact on SMEs and competitiveness</w:t>
        </w:r>
        <w:r w:rsidR="00C46507">
          <w:rPr>
            <w:noProof/>
            <w:webHidden/>
          </w:rPr>
          <w:tab/>
        </w:r>
        <w:r w:rsidR="005851F4">
          <w:rPr>
            <w:noProof/>
            <w:webHidden/>
          </w:rPr>
          <w:t>57</w:t>
        </w:r>
      </w:hyperlink>
    </w:p>
    <w:p w14:paraId="12F13E71" w14:textId="0E009355" w:rsidR="00C46507" w:rsidRDefault="00BC129D">
      <w:pPr>
        <w:pStyle w:val="TOC4"/>
        <w:tabs>
          <w:tab w:val="left" w:pos="1440"/>
          <w:tab w:val="right" w:leader="dot" w:pos="8608"/>
        </w:tabs>
        <w:rPr>
          <w:rFonts w:asciiTheme="minorHAnsi" w:eastAsiaTheme="minorEastAsia" w:hAnsiTheme="minorHAnsi" w:cstheme="minorBidi"/>
          <w:i w:val="0"/>
          <w:noProof/>
          <w:sz w:val="22"/>
          <w:szCs w:val="22"/>
          <w:lang w:val="en-IE" w:eastAsia="en-IE"/>
        </w:rPr>
      </w:pPr>
      <w:hyperlink w:anchor="_Toc135237423" w:history="1">
        <w:r w:rsidR="00C46507" w:rsidRPr="001A689B">
          <w:rPr>
            <w:rStyle w:val="Hyperlink"/>
            <w:noProof/>
          </w:rPr>
          <w:t>6.1.3.3</w:t>
        </w:r>
        <w:r w:rsidR="00C46507">
          <w:rPr>
            <w:rFonts w:asciiTheme="minorHAnsi" w:eastAsiaTheme="minorEastAsia" w:hAnsiTheme="minorHAnsi" w:cstheme="minorBidi"/>
            <w:i w:val="0"/>
            <w:noProof/>
            <w:sz w:val="22"/>
            <w:szCs w:val="22"/>
            <w:lang w:val="en-IE" w:eastAsia="en-IE"/>
          </w:rPr>
          <w:tab/>
        </w:r>
        <w:r w:rsidR="00C46507" w:rsidRPr="001A689B">
          <w:rPr>
            <w:rStyle w:val="Hyperlink"/>
            <w:noProof/>
          </w:rPr>
          <w:t>Impacts on public authorities</w:t>
        </w:r>
        <w:r w:rsidR="00C46507">
          <w:rPr>
            <w:noProof/>
            <w:webHidden/>
          </w:rPr>
          <w:tab/>
        </w:r>
        <w:r w:rsidR="005851F4">
          <w:rPr>
            <w:noProof/>
            <w:webHidden/>
          </w:rPr>
          <w:t>57</w:t>
        </w:r>
      </w:hyperlink>
    </w:p>
    <w:p w14:paraId="4BF5338A" w14:textId="502C642A" w:rsidR="00C46507" w:rsidRDefault="00BC129D">
      <w:pPr>
        <w:pStyle w:val="TOC2"/>
        <w:rPr>
          <w:rFonts w:asciiTheme="minorHAnsi" w:eastAsiaTheme="minorEastAsia" w:hAnsiTheme="minorHAnsi" w:cstheme="minorBidi"/>
          <w:sz w:val="22"/>
          <w:szCs w:val="22"/>
          <w:lang w:val="en-IE" w:eastAsia="en-IE"/>
        </w:rPr>
      </w:pPr>
      <w:hyperlink w:anchor="_Toc135237424" w:history="1">
        <w:r w:rsidR="00C46507" w:rsidRPr="001A689B">
          <w:rPr>
            <w:rStyle w:val="Hyperlink"/>
            <w:lang w:val="en-IE"/>
          </w:rPr>
          <w:t>6.2</w:t>
        </w:r>
        <w:r w:rsidR="00C46507">
          <w:rPr>
            <w:rFonts w:asciiTheme="minorHAnsi" w:eastAsiaTheme="minorEastAsia" w:hAnsiTheme="minorHAnsi" w:cstheme="minorBidi"/>
            <w:sz w:val="22"/>
            <w:szCs w:val="22"/>
            <w:lang w:val="en-IE" w:eastAsia="en-IE"/>
          </w:rPr>
          <w:tab/>
        </w:r>
        <w:r w:rsidR="00C46507" w:rsidRPr="001A689B">
          <w:rPr>
            <w:rStyle w:val="Hyperlink"/>
          </w:rPr>
          <w:t>Social impacts</w:t>
        </w:r>
        <w:r w:rsidR="00C46507">
          <w:rPr>
            <w:webHidden/>
          </w:rPr>
          <w:tab/>
        </w:r>
        <w:r w:rsidR="005851F4">
          <w:rPr>
            <w:webHidden/>
          </w:rPr>
          <w:t>58</w:t>
        </w:r>
      </w:hyperlink>
    </w:p>
    <w:p w14:paraId="18C721B5" w14:textId="1CF80858" w:rsidR="00C46507" w:rsidRDefault="00BC129D">
      <w:pPr>
        <w:pStyle w:val="TOC2"/>
        <w:rPr>
          <w:rFonts w:asciiTheme="minorHAnsi" w:eastAsiaTheme="minorEastAsia" w:hAnsiTheme="minorHAnsi" w:cstheme="minorBidi"/>
          <w:sz w:val="22"/>
          <w:szCs w:val="22"/>
          <w:lang w:val="en-IE" w:eastAsia="en-IE"/>
        </w:rPr>
      </w:pPr>
      <w:hyperlink w:anchor="_Toc135237425" w:history="1">
        <w:r w:rsidR="00C46507" w:rsidRPr="001A689B">
          <w:rPr>
            <w:rStyle w:val="Hyperlink"/>
            <w:lang w:val="en-IE"/>
          </w:rPr>
          <w:t>6.3</w:t>
        </w:r>
        <w:r w:rsidR="00C46507">
          <w:rPr>
            <w:rFonts w:asciiTheme="minorHAnsi" w:eastAsiaTheme="minorEastAsia" w:hAnsiTheme="minorHAnsi" w:cstheme="minorBidi"/>
            <w:sz w:val="22"/>
            <w:szCs w:val="22"/>
            <w:lang w:val="en-IE" w:eastAsia="en-IE"/>
          </w:rPr>
          <w:tab/>
        </w:r>
        <w:r w:rsidR="00C46507" w:rsidRPr="001A689B">
          <w:rPr>
            <w:rStyle w:val="Hyperlink"/>
          </w:rPr>
          <w:t>Fundamental rights</w:t>
        </w:r>
        <w:r w:rsidR="00C46507">
          <w:rPr>
            <w:webHidden/>
          </w:rPr>
          <w:tab/>
        </w:r>
        <w:r w:rsidR="005851F4">
          <w:rPr>
            <w:webHidden/>
          </w:rPr>
          <w:t>59</w:t>
        </w:r>
      </w:hyperlink>
    </w:p>
    <w:p w14:paraId="2A64D7CD" w14:textId="20A6DD09" w:rsidR="00C46507" w:rsidRDefault="00BC129D">
      <w:pPr>
        <w:pStyle w:val="TOC2"/>
        <w:rPr>
          <w:rFonts w:asciiTheme="minorHAnsi" w:eastAsiaTheme="minorEastAsia" w:hAnsiTheme="minorHAnsi" w:cstheme="minorBidi"/>
          <w:sz w:val="22"/>
          <w:szCs w:val="22"/>
          <w:lang w:val="en-IE" w:eastAsia="en-IE"/>
        </w:rPr>
      </w:pPr>
      <w:hyperlink w:anchor="_Toc135237426" w:history="1">
        <w:r w:rsidR="00C46507" w:rsidRPr="001A689B">
          <w:rPr>
            <w:rStyle w:val="Hyperlink"/>
            <w:lang w:val="en-IE"/>
          </w:rPr>
          <w:t>6.4</w:t>
        </w:r>
        <w:r w:rsidR="00C46507">
          <w:rPr>
            <w:rFonts w:asciiTheme="minorHAnsi" w:eastAsiaTheme="minorEastAsia" w:hAnsiTheme="minorHAnsi" w:cstheme="minorBidi"/>
            <w:sz w:val="22"/>
            <w:szCs w:val="22"/>
            <w:lang w:val="en-IE" w:eastAsia="en-IE"/>
          </w:rPr>
          <w:tab/>
        </w:r>
        <w:r w:rsidR="00C46507" w:rsidRPr="001A689B">
          <w:rPr>
            <w:rStyle w:val="Hyperlink"/>
          </w:rPr>
          <w:t>Environmental impacts</w:t>
        </w:r>
        <w:r w:rsidR="00C46507">
          <w:rPr>
            <w:webHidden/>
          </w:rPr>
          <w:tab/>
        </w:r>
        <w:r w:rsidR="005851F4">
          <w:rPr>
            <w:webHidden/>
          </w:rPr>
          <w:t>59</w:t>
        </w:r>
      </w:hyperlink>
    </w:p>
    <w:p w14:paraId="79B78C0A" w14:textId="3EEA3305" w:rsidR="00C46507" w:rsidRDefault="00BC129D">
      <w:pPr>
        <w:pStyle w:val="TOC1"/>
        <w:rPr>
          <w:rFonts w:asciiTheme="minorHAnsi" w:eastAsiaTheme="minorEastAsia" w:hAnsiTheme="minorHAnsi" w:cstheme="minorBidi"/>
          <w:caps w:val="0"/>
          <w:sz w:val="22"/>
          <w:szCs w:val="22"/>
          <w:lang w:val="en-IE" w:eastAsia="en-IE"/>
        </w:rPr>
      </w:pPr>
      <w:hyperlink w:anchor="_Toc135237427" w:history="1">
        <w:r w:rsidR="00C46507" w:rsidRPr="001A689B">
          <w:rPr>
            <w:rStyle w:val="Hyperlink"/>
          </w:rPr>
          <w:t>7</w:t>
        </w:r>
        <w:r w:rsidR="00C46507">
          <w:rPr>
            <w:rFonts w:asciiTheme="minorHAnsi" w:eastAsiaTheme="minorEastAsia" w:hAnsiTheme="minorHAnsi" w:cstheme="minorBidi"/>
            <w:caps w:val="0"/>
            <w:sz w:val="22"/>
            <w:szCs w:val="22"/>
            <w:lang w:val="en-IE" w:eastAsia="en-IE"/>
          </w:rPr>
          <w:tab/>
        </w:r>
        <w:r w:rsidR="00C46507" w:rsidRPr="001A689B">
          <w:rPr>
            <w:rStyle w:val="Hyperlink"/>
          </w:rPr>
          <w:t>How do the options compare?</w:t>
        </w:r>
        <w:r w:rsidR="00C46507">
          <w:rPr>
            <w:webHidden/>
          </w:rPr>
          <w:tab/>
        </w:r>
        <w:r w:rsidR="005851F4">
          <w:rPr>
            <w:webHidden/>
          </w:rPr>
          <w:t>59</w:t>
        </w:r>
      </w:hyperlink>
    </w:p>
    <w:p w14:paraId="11846128" w14:textId="4F8650FE" w:rsidR="00C46507" w:rsidRDefault="00BC129D">
      <w:pPr>
        <w:pStyle w:val="TOC2"/>
        <w:rPr>
          <w:rFonts w:asciiTheme="minorHAnsi" w:eastAsiaTheme="minorEastAsia" w:hAnsiTheme="minorHAnsi" w:cstheme="minorBidi"/>
          <w:sz w:val="22"/>
          <w:szCs w:val="22"/>
          <w:lang w:val="en-IE" w:eastAsia="en-IE"/>
        </w:rPr>
      </w:pPr>
      <w:hyperlink w:anchor="_Toc135237428" w:history="1">
        <w:r w:rsidR="00C46507" w:rsidRPr="001A689B">
          <w:rPr>
            <w:rStyle w:val="Hyperlink"/>
            <w:lang w:val="en-IE"/>
          </w:rPr>
          <w:t>7.1</w:t>
        </w:r>
        <w:r w:rsidR="00C46507">
          <w:rPr>
            <w:rFonts w:asciiTheme="minorHAnsi" w:eastAsiaTheme="minorEastAsia" w:hAnsiTheme="minorHAnsi" w:cstheme="minorBidi"/>
            <w:sz w:val="22"/>
            <w:szCs w:val="22"/>
            <w:lang w:val="en-IE" w:eastAsia="en-IE"/>
          </w:rPr>
          <w:tab/>
        </w:r>
        <w:r w:rsidR="00C46507" w:rsidRPr="001A689B">
          <w:rPr>
            <w:rStyle w:val="Hyperlink"/>
          </w:rPr>
          <w:t>Comparison of options based on costs and benefits to enterprises and public authorities</w:t>
        </w:r>
        <w:r w:rsidR="00C46507">
          <w:rPr>
            <w:webHidden/>
          </w:rPr>
          <w:tab/>
        </w:r>
        <w:r w:rsidR="005851F4">
          <w:rPr>
            <w:webHidden/>
          </w:rPr>
          <w:t>59</w:t>
        </w:r>
      </w:hyperlink>
    </w:p>
    <w:p w14:paraId="1E900962" w14:textId="58465460" w:rsidR="00C46507" w:rsidRDefault="00BC129D">
      <w:pPr>
        <w:pStyle w:val="TOC3"/>
        <w:rPr>
          <w:rFonts w:asciiTheme="minorHAnsi" w:eastAsiaTheme="minorEastAsia" w:hAnsiTheme="minorHAnsi" w:cstheme="minorBidi"/>
          <w:iCs w:val="0"/>
          <w:sz w:val="22"/>
          <w:szCs w:val="22"/>
          <w:lang w:val="en-IE" w:eastAsia="en-IE"/>
        </w:rPr>
      </w:pPr>
      <w:hyperlink w:anchor="_Toc135237429" w:history="1">
        <w:r w:rsidR="00C46507" w:rsidRPr="001A689B">
          <w:rPr>
            <w:rStyle w:val="Hyperlink"/>
          </w:rPr>
          <w:t>7.1.1</w:t>
        </w:r>
        <w:r w:rsidR="00C46507">
          <w:rPr>
            <w:rFonts w:asciiTheme="minorHAnsi" w:eastAsiaTheme="minorEastAsia" w:hAnsiTheme="minorHAnsi" w:cstheme="minorBidi"/>
            <w:iCs w:val="0"/>
            <w:sz w:val="22"/>
            <w:szCs w:val="22"/>
            <w:lang w:val="en-IE" w:eastAsia="en-IE"/>
          </w:rPr>
          <w:tab/>
        </w:r>
        <w:r w:rsidR="00C46507" w:rsidRPr="001A689B">
          <w:rPr>
            <w:rStyle w:val="Hyperlink"/>
          </w:rPr>
          <w:t>Policy Option 1</w:t>
        </w:r>
        <w:r w:rsidR="00C46507">
          <w:rPr>
            <w:webHidden/>
          </w:rPr>
          <w:tab/>
        </w:r>
        <w:r w:rsidR="005851F4">
          <w:rPr>
            <w:webHidden/>
          </w:rPr>
          <w:t>62</w:t>
        </w:r>
      </w:hyperlink>
    </w:p>
    <w:p w14:paraId="16C4C3E1" w14:textId="65A7045C" w:rsidR="00C46507" w:rsidRDefault="00BC129D">
      <w:pPr>
        <w:pStyle w:val="TOC3"/>
        <w:rPr>
          <w:rFonts w:asciiTheme="minorHAnsi" w:eastAsiaTheme="minorEastAsia" w:hAnsiTheme="minorHAnsi" w:cstheme="minorBidi"/>
          <w:iCs w:val="0"/>
          <w:sz w:val="22"/>
          <w:szCs w:val="22"/>
          <w:lang w:val="en-IE" w:eastAsia="en-IE"/>
        </w:rPr>
      </w:pPr>
      <w:hyperlink w:anchor="_Toc135237430" w:history="1">
        <w:r w:rsidR="00C46507" w:rsidRPr="001A689B">
          <w:rPr>
            <w:rStyle w:val="Hyperlink"/>
          </w:rPr>
          <w:t>7.1.2</w:t>
        </w:r>
        <w:r w:rsidR="00C46507">
          <w:rPr>
            <w:rFonts w:asciiTheme="minorHAnsi" w:eastAsiaTheme="minorEastAsia" w:hAnsiTheme="minorHAnsi" w:cstheme="minorBidi"/>
            <w:iCs w:val="0"/>
            <w:sz w:val="22"/>
            <w:szCs w:val="22"/>
            <w:lang w:val="en-IE" w:eastAsia="en-IE"/>
          </w:rPr>
          <w:tab/>
        </w:r>
        <w:r w:rsidR="00C46507" w:rsidRPr="001A689B">
          <w:rPr>
            <w:rStyle w:val="Hyperlink"/>
          </w:rPr>
          <w:t>Policy Option 2</w:t>
        </w:r>
        <w:r w:rsidR="00C46507">
          <w:rPr>
            <w:webHidden/>
          </w:rPr>
          <w:tab/>
        </w:r>
        <w:r w:rsidR="005851F4">
          <w:rPr>
            <w:webHidden/>
          </w:rPr>
          <w:t>63</w:t>
        </w:r>
      </w:hyperlink>
    </w:p>
    <w:p w14:paraId="159B48F6" w14:textId="02E0ED72" w:rsidR="00C46507" w:rsidRDefault="00BC129D">
      <w:pPr>
        <w:pStyle w:val="TOC3"/>
        <w:rPr>
          <w:rFonts w:asciiTheme="minorHAnsi" w:eastAsiaTheme="minorEastAsia" w:hAnsiTheme="minorHAnsi" w:cstheme="minorBidi"/>
          <w:iCs w:val="0"/>
          <w:sz w:val="22"/>
          <w:szCs w:val="22"/>
          <w:lang w:val="en-IE" w:eastAsia="en-IE"/>
        </w:rPr>
      </w:pPr>
      <w:hyperlink w:anchor="_Toc135237431" w:history="1">
        <w:r w:rsidR="00C46507" w:rsidRPr="001A689B">
          <w:rPr>
            <w:rStyle w:val="Hyperlink"/>
          </w:rPr>
          <w:t>7.1.3</w:t>
        </w:r>
        <w:r w:rsidR="00C46507">
          <w:rPr>
            <w:rFonts w:asciiTheme="minorHAnsi" w:eastAsiaTheme="minorEastAsia" w:hAnsiTheme="minorHAnsi" w:cstheme="minorBidi"/>
            <w:iCs w:val="0"/>
            <w:sz w:val="22"/>
            <w:szCs w:val="22"/>
            <w:lang w:val="en-IE" w:eastAsia="en-IE"/>
          </w:rPr>
          <w:tab/>
        </w:r>
        <w:r w:rsidR="00C46507" w:rsidRPr="001A689B">
          <w:rPr>
            <w:rStyle w:val="Hyperlink"/>
          </w:rPr>
          <w:t>Policy Option 3</w:t>
        </w:r>
        <w:r w:rsidR="00C46507">
          <w:rPr>
            <w:webHidden/>
          </w:rPr>
          <w:tab/>
        </w:r>
        <w:r w:rsidR="005851F4">
          <w:rPr>
            <w:webHidden/>
          </w:rPr>
          <w:t>63</w:t>
        </w:r>
      </w:hyperlink>
    </w:p>
    <w:p w14:paraId="014ABE04" w14:textId="057D36EB" w:rsidR="00C46507" w:rsidRDefault="00BC129D">
      <w:pPr>
        <w:pStyle w:val="TOC2"/>
        <w:rPr>
          <w:rFonts w:asciiTheme="minorHAnsi" w:eastAsiaTheme="minorEastAsia" w:hAnsiTheme="minorHAnsi" w:cstheme="minorBidi"/>
          <w:sz w:val="22"/>
          <w:szCs w:val="22"/>
          <w:lang w:val="en-IE" w:eastAsia="en-IE"/>
        </w:rPr>
      </w:pPr>
      <w:hyperlink w:anchor="_Toc135237432" w:history="1">
        <w:r w:rsidR="00C46507" w:rsidRPr="001A689B">
          <w:rPr>
            <w:rStyle w:val="Hyperlink"/>
            <w:lang w:val="en-IE"/>
          </w:rPr>
          <w:t>7.2</w:t>
        </w:r>
        <w:r w:rsidR="00C46507">
          <w:rPr>
            <w:rFonts w:asciiTheme="minorHAnsi" w:eastAsiaTheme="minorEastAsia" w:hAnsiTheme="minorHAnsi" w:cstheme="minorBidi"/>
            <w:sz w:val="22"/>
            <w:szCs w:val="22"/>
            <w:lang w:val="en-IE" w:eastAsia="en-IE"/>
          </w:rPr>
          <w:tab/>
        </w:r>
        <w:r w:rsidR="00C46507" w:rsidRPr="001A689B">
          <w:rPr>
            <w:rStyle w:val="Hyperlink"/>
          </w:rPr>
          <w:t>Comparison based on effectiveness, efficiency, proportionality, coherence and subsidiarity</w:t>
        </w:r>
        <w:r w:rsidR="00C46507">
          <w:rPr>
            <w:webHidden/>
          </w:rPr>
          <w:tab/>
        </w:r>
        <w:r w:rsidR="005851F4">
          <w:rPr>
            <w:webHidden/>
          </w:rPr>
          <w:t>63</w:t>
        </w:r>
      </w:hyperlink>
    </w:p>
    <w:p w14:paraId="2B685F38" w14:textId="2505256C" w:rsidR="00C46507" w:rsidRDefault="00BC129D">
      <w:pPr>
        <w:pStyle w:val="TOC3"/>
        <w:rPr>
          <w:rFonts w:asciiTheme="minorHAnsi" w:eastAsiaTheme="minorEastAsia" w:hAnsiTheme="minorHAnsi" w:cstheme="minorBidi"/>
          <w:iCs w:val="0"/>
          <w:sz w:val="22"/>
          <w:szCs w:val="22"/>
          <w:lang w:val="en-IE" w:eastAsia="en-IE"/>
        </w:rPr>
      </w:pPr>
      <w:hyperlink w:anchor="_Toc135237433" w:history="1">
        <w:r w:rsidR="00C46507" w:rsidRPr="001A689B">
          <w:rPr>
            <w:rStyle w:val="Hyperlink"/>
          </w:rPr>
          <w:t>7.2.1</w:t>
        </w:r>
        <w:r w:rsidR="00C46507">
          <w:rPr>
            <w:rFonts w:asciiTheme="minorHAnsi" w:eastAsiaTheme="minorEastAsia" w:hAnsiTheme="minorHAnsi" w:cstheme="minorBidi"/>
            <w:iCs w:val="0"/>
            <w:sz w:val="22"/>
            <w:szCs w:val="22"/>
            <w:lang w:val="en-IE" w:eastAsia="en-IE"/>
          </w:rPr>
          <w:tab/>
        </w:r>
        <w:r w:rsidR="00C46507" w:rsidRPr="001A689B">
          <w:rPr>
            <w:rStyle w:val="Hyperlink"/>
          </w:rPr>
          <w:t>Effectiveness</w:t>
        </w:r>
        <w:r w:rsidR="00C46507">
          <w:rPr>
            <w:webHidden/>
          </w:rPr>
          <w:tab/>
        </w:r>
        <w:r w:rsidR="005851F4">
          <w:rPr>
            <w:webHidden/>
          </w:rPr>
          <w:t>64</w:t>
        </w:r>
      </w:hyperlink>
    </w:p>
    <w:p w14:paraId="5E19B0EC" w14:textId="3C0DBF6B" w:rsidR="00C46507" w:rsidRDefault="00BC129D">
      <w:pPr>
        <w:pStyle w:val="TOC3"/>
        <w:rPr>
          <w:rFonts w:asciiTheme="minorHAnsi" w:eastAsiaTheme="minorEastAsia" w:hAnsiTheme="minorHAnsi" w:cstheme="minorBidi"/>
          <w:iCs w:val="0"/>
          <w:sz w:val="22"/>
          <w:szCs w:val="22"/>
          <w:lang w:val="en-IE" w:eastAsia="en-IE"/>
        </w:rPr>
      </w:pPr>
      <w:hyperlink w:anchor="_Toc135237434" w:history="1">
        <w:r w:rsidR="00C46507" w:rsidRPr="001A689B">
          <w:rPr>
            <w:rStyle w:val="Hyperlink"/>
          </w:rPr>
          <w:t>7.2.2</w:t>
        </w:r>
        <w:r w:rsidR="00C46507">
          <w:rPr>
            <w:rFonts w:asciiTheme="minorHAnsi" w:eastAsiaTheme="minorEastAsia" w:hAnsiTheme="minorHAnsi" w:cstheme="minorBidi"/>
            <w:iCs w:val="0"/>
            <w:sz w:val="22"/>
            <w:szCs w:val="22"/>
            <w:lang w:val="en-IE" w:eastAsia="en-IE"/>
          </w:rPr>
          <w:tab/>
        </w:r>
        <w:r w:rsidR="00C46507" w:rsidRPr="001A689B">
          <w:rPr>
            <w:rStyle w:val="Hyperlink"/>
          </w:rPr>
          <w:t>Efficiency</w:t>
        </w:r>
        <w:r w:rsidR="00C46507">
          <w:rPr>
            <w:webHidden/>
          </w:rPr>
          <w:tab/>
        </w:r>
        <w:r w:rsidR="005851F4">
          <w:rPr>
            <w:webHidden/>
          </w:rPr>
          <w:t>65</w:t>
        </w:r>
      </w:hyperlink>
    </w:p>
    <w:p w14:paraId="1AA54150" w14:textId="0E059184" w:rsidR="00C46507" w:rsidRDefault="00BC129D">
      <w:pPr>
        <w:pStyle w:val="TOC3"/>
        <w:rPr>
          <w:rFonts w:asciiTheme="minorHAnsi" w:eastAsiaTheme="minorEastAsia" w:hAnsiTheme="minorHAnsi" w:cstheme="minorBidi"/>
          <w:iCs w:val="0"/>
          <w:sz w:val="22"/>
          <w:szCs w:val="22"/>
          <w:lang w:val="en-IE" w:eastAsia="en-IE"/>
        </w:rPr>
      </w:pPr>
      <w:hyperlink w:anchor="_Toc135237435" w:history="1">
        <w:r w:rsidR="00C46507" w:rsidRPr="001A689B">
          <w:rPr>
            <w:rStyle w:val="Hyperlink"/>
          </w:rPr>
          <w:t>7.2.3</w:t>
        </w:r>
        <w:r w:rsidR="00C46507">
          <w:rPr>
            <w:rFonts w:asciiTheme="minorHAnsi" w:eastAsiaTheme="minorEastAsia" w:hAnsiTheme="minorHAnsi" w:cstheme="minorBidi"/>
            <w:iCs w:val="0"/>
            <w:sz w:val="22"/>
            <w:szCs w:val="22"/>
            <w:lang w:val="en-IE" w:eastAsia="en-IE"/>
          </w:rPr>
          <w:tab/>
        </w:r>
        <w:r w:rsidR="00C46507" w:rsidRPr="001A689B">
          <w:rPr>
            <w:rStyle w:val="Hyperlink"/>
          </w:rPr>
          <w:t>Proportionality</w:t>
        </w:r>
        <w:r w:rsidR="00C46507">
          <w:rPr>
            <w:webHidden/>
          </w:rPr>
          <w:tab/>
        </w:r>
        <w:r w:rsidR="005851F4">
          <w:rPr>
            <w:webHidden/>
          </w:rPr>
          <w:t>65</w:t>
        </w:r>
      </w:hyperlink>
    </w:p>
    <w:p w14:paraId="50C767B0" w14:textId="139DEC66" w:rsidR="00C46507" w:rsidRDefault="00BC129D">
      <w:pPr>
        <w:pStyle w:val="TOC3"/>
        <w:rPr>
          <w:rFonts w:asciiTheme="minorHAnsi" w:eastAsiaTheme="minorEastAsia" w:hAnsiTheme="minorHAnsi" w:cstheme="minorBidi"/>
          <w:iCs w:val="0"/>
          <w:sz w:val="22"/>
          <w:szCs w:val="22"/>
          <w:lang w:val="en-IE" w:eastAsia="en-IE"/>
        </w:rPr>
      </w:pPr>
      <w:hyperlink w:anchor="_Toc135237436" w:history="1">
        <w:r w:rsidR="00C46507" w:rsidRPr="001A689B">
          <w:rPr>
            <w:rStyle w:val="Hyperlink"/>
          </w:rPr>
          <w:t>7.2.4</w:t>
        </w:r>
        <w:r w:rsidR="00C46507">
          <w:rPr>
            <w:rFonts w:asciiTheme="minorHAnsi" w:eastAsiaTheme="minorEastAsia" w:hAnsiTheme="minorHAnsi" w:cstheme="minorBidi"/>
            <w:iCs w:val="0"/>
            <w:sz w:val="22"/>
            <w:szCs w:val="22"/>
            <w:lang w:val="en-IE" w:eastAsia="en-IE"/>
          </w:rPr>
          <w:tab/>
        </w:r>
        <w:r w:rsidR="00C46507" w:rsidRPr="001A689B">
          <w:rPr>
            <w:rStyle w:val="Hyperlink"/>
          </w:rPr>
          <w:t>Coherence</w:t>
        </w:r>
        <w:r w:rsidR="00C46507">
          <w:rPr>
            <w:webHidden/>
          </w:rPr>
          <w:tab/>
        </w:r>
        <w:r w:rsidR="005851F4">
          <w:rPr>
            <w:webHidden/>
          </w:rPr>
          <w:t>65</w:t>
        </w:r>
      </w:hyperlink>
    </w:p>
    <w:p w14:paraId="0CE1ABAC" w14:textId="2D52D210" w:rsidR="00C46507" w:rsidRDefault="00BC129D">
      <w:pPr>
        <w:pStyle w:val="TOC3"/>
        <w:rPr>
          <w:rFonts w:asciiTheme="minorHAnsi" w:eastAsiaTheme="minorEastAsia" w:hAnsiTheme="minorHAnsi" w:cstheme="minorBidi"/>
          <w:iCs w:val="0"/>
          <w:sz w:val="22"/>
          <w:szCs w:val="22"/>
          <w:lang w:val="en-IE" w:eastAsia="en-IE"/>
        </w:rPr>
      </w:pPr>
      <w:hyperlink w:anchor="_Toc135237437" w:history="1">
        <w:r w:rsidR="00C46507" w:rsidRPr="001A689B">
          <w:rPr>
            <w:rStyle w:val="Hyperlink"/>
          </w:rPr>
          <w:t>7.2.5</w:t>
        </w:r>
        <w:r w:rsidR="00C46507">
          <w:rPr>
            <w:rFonts w:asciiTheme="minorHAnsi" w:eastAsiaTheme="minorEastAsia" w:hAnsiTheme="minorHAnsi" w:cstheme="minorBidi"/>
            <w:iCs w:val="0"/>
            <w:sz w:val="22"/>
            <w:szCs w:val="22"/>
            <w:lang w:val="en-IE" w:eastAsia="en-IE"/>
          </w:rPr>
          <w:tab/>
        </w:r>
        <w:r w:rsidR="00C46507" w:rsidRPr="001A689B">
          <w:rPr>
            <w:rStyle w:val="Hyperlink"/>
          </w:rPr>
          <w:t>Subsidiarity</w:t>
        </w:r>
        <w:r w:rsidR="00C46507">
          <w:rPr>
            <w:webHidden/>
          </w:rPr>
          <w:tab/>
        </w:r>
        <w:r w:rsidR="005851F4">
          <w:rPr>
            <w:webHidden/>
          </w:rPr>
          <w:t>66</w:t>
        </w:r>
      </w:hyperlink>
    </w:p>
    <w:p w14:paraId="4883AC11" w14:textId="1AE42B4F" w:rsidR="00C46507" w:rsidRDefault="00BC129D">
      <w:pPr>
        <w:pStyle w:val="TOC1"/>
        <w:rPr>
          <w:rFonts w:asciiTheme="minorHAnsi" w:eastAsiaTheme="minorEastAsia" w:hAnsiTheme="minorHAnsi" w:cstheme="minorBidi"/>
          <w:caps w:val="0"/>
          <w:sz w:val="22"/>
          <w:szCs w:val="22"/>
          <w:lang w:val="en-IE" w:eastAsia="en-IE"/>
        </w:rPr>
      </w:pPr>
      <w:hyperlink w:anchor="_Toc135237438" w:history="1">
        <w:r w:rsidR="00C46507" w:rsidRPr="001A689B">
          <w:rPr>
            <w:rStyle w:val="Hyperlink"/>
          </w:rPr>
          <w:t>8</w:t>
        </w:r>
        <w:r w:rsidR="00C46507">
          <w:rPr>
            <w:rFonts w:asciiTheme="minorHAnsi" w:eastAsiaTheme="minorEastAsia" w:hAnsiTheme="minorHAnsi" w:cstheme="minorBidi"/>
            <w:caps w:val="0"/>
            <w:sz w:val="22"/>
            <w:szCs w:val="22"/>
            <w:lang w:val="en-IE" w:eastAsia="en-IE"/>
          </w:rPr>
          <w:tab/>
        </w:r>
        <w:r w:rsidR="00C46507" w:rsidRPr="001A689B">
          <w:rPr>
            <w:rStyle w:val="Hyperlink"/>
          </w:rPr>
          <w:t>Preferred option</w:t>
        </w:r>
        <w:r w:rsidR="00C46507">
          <w:rPr>
            <w:webHidden/>
          </w:rPr>
          <w:tab/>
        </w:r>
        <w:r w:rsidR="005851F4">
          <w:rPr>
            <w:webHidden/>
          </w:rPr>
          <w:t>66</w:t>
        </w:r>
      </w:hyperlink>
    </w:p>
    <w:p w14:paraId="7E6CE60F" w14:textId="40C28DF7" w:rsidR="00C46507" w:rsidRDefault="00BC129D">
      <w:pPr>
        <w:pStyle w:val="TOC2"/>
        <w:rPr>
          <w:rFonts w:asciiTheme="minorHAnsi" w:eastAsiaTheme="minorEastAsia" w:hAnsiTheme="minorHAnsi" w:cstheme="minorBidi"/>
          <w:sz w:val="22"/>
          <w:szCs w:val="22"/>
          <w:lang w:val="en-IE" w:eastAsia="en-IE"/>
        </w:rPr>
      </w:pPr>
      <w:hyperlink w:anchor="_Toc135237439" w:history="1">
        <w:r w:rsidR="00C46507" w:rsidRPr="001A689B">
          <w:rPr>
            <w:rStyle w:val="Hyperlink"/>
            <w:lang w:val="en-IE"/>
          </w:rPr>
          <w:t>8.1</w:t>
        </w:r>
        <w:r w:rsidR="00C46507">
          <w:rPr>
            <w:rFonts w:asciiTheme="minorHAnsi" w:eastAsiaTheme="minorEastAsia" w:hAnsiTheme="minorHAnsi" w:cstheme="minorBidi"/>
            <w:sz w:val="22"/>
            <w:szCs w:val="22"/>
            <w:lang w:val="en-IE" w:eastAsia="en-IE"/>
          </w:rPr>
          <w:tab/>
        </w:r>
        <w:r w:rsidR="00C46507" w:rsidRPr="001A689B">
          <w:rPr>
            <w:rStyle w:val="Hyperlink"/>
          </w:rPr>
          <w:t>Impact on businesses</w:t>
        </w:r>
        <w:r w:rsidR="00C46507">
          <w:rPr>
            <w:webHidden/>
          </w:rPr>
          <w:tab/>
        </w:r>
        <w:r w:rsidR="005851F4">
          <w:rPr>
            <w:webHidden/>
          </w:rPr>
          <w:t>69</w:t>
        </w:r>
      </w:hyperlink>
    </w:p>
    <w:p w14:paraId="32C2BE24" w14:textId="0E4CCEB8" w:rsidR="00C46507" w:rsidRDefault="00BC129D">
      <w:pPr>
        <w:pStyle w:val="TOC3"/>
        <w:rPr>
          <w:rFonts w:asciiTheme="minorHAnsi" w:eastAsiaTheme="minorEastAsia" w:hAnsiTheme="minorHAnsi" w:cstheme="minorBidi"/>
          <w:iCs w:val="0"/>
          <w:sz w:val="22"/>
          <w:szCs w:val="22"/>
          <w:lang w:val="en-IE" w:eastAsia="en-IE"/>
        </w:rPr>
      </w:pPr>
      <w:hyperlink w:anchor="_Toc135237440" w:history="1">
        <w:r w:rsidR="00C46507" w:rsidRPr="001A689B">
          <w:rPr>
            <w:rStyle w:val="Hyperlink"/>
          </w:rPr>
          <w:t>8.1.1</w:t>
        </w:r>
        <w:r w:rsidR="00C46507">
          <w:rPr>
            <w:rFonts w:asciiTheme="minorHAnsi" w:eastAsiaTheme="minorEastAsia" w:hAnsiTheme="minorHAnsi" w:cstheme="minorBidi"/>
            <w:iCs w:val="0"/>
            <w:sz w:val="22"/>
            <w:szCs w:val="22"/>
            <w:lang w:val="en-IE" w:eastAsia="en-IE"/>
          </w:rPr>
          <w:tab/>
        </w:r>
        <w:r w:rsidR="00C46507" w:rsidRPr="001A689B">
          <w:rPr>
            <w:rStyle w:val="Hyperlink"/>
          </w:rPr>
          <w:t>Benefits</w:t>
        </w:r>
        <w:r w:rsidR="00C46507">
          <w:rPr>
            <w:webHidden/>
          </w:rPr>
          <w:tab/>
        </w:r>
        <w:r w:rsidR="005851F4">
          <w:rPr>
            <w:webHidden/>
          </w:rPr>
          <w:t>69</w:t>
        </w:r>
      </w:hyperlink>
    </w:p>
    <w:p w14:paraId="74054C1B" w14:textId="12FE246A" w:rsidR="00C46507" w:rsidRDefault="00BC129D">
      <w:pPr>
        <w:pStyle w:val="TOC3"/>
        <w:rPr>
          <w:rFonts w:asciiTheme="minorHAnsi" w:eastAsiaTheme="minorEastAsia" w:hAnsiTheme="minorHAnsi" w:cstheme="minorBidi"/>
          <w:iCs w:val="0"/>
          <w:sz w:val="22"/>
          <w:szCs w:val="22"/>
          <w:lang w:val="en-IE" w:eastAsia="en-IE"/>
        </w:rPr>
      </w:pPr>
      <w:hyperlink w:anchor="_Toc135237441" w:history="1">
        <w:r w:rsidR="00C46507" w:rsidRPr="001A689B">
          <w:rPr>
            <w:rStyle w:val="Hyperlink"/>
          </w:rPr>
          <w:t>8.1.2</w:t>
        </w:r>
        <w:r w:rsidR="00C46507">
          <w:rPr>
            <w:rFonts w:asciiTheme="minorHAnsi" w:eastAsiaTheme="minorEastAsia" w:hAnsiTheme="minorHAnsi" w:cstheme="minorBidi"/>
            <w:iCs w:val="0"/>
            <w:sz w:val="22"/>
            <w:szCs w:val="22"/>
            <w:lang w:val="en-IE" w:eastAsia="en-IE"/>
          </w:rPr>
          <w:tab/>
        </w:r>
        <w:r w:rsidR="00C46507" w:rsidRPr="001A689B">
          <w:rPr>
            <w:rStyle w:val="Hyperlink"/>
          </w:rPr>
          <w:t>Costs</w:t>
        </w:r>
        <w:r w:rsidR="00C46507">
          <w:rPr>
            <w:webHidden/>
          </w:rPr>
          <w:tab/>
        </w:r>
        <w:r w:rsidR="005851F4">
          <w:rPr>
            <w:webHidden/>
          </w:rPr>
          <w:t>70</w:t>
        </w:r>
      </w:hyperlink>
    </w:p>
    <w:p w14:paraId="0A45B0A2" w14:textId="1CCD6C4F" w:rsidR="00C46507" w:rsidRDefault="00BC129D">
      <w:pPr>
        <w:pStyle w:val="TOC2"/>
        <w:rPr>
          <w:rFonts w:asciiTheme="minorHAnsi" w:eastAsiaTheme="minorEastAsia" w:hAnsiTheme="minorHAnsi" w:cstheme="minorBidi"/>
          <w:sz w:val="22"/>
          <w:szCs w:val="22"/>
          <w:lang w:val="en-IE" w:eastAsia="en-IE"/>
        </w:rPr>
      </w:pPr>
      <w:hyperlink w:anchor="_Toc135237442" w:history="1">
        <w:r w:rsidR="00C46507" w:rsidRPr="001A689B">
          <w:rPr>
            <w:rStyle w:val="Hyperlink"/>
            <w:lang w:val="en-IE"/>
          </w:rPr>
          <w:t>8.2</w:t>
        </w:r>
        <w:r w:rsidR="00C46507">
          <w:rPr>
            <w:rFonts w:asciiTheme="minorHAnsi" w:eastAsiaTheme="minorEastAsia" w:hAnsiTheme="minorHAnsi" w:cstheme="minorBidi"/>
            <w:sz w:val="22"/>
            <w:szCs w:val="22"/>
            <w:lang w:val="en-IE" w:eastAsia="en-IE"/>
          </w:rPr>
          <w:tab/>
        </w:r>
        <w:r w:rsidR="00C46507" w:rsidRPr="001A689B">
          <w:rPr>
            <w:rStyle w:val="Hyperlink"/>
          </w:rPr>
          <w:t>Impacts on public authorities</w:t>
        </w:r>
        <w:r w:rsidR="00C46507">
          <w:rPr>
            <w:webHidden/>
          </w:rPr>
          <w:tab/>
        </w:r>
        <w:r w:rsidR="005851F4">
          <w:rPr>
            <w:webHidden/>
          </w:rPr>
          <w:t>70</w:t>
        </w:r>
      </w:hyperlink>
    </w:p>
    <w:p w14:paraId="2E95DE0A" w14:textId="7667A580" w:rsidR="00C46507" w:rsidRDefault="00BC129D">
      <w:pPr>
        <w:pStyle w:val="TOC2"/>
        <w:rPr>
          <w:rFonts w:asciiTheme="minorHAnsi" w:eastAsiaTheme="minorEastAsia" w:hAnsiTheme="minorHAnsi" w:cstheme="minorBidi"/>
          <w:sz w:val="22"/>
          <w:szCs w:val="22"/>
          <w:lang w:val="en-IE" w:eastAsia="en-IE"/>
        </w:rPr>
      </w:pPr>
      <w:hyperlink w:anchor="_Toc135237443" w:history="1">
        <w:r w:rsidR="00C46507" w:rsidRPr="001A689B">
          <w:rPr>
            <w:rStyle w:val="Hyperlink"/>
            <w:lang w:val="en-IE"/>
          </w:rPr>
          <w:t>8.3</w:t>
        </w:r>
        <w:r w:rsidR="00C46507">
          <w:rPr>
            <w:rFonts w:asciiTheme="minorHAnsi" w:eastAsiaTheme="minorEastAsia" w:hAnsiTheme="minorHAnsi" w:cstheme="minorBidi"/>
            <w:sz w:val="22"/>
            <w:szCs w:val="22"/>
            <w:lang w:val="en-IE" w:eastAsia="en-IE"/>
          </w:rPr>
          <w:tab/>
        </w:r>
        <w:r w:rsidR="00C46507" w:rsidRPr="001A689B">
          <w:rPr>
            <w:rStyle w:val="Hyperlink"/>
          </w:rPr>
          <w:t>Transversal policy option related to legal choice</w:t>
        </w:r>
        <w:r w:rsidR="00C46507">
          <w:rPr>
            <w:webHidden/>
          </w:rPr>
          <w:tab/>
        </w:r>
        <w:r w:rsidR="005851F4">
          <w:rPr>
            <w:webHidden/>
          </w:rPr>
          <w:t>71</w:t>
        </w:r>
      </w:hyperlink>
    </w:p>
    <w:p w14:paraId="4673FF66" w14:textId="54202B3D" w:rsidR="00C46507" w:rsidRDefault="00BC129D">
      <w:pPr>
        <w:pStyle w:val="TOC3"/>
        <w:rPr>
          <w:rFonts w:asciiTheme="minorHAnsi" w:eastAsiaTheme="minorEastAsia" w:hAnsiTheme="minorHAnsi" w:cstheme="minorBidi"/>
          <w:iCs w:val="0"/>
          <w:sz w:val="22"/>
          <w:szCs w:val="22"/>
          <w:lang w:val="en-IE" w:eastAsia="en-IE"/>
        </w:rPr>
      </w:pPr>
      <w:hyperlink w:anchor="_Toc135237444" w:history="1">
        <w:r w:rsidR="00C46507" w:rsidRPr="001A689B">
          <w:rPr>
            <w:rStyle w:val="Hyperlink"/>
          </w:rPr>
          <w:t>8.3.1</w:t>
        </w:r>
        <w:r w:rsidR="00C46507">
          <w:rPr>
            <w:rFonts w:asciiTheme="minorHAnsi" w:eastAsiaTheme="minorEastAsia" w:hAnsiTheme="minorHAnsi" w:cstheme="minorBidi"/>
            <w:iCs w:val="0"/>
            <w:sz w:val="22"/>
            <w:szCs w:val="22"/>
            <w:lang w:val="en-IE" w:eastAsia="en-IE"/>
          </w:rPr>
          <w:tab/>
        </w:r>
        <w:r w:rsidR="00C46507" w:rsidRPr="001A689B">
          <w:rPr>
            <w:rStyle w:val="Hyperlink"/>
          </w:rPr>
          <w:t>Advantages and drawbacks of a regulation</w:t>
        </w:r>
        <w:r w:rsidR="00C46507">
          <w:rPr>
            <w:webHidden/>
          </w:rPr>
          <w:tab/>
        </w:r>
        <w:r w:rsidR="005851F4">
          <w:rPr>
            <w:webHidden/>
          </w:rPr>
          <w:t>71</w:t>
        </w:r>
      </w:hyperlink>
    </w:p>
    <w:p w14:paraId="6B19B6C2" w14:textId="170F8E07" w:rsidR="00C46507" w:rsidRDefault="00BC129D">
      <w:pPr>
        <w:pStyle w:val="TOC3"/>
        <w:rPr>
          <w:rFonts w:asciiTheme="minorHAnsi" w:eastAsiaTheme="minorEastAsia" w:hAnsiTheme="minorHAnsi" w:cstheme="minorBidi"/>
          <w:iCs w:val="0"/>
          <w:sz w:val="22"/>
          <w:szCs w:val="22"/>
          <w:lang w:val="en-IE" w:eastAsia="en-IE"/>
        </w:rPr>
      </w:pPr>
      <w:hyperlink w:anchor="_Toc135237445" w:history="1">
        <w:r w:rsidR="00C46507" w:rsidRPr="001A689B">
          <w:rPr>
            <w:rStyle w:val="Hyperlink"/>
          </w:rPr>
          <w:t>8.3.2</w:t>
        </w:r>
        <w:r w:rsidR="00C46507">
          <w:rPr>
            <w:rFonts w:asciiTheme="minorHAnsi" w:eastAsiaTheme="minorEastAsia" w:hAnsiTheme="minorHAnsi" w:cstheme="minorBidi"/>
            <w:iCs w:val="0"/>
            <w:sz w:val="22"/>
            <w:szCs w:val="22"/>
            <w:lang w:val="en-IE" w:eastAsia="en-IE"/>
          </w:rPr>
          <w:tab/>
        </w:r>
        <w:r w:rsidR="00C46507" w:rsidRPr="001A689B">
          <w:rPr>
            <w:rStyle w:val="Hyperlink"/>
          </w:rPr>
          <w:t>Advantages and drawbacks of a Directive</w:t>
        </w:r>
        <w:r w:rsidR="00C46507">
          <w:rPr>
            <w:webHidden/>
          </w:rPr>
          <w:tab/>
        </w:r>
        <w:r w:rsidR="005851F4">
          <w:rPr>
            <w:webHidden/>
          </w:rPr>
          <w:t>72</w:t>
        </w:r>
      </w:hyperlink>
    </w:p>
    <w:p w14:paraId="54850DFC" w14:textId="04873940" w:rsidR="00C46507" w:rsidRDefault="00BC129D">
      <w:pPr>
        <w:pStyle w:val="TOC3"/>
        <w:rPr>
          <w:rFonts w:asciiTheme="minorHAnsi" w:eastAsiaTheme="minorEastAsia" w:hAnsiTheme="minorHAnsi" w:cstheme="minorBidi"/>
          <w:iCs w:val="0"/>
          <w:sz w:val="22"/>
          <w:szCs w:val="22"/>
          <w:lang w:val="en-IE" w:eastAsia="en-IE"/>
        </w:rPr>
      </w:pPr>
      <w:hyperlink w:anchor="_Toc135237446" w:history="1">
        <w:r w:rsidR="00C46507" w:rsidRPr="001A689B">
          <w:rPr>
            <w:rStyle w:val="Hyperlink"/>
          </w:rPr>
          <w:t>8.3.3</w:t>
        </w:r>
        <w:r w:rsidR="00C46507">
          <w:rPr>
            <w:rFonts w:asciiTheme="minorHAnsi" w:eastAsiaTheme="minorEastAsia" w:hAnsiTheme="minorHAnsi" w:cstheme="minorBidi"/>
            <w:iCs w:val="0"/>
            <w:sz w:val="22"/>
            <w:szCs w:val="22"/>
            <w:lang w:val="en-IE" w:eastAsia="en-IE"/>
          </w:rPr>
          <w:tab/>
        </w:r>
        <w:r w:rsidR="00C46507" w:rsidRPr="001A689B">
          <w:rPr>
            <w:rStyle w:val="Hyperlink"/>
          </w:rPr>
          <w:t>Assessment of the legal choice against effectiveness, efficiency, proportionality, coherence and subsidiarity</w:t>
        </w:r>
        <w:r w:rsidR="00C46507">
          <w:rPr>
            <w:webHidden/>
          </w:rPr>
          <w:tab/>
        </w:r>
        <w:r w:rsidR="005851F4">
          <w:rPr>
            <w:webHidden/>
          </w:rPr>
          <w:t>73</w:t>
        </w:r>
      </w:hyperlink>
    </w:p>
    <w:p w14:paraId="0F7670C4" w14:textId="28AFB493" w:rsidR="00C46507" w:rsidRDefault="00BC129D">
      <w:pPr>
        <w:pStyle w:val="TOC2"/>
        <w:rPr>
          <w:rFonts w:asciiTheme="minorHAnsi" w:eastAsiaTheme="minorEastAsia" w:hAnsiTheme="minorHAnsi" w:cstheme="minorBidi"/>
          <w:sz w:val="22"/>
          <w:szCs w:val="22"/>
          <w:lang w:val="en-IE" w:eastAsia="en-IE"/>
        </w:rPr>
      </w:pPr>
      <w:hyperlink w:anchor="_Toc135237447" w:history="1">
        <w:r w:rsidR="00C46507" w:rsidRPr="001A689B">
          <w:rPr>
            <w:rStyle w:val="Hyperlink"/>
            <w:lang w:val="en-IE"/>
          </w:rPr>
          <w:t>8.4</w:t>
        </w:r>
        <w:r w:rsidR="00C46507">
          <w:rPr>
            <w:rFonts w:asciiTheme="minorHAnsi" w:eastAsiaTheme="minorEastAsia" w:hAnsiTheme="minorHAnsi" w:cstheme="minorBidi"/>
            <w:sz w:val="22"/>
            <w:szCs w:val="22"/>
            <w:lang w:val="en-IE" w:eastAsia="en-IE"/>
          </w:rPr>
          <w:tab/>
        </w:r>
        <w:r w:rsidR="00C46507" w:rsidRPr="001A689B">
          <w:rPr>
            <w:rStyle w:val="Hyperlink"/>
          </w:rPr>
          <w:t>REFIT (simplification and improved efficiency)</w:t>
        </w:r>
        <w:r w:rsidR="00C46507">
          <w:rPr>
            <w:webHidden/>
          </w:rPr>
          <w:tab/>
        </w:r>
        <w:r w:rsidR="005851F4">
          <w:rPr>
            <w:webHidden/>
          </w:rPr>
          <w:t>73</w:t>
        </w:r>
      </w:hyperlink>
    </w:p>
    <w:p w14:paraId="4DD0B81D" w14:textId="191A378B" w:rsidR="00C46507" w:rsidRDefault="00BC129D">
      <w:pPr>
        <w:pStyle w:val="TOC2"/>
        <w:rPr>
          <w:rFonts w:asciiTheme="minorHAnsi" w:eastAsiaTheme="minorEastAsia" w:hAnsiTheme="minorHAnsi" w:cstheme="minorBidi"/>
          <w:sz w:val="22"/>
          <w:szCs w:val="22"/>
          <w:lang w:val="en-IE" w:eastAsia="en-IE"/>
        </w:rPr>
      </w:pPr>
      <w:hyperlink w:anchor="_Toc135237448" w:history="1">
        <w:r w:rsidR="00C46507" w:rsidRPr="001A689B">
          <w:rPr>
            <w:rStyle w:val="Hyperlink"/>
            <w:lang w:val="en-IE"/>
          </w:rPr>
          <w:t>8.5</w:t>
        </w:r>
        <w:r w:rsidR="00C46507">
          <w:rPr>
            <w:rFonts w:asciiTheme="minorHAnsi" w:eastAsiaTheme="minorEastAsia" w:hAnsiTheme="minorHAnsi" w:cstheme="minorBidi"/>
            <w:sz w:val="22"/>
            <w:szCs w:val="22"/>
            <w:lang w:val="en-IE" w:eastAsia="en-IE"/>
          </w:rPr>
          <w:tab/>
        </w:r>
        <w:r w:rsidR="00C46507" w:rsidRPr="001A689B">
          <w:rPr>
            <w:rStyle w:val="Hyperlink"/>
          </w:rPr>
          <w:t>Application of the ‘one in, one out’ approach</w:t>
        </w:r>
        <w:r w:rsidR="00C46507">
          <w:rPr>
            <w:webHidden/>
          </w:rPr>
          <w:tab/>
        </w:r>
        <w:r w:rsidR="005851F4">
          <w:rPr>
            <w:webHidden/>
          </w:rPr>
          <w:t>73</w:t>
        </w:r>
      </w:hyperlink>
    </w:p>
    <w:p w14:paraId="5B34111E" w14:textId="0CF8B556" w:rsidR="00C46507" w:rsidRDefault="00BC129D">
      <w:pPr>
        <w:pStyle w:val="TOC1"/>
        <w:rPr>
          <w:rFonts w:asciiTheme="minorHAnsi" w:eastAsiaTheme="minorEastAsia" w:hAnsiTheme="minorHAnsi" w:cstheme="minorBidi"/>
          <w:caps w:val="0"/>
          <w:sz w:val="22"/>
          <w:szCs w:val="22"/>
          <w:lang w:val="en-IE" w:eastAsia="en-IE"/>
        </w:rPr>
      </w:pPr>
      <w:hyperlink w:anchor="_Toc135237449" w:history="1">
        <w:r w:rsidR="00C46507" w:rsidRPr="001A689B">
          <w:rPr>
            <w:rStyle w:val="Hyperlink"/>
          </w:rPr>
          <w:t>9</w:t>
        </w:r>
        <w:r w:rsidR="00C46507">
          <w:rPr>
            <w:rFonts w:asciiTheme="minorHAnsi" w:eastAsiaTheme="minorEastAsia" w:hAnsiTheme="minorHAnsi" w:cstheme="minorBidi"/>
            <w:caps w:val="0"/>
            <w:sz w:val="22"/>
            <w:szCs w:val="22"/>
            <w:lang w:val="en-IE" w:eastAsia="en-IE"/>
          </w:rPr>
          <w:tab/>
        </w:r>
        <w:r w:rsidR="00C46507" w:rsidRPr="001A689B">
          <w:rPr>
            <w:rStyle w:val="Hyperlink"/>
          </w:rPr>
          <w:t>How will actual impacts be monitored and evaluated?</w:t>
        </w:r>
        <w:r w:rsidR="00C46507">
          <w:rPr>
            <w:webHidden/>
          </w:rPr>
          <w:tab/>
        </w:r>
        <w:r w:rsidR="005851F4">
          <w:rPr>
            <w:webHidden/>
          </w:rPr>
          <w:t>74</w:t>
        </w:r>
      </w:hyperlink>
    </w:p>
    <w:p w14:paraId="77818AE8" w14:textId="16404F4C" w:rsidR="00C46507" w:rsidRDefault="00BC129D">
      <w:pPr>
        <w:pStyle w:val="TOC1"/>
        <w:rPr>
          <w:rFonts w:asciiTheme="minorHAnsi" w:eastAsiaTheme="minorEastAsia" w:hAnsiTheme="minorHAnsi" w:cstheme="minorBidi"/>
          <w:caps w:val="0"/>
          <w:sz w:val="22"/>
          <w:szCs w:val="22"/>
          <w:lang w:val="en-IE" w:eastAsia="en-IE"/>
        </w:rPr>
      </w:pPr>
      <w:hyperlink w:anchor="_Toc135237450" w:history="1">
        <w:r w:rsidR="00C46507" w:rsidRPr="001A689B">
          <w:rPr>
            <w:rStyle w:val="Hyperlink"/>
          </w:rPr>
          <w:t>A.</w:t>
        </w:r>
        <w:r w:rsidR="00C46507">
          <w:rPr>
            <w:rFonts w:asciiTheme="minorHAnsi" w:eastAsiaTheme="minorEastAsia" w:hAnsiTheme="minorHAnsi" w:cstheme="minorBidi"/>
            <w:caps w:val="0"/>
            <w:sz w:val="22"/>
            <w:szCs w:val="22"/>
            <w:lang w:val="en-IE" w:eastAsia="en-IE"/>
          </w:rPr>
          <w:tab/>
        </w:r>
        <w:r w:rsidR="00C46507" w:rsidRPr="001A689B">
          <w:rPr>
            <w:rStyle w:val="Hyperlink"/>
          </w:rPr>
          <w:t>Annex 1: Procedural information</w:t>
        </w:r>
        <w:r w:rsidR="00C46507">
          <w:rPr>
            <w:webHidden/>
          </w:rPr>
          <w:tab/>
        </w:r>
        <w:r w:rsidR="005851F4">
          <w:rPr>
            <w:webHidden/>
          </w:rPr>
          <w:t>75</w:t>
        </w:r>
      </w:hyperlink>
    </w:p>
    <w:p w14:paraId="3FBACC69" w14:textId="6A957974" w:rsidR="00C46507" w:rsidRDefault="00BC129D">
      <w:pPr>
        <w:pStyle w:val="TOC1"/>
        <w:rPr>
          <w:rFonts w:asciiTheme="minorHAnsi" w:eastAsiaTheme="minorEastAsia" w:hAnsiTheme="minorHAnsi" w:cstheme="minorBidi"/>
          <w:caps w:val="0"/>
          <w:sz w:val="22"/>
          <w:szCs w:val="22"/>
          <w:lang w:val="en-IE" w:eastAsia="en-IE"/>
        </w:rPr>
      </w:pPr>
      <w:hyperlink w:anchor="_Toc135237451" w:history="1">
        <w:r w:rsidR="00C46507" w:rsidRPr="001A689B">
          <w:rPr>
            <w:rStyle w:val="Hyperlink"/>
          </w:rPr>
          <w:t>B.</w:t>
        </w:r>
        <w:r w:rsidR="00C46507">
          <w:rPr>
            <w:rFonts w:asciiTheme="minorHAnsi" w:eastAsiaTheme="minorEastAsia" w:hAnsiTheme="minorHAnsi" w:cstheme="minorBidi"/>
            <w:caps w:val="0"/>
            <w:sz w:val="22"/>
            <w:szCs w:val="22"/>
            <w:lang w:val="en-IE" w:eastAsia="en-IE"/>
          </w:rPr>
          <w:tab/>
        </w:r>
        <w:r w:rsidR="00C46507" w:rsidRPr="001A689B">
          <w:rPr>
            <w:rStyle w:val="Hyperlink"/>
          </w:rPr>
          <w:t>Annex 2: Stakeholder consultation (Synopsis report)</w:t>
        </w:r>
        <w:r w:rsidR="00C46507">
          <w:rPr>
            <w:webHidden/>
          </w:rPr>
          <w:tab/>
        </w:r>
        <w:r w:rsidR="005851F4">
          <w:rPr>
            <w:webHidden/>
          </w:rPr>
          <w:t>81</w:t>
        </w:r>
      </w:hyperlink>
    </w:p>
    <w:p w14:paraId="7C40A1CC" w14:textId="476967C3" w:rsidR="00C46507" w:rsidRDefault="00BC129D">
      <w:pPr>
        <w:pStyle w:val="TOC1"/>
        <w:rPr>
          <w:rFonts w:asciiTheme="minorHAnsi" w:eastAsiaTheme="minorEastAsia" w:hAnsiTheme="minorHAnsi" w:cstheme="minorBidi"/>
          <w:caps w:val="0"/>
          <w:sz w:val="22"/>
          <w:szCs w:val="22"/>
          <w:lang w:val="en-IE" w:eastAsia="en-IE"/>
        </w:rPr>
      </w:pPr>
      <w:hyperlink w:anchor="_Toc135237452" w:history="1">
        <w:r w:rsidR="00C46507" w:rsidRPr="001A689B">
          <w:rPr>
            <w:rStyle w:val="Hyperlink"/>
          </w:rPr>
          <w:t>C.</w:t>
        </w:r>
        <w:r w:rsidR="00C46507">
          <w:rPr>
            <w:rFonts w:asciiTheme="minorHAnsi" w:eastAsiaTheme="minorEastAsia" w:hAnsiTheme="minorHAnsi" w:cstheme="minorBidi"/>
            <w:caps w:val="0"/>
            <w:sz w:val="22"/>
            <w:szCs w:val="22"/>
            <w:lang w:val="en-IE" w:eastAsia="en-IE"/>
          </w:rPr>
          <w:tab/>
        </w:r>
        <w:r w:rsidR="00C46507" w:rsidRPr="001A689B">
          <w:rPr>
            <w:rStyle w:val="Hyperlink"/>
          </w:rPr>
          <w:t>Annex 3: Who is affected and how?</w:t>
        </w:r>
        <w:r w:rsidR="00C46507">
          <w:rPr>
            <w:webHidden/>
          </w:rPr>
          <w:tab/>
        </w:r>
        <w:r w:rsidR="005851F4">
          <w:rPr>
            <w:webHidden/>
          </w:rPr>
          <w:t>89</w:t>
        </w:r>
      </w:hyperlink>
    </w:p>
    <w:p w14:paraId="568BFE27" w14:textId="7535BEE1" w:rsidR="00C46507" w:rsidRDefault="00BC129D">
      <w:pPr>
        <w:pStyle w:val="TOC1"/>
        <w:rPr>
          <w:rFonts w:asciiTheme="minorHAnsi" w:eastAsiaTheme="minorEastAsia" w:hAnsiTheme="minorHAnsi" w:cstheme="minorBidi"/>
          <w:caps w:val="0"/>
          <w:sz w:val="22"/>
          <w:szCs w:val="22"/>
          <w:lang w:val="en-IE" w:eastAsia="en-IE"/>
        </w:rPr>
      </w:pPr>
      <w:hyperlink w:anchor="_Toc135237453" w:history="1">
        <w:r w:rsidR="00C46507" w:rsidRPr="001A689B">
          <w:rPr>
            <w:rStyle w:val="Hyperlink"/>
          </w:rPr>
          <w:t>D.</w:t>
        </w:r>
        <w:r w:rsidR="00C46507">
          <w:rPr>
            <w:rFonts w:asciiTheme="minorHAnsi" w:eastAsiaTheme="minorEastAsia" w:hAnsiTheme="minorHAnsi" w:cstheme="minorBidi"/>
            <w:caps w:val="0"/>
            <w:sz w:val="22"/>
            <w:szCs w:val="22"/>
            <w:lang w:val="en-IE" w:eastAsia="en-IE"/>
          </w:rPr>
          <w:tab/>
        </w:r>
        <w:r w:rsidR="00C46507" w:rsidRPr="001A689B">
          <w:rPr>
            <w:rStyle w:val="Hyperlink"/>
          </w:rPr>
          <w:t>Annex 4: Analytical methods</w:t>
        </w:r>
        <w:r w:rsidR="00C46507">
          <w:rPr>
            <w:webHidden/>
          </w:rPr>
          <w:tab/>
        </w:r>
        <w:r w:rsidR="005851F4">
          <w:rPr>
            <w:webHidden/>
          </w:rPr>
          <w:t>101</w:t>
        </w:r>
      </w:hyperlink>
    </w:p>
    <w:p w14:paraId="53A1FF80" w14:textId="5E13F798" w:rsidR="00C46507" w:rsidRDefault="00BC129D">
      <w:pPr>
        <w:pStyle w:val="TOC1"/>
        <w:rPr>
          <w:rFonts w:asciiTheme="minorHAnsi" w:eastAsiaTheme="minorEastAsia" w:hAnsiTheme="minorHAnsi" w:cstheme="minorBidi"/>
          <w:caps w:val="0"/>
          <w:sz w:val="22"/>
          <w:szCs w:val="22"/>
          <w:lang w:val="en-IE" w:eastAsia="en-IE"/>
        </w:rPr>
      </w:pPr>
      <w:hyperlink w:anchor="_Toc135237454" w:history="1">
        <w:r w:rsidR="00C46507" w:rsidRPr="001A689B">
          <w:rPr>
            <w:rStyle w:val="Hyperlink"/>
          </w:rPr>
          <w:t>E.</w:t>
        </w:r>
        <w:r w:rsidR="00C46507">
          <w:rPr>
            <w:rFonts w:asciiTheme="minorHAnsi" w:eastAsiaTheme="minorEastAsia" w:hAnsiTheme="minorHAnsi" w:cstheme="minorBidi"/>
            <w:caps w:val="0"/>
            <w:sz w:val="22"/>
            <w:szCs w:val="22"/>
            <w:lang w:val="en-IE" w:eastAsia="en-IE"/>
          </w:rPr>
          <w:tab/>
        </w:r>
        <w:r w:rsidR="00C46507" w:rsidRPr="001A689B">
          <w:rPr>
            <w:rStyle w:val="Hyperlink"/>
          </w:rPr>
          <w:t>Annex 5: Competitiveness check</w:t>
        </w:r>
        <w:r w:rsidR="00C46507">
          <w:rPr>
            <w:webHidden/>
          </w:rPr>
          <w:tab/>
        </w:r>
        <w:r w:rsidR="005851F4">
          <w:rPr>
            <w:webHidden/>
          </w:rPr>
          <w:t>111</w:t>
        </w:r>
      </w:hyperlink>
    </w:p>
    <w:p w14:paraId="08D3A978" w14:textId="25E2D221" w:rsidR="00C46507" w:rsidRDefault="00BC129D">
      <w:pPr>
        <w:pStyle w:val="TOC1"/>
        <w:rPr>
          <w:rFonts w:asciiTheme="minorHAnsi" w:eastAsiaTheme="minorEastAsia" w:hAnsiTheme="minorHAnsi" w:cstheme="minorBidi"/>
          <w:caps w:val="0"/>
          <w:sz w:val="22"/>
          <w:szCs w:val="22"/>
          <w:lang w:val="en-IE" w:eastAsia="en-IE"/>
        </w:rPr>
      </w:pPr>
      <w:hyperlink w:anchor="_Toc135237455" w:history="1">
        <w:r w:rsidR="00C46507" w:rsidRPr="001A689B">
          <w:rPr>
            <w:rStyle w:val="Hyperlink"/>
          </w:rPr>
          <w:t>F.</w:t>
        </w:r>
        <w:r w:rsidR="00C46507">
          <w:rPr>
            <w:rFonts w:asciiTheme="minorHAnsi" w:eastAsiaTheme="minorEastAsia" w:hAnsiTheme="minorHAnsi" w:cstheme="minorBidi"/>
            <w:caps w:val="0"/>
            <w:sz w:val="22"/>
            <w:szCs w:val="22"/>
            <w:lang w:val="en-IE" w:eastAsia="en-IE"/>
          </w:rPr>
          <w:tab/>
        </w:r>
        <w:r w:rsidR="00C46507" w:rsidRPr="001A689B">
          <w:rPr>
            <w:rStyle w:val="Hyperlink"/>
          </w:rPr>
          <w:t>Annex 6:  30 years of EU action to combat late payments in commercial transactions</w:t>
        </w:r>
        <w:r w:rsidR="00C46507">
          <w:rPr>
            <w:webHidden/>
          </w:rPr>
          <w:tab/>
        </w:r>
        <w:r w:rsidR="005851F4">
          <w:rPr>
            <w:webHidden/>
          </w:rPr>
          <w:t>113</w:t>
        </w:r>
      </w:hyperlink>
    </w:p>
    <w:p w14:paraId="3B191D83" w14:textId="76146120" w:rsidR="00C46507" w:rsidRDefault="00BC129D">
      <w:pPr>
        <w:pStyle w:val="TOC1"/>
        <w:rPr>
          <w:rFonts w:asciiTheme="minorHAnsi" w:eastAsiaTheme="minorEastAsia" w:hAnsiTheme="minorHAnsi" w:cstheme="minorBidi"/>
          <w:caps w:val="0"/>
          <w:sz w:val="22"/>
          <w:szCs w:val="22"/>
          <w:lang w:val="en-IE" w:eastAsia="en-IE"/>
        </w:rPr>
      </w:pPr>
      <w:hyperlink w:anchor="_Toc135237456" w:history="1">
        <w:r w:rsidR="00C46507" w:rsidRPr="001A689B">
          <w:rPr>
            <w:rStyle w:val="Hyperlink"/>
          </w:rPr>
          <w:t>G.</w:t>
        </w:r>
        <w:r w:rsidR="00C46507">
          <w:rPr>
            <w:rFonts w:asciiTheme="minorHAnsi" w:eastAsiaTheme="minorEastAsia" w:hAnsiTheme="minorHAnsi" w:cstheme="minorBidi"/>
            <w:caps w:val="0"/>
            <w:sz w:val="22"/>
            <w:szCs w:val="22"/>
            <w:lang w:val="en-IE" w:eastAsia="en-IE"/>
          </w:rPr>
          <w:tab/>
        </w:r>
        <w:r w:rsidR="00C46507" w:rsidRPr="001A689B">
          <w:rPr>
            <w:rStyle w:val="Hyperlink"/>
          </w:rPr>
          <w:t>Annex 7:  EU payment observatory</w:t>
        </w:r>
        <w:r w:rsidR="00C46507">
          <w:rPr>
            <w:webHidden/>
          </w:rPr>
          <w:tab/>
        </w:r>
        <w:r w:rsidR="005851F4">
          <w:rPr>
            <w:webHidden/>
          </w:rPr>
          <w:t>117</w:t>
        </w:r>
      </w:hyperlink>
    </w:p>
    <w:p w14:paraId="4D8DF7EA" w14:textId="346869F1" w:rsidR="00C46507" w:rsidRDefault="00BC129D">
      <w:pPr>
        <w:pStyle w:val="TOC1"/>
        <w:rPr>
          <w:rFonts w:asciiTheme="minorHAnsi" w:eastAsiaTheme="minorEastAsia" w:hAnsiTheme="minorHAnsi" w:cstheme="minorBidi"/>
          <w:caps w:val="0"/>
          <w:sz w:val="22"/>
          <w:szCs w:val="22"/>
          <w:lang w:val="en-IE" w:eastAsia="en-IE"/>
        </w:rPr>
      </w:pPr>
      <w:hyperlink w:anchor="_Toc135237457" w:history="1">
        <w:r w:rsidR="00C46507" w:rsidRPr="001A689B">
          <w:rPr>
            <w:rStyle w:val="Hyperlink"/>
          </w:rPr>
          <w:t>H.</w:t>
        </w:r>
        <w:r w:rsidR="00C46507">
          <w:rPr>
            <w:rFonts w:asciiTheme="minorHAnsi" w:eastAsiaTheme="minorEastAsia" w:hAnsiTheme="minorHAnsi" w:cstheme="minorBidi"/>
            <w:caps w:val="0"/>
            <w:sz w:val="22"/>
            <w:szCs w:val="22"/>
            <w:lang w:val="en-IE" w:eastAsia="en-IE"/>
          </w:rPr>
          <w:tab/>
        </w:r>
        <w:r w:rsidR="00C46507" w:rsidRPr="001A689B">
          <w:rPr>
            <w:rStyle w:val="Hyperlink"/>
          </w:rPr>
          <w:t>Annex 8: Mediation in payment disputes</w:t>
        </w:r>
        <w:r w:rsidR="00C46507">
          <w:rPr>
            <w:webHidden/>
          </w:rPr>
          <w:tab/>
        </w:r>
        <w:r w:rsidR="005851F4">
          <w:rPr>
            <w:webHidden/>
          </w:rPr>
          <w:t>121</w:t>
        </w:r>
      </w:hyperlink>
    </w:p>
    <w:p w14:paraId="5A6CB73B" w14:textId="4F3AC619" w:rsidR="00C46507" w:rsidRDefault="00BC129D">
      <w:pPr>
        <w:pStyle w:val="TOC1"/>
        <w:rPr>
          <w:rFonts w:asciiTheme="minorHAnsi" w:eastAsiaTheme="minorEastAsia" w:hAnsiTheme="minorHAnsi" w:cstheme="minorBidi"/>
          <w:caps w:val="0"/>
          <w:sz w:val="22"/>
          <w:szCs w:val="22"/>
          <w:lang w:val="en-IE" w:eastAsia="en-IE"/>
        </w:rPr>
      </w:pPr>
      <w:hyperlink w:anchor="_Toc135237458" w:history="1">
        <w:r w:rsidR="00C46507" w:rsidRPr="001A689B">
          <w:rPr>
            <w:rStyle w:val="Hyperlink"/>
          </w:rPr>
          <w:t>I.</w:t>
        </w:r>
        <w:r w:rsidR="00C46507">
          <w:rPr>
            <w:rFonts w:asciiTheme="minorHAnsi" w:eastAsiaTheme="minorEastAsia" w:hAnsiTheme="minorHAnsi" w:cstheme="minorBidi"/>
            <w:caps w:val="0"/>
            <w:sz w:val="22"/>
            <w:szCs w:val="22"/>
            <w:lang w:val="en-IE" w:eastAsia="en-IE"/>
          </w:rPr>
          <w:tab/>
        </w:r>
        <w:r w:rsidR="00C46507" w:rsidRPr="001A689B">
          <w:rPr>
            <w:rStyle w:val="Hyperlink"/>
          </w:rPr>
          <w:t>Annex 9: Best practices in enforcement of prompt payment rules</w:t>
        </w:r>
        <w:r w:rsidR="00C46507">
          <w:rPr>
            <w:webHidden/>
          </w:rPr>
          <w:tab/>
        </w:r>
        <w:r w:rsidR="005851F4">
          <w:rPr>
            <w:webHidden/>
          </w:rPr>
          <w:t>125</w:t>
        </w:r>
      </w:hyperlink>
    </w:p>
    <w:p w14:paraId="17BE2981" w14:textId="3DAA1469" w:rsidR="00C46507" w:rsidRDefault="00BC129D">
      <w:pPr>
        <w:pStyle w:val="TOC1"/>
        <w:rPr>
          <w:rFonts w:asciiTheme="minorHAnsi" w:eastAsiaTheme="minorEastAsia" w:hAnsiTheme="minorHAnsi" w:cstheme="minorBidi"/>
          <w:caps w:val="0"/>
          <w:sz w:val="22"/>
          <w:szCs w:val="22"/>
          <w:lang w:val="en-IE" w:eastAsia="en-IE"/>
        </w:rPr>
      </w:pPr>
      <w:hyperlink w:anchor="_Toc135237459" w:history="1">
        <w:r w:rsidR="00C46507" w:rsidRPr="001A689B">
          <w:rPr>
            <w:rStyle w:val="Hyperlink"/>
          </w:rPr>
          <w:t>J.</w:t>
        </w:r>
        <w:r w:rsidR="00C46507">
          <w:rPr>
            <w:rFonts w:asciiTheme="minorHAnsi" w:eastAsiaTheme="minorEastAsia" w:hAnsiTheme="minorHAnsi" w:cstheme="minorBidi"/>
            <w:caps w:val="0"/>
            <w:sz w:val="22"/>
            <w:szCs w:val="22"/>
            <w:lang w:val="en-IE" w:eastAsia="en-IE"/>
          </w:rPr>
          <w:tab/>
        </w:r>
        <w:r w:rsidR="00C46507" w:rsidRPr="001A689B">
          <w:rPr>
            <w:rStyle w:val="Hyperlink"/>
          </w:rPr>
          <w:t>Annex 10: Indicative list of examples of unfair payment practices</w:t>
        </w:r>
        <w:r w:rsidR="00C46507">
          <w:rPr>
            <w:webHidden/>
          </w:rPr>
          <w:tab/>
        </w:r>
        <w:r w:rsidR="005851F4">
          <w:rPr>
            <w:webHidden/>
          </w:rPr>
          <w:t>130</w:t>
        </w:r>
      </w:hyperlink>
    </w:p>
    <w:p w14:paraId="754AEFE2" w14:textId="19A18E7D" w:rsidR="00C46507" w:rsidRDefault="00BC129D">
      <w:pPr>
        <w:pStyle w:val="TOC1"/>
        <w:rPr>
          <w:rFonts w:asciiTheme="minorHAnsi" w:eastAsiaTheme="minorEastAsia" w:hAnsiTheme="minorHAnsi" w:cstheme="minorBidi"/>
          <w:caps w:val="0"/>
          <w:sz w:val="22"/>
          <w:szCs w:val="22"/>
          <w:lang w:val="en-IE" w:eastAsia="en-IE"/>
        </w:rPr>
      </w:pPr>
      <w:hyperlink w:anchor="_Toc135237460" w:history="1">
        <w:r w:rsidR="00C46507" w:rsidRPr="001A689B">
          <w:rPr>
            <w:rStyle w:val="Hyperlink"/>
          </w:rPr>
          <w:t>K.</w:t>
        </w:r>
        <w:r w:rsidR="00C46507">
          <w:rPr>
            <w:rFonts w:asciiTheme="minorHAnsi" w:eastAsiaTheme="minorEastAsia" w:hAnsiTheme="minorHAnsi" w:cstheme="minorBidi"/>
            <w:caps w:val="0"/>
            <w:sz w:val="22"/>
            <w:szCs w:val="22"/>
            <w:lang w:val="en-IE" w:eastAsia="en-IE"/>
          </w:rPr>
          <w:tab/>
        </w:r>
        <w:r w:rsidR="00C46507" w:rsidRPr="001A689B">
          <w:rPr>
            <w:rStyle w:val="Hyperlink"/>
          </w:rPr>
          <w:t>Annex 11: Relevant Case Law of the ECJ</w:t>
        </w:r>
        <w:r w:rsidR="00C46507">
          <w:rPr>
            <w:webHidden/>
          </w:rPr>
          <w:tab/>
        </w:r>
        <w:r w:rsidR="005851F4">
          <w:rPr>
            <w:webHidden/>
          </w:rPr>
          <w:t>134</w:t>
        </w:r>
      </w:hyperlink>
    </w:p>
    <w:p w14:paraId="56E1AFE1" w14:textId="7AAD06D4" w:rsidR="00C46507" w:rsidRDefault="00BC129D">
      <w:pPr>
        <w:pStyle w:val="TOC1"/>
        <w:rPr>
          <w:rFonts w:asciiTheme="minorHAnsi" w:eastAsiaTheme="minorEastAsia" w:hAnsiTheme="minorHAnsi" w:cstheme="minorBidi"/>
          <w:caps w:val="0"/>
          <w:sz w:val="22"/>
          <w:szCs w:val="22"/>
          <w:lang w:val="en-IE" w:eastAsia="en-IE"/>
        </w:rPr>
      </w:pPr>
      <w:hyperlink w:anchor="_Toc135237461" w:history="1">
        <w:r w:rsidR="00C46507" w:rsidRPr="001A689B">
          <w:rPr>
            <w:rStyle w:val="Hyperlink"/>
          </w:rPr>
          <w:t>L.</w:t>
        </w:r>
        <w:r w:rsidR="00C46507">
          <w:rPr>
            <w:rFonts w:asciiTheme="minorHAnsi" w:eastAsiaTheme="minorEastAsia" w:hAnsiTheme="minorHAnsi" w:cstheme="minorBidi"/>
            <w:caps w:val="0"/>
            <w:sz w:val="22"/>
            <w:szCs w:val="22"/>
            <w:lang w:val="en-IE" w:eastAsia="en-IE"/>
          </w:rPr>
          <w:tab/>
        </w:r>
        <w:r w:rsidR="00C46507" w:rsidRPr="001A689B">
          <w:rPr>
            <w:rStyle w:val="Hyperlink"/>
          </w:rPr>
          <w:t>Annex 12: Credit management and financial literacy</w:t>
        </w:r>
        <w:r w:rsidR="00C46507">
          <w:rPr>
            <w:webHidden/>
          </w:rPr>
          <w:tab/>
        </w:r>
        <w:r w:rsidR="005851F4">
          <w:rPr>
            <w:webHidden/>
          </w:rPr>
          <w:t>136</w:t>
        </w:r>
      </w:hyperlink>
    </w:p>
    <w:p w14:paraId="2B253177" w14:textId="26ED338A" w:rsidR="00C46507" w:rsidRDefault="00BC129D">
      <w:pPr>
        <w:pStyle w:val="TOC1"/>
        <w:rPr>
          <w:rFonts w:asciiTheme="minorHAnsi" w:eastAsiaTheme="minorEastAsia" w:hAnsiTheme="minorHAnsi" w:cstheme="minorBidi"/>
          <w:caps w:val="0"/>
          <w:sz w:val="22"/>
          <w:szCs w:val="22"/>
          <w:lang w:val="en-IE" w:eastAsia="en-IE"/>
        </w:rPr>
      </w:pPr>
      <w:hyperlink w:anchor="_Toc135237462" w:history="1">
        <w:r w:rsidR="00C46507" w:rsidRPr="001A689B">
          <w:rPr>
            <w:rStyle w:val="Hyperlink"/>
          </w:rPr>
          <w:t>M.</w:t>
        </w:r>
        <w:r w:rsidR="00C46507">
          <w:rPr>
            <w:rFonts w:asciiTheme="minorHAnsi" w:eastAsiaTheme="minorEastAsia" w:hAnsiTheme="minorHAnsi" w:cstheme="minorBidi"/>
            <w:caps w:val="0"/>
            <w:sz w:val="22"/>
            <w:szCs w:val="22"/>
            <w:lang w:val="en-IE" w:eastAsia="en-IE"/>
          </w:rPr>
          <w:tab/>
        </w:r>
        <w:r w:rsidR="00C46507" w:rsidRPr="001A689B">
          <w:rPr>
            <w:rStyle w:val="Hyperlink"/>
          </w:rPr>
          <w:t>Annex 13: Rates of statutory interests</w:t>
        </w:r>
        <w:r w:rsidR="00C46507">
          <w:rPr>
            <w:webHidden/>
          </w:rPr>
          <w:tab/>
        </w:r>
        <w:r w:rsidR="005851F4">
          <w:rPr>
            <w:webHidden/>
          </w:rPr>
          <w:t>143</w:t>
        </w:r>
      </w:hyperlink>
    </w:p>
    <w:p w14:paraId="4CE77D31" w14:textId="2BEF5C66" w:rsidR="00C46507" w:rsidRDefault="00BC129D">
      <w:pPr>
        <w:pStyle w:val="TOC1"/>
        <w:rPr>
          <w:rFonts w:asciiTheme="minorHAnsi" w:eastAsiaTheme="minorEastAsia" w:hAnsiTheme="minorHAnsi" w:cstheme="minorBidi"/>
          <w:caps w:val="0"/>
          <w:sz w:val="22"/>
          <w:szCs w:val="22"/>
          <w:lang w:val="en-IE" w:eastAsia="en-IE"/>
        </w:rPr>
      </w:pPr>
      <w:hyperlink w:anchor="_Toc135237463" w:history="1">
        <w:r w:rsidR="00C46507" w:rsidRPr="001A689B">
          <w:rPr>
            <w:rStyle w:val="Hyperlink"/>
          </w:rPr>
          <w:t>N.</w:t>
        </w:r>
        <w:r w:rsidR="00C46507">
          <w:rPr>
            <w:rFonts w:asciiTheme="minorHAnsi" w:eastAsiaTheme="minorEastAsia" w:hAnsiTheme="minorHAnsi" w:cstheme="minorBidi"/>
            <w:caps w:val="0"/>
            <w:sz w:val="22"/>
            <w:szCs w:val="22"/>
            <w:lang w:val="en-IE" w:eastAsia="en-IE"/>
          </w:rPr>
          <w:tab/>
        </w:r>
        <w:r w:rsidR="00C46507" w:rsidRPr="001A689B">
          <w:rPr>
            <w:rStyle w:val="Hyperlink"/>
          </w:rPr>
          <w:t>Annex 14: Options discarded at an earlier stage (in depth description)</w:t>
        </w:r>
        <w:r w:rsidR="00C46507">
          <w:rPr>
            <w:webHidden/>
          </w:rPr>
          <w:tab/>
        </w:r>
        <w:r w:rsidR="005851F4">
          <w:rPr>
            <w:webHidden/>
          </w:rPr>
          <w:t>144</w:t>
        </w:r>
      </w:hyperlink>
    </w:p>
    <w:p w14:paraId="67BAAE45" w14:textId="78A297A4" w:rsidR="00C46507" w:rsidRDefault="00BC129D">
      <w:pPr>
        <w:pStyle w:val="TOC1"/>
        <w:rPr>
          <w:rFonts w:asciiTheme="minorHAnsi" w:eastAsiaTheme="minorEastAsia" w:hAnsiTheme="minorHAnsi" w:cstheme="minorBidi"/>
          <w:caps w:val="0"/>
          <w:sz w:val="22"/>
          <w:szCs w:val="22"/>
          <w:lang w:val="en-IE" w:eastAsia="en-IE"/>
        </w:rPr>
      </w:pPr>
      <w:hyperlink w:anchor="_Toc135237464" w:history="1">
        <w:r w:rsidR="00C46507" w:rsidRPr="001A689B">
          <w:rPr>
            <w:rStyle w:val="Hyperlink"/>
          </w:rPr>
          <w:t>O.</w:t>
        </w:r>
        <w:r w:rsidR="00C46507">
          <w:rPr>
            <w:rFonts w:asciiTheme="minorHAnsi" w:eastAsiaTheme="minorEastAsia" w:hAnsiTheme="minorHAnsi" w:cstheme="minorBidi"/>
            <w:caps w:val="0"/>
            <w:sz w:val="22"/>
            <w:szCs w:val="22"/>
            <w:lang w:val="en-IE" w:eastAsia="en-IE"/>
          </w:rPr>
          <w:tab/>
        </w:r>
        <w:r w:rsidR="00C46507" w:rsidRPr="001A689B">
          <w:rPr>
            <w:rStyle w:val="Hyperlink"/>
          </w:rPr>
          <w:t>Annex 15:  SME test</w:t>
        </w:r>
        <w:r w:rsidR="00C46507">
          <w:rPr>
            <w:webHidden/>
          </w:rPr>
          <w:tab/>
        </w:r>
        <w:r w:rsidR="005851F4">
          <w:rPr>
            <w:webHidden/>
          </w:rPr>
          <w:t>153</w:t>
        </w:r>
      </w:hyperlink>
    </w:p>
    <w:p w14:paraId="7FBC755D" w14:textId="73375DE3" w:rsidR="00C46507" w:rsidRDefault="00BC129D">
      <w:pPr>
        <w:pStyle w:val="TOC1"/>
        <w:rPr>
          <w:rFonts w:asciiTheme="minorHAnsi" w:eastAsiaTheme="minorEastAsia" w:hAnsiTheme="minorHAnsi" w:cstheme="minorBidi"/>
          <w:caps w:val="0"/>
          <w:sz w:val="22"/>
          <w:szCs w:val="22"/>
          <w:lang w:val="en-IE" w:eastAsia="en-IE"/>
        </w:rPr>
      </w:pPr>
      <w:hyperlink w:anchor="_Toc135237465" w:history="1">
        <w:r w:rsidR="00C46507" w:rsidRPr="001A689B">
          <w:rPr>
            <w:rStyle w:val="Hyperlink"/>
          </w:rPr>
          <w:t>P.</w:t>
        </w:r>
        <w:r w:rsidR="00C46507">
          <w:rPr>
            <w:rFonts w:asciiTheme="minorHAnsi" w:eastAsiaTheme="minorEastAsia" w:hAnsiTheme="minorHAnsi" w:cstheme="minorBidi"/>
            <w:caps w:val="0"/>
            <w:sz w:val="22"/>
            <w:szCs w:val="22"/>
            <w:lang w:val="en-IE" w:eastAsia="en-IE"/>
          </w:rPr>
          <w:tab/>
        </w:r>
        <w:r w:rsidR="00C46507" w:rsidRPr="001A689B">
          <w:rPr>
            <w:rStyle w:val="Hyperlink"/>
          </w:rPr>
          <w:t>Annex 16: Results of the SME panel consultation on the revision of the Late Payment Directive</w:t>
        </w:r>
        <w:r w:rsidR="00C46507">
          <w:rPr>
            <w:webHidden/>
          </w:rPr>
          <w:tab/>
        </w:r>
        <w:r w:rsidR="005851F4">
          <w:rPr>
            <w:webHidden/>
          </w:rPr>
          <w:t>170</w:t>
        </w:r>
      </w:hyperlink>
    </w:p>
    <w:p w14:paraId="7BEF6AFD" w14:textId="2D02A151" w:rsidR="00C46507" w:rsidRDefault="00BC129D">
      <w:pPr>
        <w:pStyle w:val="TOC1"/>
        <w:rPr>
          <w:rFonts w:asciiTheme="minorHAnsi" w:eastAsiaTheme="minorEastAsia" w:hAnsiTheme="minorHAnsi" w:cstheme="minorBidi"/>
          <w:caps w:val="0"/>
          <w:sz w:val="22"/>
          <w:szCs w:val="22"/>
          <w:lang w:val="en-IE" w:eastAsia="en-IE"/>
        </w:rPr>
      </w:pPr>
      <w:hyperlink w:anchor="_Toc135237466" w:history="1">
        <w:r w:rsidR="00C46507" w:rsidRPr="001A689B">
          <w:rPr>
            <w:rStyle w:val="Hyperlink"/>
          </w:rPr>
          <w:t>Q.</w:t>
        </w:r>
        <w:r w:rsidR="00C46507">
          <w:rPr>
            <w:rFonts w:asciiTheme="minorHAnsi" w:eastAsiaTheme="minorEastAsia" w:hAnsiTheme="minorHAnsi" w:cstheme="minorBidi"/>
            <w:caps w:val="0"/>
            <w:sz w:val="22"/>
            <w:szCs w:val="22"/>
            <w:lang w:val="en-IE" w:eastAsia="en-IE"/>
          </w:rPr>
          <w:tab/>
        </w:r>
        <w:r w:rsidR="00C46507" w:rsidRPr="001A689B">
          <w:rPr>
            <w:rStyle w:val="Hyperlink"/>
          </w:rPr>
          <w:t>Annex 17:  Mapping late payment in the EU</w:t>
        </w:r>
        <w:r w:rsidR="00C46507">
          <w:rPr>
            <w:webHidden/>
          </w:rPr>
          <w:tab/>
        </w:r>
        <w:r w:rsidR="005851F4">
          <w:rPr>
            <w:webHidden/>
          </w:rPr>
          <w:t>183</w:t>
        </w:r>
      </w:hyperlink>
    </w:p>
    <w:p w14:paraId="2AE87601" w14:textId="0F4778A5" w:rsidR="00C46507" w:rsidRDefault="00BC129D">
      <w:pPr>
        <w:pStyle w:val="TOC1"/>
        <w:rPr>
          <w:rFonts w:asciiTheme="minorHAnsi" w:eastAsiaTheme="minorEastAsia" w:hAnsiTheme="minorHAnsi" w:cstheme="minorBidi"/>
          <w:caps w:val="0"/>
          <w:sz w:val="22"/>
          <w:szCs w:val="22"/>
          <w:lang w:val="en-IE" w:eastAsia="en-IE"/>
        </w:rPr>
      </w:pPr>
      <w:hyperlink w:anchor="_Toc135237467" w:history="1">
        <w:r w:rsidR="00C46507" w:rsidRPr="001A689B">
          <w:rPr>
            <w:rStyle w:val="Hyperlink"/>
          </w:rPr>
          <w:t>R.</w:t>
        </w:r>
        <w:r w:rsidR="00C46507">
          <w:rPr>
            <w:rFonts w:asciiTheme="minorHAnsi" w:eastAsiaTheme="minorEastAsia" w:hAnsiTheme="minorHAnsi" w:cstheme="minorBidi"/>
            <w:caps w:val="0"/>
            <w:sz w:val="22"/>
            <w:szCs w:val="22"/>
            <w:lang w:val="en-IE" w:eastAsia="en-IE"/>
          </w:rPr>
          <w:tab/>
        </w:r>
        <w:r w:rsidR="00C46507" w:rsidRPr="001A689B">
          <w:rPr>
            <w:rStyle w:val="Hyperlink"/>
          </w:rPr>
          <w:t>Annex 18: Prompt payment in some EU trading partners</w:t>
        </w:r>
        <w:r w:rsidR="00C46507">
          <w:rPr>
            <w:webHidden/>
          </w:rPr>
          <w:tab/>
        </w:r>
        <w:r w:rsidR="005851F4">
          <w:rPr>
            <w:webHidden/>
          </w:rPr>
          <w:t>190</w:t>
        </w:r>
      </w:hyperlink>
    </w:p>
    <w:p w14:paraId="3303D536" w14:textId="53A9683C" w:rsidR="00C46507" w:rsidRDefault="00BC129D">
      <w:pPr>
        <w:pStyle w:val="TOC1"/>
        <w:rPr>
          <w:rFonts w:asciiTheme="minorHAnsi" w:eastAsiaTheme="minorEastAsia" w:hAnsiTheme="minorHAnsi" w:cstheme="minorBidi"/>
          <w:caps w:val="0"/>
          <w:sz w:val="22"/>
          <w:szCs w:val="22"/>
          <w:lang w:val="en-IE" w:eastAsia="en-IE"/>
        </w:rPr>
      </w:pPr>
      <w:hyperlink w:anchor="_Toc135237468" w:history="1">
        <w:r w:rsidR="00C46507" w:rsidRPr="001A689B">
          <w:rPr>
            <w:rStyle w:val="Hyperlink"/>
          </w:rPr>
          <w:t>S.</w:t>
        </w:r>
        <w:r w:rsidR="00C46507">
          <w:rPr>
            <w:rFonts w:asciiTheme="minorHAnsi" w:eastAsiaTheme="minorEastAsia" w:hAnsiTheme="minorHAnsi" w:cstheme="minorBidi"/>
            <w:caps w:val="0"/>
            <w:sz w:val="22"/>
            <w:szCs w:val="22"/>
            <w:lang w:val="en-IE" w:eastAsia="en-IE"/>
          </w:rPr>
          <w:tab/>
        </w:r>
        <w:r w:rsidR="00C46507" w:rsidRPr="001A689B">
          <w:rPr>
            <w:rStyle w:val="Hyperlink"/>
          </w:rPr>
          <w:t>Annex 19: Problem definition and the problem tree</w:t>
        </w:r>
        <w:r w:rsidR="00C46507">
          <w:rPr>
            <w:webHidden/>
          </w:rPr>
          <w:tab/>
        </w:r>
        <w:r w:rsidR="005851F4">
          <w:rPr>
            <w:webHidden/>
          </w:rPr>
          <w:t>203</w:t>
        </w:r>
      </w:hyperlink>
    </w:p>
    <w:p w14:paraId="35175215" w14:textId="0D97760C" w:rsidR="00C46507" w:rsidRDefault="00BC129D">
      <w:pPr>
        <w:pStyle w:val="TOC1"/>
        <w:rPr>
          <w:rFonts w:asciiTheme="minorHAnsi" w:eastAsiaTheme="minorEastAsia" w:hAnsiTheme="minorHAnsi" w:cstheme="minorBidi"/>
          <w:caps w:val="0"/>
          <w:sz w:val="22"/>
          <w:szCs w:val="22"/>
          <w:lang w:val="en-IE" w:eastAsia="en-IE"/>
        </w:rPr>
      </w:pPr>
      <w:hyperlink w:anchor="_Toc135237469" w:history="1">
        <w:r w:rsidR="00C46507" w:rsidRPr="001A689B">
          <w:rPr>
            <w:rStyle w:val="Hyperlink"/>
          </w:rPr>
          <w:t>T.</w:t>
        </w:r>
        <w:r w:rsidR="00C46507">
          <w:rPr>
            <w:rFonts w:asciiTheme="minorHAnsi" w:eastAsiaTheme="minorEastAsia" w:hAnsiTheme="minorHAnsi" w:cstheme="minorBidi"/>
            <w:caps w:val="0"/>
            <w:sz w:val="22"/>
            <w:szCs w:val="22"/>
            <w:lang w:val="en-IE" w:eastAsia="en-IE"/>
          </w:rPr>
          <w:tab/>
        </w:r>
        <w:r w:rsidR="00C46507" w:rsidRPr="001A689B">
          <w:rPr>
            <w:rStyle w:val="Hyperlink"/>
          </w:rPr>
          <w:t>Annex 20: Consequences of late payment</w:t>
        </w:r>
        <w:r w:rsidR="00C46507">
          <w:rPr>
            <w:webHidden/>
          </w:rPr>
          <w:tab/>
        </w:r>
        <w:r w:rsidR="005851F4">
          <w:rPr>
            <w:webHidden/>
          </w:rPr>
          <w:t>204</w:t>
        </w:r>
      </w:hyperlink>
    </w:p>
    <w:p w14:paraId="5AB4C4D2" w14:textId="219EE686" w:rsidR="00C46507" w:rsidRDefault="00BC129D">
      <w:pPr>
        <w:pStyle w:val="TOC1"/>
        <w:rPr>
          <w:rFonts w:asciiTheme="minorHAnsi" w:eastAsiaTheme="minorEastAsia" w:hAnsiTheme="minorHAnsi" w:cstheme="minorBidi"/>
          <w:caps w:val="0"/>
          <w:sz w:val="22"/>
          <w:szCs w:val="22"/>
          <w:lang w:val="en-IE" w:eastAsia="en-IE"/>
        </w:rPr>
      </w:pPr>
      <w:hyperlink w:anchor="_Toc135237470" w:history="1">
        <w:r w:rsidR="00C46507" w:rsidRPr="001A689B">
          <w:rPr>
            <w:rStyle w:val="Hyperlink"/>
          </w:rPr>
          <w:t>U.</w:t>
        </w:r>
        <w:r w:rsidR="00C46507">
          <w:rPr>
            <w:rFonts w:asciiTheme="minorHAnsi" w:eastAsiaTheme="minorEastAsia" w:hAnsiTheme="minorHAnsi" w:cstheme="minorBidi"/>
            <w:caps w:val="0"/>
            <w:sz w:val="22"/>
            <w:szCs w:val="22"/>
            <w:lang w:val="en-IE" w:eastAsia="en-IE"/>
          </w:rPr>
          <w:tab/>
        </w:r>
        <w:r w:rsidR="00C46507" w:rsidRPr="001A689B">
          <w:rPr>
            <w:rStyle w:val="Hyperlink"/>
          </w:rPr>
          <w:t>Annex 21:  List of bilateral meetings (targeted consultations)</w:t>
        </w:r>
        <w:r w:rsidR="00C46507">
          <w:rPr>
            <w:webHidden/>
          </w:rPr>
          <w:tab/>
        </w:r>
        <w:r w:rsidR="005851F4">
          <w:rPr>
            <w:webHidden/>
          </w:rPr>
          <w:t>210</w:t>
        </w:r>
      </w:hyperlink>
    </w:p>
    <w:p w14:paraId="63EF9A48" w14:textId="26300C31" w:rsidR="00C46507" w:rsidRDefault="00BC129D">
      <w:pPr>
        <w:pStyle w:val="TOC1"/>
        <w:rPr>
          <w:rFonts w:asciiTheme="minorHAnsi" w:eastAsiaTheme="minorEastAsia" w:hAnsiTheme="minorHAnsi" w:cstheme="minorBidi"/>
          <w:caps w:val="0"/>
          <w:sz w:val="22"/>
          <w:szCs w:val="22"/>
          <w:lang w:val="en-IE" w:eastAsia="en-IE"/>
        </w:rPr>
      </w:pPr>
      <w:hyperlink w:anchor="_Toc135237471" w:history="1">
        <w:r w:rsidR="00C46507" w:rsidRPr="001A689B">
          <w:rPr>
            <w:rStyle w:val="Hyperlink"/>
          </w:rPr>
          <w:t>V.</w:t>
        </w:r>
        <w:r w:rsidR="00C46507">
          <w:rPr>
            <w:rFonts w:asciiTheme="minorHAnsi" w:eastAsiaTheme="minorEastAsia" w:hAnsiTheme="minorHAnsi" w:cstheme="minorBidi"/>
            <w:caps w:val="0"/>
            <w:sz w:val="22"/>
            <w:szCs w:val="22"/>
            <w:lang w:val="en-IE" w:eastAsia="en-IE"/>
          </w:rPr>
          <w:tab/>
        </w:r>
        <w:r w:rsidR="00C46507" w:rsidRPr="001A689B">
          <w:rPr>
            <w:rStyle w:val="Hyperlink"/>
          </w:rPr>
          <w:t>Annex 22: Digital tools</w:t>
        </w:r>
        <w:r w:rsidR="00C46507">
          <w:rPr>
            <w:webHidden/>
          </w:rPr>
          <w:tab/>
        </w:r>
        <w:r w:rsidR="005851F4">
          <w:rPr>
            <w:webHidden/>
          </w:rPr>
          <w:t>212</w:t>
        </w:r>
      </w:hyperlink>
    </w:p>
    <w:p w14:paraId="79FEAEDE" w14:textId="57D28FB5" w:rsidR="00C46507" w:rsidRDefault="00BC129D">
      <w:pPr>
        <w:pStyle w:val="TOC1"/>
        <w:rPr>
          <w:rFonts w:asciiTheme="minorHAnsi" w:eastAsiaTheme="minorEastAsia" w:hAnsiTheme="minorHAnsi" w:cstheme="minorBidi"/>
          <w:caps w:val="0"/>
          <w:sz w:val="22"/>
          <w:szCs w:val="22"/>
          <w:lang w:val="en-IE" w:eastAsia="en-IE"/>
        </w:rPr>
      </w:pPr>
      <w:hyperlink w:anchor="_Toc135237472" w:history="1">
        <w:r w:rsidR="00C46507" w:rsidRPr="001A689B">
          <w:rPr>
            <w:rStyle w:val="Hyperlink"/>
          </w:rPr>
          <w:t>W.</w:t>
        </w:r>
        <w:r w:rsidR="00C46507">
          <w:rPr>
            <w:rFonts w:asciiTheme="minorHAnsi" w:eastAsiaTheme="minorEastAsia" w:hAnsiTheme="minorHAnsi" w:cstheme="minorBidi"/>
            <w:caps w:val="0"/>
            <w:sz w:val="22"/>
            <w:szCs w:val="22"/>
            <w:lang w:val="en-IE" w:eastAsia="en-IE"/>
          </w:rPr>
          <w:tab/>
        </w:r>
        <w:r w:rsidR="00C46507" w:rsidRPr="001A689B">
          <w:rPr>
            <w:rStyle w:val="Hyperlink"/>
          </w:rPr>
          <w:t>Annex 23:  Supporting information</w:t>
        </w:r>
        <w:r w:rsidR="00C46507">
          <w:rPr>
            <w:webHidden/>
          </w:rPr>
          <w:tab/>
        </w:r>
        <w:r w:rsidR="005851F4">
          <w:rPr>
            <w:webHidden/>
          </w:rPr>
          <w:t>218</w:t>
        </w:r>
      </w:hyperlink>
    </w:p>
    <w:p w14:paraId="3A877E5F" w14:textId="0355D46F" w:rsidR="00C46507" w:rsidRDefault="00BC129D">
      <w:pPr>
        <w:pStyle w:val="TOC1"/>
        <w:rPr>
          <w:rFonts w:asciiTheme="minorHAnsi" w:eastAsiaTheme="minorEastAsia" w:hAnsiTheme="minorHAnsi" w:cstheme="minorBidi"/>
          <w:caps w:val="0"/>
          <w:sz w:val="22"/>
          <w:szCs w:val="22"/>
          <w:lang w:val="en-IE" w:eastAsia="en-IE"/>
        </w:rPr>
      </w:pPr>
      <w:hyperlink w:anchor="_Toc135237473" w:history="1">
        <w:r w:rsidR="00C46507" w:rsidRPr="001A689B">
          <w:rPr>
            <w:rStyle w:val="Hyperlink"/>
          </w:rPr>
          <w:t>X.</w:t>
        </w:r>
        <w:r w:rsidR="00C46507">
          <w:rPr>
            <w:rFonts w:asciiTheme="minorHAnsi" w:eastAsiaTheme="minorEastAsia" w:hAnsiTheme="minorHAnsi" w:cstheme="minorBidi"/>
            <w:caps w:val="0"/>
            <w:sz w:val="22"/>
            <w:szCs w:val="22"/>
            <w:lang w:val="en-IE" w:eastAsia="en-IE"/>
          </w:rPr>
          <w:tab/>
        </w:r>
        <w:r w:rsidR="00C46507" w:rsidRPr="001A689B">
          <w:rPr>
            <w:rStyle w:val="Hyperlink"/>
          </w:rPr>
          <w:t>Annex 24: Monitoring and evaluation of impacts</w:t>
        </w:r>
        <w:r w:rsidR="00C46507">
          <w:rPr>
            <w:webHidden/>
          </w:rPr>
          <w:tab/>
        </w:r>
        <w:r w:rsidR="005851F4">
          <w:rPr>
            <w:webHidden/>
          </w:rPr>
          <w:t>220</w:t>
        </w:r>
      </w:hyperlink>
    </w:p>
    <w:p w14:paraId="7B07E8EF" w14:textId="777E3D76" w:rsidR="00C46507" w:rsidRDefault="00BC129D">
      <w:pPr>
        <w:pStyle w:val="TOC1"/>
        <w:rPr>
          <w:rFonts w:asciiTheme="minorHAnsi" w:eastAsiaTheme="minorEastAsia" w:hAnsiTheme="minorHAnsi" w:cstheme="minorBidi"/>
          <w:caps w:val="0"/>
          <w:sz w:val="22"/>
          <w:szCs w:val="22"/>
          <w:lang w:val="en-IE" w:eastAsia="en-IE"/>
        </w:rPr>
      </w:pPr>
      <w:hyperlink w:anchor="_Toc135237474" w:history="1">
        <w:r w:rsidR="00C46507" w:rsidRPr="001A689B">
          <w:rPr>
            <w:rStyle w:val="Hyperlink"/>
          </w:rPr>
          <w:t>Y.</w:t>
        </w:r>
        <w:r w:rsidR="00C46507">
          <w:rPr>
            <w:rFonts w:asciiTheme="minorHAnsi" w:eastAsiaTheme="minorEastAsia" w:hAnsiTheme="minorHAnsi" w:cstheme="minorBidi"/>
            <w:caps w:val="0"/>
            <w:sz w:val="22"/>
            <w:szCs w:val="22"/>
            <w:lang w:val="en-IE" w:eastAsia="en-IE"/>
          </w:rPr>
          <w:tab/>
        </w:r>
        <w:r w:rsidR="00C46507" w:rsidRPr="001A689B">
          <w:rPr>
            <w:rStyle w:val="Hyperlink"/>
          </w:rPr>
          <w:t>Annex 25: Overview of benefits and costs for business and for public authorities</w:t>
        </w:r>
        <w:r w:rsidR="00C46507">
          <w:rPr>
            <w:webHidden/>
          </w:rPr>
          <w:tab/>
        </w:r>
        <w:r w:rsidR="005851F4">
          <w:rPr>
            <w:webHidden/>
          </w:rPr>
          <w:t>221</w:t>
        </w:r>
      </w:hyperlink>
    </w:p>
    <w:p w14:paraId="3F63619B" w14:textId="798024A3" w:rsidR="001B0161" w:rsidRPr="00881BC8" w:rsidRDefault="004929D1" w:rsidP="000E3086">
      <w:pPr>
        <w:rPr>
          <w:noProof/>
        </w:rPr>
      </w:pPr>
      <w:r w:rsidRPr="00881BC8">
        <w:rPr>
          <w:rFonts w:asciiTheme="minorHAnsi" w:hAnsiTheme="minorHAnsi" w:cstheme="minorHAnsi"/>
          <w:smallCaps/>
          <w:noProof/>
          <w:sz w:val="20"/>
          <w:szCs w:val="20"/>
        </w:rPr>
        <w:fldChar w:fldCharType="end"/>
      </w:r>
    </w:p>
    <w:p w14:paraId="3F63619D" w14:textId="2F3625B2" w:rsidR="006B087E" w:rsidRPr="00881BC8" w:rsidRDefault="006B087E" w:rsidP="000E3086">
      <w:pPr>
        <w:rPr>
          <w:noProof/>
        </w:rPr>
      </w:pPr>
      <w:r w:rsidRPr="00881BC8">
        <w:rPr>
          <w:noProof/>
        </w:rPr>
        <w:t>Glossary</w:t>
      </w:r>
      <w:r w:rsidR="1580E3B3" w:rsidRPr="00881BC8">
        <w:rPr>
          <w:noProof/>
        </w:rPr>
        <w:t xml:space="preserve"> of acronyms</w:t>
      </w:r>
    </w:p>
    <w:tbl>
      <w:tblPr>
        <w:tblStyle w:val="TableGrid"/>
        <w:tblW w:w="0" w:type="auto"/>
        <w:tblLook w:val="04A0" w:firstRow="1" w:lastRow="0" w:firstColumn="1" w:lastColumn="0" w:noHBand="0" w:noVBand="1"/>
      </w:tblPr>
      <w:tblGrid>
        <w:gridCol w:w="1228"/>
        <w:gridCol w:w="7380"/>
      </w:tblGrid>
      <w:tr w:rsidR="006B087E" w:rsidRPr="00881BC8" w14:paraId="3F6361A0" w14:textId="77777777" w:rsidTr="00602256">
        <w:trPr>
          <w:trHeight w:val="227"/>
          <w:tblHeader/>
        </w:trPr>
        <w:tc>
          <w:tcPr>
            <w:tcW w:w="1228" w:type="dxa"/>
            <w:shd w:val="clear" w:color="auto" w:fill="F2F2F2" w:themeFill="background1" w:themeFillShade="F2"/>
          </w:tcPr>
          <w:p w14:paraId="3F63619E" w14:textId="56EC85FF" w:rsidR="006B087E" w:rsidRPr="00881BC8" w:rsidRDefault="1580E3B3" w:rsidP="000E3086">
            <w:pPr>
              <w:rPr>
                <w:b/>
                <w:noProof/>
                <w:sz w:val="18"/>
                <w:szCs w:val="18"/>
              </w:rPr>
            </w:pPr>
            <w:r w:rsidRPr="00881BC8">
              <w:rPr>
                <w:b/>
                <w:bCs/>
                <w:noProof/>
                <w:sz w:val="18"/>
                <w:szCs w:val="18"/>
              </w:rPr>
              <w:t>A</w:t>
            </w:r>
            <w:r w:rsidR="2FA53C4E" w:rsidRPr="00881BC8">
              <w:rPr>
                <w:b/>
                <w:bCs/>
                <w:noProof/>
                <w:sz w:val="18"/>
                <w:szCs w:val="18"/>
              </w:rPr>
              <w:t>cronym</w:t>
            </w:r>
          </w:p>
        </w:tc>
        <w:tc>
          <w:tcPr>
            <w:tcW w:w="7380" w:type="dxa"/>
            <w:shd w:val="clear" w:color="auto" w:fill="F2F2F2" w:themeFill="background1" w:themeFillShade="F2"/>
          </w:tcPr>
          <w:p w14:paraId="3F63619F" w14:textId="77777777" w:rsidR="006B087E" w:rsidRPr="00881BC8" w:rsidRDefault="006B087E" w:rsidP="000E3086">
            <w:pPr>
              <w:rPr>
                <w:b/>
                <w:noProof/>
                <w:sz w:val="18"/>
                <w:szCs w:val="18"/>
              </w:rPr>
            </w:pPr>
            <w:r w:rsidRPr="00881BC8">
              <w:rPr>
                <w:b/>
                <w:noProof/>
                <w:sz w:val="18"/>
                <w:szCs w:val="18"/>
              </w:rPr>
              <w:t>Meaning or definition</w:t>
            </w:r>
          </w:p>
        </w:tc>
      </w:tr>
      <w:tr w:rsidR="002E3773" w:rsidRPr="00881BC8" w14:paraId="7AD3061B" w14:textId="77777777" w:rsidTr="00602256">
        <w:trPr>
          <w:trHeight w:val="227"/>
        </w:trPr>
        <w:tc>
          <w:tcPr>
            <w:tcW w:w="1228" w:type="dxa"/>
            <w:tcMar>
              <w:top w:w="85" w:type="dxa"/>
              <w:left w:w="57" w:type="dxa"/>
              <w:bottom w:w="85" w:type="dxa"/>
              <w:right w:w="57" w:type="dxa"/>
            </w:tcMar>
          </w:tcPr>
          <w:p w14:paraId="0468D675" w14:textId="6DBFC05A" w:rsidR="002E3773" w:rsidRPr="00881BC8" w:rsidRDefault="002E3773" w:rsidP="717645B5">
            <w:pPr>
              <w:spacing w:after="0"/>
              <w:rPr>
                <w:noProof/>
                <w:sz w:val="18"/>
                <w:szCs w:val="18"/>
              </w:rPr>
            </w:pPr>
            <w:r w:rsidRPr="00881BC8">
              <w:rPr>
                <w:noProof/>
                <w:sz w:val="18"/>
                <w:szCs w:val="18"/>
              </w:rPr>
              <w:t>ADR</w:t>
            </w:r>
          </w:p>
        </w:tc>
        <w:tc>
          <w:tcPr>
            <w:tcW w:w="7380" w:type="dxa"/>
            <w:tcMar>
              <w:top w:w="85" w:type="dxa"/>
              <w:left w:w="57" w:type="dxa"/>
              <w:bottom w:w="85" w:type="dxa"/>
              <w:right w:w="57" w:type="dxa"/>
            </w:tcMar>
          </w:tcPr>
          <w:p w14:paraId="44F80B37" w14:textId="712B4111" w:rsidR="002E3773" w:rsidRPr="00881BC8" w:rsidRDefault="002E3773" w:rsidP="717645B5">
            <w:pPr>
              <w:spacing w:after="0"/>
              <w:rPr>
                <w:noProof/>
                <w:sz w:val="18"/>
                <w:szCs w:val="18"/>
              </w:rPr>
            </w:pPr>
            <w:r w:rsidRPr="00881BC8">
              <w:rPr>
                <w:noProof/>
                <w:sz w:val="18"/>
                <w:szCs w:val="18"/>
              </w:rPr>
              <w:t>Alternative dispute resolution</w:t>
            </w:r>
          </w:p>
        </w:tc>
      </w:tr>
      <w:tr w:rsidR="00D62358" w:rsidRPr="00881BC8" w14:paraId="32C705A5" w14:textId="77777777" w:rsidTr="00602256">
        <w:trPr>
          <w:trHeight w:val="227"/>
        </w:trPr>
        <w:tc>
          <w:tcPr>
            <w:tcW w:w="1228" w:type="dxa"/>
            <w:tcMar>
              <w:top w:w="85" w:type="dxa"/>
              <w:left w:w="57" w:type="dxa"/>
              <w:bottom w:w="85" w:type="dxa"/>
              <w:right w:w="57" w:type="dxa"/>
            </w:tcMar>
          </w:tcPr>
          <w:p w14:paraId="4ED6F757" w14:textId="437D9099" w:rsidR="00D62358" w:rsidRPr="00881BC8" w:rsidRDefault="00D62358" w:rsidP="717645B5">
            <w:pPr>
              <w:spacing w:after="0"/>
              <w:rPr>
                <w:noProof/>
                <w:sz w:val="18"/>
                <w:szCs w:val="18"/>
              </w:rPr>
            </w:pPr>
            <w:r w:rsidRPr="00881BC8">
              <w:rPr>
                <w:noProof/>
                <w:sz w:val="18"/>
                <w:szCs w:val="18"/>
              </w:rPr>
              <w:t>Automatic payment of interest and compensations</w:t>
            </w:r>
          </w:p>
        </w:tc>
        <w:tc>
          <w:tcPr>
            <w:tcW w:w="7380" w:type="dxa"/>
            <w:tcMar>
              <w:top w:w="85" w:type="dxa"/>
              <w:left w:w="57" w:type="dxa"/>
              <w:bottom w:w="85" w:type="dxa"/>
              <w:right w:w="57" w:type="dxa"/>
            </w:tcMar>
          </w:tcPr>
          <w:p w14:paraId="27DBB54D" w14:textId="6F78487B" w:rsidR="00D62358" w:rsidRPr="00881BC8" w:rsidRDefault="00D62358" w:rsidP="717645B5">
            <w:pPr>
              <w:spacing w:after="0"/>
              <w:rPr>
                <w:noProof/>
                <w:sz w:val="18"/>
                <w:szCs w:val="18"/>
              </w:rPr>
            </w:pPr>
            <w:r w:rsidRPr="00881BC8">
              <w:rPr>
                <w:noProof/>
                <w:sz w:val="18"/>
                <w:szCs w:val="18"/>
              </w:rPr>
              <w:t xml:space="preserve">The right to obtain interests and compensations cannot be surrendered by the creditor and </w:t>
            </w:r>
            <w:r w:rsidR="00575749" w:rsidRPr="00881BC8">
              <w:rPr>
                <w:noProof/>
                <w:sz w:val="18"/>
                <w:szCs w:val="18"/>
              </w:rPr>
              <w:t xml:space="preserve">cannot be </w:t>
            </w:r>
            <w:r w:rsidRPr="00881BC8">
              <w:rPr>
                <w:noProof/>
                <w:sz w:val="18"/>
                <w:szCs w:val="18"/>
              </w:rPr>
              <w:t>subject to negotiation</w:t>
            </w:r>
            <w:r w:rsidR="00575749" w:rsidRPr="00881BC8">
              <w:rPr>
                <w:noProof/>
                <w:sz w:val="18"/>
                <w:szCs w:val="18"/>
              </w:rPr>
              <w:t>s</w:t>
            </w:r>
            <w:r w:rsidRPr="00881BC8">
              <w:rPr>
                <w:noProof/>
                <w:sz w:val="18"/>
                <w:szCs w:val="18"/>
              </w:rPr>
              <w:t xml:space="preserve"> with debtor</w:t>
            </w:r>
            <w:r w:rsidR="00575749" w:rsidRPr="00881BC8">
              <w:rPr>
                <w:noProof/>
                <w:sz w:val="18"/>
                <w:szCs w:val="18"/>
              </w:rPr>
              <w:t>s</w:t>
            </w:r>
          </w:p>
        </w:tc>
      </w:tr>
      <w:tr w:rsidR="004942BC" w:rsidRPr="00881BC8" w14:paraId="7FF44E6E" w14:textId="77777777" w:rsidTr="00876B0A">
        <w:trPr>
          <w:trHeight w:val="227"/>
        </w:trPr>
        <w:tc>
          <w:tcPr>
            <w:tcW w:w="1228" w:type="dxa"/>
            <w:tcMar>
              <w:top w:w="85" w:type="dxa"/>
              <w:left w:w="57" w:type="dxa"/>
              <w:bottom w:w="85" w:type="dxa"/>
              <w:right w:w="57" w:type="dxa"/>
            </w:tcMar>
          </w:tcPr>
          <w:p w14:paraId="67EA5854" w14:textId="77777777" w:rsidR="004942BC" w:rsidRPr="00881BC8" w:rsidRDefault="004942BC" w:rsidP="00876B0A">
            <w:pPr>
              <w:spacing w:after="0"/>
              <w:rPr>
                <w:noProof/>
                <w:sz w:val="18"/>
                <w:szCs w:val="18"/>
              </w:rPr>
            </w:pPr>
            <w:r w:rsidRPr="00881BC8">
              <w:rPr>
                <w:noProof/>
                <w:sz w:val="18"/>
                <w:szCs w:val="18"/>
              </w:rPr>
              <w:t xml:space="preserve">average EU hourly labour cost </w:t>
            </w:r>
          </w:p>
        </w:tc>
        <w:tc>
          <w:tcPr>
            <w:tcW w:w="7380" w:type="dxa"/>
            <w:tcMar>
              <w:top w:w="85" w:type="dxa"/>
              <w:left w:w="57" w:type="dxa"/>
              <w:bottom w:w="85" w:type="dxa"/>
              <w:right w:w="57" w:type="dxa"/>
            </w:tcMar>
          </w:tcPr>
          <w:p w14:paraId="244B832E" w14:textId="40B82516" w:rsidR="004942BC" w:rsidRPr="00881BC8" w:rsidRDefault="004942BC" w:rsidP="00876B0A">
            <w:pPr>
              <w:spacing w:after="0"/>
              <w:rPr>
                <w:noProof/>
                <w:sz w:val="18"/>
                <w:szCs w:val="18"/>
              </w:rPr>
            </w:pPr>
            <w:r w:rsidRPr="00881BC8">
              <w:rPr>
                <w:noProof/>
                <w:sz w:val="18"/>
                <w:szCs w:val="18"/>
              </w:rPr>
              <w:t xml:space="preserve">An average EU-wide cost of man-hour applied under the OIOO approach, equal to EUR 25.70. Notably, Eurostat estimated that in 2022 EU-wide average hourly labour costs at EUR 30.50: </w:t>
            </w:r>
            <w:hyperlink r:id="rId25" w:history="1">
              <w:r w:rsidRPr="00881BC8">
                <w:rPr>
                  <w:rStyle w:val="Hyperlink"/>
                  <w:noProof/>
                  <w:sz w:val="18"/>
                  <w:szCs w:val="18"/>
                </w:rPr>
                <w:t>https://ec.europa.eu/eurostat/statistics-explained/index.php?title=Hourly_labour_costs</w:t>
              </w:r>
            </w:hyperlink>
            <w:r w:rsidRPr="00881BC8">
              <w:rPr>
                <w:noProof/>
                <w:sz w:val="18"/>
                <w:szCs w:val="18"/>
              </w:rPr>
              <w:t xml:space="preserve"> </w:t>
            </w:r>
          </w:p>
        </w:tc>
      </w:tr>
      <w:tr w:rsidR="717645B5" w:rsidRPr="00881BC8" w14:paraId="1718B79C" w14:textId="77777777" w:rsidTr="00602256">
        <w:trPr>
          <w:trHeight w:val="227"/>
        </w:trPr>
        <w:tc>
          <w:tcPr>
            <w:tcW w:w="1228" w:type="dxa"/>
            <w:tcMar>
              <w:top w:w="85" w:type="dxa"/>
              <w:left w:w="57" w:type="dxa"/>
              <w:bottom w:w="85" w:type="dxa"/>
              <w:right w:w="57" w:type="dxa"/>
            </w:tcMar>
          </w:tcPr>
          <w:p w14:paraId="17F93A67" w14:textId="38764B5D" w:rsidR="717645B5" w:rsidRPr="00881BC8" w:rsidRDefault="717645B5" w:rsidP="717645B5">
            <w:pPr>
              <w:spacing w:after="0"/>
              <w:rPr>
                <w:noProof/>
                <w:sz w:val="18"/>
                <w:szCs w:val="18"/>
              </w:rPr>
            </w:pPr>
            <w:r w:rsidRPr="00881BC8">
              <w:rPr>
                <w:noProof/>
                <w:sz w:val="18"/>
                <w:szCs w:val="18"/>
              </w:rPr>
              <w:t>B2B</w:t>
            </w:r>
          </w:p>
        </w:tc>
        <w:tc>
          <w:tcPr>
            <w:tcW w:w="7380" w:type="dxa"/>
            <w:tcMar>
              <w:top w:w="85" w:type="dxa"/>
              <w:left w:w="57" w:type="dxa"/>
              <w:bottom w:w="85" w:type="dxa"/>
              <w:right w:w="57" w:type="dxa"/>
            </w:tcMar>
          </w:tcPr>
          <w:p w14:paraId="0748AD9F" w14:textId="3DBE8EB2" w:rsidR="717645B5" w:rsidRPr="00881BC8" w:rsidRDefault="717645B5" w:rsidP="717645B5">
            <w:pPr>
              <w:spacing w:after="0"/>
              <w:rPr>
                <w:noProof/>
                <w:sz w:val="18"/>
                <w:szCs w:val="18"/>
              </w:rPr>
            </w:pPr>
            <w:r w:rsidRPr="00881BC8">
              <w:rPr>
                <w:noProof/>
                <w:sz w:val="18"/>
                <w:szCs w:val="18"/>
              </w:rPr>
              <w:t>Business-to-Business</w:t>
            </w:r>
          </w:p>
        </w:tc>
      </w:tr>
      <w:tr w:rsidR="001E3191" w:rsidRPr="00881BC8" w14:paraId="300D797A" w14:textId="77777777" w:rsidTr="00602256">
        <w:trPr>
          <w:trHeight w:val="227"/>
        </w:trPr>
        <w:tc>
          <w:tcPr>
            <w:tcW w:w="1228" w:type="dxa"/>
            <w:tcMar>
              <w:top w:w="85" w:type="dxa"/>
              <w:left w:w="57" w:type="dxa"/>
              <w:bottom w:w="85" w:type="dxa"/>
              <w:right w:w="57" w:type="dxa"/>
            </w:tcMar>
          </w:tcPr>
          <w:p w14:paraId="4246FEF0" w14:textId="77777777" w:rsidR="001E3191" w:rsidRPr="00881BC8" w:rsidRDefault="001E3191" w:rsidP="005C0DA0">
            <w:pPr>
              <w:spacing w:after="0"/>
              <w:rPr>
                <w:noProof/>
                <w:sz w:val="18"/>
                <w:szCs w:val="18"/>
              </w:rPr>
            </w:pPr>
            <w:r w:rsidRPr="00881BC8">
              <w:rPr>
                <w:noProof/>
                <w:sz w:val="18"/>
                <w:szCs w:val="18"/>
              </w:rPr>
              <w:t>B2B comparative study 2018</w:t>
            </w:r>
          </w:p>
        </w:tc>
        <w:tc>
          <w:tcPr>
            <w:tcW w:w="7380" w:type="dxa"/>
            <w:tcMar>
              <w:top w:w="85" w:type="dxa"/>
              <w:left w:w="57" w:type="dxa"/>
              <w:bottom w:w="85" w:type="dxa"/>
              <w:right w:w="57" w:type="dxa"/>
            </w:tcMar>
          </w:tcPr>
          <w:p w14:paraId="38AF16E1" w14:textId="73739E79" w:rsidR="001E3191" w:rsidRPr="00881BC8" w:rsidRDefault="001E3191" w:rsidP="005C0DA0">
            <w:pPr>
              <w:spacing w:after="0"/>
              <w:rPr>
                <w:noProof/>
                <w:sz w:val="18"/>
                <w:szCs w:val="18"/>
              </w:rPr>
            </w:pPr>
            <w:r w:rsidRPr="00881BC8">
              <w:rPr>
                <w:noProof/>
                <w:sz w:val="18"/>
                <w:szCs w:val="18"/>
              </w:rPr>
              <w:t>EU Commission study: Business-to-business transactions: a comparative analysis of legal measures vs. soft-law instruments for improving payment behaviour, 2018</w:t>
            </w:r>
            <w:r w:rsidR="005C5D03" w:rsidRPr="00881BC8">
              <w:rPr>
                <w:noProof/>
                <w:sz w:val="18"/>
                <w:szCs w:val="18"/>
              </w:rPr>
              <w:t xml:space="preserve">, </w:t>
            </w:r>
            <w:hyperlink r:id="rId26" w:history="1">
              <w:r w:rsidR="005C5D03" w:rsidRPr="00881BC8">
                <w:rPr>
                  <w:rStyle w:val="Hyperlink"/>
                  <w:noProof/>
                  <w:sz w:val="18"/>
                  <w:szCs w:val="18"/>
                </w:rPr>
                <w:t>https://publications.europa.eu/en/publication-detail/-/publication/c8b7391b-9b80-11e8-a408-01aa75ed71a1/language-en/format-PDF/source-103408786</w:t>
              </w:r>
            </w:hyperlink>
            <w:r w:rsidR="005C5D03" w:rsidRPr="00881BC8">
              <w:rPr>
                <w:noProof/>
                <w:sz w:val="18"/>
                <w:szCs w:val="18"/>
              </w:rPr>
              <w:t xml:space="preserve"> </w:t>
            </w:r>
          </w:p>
        </w:tc>
      </w:tr>
      <w:tr w:rsidR="00B75950" w:rsidRPr="00881BC8" w14:paraId="6FB0D7DA" w14:textId="77777777" w:rsidTr="00602256">
        <w:trPr>
          <w:trHeight w:val="227"/>
        </w:trPr>
        <w:tc>
          <w:tcPr>
            <w:tcW w:w="1228" w:type="dxa"/>
            <w:tcMar>
              <w:top w:w="85" w:type="dxa"/>
              <w:left w:w="57" w:type="dxa"/>
              <w:bottom w:w="85" w:type="dxa"/>
              <w:right w:w="57" w:type="dxa"/>
            </w:tcMar>
          </w:tcPr>
          <w:p w14:paraId="34755310" w14:textId="6DC1F9DF" w:rsidR="00B75950" w:rsidRPr="00881BC8" w:rsidRDefault="00B75950" w:rsidP="00362D62">
            <w:pPr>
              <w:spacing w:after="0"/>
              <w:rPr>
                <w:noProof/>
                <w:sz w:val="18"/>
                <w:szCs w:val="18"/>
              </w:rPr>
            </w:pPr>
            <w:r w:rsidRPr="00881BC8">
              <w:rPr>
                <w:noProof/>
                <w:sz w:val="18"/>
                <w:szCs w:val="18"/>
              </w:rPr>
              <w:t>B2C</w:t>
            </w:r>
          </w:p>
        </w:tc>
        <w:tc>
          <w:tcPr>
            <w:tcW w:w="7380" w:type="dxa"/>
            <w:tcMar>
              <w:top w:w="85" w:type="dxa"/>
              <w:left w:w="57" w:type="dxa"/>
              <w:bottom w:w="85" w:type="dxa"/>
              <w:right w:w="57" w:type="dxa"/>
            </w:tcMar>
          </w:tcPr>
          <w:p w14:paraId="14006F0C" w14:textId="1144AAA5" w:rsidR="00B75950" w:rsidRPr="00881BC8" w:rsidRDefault="00B75950" w:rsidP="00362D62">
            <w:pPr>
              <w:spacing w:after="0"/>
              <w:rPr>
                <w:noProof/>
                <w:sz w:val="18"/>
                <w:szCs w:val="18"/>
              </w:rPr>
            </w:pPr>
            <w:r w:rsidRPr="00881BC8">
              <w:rPr>
                <w:noProof/>
                <w:sz w:val="18"/>
                <w:szCs w:val="18"/>
              </w:rPr>
              <w:t>Business to consumers</w:t>
            </w:r>
          </w:p>
        </w:tc>
      </w:tr>
      <w:tr w:rsidR="00902461" w:rsidRPr="00881BC8" w14:paraId="06073705" w14:textId="77777777" w:rsidTr="00602256">
        <w:trPr>
          <w:trHeight w:val="227"/>
        </w:trPr>
        <w:tc>
          <w:tcPr>
            <w:tcW w:w="1228" w:type="dxa"/>
            <w:tcMar>
              <w:top w:w="85" w:type="dxa"/>
              <w:left w:w="57" w:type="dxa"/>
              <w:bottom w:w="85" w:type="dxa"/>
              <w:right w:w="57" w:type="dxa"/>
            </w:tcMar>
          </w:tcPr>
          <w:p w14:paraId="48811818" w14:textId="7305A0A6" w:rsidR="00902461" w:rsidRPr="00881BC8" w:rsidRDefault="007E3067" w:rsidP="00362D62">
            <w:pPr>
              <w:spacing w:after="0"/>
              <w:rPr>
                <w:noProof/>
                <w:sz w:val="18"/>
                <w:szCs w:val="18"/>
              </w:rPr>
            </w:pPr>
            <w:r w:rsidRPr="00881BC8">
              <w:rPr>
                <w:noProof/>
                <w:sz w:val="18"/>
                <w:szCs w:val="18"/>
              </w:rPr>
              <w:t>Commission report to the EP and the Council</w:t>
            </w:r>
          </w:p>
        </w:tc>
        <w:tc>
          <w:tcPr>
            <w:tcW w:w="7380" w:type="dxa"/>
            <w:tcMar>
              <w:top w:w="85" w:type="dxa"/>
              <w:left w:w="57" w:type="dxa"/>
              <w:bottom w:w="85" w:type="dxa"/>
              <w:right w:w="57" w:type="dxa"/>
            </w:tcMar>
          </w:tcPr>
          <w:p w14:paraId="1B8630B4" w14:textId="73EA6BF5" w:rsidR="00902461" w:rsidRPr="00881BC8" w:rsidRDefault="00902461" w:rsidP="00362D62">
            <w:pPr>
              <w:spacing w:after="0"/>
              <w:rPr>
                <w:noProof/>
                <w:sz w:val="18"/>
                <w:szCs w:val="18"/>
              </w:rPr>
            </w:pPr>
            <w:r w:rsidRPr="00881BC8">
              <w:rPr>
                <w:noProof/>
                <w:sz w:val="18"/>
                <w:szCs w:val="18"/>
              </w:rPr>
              <w:t>Commission Report to the European Parliament and to the Council on the implementation of the Late Payment Directive: COM (2016) 534 final</w:t>
            </w:r>
            <w:r w:rsidR="007E3067" w:rsidRPr="00881BC8">
              <w:rPr>
                <w:noProof/>
                <w:sz w:val="18"/>
                <w:szCs w:val="18"/>
              </w:rPr>
              <w:t xml:space="preserve">, </w:t>
            </w:r>
            <w:hyperlink r:id="rId27" w:history="1">
              <w:r w:rsidR="007E3067" w:rsidRPr="00881BC8">
                <w:rPr>
                  <w:rStyle w:val="Hyperlink"/>
                  <w:noProof/>
                  <w:sz w:val="18"/>
                  <w:szCs w:val="18"/>
                </w:rPr>
                <w:t>https://eur-lex.europa.eu/legal-content/EN/ALL/?uri=COM%3A2016%3A534%3AFIN</w:t>
              </w:r>
            </w:hyperlink>
            <w:r w:rsidR="002E552C" w:rsidRPr="00881BC8">
              <w:rPr>
                <w:noProof/>
                <w:sz w:val="18"/>
                <w:szCs w:val="18"/>
              </w:rPr>
              <w:t xml:space="preserve"> </w:t>
            </w:r>
            <w:r w:rsidR="007E3067" w:rsidRPr="00881BC8">
              <w:rPr>
                <w:noProof/>
                <w:sz w:val="18"/>
                <w:szCs w:val="18"/>
              </w:rPr>
              <w:t>(and the supporting SWD</w:t>
            </w:r>
            <w:r w:rsidR="0007162A" w:rsidRPr="00881BC8">
              <w:rPr>
                <w:noProof/>
                <w:sz w:val="18"/>
                <w:szCs w:val="18"/>
              </w:rPr>
              <w:t xml:space="preserve"> 2016 278</w:t>
            </w:r>
            <w:r w:rsidR="007E3067" w:rsidRPr="00881BC8">
              <w:rPr>
                <w:noProof/>
                <w:sz w:val="18"/>
                <w:szCs w:val="18"/>
              </w:rPr>
              <w:t xml:space="preserve">) </w:t>
            </w:r>
            <w:hyperlink r:id="rId28" w:history="1">
              <w:r w:rsidR="0007162A" w:rsidRPr="00881BC8">
                <w:rPr>
                  <w:rStyle w:val="Hyperlink"/>
                  <w:noProof/>
                  <w:sz w:val="18"/>
                  <w:szCs w:val="18"/>
                </w:rPr>
                <w:t>https://eur-lex.europa.eu/legal-content/EN/TXT/?uri=CELEX%3A52016SC0278</w:t>
              </w:r>
            </w:hyperlink>
            <w:r w:rsidR="0007162A" w:rsidRPr="00881BC8">
              <w:rPr>
                <w:noProof/>
                <w:sz w:val="18"/>
                <w:szCs w:val="18"/>
              </w:rPr>
              <w:t xml:space="preserve"> </w:t>
            </w:r>
          </w:p>
        </w:tc>
      </w:tr>
      <w:tr w:rsidR="00B45604" w:rsidRPr="00881BC8" w14:paraId="0B10FC71" w14:textId="77777777" w:rsidTr="00602256">
        <w:trPr>
          <w:trHeight w:val="227"/>
        </w:trPr>
        <w:tc>
          <w:tcPr>
            <w:tcW w:w="1228" w:type="dxa"/>
            <w:tcMar>
              <w:top w:w="85" w:type="dxa"/>
              <w:left w:w="57" w:type="dxa"/>
              <w:bottom w:w="85" w:type="dxa"/>
              <w:right w:w="57" w:type="dxa"/>
            </w:tcMar>
          </w:tcPr>
          <w:p w14:paraId="77C25122" w14:textId="180F53FC" w:rsidR="00B45604" w:rsidRPr="00881BC8" w:rsidRDefault="00B45604" w:rsidP="00362D62">
            <w:pPr>
              <w:spacing w:after="0"/>
              <w:rPr>
                <w:noProof/>
                <w:sz w:val="18"/>
                <w:szCs w:val="18"/>
              </w:rPr>
            </w:pPr>
            <w:r w:rsidRPr="00881BC8">
              <w:rPr>
                <w:noProof/>
                <w:sz w:val="18"/>
                <w:szCs w:val="18"/>
              </w:rPr>
              <w:t>Commission Study 2021</w:t>
            </w:r>
          </w:p>
        </w:tc>
        <w:tc>
          <w:tcPr>
            <w:tcW w:w="7380" w:type="dxa"/>
            <w:tcMar>
              <w:top w:w="85" w:type="dxa"/>
              <w:left w:w="57" w:type="dxa"/>
              <w:bottom w:w="85" w:type="dxa"/>
              <w:right w:w="57" w:type="dxa"/>
            </w:tcMar>
          </w:tcPr>
          <w:p w14:paraId="1A8934C0" w14:textId="033C8A72" w:rsidR="00B45604" w:rsidRPr="00881BC8" w:rsidRDefault="00B45604" w:rsidP="00B45604">
            <w:pPr>
              <w:pStyle w:val="FootnoteText"/>
              <w:rPr>
                <w:noProof/>
                <w:sz w:val="18"/>
                <w:szCs w:val="18"/>
              </w:rPr>
            </w:pPr>
            <w:r w:rsidRPr="00881BC8">
              <w:rPr>
                <w:noProof/>
                <w:sz w:val="18"/>
                <w:szCs w:val="18"/>
              </w:rPr>
              <w:t xml:space="preserve">Building a responsible payment culture – improving the effectiveness of the Late Payment Directive. </w:t>
            </w:r>
            <w:hyperlink r:id="rId29" w:history="1">
              <w:r w:rsidRPr="00881BC8">
                <w:rPr>
                  <w:rStyle w:val="Hyperlink"/>
                  <w:noProof/>
                  <w:sz w:val="18"/>
                  <w:szCs w:val="18"/>
                </w:rPr>
                <w:t>https://op.europa.eu/en/publication-detail/-/publication/cb4bc1bd-1467-11ed-8fa0-01aa75ed71a1/language-en/format-PDF/source-search</w:t>
              </w:r>
            </w:hyperlink>
            <w:r w:rsidRPr="00881BC8">
              <w:rPr>
                <w:noProof/>
                <w:sz w:val="18"/>
                <w:szCs w:val="18"/>
              </w:rPr>
              <w:t xml:space="preserve"> </w:t>
            </w:r>
          </w:p>
          <w:p w14:paraId="74AF7B10" w14:textId="77777777" w:rsidR="00B45604" w:rsidRPr="00881BC8" w:rsidRDefault="00B45604" w:rsidP="00362D62">
            <w:pPr>
              <w:spacing w:after="0"/>
              <w:rPr>
                <w:noProof/>
                <w:sz w:val="18"/>
                <w:szCs w:val="18"/>
              </w:rPr>
            </w:pPr>
          </w:p>
        </w:tc>
      </w:tr>
      <w:tr w:rsidR="006E0FEB" w:rsidRPr="00881BC8" w14:paraId="7E7826B7" w14:textId="77777777" w:rsidTr="00602256">
        <w:trPr>
          <w:trHeight w:val="227"/>
        </w:trPr>
        <w:tc>
          <w:tcPr>
            <w:tcW w:w="1228" w:type="dxa"/>
            <w:tcMar>
              <w:top w:w="85" w:type="dxa"/>
              <w:left w:w="57" w:type="dxa"/>
              <w:bottom w:w="85" w:type="dxa"/>
              <w:right w:w="57" w:type="dxa"/>
            </w:tcMar>
          </w:tcPr>
          <w:p w14:paraId="154FAE7C" w14:textId="6A603A0A" w:rsidR="006E0FEB" w:rsidRPr="00881BC8" w:rsidRDefault="00D92458" w:rsidP="00362D62">
            <w:pPr>
              <w:spacing w:after="0"/>
              <w:rPr>
                <w:noProof/>
                <w:sz w:val="18"/>
                <w:szCs w:val="18"/>
              </w:rPr>
            </w:pPr>
            <w:r w:rsidRPr="00881BC8">
              <w:rPr>
                <w:noProof/>
                <w:sz w:val="18"/>
                <w:szCs w:val="18"/>
              </w:rPr>
              <w:t xml:space="preserve">Corporate Social Reporting Directive or </w:t>
            </w:r>
            <w:r w:rsidR="006E0FEB" w:rsidRPr="00881BC8">
              <w:rPr>
                <w:noProof/>
                <w:sz w:val="18"/>
                <w:szCs w:val="18"/>
              </w:rPr>
              <w:t>CSRD</w:t>
            </w:r>
          </w:p>
        </w:tc>
        <w:tc>
          <w:tcPr>
            <w:tcW w:w="7380" w:type="dxa"/>
            <w:tcMar>
              <w:top w:w="85" w:type="dxa"/>
              <w:left w:w="57" w:type="dxa"/>
              <w:bottom w:w="85" w:type="dxa"/>
              <w:right w:w="57" w:type="dxa"/>
            </w:tcMar>
          </w:tcPr>
          <w:p w14:paraId="2CE59454" w14:textId="7A8A8B57" w:rsidR="006E0FEB" w:rsidRPr="00881BC8" w:rsidRDefault="006E0FEB" w:rsidP="00362D62">
            <w:pPr>
              <w:spacing w:after="0"/>
              <w:rPr>
                <w:noProof/>
                <w:sz w:val="18"/>
                <w:szCs w:val="18"/>
              </w:rPr>
            </w:pPr>
            <w:r w:rsidRPr="00881BC8">
              <w:rPr>
                <w:noProof/>
                <w:sz w:val="18"/>
                <w:szCs w:val="18"/>
              </w:rPr>
              <w:t>Directive 2022/2464 of the European Parliament and of the Council of 14 December 2022 amending Regulation (EU) No 537/2014, Directive 2004/109/EC, Directive 2006/43/EC and Directive 2013/34/EU, as regards corporate sustainability reporting</w:t>
            </w:r>
            <w:r w:rsidR="00D92458" w:rsidRPr="00881BC8">
              <w:rPr>
                <w:noProof/>
                <w:sz w:val="18"/>
                <w:szCs w:val="18"/>
              </w:rPr>
              <w:t>.</w:t>
            </w:r>
          </w:p>
        </w:tc>
      </w:tr>
      <w:tr w:rsidR="000A4F60" w:rsidRPr="00881BC8" w14:paraId="0C0CA035" w14:textId="77777777" w:rsidTr="00602256">
        <w:tc>
          <w:tcPr>
            <w:tcW w:w="1228" w:type="dxa"/>
            <w:tcMar>
              <w:top w:w="85" w:type="dxa"/>
              <w:left w:w="57" w:type="dxa"/>
              <w:bottom w:w="85" w:type="dxa"/>
              <w:right w:w="57" w:type="dxa"/>
            </w:tcMar>
          </w:tcPr>
          <w:p w14:paraId="32F72775" w14:textId="6FD66BA5" w:rsidR="000A4F60" w:rsidRPr="00881BC8" w:rsidRDefault="000A4F60" w:rsidP="00E33403">
            <w:pPr>
              <w:rPr>
                <w:noProof/>
                <w:sz w:val="18"/>
                <w:szCs w:val="18"/>
              </w:rPr>
            </w:pPr>
            <w:r w:rsidRPr="00881BC8">
              <w:rPr>
                <w:noProof/>
                <w:sz w:val="18"/>
                <w:szCs w:val="18"/>
              </w:rPr>
              <w:t>CWP</w:t>
            </w:r>
            <w:r w:rsidR="00DE4B93" w:rsidRPr="00881BC8">
              <w:rPr>
                <w:noProof/>
                <w:sz w:val="18"/>
                <w:szCs w:val="18"/>
              </w:rPr>
              <w:t xml:space="preserve"> 2023</w:t>
            </w:r>
          </w:p>
        </w:tc>
        <w:tc>
          <w:tcPr>
            <w:tcW w:w="7380" w:type="dxa"/>
            <w:tcMar>
              <w:top w:w="85" w:type="dxa"/>
              <w:left w:w="57" w:type="dxa"/>
              <w:bottom w:w="85" w:type="dxa"/>
              <w:right w:w="57" w:type="dxa"/>
            </w:tcMar>
          </w:tcPr>
          <w:p w14:paraId="4EB18A1F" w14:textId="4497F561" w:rsidR="000A4F60" w:rsidRPr="00881BC8" w:rsidRDefault="000A4F60" w:rsidP="00E33403">
            <w:pPr>
              <w:rPr>
                <w:noProof/>
                <w:sz w:val="18"/>
                <w:szCs w:val="18"/>
              </w:rPr>
            </w:pPr>
            <w:r w:rsidRPr="00881BC8">
              <w:rPr>
                <w:noProof/>
                <w:sz w:val="18"/>
                <w:szCs w:val="18"/>
              </w:rPr>
              <w:t>Commission Work Programme</w:t>
            </w:r>
            <w:r w:rsidR="00DE4B93" w:rsidRPr="00881BC8">
              <w:rPr>
                <w:noProof/>
                <w:sz w:val="18"/>
                <w:szCs w:val="18"/>
              </w:rPr>
              <w:t xml:space="preserve"> 2023, </w:t>
            </w:r>
            <w:hyperlink r:id="rId30" w:history="1">
              <w:r w:rsidR="00DE4B93" w:rsidRPr="00881BC8">
                <w:rPr>
                  <w:rStyle w:val="Hyperlink"/>
                  <w:noProof/>
                  <w:sz w:val="18"/>
                  <w:szCs w:val="18"/>
                </w:rPr>
                <w:t>https://commission.europa.eu/strategy-documents/commission-work-programme/commission-work-programme-2023_en</w:t>
              </w:r>
            </w:hyperlink>
          </w:p>
        </w:tc>
      </w:tr>
      <w:tr w:rsidR="008F7E29" w:rsidRPr="00881BC8" w14:paraId="25FECB8A" w14:textId="77777777" w:rsidTr="00602256">
        <w:tc>
          <w:tcPr>
            <w:tcW w:w="1228" w:type="dxa"/>
            <w:tcMar>
              <w:top w:w="85" w:type="dxa"/>
              <w:left w:w="57" w:type="dxa"/>
              <w:bottom w:w="85" w:type="dxa"/>
              <w:right w:w="57" w:type="dxa"/>
            </w:tcMar>
          </w:tcPr>
          <w:p w14:paraId="38E48135" w14:textId="107045F4" w:rsidR="008F7E29" w:rsidRPr="00881BC8" w:rsidRDefault="008F7E29" w:rsidP="00E33403">
            <w:pPr>
              <w:rPr>
                <w:bCs/>
                <w:noProof/>
                <w:sz w:val="18"/>
                <w:szCs w:val="18"/>
              </w:rPr>
            </w:pPr>
            <w:r w:rsidRPr="00881BC8">
              <w:rPr>
                <w:bCs/>
                <w:noProof/>
                <w:sz w:val="18"/>
                <w:szCs w:val="18"/>
              </w:rPr>
              <w:t>D&amp;B payment survey 2022</w:t>
            </w:r>
          </w:p>
        </w:tc>
        <w:tc>
          <w:tcPr>
            <w:tcW w:w="7380" w:type="dxa"/>
            <w:tcMar>
              <w:top w:w="85" w:type="dxa"/>
              <w:left w:w="57" w:type="dxa"/>
              <w:bottom w:w="85" w:type="dxa"/>
              <w:right w:w="57" w:type="dxa"/>
            </w:tcMar>
          </w:tcPr>
          <w:p w14:paraId="313DAC11" w14:textId="14AD6C66" w:rsidR="008F7E29" w:rsidRPr="00881BC8" w:rsidRDefault="00BC129D" w:rsidP="00E33403">
            <w:pPr>
              <w:rPr>
                <w:bCs/>
                <w:noProof/>
                <w:sz w:val="18"/>
                <w:szCs w:val="18"/>
                <w:u w:val="single"/>
              </w:rPr>
            </w:pPr>
            <w:hyperlink r:id="rId31" w:history="1">
              <w:r w:rsidR="008F7E29" w:rsidRPr="00881BC8">
                <w:rPr>
                  <w:rStyle w:val="Hyperlink"/>
                  <w:bCs/>
                  <w:noProof/>
                  <w:sz w:val="18"/>
                  <w:szCs w:val="18"/>
                </w:rPr>
                <w:t>https://www.dnb.com/en-ch/knowledge/study/payment-study-2022-download/</w:t>
              </w:r>
            </w:hyperlink>
          </w:p>
        </w:tc>
      </w:tr>
      <w:tr w:rsidR="00BB4C30" w:rsidRPr="00881BC8" w14:paraId="50CF4894" w14:textId="77777777" w:rsidTr="00602256">
        <w:tc>
          <w:tcPr>
            <w:tcW w:w="1228" w:type="dxa"/>
            <w:tcMar>
              <w:top w:w="85" w:type="dxa"/>
              <w:left w:w="57" w:type="dxa"/>
              <w:bottom w:w="85" w:type="dxa"/>
              <w:right w:w="57" w:type="dxa"/>
            </w:tcMar>
          </w:tcPr>
          <w:p w14:paraId="4F7091C0" w14:textId="58D68711" w:rsidR="00BB4C30" w:rsidRPr="00881BC8" w:rsidRDefault="00BB4C30" w:rsidP="00E33403">
            <w:pPr>
              <w:rPr>
                <w:noProof/>
                <w:sz w:val="18"/>
                <w:szCs w:val="18"/>
              </w:rPr>
            </w:pPr>
            <w:r w:rsidRPr="00881BC8">
              <w:rPr>
                <w:noProof/>
                <w:sz w:val="18"/>
                <w:szCs w:val="18"/>
              </w:rPr>
              <w:t>Dies ad quem</w:t>
            </w:r>
          </w:p>
        </w:tc>
        <w:tc>
          <w:tcPr>
            <w:tcW w:w="7380" w:type="dxa"/>
            <w:tcMar>
              <w:top w:w="85" w:type="dxa"/>
              <w:left w:w="57" w:type="dxa"/>
              <w:bottom w:w="85" w:type="dxa"/>
              <w:right w:w="57" w:type="dxa"/>
            </w:tcMar>
          </w:tcPr>
          <w:p w14:paraId="2C94500A" w14:textId="0C543736" w:rsidR="00BB4C30" w:rsidRPr="00881BC8" w:rsidRDefault="00BB4C30" w:rsidP="00E33403">
            <w:pPr>
              <w:rPr>
                <w:noProof/>
                <w:sz w:val="18"/>
                <w:szCs w:val="18"/>
              </w:rPr>
            </w:pPr>
            <w:r w:rsidRPr="00881BC8">
              <w:rPr>
                <w:noProof/>
                <w:sz w:val="18"/>
                <w:szCs w:val="18"/>
              </w:rPr>
              <w:t xml:space="preserve">Ending day </w:t>
            </w:r>
            <w:r w:rsidR="00D62358" w:rsidRPr="00881BC8">
              <w:rPr>
                <w:noProof/>
                <w:sz w:val="18"/>
                <w:szCs w:val="18"/>
              </w:rPr>
              <w:t>of a period or deadline</w:t>
            </w:r>
          </w:p>
        </w:tc>
      </w:tr>
      <w:tr w:rsidR="009F53C1" w:rsidRPr="00881BC8" w14:paraId="4BC10E78" w14:textId="77777777" w:rsidTr="00602256">
        <w:tc>
          <w:tcPr>
            <w:tcW w:w="1228" w:type="dxa"/>
            <w:tcMar>
              <w:top w:w="85" w:type="dxa"/>
              <w:left w:w="57" w:type="dxa"/>
              <w:bottom w:w="85" w:type="dxa"/>
              <w:right w:w="57" w:type="dxa"/>
            </w:tcMar>
          </w:tcPr>
          <w:p w14:paraId="1BEA383C" w14:textId="77777777" w:rsidR="009F53C1" w:rsidRPr="00881BC8" w:rsidRDefault="009F53C1" w:rsidP="00E33403">
            <w:pPr>
              <w:rPr>
                <w:noProof/>
                <w:sz w:val="18"/>
                <w:szCs w:val="18"/>
              </w:rPr>
            </w:pPr>
            <w:r w:rsidRPr="00881BC8">
              <w:rPr>
                <w:noProof/>
                <w:sz w:val="18"/>
                <w:szCs w:val="18"/>
              </w:rPr>
              <w:t>ECJ</w:t>
            </w:r>
          </w:p>
        </w:tc>
        <w:tc>
          <w:tcPr>
            <w:tcW w:w="7380" w:type="dxa"/>
            <w:tcMar>
              <w:top w:w="85" w:type="dxa"/>
              <w:left w:w="57" w:type="dxa"/>
              <w:bottom w:w="85" w:type="dxa"/>
              <w:right w:w="57" w:type="dxa"/>
            </w:tcMar>
          </w:tcPr>
          <w:p w14:paraId="037C1F15" w14:textId="77777777" w:rsidR="009F53C1" w:rsidRPr="00881BC8" w:rsidRDefault="009F53C1" w:rsidP="00E33403">
            <w:pPr>
              <w:rPr>
                <w:noProof/>
                <w:sz w:val="18"/>
                <w:szCs w:val="18"/>
              </w:rPr>
            </w:pPr>
            <w:r w:rsidRPr="00881BC8">
              <w:rPr>
                <w:noProof/>
                <w:sz w:val="18"/>
                <w:szCs w:val="18"/>
              </w:rPr>
              <w:t>European Court of Justice</w:t>
            </w:r>
          </w:p>
        </w:tc>
      </w:tr>
      <w:tr w:rsidR="0075501E" w:rsidRPr="00881BC8" w14:paraId="54A84FE8" w14:textId="77777777" w:rsidTr="00602256">
        <w:tc>
          <w:tcPr>
            <w:tcW w:w="1228" w:type="dxa"/>
            <w:tcMar>
              <w:top w:w="85" w:type="dxa"/>
              <w:left w:w="57" w:type="dxa"/>
              <w:bottom w:w="85" w:type="dxa"/>
              <w:right w:w="57" w:type="dxa"/>
            </w:tcMar>
          </w:tcPr>
          <w:p w14:paraId="5EEA1DB1" w14:textId="77777777" w:rsidR="0075501E" w:rsidRPr="00881BC8" w:rsidRDefault="0075501E" w:rsidP="007D3546">
            <w:pPr>
              <w:rPr>
                <w:noProof/>
                <w:sz w:val="18"/>
                <w:szCs w:val="18"/>
              </w:rPr>
            </w:pPr>
            <w:r w:rsidRPr="00881BC8">
              <w:rPr>
                <w:noProof/>
                <w:sz w:val="18"/>
                <w:szCs w:val="18"/>
              </w:rPr>
              <w:t xml:space="preserve">Economisti Study 2022 </w:t>
            </w:r>
          </w:p>
        </w:tc>
        <w:tc>
          <w:tcPr>
            <w:tcW w:w="7380" w:type="dxa"/>
            <w:tcMar>
              <w:top w:w="85" w:type="dxa"/>
              <w:left w:w="57" w:type="dxa"/>
              <w:bottom w:w="85" w:type="dxa"/>
              <w:right w:w="57" w:type="dxa"/>
            </w:tcMar>
          </w:tcPr>
          <w:p w14:paraId="5682028A" w14:textId="77777777" w:rsidR="0075501E" w:rsidRPr="00881BC8" w:rsidRDefault="0075501E" w:rsidP="007D3546">
            <w:pPr>
              <w:rPr>
                <w:noProof/>
                <w:sz w:val="18"/>
                <w:szCs w:val="18"/>
              </w:rPr>
            </w:pPr>
            <w:r w:rsidRPr="00881BC8">
              <w:rPr>
                <w:noProof/>
                <w:sz w:val="18"/>
                <w:szCs w:val="18"/>
              </w:rPr>
              <w:t>Economisti Associati, Nomisma, Crif, Milieu : Building a responsible payment culture in the EU – Improving the effectiveness of the Late Payment Directive (2011/7/EU)</w:t>
            </w:r>
          </w:p>
        </w:tc>
      </w:tr>
      <w:tr w:rsidR="009F53C1" w:rsidRPr="00881BC8" w14:paraId="0151C8D2" w14:textId="77777777" w:rsidTr="00602256">
        <w:trPr>
          <w:trHeight w:val="227"/>
        </w:trPr>
        <w:tc>
          <w:tcPr>
            <w:tcW w:w="1228" w:type="dxa"/>
            <w:tcMar>
              <w:top w:w="85" w:type="dxa"/>
              <w:left w:w="57" w:type="dxa"/>
              <w:bottom w:w="85" w:type="dxa"/>
              <w:right w:w="57" w:type="dxa"/>
            </w:tcMar>
          </w:tcPr>
          <w:p w14:paraId="6989AF03" w14:textId="77777777" w:rsidR="009F53C1" w:rsidRPr="00881BC8" w:rsidRDefault="009F53C1" w:rsidP="00351318">
            <w:pPr>
              <w:spacing w:after="0"/>
              <w:rPr>
                <w:noProof/>
                <w:sz w:val="18"/>
                <w:szCs w:val="18"/>
              </w:rPr>
            </w:pPr>
            <w:r w:rsidRPr="00881BC8">
              <w:rPr>
                <w:noProof/>
                <w:sz w:val="18"/>
                <w:szCs w:val="18"/>
              </w:rPr>
              <w:t>ECOSOC</w:t>
            </w:r>
          </w:p>
        </w:tc>
        <w:tc>
          <w:tcPr>
            <w:tcW w:w="7380" w:type="dxa"/>
            <w:tcMar>
              <w:top w:w="85" w:type="dxa"/>
              <w:left w:w="57" w:type="dxa"/>
              <w:bottom w:w="85" w:type="dxa"/>
              <w:right w:w="57" w:type="dxa"/>
            </w:tcMar>
          </w:tcPr>
          <w:p w14:paraId="620BFF66" w14:textId="77777777" w:rsidR="009F53C1" w:rsidRPr="00881BC8" w:rsidRDefault="009F53C1" w:rsidP="00351318">
            <w:pPr>
              <w:spacing w:after="0"/>
              <w:rPr>
                <w:noProof/>
                <w:sz w:val="18"/>
                <w:szCs w:val="18"/>
              </w:rPr>
            </w:pPr>
            <w:r w:rsidRPr="00881BC8">
              <w:rPr>
                <w:noProof/>
                <w:sz w:val="18"/>
                <w:szCs w:val="18"/>
              </w:rPr>
              <w:t>European Economic and Social Committee</w:t>
            </w:r>
          </w:p>
        </w:tc>
      </w:tr>
      <w:tr w:rsidR="009F53C1" w:rsidRPr="00881BC8" w14:paraId="5011EC37" w14:textId="77777777" w:rsidTr="00602256">
        <w:trPr>
          <w:trHeight w:val="227"/>
        </w:trPr>
        <w:tc>
          <w:tcPr>
            <w:tcW w:w="1228" w:type="dxa"/>
            <w:tcMar>
              <w:top w:w="85" w:type="dxa"/>
              <w:left w:w="57" w:type="dxa"/>
              <w:bottom w:w="85" w:type="dxa"/>
              <w:right w:w="57" w:type="dxa"/>
            </w:tcMar>
          </w:tcPr>
          <w:p w14:paraId="7DCA4F97" w14:textId="4C302CBA" w:rsidR="009F53C1" w:rsidRPr="00881BC8" w:rsidRDefault="009F53C1" w:rsidP="004237FD">
            <w:pPr>
              <w:spacing w:after="0"/>
              <w:rPr>
                <w:noProof/>
                <w:sz w:val="18"/>
                <w:szCs w:val="18"/>
              </w:rPr>
            </w:pPr>
            <w:r w:rsidRPr="00881BC8">
              <w:rPr>
                <w:noProof/>
                <w:sz w:val="18"/>
                <w:szCs w:val="18"/>
              </w:rPr>
              <w:t xml:space="preserve">EPR </w:t>
            </w:r>
            <w:r w:rsidR="00D712E1" w:rsidRPr="00881BC8">
              <w:rPr>
                <w:noProof/>
                <w:sz w:val="18"/>
                <w:szCs w:val="18"/>
              </w:rPr>
              <w:t>[….]</w:t>
            </w:r>
          </w:p>
        </w:tc>
        <w:tc>
          <w:tcPr>
            <w:tcW w:w="7380" w:type="dxa"/>
            <w:tcMar>
              <w:top w:w="85" w:type="dxa"/>
              <w:left w:w="57" w:type="dxa"/>
              <w:bottom w:w="85" w:type="dxa"/>
              <w:right w:w="57" w:type="dxa"/>
            </w:tcMar>
          </w:tcPr>
          <w:p w14:paraId="555C46B8" w14:textId="77777777" w:rsidR="009F53C1" w:rsidRPr="00881BC8" w:rsidRDefault="009F53C1" w:rsidP="004237FD">
            <w:pPr>
              <w:spacing w:after="0"/>
              <w:rPr>
                <w:noProof/>
                <w:sz w:val="18"/>
                <w:szCs w:val="18"/>
              </w:rPr>
            </w:pPr>
            <w:r w:rsidRPr="00881BC8">
              <w:rPr>
                <w:noProof/>
                <w:sz w:val="18"/>
                <w:szCs w:val="18"/>
              </w:rPr>
              <w:t>European Payment Report, Intrum (different years)</w:t>
            </w:r>
          </w:p>
        </w:tc>
      </w:tr>
      <w:tr w:rsidR="009F53C1" w:rsidRPr="00881BC8" w14:paraId="470A99E0" w14:textId="77777777" w:rsidTr="00602256">
        <w:trPr>
          <w:trHeight w:val="227"/>
        </w:trPr>
        <w:tc>
          <w:tcPr>
            <w:tcW w:w="1228" w:type="dxa"/>
            <w:tcMar>
              <w:top w:w="85" w:type="dxa"/>
              <w:left w:w="57" w:type="dxa"/>
              <w:bottom w:w="85" w:type="dxa"/>
              <w:right w:w="57" w:type="dxa"/>
            </w:tcMar>
          </w:tcPr>
          <w:p w14:paraId="0631F93F" w14:textId="201C4C9B" w:rsidR="009F53C1" w:rsidRPr="00881BC8" w:rsidRDefault="009F53C1" w:rsidP="002E321E">
            <w:pPr>
              <w:rPr>
                <w:noProof/>
                <w:sz w:val="18"/>
                <w:szCs w:val="18"/>
              </w:rPr>
            </w:pPr>
            <w:r w:rsidRPr="00881BC8">
              <w:rPr>
                <w:noProof/>
                <w:sz w:val="18"/>
                <w:szCs w:val="18"/>
              </w:rPr>
              <w:t xml:space="preserve">EP Resolution </w:t>
            </w:r>
            <w:r w:rsidR="004E24A9" w:rsidRPr="00881BC8">
              <w:rPr>
                <w:noProof/>
                <w:sz w:val="18"/>
                <w:szCs w:val="18"/>
              </w:rPr>
              <w:t>2019</w:t>
            </w:r>
          </w:p>
        </w:tc>
        <w:tc>
          <w:tcPr>
            <w:tcW w:w="7380" w:type="dxa"/>
            <w:tcMar>
              <w:top w:w="85" w:type="dxa"/>
              <w:left w:w="57" w:type="dxa"/>
              <w:bottom w:w="85" w:type="dxa"/>
              <w:right w:w="57" w:type="dxa"/>
            </w:tcMar>
          </w:tcPr>
          <w:p w14:paraId="4633A9EC" w14:textId="5C244D95" w:rsidR="00A118FA" w:rsidRPr="00881BC8" w:rsidRDefault="009F53C1" w:rsidP="00A118FA">
            <w:pPr>
              <w:rPr>
                <w:noProof/>
                <w:sz w:val="18"/>
                <w:szCs w:val="18"/>
              </w:rPr>
            </w:pPr>
            <w:r w:rsidRPr="00881BC8">
              <w:rPr>
                <w:noProof/>
                <w:sz w:val="18"/>
                <w:szCs w:val="18"/>
              </w:rPr>
              <w:t>Resolution of the European Parliament on the implementation of the Late Payment Directive, 2019</w:t>
            </w:r>
            <w:r w:rsidR="00A118FA" w:rsidRPr="00881BC8">
              <w:rPr>
                <w:noProof/>
                <w:sz w:val="18"/>
                <w:szCs w:val="18"/>
              </w:rPr>
              <w:t xml:space="preserve">, </w:t>
            </w:r>
            <w:hyperlink r:id="rId32" w:history="1">
              <w:r w:rsidR="00A118FA" w:rsidRPr="00881BC8">
                <w:rPr>
                  <w:rStyle w:val="Hyperlink"/>
                  <w:noProof/>
                  <w:sz w:val="18"/>
                  <w:szCs w:val="18"/>
                </w:rPr>
                <w:t>https://www.europarl.europa.eu/doceo/document/TA-8-2019-0042_EN.html</w:t>
              </w:r>
            </w:hyperlink>
          </w:p>
        </w:tc>
      </w:tr>
      <w:tr w:rsidR="00701C10" w:rsidRPr="00881BC8" w14:paraId="74E08A7F" w14:textId="77777777" w:rsidTr="00602256">
        <w:trPr>
          <w:trHeight w:val="227"/>
        </w:trPr>
        <w:tc>
          <w:tcPr>
            <w:tcW w:w="1228" w:type="dxa"/>
            <w:tcMar>
              <w:top w:w="85" w:type="dxa"/>
              <w:left w:w="57" w:type="dxa"/>
              <w:bottom w:w="85" w:type="dxa"/>
              <w:right w:w="57" w:type="dxa"/>
            </w:tcMar>
          </w:tcPr>
          <w:p w14:paraId="2AE06540" w14:textId="4C413B93" w:rsidR="00701C10" w:rsidRPr="00881BC8" w:rsidRDefault="00701C10" w:rsidP="009A6DD0">
            <w:pPr>
              <w:rPr>
                <w:noProof/>
                <w:sz w:val="18"/>
                <w:szCs w:val="18"/>
              </w:rPr>
            </w:pPr>
            <w:r w:rsidRPr="00881BC8">
              <w:rPr>
                <w:noProof/>
                <w:sz w:val="18"/>
                <w:szCs w:val="18"/>
              </w:rPr>
              <w:t>Expert group</w:t>
            </w:r>
          </w:p>
        </w:tc>
        <w:tc>
          <w:tcPr>
            <w:tcW w:w="7380" w:type="dxa"/>
            <w:tcMar>
              <w:top w:w="85" w:type="dxa"/>
              <w:left w:w="57" w:type="dxa"/>
              <w:bottom w:w="85" w:type="dxa"/>
              <w:right w:w="57" w:type="dxa"/>
            </w:tcMar>
          </w:tcPr>
          <w:p w14:paraId="7D9915A6" w14:textId="7A312058" w:rsidR="00701C10" w:rsidRPr="00881BC8" w:rsidRDefault="00701C10" w:rsidP="009A6DD0">
            <w:pPr>
              <w:rPr>
                <w:noProof/>
                <w:sz w:val="18"/>
                <w:szCs w:val="18"/>
              </w:rPr>
            </w:pPr>
            <w:r w:rsidRPr="00881BC8">
              <w:rPr>
                <w:noProof/>
                <w:sz w:val="18"/>
                <w:szCs w:val="18"/>
              </w:rPr>
              <w:t xml:space="preserve">Expert group, which informs every six months about the rate applicable to the statutory interest for late payments in the Member States (see </w:t>
            </w:r>
            <w:r w:rsidRPr="00881BC8">
              <w:rPr>
                <w:noProof/>
                <w:sz w:val="18"/>
                <w:szCs w:val="18"/>
              </w:rPr>
              <w:fldChar w:fldCharType="begin"/>
            </w:r>
            <w:r w:rsidRPr="00881BC8">
              <w:rPr>
                <w:noProof/>
                <w:sz w:val="18"/>
                <w:szCs w:val="18"/>
              </w:rPr>
              <w:instrText xml:space="preserve"> REF Annex13 \h </w:instrText>
            </w:r>
            <w:r w:rsidR="00DC20C9" w:rsidRPr="00881BC8">
              <w:rPr>
                <w:noProof/>
                <w:sz w:val="18"/>
                <w:szCs w:val="18"/>
              </w:rPr>
              <w:instrText xml:space="preserve"> \* MERGEFORMAT </w:instrText>
            </w:r>
            <w:r w:rsidRPr="00881BC8">
              <w:rPr>
                <w:noProof/>
                <w:sz w:val="18"/>
                <w:szCs w:val="18"/>
              </w:rPr>
            </w:r>
            <w:r w:rsidRPr="00881BC8">
              <w:rPr>
                <w:noProof/>
                <w:sz w:val="18"/>
                <w:szCs w:val="18"/>
              </w:rPr>
              <w:fldChar w:fldCharType="separate"/>
            </w:r>
            <w:r w:rsidR="005851F4" w:rsidRPr="005851F4">
              <w:rPr>
                <w:noProof/>
                <w:sz w:val="18"/>
                <w:szCs w:val="18"/>
              </w:rPr>
              <w:t>Annex 13</w:t>
            </w:r>
            <w:r w:rsidRPr="00881BC8">
              <w:rPr>
                <w:noProof/>
                <w:sz w:val="18"/>
                <w:szCs w:val="18"/>
              </w:rPr>
              <w:fldChar w:fldCharType="end"/>
            </w:r>
            <w:r w:rsidRPr="00881BC8">
              <w:rPr>
                <w:noProof/>
                <w:sz w:val="18"/>
                <w:szCs w:val="18"/>
              </w:rPr>
              <w:t xml:space="preserve">), </w:t>
            </w:r>
            <w:hyperlink r:id="rId33" w:history="1">
              <w:r w:rsidR="00391306" w:rsidRPr="00881BC8">
                <w:rPr>
                  <w:rStyle w:val="Hyperlink"/>
                  <w:noProof/>
                  <w:sz w:val="18"/>
                  <w:szCs w:val="18"/>
                </w:rPr>
                <w:t>https://ec.europa.eu/transparency/expert-groups-register/screen/expert-groups/consult?do=groupDetail.groupDetail&amp;groupID=2710</w:t>
              </w:r>
            </w:hyperlink>
          </w:p>
        </w:tc>
      </w:tr>
      <w:tr w:rsidR="009F53C1" w:rsidRPr="00881BC8" w14:paraId="679B78DD" w14:textId="77777777" w:rsidTr="00602256">
        <w:trPr>
          <w:trHeight w:val="227"/>
        </w:trPr>
        <w:tc>
          <w:tcPr>
            <w:tcW w:w="1228" w:type="dxa"/>
            <w:tcMar>
              <w:top w:w="85" w:type="dxa"/>
              <w:left w:w="57" w:type="dxa"/>
              <w:bottom w:w="85" w:type="dxa"/>
              <w:right w:w="57" w:type="dxa"/>
            </w:tcMar>
          </w:tcPr>
          <w:p w14:paraId="39C2C556" w14:textId="6F52307D" w:rsidR="009F53C1" w:rsidRPr="00881BC8" w:rsidRDefault="009F53C1" w:rsidP="009A6DD0">
            <w:pPr>
              <w:rPr>
                <w:noProof/>
                <w:sz w:val="18"/>
                <w:szCs w:val="18"/>
              </w:rPr>
            </w:pPr>
            <w:r w:rsidRPr="00881BC8">
              <w:rPr>
                <w:noProof/>
                <w:sz w:val="18"/>
                <w:szCs w:val="18"/>
              </w:rPr>
              <w:t xml:space="preserve">Ex post </w:t>
            </w:r>
            <w:r w:rsidR="0028607D" w:rsidRPr="00881BC8">
              <w:rPr>
                <w:noProof/>
                <w:sz w:val="18"/>
                <w:szCs w:val="18"/>
              </w:rPr>
              <w:t>evaluation</w:t>
            </w:r>
            <w:r w:rsidR="002E552C" w:rsidRPr="00881BC8">
              <w:rPr>
                <w:noProof/>
                <w:sz w:val="18"/>
                <w:szCs w:val="18"/>
              </w:rPr>
              <w:t xml:space="preserve"> </w:t>
            </w:r>
            <w:r w:rsidRPr="00881BC8">
              <w:rPr>
                <w:noProof/>
                <w:sz w:val="18"/>
                <w:szCs w:val="18"/>
              </w:rPr>
              <w:t>study 2015</w:t>
            </w:r>
          </w:p>
        </w:tc>
        <w:tc>
          <w:tcPr>
            <w:tcW w:w="7380" w:type="dxa"/>
            <w:tcMar>
              <w:top w:w="85" w:type="dxa"/>
              <w:left w:w="57" w:type="dxa"/>
              <w:bottom w:w="85" w:type="dxa"/>
              <w:right w:w="57" w:type="dxa"/>
            </w:tcMar>
          </w:tcPr>
          <w:p w14:paraId="001959ED" w14:textId="0DA46F68" w:rsidR="009F53C1" w:rsidRPr="00881BC8" w:rsidRDefault="009F53C1" w:rsidP="009A6DD0">
            <w:pPr>
              <w:rPr>
                <w:noProof/>
                <w:sz w:val="18"/>
                <w:szCs w:val="18"/>
              </w:rPr>
            </w:pPr>
            <w:r w:rsidRPr="00881BC8">
              <w:rPr>
                <w:noProof/>
                <w:sz w:val="18"/>
                <w:szCs w:val="18"/>
              </w:rPr>
              <w:t>Ex post evaluation study on the implementation of the Late Payment Directive, 2015</w:t>
            </w:r>
            <w:r w:rsidR="00107A7E" w:rsidRPr="00881BC8">
              <w:rPr>
                <w:noProof/>
                <w:sz w:val="18"/>
                <w:szCs w:val="18"/>
              </w:rPr>
              <w:t xml:space="preserve"> </w:t>
            </w:r>
            <w:hyperlink r:id="rId34" w:history="1">
              <w:r w:rsidR="00107A7E" w:rsidRPr="00881BC8">
                <w:rPr>
                  <w:rStyle w:val="Hyperlink"/>
                  <w:noProof/>
                  <w:sz w:val="18"/>
                  <w:szCs w:val="18"/>
                </w:rPr>
                <w:t>https://publications.europa.eu/en/publication-detail/-/publication/400ecc74-9a54-11e5-b3b7-01aa75ed71a1</w:t>
              </w:r>
            </w:hyperlink>
            <w:r w:rsidR="00107A7E" w:rsidRPr="00881BC8">
              <w:rPr>
                <w:noProof/>
                <w:sz w:val="18"/>
                <w:szCs w:val="18"/>
              </w:rPr>
              <w:t xml:space="preserve"> </w:t>
            </w:r>
          </w:p>
        </w:tc>
      </w:tr>
      <w:tr w:rsidR="009F53C1" w:rsidRPr="00881BC8" w14:paraId="41506503" w14:textId="77777777" w:rsidTr="00602256">
        <w:trPr>
          <w:trHeight w:val="227"/>
        </w:trPr>
        <w:tc>
          <w:tcPr>
            <w:tcW w:w="1228" w:type="dxa"/>
            <w:tcMar>
              <w:top w:w="85" w:type="dxa"/>
              <w:left w:w="57" w:type="dxa"/>
              <w:bottom w:w="85" w:type="dxa"/>
              <w:right w:w="57" w:type="dxa"/>
            </w:tcMar>
          </w:tcPr>
          <w:p w14:paraId="74BAAD69" w14:textId="1F24CB39" w:rsidR="009F53C1" w:rsidRPr="00881BC8" w:rsidRDefault="009F53C1" w:rsidP="00867D83">
            <w:pPr>
              <w:spacing w:after="0"/>
              <w:rPr>
                <w:noProof/>
                <w:sz w:val="18"/>
                <w:szCs w:val="18"/>
              </w:rPr>
            </w:pPr>
            <w:bookmarkStart w:id="3" w:name="_Hlk131587391"/>
            <w:r w:rsidRPr="00881BC8">
              <w:rPr>
                <w:noProof/>
                <w:sz w:val="18"/>
                <w:szCs w:val="18"/>
              </w:rPr>
              <w:t>F4F Opinion 2021</w:t>
            </w:r>
            <w:bookmarkEnd w:id="3"/>
          </w:p>
        </w:tc>
        <w:tc>
          <w:tcPr>
            <w:tcW w:w="7380" w:type="dxa"/>
            <w:tcMar>
              <w:top w:w="85" w:type="dxa"/>
              <w:left w:w="57" w:type="dxa"/>
              <w:bottom w:w="85" w:type="dxa"/>
              <w:right w:w="57" w:type="dxa"/>
            </w:tcMar>
          </w:tcPr>
          <w:p w14:paraId="389B852A" w14:textId="78529955" w:rsidR="009F53C1" w:rsidRPr="00881BC8" w:rsidRDefault="009F53C1" w:rsidP="00867D83">
            <w:pPr>
              <w:spacing w:after="0"/>
              <w:rPr>
                <w:noProof/>
                <w:sz w:val="18"/>
                <w:szCs w:val="18"/>
              </w:rPr>
            </w:pPr>
            <w:r w:rsidRPr="00881BC8">
              <w:rPr>
                <w:noProof/>
                <w:sz w:val="18"/>
                <w:szCs w:val="18"/>
              </w:rPr>
              <w:t>Opinion of the Fit for Future Platform on the implementation of the Late Payment Directive, 2021</w:t>
            </w:r>
            <w:r w:rsidR="00107A7E" w:rsidRPr="00881BC8">
              <w:rPr>
                <w:noProof/>
                <w:sz w:val="18"/>
                <w:szCs w:val="18"/>
              </w:rPr>
              <w:t xml:space="preserve">, </w:t>
            </w:r>
            <w:hyperlink r:id="rId35" w:history="1">
              <w:r w:rsidR="00107A7E" w:rsidRPr="00881BC8">
                <w:rPr>
                  <w:rStyle w:val="Hyperlink"/>
                  <w:noProof/>
                  <w:sz w:val="18"/>
                  <w:szCs w:val="18"/>
                </w:rPr>
                <w:t>https://commission.europa.eu/document/download/157d837a-22a0-47fb-ac9a-628f559d4923_en?filename=Final%20opinion%202021_SBGR2_06%20Late%20payments_fup.pdf</w:t>
              </w:r>
            </w:hyperlink>
            <w:r w:rsidR="00107A7E" w:rsidRPr="00881BC8">
              <w:rPr>
                <w:noProof/>
                <w:sz w:val="18"/>
                <w:szCs w:val="18"/>
              </w:rPr>
              <w:t xml:space="preserve"> </w:t>
            </w:r>
          </w:p>
        </w:tc>
      </w:tr>
      <w:tr w:rsidR="009F53C1" w:rsidRPr="00881BC8" w14:paraId="5CD5B5A2" w14:textId="77777777" w:rsidTr="00602256">
        <w:trPr>
          <w:trHeight w:val="227"/>
        </w:trPr>
        <w:tc>
          <w:tcPr>
            <w:tcW w:w="1228" w:type="dxa"/>
            <w:tcMar>
              <w:top w:w="85" w:type="dxa"/>
              <w:left w:w="57" w:type="dxa"/>
              <w:bottom w:w="85" w:type="dxa"/>
              <w:right w:w="57" w:type="dxa"/>
            </w:tcMar>
          </w:tcPr>
          <w:p w14:paraId="13DFCB7B" w14:textId="77777777" w:rsidR="009F53C1" w:rsidRPr="00881BC8" w:rsidRDefault="009F53C1" w:rsidP="00D93F8A">
            <w:pPr>
              <w:spacing w:after="0"/>
              <w:rPr>
                <w:noProof/>
                <w:sz w:val="18"/>
                <w:szCs w:val="18"/>
              </w:rPr>
            </w:pPr>
            <w:r w:rsidRPr="00881BC8">
              <w:rPr>
                <w:noProof/>
                <w:sz w:val="18"/>
                <w:szCs w:val="18"/>
              </w:rPr>
              <w:t>G2B</w:t>
            </w:r>
          </w:p>
        </w:tc>
        <w:tc>
          <w:tcPr>
            <w:tcW w:w="7380" w:type="dxa"/>
            <w:tcMar>
              <w:top w:w="85" w:type="dxa"/>
              <w:left w:w="57" w:type="dxa"/>
              <w:bottom w:w="85" w:type="dxa"/>
              <w:right w:w="57" w:type="dxa"/>
            </w:tcMar>
          </w:tcPr>
          <w:p w14:paraId="0B8DDFF7" w14:textId="77777777" w:rsidR="009F53C1" w:rsidRPr="00881BC8" w:rsidRDefault="009F53C1" w:rsidP="00D93F8A">
            <w:pPr>
              <w:spacing w:after="0"/>
              <w:rPr>
                <w:noProof/>
                <w:sz w:val="18"/>
                <w:szCs w:val="18"/>
              </w:rPr>
            </w:pPr>
            <w:r w:rsidRPr="00881BC8">
              <w:rPr>
                <w:noProof/>
                <w:sz w:val="18"/>
                <w:szCs w:val="18"/>
              </w:rPr>
              <w:t>Public authorities/government to businesses (the public sector is always the debtor in the transactions falling under the scope of the LPD)</w:t>
            </w:r>
          </w:p>
        </w:tc>
      </w:tr>
      <w:tr w:rsidR="00EA09E3" w:rsidRPr="00881BC8" w14:paraId="3D1C4AAF" w14:textId="77777777" w:rsidTr="00602256">
        <w:tc>
          <w:tcPr>
            <w:tcW w:w="1228" w:type="dxa"/>
            <w:tcMar>
              <w:top w:w="85" w:type="dxa"/>
              <w:left w:w="57" w:type="dxa"/>
              <w:bottom w:w="85" w:type="dxa"/>
              <w:right w:w="57" w:type="dxa"/>
            </w:tcMar>
          </w:tcPr>
          <w:p w14:paraId="44AFCAC7" w14:textId="3B5A00A9" w:rsidR="00EA09E3" w:rsidRPr="00881BC8" w:rsidRDefault="00EA09E3" w:rsidP="003063B4">
            <w:pPr>
              <w:rPr>
                <w:noProof/>
                <w:sz w:val="18"/>
                <w:szCs w:val="18"/>
              </w:rPr>
            </w:pPr>
            <w:r w:rsidRPr="00881BC8">
              <w:rPr>
                <w:noProof/>
                <w:sz w:val="18"/>
                <w:szCs w:val="18"/>
              </w:rPr>
              <w:t>Impact assessment 2009</w:t>
            </w:r>
          </w:p>
        </w:tc>
        <w:tc>
          <w:tcPr>
            <w:tcW w:w="7380" w:type="dxa"/>
            <w:tcMar>
              <w:top w:w="85" w:type="dxa"/>
              <w:left w:w="57" w:type="dxa"/>
              <w:bottom w:w="85" w:type="dxa"/>
              <w:right w:w="57" w:type="dxa"/>
            </w:tcMar>
          </w:tcPr>
          <w:p w14:paraId="27031A7F" w14:textId="13D146B2" w:rsidR="00EA09E3" w:rsidRPr="00881BC8" w:rsidRDefault="00EA09E3" w:rsidP="00EA09E3">
            <w:pPr>
              <w:jc w:val="left"/>
              <w:rPr>
                <w:noProof/>
                <w:sz w:val="18"/>
                <w:szCs w:val="18"/>
              </w:rPr>
            </w:pPr>
            <w:r w:rsidRPr="00881BC8">
              <w:rPr>
                <w:noProof/>
                <w:sz w:val="18"/>
                <w:szCs w:val="18"/>
              </w:rPr>
              <w:t xml:space="preserve">Impact assessment 2009 for the LPD 2011 - SEC(2009) 315 </w:t>
            </w:r>
            <w:hyperlink r:id="rId36" w:history="1">
              <w:r w:rsidRPr="00881BC8">
                <w:rPr>
                  <w:rStyle w:val="Hyperlink"/>
                  <w:noProof/>
                  <w:sz w:val="18"/>
                  <w:szCs w:val="18"/>
                </w:rPr>
                <w:t>https://eur-lex.europa.eu/legal-content/EN/TXT/PDF/?uri=CELEX:52009SC0315&amp;from=EN</w:t>
              </w:r>
            </w:hyperlink>
            <w:r w:rsidRPr="00881BC8">
              <w:rPr>
                <w:noProof/>
                <w:sz w:val="18"/>
                <w:szCs w:val="18"/>
              </w:rPr>
              <w:t xml:space="preserve"> </w:t>
            </w:r>
          </w:p>
        </w:tc>
      </w:tr>
      <w:tr w:rsidR="001E3191" w:rsidRPr="00881BC8" w14:paraId="49F7A538" w14:textId="77777777" w:rsidTr="00602256">
        <w:tc>
          <w:tcPr>
            <w:tcW w:w="1228" w:type="dxa"/>
            <w:tcMar>
              <w:top w:w="85" w:type="dxa"/>
              <w:left w:w="57" w:type="dxa"/>
              <w:bottom w:w="85" w:type="dxa"/>
              <w:right w:w="57" w:type="dxa"/>
            </w:tcMar>
          </w:tcPr>
          <w:p w14:paraId="78BD740A" w14:textId="333F0ED5" w:rsidR="001E3191" w:rsidRPr="00881BC8" w:rsidRDefault="001E3191" w:rsidP="003063B4">
            <w:pPr>
              <w:rPr>
                <w:noProof/>
                <w:sz w:val="18"/>
                <w:szCs w:val="18"/>
              </w:rPr>
            </w:pPr>
            <w:r w:rsidRPr="00881BC8">
              <w:rPr>
                <w:noProof/>
                <w:sz w:val="18"/>
                <w:szCs w:val="18"/>
              </w:rPr>
              <w:t>JRC Study 201</w:t>
            </w:r>
            <w:r w:rsidR="00210E40" w:rsidRPr="00881BC8">
              <w:rPr>
                <w:noProof/>
                <w:sz w:val="18"/>
                <w:szCs w:val="18"/>
              </w:rPr>
              <w:t>8</w:t>
            </w:r>
          </w:p>
        </w:tc>
        <w:tc>
          <w:tcPr>
            <w:tcW w:w="7380" w:type="dxa"/>
            <w:tcMar>
              <w:top w:w="85" w:type="dxa"/>
              <w:left w:w="57" w:type="dxa"/>
              <w:bottom w:w="85" w:type="dxa"/>
              <w:right w:w="57" w:type="dxa"/>
            </w:tcMar>
          </w:tcPr>
          <w:p w14:paraId="17198B09" w14:textId="5E91D508" w:rsidR="001E3191" w:rsidRPr="00881BC8" w:rsidRDefault="001E3191" w:rsidP="003063B4">
            <w:pPr>
              <w:rPr>
                <w:noProof/>
                <w:sz w:val="18"/>
                <w:szCs w:val="18"/>
              </w:rPr>
            </w:pPr>
            <w:r w:rsidRPr="00881BC8">
              <w:rPr>
                <w:noProof/>
                <w:sz w:val="18"/>
                <w:szCs w:val="18"/>
              </w:rPr>
              <w:t>Conti, M., Elia, L., Ferrara, A. and Ferraresi, M., Governments` Late Payments and Firms` Survival: Evidence from the European Union,</w:t>
            </w:r>
            <w:r w:rsidR="002E552C" w:rsidRPr="00881BC8">
              <w:rPr>
                <w:noProof/>
                <w:sz w:val="18"/>
                <w:szCs w:val="18"/>
              </w:rPr>
              <w:t xml:space="preserve"> </w:t>
            </w:r>
            <w:hyperlink r:id="rId37" w:history="1">
              <w:r w:rsidR="00372E62" w:rsidRPr="00881BC8">
                <w:rPr>
                  <w:rStyle w:val="Hyperlink"/>
                  <w:noProof/>
                  <w:sz w:val="18"/>
                  <w:szCs w:val="18"/>
                </w:rPr>
                <w:t>https://publications.jrc.ec.europa.eu/repository/handle/JRC121059</w:t>
              </w:r>
            </w:hyperlink>
          </w:p>
        </w:tc>
      </w:tr>
      <w:tr w:rsidR="001E3191" w:rsidRPr="00881BC8" w14:paraId="6B05D9C5" w14:textId="77777777" w:rsidTr="00602256">
        <w:tc>
          <w:tcPr>
            <w:tcW w:w="1228" w:type="dxa"/>
            <w:tcMar>
              <w:top w:w="85" w:type="dxa"/>
              <w:left w:w="57" w:type="dxa"/>
              <w:bottom w:w="85" w:type="dxa"/>
              <w:right w:w="57" w:type="dxa"/>
            </w:tcMar>
          </w:tcPr>
          <w:p w14:paraId="2EFF2ADD" w14:textId="4FB581C6" w:rsidR="001E3191" w:rsidRPr="00881BC8" w:rsidRDefault="001E3191" w:rsidP="006E203E">
            <w:pPr>
              <w:rPr>
                <w:noProof/>
                <w:sz w:val="18"/>
                <w:szCs w:val="18"/>
              </w:rPr>
            </w:pPr>
            <w:r w:rsidRPr="00881BC8">
              <w:rPr>
                <w:noProof/>
                <w:sz w:val="18"/>
                <w:szCs w:val="18"/>
              </w:rPr>
              <w:t>JRC 202</w:t>
            </w:r>
            <w:r w:rsidR="001762A2" w:rsidRPr="00881BC8">
              <w:rPr>
                <w:noProof/>
                <w:sz w:val="18"/>
                <w:szCs w:val="18"/>
              </w:rPr>
              <w:t>1</w:t>
            </w:r>
          </w:p>
        </w:tc>
        <w:tc>
          <w:tcPr>
            <w:tcW w:w="7380" w:type="dxa"/>
            <w:tcMar>
              <w:top w:w="85" w:type="dxa"/>
              <w:left w:w="57" w:type="dxa"/>
              <w:bottom w:w="85" w:type="dxa"/>
              <w:right w:w="57" w:type="dxa"/>
            </w:tcMar>
          </w:tcPr>
          <w:p w14:paraId="0E1C340F" w14:textId="1BA680DB" w:rsidR="001E3191" w:rsidRPr="00881BC8" w:rsidRDefault="001E3191" w:rsidP="006E203E">
            <w:pPr>
              <w:rPr>
                <w:noProof/>
                <w:sz w:val="18"/>
                <w:szCs w:val="18"/>
              </w:rPr>
            </w:pPr>
            <w:r w:rsidRPr="00881BC8">
              <w:rPr>
                <w:noProof/>
                <w:sz w:val="18"/>
                <w:szCs w:val="18"/>
              </w:rPr>
              <w:t>Ferrara A., Ferraresi M. Assessing the economic impact of faster payments in B2B commercial transactions. Final Report,</w:t>
            </w:r>
            <w:r w:rsidR="001762A2" w:rsidRPr="00881BC8">
              <w:rPr>
                <w:noProof/>
                <w:sz w:val="18"/>
                <w:szCs w:val="18"/>
              </w:rPr>
              <w:t xml:space="preserve"> </w:t>
            </w:r>
            <w:hyperlink r:id="rId38" w:history="1">
              <w:r w:rsidR="001762A2" w:rsidRPr="00881BC8">
                <w:rPr>
                  <w:rStyle w:val="Hyperlink"/>
                  <w:noProof/>
                  <w:sz w:val="18"/>
                  <w:szCs w:val="18"/>
                </w:rPr>
                <w:t>https://publications.jrc.ec.europa.eu/repository/handle/JRC121059</w:t>
              </w:r>
            </w:hyperlink>
            <w:r w:rsidR="002E552C" w:rsidRPr="00881BC8">
              <w:rPr>
                <w:noProof/>
                <w:sz w:val="18"/>
                <w:szCs w:val="18"/>
              </w:rPr>
              <w:t xml:space="preserve"> </w:t>
            </w:r>
          </w:p>
        </w:tc>
      </w:tr>
      <w:tr w:rsidR="005E2F80" w:rsidRPr="00881BC8" w14:paraId="0BC9796D" w14:textId="77777777" w:rsidTr="00602256">
        <w:trPr>
          <w:trHeight w:val="227"/>
        </w:trPr>
        <w:tc>
          <w:tcPr>
            <w:tcW w:w="1228" w:type="dxa"/>
            <w:tcMar>
              <w:top w:w="85" w:type="dxa"/>
              <w:left w:w="57" w:type="dxa"/>
              <w:bottom w:w="85" w:type="dxa"/>
              <w:right w:w="57" w:type="dxa"/>
            </w:tcMar>
          </w:tcPr>
          <w:p w14:paraId="7137A774" w14:textId="32CCE708" w:rsidR="005E2F80" w:rsidRPr="00881BC8" w:rsidRDefault="005E2F80" w:rsidP="008025DB">
            <w:pPr>
              <w:spacing w:after="0"/>
              <w:rPr>
                <w:noProof/>
                <w:sz w:val="18"/>
                <w:szCs w:val="18"/>
              </w:rPr>
            </w:pPr>
            <w:r w:rsidRPr="00881BC8">
              <w:rPr>
                <w:noProof/>
                <w:sz w:val="18"/>
                <w:szCs w:val="18"/>
              </w:rPr>
              <w:t>JRC Study 2022</w:t>
            </w:r>
          </w:p>
        </w:tc>
        <w:tc>
          <w:tcPr>
            <w:tcW w:w="7380" w:type="dxa"/>
            <w:tcMar>
              <w:top w:w="85" w:type="dxa"/>
              <w:left w:w="57" w:type="dxa"/>
              <w:bottom w:w="85" w:type="dxa"/>
              <w:right w:w="57" w:type="dxa"/>
            </w:tcMar>
          </w:tcPr>
          <w:p w14:paraId="6CCB8B1B" w14:textId="5DAA0914" w:rsidR="005E2F80" w:rsidRPr="00881BC8" w:rsidRDefault="005E2F80" w:rsidP="005E2F80">
            <w:pPr>
              <w:pStyle w:val="FootnoteText"/>
              <w:jc w:val="left"/>
              <w:rPr>
                <w:noProof/>
                <w:sz w:val="18"/>
                <w:szCs w:val="18"/>
              </w:rPr>
            </w:pPr>
            <w:r w:rsidRPr="00881BC8">
              <w:rPr>
                <w:noProof/>
                <w:sz w:val="18"/>
                <w:szCs w:val="18"/>
              </w:rPr>
              <w:t xml:space="preserve">Ferrara A., Ferraresi M. (2022), Assessing the economic impact of faster payments in B2B commercial transactions. </w:t>
            </w:r>
            <w:hyperlink r:id="rId39" w:history="1">
              <w:r w:rsidRPr="00881BC8">
                <w:rPr>
                  <w:rStyle w:val="Hyperlink"/>
                  <w:noProof/>
                  <w:sz w:val="18"/>
                  <w:szCs w:val="18"/>
                </w:rPr>
                <w:t>https://publications.jrc.ec.europa.eu/repository/handle/JRC130205</w:t>
              </w:r>
            </w:hyperlink>
            <w:r w:rsidRPr="00881BC8">
              <w:rPr>
                <w:noProof/>
                <w:sz w:val="18"/>
                <w:szCs w:val="18"/>
              </w:rPr>
              <w:t xml:space="preserve"> </w:t>
            </w:r>
          </w:p>
          <w:p w14:paraId="7F200E17" w14:textId="5727C688" w:rsidR="005E2F80" w:rsidRPr="00881BC8" w:rsidRDefault="005E2F80" w:rsidP="008025DB">
            <w:pPr>
              <w:spacing w:after="0"/>
              <w:rPr>
                <w:noProof/>
                <w:sz w:val="18"/>
                <w:szCs w:val="18"/>
              </w:rPr>
            </w:pPr>
          </w:p>
        </w:tc>
      </w:tr>
      <w:tr w:rsidR="0075501E" w:rsidRPr="00881BC8" w14:paraId="60D52D5D" w14:textId="77777777" w:rsidTr="00602256">
        <w:trPr>
          <w:trHeight w:val="227"/>
        </w:trPr>
        <w:tc>
          <w:tcPr>
            <w:tcW w:w="1228" w:type="dxa"/>
            <w:tcMar>
              <w:top w:w="85" w:type="dxa"/>
              <w:left w:w="57" w:type="dxa"/>
              <w:bottom w:w="85" w:type="dxa"/>
              <w:right w:w="57" w:type="dxa"/>
            </w:tcMar>
          </w:tcPr>
          <w:p w14:paraId="467EC410" w14:textId="77777777" w:rsidR="0075501E" w:rsidRPr="00881BC8" w:rsidRDefault="0075501E" w:rsidP="008025DB">
            <w:pPr>
              <w:spacing w:after="0"/>
              <w:rPr>
                <w:noProof/>
                <w:sz w:val="18"/>
                <w:szCs w:val="18"/>
              </w:rPr>
            </w:pPr>
            <w:r w:rsidRPr="00881BC8">
              <w:rPr>
                <w:noProof/>
                <w:sz w:val="18"/>
                <w:szCs w:val="18"/>
              </w:rPr>
              <w:t>LPD</w:t>
            </w:r>
          </w:p>
        </w:tc>
        <w:tc>
          <w:tcPr>
            <w:tcW w:w="7380" w:type="dxa"/>
            <w:tcMar>
              <w:top w:w="85" w:type="dxa"/>
              <w:left w:w="57" w:type="dxa"/>
              <w:bottom w:w="85" w:type="dxa"/>
              <w:right w:w="57" w:type="dxa"/>
            </w:tcMar>
          </w:tcPr>
          <w:p w14:paraId="08347E12" w14:textId="77777777" w:rsidR="0075501E" w:rsidRPr="00881BC8" w:rsidRDefault="0075501E" w:rsidP="008025DB">
            <w:pPr>
              <w:spacing w:after="0"/>
              <w:rPr>
                <w:noProof/>
                <w:sz w:val="18"/>
                <w:szCs w:val="18"/>
              </w:rPr>
            </w:pPr>
            <w:r w:rsidRPr="00881BC8">
              <w:rPr>
                <w:noProof/>
                <w:sz w:val="18"/>
                <w:szCs w:val="18"/>
              </w:rPr>
              <w:t>Late Payment Directive (Directive 2011/7/EU)</w:t>
            </w:r>
          </w:p>
        </w:tc>
      </w:tr>
      <w:tr w:rsidR="00E07FF4" w:rsidRPr="00881BC8" w14:paraId="5A462DE5" w14:textId="77777777" w:rsidTr="00602256">
        <w:trPr>
          <w:trHeight w:val="227"/>
        </w:trPr>
        <w:tc>
          <w:tcPr>
            <w:tcW w:w="1228" w:type="dxa"/>
            <w:tcMar>
              <w:top w:w="85" w:type="dxa"/>
              <w:left w:w="57" w:type="dxa"/>
              <w:bottom w:w="85" w:type="dxa"/>
              <w:right w:w="57" w:type="dxa"/>
            </w:tcMar>
          </w:tcPr>
          <w:p w14:paraId="1B26680C" w14:textId="57AFC17E" w:rsidR="00E07FF4" w:rsidRPr="00881BC8" w:rsidRDefault="00E07FF4" w:rsidP="008A2588">
            <w:pPr>
              <w:spacing w:after="0"/>
              <w:rPr>
                <w:noProof/>
                <w:sz w:val="18"/>
                <w:szCs w:val="18"/>
              </w:rPr>
            </w:pPr>
            <w:r w:rsidRPr="00881BC8">
              <w:rPr>
                <w:noProof/>
                <w:sz w:val="18"/>
                <w:szCs w:val="18"/>
              </w:rPr>
              <w:t>Mediation Directive</w:t>
            </w:r>
          </w:p>
        </w:tc>
        <w:tc>
          <w:tcPr>
            <w:tcW w:w="7380" w:type="dxa"/>
            <w:tcMar>
              <w:top w:w="85" w:type="dxa"/>
              <w:left w:w="57" w:type="dxa"/>
              <w:bottom w:w="85" w:type="dxa"/>
              <w:right w:w="57" w:type="dxa"/>
            </w:tcMar>
          </w:tcPr>
          <w:p w14:paraId="2B724823" w14:textId="747773B5" w:rsidR="00E07FF4" w:rsidRPr="00881BC8" w:rsidRDefault="00B64A6A" w:rsidP="008A2588">
            <w:pPr>
              <w:spacing w:after="0"/>
              <w:rPr>
                <w:noProof/>
                <w:sz w:val="18"/>
                <w:szCs w:val="18"/>
              </w:rPr>
            </w:pPr>
            <w:r w:rsidRPr="00881BC8">
              <w:rPr>
                <w:noProof/>
                <w:sz w:val="18"/>
                <w:szCs w:val="18"/>
              </w:rPr>
              <w:t>Directive 2008/59/EC on Mediation in Civil and Commercial matters</w:t>
            </w:r>
          </w:p>
        </w:tc>
      </w:tr>
      <w:tr w:rsidR="00C43A26" w:rsidRPr="00881BC8" w14:paraId="12BAB6FB" w14:textId="77777777" w:rsidTr="00602256">
        <w:trPr>
          <w:trHeight w:val="227"/>
        </w:trPr>
        <w:tc>
          <w:tcPr>
            <w:tcW w:w="1228" w:type="dxa"/>
            <w:tcMar>
              <w:top w:w="85" w:type="dxa"/>
              <w:left w:w="57" w:type="dxa"/>
              <w:bottom w:w="85" w:type="dxa"/>
              <w:right w:w="57" w:type="dxa"/>
            </w:tcMar>
          </w:tcPr>
          <w:p w14:paraId="0DCBA6A6" w14:textId="4FACAA6A" w:rsidR="00C43A26" w:rsidRPr="00881BC8" w:rsidRDefault="00A90301" w:rsidP="008A2588">
            <w:pPr>
              <w:spacing w:after="0"/>
              <w:rPr>
                <w:noProof/>
                <w:sz w:val="18"/>
                <w:szCs w:val="18"/>
              </w:rPr>
            </w:pPr>
            <w:r w:rsidRPr="00881BC8">
              <w:rPr>
                <w:noProof/>
                <w:sz w:val="18"/>
                <w:szCs w:val="18"/>
              </w:rPr>
              <w:t>m or m</w:t>
            </w:r>
            <w:r w:rsidR="00C43A26" w:rsidRPr="00881BC8">
              <w:rPr>
                <w:noProof/>
                <w:sz w:val="18"/>
                <w:szCs w:val="18"/>
              </w:rPr>
              <w:t>icro</w:t>
            </w:r>
            <w:r w:rsidRPr="00881BC8">
              <w:rPr>
                <w:noProof/>
                <w:sz w:val="18"/>
                <w:szCs w:val="18"/>
              </w:rPr>
              <w:t xml:space="preserve"> </w:t>
            </w:r>
          </w:p>
        </w:tc>
        <w:tc>
          <w:tcPr>
            <w:tcW w:w="7380" w:type="dxa"/>
            <w:tcMar>
              <w:top w:w="85" w:type="dxa"/>
              <w:left w:w="57" w:type="dxa"/>
              <w:bottom w:w="85" w:type="dxa"/>
              <w:right w:w="57" w:type="dxa"/>
            </w:tcMar>
          </w:tcPr>
          <w:p w14:paraId="58C4D8B7" w14:textId="4D7FBCC9" w:rsidR="00C43A26" w:rsidRPr="00881BC8" w:rsidRDefault="00C43A26" w:rsidP="00DE57F8">
            <w:pPr>
              <w:spacing w:after="0"/>
              <w:rPr>
                <w:noProof/>
                <w:sz w:val="18"/>
                <w:szCs w:val="18"/>
              </w:rPr>
            </w:pPr>
            <w:r w:rsidRPr="00881BC8">
              <w:rPr>
                <w:noProof/>
                <w:sz w:val="18"/>
                <w:szCs w:val="18"/>
              </w:rPr>
              <w:t>A microenterprise</w:t>
            </w:r>
            <w:r w:rsidR="00DE57F8" w:rsidRPr="00881BC8">
              <w:rPr>
                <w:noProof/>
                <w:sz w:val="18"/>
                <w:szCs w:val="18"/>
              </w:rPr>
              <w:t xml:space="preserve"> as in Commission Recommendation concerning the definition of micro, small and medium-sized enterprises (2003/361/EC)</w:t>
            </w:r>
          </w:p>
        </w:tc>
      </w:tr>
      <w:tr w:rsidR="00A90301" w:rsidRPr="00881BC8" w14:paraId="6FBFFED0" w14:textId="77777777" w:rsidTr="00602256">
        <w:trPr>
          <w:trHeight w:val="227"/>
        </w:trPr>
        <w:tc>
          <w:tcPr>
            <w:tcW w:w="1228" w:type="dxa"/>
            <w:tcMar>
              <w:top w:w="85" w:type="dxa"/>
              <w:left w:w="57" w:type="dxa"/>
              <w:bottom w:w="85" w:type="dxa"/>
              <w:right w:w="57" w:type="dxa"/>
            </w:tcMar>
          </w:tcPr>
          <w:p w14:paraId="5693A6A7" w14:textId="6E55621A" w:rsidR="00A90301" w:rsidRPr="00881BC8" w:rsidRDefault="00A90301" w:rsidP="008A2588">
            <w:pPr>
              <w:spacing w:after="0"/>
              <w:rPr>
                <w:noProof/>
                <w:sz w:val="18"/>
                <w:szCs w:val="18"/>
              </w:rPr>
            </w:pPr>
            <w:r w:rsidRPr="00881BC8">
              <w:rPr>
                <w:noProof/>
                <w:sz w:val="18"/>
                <w:szCs w:val="18"/>
              </w:rPr>
              <w:t xml:space="preserve">M </w:t>
            </w:r>
          </w:p>
        </w:tc>
        <w:tc>
          <w:tcPr>
            <w:tcW w:w="7380" w:type="dxa"/>
            <w:tcMar>
              <w:top w:w="85" w:type="dxa"/>
              <w:left w:w="57" w:type="dxa"/>
              <w:bottom w:w="85" w:type="dxa"/>
              <w:right w:w="57" w:type="dxa"/>
            </w:tcMar>
          </w:tcPr>
          <w:p w14:paraId="796D4369" w14:textId="1AB669D6" w:rsidR="00A90301" w:rsidRPr="00881BC8" w:rsidRDefault="00A90301" w:rsidP="008A2588">
            <w:pPr>
              <w:spacing w:after="0"/>
              <w:rPr>
                <w:noProof/>
                <w:sz w:val="18"/>
                <w:szCs w:val="18"/>
              </w:rPr>
            </w:pPr>
            <w:r w:rsidRPr="00881BC8">
              <w:rPr>
                <w:noProof/>
                <w:sz w:val="18"/>
                <w:szCs w:val="18"/>
              </w:rPr>
              <w:t xml:space="preserve">A medium-sized </w:t>
            </w:r>
            <w:r w:rsidR="006076AC" w:rsidRPr="00881BC8">
              <w:rPr>
                <w:noProof/>
                <w:sz w:val="18"/>
                <w:szCs w:val="18"/>
              </w:rPr>
              <w:t>company as in Commission Recommendation concerning the definition of micro, small and medium-sized enterprises (2003/361/EC)</w:t>
            </w:r>
          </w:p>
        </w:tc>
      </w:tr>
      <w:tr w:rsidR="004942BC" w:rsidRPr="00881BC8" w14:paraId="054C6BAA" w14:textId="77777777" w:rsidTr="00602256">
        <w:trPr>
          <w:trHeight w:val="227"/>
        </w:trPr>
        <w:tc>
          <w:tcPr>
            <w:tcW w:w="1228" w:type="dxa"/>
            <w:tcMar>
              <w:top w:w="85" w:type="dxa"/>
              <w:left w:w="57" w:type="dxa"/>
              <w:bottom w:w="85" w:type="dxa"/>
              <w:right w:w="57" w:type="dxa"/>
            </w:tcMar>
          </w:tcPr>
          <w:p w14:paraId="69819142" w14:textId="3A07422E" w:rsidR="004942BC" w:rsidRPr="00881BC8" w:rsidRDefault="004942BC" w:rsidP="008A2588">
            <w:pPr>
              <w:spacing w:after="0"/>
              <w:rPr>
                <w:noProof/>
                <w:sz w:val="18"/>
                <w:szCs w:val="18"/>
              </w:rPr>
            </w:pPr>
            <w:r w:rsidRPr="00881BC8">
              <w:rPr>
                <w:noProof/>
                <w:sz w:val="18"/>
                <w:szCs w:val="18"/>
              </w:rPr>
              <w:t>MS</w:t>
            </w:r>
          </w:p>
        </w:tc>
        <w:tc>
          <w:tcPr>
            <w:tcW w:w="7380" w:type="dxa"/>
            <w:tcMar>
              <w:top w:w="85" w:type="dxa"/>
              <w:left w:w="57" w:type="dxa"/>
              <w:bottom w:w="85" w:type="dxa"/>
              <w:right w:w="57" w:type="dxa"/>
            </w:tcMar>
          </w:tcPr>
          <w:p w14:paraId="2AAE8C63" w14:textId="1F5C4E67" w:rsidR="004942BC" w:rsidRPr="00881BC8" w:rsidRDefault="004942BC" w:rsidP="008A2588">
            <w:pPr>
              <w:spacing w:after="0"/>
              <w:rPr>
                <w:noProof/>
                <w:sz w:val="18"/>
                <w:szCs w:val="18"/>
              </w:rPr>
            </w:pPr>
            <w:r w:rsidRPr="00881BC8">
              <w:rPr>
                <w:noProof/>
                <w:sz w:val="18"/>
                <w:szCs w:val="18"/>
              </w:rPr>
              <w:t>EU Member States</w:t>
            </w:r>
          </w:p>
        </w:tc>
      </w:tr>
      <w:tr w:rsidR="006E0FEB" w:rsidRPr="00881BC8" w14:paraId="0D6C702D" w14:textId="77777777" w:rsidTr="00602256">
        <w:trPr>
          <w:trHeight w:val="227"/>
        </w:trPr>
        <w:tc>
          <w:tcPr>
            <w:tcW w:w="1228" w:type="dxa"/>
            <w:tcMar>
              <w:top w:w="85" w:type="dxa"/>
              <w:left w:w="57" w:type="dxa"/>
              <w:bottom w:w="85" w:type="dxa"/>
              <w:right w:w="57" w:type="dxa"/>
            </w:tcMar>
          </w:tcPr>
          <w:p w14:paraId="60FD0770" w14:textId="4CE4DE7A" w:rsidR="006E0FEB" w:rsidRPr="00881BC8" w:rsidRDefault="0075501E" w:rsidP="008A2588">
            <w:pPr>
              <w:spacing w:after="0"/>
              <w:rPr>
                <w:noProof/>
                <w:sz w:val="18"/>
                <w:szCs w:val="18"/>
              </w:rPr>
            </w:pPr>
            <w:r w:rsidRPr="00881BC8">
              <w:rPr>
                <w:noProof/>
                <w:sz w:val="18"/>
                <w:szCs w:val="18"/>
              </w:rPr>
              <w:t>OIOO</w:t>
            </w:r>
          </w:p>
        </w:tc>
        <w:tc>
          <w:tcPr>
            <w:tcW w:w="7380" w:type="dxa"/>
            <w:tcMar>
              <w:top w:w="85" w:type="dxa"/>
              <w:left w:w="57" w:type="dxa"/>
              <w:bottom w:w="85" w:type="dxa"/>
              <w:right w:w="57" w:type="dxa"/>
            </w:tcMar>
          </w:tcPr>
          <w:p w14:paraId="66134C8B" w14:textId="0A3D3F23" w:rsidR="006E0FEB" w:rsidRPr="00881BC8" w:rsidRDefault="0075501E" w:rsidP="008A2588">
            <w:pPr>
              <w:spacing w:after="0"/>
              <w:rPr>
                <w:noProof/>
                <w:sz w:val="18"/>
                <w:szCs w:val="18"/>
              </w:rPr>
            </w:pPr>
            <w:r w:rsidRPr="00881BC8">
              <w:rPr>
                <w:noProof/>
                <w:sz w:val="18"/>
                <w:szCs w:val="18"/>
              </w:rPr>
              <w:t>One-in-one-out approach</w:t>
            </w:r>
          </w:p>
        </w:tc>
      </w:tr>
      <w:tr w:rsidR="008B10F2" w:rsidRPr="00881BC8" w14:paraId="09155D5E" w14:textId="77777777" w:rsidTr="00602256">
        <w:tc>
          <w:tcPr>
            <w:tcW w:w="1228" w:type="dxa"/>
            <w:tcMar>
              <w:top w:w="85" w:type="dxa"/>
              <w:left w:w="57" w:type="dxa"/>
              <w:bottom w:w="85" w:type="dxa"/>
              <w:right w:w="57" w:type="dxa"/>
            </w:tcMar>
          </w:tcPr>
          <w:p w14:paraId="54317244" w14:textId="71E8CD6C" w:rsidR="008B10F2" w:rsidRPr="00881BC8" w:rsidRDefault="008B10F2" w:rsidP="0CE07C37">
            <w:pPr>
              <w:spacing w:after="0"/>
              <w:rPr>
                <w:noProof/>
                <w:sz w:val="18"/>
                <w:szCs w:val="18"/>
              </w:rPr>
            </w:pPr>
            <w:r w:rsidRPr="00881BC8">
              <w:rPr>
                <w:noProof/>
                <w:sz w:val="18"/>
                <w:szCs w:val="18"/>
              </w:rPr>
              <w:t>p.a.</w:t>
            </w:r>
          </w:p>
        </w:tc>
        <w:tc>
          <w:tcPr>
            <w:tcW w:w="7380" w:type="dxa"/>
            <w:tcMar>
              <w:top w:w="85" w:type="dxa"/>
              <w:left w:w="57" w:type="dxa"/>
              <w:bottom w:w="85" w:type="dxa"/>
              <w:right w:w="57" w:type="dxa"/>
            </w:tcMar>
          </w:tcPr>
          <w:p w14:paraId="07F97BF7" w14:textId="16858B99" w:rsidR="008B10F2" w:rsidRPr="00881BC8" w:rsidRDefault="008B10F2" w:rsidP="00396D75">
            <w:pPr>
              <w:spacing w:after="0"/>
              <w:rPr>
                <w:noProof/>
                <w:sz w:val="18"/>
                <w:szCs w:val="18"/>
              </w:rPr>
            </w:pPr>
            <w:r w:rsidRPr="00881BC8">
              <w:rPr>
                <w:noProof/>
                <w:sz w:val="18"/>
                <w:szCs w:val="18"/>
              </w:rPr>
              <w:t xml:space="preserve">Per </w:t>
            </w:r>
            <w:r w:rsidR="00396D75" w:rsidRPr="00881BC8">
              <w:rPr>
                <w:noProof/>
                <w:sz w:val="18"/>
                <w:szCs w:val="18"/>
              </w:rPr>
              <w:t>year (from Latin ‘per annum’)</w:t>
            </w:r>
          </w:p>
        </w:tc>
      </w:tr>
      <w:tr w:rsidR="00475575" w:rsidRPr="00881BC8" w14:paraId="47299262" w14:textId="77777777" w:rsidTr="00602256">
        <w:tc>
          <w:tcPr>
            <w:tcW w:w="1228" w:type="dxa"/>
            <w:tcMar>
              <w:top w:w="85" w:type="dxa"/>
              <w:left w:w="57" w:type="dxa"/>
              <w:bottom w:w="85" w:type="dxa"/>
              <w:right w:w="57" w:type="dxa"/>
            </w:tcMar>
          </w:tcPr>
          <w:p w14:paraId="467764C2" w14:textId="7481953C" w:rsidR="00475575" w:rsidRPr="00881BC8" w:rsidRDefault="00475575" w:rsidP="0CE07C37">
            <w:pPr>
              <w:spacing w:after="0"/>
              <w:rPr>
                <w:noProof/>
                <w:sz w:val="18"/>
                <w:szCs w:val="18"/>
              </w:rPr>
            </w:pPr>
            <w:r w:rsidRPr="00881BC8">
              <w:rPr>
                <w:noProof/>
                <w:sz w:val="18"/>
                <w:szCs w:val="18"/>
              </w:rPr>
              <w:t>PC</w:t>
            </w:r>
          </w:p>
        </w:tc>
        <w:tc>
          <w:tcPr>
            <w:tcW w:w="7380" w:type="dxa"/>
            <w:tcMar>
              <w:top w:w="85" w:type="dxa"/>
              <w:left w:w="57" w:type="dxa"/>
              <w:bottom w:w="85" w:type="dxa"/>
              <w:right w:w="57" w:type="dxa"/>
            </w:tcMar>
          </w:tcPr>
          <w:p w14:paraId="6D6141E3" w14:textId="0169EB57" w:rsidR="00475575" w:rsidRPr="00881BC8" w:rsidRDefault="00575749" w:rsidP="0CE07C37">
            <w:pPr>
              <w:spacing w:after="0"/>
              <w:rPr>
                <w:noProof/>
                <w:sz w:val="18"/>
                <w:szCs w:val="18"/>
              </w:rPr>
            </w:pPr>
            <w:r w:rsidRPr="00881BC8">
              <w:rPr>
                <w:noProof/>
                <w:sz w:val="18"/>
                <w:szCs w:val="18"/>
              </w:rPr>
              <w:t>P</w:t>
            </w:r>
            <w:r w:rsidR="00475575" w:rsidRPr="00881BC8">
              <w:rPr>
                <w:noProof/>
                <w:sz w:val="18"/>
                <w:szCs w:val="18"/>
              </w:rPr>
              <w:t>ublic consultation</w:t>
            </w:r>
          </w:p>
        </w:tc>
      </w:tr>
      <w:tr w:rsidR="00EB50F8" w:rsidRPr="00881BC8" w14:paraId="7BFC9970" w14:textId="77777777" w:rsidTr="00602256">
        <w:tc>
          <w:tcPr>
            <w:tcW w:w="1228" w:type="dxa"/>
            <w:tcMar>
              <w:top w:w="85" w:type="dxa"/>
              <w:left w:w="57" w:type="dxa"/>
              <w:bottom w:w="85" w:type="dxa"/>
              <w:right w:w="57" w:type="dxa"/>
            </w:tcMar>
          </w:tcPr>
          <w:p w14:paraId="5B841A10" w14:textId="1383512D" w:rsidR="00EB50F8" w:rsidRPr="00881BC8" w:rsidRDefault="00EB50F8" w:rsidP="0CE07C37">
            <w:pPr>
              <w:spacing w:after="0"/>
              <w:rPr>
                <w:noProof/>
                <w:sz w:val="18"/>
                <w:szCs w:val="18"/>
              </w:rPr>
            </w:pPr>
            <w:r w:rsidRPr="00881BC8">
              <w:rPr>
                <w:noProof/>
                <w:sz w:val="18"/>
                <w:szCs w:val="18"/>
              </w:rPr>
              <w:t>Plum Consulting 2017</w:t>
            </w:r>
          </w:p>
        </w:tc>
        <w:tc>
          <w:tcPr>
            <w:tcW w:w="7380" w:type="dxa"/>
            <w:tcMar>
              <w:top w:w="85" w:type="dxa"/>
              <w:left w:w="57" w:type="dxa"/>
              <w:bottom w:w="85" w:type="dxa"/>
              <w:right w:w="57" w:type="dxa"/>
            </w:tcMar>
          </w:tcPr>
          <w:p w14:paraId="75E8B88B" w14:textId="5F2B34F5" w:rsidR="00EB50F8" w:rsidRPr="00881BC8" w:rsidRDefault="00EB50F8" w:rsidP="0CE07C37">
            <w:pPr>
              <w:spacing w:after="0"/>
              <w:rPr>
                <w:noProof/>
                <w:sz w:val="18"/>
                <w:szCs w:val="18"/>
              </w:rPr>
            </w:pPr>
            <w:r w:rsidRPr="00881BC8">
              <w:rPr>
                <w:noProof/>
                <w:sz w:val="18"/>
                <w:szCs w:val="18"/>
              </w:rPr>
              <w:t xml:space="preserve">Plum Consulting 2017: Sweating the Small Stuff, </w:t>
            </w:r>
            <w:hyperlink r:id="rId40" w:history="1">
              <w:r w:rsidRPr="00881BC8">
                <w:rPr>
                  <w:rStyle w:val="Hyperlink"/>
                  <w:noProof/>
                  <w:sz w:val="18"/>
                  <w:szCs w:val="18"/>
                </w:rPr>
                <w:t>http://plumconsulting.co.uk/sweating-small-stuff-impact-bureaucracy-burden</w:t>
              </w:r>
            </w:hyperlink>
          </w:p>
        </w:tc>
      </w:tr>
      <w:tr w:rsidR="00017D19" w:rsidRPr="00881BC8" w14:paraId="189A04F1" w14:textId="77777777" w:rsidTr="00602256">
        <w:tc>
          <w:tcPr>
            <w:tcW w:w="1228" w:type="dxa"/>
            <w:tcMar>
              <w:top w:w="85" w:type="dxa"/>
              <w:left w:w="57" w:type="dxa"/>
              <w:bottom w:w="85" w:type="dxa"/>
              <w:right w:w="57" w:type="dxa"/>
            </w:tcMar>
          </w:tcPr>
          <w:p w14:paraId="5B95BA01" w14:textId="11B500F0" w:rsidR="00017D19" w:rsidRPr="00881BC8" w:rsidRDefault="00017D19" w:rsidP="0CE07C37">
            <w:pPr>
              <w:spacing w:after="0"/>
              <w:rPr>
                <w:noProof/>
                <w:sz w:val="18"/>
                <w:szCs w:val="18"/>
              </w:rPr>
            </w:pPr>
            <w:r w:rsidRPr="00881BC8">
              <w:rPr>
                <w:noProof/>
                <w:sz w:val="18"/>
                <w:szCs w:val="18"/>
              </w:rPr>
              <w:t>PO[number]</w:t>
            </w:r>
          </w:p>
        </w:tc>
        <w:tc>
          <w:tcPr>
            <w:tcW w:w="7380" w:type="dxa"/>
            <w:tcMar>
              <w:top w:w="85" w:type="dxa"/>
              <w:left w:w="57" w:type="dxa"/>
              <w:bottom w:w="85" w:type="dxa"/>
              <w:right w:w="57" w:type="dxa"/>
            </w:tcMar>
          </w:tcPr>
          <w:p w14:paraId="1A0DA5B0" w14:textId="249E523E" w:rsidR="00017D19" w:rsidRPr="00881BC8" w:rsidRDefault="00017D19" w:rsidP="0CE07C37">
            <w:pPr>
              <w:spacing w:after="0"/>
              <w:rPr>
                <w:noProof/>
                <w:sz w:val="18"/>
                <w:szCs w:val="18"/>
              </w:rPr>
            </w:pPr>
            <w:r w:rsidRPr="00881BC8">
              <w:rPr>
                <w:noProof/>
                <w:sz w:val="18"/>
                <w:szCs w:val="18"/>
              </w:rPr>
              <w:t>Policy option – for details please refer to Table 1, Table 2 and Table 3</w:t>
            </w:r>
          </w:p>
        </w:tc>
      </w:tr>
      <w:tr w:rsidR="006B087E" w:rsidRPr="00881BC8" w14:paraId="3F6361CA" w14:textId="77777777" w:rsidTr="00602256">
        <w:tc>
          <w:tcPr>
            <w:tcW w:w="1228" w:type="dxa"/>
            <w:tcMar>
              <w:top w:w="85" w:type="dxa"/>
              <w:left w:w="57" w:type="dxa"/>
              <w:bottom w:w="85" w:type="dxa"/>
              <w:right w:w="57" w:type="dxa"/>
            </w:tcMar>
          </w:tcPr>
          <w:p w14:paraId="3F6361C8" w14:textId="45D6BF37" w:rsidR="006B087E" w:rsidRPr="00881BC8" w:rsidRDefault="00015016" w:rsidP="0CE07C37">
            <w:pPr>
              <w:spacing w:after="0"/>
              <w:rPr>
                <w:noProof/>
                <w:sz w:val="18"/>
                <w:szCs w:val="18"/>
              </w:rPr>
            </w:pPr>
            <w:r w:rsidRPr="00881BC8">
              <w:rPr>
                <w:noProof/>
                <w:sz w:val="18"/>
                <w:szCs w:val="18"/>
              </w:rPr>
              <w:t xml:space="preserve">Public procurement directives or </w:t>
            </w:r>
            <w:r w:rsidR="004828B5" w:rsidRPr="00881BC8">
              <w:rPr>
                <w:noProof/>
                <w:sz w:val="18"/>
                <w:szCs w:val="18"/>
              </w:rPr>
              <w:t xml:space="preserve">PP </w:t>
            </w:r>
            <w:r w:rsidRPr="00881BC8">
              <w:rPr>
                <w:noProof/>
                <w:sz w:val="18"/>
                <w:szCs w:val="18"/>
              </w:rPr>
              <w:t>d</w:t>
            </w:r>
            <w:r w:rsidR="004828B5" w:rsidRPr="00881BC8">
              <w:rPr>
                <w:noProof/>
                <w:sz w:val="18"/>
                <w:szCs w:val="18"/>
              </w:rPr>
              <w:t>irective</w:t>
            </w:r>
            <w:r w:rsidRPr="00881BC8">
              <w:rPr>
                <w:noProof/>
                <w:sz w:val="18"/>
                <w:szCs w:val="18"/>
              </w:rPr>
              <w:t>s</w:t>
            </w:r>
            <w:r w:rsidR="00303323" w:rsidRPr="00881BC8">
              <w:rPr>
                <w:noProof/>
                <w:sz w:val="18"/>
                <w:szCs w:val="18"/>
              </w:rPr>
              <w:t xml:space="preserve"> </w:t>
            </w:r>
          </w:p>
        </w:tc>
        <w:tc>
          <w:tcPr>
            <w:tcW w:w="7380" w:type="dxa"/>
            <w:tcMar>
              <w:top w:w="85" w:type="dxa"/>
              <w:left w:w="57" w:type="dxa"/>
              <w:bottom w:w="85" w:type="dxa"/>
              <w:right w:w="57" w:type="dxa"/>
            </w:tcMar>
          </w:tcPr>
          <w:p w14:paraId="3F6361C9" w14:textId="43A64055" w:rsidR="006B087E" w:rsidRPr="00881BC8" w:rsidRDefault="00015016" w:rsidP="0CE07C37">
            <w:pPr>
              <w:spacing w:after="0"/>
              <w:rPr>
                <w:noProof/>
                <w:sz w:val="18"/>
                <w:szCs w:val="18"/>
              </w:rPr>
            </w:pPr>
            <w:r w:rsidRPr="00881BC8">
              <w:rPr>
                <w:noProof/>
                <w:sz w:val="18"/>
                <w:szCs w:val="18"/>
              </w:rPr>
              <w:t>Directive 2014/24/EU of the European Parliament and of the Council of 26 February 2014 on public procurement and repealing Directive 2004/18/EC: Other Directives in the public procurement area are: - Directive 2014/25/EU (on public procurement in the utilities sector). The EU Public procurement framework also includes Directives 2014/23/EU (on concessions), - Directive 2009/81/EC (on procurement in the defence and security sector), Directive 89/665/EEC and Directive 92/13/EEC (Remedies Directives), Directive 2014/55/EU (on e-invoicing in public procurement).</w:t>
            </w:r>
          </w:p>
        </w:tc>
      </w:tr>
      <w:tr w:rsidR="008F5DED" w:rsidRPr="00881BC8" w14:paraId="110F9129" w14:textId="77777777" w:rsidTr="00602256">
        <w:tc>
          <w:tcPr>
            <w:tcW w:w="1228" w:type="dxa"/>
            <w:tcMar>
              <w:top w:w="85" w:type="dxa"/>
              <w:left w:w="57" w:type="dxa"/>
              <w:bottom w:w="85" w:type="dxa"/>
              <w:right w:w="57" w:type="dxa"/>
            </w:tcMar>
          </w:tcPr>
          <w:p w14:paraId="7C359A8F" w14:textId="38F6B314" w:rsidR="008F5DED" w:rsidRPr="00881BC8" w:rsidRDefault="008F5DED" w:rsidP="000E3086">
            <w:pPr>
              <w:rPr>
                <w:noProof/>
                <w:sz w:val="18"/>
                <w:szCs w:val="18"/>
              </w:rPr>
            </w:pPr>
            <w:r w:rsidRPr="00881BC8">
              <w:rPr>
                <w:noProof/>
                <w:sz w:val="18"/>
                <w:szCs w:val="18"/>
              </w:rPr>
              <w:t>RSB</w:t>
            </w:r>
          </w:p>
        </w:tc>
        <w:tc>
          <w:tcPr>
            <w:tcW w:w="7380" w:type="dxa"/>
            <w:tcMar>
              <w:top w:w="85" w:type="dxa"/>
              <w:left w:w="57" w:type="dxa"/>
              <w:bottom w:w="85" w:type="dxa"/>
              <w:right w:w="57" w:type="dxa"/>
            </w:tcMar>
          </w:tcPr>
          <w:p w14:paraId="2F775BF5" w14:textId="0BE69E51" w:rsidR="008F5DED" w:rsidRPr="00881BC8" w:rsidRDefault="008F5DED" w:rsidP="002356E9">
            <w:pPr>
              <w:rPr>
                <w:noProof/>
                <w:sz w:val="18"/>
                <w:szCs w:val="18"/>
              </w:rPr>
            </w:pPr>
            <w:r w:rsidRPr="00881BC8">
              <w:rPr>
                <w:noProof/>
                <w:sz w:val="18"/>
                <w:szCs w:val="18"/>
              </w:rPr>
              <w:t>Regulatory Scrutiny Board</w:t>
            </w:r>
          </w:p>
        </w:tc>
      </w:tr>
      <w:tr w:rsidR="00A90301" w:rsidRPr="00881BC8" w14:paraId="6949B178" w14:textId="77777777" w:rsidTr="00602256">
        <w:tc>
          <w:tcPr>
            <w:tcW w:w="1228" w:type="dxa"/>
            <w:tcMar>
              <w:top w:w="85" w:type="dxa"/>
              <w:left w:w="57" w:type="dxa"/>
              <w:bottom w:w="85" w:type="dxa"/>
              <w:right w:w="57" w:type="dxa"/>
            </w:tcMar>
          </w:tcPr>
          <w:p w14:paraId="5C5E5F9B" w14:textId="4D4A9F3C" w:rsidR="00A90301" w:rsidRPr="00881BC8" w:rsidRDefault="00A90301" w:rsidP="000E3086">
            <w:pPr>
              <w:rPr>
                <w:noProof/>
                <w:sz w:val="18"/>
                <w:szCs w:val="18"/>
              </w:rPr>
            </w:pPr>
            <w:r w:rsidRPr="00881BC8">
              <w:rPr>
                <w:noProof/>
                <w:sz w:val="18"/>
                <w:szCs w:val="18"/>
              </w:rPr>
              <w:t xml:space="preserve">S or small </w:t>
            </w:r>
          </w:p>
        </w:tc>
        <w:tc>
          <w:tcPr>
            <w:tcW w:w="7380" w:type="dxa"/>
            <w:tcMar>
              <w:top w:w="85" w:type="dxa"/>
              <w:left w:w="57" w:type="dxa"/>
              <w:bottom w:w="85" w:type="dxa"/>
              <w:right w:w="57" w:type="dxa"/>
            </w:tcMar>
          </w:tcPr>
          <w:p w14:paraId="2B86B139" w14:textId="60BCC208" w:rsidR="00A90301" w:rsidRPr="00881BC8" w:rsidRDefault="00A90301" w:rsidP="002356E9">
            <w:pPr>
              <w:rPr>
                <w:noProof/>
                <w:sz w:val="18"/>
                <w:szCs w:val="18"/>
              </w:rPr>
            </w:pPr>
            <w:r w:rsidRPr="00881BC8">
              <w:rPr>
                <w:noProof/>
                <w:sz w:val="18"/>
                <w:szCs w:val="18"/>
              </w:rPr>
              <w:t>A small company as in Commission Recommendation concerning the definition of micro, small and medium-sized enterprises (2003/361/EC)</w:t>
            </w:r>
          </w:p>
        </w:tc>
      </w:tr>
      <w:tr w:rsidR="00940536" w:rsidRPr="00881BC8" w14:paraId="709C5E49" w14:textId="77777777" w:rsidTr="00602256">
        <w:tc>
          <w:tcPr>
            <w:tcW w:w="1228" w:type="dxa"/>
            <w:tcMar>
              <w:top w:w="85" w:type="dxa"/>
              <w:left w:w="57" w:type="dxa"/>
              <w:bottom w:w="85" w:type="dxa"/>
              <w:right w:w="57" w:type="dxa"/>
            </w:tcMar>
          </w:tcPr>
          <w:p w14:paraId="2C194F26" w14:textId="61C72624" w:rsidR="00940536" w:rsidRPr="00881BC8" w:rsidRDefault="002356E9" w:rsidP="000E3086">
            <w:pPr>
              <w:rPr>
                <w:noProof/>
                <w:sz w:val="18"/>
                <w:szCs w:val="18"/>
              </w:rPr>
            </w:pPr>
            <w:r w:rsidRPr="00881BC8">
              <w:rPr>
                <w:noProof/>
                <w:sz w:val="18"/>
                <w:szCs w:val="18"/>
              </w:rPr>
              <w:t>SAFE survey</w:t>
            </w:r>
          </w:p>
        </w:tc>
        <w:tc>
          <w:tcPr>
            <w:tcW w:w="7380" w:type="dxa"/>
            <w:tcMar>
              <w:top w:w="85" w:type="dxa"/>
              <w:left w:w="57" w:type="dxa"/>
              <w:bottom w:w="85" w:type="dxa"/>
              <w:right w:w="57" w:type="dxa"/>
            </w:tcMar>
          </w:tcPr>
          <w:p w14:paraId="61FE374D" w14:textId="4209BB93" w:rsidR="00940536" w:rsidRPr="00881BC8" w:rsidRDefault="002356E9" w:rsidP="002356E9">
            <w:pPr>
              <w:rPr>
                <w:noProof/>
                <w:sz w:val="18"/>
                <w:szCs w:val="18"/>
              </w:rPr>
            </w:pPr>
            <w:r w:rsidRPr="00881BC8">
              <w:rPr>
                <w:noProof/>
                <w:sz w:val="18"/>
                <w:szCs w:val="18"/>
              </w:rPr>
              <w:t>Survey on SMEs access to finance</w:t>
            </w:r>
          </w:p>
        </w:tc>
      </w:tr>
      <w:tr w:rsidR="007F5F8E" w:rsidRPr="00881BC8" w14:paraId="1AE0D186" w14:textId="77777777" w:rsidTr="00602256">
        <w:trPr>
          <w:trHeight w:val="227"/>
        </w:trPr>
        <w:tc>
          <w:tcPr>
            <w:tcW w:w="1228" w:type="dxa"/>
            <w:tcMar>
              <w:top w:w="85" w:type="dxa"/>
              <w:left w:w="57" w:type="dxa"/>
              <w:bottom w:w="85" w:type="dxa"/>
              <w:right w:w="57" w:type="dxa"/>
            </w:tcMar>
          </w:tcPr>
          <w:p w14:paraId="1039C955" w14:textId="615D889D" w:rsidR="007F5F8E" w:rsidRPr="00881BC8" w:rsidRDefault="007F5F8E" w:rsidP="003C7C08">
            <w:pPr>
              <w:spacing w:after="0"/>
              <w:rPr>
                <w:noProof/>
                <w:sz w:val="18"/>
                <w:szCs w:val="18"/>
              </w:rPr>
            </w:pPr>
            <w:r w:rsidRPr="00881BC8">
              <w:rPr>
                <w:noProof/>
                <w:sz w:val="18"/>
                <w:szCs w:val="18"/>
              </w:rPr>
              <w:t xml:space="preserve">SDG </w:t>
            </w:r>
          </w:p>
        </w:tc>
        <w:tc>
          <w:tcPr>
            <w:tcW w:w="7380" w:type="dxa"/>
            <w:tcMar>
              <w:top w:w="85" w:type="dxa"/>
              <w:left w:w="57" w:type="dxa"/>
              <w:bottom w:w="85" w:type="dxa"/>
              <w:right w:w="57" w:type="dxa"/>
            </w:tcMar>
          </w:tcPr>
          <w:p w14:paraId="13ED8A56" w14:textId="207BB1B4" w:rsidR="007F5F8E" w:rsidRPr="00881BC8" w:rsidRDefault="007F5F8E" w:rsidP="003C7C08">
            <w:pPr>
              <w:spacing w:after="0"/>
              <w:rPr>
                <w:noProof/>
                <w:sz w:val="18"/>
                <w:szCs w:val="18"/>
              </w:rPr>
            </w:pPr>
            <w:r w:rsidRPr="00881BC8">
              <w:rPr>
                <w:noProof/>
                <w:sz w:val="18"/>
                <w:szCs w:val="18"/>
              </w:rPr>
              <w:t>Sustainable Development Goal</w:t>
            </w:r>
          </w:p>
        </w:tc>
      </w:tr>
      <w:tr w:rsidR="00A771E7" w:rsidRPr="00881BC8" w14:paraId="69F77626" w14:textId="77777777" w:rsidTr="00602256">
        <w:trPr>
          <w:trHeight w:val="227"/>
        </w:trPr>
        <w:tc>
          <w:tcPr>
            <w:tcW w:w="1228" w:type="dxa"/>
            <w:tcMar>
              <w:top w:w="85" w:type="dxa"/>
              <w:left w:w="57" w:type="dxa"/>
              <w:bottom w:w="85" w:type="dxa"/>
              <w:right w:w="57" w:type="dxa"/>
            </w:tcMar>
          </w:tcPr>
          <w:p w14:paraId="7F60A9CC" w14:textId="58B75E2D" w:rsidR="00A771E7" w:rsidRPr="00881BC8" w:rsidRDefault="00A771E7" w:rsidP="003C7C08">
            <w:pPr>
              <w:spacing w:after="0"/>
              <w:rPr>
                <w:noProof/>
                <w:sz w:val="18"/>
                <w:szCs w:val="18"/>
              </w:rPr>
            </w:pPr>
            <w:r w:rsidRPr="00881BC8">
              <w:rPr>
                <w:noProof/>
                <w:sz w:val="18"/>
                <w:szCs w:val="18"/>
              </w:rPr>
              <w:t>SME panel</w:t>
            </w:r>
          </w:p>
        </w:tc>
        <w:tc>
          <w:tcPr>
            <w:tcW w:w="7380" w:type="dxa"/>
            <w:tcMar>
              <w:top w:w="85" w:type="dxa"/>
              <w:left w:w="57" w:type="dxa"/>
              <w:bottom w:w="85" w:type="dxa"/>
              <w:right w:w="57" w:type="dxa"/>
            </w:tcMar>
          </w:tcPr>
          <w:p w14:paraId="3A5F02B4" w14:textId="0BD81681" w:rsidR="00A771E7" w:rsidRPr="00881BC8" w:rsidRDefault="00A771E7" w:rsidP="003C7C08">
            <w:pPr>
              <w:spacing w:after="0"/>
              <w:rPr>
                <w:noProof/>
                <w:sz w:val="18"/>
                <w:szCs w:val="18"/>
              </w:rPr>
            </w:pPr>
            <w:r w:rsidRPr="00881BC8">
              <w:rPr>
                <w:noProof/>
                <w:sz w:val="18"/>
                <w:szCs w:val="18"/>
              </w:rPr>
              <w:t>A targeted SME consultation</w:t>
            </w:r>
            <w:r w:rsidR="009E61A8" w:rsidRPr="00881BC8">
              <w:rPr>
                <w:noProof/>
                <w:sz w:val="18"/>
                <w:szCs w:val="18"/>
              </w:rPr>
              <w:t xml:space="preserve">, details and results in </w:t>
            </w:r>
            <w:r w:rsidR="009E61A8" w:rsidRPr="00881BC8">
              <w:rPr>
                <w:noProof/>
                <w:sz w:val="18"/>
                <w:szCs w:val="18"/>
              </w:rPr>
              <w:fldChar w:fldCharType="begin"/>
            </w:r>
            <w:r w:rsidR="009E61A8" w:rsidRPr="00881BC8">
              <w:rPr>
                <w:noProof/>
                <w:sz w:val="18"/>
                <w:szCs w:val="18"/>
              </w:rPr>
              <w:instrText xml:space="preserve"> REF Annex16 \h  \* MERGEFORMAT </w:instrText>
            </w:r>
            <w:r w:rsidR="009E61A8" w:rsidRPr="00881BC8">
              <w:rPr>
                <w:noProof/>
                <w:sz w:val="18"/>
                <w:szCs w:val="18"/>
              </w:rPr>
            </w:r>
            <w:r w:rsidR="009E61A8" w:rsidRPr="00881BC8">
              <w:rPr>
                <w:noProof/>
                <w:sz w:val="18"/>
                <w:szCs w:val="18"/>
              </w:rPr>
              <w:fldChar w:fldCharType="separate"/>
            </w:r>
            <w:r w:rsidR="005851F4" w:rsidRPr="005851F4">
              <w:rPr>
                <w:noProof/>
                <w:sz w:val="18"/>
                <w:szCs w:val="18"/>
              </w:rPr>
              <w:t>Annex 16</w:t>
            </w:r>
            <w:r w:rsidR="009E61A8" w:rsidRPr="00881BC8">
              <w:rPr>
                <w:noProof/>
                <w:sz w:val="18"/>
                <w:szCs w:val="18"/>
              </w:rPr>
              <w:fldChar w:fldCharType="end"/>
            </w:r>
          </w:p>
        </w:tc>
      </w:tr>
      <w:tr w:rsidR="0018135D" w:rsidRPr="00881BC8" w14:paraId="1616C887" w14:textId="77777777" w:rsidTr="00602256">
        <w:trPr>
          <w:trHeight w:val="227"/>
        </w:trPr>
        <w:tc>
          <w:tcPr>
            <w:tcW w:w="1228" w:type="dxa"/>
            <w:tcMar>
              <w:top w:w="85" w:type="dxa"/>
              <w:left w:w="57" w:type="dxa"/>
              <w:bottom w:w="85" w:type="dxa"/>
              <w:right w:w="57" w:type="dxa"/>
            </w:tcMar>
          </w:tcPr>
          <w:p w14:paraId="7158A9FD" w14:textId="379A5A45" w:rsidR="0018135D" w:rsidRPr="00881BC8" w:rsidRDefault="0018135D" w:rsidP="003C7C08">
            <w:pPr>
              <w:spacing w:after="0"/>
              <w:rPr>
                <w:noProof/>
                <w:sz w:val="18"/>
                <w:szCs w:val="18"/>
              </w:rPr>
            </w:pPr>
            <w:r w:rsidRPr="00881BC8">
              <w:rPr>
                <w:noProof/>
                <w:sz w:val="18"/>
                <w:szCs w:val="18"/>
              </w:rPr>
              <w:t>SME Performance Review</w:t>
            </w:r>
          </w:p>
        </w:tc>
        <w:tc>
          <w:tcPr>
            <w:tcW w:w="7380" w:type="dxa"/>
            <w:tcMar>
              <w:top w:w="85" w:type="dxa"/>
              <w:left w:w="57" w:type="dxa"/>
              <w:bottom w:w="85" w:type="dxa"/>
              <w:right w:w="57" w:type="dxa"/>
            </w:tcMar>
          </w:tcPr>
          <w:p w14:paraId="717E51D8" w14:textId="35925E77" w:rsidR="0018135D" w:rsidRPr="00881BC8" w:rsidRDefault="00BC129D" w:rsidP="003C7C08">
            <w:pPr>
              <w:spacing w:after="0"/>
              <w:rPr>
                <w:noProof/>
                <w:sz w:val="18"/>
                <w:szCs w:val="18"/>
              </w:rPr>
            </w:pPr>
            <w:hyperlink r:id="rId41" w:history="1">
              <w:r w:rsidR="00E8781B" w:rsidRPr="00881BC8">
                <w:rPr>
                  <w:rStyle w:val="Hyperlink"/>
                  <w:noProof/>
                  <w:sz w:val="18"/>
                  <w:szCs w:val="18"/>
                </w:rPr>
                <w:t>https://single-market-economy.ec.europa.eu/smes/sme-strategy/sme-performance-review_en</w:t>
              </w:r>
            </w:hyperlink>
            <w:r w:rsidR="00E8781B" w:rsidRPr="00881BC8">
              <w:rPr>
                <w:noProof/>
                <w:sz w:val="18"/>
                <w:szCs w:val="18"/>
              </w:rPr>
              <w:t xml:space="preserve"> </w:t>
            </w:r>
          </w:p>
        </w:tc>
      </w:tr>
      <w:tr w:rsidR="0020453C" w:rsidRPr="00367C59" w14:paraId="1411D07C" w14:textId="77777777" w:rsidTr="00602256">
        <w:trPr>
          <w:trHeight w:val="227"/>
        </w:trPr>
        <w:tc>
          <w:tcPr>
            <w:tcW w:w="1228" w:type="dxa"/>
            <w:tcMar>
              <w:top w:w="85" w:type="dxa"/>
              <w:left w:w="57" w:type="dxa"/>
              <w:bottom w:w="85" w:type="dxa"/>
              <w:right w:w="57" w:type="dxa"/>
            </w:tcMar>
          </w:tcPr>
          <w:p w14:paraId="0576B9BF" w14:textId="2AB54D4B" w:rsidR="0020453C" w:rsidRPr="00881BC8" w:rsidRDefault="0020453C" w:rsidP="003C7C08">
            <w:pPr>
              <w:spacing w:after="0"/>
              <w:rPr>
                <w:noProof/>
                <w:sz w:val="18"/>
                <w:szCs w:val="18"/>
              </w:rPr>
            </w:pPr>
            <w:r w:rsidRPr="00881BC8">
              <w:rPr>
                <w:noProof/>
                <w:sz w:val="18"/>
                <w:szCs w:val="18"/>
              </w:rPr>
              <w:t>SME Strategy</w:t>
            </w:r>
          </w:p>
        </w:tc>
        <w:tc>
          <w:tcPr>
            <w:tcW w:w="7380" w:type="dxa"/>
            <w:tcMar>
              <w:top w:w="85" w:type="dxa"/>
              <w:left w:w="57" w:type="dxa"/>
              <w:bottom w:w="85" w:type="dxa"/>
              <w:right w:w="57" w:type="dxa"/>
            </w:tcMar>
          </w:tcPr>
          <w:p w14:paraId="36C08DEF" w14:textId="4B3ED7FE" w:rsidR="0020453C" w:rsidRPr="00700243" w:rsidRDefault="00E844AE" w:rsidP="003C7C08">
            <w:pPr>
              <w:spacing w:after="0"/>
              <w:rPr>
                <w:noProof/>
                <w:sz w:val="18"/>
                <w:szCs w:val="18"/>
                <w:lang w:val="pt-PT"/>
              </w:rPr>
            </w:pPr>
            <w:r w:rsidRPr="00700243">
              <w:rPr>
                <w:noProof/>
                <w:sz w:val="18"/>
                <w:szCs w:val="18"/>
                <w:lang w:val="pt-PT"/>
              </w:rPr>
              <w:t xml:space="preserve">COM(2020) 103, </w:t>
            </w:r>
            <w:hyperlink r:id="rId42" w:history="1">
              <w:r w:rsidRPr="00700243">
                <w:rPr>
                  <w:rStyle w:val="Hyperlink"/>
                  <w:noProof/>
                  <w:sz w:val="18"/>
                  <w:szCs w:val="18"/>
                  <w:lang w:val="pt-PT"/>
                </w:rPr>
                <w:t>https://eur-lex.europa.eu/legal-content/EN/TXT/?uri=CELEX:52020DC0103</w:t>
              </w:r>
            </w:hyperlink>
          </w:p>
        </w:tc>
      </w:tr>
      <w:tr w:rsidR="009D6241" w:rsidRPr="00881BC8" w14:paraId="3805C252" w14:textId="77777777" w:rsidTr="00602256">
        <w:trPr>
          <w:trHeight w:val="227"/>
        </w:trPr>
        <w:tc>
          <w:tcPr>
            <w:tcW w:w="1228" w:type="dxa"/>
            <w:tcMar>
              <w:top w:w="85" w:type="dxa"/>
              <w:left w:w="57" w:type="dxa"/>
              <w:bottom w:w="85" w:type="dxa"/>
              <w:right w:w="57" w:type="dxa"/>
            </w:tcMar>
          </w:tcPr>
          <w:p w14:paraId="65C5813E" w14:textId="2C6DBBF9" w:rsidR="009D6241" w:rsidRPr="00881BC8" w:rsidRDefault="009D6241" w:rsidP="003C7C08">
            <w:pPr>
              <w:spacing w:after="0"/>
              <w:rPr>
                <w:noProof/>
                <w:sz w:val="18"/>
                <w:szCs w:val="18"/>
              </w:rPr>
            </w:pPr>
            <w:r w:rsidRPr="00881BC8">
              <w:rPr>
                <w:noProof/>
                <w:sz w:val="18"/>
                <w:szCs w:val="18"/>
              </w:rPr>
              <w:t>SOTEU</w:t>
            </w:r>
          </w:p>
        </w:tc>
        <w:tc>
          <w:tcPr>
            <w:tcW w:w="7380" w:type="dxa"/>
            <w:tcMar>
              <w:top w:w="85" w:type="dxa"/>
              <w:left w:w="57" w:type="dxa"/>
              <w:bottom w:w="85" w:type="dxa"/>
              <w:right w:w="57" w:type="dxa"/>
            </w:tcMar>
          </w:tcPr>
          <w:p w14:paraId="64FC2434" w14:textId="5A39A921" w:rsidR="009D6241" w:rsidRPr="00881BC8" w:rsidRDefault="009D6241" w:rsidP="00101EC9">
            <w:pPr>
              <w:spacing w:after="0"/>
              <w:jc w:val="left"/>
              <w:rPr>
                <w:noProof/>
                <w:sz w:val="18"/>
                <w:szCs w:val="18"/>
              </w:rPr>
            </w:pPr>
            <w:r w:rsidRPr="00881BC8">
              <w:rPr>
                <w:noProof/>
                <w:sz w:val="18"/>
                <w:szCs w:val="18"/>
              </w:rPr>
              <w:t>State of the European Union speech</w:t>
            </w:r>
          </w:p>
        </w:tc>
      </w:tr>
      <w:tr w:rsidR="00101EC9" w:rsidRPr="00881BC8" w14:paraId="352068FB" w14:textId="77777777" w:rsidTr="00602256">
        <w:trPr>
          <w:trHeight w:val="227"/>
        </w:trPr>
        <w:tc>
          <w:tcPr>
            <w:tcW w:w="1228" w:type="dxa"/>
            <w:tcMar>
              <w:top w:w="85" w:type="dxa"/>
              <w:left w:w="57" w:type="dxa"/>
              <w:bottom w:w="85" w:type="dxa"/>
              <w:right w:w="57" w:type="dxa"/>
            </w:tcMar>
          </w:tcPr>
          <w:p w14:paraId="5057B1DE" w14:textId="0148FD59" w:rsidR="00101EC9" w:rsidRPr="00881BC8" w:rsidRDefault="00101EC9" w:rsidP="003C7C08">
            <w:pPr>
              <w:spacing w:after="0"/>
              <w:rPr>
                <w:noProof/>
                <w:sz w:val="18"/>
                <w:szCs w:val="18"/>
              </w:rPr>
            </w:pPr>
            <w:r w:rsidRPr="00881BC8">
              <w:rPr>
                <w:noProof/>
                <w:sz w:val="18"/>
                <w:szCs w:val="18"/>
              </w:rPr>
              <w:t>Strategic foresight report 2022</w:t>
            </w:r>
          </w:p>
        </w:tc>
        <w:tc>
          <w:tcPr>
            <w:tcW w:w="7380" w:type="dxa"/>
            <w:tcMar>
              <w:top w:w="85" w:type="dxa"/>
              <w:left w:w="57" w:type="dxa"/>
              <w:bottom w:w="85" w:type="dxa"/>
              <w:right w:w="57" w:type="dxa"/>
            </w:tcMar>
          </w:tcPr>
          <w:p w14:paraId="4F4F6D49" w14:textId="44F1002B" w:rsidR="00101EC9" w:rsidRPr="00881BC8" w:rsidRDefault="00BC129D" w:rsidP="00101EC9">
            <w:pPr>
              <w:spacing w:after="0"/>
              <w:jc w:val="left"/>
              <w:rPr>
                <w:noProof/>
                <w:sz w:val="18"/>
                <w:szCs w:val="18"/>
              </w:rPr>
            </w:pPr>
            <w:hyperlink r:id="rId43" w:history="1">
              <w:r w:rsidR="00101EC9" w:rsidRPr="00881BC8">
                <w:rPr>
                  <w:rStyle w:val="Hyperlink"/>
                  <w:noProof/>
                  <w:sz w:val="18"/>
                  <w:szCs w:val="18"/>
                </w:rPr>
                <w:t>https://eur-lex.europa.eu/legal-content/EN/TXT/?uri=CELEX%3A52022DC0289&amp;qid=1658824364827</w:t>
              </w:r>
            </w:hyperlink>
          </w:p>
        </w:tc>
      </w:tr>
      <w:tr w:rsidR="00667299" w:rsidRPr="00881BC8" w14:paraId="1017980C" w14:textId="77777777" w:rsidTr="00602256">
        <w:trPr>
          <w:trHeight w:val="227"/>
        </w:trPr>
        <w:tc>
          <w:tcPr>
            <w:tcW w:w="1228" w:type="dxa"/>
            <w:tcMar>
              <w:top w:w="85" w:type="dxa"/>
              <w:left w:w="57" w:type="dxa"/>
              <w:bottom w:w="85" w:type="dxa"/>
              <w:right w:w="57" w:type="dxa"/>
            </w:tcMar>
          </w:tcPr>
          <w:p w14:paraId="0DD9328F" w14:textId="6BFC9134" w:rsidR="00667299" w:rsidRPr="00881BC8" w:rsidRDefault="00667299" w:rsidP="003C7C08">
            <w:pPr>
              <w:spacing w:after="0"/>
              <w:rPr>
                <w:noProof/>
                <w:sz w:val="18"/>
                <w:szCs w:val="18"/>
              </w:rPr>
            </w:pPr>
            <w:r w:rsidRPr="00881BC8">
              <w:rPr>
                <w:noProof/>
                <w:sz w:val="18"/>
                <w:szCs w:val="18"/>
              </w:rPr>
              <w:t>Trade credit</w:t>
            </w:r>
          </w:p>
        </w:tc>
        <w:tc>
          <w:tcPr>
            <w:tcW w:w="7380" w:type="dxa"/>
            <w:tcMar>
              <w:top w:w="85" w:type="dxa"/>
              <w:left w:w="57" w:type="dxa"/>
              <w:bottom w:w="85" w:type="dxa"/>
              <w:right w:w="57" w:type="dxa"/>
            </w:tcMar>
          </w:tcPr>
          <w:p w14:paraId="607553AA" w14:textId="451AC017" w:rsidR="00667299" w:rsidRPr="00881BC8" w:rsidRDefault="00667299" w:rsidP="003C7C08">
            <w:pPr>
              <w:spacing w:after="0"/>
              <w:rPr>
                <w:noProof/>
                <w:sz w:val="18"/>
                <w:szCs w:val="18"/>
              </w:rPr>
            </w:pPr>
            <w:r w:rsidRPr="00881BC8">
              <w:rPr>
                <w:noProof/>
                <w:sz w:val="18"/>
                <w:szCs w:val="18"/>
              </w:rPr>
              <w:t>Supplier credit, takes place when a sale is not made against cash but against a deferred payment</w:t>
            </w:r>
          </w:p>
        </w:tc>
      </w:tr>
      <w:tr w:rsidR="00A7597F" w:rsidRPr="00881BC8" w14:paraId="21059CB6" w14:textId="77777777" w:rsidTr="00602256">
        <w:trPr>
          <w:trHeight w:val="227"/>
        </w:trPr>
        <w:tc>
          <w:tcPr>
            <w:tcW w:w="1228" w:type="dxa"/>
            <w:tcMar>
              <w:top w:w="85" w:type="dxa"/>
              <w:left w:w="57" w:type="dxa"/>
              <w:bottom w:w="85" w:type="dxa"/>
              <w:right w:w="57" w:type="dxa"/>
            </w:tcMar>
          </w:tcPr>
          <w:p w14:paraId="193FB41D" w14:textId="69064AD8" w:rsidR="00A7597F" w:rsidRPr="00881BC8" w:rsidRDefault="00BA1B12" w:rsidP="003C7C08">
            <w:pPr>
              <w:spacing w:after="0"/>
              <w:rPr>
                <w:noProof/>
                <w:sz w:val="18"/>
                <w:szCs w:val="18"/>
              </w:rPr>
            </w:pPr>
            <w:bookmarkStart w:id="4" w:name="_Hlk131594220"/>
            <w:r w:rsidRPr="00881BC8">
              <w:rPr>
                <w:noProof/>
                <w:sz w:val="18"/>
                <w:szCs w:val="18"/>
              </w:rPr>
              <w:t>The Domino Effect study</w:t>
            </w:r>
            <w:bookmarkEnd w:id="4"/>
          </w:p>
        </w:tc>
        <w:tc>
          <w:tcPr>
            <w:tcW w:w="7380" w:type="dxa"/>
            <w:tcMar>
              <w:top w:w="85" w:type="dxa"/>
              <w:left w:w="57" w:type="dxa"/>
              <w:bottom w:w="85" w:type="dxa"/>
              <w:right w:w="57" w:type="dxa"/>
            </w:tcMar>
          </w:tcPr>
          <w:p w14:paraId="3BED7DF3" w14:textId="6CA043BD" w:rsidR="00A7597F" w:rsidRPr="00881BC8" w:rsidRDefault="00A7597F" w:rsidP="003C7C08">
            <w:pPr>
              <w:spacing w:after="0"/>
              <w:rPr>
                <w:noProof/>
                <w:sz w:val="18"/>
                <w:szCs w:val="18"/>
              </w:rPr>
            </w:pPr>
            <w:r w:rsidRPr="00881BC8">
              <w:rPr>
                <w:noProof/>
                <w:sz w:val="18"/>
                <w:szCs w:val="18"/>
              </w:rPr>
              <w:t xml:space="preserve">2017 UK study </w:t>
            </w:r>
            <w:r w:rsidR="00BA1B12" w:rsidRPr="00881BC8">
              <w:rPr>
                <w:noProof/>
                <w:sz w:val="18"/>
                <w:szCs w:val="18"/>
              </w:rPr>
              <w:t>‘</w:t>
            </w:r>
            <w:r w:rsidRPr="00881BC8">
              <w:rPr>
                <w:noProof/>
                <w:sz w:val="18"/>
                <w:szCs w:val="18"/>
              </w:rPr>
              <w:t>The Domino Effect: the impact of late payments</w:t>
            </w:r>
            <w:r w:rsidR="00BA1B12" w:rsidRPr="00881BC8">
              <w:rPr>
                <w:noProof/>
                <w:sz w:val="18"/>
                <w:szCs w:val="18"/>
              </w:rPr>
              <w:t>’</w:t>
            </w:r>
            <w:r w:rsidRPr="00881BC8">
              <w:rPr>
                <w:noProof/>
                <w:sz w:val="18"/>
                <w:szCs w:val="18"/>
              </w:rPr>
              <w:t xml:space="preserve">, </w:t>
            </w:r>
            <w:hyperlink r:id="rId44" w:history="1">
              <w:r w:rsidRPr="00881BC8">
                <w:rPr>
                  <w:rStyle w:val="Hyperlink"/>
                  <w:noProof/>
                  <w:sz w:val="18"/>
                  <w:szCs w:val="18"/>
                </w:rPr>
                <w:t>https://www.sage.com/en-gb/blog/wp-content/uploads/sites/10/2017/12/Domino-Effect-Late-Payments-Research-Sage.pdf</w:t>
              </w:r>
            </w:hyperlink>
          </w:p>
        </w:tc>
      </w:tr>
      <w:tr w:rsidR="0075501E" w:rsidRPr="00881BC8" w14:paraId="3CDA9B12" w14:textId="77777777" w:rsidTr="00602256">
        <w:trPr>
          <w:trHeight w:val="227"/>
        </w:trPr>
        <w:tc>
          <w:tcPr>
            <w:tcW w:w="1228" w:type="dxa"/>
            <w:tcMar>
              <w:top w:w="85" w:type="dxa"/>
              <w:left w:w="57" w:type="dxa"/>
              <w:bottom w:w="85" w:type="dxa"/>
              <w:right w:w="57" w:type="dxa"/>
            </w:tcMar>
          </w:tcPr>
          <w:p w14:paraId="7D78A578" w14:textId="77777777" w:rsidR="0075501E" w:rsidRPr="00881BC8" w:rsidRDefault="0075501E" w:rsidP="003C7C08">
            <w:pPr>
              <w:spacing w:after="0"/>
              <w:rPr>
                <w:noProof/>
                <w:sz w:val="18"/>
                <w:szCs w:val="18"/>
              </w:rPr>
            </w:pPr>
            <w:r w:rsidRPr="00881BC8">
              <w:rPr>
                <w:noProof/>
                <w:sz w:val="18"/>
                <w:szCs w:val="18"/>
              </w:rPr>
              <w:t xml:space="preserve">UTP Directive </w:t>
            </w:r>
          </w:p>
        </w:tc>
        <w:tc>
          <w:tcPr>
            <w:tcW w:w="7380" w:type="dxa"/>
            <w:tcMar>
              <w:top w:w="85" w:type="dxa"/>
              <w:left w:w="57" w:type="dxa"/>
              <w:bottom w:w="85" w:type="dxa"/>
              <w:right w:w="57" w:type="dxa"/>
            </w:tcMar>
          </w:tcPr>
          <w:p w14:paraId="1870DCFD" w14:textId="77777777" w:rsidR="0075501E" w:rsidRPr="00881BC8" w:rsidRDefault="0075501E" w:rsidP="003C7C08">
            <w:pPr>
              <w:spacing w:after="0"/>
              <w:rPr>
                <w:noProof/>
                <w:sz w:val="18"/>
                <w:szCs w:val="18"/>
              </w:rPr>
            </w:pPr>
            <w:r w:rsidRPr="00881BC8">
              <w:rPr>
                <w:noProof/>
                <w:sz w:val="18"/>
                <w:szCs w:val="18"/>
              </w:rPr>
              <w:t>Directive 2019/633 of the European Parliament and of the Council of 17 April 2019 on unfair trading practices in business-to-business relationships in the agricultural and food supply chain</w:t>
            </w:r>
          </w:p>
        </w:tc>
      </w:tr>
    </w:tbl>
    <w:p w14:paraId="30B353C6" w14:textId="77777777" w:rsidR="008A2588" w:rsidRPr="00881BC8" w:rsidRDefault="008A2588" w:rsidP="000E3086">
      <w:pPr>
        <w:rPr>
          <w:noProof/>
          <w:sz w:val="20"/>
          <w:szCs w:val="20"/>
        </w:rPr>
      </w:pPr>
    </w:p>
    <w:p w14:paraId="146FE0B7" w14:textId="515BD47A" w:rsidR="51E1E04F" w:rsidRPr="00881BC8" w:rsidRDefault="00C817C1" w:rsidP="001611E6">
      <w:pPr>
        <w:spacing w:after="200" w:line="276" w:lineRule="auto"/>
        <w:jc w:val="left"/>
        <w:rPr>
          <w:noProof/>
        </w:rPr>
      </w:pPr>
      <w:r w:rsidRPr="00881BC8">
        <w:rPr>
          <w:noProof/>
        </w:rPr>
        <w:br w:type="page"/>
      </w:r>
      <w:r w:rsidR="51E1E04F" w:rsidRPr="00881BC8">
        <w:rPr>
          <w:noProof/>
        </w:rPr>
        <w:t>Glossary of terms</w:t>
      </w:r>
      <w:r w:rsidR="00457093" w:rsidRPr="00881BC8">
        <w:rPr>
          <w:noProof/>
        </w:rPr>
        <w:t xml:space="preserve"> </w:t>
      </w:r>
    </w:p>
    <w:p w14:paraId="19C3DAEB" w14:textId="15564218" w:rsidR="002B7C9C" w:rsidRPr="00881BC8" w:rsidRDefault="002B7C9C" w:rsidP="000E3086">
      <w:pPr>
        <w:rPr>
          <w:noProof/>
          <w:sz w:val="20"/>
          <w:szCs w:val="20"/>
        </w:rPr>
      </w:pPr>
      <w:r w:rsidRPr="00881BC8">
        <w:rPr>
          <w:noProof/>
          <w:sz w:val="20"/>
          <w:szCs w:val="20"/>
        </w:rPr>
        <w:t xml:space="preserve">A note on terminology: </w:t>
      </w:r>
    </w:p>
    <w:p w14:paraId="53FBC06E" w14:textId="7938D5D2" w:rsidR="007E084F" w:rsidRPr="00881BC8" w:rsidRDefault="76752EB7" w:rsidP="004835F8">
      <w:pPr>
        <w:pStyle w:val="ListParagraph"/>
        <w:numPr>
          <w:ilvl w:val="0"/>
          <w:numId w:val="3"/>
        </w:numPr>
        <w:rPr>
          <w:noProof/>
          <w:sz w:val="20"/>
          <w:szCs w:val="20"/>
        </w:rPr>
      </w:pPr>
      <w:r w:rsidRPr="00881BC8">
        <w:rPr>
          <w:b/>
          <w:noProof/>
          <w:sz w:val="20"/>
          <w:szCs w:val="20"/>
        </w:rPr>
        <w:t>Payment term</w:t>
      </w:r>
      <w:r w:rsidRPr="00881BC8">
        <w:rPr>
          <w:noProof/>
          <w:sz w:val="20"/>
          <w:szCs w:val="20"/>
        </w:rPr>
        <w:t xml:space="preserve"> is the time period set out in the contract and agreed by the two parties. It corresponds</w:t>
      </w:r>
      <w:r w:rsidR="7E7C8D01" w:rsidRPr="00881BC8">
        <w:rPr>
          <w:noProof/>
          <w:sz w:val="20"/>
          <w:szCs w:val="20"/>
        </w:rPr>
        <w:t xml:space="preserve"> </w:t>
      </w:r>
      <w:r w:rsidRPr="00881BC8">
        <w:rPr>
          <w:noProof/>
          <w:sz w:val="20"/>
          <w:szCs w:val="20"/>
        </w:rPr>
        <w:t>to the trade credit granted by the creditor to the debtor to pay off the amount due</w:t>
      </w:r>
      <w:r w:rsidR="319D8671" w:rsidRPr="00881BC8">
        <w:rPr>
          <w:noProof/>
          <w:sz w:val="20"/>
          <w:szCs w:val="20"/>
        </w:rPr>
        <w:t>.</w:t>
      </w:r>
    </w:p>
    <w:p w14:paraId="40BED14B" w14:textId="2FD5655E" w:rsidR="007E084F" w:rsidRPr="00881BC8" w:rsidRDefault="76752EB7" w:rsidP="004835F8">
      <w:pPr>
        <w:pStyle w:val="ListParagraph"/>
        <w:numPr>
          <w:ilvl w:val="0"/>
          <w:numId w:val="3"/>
        </w:numPr>
        <w:rPr>
          <w:noProof/>
          <w:sz w:val="20"/>
          <w:szCs w:val="20"/>
        </w:rPr>
      </w:pPr>
      <w:r w:rsidRPr="00881BC8">
        <w:rPr>
          <w:b/>
          <w:noProof/>
          <w:sz w:val="20"/>
          <w:szCs w:val="20"/>
        </w:rPr>
        <w:t>Payment delay</w:t>
      </w:r>
      <w:r w:rsidRPr="00881BC8">
        <w:rPr>
          <w:noProof/>
          <w:sz w:val="20"/>
          <w:szCs w:val="20"/>
        </w:rPr>
        <w:t xml:space="preserve"> is the period</w:t>
      </w:r>
      <w:r w:rsidR="2542971D" w:rsidRPr="00881BC8">
        <w:rPr>
          <w:noProof/>
          <w:sz w:val="20"/>
          <w:szCs w:val="20"/>
        </w:rPr>
        <w:t xml:space="preserve"> of time </w:t>
      </w:r>
      <w:r w:rsidRPr="00881BC8">
        <w:rPr>
          <w:noProof/>
          <w:sz w:val="20"/>
          <w:szCs w:val="20"/>
        </w:rPr>
        <w:t>starting after the due date according to the contract (payment term), until the payment is received</w:t>
      </w:r>
      <w:r w:rsidR="3124E125" w:rsidRPr="00881BC8">
        <w:rPr>
          <w:noProof/>
          <w:sz w:val="20"/>
          <w:szCs w:val="20"/>
        </w:rPr>
        <w:t xml:space="preserve"> by the creditor.</w:t>
      </w:r>
    </w:p>
    <w:p w14:paraId="726A84D0" w14:textId="6808AB1C" w:rsidR="002B7C9C" w:rsidRPr="00881BC8" w:rsidRDefault="002B7C9C" w:rsidP="004835F8">
      <w:pPr>
        <w:pStyle w:val="ListParagraph"/>
        <w:numPr>
          <w:ilvl w:val="0"/>
          <w:numId w:val="3"/>
        </w:numPr>
        <w:rPr>
          <w:noProof/>
        </w:rPr>
      </w:pPr>
      <w:r w:rsidRPr="00881BC8">
        <w:rPr>
          <w:b/>
          <w:noProof/>
          <w:sz w:val="20"/>
          <w:szCs w:val="20"/>
        </w:rPr>
        <w:t>Payment duration</w:t>
      </w:r>
      <w:r w:rsidR="008A2588" w:rsidRPr="00881BC8">
        <w:rPr>
          <w:noProof/>
          <w:sz w:val="20"/>
          <w:szCs w:val="20"/>
        </w:rPr>
        <w:t xml:space="preserve"> </w:t>
      </w:r>
      <w:r w:rsidR="008A2588" w:rsidRPr="00881BC8">
        <w:rPr>
          <w:b/>
          <w:noProof/>
          <w:sz w:val="20"/>
          <w:szCs w:val="20"/>
        </w:rPr>
        <w:t>(or period)</w:t>
      </w:r>
      <w:r w:rsidRPr="00881BC8">
        <w:rPr>
          <w:noProof/>
          <w:sz w:val="20"/>
          <w:szCs w:val="20"/>
        </w:rPr>
        <w:t xml:space="preserve"> is the total period of time required for the payment to reach the creditor, i.e. from the beginning of the payment term until the payment is received (total sum of payment term and potential delay). The figure below visualises the difference between these concepts</w:t>
      </w:r>
      <w:r w:rsidRPr="00881BC8">
        <w:rPr>
          <w:noProof/>
        </w:rPr>
        <w:t>:</w:t>
      </w:r>
    </w:p>
    <w:p w14:paraId="36E2A92E" w14:textId="77777777" w:rsidR="00B5367B" w:rsidRPr="00881BC8" w:rsidRDefault="29452E0C" w:rsidP="002F76D9">
      <w:pPr>
        <w:keepNext/>
        <w:rPr>
          <w:noProof/>
        </w:rPr>
      </w:pPr>
      <w:r w:rsidRPr="00881BC8">
        <w:rPr>
          <w:noProof/>
          <w:lang w:eastAsia="en-GB"/>
        </w:rPr>
        <w:drawing>
          <wp:inline distT="0" distB="0" distL="0" distR="0" wp14:anchorId="51360E10" wp14:editId="33EFF890">
            <wp:extent cx="5520059" cy="1051672"/>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5">
                      <a:extLst>
                        <a:ext uri="{28A0092B-C50C-407E-A947-70E740481C1C}">
                          <a14:useLocalDpi xmlns:a14="http://schemas.microsoft.com/office/drawing/2010/main" val="0"/>
                        </a:ext>
                      </a:extLst>
                    </a:blip>
                    <a:stretch>
                      <a:fillRect/>
                    </a:stretch>
                  </pic:blipFill>
                  <pic:spPr>
                    <a:xfrm>
                      <a:off x="0" y="0"/>
                      <a:ext cx="5520059" cy="1051672"/>
                    </a:xfrm>
                    <a:prstGeom prst="rect">
                      <a:avLst/>
                    </a:prstGeom>
                  </pic:spPr>
                </pic:pic>
              </a:graphicData>
            </a:graphic>
          </wp:inline>
        </w:drawing>
      </w:r>
    </w:p>
    <w:p w14:paraId="3229D9D0" w14:textId="08FD3765" w:rsidR="002B7C9C" w:rsidRPr="00881BC8" w:rsidRDefault="00B5367B" w:rsidP="002F76D9">
      <w:pPr>
        <w:pStyle w:val="Caption"/>
        <w:rPr>
          <w:noProof/>
          <w:lang w:val="en-GB"/>
        </w:rPr>
      </w:pPr>
      <w:r w:rsidRPr="00881BC8">
        <w:rPr>
          <w:noProof/>
          <w:lang w:val="en-GB"/>
        </w:rPr>
        <w:t xml:space="preserve">Figure </w:t>
      </w:r>
      <w:r w:rsidR="005851F4">
        <w:rPr>
          <w:noProof/>
          <w:lang w:val="en-GB"/>
        </w:rPr>
        <w:t>1</w:t>
      </w:r>
      <w:r w:rsidRPr="00881BC8">
        <w:rPr>
          <w:noProof/>
          <w:lang w:val="en-GB"/>
        </w:rPr>
        <w:t> : Payment term, payment delay, payment duration</w:t>
      </w:r>
    </w:p>
    <w:p w14:paraId="5638E94A" w14:textId="77777777" w:rsidR="008321C7" w:rsidRPr="00881BC8" w:rsidRDefault="366DB88F" w:rsidP="004835F8">
      <w:pPr>
        <w:pStyle w:val="ListParagraph"/>
        <w:numPr>
          <w:ilvl w:val="0"/>
          <w:numId w:val="3"/>
        </w:numPr>
        <w:rPr>
          <w:noProof/>
          <w:sz w:val="20"/>
          <w:szCs w:val="20"/>
        </w:rPr>
      </w:pPr>
      <w:r w:rsidRPr="00881BC8">
        <w:rPr>
          <w:noProof/>
          <w:sz w:val="20"/>
          <w:szCs w:val="20"/>
        </w:rPr>
        <w:t xml:space="preserve">Agreed </w:t>
      </w:r>
      <w:r w:rsidR="009974F4" w:rsidRPr="00881BC8">
        <w:rPr>
          <w:noProof/>
          <w:sz w:val="20"/>
          <w:szCs w:val="20"/>
        </w:rPr>
        <w:t>term</w:t>
      </w:r>
      <w:r w:rsidR="008321C7" w:rsidRPr="00881BC8">
        <w:rPr>
          <w:noProof/>
          <w:sz w:val="20"/>
          <w:szCs w:val="20"/>
        </w:rPr>
        <w:t xml:space="preserve"> – payment term agreed in the contract</w:t>
      </w:r>
      <w:r w:rsidR="009974F4" w:rsidRPr="00881BC8">
        <w:rPr>
          <w:noProof/>
          <w:sz w:val="20"/>
          <w:szCs w:val="20"/>
        </w:rPr>
        <w:t xml:space="preserve">, </w:t>
      </w:r>
    </w:p>
    <w:p w14:paraId="11672349" w14:textId="0963952C" w:rsidR="00D95615" w:rsidRPr="00881BC8" w:rsidRDefault="00D95615" w:rsidP="004835F8">
      <w:pPr>
        <w:pStyle w:val="ListParagraph"/>
        <w:numPr>
          <w:ilvl w:val="0"/>
          <w:numId w:val="3"/>
        </w:numPr>
        <w:rPr>
          <w:noProof/>
          <w:sz w:val="20"/>
          <w:szCs w:val="20"/>
        </w:rPr>
      </w:pPr>
      <w:r w:rsidRPr="00881BC8">
        <w:rPr>
          <w:noProof/>
          <w:sz w:val="20"/>
          <w:szCs w:val="20"/>
        </w:rPr>
        <w:t>Arbitration service</w:t>
      </w:r>
    </w:p>
    <w:p w14:paraId="02BD2B77" w14:textId="54272EAF" w:rsidR="366DB88F" w:rsidRPr="00881BC8" w:rsidRDefault="366DB88F" w:rsidP="004835F8">
      <w:pPr>
        <w:pStyle w:val="ListParagraph"/>
        <w:numPr>
          <w:ilvl w:val="0"/>
          <w:numId w:val="3"/>
        </w:numPr>
        <w:rPr>
          <w:noProof/>
          <w:sz w:val="20"/>
          <w:szCs w:val="20"/>
        </w:rPr>
      </w:pPr>
      <w:r w:rsidRPr="00881BC8">
        <w:rPr>
          <w:noProof/>
          <w:sz w:val="20"/>
          <w:szCs w:val="20"/>
        </w:rPr>
        <w:t>Commercial transaction</w:t>
      </w:r>
      <w:r w:rsidR="008110EF" w:rsidRPr="00881BC8">
        <w:rPr>
          <w:noProof/>
          <w:sz w:val="20"/>
          <w:szCs w:val="20"/>
        </w:rPr>
        <w:t xml:space="preserve"> serves to transmit economic values such as materials, products, and services from those who want to exchange them for another value, usually money, to those who need them and are willing to pay a countervalue</w:t>
      </w:r>
      <w:r w:rsidR="008110EF" w:rsidRPr="00881BC8">
        <w:rPr>
          <w:noProof/>
          <w:sz w:val="20"/>
          <w:szCs w:val="20"/>
        </w:rPr>
        <w:footnoteReference w:id="2"/>
      </w:r>
      <w:r w:rsidR="008110EF" w:rsidRPr="00881BC8">
        <w:rPr>
          <w:noProof/>
          <w:sz w:val="20"/>
          <w:szCs w:val="20"/>
        </w:rPr>
        <w:t>.</w:t>
      </w:r>
      <w:r w:rsidR="00974848" w:rsidRPr="00881BC8">
        <w:rPr>
          <w:noProof/>
          <w:sz w:val="20"/>
          <w:szCs w:val="20"/>
        </w:rPr>
        <w:t xml:space="preserve"> The LPD defines ‘commercial transactions’ as transactions between undertakings or between undertakings and public authorities which lead to the delivery of goods or the provision of services for remuneration.</w:t>
      </w:r>
    </w:p>
    <w:p w14:paraId="75624C66" w14:textId="4EF6D0E4" w:rsidR="007E44EF" w:rsidRPr="00881BC8" w:rsidRDefault="007E44EF" w:rsidP="004835F8">
      <w:pPr>
        <w:pStyle w:val="ListParagraph"/>
        <w:numPr>
          <w:ilvl w:val="0"/>
          <w:numId w:val="3"/>
        </w:numPr>
        <w:rPr>
          <w:noProof/>
          <w:sz w:val="20"/>
          <w:szCs w:val="20"/>
        </w:rPr>
      </w:pPr>
      <w:r w:rsidRPr="00881BC8">
        <w:rPr>
          <w:noProof/>
          <w:sz w:val="20"/>
          <w:szCs w:val="20"/>
        </w:rPr>
        <w:t>Compensation refers to both compensation flat fee and compensation interest together</w:t>
      </w:r>
    </w:p>
    <w:p w14:paraId="14725BDB" w14:textId="5783C67B" w:rsidR="366DB88F" w:rsidRPr="00881BC8" w:rsidRDefault="366DB88F" w:rsidP="004835F8">
      <w:pPr>
        <w:pStyle w:val="ListParagraph"/>
        <w:numPr>
          <w:ilvl w:val="0"/>
          <w:numId w:val="3"/>
        </w:numPr>
        <w:rPr>
          <w:noProof/>
          <w:sz w:val="20"/>
          <w:szCs w:val="20"/>
        </w:rPr>
      </w:pPr>
      <w:r w:rsidRPr="00881BC8">
        <w:rPr>
          <w:noProof/>
          <w:sz w:val="20"/>
          <w:szCs w:val="20"/>
        </w:rPr>
        <w:t>Contract, invoice</w:t>
      </w:r>
    </w:p>
    <w:p w14:paraId="6FEE08C7" w14:textId="2487DF9E" w:rsidR="00735E30" w:rsidRPr="00881BC8" w:rsidRDefault="00992423" w:rsidP="004835F8">
      <w:pPr>
        <w:pStyle w:val="ListParagraph"/>
        <w:numPr>
          <w:ilvl w:val="0"/>
          <w:numId w:val="3"/>
        </w:numPr>
        <w:rPr>
          <w:noProof/>
          <w:sz w:val="20"/>
          <w:szCs w:val="20"/>
        </w:rPr>
      </w:pPr>
      <w:r w:rsidRPr="00881BC8">
        <w:rPr>
          <w:noProof/>
          <w:sz w:val="20"/>
          <w:szCs w:val="20"/>
        </w:rPr>
        <w:t>Days sales outstanding (DSO) is the average number of days it takes a company to receive payment and is calculated as follows: DSO= (average amount of the account receivable/revenue) * 365 days.</w:t>
      </w:r>
    </w:p>
    <w:p w14:paraId="3356A918" w14:textId="6E60EFEE" w:rsidR="366DB88F" w:rsidRPr="00881BC8" w:rsidRDefault="366DB88F" w:rsidP="004835F8">
      <w:pPr>
        <w:pStyle w:val="ListParagraph"/>
        <w:numPr>
          <w:ilvl w:val="0"/>
          <w:numId w:val="3"/>
        </w:numPr>
        <w:rPr>
          <w:noProof/>
          <w:sz w:val="20"/>
          <w:szCs w:val="20"/>
        </w:rPr>
      </w:pPr>
      <w:r w:rsidRPr="00881BC8">
        <w:rPr>
          <w:noProof/>
          <w:sz w:val="20"/>
          <w:szCs w:val="20"/>
        </w:rPr>
        <w:t>Interest for late payment</w:t>
      </w:r>
      <w:r w:rsidR="005864AF" w:rsidRPr="00881BC8">
        <w:rPr>
          <w:noProof/>
          <w:sz w:val="20"/>
          <w:szCs w:val="20"/>
        </w:rPr>
        <w:t xml:space="preserve"> - means statutory interest for late payment or interest at a rate agreed upon between undertakings, subject to Article 7 of the LPD</w:t>
      </w:r>
    </w:p>
    <w:p w14:paraId="25D668BA" w14:textId="57C5F6CF" w:rsidR="00D95615" w:rsidRPr="00881BC8" w:rsidRDefault="00D95615" w:rsidP="004835F8">
      <w:pPr>
        <w:pStyle w:val="ListParagraph"/>
        <w:numPr>
          <w:ilvl w:val="0"/>
          <w:numId w:val="3"/>
        </w:numPr>
        <w:rPr>
          <w:noProof/>
          <w:sz w:val="20"/>
          <w:szCs w:val="20"/>
        </w:rPr>
      </w:pPr>
      <w:r w:rsidRPr="00881BC8">
        <w:rPr>
          <w:noProof/>
          <w:sz w:val="20"/>
          <w:szCs w:val="20"/>
        </w:rPr>
        <w:t>Mediation service</w:t>
      </w:r>
    </w:p>
    <w:p w14:paraId="1AEA7A5D" w14:textId="5E3CCF15" w:rsidR="00D95615" w:rsidRPr="00881BC8" w:rsidRDefault="00E752E7" w:rsidP="004835F8">
      <w:pPr>
        <w:pStyle w:val="ListParagraph"/>
        <w:numPr>
          <w:ilvl w:val="0"/>
          <w:numId w:val="3"/>
        </w:numPr>
        <w:rPr>
          <w:noProof/>
          <w:sz w:val="20"/>
          <w:szCs w:val="20"/>
        </w:rPr>
      </w:pPr>
      <w:r w:rsidRPr="00881BC8">
        <w:rPr>
          <w:noProof/>
          <w:sz w:val="20"/>
          <w:szCs w:val="20"/>
        </w:rPr>
        <w:t>Legal</w:t>
      </w:r>
      <w:r w:rsidR="00D95615" w:rsidRPr="00881BC8">
        <w:rPr>
          <w:noProof/>
          <w:sz w:val="20"/>
          <w:szCs w:val="20"/>
        </w:rPr>
        <w:t xml:space="preserve"> term – payment term stemming from provisions of the </w:t>
      </w:r>
      <w:r w:rsidR="00A8124D" w:rsidRPr="00881BC8">
        <w:rPr>
          <w:noProof/>
          <w:sz w:val="20"/>
          <w:szCs w:val="20"/>
        </w:rPr>
        <w:t xml:space="preserve">law, e.g. the </w:t>
      </w:r>
      <w:r w:rsidR="00D95615" w:rsidRPr="00881BC8">
        <w:rPr>
          <w:noProof/>
          <w:sz w:val="20"/>
          <w:szCs w:val="20"/>
        </w:rPr>
        <w:t>LPD</w:t>
      </w:r>
    </w:p>
    <w:p w14:paraId="579A1144" w14:textId="25813821" w:rsidR="009D7964" w:rsidRPr="00881BC8" w:rsidRDefault="009D7964" w:rsidP="004835F8">
      <w:pPr>
        <w:pStyle w:val="ListParagraph"/>
        <w:numPr>
          <w:ilvl w:val="0"/>
          <w:numId w:val="3"/>
        </w:numPr>
        <w:rPr>
          <w:noProof/>
          <w:sz w:val="20"/>
          <w:szCs w:val="20"/>
        </w:rPr>
      </w:pPr>
      <w:r w:rsidRPr="00881BC8">
        <w:rPr>
          <w:noProof/>
          <w:sz w:val="20"/>
          <w:szCs w:val="20"/>
        </w:rPr>
        <w:t>Statutory interest</w:t>
      </w:r>
      <w:r w:rsidR="00A8124D" w:rsidRPr="00881BC8">
        <w:rPr>
          <w:noProof/>
          <w:sz w:val="20"/>
          <w:szCs w:val="20"/>
        </w:rPr>
        <w:t xml:space="preserve"> for late payment</w:t>
      </w:r>
      <w:r w:rsidRPr="00881BC8">
        <w:rPr>
          <w:noProof/>
          <w:sz w:val="20"/>
          <w:szCs w:val="20"/>
        </w:rPr>
        <w:t xml:space="preserve"> – </w:t>
      </w:r>
      <w:r w:rsidR="00A8124D" w:rsidRPr="00881BC8">
        <w:rPr>
          <w:noProof/>
          <w:sz w:val="20"/>
          <w:szCs w:val="20"/>
        </w:rPr>
        <w:t xml:space="preserve">means simple interest for late payment at a rate which is equal to the sum of the reference rate and at least eight percentage points (LPD, </w:t>
      </w:r>
      <w:r w:rsidRPr="00881BC8">
        <w:rPr>
          <w:noProof/>
          <w:sz w:val="20"/>
          <w:szCs w:val="20"/>
        </w:rPr>
        <w:t>Art 2 par. 6</w:t>
      </w:r>
      <w:r w:rsidR="00A8124D" w:rsidRPr="00881BC8">
        <w:rPr>
          <w:noProof/>
          <w:sz w:val="20"/>
          <w:szCs w:val="20"/>
        </w:rPr>
        <w:t>)</w:t>
      </w:r>
    </w:p>
    <w:p w14:paraId="797A404D" w14:textId="358C049F" w:rsidR="00D95615" w:rsidRPr="00881BC8" w:rsidRDefault="00D95615" w:rsidP="004835F8">
      <w:pPr>
        <w:pStyle w:val="ListParagraph"/>
        <w:numPr>
          <w:ilvl w:val="0"/>
          <w:numId w:val="3"/>
        </w:numPr>
        <w:rPr>
          <w:noProof/>
          <w:sz w:val="20"/>
          <w:szCs w:val="20"/>
        </w:rPr>
      </w:pPr>
      <w:r w:rsidRPr="00881BC8">
        <w:rPr>
          <w:noProof/>
          <w:sz w:val="20"/>
          <w:szCs w:val="20"/>
        </w:rPr>
        <w:t>Terms: firm, company, business, enterprise, undertaking are used interchangeably</w:t>
      </w:r>
    </w:p>
    <w:p w14:paraId="6611A0A5" w14:textId="2800129A" w:rsidR="00735E30" w:rsidRPr="00881BC8" w:rsidRDefault="00735E30" w:rsidP="004835F8">
      <w:pPr>
        <w:pStyle w:val="ListParagraph"/>
        <w:numPr>
          <w:ilvl w:val="0"/>
          <w:numId w:val="3"/>
        </w:numPr>
        <w:rPr>
          <w:noProof/>
          <w:sz w:val="20"/>
          <w:szCs w:val="20"/>
        </w:rPr>
      </w:pPr>
      <w:r w:rsidRPr="00881BC8">
        <w:rPr>
          <w:noProof/>
          <w:sz w:val="20"/>
          <w:szCs w:val="20"/>
        </w:rPr>
        <w:t>Verification procedure</w:t>
      </w:r>
      <w:r w:rsidR="005864AF" w:rsidRPr="00881BC8">
        <w:rPr>
          <w:noProof/>
          <w:sz w:val="20"/>
          <w:szCs w:val="20"/>
        </w:rPr>
        <w:t xml:space="preserve"> – a procedure by which the conformity of the goods or services with the contract is to be ascertained</w:t>
      </w:r>
    </w:p>
    <w:p w14:paraId="40F5CC46" w14:textId="30BA8E9A" w:rsidR="00C00F01" w:rsidRPr="00881BC8" w:rsidRDefault="00F766CC" w:rsidP="00863CD4">
      <w:pPr>
        <w:spacing w:after="200" w:line="276" w:lineRule="auto"/>
        <w:rPr>
          <w:noProof/>
        </w:rPr>
      </w:pPr>
      <w:bookmarkStart w:id="5" w:name="_Toc130395557"/>
      <w:bookmarkStart w:id="6" w:name="_Toc130403475"/>
      <w:bookmarkStart w:id="7" w:name="_Ref130472932"/>
      <w:bookmarkStart w:id="8" w:name="_Toc128566534"/>
      <w:bookmarkStart w:id="9" w:name="_Toc128594906"/>
      <w:bookmarkStart w:id="10" w:name="_Toc128678858"/>
      <w:bookmarkStart w:id="11" w:name="_Toc128935064"/>
      <w:bookmarkStart w:id="12" w:name="_Toc129710162"/>
      <w:bookmarkStart w:id="13" w:name="_Toc129899855"/>
      <w:bookmarkEnd w:id="5"/>
      <w:bookmarkEnd w:id="6"/>
      <w:r w:rsidRPr="00881BC8">
        <w:rPr>
          <w:noProof/>
        </w:rPr>
        <w:t>Annexes</w:t>
      </w:r>
    </w:p>
    <w:p w14:paraId="4654D288" w14:textId="3F8DAE0D" w:rsidR="003932B0" w:rsidRDefault="00A50A51" w:rsidP="00863CD4">
      <w:pPr>
        <w:spacing w:after="200" w:line="276" w:lineRule="auto"/>
        <w:rPr>
          <w:noProof/>
        </w:rPr>
      </w:pPr>
      <w:r w:rsidRPr="00881BC8">
        <w:rPr>
          <w:noProof/>
        </w:rPr>
        <w:t>This report</w:t>
      </w:r>
      <w:r w:rsidR="00F766CC" w:rsidRPr="00881BC8">
        <w:rPr>
          <w:noProof/>
        </w:rPr>
        <w:t xml:space="preserve"> includes </w:t>
      </w:r>
      <w:r w:rsidR="007256A5" w:rsidRPr="00881BC8">
        <w:rPr>
          <w:noProof/>
        </w:rPr>
        <w:t xml:space="preserve">mandatory </w:t>
      </w:r>
      <w:r w:rsidR="00F766CC" w:rsidRPr="00881BC8">
        <w:rPr>
          <w:noProof/>
        </w:rPr>
        <w:t>annexes</w:t>
      </w:r>
      <w:r w:rsidR="007256A5" w:rsidRPr="00881BC8">
        <w:rPr>
          <w:noProof/>
        </w:rPr>
        <w:t xml:space="preserve"> (annexes 1-5), stan</w:t>
      </w:r>
      <w:r w:rsidR="005030B4" w:rsidRPr="00881BC8">
        <w:rPr>
          <w:noProof/>
        </w:rPr>
        <w:t xml:space="preserve">dard annexes (SME test, digital by default) and others in support of the main text. </w:t>
      </w:r>
    </w:p>
    <w:p w14:paraId="395B09C1" w14:textId="77777777" w:rsidR="003932B0" w:rsidRDefault="003932B0">
      <w:pPr>
        <w:spacing w:after="200" w:line="276" w:lineRule="auto"/>
        <w:jc w:val="left"/>
        <w:rPr>
          <w:noProof/>
        </w:rPr>
      </w:pPr>
      <w:r>
        <w:rPr>
          <w:noProof/>
        </w:rPr>
        <w:br w:type="page"/>
      </w:r>
    </w:p>
    <w:p w14:paraId="585953F2" w14:textId="5BBA1CB1" w:rsidR="00184AC8" w:rsidRPr="00881BC8" w:rsidRDefault="3AAFF927" w:rsidP="004835F8">
      <w:pPr>
        <w:pStyle w:val="Heading1"/>
        <w:ind w:left="426"/>
        <w:rPr>
          <w:noProof/>
        </w:rPr>
      </w:pPr>
      <w:bookmarkStart w:id="14" w:name="_Toc135237375"/>
      <w:r w:rsidRPr="00881BC8">
        <w:rPr>
          <w:noProof/>
        </w:rPr>
        <w:t>Introduction</w:t>
      </w:r>
      <w:bookmarkEnd w:id="7"/>
      <w:bookmarkEnd w:id="14"/>
      <w:r w:rsidR="00F27600" w:rsidRPr="00881BC8" w:rsidDel="00F27600">
        <w:rPr>
          <w:noProof/>
        </w:rPr>
        <w:t xml:space="preserve"> </w:t>
      </w:r>
      <w:bookmarkEnd w:id="8"/>
      <w:bookmarkEnd w:id="9"/>
      <w:bookmarkEnd w:id="10"/>
      <w:bookmarkEnd w:id="11"/>
      <w:bookmarkEnd w:id="12"/>
      <w:bookmarkEnd w:id="13"/>
    </w:p>
    <w:p w14:paraId="0205DFB6" w14:textId="3D1C7730" w:rsidR="003D5438" w:rsidRPr="00881BC8" w:rsidRDefault="003D5438" w:rsidP="004835F8">
      <w:pPr>
        <w:pStyle w:val="Heading2"/>
        <w:rPr>
          <w:noProof/>
        </w:rPr>
      </w:pPr>
      <w:bookmarkStart w:id="15" w:name="_Toc128594907"/>
      <w:bookmarkStart w:id="16" w:name="_Toc128678859"/>
      <w:bookmarkStart w:id="17" w:name="_Toc128935065"/>
      <w:bookmarkStart w:id="18" w:name="_Toc129710163"/>
      <w:bookmarkStart w:id="19" w:name="_Toc129899856"/>
      <w:bookmarkStart w:id="20" w:name="_Toc135237376"/>
      <w:r w:rsidRPr="00881BC8">
        <w:rPr>
          <w:noProof/>
        </w:rPr>
        <w:t xml:space="preserve">Political </w:t>
      </w:r>
      <w:r w:rsidR="009A3986" w:rsidRPr="00881BC8">
        <w:rPr>
          <w:noProof/>
        </w:rPr>
        <w:t>context</w:t>
      </w:r>
      <w:bookmarkEnd w:id="15"/>
      <w:bookmarkEnd w:id="16"/>
      <w:bookmarkEnd w:id="17"/>
      <w:bookmarkEnd w:id="18"/>
      <w:bookmarkEnd w:id="19"/>
      <w:bookmarkEnd w:id="20"/>
    </w:p>
    <w:p w14:paraId="33D91887" w14:textId="23970926" w:rsidR="000B6702" w:rsidRPr="00881BC8" w:rsidRDefault="00A43436" w:rsidP="004835F8">
      <w:pPr>
        <w:pStyle w:val="NormalPara"/>
        <w:rPr>
          <w:noProof/>
          <w:lang w:val="en-GB"/>
        </w:rPr>
      </w:pPr>
      <w:r w:rsidRPr="00881BC8">
        <w:rPr>
          <w:noProof/>
          <w:lang w:val="en-GB"/>
        </w:rPr>
        <w:t>R</w:t>
      </w:r>
      <w:r w:rsidR="003D5438" w:rsidRPr="00881BC8">
        <w:rPr>
          <w:noProof/>
          <w:lang w:val="en-GB"/>
        </w:rPr>
        <w:t>eliable streams of payments</w:t>
      </w:r>
      <w:r w:rsidR="0091288E" w:rsidRPr="00881BC8">
        <w:rPr>
          <w:noProof/>
          <w:lang w:val="en-GB"/>
        </w:rPr>
        <w:t xml:space="preserve"> are necessary for</w:t>
      </w:r>
      <w:r w:rsidR="0091653A" w:rsidRPr="00881BC8">
        <w:rPr>
          <w:noProof/>
          <w:lang w:val="en-GB"/>
        </w:rPr>
        <w:t xml:space="preserve"> </w:t>
      </w:r>
      <w:r w:rsidR="003D5438" w:rsidRPr="00881BC8">
        <w:rPr>
          <w:noProof/>
          <w:lang w:val="en-GB"/>
        </w:rPr>
        <w:t xml:space="preserve">SMEs </w:t>
      </w:r>
      <w:r w:rsidR="0091288E" w:rsidRPr="00881BC8">
        <w:rPr>
          <w:noProof/>
          <w:lang w:val="en-GB"/>
        </w:rPr>
        <w:t xml:space="preserve">to </w:t>
      </w:r>
      <w:r w:rsidR="003D5438" w:rsidRPr="00881BC8">
        <w:rPr>
          <w:noProof/>
          <w:lang w:val="en-GB"/>
        </w:rPr>
        <w:t xml:space="preserve">operate, grow </w:t>
      </w:r>
      <w:r w:rsidR="00CE2B5B" w:rsidRPr="00881BC8">
        <w:rPr>
          <w:noProof/>
          <w:lang w:val="en-GB"/>
        </w:rPr>
        <w:t xml:space="preserve">and </w:t>
      </w:r>
      <w:r w:rsidR="003D5438" w:rsidRPr="00881BC8">
        <w:rPr>
          <w:noProof/>
          <w:lang w:val="en-GB"/>
        </w:rPr>
        <w:t xml:space="preserve">invest. </w:t>
      </w:r>
      <w:r w:rsidR="00BB153C" w:rsidRPr="00881BC8">
        <w:rPr>
          <w:noProof/>
          <w:lang w:val="en-GB"/>
        </w:rPr>
        <w:t>P</w:t>
      </w:r>
      <w:r w:rsidR="00BB153C" w:rsidRPr="00881BC8">
        <w:rPr>
          <w:bCs/>
          <w:noProof/>
          <w:lang w:val="en-GB"/>
        </w:rPr>
        <w:t xml:space="preserve">rompt payments protect small business’ </w:t>
      </w:r>
      <w:r w:rsidR="00BB153C" w:rsidRPr="00881BC8">
        <w:rPr>
          <w:noProof/>
          <w:lang w:val="en-GB"/>
        </w:rPr>
        <w:t xml:space="preserve">liquidity, </w:t>
      </w:r>
      <w:r w:rsidR="00BB153C" w:rsidRPr="00881BC8">
        <w:rPr>
          <w:bCs/>
          <w:noProof/>
          <w:lang w:val="en-GB"/>
        </w:rPr>
        <w:t>productivity, and solvency.</w:t>
      </w:r>
      <w:r w:rsidR="003E0D13" w:rsidRPr="00881BC8">
        <w:rPr>
          <w:bCs/>
          <w:noProof/>
          <w:lang w:val="en-GB"/>
        </w:rPr>
        <w:t xml:space="preserve"> </w:t>
      </w:r>
      <w:r w:rsidR="00717326" w:rsidRPr="00881BC8">
        <w:rPr>
          <w:noProof/>
          <w:lang w:val="en-GB"/>
        </w:rPr>
        <w:t xml:space="preserve">They </w:t>
      </w:r>
      <w:r w:rsidR="000B6702" w:rsidRPr="00881BC8">
        <w:rPr>
          <w:noProof/>
          <w:lang w:val="en-GB"/>
        </w:rPr>
        <w:t>strengthen</w:t>
      </w:r>
      <w:r w:rsidR="00860018" w:rsidRPr="00881BC8">
        <w:rPr>
          <w:noProof/>
          <w:lang w:val="en-GB"/>
        </w:rPr>
        <w:t xml:space="preserve"> </w:t>
      </w:r>
      <w:r w:rsidR="003229C0" w:rsidRPr="00881BC8">
        <w:rPr>
          <w:noProof/>
          <w:lang w:val="en-GB"/>
        </w:rPr>
        <w:t>the competitiveness of the whole EU economy</w:t>
      </w:r>
      <w:r w:rsidR="003D17CE" w:rsidRPr="00881BC8">
        <w:rPr>
          <w:noProof/>
          <w:lang w:val="en-GB"/>
        </w:rPr>
        <w:t>.</w:t>
      </w:r>
      <w:r w:rsidR="003229C0" w:rsidRPr="00881BC8">
        <w:rPr>
          <w:noProof/>
          <w:lang w:val="en-GB"/>
        </w:rPr>
        <w:t xml:space="preserve"> </w:t>
      </w:r>
      <w:r w:rsidR="00717326" w:rsidRPr="00881BC8">
        <w:rPr>
          <w:noProof/>
          <w:lang w:val="en-GB"/>
        </w:rPr>
        <w:t>They</w:t>
      </w:r>
      <w:r w:rsidR="003229C0" w:rsidRPr="00881BC8">
        <w:rPr>
          <w:noProof/>
          <w:lang w:val="en-GB"/>
        </w:rPr>
        <w:t xml:space="preserve"> support companies in their transition towards more sustainable and digital models and strengthens their resilience. Late payment </w:t>
      </w:r>
      <w:r w:rsidR="009158BA" w:rsidRPr="00881BC8">
        <w:rPr>
          <w:noProof/>
          <w:lang w:val="en-GB"/>
        </w:rPr>
        <w:t xml:space="preserve">harms </w:t>
      </w:r>
      <w:r w:rsidR="003229C0" w:rsidRPr="00881BC8">
        <w:rPr>
          <w:noProof/>
          <w:lang w:val="en-GB"/>
        </w:rPr>
        <w:t xml:space="preserve">the functioning of the internal market, </w:t>
      </w:r>
      <w:r w:rsidR="00C25DC4" w:rsidRPr="00881BC8">
        <w:rPr>
          <w:noProof/>
          <w:lang w:val="en-GB"/>
        </w:rPr>
        <w:t>adversely affects employment and poses</w:t>
      </w:r>
      <w:r w:rsidR="003229C0" w:rsidRPr="00881BC8">
        <w:rPr>
          <w:noProof/>
          <w:lang w:val="en-GB"/>
        </w:rPr>
        <w:t xml:space="preserve"> </w:t>
      </w:r>
      <w:r w:rsidR="00EA3F8E" w:rsidRPr="00881BC8">
        <w:rPr>
          <w:noProof/>
          <w:lang w:val="en-GB"/>
        </w:rPr>
        <w:t>risks</w:t>
      </w:r>
      <w:r w:rsidR="003229C0" w:rsidRPr="00881BC8">
        <w:rPr>
          <w:noProof/>
          <w:lang w:val="en-GB"/>
        </w:rPr>
        <w:t xml:space="preserve"> </w:t>
      </w:r>
      <w:r w:rsidR="00EA3F8E" w:rsidRPr="00881BC8">
        <w:rPr>
          <w:noProof/>
          <w:lang w:val="en-GB"/>
        </w:rPr>
        <w:t xml:space="preserve">to </w:t>
      </w:r>
      <w:r w:rsidR="003229C0" w:rsidRPr="00881BC8">
        <w:rPr>
          <w:noProof/>
          <w:lang w:val="en-GB"/>
        </w:rPr>
        <w:t>the</w:t>
      </w:r>
      <w:r w:rsidR="00C25DC4" w:rsidRPr="00881BC8">
        <w:rPr>
          <w:noProof/>
          <w:lang w:val="en-GB"/>
        </w:rPr>
        <w:t xml:space="preserve"> growth prospects</w:t>
      </w:r>
      <w:r w:rsidR="003229C0" w:rsidRPr="00881BC8">
        <w:rPr>
          <w:noProof/>
          <w:lang w:val="en-GB"/>
        </w:rPr>
        <w:t xml:space="preserve"> </w:t>
      </w:r>
      <w:r w:rsidR="00C25DC4" w:rsidRPr="00881BC8">
        <w:rPr>
          <w:noProof/>
          <w:lang w:val="en-GB"/>
        </w:rPr>
        <w:t xml:space="preserve">of the </w:t>
      </w:r>
      <w:r w:rsidR="003229C0" w:rsidRPr="00881BC8">
        <w:rPr>
          <w:noProof/>
          <w:lang w:val="en-GB"/>
        </w:rPr>
        <w:t>EU.</w:t>
      </w:r>
      <w:r w:rsidR="003E0D13" w:rsidRPr="00881BC8">
        <w:rPr>
          <w:noProof/>
          <w:lang w:val="en-GB"/>
        </w:rPr>
        <w:t xml:space="preserve"> </w:t>
      </w:r>
      <w:r w:rsidR="009158BA" w:rsidRPr="00881BC8">
        <w:rPr>
          <w:noProof/>
          <w:lang w:val="en-GB"/>
        </w:rPr>
        <w:t>A</w:t>
      </w:r>
      <w:r w:rsidR="000B6702" w:rsidRPr="00881BC8">
        <w:rPr>
          <w:noProof/>
          <w:lang w:val="en-GB"/>
        </w:rPr>
        <w:t xml:space="preserve"> culture of late payment undermines the freedom of economic initiative, enshrined in the EU Charter of Fundamental Rights (Article 16). </w:t>
      </w:r>
    </w:p>
    <w:p w14:paraId="625A3FD9" w14:textId="31493833" w:rsidR="00AF7C10" w:rsidRPr="00881BC8" w:rsidRDefault="00CE2B5B" w:rsidP="004835F8">
      <w:pPr>
        <w:pStyle w:val="NormalPara"/>
        <w:rPr>
          <w:noProof/>
          <w:lang w:val="en-GB"/>
        </w:rPr>
      </w:pPr>
      <w:r w:rsidRPr="00881BC8">
        <w:rPr>
          <w:noProof/>
          <w:lang w:val="en-GB"/>
        </w:rPr>
        <w:t xml:space="preserve">Before the </w:t>
      </w:r>
      <w:r w:rsidR="001F2EB8" w:rsidRPr="00881BC8">
        <w:rPr>
          <w:noProof/>
          <w:lang w:val="en-GB"/>
        </w:rPr>
        <w:t>coronavirus</w:t>
      </w:r>
      <w:r w:rsidRPr="00881BC8">
        <w:rPr>
          <w:noProof/>
          <w:lang w:val="en-GB"/>
        </w:rPr>
        <w:t xml:space="preserve"> pandemic</w:t>
      </w:r>
      <w:r w:rsidR="003D5438" w:rsidRPr="00881BC8">
        <w:rPr>
          <w:noProof/>
          <w:lang w:val="en-GB"/>
        </w:rPr>
        <w:t>, only 40% of payments</w:t>
      </w:r>
      <w:r w:rsidR="00FA6191" w:rsidRPr="00881BC8">
        <w:rPr>
          <w:rStyle w:val="FootnoteReference"/>
          <w:noProof/>
          <w:lang w:val="en-GB"/>
        </w:rPr>
        <w:footnoteReference w:id="3"/>
      </w:r>
      <w:r w:rsidR="003D5438" w:rsidRPr="00881BC8">
        <w:rPr>
          <w:noProof/>
          <w:lang w:val="en-GB"/>
        </w:rPr>
        <w:t xml:space="preserve"> in commercial transactions were made within the agreed contractual deadline. </w:t>
      </w:r>
      <w:r w:rsidR="00715ABA" w:rsidRPr="00881BC8">
        <w:rPr>
          <w:bCs/>
          <w:noProof/>
          <w:lang w:val="en-GB"/>
        </w:rPr>
        <w:t xml:space="preserve">Economic shocks and factors increasing </w:t>
      </w:r>
      <w:r w:rsidR="00C67A71" w:rsidRPr="00881BC8">
        <w:rPr>
          <w:bCs/>
          <w:noProof/>
          <w:lang w:val="en-GB"/>
        </w:rPr>
        <w:t xml:space="preserve">uncertainty </w:t>
      </w:r>
      <w:r w:rsidR="00715ABA" w:rsidRPr="00881BC8">
        <w:rPr>
          <w:bCs/>
          <w:noProof/>
          <w:lang w:val="en-GB"/>
        </w:rPr>
        <w:t xml:space="preserve">cause </w:t>
      </w:r>
      <w:r w:rsidR="00C67A71" w:rsidRPr="00881BC8">
        <w:rPr>
          <w:bCs/>
          <w:noProof/>
          <w:lang w:val="en-GB"/>
        </w:rPr>
        <w:t xml:space="preserve">timeliness of payments </w:t>
      </w:r>
      <w:r w:rsidR="00715ABA" w:rsidRPr="00881BC8">
        <w:rPr>
          <w:bCs/>
          <w:noProof/>
          <w:lang w:val="en-GB"/>
        </w:rPr>
        <w:t xml:space="preserve">to </w:t>
      </w:r>
      <w:r w:rsidR="00C67A71" w:rsidRPr="00881BC8">
        <w:rPr>
          <w:bCs/>
          <w:noProof/>
          <w:lang w:val="en-GB"/>
        </w:rPr>
        <w:t xml:space="preserve">deteriorate. </w:t>
      </w:r>
      <w:r w:rsidR="00C0338A" w:rsidRPr="00881BC8">
        <w:rPr>
          <w:bCs/>
          <w:noProof/>
          <w:lang w:val="en-GB"/>
        </w:rPr>
        <w:t>In first half of 202</w:t>
      </w:r>
      <w:r w:rsidR="00391B40" w:rsidRPr="00881BC8">
        <w:rPr>
          <w:bCs/>
          <w:noProof/>
          <w:lang w:val="en-GB"/>
        </w:rPr>
        <w:t>2</w:t>
      </w:r>
      <w:r w:rsidR="00C0338A" w:rsidRPr="00881BC8">
        <w:rPr>
          <w:bCs/>
          <w:noProof/>
          <w:lang w:val="en-GB"/>
        </w:rPr>
        <w:t xml:space="preserve">, </w:t>
      </w:r>
      <w:r w:rsidR="00C67A71" w:rsidRPr="00881BC8">
        <w:rPr>
          <w:bCs/>
          <w:noProof/>
          <w:lang w:val="en-GB"/>
        </w:rPr>
        <w:t xml:space="preserve">six out of </w:t>
      </w:r>
      <w:r w:rsidR="14A2FD99" w:rsidRPr="00881BC8">
        <w:rPr>
          <w:noProof/>
          <w:lang w:val="en-GB"/>
        </w:rPr>
        <w:t>ten</w:t>
      </w:r>
      <w:r w:rsidR="00C67A71" w:rsidRPr="00881BC8">
        <w:rPr>
          <w:bCs/>
          <w:noProof/>
          <w:lang w:val="en-GB"/>
        </w:rPr>
        <w:t xml:space="preserve"> companies </w:t>
      </w:r>
      <w:r w:rsidR="00BF3442" w:rsidRPr="00881BC8">
        <w:rPr>
          <w:bCs/>
          <w:noProof/>
          <w:lang w:val="en-GB"/>
        </w:rPr>
        <w:t>expected</w:t>
      </w:r>
      <w:r w:rsidR="00C67A71" w:rsidRPr="00881BC8">
        <w:rPr>
          <w:bCs/>
          <w:noProof/>
          <w:lang w:val="en-GB"/>
        </w:rPr>
        <w:t xml:space="preserve"> the risk of </w:t>
      </w:r>
      <w:r w:rsidR="00C67A71" w:rsidRPr="00881BC8">
        <w:rPr>
          <w:noProof/>
          <w:lang w:val="en-GB"/>
        </w:rPr>
        <w:t>late payments</w:t>
      </w:r>
      <w:r w:rsidR="00C67A71" w:rsidRPr="00881BC8">
        <w:rPr>
          <w:bCs/>
          <w:noProof/>
          <w:lang w:val="en-GB"/>
        </w:rPr>
        <w:t> </w:t>
      </w:r>
      <w:r w:rsidR="00BF3442" w:rsidRPr="00881BC8">
        <w:rPr>
          <w:bCs/>
          <w:noProof/>
          <w:lang w:val="en-GB"/>
        </w:rPr>
        <w:t xml:space="preserve">to </w:t>
      </w:r>
      <w:r w:rsidR="00C67A71" w:rsidRPr="00881BC8">
        <w:rPr>
          <w:bCs/>
          <w:noProof/>
          <w:lang w:val="en-GB"/>
        </w:rPr>
        <w:t>grow</w:t>
      </w:r>
      <w:r w:rsidR="000C38BF" w:rsidRPr="00881BC8">
        <w:rPr>
          <w:bCs/>
          <w:noProof/>
          <w:lang w:val="en-GB"/>
        </w:rPr>
        <w:t xml:space="preserve"> in the short term</w:t>
      </w:r>
      <w:r w:rsidR="00BF3442" w:rsidRPr="00881BC8">
        <w:rPr>
          <w:bCs/>
          <w:noProof/>
          <w:lang w:val="en-GB"/>
        </w:rPr>
        <w:t xml:space="preserve"> </w:t>
      </w:r>
      <w:r w:rsidR="00D519C3" w:rsidRPr="00881BC8">
        <w:rPr>
          <w:bCs/>
          <w:noProof/>
          <w:lang w:val="en-GB"/>
        </w:rPr>
        <w:t xml:space="preserve">due to </w:t>
      </w:r>
      <w:r w:rsidR="00C67A71" w:rsidRPr="00881BC8">
        <w:rPr>
          <w:bCs/>
          <w:noProof/>
          <w:lang w:val="en-GB"/>
        </w:rPr>
        <w:t>inflation</w:t>
      </w:r>
      <w:r w:rsidR="00F560A0" w:rsidRPr="00881BC8">
        <w:rPr>
          <w:rStyle w:val="FootnoteReference"/>
          <w:bCs/>
          <w:noProof/>
          <w:lang w:val="en-GB"/>
        </w:rPr>
        <w:footnoteReference w:id="4"/>
      </w:r>
      <w:r w:rsidR="00C67A71" w:rsidRPr="00881BC8">
        <w:rPr>
          <w:bCs/>
          <w:noProof/>
          <w:lang w:val="en-GB"/>
        </w:rPr>
        <w:t>.</w:t>
      </w:r>
      <w:r w:rsidR="00205DB5" w:rsidRPr="00881BC8">
        <w:rPr>
          <w:bCs/>
          <w:noProof/>
          <w:lang w:val="en-GB"/>
        </w:rPr>
        <w:t xml:space="preserve"> High interest rates</w:t>
      </w:r>
      <w:r w:rsidR="006D5BF2" w:rsidRPr="00881BC8">
        <w:rPr>
          <w:bCs/>
          <w:noProof/>
          <w:lang w:val="en-GB"/>
        </w:rPr>
        <w:t>,</w:t>
      </w:r>
      <w:r w:rsidR="00205DB5" w:rsidRPr="00881BC8">
        <w:rPr>
          <w:bCs/>
          <w:noProof/>
          <w:lang w:val="en-GB"/>
        </w:rPr>
        <w:t xml:space="preserve"> </w:t>
      </w:r>
      <w:r w:rsidR="006D5BF2" w:rsidRPr="00881BC8">
        <w:rPr>
          <w:bCs/>
          <w:noProof/>
          <w:lang w:val="en-GB"/>
        </w:rPr>
        <w:t>which are an indirect effect</w:t>
      </w:r>
      <w:r w:rsidR="00205DB5" w:rsidRPr="00881BC8">
        <w:rPr>
          <w:bCs/>
          <w:noProof/>
          <w:lang w:val="en-GB"/>
        </w:rPr>
        <w:t xml:space="preserve"> of inflation</w:t>
      </w:r>
      <w:r w:rsidR="006D5BF2" w:rsidRPr="00881BC8">
        <w:rPr>
          <w:bCs/>
          <w:noProof/>
          <w:lang w:val="en-GB"/>
        </w:rPr>
        <w:t>,</w:t>
      </w:r>
      <w:r w:rsidR="00205DB5" w:rsidRPr="00881BC8">
        <w:rPr>
          <w:bCs/>
          <w:noProof/>
          <w:lang w:val="en-GB"/>
        </w:rPr>
        <w:t xml:space="preserve"> support late payment</w:t>
      </w:r>
      <w:r w:rsidR="00205DB5" w:rsidRPr="00881BC8">
        <w:rPr>
          <w:rStyle w:val="FootnoteReference"/>
          <w:bCs/>
          <w:noProof/>
          <w:lang w:val="en-GB"/>
        </w:rPr>
        <w:footnoteReference w:id="5"/>
      </w:r>
      <w:r w:rsidR="00205DB5" w:rsidRPr="00881BC8">
        <w:rPr>
          <w:bCs/>
          <w:noProof/>
          <w:lang w:val="en-GB"/>
        </w:rPr>
        <w:t>.</w:t>
      </w:r>
      <w:r w:rsidR="00713F5C" w:rsidRPr="00881BC8">
        <w:rPr>
          <w:bCs/>
          <w:noProof/>
          <w:lang w:val="en-GB"/>
        </w:rPr>
        <w:t xml:space="preserve"> </w:t>
      </w:r>
      <w:r w:rsidR="00196E49" w:rsidRPr="00881BC8">
        <w:rPr>
          <w:iCs/>
          <w:noProof/>
          <w:lang w:val="en-GB"/>
        </w:rPr>
        <w:t>Predictability of payments</w:t>
      </w:r>
      <w:r w:rsidR="00196E49" w:rsidRPr="00881BC8">
        <w:rPr>
          <w:noProof/>
          <w:lang w:val="en-GB"/>
        </w:rPr>
        <w:t xml:space="preserve"> is important for </w:t>
      </w:r>
      <w:r w:rsidR="005C0782" w:rsidRPr="00881BC8">
        <w:rPr>
          <w:noProof/>
          <w:lang w:val="en-GB"/>
        </w:rPr>
        <w:t>all businesses.</w:t>
      </w:r>
      <w:r w:rsidR="00196E49" w:rsidRPr="00881BC8">
        <w:rPr>
          <w:noProof/>
          <w:lang w:val="en-GB"/>
        </w:rPr>
        <w:t xml:space="preserve"> SMEs</w:t>
      </w:r>
      <w:r w:rsidR="005323D3" w:rsidRPr="00881BC8">
        <w:rPr>
          <w:noProof/>
          <w:lang w:val="en-GB"/>
        </w:rPr>
        <w:t xml:space="preserve"> </w:t>
      </w:r>
      <w:r w:rsidR="00196E49" w:rsidRPr="00881BC8">
        <w:rPr>
          <w:noProof/>
          <w:lang w:val="en-GB"/>
        </w:rPr>
        <w:t xml:space="preserve">have </w:t>
      </w:r>
      <w:r w:rsidR="005323D3" w:rsidRPr="00881BC8">
        <w:rPr>
          <w:noProof/>
          <w:lang w:val="en-GB"/>
        </w:rPr>
        <w:t xml:space="preserve">more limited </w:t>
      </w:r>
      <w:r w:rsidR="00196E49" w:rsidRPr="00881BC8">
        <w:rPr>
          <w:noProof/>
          <w:lang w:val="en-GB"/>
        </w:rPr>
        <w:t xml:space="preserve">access to liquidity </w:t>
      </w:r>
      <w:r w:rsidR="005323D3" w:rsidRPr="00881BC8">
        <w:rPr>
          <w:noProof/>
          <w:lang w:val="en-GB"/>
        </w:rPr>
        <w:t xml:space="preserve">than </w:t>
      </w:r>
      <w:r w:rsidR="00196E49" w:rsidRPr="00881BC8">
        <w:rPr>
          <w:noProof/>
          <w:lang w:val="en-GB"/>
        </w:rPr>
        <w:t>public authorities or large businesses</w:t>
      </w:r>
      <w:r w:rsidR="005323D3" w:rsidRPr="00881BC8">
        <w:rPr>
          <w:noProof/>
          <w:lang w:val="en-GB"/>
        </w:rPr>
        <w:t xml:space="preserve">, which </w:t>
      </w:r>
      <w:r w:rsidR="00ED250C" w:rsidRPr="00881BC8">
        <w:rPr>
          <w:noProof/>
          <w:lang w:val="en-GB"/>
        </w:rPr>
        <w:t xml:space="preserve">makes </w:t>
      </w:r>
      <w:r w:rsidR="00196E49" w:rsidRPr="00881BC8">
        <w:rPr>
          <w:noProof/>
          <w:lang w:val="en-GB"/>
        </w:rPr>
        <w:t xml:space="preserve">getting paid on </w:t>
      </w:r>
      <w:r w:rsidR="00ED250C" w:rsidRPr="00881BC8">
        <w:rPr>
          <w:noProof/>
          <w:lang w:val="en-GB"/>
        </w:rPr>
        <w:t>time</w:t>
      </w:r>
      <w:r w:rsidR="00AF7C10" w:rsidRPr="00881BC8">
        <w:rPr>
          <w:noProof/>
          <w:lang w:val="en-GB"/>
        </w:rPr>
        <w:t xml:space="preserve"> vital</w:t>
      </w:r>
      <w:r w:rsidR="00196E49" w:rsidRPr="00881BC8">
        <w:rPr>
          <w:noProof/>
          <w:lang w:val="en-GB"/>
        </w:rPr>
        <w:t xml:space="preserve">. </w:t>
      </w:r>
      <w:r w:rsidR="00D6081E" w:rsidRPr="00881BC8">
        <w:rPr>
          <w:noProof/>
          <w:lang w:val="en-GB"/>
        </w:rPr>
        <w:t>Late payment disrupts</w:t>
      </w:r>
      <w:r w:rsidR="00196E49" w:rsidRPr="00881BC8">
        <w:rPr>
          <w:noProof/>
          <w:lang w:val="en-GB"/>
        </w:rPr>
        <w:t xml:space="preserve"> their daily operations, </w:t>
      </w:r>
      <w:r w:rsidR="00B70D08" w:rsidRPr="00881BC8">
        <w:rPr>
          <w:noProof/>
          <w:lang w:val="en-GB"/>
        </w:rPr>
        <w:t xml:space="preserve">negatively affects their employment and </w:t>
      </w:r>
      <w:r w:rsidR="00196E49" w:rsidRPr="00881BC8">
        <w:rPr>
          <w:noProof/>
          <w:lang w:val="en-GB"/>
        </w:rPr>
        <w:t xml:space="preserve">investment </w:t>
      </w:r>
      <w:r w:rsidR="00B70D08" w:rsidRPr="00881BC8">
        <w:rPr>
          <w:noProof/>
          <w:lang w:val="en-GB"/>
        </w:rPr>
        <w:t>decisions</w:t>
      </w:r>
      <w:r w:rsidR="00AF7C10" w:rsidRPr="00881BC8">
        <w:rPr>
          <w:noProof/>
          <w:lang w:val="en-GB"/>
        </w:rPr>
        <w:t xml:space="preserve">, </w:t>
      </w:r>
      <w:r w:rsidR="004C524A" w:rsidRPr="00881BC8">
        <w:rPr>
          <w:noProof/>
          <w:lang w:val="en-GB"/>
        </w:rPr>
        <w:t xml:space="preserve">and undermines their position in </w:t>
      </w:r>
      <w:r w:rsidR="00AF7C10" w:rsidRPr="00881BC8">
        <w:rPr>
          <w:noProof/>
          <w:lang w:val="en-GB"/>
        </w:rPr>
        <w:t xml:space="preserve">supply chains. </w:t>
      </w:r>
    </w:p>
    <w:p w14:paraId="2CCADEA1" w14:textId="2C4FAC97" w:rsidR="00985381" w:rsidRPr="00881BC8" w:rsidRDefault="00296C37" w:rsidP="004835F8">
      <w:pPr>
        <w:pStyle w:val="NormalPara"/>
        <w:rPr>
          <w:noProof/>
          <w:vertAlign w:val="superscript"/>
          <w:lang w:val="en-GB"/>
        </w:rPr>
      </w:pPr>
      <w:r w:rsidRPr="00881BC8">
        <w:rPr>
          <w:noProof/>
          <w:lang w:val="en-GB"/>
        </w:rPr>
        <w:t xml:space="preserve">The Commission recognises a broad consensus </w:t>
      </w:r>
      <w:r w:rsidR="008F6FFC" w:rsidRPr="00881BC8">
        <w:rPr>
          <w:noProof/>
          <w:lang w:val="en-GB"/>
        </w:rPr>
        <w:t xml:space="preserve">that </w:t>
      </w:r>
      <w:r w:rsidRPr="00881BC8">
        <w:rPr>
          <w:noProof/>
          <w:lang w:val="en-GB"/>
        </w:rPr>
        <w:t xml:space="preserve">the European model for inclusive economic growth, based on sustainable competitiveness, economic security, trade and open strategic autonomy and fair competition, </w:t>
      </w:r>
      <w:r w:rsidR="008F6FFC" w:rsidRPr="00881BC8">
        <w:rPr>
          <w:noProof/>
          <w:lang w:val="en-GB"/>
        </w:rPr>
        <w:t xml:space="preserve">is </w:t>
      </w:r>
      <w:r w:rsidRPr="00881BC8">
        <w:rPr>
          <w:noProof/>
          <w:lang w:val="en-GB"/>
        </w:rPr>
        <w:t>a source of prosperity</w:t>
      </w:r>
      <w:r w:rsidRPr="00881BC8">
        <w:rPr>
          <w:rStyle w:val="FootnoteReference"/>
          <w:noProof/>
          <w:lang w:val="en-GB"/>
        </w:rPr>
        <w:footnoteReference w:id="6"/>
      </w:r>
      <w:r w:rsidRPr="00881BC8">
        <w:rPr>
          <w:noProof/>
          <w:lang w:val="en-GB"/>
        </w:rPr>
        <w:t>.</w:t>
      </w:r>
      <w:r w:rsidR="001F2EB8" w:rsidRPr="00881BC8">
        <w:rPr>
          <w:noProof/>
          <w:lang w:val="en-GB"/>
        </w:rPr>
        <w:t xml:space="preserve"> </w:t>
      </w:r>
      <w:r w:rsidR="313E1DEF" w:rsidRPr="00881BC8">
        <w:rPr>
          <w:noProof/>
          <w:lang w:val="en-GB"/>
        </w:rPr>
        <w:t>In</w:t>
      </w:r>
      <w:r w:rsidR="313E1DEF" w:rsidRPr="00881BC8">
        <w:rPr>
          <w:rFonts w:eastAsiaTheme="minorEastAsia"/>
          <w:noProof/>
          <w:lang w:val="en-GB"/>
        </w:rPr>
        <w:t xml:space="preserve"> 2019, the European Parliament </w:t>
      </w:r>
      <w:r w:rsidR="00985381" w:rsidRPr="00881BC8">
        <w:rPr>
          <w:rFonts w:eastAsiaTheme="minorEastAsia"/>
          <w:noProof/>
          <w:vertAlign w:val="superscript"/>
          <w:lang w:val="en-GB"/>
        </w:rPr>
        <w:footnoteReference w:id="7"/>
      </w:r>
      <w:r w:rsidR="313E1DEF" w:rsidRPr="00881BC8">
        <w:rPr>
          <w:rFonts w:eastAsiaTheme="minorEastAsia"/>
          <w:noProof/>
          <w:lang w:val="en-GB"/>
        </w:rPr>
        <w:t xml:space="preserve"> identified several shortcomings of the </w:t>
      </w:r>
      <w:r w:rsidR="00C94516" w:rsidRPr="00881BC8">
        <w:rPr>
          <w:noProof/>
          <w:lang w:val="en-GB"/>
        </w:rPr>
        <w:t>Late Payment Directive (</w:t>
      </w:r>
      <w:r w:rsidR="00FA6191" w:rsidRPr="00881BC8">
        <w:rPr>
          <w:noProof/>
          <w:lang w:val="en-GB"/>
        </w:rPr>
        <w:t>LPD)</w:t>
      </w:r>
      <w:r w:rsidR="002428E6" w:rsidRPr="00881BC8">
        <w:rPr>
          <w:noProof/>
          <w:lang w:val="en-GB"/>
        </w:rPr>
        <w:t xml:space="preserve">, e.g. </w:t>
      </w:r>
      <w:r w:rsidR="008D3CBE" w:rsidRPr="00881BC8">
        <w:rPr>
          <w:noProof/>
          <w:lang w:val="en-GB"/>
        </w:rPr>
        <w:t xml:space="preserve">the lack of an absolute maximum payment term in B2B transactions, insufficient remedial measures, and </w:t>
      </w:r>
      <w:r w:rsidR="00F81F59" w:rsidRPr="00881BC8">
        <w:rPr>
          <w:noProof/>
          <w:lang w:val="en-GB"/>
        </w:rPr>
        <w:t xml:space="preserve">insufficient </w:t>
      </w:r>
      <w:r w:rsidR="008D3CBE" w:rsidRPr="00881BC8">
        <w:rPr>
          <w:noProof/>
          <w:lang w:val="en-GB"/>
        </w:rPr>
        <w:t>enforcement mechanisms</w:t>
      </w:r>
      <w:r w:rsidR="002428E6" w:rsidRPr="00881BC8">
        <w:rPr>
          <w:rStyle w:val="normaltextrun"/>
          <w:noProof/>
          <w:lang w:val="en-GB"/>
        </w:rPr>
        <w:t xml:space="preserve">. </w:t>
      </w:r>
      <w:r w:rsidR="00354326" w:rsidRPr="00881BC8">
        <w:rPr>
          <w:noProof/>
          <w:lang w:val="en-GB"/>
        </w:rPr>
        <w:t xml:space="preserve">The SME Strategy for a sustainable and digital Europe, calls for ensuring a ‘late-payment-free’ environment for SMEs and strengthening the enforcement of the LPD. </w:t>
      </w:r>
      <w:r w:rsidR="313E1DEF" w:rsidRPr="00881BC8">
        <w:rPr>
          <w:rFonts w:eastAsiaTheme="minorEastAsia"/>
          <w:noProof/>
          <w:lang w:val="en-GB"/>
        </w:rPr>
        <w:t xml:space="preserve">In 2021, </w:t>
      </w:r>
      <w:r w:rsidR="00CB686E" w:rsidRPr="00881BC8">
        <w:rPr>
          <w:rFonts w:eastAsiaTheme="minorEastAsia"/>
          <w:noProof/>
          <w:lang w:val="en-GB"/>
        </w:rPr>
        <w:t xml:space="preserve">the Fit for Future </w:t>
      </w:r>
      <w:r w:rsidR="003B3F16" w:rsidRPr="00881BC8">
        <w:rPr>
          <w:rFonts w:eastAsiaTheme="minorEastAsia"/>
          <w:noProof/>
          <w:lang w:val="en-GB"/>
        </w:rPr>
        <w:t>p</w:t>
      </w:r>
      <w:r w:rsidR="00CB686E" w:rsidRPr="00881BC8">
        <w:rPr>
          <w:rFonts w:eastAsiaTheme="minorEastAsia"/>
          <w:noProof/>
          <w:lang w:val="en-GB"/>
        </w:rPr>
        <w:t>latform</w:t>
      </w:r>
      <w:r w:rsidR="00716DE2" w:rsidRPr="00881BC8">
        <w:rPr>
          <w:rFonts w:eastAsiaTheme="minorEastAsia"/>
          <w:noProof/>
          <w:lang w:val="en-GB"/>
        </w:rPr>
        <w:t xml:space="preserve"> </w:t>
      </w:r>
      <w:r w:rsidR="313E1DEF" w:rsidRPr="00881BC8">
        <w:rPr>
          <w:rFonts w:eastAsiaTheme="minorEastAsia"/>
          <w:noProof/>
          <w:lang w:val="en-GB"/>
        </w:rPr>
        <w:t xml:space="preserve">highlighted critical issues in the implementation of the </w:t>
      </w:r>
      <w:r w:rsidR="00CA344D" w:rsidRPr="00881BC8">
        <w:rPr>
          <w:rFonts w:eastAsiaTheme="minorEastAsia"/>
          <w:noProof/>
          <w:lang w:val="en-GB"/>
        </w:rPr>
        <w:t>LPD</w:t>
      </w:r>
      <w:r w:rsidR="00D712E1" w:rsidRPr="00881BC8">
        <w:rPr>
          <w:rFonts w:eastAsiaTheme="minorEastAsia"/>
          <w:noProof/>
          <w:lang w:val="en-GB"/>
        </w:rPr>
        <w:t xml:space="preserve"> in the F4F Opinion 2021</w:t>
      </w:r>
      <w:r w:rsidR="313E1DEF" w:rsidRPr="00881BC8">
        <w:rPr>
          <w:rFonts w:eastAsiaTheme="minorEastAsia"/>
          <w:noProof/>
          <w:lang w:val="en-GB"/>
        </w:rPr>
        <w:t xml:space="preserve">. </w:t>
      </w:r>
      <w:r w:rsidR="2B554393" w:rsidRPr="00881BC8">
        <w:rPr>
          <w:rFonts w:eastAsiaTheme="minorEastAsia"/>
          <w:noProof/>
          <w:lang w:val="en-GB"/>
        </w:rPr>
        <w:t xml:space="preserve">These </w:t>
      </w:r>
      <w:r w:rsidR="00F95020" w:rsidRPr="00881BC8">
        <w:rPr>
          <w:rFonts w:eastAsiaTheme="minorEastAsia"/>
          <w:noProof/>
          <w:lang w:val="en-GB"/>
        </w:rPr>
        <w:t xml:space="preserve">findings </w:t>
      </w:r>
      <w:r w:rsidR="2B554393" w:rsidRPr="00881BC8">
        <w:rPr>
          <w:rFonts w:eastAsiaTheme="minorEastAsia"/>
          <w:noProof/>
          <w:lang w:val="en-GB"/>
        </w:rPr>
        <w:t xml:space="preserve">mirror </w:t>
      </w:r>
      <w:r w:rsidR="00F95020" w:rsidRPr="00881BC8">
        <w:rPr>
          <w:rFonts w:eastAsiaTheme="minorEastAsia"/>
          <w:noProof/>
          <w:lang w:val="en-GB"/>
        </w:rPr>
        <w:t xml:space="preserve">the conclusions of </w:t>
      </w:r>
      <w:r w:rsidR="2B554393" w:rsidRPr="00881BC8">
        <w:rPr>
          <w:rFonts w:eastAsiaTheme="minorEastAsia"/>
          <w:noProof/>
          <w:lang w:val="en-GB"/>
        </w:rPr>
        <w:t>previous assessments carried out by the European Commission</w:t>
      </w:r>
      <w:r w:rsidR="00017CB0" w:rsidRPr="00881BC8">
        <w:rPr>
          <w:rFonts w:eastAsiaTheme="minorEastAsia"/>
          <w:noProof/>
          <w:vertAlign w:val="superscript"/>
          <w:lang w:val="en-GB"/>
        </w:rPr>
        <w:footnoteReference w:id="8"/>
      </w:r>
      <w:r w:rsidR="00C63A63" w:rsidRPr="00881BC8">
        <w:rPr>
          <w:rFonts w:eastAsiaTheme="minorEastAsia"/>
          <w:noProof/>
          <w:lang w:val="en-GB"/>
        </w:rPr>
        <w:t xml:space="preserve"> - see </w:t>
      </w:r>
      <w:r w:rsidR="00C63A63" w:rsidRPr="00881BC8">
        <w:rPr>
          <w:rFonts w:eastAsiaTheme="minorEastAsia"/>
          <w:noProof/>
          <w:lang w:val="en-GB"/>
        </w:rPr>
        <w:fldChar w:fldCharType="begin"/>
      </w:r>
      <w:r w:rsidR="00C63A63" w:rsidRPr="00881BC8">
        <w:rPr>
          <w:rFonts w:eastAsiaTheme="minorEastAsia"/>
          <w:noProof/>
          <w:lang w:val="en-GB"/>
        </w:rPr>
        <w:instrText xml:space="preserve"> REF Annex06 \h </w:instrText>
      </w:r>
      <w:r w:rsidR="00C63A63" w:rsidRPr="00881BC8">
        <w:rPr>
          <w:rFonts w:eastAsiaTheme="minorEastAsia"/>
          <w:noProof/>
          <w:lang w:val="en-GB"/>
        </w:rPr>
      </w:r>
      <w:r w:rsidR="00C63A63" w:rsidRPr="00881BC8">
        <w:rPr>
          <w:rFonts w:eastAsiaTheme="minorEastAsia"/>
          <w:noProof/>
          <w:lang w:val="en-GB"/>
        </w:rPr>
        <w:fldChar w:fldCharType="separate"/>
      </w:r>
      <w:r w:rsidR="005851F4" w:rsidRPr="00881BC8">
        <w:rPr>
          <w:noProof/>
        </w:rPr>
        <w:t>Annex 6</w:t>
      </w:r>
      <w:r w:rsidR="00C63A63" w:rsidRPr="00881BC8">
        <w:rPr>
          <w:rFonts w:eastAsiaTheme="minorEastAsia"/>
          <w:noProof/>
          <w:lang w:val="en-GB"/>
        </w:rPr>
        <w:fldChar w:fldCharType="end"/>
      </w:r>
      <w:r w:rsidR="00F95020" w:rsidRPr="00881BC8">
        <w:rPr>
          <w:rFonts w:eastAsiaTheme="minorEastAsia"/>
          <w:noProof/>
          <w:lang w:val="en-GB"/>
        </w:rPr>
        <w:t>.</w:t>
      </w:r>
    </w:p>
    <w:p w14:paraId="77BC4681" w14:textId="70A39E11" w:rsidR="00FA6191" w:rsidRPr="00881BC8" w:rsidRDefault="003D5438" w:rsidP="004835F8">
      <w:pPr>
        <w:pStyle w:val="NormalPara"/>
        <w:rPr>
          <w:noProof/>
          <w:lang w:val="en-GB"/>
        </w:rPr>
      </w:pPr>
      <w:r w:rsidRPr="00881BC8">
        <w:rPr>
          <w:noProof/>
          <w:lang w:val="en-GB"/>
        </w:rPr>
        <w:t xml:space="preserve">President von der Leyen announced </w:t>
      </w:r>
      <w:r w:rsidR="00CB098E" w:rsidRPr="00881BC8">
        <w:rPr>
          <w:noProof/>
          <w:lang w:val="en-GB"/>
        </w:rPr>
        <w:t xml:space="preserve">a revision of the </w:t>
      </w:r>
      <w:r w:rsidR="007C420F" w:rsidRPr="00881BC8">
        <w:rPr>
          <w:noProof/>
          <w:lang w:val="en-GB"/>
        </w:rPr>
        <w:t xml:space="preserve">LPD </w:t>
      </w:r>
      <w:r w:rsidR="00590493" w:rsidRPr="00881BC8">
        <w:rPr>
          <w:noProof/>
          <w:lang w:val="en-GB"/>
        </w:rPr>
        <w:t xml:space="preserve">in </w:t>
      </w:r>
      <w:r w:rsidR="00CB098E" w:rsidRPr="00881BC8">
        <w:rPr>
          <w:noProof/>
          <w:lang w:val="en-GB"/>
        </w:rPr>
        <w:t xml:space="preserve">the 2022 </w:t>
      </w:r>
      <w:r w:rsidR="009D6241" w:rsidRPr="00881BC8">
        <w:rPr>
          <w:noProof/>
          <w:lang w:val="en-GB"/>
        </w:rPr>
        <w:t>SOTEU</w:t>
      </w:r>
      <w:r w:rsidR="00590493" w:rsidRPr="00881BC8">
        <w:rPr>
          <w:noProof/>
          <w:lang w:val="en-GB"/>
        </w:rPr>
        <w:t xml:space="preserve"> speech </w:t>
      </w:r>
      <w:r w:rsidR="000A4F60" w:rsidRPr="00881BC8">
        <w:rPr>
          <w:noProof/>
          <w:lang w:val="en-GB"/>
        </w:rPr>
        <w:t>‘</w:t>
      </w:r>
      <w:r w:rsidR="00590493" w:rsidRPr="00881BC8">
        <w:rPr>
          <w:noProof/>
          <w:lang w:val="en-GB"/>
        </w:rPr>
        <w:t>because it is simply not fair that 1 in 4 bankruptcies are due to invoices not being paid on time. For millions of family businesses, [the revision] will be a lifeline in troubled waters</w:t>
      </w:r>
      <w:r w:rsidR="000A4F60" w:rsidRPr="00881BC8">
        <w:rPr>
          <w:noProof/>
          <w:lang w:val="en-GB"/>
        </w:rPr>
        <w:t>’</w:t>
      </w:r>
      <w:r w:rsidR="00590493" w:rsidRPr="00881BC8">
        <w:rPr>
          <w:noProof/>
          <w:lang w:val="en-GB"/>
        </w:rPr>
        <w:t>.</w:t>
      </w:r>
      <w:r w:rsidR="003D17CE" w:rsidRPr="00881BC8">
        <w:rPr>
          <w:noProof/>
          <w:lang w:val="en-GB"/>
        </w:rPr>
        <w:t xml:space="preserve"> The President announced </w:t>
      </w:r>
      <w:r w:rsidR="00717326" w:rsidRPr="00881BC8">
        <w:rPr>
          <w:noProof/>
          <w:lang w:val="en-GB"/>
        </w:rPr>
        <w:t>an SME relief package as well</w:t>
      </w:r>
      <w:r w:rsidR="003D17CE" w:rsidRPr="00881BC8">
        <w:rPr>
          <w:noProof/>
          <w:lang w:val="en-GB"/>
        </w:rPr>
        <w:t>.</w:t>
      </w:r>
      <w:r w:rsidR="0091653A" w:rsidRPr="00881BC8">
        <w:rPr>
          <w:noProof/>
          <w:lang w:val="en-GB"/>
        </w:rPr>
        <w:t xml:space="preserve"> </w:t>
      </w:r>
      <w:r w:rsidR="00FA6191" w:rsidRPr="00881BC8">
        <w:rPr>
          <w:noProof/>
          <w:lang w:val="en-GB"/>
        </w:rPr>
        <w:t xml:space="preserve">The revision of the LPD has been </w:t>
      </w:r>
      <w:r w:rsidR="00A3612B" w:rsidRPr="00881BC8">
        <w:rPr>
          <w:noProof/>
          <w:lang w:val="en-GB"/>
        </w:rPr>
        <w:t>in</w:t>
      </w:r>
      <w:r w:rsidR="00FA6191" w:rsidRPr="00881BC8">
        <w:rPr>
          <w:noProof/>
          <w:lang w:val="en-GB"/>
        </w:rPr>
        <w:t xml:space="preserve">cluded in the </w:t>
      </w:r>
      <w:r w:rsidR="000A4F60" w:rsidRPr="00881BC8">
        <w:rPr>
          <w:noProof/>
          <w:lang w:val="en-GB"/>
        </w:rPr>
        <w:t xml:space="preserve">CWP </w:t>
      </w:r>
      <w:r w:rsidR="00FA6191" w:rsidRPr="00881BC8">
        <w:rPr>
          <w:noProof/>
          <w:lang w:val="en-GB"/>
        </w:rPr>
        <w:t>for 2023</w:t>
      </w:r>
      <w:r w:rsidR="00280033" w:rsidRPr="00881BC8">
        <w:rPr>
          <w:noProof/>
          <w:lang w:val="en-GB"/>
        </w:rPr>
        <w:t>.</w:t>
      </w:r>
      <w:r w:rsidR="00FA6191" w:rsidRPr="00881BC8">
        <w:rPr>
          <w:noProof/>
          <w:lang w:val="en-GB"/>
        </w:rPr>
        <w:t xml:space="preserve"> </w:t>
      </w:r>
    </w:p>
    <w:p w14:paraId="03ACF95E" w14:textId="2DB50AE5" w:rsidR="4F9B0A00" w:rsidRPr="00881BC8" w:rsidRDefault="4F9B0A00" w:rsidP="004835F8">
      <w:pPr>
        <w:pStyle w:val="Heading2"/>
        <w:rPr>
          <w:noProof/>
        </w:rPr>
      </w:pPr>
      <w:bookmarkStart w:id="21" w:name="_Toc128935066"/>
      <w:bookmarkStart w:id="22" w:name="_Toc129710164"/>
      <w:bookmarkStart w:id="23" w:name="_Toc129899857"/>
      <w:bookmarkStart w:id="24" w:name="_Toc135237377"/>
      <w:r w:rsidRPr="00881BC8">
        <w:rPr>
          <w:noProof/>
        </w:rPr>
        <w:t>Legal context</w:t>
      </w:r>
      <w:bookmarkEnd w:id="21"/>
      <w:bookmarkEnd w:id="22"/>
      <w:bookmarkEnd w:id="23"/>
      <w:bookmarkEnd w:id="24"/>
    </w:p>
    <w:p w14:paraId="7FB550F9" w14:textId="78D22926" w:rsidR="009457BE" w:rsidRPr="00881BC8" w:rsidRDefault="00841D52" w:rsidP="004835F8">
      <w:pPr>
        <w:pStyle w:val="NormalPara"/>
        <w:rPr>
          <w:noProof/>
          <w:lang w:val="en-GB"/>
        </w:rPr>
      </w:pPr>
      <w:r w:rsidRPr="00881BC8">
        <w:rPr>
          <w:noProof/>
          <w:lang w:val="en-GB"/>
        </w:rPr>
        <w:t>The LPD was adopted in 2011 to address the shortcomings of Directive 2000/35/EC</w:t>
      </w:r>
      <w:r w:rsidR="00A8560D" w:rsidRPr="00881BC8">
        <w:rPr>
          <w:noProof/>
          <w:lang w:val="en-GB"/>
        </w:rPr>
        <w:t xml:space="preserve"> (see </w:t>
      </w:r>
      <w:r w:rsidR="00BE0CED" w:rsidRPr="00881BC8">
        <w:rPr>
          <w:noProof/>
          <w:lang w:val="en-GB"/>
        </w:rPr>
        <w:fldChar w:fldCharType="begin"/>
      </w:r>
      <w:r w:rsidR="00BE0CED" w:rsidRPr="00881BC8">
        <w:rPr>
          <w:noProof/>
          <w:lang w:val="en-GB"/>
        </w:rPr>
        <w:instrText xml:space="preserve"> REF Annex06 \h </w:instrText>
      </w:r>
      <w:r w:rsidR="00BE0CED" w:rsidRPr="00881BC8">
        <w:rPr>
          <w:noProof/>
          <w:lang w:val="en-GB"/>
        </w:rPr>
      </w:r>
      <w:r w:rsidR="00BE0CED" w:rsidRPr="00881BC8">
        <w:rPr>
          <w:noProof/>
          <w:lang w:val="en-GB"/>
        </w:rPr>
        <w:fldChar w:fldCharType="separate"/>
      </w:r>
      <w:r w:rsidR="005851F4" w:rsidRPr="00881BC8">
        <w:rPr>
          <w:noProof/>
        </w:rPr>
        <w:t>Annex 6</w:t>
      </w:r>
      <w:r w:rsidR="00BE0CED" w:rsidRPr="00881BC8">
        <w:rPr>
          <w:noProof/>
          <w:lang w:val="en-GB"/>
        </w:rPr>
        <w:fldChar w:fldCharType="end"/>
      </w:r>
      <w:r w:rsidR="00BE0CED" w:rsidRPr="00881BC8">
        <w:rPr>
          <w:noProof/>
          <w:lang w:val="en-GB"/>
        </w:rPr>
        <w:t>)</w:t>
      </w:r>
      <w:r w:rsidRPr="00881BC8">
        <w:rPr>
          <w:noProof/>
          <w:lang w:val="en-GB"/>
        </w:rPr>
        <w:t>. It introduced the following measures:</w:t>
      </w:r>
    </w:p>
    <w:p w14:paraId="72464B61" w14:textId="2465D352" w:rsidR="00423AC6" w:rsidRPr="00881BC8" w:rsidRDefault="00841D52" w:rsidP="004835F8">
      <w:pPr>
        <w:pStyle w:val="ListParagraph"/>
        <w:numPr>
          <w:ilvl w:val="0"/>
          <w:numId w:val="7"/>
        </w:numPr>
        <w:rPr>
          <w:noProof/>
        </w:rPr>
      </w:pPr>
      <w:r w:rsidRPr="00881BC8">
        <w:rPr>
          <w:rFonts w:eastAsia="Times New Roman"/>
          <w:noProof/>
        </w:rPr>
        <w:t>Obligations for payments G2B:</w:t>
      </w:r>
      <w:r w:rsidR="0091653A" w:rsidRPr="00881BC8">
        <w:rPr>
          <w:rFonts w:eastAsia="Times New Roman"/>
          <w:noProof/>
        </w:rPr>
        <w:t xml:space="preserve"> </w:t>
      </w:r>
    </w:p>
    <w:p w14:paraId="1DCDCB2F" w14:textId="28E81903" w:rsidR="00423AC6" w:rsidRPr="00881BC8" w:rsidRDefault="2486E3B1" w:rsidP="004835F8">
      <w:pPr>
        <w:pStyle w:val="ListParagraph"/>
        <w:numPr>
          <w:ilvl w:val="1"/>
          <w:numId w:val="7"/>
        </w:numPr>
        <w:rPr>
          <w:noProof/>
        </w:rPr>
      </w:pPr>
      <w:r w:rsidRPr="00881BC8">
        <w:rPr>
          <w:rFonts w:eastAsia="Times New Roman"/>
          <w:noProof/>
        </w:rPr>
        <w:t>p</w:t>
      </w:r>
      <w:r w:rsidR="0086420D" w:rsidRPr="00881BC8">
        <w:rPr>
          <w:rFonts w:eastAsia="Times New Roman"/>
          <w:noProof/>
        </w:rPr>
        <w:t>ublic authorities have to pay for goods and services within 30 days</w:t>
      </w:r>
      <w:r w:rsidR="00F86438" w:rsidRPr="00881BC8">
        <w:rPr>
          <w:rFonts w:eastAsia="Times New Roman"/>
          <w:noProof/>
        </w:rPr>
        <w:t>,</w:t>
      </w:r>
    </w:p>
    <w:p w14:paraId="039AF57E" w14:textId="5D6ED01F" w:rsidR="0086420D" w:rsidRPr="00881BC8" w:rsidRDefault="00423AC6" w:rsidP="004835F8">
      <w:pPr>
        <w:pStyle w:val="ListParagraph"/>
        <w:numPr>
          <w:ilvl w:val="1"/>
          <w:numId w:val="7"/>
        </w:numPr>
        <w:rPr>
          <w:noProof/>
        </w:rPr>
      </w:pPr>
      <w:r w:rsidRPr="00881BC8">
        <w:rPr>
          <w:rFonts w:eastAsia="Times New Roman"/>
          <w:noProof/>
        </w:rPr>
        <w:t>p</w:t>
      </w:r>
      <w:r w:rsidR="0086420D" w:rsidRPr="00881BC8">
        <w:rPr>
          <w:rFonts w:eastAsia="Times New Roman"/>
          <w:noProof/>
        </w:rPr>
        <w:t xml:space="preserve">ublic entities operating in the market and carrying out economic activities, and public authorities in the healthcare can set payment </w:t>
      </w:r>
      <w:r w:rsidR="00CF7B35" w:rsidRPr="00881BC8">
        <w:rPr>
          <w:rFonts w:eastAsia="Times New Roman"/>
          <w:noProof/>
        </w:rPr>
        <w:t xml:space="preserve">terms </w:t>
      </w:r>
      <w:r w:rsidR="009457BE" w:rsidRPr="00881BC8">
        <w:rPr>
          <w:rFonts w:eastAsia="Times New Roman"/>
          <w:noProof/>
        </w:rPr>
        <w:t xml:space="preserve">not </w:t>
      </w:r>
      <w:r w:rsidR="0086420D" w:rsidRPr="00881BC8">
        <w:rPr>
          <w:rFonts w:eastAsia="Times New Roman"/>
          <w:noProof/>
        </w:rPr>
        <w:t>exceed</w:t>
      </w:r>
      <w:r w:rsidR="00D46036" w:rsidRPr="00881BC8">
        <w:rPr>
          <w:rFonts w:eastAsia="Times New Roman"/>
          <w:noProof/>
        </w:rPr>
        <w:t>ing</w:t>
      </w:r>
      <w:r w:rsidR="0086420D" w:rsidRPr="00881BC8">
        <w:rPr>
          <w:rFonts w:eastAsia="Times New Roman"/>
          <w:noProof/>
        </w:rPr>
        <w:t xml:space="preserve"> 60 days</w:t>
      </w:r>
      <w:r w:rsidR="0E072FA4" w:rsidRPr="00881BC8">
        <w:rPr>
          <w:rFonts w:eastAsia="Times New Roman"/>
          <w:noProof/>
        </w:rPr>
        <w:t>.</w:t>
      </w:r>
      <w:r w:rsidR="0086420D" w:rsidRPr="00881BC8">
        <w:rPr>
          <w:rFonts w:eastAsia="Times New Roman"/>
          <w:noProof/>
        </w:rPr>
        <w:t xml:space="preserve"> </w:t>
      </w:r>
    </w:p>
    <w:p w14:paraId="3AF36E04" w14:textId="5B469EC3" w:rsidR="00423AC6" w:rsidRPr="00881BC8" w:rsidRDefault="009457BE" w:rsidP="004835F8">
      <w:pPr>
        <w:pStyle w:val="ListParagraph"/>
        <w:numPr>
          <w:ilvl w:val="0"/>
          <w:numId w:val="7"/>
        </w:numPr>
        <w:rPr>
          <w:rFonts w:eastAsia="Times New Roman"/>
          <w:noProof/>
        </w:rPr>
      </w:pPr>
      <w:r w:rsidRPr="00881BC8">
        <w:rPr>
          <w:rFonts w:eastAsia="Times New Roman"/>
          <w:noProof/>
        </w:rPr>
        <w:t xml:space="preserve">Obligations for payments B2B: </w:t>
      </w:r>
    </w:p>
    <w:p w14:paraId="6AC887F0" w14:textId="76B1B32B" w:rsidR="0086420D" w:rsidRPr="00881BC8" w:rsidRDefault="00423AC6" w:rsidP="004835F8">
      <w:pPr>
        <w:pStyle w:val="ListParagraph"/>
        <w:numPr>
          <w:ilvl w:val="1"/>
          <w:numId w:val="7"/>
        </w:numPr>
        <w:rPr>
          <w:rFonts w:eastAsia="Times New Roman"/>
          <w:noProof/>
        </w:rPr>
      </w:pPr>
      <w:r w:rsidRPr="00881BC8">
        <w:rPr>
          <w:rFonts w:eastAsia="Times New Roman"/>
          <w:noProof/>
        </w:rPr>
        <w:t>e</w:t>
      </w:r>
      <w:r w:rsidR="0086420D" w:rsidRPr="00881BC8">
        <w:rPr>
          <w:rFonts w:eastAsia="Times New Roman"/>
          <w:noProof/>
        </w:rPr>
        <w:t>nterprises have to pay their invoices within 30 days. This term can be extended to 60 days</w:t>
      </w:r>
      <w:r w:rsidR="00D46036" w:rsidRPr="00881BC8">
        <w:rPr>
          <w:rFonts w:eastAsia="Times New Roman"/>
          <w:noProof/>
        </w:rPr>
        <w:t xml:space="preserve"> if </w:t>
      </w:r>
      <w:r w:rsidR="0086420D" w:rsidRPr="00881BC8">
        <w:rPr>
          <w:rFonts w:eastAsia="Times New Roman"/>
          <w:noProof/>
        </w:rPr>
        <w:t xml:space="preserve">expressly agreed and not </w:t>
      </w:r>
      <w:r w:rsidRPr="00881BC8">
        <w:rPr>
          <w:rFonts w:eastAsia="Times New Roman"/>
          <w:noProof/>
        </w:rPr>
        <w:t>“</w:t>
      </w:r>
      <w:r w:rsidR="0086420D" w:rsidRPr="00881BC8">
        <w:rPr>
          <w:rFonts w:eastAsia="Times New Roman"/>
          <w:noProof/>
        </w:rPr>
        <w:t>grossly unfair</w:t>
      </w:r>
      <w:r w:rsidRPr="00881BC8">
        <w:rPr>
          <w:rFonts w:eastAsia="Times New Roman"/>
          <w:noProof/>
        </w:rPr>
        <w:t>”</w:t>
      </w:r>
      <w:r w:rsidR="0086420D" w:rsidRPr="00881BC8">
        <w:rPr>
          <w:rFonts w:eastAsia="Times New Roman"/>
          <w:noProof/>
        </w:rPr>
        <w:t xml:space="preserve"> to the creditor</w:t>
      </w:r>
      <w:bookmarkStart w:id="25" w:name="_Int_opn7Q2Rp"/>
      <w:r w:rsidR="0086420D" w:rsidRPr="00881BC8">
        <w:rPr>
          <w:rFonts w:eastAsia="Times New Roman"/>
          <w:noProof/>
        </w:rPr>
        <w:t xml:space="preserve">. </w:t>
      </w:r>
      <w:bookmarkEnd w:id="25"/>
    </w:p>
    <w:p w14:paraId="12B1EC8C" w14:textId="32420E50" w:rsidR="00423AC6" w:rsidRPr="00881BC8" w:rsidRDefault="00645177" w:rsidP="004835F8">
      <w:pPr>
        <w:pStyle w:val="ListParagraph"/>
        <w:numPr>
          <w:ilvl w:val="0"/>
          <w:numId w:val="7"/>
        </w:numPr>
        <w:rPr>
          <w:rFonts w:eastAsia="Times New Roman"/>
          <w:noProof/>
        </w:rPr>
      </w:pPr>
      <w:r w:rsidRPr="00881BC8">
        <w:rPr>
          <w:rFonts w:eastAsia="Times New Roman"/>
          <w:noProof/>
        </w:rPr>
        <w:t>Both in B2B and G2B transactions</w:t>
      </w:r>
      <w:r w:rsidR="00CB3347" w:rsidRPr="00881BC8">
        <w:rPr>
          <w:rFonts w:eastAsia="Times New Roman"/>
          <w:noProof/>
        </w:rPr>
        <w:t xml:space="preserve">, </w:t>
      </w:r>
      <w:r w:rsidRPr="00881BC8">
        <w:rPr>
          <w:rFonts w:eastAsia="Times New Roman"/>
          <w:noProof/>
        </w:rPr>
        <w:t xml:space="preserve">where a contract foresees a verification procedure for the acceptance of the goods or the services, </w:t>
      </w:r>
      <w:r w:rsidR="00B60F47" w:rsidRPr="00881BC8">
        <w:rPr>
          <w:rFonts w:eastAsia="Times New Roman"/>
          <w:noProof/>
        </w:rPr>
        <w:t xml:space="preserve">it </w:t>
      </w:r>
      <w:r w:rsidRPr="00881BC8">
        <w:rPr>
          <w:rFonts w:eastAsia="Times New Roman"/>
          <w:noProof/>
        </w:rPr>
        <w:t>should not exceed 30 days from the date of the reception of the goods or services.</w:t>
      </w:r>
      <w:r w:rsidR="001A6EA8" w:rsidRPr="00881BC8">
        <w:rPr>
          <w:rFonts w:eastAsia="Times New Roman"/>
          <w:noProof/>
        </w:rPr>
        <w:t xml:space="preserve"> T</w:t>
      </w:r>
      <w:r w:rsidRPr="00881BC8">
        <w:rPr>
          <w:rFonts w:eastAsia="Times New Roman"/>
          <w:noProof/>
        </w:rPr>
        <w:t xml:space="preserve">his term can be extended </w:t>
      </w:r>
      <w:r w:rsidR="00C45C20" w:rsidRPr="00881BC8">
        <w:rPr>
          <w:rFonts w:eastAsia="Times New Roman"/>
          <w:noProof/>
        </w:rPr>
        <w:t xml:space="preserve">(indefinitely) </w:t>
      </w:r>
      <w:r w:rsidRPr="00881BC8">
        <w:rPr>
          <w:rFonts w:eastAsia="Times New Roman"/>
          <w:noProof/>
        </w:rPr>
        <w:t>as long as expressly agreed in writing</w:t>
      </w:r>
      <w:r w:rsidR="33662F8F" w:rsidRPr="00881BC8">
        <w:rPr>
          <w:rFonts w:eastAsia="Times New Roman"/>
          <w:noProof/>
        </w:rPr>
        <w:t>,</w:t>
      </w:r>
      <w:r w:rsidRPr="00881BC8">
        <w:rPr>
          <w:rFonts w:eastAsia="Times New Roman"/>
          <w:noProof/>
        </w:rPr>
        <w:t xml:space="preserve"> and not </w:t>
      </w:r>
      <w:r w:rsidR="00423AC6" w:rsidRPr="00881BC8">
        <w:rPr>
          <w:rFonts w:eastAsia="Times New Roman"/>
          <w:noProof/>
        </w:rPr>
        <w:t>“</w:t>
      </w:r>
      <w:r w:rsidRPr="00881BC8">
        <w:rPr>
          <w:rFonts w:eastAsia="Times New Roman"/>
          <w:noProof/>
        </w:rPr>
        <w:t xml:space="preserve">grossly unfair” for the creditor. </w:t>
      </w:r>
      <w:r w:rsidR="0086420D" w:rsidRPr="00881BC8">
        <w:rPr>
          <w:rFonts w:eastAsia="Times New Roman"/>
          <w:noProof/>
        </w:rPr>
        <w:t xml:space="preserve">Enterprises are entitled to claim interest for late payment and to obtain a minimum fixed amount of </w:t>
      </w:r>
      <w:r w:rsidR="00B9110C" w:rsidRPr="00881BC8">
        <w:rPr>
          <w:rFonts w:eastAsia="Times New Roman"/>
          <w:noProof/>
        </w:rPr>
        <w:t>EUR </w:t>
      </w:r>
      <w:r w:rsidR="0086420D" w:rsidRPr="00881BC8">
        <w:rPr>
          <w:rFonts w:eastAsia="Times New Roman"/>
          <w:noProof/>
        </w:rPr>
        <w:t>40 as a compensation for recovery costs. They can claim reasonable compensation for all remaining recovery costs.</w:t>
      </w:r>
    </w:p>
    <w:p w14:paraId="5776C415" w14:textId="31C80C54" w:rsidR="0086420D" w:rsidRPr="00881BC8" w:rsidRDefault="0086420D" w:rsidP="004835F8">
      <w:pPr>
        <w:pStyle w:val="ListParagraph"/>
        <w:numPr>
          <w:ilvl w:val="0"/>
          <w:numId w:val="7"/>
        </w:numPr>
        <w:rPr>
          <w:noProof/>
        </w:rPr>
      </w:pPr>
      <w:r w:rsidRPr="00881BC8">
        <w:rPr>
          <w:rFonts w:eastAsia="Times New Roman"/>
          <w:noProof/>
        </w:rPr>
        <w:t xml:space="preserve">The </w:t>
      </w:r>
      <w:r w:rsidR="6BB3D1D8" w:rsidRPr="00881BC8">
        <w:rPr>
          <w:rFonts w:eastAsia="Times New Roman"/>
          <w:noProof/>
        </w:rPr>
        <w:t xml:space="preserve">minimum </w:t>
      </w:r>
      <w:r w:rsidRPr="00881BC8">
        <w:rPr>
          <w:rFonts w:eastAsia="Times New Roman"/>
          <w:noProof/>
        </w:rPr>
        <w:t xml:space="preserve">interest rate for late payment </w:t>
      </w:r>
      <w:r w:rsidR="00870E3E" w:rsidRPr="00881BC8">
        <w:rPr>
          <w:rFonts w:eastAsia="Times New Roman"/>
          <w:noProof/>
        </w:rPr>
        <w:t>is</w:t>
      </w:r>
      <w:r w:rsidRPr="00881BC8">
        <w:rPr>
          <w:rFonts w:eastAsia="Times New Roman"/>
          <w:noProof/>
        </w:rPr>
        <w:t xml:space="preserve"> 8 percentage points above the </w:t>
      </w:r>
      <w:r w:rsidR="00870E3E" w:rsidRPr="00881BC8">
        <w:rPr>
          <w:rFonts w:eastAsia="Times New Roman"/>
          <w:noProof/>
        </w:rPr>
        <w:t>ECB</w:t>
      </w:r>
      <w:r w:rsidRPr="00881BC8">
        <w:rPr>
          <w:rFonts w:eastAsia="Times New Roman"/>
          <w:noProof/>
        </w:rPr>
        <w:t xml:space="preserve">’s reference. Public authorities are not allowed to fix a lower interest rate for late payment. Businesses can fix a lower rate </w:t>
      </w:r>
      <w:r w:rsidR="77B3C298" w:rsidRPr="00881BC8">
        <w:rPr>
          <w:rFonts w:eastAsia="Times New Roman"/>
          <w:noProof/>
        </w:rPr>
        <w:t>if</w:t>
      </w:r>
      <w:r w:rsidRPr="00881BC8">
        <w:rPr>
          <w:rFonts w:eastAsia="Times New Roman"/>
          <w:noProof/>
        </w:rPr>
        <w:t xml:space="preserve"> it is expressly agreed in the contract and not </w:t>
      </w:r>
      <w:r w:rsidR="00423AC6" w:rsidRPr="00881BC8">
        <w:rPr>
          <w:rFonts w:eastAsia="Times New Roman"/>
          <w:noProof/>
        </w:rPr>
        <w:t>“</w:t>
      </w:r>
      <w:r w:rsidRPr="00881BC8">
        <w:rPr>
          <w:rFonts w:eastAsia="Times New Roman"/>
          <w:noProof/>
        </w:rPr>
        <w:t>grossly unfair</w:t>
      </w:r>
      <w:r w:rsidR="00423AC6" w:rsidRPr="00881BC8">
        <w:rPr>
          <w:rFonts w:eastAsia="Times New Roman"/>
          <w:noProof/>
        </w:rPr>
        <w:t>”</w:t>
      </w:r>
      <w:r w:rsidRPr="00881BC8">
        <w:rPr>
          <w:rFonts w:eastAsia="Times New Roman"/>
          <w:noProof/>
        </w:rPr>
        <w:t xml:space="preserve"> to the creditor.</w:t>
      </w:r>
    </w:p>
    <w:p w14:paraId="5ED9C9FD" w14:textId="72346232" w:rsidR="00423AC6" w:rsidRPr="00881BC8" w:rsidRDefault="482CAC3F" w:rsidP="004835F8">
      <w:pPr>
        <w:pStyle w:val="NormalPara"/>
        <w:rPr>
          <w:noProof/>
          <w:lang w:val="en-GB"/>
        </w:rPr>
      </w:pPr>
      <w:r w:rsidRPr="00881BC8">
        <w:rPr>
          <w:noProof/>
          <w:lang w:val="en-GB"/>
        </w:rPr>
        <w:t>The LPD</w:t>
      </w:r>
      <w:r w:rsidR="002F39C2" w:rsidRPr="00881BC8">
        <w:rPr>
          <w:noProof/>
          <w:lang w:val="en-GB"/>
        </w:rPr>
        <w:t xml:space="preserve"> (</w:t>
      </w:r>
      <w:r w:rsidRPr="00881BC8">
        <w:rPr>
          <w:noProof/>
          <w:lang w:val="en-GB"/>
        </w:rPr>
        <w:t>recital 4</w:t>
      </w:r>
      <w:r w:rsidR="002F39C2" w:rsidRPr="00881BC8">
        <w:rPr>
          <w:noProof/>
          <w:lang w:val="en-GB"/>
        </w:rPr>
        <w:t>)</w:t>
      </w:r>
      <w:r w:rsidRPr="00881BC8">
        <w:rPr>
          <w:noProof/>
          <w:lang w:val="en-GB"/>
        </w:rPr>
        <w:t xml:space="preserve"> recalls all the relevant regulations </w:t>
      </w:r>
      <w:r w:rsidR="7940DF8E" w:rsidRPr="00881BC8">
        <w:rPr>
          <w:noProof/>
          <w:lang w:val="en-GB"/>
        </w:rPr>
        <w:t>to</w:t>
      </w:r>
      <w:r w:rsidRPr="00881BC8">
        <w:rPr>
          <w:noProof/>
          <w:lang w:val="en-GB"/>
        </w:rPr>
        <w:t xml:space="preserve"> facilitate judicial claims of </w:t>
      </w:r>
      <w:r w:rsidR="452067EB" w:rsidRPr="00881BC8">
        <w:rPr>
          <w:noProof/>
          <w:lang w:val="en-GB"/>
        </w:rPr>
        <w:t xml:space="preserve">unpaid </w:t>
      </w:r>
      <w:r w:rsidRPr="00881BC8">
        <w:rPr>
          <w:noProof/>
          <w:lang w:val="en-GB"/>
        </w:rPr>
        <w:t>credits cross</w:t>
      </w:r>
      <w:r w:rsidR="57320804" w:rsidRPr="00881BC8">
        <w:rPr>
          <w:noProof/>
          <w:lang w:val="en-GB"/>
        </w:rPr>
        <w:t>-</w:t>
      </w:r>
      <w:r w:rsidRPr="00881BC8">
        <w:rPr>
          <w:noProof/>
          <w:lang w:val="en-GB"/>
        </w:rPr>
        <w:t>border</w:t>
      </w:r>
      <w:r w:rsidR="005F06B9" w:rsidRPr="00881BC8">
        <w:rPr>
          <w:rStyle w:val="FootnoteReference"/>
          <w:noProof/>
          <w:lang w:val="en-GB"/>
        </w:rPr>
        <w:footnoteReference w:id="9"/>
      </w:r>
      <w:r w:rsidR="696ECE6D" w:rsidRPr="00881BC8">
        <w:rPr>
          <w:noProof/>
          <w:lang w:val="en-GB"/>
        </w:rPr>
        <w:t xml:space="preserve">. </w:t>
      </w:r>
    </w:p>
    <w:p w14:paraId="54FA302D" w14:textId="6D14DE7E" w:rsidR="00700A85" w:rsidRPr="00881BC8" w:rsidRDefault="00DE6473" w:rsidP="004835F8">
      <w:pPr>
        <w:pStyle w:val="NormalPara"/>
        <w:rPr>
          <w:noProof/>
          <w:lang w:val="en-GB"/>
        </w:rPr>
      </w:pPr>
      <w:r w:rsidRPr="00881BC8">
        <w:rPr>
          <w:noProof/>
          <w:lang w:val="en-GB"/>
        </w:rPr>
        <w:t xml:space="preserve">The </w:t>
      </w:r>
      <w:r w:rsidR="008A2588" w:rsidRPr="00881BC8">
        <w:rPr>
          <w:noProof/>
          <w:lang w:val="en-GB"/>
        </w:rPr>
        <w:t xml:space="preserve">LPD is closely linked to the </w:t>
      </w:r>
      <w:r w:rsidR="00E70EC9" w:rsidRPr="00881BC8">
        <w:rPr>
          <w:noProof/>
          <w:lang w:val="en-GB"/>
        </w:rPr>
        <w:t>Unfair Trading Practices in the agro-food supply chain (</w:t>
      </w:r>
      <w:r w:rsidR="008A2588" w:rsidRPr="00881BC8">
        <w:rPr>
          <w:noProof/>
          <w:lang w:val="en-GB"/>
        </w:rPr>
        <w:t>UTP</w:t>
      </w:r>
      <w:r w:rsidR="00E70EC9" w:rsidRPr="00881BC8">
        <w:rPr>
          <w:noProof/>
          <w:lang w:val="en-GB"/>
        </w:rPr>
        <w:t>)</w:t>
      </w:r>
      <w:r w:rsidR="008A2588" w:rsidRPr="00881BC8">
        <w:rPr>
          <w:noProof/>
          <w:lang w:val="en-GB"/>
        </w:rPr>
        <w:t xml:space="preserve"> Directive</w:t>
      </w:r>
      <w:r w:rsidR="00303323" w:rsidRPr="00881BC8">
        <w:rPr>
          <w:noProof/>
          <w:lang w:val="en-GB"/>
        </w:rPr>
        <w:t>.</w:t>
      </w:r>
      <w:r w:rsidR="008A2588" w:rsidRPr="00881BC8">
        <w:rPr>
          <w:noProof/>
          <w:lang w:val="en-GB"/>
        </w:rPr>
        <w:t xml:space="preserve"> </w:t>
      </w:r>
      <w:r w:rsidR="006465EB" w:rsidRPr="00881BC8">
        <w:rPr>
          <w:noProof/>
          <w:lang w:val="en-GB"/>
        </w:rPr>
        <w:t xml:space="preserve">The legal relationship between the two legal texts is explained in </w:t>
      </w:r>
      <w:r w:rsidR="008A2588" w:rsidRPr="00881BC8">
        <w:rPr>
          <w:noProof/>
          <w:lang w:val="en-GB"/>
        </w:rPr>
        <w:t>Recitals (17) and (18) and article 3(1) of the UTP Directive</w:t>
      </w:r>
      <w:r w:rsidR="006465EB" w:rsidRPr="00881BC8">
        <w:rPr>
          <w:noProof/>
          <w:lang w:val="en-GB"/>
        </w:rPr>
        <w:t>.</w:t>
      </w:r>
      <w:r w:rsidR="464C8FC6" w:rsidRPr="00881BC8">
        <w:rPr>
          <w:noProof/>
          <w:lang w:val="en-GB"/>
        </w:rPr>
        <w:t xml:space="preserve"> </w:t>
      </w:r>
      <w:r w:rsidR="00F1305A" w:rsidRPr="00881BC8">
        <w:rPr>
          <w:noProof/>
          <w:lang w:val="en-GB"/>
        </w:rPr>
        <w:t>Notably, the late payment prohibition in the UTP Directive constitutes a lex specialis for the agricultural and food sector in relation to the LPD.</w:t>
      </w:r>
      <w:r w:rsidR="00CA3222" w:rsidRPr="00881BC8">
        <w:rPr>
          <w:noProof/>
          <w:lang w:val="en-GB"/>
        </w:rPr>
        <w:t xml:space="preserve"> </w:t>
      </w:r>
      <w:r w:rsidR="00700A85" w:rsidRPr="00881BC8">
        <w:rPr>
          <w:noProof/>
          <w:lang w:val="en-GB"/>
        </w:rPr>
        <w:t xml:space="preserve">The prohibition of late payments laid down in </w:t>
      </w:r>
      <w:r w:rsidR="003F2391" w:rsidRPr="00881BC8">
        <w:rPr>
          <w:noProof/>
          <w:lang w:val="en-GB"/>
        </w:rPr>
        <w:t>the UTP</w:t>
      </w:r>
      <w:r w:rsidR="00700A85" w:rsidRPr="00881BC8">
        <w:rPr>
          <w:noProof/>
          <w:lang w:val="en-GB"/>
        </w:rPr>
        <w:t xml:space="preserve"> </w:t>
      </w:r>
      <w:r w:rsidR="003F2391" w:rsidRPr="00881BC8">
        <w:rPr>
          <w:noProof/>
          <w:lang w:val="en-GB"/>
        </w:rPr>
        <w:t xml:space="preserve">are </w:t>
      </w:r>
      <w:r w:rsidR="00700A85" w:rsidRPr="00881BC8">
        <w:rPr>
          <w:noProof/>
          <w:lang w:val="en-GB"/>
        </w:rPr>
        <w:t xml:space="preserve">without prejudice to the late payments and remedies </w:t>
      </w:r>
      <w:r w:rsidR="003F2391" w:rsidRPr="00881BC8">
        <w:rPr>
          <w:noProof/>
          <w:lang w:val="en-GB"/>
        </w:rPr>
        <w:t xml:space="preserve">rules </w:t>
      </w:r>
      <w:r w:rsidR="00700A85" w:rsidRPr="00881BC8">
        <w:rPr>
          <w:noProof/>
          <w:lang w:val="en-GB"/>
        </w:rPr>
        <w:t>in the LPD.</w:t>
      </w:r>
      <w:r w:rsidR="003F2391" w:rsidRPr="00881BC8">
        <w:rPr>
          <w:noProof/>
          <w:lang w:val="en-GB"/>
        </w:rPr>
        <w:t xml:space="preserve"> T</w:t>
      </w:r>
      <w:r w:rsidR="00700A85" w:rsidRPr="00881BC8">
        <w:rPr>
          <w:noProof/>
          <w:lang w:val="en-GB"/>
        </w:rPr>
        <w:t xml:space="preserve">he late payments </w:t>
      </w:r>
      <w:r w:rsidR="003F2391" w:rsidRPr="00881BC8">
        <w:rPr>
          <w:noProof/>
          <w:lang w:val="en-GB"/>
        </w:rPr>
        <w:t xml:space="preserve">in </w:t>
      </w:r>
      <w:r w:rsidR="00700A85" w:rsidRPr="00881BC8">
        <w:rPr>
          <w:noProof/>
          <w:lang w:val="en-GB"/>
        </w:rPr>
        <w:t xml:space="preserve">the LPD are </w:t>
      </w:r>
      <w:r w:rsidR="003F2391" w:rsidRPr="00881BC8">
        <w:rPr>
          <w:noProof/>
          <w:lang w:val="en-GB"/>
        </w:rPr>
        <w:t xml:space="preserve">also </w:t>
      </w:r>
      <w:r w:rsidR="00700A85" w:rsidRPr="00881BC8">
        <w:rPr>
          <w:noProof/>
          <w:lang w:val="en-GB"/>
        </w:rPr>
        <w:t>without prejudice to the specific rules applicable in the agri-food sector to value-sharing agreements, payments in the context of the school scheme and to certain payments in the must and wine sector</w:t>
      </w:r>
      <w:r w:rsidR="003F2391" w:rsidRPr="00881BC8">
        <w:rPr>
          <w:noProof/>
          <w:lang w:val="en-GB"/>
        </w:rPr>
        <w:t>s.</w:t>
      </w:r>
      <w:r w:rsidR="00700A85" w:rsidRPr="00881BC8">
        <w:rPr>
          <w:noProof/>
          <w:lang w:val="en-GB"/>
        </w:rPr>
        <w:t xml:space="preserve"> </w:t>
      </w:r>
    </w:p>
    <w:p w14:paraId="5F82532F" w14:textId="3818BC83" w:rsidR="00423AC6" w:rsidRPr="00881BC8" w:rsidRDefault="00725862" w:rsidP="004835F8">
      <w:pPr>
        <w:pStyle w:val="NormalPara"/>
        <w:rPr>
          <w:noProof/>
          <w:lang w:val="en-GB"/>
        </w:rPr>
      </w:pPr>
      <w:r w:rsidRPr="00881BC8">
        <w:rPr>
          <w:noProof/>
          <w:lang w:val="en-GB"/>
        </w:rPr>
        <w:t>The Corporate Sustainability Reporting Directive (CSRD) requires large and listed companies to report according to European Sustainability Reporting Standards (ESRS) to be adopted by the Commission. It specifies that ESRS should define e.g. the information that companies have to report about payment practices. The recitals of the CSRD indicate that such information should include the date or period for payment, and the rate of interest for late payment or the compensation for recovery costs</w:t>
      </w:r>
      <w:r w:rsidR="00BE4085" w:rsidRPr="00881BC8">
        <w:rPr>
          <w:noProof/>
          <w:lang w:val="en-GB"/>
        </w:rPr>
        <w:t>.</w:t>
      </w:r>
      <w:r w:rsidR="00940536" w:rsidRPr="00881BC8">
        <w:rPr>
          <w:noProof/>
          <w:lang w:val="en-GB"/>
        </w:rPr>
        <w:t xml:space="preserve"> </w:t>
      </w:r>
    </w:p>
    <w:p w14:paraId="15E888C1" w14:textId="0603DB54" w:rsidR="004828B5" w:rsidRPr="00881BC8" w:rsidRDefault="00282D67" w:rsidP="004835F8">
      <w:pPr>
        <w:pStyle w:val="NormalPara"/>
        <w:rPr>
          <w:noProof/>
          <w:lang w:val="en-GB"/>
        </w:rPr>
      </w:pPr>
      <w:r w:rsidRPr="00881BC8">
        <w:rPr>
          <w:noProof/>
          <w:lang w:val="en-GB"/>
        </w:rPr>
        <w:t xml:space="preserve">Some of the </w:t>
      </w:r>
      <w:r w:rsidR="00D52379" w:rsidRPr="00881BC8">
        <w:rPr>
          <w:noProof/>
          <w:lang w:val="en-GB"/>
        </w:rPr>
        <w:t>p</w:t>
      </w:r>
      <w:r w:rsidR="2A7FB08D" w:rsidRPr="00881BC8">
        <w:rPr>
          <w:noProof/>
          <w:lang w:val="en-GB"/>
        </w:rPr>
        <w:t xml:space="preserve">ublic </w:t>
      </w:r>
      <w:r w:rsidR="00D52379" w:rsidRPr="00881BC8">
        <w:rPr>
          <w:noProof/>
          <w:lang w:val="en-GB"/>
        </w:rPr>
        <w:t>p</w:t>
      </w:r>
      <w:r w:rsidR="2A7FB08D" w:rsidRPr="00881BC8">
        <w:rPr>
          <w:noProof/>
          <w:lang w:val="en-GB"/>
        </w:rPr>
        <w:t xml:space="preserve">rocurement </w:t>
      </w:r>
      <w:r w:rsidR="00D52379" w:rsidRPr="00881BC8">
        <w:rPr>
          <w:noProof/>
          <w:lang w:val="en-GB"/>
        </w:rPr>
        <w:t>d</w:t>
      </w:r>
      <w:r w:rsidR="004828B5" w:rsidRPr="00881BC8">
        <w:rPr>
          <w:noProof/>
          <w:lang w:val="en-GB"/>
        </w:rPr>
        <w:t>irective</w:t>
      </w:r>
      <w:r w:rsidR="00D52379" w:rsidRPr="00881BC8">
        <w:rPr>
          <w:noProof/>
          <w:lang w:val="en-GB"/>
        </w:rPr>
        <w:t>s</w:t>
      </w:r>
      <w:r w:rsidR="004828B5" w:rsidRPr="00881BC8">
        <w:rPr>
          <w:noProof/>
          <w:lang w:val="en-GB"/>
        </w:rPr>
        <w:t xml:space="preserve"> </w:t>
      </w:r>
      <w:r w:rsidR="00D52379" w:rsidRPr="00881BC8">
        <w:rPr>
          <w:noProof/>
          <w:lang w:val="en-GB"/>
        </w:rPr>
        <w:t>provide for a direct payment to subcontractors</w:t>
      </w:r>
      <w:r w:rsidR="00BE0CED" w:rsidRPr="00881BC8">
        <w:rPr>
          <w:noProof/>
          <w:lang w:val="en-GB"/>
        </w:rPr>
        <w:t>.</w:t>
      </w:r>
      <w:r w:rsidR="00D52379" w:rsidRPr="00881BC8">
        <w:rPr>
          <w:noProof/>
          <w:lang w:val="en-GB"/>
        </w:rPr>
        <w:t xml:space="preserve"> </w:t>
      </w:r>
      <w:r w:rsidR="00BE0CED" w:rsidRPr="00881BC8">
        <w:rPr>
          <w:noProof/>
          <w:lang w:val="en-GB"/>
        </w:rPr>
        <w:t xml:space="preserve">Art 71(3) of the </w:t>
      </w:r>
      <w:r w:rsidR="00D52379" w:rsidRPr="00881BC8">
        <w:rPr>
          <w:noProof/>
          <w:lang w:val="en-GB"/>
        </w:rPr>
        <w:t xml:space="preserve">directive 24/2014/EU </w:t>
      </w:r>
      <w:r w:rsidR="00473121" w:rsidRPr="00881BC8">
        <w:rPr>
          <w:noProof/>
          <w:lang w:val="en-GB"/>
        </w:rPr>
        <w:t xml:space="preserve">provides for </w:t>
      </w:r>
      <w:r w:rsidR="004828B5" w:rsidRPr="00881BC8">
        <w:rPr>
          <w:noProof/>
          <w:lang w:val="en-GB"/>
        </w:rPr>
        <w:t xml:space="preserve">the possibility for the Member States to lay down provisions on direct payments to the subcontractor for services, supplies or works provided to the economic operator to whom the public contract has been awarded (the main contractor) </w:t>
      </w:r>
      <w:r w:rsidR="00776DBB" w:rsidRPr="00881BC8">
        <w:rPr>
          <w:noProof/>
          <w:lang w:val="en-GB"/>
        </w:rPr>
        <w:t>‘</w:t>
      </w:r>
      <w:r w:rsidR="004828B5" w:rsidRPr="00881BC8">
        <w:rPr>
          <w:iCs/>
          <w:noProof/>
          <w:lang w:val="en-GB"/>
        </w:rPr>
        <w:t>where the nature of the contract so allows</w:t>
      </w:r>
      <w:r w:rsidR="00776DBB" w:rsidRPr="00881BC8">
        <w:rPr>
          <w:iCs/>
          <w:noProof/>
          <w:lang w:val="en-GB"/>
        </w:rPr>
        <w:t>’</w:t>
      </w:r>
      <w:r w:rsidR="004828B5" w:rsidRPr="00881BC8">
        <w:rPr>
          <w:noProof/>
          <w:lang w:val="en-GB"/>
        </w:rPr>
        <w:t>.</w:t>
      </w:r>
    </w:p>
    <w:p w14:paraId="4E9BFE4B" w14:textId="35AEEF49" w:rsidR="0086420D" w:rsidRPr="00881BC8" w:rsidRDefault="0086420D" w:rsidP="004835F8">
      <w:pPr>
        <w:pStyle w:val="Heading2"/>
        <w:rPr>
          <w:noProof/>
        </w:rPr>
      </w:pPr>
      <w:bookmarkStart w:id="26" w:name="_Toc128594909"/>
      <w:bookmarkStart w:id="27" w:name="_Toc128678861"/>
      <w:bookmarkStart w:id="28" w:name="_Toc128935067"/>
      <w:bookmarkStart w:id="29" w:name="_Toc129710165"/>
      <w:bookmarkStart w:id="30" w:name="_Toc129899858"/>
      <w:bookmarkStart w:id="31" w:name="_Ref130199871"/>
      <w:bookmarkStart w:id="32" w:name="_Toc135237378"/>
      <w:r w:rsidRPr="00881BC8">
        <w:rPr>
          <w:noProof/>
        </w:rPr>
        <w:t>Implementation –</w:t>
      </w:r>
      <w:r w:rsidR="4178AF67" w:rsidRPr="00881BC8">
        <w:rPr>
          <w:noProof/>
        </w:rPr>
        <w:t xml:space="preserve"> </w:t>
      </w:r>
      <w:r w:rsidR="009F7759" w:rsidRPr="00881BC8">
        <w:rPr>
          <w:noProof/>
        </w:rPr>
        <w:t>s</w:t>
      </w:r>
      <w:r w:rsidRPr="00881BC8">
        <w:rPr>
          <w:noProof/>
        </w:rPr>
        <w:t xml:space="preserve">tate of </w:t>
      </w:r>
      <w:r w:rsidR="009F7759" w:rsidRPr="00881BC8">
        <w:rPr>
          <w:noProof/>
        </w:rPr>
        <w:t>p</w:t>
      </w:r>
      <w:r w:rsidRPr="00881BC8">
        <w:rPr>
          <w:noProof/>
        </w:rPr>
        <w:t>lay</w:t>
      </w:r>
      <w:bookmarkEnd w:id="26"/>
      <w:bookmarkEnd w:id="27"/>
      <w:bookmarkEnd w:id="28"/>
      <w:bookmarkEnd w:id="29"/>
      <w:bookmarkEnd w:id="30"/>
      <w:bookmarkEnd w:id="31"/>
      <w:bookmarkEnd w:id="32"/>
    </w:p>
    <w:p w14:paraId="553F9FAA" w14:textId="687789F3" w:rsidR="00746241" w:rsidRPr="00881BC8" w:rsidRDefault="32151EBD" w:rsidP="004835F8">
      <w:pPr>
        <w:pStyle w:val="NormalPara"/>
        <w:rPr>
          <w:noProof/>
          <w:lang w:val="en-GB"/>
        </w:rPr>
      </w:pPr>
      <w:r w:rsidRPr="00881BC8">
        <w:rPr>
          <w:noProof/>
          <w:lang w:val="en-GB"/>
        </w:rPr>
        <w:t xml:space="preserve">The LPD entered into force on 16 March 2011. All Member States have transposed the Directive. The last notification of transposing measures </w:t>
      </w:r>
      <w:r w:rsidR="00D74130" w:rsidRPr="00881BC8">
        <w:rPr>
          <w:noProof/>
          <w:lang w:val="en-GB"/>
        </w:rPr>
        <w:t>arrived</w:t>
      </w:r>
      <w:r w:rsidRPr="00881BC8">
        <w:rPr>
          <w:noProof/>
          <w:lang w:val="en-GB"/>
        </w:rPr>
        <w:t xml:space="preserve"> in July 2014.</w:t>
      </w:r>
      <w:r w:rsidR="007045E2" w:rsidRPr="00881BC8">
        <w:rPr>
          <w:noProof/>
          <w:lang w:val="en-GB"/>
        </w:rPr>
        <w:t xml:space="preserve"> </w:t>
      </w:r>
      <w:bookmarkStart w:id="33" w:name="_Toc128678862"/>
    </w:p>
    <w:bookmarkEnd w:id="33"/>
    <w:p w14:paraId="0DF677CB" w14:textId="3B9107E0" w:rsidR="00582D8A" w:rsidRPr="00881BC8" w:rsidRDefault="00126A51" w:rsidP="004835F8">
      <w:pPr>
        <w:pStyle w:val="NormalPara"/>
        <w:rPr>
          <w:noProof/>
          <w:lang w:val="en-GB"/>
        </w:rPr>
      </w:pPr>
      <w:r w:rsidRPr="00881BC8">
        <w:rPr>
          <w:noProof/>
          <w:lang w:val="en-GB"/>
        </w:rPr>
        <w:t>In April 2023,</w:t>
      </w:r>
      <w:r w:rsidR="32151EBD" w:rsidRPr="00881BC8">
        <w:rPr>
          <w:noProof/>
          <w:lang w:val="en-GB"/>
        </w:rPr>
        <w:t xml:space="preserve"> there </w:t>
      </w:r>
      <w:r w:rsidRPr="00881BC8">
        <w:rPr>
          <w:noProof/>
          <w:lang w:val="en-GB"/>
        </w:rPr>
        <w:t>we</w:t>
      </w:r>
      <w:r w:rsidR="32151EBD" w:rsidRPr="00881BC8">
        <w:rPr>
          <w:noProof/>
          <w:lang w:val="en-GB"/>
        </w:rPr>
        <w:t xml:space="preserve">re </w:t>
      </w:r>
      <w:r w:rsidR="00582D8A" w:rsidRPr="00881BC8">
        <w:rPr>
          <w:noProof/>
          <w:lang w:val="en-GB"/>
        </w:rPr>
        <w:t>8</w:t>
      </w:r>
      <w:r w:rsidR="32151EBD" w:rsidRPr="00881BC8">
        <w:rPr>
          <w:noProof/>
          <w:lang w:val="en-GB"/>
        </w:rPr>
        <w:t xml:space="preserve"> infringement</w:t>
      </w:r>
      <w:r w:rsidR="4C3EB639" w:rsidRPr="00881BC8">
        <w:rPr>
          <w:noProof/>
          <w:lang w:val="en-GB"/>
        </w:rPr>
        <w:t xml:space="preserve"> procedures </w:t>
      </w:r>
      <w:r w:rsidR="48764509" w:rsidRPr="00881BC8">
        <w:rPr>
          <w:noProof/>
          <w:lang w:val="en-GB"/>
        </w:rPr>
        <w:t>pending</w:t>
      </w:r>
      <w:r w:rsidR="32151EBD" w:rsidRPr="00881BC8">
        <w:rPr>
          <w:noProof/>
          <w:lang w:val="en-GB"/>
        </w:rPr>
        <w:t xml:space="preserve">: 6 for bad application and </w:t>
      </w:r>
      <w:r w:rsidR="00582D8A" w:rsidRPr="00881BC8">
        <w:rPr>
          <w:noProof/>
          <w:lang w:val="en-GB"/>
        </w:rPr>
        <w:t>2</w:t>
      </w:r>
      <w:r w:rsidR="32151EBD" w:rsidRPr="00881BC8">
        <w:rPr>
          <w:noProof/>
          <w:lang w:val="en-GB"/>
        </w:rPr>
        <w:t xml:space="preserve"> for non-conformity of legislation</w:t>
      </w:r>
      <w:r w:rsidR="00582D8A" w:rsidRPr="00881BC8">
        <w:rPr>
          <w:noProof/>
          <w:lang w:val="en-GB"/>
        </w:rPr>
        <w:t xml:space="preserve">. Many of the bad application cases involve </w:t>
      </w:r>
      <w:r w:rsidR="00566F0F" w:rsidRPr="00881BC8">
        <w:rPr>
          <w:noProof/>
          <w:lang w:val="en-GB"/>
        </w:rPr>
        <w:t xml:space="preserve">long </w:t>
      </w:r>
      <w:r w:rsidR="00582D8A" w:rsidRPr="00881BC8">
        <w:rPr>
          <w:noProof/>
          <w:lang w:val="en-GB"/>
        </w:rPr>
        <w:t>payment delays to suppliers by the public authorities, particularly in the health sector</w:t>
      </w:r>
      <w:r w:rsidR="00566F0F" w:rsidRPr="00881BC8">
        <w:rPr>
          <w:noProof/>
          <w:lang w:val="en-GB"/>
        </w:rPr>
        <w:t>.</w:t>
      </w:r>
      <w:r w:rsidR="00582D8A" w:rsidRPr="00881BC8">
        <w:rPr>
          <w:noProof/>
          <w:lang w:val="en-GB"/>
        </w:rPr>
        <w:t xml:space="preserve"> </w:t>
      </w:r>
      <w:r w:rsidR="009C0113" w:rsidRPr="00881BC8">
        <w:rPr>
          <w:noProof/>
          <w:lang w:val="en-GB"/>
        </w:rPr>
        <w:t>O</w:t>
      </w:r>
      <w:r w:rsidR="00582D8A" w:rsidRPr="00881BC8">
        <w:rPr>
          <w:noProof/>
          <w:lang w:val="en-GB"/>
        </w:rPr>
        <w:t>thers concern not respecting the interest rates and compensation for recovery costs.</w:t>
      </w:r>
    </w:p>
    <w:p w14:paraId="5D6BA8C9" w14:textId="7D00C8DC" w:rsidR="00D64840" w:rsidRPr="00881BC8" w:rsidRDefault="00582D8A" w:rsidP="004835F8">
      <w:pPr>
        <w:pStyle w:val="NormalPara"/>
        <w:rPr>
          <w:noProof/>
          <w:lang w:val="en-GB"/>
        </w:rPr>
      </w:pPr>
      <w:r w:rsidRPr="00881BC8">
        <w:rPr>
          <w:noProof/>
          <w:lang w:val="en-GB"/>
        </w:rPr>
        <w:t>The case law of the Court of Justice concerning the LPD</w:t>
      </w:r>
      <w:r w:rsidR="00E70EC9" w:rsidRPr="00881BC8">
        <w:rPr>
          <w:noProof/>
          <w:lang w:val="en-GB"/>
        </w:rPr>
        <w:t>,</w:t>
      </w:r>
      <w:r w:rsidRPr="00881BC8">
        <w:rPr>
          <w:noProof/>
          <w:lang w:val="en-GB"/>
        </w:rPr>
        <w:t xml:space="preserve"> either exclusively or jointly with Directive 2000/35/EC, includes several preliminary rulings</w:t>
      </w:r>
      <w:r w:rsidR="005C70B0" w:rsidRPr="00881BC8">
        <w:rPr>
          <w:noProof/>
          <w:lang w:val="en-GB"/>
        </w:rPr>
        <w:t xml:space="preserve"> </w:t>
      </w:r>
      <w:r w:rsidRPr="00881BC8">
        <w:rPr>
          <w:noProof/>
          <w:lang w:val="en-GB"/>
        </w:rPr>
        <w:t>and one judgement in the framework of an ongoing infringement procedure</w:t>
      </w:r>
      <w:r w:rsidR="00776DBB" w:rsidRPr="00881BC8">
        <w:rPr>
          <w:noProof/>
          <w:lang w:val="en-GB"/>
        </w:rPr>
        <w:t xml:space="preserve"> (s</w:t>
      </w:r>
      <w:r w:rsidR="00F86604" w:rsidRPr="00881BC8">
        <w:rPr>
          <w:noProof/>
          <w:lang w:val="en-GB"/>
        </w:rPr>
        <w:t xml:space="preserve">ee </w:t>
      </w:r>
      <w:r w:rsidR="00F45713" w:rsidRPr="00881BC8">
        <w:rPr>
          <w:noProof/>
          <w:highlight w:val="yellow"/>
          <w:lang w:val="en-GB"/>
        </w:rPr>
        <w:fldChar w:fldCharType="begin"/>
      </w:r>
      <w:r w:rsidR="00F45713" w:rsidRPr="00881BC8">
        <w:rPr>
          <w:noProof/>
          <w:highlight w:val="yellow"/>
          <w:lang w:val="en-GB"/>
        </w:rPr>
        <w:instrText xml:space="preserve"> REF Annex11 \h </w:instrText>
      </w:r>
      <w:r w:rsidR="003E7313" w:rsidRPr="00881BC8">
        <w:rPr>
          <w:noProof/>
          <w:highlight w:val="yellow"/>
          <w:lang w:val="en-GB"/>
        </w:rPr>
        <w:instrText xml:space="preserve"> \* MERGEFORMAT </w:instrText>
      </w:r>
      <w:r w:rsidR="00F45713" w:rsidRPr="00881BC8">
        <w:rPr>
          <w:noProof/>
          <w:highlight w:val="yellow"/>
          <w:lang w:val="en-GB"/>
        </w:rPr>
      </w:r>
      <w:r w:rsidR="00F45713" w:rsidRPr="00881BC8">
        <w:rPr>
          <w:noProof/>
          <w:highlight w:val="yellow"/>
          <w:lang w:val="en-GB"/>
        </w:rPr>
        <w:fldChar w:fldCharType="separate"/>
      </w:r>
      <w:r w:rsidR="005851F4" w:rsidRPr="005851F4">
        <w:rPr>
          <w:noProof/>
          <w:lang w:val="en-GB"/>
        </w:rPr>
        <w:t>Annex 11</w:t>
      </w:r>
      <w:r w:rsidR="00F45713" w:rsidRPr="00881BC8">
        <w:rPr>
          <w:noProof/>
          <w:highlight w:val="yellow"/>
          <w:lang w:val="en-GB"/>
        </w:rPr>
        <w:fldChar w:fldCharType="end"/>
      </w:r>
      <w:r w:rsidR="00776DBB" w:rsidRPr="00881BC8">
        <w:rPr>
          <w:noProof/>
          <w:lang w:val="en-GB"/>
        </w:rPr>
        <w:t>)</w:t>
      </w:r>
      <w:r w:rsidR="009C0113" w:rsidRPr="00881BC8">
        <w:rPr>
          <w:noProof/>
          <w:lang w:val="en-GB"/>
        </w:rPr>
        <w:t>.</w:t>
      </w:r>
    </w:p>
    <w:p w14:paraId="435D0C29" w14:textId="0092A8A8" w:rsidR="002828A8" w:rsidRPr="00881BC8" w:rsidRDefault="002828A8" w:rsidP="004835F8">
      <w:pPr>
        <w:pStyle w:val="NormalPara"/>
        <w:rPr>
          <w:noProof/>
          <w:lang w:val="en-GB"/>
        </w:rPr>
      </w:pPr>
      <w:r w:rsidRPr="00881BC8">
        <w:rPr>
          <w:noProof/>
          <w:lang w:val="en-GB"/>
        </w:rPr>
        <w:t xml:space="preserve">The </w:t>
      </w:r>
      <w:r w:rsidR="0025657B" w:rsidRPr="00881BC8">
        <w:rPr>
          <w:noProof/>
          <w:lang w:val="en-GB"/>
        </w:rPr>
        <w:t>LPD</w:t>
      </w:r>
      <w:r w:rsidRPr="00881BC8">
        <w:rPr>
          <w:noProof/>
          <w:lang w:val="en-GB"/>
        </w:rPr>
        <w:t xml:space="preserve">’s implementation was supported by an awareness raising campaign and </w:t>
      </w:r>
      <w:r w:rsidR="00A2285B" w:rsidRPr="00881BC8">
        <w:rPr>
          <w:noProof/>
          <w:lang w:val="en-GB"/>
        </w:rPr>
        <w:t>an expert group</w:t>
      </w:r>
      <w:r w:rsidR="003E7313" w:rsidRPr="00881BC8">
        <w:rPr>
          <w:noProof/>
          <w:lang w:val="en-GB"/>
        </w:rPr>
        <w:t xml:space="preserve"> (see glossary)</w:t>
      </w:r>
      <w:r w:rsidR="00A2285B" w:rsidRPr="00881BC8">
        <w:rPr>
          <w:noProof/>
          <w:lang w:val="en-GB"/>
        </w:rPr>
        <w:t xml:space="preserve">, </w:t>
      </w:r>
      <w:r w:rsidR="00B21A23" w:rsidRPr="00881BC8">
        <w:rPr>
          <w:noProof/>
          <w:lang w:val="en-GB"/>
        </w:rPr>
        <w:t>which informs every six months about the rate applicable to the statutory interest for late payments in the Member States</w:t>
      </w:r>
      <w:r w:rsidR="00942517" w:rsidRPr="00881BC8">
        <w:rPr>
          <w:noProof/>
          <w:lang w:val="en-GB"/>
        </w:rPr>
        <w:t xml:space="preserve"> </w:t>
      </w:r>
      <w:r w:rsidR="00F45713" w:rsidRPr="00881BC8">
        <w:rPr>
          <w:noProof/>
          <w:lang w:val="en-GB"/>
        </w:rPr>
        <w:t xml:space="preserve">(see </w:t>
      </w:r>
      <w:r w:rsidR="00F45713" w:rsidRPr="00881BC8">
        <w:rPr>
          <w:noProof/>
          <w:lang w:val="en-GB"/>
        </w:rPr>
        <w:fldChar w:fldCharType="begin"/>
      </w:r>
      <w:r w:rsidR="00F45713" w:rsidRPr="00881BC8">
        <w:rPr>
          <w:noProof/>
          <w:lang w:val="en-GB"/>
        </w:rPr>
        <w:instrText xml:space="preserve"> REF Annex13 \h </w:instrText>
      </w:r>
      <w:r w:rsidR="00F45713" w:rsidRPr="00881BC8">
        <w:rPr>
          <w:noProof/>
          <w:lang w:val="en-GB"/>
        </w:rPr>
      </w:r>
      <w:r w:rsidR="00F45713" w:rsidRPr="00881BC8">
        <w:rPr>
          <w:noProof/>
          <w:lang w:val="en-GB"/>
        </w:rPr>
        <w:fldChar w:fldCharType="separate"/>
      </w:r>
      <w:r w:rsidR="005851F4" w:rsidRPr="00881BC8">
        <w:rPr>
          <w:noProof/>
        </w:rPr>
        <w:t>Annex 13</w:t>
      </w:r>
      <w:r w:rsidR="00F45713" w:rsidRPr="00881BC8">
        <w:rPr>
          <w:noProof/>
          <w:lang w:val="en-GB"/>
        </w:rPr>
        <w:fldChar w:fldCharType="end"/>
      </w:r>
      <w:r w:rsidR="00F45713" w:rsidRPr="00881BC8">
        <w:rPr>
          <w:noProof/>
          <w:lang w:val="en-GB"/>
        </w:rPr>
        <w:t>)</w:t>
      </w:r>
      <w:r w:rsidR="00B5694A" w:rsidRPr="00881BC8">
        <w:rPr>
          <w:noProof/>
          <w:lang w:val="en-GB"/>
        </w:rPr>
        <w:t xml:space="preserve">. </w:t>
      </w:r>
    </w:p>
    <w:p w14:paraId="5885854B" w14:textId="2EB0847B" w:rsidR="007800CB" w:rsidRPr="00881BC8" w:rsidRDefault="00304332" w:rsidP="004835F8">
      <w:pPr>
        <w:pStyle w:val="NormalPara"/>
        <w:rPr>
          <w:noProof/>
          <w:lang w:val="en-GB"/>
        </w:rPr>
      </w:pPr>
      <w:r w:rsidRPr="00881BC8">
        <w:rPr>
          <w:noProof/>
          <w:lang w:val="en-GB"/>
        </w:rPr>
        <w:t xml:space="preserve">The </w:t>
      </w:r>
      <w:r w:rsidR="10B37BDB" w:rsidRPr="00881BC8">
        <w:rPr>
          <w:noProof/>
          <w:lang w:val="en-GB"/>
        </w:rPr>
        <w:t xml:space="preserve">LPD allows Member States to </w:t>
      </w:r>
      <w:r w:rsidR="00A51DA9" w:rsidRPr="00881BC8">
        <w:rPr>
          <w:noProof/>
          <w:lang w:val="en-GB"/>
        </w:rPr>
        <w:t>introduce</w:t>
      </w:r>
      <w:r w:rsidR="10B37BDB" w:rsidRPr="00881BC8">
        <w:rPr>
          <w:noProof/>
          <w:lang w:val="en-GB"/>
        </w:rPr>
        <w:t xml:space="preserve"> provisions that are more favourable to the creditor than those necessary to comply with the Directive. Several Member States</w:t>
      </w:r>
      <w:r w:rsidR="007E084F" w:rsidRPr="00881BC8">
        <w:rPr>
          <w:noProof/>
          <w:vertAlign w:val="superscript"/>
          <w:lang w:val="en-GB"/>
        </w:rPr>
        <w:footnoteReference w:id="10"/>
      </w:r>
      <w:r w:rsidR="10B37BDB" w:rsidRPr="00881BC8">
        <w:rPr>
          <w:noProof/>
          <w:lang w:val="en-GB"/>
        </w:rPr>
        <w:t xml:space="preserve"> resorted to this possibility and enacted stricter rules</w:t>
      </w:r>
      <w:r w:rsidR="001B3D5C" w:rsidRPr="00881BC8">
        <w:rPr>
          <w:noProof/>
          <w:lang w:val="en-GB"/>
        </w:rPr>
        <w:t xml:space="preserve"> (see examples in </w:t>
      </w:r>
      <w:r w:rsidR="001B3D5C" w:rsidRPr="00881BC8">
        <w:rPr>
          <w:noProof/>
          <w:lang w:val="en-GB"/>
        </w:rPr>
        <w:fldChar w:fldCharType="begin"/>
      </w:r>
      <w:r w:rsidR="001B3D5C" w:rsidRPr="00881BC8">
        <w:rPr>
          <w:noProof/>
          <w:lang w:val="en-GB"/>
        </w:rPr>
        <w:instrText xml:space="preserve"> REF Annex09 \h </w:instrText>
      </w:r>
      <w:r w:rsidR="001B3D5C" w:rsidRPr="00881BC8">
        <w:rPr>
          <w:noProof/>
          <w:lang w:val="en-GB"/>
        </w:rPr>
      </w:r>
      <w:r w:rsidR="001B3D5C" w:rsidRPr="00881BC8">
        <w:rPr>
          <w:noProof/>
          <w:lang w:val="en-GB"/>
        </w:rPr>
        <w:fldChar w:fldCharType="separate"/>
      </w:r>
      <w:r w:rsidR="005851F4" w:rsidRPr="00881BC8">
        <w:rPr>
          <w:noProof/>
        </w:rPr>
        <w:t>Annex 9</w:t>
      </w:r>
      <w:r w:rsidR="001B3D5C" w:rsidRPr="00881BC8">
        <w:rPr>
          <w:noProof/>
          <w:lang w:val="en-GB"/>
        </w:rPr>
        <w:fldChar w:fldCharType="end"/>
      </w:r>
      <w:r w:rsidR="001B3D5C" w:rsidRPr="00881BC8">
        <w:rPr>
          <w:noProof/>
          <w:lang w:val="en-GB"/>
        </w:rPr>
        <w:t>)</w:t>
      </w:r>
      <w:r w:rsidR="10B37BDB" w:rsidRPr="00881BC8">
        <w:rPr>
          <w:noProof/>
          <w:lang w:val="en-GB"/>
        </w:rPr>
        <w:t>.</w:t>
      </w:r>
    </w:p>
    <w:p w14:paraId="43339474" w14:textId="6A46589D" w:rsidR="00175AB6" w:rsidRPr="00881BC8" w:rsidRDefault="001D1B93" w:rsidP="004835F8">
      <w:pPr>
        <w:pStyle w:val="NormalPara"/>
        <w:rPr>
          <w:noProof/>
          <w:lang w:val="en-GB"/>
        </w:rPr>
      </w:pPr>
      <w:r w:rsidRPr="00881BC8">
        <w:rPr>
          <w:noProof/>
          <w:lang w:val="en-GB"/>
        </w:rPr>
        <w:t xml:space="preserve">While </w:t>
      </w:r>
      <w:r w:rsidR="007800CB" w:rsidRPr="00881BC8">
        <w:rPr>
          <w:noProof/>
          <w:lang w:val="en-GB"/>
        </w:rPr>
        <w:t xml:space="preserve">the Commission </w:t>
      </w:r>
      <w:r w:rsidRPr="00881BC8">
        <w:rPr>
          <w:noProof/>
          <w:lang w:val="en-GB"/>
        </w:rPr>
        <w:t>did not</w:t>
      </w:r>
      <w:r w:rsidR="007800CB" w:rsidRPr="00881BC8">
        <w:rPr>
          <w:noProof/>
          <w:lang w:val="en-GB"/>
        </w:rPr>
        <w:t xml:space="preserve"> carry out an evaluation before this impact assessment</w:t>
      </w:r>
      <w:r w:rsidR="00CD100E" w:rsidRPr="00881BC8">
        <w:rPr>
          <w:noProof/>
          <w:lang w:val="en-GB"/>
        </w:rPr>
        <w:t>,</w:t>
      </w:r>
      <w:r w:rsidRPr="00881BC8">
        <w:rPr>
          <w:noProof/>
          <w:lang w:val="en-GB"/>
        </w:rPr>
        <w:t xml:space="preserve"> there is</w:t>
      </w:r>
      <w:r w:rsidR="00CD100E" w:rsidRPr="00881BC8">
        <w:rPr>
          <w:noProof/>
          <w:lang w:val="en-GB"/>
        </w:rPr>
        <w:t xml:space="preserve"> extensive evidence collected throughout the years, which constitute</w:t>
      </w:r>
      <w:r w:rsidR="0016467C" w:rsidRPr="00881BC8">
        <w:rPr>
          <w:noProof/>
          <w:lang w:val="en-GB"/>
        </w:rPr>
        <w:t>s</w:t>
      </w:r>
      <w:r w:rsidR="00CD100E" w:rsidRPr="00881BC8">
        <w:rPr>
          <w:noProof/>
          <w:lang w:val="en-GB"/>
        </w:rPr>
        <w:t xml:space="preserve"> a robust basis to identify the problems and the possible options to address them. Namely, the </w:t>
      </w:r>
      <w:r w:rsidR="007800CB" w:rsidRPr="00881BC8">
        <w:rPr>
          <w:noProof/>
          <w:lang w:val="en-GB"/>
        </w:rPr>
        <w:t>LPD was evaluated in 2015</w:t>
      </w:r>
      <w:r w:rsidR="007800CB" w:rsidRPr="00881BC8">
        <w:rPr>
          <w:rStyle w:val="FootnoteReference"/>
          <w:noProof/>
          <w:lang w:val="en-GB"/>
        </w:rPr>
        <w:footnoteReference w:id="11"/>
      </w:r>
      <w:r w:rsidR="007800CB" w:rsidRPr="00881BC8">
        <w:rPr>
          <w:noProof/>
          <w:lang w:val="en-GB"/>
        </w:rPr>
        <w:t xml:space="preserve"> and several of its aspects were assessed in 2016</w:t>
      </w:r>
      <w:r w:rsidR="007800CB" w:rsidRPr="00881BC8">
        <w:rPr>
          <w:rStyle w:val="FootnoteReference"/>
          <w:noProof/>
          <w:lang w:val="en-GB"/>
        </w:rPr>
        <w:footnoteReference w:id="12"/>
      </w:r>
      <w:r w:rsidR="007800CB" w:rsidRPr="00881BC8">
        <w:rPr>
          <w:noProof/>
          <w:lang w:val="en-GB"/>
        </w:rPr>
        <w:t>, 2017</w:t>
      </w:r>
      <w:r w:rsidR="007800CB" w:rsidRPr="00881BC8">
        <w:rPr>
          <w:rStyle w:val="FootnoteReference"/>
          <w:noProof/>
          <w:lang w:val="en-GB"/>
        </w:rPr>
        <w:footnoteReference w:id="13"/>
      </w:r>
      <w:r w:rsidR="007800CB" w:rsidRPr="00881BC8">
        <w:rPr>
          <w:noProof/>
          <w:lang w:val="en-GB"/>
        </w:rPr>
        <w:t>, 2018</w:t>
      </w:r>
      <w:r w:rsidR="007800CB" w:rsidRPr="00881BC8">
        <w:rPr>
          <w:rStyle w:val="FootnoteReference"/>
          <w:noProof/>
          <w:lang w:val="en-GB"/>
        </w:rPr>
        <w:footnoteReference w:id="14"/>
      </w:r>
      <w:r w:rsidR="007800CB" w:rsidRPr="00881BC8">
        <w:rPr>
          <w:noProof/>
          <w:lang w:val="en-GB"/>
        </w:rPr>
        <w:t>, 2019</w:t>
      </w:r>
      <w:r w:rsidR="007800CB" w:rsidRPr="00881BC8">
        <w:rPr>
          <w:rStyle w:val="FootnoteReference"/>
          <w:noProof/>
          <w:lang w:val="en-GB"/>
        </w:rPr>
        <w:footnoteReference w:id="15"/>
      </w:r>
      <w:r w:rsidR="007800CB" w:rsidRPr="00881BC8">
        <w:rPr>
          <w:noProof/>
          <w:lang w:val="en-GB"/>
        </w:rPr>
        <w:t>, 2021</w:t>
      </w:r>
      <w:r w:rsidR="007800CB" w:rsidRPr="00881BC8">
        <w:rPr>
          <w:rStyle w:val="FootnoteReference"/>
          <w:noProof/>
          <w:lang w:val="en-GB"/>
        </w:rPr>
        <w:footnoteReference w:id="16"/>
      </w:r>
      <w:r w:rsidR="007800CB" w:rsidRPr="00881BC8">
        <w:rPr>
          <w:noProof/>
          <w:lang w:val="en-GB"/>
        </w:rPr>
        <w:t xml:space="preserve"> and 2022</w:t>
      </w:r>
      <w:r w:rsidR="007800CB" w:rsidRPr="00881BC8">
        <w:rPr>
          <w:rStyle w:val="FootnoteReference"/>
          <w:noProof/>
          <w:lang w:val="en-GB"/>
        </w:rPr>
        <w:footnoteReference w:id="17"/>
      </w:r>
      <w:r w:rsidR="000E147A" w:rsidRPr="00881BC8">
        <w:rPr>
          <w:noProof/>
          <w:lang w:val="en-GB"/>
        </w:rPr>
        <w:t xml:space="preserve"> - see </w:t>
      </w:r>
      <w:r w:rsidR="000E147A" w:rsidRPr="00881BC8">
        <w:rPr>
          <w:noProof/>
          <w:lang w:val="en-GB"/>
        </w:rPr>
        <w:fldChar w:fldCharType="begin"/>
      </w:r>
      <w:r w:rsidR="000E147A" w:rsidRPr="00881BC8">
        <w:rPr>
          <w:noProof/>
          <w:lang w:val="en-GB"/>
        </w:rPr>
        <w:instrText xml:space="preserve"> REF Annex06 \h </w:instrText>
      </w:r>
      <w:r w:rsidR="000E147A" w:rsidRPr="00881BC8">
        <w:rPr>
          <w:noProof/>
          <w:lang w:val="en-GB"/>
        </w:rPr>
      </w:r>
      <w:r w:rsidR="000E147A" w:rsidRPr="00881BC8">
        <w:rPr>
          <w:noProof/>
          <w:lang w:val="en-GB"/>
        </w:rPr>
        <w:fldChar w:fldCharType="separate"/>
      </w:r>
      <w:r w:rsidR="005851F4" w:rsidRPr="00881BC8">
        <w:rPr>
          <w:noProof/>
        </w:rPr>
        <w:t>Annex 6</w:t>
      </w:r>
      <w:r w:rsidR="000E147A" w:rsidRPr="00881BC8">
        <w:rPr>
          <w:noProof/>
          <w:lang w:val="en-GB"/>
        </w:rPr>
        <w:fldChar w:fldCharType="end"/>
      </w:r>
      <w:r w:rsidR="007800CB" w:rsidRPr="00881BC8">
        <w:rPr>
          <w:noProof/>
          <w:lang w:val="en-GB"/>
        </w:rPr>
        <w:t>.</w:t>
      </w:r>
    </w:p>
    <w:p w14:paraId="3D56D821" w14:textId="471CF26E" w:rsidR="00F96BB0" w:rsidRPr="00881BC8" w:rsidRDefault="00F96BB0" w:rsidP="004835F8">
      <w:pPr>
        <w:pStyle w:val="NormalPara"/>
        <w:rPr>
          <w:noProof/>
          <w:lang w:val="en-GB"/>
        </w:rPr>
      </w:pPr>
      <w:r w:rsidRPr="00881BC8">
        <w:rPr>
          <w:noProof/>
          <w:lang w:val="en-GB"/>
        </w:rPr>
        <w:t xml:space="preserve">The initiative </w:t>
      </w:r>
      <w:r w:rsidR="00942517" w:rsidRPr="00881BC8">
        <w:rPr>
          <w:noProof/>
          <w:lang w:val="en-GB"/>
        </w:rPr>
        <w:t>is expected to</w:t>
      </w:r>
      <w:r w:rsidRPr="00881BC8">
        <w:rPr>
          <w:noProof/>
          <w:lang w:val="en-GB"/>
        </w:rPr>
        <w:t xml:space="preserve"> contribute to </w:t>
      </w:r>
      <w:r w:rsidR="007F5F8E" w:rsidRPr="00881BC8">
        <w:rPr>
          <w:noProof/>
          <w:lang w:val="en-GB"/>
        </w:rPr>
        <w:t xml:space="preserve">Sustainable Development Goals: SDG </w:t>
      </w:r>
      <w:r w:rsidRPr="00881BC8">
        <w:rPr>
          <w:noProof/>
          <w:lang w:val="en-GB"/>
        </w:rPr>
        <w:t>8, ‘decent work and economic growth’</w:t>
      </w:r>
      <w:r w:rsidR="007F5F8E" w:rsidRPr="00881BC8">
        <w:rPr>
          <w:noProof/>
          <w:lang w:val="en-GB"/>
        </w:rPr>
        <w:t>,</w:t>
      </w:r>
      <w:r w:rsidRPr="00881BC8">
        <w:rPr>
          <w:noProof/>
          <w:lang w:val="en-GB"/>
        </w:rPr>
        <w:t xml:space="preserve"> SDG 3, ‘Ensure healthy lives and promote well-being for all at all ages’, SDG 4, ‘Quality education’ and SDG 9</w:t>
      </w:r>
      <w:r w:rsidR="00781EB9" w:rsidRPr="00881BC8">
        <w:rPr>
          <w:noProof/>
          <w:lang w:val="en-GB"/>
        </w:rPr>
        <w:t>,</w:t>
      </w:r>
      <w:r w:rsidRPr="00881BC8">
        <w:rPr>
          <w:noProof/>
          <w:lang w:val="en-GB"/>
        </w:rPr>
        <w:t xml:space="preserve"> ‘Industry, Innovation and Infrastructure’. </w:t>
      </w:r>
    </w:p>
    <w:p w14:paraId="03F909F8" w14:textId="3B6E6349" w:rsidR="00171020" w:rsidRPr="00881BC8" w:rsidRDefault="006B087E" w:rsidP="004835F8">
      <w:pPr>
        <w:pStyle w:val="Heading1"/>
        <w:rPr>
          <w:noProof/>
        </w:rPr>
      </w:pPr>
      <w:bookmarkStart w:id="34" w:name="_Toc130889163"/>
      <w:bookmarkStart w:id="35" w:name="_Toc130911530"/>
      <w:bookmarkStart w:id="36" w:name="_Toc130395562"/>
      <w:bookmarkStart w:id="37" w:name="_Toc130403480"/>
      <w:bookmarkStart w:id="38" w:name="_Toc128566535"/>
      <w:bookmarkStart w:id="39" w:name="_Toc128594914"/>
      <w:bookmarkStart w:id="40" w:name="_Toc128678866"/>
      <w:bookmarkStart w:id="41" w:name="_Toc128935072"/>
      <w:bookmarkStart w:id="42" w:name="_Toc129710170"/>
      <w:bookmarkStart w:id="43" w:name="_Toc129899863"/>
      <w:bookmarkStart w:id="44" w:name="_Ref131167357"/>
      <w:bookmarkStart w:id="45" w:name="_Ref131226264"/>
      <w:bookmarkStart w:id="46" w:name="_Ref135220673"/>
      <w:bookmarkStart w:id="47" w:name="_Ref135235768"/>
      <w:bookmarkStart w:id="48" w:name="_Toc135237379"/>
      <w:bookmarkEnd w:id="34"/>
      <w:bookmarkEnd w:id="35"/>
      <w:bookmarkEnd w:id="36"/>
      <w:bookmarkEnd w:id="37"/>
      <w:r w:rsidRPr="00881BC8">
        <w:rPr>
          <w:noProof/>
        </w:rPr>
        <w:t>Problem definition</w:t>
      </w:r>
      <w:bookmarkEnd w:id="38"/>
      <w:bookmarkEnd w:id="39"/>
      <w:bookmarkEnd w:id="40"/>
      <w:bookmarkEnd w:id="41"/>
      <w:bookmarkEnd w:id="42"/>
      <w:bookmarkEnd w:id="43"/>
      <w:bookmarkEnd w:id="44"/>
      <w:bookmarkEnd w:id="45"/>
      <w:bookmarkEnd w:id="46"/>
      <w:bookmarkEnd w:id="47"/>
      <w:bookmarkEnd w:id="48"/>
    </w:p>
    <w:p w14:paraId="158E556B" w14:textId="0E712F68" w:rsidR="00277788" w:rsidRPr="00881BC8" w:rsidRDefault="00277788" w:rsidP="004835F8">
      <w:pPr>
        <w:pStyle w:val="Heading2"/>
        <w:rPr>
          <w:noProof/>
        </w:rPr>
      </w:pPr>
      <w:bookmarkStart w:id="49" w:name="_Toc129710171"/>
      <w:bookmarkStart w:id="50" w:name="_Toc129899864"/>
      <w:bookmarkStart w:id="51" w:name="_Ref130993802"/>
      <w:bookmarkStart w:id="52" w:name="_Toc135237380"/>
      <w:r w:rsidRPr="00881BC8">
        <w:rPr>
          <w:noProof/>
        </w:rPr>
        <w:t>What is the problem?</w:t>
      </w:r>
      <w:bookmarkEnd w:id="49"/>
      <w:bookmarkEnd w:id="50"/>
      <w:bookmarkEnd w:id="51"/>
      <w:bookmarkEnd w:id="52"/>
    </w:p>
    <w:p w14:paraId="6996CD72" w14:textId="14E3A843" w:rsidR="00644A0B" w:rsidRPr="00881BC8" w:rsidRDefault="00C762DB" w:rsidP="524B0F46">
      <w:pPr>
        <w:pBdr>
          <w:top w:val="single" w:sz="4" w:space="4" w:color="auto"/>
          <w:left w:val="single" w:sz="4" w:space="4" w:color="auto"/>
          <w:bottom w:val="single" w:sz="4" w:space="4" w:color="auto"/>
          <w:right w:val="single" w:sz="4" w:space="4" w:color="auto"/>
          <w:between w:val="single" w:sz="4" w:space="4" w:color="auto"/>
          <w:bar w:val="single" w:sz="4" w:color="auto"/>
        </w:pBdr>
        <w:jc w:val="center"/>
        <w:rPr>
          <w:i/>
          <w:iCs/>
          <w:noProof/>
          <w:sz w:val="22"/>
          <w:szCs w:val="22"/>
          <w:u w:val="single"/>
        </w:rPr>
      </w:pPr>
      <w:bookmarkStart w:id="53" w:name="_Toc128594916"/>
      <w:bookmarkStart w:id="54" w:name="_Toc128678868"/>
      <w:bookmarkStart w:id="55" w:name="_Toc128935073"/>
      <w:bookmarkEnd w:id="53"/>
      <w:bookmarkEnd w:id="54"/>
      <w:bookmarkEnd w:id="55"/>
      <w:r w:rsidRPr="00881BC8">
        <w:rPr>
          <w:i/>
          <w:iCs/>
          <w:noProof/>
          <w:sz w:val="22"/>
          <w:szCs w:val="22"/>
          <w:u w:val="single"/>
        </w:rPr>
        <w:t>5</w:t>
      </w:r>
      <w:r w:rsidR="65A769BA" w:rsidRPr="00881BC8">
        <w:rPr>
          <w:i/>
          <w:iCs/>
          <w:noProof/>
          <w:sz w:val="22"/>
          <w:szCs w:val="22"/>
          <w:u w:val="single"/>
        </w:rPr>
        <w:t xml:space="preserve"> out of every 10 </w:t>
      </w:r>
      <w:r w:rsidR="0016462C" w:rsidRPr="00881BC8">
        <w:rPr>
          <w:i/>
          <w:iCs/>
          <w:noProof/>
          <w:sz w:val="22"/>
          <w:szCs w:val="22"/>
          <w:u w:val="single"/>
        </w:rPr>
        <w:t>invoices</w:t>
      </w:r>
      <w:r w:rsidRPr="00881BC8">
        <w:rPr>
          <w:i/>
          <w:iCs/>
          <w:noProof/>
          <w:sz w:val="22"/>
          <w:szCs w:val="22"/>
          <w:u w:val="single"/>
        </w:rPr>
        <w:t xml:space="preserve"> </w:t>
      </w:r>
      <w:r w:rsidR="000E463A" w:rsidRPr="00881BC8">
        <w:rPr>
          <w:i/>
          <w:iCs/>
          <w:noProof/>
          <w:sz w:val="22"/>
          <w:szCs w:val="22"/>
          <w:u w:val="single"/>
        </w:rPr>
        <w:t>are</w:t>
      </w:r>
      <w:r w:rsidR="65A769BA" w:rsidRPr="00881BC8">
        <w:rPr>
          <w:i/>
          <w:iCs/>
          <w:noProof/>
          <w:sz w:val="22"/>
          <w:szCs w:val="22"/>
          <w:u w:val="single"/>
        </w:rPr>
        <w:t xml:space="preserve"> paid late</w:t>
      </w:r>
      <w:r w:rsidR="003B4980" w:rsidRPr="00881BC8">
        <w:rPr>
          <w:rStyle w:val="FootnoteReference"/>
          <w:i/>
          <w:iCs/>
          <w:noProof/>
          <w:u w:val="single"/>
        </w:rPr>
        <w:footnoteReference w:id="18"/>
      </w:r>
      <w:r w:rsidR="65A769BA" w:rsidRPr="00881BC8">
        <w:rPr>
          <w:i/>
          <w:iCs/>
          <w:noProof/>
          <w:sz w:val="22"/>
          <w:szCs w:val="22"/>
          <w:u w:val="single"/>
        </w:rPr>
        <w:t xml:space="preserve"> – SMEs </w:t>
      </w:r>
      <w:r w:rsidR="10C4A284" w:rsidRPr="00881BC8">
        <w:rPr>
          <w:i/>
          <w:iCs/>
          <w:noProof/>
          <w:sz w:val="22"/>
          <w:szCs w:val="22"/>
          <w:u w:val="single"/>
        </w:rPr>
        <w:t>are mo</w:t>
      </w:r>
      <w:r w:rsidR="000E463A" w:rsidRPr="00881BC8">
        <w:rPr>
          <w:i/>
          <w:iCs/>
          <w:noProof/>
          <w:sz w:val="22"/>
          <w:szCs w:val="22"/>
          <w:u w:val="single"/>
        </w:rPr>
        <w:t>re</w:t>
      </w:r>
      <w:r w:rsidR="708029A8" w:rsidRPr="00881BC8">
        <w:rPr>
          <w:i/>
          <w:iCs/>
          <w:noProof/>
          <w:sz w:val="22"/>
          <w:szCs w:val="22"/>
          <w:u w:val="single"/>
        </w:rPr>
        <w:t xml:space="preserve"> </w:t>
      </w:r>
      <w:r w:rsidR="65A769BA" w:rsidRPr="00881BC8">
        <w:rPr>
          <w:i/>
          <w:iCs/>
          <w:noProof/>
          <w:sz w:val="22"/>
          <w:szCs w:val="22"/>
          <w:u w:val="single"/>
        </w:rPr>
        <w:t>affected</w:t>
      </w:r>
      <w:r w:rsidR="00E93233" w:rsidRPr="00881BC8">
        <w:rPr>
          <w:i/>
          <w:iCs/>
          <w:noProof/>
          <w:sz w:val="22"/>
          <w:szCs w:val="22"/>
          <w:u w:val="single"/>
        </w:rPr>
        <w:t xml:space="preserve"> than large companies</w:t>
      </w:r>
    </w:p>
    <w:p w14:paraId="7B1D0349" w14:textId="3AD25244" w:rsidR="00424AD6" w:rsidRPr="00881BC8" w:rsidRDefault="00E93233" w:rsidP="004835F8">
      <w:pPr>
        <w:pStyle w:val="NormalPara"/>
        <w:rPr>
          <w:noProof/>
          <w:lang w:val="en-GB"/>
        </w:rPr>
      </w:pPr>
      <w:r w:rsidRPr="00881BC8">
        <w:rPr>
          <w:noProof/>
          <w:lang w:val="en-GB"/>
        </w:rPr>
        <w:t>C</w:t>
      </w:r>
      <w:r w:rsidR="146EB68A" w:rsidRPr="00881BC8">
        <w:rPr>
          <w:noProof/>
          <w:lang w:val="en-GB"/>
        </w:rPr>
        <w:t>ommercial transactions</w:t>
      </w:r>
      <w:r w:rsidR="63141CEE" w:rsidRPr="00881BC8">
        <w:rPr>
          <w:noProof/>
          <w:lang w:val="en-GB"/>
        </w:rPr>
        <w:t xml:space="preserve"> </w:t>
      </w:r>
      <w:r w:rsidRPr="00881BC8">
        <w:rPr>
          <w:noProof/>
          <w:lang w:val="en-GB"/>
        </w:rPr>
        <w:t xml:space="preserve">between </w:t>
      </w:r>
      <w:r w:rsidR="2C09A05B" w:rsidRPr="00881BC8">
        <w:rPr>
          <w:noProof/>
          <w:lang w:val="en-GB"/>
        </w:rPr>
        <w:t>undertakings</w:t>
      </w:r>
      <w:r w:rsidRPr="00881BC8">
        <w:rPr>
          <w:noProof/>
          <w:lang w:val="en-GB"/>
        </w:rPr>
        <w:t xml:space="preserve"> consist in</w:t>
      </w:r>
      <w:r w:rsidR="63141CEE" w:rsidRPr="00881BC8">
        <w:rPr>
          <w:noProof/>
          <w:lang w:val="en-GB"/>
        </w:rPr>
        <w:t xml:space="preserve"> </w:t>
      </w:r>
      <w:r w:rsidR="3B783C1F" w:rsidRPr="00881BC8">
        <w:rPr>
          <w:noProof/>
          <w:lang w:val="en-GB"/>
        </w:rPr>
        <w:t>supplying goods</w:t>
      </w:r>
      <w:r w:rsidR="146EB68A" w:rsidRPr="00881BC8">
        <w:rPr>
          <w:noProof/>
          <w:lang w:val="en-GB"/>
        </w:rPr>
        <w:t xml:space="preserve"> or providing services</w:t>
      </w:r>
      <w:r w:rsidR="4BB044BB" w:rsidRPr="00881BC8">
        <w:rPr>
          <w:noProof/>
          <w:lang w:val="en-GB"/>
        </w:rPr>
        <w:t xml:space="preserve"> in exchange of monetary payments</w:t>
      </w:r>
      <w:r w:rsidR="6562BBB5" w:rsidRPr="00881BC8">
        <w:rPr>
          <w:noProof/>
          <w:lang w:val="en-GB"/>
        </w:rPr>
        <w:t xml:space="preserve">. </w:t>
      </w:r>
      <w:r w:rsidR="00E46E28" w:rsidRPr="00881BC8">
        <w:rPr>
          <w:noProof/>
          <w:lang w:val="en-GB"/>
        </w:rPr>
        <w:t>Every year,</w:t>
      </w:r>
      <w:r w:rsidR="1F4C76F8" w:rsidRPr="00881BC8">
        <w:rPr>
          <w:noProof/>
          <w:lang w:val="en-GB"/>
        </w:rPr>
        <w:t xml:space="preserve"> </w:t>
      </w:r>
      <w:r w:rsidR="00E46E28" w:rsidRPr="00881BC8">
        <w:rPr>
          <w:noProof/>
          <w:lang w:val="en-GB"/>
        </w:rPr>
        <w:t xml:space="preserve">between </w:t>
      </w:r>
      <w:r w:rsidR="1F4C76F8" w:rsidRPr="00881BC8">
        <w:rPr>
          <w:noProof/>
          <w:lang w:val="en-GB"/>
        </w:rPr>
        <w:t xml:space="preserve">18 </w:t>
      </w:r>
      <w:r w:rsidR="00E46E28" w:rsidRPr="00881BC8">
        <w:rPr>
          <w:noProof/>
          <w:lang w:val="en-GB"/>
        </w:rPr>
        <w:t xml:space="preserve">and </w:t>
      </w:r>
      <w:r w:rsidR="1F4C76F8" w:rsidRPr="00881BC8">
        <w:rPr>
          <w:noProof/>
          <w:lang w:val="en-GB"/>
        </w:rPr>
        <w:t>40 billion invoices are exchanged in the EU, more than 500 every second</w:t>
      </w:r>
      <w:r w:rsidR="6A273B6B" w:rsidRPr="00881BC8">
        <w:rPr>
          <w:noProof/>
          <w:vertAlign w:val="superscript"/>
          <w:lang w:val="en-GB"/>
        </w:rPr>
        <w:footnoteReference w:id="19"/>
      </w:r>
      <w:r w:rsidR="66B6D592" w:rsidRPr="00881BC8">
        <w:rPr>
          <w:noProof/>
          <w:lang w:val="en-GB"/>
        </w:rPr>
        <w:t xml:space="preserve">. </w:t>
      </w:r>
    </w:p>
    <w:p w14:paraId="4F688C39" w14:textId="01FBE516" w:rsidR="00F22DD9" w:rsidRPr="00881BC8" w:rsidRDefault="008E78B8" w:rsidP="004835F8">
      <w:pPr>
        <w:pStyle w:val="NormalPara"/>
        <w:rPr>
          <w:noProof/>
          <w:lang w:val="en-GB"/>
        </w:rPr>
      </w:pPr>
      <w:r w:rsidRPr="00881BC8">
        <w:rPr>
          <w:noProof/>
          <w:lang w:val="en-GB"/>
        </w:rPr>
        <w:t xml:space="preserve">Late payments are those payments that are not made within the agreed or </w:t>
      </w:r>
      <w:r w:rsidR="00E752E7" w:rsidRPr="00881BC8">
        <w:rPr>
          <w:noProof/>
          <w:lang w:val="en-GB"/>
        </w:rPr>
        <w:t>legal</w:t>
      </w:r>
      <w:r w:rsidRPr="00881BC8">
        <w:rPr>
          <w:noProof/>
          <w:lang w:val="en-GB"/>
        </w:rPr>
        <w:t xml:space="preserve"> term.</w:t>
      </w:r>
      <w:r w:rsidR="00DD43C3" w:rsidRPr="00881BC8">
        <w:rPr>
          <w:noProof/>
          <w:lang w:val="en-GB"/>
        </w:rPr>
        <w:t xml:space="preserve"> </w:t>
      </w:r>
      <w:r w:rsidR="00F22DD9" w:rsidRPr="00881BC8">
        <w:rPr>
          <w:noProof/>
          <w:lang w:val="en-GB"/>
        </w:rPr>
        <w:t xml:space="preserve">In addition to late payments, there are also long payment terms set in contracts. </w:t>
      </w:r>
      <w:r w:rsidR="00BB2BFF" w:rsidRPr="00881BC8">
        <w:rPr>
          <w:noProof/>
          <w:lang w:val="en-GB"/>
        </w:rPr>
        <w:t xml:space="preserve">The longer the period between the delivery of goods or services and the payment, the less likely the creditors are to consider </w:t>
      </w:r>
      <w:r w:rsidR="00D36341" w:rsidRPr="00881BC8">
        <w:rPr>
          <w:noProof/>
          <w:lang w:val="en-GB"/>
        </w:rPr>
        <w:t>the period as</w:t>
      </w:r>
      <w:r w:rsidR="00BB2BFF" w:rsidRPr="00881BC8">
        <w:rPr>
          <w:noProof/>
          <w:lang w:val="en-GB"/>
        </w:rPr>
        <w:t xml:space="preserve"> fai</w:t>
      </w:r>
      <w:r w:rsidR="006F1B72" w:rsidRPr="00881BC8">
        <w:rPr>
          <w:noProof/>
          <w:lang w:val="en-GB"/>
        </w:rPr>
        <w:t>r, as regards both late and long payment terms.</w:t>
      </w:r>
    </w:p>
    <w:p w14:paraId="27FA0386" w14:textId="759E73EF" w:rsidR="00DD43C3" w:rsidRPr="00881BC8" w:rsidRDefault="00DD43C3" w:rsidP="004835F8">
      <w:pPr>
        <w:pStyle w:val="NormalPara"/>
        <w:rPr>
          <w:noProof/>
          <w:lang w:val="en-GB"/>
        </w:rPr>
      </w:pPr>
      <w:r w:rsidRPr="00881BC8">
        <w:rPr>
          <w:noProof/>
          <w:lang w:val="en-GB"/>
        </w:rPr>
        <w:t>Late payments represent a problem for the European economy because of their negative economic and social consequences. They reduce competitiveness, increase uncertainty, reduce SME participation in public procurement and harm the well-being of entrepreneurs.</w:t>
      </w:r>
      <w:r w:rsidR="00972D3A" w:rsidRPr="00881BC8">
        <w:rPr>
          <w:noProof/>
          <w:lang w:val="en-GB"/>
        </w:rPr>
        <w:t xml:space="preserve"> Late payments </w:t>
      </w:r>
      <w:r w:rsidR="00CC0013" w:rsidRPr="00881BC8">
        <w:rPr>
          <w:noProof/>
          <w:lang w:val="en-GB"/>
        </w:rPr>
        <w:t>undermine productivity</w:t>
      </w:r>
      <w:r w:rsidR="00AC312A" w:rsidRPr="00881BC8">
        <w:rPr>
          <w:rStyle w:val="FootnoteReference"/>
          <w:noProof/>
          <w:lang w:val="en-GB"/>
        </w:rPr>
        <w:footnoteReference w:id="20"/>
      </w:r>
      <w:r w:rsidR="00CC0013" w:rsidRPr="00881BC8">
        <w:rPr>
          <w:noProof/>
          <w:lang w:val="en-GB"/>
        </w:rPr>
        <w:t xml:space="preserve"> growth and fairness, both of which</w:t>
      </w:r>
      <w:r w:rsidR="00EB44DF" w:rsidRPr="00881BC8">
        <w:rPr>
          <w:noProof/>
          <w:lang w:val="en-GB"/>
        </w:rPr>
        <w:t xml:space="preserve"> are key factors on which the EU is building its sustainable competitiveness</w:t>
      </w:r>
      <w:r w:rsidR="00EB44DF" w:rsidRPr="00881BC8">
        <w:rPr>
          <w:rStyle w:val="FootnoteReference"/>
          <w:noProof/>
          <w:lang w:val="en-GB"/>
        </w:rPr>
        <w:footnoteReference w:id="21"/>
      </w:r>
      <w:r w:rsidR="00EB44DF" w:rsidRPr="00881BC8">
        <w:rPr>
          <w:noProof/>
          <w:lang w:val="en-GB"/>
        </w:rPr>
        <w:t>.</w:t>
      </w:r>
      <w:r w:rsidRPr="00881BC8">
        <w:rPr>
          <w:noProof/>
          <w:lang w:val="en-GB"/>
        </w:rPr>
        <w:t xml:space="preserve"> In any affected company they increase working capital needs, drive up hassle costs and increase financing costs. They affect companies from all sectors</w:t>
      </w:r>
      <w:r w:rsidR="0094259A" w:rsidRPr="00881BC8">
        <w:rPr>
          <w:rStyle w:val="FootnoteReference"/>
          <w:noProof/>
          <w:lang w:val="en-GB"/>
        </w:rPr>
        <w:footnoteReference w:id="22"/>
      </w:r>
      <w:r w:rsidRPr="00881BC8">
        <w:rPr>
          <w:noProof/>
          <w:lang w:val="en-GB"/>
        </w:rPr>
        <w:t>, all EU Member States</w:t>
      </w:r>
      <w:r w:rsidR="00856920" w:rsidRPr="00881BC8">
        <w:rPr>
          <w:rStyle w:val="FootnoteReference"/>
          <w:noProof/>
          <w:lang w:val="en-GB"/>
        </w:rPr>
        <w:footnoteReference w:id="23"/>
      </w:r>
      <w:r w:rsidRPr="00881BC8">
        <w:rPr>
          <w:noProof/>
          <w:lang w:val="en-GB"/>
        </w:rPr>
        <w:t xml:space="preserve"> and they disproportionately severely affect SMEs</w:t>
      </w:r>
      <w:r w:rsidRPr="00881BC8">
        <w:rPr>
          <w:noProof/>
          <w:vertAlign w:val="superscript"/>
          <w:lang w:val="en-GB"/>
        </w:rPr>
        <w:footnoteReference w:id="24"/>
      </w:r>
      <w:r w:rsidRPr="00881BC8">
        <w:rPr>
          <w:noProof/>
          <w:lang w:val="en-GB"/>
        </w:rPr>
        <w:t xml:space="preserve">. </w:t>
      </w:r>
      <w:r w:rsidR="000D73CE" w:rsidRPr="00881BC8">
        <w:rPr>
          <w:noProof/>
          <w:lang w:val="en-GB"/>
        </w:rPr>
        <w:t>As a result, t</w:t>
      </w:r>
      <w:r w:rsidR="004D3FF9" w:rsidRPr="00881BC8">
        <w:rPr>
          <w:noProof/>
          <w:lang w:val="en-GB"/>
        </w:rPr>
        <w:t xml:space="preserve">hey </w:t>
      </w:r>
      <w:r w:rsidR="000D73CE" w:rsidRPr="00881BC8">
        <w:rPr>
          <w:noProof/>
          <w:lang w:val="en-GB"/>
        </w:rPr>
        <w:t xml:space="preserve">are present in cross-border transactions, </w:t>
      </w:r>
      <w:r w:rsidR="004D3FF9" w:rsidRPr="00881BC8">
        <w:rPr>
          <w:noProof/>
          <w:lang w:val="en-GB"/>
        </w:rPr>
        <w:t>undermin</w:t>
      </w:r>
      <w:r w:rsidR="000D73CE" w:rsidRPr="00881BC8">
        <w:rPr>
          <w:noProof/>
          <w:lang w:val="en-GB"/>
        </w:rPr>
        <w:t>ing</w:t>
      </w:r>
      <w:r w:rsidR="004D3FF9" w:rsidRPr="00881BC8">
        <w:rPr>
          <w:noProof/>
          <w:lang w:val="en-GB"/>
        </w:rPr>
        <w:t xml:space="preserve"> the development of the single market and internationalisation of EU companies. </w:t>
      </w:r>
      <w:r w:rsidRPr="00881BC8">
        <w:rPr>
          <w:noProof/>
          <w:lang w:val="en-GB"/>
        </w:rPr>
        <w:t>In 2022, average EU payment term equalled 37 days and average EU actual payment time stood at 50 days</w:t>
      </w:r>
      <w:r w:rsidR="00B06534" w:rsidRPr="00881BC8">
        <w:rPr>
          <w:rStyle w:val="FootnoteReference"/>
          <w:noProof/>
          <w:lang w:val="en-GB"/>
        </w:rPr>
        <w:footnoteReference w:id="25"/>
      </w:r>
      <w:r w:rsidRPr="00881BC8">
        <w:rPr>
          <w:noProof/>
          <w:lang w:val="en-GB"/>
        </w:rPr>
        <w:t>.</w:t>
      </w:r>
      <w:r w:rsidR="000642FD" w:rsidRPr="00881BC8">
        <w:rPr>
          <w:noProof/>
          <w:lang w:val="en-GB"/>
        </w:rPr>
        <w:t xml:space="preserve"> </w:t>
      </w:r>
      <w:r w:rsidR="00861A8D" w:rsidRPr="00881BC8">
        <w:rPr>
          <w:noProof/>
          <w:lang w:val="en-GB"/>
        </w:rPr>
        <w:t>See</w:t>
      </w:r>
      <w:r w:rsidR="005E0B81" w:rsidRPr="00881BC8">
        <w:rPr>
          <w:noProof/>
          <w:lang w:val="en-GB"/>
        </w:rPr>
        <w:t xml:space="preserve"> </w:t>
      </w:r>
      <w:r w:rsidR="005E0B81" w:rsidRPr="00881BC8">
        <w:rPr>
          <w:noProof/>
          <w:lang w:val="en-GB"/>
        </w:rPr>
        <w:fldChar w:fldCharType="begin"/>
      </w:r>
      <w:r w:rsidR="005E0B81" w:rsidRPr="00881BC8">
        <w:rPr>
          <w:noProof/>
          <w:lang w:val="en-GB"/>
        </w:rPr>
        <w:instrText xml:space="preserve"> REF Annex17 \h </w:instrText>
      </w:r>
      <w:r w:rsidR="005E0B81" w:rsidRPr="00881BC8">
        <w:rPr>
          <w:noProof/>
          <w:lang w:val="en-GB"/>
        </w:rPr>
      </w:r>
      <w:r w:rsidR="005E0B81" w:rsidRPr="00881BC8">
        <w:rPr>
          <w:noProof/>
          <w:lang w:val="en-GB"/>
        </w:rPr>
        <w:fldChar w:fldCharType="separate"/>
      </w:r>
      <w:r w:rsidR="005851F4" w:rsidRPr="00881BC8">
        <w:rPr>
          <w:noProof/>
        </w:rPr>
        <w:t>Annex 17</w:t>
      </w:r>
      <w:r w:rsidR="005E0B81" w:rsidRPr="00881BC8">
        <w:rPr>
          <w:noProof/>
          <w:lang w:val="en-GB"/>
        </w:rPr>
        <w:fldChar w:fldCharType="end"/>
      </w:r>
      <w:r w:rsidR="005E0B81" w:rsidRPr="00881BC8">
        <w:rPr>
          <w:noProof/>
          <w:lang w:val="en-GB"/>
        </w:rPr>
        <w:t>.</w:t>
      </w:r>
    </w:p>
    <w:p w14:paraId="5EC6736C" w14:textId="1E3CDD5B" w:rsidR="00364F1D" w:rsidRPr="00881BC8" w:rsidRDefault="00364F1D" w:rsidP="00364F1D">
      <w:pPr>
        <w:pStyle w:val="Caption"/>
        <w:rPr>
          <w:noProof/>
          <w:lang w:val="en-GB"/>
        </w:rPr>
      </w:pPr>
      <w:r w:rsidRPr="00881BC8">
        <w:rPr>
          <w:noProof/>
          <w:lang w:val="en-GB"/>
        </w:rPr>
        <w:t xml:space="preserve">Figure </w:t>
      </w:r>
      <w:r w:rsidR="005851F4">
        <w:rPr>
          <w:noProof/>
          <w:lang w:val="en-GB"/>
        </w:rPr>
        <w:t>2</w:t>
      </w:r>
      <w:r w:rsidRPr="00881BC8">
        <w:rPr>
          <w:noProof/>
          <w:lang w:val="en-GB"/>
        </w:rPr>
        <w:t>: Late payment problem - context, drivers, and consequences</w:t>
      </w:r>
    </w:p>
    <w:p w14:paraId="7E46DA43" w14:textId="77777777" w:rsidR="00364F1D" w:rsidRPr="00881BC8" w:rsidRDefault="00364F1D" w:rsidP="00364F1D">
      <w:pPr>
        <w:rPr>
          <w:noProof/>
        </w:rPr>
      </w:pPr>
      <w:r w:rsidRPr="00881BC8">
        <w:rPr>
          <w:noProof/>
          <w:lang w:eastAsia="en-GB"/>
        </w:rPr>
        <w:drawing>
          <wp:inline distT="0" distB="0" distL="0" distR="0" wp14:anchorId="7F3028FB" wp14:editId="0E527EC6">
            <wp:extent cx="5477773" cy="3080927"/>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06771" cy="3153481"/>
                    </a:xfrm>
                    <a:prstGeom prst="rect">
                      <a:avLst/>
                    </a:prstGeom>
                    <a:noFill/>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4258"/>
      </w:tblGrid>
      <w:tr w:rsidR="007F559D" w:rsidRPr="00881BC8" w14:paraId="28464DDF" w14:textId="77777777" w:rsidTr="00A83BAC">
        <w:tc>
          <w:tcPr>
            <w:tcW w:w="4304" w:type="dxa"/>
          </w:tcPr>
          <w:p w14:paraId="6B173745" w14:textId="713D24D4" w:rsidR="007F559D" w:rsidRPr="00881BC8" w:rsidRDefault="007F559D" w:rsidP="00A83BAC">
            <w:pPr>
              <w:pStyle w:val="Caption"/>
              <w:rPr>
                <w:noProof/>
                <w:lang w:val="en-GB"/>
              </w:rPr>
            </w:pPr>
            <w:bookmarkStart w:id="56" w:name="_Ref131595115"/>
            <w:r w:rsidRPr="00881BC8">
              <w:rPr>
                <w:noProof/>
                <w:lang w:val="en-GB"/>
              </w:rPr>
              <w:t xml:space="preserve">Figure </w:t>
            </w:r>
            <w:r w:rsidR="005851F4">
              <w:rPr>
                <w:noProof/>
                <w:lang w:val="en-GB"/>
              </w:rPr>
              <w:t>3</w:t>
            </w:r>
            <w:bookmarkEnd w:id="56"/>
            <w:r w:rsidRPr="00881BC8">
              <w:rPr>
                <w:noProof/>
                <w:lang w:val="en-GB"/>
              </w:rPr>
              <w:t xml:space="preserve">: Trend lines for total payment duration (average of </w:t>
            </w:r>
            <w:r w:rsidR="00B75950" w:rsidRPr="00881BC8">
              <w:rPr>
                <w:noProof/>
                <w:lang w:val="en-GB"/>
              </w:rPr>
              <w:t>B2B</w:t>
            </w:r>
            <w:r w:rsidRPr="00881BC8">
              <w:rPr>
                <w:noProof/>
                <w:lang w:val="en-GB"/>
              </w:rPr>
              <w:t xml:space="preserve">, </w:t>
            </w:r>
            <w:r w:rsidR="00B75950" w:rsidRPr="00881BC8">
              <w:rPr>
                <w:noProof/>
                <w:lang w:val="en-GB"/>
              </w:rPr>
              <w:t>G2B</w:t>
            </w:r>
            <w:r w:rsidRPr="00881BC8">
              <w:rPr>
                <w:noProof/>
                <w:lang w:val="en-GB"/>
              </w:rPr>
              <w:t xml:space="preserve"> and </w:t>
            </w:r>
            <w:r w:rsidR="00B75950" w:rsidRPr="00881BC8">
              <w:rPr>
                <w:noProof/>
                <w:lang w:val="en-GB"/>
              </w:rPr>
              <w:t>B2C</w:t>
            </w:r>
            <w:r w:rsidRPr="00881BC8">
              <w:rPr>
                <w:noProof/>
                <w:lang w:val="en-GB"/>
              </w:rPr>
              <w:t>) and delays in payments by public authorities, in the EU-2</w:t>
            </w:r>
            <w:r w:rsidR="00821ECF" w:rsidRPr="00881BC8">
              <w:rPr>
                <w:noProof/>
                <w:lang w:val="en-GB"/>
              </w:rPr>
              <w:t>4</w:t>
            </w:r>
            <w:r w:rsidRPr="00881BC8">
              <w:rPr>
                <w:rStyle w:val="FootnoteReference"/>
                <w:noProof/>
                <w:lang w:val="en-GB"/>
              </w:rPr>
              <w:footnoteReference w:id="26"/>
            </w:r>
          </w:p>
          <w:p w14:paraId="5D6B63C0" w14:textId="50E29681" w:rsidR="007F559D" w:rsidRPr="00881BC8" w:rsidRDefault="00FE69C5" w:rsidP="004835F8">
            <w:pPr>
              <w:pStyle w:val="NormalPara"/>
              <w:rPr>
                <w:noProof/>
                <w:lang w:val="en-GB"/>
              </w:rPr>
            </w:pPr>
            <w:r w:rsidRPr="00FE69C5">
              <w:rPr>
                <w:noProof/>
                <w:lang w:val="en-GB"/>
              </w:rPr>
              <w:drawing>
                <wp:inline distT="0" distB="0" distL="0" distR="0" wp14:anchorId="3E13FE02" wp14:editId="09BDC95C">
                  <wp:extent cx="2311400" cy="1999615"/>
                  <wp:effectExtent l="0" t="0" r="0" b="635"/>
                  <wp:docPr id="185772189" name="Picture 18577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11400" cy="1999615"/>
                          </a:xfrm>
                          <a:prstGeom prst="rect">
                            <a:avLst/>
                          </a:prstGeom>
                          <a:noFill/>
                          <a:ln>
                            <a:noFill/>
                          </a:ln>
                        </pic:spPr>
                      </pic:pic>
                    </a:graphicData>
                  </a:graphic>
                </wp:inline>
              </w:drawing>
            </w:r>
            <w:r w:rsidR="002E552C" w:rsidRPr="00881BC8">
              <w:rPr>
                <w:noProof/>
                <w:lang w:val="en-GB"/>
              </w:rPr>
              <w:t xml:space="preserve"> </w:t>
            </w:r>
          </w:p>
        </w:tc>
        <w:tc>
          <w:tcPr>
            <w:tcW w:w="4304" w:type="dxa"/>
          </w:tcPr>
          <w:p w14:paraId="7BDEAAAB" w14:textId="5959D6E3" w:rsidR="001853AE" w:rsidRPr="00881BC8" w:rsidRDefault="007F559D" w:rsidP="00773DEB">
            <w:pPr>
              <w:pStyle w:val="NormalPara"/>
              <w:numPr>
                <w:ilvl w:val="0"/>
                <w:numId w:val="0"/>
              </w:numPr>
              <w:rPr>
                <w:noProof/>
                <w:lang w:val="en-GB"/>
              </w:rPr>
            </w:pPr>
            <w:r w:rsidRPr="00881BC8">
              <w:rPr>
                <w:rStyle w:val="normaltextrun"/>
                <w:noProof/>
                <w:lang w:val="en-GB"/>
              </w:rPr>
              <w:t>‘Cash is king’ was a common refrain throughout the 2008-2009 recession and even more true during the recovery</w:t>
            </w:r>
            <w:r w:rsidRPr="00881BC8">
              <w:rPr>
                <w:rStyle w:val="FootnoteReference"/>
                <w:noProof/>
                <w:lang w:val="en-GB"/>
              </w:rPr>
              <w:footnoteReference w:id="27"/>
            </w:r>
            <w:r w:rsidRPr="00881BC8">
              <w:rPr>
                <w:rStyle w:val="normaltextrun"/>
                <w:noProof/>
                <w:lang w:val="en-GB"/>
              </w:rPr>
              <w:t xml:space="preserve">. </w:t>
            </w:r>
            <w:r w:rsidRPr="00881BC8">
              <w:rPr>
                <w:noProof/>
                <w:lang w:val="en-GB"/>
              </w:rPr>
              <w:t xml:space="preserve">The adoption of the LPD </w:t>
            </w:r>
            <w:r w:rsidR="00EF3C47" w:rsidRPr="00881BC8">
              <w:rPr>
                <w:noProof/>
                <w:lang w:val="en-GB"/>
              </w:rPr>
              <w:t xml:space="preserve">in 2011 (transposition in 2014) </w:t>
            </w:r>
            <w:r w:rsidRPr="00881BC8">
              <w:rPr>
                <w:noProof/>
                <w:lang w:val="en-GB"/>
              </w:rPr>
              <w:t>helped reduce payment delays from their high post</w:t>
            </w:r>
            <w:r w:rsidR="00EF3C47" w:rsidRPr="00881BC8">
              <w:rPr>
                <w:noProof/>
                <w:lang w:val="en-GB"/>
              </w:rPr>
              <w:t>-crisis</w:t>
            </w:r>
            <w:r w:rsidRPr="00881BC8">
              <w:rPr>
                <w:noProof/>
                <w:lang w:val="en-GB"/>
              </w:rPr>
              <w:t xml:space="preserve"> </w:t>
            </w:r>
            <w:r w:rsidR="002F47A5" w:rsidRPr="00881BC8">
              <w:rPr>
                <w:noProof/>
                <w:lang w:val="en-GB"/>
              </w:rPr>
              <w:t>(</w:t>
            </w:r>
            <w:r w:rsidRPr="00881BC8">
              <w:rPr>
                <w:noProof/>
                <w:lang w:val="en-GB"/>
              </w:rPr>
              <w:t>2008-2009</w:t>
            </w:r>
            <w:r w:rsidR="002F47A5" w:rsidRPr="00881BC8">
              <w:rPr>
                <w:noProof/>
                <w:lang w:val="en-GB"/>
              </w:rPr>
              <w:t>)</w:t>
            </w:r>
            <w:r w:rsidRPr="00881BC8">
              <w:rPr>
                <w:noProof/>
                <w:lang w:val="en-GB"/>
              </w:rPr>
              <w:t xml:space="preserve"> levels</w:t>
            </w:r>
            <w:r w:rsidR="00047F42" w:rsidRPr="00881BC8">
              <w:rPr>
                <w:noProof/>
                <w:lang w:val="en-GB"/>
              </w:rPr>
              <w:t xml:space="preserve"> and</w:t>
            </w:r>
            <w:r w:rsidR="001F0EEA" w:rsidRPr="00881BC8">
              <w:rPr>
                <w:noProof/>
                <w:lang w:val="en-GB"/>
              </w:rPr>
              <w:t xml:space="preserve"> has lowered firm exit rate by 0.3 percentage points in sectors highly exposed to the public authorities, compared to sectors less dependent on the public authorities</w:t>
            </w:r>
            <w:r w:rsidR="001F0EEA" w:rsidRPr="00881BC8">
              <w:rPr>
                <w:rStyle w:val="FootnoteReference"/>
                <w:noProof/>
                <w:lang w:val="en-GB"/>
              </w:rPr>
              <w:footnoteReference w:id="28"/>
            </w:r>
            <w:r w:rsidR="001F0EEA" w:rsidRPr="00881BC8">
              <w:rPr>
                <w:noProof/>
                <w:lang w:val="en-GB"/>
              </w:rPr>
              <w:t xml:space="preserve">. The delays </w:t>
            </w:r>
            <w:r w:rsidRPr="00881BC8">
              <w:rPr>
                <w:noProof/>
                <w:lang w:val="en-GB"/>
              </w:rPr>
              <w:t>rose sharply in 2020, likely driven by the coronavirus crisis, and have remained high since then. Average payment duration went up from 37</w:t>
            </w:r>
            <w:r w:rsidR="00681E08" w:rsidRPr="00881BC8">
              <w:rPr>
                <w:noProof/>
                <w:lang w:val="en-GB"/>
              </w:rPr>
              <w:t>.2</w:t>
            </w:r>
            <w:r w:rsidRPr="00881BC8">
              <w:rPr>
                <w:noProof/>
                <w:lang w:val="en-GB"/>
              </w:rPr>
              <w:t xml:space="preserve"> days in 2019 to 5</w:t>
            </w:r>
            <w:r w:rsidR="00782D1E" w:rsidRPr="00881BC8">
              <w:rPr>
                <w:noProof/>
                <w:lang w:val="en-GB"/>
              </w:rPr>
              <w:t>6</w:t>
            </w:r>
            <w:r w:rsidR="00681E08" w:rsidRPr="00881BC8">
              <w:rPr>
                <w:noProof/>
                <w:lang w:val="en-GB"/>
              </w:rPr>
              <w:t>.5</w:t>
            </w:r>
            <w:r w:rsidRPr="00881BC8">
              <w:rPr>
                <w:noProof/>
                <w:lang w:val="en-GB"/>
              </w:rPr>
              <w:t xml:space="preserve"> days in 2020</w:t>
            </w:r>
            <w:r w:rsidR="00782D1E" w:rsidRPr="00881BC8">
              <w:rPr>
                <w:rStyle w:val="FootnoteReference"/>
                <w:noProof/>
                <w:lang w:val="en-GB"/>
              </w:rPr>
              <w:footnoteReference w:id="29"/>
            </w:r>
            <w:r w:rsidRPr="00881BC8">
              <w:rPr>
                <w:noProof/>
                <w:lang w:val="en-GB"/>
              </w:rPr>
              <w:t xml:space="preserve">. </w:t>
            </w:r>
          </w:p>
        </w:tc>
      </w:tr>
    </w:tbl>
    <w:p w14:paraId="43381601" w14:textId="16E115E7" w:rsidR="001853AE" w:rsidRPr="00881BC8" w:rsidRDefault="001853AE" w:rsidP="001853AE">
      <w:pPr>
        <w:pStyle w:val="NormalPara"/>
        <w:rPr>
          <w:noProof/>
          <w:lang w:val="en-GB"/>
        </w:rPr>
      </w:pPr>
      <w:bookmarkStart w:id="57" w:name="_Toc130395586"/>
      <w:bookmarkStart w:id="58" w:name="_Toc130403504"/>
      <w:bookmarkStart w:id="59" w:name="_Toc129710172"/>
      <w:bookmarkStart w:id="60" w:name="_Toc129899865"/>
      <w:bookmarkStart w:id="61" w:name="_Ref130110980"/>
      <w:bookmarkEnd w:id="57"/>
      <w:bookmarkEnd w:id="58"/>
      <w:r w:rsidRPr="00881BC8">
        <w:rPr>
          <w:noProof/>
          <w:lang w:val="en-GB"/>
        </w:rPr>
        <w:t>Since then, payment performance has not returned to its pre-crisis levels. In 2022, payment duration was higher than in 2014.</w:t>
      </w:r>
    </w:p>
    <w:p w14:paraId="4064CD08" w14:textId="513D998A" w:rsidR="005711F4" w:rsidRPr="00881BC8" w:rsidRDefault="004464BC" w:rsidP="004835F8">
      <w:pPr>
        <w:pStyle w:val="Heading3"/>
        <w:rPr>
          <w:noProof/>
        </w:rPr>
      </w:pPr>
      <w:bookmarkStart w:id="62" w:name="_Toc135237381"/>
      <w:r w:rsidRPr="00881BC8">
        <w:rPr>
          <w:noProof/>
        </w:rPr>
        <w:t xml:space="preserve">Public authorities often pay </w:t>
      </w:r>
      <w:bookmarkEnd w:id="59"/>
      <w:bookmarkEnd w:id="60"/>
      <w:r w:rsidRPr="00881BC8">
        <w:rPr>
          <w:noProof/>
        </w:rPr>
        <w:t>late</w:t>
      </w:r>
      <w:bookmarkEnd w:id="61"/>
      <w:bookmarkEnd w:id="62"/>
    </w:p>
    <w:p w14:paraId="3AA312CB" w14:textId="416B7988" w:rsidR="00377367" w:rsidRPr="00881BC8" w:rsidRDefault="00D70AEF" w:rsidP="004835F8">
      <w:pPr>
        <w:pStyle w:val="NormalPara"/>
        <w:rPr>
          <w:noProof/>
          <w:lang w:val="en-GB"/>
        </w:rPr>
      </w:pPr>
      <w:r w:rsidRPr="00881BC8">
        <w:rPr>
          <w:noProof/>
          <w:lang w:val="en-GB"/>
        </w:rPr>
        <w:t>Public authorities should lead by example and pay their suppliers on time. The LPD recalls a “</w:t>
      </w:r>
      <w:r w:rsidRPr="00881BC8">
        <w:rPr>
          <w:i/>
          <w:noProof/>
          <w:lang w:val="en-GB"/>
        </w:rPr>
        <w:t>special responsibility</w:t>
      </w:r>
      <w:r w:rsidRPr="00881BC8">
        <w:rPr>
          <w:noProof/>
          <w:lang w:val="en-GB"/>
        </w:rPr>
        <w:t xml:space="preserve">” </w:t>
      </w:r>
      <w:r w:rsidR="00F85AFA" w:rsidRPr="00881BC8">
        <w:rPr>
          <w:noProof/>
          <w:lang w:val="en-GB"/>
        </w:rPr>
        <w:t xml:space="preserve">of public authorities to </w:t>
      </w:r>
      <w:r w:rsidRPr="00881BC8">
        <w:rPr>
          <w:noProof/>
          <w:lang w:val="en-GB"/>
        </w:rPr>
        <w:t>facilitat</w:t>
      </w:r>
      <w:r w:rsidR="00F85AFA" w:rsidRPr="00881BC8">
        <w:rPr>
          <w:noProof/>
          <w:lang w:val="en-GB"/>
        </w:rPr>
        <w:t>e</w:t>
      </w:r>
      <w:r w:rsidRPr="00881BC8">
        <w:rPr>
          <w:noProof/>
          <w:lang w:val="en-GB"/>
        </w:rPr>
        <w:t xml:space="preserve"> SME access to finance and develop a legal and business environment supportive of timely payments in commercial transactions</w:t>
      </w:r>
      <w:r w:rsidRPr="00881BC8">
        <w:rPr>
          <w:rStyle w:val="FootnoteReference"/>
          <w:noProof/>
          <w:lang w:val="en-GB"/>
        </w:rPr>
        <w:footnoteReference w:id="30"/>
      </w:r>
      <w:r w:rsidRPr="00881BC8">
        <w:rPr>
          <w:noProof/>
          <w:lang w:val="en-GB"/>
        </w:rPr>
        <w:t xml:space="preserve">. </w:t>
      </w:r>
      <w:r w:rsidR="00B869AD" w:rsidRPr="00881BC8">
        <w:rPr>
          <w:noProof/>
          <w:lang w:val="en-GB"/>
        </w:rPr>
        <w:t xml:space="preserve">The importance of public authorities paying on time is driven by the </w:t>
      </w:r>
      <w:r w:rsidR="003F3CCD" w:rsidRPr="00881BC8">
        <w:rPr>
          <w:noProof/>
          <w:lang w:val="en-GB"/>
        </w:rPr>
        <w:t xml:space="preserve">fact that every year, over 250 000 public authorities in the EU spend around 14% of GDP (around </w:t>
      </w:r>
      <w:r w:rsidR="005C5D0E" w:rsidRPr="00881BC8">
        <w:rPr>
          <w:noProof/>
          <w:lang w:val="en-GB"/>
        </w:rPr>
        <w:t>EUR </w:t>
      </w:r>
      <w:r w:rsidR="003F3CCD" w:rsidRPr="00881BC8">
        <w:rPr>
          <w:noProof/>
          <w:lang w:val="en-GB"/>
        </w:rPr>
        <w:t>2 trillion per year) on the purchase of services, works and supplies.</w:t>
      </w:r>
      <w:r w:rsidR="005C5D0E" w:rsidRPr="00881BC8">
        <w:rPr>
          <w:noProof/>
          <w:lang w:val="en-GB"/>
        </w:rPr>
        <w:t xml:space="preserve"> </w:t>
      </w:r>
      <w:r w:rsidRPr="00881BC8">
        <w:rPr>
          <w:noProof/>
          <w:lang w:val="en-GB"/>
        </w:rPr>
        <w:t xml:space="preserve">And yet, </w:t>
      </w:r>
      <w:r w:rsidR="009D77FB" w:rsidRPr="00881BC8">
        <w:rPr>
          <w:noProof/>
          <w:lang w:val="en-GB"/>
        </w:rPr>
        <w:t xml:space="preserve">the payment performance of public authorities </w:t>
      </w:r>
      <w:r w:rsidR="00D62645" w:rsidRPr="00881BC8">
        <w:rPr>
          <w:noProof/>
          <w:lang w:val="en-GB"/>
        </w:rPr>
        <w:t xml:space="preserve">can stand </w:t>
      </w:r>
      <w:r w:rsidR="009D77FB" w:rsidRPr="00881BC8">
        <w:rPr>
          <w:noProof/>
          <w:lang w:val="en-GB"/>
        </w:rPr>
        <w:t>signi</w:t>
      </w:r>
      <w:r w:rsidR="003145FB" w:rsidRPr="00881BC8">
        <w:rPr>
          <w:noProof/>
          <w:lang w:val="en-GB"/>
        </w:rPr>
        <w:t>fi</w:t>
      </w:r>
      <w:r w:rsidR="009D77FB" w:rsidRPr="00881BC8">
        <w:rPr>
          <w:noProof/>
          <w:lang w:val="en-GB"/>
        </w:rPr>
        <w:t>cantly below the requirements set by the LPD.</w:t>
      </w:r>
    </w:p>
    <w:p w14:paraId="78DFE752" w14:textId="6619DEF5" w:rsidR="0028693F" w:rsidRPr="00881BC8" w:rsidRDefault="0028693F" w:rsidP="004835F8">
      <w:pPr>
        <w:pStyle w:val="NormalPara"/>
        <w:rPr>
          <w:noProof/>
          <w:lang w:val="en-GB"/>
        </w:rPr>
      </w:pPr>
      <w:r w:rsidRPr="00881BC8">
        <w:rPr>
          <w:noProof/>
          <w:lang w:val="en-GB"/>
        </w:rPr>
        <w:t>In Italy, the average payment period of the “worst” public payers exceeds 400 days</w:t>
      </w:r>
      <w:r w:rsidRPr="00881BC8">
        <w:rPr>
          <w:noProof/>
          <w:vertAlign w:val="superscript"/>
          <w:lang w:val="en-GB"/>
        </w:rPr>
        <w:footnoteReference w:id="31"/>
      </w:r>
      <w:r w:rsidRPr="00881BC8">
        <w:rPr>
          <w:noProof/>
          <w:lang w:val="en-GB"/>
        </w:rPr>
        <w:t>. In Spain, local communities often pay late</w:t>
      </w:r>
      <w:r w:rsidR="00AD2177" w:rsidRPr="00881BC8">
        <w:rPr>
          <w:noProof/>
          <w:lang w:val="en-GB"/>
        </w:rPr>
        <w:t xml:space="preserve">: </w:t>
      </w:r>
      <w:r w:rsidRPr="00881BC8">
        <w:rPr>
          <w:noProof/>
          <w:lang w:val="en-GB"/>
        </w:rPr>
        <w:t>in October 2022, the</w:t>
      </w:r>
      <w:r w:rsidR="00C02A99" w:rsidRPr="00881BC8">
        <w:rPr>
          <w:noProof/>
          <w:lang w:val="en-GB"/>
        </w:rPr>
        <w:t>ir</w:t>
      </w:r>
      <w:r w:rsidRPr="00881BC8">
        <w:rPr>
          <w:noProof/>
          <w:lang w:val="en-GB"/>
        </w:rPr>
        <w:t xml:space="preserve"> average payment period </w:t>
      </w:r>
      <w:r w:rsidR="00AD2177" w:rsidRPr="00881BC8">
        <w:rPr>
          <w:noProof/>
          <w:lang w:val="en-GB"/>
        </w:rPr>
        <w:t xml:space="preserve">stood at </w:t>
      </w:r>
      <w:r w:rsidRPr="00881BC8">
        <w:rPr>
          <w:noProof/>
          <w:lang w:val="en-GB"/>
        </w:rPr>
        <w:t xml:space="preserve">53 days, </w:t>
      </w:r>
      <w:r w:rsidR="00AD2177" w:rsidRPr="00881BC8">
        <w:rPr>
          <w:noProof/>
          <w:lang w:val="en-GB"/>
        </w:rPr>
        <w:t xml:space="preserve">and </w:t>
      </w:r>
      <w:r w:rsidRPr="00881BC8">
        <w:rPr>
          <w:noProof/>
          <w:lang w:val="en-GB"/>
        </w:rPr>
        <w:t>there were cases of payment periods exceeding 300 days</w:t>
      </w:r>
      <w:r w:rsidR="00BF0D37" w:rsidRPr="00881BC8">
        <w:rPr>
          <w:rStyle w:val="FootnoteReference"/>
          <w:noProof/>
          <w:lang w:val="en-GB"/>
        </w:rPr>
        <w:footnoteReference w:id="32"/>
      </w:r>
      <w:r w:rsidRPr="00881BC8">
        <w:rPr>
          <w:noProof/>
          <w:lang w:val="en-GB"/>
        </w:rPr>
        <w:t>.</w:t>
      </w:r>
    </w:p>
    <w:p w14:paraId="098B4FDF" w14:textId="23F3E3C8" w:rsidR="00B923D2" w:rsidRPr="00881BC8" w:rsidRDefault="00B923D2" w:rsidP="004835F8">
      <w:pPr>
        <w:pStyle w:val="NormalPara"/>
        <w:rPr>
          <w:noProof/>
          <w:lang w:val="en-GB"/>
        </w:rPr>
      </w:pPr>
      <w:r w:rsidRPr="00881BC8">
        <w:rPr>
          <w:noProof/>
          <w:lang w:val="en-GB"/>
        </w:rPr>
        <w:t>In general, although late payments by public authorities have gone down significantly since the introduction of the LPD (from 27.8 days in 2011 to 16.8 days in 2022)</w:t>
      </w:r>
      <w:r w:rsidR="00D251F8" w:rsidRPr="00881BC8">
        <w:rPr>
          <w:noProof/>
          <w:lang w:val="en-GB"/>
        </w:rPr>
        <w:t xml:space="preserve"> (see figure 3)</w:t>
      </w:r>
      <w:r w:rsidRPr="00881BC8">
        <w:rPr>
          <w:noProof/>
          <w:lang w:val="en-GB"/>
        </w:rPr>
        <w:t>, they remain a significant problem. On average, payments by public authorities are still slightly more delayed than payments in business-to-business transactions (16.8 days for G2B vs. 13.3 days for B2B).</w:t>
      </w:r>
    </w:p>
    <w:p w14:paraId="1D2A27C3" w14:textId="28A20DF6" w:rsidR="00B923D2" w:rsidRPr="00881BC8" w:rsidRDefault="00B923D2" w:rsidP="004835F8">
      <w:pPr>
        <w:pStyle w:val="NormalPara"/>
        <w:rPr>
          <w:noProof/>
          <w:lang w:val="en-GB"/>
        </w:rPr>
      </w:pPr>
      <w:r w:rsidRPr="00881BC8">
        <w:rPr>
          <w:noProof/>
          <w:lang w:val="en-GB"/>
        </w:rPr>
        <w:t>Although public authorities are already obliged to pay within 30 days since the introduction of the LPD, numerous attempts remain to circumvent the obligations in place. For example, common practices include long verification procedures before starting the clock on 30 days requiring a waiver of the entitlement to interest and compensation</w:t>
      </w:r>
      <w:r w:rsidR="00D251F8" w:rsidRPr="00881BC8">
        <w:rPr>
          <w:noProof/>
          <w:lang w:val="en-GB"/>
        </w:rPr>
        <w:t xml:space="preserve"> or bans on execution of executive orders of payment issued by a Court</w:t>
      </w:r>
      <w:r w:rsidRPr="00881BC8">
        <w:rPr>
          <w:noProof/>
          <w:lang w:val="en-GB"/>
        </w:rPr>
        <w:t>.</w:t>
      </w:r>
    </w:p>
    <w:p w14:paraId="79E78618" w14:textId="1255EA61" w:rsidR="005B77C6" w:rsidRPr="00881BC8" w:rsidRDefault="002C5D1D" w:rsidP="004835F8">
      <w:pPr>
        <w:pStyle w:val="Heading3"/>
        <w:rPr>
          <w:noProof/>
        </w:rPr>
      </w:pPr>
      <w:bookmarkStart w:id="63" w:name="_Toc130395588"/>
      <w:bookmarkStart w:id="64" w:name="_Toc130403506"/>
      <w:bookmarkStart w:id="65" w:name="_Toc130395589"/>
      <w:bookmarkStart w:id="66" w:name="_Toc130403507"/>
      <w:bookmarkStart w:id="67" w:name="_Toc130395590"/>
      <w:bookmarkStart w:id="68" w:name="_Toc130403508"/>
      <w:bookmarkStart w:id="69" w:name="_Toc129710173"/>
      <w:bookmarkStart w:id="70" w:name="_Toc129899866"/>
      <w:bookmarkStart w:id="71" w:name="_Toc128935074"/>
      <w:bookmarkStart w:id="72" w:name="_Ref130492893"/>
      <w:bookmarkStart w:id="73" w:name="_Toc135237382"/>
      <w:bookmarkEnd w:id="63"/>
      <w:bookmarkEnd w:id="64"/>
      <w:bookmarkEnd w:id="65"/>
      <w:bookmarkEnd w:id="66"/>
      <w:bookmarkEnd w:id="67"/>
      <w:bookmarkEnd w:id="68"/>
      <w:r w:rsidRPr="00881BC8">
        <w:rPr>
          <w:noProof/>
        </w:rPr>
        <w:t>Late payment</w:t>
      </w:r>
      <w:r w:rsidR="002F4375" w:rsidRPr="00881BC8">
        <w:rPr>
          <w:noProof/>
        </w:rPr>
        <w:t>s</w:t>
      </w:r>
      <w:r w:rsidRPr="00881BC8">
        <w:rPr>
          <w:noProof/>
        </w:rPr>
        <w:t xml:space="preserve"> affect </w:t>
      </w:r>
      <w:bookmarkEnd w:id="69"/>
      <w:bookmarkEnd w:id="70"/>
      <w:bookmarkEnd w:id="71"/>
      <w:bookmarkEnd w:id="72"/>
      <w:r w:rsidR="00C63CA3" w:rsidRPr="00881BC8">
        <w:rPr>
          <w:noProof/>
        </w:rPr>
        <w:t xml:space="preserve">SMEs more </w:t>
      </w:r>
      <w:r w:rsidR="00C33C73" w:rsidRPr="00881BC8">
        <w:rPr>
          <w:noProof/>
        </w:rPr>
        <w:t xml:space="preserve">severely </w:t>
      </w:r>
      <w:r w:rsidR="00C63CA3" w:rsidRPr="00881BC8">
        <w:rPr>
          <w:noProof/>
        </w:rPr>
        <w:t>than large companies</w:t>
      </w:r>
      <w:bookmarkEnd w:id="73"/>
    </w:p>
    <w:p w14:paraId="37824289" w14:textId="3F1C47BE" w:rsidR="00A61079" w:rsidRPr="00881BC8" w:rsidRDefault="1890AD8F" w:rsidP="004835F8">
      <w:pPr>
        <w:pStyle w:val="NormalPara"/>
        <w:rPr>
          <w:noProof/>
          <w:lang w:val="en-GB"/>
        </w:rPr>
      </w:pPr>
      <w:r w:rsidRPr="00881BC8">
        <w:rPr>
          <w:noProof/>
          <w:lang w:val="en-GB"/>
        </w:rPr>
        <w:t xml:space="preserve">Late payments are an issue for </w:t>
      </w:r>
      <w:r w:rsidR="0042179E" w:rsidRPr="00881BC8">
        <w:rPr>
          <w:noProof/>
          <w:lang w:val="en-GB"/>
        </w:rPr>
        <w:t xml:space="preserve">companies of </w:t>
      </w:r>
      <w:r w:rsidRPr="00881BC8">
        <w:rPr>
          <w:noProof/>
          <w:lang w:val="en-GB"/>
        </w:rPr>
        <w:t>all sizes</w:t>
      </w:r>
      <w:r w:rsidR="0042179E" w:rsidRPr="00881BC8">
        <w:rPr>
          <w:rStyle w:val="FootnoteReference"/>
          <w:noProof/>
          <w:lang w:val="en-GB"/>
        </w:rPr>
        <w:footnoteReference w:id="33"/>
      </w:r>
      <w:r w:rsidRPr="00881BC8">
        <w:rPr>
          <w:noProof/>
          <w:lang w:val="en-GB"/>
        </w:rPr>
        <w:t xml:space="preserve">. </w:t>
      </w:r>
      <w:r w:rsidR="0056004F" w:rsidRPr="00881BC8">
        <w:rPr>
          <w:noProof/>
          <w:lang w:val="en-GB"/>
        </w:rPr>
        <w:t xml:space="preserve">While </w:t>
      </w:r>
      <w:r w:rsidR="008E592E" w:rsidRPr="00881BC8">
        <w:rPr>
          <w:noProof/>
          <w:lang w:val="en-GB"/>
        </w:rPr>
        <w:t xml:space="preserve">some </w:t>
      </w:r>
      <w:r w:rsidR="00C016CB" w:rsidRPr="00881BC8">
        <w:rPr>
          <w:noProof/>
          <w:lang w:val="en-GB"/>
        </w:rPr>
        <w:t>studies</w:t>
      </w:r>
      <w:r w:rsidR="00C016CB" w:rsidRPr="00881BC8">
        <w:rPr>
          <w:rStyle w:val="FootnoteReference"/>
          <w:noProof/>
          <w:lang w:val="en-GB"/>
        </w:rPr>
        <w:footnoteReference w:id="34"/>
      </w:r>
      <w:r w:rsidR="008E592E" w:rsidRPr="00881BC8">
        <w:rPr>
          <w:noProof/>
          <w:lang w:val="en-GB"/>
        </w:rPr>
        <w:t xml:space="preserve"> </w:t>
      </w:r>
      <w:r w:rsidR="003D3057" w:rsidRPr="00881BC8">
        <w:rPr>
          <w:noProof/>
          <w:lang w:val="en-GB"/>
        </w:rPr>
        <w:t xml:space="preserve">point to comparable levels of payment terms and delays in </w:t>
      </w:r>
      <w:r w:rsidRPr="00881BC8">
        <w:rPr>
          <w:noProof/>
          <w:lang w:val="en-GB"/>
        </w:rPr>
        <w:t>SMEs and large companies</w:t>
      </w:r>
      <w:r w:rsidR="0056004F" w:rsidRPr="00881BC8">
        <w:rPr>
          <w:noProof/>
          <w:lang w:val="en-GB"/>
        </w:rPr>
        <w:t xml:space="preserve">, </w:t>
      </w:r>
      <w:r w:rsidR="00F361F8" w:rsidRPr="00881BC8">
        <w:rPr>
          <w:noProof/>
          <w:lang w:val="en-GB"/>
        </w:rPr>
        <w:t>other</w:t>
      </w:r>
      <w:r w:rsidR="006A7CE3" w:rsidRPr="00881BC8">
        <w:rPr>
          <w:noProof/>
          <w:lang w:val="en-GB"/>
        </w:rPr>
        <w:t xml:space="preserve"> </w:t>
      </w:r>
      <w:r w:rsidR="00F361F8" w:rsidRPr="00881BC8">
        <w:rPr>
          <w:noProof/>
          <w:lang w:val="en-GB"/>
        </w:rPr>
        <w:t xml:space="preserve">studies </w:t>
      </w:r>
      <w:r w:rsidR="7C3C9AB7" w:rsidRPr="00881BC8">
        <w:rPr>
          <w:noProof/>
          <w:lang w:val="en-GB"/>
        </w:rPr>
        <w:t xml:space="preserve">show that </w:t>
      </w:r>
      <w:r w:rsidR="003D3057" w:rsidRPr="00881BC8">
        <w:rPr>
          <w:noProof/>
          <w:lang w:val="en-GB"/>
        </w:rPr>
        <w:t xml:space="preserve">payment behaviour of </w:t>
      </w:r>
      <w:r w:rsidR="00F361F8" w:rsidRPr="00881BC8">
        <w:rPr>
          <w:noProof/>
          <w:lang w:val="en-GB"/>
        </w:rPr>
        <w:t>large companies differ</w:t>
      </w:r>
      <w:r w:rsidR="003D3057" w:rsidRPr="00881BC8">
        <w:rPr>
          <w:noProof/>
          <w:lang w:val="en-GB"/>
        </w:rPr>
        <w:t>s</w:t>
      </w:r>
      <w:r w:rsidR="00F361F8" w:rsidRPr="00881BC8">
        <w:rPr>
          <w:noProof/>
          <w:lang w:val="en-GB"/>
        </w:rPr>
        <w:t xml:space="preserve"> from </w:t>
      </w:r>
      <w:r w:rsidR="003D3057" w:rsidRPr="00881BC8">
        <w:rPr>
          <w:noProof/>
          <w:lang w:val="en-GB"/>
        </w:rPr>
        <w:t xml:space="preserve">the one of </w:t>
      </w:r>
      <w:r w:rsidR="00F361F8" w:rsidRPr="00881BC8">
        <w:rPr>
          <w:noProof/>
          <w:lang w:val="en-GB"/>
        </w:rPr>
        <w:t>smaller enterprises</w:t>
      </w:r>
      <w:r w:rsidR="7C3C9AB7" w:rsidRPr="00881BC8">
        <w:rPr>
          <w:noProof/>
          <w:lang w:val="en-GB"/>
        </w:rPr>
        <w:t xml:space="preserve">. </w:t>
      </w:r>
      <w:r w:rsidR="00923841" w:rsidRPr="00881BC8">
        <w:rPr>
          <w:noProof/>
          <w:lang w:val="en-GB"/>
        </w:rPr>
        <w:t>The percentage of punctual payers decreases as business size rises</w:t>
      </w:r>
      <w:r w:rsidR="00923841" w:rsidRPr="00881BC8">
        <w:rPr>
          <w:rFonts w:eastAsiaTheme="minorEastAsia"/>
          <w:noProof/>
          <w:vertAlign w:val="superscript"/>
          <w:lang w:val="en-GB"/>
        </w:rPr>
        <w:footnoteReference w:id="35"/>
      </w:r>
      <w:r w:rsidR="00923841" w:rsidRPr="00881BC8">
        <w:rPr>
          <w:noProof/>
          <w:lang w:val="en-GB"/>
        </w:rPr>
        <w:t xml:space="preserve">. </w:t>
      </w:r>
      <w:r w:rsidR="00A61079" w:rsidRPr="00881BC8">
        <w:rPr>
          <w:noProof/>
          <w:lang w:val="en-GB"/>
        </w:rPr>
        <w:t>A 2021 study</w:t>
      </w:r>
      <w:r w:rsidR="00923841" w:rsidRPr="00881BC8">
        <w:rPr>
          <w:noProof/>
          <w:lang w:val="en-GB"/>
        </w:rPr>
        <w:t xml:space="preserve"> </w:t>
      </w:r>
      <w:r w:rsidR="002B541F" w:rsidRPr="00881BC8">
        <w:rPr>
          <w:noProof/>
          <w:lang w:val="en-GB"/>
        </w:rPr>
        <w:t>demonstrates</w:t>
      </w:r>
      <w:r w:rsidR="00A61079" w:rsidRPr="00881BC8">
        <w:rPr>
          <w:noProof/>
          <w:lang w:val="en-GB"/>
        </w:rPr>
        <w:t xml:space="preserve"> that microenterprises, and in some markets small companies, showed the best payment behaviour</w:t>
      </w:r>
      <w:r w:rsidR="00C600BB" w:rsidRPr="00881BC8">
        <w:rPr>
          <w:noProof/>
          <w:lang w:val="en-GB"/>
        </w:rPr>
        <w:t xml:space="preserve"> (</w:t>
      </w:r>
      <w:r w:rsidR="00A61079" w:rsidRPr="00881BC8">
        <w:rPr>
          <w:noProof/>
          <w:lang w:val="en-GB"/>
        </w:rPr>
        <w:fldChar w:fldCharType="begin"/>
      </w:r>
      <w:r w:rsidR="00A61079" w:rsidRPr="00881BC8">
        <w:rPr>
          <w:noProof/>
          <w:lang w:val="en-GB"/>
        </w:rPr>
        <w:instrText xml:space="preserve"> REF _Ref130974545 \h </w:instrText>
      </w:r>
      <w:r w:rsidR="00A61079" w:rsidRPr="00881BC8">
        <w:rPr>
          <w:noProof/>
          <w:lang w:val="en-GB"/>
        </w:rPr>
      </w:r>
      <w:r w:rsidR="00A61079" w:rsidRPr="00881BC8">
        <w:rPr>
          <w:noProof/>
          <w:lang w:val="en-GB"/>
        </w:rPr>
        <w:fldChar w:fldCharType="separate"/>
      </w:r>
      <w:r w:rsidR="005851F4" w:rsidRPr="00881BC8">
        <w:rPr>
          <w:noProof/>
          <w:lang w:val="en-GB"/>
        </w:rPr>
        <w:t xml:space="preserve">Figure </w:t>
      </w:r>
      <w:r w:rsidR="005851F4">
        <w:rPr>
          <w:noProof/>
          <w:lang w:val="en-GB"/>
        </w:rPr>
        <w:t>15</w:t>
      </w:r>
      <w:r w:rsidR="00A61079" w:rsidRPr="00881BC8">
        <w:rPr>
          <w:noProof/>
          <w:lang w:val="en-GB"/>
        </w:rPr>
        <w:fldChar w:fldCharType="end"/>
      </w:r>
      <w:r w:rsidR="00A61079" w:rsidRPr="00881BC8">
        <w:rPr>
          <w:noProof/>
          <w:lang w:val="en-GB"/>
        </w:rPr>
        <w:t xml:space="preserve"> in </w:t>
      </w:r>
      <w:r w:rsidR="00A61079" w:rsidRPr="00881BC8">
        <w:rPr>
          <w:noProof/>
          <w:lang w:val="en-GB"/>
        </w:rPr>
        <w:fldChar w:fldCharType="begin"/>
      </w:r>
      <w:r w:rsidR="00A61079" w:rsidRPr="00881BC8">
        <w:rPr>
          <w:noProof/>
          <w:lang w:val="en-GB"/>
        </w:rPr>
        <w:instrText xml:space="preserve"> REF Annex17 \h </w:instrText>
      </w:r>
      <w:r w:rsidR="00A61079" w:rsidRPr="00881BC8">
        <w:rPr>
          <w:noProof/>
          <w:lang w:val="en-GB"/>
        </w:rPr>
      </w:r>
      <w:r w:rsidR="00A61079" w:rsidRPr="00881BC8">
        <w:rPr>
          <w:noProof/>
          <w:lang w:val="en-GB"/>
        </w:rPr>
        <w:fldChar w:fldCharType="separate"/>
      </w:r>
      <w:r w:rsidR="005851F4" w:rsidRPr="00881BC8">
        <w:rPr>
          <w:noProof/>
        </w:rPr>
        <w:t>Annex 17</w:t>
      </w:r>
      <w:r w:rsidR="00A61079" w:rsidRPr="00881BC8">
        <w:rPr>
          <w:noProof/>
          <w:lang w:val="en-GB"/>
        </w:rPr>
        <w:fldChar w:fldCharType="end"/>
      </w:r>
      <w:r w:rsidR="00C600BB" w:rsidRPr="00881BC8">
        <w:rPr>
          <w:noProof/>
          <w:lang w:val="en-GB"/>
        </w:rPr>
        <w:t>)</w:t>
      </w:r>
      <w:r w:rsidR="00A61079" w:rsidRPr="00881BC8">
        <w:rPr>
          <w:noProof/>
          <w:lang w:val="en-GB"/>
        </w:rPr>
        <w:t>.</w:t>
      </w:r>
    </w:p>
    <w:p w14:paraId="68C99C35" w14:textId="74607D18" w:rsidR="00832232" w:rsidRPr="00881BC8" w:rsidRDefault="00832232" w:rsidP="004835F8">
      <w:pPr>
        <w:pStyle w:val="NormalPara"/>
        <w:rPr>
          <w:noProof/>
          <w:lang w:val="en-GB"/>
        </w:rPr>
      </w:pPr>
      <w:r w:rsidRPr="00881BC8">
        <w:rPr>
          <w:noProof/>
          <w:lang w:val="en-GB"/>
        </w:rPr>
        <w:t>The larger the company is, the worse payment performance it is likely to exhibit</w:t>
      </w:r>
      <w:r w:rsidRPr="00881BC8">
        <w:rPr>
          <w:rStyle w:val="FootnoteReference"/>
          <w:noProof/>
          <w:lang w:val="en-GB"/>
        </w:rPr>
        <w:footnoteReference w:id="36"/>
      </w:r>
      <w:r w:rsidR="00164A6B" w:rsidRPr="00881BC8">
        <w:rPr>
          <w:noProof/>
          <w:lang w:val="en-GB"/>
        </w:rPr>
        <w:t xml:space="preserve"> </w:t>
      </w:r>
      <w:r w:rsidR="00164A6B" w:rsidRPr="00881BC8">
        <w:rPr>
          <w:rStyle w:val="FootnoteReference"/>
          <w:noProof/>
          <w:lang w:val="en-GB"/>
        </w:rPr>
        <w:footnoteReference w:id="37"/>
      </w:r>
      <w:r w:rsidRPr="00881BC8">
        <w:rPr>
          <w:noProof/>
          <w:lang w:val="en-GB"/>
        </w:rPr>
        <w:t xml:space="preserve">. </w:t>
      </w:r>
    </w:p>
    <w:p w14:paraId="4882D53D" w14:textId="0EC70A41" w:rsidR="00164661" w:rsidRPr="00881BC8" w:rsidRDefault="00164661" w:rsidP="004835F8">
      <w:pPr>
        <w:pStyle w:val="NormalPara"/>
        <w:rPr>
          <w:rStyle w:val="normaltextrun"/>
          <w:b/>
          <w:bCs/>
          <w:noProof/>
          <w:sz w:val="23"/>
          <w:szCs w:val="23"/>
          <w:lang w:val="en-GB"/>
        </w:rPr>
      </w:pPr>
      <w:r w:rsidRPr="00881BC8">
        <w:rPr>
          <w:rStyle w:val="normaltextrun"/>
          <w:noProof/>
          <w:lang w:val="en-GB"/>
        </w:rPr>
        <w:t xml:space="preserve">Large companies tend to hoard liquidity and not pass it on to the supply chain. In Spain, </w:t>
      </w:r>
      <w:r w:rsidR="005A7C9E" w:rsidRPr="00881BC8">
        <w:rPr>
          <w:rStyle w:val="normaltextrun"/>
          <w:noProof/>
          <w:lang w:val="en-GB"/>
        </w:rPr>
        <w:t xml:space="preserve">it has been reported that </w:t>
      </w:r>
      <w:r w:rsidRPr="00881BC8">
        <w:rPr>
          <w:rStyle w:val="normaltextrun"/>
          <w:noProof/>
          <w:lang w:val="en-GB"/>
        </w:rPr>
        <w:t xml:space="preserve">the massive injection of liquidity completed under </w:t>
      </w:r>
      <w:r w:rsidR="00082748" w:rsidRPr="00881BC8">
        <w:rPr>
          <w:rStyle w:val="normaltextrun"/>
          <w:noProof/>
          <w:lang w:val="en-GB"/>
        </w:rPr>
        <w:t>coronavirus</w:t>
      </w:r>
      <w:r w:rsidRPr="00881BC8">
        <w:rPr>
          <w:rStyle w:val="normaltextrun"/>
          <w:noProof/>
          <w:lang w:val="en-GB"/>
        </w:rPr>
        <w:t xml:space="preserve">-crisis support led to a situation where large companies doubled their pre-crisis liquidity levels and did not pass it on to SMEs. At the same time, they slowed down their payments, leaving </w:t>
      </w:r>
      <w:r w:rsidR="009776A3" w:rsidRPr="00881BC8">
        <w:rPr>
          <w:rStyle w:val="normaltextrun"/>
          <w:noProof/>
          <w:lang w:val="en-GB"/>
        </w:rPr>
        <w:t>EUR </w:t>
      </w:r>
      <w:r w:rsidRPr="00881BC8">
        <w:rPr>
          <w:rStyle w:val="normaltextrun"/>
          <w:noProof/>
          <w:lang w:val="en-GB"/>
        </w:rPr>
        <w:t>82 billion of invoices unpaid outside the legal payment term</w:t>
      </w:r>
      <w:r w:rsidRPr="00881BC8">
        <w:rPr>
          <w:rStyle w:val="FootnoteReference"/>
          <w:noProof/>
          <w:lang w:val="en-GB"/>
        </w:rPr>
        <w:footnoteReference w:id="38"/>
      </w:r>
      <w:r w:rsidRPr="00881BC8">
        <w:rPr>
          <w:rStyle w:val="normaltextrun"/>
          <w:noProof/>
          <w:lang w:val="en-GB"/>
        </w:rPr>
        <w:t>.</w:t>
      </w:r>
      <w:r w:rsidR="00C31AC9" w:rsidRPr="00881BC8">
        <w:rPr>
          <w:rStyle w:val="normaltextrun"/>
          <w:noProof/>
          <w:lang w:val="en-GB"/>
        </w:rPr>
        <w:t xml:space="preserve"> </w:t>
      </w:r>
    </w:p>
    <w:p w14:paraId="11629A91" w14:textId="217730FA" w:rsidR="00941C00" w:rsidRPr="00881BC8" w:rsidRDefault="00941C00" w:rsidP="004835F8">
      <w:pPr>
        <w:pStyle w:val="NormalPara"/>
        <w:rPr>
          <w:noProof/>
          <w:sz w:val="22"/>
          <w:szCs w:val="22"/>
          <w:lang w:val="en-GB"/>
        </w:rPr>
      </w:pPr>
      <w:bookmarkStart w:id="74" w:name="_Toc128594922"/>
      <w:bookmarkStart w:id="75" w:name="_Toc128678875"/>
      <w:bookmarkStart w:id="76" w:name="_Toc128935075"/>
      <w:bookmarkStart w:id="77" w:name="_Toc129710174"/>
      <w:bookmarkStart w:id="78" w:name="_Toc129899867"/>
      <w:r w:rsidRPr="00881BC8">
        <w:rPr>
          <w:noProof/>
          <w:lang w:val="en-GB"/>
        </w:rPr>
        <w:t xml:space="preserve">Medium and large companies are much more effective in managing the cost of overdue payments than small and microenterprises are. </w:t>
      </w:r>
      <w:r w:rsidR="00DC29C5" w:rsidRPr="00881BC8">
        <w:rPr>
          <w:noProof/>
          <w:lang w:val="en-GB"/>
        </w:rPr>
        <w:t>Micro companies are most affected by the problem of delays with 8% of their total cost</w:t>
      </w:r>
      <w:r w:rsidR="008E02CF" w:rsidRPr="00881BC8">
        <w:rPr>
          <w:noProof/>
          <w:lang w:val="en-GB"/>
        </w:rPr>
        <w:t xml:space="preserve"> resulting from late payment</w:t>
      </w:r>
      <w:r w:rsidR="00DC29C5" w:rsidRPr="00881BC8">
        <w:rPr>
          <w:noProof/>
          <w:lang w:val="en-GB"/>
        </w:rPr>
        <w:t xml:space="preserve">. </w:t>
      </w:r>
      <w:r w:rsidR="008E02CF" w:rsidRPr="00881BC8">
        <w:rPr>
          <w:noProof/>
          <w:lang w:val="en-GB"/>
        </w:rPr>
        <w:t>The corresponding percentages i</w:t>
      </w:r>
      <w:r w:rsidR="00DC29C5" w:rsidRPr="00881BC8">
        <w:rPr>
          <w:noProof/>
          <w:lang w:val="en-GB"/>
        </w:rPr>
        <w:t>n small</w:t>
      </w:r>
      <w:r w:rsidR="008E02CF" w:rsidRPr="00881BC8">
        <w:rPr>
          <w:noProof/>
          <w:lang w:val="en-GB"/>
        </w:rPr>
        <w:t xml:space="preserve">, medium and large companies </w:t>
      </w:r>
      <w:r w:rsidR="00DC29C5" w:rsidRPr="00881BC8">
        <w:rPr>
          <w:noProof/>
          <w:lang w:val="en-GB"/>
        </w:rPr>
        <w:t xml:space="preserve">amount to </w:t>
      </w:r>
      <w:r w:rsidR="008E02CF" w:rsidRPr="00881BC8">
        <w:rPr>
          <w:noProof/>
          <w:lang w:val="en-GB"/>
        </w:rPr>
        <w:t xml:space="preserve">respectively </w:t>
      </w:r>
      <w:r w:rsidR="00DC29C5" w:rsidRPr="00881BC8">
        <w:rPr>
          <w:noProof/>
          <w:lang w:val="en-GB"/>
        </w:rPr>
        <w:t>5.5%</w:t>
      </w:r>
      <w:r w:rsidR="008E02CF" w:rsidRPr="00881BC8">
        <w:rPr>
          <w:noProof/>
          <w:lang w:val="en-GB"/>
        </w:rPr>
        <w:t>, 3.9% and 3.3%</w:t>
      </w:r>
      <w:r w:rsidR="00DC29C5" w:rsidRPr="00881BC8">
        <w:rPr>
          <w:noProof/>
          <w:lang w:val="en-GB"/>
        </w:rPr>
        <w:t xml:space="preserve"> of total costs</w:t>
      </w:r>
      <w:r w:rsidR="005A7688" w:rsidRPr="00881BC8">
        <w:rPr>
          <w:rStyle w:val="FootnoteReference"/>
          <w:noProof/>
          <w:lang w:val="en-GB"/>
        </w:rPr>
        <w:footnoteReference w:id="39"/>
      </w:r>
      <w:r w:rsidR="008E02CF" w:rsidRPr="00881BC8">
        <w:rPr>
          <w:noProof/>
          <w:lang w:val="en-GB"/>
        </w:rPr>
        <w:t>.</w:t>
      </w:r>
    </w:p>
    <w:p w14:paraId="1672C21A" w14:textId="3013E5AF" w:rsidR="0095042E" w:rsidRPr="00881BC8" w:rsidRDefault="0095042E" w:rsidP="004835F8">
      <w:pPr>
        <w:pStyle w:val="Heading3"/>
        <w:rPr>
          <w:noProof/>
        </w:rPr>
      </w:pPr>
      <w:bookmarkStart w:id="79" w:name="_Toc135237383"/>
      <w:r w:rsidRPr="00881BC8">
        <w:rPr>
          <w:noProof/>
        </w:rPr>
        <w:t xml:space="preserve">Late payment </w:t>
      </w:r>
      <w:bookmarkEnd w:id="74"/>
      <w:bookmarkEnd w:id="75"/>
      <w:bookmarkEnd w:id="76"/>
      <w:bookmarkEnd w:id="77"/>
      <w:bookmarkEnd w:id="78"/>
      <w:r w:rsidR="00E24C31" w:rsidRPr="00881BC8">
        <w:rPr>
          <w:noProof/>
        </w:rPr>
        <w:t>affects companies from all sectors</w:t>
      </w:r>
      <w:bookmarkEnd w:id="79"/>
      <w:r w:rsidR="00965519" w:rsidRPr="00881BC8">
        <w:rPr>
          <w:noProof/>
        </w:rPr>
        <w:t xml:space="preserve"> </w:t>
      </w:r>
    </w:p>
    <w:p w14:paraId="0C49F18B" w14:textId="00C339A2" w:rsidR="000A4564" w:rsidRPr="00881BC8" w:rsidRDefault="003E5BFF" w:rsidP="004835F8">
      <w:pPr>
        <w:pStyle w:val="NormalPara"/>
        <w:rPr>
          <w:noProof/>
          <w:lang w:val="en-GB"/>
        </w:rPr>
      </w:pPr>
      <w:r w:rsidRPr="00881BC8">
        <w:rPr>
          <w:noProof/>
          <w:lang w:val="en-GB"/>
        </w:rPr>
        <w:t>L</w:t>
      </w:r>
      <w:r w:rsidR="725D616F" w:rsidRPr="00881BC8">
        <w:rPr>
          <w:noProof/>
          <w:lang w:val="en-GB"/>
        </w:rPr>
        <w:t>ate payments</w:t>
      </w:r>
      <w:r w:rsidRPr="00881BC8">
        <w:rPr>
          <w:noProof/>
          <w:lang w:val="en-GB"/>
        </w:rPr>
        <w:t xml:space="preserve"> affect all sectors. </w:t>
      </w:r>
      <w:r w:rsidR="00713C9E" w:rsidRPr="00881BC8">
        <w:rPr>
          <w:noProof/>
          <w:lang w:val="en-GB"/>
        </w:rPr>
        <w:t>Most</w:t>
      </w:r>
      <w:r w:rsidR="009A152E" w:rsidRPr="00881BC8">
        <w:rPr>
          <w:noProof/>
          <w:lang w:val="en-GB"/>
        </w:rPr>
        <w:t xml:space="preserve"> business organisations </w:t>
      </w:r>
      <w:r w:rsidR="00EA3788" w:rsidRPr="00881BC8">
        <w:rPr>
          <w:noProof/>
          <w:lang w:val="en-GB"/>
        </w:rPr>
        <w:t xml:space="preserve">responding to the PC </w:t>
      </w:r>
      <w:r w:rsidR="009A152E" w:rsidRPr="00881BC8">
        <w:rPr>
          <w:noProof/>
          <w:lang w:val="en-GB"/>
        </w:rPr>
        <w:t xml:space="preserve">are either openly against </w:t>
      </w:r>
      <w:r w:rsidR="0080656B" w:rsidRPr="00881BC8">
        <w:rPr>
          <w:noProof/>
          <w:lang w:val="en-GB"/>
        </w:rPr>
        <w:t xml:space="preserve">sectoral </w:t>
      </w:r>
      <w:r w:rsidR="009A152E" w:rsidRPr="00881BC8">
        <w:rPr>
          <w:noProof/>
          <w:lang w:val="en-GB"/>
        </w:rPr>
        <w:t xml:space="preserve">exceptions or do not mention such a consideration in their submissions. </w:t>
      </w:r>
      <w:r w:rsidR="00713C9E" w:rsidRPr="00881BC8">
        <w:rPr>
          <w:noProof/>
          <w:lang w:val="en-GB"/>
        </w:rPr>
        <w:t xml:space="preserve">Construction sector business associations call for reducing tolerance for long payment terms and late payment but are not asking for a sectoral approach. </w:t>
      </w:r>
      <w:r w:rsidR="008145B3" w:rsidRPr="00881BC8">
        <w:rPr>
          <w:noProof/>
          <w:lang w:val="en-GB"/>
        </w:rPr>
        <w:t xml:space="preserve">Some stakeholders representing wholesale, retail and textile industries have called for </w:t>
      </w:r>
      <w:r w:rsidR="00553A96" w:rsidRPr="00881BC8">
        <w:rPr>
          <w:noProof/>
          <w:lang w:val="en-GB"/>
        </w:rPr>
        <w:t xml:space="preserve">sectoral approaches. </w:t>
      </w:r>
      <w:r w:rsidR="00A41FFC" w:rsidRPr="00881BC8">
        <w:rPr>
          <w:noProof/>
          <w:lang w:val="en-GB"/>
        </w:rPr>
        <w:t xml:space="preserve">The evidence from the PC </w:t>
      </w:r>
      <w:r w:rsidR="00D37D37" w:rsidRPr="00881BC8">
        <w:rPr>
          <w:noProof/>
          <w:lang w:val="en-GB"/>
        </w:rPr>
        <w:t xml:space="preserve">does not show </w:t>
      </w:r>
      <w:r w:rsidR="00553A96" w:rsidRPr="00881BC8">
        <w:rPr>
          <w:noProof/>
          <w:lang w:val="en-GB"/>
        </w:rPr>
        <w:t xml:space="preserve">unanimity among stakeholders from these sectors </w:t>
      </w:r>
      <w:r w:rsidR="00D37D37" w:rsidRPr="00881BC8">
        <w:rPr>
          <w:noProof/>
          <w:lang w:val="en-GB"/>
        </w:rPr>
        <w:t xml:space="preserve">and their </w:t>
      </w:r>
      <w:r w:rsidR="00A41FFC" w:rsidRPr="00881BC8">
        <w:rPr>
          <w:noProof/>
          <w:lang w:val="en-GB"/>
        </w:rPr>
        <w:t xml:space="preserve">diverging views </w:t>
      </w:r>
      <w:r w:rsidR="00D37D37" w:rsidRPr="00881BC8">
        <w:rPr>
          <w:noProof/>
          <w:lang w:val="en-GB"/>
        </w:rPr>
        <w:t xml:space="preserve">are </w:t>
      </w:r>
      <w:r w:rsidR="00A41FFC" w:rsidRPr="00881BC8">
        <w:rPr>
          <w:noProof/>
          <w:lang w:val="en-GB"/>
        </w:rPr>
        <w:t xml:space="preserve">sometimes starkly contradictory (e.g. with regards to large retailers). </w:t>
      </w:r>
      <w:r w:rsidR="00CF46C7" w:rsidRPr="00881BC8">
        <w:rPr>
          <w:noProof/>
          <w:lang w:val="en-GB"/>
        </w:rPr>
        <w:t>Findings from the SME panel do not confirm the need for a sectoral approach. These aspects are analysed in section</w:t>
      </w:r>
      <w:r w:rsidR="00902FB6" w:rsidRPr="00881BC8">
        <w:rPr>
          <w:noProof/>
          <w:lang w:val="en-GB"/>
        </w:rPr>
        <w:t xml:space="preserve">s </w:t>
      </w:r>
      <w:r w:rsidR="005851F4">
        <w:rPr>
          <w:noProof/>
          <w:lang w:val="en-GB"/>
        </w:rPr>
        <w:t>6.1.1.1.1</w:t>
      </w:r>
      <w:r w:rsidR="00CF46C7" w:rsidRPr="00881BC8">
        <w:rPr>
          <w:noProof/>
          <w:lang w:val="en-GB"/>
        </w:rPr>
        <w:t xml:space="preserve"> </w:t>
      </w:r>
      <w:r w:rsidR="00902FB6" w:rsidRPr="00881BC8">
        <w:rPr>
          <w:noProof/>
          <w:lang w:val="en-GB"/>
        </w:rPr>
        <w:t xml:space="preserve">and </w:t>
      </w:r>
      <w:r w:rsidR="005851F4">
        <w:rPr>
          <w:noProof/>
          <w:lang w:val="en-GB"/>
        </w:rPr>
        <w:t>6.1.1.1.2</w:t>
      </w:r>
      <w:r w:rsidR="00902FB6" w:rsidRPr="00881BC8">
        <w:rPr>
          <w:noProof/>
          <w:lang w:val="en-GB"/>
        </w:rPr>
        <w:t>.</w:t>
      </w:r>
      <w:r w:rsidR="00FA7B59" w:rsidRPr="00881BC8">
        <w:rPr>
          <w:noProof/>
          <w:lang w:val="en-GB"/>
        </w:rPr>
        <w:t xml:space="preserve"> </w:t>
      </w:r>
      <w:r w:rsidR="002C7034" w:rsidRPr="00881BC8">
        <w:rPr>
          <w:noProof/>
          <w:lang w:val="en-GB"/>
        </w:rPr>
        <w:t>See</w:t>
      </w:r>
      <w:r w:rsidR="00902FB6" w:rsidRPr="00881BC8">
        <w:rPr>
          <w:noProof/>
          <w:lang w:val="en-GB"/>
        </w:rPr>
        <w:t xml:space="preserve"> also</w:t>
      </w:r>
      <w:r w:rsidR="002C7034" w:rsidRPr="00881BC8">
        <w:rPr>
          <w:noProof/>
          <w:lang w:val="en-GB"/>
        </w:rPr>
        <w:t xml:space="preserve"> </w:t>
      </w:r>
      <w:r w:rsidR="00183DD2" w:rsidRPr="00881BC8">
        <w:rPr>
          <w:noProof/>
          <w:lang w:val="en-GB"/>
        </w:rPr>
        <w:fldChar w:fldCharType="begin"/>
      </w:r>
      <w:r w:rsidR="00183DD2" w:rsidRPr="00881BC8">
        <w:rPr>
          <w:noProof/>
          <w:lang w:val="en-GB"/>
        </w:rPr>
        <w:instrText xml:space="preserve"> REF _Ref130974545 \h </w:instrText>
      </w:r>
      <w:r w:rsidR="00183DD2" w:rsidRPr="00881BC8">
        <w:rPr>
          <w:noProof/>
          <w:lang w:val="en-GB"/>
        </w:rPr>
      </w:r>
      <w:r w:rsidR="00183DD2" w:rsidRPr="00881BC8">
        <w:rPr>
          <w:noProof/>
          <w:lang w:val="en-GB"/>
        </w:rPr>
        <w:fldChar w:fldCharType="separate"/>
      </w:r>
      <w:r w:rsidR="005851F4" w:rsidRPr="00881BC8">
        <w:rPr>
          <w:noProof/>
          <w:lang w:val="en-GB"/>
        </w:rPr>
        <w:t xml:space="preserve">Figure </w:t>
      </w:r>
      <w:r w:rsidR="005851F4">
        <w:rPr>
          <w:noProof/>
          <w:lang w:val="en-GB"/>
        </w:rPr>
        <w:t>15</w:t>
      </w:r>
      <w:r w:rsidR="00183DD2" w:rsidRPr="00881BC8">
        <w:rPr>
          <w:noProof/>
          <w:lang w:val="en-GB"/>
        </w:rPr>
        <w:fldChar w:fldCharType="end"/>
      </w:r>
      <w:r w:rsidR="00183DD2" w:rsidRPr="00881BC8">
        <w:rPr>
          <w:noProof/>
          <w:lang w:val="en-GB"/>
        </w:rPr>
        <w:t xml:space="preserve"> </w:t>
      </w:r>
      <w:r w:rsidR="002C7034" w:rsidRPr="00881BC8">
        <w:rPr>
          <w:noProof/>
          <w:lang w:val="en-GB"/>
        </w:rPr>
        <w:t xml:space="preserve">in </w:t>
      </w:r>
      <w:r w:rsidR="002C7034" w:rsidRPr="00881BC8">
        <w:rPr>
          <w:noProof/>
          <w:lang w:val="en-GB"/>
        </w:rPr>
        <w:fldChar w:fldCharType="begin"/>
      </w:r>
      <w:r w:rsidR="002C7034" w:rsidRPr="00881BC8">
        <w:rPr>
          <w:noProof/>
          <w:lang w:val="en-GB"/>
        </w:rPr>
        <w:instrText xml:space="preserve"> REF Annex17 \h </w:instrText>
      </w:r>
      <w:r w:rsidR="002C7034" w:rsidRPr="00881BC8">
        <w:rPr>
          <w:noProof/>
          <w:lang w:val="en-GB"/>
        </w:rPr>
      </w:r>
      <w:r w:rsidR="002C7034" w:rsidRPr="00881BC8">
        <w:rPr>
          <w:noProof/>
          <w:lang w:val="en-GB"/>
        </w:rPr>
        <w:fldChar w:fldCharType="separate"/>
      </w:r>
      <w:r w:rsidR="005851F4" w:rsidRPr="00881BC8">
        <w:rPr>
          <w:noProof/>
        </w:rPr>
        <w:t>Annex 17</w:t>
      </w:r>
      <w:r w:rsidR="002C7034" w:rsidRPr="00881BC8">
        <w:rPr>
          <w:noProof/>
          <w:lang w:val="en-GB"/>
        </w:rPr>
        <w:fldChar w:fldCharType="end"/>
      </w:r>
      <w:r w:rsidR="002C7034" w:rsidRPr="00881BC8">
        <w:rPr>
          <w:noProof/>
          <w:lang w:val="en-GB"/>
        </w:rPr>
        <w:t>.</w:t>
      </w:r>
    </w:p>
    <w:p w14:paraId="34546ACD" w14:textId="2E67154B" w:rsidR="000A4564" w:rsidRPr="00881BC8" w:rsidRDefault="00B2048F" w:rsidP="004835F8">
      <w:pPr>
        <w:pStyle w:val="NormalPara"/>
        <w:rPr>
          <w:noProof/>
          <w:lang w:val="en-GB"/>
        </w:rPr>
      </w:pPr>
      <w:r w:rsidRPr="00881BC8">
        <w:rPr>
          <w:noProof/>
          <w:lang w:val="en-GB"/>
        </w:rPr>
        <w:t>Construction sector stakeholders report</w:t>
      </w:r>
      <w:r w:rsidR="725D616F" w:rsidRPr="00881BC8">
        <w:rPr>
          <w:noProof/>
          <w:lang w:val="en-GB"/>
        </w:rPr>
        <w:t xml:space="preserve"> late payments</w:t>
      </w:r>
      <w:r w:rsidRPr="00881BC8">
        <w:rPr>
          <w:noProof/>
          <w:lang w:val="en-GB"/>
        </w:rPr>
        <w:t xml:space="preserve"> as particularly acute</w:t>
      </w:r>
      <w:r w:rsidR="4F80FAFB" w:rsidRPr="00881BC8">
        <w:rPr>
          <w:noProof/>
          <w:lang w:val="en-GB"/>
        </w:rPr>
        <w:t xml:space="preserve">. </w:t>
      </w:r>
      <w:r w:rsidR="00EB15E5" w:rsidRPr="00881BC8">
        <w:rPr>
          <w:noProof/>
          <w:lang w:val="en-GB"/>
        </w:rPr>
        <w:t xml:space="preserve">Practices to artificially delay payment </w:t>
      </w:r>
      <w:r w:rsidR="00C02233" w:rsidRPr="00881BC8">
        <w:rPr>
          <w:noProof/>
          <w:lang w:val="en-GB"/>
        </w:rPr>
        <w:t>i</w:t>
      </w:r>
      <w:r w:rsidR="4F80FAFB" w:rsidRPr="00881BC8">
        <w:rPr>
          <w:noProof/>
          <w:lang w:val="en-GB"/>
        </w:rPr>
        <w:t>n construction sector</w:t>
      </w:r>
      <w:r w:rsidR="00C02233" w:rsidRPr="00881BC8">
        <w:rPr>
          <w:noProof/>
          <w:lang w:val="en-GB"/>
        </w:rPr>
        <w:t xml:space="preserve"> include</w:t>
      </w:r>
      <w:r w:rsidR="4F80FAFB" w:rsidRPr="00881BC8">
        <w:rPr>
          <w:noProof/>
          <w:lang w:val="en-GB"/>
        </w:rPr>
        <w:t xml:space="preserve"> disputes on the quality of the work or materials, </w:t>
      </w:r>
      <w:r w:rsidR="00EF0427" w:rsidRPr="00881BC8">
        <w:rPr>
          <w:noProof/>
          <w:lang w:val="en-GB"/>
        </w:rPr>
        <w:t xml:space="preserve">extending </w:t>
      </w:r>
      <w:r w:rsidR="4F80FAFB" w:rsidRPr="00881BC8">
        <w:rPr>
          <w:noProof/>
          <w:lang w:val="en-GB"/>
        </w:rPr>
        <w:t xml:space="preserve">verification procedures, </w:t>
      </w:r>
      <w:r w:rsidR="00EF0427" w:rsidRPr="00881BC8">
        <w:rPr>
          <w:noProof/>
          <w:lang w:val="en-GB"/>
        </w:rPr>
        <w:t xml:space="preserve">or </w:t>
      </w:r>
      <w:r w:rsidR="00BA577D" w:rsidRPr="00881BC8">
        <w:rPr>
          <w:noProof/>
          <w:lang w:val="en-GB"/>
        </w:rPr>
        <w:t xml:space="preserve">making </w:t>
      </w:r>
      <w:r w:rsidR="4F80FAFB" w:rsidRPr="00881BC8">
        <w:rPr>
          <w:noProof/>
          <w:lang w:val="en-GB"/>
        </w:rPr>
        <w:t>administrative payment processes</w:t>
      </w:r>
      <w:r w:rsidR="00BA577D" w:rsidRPr="00881BC8">
        <w:rPr>
          <w:noProof/>
          <w:lang w:val="en-GB"/>
        </w:rPr>
        <w:t xml:space="preserve"> excessively complex</w:t>
      </w:r>
      <w:r w:rsidR="000A4564" w:rsidRPr="00881BC8">
        <w:rPr>
          <w:rStyle w:val="FootnoteReference"/>
          <w:noProof/>
          <w:lang w:val="en-GB"/>
        </w:rPr>
        <w:footnoteReference w:id="40"/>
      </w:r>
      <w:r w:rsidR="4F80FAFB" w:rsidRPr="00881BC8">
        <w:rPr>
          <w:noProof/>
          <w:lang w:val="en-GB"/>
        </w:rPr>
        <w:t>.</w:t>
      </w:r>
      <w:r w:rsidR="00566D34" w:rsidRPr="00881BC8">
        <w:rPr>
          <w:noProof/>
          <w:lang w:val="en-GB"/>
        </w:rPr>
        <w:t xml:space="preserve"> </w:t>
      </w:r>
      <w:r w:rsidR="117D92B2" w:rsidRPr="00881BC8">
        <w:rPr>
          <w:noProof/>
          <w:lang w:val="en-GB"/>
        </w:rPr>
        <w:t>49% of SMEs in the construction sector reported late payment problems</w:t>
      </w:r>
      <w:r w:rsidR="002356E9" w:rsidRPr="00881BC8">
        <w:rPr>
          <w:rStyle w:val="FootnoteReference"/>
          <w:noProof/>
          <w:lang w:val="en-GB"/>
        </w:rPr>
        <w:footnoteReference w:id="41"/>
      </w:r>
      <w:r w:rsidR="117D92B2" w:rsidRPr="00881BC8">
        <w:rPr>
          <w:noProof/>
          <w:lang w:val="en-GB"/>
        </w:rPr>
        <w:t xml:space="preserve">. </w:t>
      </w:r>
      <w:r w:rsidR="00DB19B2" w:rsidRPr="00881BC8">
        <w:rPr>
          <w:noProof/>
          <w:lang w:val="en-GB"/>
        </w:rPr>
        <w:t xml:space="preserve">The percentage share of </w:t>
      </w:r>
      <w:r w:rsidR="65D45432" w:rsidRPr="00881BC8">
        <w:rPr>
          <w:noProof/>
          <w:lang w:val="en-GB"/>
        </w:rPr>
        <w:t xml:space="preserve">payments </w:t>
      </w:r>
      <w:r w:rsidR="00DB19B2" w:rsidRPr="00881BC8">
        <w:rPr>
          <w:noProof/>
          <w:lang w:val="en-GB"/>
        </w:rPr>
        <w:t xml:space="preserve">made on time </w:t>
      </w:r>
      <w:r w:rsidR="65D45432" w:rsidRPr="00881BC8">
        <w:rPr>
          <w:noProof/>
          <w:lang w:val="en-GB"/>
        </w:rPr>
        <w:t xml:space="preserve">in this sector </w:t>
      </w:r>
      <w:r w:rsidR="00DB19B2" w:rsidRPr="00881BC8">
        <w:rPr>
          <w:noProof/>
          <w:lang w:val="en-GB"/>
        </w:rPr>
        <w:t xml:space="preserve">is </w:t>
      </w:r>
      <w:r w:rsidR="117D92B2" w:rsidRPr="00881BC8">
        <w:rPr>
          <w:noProof/>
          <w:lang w:val="en-GB"/>
        </w:rPr>
        <w:t xml:space="preserve">not satisfactory </w:t>
      </w:r>
      <w:r w:rsidR="00DB19B2" w:rsidRPr="00881BC8">
        <w:rPr>
          <w:noProof/>
          <w:lang w:val="en-GB"/>
        </w:rPr>
        <w:t xml:space="preserve">anywhere </w:t>
      </w:r>
      <w:r w:rsidR="00020E13" w:rsidRPr="00881BC8">
        <w:rPr>
          <w:noProof/>
          <w:lang w:val="en-GB"/>
        </w:rPr>
        <w:t xml:space="preserve">in </w:t>
      </w:r>
      <w:r w:rsidR="117D92B2" w:rsidRPr="00881BC8">
        <w:rPr>
          <w:noProof/>
          <w:lang w:val="en-GB"/>
        </w:rPr>
        <w:t>the E</w:t>
      </w:r>
      <w:r w:rsidR="4F80FAFB" w:rsidRPr="00881BC8">
        <w:rPr>
          <w:noProof/>
          <w:lang w:val="en-GB"/>
        </w:rPr>
        <w:t>U</w:t>
      </w:r>
      <w:r w:rsidR="00DB19B2" w:rsidRPr="00881BC8">
        <w:rPr>
          <w:noProof/>
          <w:lang w:val="en-GB"/>
        </w:rPr>
        <w:t>,</w:t>
      </w:r>
      <w:r w:rsidR="117D92B2" w:rsidRPr="00881BC8">
        <w:rPr>
          <w:noProof/>
          <w:lang w:val="en-GB"/>
        </w:rPr>
        <w:t xml:space="preserve"> </w:t>
      </w:r>
      <w:r w:rsidR="00DB19B2" w:rsidRPr="00881BC8">
        <w:rPr>
          <w:noProof/>
          <w:lang w:val="en-GB"/>
        </w:rPr>
        <w:t xml:space="preserve">except for </w:t>
      </w:r>
      <w:r w:rsidR="65D45432" w:rsidRPr="00881BC8">
        <w:rPr>
          <w:noProof/>
          <w:lang w:val="en-GB"/>
        </w:rPr>
        <w:t>Denmark</w:t>
      </w:r>
      <w:r w:rsidR="00020E13" w:rsidRPr="00881BC8">
        <w:rPr>
          <w:noProof/>
          <w:lang w:val="en-GB"/>
        </w:rPr>
        <w:t xml:space="preserve">, where </w:t>
      </w:r>
      <w:r w:rsidR="0016446B" w:rsidRPr="00881BC8">
        <w:rPr>
          <w:noProof/>
          <w:lang w:val="en-GB"/>
        </w:rPr>
        <w:t>91.9% payments were made on time</w:t>
      </w:r>
      <w:r w:rsidR="001B704E" w:rsidRPr="00881BC8">
        <w:rPr>
          <w:rStyle w:val="FootnoteReference"/>
          <w:noProof/>
          <w:lang w:val="en-GB"/>
        </w:rPr>
        <w:footnoteReference w:id="42"/>
      </w:r>
      <w:r w:rsidR="65D45432" w:rsidRPr="00881BC8">
        <w:rPr>
          <w:noProof/>
          <w:lang w:val="en-GB"/>
        </w:rPr>
        <w:t xml:space="preserve">. The percentage </w:t>
      </w:r>
      <w:r w:rsidR="007E0907" w:rsidRPr="00881BC8">
        <w:rPr>
          <w:noProof/>
          <w:lang w:val="en-GB"/>
        </w:rPr>
        <w:t xml:space="preserve">share </w:t>
      </w:r>
      <w:r w:rsidR="65D45432" w:rsidRPr="00881BC8">
        <w:rPr>
          <w:noProof/>
          <w:lang w:val="en-GB"/>
        </w:rPr>
        <w:t xml:space="preserve">of payments </w:t>
      </w:r>
      <w:r w:rsidR="125754FF" w:rsidRPr="00881BC8">
        <w:rPr>
          <w:noProof/>
          <w:lang w:val="en-GB"/>
        </w:rPr>
        <w:t xml:space="preserve">made </w:t>
      </w:r>
      <w:r w:rsidR="7BDE08FA" w:rsidRPr="00881BC8">
        <w:rPr>
          <w:noProof/>
          <w:lang w:val="en-GB"/>
        </w:rPr>
        <w:t xml:space="preserve">by the agreed deadline </w:t>
      </w:r>
      <w:r w:rsidR="65D45432" w:rsidRPr="00881BC8">
        <w:rPr>
          <w:noProof/>
          <w:lang w:val="en-GB"/>
        </w:rPr>
        <w:t xml:space="preserve">in 2022 </w:t>
      </w:r>
      <w:r w:rsidR="4F80FAFB" w:rsidRPr="00881BC8">
        <w:rPr>
          <w:noProof/>
          <w:lang w:val="en-GB"/>
        </w:rPr>
        <w:t>range</w:t>
      </w:r>
      <w:r w:rsidR="6CD76237" w:rsidRPr="00881BC8">
        <w:rPr>
          <w:noProof/>
          <w:lang w:val="en-GB"/>
        </w:rPr>
        <w:t>d</w:t>
      </w:r>
      <w:r w:rsidR="4F80FAFB" w:rsidRPr="00881BC8">
        <w:rPr>
          <w:noProof/>
          <w:lang w:val="en-GB"/>
        </w:rPr>
        <w:t xml:space="preserve"> from 1</w:t>
      </w:r>
      <w:r w:rsidR="6CD76237" w:rsidRPr="00881BC8">
        <w:rPr>
          <w:noProof/>
          <w:lang w:val="en-GB"/>
        </w:rPr>
        <w:t>5</w:t>
      </w:r>
      <w:r w:rsidR="4F80FAFB" w:rsidRPr="00881BC8">
        <w:rPr>
          <w:noProof/>
          <w:lang w:val="en-GB"/>
        </w:rPr>
        <w:t xml:space="preserve">% in </w:t>
      </w:r>
      <w:r w:rsidR="6CD76237" w:rsidRPr="00881BC8">
        <w:rPr>
          <w:noProof/>
          <w:lang w:val="en-GB"/>
        </w:rPr>
        <w:t>Bulgaria</w:t>
      </w:r>
      <w:r w:rsidR="4F80FAFB" w:rsidRPr="00881BC8">
        <w:rPr>
          <w:noProof/>
          <w:lang w:val="en-GB"/>
        </w:rPr>
        <w:t xml:space="preserve"> to 68% in Germany</w:t>
      </w:r>
      <w:r w:rsidR="000A4564" w:rsidRPr="00881BC8">
        <w:rPr>
          <w:rStyle w:val="FootnoteReference"/>
          <w:noProof/>
          <w:lang w:val="en-GB"/>
        </w:rPr>
        <w:footnoteReference w:id="43"/>
      </w:r>
      <w:r w:rsidR="00020E13" w:rsidRPr="00881BC8">
        <w:rPr>
          <w:noProof/>
          <w:lang w:val="en-GB"/>
        </w:rPr>
        <w:t>.</w:t>
      </w:r>
      <w:r w:rsidR="65D45432" w:rsidRPr="00881BC8">
        <w:rPr>
          <w:noProof/>
          <w:lang w:val="en-GB"/>
        </w:rPr>
        <w:t xml:space="preserve"> </w:t>
      </w:r>
    </w:p>
    <w:p w14:paraId="213A9771" w14:textId="5B129712" w:rsidR="00644A0B" w:rsidRPr="00881BC8" w:rsidRDefault="4BAC240F" w:rsidP="004835F8">
      <w:pPr>
        <w:pStyle w:val="Heading3"/>
        <w:rPr>
          <w:noProof/>
        </w:rPr>
      </w:pPr>
      <w:bookmarkStart w:id="80" w:name="_Toc130395593"/>
      <w:bookmarkStart w:id="81" w:name="_Toc130403511"/>
      <w:bookmarkStart w:id="82" w:name="_Toc130395594"/>
      <w:bookmarkStart w:id="83" w:name="_Toc130403512"/>
      <w:bookmarkStart w:id="84" w:name="_Toc128935076"/>
      <w:bookmarkStart w:id="85" w:name="_Toc129710175"/>
      <w:bookmarkStart w:id="86" w:name="_Toc129899868"/>
      <w:bookmarkStart w:id="87" w:name="_Toc135237384"/>
      <w:bookmarkEnd w:id="80"/>
      <w:bookmarkEnd w:id="81"/>
      <w:bookmarkEnd w:id="82"/>
      <w:bookmarkEnd w:id="83"/>
      <w:r w:rsidRPr="00881BC8">
        <w:rPr>
          <w:noProof/>
        </w:rPr>
        <w:t>Late payment</w:t>
      </w:r>
      <w:r w:rsidR="002C5D1D" w:rsidRPr="00881BC8">
        <w:rPr>
          <w:noProof/>
        </w:rPr>
        <w:t xml:space="preserve"> is</w:t>
      </w:r>
      <w:r w:rsidRPr="00881BC8">
        <w:rPr>
          <w:noProof/>
        </w:rPr>
        <w:t xml:space="preserve"> a </w:t>
      </w:r>
      <w:r w:rsidR="0033266A" w:rsidRPr="00881BC8">
        <w:rPr>
          <w:noProof/>
        </w:rPr>
        <w:t>worldwide</w:t>
      </w:r>
      <w:r w:rsidRPr="00881BC8">
        <w:rPr>
          <w:noProof/>
        </w:rPr>
        <w:t xml:space="preserve"> </w:t>
      </w:r>
      <w:bookmarkEnd w:id="84"/>
      <w:bookmarkEnd w:id="85"/>
      <w:bookmarkEnd w:id="86"/>
      <w:r w:rsidR="00354F25" w:rsidRPr="00881BC8">
        <w:rPr>
          <w:noProof/>
        </w:rPr>
        <w:t>problem</w:t>
      </w:r>
      <w:bookmarkEnd w:id="87"/>
    </w:p>
    <w:p w14:paraId="16FBCA93" w14:textId="39D9C358" w:rsidR="00BA3FDE" w:rsidRPr="00881BC8" w:rsidRDefault="4873BDEE" w:rsidP="004835F8">
      <w:pPr>
        <w:pStyle w:val="NormalPara"/>
        <w:rPr>
          <w:noProof/>
          <w:lang w:val="en-GB"/>
        </w:rPr>
      </w:pPr>
      <w:r w:rsidRPr="00881BC8">
        <w:rPr>
          <w:noProof/>
          <w:lang w:val="en-GB"/>
        </w:rPr>
        <w:t xml:space="preserve">Late payments are </w:t>
      </w:r>
      <w:r w:rsidR="009E7056" w:rsidRPr="00881BC8">
        <w:rPr>
          <w:noProof/>
          <w:lang w:val="en-GB"/>
        </w:rPr>
        <w:t>a</w:t>
      </w:r>
      <w:r w:rsidR="685844E1" w:rsidRPr="00881BC8">
        <w:rPr>
          <w:noProof/>
          <w:lang w:val="en-GB"/>
        </w:rPr>
        <w:t xml:space="preserve"> worldwide</w:t>
      </w:r>
      <w:r w:rsidR="009E7056" w:rsidRPr="00881BC8">
        <w:rPr>
          <w:noProof/>
          <w:lang w:val="en-GB"/>
        </w:rPr>
        <w:t xml:space="preserve"> problem</w:t>
      </w:r>
      <w:r w:rsidR="52B8C580" w:rsidRPr="00881BC8">
        <w:rPr>
          <w:noProof/>
          <w:lang w:val="en-GB"/>
        </w:rPr>
        <w:t>.</w:t>
      </w:r>
      <w:r w:rsidR="47A61E22" w:rsidRPr="00881BC8">
        <w:rPr>
          <w:noProof/>
          <w:lang w:val="en-GB"/>
        </w:rPr>
        <w:t xml:space="preserve"> </w:t>
      </w:r>
      <w:r w:rsidR="70B89D08" w:rsidRPr="00881BC8">
        <w:rPr>
          <w:noProof/>
          <w:lang w:val="en-GB"/>
        </w:rPr>
        <w:t>In 2017,</w:t>
      </w:r>
      <w:r w:rsidR="4CE7B147" w:rsidRPr="00881BC8">
        <w:rPr>
          <w:noProof/>
          <w:lang w:val="en-GB"/>
        </w:rPr>
        <w:t xml:space="preserve"> 10% of the invoices issue</w:t>
      </w:r>
      <w:r w:rsidR="473FFCD0" w:rsidRPr="00881BC8">
        <w:rPr>
          <w:noProof/>
          <w:lang w:val="en-GB"/>
        </w:rPr>
        <w:t>d</w:t>
      </w:r>
      <w:r w:rsidR="4CE7B147" w:rsidRPr="00881BC8">
        <w:rPr>
          <w:noProof/>
          <w:lang w:val="en-GB"/>
        </w:rPr>
        <w:t xml:space="preserve"> in commercial transactions around the world were </w:t>
      </w:r>
      <w:r w:rsidR="009E7056" w:rsidRPr="00881BC8">
        <w:rPr>
          <w:noProof/>
          <w:lang w:val="en-GB"/>
        </w:rPr>
        <w:t xml:space="preserve">estimated </w:t>
      </w:r>
      <w:r w:rsidR="4CE7B147" w:rsidRPr="00881BC8">
        <w:rPr>
          <w:noProof/>
          <w:lang w:val="en-GB"/>
        </w:rPr>
        <w:t xml:space="preserve">not </w:t>
      </w:r>
      <w:r w:rsidR="009E7056" w:rsidRPr="00881BC8">
        <w:rPr>
          <w:noProof/>
          <w:lang w:val="en-GB"/>
        </w:rPr>
        <w:t xml:space="preserve">to be </w:t>
      </w:r>
      <w:r w:rsidR="4CE7B147" w:rsidRPr="00881BC8">
        <w:rPr>
          <w:noProof/>
          <w:lang w:val="en-GB"/>
        </w:rPr>
        <w:t xml:space="preserve">paid on time or </w:t>
      </w:r>
      <w:r w:rsidR="009E7056" w:rsidRPr="00881BC8">
        <w:rPr>
          <w:noProof/>
          <w:lang w:val="en-GB"/>
        </w:rPr>
        <w:t xml:space="preserve">to be </w:t>
      </w:r>
      <w:r w:rsidR="4CE7B147" w:rsidRPr="00881BC8">
        <w:rPr>
          <w:noProof/>
          <w:lang w:val="en-GB"/>
        </w:rPr>
        <w:t>written-off as bad debt</w:t>
      </w:r>
      <w:r w:rsidR="00E35FBC" w:rsidRPr="00881BC8">
        <w:rPr>
          <w:noProof/>
          <w:vertAlign w:val="superscript"/>
          <w:lang w:val="en-GB"/>
        </w:rPr>
        <w:footnoteReference w:id="44"/>
      </w:r>
      <w:r w:rsidR="4CE7B147" w:rsidRPr="00881BC8">
        <w:rPr>
          <w:noProof/>
          <w:lang w:val="en-GB"/>
        </w:rPr>
        <w:t>,</w:t>
      </w:r>
      <w:r w:rsidR="4CE7B147" w:rsidRPr="00881BC8">
        <w:rPr>
          <w:noProof/>
          <w:vertAlign w:val="superscript"/>
          <w:lang w:val="en-GB"/>
        </w:rPr>
        <w:t xml:space="preserve"> </w:t>
      </w:r>
      <w:r w:rsidR="70B89D08" w:rsidRPr="00881BC8">
        <w:rPr>
          <w:noProof/>
          <w:lang w:val="en-GB"/>
        </w:rPr>
        <w:t xml:space="preserve">costing the </w:t>
      </w:r>
      <w:r w:rsidR="001650F7" w:rsidRPr="00881BC8">
        <w:rPr>
          <w:noProof/>
          <w:lang w:val="en-GB"/>
        </w:rPr>
        <w:t xml:space="preserve">global </w:t>
      </w:r>
      <w:r w:rsidR="70B89D08" w:rsidRPr="00881BC8">
        <w:rPr>
          <w:noProof/>
          <w:lang w:val="en-GB"/>
        </w:rPr>
        <w:t>economy $1 trillion every year</w:t>
      </w:r>
      <w:r w:rsidR="00211286" w:rsidRPr="00881BC8">
        <w:rPr>
          <w:noProof/>
          <w:vertAlign w:val="superscript"/>
          <w:lang w:val="en-GB"/>
        </w:rPr>
        <w:footnoteReference w:id="45"/>
      </w:r>
      <w:r w:rsidR="4CE7B147" w:rsidRPr="00881BC8">
        <w:rPr>
          <w:noProof/>
          <w:lang w:val="en-GB"/>
        </w:rPr>
        <w:t>.</w:t>
      </w:r>
    </w:p>
    <w:p w14:paraId="7F66B12D" w14:textId="4EB801BA" w:rsidR="002B4DA9" w:rsidRPr="00881BC8" w:rsidRDefault="002B4DA9" w:rsidP="004835F8">
      <w:pPr>
        <w:pStyle w:val="NormalPara"/>
        <w:rPr>
          <w:noProof/>
          <w:lang w:val="en-GB"/>
        </w:rPr>
      </w:pPr>
      <w:r w:rsidRPr="00881BC8">
        <w:rPr>
          <w:noProof/>
          <w:lang w:val="en-GB"/>
        </w:rPr>
        <w:t xml:space="preserve">Many EU trading partners address late payment problems </w:t>
      </w:r>
      <w:r w:rsidR="00B046F9" w:rsidRPr="00881BC8">
        <w:rPr>
          <w:noProof/>
          <w:lang w:val="en-GB"/>
        </w:rPr>
        <w:t xml:space="preserve">with </w:t>
      </w:r>
      <w:r w:rsidRPr="00881BC8">
        <w:rPr>
          <w:noProof/>
          <w:lang w:val="en-GB"/>
        </w:rPr>
        <w:t>behavioural or disclosure legislation</w:t>
      </w:r>
      <w:r w:rsidR="00B046F9" w:rsidRPr="00881BC8">
        <w:rPr>
          <w:noProof/>
          <w:lang w:val="en-GB"/>
        </w:rPr>
        <w:t xml:space="preserve"> (see </w:t>
      </w:r>
      <w:r w:rsidR="0060128D" w:rsidRPr="00881BC8">
        <w:rPr>
          <w:noProof/>
          <w:lang w:val="en-GB"/>
        </w:rPr>
        <w:fldChar w:fldCharType="begin"/>
      </w:r>
      <w:r w:rsidR="0060128D" w:rsidRPr="00881BC8">
        <w:rPr>
          <w:noProof/>
          <w:lang w:val="en-GB"/>
        </w:rPr>
        <w:instrText xml:space="preserve"> REF Annex18 \h </w:instrText>
      </w:r>
      <w:r w:rsidR="0060128D" w:rsidRPr="00881BC8">
        <w:rPr>
          <w:noProof/>
          <w:lang w:val="en-GB"/>
        </w:rPr>
      </w:r>
      <w:r w:rsidR="0060128D" w:rsidRPr="00881BC8">
        <w:rPr>
          <w:noProof/>
          <w:lang w:val="en-GB"/>
        </w:rPr>
        <w:fldChar w:fldCharType="separate"/>
      </w:r>
      <w:r w:rsidR="005851F4" w:rsidRPr="00881BC8">
        <w:rPr>
          <w:noProof/>
        </w:rPr>
        <w:t>Annex 18</w:t>
      </w:r>
      <w:r w:rsidR="0060128D" w:rsidRPr="00881BC8">
        <w:rPr>
          <w:noProof/>
          <w:lang w:val="en-GB"/>
        </w:rPr>
        <w:fldChar w:fldCharType="end"/>
      </w:r>
      <w:r w:rsidR="0060128D" w:rsidRPr="00881BC8">
        <w:rPr>
          <w:noProof/>
          <w:lang w:val="en-GB"/>
        </w:rPr>
        <w:t>)</w:t>
      </w:r>
      <w:r w:rsidRPr="00881BC8">
        <w:rPr>
          <w:noProof/>
          <w:lang w:val="en-GB"/>
        </w:rPr>
        <w:t>.</w:t>
      </w:r>
      <w:r w:rsidR="00F76AC8" w:rsidRPr="00881BC8">
        <w:rPr>
          <w:noProof/>
          <w:lang w:val="en-GB"/>
        </w:rPr>
        <w:t xml:space="preserve"> </w:t>
      </w:r>
      <w:r w:rsidR="00CC777B" w:rsidRPr="00881BC8">
        <w:rPr>
          <w:noProof/>
          <w:lang w:val="en-GB"/>
        </w:rPr>
        <w:t xml:space="preserve">In </w:t>
      </w:r>
      <w:r w:rsidR="00CC777B" w:rsidRPr="00881BC8">
        <w:rPr>
          <w:bCs/>
          <w:noProof/>
          <w:lang w:val="en-GB"/>
        </w:rPr>
        <w:t>B2B</w:t>
      </w:r>
      <w:r w:rsidR="00CC777B" w:rsidRPr="00881BC8">
        <w:rPr>
          <w:noProof/>
          <w:lang w:val="en-GB"/>
        </w:rPr>
        <w:t xml:space="preserve">, prompt payment rules are found in Japan, India and </w:t>
      </w:r>
      <w:bookmarkStart w:id="88" w:name="_Hlk131777498"/>
      <w:r w:rsidR="00386218" w:rsidRPr="00881BC8">
        <w:rPr>
          <w:noProof/>
          <w:lang w:val="en-GB" w:eastAsia="en-GB"/>
        </w:rPr>
        <w:t>Türki</w:t>
      </w:r>
      <w:r w:rsidR="00CC1DE0" w:rsidRPr="00881BC8">
        <w:rPr>
          <w:noProof/>
          <w:lang w:val="en-GB" w:eastAsia="en-GB"/>
        </w:rPr>
        <w:t>y</w:t>
      </w:r>
      <w:r w:rsidR="00386218" w:rsidRPr="00881BC8">
        <w:rPr>
          <w:noProof/>
          <w:lang w:val="en-GB" w:eastAsia="en-GB"/>
        </w:rPr>
        <w:t>e</w:t>
      </w:r>
      <w:bookmarkEnd w:id="88"/>
      <w:r w:rsidR="00CC777B" w:rsidRPr="00881BC8">
        <w:rPr>
          <w:noProof/>
          <w:lang w:val="en-GB"/>
        </w:rPr>
        <w:t xml:space="preserve">. The size of at least one of the two parties in the contract is used to define payment terms </w:t>
      </w:r>
      <w:r w:rsidR="00594AC9" w:rsidRPr="00881BC8">
        <w:rPr>
          <w:noProof/>
          <w:lang w:val="en-GB"/>
        </w:rPr>
        <w:t>conditions (</w:t>
      </w:r>
      <w:r w:rsidR="00CC777B" w:rsidRPr="00881BC8">
        <w:rPr>
          <w:noProof/>
          <w:lang w:val="en-GB"/>
        </w:rPr>
        <w:t xml:space="preserve">from 30 days plus verification from </w:t>
      </w:r>
      <w:r w:rsidR="00594AC9" w:rsidRPr="00881BC8">
        <w:rPr>
          <w:noProof/>
          <w:lang w:val="en-GB"/>
        </w:rPr>
        <w:t xml:space="preserve">the </w:t>
      </w:r>
      <w:r w:rsidR="00CC777B" w:rsidRPr="00881BC8">
        <w:rPr>
          <w:noProof/>
          <w:lang w:val="en-GB"/>
        </w:rPr>
        <w:t>date of invoice to 60 days</w:t>
      </w:r>
      <w:r w:rsidR="00594AC9" w:rsidRPr="00881BC8">
        <w:rPr>
          <w:noProof/>
          <w:lang w:val="en-GB"/>
        </w:rPr>
        <w:t xml:space="preserve"> </w:t>
      </w:r>
      <w:r w:rsidR="00C46770" w:rsidRPr="00881BC8">
        <w:rPr>
          <w:noProof/>
          <w:lang w:val="en-GB"/>
        </w:rPr>
        <w:t xml:space="preserve">including </w:t>
      </w:r>
      <w:r w:rsidR="00CC777B" w:rsidRPr="00881BC8">
        <w:rPr>
          <w:noProof/>
          <w:lang w:val="en-GB"/>
        </w:rPr>
        <w:t>verification from delivery date</w:t>
      </w:r>
      <w:r w:rsidR="00C46770" w:rsidRPr="00881BC8">
        <w:rPr>
          <w:noProof/>
          <w:lang w:val="en-GB"/>
        </w:rPr>
        <w:t>;</w:t>
      </w:r>
      <w:r w:rsidR="00CC777B" w:rsidRPr="00881BC8">
        <w:rPr>
          <w:noProof/>
          <w:lang w:val="en-GB"/>
        </w:rPr>
        <w:t xml:space="preserve"> Japan and New Zealand have rules on unfair payment practices</w:t>
      </w:r>
      <w:r w:rsidR="00C46770" w:rsidRPr="00881BC8">
        <w:rPr>
          <w:noProof/>
          <w:lang w:val="en-GB"/>
        </w:rPr>
        <w:t>)</w:t>
      </w:r>
      <w:r w:rsidR="00CC777B" w:rsidRPr="00881BC8">
        <w:rPr>
          <w:noProof/>
          <w:lang w:val="en-GB"/>
        </w:rPr>
        <w:t xml:space="preserve">. Reporting </w:t>
      </w:r>
      <w:r w:rsidR="00C637BC" w:rsidRPr="00881BC8">
        <w:rPr>
          <w:noProof/>
          <w:lang w:val="en-GB"/>
        </w:rPr>
        <w:t xml:space="preserve">obligations </w:t>
      </w:r>
      <w:r w:rsidR="00CC777B" w:rsidRPr="00881BC8">
        <w:rPr>
          <w:noProof/>
          <w:lang w:val="en-GB"/>
        </w:rPr>
        <w:t xml:space="preserve">tend to focus </w:t>
      </w:r>
      <w:r w:rsidR="00C637BC" w:rsidRPr="00881BC8">
        <w:rPr>
          <w:noProof/>
          <w:lang w:val="en-GB"/>
        </w:rPr>
        <w:t xml:space="preserve">on </w:t>
      </w:r>
      <w:r w:rsidR="00CC777B" w:rsidRPr="00881BC8">
        <w:rPr>
          <w:noProof/>
          <w:lang w:val="en-GB"/>
        </w:rPr>
        <w:t xml:space="preserve">where late payment risks are higher. UK, USA, Australia have </w:t>
      </w:r>
      <w:r w:rsidR="00C637BC" w:rsidRPr="00881BC8">
        <w:rPr>
          <w:noProof/>
          <w:lang w:val="en-GB"/>
        </w:rPr>
        <w:t xml:space="preserve">also </w:t>
      </w:r>
      <w:r w:rsidR="00CC777B" w:rsidRPr="00881BC8">
        <w:rPr>
          <w:noProof/>
          <w:lang w:val="en-GB"/>
        </w:rPr>
        <w:t>promoted voluntary codes in B2B</w:t>
      </w:r>
      <w:r w:rsidR="00263A19" w:rsidRPr="00881BC8">
        <w:rPr>
          <w:noProof/>
          <w:lang w:val="en-GB"/>
        </w:rPr>
        <w:t>;</w:t>
      </w:r>
      <w:r w:rsidR="00CC777B" w:rsidRPr="00881BC8">
        <w:rPr>
          <w:noProof/>
          <w:lang w:val="en-GB"/>
        </w:rPr>
        <w:t xml:space="preserve"> their effectiveness </w:t>
      </w:r>
      <w:r w:rsidR="00263A19" w:rsidRPr="00881BC8">
        <w:rPr>
          <w:noProof/>
          <w:lang w:val="en-GB"/>
        </w:rPr>
        <w:t xml:space="preserve">remains to </w:t>
      </w:r>
      <w:r w:rsidR="00CC777B" w:rsidRPr="00881BC8">
        <w:rPr>
          <w:noProof/>
          <w:lang w:val="en-GB"/>
        </w:rPr>
        <w:t>be proven. Specific prompt payment B2B legislation exist</w:t>
      </w:r>
      <w:r w:rsidR="00263A19" w:rsidRPr="00881BC8">
        <w:rPr>
          <w:noProof/>
          <w:lang w:val="en-GB"/>
        </w:rPr>
        <w:t>s</w:t>
      </w:r>
      <w:r w:rsidR="00CC777B" w:rsidRPr="00881BC8">
        <w:rPr>
          <w:noProof/>
          <w:lang w:val="en-GB"/>
        </w:rPr>
        <w:t xml:space="preserve"> for the construction and agriculture sector.</w:t>
      </w:r>
      <w:r w:rsidR="002E552C" w:rsidRPr="00881BC8">
        <w:rPr>
          <w:noProof/>
          <w:lang w:val="en-GB"/>
        </w:rPr>
        <w:t xml:space="preserve"> </w:t>
      </w:r>
      <w:r w:rsidR="00CC777B" w:rsidRPr="00881BC8">
        <w:rPr>
          <w:noProof/>
          <w:lang w:val="en-GB"/>
        </w:rPr>
        <w:t xml:space="preserve">In </w:t>
      </w:r>
      <w:r w:rsidR="00263A19" w:rsidRPr="00881BC8">
        <w:rPr>
          <w:bCs/>
          <w:noProof/>
          <w:lang w:val="en-GB"/>
        </w:rPr>
        <w:t>G2B</w:t>
      </w:r>
      <w:r w:rsidR="00CC777B" w:rsidRPr="00881BC8">
        <w:rPr>
          <w:noProof/>
          <w:lang w:val="en-GB"/>
        </w:rPr>
        <w:t xml:space="preserve">, prompt payment </w:t>
      </w:r>
      <w:r w:rsidR="003F38E7" w:rsidRPr="00881BC8">
        <w:rPr>
          <w:noProof/>
          <w:lang w:val="en-GB"/>
        </w:rPr>
        <w:t xml:space="preserve">rules set </w:t>
      </w:r>
      <w:r w:rsidR="00CC777B" w:rsidRPr="00881BC8">
        <w:rPr>
          <w:noProof/>
          <w:lang w:val="en-GB"/>
        </w:rPr>
        <w:t xml:space="preserve">30 or </w:t>
      </w:r>
      <w:r w:rsidR="003F38E7" w:rsidRPr="00881BC8">
        <w:rPr>
          <w:noProof/>
          <w:lang w:val="en-GB"/>
        </w:rPr>
        <w:t xml:space="preserve">fewer </w:t>
      </w:r>
      <w:r w:rsidR="00CC777B" w:rsidRPr="00881BC8">
        <w:rPr>
          <w:noProof/>
          <w:lang w:val="en-GB"/>
        </w:rPr>
        <w:t>days as payment term</w:t>
      </w:r>
      <w:r w:rsidR="003F38E7" w:rsidRPr="00881BC8">
        <w:rPr>
          <w:noProof/>
          <w:lang w:val="en-GB"/>
        </w:rPr>
        <w:t>s</w:t>
      </w:r>
      <w:r w:rsidR="00CC777B" w:rsidRPr="00881BC8">
        <w:rPr>
          <w:noProof/>
          <w:lang w:val="en-GB"/>
        </w:rPr>
        <w:t xml:space="preserve">, with shorter deadlines for payment to small companies in some countries. </w:t>
      </w:r>
      <w:r w:rsidR="00125DCE" w:rsidRPr="00881BC8">
        <w:rPr>
          <w:noProof/>
          <w:lang w:val="en-GB"/>
        </w:rPr>
        <w:t>C</w:t>
      </w:r>
      <w:r w:rsidR="00CC777B" w:rsidRPr="00881BC8">
        <w:rPr>
          <w:noProof/>
          <w:lang w:val="en-GB"/>
        </w:rPr>
        <w:t xml:space="preserve">onstruction </w:t>
      </w:r>
      <w:r w:rsidR="003F38E7" w:rsidRPr="00881BC8">
        <w:rPr>
          <w:noProof/>
          <w:lang w:val="en-GB"/>
        </w:rPr>
        <w:t xml:space="preserve">is </w:t>
      </w:r>
      <w:r w:rsidR="00CC777B" w:rsidRPr="00881BC8">
        <w:rPr>
          <w:noProof/>
          <w:lang w:val="en-GB"/>
        </w:rPr>
        <w:t xml:space="preserve">the most </w:t>
      </w:r>
      <w:r w:rsidR="00125DCE" w:rsidRPr="00881BC8">
        <w:rPr>
          <w:noProof/>
          <w:lang w:val="en-GB"/>
        </w:rPr>
        <w:t>regulated sector</w:t>
      </w:r>
      <w:r w:rsidR="00CC777B" w:rsidRPr="00881BC8">
        <w:rPr>
          <w:noProof/>
          <w:lang w:val="en-GB"/>
        </w:rPr>
        <w:t xml:space="preserve">, both in B2B and </w:t>
      </w:r>
      <w:r w:rsidR="00125DCE" w:rsidRPr="00881BC8">
        <w:rPr>
          <w:noProof/>
          <w:lang w:val="en-GB"/>
        </w:rPr>
        <w:t>G2</w:t>
      </w:r>
      <w:r w:rsidR="00CC777B" w:rsidRPr="00881BC8">
        <w:rPr>
          <w:noProof/>
          <w:lang w:val="en-GB"/>
        </w:rPr>
        <w:t xml:space="preserve">B, with strict timing of payments also down the supply chain. </w:t>
      </w:r>
      <w:r w:rsidR="00125DCE" w:rsidRPr="00881BC8">
        <w:rPr>
          <w:noProof/>
          <w:lang w:val="en-GB"/>
        </w:rPr>
        <w:t xml:space="preserve">Most </w:t>
      </w:r>
      <w:r w:rsidR="00CC777B" w:rsidRPr="00881BC8">
        <w:rPr>
          <w:noProof/>
          <w:lang w:val="en-GB"/>
        </w:rPr>
        <w:t xml:space="preserve">prompt payment </w:t>
      </w:r>
      <w:r w:rsidR="00125DCE" w:rsidRPr="00881BC8">
        <w:rPr>
          <w:noProof/>
          <w:lang w:val="en-GB"/>
        </w:rPr>
        <w:t xml:space="preserve">rules </w:t>
      </w:r>
      <w:r w:rsidR="00CC777B" w:rsidRPr="00881BC8">
        <w:rPr>
          <w:noProof/>
          <w:lang w:val="en-GB"/>
        </w:rPr>
        <w:t xml:space="preserve">include </w:t>
      </w:r>
      <w:r w:rsidR="00CC777B" w:rsidRPr="00881BC8">
        <w:rPr>
          <w:bCs/>
          <w:noProof/>
          <w:lang w:val="en-GB"/>
        </w:rPr>
        <w:t>automatic application of interest</w:t>
      </w:r>
      <w:r w:rsidR="00CC777B" w:rsidRPr="00881BC8">
        <w:rPr>
          <w:noProof/>
          <w:lang w:val="en-GB"/>
        </w:rPr>
        <w:t>, and compensation never appears.</w:t>
      </w:r>
    </w:p>
    <w:p w14:paraId="7D0C0EC1" w14:textId="1EAE0F5E" w:rsidR="00C96BDD" w:rsidRPr="00881BC8" w:rsidRDefault="00C96BDD" w:rsidP="00703187">
      <w:pPr>
        <w:pStyle w:val="NormalPara"/>
        <w:rPr>
          <w:noProof/>
          <w:lang w:val="en-GB"/>
        </w:rPr>
      </w:pPr>
      <w:r w:rsidRPr="00881BC8">
        <w:rPr>
          <w:noProof/>
          <w:lang w:val="en-GB"/>
        </w:rPr>
        <w:t xml:space="preserve">In summary, the information on payment practice laws in non-EU countries is uneven. Several countries are in the process of considering or advancing late payment legislation. This explains why there is little in terms of evaluation (mainly from UK, US/Canada and an evaluation in Australia is ongoing). The reviews screened point to the fact that there is no single policy measure that would guarantee successful reduction in payment delays, e.g. policy measures put in place in the US lacked an effective dispute resolution mechanism, which significantly reduced their overall effectiveness. </w:t>
      </w:r>
    </w:p>
    <w:p w14:paraId="2984E466" w14:textId="701A2ADD" w:rsidR="00F77520" w:rsidRPr="00881BC8" w:rsidRDefault="00664417" w:rsidP="004835F8">
      <w:pPr>
        <w:pStyle w:val="Heading3"/>
        <w:rPr>
          <w:noProof/>
        </w:rPr>
      </w:pPr>
      <w:bookmarkStart w:id="89" w:name="_Toc130395596"/>
      <w:bookmarkStart w:id="90" w:name="_Toc130403514"/>
      <w:bookmarkStart w:id="91" w:name="_Toc130395597"/>
      <w:bookmarkStart w:id="92" w:name="_Toc130403515"/>
      <w:bookmarkStart w:id="93" w:name="_Toc130395598"/>
      <w:bookmarkStart w:id="94" w:name="_Toc130403516"/>
      <w:bookmarkStart w:id="95" w:name="_Toc135237385"/>
      <w:bookmarkStart w:id="96" w:name="_Toc128594925"/>
      <w:bookmarkStart w:id="97" w:name="_Toc128678877"/>
      <w:bookmarkStart w:id="98" w:name="_Toc128935077"/>
      <w:bookmarkStart w:id="99" w:name="_Toc129710176"/>
      <w:bookmarkStart w:id="100" w:name="_Toc129899869"/>
      <w:bookmarkEnd w:id="89"/>
      <w:bookmarkEnd w:id="90"/>
      <w:bookmarkEnd w:id="91"/>
      <w:bookmarkEnd w:id="92"/>
      <w:bookmarkEnd w:id="93"/>
      <w:bookmarkEnd w:id="94"/>
      <w:r w:rsidRPr="00881BC8">
        <w:rPr>
          <w:noProof/>
        </w:rPr>
        <w:t xml:space="preserve">Payment performance deteriorates in periods of </w:t>
      </w:r>
      <w:r w:rsidR="00BE07CA" w:rsidRPr="00881BC8">
        <w:rPr>
          <w:noProof/>
        </w:rPr>
        <w:t>a</w:t>
      </w:r>
      <w:r w:rsidR="00896A95" w:rsidRPr="00881BC8">
        <w:rPr>
          <w:noProof/>
        </w:rPr>
        <w:t xml:space="preserve">dverse economic </w:t>
      </w:r>
      <w:r w:rsidRPr="00881BC8">
        <w:rPr>
          <w:noProof/>
        </w:rPr>
        <w:t>conditions</w:t>
      </w:r>
      <w:r w:rsidR="006B5D25" w:rsidRPr="00881BC8">
        <w:rPr>
          <w:noProof/>
        </w:rPr>
        <w:t>:</w:t>
      </w:r>
      <w:r w:rsidR="00AA7CCA" w:rsidRPr="00881BC8">
        <w:rPr>
          <w:noProof/>
        </w:rPr>
        <w:t xml:space="preserve"> </w:t>
      </w:r>
      <w:r w:rsidR="00782D04" w:rsidRPr="00881BC8">
        <w:rPr>
          <w:noProof/>
        </w:rPr>
        <w:t>coronavirus-crisis</w:t>
      </w:r>
      <w:r w:rsidR="004A30D9" w:rsidRPr="00881BC8">
        <w:rPr>
          <w:noProof/>
        </w:rPr>
        <w:t xml:space="preserve"> and </w:t>
      </w:r>
      <w:r w:rsidR="00AA7CCA" w:rsidRPr="00881BC8">
        <w:rPr>
          <w:noProof/>
        </w:rPr>
        <w:t>inflation</w:t>
      </w:r>
      <w:bookmarkEnd w:id="95"/>
      <w:r w:rsidR="00AA7CCA" w:rsidRPr="00881BC8">
        <w:rPr>
          <w:noProof/>
        </w:rPr>
        <w:t xml:space="preserve"> </w:t>
      </w:r>
      <w:bookmarkEnd w:id="96"/>
      <w:bookmarkEnd w:id="97"/>
      <w:bookmarkEnd w:id="98"/>
      <w:bookmarkEnd w:id="99"/>
      <w:bookmarkEnd w:id="100"/>
    </w:p>
    <w:p w14:paraId="50877FAA" w14:textId="2C5F6B13" w:rsidR="00AA7CCA" w:rsidRPr="00881BC8" w:rsidRDefault="7C3C9AB7" w:rsidP="004835F8">
      <w:pPr>
        <w:pStyle w:val="NormalPara"/>
        <w:rPr>
          <w:noProof/>
          <w:lang w:val="en-GB"/>
        </w:rPr>
      </w:pPr>
      <w:r w:rsidRPr="00881BC8">
        <w:rPr>
          <w:noProof/>
          <w:lang w:val="en-GB"/>
        </w:rPr>
        <w:t xml:space="preserve">General payment discipline deteriorates in times of economic </w:t>
      </w:r>
      <w:r w:rsidR="003C14B6" w:rsidRPr="00881BC8">
        <w:rPr>
          <w:noProof/>
          <w:lang w:val="en-GB"/>
        </w:rPr>
        <w:t>difficulties</w:t>
      </w:r>
      <w:r w:rsidR="005650D0" w:rsidRPr="00881BC8">
        <w:rPr>
          <w:rStyle w:val="FootnoteReference"/>
          <w:noProof/>
          <w:lang w:val="en-GB"/>
        </w:rPr>
        <w:footnoteReference w:id="46"/>
      </w:r>
      <w:r w:rsidR="0045314D" w:rsidRPr="00881BC8">
        <w:rPr>
          <w:noProof/>
          <w:lang w:val="en-GB"/>
        </w:rPr>
        <w:t xml:space="preserve"> (see section </w:t>
      </w:r>
      <w:r w:rsidR="005851F4">
        <w:rPr>
          <w:noProof/>
          <w:lang w:val="en-GB"/>
        </w:rPr>
        <w:t>2.1</w:t>
      </w:r>
      <w:r w:rsidR="0045314D" w:rsidRPr="00881BC8">
        <w:rPr>
          <w:noProof/>
          <w:lang w:val="en-GB"/>
        </w:rPr>
        <w:t>)</w:t>
      </w:r>
      <w:r w:rsidRPr="00881BC8">
        <w:rPr>
          <w:noProof/>
          <w:lang w:val="en-GB"/>
        </w:rPr>
        <w:t xml:space="preserve">. In </w:t>
      </w:r>
      <w:r w:rsidR="002F1259" w:rsidRPr="00881BC8">
        <w:rPr>
          <w:noProof/>
          <w:lang w:val="en-GB"/>
        </w:rPr>
        <w:t>April</w:t>
      </w:r>
      <w:r w:rsidRPr="00881BC8">
        <w:rPr>
          <w:noProof/>
          <w:lang w:val="en-GB"/>
        </w:rPr>
        <w:t xml:space="preserve"> 2020, the French “</w:t>
      </w:r>
      <w:r w:rsidRPr="00881BC8">
        <w:rPr>
          <w:i/>
          <w:iCs/>
          <w:noProof/>
          <w:lang w:val="en-GB"/>
        </w:rPr>
        <w:t>Médiateur des Entreprises</w:t>
      </w:r>
      <w:r w:rsidRPr="00881BC8">
        <w:rPr>
          <w:noProof/>
          <w:lang w:val="en-GB"/>
        </w:rPr>
        <w:t xml:space="preserve">” </w:t>
      </w:r>
      <w:r w:rsidR="002F1259" w:rsidRPr="00881BC8">
        <w:rPr>
          <w:noProof/>
          <w:lang w:val="en-GB"/>
        </w:rPr>
        <w:t xml:space="preserve">informed that the number of </w:t>
      </w:r>
      <w:r w:rsidRPr="00881BC8">
        <w:rPr>
          <w:noProof/>
          <w:lang w:val="en-GB"/>
        </w:rPr>
        <w:t xml:space="preserve">complaints </w:t>
      </w:r>
      <w:r w:rsidR="00CD25B9" w:rsidRPr="00881BC8">
        <w:rPr>
          <w:noProof/>
          <w:lang w:val="en-GB"/>
        </w:rPr>
        <w:t xml:space="preserve">about </w:t>
      </w:r>
      <w:r w:rsidR="5A25A2F4" w:rsidRPr="00881BC8">
        <w:rPr>
          <w:noProof/>
          <w:lang w:val="en-GB"/>
        </w:rPr>
        <w:t xml:space="preserve">late payments </w:t>
      </w:r>
      <w:r w:rsidR="00CD25B9" w:rsidRPr="00881BC8">
        <w:rPr>
          <w:noProof/>
          <w:lang w:val="en-GB"/>
        </w:rPr>
        <w:t xml:space="preserve">they </w:t>
      </w:r>
      <w:r w:rsidRPr="00881BC8">
        <w:rPr>
          <w:noProof/>
          <w:lang w:val="en-GB"/>
        </w:rPr>
        <w:t xml:space="preserve">received in </w:t>
      </w:r>
      <w:r w:rsidR="002F1259" w:rsidRPr="00881BC8">
        <w:rPr>
          <w:noProof/>
          <w:lang w:val="en-GB"/>
        </w:rPr>
        <w:t xml:space="preserve">March 2020 increased tenfold compared </w:t>
      </w:r>
      <w:r w:rsidR="005206C5" w:rsidRPr="00881BC8">
        <w:rPr>
          <w:noProof/>
          <w:lang w:val="en-GB"/>
        </w:rPr>
        <w:t>to normal situation and that late payment was the first reason for the complaints</w:t>
      </w:r>
      <w:r w:rsidR="00CC50BA" w:rsidRPr="00881BC8">
        <w:rPr>
          <w:rStyle w:val="FootnoteReference"/>
          <w:noProof/>
          <w:lang w:val="en-GB"/>
        </w:rPr>
        <w:footnoteReference w:id="47"/>
      </w:r>
      <w:r w:rsidRPr="00881BC8">
        <w:rPr>
          <w:noProof/>
          <w:lang w:val="en-GB"/>
        </w:rPr>
        <w:t>.</w:t>
      </w:r>
      <w:r w:rsidR="00E70EC9" w:rsidRPr="00881BC8">
        <w:rPr>
          <w:noProof/>
          <w:lang w:val="en-GB"/>
        </w:rPr>
        <w:t xml:space="preserve"> </w:t>
      </w:r>
      <w:r w:rsidRPr="00881BC8">
        <w:rPr>
          <w:noProof/>
          <w:lang w:val="en-GB"/>
        </w:rPr>
        <w:t>In Italy, every day of delayed payment</w:t>
      </w:r>
      <w:r w:rsidR="00DF0075" w:rsidRPr="00881BC8">
        <w:rPr>
          <w:noProof/>
          <w:lang w:val="en-GB"/>
        </w:rPr>
        <w:t xml:space="preserve"> causes</w:t>
      </w:r>
      <w:r w:rsidRPr="00881BC8">
        <w:rPr>
          <w:noProof/>
          <w:lang w:val="en-GB"/>
        </w:rPr>
        <w:t xml:space="preserve"> the need </w:t>
      </w:r>
      <w:r w:rsidR="00DF0075" w:rsidRPr="00881BC8">
        <w:rPr>
          <w:noProof/>
          <w:lang w:val="en-GB"/>
        </w:rPr>
        <w:t xml:space="preserve">for </w:t>
      </w:r>
      <w:r w:rsidRPr="00881BC8">
        <w:rPr>
          <w:noProof/>
          <w:lang w:val="en-GB"/>
        </w:rPr>
        <w:t xml:space="preserve">working capital </w:t>
      </w:r>
      <w:r w:rsidR="00DF0075" w:rsidRPr="00881BC8">
        <w:rPr>
          <w:noProof/>
          <w:lang w:val="en-GB"/>
        </w:rPr>
        <w:t xml:space="preserve">of </w:t>
      </w:r>
      <w:r w:rsidRPr="00881BC8">
        <w:rPr>
          <w:noProof/>
          <w:lang w:val="en-GB"/>
        </w:rPr>
        <w:t xml:space="preserve">small businesses </w:t>
      </w:r>
      <w:r w:rsidR="00DF0075" w:rsidRPr="00881BC8">
        <w:rPr>
          <w:noProof/>
          <w:lang w:val="en-GB"/>
        </w:rPr>
        <w:t xml:space="preserve">to </w:t>
      </w:r>
      <w:r w:rsidRPr="00881BC8">
        <w:rPr>
          <w:noProof/>
          <w:lang w:val="en-GB"/>
        </w:rPr>
        <w:t xml:space="preserve">increase by up to 15% or </w:t>
      </w:r>
      <w:r w:rsidR="007C460C" w:rsidRPr="00881BC8">
        <w:rPr>
          <w:noProof/>
          <w:lang w:val="en-GB"/>
        </w:rPr>
        <w:t>EUR </w:t>
      </w:r>
      <w:r w:rsidRPr="00881BC8">
        <w:rPr>
          <w:noProof/>
          <w:lang w:val="en-GB"/>
        </w:rPr>
        <w:t>19 billion</w:t>
      </w:r>
      <w:r w:rsidR="00CC419F" w:rsidRPr="00881BC8">
        <w:rPr>
          <w:rStyle w:val="FootnoteReference"/>
          <w:noProof/>
          <w:lang w:val="en-GB"/>
        </w:rPr>
        <w:footnoteReference w:id="48"/>
      </w:r>
      <w:r w:rsidRPr="00881BC8">
        <w:rPr>
          <w:noProof/>
          <w:lang w:val="en-GB"/>
        </w:rPr>
        <w:t>. In Spain, in the first 6 months of 2021, 70% of invoices were paid late</w:t>
      </w:r>
      <w:r w:rsidR="004C2A57" w:rsidRPr="00881BC8">
        <w:rPr>
          <w:rStyle w:val="FootnoteReference"/>
          <w:noProof/>
          <w:lang w:val="en-GB"/>
        </w:rPr>
        <w:footnoteReference w:id="49"/>
      </w:r>
      <w:r w:rsidR="004A30D9" w:rsidRPr="00881BC8">
        <w:rPr>
          <w:noProof/>
          <w:lang w:val="en-GB"/>
        </w:rPr>
        <w:t>.</w:t>
      </w:r>
      <w:r w:rsidR="001E100B" w:rsidRPr="00881BC8">
        <w:rPr>
          <w:noProof/>
          <w:lang w:val="en-GB"/>
        </w:rPr>
        <w:t xml:space="preserve"> </w:t>
      </w:r>
      <w:r w:rsidR="00BE1CAB" w:rsidRPr="00881BC8">
        <w:rPr>
          <w:noProof/>
          <w:lang w:val="en-GB"/>
        </w:rPr>
        <w:t xml:space="preserve">See </w:t>
      </w:r>
      <w:r w:rsidR="00BE1CAB" w:rsidRPr="00881BC8">
        <w:rPr>
          <w:noProof/>
          <w:lang w:val="en-GB"/>
        </w:rPr>
        <w:fldChar w:fldCharType="begin"/>
      </w:r>
      <w:r w:rsidR="00BE1CAB" w:rsidRPr="00881BC8">
        <w:rPr>
          <w:noProof/>
          <w:lang w:val="en-GB"/>
        </w:rPr>
        <w:instrText xml:space="preserve"> REF _Ref131595115 \h </w:instrText>
      </w:r>
      <w:r w:rsidR="00BE1CAB" w:rsidRPr="00881BC8">
        <w:rPr>
          <w:noProof/>
          <w:lang w:val="en-GB"/>
        </w:rPr>
      </w:r>
      <w:r w:rsidR="00BE1CAB" w:rsidRPr="00881BC8">
        <w:rPr>
          <w:noProof/>
          <w:lang w:val="en-GB"/>
        </w:rPr>
        <w:fldChar w:fldCharType="separate"/>
      </w:r>
      <w:r w:rsidR="005851F4" w:rsidRPr="00881BC8">
        <w:rPr>
          <w:noProof/>
          <w:lang w:val="en-GB"/>
        </w:rPr>
        <w:t xml:space="preserve">Figure </w:t>
      </w:r>
      <w:r w:rsidR="005851F4">
        <w:rPr>
          <w:noProof/>
          <w:lang w:val="en-GB"/>
        </w:rPr>
        <w:t>3</w:t>
      </w:r>
      <w:r w:rsidR="00BE1CAB" w:rsidRPr="00881BC8">
        <w:rPr>
          <w:noProof/>
          <w:lang w:val="en-GB"/>
        </w:rPr>
        <w:fldChar w:fldCharType="end"/>
      </w:r>
      <w:r w:rsidR="00BE1CAB" w:rsidRPr="00881BC8">
        <w:rPr>
          <w:noProof/>
          <w:lang w:val="en-GB"/>
        </w:rPr>
        <w:t xml:space="preserve"> </w:t>
      </w:r>
      <w:r w:rsidR="00D62FE3" w:rsidRPr="00881BC8">
        <w:rPr>
          <w:noProof/>
          <w:lang w:val="en-GB"/>
        </w:rPr>
        <w:t xml:space="preserve">in section </w:t>
      </w:r>
      <w:r w:rsidR="005851F4">
        <w:rPr>
          <w:noProof/>
          <w:lang w:val="en-GB"/>
        </w:rPr>
        <w:t>2.3</w:t>
      </w:r>
      <w:r w:rsidR="00D62FE3" w:rsidRPr="00881BC8">
        <w:rPr>
          <w:noProof/>
          <w:lang w:val="en-GB"/>
        </w:rPr>
        <w:t xml:space="preserve"> </w:t>
      </w:r>
      <w:r w:rsidR="00BE1CAB" w:rsidRPr="00881BC8">
        <w:rPr>
          <w:noProof/>
          <w:lang w:val="en-GB"/>
        </w:rPr>
        <w:t>for information on cyclicality.</w:t>
      </w:r>
    </w:p>
    <w:p w14:paraId="497FC2B4" w14:textId="47D29CAE" w:rsidR="00AA7CCA" w:rsidRPr="00881BC8" w:rsidRDefault="003878EA" w:rsidP="004835F8">
      <w:pPr>
        <w:pStyle w:val="NormalPara"/>
        <w:rPr>
          <w:noProof/>
          <w:lang w:val="en-GB"/>
        </w:rPr>
      </w:pPr>
      <w:r w:rsidRPr="00881BC8">
        <w:rPr>
          <w:noProof/>
          <w:lang w:val="en-GB"/>
        </w:rPr>
        <w:t>Inflation reduces the real value of debt</w:t>
      </w:r>
      <w:r w:rsidRPr="00881BC8">
        <w:rPr>
          <w:rStyle w:val="FootnoteReference"/>
          <w:noProof/>
          <w:lang w:val="en-GB"/>
        </w:rPr>
        <w:footnoteReference w:id="50"/>
      </w:r>
      <w:r w:rsidRPr="00881BC8">
        <w:rPr>
          <w:noProof/>
          <w:lang w:val="en-GB"/>
        </w:rPr>
        <w:t xml:space="preserve"> and paying late means paying less. </w:t>
      </w:r>
      <w:r w:rsidR="001827A3" w:rsidRPr="00881BC8">
        <w:rPr>
          <w:noProof/>
          <w:lang w:val="en-GB"/>
        </w:rPr>
        <w:t>While inflation itself affects late payments only to a limited extent, it may have indirect effects as central banks take action to curb inflation by raising interest rates, which may negatively affect economic growth, firms’ liquidity as well as their financing options, thus affecting late payments, too</w:t>
      </w:r>
      <w:r w:rsidR="001827A3" w:rsidRPr="00881BC8">
        <w:rPr>
          <w:rStyle w:val="FootnoteReference"/>
          <w:noProof/>
          <w:lang w:val="en-GB"/>
        </w:rPr>
        <w:footnoteReference w:id="51"/>
      </w:r>
      <w:r w:rsidR="001827A3" w:rsidRPr="00881BC8">
        <w:rPr>
          <w:noProof/>
          <w:lang w:val="en-GB"/>
        </w:rPr>
        <w:t xml:space="preserve">. </w:t>
      </w:r>
      <w:r w:rsidR="00AA7CCA" w:rsidRPr="00881BC8">
        <w:rPr>
          <w:noProof/>
          <w:lang w:val="en-GB"/>
        </w:rPr>
        <w:t>Inflation</w:t>
      </w:r>
      <w:r w:rsidRPr="00881BC8">
        <w:rPr>
          <w:noProof/>
          <w:lang w:val="en-GB"/>
        </w:rPr>
        <w:t xml:space="preserve"> </w:t>
      </w:r>
      <w:r w:rsidR="00571382" w:rsidRPr="00881BC8">
        <w:rPr>
          <w:noProof/>
          <w:lang w:val="en-GB"/>
        </w:rPr>
        <w:t xml:space="preserve">increases business risks, making it more difficult to predict input factor prices. </w:t>
      </w:r>
      <w:bookmarkStart w:id="101" w:name="_Toc128594927"/>
      <w:r w:rsidR="00AA7CCA" w:rsidRPr="00881BC8">
        <w:rPr>
          <w:noProof/>
          <w:lang w:val="en-GB"/>
        </w:rPr>
        <w:t xml:space="preserve">In a high-inflation environment, enterprises may find </w:t>
      </w:r>
      <w:r w:rsidR="00571382" w:rsidRPr="00881BC8">
        <w:rPr>
          <w:noProof/>
          <w:lang w:val="en-GB"/>
        </w:rPr>
        <w:t xml:space="preserve">it difficult </w:t>
      </w:r>
      <w:r w:rsidR="00AA7CCA" w:rsidRPr="00881BC8">
        <w:rPr>
          <w:noProof/>
          <w:lang w:val="en-GB"/>
        </w:rPr>
        <w:t>to pay their bills</w:t>
      </w:r>
      <w:r w:rsidR="00293205" w:rsidRPr="00881BC8">
        <w:rPr>
          <w:noProof/>
          <w:lang w:val="en-GB"/>
        </w:rPr>
        <w:t xml:space="preserve"> when prices go sharply up.</w:t>
      </w:r>
      <w:r w:rsidR="00237C8A" w:rsidRPr="00881BC8">
        <w:rPr>
          <w:noProof/>
          <w:lang w:val="en-GB"/>
        </w:rPr>
        <w:t xml:space="preserve"> </w:t>
      </w:r>
      <w:r w:rsidR="009C0AB9" w:rsidRPr="00881BC8">
        <w:rPr>
          <w:noProof/>
          <w:lang w:val="en-GB"/>
        </w:rPr>
        <w:t xml:space="preserve">In times of high-interest rates, </w:t>
      </w:r>
      <w:r w:rsidR="000446F5" w:rsidRPr="00881BC8">
        <w:rPr>
          <w:noProof/>
          <w:lang w:val="en-GB"/>
        </w:rPr>
        <w:t>paying late becomes very attractive as long as it does not entail paying interest.</w:t>
      </w:r>
      <w:r w:rsidR="009C0AB9" w:rsidRPr="00881BC8">
        <w:rPr>
          <w:noProof/>
          <w:lang w:val="en-GB"/>
        </w:rPr>
        <w:t xml:space="preserve"> </w:t>
      </w:r>
    </w:p>
    <w:p w14:paraId="78002BD6" w14:textId="5D2644B0" w:rsidR="003F09F4" w:rsidRPr="00881BC8" w:rsidRDefault="002D5296" w:rsidP="004835F8">
      <w:pPr>
        <w:pStyle w:val="Heading2"/>
        <w:rPr>
          <w:noProof/>
        </w:rPr>
      </w:pPr>
      <w:bookmarkStart w:id="102" w:name="_Toc130395600"/>
      <w:bookmarkStart w:id="103" w:name="_Toc130403518"/>
      <w:bookmarkStart w:id="104" w:name="_Toc130395601"/>
      <w:bookmarkStart w:id="105" w:name="_Toc130403519"/>
      <w:bookmarkStart w:id="106" w:name="_Toc135237386"/>
      <w:bookmarkStart w:id="107" w:name="_Toc128678878"/>
      <w:bookmarkStart w:id="108" w:name="_Toc128935078"/>
      <w:bookmarkStart w:id="109" w:name="_Toc129710177"/>
      <w:bookmarkStart w:id="110" w:name="_Toc129899870"/>
      <w:bookmarkEnd w:id="102"/>
      <w:bookmarkEnd w:id="103"/>
      <w:bookmarkEnd w:id="104"/>
      <w:bookmarkEnd w:id="105"/>
      <w:r w:rsidRPr="00881BC8">
        <w:rPr>
          <w:noProof/>
        </w:rPr>
        <w:t xml:space="preserve">Consequences of </w:t>
      </w:r>
      <w:r w:rsidR="00F12FC1" w:rsidRPr="00881BC8">
        <w:rPr>
          <w:noProof/>
        </w:rPr>
        <w:t xml:space="preserve">late </w:t>
      </w:r>
      <w:r w:rsidR="003F09F4" w:rsidRPr="00881BC8">
        <w:rPr>
          <w:noProof/>
        </w:rPr>
        <w:t>payment</w:t>
      </w:r>
      <w:r w:rsidR="00F12FC1" w:rsidRPr="00881BC8">
        <w:rPr>
          <w:noProof/>
        </w:rPr>
        <w:t>s</w:t>
      </w:r>
      <w:bookmarkEnd w:id="106"/>
      <w:r w:rsidR="003F09F4" w:rsidRPr="00881BC8">
        <w:rPr>
          <w:noProof/>
        </w:rPr>
        <w:t xml:space="preserve"> </w:t>
      </w:r>
      <w:bookmarkEnd w:id="101"/>
      <w:bookmarkEnd w:id="107"/>
      <w:bookmarkEnd w:id="108"/>
      <w:bookmarkEnd w:id="109"/>
      <w:bookmarkEnd w:id="110"/>
    </w:p>
    <w:p w14:paraId="56147C17" w14:textId="2D3F5C06" w:rsidR="00043135" w:rsidRPr="00881BC8" w:rsidRDefault="00F951E6" w:rsidP="004835F8">
      <w:pPr>
        <w:pStyle w:val="NormalPara"/>
        <w:rPr>
          <w:noProof/>
          <w:lang w:val="en-GB"/>
        </w:rPr>
      </w:pPr>
      <w:r w:rsidRPr="00881BC8">
        <w:rPr>
          <w:rStyle w:val="normaltextrun"/>
          <w:noProof/>
          <w:lang w:val="en-GB"/>
        </w:rPr>
        <w:t xml:space="preserve">Late payment creates a domino effect that leads to more late payment. </w:t>
      </w:r>
      <w:r w:rsidRPr="00881BC8">
        <w:rPr>
          <w:noProof/>
          <w:lang w:val="en-GB"/>
        </w:rPr>
        <w:t xml:space="preserve">Consequences of late payment spread along and across supply chains, industrial ecosystems, and the entire economy. </w:t>
      </w:r>
      <w:r w:rsidR="00043135" w:rsidRPr="00881BC8">
        <w:rPr>
          <w:noProof/>
          <w:lang w:val="en-GB"/>
        </w:rPr>
        <w:t xml:space="preserve">Consequences of late payment are discussed in depth in </w:t>
      </w:r>
      <w:r w:rsidR="00043135" w:rsidRPr="00881BC8">
        <w:rPr>
          <w:noProof/>
          <w:lang w:val="en-GB"/>
        </w:rPr>
        <w:fldChar w:fldCharType="begin"/>
      </w:r>
      <w:r w:rsidR="00043135" w:rsidRPr="00881BC8">
        <w:rPr>
          <w:noProof/>
          <w:lang w:val="en-GB"/>
        </w:rPr>
        <w:instrText xml:space="preserve"> REF AnnexXX \h  \* MERGEFORMAT </w:instrText>
      </w:r>
      <w:r w:rsidR="00043135" w:rsidRPr="00881BC8">
        <w:rPr>
          <w:noProof/>
          <w:lang w:val="en-GB"/>
        </w:rPr>
      </w:r>
      <w:r w:rsidR="00043135" w:rsidRPr="00881BC8">
        <w:rPr>
          <w:noProof/>
          <w:lang w:val="en-GB"/>
        </w:rPr>
        <w:fldChar w:fldCharType="separate"/>
      </w:r>
      <w:r w:rsidR="005851F4" w:rsidRPr="005851F4">
        <w:rPr>
          <w:noProof/>
          <w:lang w:val="en-GB"/>
        </w:rPr>
        <w:t>Annex 20</w:t>
      </w:r>
      <w:r w:rsidR="00043135" w:rsidRPr="00881BC8">
        <w:rPr>
          <w:noProof/>
          <w:lang w:val="en-GB"/>
        </w:rPr>
        <w:fldChar w:fldCharType="end"/>
      </w:r>
      <w:r w:rsidR="00043135" w:rsidRPr="00881BC8">
        <w:rPr>
          <w:noProof/>
          <w:lang w:val="en-GB"/>
        </w:rPr>
        <w:t>.</w:t>
      </w:r>
    </w:p>
    <w:p w14:paraId="6C4D63E0" w14:textId="6A7181FD" w:rsidR="00EA15ED" w:rsidRPr="00881BC8" w:rsidRDefault="00B04344" w:rsidP="004835F8">
      <w:pPr>
        <w:pStyle w:val="NormalPara"/>
        <w:rPr>
          <w:rStyle w:val="normaltextrun"/>
          <w:rFonts w:eastAsia="Times New Roman"/>
          <w:noProof/>
          <w:lang w:val="en-GB"/>
        </w:rPr>
      </w:pPr>
      <w:r w:rsidRPr="00881BC8">
        <w:rPr>
          <w:rStyle w:val="normaltextrun"/>
          <w:rFonts w:eastAsia="Times New Roman"/>
          <w:noProof/>
          <w:lang w:val="en-GB"/>
        </w:rPr>
        <w:t>P</w:t>
      </w:r>
      <w:r w:rsidR="00EA15ED" w:rsidRPr="00881BC8">
        <w:rPr>
          <w:rStyle w:val="normaltextrun"/>
          <w:rFonts w:eastAsia="Times New Roman"/>
          <w:noProof/>
          <w:lang w:val="en-GB"/>
        </w:rPr>
        <w:t>ositive consequences</w:t>
      </w:r>
      <w:r w:rsidRPr="00881BC8">
        <w:rPr>
          <w:rStyle w:val="normaltextrun"/>
          <w:rFonts w:eastAsia="Times New Roman"/>
          <w:noProof/>
          <w:lang w:val="en-GB"/>
        </w:rPr>
        <w:t xml:space="preserve"> of late payment accrue to debtors</w:t>
      </w:r>
      <w:r w:rsidR="00F14110" w:rsidRPr="00881BC8">
        <w:rPr>
          <w:rStyle w:val="normaltextrun"/>
          <w:rFonts w:eastAsia="Times New Roman"/>
          <w:noProof/>
          <w:lang w:val="en-GB"/>
        </w:rPr>
        <w:t xml:space="preserve">. </w:t>
      </w:r>
      <w:r w:rsidR="00871518" w:rsidRPr="00881BC8">
        <w:rPr>
          <w:rStyle w:val="normaltextrun"/>
          <w:rFonts w:eastAsia="Times New Roman"/>
          <w:noProof/>
          <w:lang w:val="en-GB"/>
        </w:rPr>
        <w:t>They i</w:t>
      </w:r>
      <w:r w:rsidR="00F14110" w:rsidRPr="00881BC8">
        <w:rPr>
          <w:rStyle w:val="normaltextrun"/>
          <w:rFonts w:eastAsia="Times New Roman"/>
          <w:noProof/>
          <w:lang w:val="en-GB"/>
        </w:rPr>
        <w:t xml:space="preserve">nclude stronger cash </w:t>
      </w:r>
      <w:r w:rsidR="00861FFC" w:rsidRPr="00881BC8">
        <w:rPr>
          <w:rStyle w:val="normaltextrun"/>
          <w:rFonts w:eastAsia="Times New Roman"/>
          <w:noProof/>
          <w:lang w:val="en-GB"/>
        </w:rPr>
        <w:t>flow,</w:t>
      </w:r>
      <w:r w:rsidR="00F14110" w:rsidRPr="00881BC8">
        <w:rPr>
          <w:rStyle w:val="normaltextrun"/>
          <w:rFonts w:eastAsia="Times New Roman"/>
          <w:noProof/>
          <w:lang w:val="en-GB"/>
        </w:rPr>
        <w:t xml:space="preserve"> and the</w:t>
      </w:r>
      <w:r w:rsidR="00871518" w:rsidRPr="00881BC8">
        <w:rPr>
          <w:rStyle w:val="normaltextrun"/>
          <w:rFonts w:eastAsia="Times New Roman"/>
          <w:noProof/>
          <w:lang w:val="en-GB"/>
        </w:rPr>
        <w:t xml:space="preserve">y </w:t>
      </w:r>
      <w:r w:rsidR="00D77006" w:rsidRPr="00881BC8">
        <w:rPr>
          <w:rStyle w:val="normaltextrun"/>
          <w:rFonts w:eastAsia="Times New Roman"/>
          <w:noProof/>
          <w:lang w:val="en-GB"/>
        </w:rPr>
        <w:t>allow</w:t>
      </w:r>
      <w:r w:rsidR="00871518" w:rsidRPr="00881BC8">
        <w:rPr>
          <w:rStyle w:val="normaltextrun"/>
          <w:rFonts w:eastAsia="Times New Roman"/>
          <w:noProof/>
          <w:lang w:val="en-GB"/>
        </w:rPr>
        <w:t xml:space="preserve"> the debtor </w:t>
      </w:r>
      <w:r w:rsidR="00861FFC" w:rsidRPr="00881BC8">
        <w:rPr>
          <w:rStyle w:val="normaltextrun"/>
          <w:rFonts w:eastAsia="Times New Roman"/>
          <w:noProof/>
          <w:lang w:val="en-GB"/>
        </w:rPr>
        <w:t>to avoid</w:t>
      </w:r>
      <w:r w:rsidR="00D77006" w:rsidRPr="00881BC8">
        <w:rPr>
          <w:rStyle w:val="normaltextrun"/>
          <w:rFonts w:eastAsia="Times New Roman"/>
          <w:noProof/>
          <w:lang w:val="en-GB"/>
        </w:rPr>
        <w:t xml:space="preserve"> </w:t>
      </w:r>
      <w:r w:rsidR="00861FFC" w:rsidRPr="00881BC8">
        <w:rPr>
          <w:rStyle w:val="normaltextrun"/>
          <w:rFonts w:eastAsia="Times New Roman"/>
          <w:noProof/>
          <w:lang w:val="en-GB"/>
        </w:rPr>
        <w:t xml:space="preserve">going </w:t>
      </w:r>
      <w:r w:rsidR="00D77006" w:rsidRPr="00881BC8">
        <w:rPr>
          <w:rStyle w:val="normaltextrun"/>
          <w:rFonts w:eastAsia="Times New Roman"/>
          <w:noProof/>
          <w:lang w:val="en-GB"/>
        </w:rPr>
        <w:t>through the process of applying for financing.</w:t>
      </w:r>
    </w:p>
    <w:p w14:paraId="26C2F3B9" w14:textId="4771064D" w:rsidR="000C5C07" w:rsidRPr="00881BC8" w:rsidRDefault="00F951E6" w:rsidP="004835F8">
      <w:pPr>
        <w:pStyle w:val="NormalPara"/>
        <w:rPr>
          <w:noProof/>
          <w:lang w:val="en-GB"/>
        </w:rPr>
      </w:pPr>
      <w:r w:rsidRPr="00881BC8">
        <w:rPr>
          <w:noProof/>
          <w:lang w:val="en-GB"/>
        </w:rPr>
        <w:t xml:space="preserve">Negative consequences of late payment </w:t>
      </w:r>
      <w:r w:rsidR="00155DC0" w:rsidRPr="00881BC8">
        <w:rPr>
          <w:noProof/>
          <w:lang w:val="en-GB"/>
        </w:rPr>
        <w:t>accrue to both creditors and debtors. Late payment</w:t>
      </w:r>
      <w:r w:rsidRPr="00881BC8">
        <w:rPr>
          <w:noProof/>
          <w:lang w:val="en-GB"/>
        </w:rPr>
        <w:t>:</w:t>
      </w:r>
    </w:p>
    <w:p w14:paraId="24CFA609" w14:textId="681C4867" w:rsidR="00FA633D" w:rsidRPr="00881BC8" w:rsidRDefault="00E50158" w:rsidP="004835F8">
      <w:pPr>
        <w:pStyle w:val="ListParagraph"/>
        <w:numPr>
          <w:ilvl w:val="0"/>
          <w:numId w:val="23"/>
        </w:numPr>
        <w:rPr>
          <w:noProof/>
          <w:lang w:eastAsia="en-GB"/>
        </w:rPr>
      </w:pPr>
      <w:bookmarkStart w:id="111" w:name="_Toc128935079"/>
      <w:bookmarkStart w:id="112" w:name="_Toc129899871"/>
      <w:r w:rsidRPr="00881BC8">
        <w:rPr>
          <w:noProof/>
        </w:rPr>
        <w:t>reduce</w:t>
      </w:r>
      <w:r w:rsidR="00155DC0" w:rsidRPr="00881BC8">
        <w:rPr>
          <w:noProof/>
        </w:rPr>
        <w:t>s</w:t>
      </w:r>
      <w:r w:rsidRPr="00881BC8">
        <w:rPr>
          <w:noProof/>
        </w:rPr>
        <w:t xml:space="preserve"> </w:t>
      </w:r>
      <w:r w:rsidR="005140E9" w:rsidRPr="00881BC8">
        <w:rPr>
          <w:noProof/>
        </w:rPr>
        <w:t>competitiveness</w:t>
      </w:r>
      <w:bookmarkEnd w:id="111"/>
      <w:bookmarkEnd w:id="112"/>
      <w:r w:rsidR="000A331C" w:rsidRPr="00881BC8">
        <w:rPr>
          <w:noProof/>
        </w:rPr>
        <w:t>,</w:t>
      </w:r>
      <w:r w:rsidR="002362A0" w:rsidRPr="00881BC8">
        <w:rPr>
          <w:noProof/>
        </w:rPr>
        <w:t xml:space="preserve"> </w:t>
      </w:r>
    </w:p>
    <w:p w14:paraId="31EF0429" w14:textId="20129526" w:rsidR="001A786C" w:rsidRPr="00881BC8" w:rsidRDefault="00E50158" w:rsidP="004835F8">
      <w:pPr>
        <w:pStyle w:val="ListParagraph"/>
        <w:numPr>
          <w:ilvl w:val="1"/>
          <w:numId w:val="23"/>
        </w:numPr>
        <w:rPr>
          <w:noProof/>
        </w:rPr>
      </w:pPr>
      <w:bookmarkStart w:id="113" w:name="_Toc130395604"/>
      <w:bookmarkStart w:id="114" w:name="_Toc130403522"/>
      <w:bookmarkStart w:id="115" w:name="_Toc128935080"/>
      <w:bookmarkStart w:id="116" w:name="_Toc129899872"/>
      <w:bookmarkEnd w:id="113"/>
      <w:bookmarkEnd w:id="114"/>
      <w:r w:rsidRPr="00881BC8">
        <w:rPr>
          <w:noProof/>
        </w:rPr>
        <w:t>increase</w:t>
      </w:r>
      <w:r w:rsidR="00155DC0" w:rsidRPr="00881BC8">
        <w:rPr>
          <w:noProof/>
        </w:rPr>
        <w:t>s</w:t>
      </w:r>
      <w:r w:rsidRPr="00881BC8">
        <w:rPr>
          <w:noProof/>
        </w:rPr>
        <w:t xml:space="preserve"> hassle </w:t>
      </w:r>
      <w:r w:rsidR="001A786C" w:rsidRPr="00881BC8">
        <w:rPr>
          <w:noProof/>
        </w:rPr>
        <w:t>costs</w:t>
      </w:r>
      <w:r w:rsidRPr="00881BC8">
        <w:rPr>
          <w:noProof/>
        </w:rPr>
        <w:t xml:space="preserve"> of</w:t>
      </w:r>
      <w:r w:rsidR="001A786C" w:rsidRPr="00881BC8">
        <w:rPr>
          <w:noProof/>
        </w:rPr>
        <w:t xml:space="preserve"> chasing debtors</w:t>
      </w:r>
      <w:bookmarkEnd w:id="115"/>
      <w:bookmarkEnd w:id="116"/>
      <w:r w:rsidR="001A786C" w:rsidRPr="00881BC8">
        <w:rPr>
          <w:noProof/>
        </w:rPr>
        <w:t xml:space="preserve"> </w:t>
      </w:r>
      <w:r w:rsidR="002362A0" w:rsidRPr="00881BC8">
        <w:rPr>
          <w:noProof/>
        </w:rPr>
        <w:t>for payment</w:t>
      </w:r>
      <w:r w:rsidR="000A331C" w:rsidRPr="00881BC8">
        <w:rPr>
          <w:noProof/>
        </w:rPr>
        <w:t>,</w:t>
      </w:r>
    </w:p>
    <w:p w14:paraId="19138CDD" w14:textId="03F0A4B5" w:rsidR="005E3A50" w:rsidRPr="00881BC8" w:rsidRDefault="005E3A50" w:rsidP="004835F8">
      <w:pPr>
        <w:pStyle w:val="ListParagraph"/>
        <w:numPr>
          <w:ilvl w:val="1"/>
          <w:numId w:val="23"/>
        </w:numPr>
        <w:rPr>
          <w:noProof/>
        </w:rPr>
      </w:pPr>
      <w:r w:rsidRPr="00881BC8">
        <w:rPr>
          <w:noProof/>
        </w:rPr>
        <w:t>increase</w:t>
      </w:r>
      <w:r w:rsidR="00155DC0" w:rsidRPr="00881BC8">
        <w:rPr>
          <w:noProof/>
        </w:rPr>
        <w:t>s</w:t>
      </w:r>
      <w:r w:rsidRPr="00881BC8">
        <w:rPr>
          <w:noProof/>
        </w:rPr>
        <w:t xml:space="preserve"> cost of financing</w:t>
      </w:r>
      <w:r w:rsidR="000A331C" w:rsidRPr="00881BC8">
        <w:rPr>
          <w:noProof/>
        </w:rPr>
        <w:t>,</w:t>
      </w:r>
      <w:r w:rsidRPr="00881BC8">
        <w:rPr>
          <w:noProof/>
        </w:rPr>
        <w:t xml:space="preserve"> </w:t>
      </w:r>
    </w:p>
    <w:p w14:paraId="1F95FDE0" w14:textId="41EB5552" w:rsidR="009430B3" w:rsidRPr="00881BC8" w:rsidRDefault="009430B3" w:rsidP="004835F8">
      <w:pPr>
        <w:pStyle w:val="ListParagraph"/>
        <w:numPr>
          <w:ilvl w:val="0"/>
          <w:numId w:val="23"/>
        </w:numPr>
        <w:rPr>
          <w:noProof/>
        </w:rPr>
      </w:pPr>
      <w:bookmarkStart w:id="117" w:name="_Toc130395607"/>
      <w:bookmarkStart w:id="118" w:name="_Toc130403525"/>
      <w:bookmarkEnd w:id="117"/>
      <w:bookmarkEnd w:id="118"/>
      <w:r w:rsidRPr="00881BC8">
        <w:rPr>
          <w:noProof/>
        </w:rPr>
        <w:t>increase</w:t>
      </w:r>
      <w:r w:rsidR="004B221E" w:rsidRPr="00881BC8">
        <w:rPr>
          <w:noProof/>
        </w:rPr>
        <w:t>s</w:t>
      </w:r>
      <w:r w:rsidRPr="00881BC8">
        <w:rPr>
          <w:noProof/>
        </w:rPr>
        <w:t xml:space="preserve"> uncertainty and the risk of running a business</w:t>
      </w:r>
      <w:r w:rsidR="000A331C" w:rsidRPr="00881BC8">
        <w:rPr>
          <w:noProof/>
        </w:rPr>
        <w:t>,</w:t>
      </w:r>
    </w:p>
    <w:p w14:paraId="7B3D756E" w14:textId="7C351303" w:rsidR="002E65AC" w:rsidRPr="00881BC8" w:rsidRDefault="00CF3046" w:rsidP="004835F8">
      <w:pPr>
        <w:pStyle w:val="ListParagraph"/>
        <w:numPr>
          <w:ilvl w:val="1"/>
          <w:numId w:val="23"/>
        </w:numPr>
        <w:rPr>
          <w:noProof/>
        </w:rPr>
      </w:pPr>
      <w:bookmarkStart w:id="119" w:name="_Toc128935081"/>
      <w:bookmarkStart w:id="120" w:name="_Toc129899873"/>
      <w:r w:rsidRPr="00881BC8">
        <w:rPr>
          <w:noProof/>
        </w:rPr>
        <w:t>reduce</w:t>
      </w:r>
      <w:r w:rsidR="004B221E" w:rsidRPr="00881BC8">
        <w:rPr>
          <w:noProof/>
        </w:rPr>
        <w:t>s</w:t>
      </w:r>
      <w:r w:rsidRPr="00881BC8">
        <w:rPr>
          <w:noProof/>
        </w:rPr>
        <w:t xml:space="preserve"> </w:t>
      </w:r>
      <w:r w:rsidR="002E65AC" w:rsidRPr="00881BC8">
        <w:rPr>
          <w:noProof/>
        </w:rPr>
        <w:t>investment</w:t>
      </w:r>
      <w:r w:rsidRPr="00881BC8">
        <w:rPr>
          <w:noProof/>
        </w:rPr>
        <w:t xml:space="preserve"> capacity</w:t>
      </w:r>
      <w:bookmarkEnd w:id="119"/>
      <w:bookmarkEnd w:id="120"/>
      <w:r w:rsidR="000A331C" w:rsidRPr="00881BC8">
        <w:rPr>
          <w:noProof/>
        </w:rPr>
        <w:t>,</w:t>
      </w:r>
    </w:p>
    <w:p w14:paraId="16732147" w14:textId="1B274D55" w:rsidR="00CF3046" w:rsidRPr="00881BC8" w:rsidRDefault="00CF3046" w:rsidP="004835F8">
      <w:pPr>
        <w:pStyle w:val="ListParagraph"/>
        <w:numPr>
          <w:ilvl w:val="1"/>
          <w:numId w:val="23"/>
        </w:numPr>
        <w:rPr>
          <w:noProof/>
        </w:rPr>
      </w:pPr>
      <w:bookmarkStart w:id="121" w:name="_Toc130395610"/>
      <w:bookmarkStart w:id="122" w:name="_Toc130403528"/>
      <w:bookmarkStart w:id="123" w:name="_Toc128935082"/>
      <w:bookmarkStart w:id="124" w:name="_Toc129899874"/>
      <w:bookmarkEnd w:id="121"/>
      <w:bookmarkEnd w:id="122"/>
      <w:r w:rsidRPr="00881BC8">
        <w:rPr>
          <w:noProof/>
        </w:rPr>
        <w:t>increase</w:t>
      </w:r>
      <w:r w:rsidR="004B221E" w:rsidRPr="00881BC8">
        <w:rPr>
          <w:noProof/>
        </w:rPr>
        <w:t>s</w:t>
      </w:r>
      <w:r w:rsidRPr="00881BC8">
        <w:rPr>
          <w:noProof/>
        </w:rPr>
        <w:t xml:space="preserve"> liquidity risk and the risk of bankruptcy</w:t>
      </w:r>
      <w:r w:rsidR="000A331C" w:rsidRPr="00881BC8">
        <w:rPr>
          <w:noProof/>
        </w:rPr>
        <w:t>,</w:t>
      </w:r>
    </w:p>
    <w:p w14:paraId="0C0AD78C" w14:textId="4DCE7771" w:rsidR="007266FB" w:rsidRPr="00881BC8" w:rsidRDefault="007266FB" w:rsidP="004835F8">
      <w:pPr>
        <w:pStyle w:val="ListParagraph"/>
        <w:numPr>
          <w:ilvl w:val="1"/>
          <w:numId w:val="23"/>
        </w:numPr>
        <w:rPr>
          <w:noProof/>
        </w:rPr>
      </w:pPr>
      <w:bookmarkStart w:id="125" w:name="_Toc130395612"/>
      <w:bookmarkStart w:id="126" w:name="_Toc130403530"/>
      <w:bookmarkEnd w:id="125"/>
      <w:bookmarkEnd w:id="126"/>
      <w:r w:rsidRPr="00881BC8">
        <w:rPr>
          <w:noProof/>
        </w:rPr>
        <w:t>reduce</w:t>
      </w:r>
      <w:r w:rsidR="004B221E" w:rsidRPr="00881BC8">
        <w:rPr>
          <w:noProof/>
        </w:rPr>
        <w:t>s</w:t>
      </w:r>
      <w:r w:rsidRPr="00881BC8">
        <w:rPr>
          <w:noProof/>
        </w:rPr>
        <w:t xml:space="preserve"> trust and confidence in the market</w:t>
      </w:r>
      <w:r w:rsidR="000A331C" w:rsidRPr="00881BC8">
        <w:rPr>
          <w:noProof/>
        </w:rPr>
        <w:t>,</w:t>
      </w:r>
    </w:p>
    <w:p w14:paraId="3B854A96" w14:textId="04C9016C" w:rsidR="00B161E8" w:rsidRPr="00881BC8" w:rsidRDefault="00B161E8" w:rsidP="004835F8">
      <w:pPr>
        <w:pStyle w:val="ListParagraph"/>
        <w:numPr>
          <w:ilvl w:val="1"/>
          <w:numId w:val="23"/>
        </w:numPr>
        <w:rPr>
          <w:noProof/>
        </w:rPr>
      </w:pPr>
      <w:r w:rsidRPr="00881BC8">
        <w:rPr>
          <w:noProof/>
        </w:rPr>
        <w:t>result</w:t>
      </w:r>
      <w:r w:rsidR="004B221E" w:rsidRPr="00881BC8">
        <w:rPr>
          <w:noProof/>
        </w:rPr>
        <w:t>s</w:t>
      </w:r>
      <w:r w:rsidRPr="00881BC8">
        <w:rPr>
          <w:noProof/>
        </w:rPr>
        <w:t xml:space="preserve"> in jobs lost</w:t>
      </w:r>
      <w:r w:rsidR="000A331C" w:rsidRPr="00881BC8">
        <w:rPr>
          <w:noProof/>
        </w:rPr>
        <w:t>,</w:t>
      </w:r>
    </w:p>
    <w:p w14:paraId="27729FE6" w14:textId="2E4837C5" w:rsidR="005C4AEB" w:rsidRPr="00881BC8" w:rsidRDefault="00F12FC1" w:rsidP="004835F8">
      <w:pPr>
        <w:pStyle w:val="ListParagraph"/>
        <w:numPr>
          <w:ilvl w:val="0"/>
          <w:numId w:val="23"/>
        </w:numPr>
        <w:rPr>
          <w:noProof/>
        </w:rPr>
      </w:pPr>
      <w:r w:rsidRPr="00881BC8">
        <w:rPr>
          <w:noProof/>
        </w:rPr>
        <w:t>r</w:t>
      </w:r>
      <w:r w:rsidR="00BD1A54" w:rsidRPr="00881BC8">
        <w:rPr>
          <w:noProof/>
        </w:rPr>
        <w:t>educe</w:t>
      </w:r>
      <w:r w:rsidR="004B221E" w:rsidRPr="00881BC8">
        <w:rPr>
          <w:noProof/>
        </w:rPr>
        <w:t>s</w:t>
      </w:r>
      <w:r w:rsidR="005C4AEB" w:rsidRPr="00881BC8">
        <w:rPr>
          <w:noProof/>
        </w:rPr>
        <w:t xml:space="preserve"> participation of SMEs in public procurement</w:t>
      </w:r>
      <w:bookmarkEnd w:id="123"/>
      <w:bookmarkEnd w:id="124"/>
      <w:r w:rsidR="000A331C" w:rsidRPr="00881BC8">
        <w:rPr>
          <w:noProof/>
        </w:rPr>
        <w:t>,</w:t>
      </w:r>
    </w:p>
    <w:p w14:paraId="7907764D" w14:textId="07B394C4" w:rsidR="00880923" w:rsidRPr="00881BC8" w:rsidRDefault="32A74E60" w:rsidP="004835F8">
      <w:pPr>
        <w:pStyle w:val="ListParagraph"/>
        <w:numPr>
          <w:ilvl w:val="0"/>
          <w:numId w:val="23"/>
        </w:numPr>
        <w:rPr>
          <w:noProof/>
        </w:rPr>
      </w:pPr>
      <w:bookmarkStart w:id="127" w:name="_Toc130395616"/>
      <w:bookmarkStart w:id="128" w:name="_Toc130403534"/>
      <w:bookmarkStart w:id="129" w:name="_Toc130395617"/>
      <w:bookmarkStart w:id="130" w:name="_Toc130403535"/>
      <w:bookmarkStart w:id="131" w:name="_Toc130395618"/>
      <w:bookmarkStart w:id="132" w:name="_Toc130403536"/>
      <w:bookmarkStart w:id="133" w:name="_Toc130395651"/>
      <w:bookmarkStart w:id="134" w:name="_Toc130403569"/>
      <w:bookmarkStart w:id="135" w:name="_Toc130395652"/>
      <w:bookmarkStart w:id="136" w:name="_Toc130403570"/>
      <w:bookmarkStart w:id="137" w:name="_Toc129899877"/>
      <w:bookmarkEnd w:id="127"/>
      <w:bookmarkEnd w:id="128"/>
      <w:bookmarkEnd w:id="129"/>
      <w:bookmarkEnd w:id="130"/>
      <w:bookmarkEnd w:id="131"/>
      <w:bookmarkEnd w:id="132"/>
      <w:bookmarkEnd w:id="133"/>
      <w:bookmarkEnd w:id="134"/>
      <w:bookmarkEnd w:id="135"/>
      <w:bookmarkEnd w:id="136"/>
      <w:r w:rsidRPr="00881BC8">
        <w:rPr>
          <w:noProof/>
        </w:rPr>
        <w:t>produce</w:t>
      </w:r>
      <w:r w:rsidR="004B221E" w:rsidRPr="00881BC8">
        <w:rPr>
          <w:noProof/>
        </w:rPr>
        <w:t>s</w:t>
      </w:r>
      <w:r w:rsidRPr="00881BC8">
        <w:rPr>
          <w:noProof/>
        </w:rPr>
        <w:t xml:space="preserve"> negative </w:t>
      </w:r>
      <w:r w:rsidR="0072095B" w:rsidRPr="00881BC8">
        <w:rPr>
          <w:noProof/>
        </w:rPr>
        <w:t>societal</w:t>
      </w:r>
      <w:r w:rsidRPr="00881BC8">
        <w:rPr>
          <w:noProof/>
        </w:rPr>
        <w:t xml:space="preserve"> outcomes</w:t>
      </w:r>
      <w:bookmarkEnd w:id="137"/>
      <w:r w:rsidR="009A3CAF" w:rsidRPr="00881BC8">
        <w:rPr>
          <w:noProof/>
        </w:rPr>
        <w:t>.</w:t>
      </w:r>
    </w:p>
    <w:p w14:paraId="6C47FD72" w14:textId="0BCFC023" w:rsidR="00E02CE9" w:rsidRPr="00881BC8" w:rsidRDefault="00E02CE9" w:rsidP="004835F8">
      <w:pPr>
        <w:pStyle w:val="Heading2"/>
        <w:rPr>
          <w:rStyle w:val="normaltextrun"/>
          <w:noProof/>
        </w:rPr>
      </w:pPr>
      <w:bookmarkStart w:id="138" w:name="_Toc130395656"/>
      <w:bookmarkStart w:id="139" w:name="_Toc130403574"/>
      <w:bookmarkStart w:id="140" w:name="_Toc130395657"/>
      <w:bookmarkStart w:id="141" w:name="_Toc130403575"/>
      <w:bookmarkStart w:id="142" w:name="_Toc130395658"/>
      <w:bookmarkStart w:id="143" w:name="_Toc130403576"/>
      <w:bookmarkStart w:id="144" w:name="_Toc130395659"/>
      <w:bookmarkStart w:id="145" w:name="_Toc130403577"/>
      <w:bookmarkStart w:id="146" w:name="_Toc130395660"/>
      <w:bookmarkStart w:id="147" w:name="_Toc130403578"/>
      <w:bookmarkStart w:id="148" w:name="_Toc130395661"/>
      <w:bookmarkStart w:id="149" w:name="_Toc130403579"/>
      <w:bookmarkStart w:id="150" w:name="_Toc130395662"/>
      <w:bookmarkStart w:id="151" w:name="_Toc130403580"/>
      <w:bookmarkStart w:id="152" w:name="_Toc130395663"/>
      <w:bookmarkStart w:id="153" w:name="_Toc130403581"/>
      <w:bookmarkStart w:id="154" w:name="_Toc130395664"/>
      <w:bookmarkStart w:id="155" w:name="_Toc130403582"/>
      <w:bookmarkStart w:id="156" w:name="_Ref130217194"/>
      <w:bookmarkStart w:id="157" w:name="_Toc13523738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881BC8">
        <w:rPr>
          <w:rStyle w:val="normaltextrun"/>
          <w:noProof/>
        </w:rPr>
        <w:t>Problem drivers</w:t>
      </w:r>
      <w:bookmarkEnd w:id="156"/>
      <w:bookmarkEnd w:id="157"/>
    </w:p>
    <w:p w14:paraId="1D333165" w14:textId="77777777" w:rsidR="00FB6A35" w:rsidRPr="00881BC8" w:rsidRDefault="00E70EC9" w:rsidP="004835F8">
      <w:pPr>
        <w:pStyle w:val="NormalPara"/>
        <w:rPr>
          <w:noProof/>
          <w:lang w:val="en-GB"/>
        </w:rPr>
      </w:pPr>
      <w:r w:rsidRPr="00881BC8">
        <w:rPr>
          <w:noProof/>
          <w:lang w:val="en-GB"/>
        </w:rPr>
        <w:t>P</w:t>
      </w:r>
      <w:r w:rsidR="004F1FD2" w:rsidRPr="00881BC8">
        <w:rPr>
          <w:noProof/>
          <w:lang w:val="en-GB"/>
        </w:rPr>
        <w:t>arties of commercial transactions seek to maximise their financial liquidity at minimum cost and</w:t>
      </w:r>
      <w:r w:rsidR="00EF4D86" w:rsidRPr="00881BC8">
        <w:rPr>
          <w:noProof/>
          <w:lang w:val="en-GB"/>
        </w:rPr>
        <w:t>,</w:t>
      </w:r>
      <w:r w:rsidR="004F1FD2" w:rsidRPr="00881BC8">
        <w:rPr>
          <w:noProof/>
          <w:lang w:val="en-GB"/>
        </w:rPr>
        <w:t xml:space="preserve"> while trade credit is a generally accepted practice, there is no </w:t>
      </w:r>
      <w:r w:rsidR="00653A6F" w:rsidRPr="00881BC8">
        <w:rPr>
          <w:noProof/>
          <w:lang w:val="en-GB"/>
        </w:rPr>
        <w:t xml:space="preserve">universal </w:t>
      </w:r>
      <w:r w:rsidR="004F1FD2" w:rsidRPr="00881BC8">
        <w:rPr>
          <w:noProof/>
          <w:lang w:val="en-GB"/>
        </w:rPr>
        <w:t xml:space="preserve">agreement </w:t>
      </w:r>
      <w:r w:rsidR="00653A6F" w:rsidRPr="00881BC8">
        <w:rPr>
          <w:noProof/>
          <w:lang w:val="en-GB"/>
        </w:rPr>
        <w:t xml:space="preserve">about </w:t>
      </w:r>
      <w:r w:rsidR="004F1FD2" w:rsidRPr="00881BC8">
        <w:rPr>
          <w:noProof/>
          <w:lang w:val="en-GB"/>
        </w:rPr>
        <w:t xml:space="preserve">which payment terms are </w:t>
      </w:r>
      <w:r w:rsidR="00653A6F" w:rsidRPr="00881BC8">
        <w:rPr>
          <w:noProof/>
          <w:lang w:val="en-GB"/>
        </w:rPr>
        <w:t xml:space="preserve">considered </w:t>
      </w:r>
      <w:r w:rsidR="004F1FD2" w:rsidRPr="00881BC8">
        <w:rPr>
          <w:noProof/>
          <w:lang w:val="en-GB"/>
        </w:rPr>
        <w:t>fair and which are not.</w:t>
      </w:r>
      <w:r w:rsidR="004528E4" w:rsidRPr="00881BC8">
        <w:rPr>
          <w:noProof/>
          <w:lang w:val="en-GB"/>
        </w:rPr>
        <w:t xml:space="preserve"> </w:t>
      </w:r>
    </w:p>
    <w:p w14:paraId="43E2E8AC" w14:textId="0701188B" w:rsidR="00FB6A35" w:rsidRPr="00881BC8" w:rsidRDefault="00FB6A35" w:rsidP="00FB6A35">
      <w:pPr>
        <w:pStyle w:val="Caption"/>
        <w:rPr>
          <w:noProof/>
          <w:lang w:val="en-GB"/>
        </w:rPr>
      </w:pPr>
      <w:bookmarkStart w:id="158" w:name="_Ref131008481"/>
      <w:r w:rsidRPr="00881BC8">
        <w:rPr>
          <w:noProof/>
          <w:lang w:val="en-GB"/>
        </w:rPr>
        <w:t xml:space="preserve">Figure </w:t>
      </w:r>
      <w:r w:rsidR="005851F4">
        <w:rPr>
          <w:noProof/>
          <w:lang w:val="en-GB"/>
        </w:rPr>
        <w:t>4</w:t>
      </w:r>
      <w:bookmarkEnd w:id="158"/>
      <w:r w:rsidRPr="00881BC8">
        <w:rPr>
          <w:noProof/>
          <w:lang w:val="en-GB"/>
        </w:rPr>
        <w:t>: High cash reserves ratio represents a stronger motivational factor for companies managing their probability of default than reducing late payment</w:t>
      </w:r>
      <w:r w:rsidRPr="00881BC8">
        <w:rPr>
          <w:rStyle w:val="FootnoteReference"/>
          <w:noProof/>
          <w:lang w:val="en-GB"/>
        </w:rPr>
        <w:footnoteReference w:id="52"/>
      </w:r>
    </w:p>
    <w:p w14:paraId="22922A91" w14:textId="534D9318" w:rsidR="00FB6A35" w:rsidRPr="00881BC8" w:rsidRDefault="00FB6A35" w:rsidP="002167E4">
      <w:pPr>
        <w:rPr>
          <w:rStyle w:val="normaltextrun"/>
          <w:noProof/>
        </w:rPr>
      </w:pPr>
      <w:r w:rsidRPr="00881BC8">
        <w:rPr>
          <w:noProof/>
          <w:lang w:eastAsia="en-GB"/>
        </w:rPr>
        <w:drawing>
          <wp:anchor distT="0" distB="0" distL="114300" distR="114300" simplePos="0" relativeHeight="251658240" behindDoc="1" locked="0" layoutInCell="1" allowOverlap="1" wp14:anchorId="09D7743A" wp14:editId="4DEF71AB">
            <wp:simplePos x="0" y="0"/>
            <wp:positionH relativeFrom="column">
              <wp:posOffset>1658</wp:posOffset>
            </wp:positionH>
            <wp:positionV relativeFrom="paragraph">
              <wp:posOffset>-874</wp:posOffset>
            </wp:positionV>
            <wp:extent cx="2698378" cy="2621666"/>
            <wp:effectExtent l="0" t="0" r="6985" b="7620"/>
            <wp:wrapTight wrapText="bothSides">
              <wp:wrapPolygon edited="0">
                <wp:start x="0" y="0"/>
                <wp:lineTo x="0" y="21506"/>
                <wp:lineTo x="21503" y="21506"/>
                <wp:lineTo x="2150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98378" cy="2621666"/>
                    </a:xfrm>
                    <a:prstGeom prst="rect">
                      <a:avLst/>
                    </a:prstGeom>
                  </pic:spPr>
                </pic:pic>
              </a:graphicData>
            </a:graphic>
          </wp:anchor>
        </w:drawing>
      </w:r>
      <w:r w:rsidRPr="00881BC8">
        <w:rPr>
          <w:rStyle w:val="normaltextrun"/>
          <w:noProof/>
        </w:rPr>
        <w:t xml:space="preserve">Late payment is caused by horizontal drivers common to all sectors and applicable in commercial transactions. </w:t>
      </w:r>
    </w:p>
    <w:p w14:paraId="5C77C3DB" w14:textId="77777777" w:rsidR="00FB6A35" w:rsidRPr="00881BC8" w:rsidRDefault="00FB6A35" w:rsidP="002167E4">
      <w:pPr>
        <w:rPr>
          <w:noProof/>
        </w:rPr>
      </w:pPr>
      <w:r w:rsidRPr="00881BC8">
        <w:rPr>
          <w:rStyle w:val="normaltextrun"/>
          <w:noProof/>
        </w:rPr>
        <w:t>In LPD’s context, the interpretation and application of key provisions on payment terms are delegated to insufficiently defined concepts (e.g. ‘grossly unfair’); enforcement of the law is insufficient because it can only be obtained through long and costly court procedures, and it is easier for many debtors to obtain finance through late payment rather than bank credit.</w:t>
      </w:r>
    </w:p>
    <w:p w14:paraId="4FD11151" w14:textId="70656F87" w:rsidR="00FB6A35" w:rsidRPr="00881BC8" w:rsidRDefault="00FB6A35" w:rsidP="002167E4">
      <w:pPr>
        <w:rPr>
          <w:noProof/>
        </w:rPr>
      </w:pPr>
      <w:r w:rsidRPr="00881BC8">
        <w:rPr>
          <w:noProof/>
        </w:rPr>
        <w:fldChar w:fldCharType="begin"/>
      </w:r>
      <w:r w:rsidRPr="00881BC8">
        <w:rPr>
          <w:noProof/>
        </w:rPr>
        <w:instrText xml:space="preserve"> REF _Ref131008481 \h </w:instrText>
      </w:r>
      <w:r w:rsidR="002167E4" w:rsidRPr="00881BC8">
        <w:rPr>
          <w:noProof/>
        </w:rPr>
        <w:instrText xml:space="preserve"> \* MERGEFORMAT </w:instrText>
      </w:r>
      <w:r w:rsidRPr="00881BC8">
        <w:rPr>
          <w:noProof/>
        </w:rPr>
      </w:r>
      <w:r w:rsidRPr="00881BC8">
        <w:rPr>
          <w:noProof/>
        </w:rPr>
        <w:fldChar w:fldCharType="separate"/>
      </w:r>
      <w:r w:rsidR="005851F4" w:rsidRPr="00881BC8">
        <w:rPr>
          <w:noProof/>
        </w:rPr>
        <w:t xml:space="preserve">Figure </w:t>
      </w:r>
      <w:r w:rsidR="005851F4">
        <w:rPr>
          <w:noProof/>
        </w:rPr>
        <w:t>4</w:t>
      </w:r>
      <w:r w:rsidRPr="00881BC8">
        <w:rPr>
          <w:noProof/>
        </w:rPr>
        <w:fldChar w:fldCharType="end"/>
      </w:r>
      <w:r w:rsidRPr="00881BC8">
        <w:rPr>
          <w:noProof/>
        </w:rPr>
        <w:t xml:space="preserve"> shows that high cash reserves ratio reduces a company’s probability of default much more than the increase caused by the existence of late payment.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4"/>
        <w:gridCol w:w="4304"/>
      </w:tblGrid>
      <w:tr w:rsidR="004528E4" w:rsidRPr="00881BC8" w14:paraId="4F6F3B2E" w14:textId="77777777" w:rsidTr="003B4A75">
        <w:tc>
          <w:tcPr>
            <w:tcW w:w="4304" w:type="dxa"/>
          </w:tcPr>
          <w:p w14:paraId="108C67B2" w14:textId="225BF56F" w:rsidR="004528E4" w:rsidRPr="00881BC8" w:rsidRDefault="004528E4" w:rsidP="00FB6A35">
            <w:pPr>
              <w:pStyle w:val="Caption"/>
              <w:rPr>
                <w:noProof/>
                <w:lang w:val="en-GB"/>
              </w:rPr>
            </w:pPr>
          </w:p>
        </w:tc>
        <w:tc>
          <w:tcPr>
            <w:tcW w:w="4304" w:type="dxa"/>
          </w:tcPr>
          <w:p w14:paraId="7572C7FD" w14:textId="070721DF" w:rsidR="004528E4" w:rsidRPr="00881BC8" w:rsidRDefault="004528E4" w:rsidP="00773DEB">
            <w:pPr>
              <w:pStyle w:val="NormalPara"/>
              <w:numPr>
                <w:ilvl w:val="0"/>
                <w:numId w:val="0"/>
              </w:numPr>
              <w:rPr>
                <w:noProof/>
                <w:lang w:val="en-GB"/>
              </w:rPr>
            </w:pPr>
          </w:p>
        </w:tc>
      </w:tr>
    </w:tbl>
    <w:p w14:paraId="6F707CCB" w14:textId="0D48C368" w:rsidR="00E47271" w:rsidRPr="00881BC8" w:rsidRDefault="00653A6F" w:rsidP="004835F8">
      <w:pPr>
        <w:pStyle w:val="NormalPara"/>
        <w:rPr>
          <w:rStyle w:val="eop"/>
          <w:noProof/>
          <w:lang w:val="en-GB"/>
        </w:rPr>
      </w:pPr>
      <w:r w:rsidRPr="00881BC8">
        <w:rPr>
          <w:rStyle w:val="normaltextrun"/>
          <w:noProof/>
          <w:lang w:val="en-GB"/>
        </w:rPr>
        <w:t>L</w:t>
      </w:r>
      <w:r w:rsidR="00E47271" w:rsidRPr="00881BC8">
        <w:rPr>
          <w:rStyle w:val="normaltextrun"/>
          <w:noProof/>
          <w:lang w:val="en-GB"/>
        </w:rPr>
        <w:t xml:space="preserve">ate payment happens </w:t>
      </w:r>
      <w:r w:rsidRPr="00881BC8">
        <w:rPr>
          <w:rStyle w:val="normaltextrun"/>
          <w:noProof/>
          <w:lang w:val="en-GB"/>
        </w:rPr>
        <w:t xml:space="preserve">in the context of </w:t>
      </w:r>
      <w:r w:rsidR="009E169A" w:rsidRPr="00881BC8">
        <w:rPr>
          <w:rStyle w:val="normaltextrun"/>
          <w:b/>
          <w:noProof/>
          <w:u w:val="single"/>
          <w:lang w:val="en-GB"/>
        </w:rPr>
        <w:t>‘borrowing liquidity’</w:t>
      </w:r>
      <w:r w:rsidR="00E47271" w:rsidRPr="00881BC8">
        <w:rPr>
          <w:rStyle w:val="normaltextrun"/>
          <w:noProof/>
          <w:lang w:val="en-GB"/>
        </w:rPr>
        <w:t xml:space="preserve"> – accomplished at the expense of the business partner</w:t>
      </w:r>
      <w:r w:rsidR="0033372D" w:rsidRPr="00881BC8">
        <w:rPr>
          <w:rStyle w:val="FootnoteReference"/>
          <w:noProof/>
          <w:lang w:val="en-GB"/>
        </w:rPr>
        <w:footnoteReference w:id="53"/>
      </w:r>
      <w:r w:rsidR="00E47271" w:rsidRPr="00881BC8">
        <w:rPr>
          <w:rStyle w:val="normaltextrun"/>
          <w:noProof/>
          <w:lang w:val="en-GB"/>
        </w:rPr>
        <w:t xml:space="preserve">, either </w:t>
      </w:r>
      <w:r w:rsidR="00F90C4A" w:rsidRPr="00881BC8">
        <w:rPr>
          <w:rStyle w:val="normaltextrun"/>
          <w:noProof/>
          <w:lang w:val="en-GB"/>
        </w:rPr>
        <w:t xml:space="preserve">by obtaining </w:t>
      </w:r>
      <w:r w:rsidR="00E47271" w:rsidRPr="00881BC8">
        <w:rPr>
          <w:rStyle w:val="normaltextrun"/>
          <w:noProof/>
          <w:lang w:val="en-GB"/>
        </w:rPr>
        <w:t>the creditor’s validation</w:t>
      </w:r>
      <w:r w:rsidR="00F90C4A" w:rsidRPr="00881BC8">
        <w:rPr>
          <w:rStyle w:val="normaltextrun"/>
          <w:noProof/>
          <w:lang w:val="en-GB"/>
        </w:rPr>
        <w:t xml:space="preserve"> by exploiting </w:t>
      </w:r>
      <w:r w:rsidR="00E47271" w:rsidRPr="00881BC8">
        <w:rPr>
          <w:rStyle w:val="normaltextrun"/>
          <w:noProof/>
          <w:lang w:val="en-GB"/>
        </w:rPr>
        <w:t xml:space="preserve">differences in bargaining power, or </w:t>
      </w:r>
      <w:r w:rsidR="00EF50DC" w:rsidRPr="00881BC8">
        <w:rPr>
          <w:rStyle w:val="normaltextrun"/>
          <w:noProof/>
          <w:lang w:val="en-GB"/>
        </w:rPr>
        <w:t xml:space="preserve">by </w:t>
      </w:r>
      <w:r w:rsidR="00FC1C71" w:rsidRPr="00881BC8">
        <w:rPr>
          <w:rStyle w:val="normaltextrun"/>
          <w:noProof/>
          <w:lang w:val="en-GB"/>
        </w:rPr>
        <w:t xml:space="preserve">unilaterally, </w:t>
      </w:r>
      <w:r w:rsidR="00E47271" w:rsidRPr="00881BC8">
        <w:rPr>
          <w:rStyle w:val="normaltextrun"/>
          <w:noProof/>
          <w:lang w:val="en-GB"/>
        </w:rPr>
        <w:t xml:space="preserve">outright unlawfully paying late (breach of contract), with no fear for consequences. </w:t>
      </w:r>
      <w:r w:rsidR="00221C41" w:rsidRPr="00881BC8">
        <w:rPr>
          <w:rStyle w:val="normaltextrun"/>
          <w:noProof/>
          <w:lang w:val="en-GB"/>
        </w:rPr>
        <w:t xml:space="preserve">Asking </w:t>
      </w:r>
      <w:r w:rsidR="00E47271" w:rsidRPr="00881BC8">
        <w:rPr>
          <w:rStyle w:val="normaltextrun"/>
          <w:noProof/>
          <w:lang w:val="en-GB"/>
        </w:rPr>
        <w:t>for long or extended payment terms</w:t>
      </w:r>
      <w:r w:rsidR="002E552C" w:rsidRPr="00881BC8">
        <w:rPr>
          <w:rStyle w:val="normaltextrun"/>
          <w:noProof/>
          <w:lang w:val="en-GB"/>
        </w:rPr>
        <w:t xml:space="preserve"> </w:t>
      </w:r>
      <w:r w:rsidR="00174BB7" w:rsidRPr="00881BC8">
        <w:rPr>
          <w:rStyle w:val="normaltextrun"/>
          <w:noProof/>
          <w:lang w:val="en-GB"/>
        </w:rPr>
        <w:t>is a</w:t>
      </w:r>
      <w:r w:rsidR="00E47271" w:rsidRPr="00881BC8">
        <w:rPr>
          <w:rStyle w:val="normaltextrun"/>
          <w:noProof/>
          <w:lang w:val="en-GB"/>
        </w:rPr>
        <w:t xml:space="preserve"> latent demand for cash. These sources of finance are substitutes for normal trade credit and bank loans or overdrafts. </w:t>
      </w:r>
      <w:r w:rsidR="00F245A1" w:rsidRPr="00881BC8">
        <w:rPr>
          <w:rStyle w:val="normaltextrun"/>
          <w:noProof/>
          <w:lang w:val="en-GB"/>
        </w:rPr>
        <w:t xml:space="preserve">But they are not free. </w:t>
      </w:r>
      <w:r w:rsidR="0064265F" w:rsidRPr="00881BC8">
        <w:rPr>
          <w:rStyle w:val="normaltextrun"/>
          <w:noProof/>
          <w:lang w:val="en-GB"/>
        </w:rPr>
        <w:t>The implicit interest rate in a trade credit agreement is usually very high as compared with the rates on bank credit</w:t>
      </w:r>
      <w:r w:rsidR="0064265F" w:rsidRPr="00881BC8">
        <w:rPr>
          <w:rStyle w:val="FootnoteReference"/>
          <w:noProof/>
          <w:lang w:val="en-GB"/>
        </w:rPr>
        <w:footnoteReference w:id="54"/>
      </w:r>
      <w:r w:rsidR="0064265F" w:rsidRPr="00881BC8">
        <w:rPr>
          <w:rStyle w:val="normaltextrun"/>
          <w:noProof/>
          <w:lang w:val="en-GB"/>
        </w:rPr>
        <w:t>. C</w:t>
      </w:r>
      <w:r w:rsidR="00022508" w:rsidRPr="00881BC8">
        <w:rPr>
          <w:rStyle w:val="normaltextrun"/>
          <w:noProof/>
          <w:lang w:val="en-GB"/>
        </w:rPr>
        <w:t xml:space="preserve">ost savings </w:t>
      </w:r>
      <w:r w:rsidR="009F59AF" w:rsidRPr="00881BC8">
        <w:rPr>
          <w:rStyle w:val="normaltextrun"/>
          <w:noProof/>
          <w:lang w:val="en-GB"/>
        </w:rPr>
        <w:t xml:space="preserve">debtors </w:t>
      </w:r>
      <w:r w:rsidR="00022508" w:rsidRPr="00881BC8">
        <w:rPr>
          <w:rStyle w:val="normaltextrun"/>
          <w:noProof/>
          <w:lang w:val="en-GB"/>
        </w:rPr>
        <w:t xml:space="preserve">obtain through late payment are </w:t>
      </w:r>
      <w:r w:rsidR="00915FFB" w:rsidRPr="00881BC8">
        <w:rPr>
          <w:rStyle w:val="normaltextrun"/>
          <w:noProof/>
          <w:lang w:val="en-GB"/>
        </w:rPr>
        <w:t>illusionary because</w:t>
      </w:r>
      <w:r w:rsidR="00022508" w:rsidRPr="00881BC8">
        <w:rPr>
          <w:rStyle w:val="normaltextrun"/>
          <w:noProof/>
          <w:lang w:val="en-GB"/>
        </w:rPr>
        <w:t xml:space="preserve"> </w:t>
      </w:r>
      <w:r w:rsidR="006B50B8" w:rsidRPr="00881BC8">
        <w:rPr>
          <w:rStyle w:val="normaltextrun"/>
          <w:noProof/>
          <w:lang w:val="en-GB"/>
        </w:rPr>
        <w:t xml:space="preserve">debtors effectively </w:t>
      </w:r>
      <w:r w:rsidR="00915FFB" w:rsidRPr="00881BC8">
        <w:rPr>
          <w:rStyle w:val="normaltextrun"/>
          <w:noProof/>
          <w:lang w:val="en-GB"/>
        </w:rPr>
        <w:t xml:space="preserve">use </w:t>
      </w:r>
      <w:r w:rsidR="00C245AA" w:rsidRPr="00881BC8">
        <w:rPr>
          <w:rStyle w:val="normaltextrun"/>
          <w:noProof/>
          <w:lang w:val="en-GB"/>
        </w:rPr>
        <w:t xml:space="preserve">and pay for </w:t>
      </w:r>
      <w:r w:rsidR="00515D51" w:rsidRPr="00881BC8">
        <w:rPr>
          <w:rStyle w:val="normaltextrun"/>
          <w:noProof/>
          <w:lang w:val="en-GB"/>
        </w:rPr>
        <w:t xml:space="preserve">their </w:t>
      </w:r>
      <w:r w:rsidR="006B50B8" w:rsidRPr="00881BC8">
        <w:rPr>
          <w:rStyle w:val="normaltextrun"/>
          <w:noProof/>
          <w:lang w:val="en-GB"/>
        </w:rPr>
        <w:t>creditors</w:t>
      </w:r>
      <w:r w:rsidR="00915FFB" w:rsidRPr="00881BC8">
        <w:rPr>
          <w:rStyle w:val="normaltextrun"/>
          <w:noProof/>
          <w:lang w:val="en-GB"/>
        </w:rPr>
        <w:t>’</w:t>
      </w:r>
      <w:r w:rsidR="00515D51" w:rsidRPr="00881BC8">
        <w:rPr>
          <w:rStyle w:val="normaltextrun"/>
          <w:noProof/>
          <w:lang w:val="en-GB"/>
        </w:rPr>
        <w:t xml:space="preserve"> working capital</w:t>
      </w:r>
      <w:r w:rsidR="00915FFB" w:rsidRPr="00881BC8">
        <w:rPr>
          <w:rStyle w:val="normaltextrun"/>
          <w:noProof/>
          <w:lang w:val="en-GB"/>
        </w:rPr>
        <w:t xml:space="preserve"> funding</w:t>
      </w:r>
      <w:r w:rsidR="00515D51" w:rsidRPr="00881BC8">
        <w:rPr>
          <w:rStyle w:val="normaltextrun"/>
          <w:noProof/>
          <w:lang w:val="en-GB"/>
        </w:rPr>
        <w:t xml:space="preserve">. </w:t>
      </w:r>
      <w:r w:rsidR="00BB52F9" w:rsidRPr="00881BC8">
        <w:rPr>
          <w:rStyle w:val="normaltextrun"/>
          <w:noProof/>
          <w:lang w:val="en-GB"/>
        </w:rPr>
        <w:t>We are a</w:t>
      </w:r>
      <w:r w:rsidR="00515D51" w:rsidRPr="00881BC8">
        <w:rPr>
          <w:rStyle w:val="normaltextrun"/>
          <w:noProof/>
          <w:lang w:val="en-GB"/>
        </w:rPr>
        <w:t xml:space="preserve">ssuming </w:t>
      </w:r>
      <w:r w:rsidR="00CF6A40" w:rsidRPr="00881BC8">
        <w:rPr>
          <w:rStyle w:val="normaltextrun"/>
          <w:noProof/>
          <w:lang w:val="en-GB"/>
        </w:rPr>
        <w:t xml:space="preserve">that </w:t>
      </w:r>
      <w:r w:rsidR="00175D16" w:rsidRPr="00881BC8">
        <w:rPr>
          <w:rStyle w:val="normaltextrun"/>
          <w:noProof/>
          <w:lang w:val="en-GB"/>
        </w:rPr>
        <w:t>a creditor</w:t>
      </w:r>
      <w:r w:rsidR="00276593" w:rsidRPr="00881BC8">
        <w:rPr>
          <w:rStyle w:val="normaltextrun"/>
          <w:noProof/>
          <w:lang w:val="en-GB"/>
        </w:rPr>
        <w:t xml:space="preserve"> needs a working capital credit line </w:t>
      </w:r>
      <w:r w:rsidR="00175D16" w:rsidRPr="00881BC8">
        <w:rPr>
          <w:rStyle w:val="normaltextrun"/>
          <w:noProof/>
          <w:lang w:val="en-GB"/>
        </w:rPr>
        <w:t xml:space="preserve">to </w:t>
      </w:r>
      <w:r w:rsidR="00276593" w:rsidRPr="00881BC8">
        <w:rPr>
          <w:rStyle w:val="normaltextrun"/>
          <w:noProof/>
          <w:lang w:val="en-GB"/>
        </w:rPr>
        <w:t xml:space="preserve">fund </w:t>
      </w:r>
      <w:r w:rsidR="00175D16" w:rsidRPr="00881BC8">
        <w:rPr>
          <w:rStyle w:val="normaltextrun"/>
          <w:noProof/>
          <w:lang w:val="en-GB"/>
        </w:rPr>
        <w:t>trade credit to customers</w:t>
      </w:r>
      <w:r w:rsidR="00276593" w:rsidRPr="00881BC8">
        <w:rPr>
          <w:rStyle w:val="normaltextrun"/>
          <w:noProof/>
          <w:lang w:val="en-GB"/>
        </w:rPr>
        <w:t xml:space="preserve">. </w:t>
      </w:r>
      <w:r w:rsidR="00D8668B" w:rsidRPr="00881BC8">
        <w:rPr>
          <w:rStyle w:val="normaltextrun"/>
          <w:noProof/>
          <w:lang w:val="en-GB"/>
        </w:rPr>
        <w:t>We are assuming that c</w:t>
      </w:r>
      <w:r w:rsidR="00515D51" w:rsidRPr="00881BC8">
        <w:rPr>
          <w:rStyle w:val="normaltextrun"/>
          <w:noProof/>
          <w:lang w:val="en-GB"/>
        </w:rPr>
        <w:t>reditor</w:t>
      </w:r>
      <w:r w:rsidR="00C245AA" w:rsidRPr="00881BC8">
        <w:rPr>
          <w:rStyle w:val="normaltextrun"/>
          <w:noProof/>
          <w:lang w:val="en-GB"/>
        </w:rPr>
        <w:t>’</w:t>
      </w:r>
      <w:r w:rsidR="00515D51" w:rsidRPr="00881BC8">
        <w:rPr>
          <w:rStyle w:val="normaltextrun"/>
          <w:noProof/>
          <w:lang w:val="en-GB"/>
        </w:rPr>
        <w:t xml:space="preserve">s weaker bargaining power </w:t>
      </w:r>
      <w:r w:rsidR="00D8668B" w:rsidRPr="00881BC8">
        <w:rPr>
          <w:rStyle w:val="normaltextrun"/>
          <w:noProof/>
          <w:lang w:val="en-GB"/>
        </w:rPr>
        <w:t xml:space="preserve">than the debtor’s means that creditor’s business </w:t>
      </w:r>
      <w:r w:rsidR="00515D51" w:rsidRPr="00881BC8">
        <w:rPr>
          <w:rStyle w:val="normaltextrun"/>
          <w:noProof/>
          <w:lang w:val="en-GB"/>
        </w:rPr>
        <w:t xml:space="preserve">risk </w:t>
      </w:r>
      <w:r w:rsidR="00D8668B" w:rsidRPr="00881BC8">
        <w:rPr>
          <w:rStyle w:val="normaltextrun"/>
          <w:noProof/>
          <w:lang w:val="en-GB"/>
        </w:rPr>
        <w:t xml:space="preserve">is higher </w:t>
      </w:r>
      <w:r w:rsidR="00C245AA" w:rsidRPr="00881BC8">
        <w:rPr>
          <w:rStyle w:val="normaltextrun"/>
          <w:noProof/>
          <w:lang w:val="en-GB"/>
        </w:rPr>
        <w:t>than debtor’s</w:t>
      </w:r>
      <w:r w:rsidR="00D8668B" w:rsidRPr="00881BC8">
        <w:rPr>
          <w:rStyle w:val="normaltextrun"/>
          <w:noProof/>
          <w:lang w:val="en-GB"/>
        </w:rPr>
        <w:t>.</w:t>
      </w:r>
      <w:r w:rsidR="00515D51" w:rsidRPr="00881BC8">
        <w:rPr>
          <w:rStyle w:val="normaltextrun"/>
          <w:noProof/>
          <w:lang w:val="en-GB"/>
        </w:rPr>
        <w:t xml:space="preserve"> </w:t>
      </w:r>
      <w:r w:rsidR="003B302E" w:rsidRPr="00881BC8">
        <w:rPr>
          <w:rStyle w:val="normaltextrun"/>
          <w:noProof/>
          <w:lang w:val="en-GB"/>
        </w:rPr>
        <w:t>Therefore,</w:t>
      </w:r>
      <w:r w:rsidR="00C76FBE" w:rsidRPr="00881BC8">
        <w:rPr>
          <w:rStyle w:val="normaltextrun"/>
          <w:noProof/>
          <w:lang w:val="en-GB"/>
        </w:rPr>
        <w:t xml:space="preserve"> interest</w:t>
      </w:r>
      <w:r w:rsidR="00D8668B" w:rsidRPr="00881BC8">
        <w:rPr>
          <w:rStyle w:val="normaltextrun"/>
          <w:noProof/>
          <w:lang w:val="en-GB"/>
        </w:rPr>
        <w:t xml:space="preserve"> rate</w:t>
      </w:r>
      <w:r w:rsidR="00C76FBE" w:rsidRPr="00881BC8">
        <w:rPr>
          <w:rStyle w:val="normaltextrun"/>
          <w:noProof/>
          <w:lang w:val="en-GB"/>
        </w:rPr>
        <w:t xml:space="preserve"> </w:t>
      </w:r>
      <w:r w:rsidR="00404228" w:rsidRPr="00881BC8">
        <w:rPr>
          <w:rStyle w:val="normaltextrun"/>
          <w:noProof/>
          <w:lang w:val="en-GB"/>
        </w:rPr>
        <w:t xml:space="preserve">banks </w:t>
      </w:r>
      <w:r w:rsidR="00C76FBE" w:rsidRPr="00881BC8">
        <w:rPr>
          <w:rStyle w:val="normaltextrun"/>
          <w:noProof/>
          <w:lang w:val="en-GB"/>
        </w:rPr>
        <w:t xml:space="preserve">require </w:t>
      </w:r>
      <w:r w:rsidR="00404228" w:rsidRPr="00881BC8">
        <w:rPr>
          <w:rStyle w:val="normaltextrun"/>
          <w:noProof/>
          <w:lang w:val="en-GB"/>
        </w:rPr>
        <w:t xml:space="preserve">from </w:t>
      </w:r>
      <w:r w:rsidR="00D8668B" w:rsidRPr="00881BC8">
        <w:rPr>
          <w:rStyle w:val="normaltextrun"/>
          <w:noProof/>
          <w:lang w:val="en-GB"/>
        </w:rPr>
        <w:t xml:space="preserve">the </w:t>
      </w:r>
      <w:r w:rsidR="00404228" w:rsidRPr="00881BC8">
        <w:rPr>
          <w:rStyle w:val="normaltextrun"/>
          <w:noProof/>
          <w:lang w:val="en-GB"/>
        </w:rPr>
        <w:t xml:space="preserve">creditor </w:t>
      </w:r>
      <w:r w:rsidR="00C76FBE" w:rsidRPr="00881BC8">
        <w:rPr>
          <w:rStyle w:val="normaltextrun"/>
          <w:noProof/>
          <w:lang w:val="en-GB"/>
        </w:rPr>
        <w:t xml:space="preserve">is higher </w:t>
      </w:r>
      <w:r w:rsidR="00404228" w:rsidRPr="00881BC8">
        <w:rPr>
          <w:rStyle w:val="normaltextrun"/>
          <w:noProof/>
          <w:lang w:val="en-GB"/>
        </w:rPr>
        <w:t xml:space="preserve">than they require from </w:t>
      </w:r>
      <w:r w:rsidR="00595216" w:rsidRPr="00881BC8">
        <w:rPr>
          <w:rStyle w:val="normaltextrun"/>
          <w:noProof/>
          <w:lang w:val="en-GB"/>
        </w:rPr>
        <w:t xml:space="preserve">the </w:t>
      </w:r>
      <w:r w:rsidR="00515D51" w:rsidRPr="00881BC8">
        <w:rPr>
          <w:rStyle w:val="normaltextrun"/>
          <w:noProof/>
          <w:lang w:val="en-GB"/>
        </w:rPr>
        <w:t>debtor</w:t>
      </w:r>
      <w:r w:rsidR="00D07843" w:rsidRPr="00881BC8">
        <w:rPr>
          <w:rStyle w:val="normaltextrun"/>
          <w:noProof/>
          <w:lang w:val="en-GB"/>
        </w:rPr>
        <w:t>.</w:t>
      </w:r>
      <w:r w:rsidR="00515D51" w:rsidRPr="00881BC8">
        <w:rPr>
          <w:rStyle w:val="normaltextrun"/>
          <w:noProof/>
          <w:lang w:val="en-GB"/>
        </w:rPr>
        <w:t xml:space="preserve"> </w:t>
      </w:r>
      <w:r w:rsidR="00404228" w:rsidRPr="00881BC8">
        <w:rPr>
          <w:rStyle w:val="normaltextrun"/>
          <w:noProof/>
          <w:lang w:val="en-GB"/>
        </w:rPr>
        <w:t>Late payment</w:t>
      </w:r>
      <w:r w:rsidR="00F86EDF" w:rsidRPr="00881BC8">
        <w:rPr>
          <w:rStyle w:val="normaltextrun"/>
          <w:noProof/>
          <w:lang w:val="en-GB"/>
        </w:rPr>
        <w:t xml:space="preserve"> allows the</w:t>
      </w:r>
      <w:r w:rsidR="0064265F" w:rsidRPr="00881BC8">
        <w:rPr>
          <w:rStyle w:val="normaltextrun"/>
          <w:noProof/>
          <w:lang w:val="en-GB"/>
        </w:rPr>
        <w:t>refore</w:t>
      </w:r>
      <w:r w:rsidR="00F86EDF" w:rsidRPr="00881BC8">
        <w:rPr>
          <w:rStyle w:val="normaltextrun"/>
          <w:noProof/>
          <w:lang w:val="en-GB"/>
        </w:rPr>
        <w:t xml:space="preserve"> </w:t>
      </w:r>
      <w:r w:rsidR="0064265F" w:rsidRPr="00881BC8">
        <w:rPr>
          <w:rStyle w:val="normaltextrun"/>
          <w:noProof/>
          <w:lang w:val="en-GB"/>
        </w:rPr>
        <w:t xml:space="preserve">the </w:t>
      </w:r>
      <w:r w:rsidR="00F86EDF" w:rsidRPr="00881BC8">
        <w:rPr>
          <w:rStyle w:val="normaltextrun"/>
          <w:noProof/>
          <w:lang w:val="en-GB"/>
        </w:rPr>
        <w:t xml:space="preserve">debtor to </w:t>
      </w:r>
      <w:r w:rsidR="00595216" w:rsidRPr="00881BC8">
        <w:rPr>
          <w:rStyle w:val="normaltextrun"/>
          <w:noProof/>
          <w:lang w:val="en-GB"/>
        </w:rPr>
        <w:t xml:space="preserve">limit their collaboration with their bank, </w:t>
      </w:r>
      <w:r w:rsidR="00F86EDF" w:rsidRPr="00881BC8">
        <w:rPr>
          <w:rStyle w:val="normaltextrun"/>
          <w:noProof/>
          <w:lang w:val="en-GB"/>
        </w:rPr>
        <w:t xml:space="preserve">avoid applying for a loan </w:t>
      </w:r>
      <w:r w:rsidR="00763A6E" w:rsidRPr="00881BC8">
        <w:rPr>
          <w:rStyle w:val="normaltextrun"/>
          <w:noProof/>
          <w:lang w:val="en-GB"/>
        </w:rPr>
        <w:t>and strengthen their cash position</w:t>
      </w:r>
      <w:r w:rsidR="0064265F" w:rsidRPr="00881BC8">
        <w:rPr>
          <w:rStyle w:val="normaltextrun"/>
          <w:noProof/>
          <w:lang w:val="en-GB"/>
        </w:rPr>
        <w:t>, but at a higher price</w:t>
      </w:r>
      <w:r w:rsidR="00F86EDF" w:rsidRPr="00881BC8">
        <w:rPr>
          <w:rStyle w:val="normaltextrun"/>
          <w:noProof/>
          <w:lang w:val="en-GB"/>
        </w:rPr>
        <w:t xml:space="preserve">. </w:t>
      </w:r>
      <w:r w:rsidR="00612D4B" w:rsidRPr="00881BC8">
        <w:rPr>
          <w:rStyle w:val="normaltextrun"/>
          <w:noProof/>
          <w:lang w:val="en-GB"/>
        </w:rPr>
        <w:t>Provision of working capital financ</w:t>
      </w:r>
      <w:r w:rsidR="00314E0F" w:rsidRPr="00881BC8">
        <w:rPr>
          <w:rStyle w:val="normaltextrun"/>
          <w:noProof/>
          <w:lang w:val="en-GB"/>
        </w:rPr>
        <w:t>ing</w:t>
      </w:r>
      <w:r w:rsidR="00612D4B" w:rsidRPr="00881BC8">
        <w:rPr>
          <w:rStyle w:val="normaltextrun"/>
          <w:noProof/>
          <w:lang w:val="en-GB"/>
        </w:rPr>
        <w:t xml:space="preserve"> </w:t>
      </w:r>
      <w:r w:rsidR="00B6002A" w:rsidRPr="00881BC8">
        <w:rPr>
          <w:rStyle w:val="normaltextrun"/>
          <w:noProof/>
          <w:lang w:val="en-GB"/>
        </w:rPr>
        <w:t>can</w:t>
      </w:r>
      <w:r w:rsidR="00C92311" w:rsidRPr="00881BC8">
        <w:rPr>
          <w:rStyle w:val="normaltextrun"/>
          <w:noProof/>
          <w:lang w:val="en-GB"/>
        </w:rPr>
        <w:t xml:space="preserve"> be considered as </w:t>
      </w:r>
      <w:r w:rsidR="00612D4B" w:rsidRPr="00881BC8">
        <w:rPr>
          <w:rStyle w:val="normaltextrun"/>
          <w:noProof/>
          <w:lang w:val="en-GB"/>
        </w:rPr>
        <w:t xml:space="preserve">a standalone economic activity, </w:t>
      </w:r>
      <w:r w:rsidR="00C92311" w:rsidRPr="00881BC8">
        <w:rPr>
          <w:rStyle w:val="normaltextrun"/>
          <w:noProof/>
          <w:lang w:val="en-GB"/>
        </w:rPr>
        <w:t xml:space="preserve">to be </w:t>
      </w:r>
      <w:r w:rsidR="00612D4B" w:rsidRPr="00881BC8">
        <w:rPr>
          <w:rStyle w:val="normaltextrun"/>
          <w:noProof/>
          <w:lang w:val="en-GB"/>
        </w:rPr>
        <w:t xml:space="preserve">declared </w:t>
      </w:r>
      <w:r w:rsidR="00F86EDF" w:rsidRPr="00881BC8">
        <w:rPr>
          <w:rStyle w:val="normaltextrun"/>
          <w:noProof/>
          <w:lang w:val="en-GB"/>
        </w:rPr>
        <w:t xml:space="preserve">under </w:t>
      </w:r>
      <w:r w:rsidR="00314E0F" w:rsidRPr="00881BC8">
        <w:rPr>
          <w:rStyle w:val="normaltextrun"/>
          <w:noProof/>
          <w:lang w:val="en-GB"/>
        </w:rPr>
        <w:t>NACE section K</w:t>
      </w:r>
      <w:r w:rsidR="008D66F9" w:rsidRPr="00881BC8">
        <w:rPr>
          <w:rStyle w:val="normaltextrun"/>
          <w:noProof/>
          <w:lang w:val="en-GB"/>
        </w:rPr>
        <w:t>.</w:t>
      </w:r>
      <w:r w:rsidR="00E47271" w:rsidRPr="00881BC8">
        <w:rPr>
          <w:rStyle w:val="eop"/>
          <w:noProof/>
          <w:lang w:val="en-GB"/>
        </w:rPr>
        <w:t> </w:t>
      </w:r>
    </w:p>
    <w:p w14:paraId="2188D8C7" w14:textId="64C45600" w:rsidR="00E70EC9" w:rsidRPr="00881BC8" w:rsidRDefault="003655BB" w:rsidP="004835F8">
      <w:pPr>
        <w:pStyle w:val="NormalPara"/>
        <w:rPr>
          <w:rStyle w:val="normaltextrun"/>
          <w:noProof/>
          <w:lang w:val="en-GB"/>
        </w:rPr>
      </w:pPr>
      <w:r w:rsidRPr="00881BC8">
        <w:rPr>
          <w:rStyle w:val="normaltextrun"/>
          <w:noProof/>
          <w:lang w:val="en-GB"/>
        </w:rPr>
        <w:t xml:space="preserve">Departing from this </w:t>
      </w:r>
      <w:r w:rsidR="00695394" w:rsidRPr="00881BC8">
        <w:rPr>
          <w:rStyle w:val="normaltextrun"/>
          <w:noProof/>
          <w:lang w:val="en-GB"/>
        </w:rPr>
        <w:t>context in which</w:t>
      </w:r>
      <w:r w:rsidRPr="00881BC8">
        <w:rPr>
          <w:rStyle w:val="normaltextrun"/>
          <w:noProof/>
          <w:lang w:val="en-GB"/>
        </w:rPr>
        <w:t xml:space="preserve"> </w:t>
      </w:r>
      <w:r w:rsidR="00695394" w:rsidRPr="00881BC8">
        <w:rPr>
          <w:rStyle w:val="normaltextrun"/>
          <w:noProof/>
          <w:lang w:val="en-GB"/>
        </w:rPr>
        <w:t>the debtor is seeking</w:t>
      </w:r>
      <w:r w:rsidRPr="00881BC8">
        <w:rPr>
          <w:rStyle w:val="normaltextrun"/>
          <w:noProof/>
          <w:lang w:val="en-GB"/>
        </w:rPr>
        <w:t xml:space="preserve"> </w:t>
      </w:r>
      <w:r w:rsidR="00B64C23" w:rsidRPr="00881BC8">
        <w:rPr>
          <w:rStyle w:val="normaltextrun"/>
          <w:noProof/>
          <w:lang w:val="en-GB"/>
        </w:rPr>
        <w:t>to strengthen their cash position and avoid talking to their bank</w:t>
      </w:r>
      <w:r w:rsidRPr="00881BC8">
        <w:rPr>
          <w:rStyle w:val="normaltextrun"/>
          <w:noProof/>
          <w:lang w:val="en-GB"/>
        </w:rPr>
        <w:t xml:space="preserve">, drivers for late payment can be found on three fronts: insufficient preventive measures, market failure that </w:t>
      </w:r>
      <w:r w:rsidR="009D4D3C" w:rsidRPr="00881BC8">
        <w:rPr>
          <w:rStyle w:val="normaltextrun"/>
          <w:noProof/>
          <w:lang w:val="en-GB"/>
        </w:rPr>
        <w:t xml:space="preserve">results from </w:t>
      </w:r>
      <w:r w:rsidRPr="00881BC8">
        <w:rPr>
          <w:rStyle w:val="normaltextrun"/>
          <w:noProof/>
          <w:lang w:val="en-GB"/>
        </w:rPr>
        <w:t>imbalances in bargaining power</w:t>
      </w:r>
      <w:r w:rsidR="00002A77" w:rsidRPr="00881BC8">
        <w:rPr>
          <w:rStyle w:val="normaltextrun"/>
          <w:noProof/>
          <w:lang w:val="en-GB"/>
        </w:rPr>
        <w:t xml:space="preserve">, which </w:t>
      </w:r>
      <w:r w:rsidR="00230ED8" w:rsidRPr="00881BC8">
        <w:rPr>
          <w:rStyle w:val="normaltextrun"/>
          <w:noProof/>
          <w:lang w:val="en-GB"/>
        </w:rPr>
        <w:t xml:space="preserve">put in question the integrity of </w:t>
      </w:r>
      <w:r w:rsidR="00002A77" w:rsidRPr="00881BC8">
        <w:rPr>
          <w:rStyle w:val="normaltextrun"/>
          <w:noProof/>
          <w:lang w:val="en-GB"/>
        </w:rPr>
        <w:t>a commercial transaction</w:t>
      </w:r>
      <w:r w:rsidRPr="00881BC8">
        <w:rPr>
          <w:rStyle w:val="normaltextrun"/>
          <w:noProof/>
          <w:lang w:val="en-GB"/>
        </w:rPr>
        <w:t>, and finally, in</w:t>
      </w:r>
      <w:r w:rsidR="009D4D3C" w:rsidRPr="00881BC8">
        <w:rPr>
          <w:rStyle w:val="normaltextrun"/>
          <w:noProof/>
          <w:lang w:val="en-GB"/>
        </w:rPr>
        <w:t>su</w:t>
      </w:r>
      <w:r w:rsidRPr="00881BC8">
        <w:rPr>
          <w:rStyle w:val="normaltextrun"/>
          <w:noProof/>
          <w:lang w:val="en-GB"/>
        </w:rPr>
        <w:t xml:space="preserve">fficient redress mechanisms. </w:t>
      </w:r>
    </w:p>
    <w:p w14:paraId="15C41F44" w14:textId="5238FBBB" w:rsidR="003655BB" w:rsidRPr="00881BC8" w:rsidRDefault="003655BB" w:rsidP="004835F8">
      <w:pPr>
        <w:pStyle w:val="NormalPara"/>
        <w:rPr>
          <w:rStyle w:val="normaltextrun"/>
          <w:noProof/>
          <w:lang w:val="en-GB"/>
        </w:rPr>
      </w:pPr>
      <w:r w:rsidRPr="00881BC8">
        <w:rPr>
          <w:rStyle w:val="normaltextrun"/>
          <w:noProof/>
          <w:lang w:val="en-GB"/>
        </w:rPr>
        <w:t xml:space="preserve">Next to these, there are drivers that cannot be </w:t>
      </w:r>
      <w:r w:rsidR="00A330C5" w:rsidRPr="00881BC8">
        <w:rPr>
          <w:rStyle w:val="normaltextrun"/>
          <w:noProof/>
          <w:lang w:val="en-GB"/>
        </w:rPr>
        <w:t>addressed under</w:t>
      </w:r>
      <w:r w:rsidRPr="00881BC8">
        <w:rPr>
          <w:rStyle w:val="normaltextrun"/>
          <w:noProof/>
          <w:lang w:val="en-GB"/>
        </w:rPr>
        <w:t xml:space="preserve"> this initiative</w:t>
      </w:r>
      <w:r w:rsidR="00C25DFC" w:rsidRPr="00881BC8">
        <w:rPr>
          <w:rStyle w:val="normaltextrun"/>
          <w:noProof/>
          <w:lang w:val="en-GB"/>
        </w:rPr>
        <w:t xml:space="preserve">, e.g. </w:t>
      </w:r>
      <w:r w:rsidR="005E090B" w:rsidRPr="00881BC8">
        <w:rPr>
          <w:rStyle w:val="normaltextrun"/>
          <w:noProof/>
          <w:lang w:val="en-GB"/>
        </w:rPr>
        <w:t xml:space="preserve">corrective measures addressing </w:t>
      </w:r>
      <w:r w:rsidR="00C25DFC" w:rsidRPr="00881BC8">
        <w:rPr>
          <w:rStyle w:val="normaltextrun"/>
          <w:noProof/>
          <w:lang w:val="en-GB"/>
        </w:rPr>
        <w:t>inefficiencies in administrative processes for payment fall within the remit of the Member States</w:t>
      </w:r>
      <w:r w:rsidRPr="00881BC8">
        <w:rPr>
          <w:rStyle w:val="normaltextrun"/>
          <w:noProof/>
          <w:lang w:val="en-GB"/>
        </w:rPr>
        <w:t>.</w:t>
      </w:r>
    </w:p>
    <w:p w14:paraId="172DC93B" w14:textId="3D9A7B0B" w:rsidR="00B62D77" w:rsidRPr="00881BC8" w:rsidRDefault="00B62D77" w:rsidP="004835F8">
      <w:pPr>
        <w:pStyle w:val="Heading3"/>
        <w:rPr>
          <w:noProof/>
        </w:rPr>
      </w:pPr>
      <w:bookmarkStart w:id="159" w:name="_Ref130220119"/>
      <w:bookmarkStart w:id="160" w:name="_Toc135237388"/>
      <w:r w:rsidRPr="00881BC8">
        <w:rPr>
          <w:rStyle w:val="normaltextrun"/>
          <w:noProof/>
        </w:rPr>
        <w:t xml:space="preserve">Insufficient </w:t>
      </w:r>
      <w:r w:rsidR="008D7FF1" w:rsidRPr="00881BC8">
        <w:rPr>
          <w:rStyle w:val="normaltextrun"/>
          <w:noProof/>
        </w:rPr>
        <w:t>framework conditions</w:t>
      </w:r>
      <w:bookmarkEnd w:id="159"/>
      <w:bookmarkEnd w:id="160"/>
    </w:p>
    <w:p w14:paraId="23A153EF" w14:textId="26334D78" w:rsidR="00270F6A" w:rsidRPr="00881BC8" w:rsidRDefault="00CB0DB2" w:rsidP="004835F8">
      <w:pPr>
        <w:pStyle w:val="NormalPara"/>
        <w:rPr>
          <w:rStyle w:val="normaltextrun"/>
          <w:noProof/>
          <w:lang w:val="en-GB"/>
        </w:rPr>
      </w:pPr>
      <w:r w:rsidRPr="00881BC8">
        <w:rPr>
          <w:rStyle w:val="normaltextrun"/>
          <w:noProof/>
          <w:lang w:val="en-GB"/>
        </w:rPr>
        <w:t>The scene for potential late payment is often set before the commercial transaction is concluded. Several factors make it possible.</w:t>
      </w:r>
      <w:r w:rsidR="00270F6A" w:rsidRPr="00881BC8">
        <w:rPr>
          <w:rStyle w:val="normaltextrun"/>
          <w:noProof/>
          <w:lang w:val="en-GB"/>
        </w:rPr>
        <w:t xml:space="preserve"> </w:t>
      </w:r>
      <w:r w:rsidR="00722DB6" w:rsidRPr="00881BC8">
        <w:rPr>
          <w:rStyle w:val="normaltextrun"/>
          <w:noProof/>
          <w:lang w:val="en-GB"/>
        </w:rPr>
        <w:t xml:space="preserve">The law and business practices, which have so far relied on the principle of freedom of contract, have created a grey zone for assessing the level of fairness in setting payment terms and agreeing payment periods. </w:t>
      </w:r>
    </w:p>
    <w:p w14:paraId="51319DDD" w14:textId="4026B8A9" w:rsidR="00815F3A" w:rsidRPr="00881BC8" w:rsidRDefault="00815F3A" w:rsidP="004835F8">
      <w:pPr>
        <w:pStyle w:val="NormalPara"/>
        <w:rPr>
          <w:noProof/>
          <w:lang w:val="en-GB"/>
        </w:rPr>
      </w:pPr>
      <w:r w:rsidRPr="00881BC8">
        <w:rPr>
          <w:rStyle w:val="normaltextrun"/>
          <w:noProof/>
          <w:lang w:val="en-GB"/>
        </w:rPr>
        <w:t xml:space="preserve">The LPD fixes a maximum payment term in B2B transactions at 30 </w:t>
      </w:r>
      <w:r w:rsidR="003B302E" w:rsidRPr="00881BC8">
        <w:rPr>
          <w:rStyle w:val="normaltextrun"/>
          <w:noProof/>
          <w:lang w:val="en-GB"/>
        </w:rPr>
        <w:t>days</w:t>
      </w:r>
      <w:r w:rsidR="003B302E" w:rsidRPr="00881BC8">
        <w:rPr>
          <w:noProof/>
          <w:lang w:val="en-GB"/>
        </w:rPr>
        <w:t xml:space="preserve"> but</w:t>
      </w:r>
      <w:r w:rsidRPr="00881BC8">
        <w:rPr>
          <w:rStyle w:val="normaltextrun"/>
          <w:noProof/>
          <w:lang w:val="en-GB"/>
        </w:rPr>
        <w:t xml:space="preserve"> gives a wide margin of discretion to set longer terms by contract. </w:t>
      </w:r>
      <w:r w:rsidR="003B302E" w:rsidRPr="00881BC8">
        <w:rPr>
          <w:rStyle w:val="normaltextrun"/>
          <w:noProof/>
          <w:lang w:val="en-GB"/>
        </w:rPr>
        <w:t>Therefore,</w:t>
      </w:r>
      <w:r w:rsidRPr="00881BC8">
        <w:rPr>
          <w:rStyle w:val="normaltextrun"/>
          <w:noProof/>
          <w:lang w:val="en-GB"/>
        </w:rPr>
        <w:t xml:space="preserve"> companies with bargaining power impose excessively long payment terms on their smaller suppliers. </w:t>
      </w:r>
      <w:r w:rsidR="000E3D96" w:rsidRPr="00881BC8">
        <w:rPr>
          <w:rStyle w:val="normaltextrun"/>
          <w:noProof/>
          <w:lang w:val="en-GB"/>
        </w:rPr>
        <w:t>Lack of legally defined maximum payment term for B2B transactions increases the likelihood a company will have to deal with late payment.</w:t>
      </w:r>
    </w:p>
    <w:p w14:paraId="7782144E" w14:textId="4ADDE8D2" w:rsidR="00815F3A" w:rsidRPr="00881BC8" w:rsidRDefault="00815F3A" w:rsidP="004835F8">
      <w:pPr>
        <w:pStyle w:val="NormalPara"/>
        <w:rPr>
          <w:noProof/>
          <w:lang w:val="en-GB"/>
        </w:rPr>
      </w:pPr>
      <w:r w:rsidRPr="00881BC8">
        <w:rPr>
          <w:rStyle w:val="normaltextrun"/>
          <w:noProof/>
          <w:lang w:val="en-GB"/>
        </w:rPr>
        <w:t xml:space="preserve">The LPD insufficiently clarifies how to handle </w:t>
      </w:r>
      <w:r w:rsidR="00905F2D" w:rsidRPr="00881BC8">
        <w:rPr>
          <w:rStyle w:val="normaltextrun"/>
          <w:noProof/>
          <w:lang w:val="en-GB"/>
        </w:rPr>
        <w:t xml:space="preserve">the duration of </w:t>
      </w:r>
      <w:r w:rsidRPr="00881BC8">
        <w:rPr>
          <w:rStyle w:val="normaltextrun"/>
          <w:noProof/>
          <w:lang w:val="en-GB"/>
        </w:rPr>
        <w:t>verification procedures</w:t>
      </w:r>
      <w:r w:rsidR="00BD1740" w:rsidRPr="00881BC8">
        <w:rPr>
          <w:rStyle w:val="FootnoteReference"/>
          <w:noProof/>
          <w:lang w:val="en-GB"/>
        </w:rPr>
        <w:footnoteReference w:id="55"/>
      </w:r>
      <w:r w:rsidRPr="00881BC8">
        <w:rPr>
          <w:rStyle w:val="normaltextrun"/>
          <w:noProof/>
          <w:lang w:val="en-GB"/>
        </w:rPr>
        <w:t xml:space="preserve">, very common in public procurement. </w:t>
      </w:r>
      <w:r w:rsidRPr="00881BC8">
        <w:rPr>
          <w:rStyle w:val="normaltextrun"/>
          <w:noProof/>
          <w:color w:val="000000"/>
          <w:lang w:val="en-GB"/>
        </w:rPr>
        <w:t xml:space="preserve">In practice, payment terms are lengthened by </w:t>
      </w:r>
      <w:r w:rsidR="00CB6435" w:rsidRPr="00881BC8">
        <w:rPr>
          <w:rStyle w:val="normaltextrun"/>
          <w:noProof/>
          <w:color w:val="000000"/>
          <w:lang w:val="en-GB"/>
        </w:rPr>
        <w:t xml:space="preserve">delaying </w:t>
      </w:r>
      <w:r w:rsidRPr="00881BC8">
        <w:rPr>
          <w:rStyle w:val="normaltextrun"/>
          <w:noProof/>
          <w:color w:val="000000"/>
          <w:lang w:val="en-GB"/>
        </w:rPr>
        <w:t xml:space="preserve">the moment a creditor is allowed to send the invoice. </w:t>
      </w:r>
    </w:p>
    <w:p w14:paraId="794C9CAB" w14:textId="28F50E80" w:rsidR="00722DB6" w:rsidRPr="00881BC8" w:rsidRDefault="00722DB6" w:rsidP="004835F8">
      <w:pPr>
        <w:pStyle w:val="NormalPara"/>
        <w:rPr>
          <w:rStyle w:val="normaltextrun"/>
          <w:noProof/>
          <w:lang w:val="en-GB"/>
        </w:rPr>
      </w:pPr>
      <w:r w:rsidRPr="00881BC8">
        <w:rPr>
          <w:rStyle w:val="normaltextrun"/>
          <w:noProof/>
          <w:lang w:val="en-GB"/>
        </w:rPr>
        <w:t>While trade credit is universally used and short payment periods are generally considered fair, this is not always the case for long payment periods or payment periods exceeding agreed payment terms</w:t>
      </w:r>
      <w:r w:rsidR="00900012" w:rsidRPr="00881BC8">
        <w:rPr>
          <w:rStyle w:val="FootnoteReference"/>
          <w:noProof/>
          <w:lang w:val="en-GB"/>
        </w:rPr>
        <w:footnoteReference w:id="56"/>
      </w:r>
      <w:r w:rsidRPr="00881BC8">
        <w:rPr>
          <w:rStyle w:val="normaltextrun"/>
          <w:noProof/>
          <w:lang w:val="en-GB"/>
        </w:rPr>
        <w:t>. This lack of clarity on which payment terms are fair leaves it to the party with stronger bargaining power to win the battle for liquidity and determine a transaction’s payment term. Based on this mechanism some sellers accept conditions with which they do not feel comfortable or consider unfair.</w:t>
      </w:r>
      <w:r w:rsidR="000705F5" w:rsidRPr="00881BC8">
        <w:rPr>
          <w:noProof/>
          <w:lang w:val="en-GB"/>
        </w:rPr>
        <w:t xml:space="preserve"> Imbalance of power is a very important driver for B2B transactions</w:t>
      </w:r>
      <w:r w:rsidR="000705F5" w:rsidRPr="00881BC8">
        <w:rPr>
          <w:rStyle w:val="FootnoteReference"/>
          <w:noProof/>
          <w:lang w:val="en-GB"/>
        </w:rPr>
        <w:footnoteReference w:id="57"/>
      </w:r>
      <w:r w:rsidR="000705F5" w:rsidRPr="00881BC8">
        <w:rPr>
          <w:noProof/>
          <w:lang w:val="en-GB"/>
        </w:rPr>
        <w:t xml:space="preserve"> (see </w:t>
      </w:r>
      <w:r w:rsidR="000705F5" w:rsidRPr="00881BC8">
        <w:rPr>
          <w:noProof/>
          <w:lang w:val="en-GB"/>
        </w:rPr>
        <w:fldChar w:fldCharType="begin"/>
      </w:r>
      <w:r w:rsidR="000705F5" w:rsidRPr="00881BC8">
        <w:rPr>
          <w:noProof/>
          <w:lang w:val="en-GB"/>
        </w:rPr>
        <w:instrText xml:space="preserve"> REF _Ref131017534 \h </w:instrText>
      </w:r>
      <w:r w:rsidR="000705F5" w:rsidRPr="00881BC8">
        <w:rPr>
          <w:noProof/>
          <w:lang w:val="en-GB"/>
        </w:rPr>
      </w:r>
      <w:r w:rsidR="000705F5" w:rsidRPr="00881BC8">
        <w:rPr>
          <w:noProof/>
          <w:lang w:val="en-GB"/>
        </w:rPr>
        <w:fldChar w:fldCharType="separate"/>
      </w:r>
      <w:r w:rsidR="005851F4" w:rsidRPr="00881BC8">
        <w:rPr>
          <w:noProof/>
          <w:lang w:val="en-GB"/>
        </w:rPr>
        <w:t xml:space="preserve">Figure </w:t>
      </w:r>
      <w:r w:rsidR="005851F4">
        <w:rPr>
          <w:noProof/>
          <w:lang w:val="en-GB"/>
        </w:rPr>
        <w:t>14</w:t>
      </w:r>
      <w:r w:rsidR="000705F5" w:rsidRPr="00881BC8">
        <w:rPr>
          <w:noProof/>
          <w:lang w:val="en-GB"/>
        </w:rPr>
        <w:fldChar w:fldCharType="end"/>
      </w:r>
      <w:r w:rsidR="000705F5" w:rsidRPr="00881BC8">
        <w:rPr>
          <w:noProof/>
          <w:lang w:val="en-GB"/>
        </w:rPr>
        <w:t xml:space="preserve"> on p. </w:t>
      </w:r>
      <w:r w:rsidR="005851F4">
        <w:rPr>
          <w:noProof/>
          <w:lang w:val="en-GB"/>
        </w:rPr>
        <w:t>187</w:t>
      </w:r>
      <w:r w:rsidR="000705F5" w:rsidRPr="00881BC8">
        <w:rPr>
          <w:noProof/>
          <w:lang w:val="en-GB"/>
        </w:rPr>
        <w:t>).</w:t>
      </w:r>
      <w:r w:rsidR="00905F2D" w:rsidRPr="00881BC8">
        <w:rPr>
          <w:rStyle w:val="normaltextrun"/>
          <w:noProof/>
          <w:lang w:val="en-GB"/>
        </w:rPr>
        <w:t xml:space="preserve"> In </w:t>
      </w:r>
      <w:r w:rsidR="00A864F2" w:rsidRPr="00881BC8">
        <w:rPr>
          <w:rStyle w:val="normaltextrun"/>
          <w:noProof/>
          <w:lang w:val="en-GB"/>
        </w:rPr>
        <w:t>2022</w:t>
      </w:r>
      <w:r w:rsidR="00905F2D" w:rsidRPr="00881BC8">
        <w:rPr>
          <w:rStyle w:val="normaltextrun"/>
          <w:noProof/>
          <w:lang w:val="en-GB"/>
        </w:rPr>
        <w:t>, 61% of companies reported that they had been asked for longer payment terms than they were comfortable with</w:t>
      </w:r>
      <w:r w:rsidR="00905F2D" w:rsidRPr="00881BC8">
        <w:rPr>
          <w:rStyle w:val="FootnoteReference"/>
          <w:noProof/>
          <w:lang w:val="en-GB"/>
        </w:rPr>
        <w:footnoteReference w:id="58"/>
      </w:r>
      <w:r w:rsidR="00FC6F5C" w:rsidRPr="00881BC8">
        <w:rPr>
          <w:rStyle w:val="normaltextrun"/>
          <w:noProof/>
          <w:lang w:val="en-GB"/>
        </w:rPr>
        <w:t>, and this includes both B2B and G2B transactions</w:t>
      </w:r>
      <w:r w:rsidR="00905F2D" w:rsidRPr="00881BC8">
        <w:rPr>
          <w:rStyle w:val="normaltextrun"/>
          <w:noProof/>
          <w:lang w:val="en-GB"/>
        </w:rPr>
        <w:t>.</w:t>
      </w:r>
      <w:r w:rsidR="00E84D8C" w:rsidRPr="00881BC8">
        <w:rPr>
          <w:rStyle w:val="normaltextrun"/>
          <w:noProof/>
          <w:lang w:val="en-GB"/>
        </w:rPr>
        <w:t xml:space="preserve"> EU companies consider that the main causes for customers to pay late</w:t>
      </w:r>
      <w:r w:rsidR="00E84D8C" w:rsidRPr="00881BC8">
        <w:rPr>
          <w:rStyle w:val="FootnoteReference"/>
          <w:noProof/>
          <w:lang w:val="en-GB"/>
        </w:rPr>
        <w:footnoteReference w:id="59"/>
      </w:r>
      <w:r w:rsidR="00E84D8C" w:rsidRPr="00881BC8">
        <w:rPr>
          <w:rStyle w:val="normaltextrun"/>
          <w:noProof/>
          <w:lang w:val="en-GB"/>
        </w:rPr>
        <w:t xml:space="preserve"> include the fact that debtors are in financial difficulties, intentional late payment, and administrative inefficiency (reported by respectively 54%, 50% and 48% of companies). </w:t>
      </w:r>
    </w:p>
    <w:p w14:paraId="1C15EC79" w14:textId="1836FA31" w:rsidR="00B62D77" w:rsidRPr="00881BC8" w:rsidRDefault="004128BC" w:rsidP="004835F8">
      <w:pPr>
        <w:pStyle w:val="NormalPara"/>
        <w:rPr>
          <w:noProof/>
          <w:lang w:val="en-GB"/>
        </w:rPr>
      </w:pPr>
      <w:r w:rsidRPr="00881BC8">
        <w:rPr>
          <w:rStyle w:val="normaltextrun"/>
          <w:noProof/>
          <w:lang w:val="en-GB"/>
        </w:rPr>
        <w:t>SMEs appear to be under-utilising tools such as credit reference information</w:t>
      </w:r>
      <w:r w:rsidR="00CF5A35" w:rsidRPr="00881BC8">
        <w:rPr>
          <w:rStyle w:val="FootnoteReference"/>
          <w:noProof/>
          <w:lang w:val="en-GB"/>
        </w:rPr>
        <w:footnoteReference w:id="60"/>
      </w:r>
      <w:r w:rsidR="00682224" w:rsidRPr="00881BC8">
        <w:rPr>
          <w:rStyle w:val="normaltextrun"/>
          <w:noProof/>
          <w:lang w:val="en-GB"/>
        </w:rPr>
        <w:t xml:space="preserve"> to obtain information on payment track-record of their prospective customers</w:t>
      </w:r>
      <w:r w:rsidR="00B62D77" w:rsidRPr="00881BC8">
        <w:rPr>
          <w:rStyle w:val="normaltextrun"/>
          <w:noProof/>
          <w:lang w:val="en-GB"/>
        </w:rPr>
        <w:t xml:space="preserve">. It is therefore difficult </w:t>
      </w:r>
      <w:r w:rsidR="006A7C0E" w:rsidRPr="00881BC8">
        <w:rPr>
          <w:rStyle w:val="normaltextrun"/>
          <w:noProof/>
          <w:lang w:val="en-GB"/>
        </w:rPr>
        <w:t xml:space="preserve">for them </w:t>
      </w:r>
      <w:r w:rsidR="00B62D77" w:rsidRPr="00881BC8">
        <w:rPr>
          <w:rStyle w:val="normaltextrun"/>
          <w:noProof/>
          <w:lang w:val="en-GB"/>
        </w:rPr>
        <w:t>to estimat</w:t>
      </w:r>
      <w:r w:rsidR="006A7C0E" w:rsidRPr="00881BC8">
        <w:rPr>
          <w:rStyle w:val="normaltextrun"/>
          <w:noProof/>
          <w:lang w:val="en-GB"/>
        </w:rPr>
        <w:t>e</w:t>
      </w:r>
      <w:r w:rsidR="00B62D77" w:rsidRPr="00881BC8">
        <w:rPr>
          <w:rStyle w:val="normaltextrun"/>
          <w:noProof/>
          <w:lang w:val="en-GB"/>
        </w:rPr>
        <w:t xml:space="preserve"> the risk that a potential client could pose </w:t>
      </w:r>
      <w:r w:rsidR="002B2813" w:rsidRPr="00881BC8">
        <w:rPr>
          <w:rStyle w:val="normaltextrun"/>
          <w:noProof/>
          <w:lang w:val="en-GB"/>
        </w:rPr>
        <w:t xml:space="preserve">for </w:t>
      </w:r>
      <w:r w:rsidR="006A7C0E" w:rsidRPr="00881BC8">
        <w:rPr>
          <w:rStyle w:val="normaltextrun"/>
          <w:noProof/>
          <w:lang w:val="en-GB"/>
        </w:rPr>
        <w:t>their</w:t>
      </w:r>
      <w:r w:rsidR="00B62D77" w:rsidRPr="00881BC8">
        <w:rPr>
          <w:rStyle w:val="normaltextrun"/>
          <w:noProof/>
          <w:lang w:val="en-GB"/>
        </w:rPr>
        <w:t xml:space="preserve"> business. Companies need a better understanding of their exposure, vulnerabilities, and potential losses to inform resilience strategies</w:t>
      </w:r>
      <w:r w:rsidR="00054AC3" w:rsidRPr="00881BC8">
        <w:rPr>
          <w:rStyle w:val="normaltextrun"/>
          <w:noProof/>
          <w:lang w:val="en-GB"/>
        </w:rPr>
        <w:t>.</w:t>
      </w:r>
      <w:r w:rsidR="00AD3FF3" w:rsidRPr="00881BC8">
        <w:rPr>
          <w:rStyle w:val="normaltextrun"/>
          <w:noProof/>
          <w:lang w:val="en-GB"/>
        </w:rPr>
        <w:t xml:space="preserve"> </w:t>
      </w:r>
      <w:r w:rsidR="00771953" w:rsidRPr="00881BC8">
        <w:rPr>
          <w:rStyle w:val="normaltextrun"/>
          <w:noProof/>
          <w:color w:val="000000"/>
          <w:lang w:val="en-GB"/>
        </w:rPr>
        <w:t>SMEs need better</w:t>
      </w:r>
      <w:r w:rsidR="00B62D77" w:rsidRPr="00881BC8">
        <w:rPr>
          <w:rStyle w:val="normaltextrun"/>
          <w:noProof/>
          <w:color w:val="000000"/>
          <w:lang w:val="en-GB"/>
        </w:rPr>
        <w:t xml:space="preserve"> financial management skills</w:t>
      </w:r>
      <w:r w:rsidR="000B7D0C" w:rsidRPr="00881BC8">
        <w:rPr>
          <w:rStyle w:val="normaltextrun"/>
          <w:noProof/>
          <w:color w:val="000000"/>
          <w:lang w:val="en-GB"/>
        </w:rPr>
        <w:t xml:space="preserve"> which would help them to </w:t>
      </w:r>
      <w:r w:rsidR="000B7D0C" w:rsidRPr="00881BC8">
        <w:rPr>
          <w:rStyle w:val="normaltextrun"/>
          <w:noProof/>
          <w:lang w:val="en-GB"/>
        </w:rPr>
        <w:t>reduce the risk of default, shorten the average collection period, and support an optimal cash flow thanks to effective credit management</w:t>
      </w:r>
      <w:r w:rsidR="00B62D77" w:rsidRPr="00881BC8">
        <w:rPr>
          <w:rStyle w:val="normaltextrun"/>
          <w:noProof/>
          <w:color w:val="000000"/>
          <w:lang w:val="en-GB"/>
        </w:rPr>
        <w:t>. 70% of businesses indicated that lack of skills and in-house know</w:t>
      </w:r>
      <w:r w:rsidR="00771953" w:rsidRPr="00881BC8">
        <w:rPr>
          <w:rStyle w:val="normaltextrun"/>
          <w:noProof/>
          <w:color w:val="000000"/>
          <w:lang w:val="en-GB"/>
        </w:rPr>
        <w:t>-</w:t>
      </w:r>
      <w:r w:rsidR="00B62D77" w:rsidRPr="00881BC8">
        <w:rPr>
          <w:rStyle w:val="normaltextrun"/>
          <w:noProof/>
          <w:color w:val="000000"/>
          <w:lang w:val="en-GB"/>
        </w:rPr>
        <w:t>how are preventing them from improving the management of payment delays</w:t>
      </w:r>
      <w:r w:rsidR="002B2813" w:rsidRPr="00881BC8">
        <w:rPr>
          <w:rStyle w:val="FootnoteReference"/>
          <w:noProof/>
          <w:color w:val="000000"/>
          <w:lang w:val="en-GB"/>
        </w:rPr>
        <w:footnoteReference w:id="61"/>
      </w:r>
      <w:r w:rsidR="00B62D77" w:rsidRPr="00881BC8">
        <w:rPr>
          <w:rStyle w:val="normaltextrun"/>
          <w:noProof/>
          <w:color w:val="000000"/>
          <w:lang w:val="en-GB"/>
        </w:rPr>
        <w:t>.</w:t>
      </w:r>
      <w:r w:rsidR="00B62D77" w:rsidRPr="00881BC8">
        <w:rPr>
          <w:rStyle w:val="normaltextrun"/>
          <w:noProof/>
          <w:lang w:val="en-GB"/>
        </w:rPr>
        <w:t xml:space="preserve"> </w:t>
      </w:r>
      <w:r w:rsidR="00504164" w:rsidRPr="00881BC8">
        <w:rPr>
          <w:rStyle w:val="normaltextrun"/>
          <w:noProof/>
          <w:lang w:val="en-GB"/>
        </w:rPr>
        <w:t>B</w:t>
      </w:r>
      <w:r w:rsidR="00B62D77" w:rsidRPr="00881BC8">
        <w:rPr>
          <w:rStyle w:val="normaltextrun"/>
          <w:noProof/>
          <w:lang w:val="en-GB"/>
        </w:rPr>
        <w:t xml:space="preserve">ad invoice management </w:t>
      </w:r>
      <w:r w:rsidR="002B2813" w:rsidRPr="00881BC8">
        <w:rPr>
          <w:rStyle w:val="normaltextrun"/>
          <w:noProof/>
          <w:lang w:val="en-GB"/>
        </w:rPr>
        <w:t xml:space="preserve">disproportionately </w:t>
      </w:r>
      <w:r w:rsidR="00B62D77" w:rsidRPr="00881BC8">
        <w:rPr>
          <w:rStyle w:val="normaltextrun"/>
          <w:noProof/>
          <w:lang w:val="en-GB"/>
        </w:rPr>
        <w:t xml:space="preserve">affects SMEs </w:t>
      </w:r>
      <w:r w:rsidR="002B2813" w:rsidRPr="00881BC8">
        <w:rPr>
          <w:rStyle w:val="normaltextrun"/>
          <w:noProof/>
          <w:lang w:val="en-GB"/>
        </w:rPr>
        <w:t xml:space="preserve">because </w:t>
      </w:r>
      <w:r w:rsidR="00B62D77" w:rsidRPr="00881BC8">
        <w:rPr>
          <w:rStyle w:val="normaltextrun"/>
          <w:noProof/>
          <w:lang w:val="en-GB"/>
        </w:rPr>
        <w:t xml:space="preserve">they </w:t>
      </w:r>
      <w:r w:rsidR="00C8629B" w:rsidRPr="00881BC8">
        <w:rPr>
          <w:rStyle w:val="normaltextrun"/>
          <w:noProof/>
          <w:lang w:val="en-GB"/>
        </w:rPr>
        <w:t>either cannot affor</w:t>
      </w:r>
      <w:r w:rsidR="00072474" w:rsidRPr="00881BC8">
        <w:rPr>
          <w:rStyle w:val="normaltextrun"/>
          <w:noProof/>
          <w:lang w:val="en-GB"/>
        </w:rPr>
        <w:t>d</w:t>
      </w:r>
      <w:r w:rsidR="00C8629B" w:rsidRPr="00881BC8">
        <w:rPr>
          <w:rStyle w:val="normaltextrun"/>
          <w:noProof/>
          <w:lang w:val="en-GB"/>
        </w:rPr>
        <w:t xml:space="preserve"> or</w:t>
      </w:r>
      <w:r w:rsidR="00B62D77" w:rsidRPr="00881BC8">
        <w:rPr>
          <w:rStyle w:val="normaltextrun"/>
          <w:noProof/>
          <w:lang w:val="en-GB"/>
        </w:rPr>
        <w:t xml:space="preserve"> </w:t>
      </w:r>
      <w:r w:rsidR="00476F07" w:rsidRPr="00881BC8">
        <w:rPr>
          <w:rStyle w:val="normaltextrun"/>
          <w:noProof/>
          <w:lang w:val="en-GB"/>
        </w:rPr>
        <w:t>rely less</w:t>
      </w:r>
      <w:r w:rsidR="00B62D77" w:rsidRPr="00881BC8">
        <w:rPr>
          <w:rStyle w:val="normaltextrun"/>
          <w:noProof/>
          <w:lang w:val="en-GB"/>
        </w:rPr>
        <w:t xml:space="preserve"> </w:t>
      </w:r>
      <w:r w:rsidR="00476F07" w:rsidRPr="00881BC8">
        <w:rPr>
          <w:rStyle w:val="normaltextrun"/>
          <w:noProof/>
          <w:lang w:val="en-GB"/>
        </w:rPr>
        <w:t xml:space="preserve">than large companies on </w:t>
      </w:r>
      <w:r w:rsidR="002B2813" w:rsidRPr="00881BC8">
        <w:rPr>
          <w:rStyle w:val="normaltextrun"/>
          <w:noProof/>
          <w:lang w:val="en-GB"/>
        </w:rPr>
        <w:t>state-of-the-art solutions,</w:t>
      </w:r>
      <w:r w:rsidR="00504164" w:rsidRPr="00881BC8">
        <w:rPr>
          <w:rStyle w:val="normaltextrun"/>
          <w:noProof/>
          <w:lang w:val="en-GB"/>
        </w:rPr>
        <w:t xml:space="preserve"> </w:t>
      </w:r>
      <w:r w:rsidR="002B2813" w:rsidRPr="00881BC8">
        <w:rPr>
          <w:rStyle w:val="normaltextrun"/>
          <w:noProof/>
          <w:lang w:val="en-GB"/>
        </w:rPr>
        <w:t>which</w:t>
      </w:r>
      <w:r w:rsidR="00B62D77" w:rsidRPr="00881BC8">
        <w:rPr>
          <w:rStyle w:val="normaltextrun"/>
          <w:noProof/>
          <w:lang w:val="en-GB"/>
        </w:rPr>
        <w:t xml:space="preserve"> can immediate</w:t>
      </w:r>
      <w:r w:rsidR="00022293" w:rsidRPr="00881BC8">
        <w:rPr>
          <w:rStyle w:val="normaltextrun"/>
          <w:noProof/>
          <w:lang w:val="en-GB"/>
        </w:rPr>
        <w:t>ly</w:t>
      </w:r>
      <w:r w:rsidR="00B62D77" w:rsidRPr="00881BC8">
        <w:rPr>
          <w:rStyle w:val="normaltextrun"/>
          <w:noProof/>
          <w:lang w:val="en-GB"/>
        </w:rPr>
        <w:t xml:space="preserve"> reduc</w:t>
      </w:r>
      <w:r w:rsidR="00022293" w:rsidRPr="00881BC8">
        <w:rPr>
          <w:rStyle w:val="normaltextrun"/>
          <w:noProof/>
          <w:lang w:val="en-GB"/>
        </w:rPr>
        <w:t>e the risk</w:t>
      </w:r>
      <w:r w:rsidR="00B62D77" w:rsidRPr="00881BC8">
        <w:rPr>
          <w:rStyle w:val="normaltextrun"/>
          <w:noProof/>
          <w:lang w:val="en-GB"/>
        </w:rPr>
        <w:t xml:space="preserve"> of payment delays </w:t>
      </w:r>
      <w:r w:rsidR="00022293" w:rsidRPr="00881BC8">
        <w:rPr>
          <w:rStyle w:val="normaltextrun"/>
          <w:noProof/>
          <w:lang w:val="en-GB"/>
        </w:rPr>
        <w:t>or</w:t>
      </w:r>
      <w:r w:rsidR="00B62D77" w:rsidRPr="00881BC8">
        <w:rPr>
          <w:rStyle w:val="normaltextrun"/>
          <w:noProof/>
          <w:lang w:val="en-GB"/>
        </w:rPr>
        <w:t xml:space="preserve"> accelerate payment </w:t>
      </w:r>
      <w:r w:rsidR="00504164" w:rsidRPr="00881BC8">
        <w:rPr>
          <w:rStyle w:val="normaltextrun"/>
          <w:noProof/>
          <w:lang w:val="en-GB"/>
        </w:rPr>
        <w:t xml:space="preserve">(e.g. </w:t>
      </w:r>
      <w:r w:rsidR="004817F0" w:rsidRPr="00881BC8">
        <w:rPr>
          <w:rStyle w:val="normaltextrun"/>
          <w:noProof/>
          <w:lang w:val="en-GB"/>
        </w:rPr>
        <w:t xml:space="preserve">digital </w:t>
      </w:r>
      <w:r w:rsidR="00504164" w:rsidRPr="00881BC8">
        <w:rPr>
          <w:rStyle w:val="normaltextrun"/>
          <w:noProof/>
          <w:lang w:val="en-GB"/>
        </w:rPr>
        <w:t>invoice management tools or e-invoicing)</w:t>
      </w:r>
      <w:r w:rsidR="00B62D77" w:rsidRPr="00881BC8">
        <w:rPr>
          <w:rStyle w:val="normaltextrun"/>
          <w:noProof/>
          <w:lang w:val="en-GB"/>
        </w:rPr>
        <w:t>.</w:t>
      </w:r>
      <w:r w:rsidR="00B62D77" w:rsidRPr="00881BC8">
        <w:rPr>
          <w:rStyle w:val="eop"/>
          <w:noProof/>
          <w:lang w:val="en-GB"/>
        </w:rPr>
        <w:t xml:space="preserve"> </w:t>
      </w:r>
      <w:r w:rsidR="00DA458A" w:rsidRPr="00881BC8">
        <w:rPr>
          <w:rStyle w:val="normaltextrun"/>
          <w:noProof/>
          <w:lang w:val="en-GB"/>
        </w:rPr>
        <w:t>M</w:t>
      </w:r>
      <w:r w:rsidR="002B2813" w:rsidRPr="00881BC8">
        <w:rPr>
          <w:rStyle w:val="normaltextrun"/>
          <w:noProof/>
          <w:lang w:val="en-GB"/>
        </w:rPr>
        <w:t xml:space="preserve">any agreements are still concluded </w:t>
      </w:r>
      <w:r w:rsidR="00B62D77" w:rsidRPr="00881BC8">
        <w:rPr>
          <w:rStyle w:val="normaltextrun"/>
          <w:noProof/>
          <w:lang w:val="en-GB"/>
        </w:rPr>
        <w:t>verbal</w:t>
      </w:r>
      <w:r w:rsidR="002B2813" w:rsidRPr="00881BC8">
        <w:rPr>
          <w:rStyle w:val="normaltextrun"/>
          <w:noProof/>
          <w:lang w:val="en-GB"/>
        </w:rPr>
        <w:t>ly</w:t>
      </w:r>
      <w:r w:rsidR="00B62D77" w:rsidRPr="00881BC8">
        <w:rPr>
          <w:rStyle w:val="normaltextrun"/>
          <w:noProof/>
          <w:lang w:val="en-GB"/>
        </w:rPr>
        <w:t xml:space="preserve">, </w:t>
      </w:r>
      <w:r w:rsidR="002B2813" w:rsidRPr="00881BC8">
        <w:rPr>
          <w:rStyle w:val="normaltextrun"/>
          <w:noProof/>
          <w:lang w:val="en-GB"/>
        </w:rPr>
        <w:t xml:space="preserve">e.g. </w:t>
      </w:r>
      <w:r w:rsidR="00B62D77" w:rsidRPr="00881BC8">
        <w:rPr>
          <w:rStyle w:val="normaltextrun"/>
          <w:noProof/>
          <w:lang w:val="en-GB"/>
        </w:rPr>
        <w:t xml:space="preserve">in the agriculture sector. These can lead to misunderstandings, </w:t>
      </w:r>
      <w:r w:rsidR="002B2813" w:rsidRPr="00881BC8">
        <w:rPr>
          <w:rStyle w:val="normaltextrun"/>
          <w:noProof/>
          <w:lang w:val="en-GB"/>
        </w:rPr>
        <w:t>cause difficulties with proving the agreed conditions</w:t>
      </w:r>
      <w:r w:rsidR="00B62D77" w:rsidRPr="00881BC8">
        <w:rPr>
          <w:rStyle w:val="normaltextrun"/>
          <w:noProof/>
          <w:lang w:val="en-GB"/>
        </w:rPr>
        <w:t>, and prevent the use of remedial actions.</w:t>
      </w:r>
    </w:p>
    <w:p w14:paraId="15B06B06" w14:textId="6ACD1FF1" w:rsidR="00B62D77" w:rsidRPr="00881BC8" w:rsidRDefault="00704575" w:rsidP="004835F8">
      <w:pPr>
        <w:pStyle w:val="Heading3"/>
        <w:rPr>
          <w:rStyle w:val="eop"/>
          <w:noProof/>
        </w:rPr>
      </w:pPr>
      <w:bookmarkStart w:id="161" w:name="_Toc135237389"/>
      <w:r w:rsidRPr="00881BC8">
        <w:rPr>
          <w:rStyle w:val="normaltextrun"/>
          <w:noProof/>
        </w:rPr>
        <w:t>Market failure – imbalances in</w:t>
      </w:r>
      <w:r w:rsidR="00B62D77" w:rsidRPr="00881BC8">
        <w:rPr>
          <w:rStyle w:val="normaltextrun"/>
          <w:noProof/>
        </w:rPr>
        <w:t xml:space="preserve"> bargaining power</w:t>
      </w:r>
      <w:bookmarkEnd w:id="161"/>
      <w:r w:rsidR="00B62D77" w:rsidRPr="00881BC8">
        <w:rPr>
          <w:rStyle w:val="normaltextrun"/>
          <w:noProof/>
        </w:rPr>
        <w:t xml:space="preserve"> </w:t>
      </w:r>
    </w:p>
    <w:p w14:paraId="0F63B5CD" w14:textId="11EC7C40" w:rsidR="00B62D77" w:rsidRPr="00881BC8" w:rsidRDefault="007F3DED" w:rsidP="004835F8">
      <w:pPr>
        <w:pStyle w:val="NormalPara"/>
        <w:rPr>
          <w:noProof/>
          <w:lang w:val="en-GB"/>
        </w:rPr>
      </w:pPr>
      <w:r w:rsidRPr="00881BC8">
        <w:rPr>
          <w:rStyle w:val="normaltextrun"/>
          <w:noProof/>
          <w:lang w:val="en-GB"/>
        </w:rPr>
        <w:t>T</w:t>
      </w:r>
      <w:r w:rsidR="005C6532" w:rsidRPr="00881BC8">
        <w:rPr>
          <w:rStyle w:val="normaltextrun"/>
          <w:noProof/>
          <w:lang w:val="en-GB"/>
        </w:rPr>
        <w:t>he incidence of l</w:t>
      </w:r>
      <w:r w:rsidR="00B62D77" w:rsidRPr="00881BC8">
        <w:rPr>
          <w:rStyle w:val="normaltextrun"/>
          <w:noProof/>
          <w:lang w:val="en-GB"/>
        </w:rPr>
        <w:t>ate payments in commercial transactions</w:t>
      </w:r>
      <w:r w:rsidR="005C6532" w:rsidRPr="00881BC8">
        <w:rPr>
          <w:rStyle w:val="normaltextrun"/>
          <w:noProof/>
          <w:lang w:val="en-GB"/>
        </w:rPr>
        <w:t xml:space="preserve"> </w:t>
      </w:r>
      <w:r w:rsidRPr="00881BC8">
        <w:rPr>
          <w:rStyle w:val="normaltextrun"/>
          <w:noProof/>
          <w:lang w:val="en-GB"/>
        </w:rPr>
        <w:t xml:space="preserve">depends on </w:t>
      </w:r>
      <w:r w:rsidR="005C6532" w:rsidRPr="00881BC8">
        <w:rPr>
          <w:rStyle w:val="normaltextrun"/>
          <w:noProof/>
          <w:lang w:val="en-GB"/>
        </w:rPr>
        <w:t>the</w:t>
      </w:r>
      <w:r w:rsidR="00B62D77" w:rsidRPr="00881BC8">
        <w:rPr>
          <w:rStyle w:val="normaltextrun"/>
          <w:noProof/>
          <w:lang w:val="en-GB"/>
        </w:rPr>
        <w:t xml:space="preserve"> level of competition </w:t>
      </w:r>
      <w:r w:rsidR="005C6532" w:rsidRPr="00881BC8">
        <w:rPr>
          <w:rStyle w:val="normaltextrun"/>
          <w:noProof/>
          <w:lang w:val="en-GB"/>
        </w:rPr>
        <w:t xml:space="preserve">in </w:t>
      </w:r>
      <w:r w:rsidR="00B62D77" w:rsidRPr="00881BC8">
        <w:rPr>
          <w:rStyle w:val="normaltextrun"/>
          <w:noProof/>
          <w:lang w:val="en-GB"/>
        </w:rPr>
        <w:t>a market</w:t>
      </w:r>
      <w:r w:rsidR="00347B79" w:rsidRPr="00881BC8">
        <w:rPr>
          <w:rStyle w:val="normaltextrun"/>
          <w:noProof/>
          <w:lang w:val="en-GB"/>
        </w:rPr>
        <w:t xml:space="preserve"> and</w:t>
      </w:r>
      <w:r w:rsidR="00B62D77" w:rsidRPr="00881BC8">
        <w:rPr>
          <w:rStyle w:val="normaltextrun"/>
          <w:noProof/>
          <w:lang w:val="en-GB"/>
        </w:rPr>
        <w:t xml:space="preserve"> the </w:t>
      </w:r>
      <w:r w:rsidR="005C6532" w:rsidRPr="00881BC8">
        <w:rPr>
          <w:rStyle w:val="normaltextrun"/>
          <w:noProof/>
          <w:lang w:val="en-GB"/>
        </w:rPr>
        <w:t xml:space="preserve">bargaining </w:t>
      </w:r>
      <w:r w:rsidR="00B62D77" w:rsidRPr="00881BC8">
        <w:rPr>
          <w:rStyle w:val="normaltextrun"/>
          <w:noProof/>
          <w:lang w:val="en-GB"/>
        </w:rPr>
        <w:t xml:space="preserve">power of </w:t>
      </w:r>
      <w:r w:rsidR="00347B79" w:rsidRPr="00881BC8">
        <w:rPr>
          <w:rStyle w:val="normaltextrun"/>
          <w:noProof/>
          <w:lang w:val="en-GB"/>
        </w:rPr>
        <w:t xml:space="preserve">companies. </w:t>
      </w:r>
      <w:r w:rsidR="000C1208" w:rsidRPr="00881BC8">
        <w:rPr>
          <w:rStyle w:val="normaltextrun"/>
          <w:noProof/>
          <w:lang w:val="en-GB"/>
        </w:rPr>
        <w:t xml:space="preserve">Some businesses accept late payment because they can afford it, can manage it and see it as a way to gain new customers. </w:t>
      </w:r>
      <w:r w:rsidR="00816A93" w:rsidRPr="00881BC8">
        <w:rPr>
          <w:rStyle w:val="normaltextrun"/>
          <w:noProof/>
          <w:lang w:val="en-GB"/>
        </w:rPr>
        <w:t>Insufficient</w:t>
      </w:r>
      <w:r w:rsidR="00347B79" w:rsidRPr="00881BC8">
        <w:rPr>
          <w:rStyle w:val="normaltextrun"/>
          <w:noProof/>
          <w:lang w:val="en-GB"/>
        </w:rPr>
        <w:t xml:space="preserve"> bargaining power</w:t>
      </w:r>
      <w:r w:rsidR="005C6532" w:rsidRPr="00881BC8">
        <w:rPr>
          <w:rStyle w:val="normaltextrun"/>
          <w:noProof/>
          <w:lang w:val="en-GB"/>
        </w:rPr>
        <w:t xml:space="preserve"> </w:t>
      </w:r>
      <w:r w:rsidR="0066279F" w:rsidRPr="00881BC8">
        <w:rPr>
          <w:rStyle w:val="normaltextrun"/>
          <w:noProof/>
          <w:lang w:val="en-GB"/>
        </w:rPr>
        <w:t xml:space="preserve">may </w:t>
      </w:r>
      <w:r w:rsidR="005C6532" w:rsidRPr="00881BC8">
        <w:rPr>
          <w:rStyle w:val="normaltextrun"/>
          <w:noProof/>
          <w:lang w:val="en-GB"/>
        </w:rPr>
        <w:t xml:space="preserve">influence </w:t>
      </w:r>
      <w:r w:rsidR="00347B79" w:rsidRPr="00881BC8">
        <w:rPr>
          <w:rStyle w:val="normaltextrun"/>
          <w:noProof/>
          <w:lang w:val="en-GB"/>
        </w:rPr>
        <w:t>creditor</w:t>
      </w:r>
      <w:r w:rsidR="00385711" w:rsidRPr="00881BC8">
        <w:rPr>
          <w:rStyle w:val="normaltextrun"/>
          <w:noProof/>
          <w:lang w:val="en-GB"/>
        </w:rPr>
        <w:t xml:space="preserve"> to accept long or late payment</w:t>
      </w:r>
      <w:r w:rsidR="00347B79" w:rsidRPr="00881BC8">
        <w:rPr>
          <w:rStyle w:val="normaltextrun"/>
          <w:noProof/>
          <w:lang w:val="en-GB"/>
        </w:rPr>
        <w:t xml:space="preserve"> </w:t>
      </w:r>
      <w:r w:rsidR="00346274" w:rsidRPr="00881BC8">
        <w:rPr>
          <w:rStyle w:val="normaltextrun"/>
          <w:noProof/>
          <w:lang w:val="en-GB"/>
        </w:rPr>
        <w:t xml:space="preserve">for </w:t>
      </w:r>
      <w:r w:rsidR="00B62D77" w:rsidRPr="00881BC8">
        <w:rPr>
          <w:rStyle w:val="normaltextrun"/>
          <w:noProof/>
          <w:lang w:val="en-GB"/>
        </w:rPr>
        <w:t>fear of harming commercial relationships with</w:t>
      </w:r>
      <w:r w:rsidR="00346274" w:rsidRPr="00881BC8">
        <w:rPr>
          <w:rStyle w:val="normaltextrun"/>
          <w:noProof/>
          <w:lang w:val="en-GB"/>
        </w:rPr>
        <w:t xml:space="preserve"> stronger</w:t>
      </w:r>
      <w:r w:rsidR="00B62D77" w:rsidRPr="00881BC8">
        <w:rPr>
          <w:rStyle w:val="normaltextrun"/>
          <w:noProof/>
          <w:lang w:val="en-GB"/>
        </w:rPr>
        <w:t xml:space="preserve"> clients</w:t>
      </w:r>
      <w:r w:rsidR="005C6532" w:rsidRPr="00881BC8">
        <w:rPr>
          <w:rStyle w:val="normaltextrun"/>
          <w:noProof/>
          <w:lang w:val="en-GB"/>
        </w:rPr>
        <w:t>.</w:t>
      </w:r>
      <w:r w:rsidR="00B62D77" w:rsidRPr="00881BC8">
        <w:rPr>
          <w:rStyle w:val="normaltextrun"/>
          <w:noProof/>
          <w:lang w:val="en-GB"/>
        </w:rPr>
        <w:t xml:space="preserve"> </w:t>
      </w:r>
      <w:r w:rsidR="00B70D3C" w:rsidRPr="00881BC8">
        <w:rPr>
          <w:rStyle w:val="normaltextrun"/>
          <w:noProof/>
          <w:lang w:val="en-GB"/>
        </w:rPr>
        <w:t>Such fear is an important reason for not claiming interest or compensation for late payment</w:t>
      </w:r>
      <w:r w:rsidR="00B70D3C" w:rsidRPr="00881BC8">
        <w:rPr>
          <w:rStyle w:val="FootnoteReference"/>
          <w:noProof/>
          <w:lang w:val="en-GB"/>
        </w:rPr>
        <w:footnoteReference w:id="62"/>
      </w:r>
      <w:r w:rsidR="00B70D3C" w:rsidRPr="00881BC8">
        <w:rPr>
          <w:rStyle w:val="eop"/>
          <w:noProof/>
          <w:sz w:val="19"/>
          <w:szCs w:val="19"/>
          <w:lang w:val="en-GB"/>
        </w:rPr>
        <w:t xml:space="preserve">. </w:t>
      </w:r>
      <w:r w:rsidR="00346274" w:rsidRPr="00881BC8">
        <w:rPr>
          <w:rStyle w:val="normaltextrun"/>
          <w:noProof/>
          <w:lang w:val="en-GB"/>
        </w:rPr>
        <w:t xml:space="preserve">Strong bargaining power may encourage </w:t>
      </w:r>
      <w:r w:rsidR="00B62D77" w:rsidRPr="00881BC8">
        <w:rPr>
          <w:rStyle w:val="normaltextrun"/>
          <w:noProof/>
          <w:lang w:val="en-GB"/>
        </w:rPr>
        <w:t xml:space="preserve">debtors </w:t>
      </w:r>
      <w:r w:rsidR="00347B79" w:rsidRPr="00881BC8">
        <w:rPr>
          <w:rStyle w:val="normaltextrun"/>
          <w:noProof/>
          <w:lang w:val="en-GB"/>
        </w:rPr>
        <w:t xml:space="preserve">to </w:t>
      </w:r>
      <w:r w:rsidR="00B62D77" w:rsidRPr="00881BC8">
        <w:rPr>
          <w:rStyle w:val="normaltextrun"/>
          <w:noProof/>
          <w:lang w:val="en-GB"/>
        </w:rPr>
        <w:t xml:space="preserve">seek </w:t>
      </w:r>
      <w:r w:rsidR="00347B79" w:rsidRPr="00881BC8">
        <w:rPr>
          <w:rStyle w:val="normaltextrun"/>
          <w:noProof/>
          <w:lang w:val="en-GB"/>
        </w:rPr>
        <w:t xml:space="preserve">or impose </w:t>
      </w:r>
      <w:r w:rsidR="00B62D77" w:rsidRPr="00881BC8">
        <w:rPr>
          <w:rStyle w:val="normaltextrun"/>
          <w:noProof/>
          <w:lang w:val="en-GB"/>
        </w:rPr>
        <w:t xml:space="preserve">an extension of the </w:t>
      </w:r>
      <w:r w:rsidR="00346274" w:rsidRPr="00881BC8">
        <w:rPr>
          <w:rStyle w:val="normaltextrun"/>
          <w:noProof/>
          <w:lang w:val="en-GB"/>
        </w:rPr>
        <w:t>payment period</w:t>
      </w:r>
      <w:r w:rsidR="00E52B3C" w:rsidRPr="00881BC8">
        <w:rPr>
          <w:rStyle w:val="normaltextrun"/>
          <w:noProof/>
          <w:lang w:val="en-GB"/>
        </w:rPr>
        <w:t>, a practice called</w:t>
      </w:r>
      <w:r w:rsidR="00B62D77" w:rsidRPr="00881BC8">
        <w:rPr>
          <w:rStyle w:val="normaltextrun"/>
          <w:noProof/>
          <w:lang w:val="en-GB"/>
        </w:rPr>
        <w:t xml:space="preserve"> </w:t>
      </w:r>
      <w:r w:rsidR="00E52B3C" w:rsidRPr="00881BC8">
        <w:rPr>
          <w:rStyle w:val="normaltextrun"/>
          <w:noProof/>
          <w:lang w:val="en-GB"/>
        </w:rPr>
        <w:t>‘</w:t>
      </w:r>
      <w:r w:rsidR="00B62D77" w:rsidRPr="00881BC8">
        <w:rPr>
          <w:rStyle w:val="normaltextrun"/>
          <w:noProof/>
          <w:lang w:val="en-GB"/>
        </w:rPr>
        <w:t>supply-chain bullying</w:t>
      </w:r>
      <w:r w:rsidR="00E52B3C" w:rsidRPr="00881BC8">
        <w:rPr>
          <w:rStyle w:val="normaltextrun"/>
          <w:noProof/>
          <w:lang w:val="en-GB"/>
        </w:rPr>
        <w:t>’</w:t>
      </w:r>
      <w:r w:rsidR="00347B79" w:rsidRPr="00881BC8">
        <w:rPr>
          <w:rStyle w:val="FootnoteReference"/>
          <w:noProof/>
          <w:lang w:val="en-GB"/>
        </w:rPr>
        <w:footnoteReference w:id="63"/>
      </w:r>
      <w:r w:rsidR="00B62D77" w:rsidRPr="00881BC8">
        <w:rPr>
          <w:rStyle w:val="normaltextrun"/>
          <w:noProof/>
          <w:lang w:val="en-GB"/>
        </w:rPr>
        <w:t>.</w:t>
      </w:r>
      <w:r w:rsidR="00B62D77" w:rsidRPr="00881BC8">
        <w:rPr>
          <w:rStyle w:val="eop"/>
          <w:noProof/>
          <w:lang w:val="en-GB"/>
        </w:rPr>
        <w:t> </w:t>
      </w:r>
    </w:p>
    <w:p w14:paraId="1D1DAAAA" w14:textId="02F3BC2B" w:rsidR="00344CB3" w:rsidRPr="00881BC8" w:rsidRDefault="00134B83" w:rsidP="004835F8">
      <w:pPr>
        <w:pStyle w:val="NormalPara"/>
        <w:rPr>
          <w:rStyle w:val="eop"/>
          <w:noProof/>
          <w:lang w:val="en-GB"/>
        </w:rPr>
      </w:pPr>
      <w:r w:rsidRPr="00881BC8">
        <w:rPr>
          <w:noProof/>
          <w:lang w:val="en-GB"/>
        </w:rPr>
        <w:t xml:space="preserve">Many payment terms </w:t>
      </w:r>
      <w:r w:rsidR="00B775B8" w:rsidRPr="00881BC8">
        <w:rPr>
          <w:noProof/>
          <w:lang w:val="en-GB"/>
        </w:rPr>
        <w:t xml:space="preserve">agreed in this way </w:t>
      </w:r>
      <w:r w:rsidRPr="00881BC8">
        <w:rPr>
          <w:noProof/>
          <w:lang w:val="en-GB"/>
        </w:rPr>
        <w:t xml:space="preserve">are long. </w:t>
      </w:r>
      <w:r w:rsidR="00B22475" w:rsidRPr="00881BC8">
        <w:rPr>
          <w:noProof/>
          <w:lang w:val="en-GB"/>
        </w:rPr>
        <w:t>While t</w:t>
      </w:r>
      <w:r w:rsidR="00B775B8" w:rsidRPr="00881BC8">
        <w:rPr>
          <w:noProof/>
          <w:lang w:val="en-GB"/>
        </w:rPr>
        <w:t xml:space="preserve">hey are considered lawful </w:t>
      </w:r>
      <w:r w:rsidR="004D4F4F" w:rsidRPr="00881BC8">
        <w:rPr>
          <w:noProof/>
          <w:lang w:val="en-GB"/>
        </w:rPr>
        <w:t>in light of</w:t>
      </w:r>
      <w:r w:rsidRPr="00881BC8">
        <w:rPr>
          <w:noProof/>
          <w:lang w:val="en-GB"/>
        </w:rPr>
        <w:t xml:space="preserve"> the freedom of contract principle</w:t>
      </w:r>
      <w:r w:rsidR="00C37776" w:rsidRPr="00881BC8">
        <w:rPr>
          <w:noProof/>
          <w:lang w:val="en-GB"/>
        </w:rPr>
        <w:t>, on which the LPD is based</w:t>
      </w:r>
      <w:r w:rsidR="00B775B8" w:rsidRPr="00881BC8">
        <w:rPr>
          <w:noProof/>
          <w:lang w:val="en-GB"/>
        </w:rPr>
        <w:t xml:space="preserve">, they are often considered </w:t>
      </w:r>
      <w:r w:rsidR="00B22475" w:rsidRPr="00881BC8">
        <w:rPr>
          <w:noProof/>
          <w:lang w:val="en-GB"/>
        </w:rPr>
        <w:t>un</w:t>
      </w:r>
      <w:r w:rsidR="00B775B8" w:rsidRPr="00881BC8">
        <w:rPr>
          <w:noProof/>
          <w:lang w:val="en-GB"/>
        </w:rPr>
        <w:t>fair by the creditors.</w:t>
      </w:r>
      <w:r w:rsidR="00C37776" w:rsidRPr="00881BC8">
        <w:rPr>
          <w:noProof/>
          <w:lang w:val="en-GB"/>
        </w:rPr>
        <w:t xml:space="preserve"> I</w:t>
      </w:r>
      <w:r w:rsidR="00B62D77" w:rsidRPr="00881BC8">
        <w:rPr>
          <w:rStyle w:val="normaltextrun"/>
          <w:noProof/>
          <w:lang w:val="en-GB"/>
        </w:rPr>
        <w:t xml:space="preserve">n 2021, 49% of EU businesses declared </w:t>
      </w:r>
      <w:r w:rsidR="00D93A4E" w:rsidRPr="00881BC8">
        <w:rPr>
          <w:rStyle w:val="normaltextrun"/>
          <w:noProof/>
          <w:lang w:val="en-GB"/>
        </w:rPr>
        <w:t xml:space="preserve">having </w:t>
      </w:r>
      <w:r w:rsidR="00B62D77" w:rsidRPr="00881BC8">
        <w:rPr>
          <w:rStyle w:val="normaltextrun"/>
          <w:noProof/>
          <w:lang w:val="en-GB"/>
        </w:rPr>
        <w:t>accept</w:t>
      </w:r>
      <w:r w:rsidR="00D93A4E" w:rsidRPr="00881BC8">
        <w:rPr>
          <w:rStyle w:val="normaltextrun"/>
          <w:noProof/>
          <w:lang w:val="en-GB"/>
        </w:rPr>
        <w:t>ed</w:t>
      </w:r>
      <w:r w:rsidR="00B62D77" w:rsidRPr="00881BC8">
        <w:rPr>
          <w:rStyle w:val="normaltextrun"/>
          <w:noProof/>
          <w:lang w:val="en-GB"/>
        </w:rPr>
        <w:t xml:space="preserve"> longer payment terms that they were comfortable with, in order not to damage client relationship</w:t>
      </w:r>
      <w:r w:rsidR="00405E53" w:rsidRPr="00881BC8">
        <w:rPr>
          <w:rStyle w:val="FootnoteReference"/>
          <w:noProof/>
          <w:lang w:val="en-GB"/>
        </w:rPr>
        <w:footnoteReference w:id="64"/>
      </w:r>
      <w:r w:rsidR="00B62D77" w:rsidRPr="00881BC8">
        <w:rPr>
          <w:rStyle w:val="normaltextrun"/>
          <w:noProof/>
          <w:lang w:val="en-GB"/>
        </w:rPr>
        <w:t xml:space="preserve"> (see</w:t>
      </w:r>
      <w:r w:rsidR="00B17FF8" w:rsidRPr="00881BC8">
        <w:rPr>
          <w:rStyle w:val="normaltextrun"/>
          <w:noProof/>
          <w:lang w:val="en-GB"/>
        </w:rPr>
        <w:t xml:space="preserve"> </w:t>
      </w:r>
      <w:r w:rsidR="00405E53" w:rsidRPr="00881BC8">
        <w:rPr>
          <w:rStyle w:val="normaltextrun"/>
          <w:noProof/>
          <w:lang w:val="en-GB"/>
        </w:rPr>
        <w:fldChar w:fldCharType="begin"/>
      </w:r>
      <w:r w:rsidR="00405E53" w:rsidRPr="00881BC8">
        <w:rPr>
          <w:rStyle w:val="normaltextrun"/>
          <w:noProof/>
          <w:lang w:val="en-GB"/>
        </w:rPr>
        <w:instrText xml:space="preserve"> REF Annex17 \h </w:instrText>
      </w:r>
      <w:r w:rsidR="00405E53" w:rsidRPr="00881BC8">
        <w:rPr>
          <w:rStyle w:val="normaltextrun"/>
          <w:noProof/>
          <w:lang w:val="en-GB"/>
        </w:rPr>
      </w:r>
      <w:r w:rsidR="00405E53" w:rsidRPr="00881BC8">
        <w:rPr>
          <w:rStyle w:val="normaltextrun"/>
          <w:noProof/>
          <w:lang w:val="en-GB"/>
        </w:rPr>
        <w:fldChar w:fldCharType="separate"/>
      </w:r>
      <w:r w:rsidR="005851F4" w:rsidRPr="00881BC8">
        <w:rPr>
          <w:noProof/>
        </w:rPr>
        <w:t>Annex 17</w:t>
      </w:r>
      <w:r w:rsidR="00405E53" w:rsidRPr="00881BC8">
        <w:rPr>
          <w:rStyle w:val="normaltextrun"/>
          <w:noProof/>
          <w:lang w:val="en-GB"/>
        </w:rPr>
        <w:fldChar w:fldCharType="end"/>
      </w:r>
      <w:r w:rsidR="00405E53" w:rsidRPr="00881BC8">
        <w:rPr>
          <w:rStyle w:val="normaltextrun"/>
          <w:noProof/>
          <w:lang w:val="en-GB"/>
        </w:rPr>
        <w:t xml:space="preserve"> for more details</w:t>
      </w:r>
      <w:r w:rsidR="00B62D77" w:rsidRPr="00881BC8">
        <w:rPr>
          <w:rStyle w:val="normaltextrun"/>
          <w:noProof/>
          <w:lang w:val="en-GB"/>
        </w:rPr>
        <w:t>).</w:t>
      </w:r>
      <w:r w:rsidR="0091653A" w:rsidRPr="00881BC8">
        <w:rPr>
          <w:rStyle w:val="normaltextrun"/>
          <w:noProof/>
          <w:lang w:val="en-GB"/>
        </w:rPr>
        <w:t xml:space="preserve"> </w:t>
      </w:r>
      <w:r w:rsidR="00562488" w:rsidRPr="00881BC8">
        <w:rPr>
          <w:rStyle w:val="normaltextrun"/>
          <w:noProof/>
          <w:lang w:val="en-GB"/>
        </w:rPr>
        <w:t xml:space="preserve">This points to </w:t>
      </w:r>
      <w:r w:rsidR="00194133" w:rsidRPr="00881BC8">
        <w:rPr>
          <w:rStyle w:val="normaltextrun"/>
          <w:noProof/>
          <w:lang w:val="en-GB"/>
        </w:rPr>
        <w:t xml:space="preserve">the fact that </w:t>
      </w:r>
      <w:r w:rsidR="00562488" w:rsidRPr="00881BC8">
        <w:rPr>
          <w:rStyle w:val="normaltextrun"/>
          <w:noProof/>
          <w:lang w:val="en-GB"/>
        </w:rPr>
        <w:t xml:space="preserve">freedom </w:t>
      </w:r>
      <w:r w:rsidR="00DA60C8" w:rsidRPr="00881BC8">
        <w:rPr>
          <w:rStyle w:val="normaltextrun"/>
          <w:noProof/>
          <w:lang w:val="en-GB"/>
        </w:rPr>
        <w:t xml:space="preserve">of contract, on which the LPD has been based, </w:t>
      </w:r>
      <w:r w:rsidR="00562488" w:rsidRPr="00881BC8">
        <w:rPr>
          <w:rStyle w:val="normaltextrun"/>
          <w:noProof/>
          <w:lang w:val="en-GB"/>
        </w:rPr>
        <w:t>and fairness in setting payment terms</w:t>
      </w:r>
      <w:r w:rsidR="00194133" w:rsidRPr="00881BC8">
        <w:rPr>
          <w:rStyle w:val="normaltextrun"/>
          <w:noProof/>
          <w:lang w:val="en-GB"/>
        </w:rPr>
        <w:t xml:space="preserve"> do not always go together</w:t>
      </w:r>
      <w:r w:rsidR="00562488" w:rsidRPr="00881BC8">
        <w:rPr>
          <w:rStyle w:val="normaltextrun"/>
          <w:noProof/>
          <w:lang w:val="en-GB"/>
        </w:rPr>
        <w:t>.</w:t>
      </w:r>
      <w:r w:rsidR="00344CB3" w:rsidRPr="00881BC8">
        <w:rPr>
          <w:rStyle w:val="normaltextrun"/>
          <w:noProof/>
          <w:lang w:val="en-GB"/>
        </w:rPr>
        <w:t xml:space="preserve"> This proposal is seeking to </w:t>
      </w:r>
      <w:r w:rsidR="00D93A4E" w:rsidRPr="00881BC8">
        <w:rPr>
          <w:rStyle w:val="normaltextrun"/>
          <w:noProof/>
          <w:lang w:val="en-GB"/>
        </w:rPr>
        <w:t>address the need for</w:t>
      </w:r>
      <w:r w:rsidR="00344CB3" w:rsidRPr="00881BC8">
        <w:rPr>
          <w:rStyle w:val="normaltextrun"/>
          <w:noProof/>
          <w:lang w:val="en-GB"/>
        </w:rPr>
        <w:t xml:space="preserve"> more fairness </w:t>
      </w:r>
      <w:r w:rsidR="00D93A4E" w:rsidRPr="00881BC8">
        <w:rPr>
          <w:rStyle w:val="normaltextrun"/>
          <w:noProof/>
          <w:lang w:val="en-GB"/>
        </w:rPr>
        <w:t>in</w:t>
      </w:r>
      <w:r w:rsidR="00344CB3" w:rsidRPr="00881BC8">
        <w:rPr>
          <w:rStyle w:val="normaltextrun"/>
          <w:noProof/>
          <w:lang w:val="en-GB"/>
        </w:rPr>
        <w:t xml:space="preserve"> B2B transactions.</w:t>
      </w:r>
      <w:r w:rsidR="00106E9F" w:rsidRPr="00881BC8">
        <w:rPr>
          <w:rStyle w:val="normaltextrun"/>
          <w:noProof/>
          <w:lang w:val="en-GB"/>
        </w:rPr>
        <w:t xml:space="preserve"> </w:t>
      </w:r>
      <w:r w:rsidR="00CD2620" w:rsidRPr="00881BC8">
        <w:rPr>
          <w:rStyle w:val="normaltextrun"/>
          <w:noProof/>
          <w:lang w:val="en-GB"/>
        </w:rPr>
        <w:t>In that context, s</w:t>
      </w:r>
      <w:r w:rsidR="00344CB3" w:rsidRPr="00881BC8">
        <w:rPr>
          <w:rStyle w:val="normaltextrun"/>
          <w:noProof/>
          <w:lang w:val="en-GB"/>
        </w:rPr>
        <w:t>ome Member States, e.g. the Netherlands, Sweden, have put in place laws to address late payment.</w:t>
      </w:r>
      <w:r w:rsidR="000C1208" w:rsidRPr="00881BC8">
        <w:rPr>
          <w:rStyle w:val="normaltextrun"/>
          <w:noProof/>
          <w:lang w:val="en-GB"/>
        </w:rPr>
        <w:t xml:space="preserve"> These provisions are stricter than the LPD</w:t>
      </w:r>
      <w:r w:rsidR="00191A26" w:rsidRPr="00881BC8">
        <w:rPr>
          <w:rStyle w:val="normaltextrun"/>
          <w:noProof/>
          <w:lang w:val="en-GB"/>
        </w:rPr>
        <w:t xml:space="preserve"> – see </w:t>
      </w:r>
      <w:r w:rsidR="00191A26" w:rsidRPr="00881BC8">
        <w:rPr>
          <w:rStyle w:val="normaltextrun"/>
          <w:noProof/>
          <w:lang w:val="en-GB"/>
        </w:rPr>
        <w:fldChar w:fldCharType="begin"/>
      </w:r>
      <w:r w:rsidR="00191A26" w:rsidRPr="00881BC8">
        <w:rPr>
          <w:rStyle w:val="normaltextrun"/>
          <w:noProof/>
          <w:lang w:val="en-GB"/>
        </w:rPr>
        <w:instrText xml:space="preserve"> REF AnnexZZ \h </w:instrText>
      </w:r>
      <w:r w:rsidR="00191A26" w:rsidRPr="00881BC8">
        <w:rPr>
          <w:rStyle w:val="normaltextrun"/>
          <w:noProof/>
          <w:lang w:val="en-GB"/>
        </w:rPr>
      </w:r>
      <w:r w:rsidR="00191A26" w:rsidRPr="00881BC8">
        <w:rPr>
          <w:rStyle w:val="normaltextrun"/>
          <w:noProof/>
          <w:lang w:val="en-GB"/>
        </w:rPr>
        <w:fldChar w:fldCharType="separate"/>
      </w:r>
      <w:r w:rsidR="005851F4" w:rsidRPr="00881BC8">
        <w:rPr>
          <w:noProof/>
        </w:rPr>
        <w:t>Annex 23</w:t>
      </w:r>
      <w:r w:rsidR="00191A26" w:rsidRPr="00881BC8">
        <w:rPr>
          <w:rStyle w:val="normaltextrun"/>
          <w:noProof/>
          <w:lang w:val="en-GB"/>
        </w:rPr>
        <w:fldChar w:fldCharType="end"/>
      </w:r>
      <w:r w:rsidR="000C1208" w:rsidRPr="00881BC8">
        <w:rPr>
          <w:rStyle w:val="normaltextrun"/>
          <w:noProof/>
          <w:lang w:val="en-GB"/>
        </w:rPr>
        <w:t>.</w:t>
      </w:r>
    </w:p>
    <w:p w14:paraId="461DA756" w14:textId="473EC75D" w:rsidR="00B62D77" w:rsidRPr="00881BC8" w:rsidRDefault="00F959B8" w:rsidP="004835F8">
      <w:pPr>
        <w:pStyle w:val="NormalPara"/>
        <w:rPr>
          <w:rStyle w:val="eop"/>
          <w:noProof/>
          <w:lang w:val="en-GB"/>
        </w:rPr>
      </w:pPr>
      <w:r w:rsidRPr="00881BC8">
        <w:rPr>
          <w:rStyle w:val="normaltextrun"/>
          <w:noProof/>
          <w:lang w:val="en-GB"/>
        </w:rPr>
        <w:t>T</w:t>
      </w:r>
      <w:r w:rsidR="00B62D77" w:rsidRPr="00881BC8">
        <w:rPr>
          <w:rStyle w:val="normaltextrun"/>
          <w:noProof/>
          <w:lang w:val="en-GB"/>
        </w:rPr>
        <w:t xml:space="preserve">he LPD </w:t>
      </w:r>
      <w:r w:rsidRPr="00881BC8">
        <w:rPr>
          <w:rStyle w:val="normaltextrun"/>
          <w:noProof/>
          <w:lang w:val="en-GB"/>
        </w:rPr>
        <w:t xml:space="preserve">does not sufficiently well protect </w:t>
      </w:r>
      <w:r w:rsidR="00B62D77" w:rsidRPr="00881BC8">
        <w:rPr>
          <w:rStyle w:val="normaltextrun"/>
          <w:noProof/>
          <w:lang w:val="en-GB"/>
        </w:rPr>
        <w:t>creditor</w:t>
      </w:r>
      <w:r w:rsidRPr="00881BC8">
        <w:rPr>
          <w:rStyle w:val="normaltextrun"/>
          <w:noProof/>
          <w:lang w:val="en-GB"/>
        </w:rPr>
        <w:t>s</w:t>
      </w:r>
      <w:r w:rsidR="00B62D77" w:rsidRPr="00881BC8">
        <w:rPr>
          <w:rStyle w:val="normaltextrun"/>
          <w:noProof/>
          <w:lang w:val="en-GB"/>
        </w:rPr>
        <w:t xml:space="preserve">. The provisions regarding the payment of interest and a flat fee compensation for costs, in case of late payment </w:t>
      </w:r>
      <w:r w:rsidR="00481369" w:rsidRPr="00881BC8">
        <w:rPr>
          <w:rStyle w:val="normaltextrun"/>
          <w:noProof/>
          <w:lang w:val="en-GB"/>
        </w:rPr>
        <w:t xml:space="preserve">required </w:t>
      </w:r>
      <w:r w:rsidR="00B62D77" w:rsidRPr="00881BC8">
        <w:rPr>
          <w:rStyle w:val="normaltextrun"/>
          <w:noProof/>
          <w:lang w:val="en-GB"/>
        </w:rPr>
        <w:t xml:space="preserve">a court ruling </w:t>
      </w:r>
      <w:r w:rsidR="00722DB6" w:rsidRPr="00881BC8">
        <w:rPr>
          <w:rStyle w:val="normaltextrun"/>
          <w:noProof/>
          <w:lang w:val="en-GB"/>
        </w:rPr>
        <w:t xml:space="preserve">to </w:t>
      </w:r>
      <w:r w:rsidR="00481369" w:rsidRPr="00881BC8">
        <w:rPr>
          <w:rStyle w:val="normaltextrun"/>
          <w:noProof/>
          <w:lang w:val="en-GB"/>
        </w:rPr>
        <w:t xml:space="preserve">bring </w:t>
      </w:r>
      <w:r w:rsidR="006128A0" w:rsidRPr="00881BC8">
        <w:rPr>
          <w:rStyle w:val="normaltextrun"/>
          <w:noProof/>
          <w:lang w:val="en-GB"/>
        </w:rPr>
        <w:t xml:space="preserve">the necessary </w:t>
      </w:r>
      <w:r w:rsidR="00481369" w:rsidRPr="00881BC8">
        <w:rPr>
          <w:rStyle w:val="normaltextrun"/>
          <w:noProof/>
          <w:lang w:val="en-GB"/>
        </w:rPr>
        <w:t>clarity</w:t>
      </w:r>
      <w:r w:rsidR="00722DB6" w:rsidRPr="00881BC8">
        <w:rPr>
          <w:rStyle w:val="FootnoteReference"/>
          <w:noProof/>
          <w:lang w:val="en-GB"/>
        </w:rPr>
        <w:footnoteReference w:id="65"/>
      </w:r>
      <w:r w:rsidR="00B62D77" w:rsidRPr="00881BC8">
        <w:rPr>
          <w:rStyle w:val="normaltextrun"/>
          <w:noProof/>
          <w:lang w:val="en-GB"/>
        </w:rPr>
        <w:t>.</w:t>
      </w:r>
      <w:r w:rsidR="00722DB6" w:rsidRPr="00881BC8">
        <w:rPr>
          <w:rStyle w:val="normaltextrun"/>
          <w:noProof/>
          <w:lang w:val="en-GB"/>
        </w:rPr>
        <w:t xml:space="preserve"> </w:t>
      </w:r>
      <w:r w:rsidR="00B62D77" w:rsidRPr="00881BC8">
        <w:rPr>
          <w:rStyle w:val="eop"/>
          <w:noProof/>
          <w:lang w:val="en-GB"/>
        </w:rPr>
        <w:t>‘</w:t>
      </w:r>
      <w:r w:rsidR="00374AC4" w:rsidRPr="00881BC8">
        <w:rPr>
          <w:rStyle w:val="eop"/>
          <w:noProof/>
          <w:lang w:val="en-GB"/>
        </w:rPr>
        <w:t>E</w:t>
      </w:r>
      <w:r w:rsidR="00B62D77" w:rsidRPr="00881BC8">
        <w:rPr>
          <w:rStyle w:val="eop"/>
          <w:noProof/>
          <w:lang w:val="en-GB"/>
        </w:rPr>
        <w:t xml:space="preserve">ntitlement’ to the interest and compensation </w:t>
      </w:r>
      <w:r w:rsidR="00374AC4" w:rsidRPr="00881BC8">
        <w:rPr>
          <w:rStyle w:val="eop"/>
          <w:noProof/>
          <w:lang w:val="en-GB"/>
        </w:rPr>
        <w:t xml:space="preserve">is a </w:t>
      </w:r>
      <w:r w:rsidR="00F71208" w:rsidRPr="00881BC8">
        <w:rPr>
          <w:rStyle w:val="eop"/>
          <w:noProof/>
          <w:lang w:val="en-GB"/>
        </w:rPr>
        <w:t>heavily underused</w:t>
      </w:r>
      <w:r w:rsidR="00374AC4" w:rsidRPr="00881BC8">
        <w:rPr>
          <w:rStyle w:val="eop"/>
          <w:noProof/>
          <w:lang w:val="en-GB"/>
        </w:rPr>
        <w:t xml:space="preserve"> </w:t>
      </w:r>
      <w:r w:rsidR="00F71208" w:rsidRPr="00881BC8">
        <w:rPr>
          <w:rStyle w:val="eop"/>
          <w:noProof/>
          <w:lang w:val="en-GB"/>
        </w:rPr>
        <w:t>right</w:t>
      </w:r>
      <w:r w:rsidR="00B62D77" w:rsidRPr="00881BC8">
        <w:rPr>
          <w:rStyle w:val="eop"/>
          <w:noProof/>
          <w:lang w:val="en-GB"/>
        </w:rPr>
        <w:t xml:space="preserve">. </w:t>
      </w:r>
      <w:r w:rsidR="003D6DF2" w:rsidRPr="00881BC8">
        <w:rPr>
          <w:rStyle w:val="eop"/>
          <w:noProof/>
          <w:lang w:val="en-GB"/>
        </w:rPr>
        <w:t xml:space="preserve">Some debtors </w:t>
      </w:r>
      <w:r w:rsidR="0064322F" w:rsidRPr="00881BC8">
        <w:rPr>
          <w:rStyle w:val="eop"/>
          <w:noProof/>
          <w:lang w:val="en-GB"/>
        </w:rPr>
        <w:t xml:space="preserve">specifically circumvent these provisions by using such </w:t>
      </w:r>
      <w:r w:rsidR="00B62D77" w:rsidRPr="00881BC8">
        <w:rPr>
          <w:rStyle w:val="normaltextrun"/>
          <w:noProof/>
          <w:lang w:val="en-GB"/>
        </w:rPr>
        <w:t xml:space="preserve">contractual clauses </w:t>
      </w:r>
      <w:r w:rsidR="0064322F" w:rsidRPr="00881BC8">
        <w:rPr>
          <w:rStyle w:val="normaltextrun"/>
          <w:noProof/>
          <w:lang w:val="en-GB"/>
        </w:rPr>
        <w:t xml:space="preserve">that </w:t>
      </w:r>
      <w:r w:rsidR="00B62D77" w:rsidRPr="00881BC8">
        <w:rPr>
          <w:rStyle w:val="normaltextrun"/>
          <w:noProof/>
          <w:lang w:val="en-GB"/>
        </w:rPr>
        <w:t>make repayment of debt conditional on creditors’</w:t>
      </w:r>
      <w:r w:rsidR="00722DB6" w:rsidRPr="00881BC8">
        <w:rPr>
          <w:rStyle w:val="normaltextrun"/>
          <w:noProof/>
          <w:lang w:val="en-GB"/>
        </w:rPr>
        <w:t xml:space="preserve"> agreement to</w:t>
      </w:r>
      <w:r w:rsidR="00B62D77" w:rsidRPr="00881BC8">
        <w:rPr>
          <w:rStyle w:val="normaltextrun"/>
          <w:noProof/>
          <w:lang w:val="en-GB"/>
        </w:rPr>
        <w:t xml:space="preserve"> giv</w:t>
      </w:r>
      <w:r w:rsidR="00722DB6" w:rsidRPr="00881BC8">
        <w:rPr>
          <w:rStyle w:val="normaltextrun"/>
          <w:noProof/>
          <w:lang w:val="en-GB"/>
        </w:rPr>
        <w:t>e</w:t>
      </w:r>
      <w:r w:rsidR="00B62D77" w:rsidRPr="00881BC8">
        <w:rPr>
          <w:rStyle w:val="normaltextrun"/>
          <w:noProof/>
          <w:lang w:val="en-GB"/>
        </w:rPr>
        <w:t xml:space="preserve"> up the</w:t>
      </w:r>
      <w:r w:rsidR="00722DB6" w:rsidRPr="00881BC8">
        <w:rPr>
          <w:rStyle w:val="normaltextrun"/>
          <w:noProof/>
          <w:lang w:val="en-GB"/>
        </w:rPr>
        <w:t>ir</w:t>
      </w:r>
      <w:r w:rsidR="00B62D77" w:rsidRPr="00881BC8">
        <w:rPr>
          <w:rStyle w:val="normaltextrun"/>
          <w:noProof/>
          <w:lang w:val="en-GB"/>
        </w:rPr>
        <w:t xml:space="preserve"> rights to interests and compensation.</w:t>
      </w:r>
    </w:p>
    <w:p w14:paraId="5118F325" w14:textId="50A5A99D" w:rsidR="00B62D77" w:rsidRPr="00881BC8" w:rsidRDefault="002A319B" w:rsidP="004835F8">
      <w:pPr>
        <w:pStyle w:val="NormalPara"/>
        <w:rPr>
          <w:noProof/>
          <w:lang w:val="en-GB"/>
        </w:rPr>
      </w:pPr>
      <w:r w:rsidRPr="00881BC8">
        <w:rPr>
          <w:rStyle w:val="normaltextrun"/>
          <w:noProof/>
          <w:lang w:val="en-GB"/>
        </w:rPr>
        <w:t>Enforcement is not lean enough</w:t>
      </w:r>
      <w:r w:rsidR="00124EF5" w:rsidRPr="00881BC8">
        <w:rPr>
          <w:rStyle w:val="normaltextrun"/>
          <w:noProof/>
          <w:lang w:val="en-GB"/>
        </w:rPr>
        <w:t>,</w:t>
      </w:r>
      <w:r w:rsidRPr="00881BC8">
        <w:rPr>
          <w:rStyle w:val="normaltextrun"/>
          <w:noProof/>
          <w:lang w:val="en-GB"/>
        </w:rPr>
        <w:t xml:space="preserve"> </w:t>
      </w:r>
      <w:r w:rsidR="00FE6258" w:rsidRPr="00881BC8">
        <w:rPr>
          <w:rStyle w:val="normaltextrun"/>
          <w:noProof/>
          <w:lang w:val="en-GB"/>
        </w:rPr>
        <w:t>which encourages</w:t>
      </w:r>
      <w:r w:rsidRPr="00881BC8">
        <w:rPr>
          <w:rStyle w:val="normaltextrun"/>
          <w:noProof/>
          <w:lang w:val="en-GB"/>
        </w:rPr>
        <w:t xml:space="preserve"> m</w:t>
      </w:r>
      <w:r w:rsidR="00B62D77" w:rsidRPr="00881BC8">
        <w:rPr>
          <w:rStyle w:val="normaltextrun"/>
          <w:noProof/>
          <w:lang w:val="en-GB"/>
        </w:rPr>
        <w:t xml:space="preserve">any debtors </w:t>
      </w:r>
      <w:r w:rsidR="00FE6258" w:rsidRPr="00881BC8">
        <w:rPr>
          <w:rStyle w:val="normaltextrun"/>
          <w:noProof/>
          <w:lang w:val="en-GB"/>
        </w:rPr>
        <w:t xml:space="preserve">to </w:t>
      </w:r>
      <w:r w:rsidRPr="00881BC8">
        <w:rPr>
          <w:rStyle w:val="normaltextrun"/>
          <w:noProof/>
          <w:lang w:val="en-GB"/>
        </w:rPr>
        <w:t xml:space="preserve">take chances of </w:t>
      </w:r>
      <w:r w:rsidR="00FE6258" w:rsidRPr="00881BC8">
        <w:rPr>
          <w:rStyle w:val="normaltextrun"/>
          <w:noProof/>
          <w:lang w:val="en-GB"/>
        </w:rPr>
        <w:t>not</w:t>
      </w:r>
      <w:r w:rsidR="00B62D77" w:rsidRPr="00881BC8">
        <w:rPr>
          <w:rStyle w:val="normaltextrun"/>
          <w:noProof/>
          <w:lang w:val="en-GB"/>
        </w:rPr>
        <w:t xml:space="preserve"> be</w:t>
      </w:r>
      <w:r w:rsidR="00FE6258" w:rsidRPr="00881BC8">
        <w:rPr>
          <w:rStyle w:val="normaltextrun"/>
          <w:noProof/>
          <w:lang w:val="en-GB"/>
        </w:rPr>
        <w:t>ing</w:t>
      </w:r>
      <w:r w:rsidR="00B62D77" w:rsidRPr="00881BC8">
        <w:rPr>
          <w:rStyle w:val="normaltextrun"/>
          <w:noProof/>
          <w:lang w:val="en-GB"/>
        </w:rPr>
        <w:t xml:space="preserve"> sanctioned for paying late</w:t>
      </w:r>
      <w:r w:rsidR="0021353B" w:rsidRPr="00881BC8">
        <w:rPr>
          <w:rStyle w:val="normaltextrun"/>
          <w:noProof/>
          <w:lang w:val="en-GB"/>
        </w:rPr>
        <w:t xml:space="preserve">, also in light of </w:t>
      </w:r>
      <w:r w:rsidR="004234C0" w:rsidRPr="00881BC8">
        <w:rPr>
          <w:rStyle w:val="normaltextrun"/>
          <w:noProof/>
          <w:lang w:val="en-GB"/>
        </w:rPr>
        <w:t xml:space="preserve">the time and money needed to complete </w:t>
      </w:r>
      <w:r w:rsidR="00B62D77" w:rsidRPr="00881BC8">
        <w:rPr>
          <w:rStyle w:val="normaltextrun"/>
          <w:noProof/>
          <w:lang w:val="en-GB"/>
        </w:rPr>
        <w:t>legal procedures.</w:t>
      </w:r>
      <w:r w:rsidR="00F65089" w:rsidRPr="00881BC8">
        <w:rPr>
          <w:rStyle w:val="normaltextrun"/>
          <w:noProof/>
          <w:lang w:val="en-GB"/>
        </w:rPr>
        <w:t xml:space="preserve"> </w:t>
      </w:r>
      <w:r w:rsidR="0053475F" w:rsidRPr="00881BC8">
        <w:rPr>
          <w:rStyle w:val="normaltextrun"/>
          <w:noProof/>
          <w:lang w:val="en-GB"/>
        </w:rPr>
        <w:t>T</w:t>
      </w:r>
      <w:r w:rsidR="00F65089" w:rsidRPr="00881BC8">
        <w:rPr>
          <w:rStyle w:val="normaltextrun"/>
          <w:noProof/>
          <w:lang w:val="en-GB"/>
        </w:rPr>
        <w:t>he consequences of late payment</w:t>
      </w:r>
      <w:r w:rsidR="00426E88" w:rsidRPr="00881BC8">
        <w:rPr>
          <w:rStyle w:val="normaltextrun"/>
          <w:noProof/>
          <w:lang w:val="en-GB"/>
        </w:rPr>
        <w:t xml:space="preserve"> </w:t>
      </w:r>
      <w:r w:rsidR="0053475F" w:rsidRPr="00881BC8">
        <w:rPr>
          <w:rStyle w:val="normaltextrun"/>
          <w:noProof/>
          <w:lang w:val="en-GB"/>
        </w:rPr>
        <w:t xml:space="preserve">are not </w:t>
      </w:r>
      <w:r w:rsidR="00426E88" w:rsidRPr="00881BC8">
        <w:rPr>
          <w:rStyle w:val="normaltextrun"/>
          <w:noProof/>
          <w:lang w:val="en-GB"/>
        </w:rPr>
        <w:t xml:space="preserve">imminent </w:t>
      </w:r>
      <w:r w:rsidR="0053475F" w:rsidRPr="00881BC8">
        <w:rPr>
          <w:rStyle w:val="normaltextrun"/>
          <w:noProof/>
          <w:lang w:val="en-GB"/>
        </w:rPr>
        <w:t>or</w:t>
      </w:r>
      <w:r w:rsidR="00426E88" w:rsidRPr="00881BC8">
        <w:rPr>
          <w:rStyle w:val="normaltextrun"/>
          <w:noProof/>
          <w:lang w:val="en-GB"/>
        </w:rPr>
        <w:t xml:space="preserve"> unavoidab</w:t>
      </w:r>
      <w:r w:rsidR="00EF1290" w:rsidRPr="00881BC8">
        <w:rPr>
          <w:rStyle w:val="normaltextrun"/>
          <w:noProof/>
          <w:lang w:val="en-GB"/>
        </w:rPr>
        <w:t>l</w:t>
      </w:r>
      <w:r w:rsidR="00426E88" w:rsidRPr="00881BC8">
        <w:rPr>
          <w:rStyle w:val="normaltextrun"/>
          <w:noProof/>
          <w:lang w:val="en-GB"/>
        </w:rPr>
        <w:t>e</w:t>
      </w:r>
      <w:r w:rsidR="0053475F" w:rsidRPr="00881BC8">
        <w:rPr>
          <w:rStyle w:val="normaltextrun"/>
          <w:noProof/>
          <w:lang w:val="en-GB"/>
        </w:rPr>
        <w:t>.</w:t>
      </w:r>
    </w:p>
    <w:p w14:paraId="4534A816" w14:textId="36739504" w:rsidR="00B62D77" w:rsidRPr="00881BC8" w:rsidRDefault="00B62D77" w:rsidP="004835F8">
      <w:pPr>
        <w:pStyle w:val="NormalPara"/>
        <w:rPr>
          <w:noProof/>
          <w:lang w:val="en-GB"/>
        </w:rPr>
      </w:pPr>
      <w:r w:rsidRPr="00881BC8">
        <w:rPr>
          <w:rStyle w:val="normaltextrun"/>
          <w:noProof/>
          <w:lang w:val="en-GB"/>
        </w:rPr>
        <w:t>The rules that support the monitoring of compliance</w:t>
      </w:r>
      <w:r w:rsidR="00B91553" w:rsidRPr="00881BC8">
        <w:rPr>
          <w:rStyle w:val="normaltextrun"/>
          <w:noProof/>
          <w:lang w:val="en-GB"/>
        </w:rPr>
        <w:t xml:space="preserve"> are not strong enough</w:t>
      </w:r>
      <w:r w:rsidRPr="00881BC8">
        <w:rPr>
          <w:rStyle w:val="normaltextrun"/>
          <w:noProof/>
          <w:lang w:val="en-GB"/>
        </w:rPr>
        <w:t xml:space="preserve">. </w:t>
      </w:r>
      <w:r w:rsidR="000C6C8C" w:rsidRPr="00881BC8">
        <w:rPr>
          <w:rStyle w:val="normaltextrun"/>
          <w:noProof/>
          <w:lang w:val="en-GB"/>
        </w:rPr>
        <w:t xml:space="preserve">There is little </w:t>
      </w:r>
      <w:r w:rsidR="0072324E" w:rsidRPr="00881BC8">
        <w:rPr>
          <w:rStyle w:val="normaltextrun"/>
          <w:noProof/>
          <w:lang w:val="en-GB"/>
        </w:rPr>
        <w:t xml:space="preserve">information </w:t>
      </w:r>
      <w:r w:rsidRPr="00881BC8">
        <w:rPr>
          <w:rStyle w:val="normaltextrun"/>
          <w:noProof/>
          <w:lang w:val="en-GB"/>
        </w:rPr>
        <w:t xml:space="preserve">on average payment </w:t>
      </w:r>
      <w:r w:rsidR="0072324E" w:rsidRPr="00881BC8">
        <w:rPr>
          <w:rStyle w:val="normaltextrun"/>
          <w:noProof/>
          <w:lang w:val="en-GB"/>
        </w:rPr>
        <w:t>terms,</w:t>
      </w:r>
      <w:r w:rsidRPr="00881BC8">
        <w:rPr>
          <w:rStyle w:val="normaltextrun"/>
          <w:noProof/>
          <w:lang w:val="en-GB"/>
        </w:rPr>
        <w:t xml:space="preserve"> average payment </w:t>
      </w:r>
      <w:r w:rsidR="0072324E" w:rsidRPr="00881BC8">
        <w:rPr>
          <w:rStyle w:val="normaltextrun"/>
          <w:noProof/>
          <w:lang w:val="en-GB"/>
        </w:rPr>
        <w:t xml:space="preserve">periods or </w:t>
      </w:r>
      <w:r w:rsidRPr="00881BC8">
        <w:rPr>
          <w:rStyle w:val="normaltextrun"/>
          <w:noProof/>
          <w:lang w:val="en-GB"/>
        </w:rPr>
        <w:t xml:space="preserve">payment performance. </w:t>
      </w:r>
    </w:p>
    <w:p w14:paraId="10211F13" w14:textId="09E4F853" w:rsidR="00B62D77" w:rsidRPr="00881BC8" w:rsidRDefault="00722DB6" w:rsidP="004835F8">
      <w:pPr>
        <w:pStyle w:val="NormalPara"/>
        <w:rPr>
          <w:noProof/>
          <w:lang w:val="en-GB"/>
        </w:rPr>
      </w:pPr>
      <w:r w:rsidRPr="00881BC8">
        <w:rPr>
          <w:rStyle w:val="normaltextrun"/>
          <w:noProof/>
          <w:lang w:val="en-GB"/>
        </w:rPr>
        <w:t>The LPD is not sufficiently well linked</w:t>
      </w:r>
      <w:r w:rsidR="00B62D77" w:rsidRPr="00881BC8">
        <w:rPr>
          <w:rStyle w:val="normaltextrun"/>
          <w:noProof/>
          <w:lang w:val="en-GB"/>
        </w:rPr>
        <w:t xml:space="preserve"> with other policies </w:t>
      </w:r>
      <w:r w:rsidR="00817866" w:rsidRPr="00881BC8">
        <w:rPr>
          <w:rStyle w:val="normaltextrun"/>
          <w:noProof/>
          <w:lang w:val="en-GB"/>
        </w:rPr>
        <w:t xml:space="preserve">related to public spending </w:t>
      </w:r>
      <w:r w:rsidR="00B62D77" w:rsidRPr="00881BC8">
        <w:rPr>
          <w:rStyle w:val="normaltextrun"/>
          <w:noProof/>
          <w:lang w:val="en-GB"/>
        </w:rPr>
        <w:t>(e.g. public procurement, regional and structural funds)</w:t>
      </w:r>
      <w:r w:rsidR="000A0F0F" w:rsidRPr="00881BC8">
        <w:rPr>
          <w:rStyle w:val="normaltextrun"/>
          <w:noProof/>
          <w:lang w:val="en-GB"/>
        </w:rPr>
        <w:t>, which</w:t>
      </w:r>
      <w:r w:rsidR="00B62D77" w:rsidRPr="00881BC8">
        <w:rPr>
          <w:rStyle w:val="normaltextrun"/>
          <w:noProof/>
          <w:lang w:val="en-GB"/>
        </w:rPr>
        <w:t xml:space="preserve"> prevents public (and EU) money from supporting fair payment. The </w:t>
      </w:r>
      <w:r w:rsidR="000A0F0F" w:rsidRPr="00881BC8">
        <w:rPr>
          <w:rStyle w:val="normaltextrun"/>
          <w:noProof/>
          <w:lang w:val="en-GB"/>
        </w:rPr>
        <w:t>LPD</w:t>
      </w:r>
      <w:r w:rsidR="00B62D77" w:rsidRPr="00881BC8">
        <w:rPr>
          <w:rStyle w:val="normaltextrun"/>
          <w:noProof/>
          <w:lang w:val="en-GB"/>
        </w:rPr>
        <w:t xml:space="preserve"> lacks rules and tools to make prompt payments the norm and to marginalise bad payment behaviour.</w:t>
      </w:r>
      <w:r w:rsidR="0091653A" w:rsidRPr="00881BC8">
        <w:rPr>
          <w:rStyle w:val="normaltextrun"/>
          <w:noProof/>
          <w:lang w:val="en-GB"/>
        </w:rPr>
        <w:t xml:space="preserve"> </w:t>
      </w:r>
    </w:p>
    <w:p w14:paraId="61B1CF87" w14:textId="0AEC4842" w:rsidR="00B62D77" w:rsidRPr="00881BC8" w:rsidRDefault="00722DB6" w:rsidP="004835F8">
      <w:pPr>
        <w:pStyle w:val="NormalPara"/>
        <w:rPr>
          <w:noProof/>
          <w:lang w:val="en-GB"/>
        </w:rPr>
      </w:pPr>
      <w:r w:rsidRPr="00881BC8">
        <w:rPr>
          <w:rStyle w:val="eop"/>
          <w:noProof/>
          <w:lang w:val="en-GB"/>
        </w:rPr>
        <w:t xml:space="preserve">Finally, public authorities </w:t>
      </w:r>
      <w:r w:rsidR="007F21F8" w:rsidRPr="00881BC8">
        <w:rPr>
          <w:rStyle w:val="eop"/>
          <w:noProof/>
          <w:lang w:val="en-GB"/>
        </w:rPr>
        <w:t>do not</w:t>
      </w:r>
      <w:r w:rsidRPr="00881BC8">
        <w:rPr>
          <w:rStyle w:val="eop"/>
          <w:noProof/>
          <w:lang w:val="en-GB"/>
        </w:rPr>
        <w:t xml:space="preserve"> lead by example. Commercial transaction</w:t>
      </w:r>
      <w:r w:rsidR="000568F8" w:rsidRPr="00881BC8">
        <w:rPr>
          <w:rStyle w:val="eop"/>
          <w:noProof/>
          <w:lang w:val="en-GB"/>
        </w:rPr>
        <w:t>s</w:t>
      </w:r>
      <w:r w:rsidRPr="00881BC8">
        <w:rPr>
          <w:rStyle w:val="eop"/>
          <w:noProof/>
          <w:lang w:val="en-GB"/>
        </w:rPr>
        <w:t xml:space="preserve"> with public bodies </w:t>
      </w:r>
      <w:r w:rsidR="007F21F8" w:rsidRPr="00881BC8">
        <w:rPr>
          <w:rStyle w:val="eop"/>
          <w:noProof/>
          <w:lang w:val="en-GB"/>
        </w:rPr>
        <w:t>suffer from</w:t>
      </w:r>
      <w:r w:rsidR="008A1F87" w:rsidRPr="00881BC8">
        <w:rPr>
          <w:rStyle w:val="eop"/>
          <w:noProof/>
          <w:lang w:val="en-GB"/>
        </w:rPr>
        <w:t xml:space="preserve"> imbalances in bargaining power. </w:t>
      </w:r>
      <w:r w:rsidR="00062225" w:rsidRPr="00881BC8">
        <w:rPr>
          <w:rStyle w:val="eop"/>
          <w:noProof/>
          <w:lang w:val="en-GB"/>
        </w:rPr>
        <w:t>P</w:t>
      </w:r>
      <w:r w:rsidR="008A1F87" w:rsidRPr="00881BC8">
        <w:rPr>
          <w:rStyle w:val="eop"/>
          <w:noProof/>
          <w:lang w:val="en-GB"/>
        </w:rPr>
        <w:t xml:space="preserve">ublic authorities </w:t>
      </w:r>
      <w:r w:rsidR="00062225" w:rsidRPr="00881BC8">
        <w:rPr>
          <w:rStyle w:val="eop"/>
          <w:noProof/>
          <w:lang w:val="en-GB"/>
        </w:rPr>
        <w:t xml:space="preserve">often </w:t>
      </w:r>
      <w:r w:rsidR="000B62DD" w:rsidRPr="00881BC8">
        <w:rPr>
          <w:rStyle w:val="eop"/>
          <w:noProof/>
          <w:lang w:val="en-GB"/>
        </w:rPr>
        <w:t>d</w:t>
      </w:r>
      <w:r w:rsidR="00062225" w:rsidRPr="00881BC8">
        <w:rPr>
          <w:rStyle w:val="eop"/>
          <w:noProof/>
          <w:lang w:val="en-GB"/>
        </w:rPr>
        <w:t>o not</w:t>
      </w:r>
      <w:r w:rsidR="008A1F87" w:rsidRPr="00881BC8">
        <w:rPr>
          <w:rStyle w:val="eop"/>
          <w:noProof/>
          <w:lang w:val="en-GB"/>
        </w:rPr>
        <w:t xml:space="preserve"> pay on time</w:t>
      </w:r>
      <w:r w:rsidR="000B62DD" w:rsidRPr="00881BC8">
        <w:rPr>
          <w:rStyle w:val="eop"/>
          <w:noProof/>
          <w:lang w:val="en-GB"/>
        </w:rPr>
        <w:t>, try to circumvent their legal obligations regarding interest and compensation,</w:t>
      </w:r>
      <w:r w:rsidR="008A1F87" w:rsidRPr="00881BC8">
        <w:rPr>
          <w:rStyle w:val="eop"/>
          <w:noProof/>
          <w:lang w:val="en-GB"/>
        </w:rPr>
        <w:t xml:space="preserve"> and </w:t>
      </w:r>
      <w:r w:rsidR="00062225" w:rsidRPr="00881BC8">
        <w:rPr>
          <w:rStyle w:val="eop"/>
          <w:noProof/>
          <w:lang w:val="en-GB"/>
        </w:rPr>
        <w:t xml:space="preserve">do not </w:t>
      </w:r>
      <w:r w:rsidR="008A1F87" w:rsidRPr="00881BC8">
        <w:rPr>
          <w:rStyle w:val="eop"/>
          <w:noProof/>
          <w:lang w:val="en-GB"/>
        </w:rPr>
        <w:t>set the example for B2B transactions.</w:t>
      </w:r>
    </w:p>
    <w:p w14:paraId="7D734DA6" w14:textId="7274E7FE" w:rsidR="00B62D77" w:rsidRPr="00881BC8" w:rsidRDefault="00B62D77" w:rsidP="004835F8">
      <w:pPr>
        <w:pStyle w:val="Heading3"/>
        <w:rPr>
          <w:rStyle w:val="eop"/>
          <w:noProof/>
        </w:rPr>
      </w:pPr>
      <w:bookmarkStart w:id="162" w:name="_Toc135237390"/>
      <w:r w:rsidRPr="00881BC8">
        <w:rPr>
          <w:rStyle w:val="normaltextrun"/>
          <w:noProof/>
        </w:rPr>
        <w:t xml:space="preserve">Insufficient redress </w:t>
      </w:r>
      <w:r w:rsidR="00704575" w:rsidRPr="00881BC8">
        <w:rPr>
          <w:rStyle w:val="normaltextrun"/>
          <w:noProof/>
        </w:rPr>
        <w:t>mechanisms</w:t>
      </w:r>
      <w:bookmarkEnd w:id="162"/>
    </w:p>
    <w:p w14:paraId="4B76D0D1" w14:textId="50AC7A10" w:rsidR="00B62D77" w:rsidRPr="00881BC8" w:rsidRDefault="00003B39" w:rsidP="004835F8">
      <w:pPr>
        <w:pStyle w:val="NormalPara"/>
        <w:rPr>
          <w:noProof/>
          <w:lang w:val="en-GB"/>
        </w:rPr>
      </w:pPr>
      <w:r w:rsidRPr="00881BC8">
        <w:rPr>
          <w:rStyle w:val="normaltextrun"/>
          <w:noProof/>
          <w:lang w:val="en-GB"/>
        </w:rPr>
        <w:t>M</w:t>
      </w:r>
      <w:r w:rsidR="48E6D5EC" w:rsidRPr="00881BC8">
        <w:rPr>
          <w:rStyle w:val="normaltextrun"/>
          <w:noProof/>
          <w:lang w:val="en-GB"/>
        </w:rPr>
        <w:t xml:space="preserve">any, especially small, companies are not aware of the provisions of the LPD, or how these are to be applied in practice. They also lack the </w:t>
      </w:r>
      <w:r w:rsidRPr="00881BC8">
        <w:rPr>
          <w:rStyle w:val="normaltextrun"/>
          <w:noProof/>
          <w:lang w:val="en-GB"/>
        </w:rPr>
        <w:t xml:space="preserve">ability </w:t>
      </w:r>
      <w:r w:rsidR="7E58F19E" w:rsidRPr="00881BC8">
        <w:rPr>
          <w:rStyle w:val="normaltextrun"/>
          <w:noProof/>
          <w:lang w:val="en-GB"/>
        </w:rPr>
        <w:t>to</w:t>
      </w:r>
      <w:r w:rsidR="48E6D5EC" w:rsidRPr="00881BC8">
        <w:rPr>
          <w:rStyle w:val="normaltextrun"/>
          <w:noProof/>
          <w:lang w:val="en-GB"/>
        </w:rPr>
        <w:t xml:space="preserve"> </w:t>
      </w:r>
      <w:r w:rsidRPr="00881BC8">
        <w:rPr>
          <w:rStyle w:val="normaltextrun"/>
          <w:noProof/>
          <w:lang w:val="en-GB"/>
        </w:rPr>
        <w:t>self-</w:t>
      </w:r>
      <w:r w:rsidR="48E6D5EC" w:rsidRPr="00881BC8">
        <w:rPr>
          <w:rStyle w:val="normaltextrun"/>
          <w:noProof/>
          <w:lang w:val="en-GB"/>
        </w:rPr>
        <w:t>empower them</w:t>
      </w:r>
      <w:r w:rsidR="0DE1F9AC" w:rsidRPr="00881BC8">
        <w:rPr>
          <w:rStyle w:val="normaltextrun"/>
          <w:noProof/>
          <w:lang w:val="en-GB"/>
        </w:rPr>
        <w:t>selves</w:t>
      </w:r>
      <w:r w:rsidR="48E6D5EC" w:rsidRPr="00881BC8">
        <w:rPr>
          <w:rStyle w:val="normaltextrun"/>
          <w:noProof/>
          <w:lang w:val="en-GB"/>
        </w:rPr>
        <w:t xml:space="preserve"> and assert their rights </w:t>
      </w:r>
      <w:r w:rsidRPr="00881BC8">
        <w:rPr>
          <w:rStyle w:val="normaltextrun"/>
          <w:noProof/>
          <w:lang w:val="en-GB"/>
        </w:rPr>
        <w:t xml:space="preserve">to </w:t>
      </w:r>
      <w:r w:rsidR="48E6D5EC" w:rsidRPr="00881BC8">
        <w:rPr>
          <w:rStyle w:val="normaltextrun"/>
          <w:noProof/>
          <w:lang w:val="en-GB"/>
        </w:rPr>
        <w:t>timely payments</w:t>
      </w:r>
      <w:r w:rsidRPr="00881BC8">
        <w:rPr>
          <w:rStyle w:val="normaltextrun"/>
          <w:noProof/>
          <w:lang w:val="en-GB"/>
        </w:rPr>
        <w:t>.</w:t>
      </w:r>
      <w:r w:rsidR="48E6D5EC" w:rsidRPr="00881BC8">
        <w:rPr>
          <w:rStyle w:val="normaltextrun"/>
          <w:noProof/>
          <w:lang w:val="en-GB"/>
        </w:rPr>
        <w:t xml:space="preserve"> The </w:t>
      </w:r>
      <w:r w:rsidRPr="00881BC8">
        <w:rPr>
          <w:rStyle w:val="normaltextrun"/>
          <w:noProof/>
          <w:lang w:val="en-GB"/>
        </w:rPr>
        <w:t xml:space="preserve">LPD </w:t>
      </w:r>
      <w:r w:rsidR="48E6D5EC" w:rsidRPr="00881BC8">
        <w:rPr>
          <w:rStyle w:val="normaltextrun"/>
          <w:noProof/>
          <w:lang w:val="en-GB"/>
        </w:rPr>
        <w:t>does not provide small creditors with adequate tools to take action against their debtors.</w:t>
      </w:r>
      <w:r w:rsidRPr="00881BC8">
        <w:rPr>
          <w:rStyle w:val="normaltextrun"/>
          <w:noProof/>
          <w:lang w:val="en-GB"/>
        </w:rPr>
        <w:t xml:space="preserve"> Legal action is t</w:t>
      </w:r>
      <w:r w:rsidR="48E6D5EC" w:rsidRPr="00881BC8">
        <w:rPr>
          <w:rStyle w:val="normaltextrun"/>
          <w:noProof/>
          <w:lang w:val="en-GB"/>
        </w:rPr>
        <w:t xml:space="preserve">he only measure envisaged in the </w:t>
      </w:r>
      <w:r w:rsidRPr="00881BC8">
        <w:rPr>
          <w:rStyle w:val="normaltextrun"/>
          <w:noProof/>
          <w:lang w:val="en-GB"/>
        </w:rPr>
        <w:t>LPD</w:t>
      </w:r>
      <w:r w:rsidR="48E6D5EC" w:rsidRPr="00881BC8">
        <w:rPr>
          <w:rStyle w:val="normaltextrun"/>
          <w:noProof/>
          <w:lang w:val="en-GB"/>
        </w:rPr>
        <w:t xml:space="preserve">, </w:t>
      </w:r>
      <w:r w:rsidRPr="00881BC8">
        <w:rPr>
          <w:rStyle w:val="normaltextrun"/>
          <w:noProof/>
          <w:lang w:val="en-GB"/>
        </w:rPr>
        <w:t xml:space="preserve">and it is usually disproportionately </w:t>
      </w:r>
      <w:r w:rsidR="48E6D5EC" w:rsidRPr="00881BC8">
        <w:rPr>
          <w:rStyle w:val="normaltextrun"/>
          <w:noProof/>
          <w:lang w:val="en-GB"/>
        </w:rPr>
        <w:t>costly</w:t>
      </w:r>
      <w:r w:rsidRPr="00881BC8">
        <w:rPr>
          <w:rStyle w:val="normaltextrun"/>
          <w:noProof/>
          <w:lang w:val="en-GB"/>
        </w:rPr>
        <w:t xml:space="preserve">, disproportionately </w:t>
      </w:r>
      <w:r w:rsidR="48E6D5EC" w:rsidRPr="00881BC8">
        <w:rPr>
          <w:rStyle w:val="normaltextrun"/>
          <w:noProof/>
          <w:lang w:val="en-GB"/>
        </w:rPr>
        <w:t xml:space="preserve">time-consuming, and </w:t>
      </w:r>
      <w:r w:rsidRPr="00881BC8">
        <w:rPr>
          <w:rStyle w:val="normaltextrun"/>
          <w:noProof/>
          <w:lang w:val="en-GB"/>
        </w:rPr>
        <w:t xml:space="preserve">likely to </w:t>
      </w:r>
      <w:r w:rsidR="48E6D5EC" w:rsidRPr="00881BC8">
        <w:rPr>
          <w:rStyle w:val="normaltextrun"/>
          <w:noProof/>
          <w:lang w:val="en-GB"/>
        </w:rPr>
        <w:t>damage business relations between the parties.</w:t>
      </w:r>
    </w:p>
    <w:p w14:paraId="7B743C40" w14:textId="4426AD4B" w:rsidR="008D7323" w:rsidRPr="00881BC8" w:rsidRDefault="00D823DB" w:rsidP="004835F8">
      <w:pPr>
        <w:pStyle w:val="NormalPara"/>
        <w:rPr>
          <w:noProof/>
          <w:lang w:val="en-GB"/>
        </w:rPr>
      </w:pPr>
      <w:r w:rsidRPr="00881BC8">
        <w:rPr>
          <w:rStyle w:val="normaltextrun"/>
          <w:noProof/>
          <w:lang w:val="en-GB"/>
        </w:rPr>
        <w:t xml:space="preserve">Obtaining satisfactory result through taking matters to court is uncertain because of weaknesses of the LPD. The lack of </w:t>
      </w:r>
      <w:r w:rsidR="00B62D77" w:rsidRPr="00881BC8">
        <w:rPr>
          <w:rStyle w:val="normaltextrun"/>
          <w:noProof/>
          <w:lang w:val="en-GB"/>
        </w:rPr>
        <w:t xml:space="preserve">clear definition of </w:t>
      </w:r>
      <w:r w:rsidR="00C51BEF" w:rsidRPr="00881BC8">
        <w:rPr>
          <w:rStyle w:val="normaltextrun"/>
          <w:noProof/>
          <w:lang w:val="en-GB"/>
        </w:rPr>
        <w:t>‘</w:t>
      </w:r>
      <w:r w:rsidR="00B62D77" w:rsidRPr="00881BC8">
        <w:rPr>
          <w:rStyle w:val="normaltextrun"/>
          <w:noProof/>
          <w:lang w:val="en-GB"/>
        </w:rPr>
        <w:t>unfair</w:t>
      </w:r>
      <w:r w:rsidR="00C51BEF" w:rsidRPr="00881BC8">
        <w:rPr>
          <w:rStyle w:val="normaltextrun"/>
          <w:noProof/>
          <w:lang w:val="en-GB"/>
        </w:rPr>
        <w:t>’</w:t>
      </w:r>
      <w:r w:rsidR="00B62D77" w:rsidRPr="00881BC8">
        <w:rPr>
          <w:rStyle w:val="normaltextrun"/>
          <w:noProof/>
          <w:lang w:val="en-GB"/>
        </w:rPr>
        <w:t xml:space="preserve"> practices or clauses</w:t>
      </w:r>
      <w:r w:rsidR="1748FD95" w:rsidRPr="00881BC8">
        <w:rPr>
          <w:rStyle w:val="normaltextrun"/>
          <w:noProof/>
          <w:lang w:val="en-GB"/>
        </w:rPr>
        <w:t xml:space="preserve"> makes it difficult for companies to assess </w:t>
      </w:r>
      <w:r w:rsidR="00B22CE7" w:rsidRPr="00881BC8">
        <w:rPr>
          <w:rStyle w:val="normaltextrun"/>
          <w:noProof/>
          <w:lang w:val="en-GB"/>
        </w:rPr>
        <w:t xml:space="preserve">their </w:t>
      </w:r>
      <w:r w:rsidR="1748FD95" w:rsidRPr="00881BC8">
        <w:rPr>
          <w:rStyle w:val="normaltextrun"/>
          <w:noProof/>
          <w:lang w:val="en-GB"/>
        </w:rPr>
        <w:t>chance</w:t>
      </w:r>
      <w:r w:rsidR="00B22CE7" w:rsidRPr="00881BC8">
        <w:rPr>
          <w:rStyle w:val="normaltextrun"/>
          <w:noProof/>
          <w:lang w:val="en-GB"/>
        </w:rPr>
        <w:t>s of winning</w:t>
      </w:r>
      <w:r w:rsidR="1748FD95" w:rsidRPr="00881BC8">
        <w:rPr>
          <w:rStyle w:val="normaltextrun"/>
          <w:noProof/>
          <w:lang w:val="en-GB"/>
        </w:rPr>
        <w:t xml:space="preserve"> in court</w:t>
      </w:r>
      <w:r w:rsidR="0F57140D" w:rsidRPr="00881BC8">
        <w:rPr>
          <w:rStyle w:val="normaltextrun"/>
          <w:noProof/>
          <w:lang w:val="en-GB"/>
        </w:rPr>
        <w:t>. S</w:t>
      </w:r>
      <w:r w:rsidR="00B62D77" w:rsidRPr="00881BC8">
        <w:rPr>
          <w:rStyle w:val="normaltextrun"/>
          <w:noProof/>
          <w:lang w:val="en-GB"/>
        </w:rPr>
        <w:t xml:space="preserve">everal provisions of the </w:t>
      </w:r>
      <w:r w:rsidR="00B22CE7" w:rsidRPr="00881BC8">
        <w:rPr>
          <w:rStyle w:val="normaltextrun"/>
          <w:noProof/>
          <w:lang w:val="en-GB"/>
        </w:rPr>
        <w:t xml:space="preserve">LPD </w:t>
      </w:r>
      <w:r w:rsidR="644799E3" w:rsidRPr="00881BC8">
        <w:rPr>
          <w:rStyle w:val="normaltextrun"/>
          <w:noProof/>
          <w:lang w:val="en-GB"/>
        </w:rPr>
        <w:t xml:space="preserve">build on </w:t>
      </w:r>
      <w:r w:rsidRPr="00881BC8">
        <w:rPr>
          <w:rStyle w:val="normaltextrun"/>
          <w:noProof/>
          <w:lang w:val="en-GB"/>
        </w:rPr>
        <w:t xml:space="preserve">the </w:t>
      </w:r>
      <w:r w:rsidR="00B62D77" w:rsidRPr="00881BC8">
        <w:rPr>
          <w:rStyle w:val="normaltextrun"/>
          <w:noProof/>
          <w:lang w:val="en-GB"/>
        </w:rPr>
        <w:t xml:space="preserve">concept of </w:t>
      </w:r>
      <w:r w:rsidR="00C51BEF" w:rsidRPr="00881BC8">
        <w:rPr>
          <w:rStyle w:val="normaltextrun"/>
          <w:noProof/>
          <w:lang w:val="en-GB"/>
        </w:rPr>
        <w:t>‘</w:t>
      </w:r>
      <w:r w:rsidR="00B62D77" w:rsidRPr="00881BC8">
        <w:rPr>
          <w:rStyle w:val="normaltextrun"/>
          <w:noProof/>
          <w:lang w:val="en-GB"/>
        </w:rPr>
        <w:t>grossly unfair</w:t>
      </w:r>
      <w:r w:rsidR="00C51BEF" w:rsidRPr="00881BC8">
        <w:rPr>
          <w:rStyle w:val="normaltextrun"/>
          <w:noProof/>
          <w:lang w:val="en-GB"/>
        </w:rPr>
        <w:t>’</w:t>
      </w:r>
      <w:r w:rsidR="00B22CE7" w:rsidRPr="00881BC8">
        <w:rPr>
          <w:rStyle w:val="normaltextrun"/>
          <w:noProof/>
          <w:lang w:val="en-GB"/>
        </w:rPr>
        <w:t xml:space="preserve">, an undefined </w:t>
      </w:r>
      <w:r w:rsidR="0AD1E825" w:rsidRPr="00881BC8">
        <w:rPr>
          <w:rStyle w:val="normaltextrun"/>
          <w:noProof/>
          <w:lang w:val="en-GB"/>
        </w:rPr>
        <w:t xml:space="preserve">concept, </w:t>
      </w:r>
      <w:r w:rsidR="00B22CE7" w:rsidRPr="00881BC8">
        <w:rPr>
          <w:rStyle w:val="normaltextrun"/>
          <w:noProof/>
          <w:lang w:val="en-GB"/>
        </w:rPr>
        <w:t xml:space="preserve">which makes it </w:t>
      </w:r>
      <w:r w:rsidR="00B62D77" w:rsidRPr="00881BC8">
        <w:rPr>
          <w:rStyle w:val="normaltextrun"/>
          <w:noProof/>
          <w:lang w:val="en-GB"/>
        </w:rPr>
        <w:t xml:space="preserve">difficult for a creditor to prove a specific contractual clause or practice </w:t>
      </w:r>
      <w:r w:rsidR="00C51BEF" w:rsidRPr="00881BC8">
        <w:rPr>
          <w:rStyle w:val="normaltextrun"/>
          <w:noProof/>
          <w:lang w:val="en-GB"/>
        </w:rPr>
        <w:t xml:space="preserve">as </w:t>
      </w:r>
      <w:r w:rsidR="3A7DBD5A" w:rsidRPr="00881BC8">
        <w:rPr>
          <w:rStyle w:val="normaltextrun"/>
          <w:noProof/>
          <w:lang w:val="en-GB"/>
        </w:rPr>
        <w:t>unlawful</w:t>
      </w:r>
      <w:r w:rsidR="0861AFB0" w:rsidRPr="00881BC8">
        <w:rPr>
          <w:rStyle w:val="normaltextrun"/>
          <w:noProof/>
          <w:lang w:val="en-GB"/>
        </w:rPr>
        <w:t>.</w:t>
      </w:r>
      <w:r w:rsidR="00B62D77" w:rsidRPr="00881BC8">
        <w:rPr>
          <w:rStyle w:val="normaltextrun"/>
          <w:noProof/>
          <w:lang w:val="en-GB"/>
        </w:rPr>
        <w:t xml:space="preserve"> </w:t>
      </w:r>
      <w:r w:rsidR="00DA3D11" w:rsidRPr="00881BC8">
        <w:rPr>
          <w:rStyle w:val="normaltextrun"/>
          <w:noProof/>
          <w:lang w:val="en-GB"/>
        </w:rPr>
        <w:t xml:space="preserve">Access to mediation is insufficient. </w:t>
      </w:r>
      <w:r w:rsidR="2C33D7B7" w:rsidRPr="00881BC8">
        <w:rPr>
          <w:rStyle w:val="normaltextrun"/>
          <w:noProof/>
          <w:lang w:val="en-GB"/>
        </w:rPr>
        <w:t>T</w:t>
      </w:r>
      <w:r w:rsidR="00B62D77" w:rsidRPr="00881BC8">
        <w:rPr>
          <w:rStyle w:val="normaltextrun"/>
          <w:noProof/>
          <w:lang w:val="en-GB"/>
        </w:rPr>
        <w:t xml:space="preserve">here </w:t>
      </w:r>
      <w:r w:rsidR="00437FBE" w:rsidRPr="00881BC8">
        <w:rPr>
          <w:rStyle w:val="normaltextrun"/>
          <w:noProof/>
          <w:lang w:val="en-GB"/>
        </w:rPr>
        <w:t xml:space="preserve">exist </w:t>
      </w:r>
      <w:r w:rsidR="0A21ED31" w:rsidRPr="00881BC8">
        <w:rPr>
          <w:rStyle w:val="normaltextrun"/>
          <w:noProof/>
          <w:lang w:val="en-GB"/>
        </w:rPr>
        <w:t>other</w:t>
      </w:r>
      <w:r w:rsidR="00B62D77" w:rsidRPr="00881BC8">
        <w:rPr>
          <w:rStyle w:val="normaltextrun"/>
          <w:noProof/>
          <w:lang w:val="en-GB"/>
        </w:rPr>
        <w:t xml:space="preserve"> practices</w:t>
      </w:r>
      <w:r w:rsidR="00437FBE" w:rsidRPr="00881BC8">
        <w:rPr>
          <w:rStyle w:val="normaltextrun"/>
          <w:noProof/>
          <w:lang w:val="en-GB"/>
        </w:rPr>
        <w:t>,</w:t>
      </w:r>
      <w:r w:rsidR="00B62D77" w:rsidRPr="00881BC8">
        <w:rPr>
          <w:rStyle w:val="normaltextrun"/>
          <w:noProof/>
          <w:lang w:val="en-GB"/>
        </w:rPr>
        <w:t xml:space="preserve"> which </w:t>
      </w:r>
      <w:r w:rsidR="00437FBE" w:rsidRPr="00881BC8">
        <w:rPr>
          <w:rStyle w:val="normaltextrun"/>
          <w:noProof/>
          <w:lang w:val="en-GB"/>
        </w:rPr>
        <w:t xml:space="preserve">result in </w:t>
      </w:r>
      <w:r w:rsidR="00B62D77" w:rsidRPr="00881BC8">
        <w:rPr>
          <w:rStyle w:val="normaltextrun"/>
          <w:noProof/>
          <w:lang w:val="en-GB"/>
        </w:rPr>
        <w:t xml:space="preserve">circumventing the </w:t>
      </w:r>
      <w:r w:rsidR="00437FBE" w:rsidRPr="00881BC8">
        <w:rPr>
          <w:rStyle w:val="normaltextrun"/>
          <w:noProof/>
          <w:lang w:val="en-GB"/>
        </w:rPr>
        <w:t xml:space="preserve">LPD’s </w:t>
      </w:r>
      <w:r w:rsidR="00B62D77" w:rsidRPr="00881BC8">
        <w:rPr>
          <w:rStyle w:val="normaltextrun"/>
          <w:noProof/>
          <w:lang w:val="en-GB"/>
        </w:rPr>
        <w:t>obligations</w:t>
      </w:r>
      <w:r w:rsidR="00437FBE" w:rsidRPr="00881BC8">
        <w:rPr>
          <w:rStyle w:val="normaltextrun"/>
          <w:noProof/>
          <w:lang w:val="en-GB"/>
        </w:rPr>
        <w:t>, e.g.</w:t>
      </w:r>
      <w:r w:rsidR="00B62D77" w:rsidRPr="00881BC8">
        <w:rPr>
          <w:rStyle w:val="normaltextrun"/>
          <w:noProof/>
          <w:lang w:val="en-GB"/>
        </w:rPr>
        <w:t xml:space="preserve"> practices banning assignments of receivables, which hamper factoring</w:t>
      </w:r>
      <w:r w:rsidR="00437FBE" w:rsidRPr="00881BC8">
        <w:rPr>
          <w:rStyle w:val="FootnoteReference"/>
          <w:noProof/>
          <w:lang w:val="en-GB"/>
        </w:rPr>
        <w:footnoteReference w:id="66"/>
      </w:r>
      <w:r w:rsidR="00570EEC" w:rsidRPr="00881BC8">
        <w:rPr>
          <w:rStyle w:val="normaltextrun"/>
          <w:noProof/>
          <w:lang w:val="en-GB"/>
        </w:rPr>
        <w:t xml:space="preserve"> (see </w:t>
      </w:r>
      <w:r w:rsidR="00570EEC" w:rsidRPr="00881BC8">
        <w:rPr>
          <w:rStyle w:val="normaltextrun"/>
          <w:noProof/>
          <w:lang w:val="en-GB"/>
        </w:rPr>
        <w:fldChar w:fldCharType="begin"/>
      </w:r>
      <w:r w:rsidR="00570EEC" w:rsidRPr="00881BC8">
        <w:rPr>
          <w:rStyle w:val="normaltextrun"/>
          <w:noProof/>
          <w:lang w:val="en-GB"/>
        </w:rPr>
        <w:instrText xml:space="preserve"> REF Annex10 \h </w:instrText>
      </w:r>
      <w:r w:rsidR="00570EEC" w:rsidRPr="00881BC8">
        <w:rPr>
          <w:rStyle w:val="normaltextrun"/>
          <w:noProof/>
          <w:lang w:val="en-GB"/>
        </w:rPr>
      </w:r>
      <w:r w:rsidR="00570EEC" w:rsidRPr="00881BC8">
        <w:rPr>
          <w:rStyle w:val="normaltextrun"/>
          <w:noProof/>
          <w:lang w:val="en-GB"/>
        </w:rPr>
        <w:fldChar w:fldCharType="separate"/>
      </w:r>
      <w:r w:rsidR="005851F4" w:rsidRPr="00881BC8">
        <w:rPr>
          <w:noProof/>
        </w:rPr>
        <w:t>Annex 10</w:t>
      </w:r>
      <w:r w:rsidR="00570EEC" w:rsidRPr="00881BC8">
        <w:rPr>
          <w:rStyle w:val="normaltextrun"/>
          <w:noProof/>
          <w:lang w:val="en-GB"/>
        </w:rPr>
        <w:fldChar w:fldCharType="end"/>
      </w:r>
      <w:r w:rsidR="00570EEC" w:rsidRPr="00881BC8">
        <w:rPr>
          <w:rStyle w:val="normaltextrun"/>
          <w:noProof/>
          <w:lang w:val="en-GB"/>
        </w:rPr>
        <w:t>)</w:t>
      </w:r>
      <w:r w:rsidR="00B62D77" w:rsidRPr="00881BC8">
        <w:rPr>
          <w:rStyle w:val="normaltextrun"/>
          <w:noProof/>
          <w:lang w:val="en-GB"/>
        </w:rPr>
        <w:t xml:space="preserve">. These practices are not defined </w:t>
      </w:r>
      <w:r w:rsidR="00D43E61" w:rsidRPr="00881BC8">
        <w:rPr>
          <w:rStyle w:val="normaltextrun"/>
          <w:noProof/>
          <w:lang w:val="en-GB"/>
        </w:rPr>
        <w:t xml:space="preserve">as unfair </w:t>
      </w:r>
      <w:r w:rsidR="00B62D77" w:rsidRPr="00881BC8">
        <w:rPr>
          <w:rStyle w:val="normaltextrun"/>
          <w:noProof/>
          <w:lang w:val="en-GB"/>
        </w:rPr>
        <w:t xml:space="preserve">in the </w:t>
      </w:r>
      <w:r w:rsidR="00437FBE" w:rsidRPr="00881BC8">
        <w:rPr>
          <w:rStyle w:val="normaltextrun"/>
          <w:noProof/>
          <w:lang w:val="en-GB"/>
        </w:rPr>
        <w:t xml:space="preserve">LPD </w:t>
      </w:r>
      <w:r w:rsidR="00E43A30" w:rsidRPr="00881BC8">
        <w:rPr>
          <w:rStyle w:val="normaltextrun"/>
          <w:noProof/>
          <w:lang w:val="en-GB"/>
        </w:rPr>
        <w:t xml:space="preserve">which makes </w:t>
      </w:r>
      <w:r w:rsidR="00B62D77" w:rsidRPr="00881BC8">
        <w:rPr>
          <w:rStyle w:val="normaltextrun"/>
          <w:noProof/>
          <w:lang w:val="en-GB"/>
        </w:rPr>
        <w:t xml:space="preserve">it very difficult for SMEs not </w:t>
      </w:r>
      <w:r w:rsidR="00437FBE" w:rsidRPr="00881BC8">
        <w:rPr>
          <w:rStyle w:val="normaltextrun"/>
          <w:noProof/>
          <w:lang w:val="en-GB"/>
        </w:rPr>
        <w:t xml:space="preserve">to </w:t>
      </w:r>
      <w:r w:rsidR="00B62D77" w:rsidRPr="00881BC8">
        <w:rPr>
          <w:rStyle w:val="normaltextrun"/>
          <w:noProof/>
          <w:lang w:val="en-GB"/>
        </w:rPr>
        <w:t>accept them.</w:t>
      </w:r>
      <w:r w:rsidR="00AB2928" w:rsidRPr="00881BC8">
        <w:rPr>
          <w:noProof/>
          <w:lang w:val="en-GB" w:eastAsia="en-GB"/>
        </w:rPr>
        <w:t xml:space="preserve"> </w:t>
      </w:r>
    </w:p>
    <w:p w14:paraId="3F6361DC" w14:textId="32D6D241" w:rsidR="006B087E" w:rsidRPr="00881BC8" w:rsidRDefault="454FE31C" w:rsidP="004835F8">
      <w:pPr>
        <w:pStyle w:val="Heading2"/>
        <w:rPr>
          <w:noProof/>
        </w:rPr>
      </w:pPr>
      <w:bookmarkStart w:id="163" w:name="_Toc130395669"/>
      <w:bookmarkStart w:id="164" w:name="_Toc130403587"/>
      <w:bookmarkStart w:id="165" w:name="_Toc128594931"/>
      <w:bookmarkStart w:id="166" w:name="_Toc128678882"/>
      <w:bookmarkStart w:id="167" w:name="_Toc128935089"/>
      <w:bookmarkStart w:id="168" w:name="_Toc129710181"/>
      <w:bookmarkStart w:id="169" w:name="_Toc129899886"/>
      <w:bookmarkStart w:id="170" w:name="_Ref130199159"/>
      <w:bookmarkStart w:id="171" w:name="_Ref130983181"/>
      <w:bookmarkStart w:id="172" w:name="_Toc135237391"/>
      <w:bookmarkEnd w:id="163"/>
      <w:bookmarkEnd w:id="164"/>
      <w:r w:rsidRPr="00881BC8">
        <w:rPr>
          <w:noProof/>
        </w:rPr>
        <w:t xml:space="preserve">How </w:t>
      </w:r>
      <w:r w:rsidR="7A9424EA" w:rsidRPr="00881BC8">
        <w:rPr>
          <w:noProof/>
        </w:rPr>
        <w:t>likely is the problem to persist?</w:t>
      </w:r>
      <w:bookmarkEnd w:id="165"/>
      <w:bookmarkEnd w:id="166"/>
      <w:bookmarkEnd w:id="167"/>
      <w:bookmarkEnd w:id="168"/>
      <w:bookmarkEnd w:id="169"/>
      <w:bookmarkEnd w:id="170"/>
      <w:bookmarkEnd w:id="171"/>
      <w:bookmarkEnd w:id="172"/>
    </w:p>
    <w:p w14:paraId="0672A1CE" w14:textId="7FB548C8" w:rsidR="00864F39" w:rsidRPr="00881BC8" w:rsidRDefault="628DBD09" w:rsidP="004835F8">
      <w:pPr>
        <w:pStyle w:val="NormalPara"/>
        <w:rPr>
          <w:noProof/>
          <w:lang w:val="en-GB"/>
        </w:rPr>
      </w:pPr>
      <w:r w:rsidRPr="00881BC8">
        <w:rPr>
          <w:noProof/>
          <w:lang w:val="en-GB"/>
        </w:rPr>
        <w:t>If no additional EU action is taken</w:t>
      </w:r>
      <w:r w:rsidR="7A4559BC" w:rsidRPr="00881BC8">
        <w:rPr>
          <w:noProof/>
          <w:lang w:val="en-GB"/>
        </w:rPr>
        <w:t xml:space="preserve">, </w:t>
      </w:r>
      <w:r w:rsidR="001D21E6" w:rsidRPr="00881BC8">
        <w:rPr>
          <w:noProof/>
          <w:lang w:val="en-GB"/>
        </w:rPr>
        <w:t>the identified issues are likely to persist (</w:t>
      </w:r>
      <w:r w:rsidR="730A6418" w:rsidRPr="00881BC8">
        <w:rPr>
          <w:noProof/>
          <w:lang w:val="en-GB"/>
        </w:rPr>
        <w:t>based on the input received by the Commission</w:t>
      </w:r>
      <w:r w:rsidR="007F2DEE" w:rsidRPr="00881BC8">
        <w:rPr>
          <w:noProof/>
          <w:lang w:val="en-GB"/>
        </w:rPr>
        <w:t xml:space="preserve"> from stakeholders and desk research</w:t>
      </w:r>
      <w:r w:rsidR="001D21E6" w:rsidRPr="00881BC8">
        <w:rPr>
          <w:noProof/>
          <w:lang w:val="en-GB"/>
        </w:rPr>
        <w:t>)</w:t>
      </w:r>
      <w:r w:rsidR="00437FBE" w:rsidRPr="00881BC8">
        <w:rPr>
          <w:noProof/>
          <w:lang w:val="en-GB"/>
        </w:rPr>
        <w:t>.</w:t>
      </w:r>
    </w:p>
    <w:p w14:paraId="6B17F8ED" w14:textId="4CD83C3F" w:rsidR="166EEF13" w:rsidRPr="00881BC8" w:rsidRDefault="00CD1E96" w:rsidP="004835F8">
      <w:pPr>
        <w:pStyle w:val="NormalPara"/>
        <w:rPr>
          <w:noProof/>
          <w:lang w:val="en-GB"/>
        </w:rPr>
      </w:pPr>
      <w:r w:rsidRPr="00881BC8">
        <w:rPr>
          <w:noProof/>
          <w:lang w:val="en-GB"/>
        </w:rPr>
        <w:t>Between</w:t>
      </w:r>
      <w:r w:rsidR="00437FBE" w:rsidRPr="00881BC8">
        <w:rPr>
          <w:noProof/>
          <w:lang w:val="en-GB"/>
        </w:rPr>
        <w:t xml:space="preserve"> </w:t>
      </w:r>
      <w:r w:rsidR="007E45D7" w:rsidRPr="00881BC8">
        <w:rPr>
          <w:noProof/>
          <w:lang w:val="en-GB"/>
        </w:rPr>
        <w:t>years 2014</w:t>
      </w:r>
      <w:r w:rsidRPr="00881BC8">
        <w:rPr>
          <w:noProof/>
          <w:lang w:val="en-GB"/>
        </w:rPr>
        <w:t xml:space="preserve"> and </w:t>
      </w:r>
      <w:r w:rsidR="007E45D7" w:rsidRPr="00881BC8">
        <w:rPr>
          <w:noProof/>
          <w:lang w:val="en-GB"/>
        </w:rPr>
        <w:t xml:space="preserve">2022, </w:t>
      </w:r>
      <w:r w:rsidR="00437FBE" w:rsidRPr="00881BC8">
        <w:rPr>
          <w:noProof/>
          <w:lang w:val="en-GB"/>
        </w:rPr>
        <w:t xml:space="preserve">the </w:t>
      </w:r>
      <w:r w:rsidR="00572467" w:rsidRPr="00881BC8">
        <w:rPr>
          <w:noProof/>
          <w:lang w:val="en-GB"/>
        </w:rPr>
        <w:t xml:space="preserve">drop </w:t>
      </w:r>
      <w:r w:rsidR="00437FBE" w:rsidRPr="00881BC8">
        <w:rPr>
          <w:noProof/>
          <w:lang w:val="en-GB"/>
        </w:rPr>
        <w:t xml:space="preserve">recorded </w:t>
      </w:r>
      <w:r w:rsidR="00572467" w:rsidRPr="00881BC8">
        <w:rPr>
          <w:noProof/>
          <w:lang w:val="en-GB"/>
        </w:rPr>
        <w:t xml:space="preserve">after the </w:t>
      </w:r>
      <w:r w:rsidR="00004E69" w:rsidRPr="00881BC8">
        <w:rPr>
          <w:noProof/>
          <w:lang w:val="en-GB"/>
        </w:rPr>
        <w:t>transposition</w:t>
      </w:r>
      <w:r w:rsidR="00572467" w:rsidRPr="00881BC8">
        <w:rPr>
          <w:noProof/>
          <w:lang w:val="en-GB"/>
        </w:rPr>
        <w:t xml:space="preserve"> of the L</w:t>
      </w:r>
      <w:r w:rsidR="00004E69" w:rsidRPr="00881BC8">
        <w:rPr>
          <w:noProof/>
          <w:lang w:val="en-GB"/>
        </w:rPr>
        <w:t>PD</w:t>
      </w:r>
      <w:r w:rsidR="00437FBE" w:rsidRPr="00881BC8">
        <w:rPr>
          <w:noProof/>
          <w:lang w:val="en-GB"/>
        </w:rPr>
        <w:t xml:space="preserve"> did not bring </w:t>
      </w:r>
      <w:r w:rsidR="009505FA" w:rsidRPr="00881BC8">
        <w:rPr>
          <w:noProof/>
          <w:lang w:val="en-GB"/>
        </w:rPr>
        <w:t xml:space="preserve">payment times </w:t>
      </w:r>
      <w:r w:rsidR="00437FBE" w:rsidRPr="00881BC8">
        <w:rPr>
          <w:noProof/>
          <w:lang w:val="en-GB"/>
        </w:rPr>
        <w:t xml:space="preserve">below </w:t>
      </w:r>
      <w:r w:rsidR="009505FA" w:rsidRPr="00881BC8">
        <w:rPr>
          <w:noProof/>
          <w:lang w:val="en-GB"/>
        </w:rPr>
        <w:t>30 days</w:t>
      </w:r>
      <w:r w:rsidR="00437FBE" w:rsidRPr="00881BC8">
        <w:rPr>
          <w:noProof/>
          <w:lang w:val="en-GB"/>
        </w:rPr>
        <w:t>.</w:t>
      </w:r>
      <w:r w:rsidR="009505FA" w:rsidRPr="00881BC8">
        <w:rPr>
          <w:noProof/>
          <w:lang w:val="en-GB"/>
        </w:rPr>
        <w:t xml:space="preserve"> </w:t>
      </w:r>
      <w:r w:rsidR="00437FBE" w:rsidRPr="00881BC8">
        <w:rPr>
          <w:noProof/>
          <w:lang w:val="en-GB"/>
        </w:rPr>
        <w:t>T</w:t>
      </w:r>
      <w:r w:rsidR="009505FA" w:rsidRPr="00881BC8">
        <w:rPr>
          <w:noProof/>
          <w:lang w:val="en-GB"/>
        </w:rPr>
        <w:t xml:space="preserve">he spike following the </w:t>
      </w:r>
      <w:r w:rsidRPr="00881BC8">
        <w:rPr>
          <w:noProof/>
          <w:lang w:val="en-GB"/>
        </w:rPr>
        <w:t>coronavirus</w:t>
      </w:r>
      <w:r w:rsidR="009505FA" w:rsidRPr="00881BC8">
        <w:rPr>
          <w:noProof/>
          <w:lang w:val="en-GB"/>
        </w:rPr>
        <w:t xml:space="preserve"> pandemic erased the gains made </w:t>
      </w:r>
      <w:r w:rsidR="004E6B65" w:rsidRPr="00881BC8">
        <w:rPr>
          <w:noProof/>
          <w:lang w:val="en-GB"/>
        </w:rPr>
        <w:t>before</w:t>
      </w:r>
      <w:r w:rsidR="00BC1348" w:rsidRPr="00881BC8">
        <w:rPr>
          <w:noProof/>
          <w:lang w:val="en-GB"/>
        </w:rPr>
        <w:t xml:space="preserve"> 2020</w:t>
      </w:r>
      <w:r w:rsidR="004E6B65" w:rsidRPr="00881BC8">
        <w:rPr>
          <w:noProof/>
          <w:lang w:val="en-GB"/>
        </w:rPr>
        <w:t>.</w:t>
      </w:r>
      <w:r w:rsidR="00612C9F" w:rsidRPr="00881BC8">
        <w:rPr>
          <w:noProof/>
          <w:lang w:val="en-GB"/>
        </w:rPr>
        <w:t xml:space="preserve"> </w:t>
      </w:r>
      <w:r w:rsidR="00A57818" w:rsidRPr="00881BC8">
        <w:rPr>
          <w:noProof/>
          <w:lang w:val="en-GB"/>
        </w:rPr>
        <w:t>T</w:t>
      </w:r>
      <w:r w:rsidR="004828CE" w:rsidRPr="00881BC8">
        <w:rPr>
          <w:noProof/>
          <w:lang w:val="en-GB"/>
        </w:rPr>
        <w:t>he difficult economic context</w:t>
      </w:r>
      <w:r w:rsidR="00BB4D6C" w:rsidRPr="00881BC8">
        <w:rPr>
          <w:noProof/>
          <w:lang w:val="en-GB"/>
        </w:rPr>
        <w:t xml:space="preserve">, </w:t>
      </w:r>
      <w:r w:rsidR="004828CE" w:rsidRPr="00881BC8">
        <w:rPr>
          <w:noProof/>
          <w:lang w:val="en-GB"/>
        </w:rPr>
        <w:t xml:space="preserve">high inflation </w:t>
      </w:r>
      <w:r w:rsidR="00BB4D6C" w:rsidRPr="00881BC8">
        <w:rPr>
          <w:noProof/>
          <w:lang w:val="en-GB"/>
        </w:rPr>
        <w:t xml:space="preserve">and higher interest rates </w:t>
      </w:r>
      <w:r w:rsidR="008F0CCF" w:rsidRPr="00881BC8">
        <w:rPr>
          <w:noProof/>
          <w:lang w:val="en-GB"/>
        </w:rPr>
        <w:t xml:space="preserve">are </w:t>
      </w:r>
      <w:r w:rsidR="00437FBE" w:rsidRPr="00881BC8">
        <w:rPr>
          <w:noProof/>
          <w:lang w:val="en-GB"/>
        </w:rPr>
        <w:t xml:space="preserve">likely to support </w:t>
      </w:r>
      <w:r w:rsidR="004828CE" w:rsidRPr="00881BC8">
        <w:rPr>
          <w:noProof/>
          <w:lang w:val="en-GB"/>
        </w:rPr>
        <w:t>the prevalence of late payments</w:t>
      </w:r>
      <w:r w:rsidR="00A57818" w:rsidRPr="00881BC8">
        <w:rPr>
          <w:noProof/>
          <w:lang w:val="en-GB"/>
        </w:rPr>
        <w:t xml:space="preserve">. </w:t>
      </w:r>
      <w:r w:rsidR="008F0CCF" w:rsidRPr="00881BC8">
        <w:rPr>
          <w:noProof/>
          <w:lang w:val="en-GB"/>
        </w:rPr>
        <w:t>T</w:t>
      </w:r>
      <w:r w:rsidR="00437FBE" w:rsidRPr="00881BC8">
        <w:rPr>
          <w:noProof/>
          <w:lang w:val="en-GB"/>
        </w:rPr>
        <w:t xml:space="preserve">he problem </w:t>
      </w:r>
      <w:r w:rsidR="00641EAF" w:rsidRPr="00881BC8">
        <w:rPr>
          <w:noProof/>
          <w:lang w:val="en-GB"/>
        </w:rPr>
        <w:t xml:space="preserve">is </w:t>
      </w:r>
      <w:r w:rsidR="009C759E" w:rsidRPr="00881BC8">
        <w:rPr>
          <w:noProof/>
          <w:lang w:val="en-GB"/>
        </w:rPr>
        <w:t xml:space="preserve">highly </w:t>
      </w:r>
      <w:r w:rsidR="00641EAF" w:rsidRPr="00881BC8">
        <w:rPr>
          <w:noProof/>
          <w:lang w:val="en-GB"/>
        </w:rPr>
        <w:t xml:space="preserve">unlikely </w:t>
      </w:r>
      <w:r w:rsidR="000778E2" w:rsidRPr="00881BC8">
        <w:rPr>
          <w:noProof/>
          <w:lang w:val="en-GB"/>
        </w:rPr>
        <w:t xml:space="preserve">to go away </w:t>
      </w:r>
      <w:r w:rsidR="00A57818" w:rsidRPr="00881BC8">
        <w:rPr>
          <w:noProof/>
          <w:lang w:val="en-GB"/>
        </w:rPr>
        <w:t xml:space="preserve">when </w:t>
      </w:r>
      <w:r w:rsidR="00D26436" w:rsidRPr="00881BC8">
        <w:rPr>
          <w:noProof/>
          <w:lang w:val="en-GB"/>
        </w:rPr>
        <w:t xml:space="preserve">the situation </w:t>
      </w:r>
      <w:r w:rsidR="00BC1348" w:rsidRPr="00881BC8">
        <w:rPr>
          <w:noProof/>
          <w:lang w:val="en-GB"/>
        </w:rPr>
        <w:t xml:space="preserve">will have </w:t>
      </w:r>
      <w:r w:rsidR="00D26436" w:rsidRPr="00881BC8">
        <w:rPr>
          <w:noProof/>
          <w:lang w:val="en-GB"/>
        </w:rPr>
        <w:t>stabilised</w:t>
      </w:r>
      <w:r w:rsidR="000778E2" w:rsidRPr="00881BC8">
        <w:rPr>
          <w:noProof/>
          <w:lang w:val="en-GB"/>
        </w:rPr>
        <w:t xml:space="preserve">. </w:t>
      </w:r>
      <w:r w:rsidR="00A57818" w:rsidRPr="00881BC8">
        <w:rPr>
          <w:noProof/>
          <w:lang w:val="en-GB"/>
        </w:rPr>
        <w:t>Payment delays persist e</w:t>
      </w:r>
      <w:r w:rsidR="004F617D" w:rsidRPr="00881BC8">
        <w:rPr>
          <w:noProof/>
          <w:lang w:val="en-GB"/>
        </w:rPr>
        <w:t xml:space="preserve">ven during </w:t>
      </w:r>
      <w:r w:rsidR="00C3290B" w:rsidRPr="00881BC8">
        <w:rPr>
          <w:noProof/>
          <w:lang w:val="en-GB"/>
        </w:rPr>
        <w:t>the absence of economic crises</w:t>
      </w:r>
      <w:r w:rsidR="0035602E" w:rsidRPr="00881BC8">
        <w:rPr>
          <w:noProof/>
          <w:lang w:val="en-GB"/>
        </w:rPr>
        <w:t>.</w:t>
      </w:r>
      <w:r w:rsidR="1A527E6B" w:rsidRPr="00881BC8">
        <w:rPr>
          <w:noProof/>
          <w:lang w:val="en-GB"/>
        </w:rPr>
        <w:t xml:space="preserve"> </w:t>
      </w:r>
    </w:p>
    <w:p w14:paraId="5133203D" w14:textId="5108771C" w:rsidR="00134515" w:rsidRPr="00881BC8" w:rsidRDefault="008D4B82" w:rsidP="004835F8">
      <w:pPr>
        <w:pStyle w:val="NormalPara"/>
        <w:rPr>
          <w:noProof/>
          <w:lang w:val="en-GB"/>
        </w:rPr>
      </w:pPr>
      <w:r w:rsidRPr="00881BC8">
        <w:rPr>
          <w:noProof/>
          <w:lang w:val="en-GB"/>
        </w:rPr>
        <w:t>L</w:t>
      </w:r>
      <w:r w:rsidR="00134515" w:rsidRPr="00881BC8">
        <w:rPr>
          <w:noProof/>
          <w:lang w:val="en-GB"/>
        </w:rPr>
        <w:t xml:space="preserve">ate payment </w:t>
      </w:r>
      <w:r w:rsidR="00F9574D" w:rsidRPr="00881BC8">
        <w:rPr>
          <w:noProof/>
          <w:lang w:val="en-GB"/>
        </w:rPr>
        <w:t xml:space="preserve">remains </w:t>
      </w:r>
      <w:r w:rsidR="00134515" w:rsidRPr="00881BC8">
        <w:rPr>
          <w:noProof/>
          <w:lang w:val="en-GB"/>
        </w:rPr>
        <w:t>attractive</w:t>
      </w:r>
      <w:r w:rsidR="00F9574D" w:rsidRPr="00881BC8">
        <w:rPr>
          <w:noProof/>
          <w:lang w:val="en-GB"/>
        </w:rPr>
        <w:t xml:space="preserve"> because</w:t>
      </w:r>
      <w:r w:rsidR="001B2F6C" w:rsidRPr="00881BC8">
        <w:rPr>
          <w:noProof/>
          <w:lang w:val="en-GB"/>
        </w:rPr>
        <w:t xml:space="preserve"> for a debtor</w:t>
      </w:r>
      <w:r w:rsidR="00F9574D" w:rsidRPr="00881BC8">
        <w:rPr>
          <w:noProof/>
          <w:lang w:val="en-GB"/>
        </w:rPr>
        <w:t xml:space="preserve"> </w:t>
      </w:r>
      <w:r w:rsidR="00134515" w:rsidRPr="00881BC8">
        <w:rPr>
          <w:noProof/>
          <w:lang w:val="en-GB"/>
        </w:rPr>
        <w:t xml:space="preserve">it </w:t>
      </w:r>
      <w:r w:rsidR="001B2F6C" w:rsidRPr="00881BC8">
        <w:rPr>
          <w:noProof/>
          <w:lang w:val="en-GB"/>
        </w:rPr>
        <w:t>represent</w:t>
      </w:r>
      <w:r w:rsidRPr="00881BC8">
        <w:rPr>
          <w:noProof/>
          <w:lang w:val="en-GB"/>
        </w:rPr>
        <w:t>s</w:t>
      </w:r>
      <w:r w:rsidR="001B2F6C" w:rsidRPr="00881BC8">
        <w:rPr>
          <w:noProof/>
          <w:lang w:val="en-GB"/>
        </w:rPr>
        <w:t xml:space="preserve"> </w:t>
      </w:r>
      <w:r w:rsidR="00134515" w:rsidRPr="00881BC8">
        <w:rPr>
          <w:noProof/>
          <w:lang w:val="en-GB"/>
        </w:rPr>
        <w:t>the</w:t>
      </w:r>
      <w:r w:rsidR="007F2DEE" w:rsidRPr="00881BC8">
        <w:rPr>
          <w:noProof/>
          <w:lang w:val="en-GB"/>
        </w:rPr>
        <w:t xml:space="preserve"> </w:t>
      </w:r>
      <w:r w:rsidR="00134515" w:rsidRPr="00881BC8">
        <w:rPr>
          <w:noProof/>
          <w:lang w:val="en-GB"/>
        </w:rPr>
        <w:t>quickest</w:t>
      </w:r>
      <w:r w:rsidR="00C52574" w:rsidRPr="00881BC8">
        <w:rPr>
          <w:noProof/>
          <w:lang w:val="en-GB"/>
        </w:rPr>
        <w:t xml:space="preserve">, </w:t>
      </w:r>
      <w:r w:rsidR="007F2DEE" w:rsidRPr="00881BC8">
        <w:rPr>
          <w:noProof/>
          <w:lang w:val="en-GB"/>
        </w:rPr>
        <w:t>eas</w:t>
      </w:r>
      <w:r w:rsidR="00AE4598" w:rsidRPr="00881BC8">
        <w:rPr>
          <w:noProof/>
          <w:lang w:val="en-GB"/>
        </w:rPr>
        <w:t>iest</w:t>
      </w:r>
      <w:r w:rsidR="007F2DEE" w:rsidRPr="00881BC8">
        <w:rPr>
          <w:noProof/>
          <w:lang w:val="en-GB"/>
        </w:rPr>
        <w:t xml:space="preserve"> </w:t>
      </w:r>
      <w:r w:rsidR="00C52574" w:rsidRPr="00881BC8">
        <w:rPr>
          <w:noProof/>
          <w:lang w:val="en-GB"/>
        </w:rPr>
        <w:t xml:space="preserve">and </w:t>
      </w:r>
      <w:r w:rsidR="007F2DEE" w:rsidRPr="00881BC8">
        <w:rPr>
          <w:noProof/>
          <w:lang w:val="en-GB"/>
        </w:rPr>
        <w:t xml:space="preserve">paperless </w:t>
      </w:r>
      <w:r w:rsidR="00134515" w:rsidRPr="00881BC8">
        <w:rPr>
          <w:noProof/>
          <w:lang w:val="en-GB"/>
        </w:rPr>
        <w:t xml:space="preserve">way to </w:t>
      </w:r>
      <w:r w:rsidR="001B2F6C" w:rsidRPr="00881BC8">
        <w:rPr>
          <w:noProof/>
          <w:lang w:val="en-GB"/>
        </w:rPr>
        <w:t xml:space="preserve">obtain </w:t>
      </w:r>
      <w:r w:rsidR="00134515" w:rsidRPr="00881BC8">
        <w:rPr>
          <w:noProof/>
          <w:lang w:val="en-GB"/>
        </w:rPr>
        <w:t>financ</w:t>
      </w:r>
      <w:r w:rsidR="001B2F6C" w:rsidRPr="00881BC8">
        <w:rPr>
          <w:noProof/>
          <w:lang w:val="en-GB"/>
        </w:rPr>
        <w:t>ing</w:t>
      </w:r>
      <w:r w:rsidR="00134515" w:rsidRPr="00881BC8">
        <w:rPr>
          <w:noProof/>
          <w:lang w:val="en-GB"/>
        </w:rPr>
        <w:t>.</w:t>
      </w:r>
      <w:r w:rsidR="00D30F3F" w:rsidRPr="00881BC8">
        <w:rPr>
          <w:noProof/>
          <w:lang w:val="en-GB"/>
        </w:rPr>
        <w:t xml:space="preserve"> </w:t>
      </w:r>
      <w:r w:rsidR="00F9574D" w:rsidRPr="00881BC8">
        <w:rPr>
          <w:noProof/>
          <w:lang w:val="en-GB"/>
        </w:rPr>
        <w:t>T</w:t>
      </w:r>
      <w:r w:rsidR="00134515" w:rsidRPr="00881BC8">
        <w:rPr>
          <w:noProof/>
          <w:lang w:val="en-GB"/>
        </w:rPr>
        <w:t xml:space="preserve">he </w:t>
      </w:r>
      <w:r w:rsidR="008A4A54" w:rsidRPr="00881BC8">
        <w:rPr>
          <w:noProof/>
          <w:lang w:val="en-GB"/>
        </w:rPr>
        <w:t>bargaining power</w:t>
      </w:r>
      <w:r w:rsidR="00BC1348" w:rsidRPr="00881BC8">
        <w:rPr>
          <w:noProof/>
          <w:lang w:val="en-GB"/>
        </w:rPr>
        <w:t>,</w:t>
      </w:r>
      <w:r w:rsidR="000410E3" w:rsidRPr="00881BC8">
        <w:rPr>
          <w:noProof/>
          <w:lang w:val="en-GB"/>
        </w:rPr>
        <w:t xml:space="preserve"> </w:t>
      </w:r>
      <w:r w:rsidR="008A4A54" w:rsidRPr="00881BC8">
        <w:rPr>
          <w:noProof/>
          <w:lang w:val="en-GB"/>
        </w:rPr>
        <w:t xml:space="preserve">not sufficiently harnessed </w:t>
      </w:r>
      <w:r w:rsidR="00134515" w:rsidRPr="00881BC8">
        <w:rPr>
          <w:noProof/>
          <w:lang w:val="en-GB"/>
        </w:rPr>
        <w:t xml:space="preserve">by the provisions of the </w:t>
      </w:r>
      <w:r w:rsidR="008A4A54" w:rsidRPr="00881BC8">
        <w:rPr>
          <w:noProof/>
          <w:lang w:val="en-GB"/>
        </w:rPr>
        <w:t>LPD</w:t>
      </w:r>
      <w:r w:rsidR="00D30F3F" w:rsidRPr="00881BC8">
        <w:rPr>
          <w:noProof/>
          <w:lang w:val="en-GB"/>
        </w:rPr>
        <w:t xml:space="preserve">, </w:t>
      </w:r>
      <w:r w:rsidR="00F9574D" w:rsidRPr="00881BC8">
        <w:rPr>
          <w:noProof/>
          <w:lang w:val="en-GB"/>
        </w:rPr>
        <w:t xml:space="preserve">and the lack of clear guidance on which payment terms are fair </w:t>
      </w:r>
      <w:r w:rsidR="007F2DEE" w:rsidRPr="00881BC8">
        <w:rPr>
          <w:noProof/>
          <w:lang w:val="en-GB"/>
        </w:rPr>
        <w:t xml:space="preserve">will allow </w:t>
      </w:r>
      <w:r w:rsidR="000410E3" w:rsidRPr="00881BC8">
        <w:rPr>
          <w:noProof/>
          <w:lang w:val="en-GB"/>
        </w:rPr>
        <w:t xml:space="preserve">parties </w:t>
      </w:r>
      <w:r w:rsidR="007F2DEE" w:rsidRPr="00881BC8">
        <w:rPr>
          <w:noProof/>
          <w:lang w:val="en-GB"/>
        </w:rPr>
        <w:t>to</w:t>
      </w:r>
      <w:r w:rsidR="000410E3" w:rsidRPr="00881BC8">
        <w:rPr>
          <w:noProof/>
          <w:lang w:val="en-GB"/>
        </w:rPr>
        <w:t xml:space="preserve"> continue pay</w:t>
      </w:r>
      <w:r w:rsidR="007F2DEE" w:rsidRPr="00881BC8">
        <w:rPr>
          <w:noProof/>
          <w:lang w:val="en-GB"/>
        </w:rPr>
        <w:t>ing</w:t>
      </w:r>
      <w:r w:rsidR="000410E3" w:rsidRPr="00881BC8">
        <w:rPr>
          <w:noProof/>
          <w:lang w:val="en-GB"/>
        </w:rPr>
        <w:t xml:space="preserve"> as they see fit.</w:t>
      </w:r>
    </w:p>
    <w:p w14:paraId="6DF0E6FC" w14:textId="2F25918A" w:rsidR="00B609FB" w:rsidRDefault="00F9574D" w:rsidP="004835F8">
      <w:pPr>
        <w:pStyle w:val="NormalPara"/>
        <w:rPr>
          <w:noProof/>
          <w:lang w:val="en-GB"/>
        </w:rPr>
      </w:pPr>
      <w:r w:rsidRPr="00881BC8">
        <w:rPr>
          <w:noProof/>
          <w:lang w:val="en-GB"/>
        </w:rPr>
        <w:t>So far, t</w:t>
      </w:r>
      <w:r w:rsidR="00C21616" w:rsidRPr="00881BC8">
        <w:rPr>
          <w:noProof/>
          <w:lang w:val="en-GB"/>
        </w:rPr>
        <w:t xml:space="preserve">he Commission’s </w:t>
      </w:r>
      <w:r w:rsidR="00ED585F" w:rsidRPr="00881BC8">
        <w:rPr>
          <w:noProof/>
          <w:lang w:val="en-GB"/>
        </w:rPr>
        <w:t>enforcement action</w:t>
      </w:r>
      <w:r w:rsidR="00C21616" w:rsidRPr="00881BC8">
        <w:rPr>
          <w:noProof/>
          <w:lang w:val="en-GB"/>
        </w:rPr>
        <w:t xml:space="preserve"> has </w:t>
      </w:r>
      <w:r w:rsidR="00A65FBE" w:rsidRPr="00881BC8">
        <w:rPr>
          <w:noProof/>
          <w:lang w:val="en-GB"/>
        </w:rPr>
        <w:t xml:space="preserve">been limited to </w:t>
      </w:r>
      <w:r w:rsidR="00C21616" w:rsidRPr="00881BC8">
        <w:rPr>
          <w:noProof/>
          <w:lang w:val="en-GB"/>
        </w:rPr>
        <w:t xml:space="preserve">infringement procedures </w:t>
      </w:r>
      <w:r w:rsidR="00A65FBE" w:rsidRPr="00881BC8">
        <w:rPr>
          <w:noProof/>
          <w:lang w:val="en-GB"/>
        </w:rPr>
        <w:t xml:space="preserve">against </w:t>
      </w:r>
      <w:r w:rsidR="00C21616" w:rsidRPr="00881BC8">
        <w:rPr>
          <w:noProof/>
          <w:lang w:val="en-GB"/>
        </w:rPr>
        <w:t xml:space="preserve">Member States, reporting on payment performance in the European Semester and making country specific recommendations. </w:t>
      </w:r>
      <w:r w:rsidR="00A65FBE" w:rsidRPr="00881BC8">
        <w:rPr>
          <w:noProof/>
          <w:lang w:val="en-GB"/>
        </w:rPr>
        <w:t xml:space="preserve">Several recent </w:t>
      </w:r>
      <w:r w:rsidR="00C21616" w:rsidRPr="00881BC8">
        <w:rPr>
          <w:noProof/>
          <w:lang w:val="en-GB"/>
        </w:rPr>
        <w:t xml:space="preserve">legal initiatives </w:t>
      </w:r>
      <w:r w:rsidR="00A65FBE" w:rsidRPr="00881BC8">
        <w:rPr>
          <w:noProof/>
          <w:lang w:val="en-GB"/>
        </w:rPr>
        <w:t xml:space="preserve">and ongoing projects may </w:t>
      </w:r>
      <w:r w:rsidRPr="00881BC8">
        <w:rPr>
          <w:noProof/>
          <w:lang w:val="en-GB"/>
        </w:rPr>
        <w:t xml:space="preserve">affect </w:t>
      </w:r>
      <w:r w:rsidR="00C21616" w:rsidRPr="00881BC8">
        <w:rPr>
          <w:noProof/>
          <w:lang w:val="en-GB"/>
        </w:rPr>
        <w:t xml:space="preserve">the issue of commercial payments. All of these are </w:t>
      </w:r>
      <w:r w:rsidR="00B609FB" w:rsidRPr="00881BC8">
        <w:rPr>
          <w:noProof/>
          <w:lang w:val="en-GB"/>
        </w:rPr>
        <w:t xml:space="preserve">assessed under </w:t>
      </w:r>
      <w:r w:rsidR="00C21616" w:rsidRPr="00881BC8">
        <w:rPr>
          <w:noProof/>
          <w:lang w:val="en-GB"/>
        </w:rPr>
        <w:t>the baseline.</w:t>
      </w:r>
    </w:p>
    <w:p w14:paraId="5E60B85D" w14:textId="3D570CB1" w:rsidR="001F2618" w:rsidRDefault="001F2618" w:rsidP="001F2618">
      <w:pPr>
        <w:pStyle w:val="NormalPara"/>
        <w:rPr>
          <w:noProof/>
        </w:rPr>
      </w:pPr>
      <w:r>
        <w:rPr>
          <w:noProof/>
        </w:rPr>
        <w:t>The current situation allows for different provisions in different Member States and therefore a risk of market fragmentation. For example, in some Member States the compensation interest stops accruing once its amount is equal to the amount of the underlying overdue payment</w:t>
      </w:r>
      <w:r w:rsidRPr="00B02BC1">
        <w:rPr>
          <w:noProof/>
        </w:rPr>
        <w:t xml:space="preserve">. </w:t>
      </w:r>
      <w:r w:rsidR="00AF7097" w:rsidRPr="00AF7097">
        <w:rPr>
          <w:noProof/>
        </w:rPr>
        <w:t xml:space="preserve">Furthermore, the LPD was not correctly transposed in several Member States, with currently still 2 active infringement procedures, due to non-conformity of legislation. </w:t>
      </w:r>
      <w:r>
        <w:rPr>
          <w:noProof/>
        </w:rPr>
        <w:t>This also makes it difficult for courts to deliver consistent judgments and for companies to evaluate their chances of success in the court. This is further aggravated in cross-border situations, when dealing with justice systems in other EU Member State(s) becomes necessary.</w:t>
      </w:r>
    </w:p>
    <w:p w14:paraId="40A1D889" w14:textId="10C83DA6" w:rsidR="001E4CF1" w:rsidRPr="00881BC8" w:rsidRDefault="004816B3" w:rsidP="004835F8">
      <w:pPr>
        <w:pStyle w:val="NormalPara"/>
        <w:rPr>
          <w:noProof/>
          <w:lang w:val="en-GB"/>
        </w:rPr>
      </w:pPr>
      <w:r w:rsidRPr="00881BC8">
        <w:rPr>
          <w:noProof/>
          <w:lang w:val="en-GB"/>
        </w:rPr>
        <w:t xml:space="preserve">Late payers who start paying on time would need to seek working capital financing. </w:t>
      </w:r>
      <w:r w:rsidR="00532348" w:rsidRPr="00881BC8">
        <w:rPr>
          <w:noProof/>
          <w:lang w:val="en-GB"/>
        </w:rPr>
        <w:t xml:space="preserve">This would entail a certain </w:t>
      </w:r>
      <w:r w:rsidR="00B609FB" w:rsidRPr="00881BC8">
        <w:rPr>
          <w:noProof/>
          <w:lang w:val="en-GB"/>
        </w:rPr>
        <w:t xml:space="preserve">adjustment process </w:t>
      </w:r>
      <w:r w:rsidR="00532348" w:rsidRPr="00881BC8">
        <w:rPr>
          <w:noProof/>
          <w:lang w:val="en-GB"/>
        </w:rPr>
        <w:t xml:space="preserve">of </w:t>
      </w:r>
      <w:r w:rsidR="003453C4" w:rsidRPr="00881BC8">
        <w:rPr>
          <w:noProof/>
          <w:lang w:val="en-GB"/>
        </w:rPr>
        <w:t xml:space="preserve">obtaining a </w:t>
      </w:r>
      <w:r w:rsidR="00532348" w:rsidRPr="00881BC8">
        <w:rPr>
          <w:noProof/>
          <w:lang w:val="en-GB"/>
        </w:rPr>
        <w:t xml:space="preserve">credit loan and the payment of the interest. </w:t>
      </w:r>
      <w:r w:rsidR="003453C4" w:rsidRPr="00881BC8">
        <w:rPr>
          <w:noProof/>
          <w:lang w:val="en-GB"/>
        </w:rPr>
        <w:t>The net financing cost for the debtor would likely go down</w:t>
      </w:r>
      <w:r w:rsidR="00997071" w:rsidRPr="00881BC8">
        <w:rPr>
          <w:rStyle w:val="FootnoteReference"/>
          <w:rFonts w:eastAsia="Times New Roman"/>
          <w:noProof/>
          <w:lang w:val="en-GB"/>
        </w:rPr>
        <w:footnoteReference w:id="67"/>
      </w:r>
      <w:r w:rsidR="003453C4" w:rsidRPr="00881BC8">
        <w:rPr>
          <w:noProof/>
          <w:lang w:val="en-GB"/>
        </w:rPr>
        <w:t xml:space="preserve">, but the cost of dealing with the bank would increase. </w:t>
      </w:r>
    </w:p>
    <w:p w14:paraId="6E1AFB15" w14:textId="01F12DF9" w:rsidR="00D1250A" w:rsidRPr="00881BC8" w:rsidRDefault="00D76288" w:rsidP="004835F8">
      <w:pPr>
        <w:pStyle w:val="NormalPara"/>
        <w:rPr>
          <w:noProof/>
          <w:lang w:val="en-GB"/>
        </w:rPr>
      </w:pPr>
      <w:bookmarkStart w:id="173" w:name="_Toc130395671"/>
      <w:bookmarkStart w:id="174" w:name="_Toc130403589"/>
      <w:bookmarkStart w:id="175" w:name="_Toc128566536"/>
      <w:bookmarkStart w:id="176" w:name="_Toc128594932"/>
      <w:bookmarkStart w:id="177" w:name="_Toc128678883"/>
      <w:bookmarkStart w:id="178" w:name="_Toc128935090"/>
      <w:bookmarkStart w:id="179" w:name="_Toc129710182"/>
      <w:bookmarkStart w:id="180" w:name="_Toc129899887"/>
      <w:bookmarkEnd w:id="173"/>
      <w:bookmarkEnd w:id="174"/>
      <w:r w:rsidRPr="00881BC8">
        <w:rPr>
          <w:noProof/>
          <w:lang w:val="en-GB"/>
        </w:rPr>
        <w:t>No</w:t>
      </w:r>
      <w:r w:rsidR="00231D89" w:rsidRPr="00881BC8">
        <w:rPr>
          <w:noProof/>
          <w:lang w:val="en-GB"/>
        </w:rPr>
        <w:t xml:space="preserve"> megatrends appl</w:t>
      </w:r>
      <w:r w:rsidR="0094136D" w:rsidRPr="00881BC8">
        <w:rPr>
          <w:noProof/>
          <w:lang w:val="en-GB"/>
        </w:rPr>
        <w:t>y</w:t>
      </w:r>
      <w:r w:rsidR="00231D89" w:rsidRPr="00881BC8">
        <w:rPr>
          <w:noProof/>
          <w:lang w:val="en-GB"/>
        </w:rPr>
        <w:t xml:space="preserve"> to the </w:t>
      </w:r>
      <w:r w:rsidRPr="00881BC8">
        <w:rPr>
          <w:noProof/>
          <w:lang w:val="en-GB"/>
        </w:rPr>
        <w:t xml:space="preserve">late payment </w:t>
      </w:r>
      <w:r w:rsidR="00231D89" w:rsidRPr="00881BC8">
        <w:rPr>
          <w:noProof/>
          <w:lang w:val="en-GB"/>
        </w:rPr>
        <w:t>problem</w:t>
      </w:r>
      <w:r w:rsidRPr="00881BC8">
        <w:rPr>
          <w:noProof/>
          <w:lang w:val="en-GB"/>
        </w:rPr>
        <w:t xml:space="preserve"> tackled by this initiative</w:t>
      </w:r>
      <w:r w:rsidRPr="00881BC8">
        <w:rPr>
          <w:rStyle w:val="FootnoteReference"/>
          <w:noProof/>
          <w:lang w:val="en-GB"/>
        </w:rPr>
        <w:footnoteReference w:id="68"/>
      </w:r>
      <w:r w:rsidRPr="00881BC8">
        <w:rPr>
          <w:noProof/>
          <w:lang w:val="en-GB"/>
        </w:rPr>
        <w:t>.</w:t>
      </w:r>
      <w:r w:rsidR="006F40FC" w:rsidRPr="00881BC8">
        <w:rPr>
          <w:noProof/>
          <w:lang w:val="en-GB"/>
        </w:rPr>
        <w:t xml:space="preserve"> The initiative will support developing a future-proof and agile EU regulatory framework, with the single market at its heart, </w:t>
      </w:r>
      <w:r w:rsidR="00050EF4" w:rsidRPr="00881BC8">
        <w:rPr>
          <w:noProof/>
          <w:lang w:val="en-GB"/>
        </w:rPr>
        <w:t xml:space="preserve">which </w:t>
      </w:r>
      <w:r w:rsidR="006F40FC" w:rsidRPr="00881BC8">
        <w:rPr>
          <w:noProof/>
          <w:lang w:val="en-GB"/>
        </w:rPr>
        <w:t>will be conducive to sustainable business models and consumption patterns</w:t>
      </w:r>
      <w:r w:rsidR="00050EF4" w:rsidRPr="00881BC8">
        <w:rPr>
          <w:noProof/>
          <w:lang w:val="en-GB"/>
        </w:rPr>
        <w:t xml:space="preserve"> and EU competitiveness, as identified in the strategic foresight report among areas of action for a successful twinning</w:t>
      </w:r>
      <w:r w:rsidR="00323373" w:rsidRPr="00881BC8">
        <w:rPr>
          <w:rStyle w:val="FootnoteReference"/>
          <w:noProof/>
          <w:lang w:val="en-GB"/>
        </w:rPr>
        <w:footnoteReference w:id="69"/>
      </w:r>
      <w:r w:rsidR="006F40FC" w:rsidRPr="00881BC8">
        <w:rPr>
          <w:noProof/>
          <w:lang w:val="en-GB"/>
        </w:rPr>
        <w:t>.</w:t>
      </w:r>
    </w:p>
    <w:p w14:paraId="2A27FABB" w14:textId="43F1D55D" w:rsidR="009003A3" w:rsidRPr="00881BC8" w:rsidRDefault="009003A3" w:rsidP="004835F8">
      <w:pPr>
        <w:pStyle w:val="Heading1"/>
        <w:rPr>
          <w:noProof/>
        </w:rPr>
      </w:pPr>
      <w:bookmarkStart w:id="181" w:name="_Toc135237392"/>
      <w:r w:rsidRPr="00881BC8">
        <w:rPr>
          <w:noProof/>
        </w:rPr>
        <w:t xml:space="preserve">Why should the EU </w:t>
      </w:r>
      <w:r w:rsidR="009F7759" w:rsidRPr="00881BC8">
        <w:rPr>
          <w:noProof/>
        </w:rPr>
        <w:t>a</w:t>
      </w:r>
      <w:r w:rsidRPr="00881BC8">
        <w:rPr>
          <w:noProof/>
        </w:rPr>
        <w:t>ct?</w:t>
      </w:r>
      <w:bookmarkEnd w:id="175"/>
      <w:bookmarkEnd w:id="176"/>
      <w:bookmarkEnd w:id="177"/>
      <w:bookmarkEnd w:id="178"/>
      <w:bookmarkEnd w:id="179"/>
      <w:bookmarkEnd w:id="180"/>
      <w:bookmarkEnd w:id="181"/>
      <w:r w:rsidR="00B44D43" w:rsidRPr="00881BC8">
        <w:rPr>
          <w:noProof/>
        </w:rPr>
        <w:t xml:space="preserve"> </w:t>
      </w:r>
    </w:p>
    <w:p w14:paraId="5FCC91A0" w14:textId="30DDB587" w:rsidR="0EE9246C" w:rsidRPr="00881BC8" w:rsidRDefault="181EC65B" w:rsidP="004835F8">
      <w:pPr>
        <w:pStyle w:val="Heading2"/>
        <w:rPr>
          <w:noProof/>
        </w:rPr>
      </w:pPr>
      <w:bookmarkStart w:id="182" w:name="_Toc128594933"/>
      <w:bookmarkStart w:id="183" w:name="_Toc128678884"/>
      <w:bookmarkStart w:id="184" w:name="_Toc128935091"/>
      <w:bookmarkStart w:id="185" w:name="_Toc129710183"/>
      <w:bookmarkStart w:id="186" w:name="_Toc129899888"/>
      <w:bookmarkStart w:id="187" w:name="_Toc135237393"/>
      <w:r w:rsidRPr="00881BC8">
        <w:rPr>
          <w:noProof/>
        </w:rPr>
        <w:t>Legal basis</w:t>
      </w:r>
      <w:bookmarkEnd w:id="182"/>
      <w:bookmarkEnd w:id="183"/>
      <w:bookmarkEnd w:id="184"/>
      <w:bookmarkEnd w:id="185"/>
      <w:bookmarkEnd w:id="186"/>
      <w:bookmarkEnd w:id="187"/>
    </w:p>
    <w:p w14:paraId="23BC007E" w14:textId="263AD43A" w:rsidR="00005F9F" w:rsidRPr="00881BC8" w:rsidRDefault="28C5BFF5" w:rsidP="004835F8">
      <w:pPr>
        <w:pStyle w:val="NormalPara"/>
        <w:rPr>
          <w:noProof/>
          <w:lang w:val="en-GB"/>
        </w:rPr>
      </w:pPr>
      <w:r w:rsidRPr="00881BC8">
        <w:rPr>
          <w:noProof/>
          <w:lang w:val="en-GB"/>
        </w:rPr>
        <w:t xml:space="preserve">This initiative aims to enhance competitiveness in </w:t>
      </w:r>
      <w:r w:rsidR="00005F9F" w:rsidRPr="00881BC8">
        <w:rPr>
          <w:noProof/>
          <w:lang w:val="en-GB"/>
        </w:rPr>
        <w:t xml:space="preserve">the </w:t>
      </w:r>
      <w:r w:rsidR="00430695" w:rsidRPr="00881BC8">
        <w:rPr>
          <w:noProof/>
          <w:lang w:val="en-GB"/>
        </w:rPr>
        <w:t xml:space="preserve">single market </w:t>
      </w:r>
      <w:r w:rsidRPr="00881BC8">
        <w:rPr>
          <w:noProof/>
          <w:lang w:val="en-GB"/>
        </w:rPr>
        <w:t>by reinforcing the provisions to prevent late payments</w:t>
      </w:r>
      <w:r w:rsidR="53A8BD82" w:rsidRPr="00881BC8">
        <w:rPr>
          <w:noProof/>
          <w:lang w:val="en-GB"/>
        </w:rPr>
        <w:t xml:space="preserve">, thereby creating a culture of prompt payment. </w:t>
      </w:r>
    </w:p>
    <w:p w14:paraId="38DD826F" w14:textId="2238389B" w:rsidR="00D332A7" w:rsidRPr="00881BC8" w:rsidRDefault="00D332A7" w:rsidP="004835F8">
      <w:pPr>
        <w:pStyle w:val="NormalPara"/>
        <w:rPr>
          <w:noProof/>
          <w:lang w:val="en-GB"/>
        </w:rPr>
      </w:pPr>
      <w:r w:rsidRPr="00881BC8">
        <w:rPr>
          <w:noProof/>
          <w:lang w:val="en-GB"/>
        </w:rPr>
        <w:t>Article 114 of the Treaty on the Functioning of the EU (TFEU) is the appropriate legal basis for this initiative to achieve its objectives. This article is the appropriate legal basis for measures aimed at achieving the objectives set out in Article 26 TFEU (</w:t>
      </w:r>
      <w:r w:rsidR="009F7132" w:rsidRPr="00881BC8">
        <w:rPr>
          <w:noProof/>
          <w:lang w:val="en-GB"/>
        </w:rPr>
        <w:t>harmonising national provisions</w:t>
      </w:r>
      <w:r w:rsidRPr="00881BC8">
        <w:rPr>
          <w:noProof/>
          <w:lang w:val="en-GB"/>
        </w:rPr>
        <w:t xml:space="preserve">). </w:t>
      </w:r>
    </w:p>
    <w:p w14:paraId="3C4F49F7" w14:textId="3397AE0D" w:rsidR="5F0DF4F9" w:rsidRPr="00881BC8" w:rsidRDefault="5F0DF4F9" w:rsidP="004835F8">
      <w:pPr>
        <w:pStyle w:val="NormalPara"/>
        <w:rPr>
          <w:noProof/>
          <w:lang w:val="en-GB"/>
        </w:rPr>
      </w:pPr>
      <w:r w:rsidRPr="00881BC8">
        <w:rPr>
          <w:noProof/>
          <w:lang w:val="en-GB"/>
        </w:rPr>
        <w:t xml:space="preserve">The overall objective of this legislative proposal is to ensure the smooth functioning of the EU single market by </w:t>
      </w:r>
      <w:r w:rsidR="00D332A7" w:rsidRPr="00881BC8">
        <w:rPr>
          <w:noProof/>
          <w:lang w:val="en-GB"/>
        </w:rPr>
        <w:t xml:space="preserve">combating </w:t>
      </w:r>
      <w:r w:rsidR="00BC1348" w:rsidRPr="00881BC8">
        <w:rPr>
          <w:noProof/>
          <w:lang w:val="en-GB"/>
        </w:rPr>
        <w:t>the</w:t>
      </w:r>
      <w:r w:rsidR="00D332A7" w:rsidRPr="00881BC8">
        <w:rPr>
          <w:noProof/>
          <w:lang w:val="en-GB"/>
        </w:rPr>
        <w:t xml:space="preserve"> unlawful misappropriation</w:t>
      </w:r>
      <w:r w:rsidR="00BC1348" w:rsidRPr="00881BC8">
        <w:rPr>
          <w:noProof/>
          <w:lang w:val="en-GB"/>
        </w:rPr>
        <w:t xml:space="preserve"> of liquidity in the EU market</w:t>
      </w:r>
      <w:r w:rsidRPr="00881BC8">
        <w:rPr>
          <w:noProof/>
          <w:lang w:val="en-GB"/>
        </w:rPr>
        <w:t xml:space="preserve">. There is a strong value added of action at EU level because the problems that this proposal tackles </w:t>
      </w:r>
      <w:r w:rsidR="00BB470D" w:rsidRPr="00881BC8">
        <w:rPr>
          <w:noProof/>
          <w:lang w:val="en-GB"/>
        </w:rPr>
        <w:t xml:space="preserve">affect cross-border transactions and </w:t>
      </w:r>
      <w:r w:rsidRPr="00881BC8">
        <w:rPr>
          <w:noProof/>
          <w:lang w:val="en-GB"/>
        </w:rPr>
        <w:t xml:space="preserve">are not limited to the territory of </w:t>
      </w:r>
      <w:r w:rsidR="00BB470D" w:rsidRPr="00881BC8">
        <w:rPr>
          <w:noProof/>
          <w:lang w:val="en-GB"/>
        </w:rPr>
        <w:t xml:space="preserve">a single </w:t>
      </w:r>
      <w:r w:rsidRPr="00881BC8">
        <w:rPr>
          <w:noProof/>
          <w:lang w:val="en-GB"/>
        </w:rPr>
        <w:t>Member State</w:t>
      </w:r>
      <w:r w:rsidR="00BB470D" w:rsidRPr="00881BC8">
        <w:rPr>
          <w:noProof/>
          <w:lang w:val="en-GB"/>
        </w:rPr>
        <w:t xml:space="preserve">. </w:t>
      </w:r>
      <w:r w:rsidRPr="00881BC8">
        <w:rPr>
          <w:noProof/>
          <w:lang w:val="en-GB"/>
        </w:rPr>
        <w:t xml:space="preserve">Member States on their own could not bring about </w:t>
      </w:r>
      <w:r w:rsidR="00BB470D" w:rsidRPr="00881BC8">
        <w:rPr>
          <w:noProof/>
          <w:lang w:val="en-GB"/>
        </w:rPr>
        <w:t>a consistent</w:t>
      </w:r>
      <w:r w:rsidRPr="00881BC8">
        <w:rPr>
          <w:noProof/>
          <w:lang w:val="en-GB"/>
        </w:rPr>
        <w:t xml:space="preserve"> improvement to those problems. </w:t>
      </w:r>
      <w:r w:rsidR="00132305" w:rsidRPr="00881BC8">
        <w:rPr>
          <w:noProof/>
          <w:lang w:val="en-GB"/>
        </w:rPr>
        <w:t>The revision also aims at boosting sustainable competitiveness, increasing both fairness and liquidity in the single market, enabling the digital and twin transition while reducing the administrative burden of chasing debtors.</w:t>
      </w:r>
    </w:p>
    <w:p w14:paraId="1E4C8270" w14:textId="74516BA4" w:rsidR="5F0DF4F9" w:rsidRPr="00881BC8" w:rsidRDefault="3516F82E" w:rsidP="004835F8">
      <w:pPr>
        <w:pStyle w:val="NormalPara"/>
        <w:rPr>
          <w:noProof/>
          <w:lang w:val="en-GB"/>
        </w:rPr>
      </w:pPr>
      <w:r w:rsidRPr="00881BC8">
        <w:rPr>
          <w:noProof/>
          <w:lang w:val="en-GB"/>
        </w:rPr>
        <w:t>C</w:t>
      </w:r>
      <w:r w:rsidR="7B6CEA84" w:rsidRPr="00881BC8">
        <w:rPr>
          <w:noProof/>
          <w:lang w:val="en-GB"/>
        </w:rPr>
        <w:t>oordinated</w:t>
      </w:r>
      <w:r w:rsidR="5F0DF4F9" w:rsidRPr="00881BC8">
        <w:rPr>
          <w:noProof/>
          <w:lang w:val="en-GB"/>
        </w:rPr>
        <w:t xml:space="preserve"> action is required to ensure that all Member States</w:t>
      </w:r>
      <w:r w:rsidR="10A60FD7" w:rsidRPr="00881BC8">
        <w:rPr>
          <w:noProof/>
          <w:lang w:val="en-GB"/>
        </w:rPr>
        <w:t xml:space="preserve"> have the minimum rules in place to prevent late payments, have the right enforcement and deterrent measures to combat late payments and the adequate means of redress.</w:t>
      </w:r>
      <w:r w:rsidR="5F0DF4F9" w:rsidRPr="00881BC8">
        <w:rPr>
          <w:noProof/>
          <w:color w:val="000000" w:themeColor="text1"/>
          <w:lang w:val="en-GB"/>
        </w:rPr>
        <w:t xml:space="preserve"> In this context, the targeted EU intervention through this proposal complies with the principle of subsidiarity.</w:t>
      </w:r>
      <w:r w:rsidR="7B697EEC" w:rsidRPr="00881BC8">
        <w:rPr>
          <w:noProof/>
          <w:lang w:val="en-GB"/>
        </w:rPr>
        <w:t xml:space="preserve"> </w:t>
      </w:r>
    </w:p>
    <w:p w14:paraId="6FA43932" w14:textId="058E32D3" w:rsidR="5F0DF4F9" w:rsidRPr="00881BC8" w:rsidRDefault="00230436" w:rsidP="004835F8">
      <w:pPr>
        <w:pStyle w:val="NormalPara"/>
        <w:rPr>
          <w:noProof/>
          <w:lang w:val="en-GB"/>
        </w:rPr>
      </w:pPr>
      <w:r w:rsidRPr="00881BC8">
        <w:rPr>
          <w:noProof/>
          <w:lang w:val="en-GB"/>
        </w:rPr>
        <w:t>The LPD</w:t>
      </w:r>
      <w:r w:rsidR="7B697EEC" w:rsidRPr="00881BC8">
        <w:rPr>
          <w:noProof/>
          <w:lang w:val="en-GB"/>
        </w:rPr>
        <w:t xml:space="preserve"> is a recast of the first Late Payment Directive (Directive 2000/35/EC), based on Article 95 TEC. The </w:t>
      </w:r>
      <w:r w:rsidRPr="00881BC8">
        <w:rPr>
          <w:noProof/>
          <w:lang w:val="en-GB"/>
        </w:rPr>
        <w:t xml:space="preserve">LPD </w:t>
      </w:r>
      <w:r w:rsidR="7B697EEC" w:rsidRPr="00881BC8">
        <w:rPr>
          <w:noProof/>
          <w:lang w:val="en-GB"/>
        </w:rPr>
        <w:t>and its revision fall within the joint remit (‘shared competence’) of the EU and its member governments.</w:t>
      </w:r>
    </w:p>
    <w:p w14:paraId="3F6361E1" w14:textId="76E68CAE" w:rsidR="006B087E" w:rsidRPr="00881BC8" w:rsidRDefault="0CE0488F" w:rsidP="004835F8">
      <w:pPr>
        <w:pStyle w:val="Heading2"/>
        <w:rPr>
          <w:rFonts w:eastAsia="@Yu Mincho Light"/>
          <w:noProof/>
        </w:rPr>
      </w:pPr>
      <w:bookmarkStart w:id="188" w:name="_Toc130395674"/>
      <w:bookmarkStart w:id="189" w:name="_Toc130403592"/>
      <w:bookmarkStart w:id="190" w:name="_Toc128594934"/>
      <w:bookmarkStart w:id="191" w:name="_Toc128678885"/>
      <w:bookmarkStart w:id="192" w:name="_Toc128935092"/>
      <w:bookmarkStart w:id="193" w:name="_Toc129710184"/>
      <w:bookmarkStart w:id="194" w:name="_Toc129899889"/>
      <w:bookmarkStart w:id="195" w:name="_Toc135237394"/>
      <w:bookmarkEnd w:id="188"/>
      <w:bookmarkEnd w:id="189"/>
      <w:r w:rsidRPr="00881BC8">
        <w:rPr>
          <w:noProof/>
        </w:rPr>
        <w:t xml:space="preserve">Subsidiarity: </w:t>
      </w:r>
      <w:r w:rsidR="00D332A7" w:rsidRPr="00881BC8">
        <w:rPr>
          <w:noProof/>
        </w:rPr>
        <w:t>n</w:t>
      </w:r>
      <w:r w:rsidRPr="00881BC8">
        <w:rPr>
          <w:noProof/>
        </w:rPr>
        <w:t>ecessity of EU action</w:t>
      </w:r>
      <w:bookmarkEnd w:id="190"/>
      <w:bookmarkEnd w:id="191"/>
      <w:bookmarkEnd w:id="192"/>
      <w:bookmarkEnd w:id="193"/>
      <w:bookmarkEnd w:id="194"/>
      <w:bookmarkEnd w:id="195"/>
    </w:p>
    <w:p w14:paraId="3411B93C" w14:textId="081A2B6D" w:rsidR="573C829C" w:rsidRPr="00881BC8" w:rsidRDefault="71345081" w:rsidP="004835F8">
      <w:pPr>
        <w:pStyle w:val="NormalPara"/>
        <w:rPr>
          <w:noProof/>
          <w:lang w:val="en-GB"/>
        </w:rPr>
      </w:pPr>
      <w:r w:rsidRPr="00881BC8">
        <w:rPr>
          <w:noProof/>
          <w:lang w:val="en-GB"/>
        </w:rPr>
        <w:t xml:space="preserve">The </w:t>
      </w:r>
      <w:r w:rsidR="00230436" w:rsidRPr="00881BC8">
        <w:rPr>
          <w:noProof/>
          <w:lang w:val="en-GB"/>
        </w:rPr>
        <w:t>‘</w:t>
      </w:r>
      <w:r w:rsidRPr="00881BC8">
        <w:rPr>
          <w:noProof/>
          <w:lang w:val="en-GB"/>
        </w:rPr>
        <w:t>history</w:t>
      </w:r>
      <w:r w:rsidR="00230436" w:rsidRPr="00881BC8">
        <w:rPr>
          <w:noProof/>
          <w:lang w:val="en-GB"/>
        </w:rPr>
        <w:t>’</w:t>
      </w:r>
      <w:r w:rsidRPr="00881BC8">
        <w:rPr>
          <w:noProof/>
          <w:lang w:val="en-GB"/>
        </w:rPr>
        <w:t xml:space="preserve"> behind the adoption of the current and previous Directive (see </w:t>
      </w:r>
      <w:r w:rsidR="00230436" w:rsidRPr="00881BC8">
        <w:rPr>
          <w:noProof/>
          <w:lang w:val="en-GB"/>
        </w:rPr>
        <w:fldChar w:fldCharType="begin"/>
      </w:r>
      <w:r w:rsidR="00230436" w:rsidRPr="00881BC8">
        <w:rPr>
          <w:noProof/>
          <w:lang w:val="en-GB"/>
        </w:rPr>
        <w:instrText xml:space="preserve"> REF Annex06 \h </w:instrText>
      </w:r>
      <w:r w:rsidR="00230436" w:rsidRPr="00881BC8">
        <w:rPr>
          <w:noProof/>
          <w:lang w:val="en-GB"/>
        </w:rPr>
      </w:r>
      <w:r w:rsidR="00230436" w:rsidRPr="00881BC8">
        <w:rPr>
          <w:noProof/>
          <w:lang w:val="en-GB"/>
        </w:rPr>
        <w:fldChar w:fldCharType="separate"/>
      </w:r>
      <w:r w:rsidR="005851F4" w:rsidRPr="00881BC8">
        <w:rPr>
          <w:noProof/>
        </w:rPr>
        <w:t>Annex 6</w:t>
      </w:r>
      <w:r w:rsidR="00230436" w:rsidRPr="00881BC8">
        <w:rPr>
          <w:noProof/>
          <w:lang w:val="en-GB"/>
        </w:rPr>
        <w:fldChar w:fldCharType="end"/>
      </w:r>
      <w:r w:rsidR="00B403D1" w:rsidRPr="00881BC8">
        <w:rPr>
          <w:noProof/>
          <w:lang w:val="en-GB"/>
        </w:rPr>
        <w:t>) illustrates</w:t>
      </w:r>
      <w:r w:rsidRPr="00881BC8">
        <w:rPr>
          <w:noProof/>
          <w:lang w:val="en-GB"/>
        </w:rPr>
        <w:t xml:space="preserve"> that </w:t>
      </w:r>
      <w:r w:rsidR="0919EE52" w:rsidRPr="00881BC8">
        <w:rPr>
          <w:noProof/>
          <w:lang w:val="en-GB"/>
        </w:rPr>
        <w:t xml:space="preserve">the </w:t>
      </w:r>
      <w:r w:rsidR="00B403D1" w:rsidRPr="00881BC8">
        <w:rPr>
          <w:noProof/>
          <w:lang w:val="en-GB"/>
        </w:rPr>
        <w:t>need of EU</w:t>
      </w:r>
      <w:r w:rsidR="27396B76" w:rsidRPr="00881BC8">
        <w:rPr>
          <w:noProof/>
          <w:lang w:val="en-GB"/>
        </w:rPr>
        <w:t xml:space="preserve"> action </w:t>
      </w:r>
      <w:r w:rsidR="00BE21E3" w:rsidRPr="00881BC8">
        <w:rPr>
          <w:noProof/>
          <w:lang w:val="en-GB"/>
        </w:rPr>
        <w:t xml:space="preserve">against </w:t>
      </w:r>
      <w:r w:rsidR="00B403D1" w:rsidRPr="00881BC8">
        <w:rPr>
          <w:noProof/>
          <w:lang w:val="en-GB"/>
        </w:rPr>
        <w:t xml:space="preserve">late payments </w:t>
      </w:r>
      <w:r w:rsidR="00BE21E3" w:rsidRPr="00881BC8">
        <w:rPr>
          <w:noProof/>
          <w:lang w:val="en-GB"/>
        </w:rPr>
        <w:t xml:space="preserve">has been </w:t>
      </w:r>
      <w:r w:rsidR="00B403D1" w:rsidRPr="00881BC8">
        <w:rPr>
          <w:noProof/>
          <w:lang w:val="en-GB"/>
        </w:rPr>
        <w:t xml:space="preserve">evident </w:t>
      </w:r>
      <w:r w:rsidR="00BE21E3" w:rsidRPr="00881BC8">
        <w:rPr>
          <w:noProof/>
          <w:lang w:val="en-GB"/>
        </w:rPr>
        <w:t xml:space="preserve">since </w:t>
      </w:r>
      <w:r w:rsidR="193B6F19" w:rsidRPr="00881BC8">
        <w:rPr>
          <w:noProof/>
          <w:lang w:val="en-GB"/>
        </w:rPr>
        <w:t xml:space="preserve">1995. </w:t>
      </w:r>
    </w:p>
    <w:p w14:paraId="2F9E2C60" w14:textId="2F14CED9" w:rsidR="573C829C" w:rsidRPr="00881BC8" w:rsidRDefault="3A9FB2E2" w:rsidP="004835F8">
      <w:pPr>
        <w:pStyle w:val="NormalPara"/>
        <w:rPr>
          <w:noProof/>
          <w:lang w:val="en-GB"/>
        </w:rPr>
      </w:pPr>
      <w:r w:rsidRPr="00881BC8">
        <w:rPr>
          <w:noProof/>
          <w:lang w:val="en-GB"/>
        </w:rPr>
        <w:t xml:space="preserve">The problem of late payments </w:t>
      </w:r>
      <w:r w:rsidR="00C858B8" w:rsidRPr="00881BC8">
        <w:rPr>
          <w:noProof/>
          <w:lang w:val="en-GB"/>
        </w:rPr>
        <w:t xml:space="preserve">is widespread across the EU and </w:t>
      </w:r>
      <w:r w:rsidRPr="00881BC8">
        <w:rPr>
          <w:noProof/>
          <w:lang w:val="en-GB"/>
        </w:rPr>
        <w:t xml:space="preserve">affects all Member States. The causes of </w:t>
      </w:r>
      <w:r w:rsidR="00495F9C" w:rsidRPr="00881BC8">
        <w:rPr>
          <w:noProof/>
          <w:lang w:val="en-GB"/>
        </w:rPr>
        <w:t>the</w:t>
      </w:r>
      <w:r w:rsidRPr="00881BC8">
        <w:rPr>
          <w:noProof/>
          <w:lang w:val="en-GB"/>
        </w:rPr>
        <w:t xml:space="preserve"> problem are common in all EU Member State</w:t>
      </w:r>
      <w:r w:rsidR="00BC1348" w:rsidRPr="00881BC8">
        <w:rPr>
          <w:noProof/>
          <w:lang w:val="en-GB"/>
        </w:rPr>
        <w:t>s</w:t>
      </w:r>
      <w:r w:rsidRPr="00881BC8">
        <w:rPr>
          <w:noProof/>
          <w:lang w:val="en-GB"/>
        </w:rPr>
        <w:t>.</w:t>
      </w:r>
      <w:r w:rsidR="00374E28" w:rsidRPr="00881BC8">
        <w:rPr>
          <w:noProof/>
          <w:lang w:val="en-GB"/>
        </w:rPr>
        <w:t xml:space="preserve"> </w:t>
      </w:r>
      <w:r w:rsidR="00EB32BC" w:rsidRPr="00881BC8">
        <w:rPr>
          <w:noProof/>
          <w:lang w:val="en-GB"/>
        </w:rPr>
        <w:t xml:space="preserve">Facilitating prompt payment will require all Member States to make </w:t>
      </w:r>
      <w:r w:rsidR="00495F9C" w:rsidRPr="00881BC8">
        <w:rPr>
          <w:noProof/>
          <w:lang w:val="en-GB"/>
        </w:rPr>
        <w:t xml:space="preserve">rules </w:t>
      </w:r>
      <w:r w:rsidR="71E3EA3A" w:rsidRPr="00881BC8">
        <w:rPr>
          <w:noProof/>
          <w:lang w:val="en-GB"/>
        </w:rPr>
        <w:t>strict</w:t>
      </w:r>
      <w:r w:rsidR="00495F9C" w:rsidRPr="00881BC8">
        <w:rPr>
          <w:noProof/>
          <w:lang w:val="en-GB"/>
        </w:rPr>
        <w:t>er</w:t>
      </w:r>
      <w:r w:rsidR="00EB32BC" w:rsidRPr="00881BC8">
        <w:rPr>
          <w:noProof/>
          <w:lang w:val="en-GB"/>
        </w:rPr>
        <w:t xml:space="preserve"> in a </w:t>
      </w:r>
      <w:r w:rsidR="71E3EA3A" w:rsidRPr="00881BC8">
        <w:rPr>
          <w:noProof/>
          <w:lang w:val="en-GB"/>
        </w:rPr>
        <w:t>coordinate</w:t>
      </w:r>
      <w:r w:rsidR="43009B93" w:rsidRPr="00881BC8">
        <w:rPr>
          <w:noProof/>
          <w:lang w:val="en-GB"/>
        </w:rPr>
        <w:t>d</w:t>
      </w:r>
      <w:r w:rsidR="71E3EA3A" w:rsidRPr="00881BC8">
        <w:rPr>
          <w:noProof/>
          <w:lang w:val="en-GB"/>
        </w:rPr>
        <w:t xml:space="preserve"> </w:t>
      </w:r>
      <w:r w:rsidR="00EB32BC" w:rsidRPr="00881BC8">
        <w:rPr>
          <w:noProof/>
          <w:lang w:val="en-GB"/>
        </w:rPr>
        <w:t>way</w:t>
      </w:r>
      <w:r w:rsidR="4FCF9BC3" w:rsidRPr="00881BC8">
        <w:rPr>
          <w:noProof/>
          <w:lang w:val="en-GB"/>
        </w:rPr>
        <w:t xml:space="preserve">. </w:t>
      </w:r>
      <w:r w:rsidR="00EB32BC" w:rsidRPr="00881BC8">
        <w:rPr>
          <w:noProof/>
          <w:lang w:val="en-GB"/>
        </w:rPr>
        <w:t xml:space="preserve">Implementing 27 national solutions would likely result in a lack of uniform rules, fragmentation of the single market and higher cost for companies trading across borders. </w:t>
      </w:r>
      <w:r w:rsidR="00B043C6" w:rsidRPr="00881BC8">
        <w:rPr>
          <w:noProof/>
          <w:lang w:val="en-GB"/>
        </w:rPr>
        <w:t xml:space="preserve">The EU dimension is justified by the fact that this action affects all commercial transactions in public procurement and between businesses, regardless of their size. It is the very essence of the single market. </w:t>
      </w:r>
      <w:r w:rsidR="4FCF9BC3" w:rsidRPr="00881BC8">
        <w:rPr>
          <w:noProof/>
          <w:lang w:val="en-GB"/>
        </w:rPr>
        <w:t xml:space="preserve">This action concerns the revision of existing EU </w:t>
      </w:r>
      <w:r w:rsidR="15914FBC" w:rsidRPr="00881BC8">
        <w:rPr>
          <w:noProof/>
          <w:lang w:val="en-GB"/>
        </w:rPr>
        <w:t>legislation</w:t>
      </w:r>
      <w:r w:rsidR="00253F93" w:rsidRPr="00881BC8">
        <w:rPr>
          <w:noProof/>
          <w:lang w:val="en-GB"/>
        </w:rPr>
        <w:t xml:space="preserve"> in order to strengthen its provisions</w:t>
      </w:r>
      <w:r w:rsidR="15914FBC" w:rsidRPr="00881BC8">
        <w:rPr>
          <w:noProof/>
          <w:lang w:val="en-GB"/>
        </w:rPr>
        <w:t>;</w:t>
      </w:r>
      <w:r w:rsidR="4FCF9BC3" w:rsidRPr="00881BC8">
        <w:rPr>
          <w:noProof/>
          <w:lang w:val="en-GB"/>
        </w:rPr>
        <w:t xml:space="preserve"> therefore</w:t>
      </w:r>
      <w:r w:rsidR="547E7D8F" w:rsidRPr="00881BC8">
        <w:rPr>
          <w:noProof/>
          <w:lang w:val="en-GB"/>
        </w:rPr>
        <w:t>,</w:t>
      </w:r>
      <w:r w:rsidR="4FCF9BC3" w:rsidRPr="00881BC8">
        <w:rPr>
          <w:noProof/>
          <w:lang w:val="en-GB"/>
        </w:rPr>
        <w:t xml:space="preserve"> it can be done only at EU level. </w:t>
      </w:r>
    </w:p>
    <w:p w14:paraId="3DF5CA58" w14:textId="4CCB3445" w:rsidR="00494B18" w:rsidRPr="00881BC8" w:rsidRDefault="00494B18" w:rsidP="004835F8">
      <w:pPr>
        <w:pStyle w:val="NormalPara"/>
        <w:rPr>
          <w:noProof/>
          <w:lang w:val="en-GB"/>
        </w:rPr>
      </w:pPr>
      <w:r w:rsidRPr="00881BC8">
        <w:rPr>
          <w:noProof/>
          <w:lang w:val="en-GB"/>
        </w:rPr>
        <w:t xml:space="preserve">Some EU countries have introduced national rules that are more stringent than the </w:t>
      </w:r>
      <w:r w:rsidR="00F60736" w:rsidRPr="00881BC8">
        <w:rPr>
          <w:noProof/>
          <w:lang w:val="en-GB"/>
        </w:rPr>
        <w:t xml:space="preserve">LPD </w:t>
      </w:r>
      <w:r w:rsidRPr="00881BC8">
        <w:rPr>
          <w:noProof/>
          <w:lang w:val="en-GB"/>
        </w:rPr>
        <w:t xml:space="preserve">and grant better protection to SMEs – for example capping payment terms in B2B transactions at </w:t>
      </w:r>
      <w:r w:rsidR="005E2396" w:rsidRPr="00881BC8">
        <w:rPr>
          <w:noProof/>
          <w:lang w:val="en-GB"/>
        </w:rPr>
        <w:t>3</w:t>
      </w:r>
      <w:r w:rsidRPr="00881BC8">
        <w:rPr>
          <w:noProof/>
          <w:lang w:val="en-GB"/>
        </w:rPr>
        <w:t>0 days when the creditor is a</w:t>
      </w:r>
      <w:r w:rsidR="00C13888" w:rsidRPr="00881BC8">
        <w:rPr>
          <w:noProof/>
          <w:lang w:val="en-GB"/>
        </w:rPr>
        <w:t>n</w:t>
      </w:r>
      <w:r w:rsidRPr="00881BC8">
        <w:rPr>
          <w:noProof/>
          <w:lang w:val="en-GB"/>
        </w:rPr>
        <w:t xml:space="preserve"> SME or setting up enforc</w:t>
      </w:r>
      <w:r w:rsidR="00F60736" w:rsidRPr="00881BC8">
        <w:rPr>
          <w:noProof/>
          <w:lang w:val="en-GB"/>
        </w:rPr>
        <w:t>ement</w:t>
      </w:r>
      <w:r w:rsidRPr="00881BC8">
        <w:rPr>
          <w:noProof/>
          <w:lang w:val="en-GB"/>
        </w:rPr>
        <w:t xml:space="preserve"> bodies. At the same time, some national legislations have introduced a ban on assigning receivables</w:t>
      </w:r>
      <w:r w:rsidR="0CE942FE" w:rsidRPr="00881BC8">
        <w:rPr>
          <w:noProof/>
          <w:lang w:val="en-GB"/>
        </w:rPr>
        <w:t xml:space="preserve">, </w:t>
      </w:r>
      <w:r w:rsidR="3D451327" w:rsidRPr="00881BC8">
        <w:rPr>
          <w:noProof/>
          <w:lang w:val="en-GB"/>
        </w:rPr>
        <w:t>thereby prohibiting the restriction</w:t>
      </w:r>
      <w:r w:rsidRPr="00881BC8">
        <w:rPr>
          <w:noProof/>
          <w:lang w:val="en-GB"/>
        </w:rPr>
        <w:t xml:space="preserve"> on the </w:t>
      </w:r>
      <w:r w:rsidR="3D451327" w:rsidRPr="00881BC8">
        <w:rPr>
          <w:noProof/>
          <w:lang w:val="en-GB"/>
        </w:rPr>
        <w:t>parties’ ability to assign or transfer rights that helps</w:t>
      </w:r>
      <w:r w:rsidR="14DB2C86" w:rsidRPr="00881BC8">
        <w:rPr>
          <w:noProof/>
          <w:lang w:val="en-GB"/>
        </w:rPr>
        <w:t xml:space="preserve"> </w:t>
      </w:r>
      <w:r w:rsidR="04D7FD97" w:rsidRPr="00881BC8">
        <w:rPr>
          <w:noProof/>
          <w:lang w:val="en-GB"/>
        </w:rPr>
        <w:t xml:space="preserve">getting </w:t>
      </w:r>
      <w:r w:rsidR="14DB2C86" w:rsidRPr="00881BC8">
        <w:rPr>
          <w:noProof/>
          <w:lang w:val="en-GB"/>
        </w:rPr>
        <w:t>finance.</w:t>
      </w:r>
      <w:r w:rsidR="30FD62B6" w:rsidRPr="00881BC8">
        <w:rPr>
          <w:noProof/>
          <w:lang w:val="en-GB"/>
        </w:rPr>
        <w:t xml:space="preserve"> </w:t>
      </w:r>
      <w:r w:rsidRPr="00881BC8">
        <w:rPr>
          <w:noProof/>
          <w:lang w:val="en-GB"/>
        </w:rPr>
        <w:t xml:space="preserve">To avoid fragmentation of the single market, it is necessary to ensure homogenous implementation and enforcement of the rules. </w:t>
      </w:r>
    </w:p>
    <w:p w14:paraId="51556B48" w14:textId="53B1E8E4" w:rsidR="3922FAEC" w:rsidRPr="00881BC8" w:rsidRDefault="5D44DA93" w:rsidP="004835F8">
      <w:pPr>
        <w:pStyle w:val="NormalPara"/>
        <w:rPr>
          <w:noProof/>
          <w:lang w:val="en-GB"/>
        </w:rPr>
      </w:pPr>
      <w:r w:rsidRPr="00881BC8">
        <w:rPr>
          <w:noProof/>
          <w:lang w:val="en-GB"/>
        </w:rPr>
        <w:t xml:space="preserve">Similarly, co-ordinated action is required </w:t>
      </w:r>
      <w:r w:rsidR="03652A15" w:rsidRPr="00881BC8">
        <w:rPr>
          <w:noProof/>
          <w:lang w:val="en-GB"/>
        </w:rPr>
        <w:t xml:space="preserve">to tackle the asymmetry of power and asymmetry of information, as well as means of redress across Member States. </w:t>
      </w:r>
    </w:p>
    <w:p w14:paraId="746AF113" w14:textId="1499F567" w:rsidR="72A1C514" w:rsidRPr="00881BC8" w:rsidRDefault="38F601B4" w:rsidP="004835F8">
      <w:pPr>
        <w:pStyle w:val="NormalPara"/>
        <w:rPr>
          <w:noProof/>
          <w:lang w:val="en-GB"/>
        </w:rPr>
      </w:pPr>
      <w:r w:rsidRPr="00881BC8">
        <w:rPr>
          <w:noProof/>
          <w:lang w:val="en-GB"/>
        </w:rPr>
        <w:t xml:space="preserve">Therefore, Member States acting individually could not satisfactorily remove the barriers to ensure prompt payment across the EU. A </w:t>
      </w:r>
      <w:r w:rsidR="372722B1" w:rsidRPr="00881BC8">
        <w:rPr>
          <w:noProof/>
          <w:lang w:val="en-GB"/>
        </w:rPr>
        <w:t>coherent</w:t>
      </w:r>
      <w:r w:rsidRPr="00881BC8">
        <w:rPr>
          <w:noProof/>
          <w:lang w:val="en-GB"/>
        </w:rPr>
        <w:t xml:space="preserve"> legal framework </w:t>
      </w:r>
      <w:r w:rsidR="645B83CE" w:rsidRPr="00881BC8">
        <w:rPr>
          <w:noProof/>
          <w:lang w:val="en-GB"/>
        </w:rPr>
        <w:t xml:space="preserve">for payment terms, payments of interest and compensation and enforcement, can </w:t>
      </w:r>
      <w:r w:rsidR="00715B4E" w:rsidRPr="00881BC8">
        <w:rPr>
          <w:noProof/>
          <w:lang w:val="en-GB"/>
        </w:rPr>
        <w:t xml:space="preserve">only </w:t>
      </w:r>
      <w:r w:rsidR="645B83CE" w:rsidRPr="00881BC8">
        <w:rPr>
          <w:noProof/>
          <w:lang w:val="en-GB"/>
        </w:rPr>
        <w:t>be achieved at EU level.</w:t>
      </w:r>
    </w:p>
    <w:p w14:paraId="3F6361E3" w14:textId="7DD15B73" w:rsidR="006B087E" w:rsidRPr="00881BC8" w:rsidRDefault="0CE0488F" w:rsidP="004835F8">
      <w:pPr>
        <w:pStyle w:val="Heading2"/>
        <w:rPr>
          <w:noProof/>
        </w:rPr>
      </w:pPr>
      <w:bookmarkStart w:id="196" w:name="_Toc128594935"/>
      <w:bookmarkStart w:id="197" w:name="_Toc128678886"/>
      <w:bookmarkStart w:id="198" w:name="_Toc128935093"/>
      <w:bookmarkStart w:id="199" w:name="_Toc129710185"/>
      <w:bookmarkStart w:id="200" w:name="_Toc129899890"/>
      <w:bookmarkStart w:id="201" w:name="_Toc135237395"/>
      <w:r w:rsidRPr="00881BC8">
        <w:rPr>
          <w:noProof/>
        </w:rPr>
        <w:t xml:space="preserve">Subsidiarity: </w:t>
      </w:r>
      <w:r w:rsidR="003B6EA0" w:rsidRPr="00881BC8">
        <w:rPr>
          <w:noProof/>
        </w:rPr>
        <w:t>a</w:t>
      </w:r>
      <w:r w:rsidRPr="00881BC8">
        <w:rPr>
          <w:noProof/>
        </w:rPr>
        <w:t>dded value of EU action</w:t>
      </w:r>
      <w:bookmarkEnd w:id="196"/>
      <w:bookmarkEnd w:id="197"/>
      <w:bookmarkEnd w:id="198"/>
      <w:bookmarkEnd w:id="199"/>
      <w:bookmarkEnd w:id="200"/>
      <w:bookmarkEnd w:id="201"/>
    </w:p>
    <w:p w14:paraId="0187A018" w14:textId="4B1A4C56" w:rsidR="5D101F38" w:rsidRPr="00881BC8" w:rsidRDefault="003B6EA0" w:rsidP="004835F8">
      <w:pPr>
        <w:pStyle w:val="NormalPara"/>
        <w:rPr>
          <w:noProof/>
          <w:lang w:val="en-GB"/>
        </w:rPr>
      </w:pPr>
      <w:r w:rsidRPr="00881BC8">
        <w:rPr>
          <w:noProof/>
          <w:lang w:val="en-GB"/>
        </w:rPr>
        <w:t>V</w:t>
      </w:r>
      <w:r w:rsidR="70167CE1" w:rsidRPr="00881BC8">
        <w:rPr>
          <w:noProof/>
          <w:lang w:val="en-GB"/>
        </w:rPr>
        <w:t xml:space="preserve">alue added of </w:t>
      </w:r>
      <w:r w:rsidR="00720DF3" w:rsidRPr="00881BC8">
        <w:rPr>
          <w:noProof/>
          <w:lang w:val="en-GB"/>
        </w:rPr>
        <w:t xml:space="preserve">EU </w:t>
      </w:r>
      <w:r w:rsidR="70167CE1" w:rsidRPr="00881BC8">
        <w:rPr>
          <w:noProof/>
          <w:lang w:val="en-GB"/>
        </w:rPr>
        <w:t xml:space="preserve">action </w:t>
      </w:r>
      <w:r w:rsidR="00720DF3" w:rsidRPr="00881BC8">
        <w:rPr>
          <w:noProof/>
          <w:lang w:val="en-GB"/>
        </w:rPr>
        <w:t xml:space="preserve">for </w:t>
      </w:r>
      <w:r w:rsidR="70167CE1" w:rsidRPr="00881BC8">
        <w:rPr>
          <w:noProof/>
          <w:lang w:val="en-GB"/>
        </w:rPr>
        <w:t xml:space="preserve">this initiative </w:t>
      </w:r>
      <w:r w:rsidRPr="00881BC8">
        <w:rPr>
          <w:noProof/>
          <w:lang w:val="en-GB"/>
        </w:rPr>
        <w:t xml:space="preserve">is strong </w:t>
      </w:r>
      <w:r w:rsidR="70167CE1" w:rsidRPr="00881BC8">
        <w:rPr>
          <w:noProof/>
          <w:lang w:val="en-GB"/>
        </w:rPr>
        <w:t>because</w:t>
      </w:r>
      <w:r w:rsidR="003B4C83" w:rsidRPr="00881BC8">
        <w:rPr>
          <w:noProof/>
          <w:lang w:val="en-GB"/>
        </w:rPr>
        <w:t xml:space="preserve"> it seeks to address a</w:t>
      </w:r>
      <w:r w:rsidR="004D1747" w:rsidRPr="00881BC8">
        <w:rPr>
          <w:noProof/>
          <w:lang w:val="en-GB"/>
        </w:rPr>
        <w:t xml:space="preserve"> widespread,</w:t>
      </w:r>
      <w:r w:rsidR="003B4C83" w:rsidRPr="00881BC8">
        <w:rPr>
          <w:noProof/>
          <w:lang w:val="en-GB"/>
        </w:rPr>
        <w:t xml:space="preserve"> EU-wide problem</w:t>
      </w:r>
      <w:r w:rsidR="00720DF3" w:rsidRPr="00881BC8">
        <w:rPr>
          <w:noProof/>
          <w:lang w:val="en-GB"/>
        </w:rPr>
        <w:t>, which affects not only intra-Member State transactions, but also cross-border transactions in the single market</w:t>
      </w:r>
      <w:r w:rsidR="004D1747" w:rsidRPr="00881BC8">
        <w:rPr>
          <w:noProof/>
          <w:lang w:val="en-GB"/>
        </w:rPr>
        <w:t xml:space="preserve">. </w:t>
      </w:r>
      <w:r w:rsidR="00EE4804" w:rsidRPr="00881BC8">
        <w:rPr>
          <w:noProof/>
          <w:lang w:val="en-GB"/>
        </w:rPr>
        <w:t>Payments allow the single market to function. L</w:t>
      </w:r>
      <w:r w:rsidR="004D1747" w:rsidRPr="00881BC8">
        <w:rPr>
          <w:noProof/>
          <w:lang w:val="en-GB"/>
        </w:rPr>
        <w:t>ate payment</w:t>
      </w:r>
      <w:r w:rsidR="003B4C83" w:rsidRPr="00881BC8">
        <w:rPr>
          <w:noProof/>
          <w:lang w:val="en-GB"/>
        </w:rPr>
        <w:t xml:space="preserve"> </w:t>
      </w:r>
      <w:r w:rsidR="00D72C17" w:rsidRPr="00881BC8">
        <w:rPr>
          <w:noProof/>
          <w:lang w:val="en-GB"/>
        </w:rPr>
        <w:t>may affect any commercial transaction in the EU</w:t>
      </w:r>
      <w:r w:rsidR="00EE4804" w:rsidRPr="00881BC8">
        <w:rPr>
          <w:noProof/>
          <w:lang w:val="en-GB"/>
        </w:rPr>
        <w:t>.</w:t>
      </w:r>
      <w:r w:rsidR="00D72C17" w:rsidRPr="00881BC8">
        <w:rPr>
          <w:noProof/>
          <w:lang w:val="en-GB"/>
        </w:rPr>
        <w:t xml:space="preserve"> </w:t>
      </w:r>
      <w:r w:rsidR="00D35C12" w:rsidRPr="00881BC8">
        <w:rPr>
          <w:rFonts w:eastAsia="Times New Roman"/>
          <w:noProof/>
          <w:color w:val="000000" w:themeColor="text1"/>
          <w:lang w:val="en-GB"/>
        </w:rPr>
        <w:t>This initiative concerns the revision of an already exiting EU legislation (Directive 2011/7/EU) therefore, it can be done only at EU level.</w:t>
      </w:r>
      <w:r w:rsidR="002E552C" w:rsidRPr="00881BC8">
        <w:rPr>
          <w:rFonts w:eastAsia="Times New Roman"/>
          <w:noProof/>
          <w:color w:val="000000" w:themeColor="text1"/>
          <w:lang w:val="en-GB"/>
        </w:rPr>
        <w:t xml:space="preserve"> </w:t>
      </w:r>
      <w:r w:rsidR="00AE1215" w:rsidRPr="00881BC8">
        <w:rPr>
          <w:noProof/>
          <w:lang w:val="en-GB"/>
        </w:rPr>
        <w:t>Imp</w:t>
      </w:r>
      <w:r w:rsidR="00454BFD" w:rsidRPr="00881BC8">
        <w:rPr>
          <w:noProof/>
          <w:lang w:val="en-GB"/>
        </w:rPr>
        <w:t xml:space="preserve">lementing 27 solutions to lay down rules on national level would </w:t>
      </w:r>
      <w:r w:rsidR="00CC4D43" w:rsidRPr="00881BC8">
        <w:rPr>
          <w:noProof/>
          <w:lang w:val="en-GB"/>
        </w:rPr>
        <w:t xml:space="preserve">risk fragmenting the single market and bring </w:t>
      </w:r>
      <w:r w:rsidR="00454BFD" w:rsidRPr="00881BC8">
        <w:rPr>
          <w:noProof/>
          <w:lang w:val="en-GB"/>
        </w:rPr>
        <w:t xml:space="preserve">additional familiarisation and compliance costs for companies trading </w:t>
      </w:r>
      <w:r w:rsidR="00CC4D43" w:rsidRPr="00881BC8">
        <w:rPr>
          <w:noProof/>
          <w:lang w:val="en-GB"/>
        </w:rPr>
        <w:t>across borders in the EU.</w:t>
      </w:r>
    </w:p>
    <w:p w14:paraId="576E76AF" w14:textId="6E7DE513" w:rsidR="00753C4C" w:rsidRPr="00881BC8" w:rsidRDefault="00753C4C" w:rsidP="004835F8">
      <w:pPr>
        <w:pStyle w:val="NormalPara"/>
        <w:rPr>
          <w:noProof/>
          <w:lang w:val="en-GB"/>
        </w:rPr>
      </w:pPr>
      <w:r w:rsidRPr="00881BC8">
        <w:rPr>
          <w:noProof/>
          <w:lang w:val="en-GB"/>
        </w:rPr>
        <w:t>A</w:t>
      </w:r>
      <w:r w:rsidR="5D101F38" w:rsidRPr="00881BC8">
        <w:rPr>
          <w:noProof/>
          <w:lang w:val="en-GB"/>
        </w:rPr>
        <w:t xml:space="preserve"> coordinated action </w:t>
      </w:r>
      <w:r w:rsidRPr="00881BC8">
        <w:rPr>
          <w:noProof/>
          <w:lang w:val="en-GB"/>
        </w:rPr>
        <w:t xml:space="preserve">at EU level </w:t>
      </w:r>
      <w:r w:rsidR="00E457F4" w:rsidRPr="00881BC8">
        <w:rPr>
          <w:noProof/>
          <w:lang w:val="en-GB"/>
        </w:rPr>
        <w:t xml:space="preserve">including Member States </w:t>
      </w:r>
      <w:r w:rsidR="5D101F38" w:rsidRPr="00881BC8">
        <w:rPr>
          <w:noProof/>
          <w:lang w:val="en-GB"/>
        </w:rPr>
        <w:t>is required to</w:t>
      </w:r>
      <w:r w:rsidRPr="00881BC8">
        <w:rPr>
          <w:noProof/>
          <w:lang w:val="en-GB"/>
        </w:rPr>
        <w:t>:</w:t>
      </w:r>
    </w:p>
    <w:p w14:paraId="1F7F54A7" w14:textId="736F2E1E" w:rsidR="3C7CA9D5" w:rsidRPr="00881BC8" w:rsidRDefault="50B8EB78" w:rsidP="004835F8">
      <w:pPr>
        <w:pStyle w:val="NormalPara"/>
        <w:numPr>
          <w:ilvl w:val="0"/>
          <w:numId w:val="24"/>
        </w:numPr>
        <w:rPr>
          <w:noProof/>
          <w:lang w:val="en-GB"/>
        </w:rPr>
      </w:pPr>
      <w:r w:rsidRPr="00881BC8">
        <w:rPr>
          <w:noProof/>
          <w:lang w:val="en-GB"/>
        </w:rPr>
        <w:t xml:space="preserve">define provisions on interest and compensation </w:t>
      </w:r>
      <w:r w:rsidR="00F62C66" w:rsidRPr="00881BC8">
        <w:rPr>
          <w:noProof/>
          <w:lang w:val="en-GB"/>
        </w:rPr>
        <w:t>fees (art</w:t>
      </w:r>
      <w:r w:rsidR="00AA1E0F" w:rsidRPr="00881BC8">
        <w:rPr>
          <w:noProof/>
          <w:lang w:val="en-GB"/>
        </w:rPr>
        <w:t>icles</w:t>
      </w:r>
      <w:r w:rsidR="00F62C66" w:rsidRPr="00881BC8">
        <w:rPr>
          <w:noProof/>
          <w:lang w:val="en-GB"/>
        </w:rPr>
        <w:t xml:space="preserve"> 3,4, and 6) </w:t>
      </w:r>
      <w:r w:rsidRPr="00881BC8">
        <w:rPr>
          <w:noProof/>
          <w:lang w:val="en-GB"/>
        </w:rPr>
        <w:t>so that they can be transposed in a uniform manner int</w:t>
      </w:r>
      <w:r w:rsidR="0F5DD0AA" w:rsidRPr="00881BC8">
        <w:rPr>
          <w:noProof/>
          <w:lang w:val="en-GB"/>
        </w:rPr>
        <w:t>o national legislations</w:t>
      </w:r>
      <w:r w:rsidR="00F62C66" w:rsidRPr="00881BC8">
        <w:rPr>
          <w:noProof/>
          <w:lang w:val="en-GB"/>
        </w:rPr>
        <w:t>,</w:t>
      </w:r>
    </w:p>
    <w:p w14:paraId="54A05273" w14:textId="753B191F" w:rsidR="5D101F38" w:rsidRPr="00881BC8" w:rsidRDefault="54F206EC" w:rsidP="004835F8">
      <w:pPr>
        <w:pStyle w:val="NormalPara"/>
        <w:numPr>
          <w:ilvl w:val="0"/>
          <w:numId w:val="24"/>
        </w:numPr>
        <w:rPr>
          <w:noProof/>
          <w:lang w:val="en-GB"/>
        </w:rPr>
      </w:pPr>
      <w:r w:rsidRPr="00881BC8">
        <w:rPr>
          <w:noProof/>
          <w:lang w:val="en-GB"/>
        </w:rPr>
        <w:t>establish clearer payment terms for B2B, as well as enforcement</w:t>
      </w:r>
      <w:r w:rsidR="00363CC2" w:rsidRPr="00881BC8">
        <w:rPr>
          <w:noProof/>
          <w:lang w:val="en-GB"/>
        </w:rPr>
        <w:t xml:space="preserve"> and</w:t>
      </w:r>
      <w:r w:rsidRPr="00881BC8">
        <w:rPr>
          <w:noProof/>
          <w:lang w:val="en-GB"/>
        </w:rPr>
        <w:t xml:space="preserve"> monitoring provisions, </w:t>
      </w:r>
      <w:r w:rsidR="0F5DD0AA" w:rsidRPr="00881BC8">
        <w:rPr>
          <w:noProof/>
          <w:lang w:val="en-GB"/>
        </w:rPr>
        <w:t>that appl</w:t>
      </w:r>
      <w:r w:rsidR="0221C7FA" w:rsidRPr="00881BC8">
        <w:rPr>
          <w:noProof/>
          <w:lang w:val="en-GB"/>
        </w:rPr>
        <w:t>y</w:t>
      </w:r>
      <w:r w:rsidR="0F5DD0AA" w:rsidRPr="00881BC8">
        <w:rPr>
          <w:noProof/>
          <w:lang w:val="en-GB"/>
        </w:rPr>
        <w:t xml:space="preserve"> cro</w:t>
      </w:r>
      <w:r w:rsidR="1C2AFD72" w:rsidRPr="00881BC8">
        <w:rPr>
          <w:noProof/>
          <w:lang w:val="en-GB"/>
        </w:rPr>
        <w:t>ss</w:t>
      </w:r>
      <w:r w:rsidR="0F5DD0AA" w:rsidRPr="00881BC8">
        <w:rPr>
          <w:noProof/>
          <w:lang w:val="en-GB"/>
        </w:rPr>
        <w:t xml:space="preserve"> border, </w:t>
      </w:r>
    </w:p>
    <w:p w14:paraId="36B2ABC3" w14:textId="12380B0A" w:rsidR="5D101F38" w:rsidRPr="00881BC8" w:rsidRDefault="461DCF53" w:rsidP="004835F8">
      <w:pPr>
        <w:pStyle w:val="NormalPara"/>
        <w:numPr>
          <w:ilvl w:val="0"/>
          <w:numId w:val="24"/>
        </w:numPr>
        <w:rPr>
          <w:noProof/>
          <w:lang w:val="en-GB"/>
        </w:rPr>
      </w:pPr>
      <w:r w:rsidRPr="00881BC8">
        <w:rPr>
          <w:noProof/>
          <w:lang w:val="en-GB"/>
        </w:rPr>
        <w:t xml:space="preserve">ensure that there are synergies with the public procurement framework, and especially taking into account that the National Recovery and Resilience Plans in the Member States are implemented </w:t>
      </w:r>
      <w:r w:rsidR="2BD6D850" w:rsidRPr="00881BC8">
        <w:rPr>
          <w:noProof/>
          <w:lang w:val="en-GB"/>
        </w:rPr>
        <w:t>primarily</w:t>
      </w:r>
      <w:r w:rsidRPr="00881BC8">
        <w:rPr>
          <w:noProof/>
          <w:lang w:val="en-GB"/>
        </w:rPr>
        <w:t xml:space="preserve"> through public </w:t>
      </w:r>
      <w:r w:rsidR="4C8465B7" w:rsidRPr="00881BC8">
        <w:rPr>
          <w:noProof/>
          <w:lang w:val="en-GB"/>
        </w:rPr>
        <w:t>procurement</w:t>
      </w:r>
      <w:r w:rsidR="6BCCE70F" w:rsidRPr="00881BC8">
        <w:rPr>
          <w:noProof/>
          <w:lang w:val="en-GB"/>
        </w:rPr>
        <w:t>.</w:t>
      </w:r>
    </w:p>
    <w:p w14:paraId="6D20E85A" w14:textId="5D7BAE03" w:rsidR="3B901550" w:rsidRPr="00881BC8" w:rsidRDefault="1E4288B8" w:rsidP="004835F8">
      <w:pPr>
        <w:pStyle w:val="NormalPara"/>
        <w:rPr>
          <w:noProof/>
          <w:lang w:val="en-GB"/>
        </w:rPr>
      </w:pPr>
      <w:r w:rsidRPr="00881BC8">
        <w:rPr>
          <w:noProof/>
          <w:lang w:val="en-GB"/>
        </w:rPr>
        <w:t xml:space="preserve">In line with the principle of proportionality, the planned initiative will not go beyond what is necessary to achieve its </w:t>
      </w:r>
      <w:r w:rsidR="507D4CA9" w:rsidRPr="00881BC8">
        <w:rPr>
          <w:noProof/>
          <w:lang w:val="en-GB"/>
        </w:rPr>
        <w:t>objectives</w:t>
      </w:r>
      <w:r w:rsidRPr="00881BC8">
        <w:rPr>
          <w:noProof/>
          <w:lang w:val="en-GB"/>
        </w:rPr>
        <w:t xml:space="preserve"> by </w:t>
      </w:r>
      <w:r w:rsidR="17E6320A" w:rsidRPr="00881BC8">
        <w:rPr>
          <w:noProof/>
          <w:lang w:val="en-GB"/>
        </w:rPr>
        <w:t xml:space="preserve">revising the current rules applicable to all commercial transactions in public procurement and between businesses, </w:t>
      </w:r>
      <w:r w:rsidR="61F9BDE0" w:rsidRPr="00881BC8">
        <w:rPr>
          <w:noProof/>
          <w:lang w:val="en-GB"/>
        </w:rPr>
        <w:t>which could not be achieved by Member States on their own</w:t>
      </w:r>
      <w:r w:rsidR="003833BE" w:rsidRPr="00881BC8">
        <w:rPr>
          <w:noProof/>
          <w:lang w:val="en-GB"/>
        </w:rPr>
        <w:t xml:space="preserve"> (see in particular section </w:t>
      </w:r>
      <w:r w:rsidR="005851F4">
        <w:rPr>
          <w:noProof/>
          <w:lang w:val="en-GB"/>
        </w:rPr>
        <w:t>5.4</w:t>
      </w:r>
      <w:r w:rsidR="003833BE" w:rsidRPr="00881BC8">
        <w:rPr>
          <w:noProof/>
          <w:lang w:val="en-GB"/>
        </w:rPr>
        <w:t xml:space="preserve"> and </w:t>
      </w:r>
      <w:r w:rsidR="003833BE" w:rsidRPr="00881BC8">
        <w:rPr>
          <w:noProof/>
          <w:lang w:val="en-GB"/>
        </w:rPr>
        <w:fldChar w:fldCharType="begin"/>
      </w:r>
      <w:r w:rsidR="003833BE" w:rsidRPr="00881BC8">
        <w:rPr>
          <w:noProof/>
          <w:lang w:val="en-GB"/>
        </w:rPr>
        <w:instrText xml:space="preserve"> REF Annex14 \h </w:instrText>
      </w:r>
      <w:r w:rsidR="003833BE" w:rsidRPr="00881BC8">
        <w:rPr>
          <w:noProof/>
          <w:lang w:val="en-GB"/>
        </w:rPr>
      </w:r>
      <w:r w:rsidR="003833BE" w:rsidRPr="00881BC8">
        <w:rPr>
          <w:noProof/>
          <w:lang w:val="en-GB"/>
        </w:rPr>
        <w:fldChar w:fldCharType="separate"/>
      </w:r>
      <w:r w:rsidR="005851F4" w:rsidRPr="00881BC8">
        <w:rPr>
          <w:noProof/>
        </w:rPr>
        <w:t>Annex 14</w:t>
      </w:r>
      <w:r w:rsidR="003833BE" w:rsidRPr="00881BC8">
        <w:rPr>
          <w:noProof/>
          <w:lang w:val="en-GB"/>
        </w:rPr>
        <w:fldChar w:fldCharType="end"/>
      </w:r>
      <w:r w:rsidR="003833BE" w:rsidRPr="00881BC8">
        <w:rPr>
          <w:noProof/>
          <w:lang w:val="en-GB"/>
        </w:rPr>
        <w:t>).</w:t>
      </w:r>
    </w:p>
    <w:p w14:paraId="3F6361E5" w14:textId="3EB62B98" w:rsidR="006B087E" w:rsidRPr="00881BC8" w:rsidRDefault="006B087E" w:rsidP="004835F8">
      <w:pPr>
        <w:pStyle w:val="Heading1"/>
        <w:rPr>
          <w:noProof/>
        </w:rPr>
      </w:pPr>
      <w:bookmarkStart w:id="202" w:name="_Toc130395678"/>
      <w:bookmarkStart w:id="203" w:name="_Toc130403596"/>
      <w:bookmarkStart w:id="204" w:name="_Toc128566537"/>
      <w:bookmarkStart w:id="205" w:name="_Toc128594936"/>
      <w:bookmarkStart w:id="206" w:name="_Toc128678887"/>
      <w:bookmarkStart w:id="207" w:name="_Toc128935094"/>
      <w:bookmarkStart w:id="208" w:name="_Toc129710187"/>
      <w:bookmarkStart w:id="209" w:name="_Toc129899892"/>
      <w:bookmarkStart w:id="210" w:name="_Ref130217509"/>
      <w:bookmarkStart w:id="211" w:name="_Toc135237396"/>
      <w:bookmarkEnd w:id="202"/>
      <w:bookmarkEnd w:id="203"/>
      <w:r w:rsidRPr="00881BC8">
        <w:rPr>
          <w:noProof/>
        </w:rPr>
        <w:t>Objectives: What is to be achieved?</w:t>
      </w:r>
      <w:bookmarkEnd w:id="204"/>
      <w:bookmarkEnd w:id="205"/>
      <w:bookmarkEnd w:id="206"/>
      <w:bookmarkEnd w:id="207"/>
      <w:bookmarkEnd w:id="208"/>
      <w:bookmarkEnd w:id="209"/>
      <w:bookmarkEnd w:id="210"/>
      <w:bookmarkEnd w:id="211"/>
      <w:r w:rsidR="003B3015" w:rsidRPr="00881BC8">
        <w:rPr>
          <w:noProof/>
        </w:rPr>
        <w:t xml:space="preserve"> </w:t>
      </w:r>
    </w:p>
    <w:p w14:paraId="3C90E447" w14:textId="0DCE5659" w:rsidR="006E24F5" w:rsidRPr="00881BC8" w:rsidRDefault="006E24F5" w:rsidP="004835F8">
      <w:pPr>
        <w:pStyle w:val="NormalPara"/>
        <w:rPr>
          <w:noProof/>
          <w:lang w:val="en-GB"/>
        </w:rPr>
      </w:pPr>
      <w:r w:rsidRPr="00881BC8">
        <w:rPr>
          <w:noProof/>
          <w:lang w:val="en-GB"/>
        </w:rPr>
        <w:t xml:space="preserve">The initiative is expected to contribute to progress towards Sustainable Development Goals no. 8: Decent work and economic growth, no. 3: Ensure healthy lives and promote well-being for all at all ages, no. 4: Quality education and no. 9: Industry, innovation and infrastructure. Further details are in </w:t>
      </w:r>
      <w:r w:rsidRPr="00881BC8">
        <w:rPr>
          <w:noProof/>
          <w:lang w:val="en-GB"/>
        </w:rPr>
        <w:fldChar w:fldCharType="begin"/>
      </w:r>
      <w:r w:rsidRPr="00881BC8">
        <w:rPr>
          <w:noProof/>
          <w:lang w:val="en-GB"/>
        </w:rPr>
        <w:instrText xml:space="preserve"> REF Annex03 \h  \* MERGEFORMAT </w:instrText>
      </w:r>
      <w:r w:rsidRPr="00881BC8">
        <w:rPr>
          <w:noProof/>
          <w:lang w:val="en-GB"/>
        </w:rPr>
      </w:r>
      <w:r w:rsidRPr="00881BC8">
        <w:rPr>
          <w:noProof/>
          <w:lang w:val="en-GB"/>
        </w:rPr>
        <w:fldChar w:fldCharType="separate"/>
      </w:r>
      <w:r w:rsidR="005851F4" w:rsidRPr="005851F4">
        <w:rPr>
          <w:noProof/>
          <w:lang w:val="en-GB"/>
        </w:rPr>
        <w:t>Annex 3</w:t>
      </w:r>
      <w:r w:rsidRPr="00881BC8">
        <w:rPr>
          <w:noProof/>
          <w:lang w:val="en-GB"/>
        </w:rPr>
        <w:fldChar w:fldCharType="end"/>
      </w:r>
      <w:r w:rsidRPr="00881BC8">
        <w:rPr>
          <w:noProof/>
          <w:lang w:val="en-GB"/>
        </w:rPr>
        <w:t>.</w:t>
      </w:r>
    </w:p>
    <w:p w14:paraId="3F6361E7" w14:textId="73F0E45E" w:rsidR="006B087E" w:rsidRPr="00881BC8" w:rsidRDefault="0CE0488F" w:rsidP="004835F8">
      <w:pPr>
        <w:pStyle w:val="Heading2"/>
        <w:rPr>
          <w:noProof/>
        </w:rPr>
      </w:pPr>
      <w:bookmarkStart w:id="212" w:name="_Toc128594937"/>
      <w:bookmarkStart w:id="213" w:name="_Toc128678888"/>
      <w:bookmarkStart w:id="214" w:name="_Toc129710188"/>
      <w:bookmarkStart w:id="215" w:name="_Toc129899893"/>
      <w:bookmarkStart w:id="216" w:name="_Toc128935095"/>
      <w:bookmarkStart w:id="217" w:name="_Toc135237397"/>
      <w:r w:rsidRPr="00881BC8">
        <w:rPr>
          <w:noProof/>
        </w:rPr>
        <w:t>General objectives</w:t>
      </w:r>
      <w:bookmarkEnd w:id="212"/>
      <w:bookmarkEnd w:id="213"/>
      <w:bookmarkEnd w:id="214"/>
      <w:bookmarkEnd w:id="215"/>
      <w:bookmarkEnd w:id="216"/>
      <w:bookmarkEnd w:id="217"/>
      <w:r w:rsidR="0091653A" w:rsidRPr="00881BC8">
        <w:rPr>
          <w:noProof/>
        </w:rPr>
        <w:t xml:space="preserve"> </w:t>
      </w:r>
    </w:p>
    <w:p w14:paraId="464FD704" w14:textId="4D61935D" w:rsidR="00DA0502" w:rsidRPr="00881BC8" w:rsidRDefault="00724C56" w:rsidP="004835F8">
      <w:pPr>
        <w:pStyle w:val="NormalPara"/>
        <w:rPr>
          <w:noProof/>
          <w:lang w:val="en-GB"/>
        </w:rPr>
      </w:pPr>
      <w:r w:rsidRPr="00881BC8">
        <w:rPr>
          <w:noProof/>
          <w:lang w:val="en-GB"/>
        </w:rPr>
        <w:t>The g</w:t>
      </w:r>
      <w:r w:rsidR="002132F1" w:rsidRPr="00881BC8">
        <w:rPr>
          <w:noProof/>
          <w:lang w:val="en-GB"/>
        </w:rPr>
        <w:t>eneral objective is</w:t>
      </w:r>
      <w:r w:rsidR="57650EDD" w:rsidRPr="00881BC8">
        <w:rPr>
          <w:noProof/>
          <w:lang w:val="en-GB"/>
        </w:rPr>
        <w:t xml:space="preserve"> </w:t>
      </w:r>
      <w:r w:rsidR="29F9F886" w:rsidRPr="00881BC8">
        <w:rPr>
          <w:noProof/>
          <w:lang w:val="en-GB"/>
        </w:rPr>
        <w:t xml:space="preserve">to ensure the proper functioning of the </w:t>
      </w:r>
      <w:r w:rsidR="00B066E3" w:rsidRPr="00881BC8">
        <w:rPr>
          <w:noProof/>
          <w:lang w:val="en-GB"/>
        </w:rPr>
        <w:t xml:space="preserve">internal market </w:t>
      </w:r>
      <w:r w:rsidR="00D731E8" w:rsidRPr="00881BC8">
        <w:rPr>
          <w:noProof/>
          <w:lang w:val="en-GB"/>
        </w:rPr>
        <w:t xml:space="preserve">and competitiveness for EU companies </w:t>
      </w:r>
      <w:r w:rsidR="00B066E3" w:rsidRPr="00881BC8">
        <w:rPr>
          <w:noProof/>
          <w:lang w:val="en-GB"/>
        </w:rPr>
        <w:t xml:space="preserve">by laying down rules to </w:t>
      </w:r>
      <w:r w:rsidR="00211807" w:rsidRPr="00881BC8">
        <w:rPr>
          <w:noProof/>
          <w:lang w:val="en-GB"/>
        </w:rPr>
        <w:t xml:space="preserve">grant </w:t>
      </w:r>
      <w:r w:rsidR="00F85BE4" w:rsidRPr="00881BC8">
        <w:rPr>
          <w:noProof/>
          <w:lang w:val="en-GB"/>
        </w:rPr>
        <w:t>companies</w:t>
      </w:r>
      <w:r w:rsidR="00B066E3" w:rsidRPr="00881BC8">
        <w:rPr>
          <w:noProof/>
          <w:lang w:val="en-GB"/>
        </w:rPr>
        <w:t xml:space="preserve"> appropriate </w:t>
      </w:r>
      <w:r w:rsidR="00F85BE4" w:rsidRPr="00881BC8">
        <w:rPr>
          <w:noProof/>
          <w:lang w:val="en-GB"/>
        </w:rPr>
        <w:t xml:space="preserve">conditions to receive </w:t>
      </w:r>
      <w:r w:rsidR="00BC1348" w:rsidRPr="00881BC8">
        <w:rPr>
          <w:noProof/>
          <w:lang w:val="en-GB"/>
        </w:rPr>
        <w:t xml:space="preserve">fair and </w:t>
      </w:r>
      <w:r w:rsidR="00517FBC" w:rsidRPr="00881BC8">
        <w:rPr>
          <w:noProof/>
          <w:lang w:val="en-GB"/>
        </w:rPr>
        <w:t xml:space="preserve">timely </w:t>
      </w:r>
      <w:r w:rsidR="00F85BE4" w:rsidRPr="00881BC8">
        <w:rPr>
          <w:noProof/>
          <w:lang w:val="en-GB"/>
        </w:rPr>
        <w:t xml:space="preserve">payment for </w:t>
      </w:r>
      <w:r w:rsidR="00517FBC" w:rsidRPr="00881BC8">
        <w:rPr>
          <w:noProof/>
          <w:lang w:val="en-GB"/>
        </w:rPr>
        <w:t>their goods or services</w:t>
      </w:r>
      <w:r w:rsidRPr="00881BC8">
        <w:rPr>
          <w:noProof/>
          <w:lang w:val="en-GB"/>
        </w:rPr>
        <w:t xml:space="preserve">. </w:t>
      </w:r>
      <w:r w:rsidR="00DA0502" w:rsidRPr="00881BC8">
        <w:rPr>
          <w:noProof/>
          <w:lang w:val="en-GB"/>
        </w:rPr>
        <w:t>This initiative aims to contribute to strengthening competitiveness</w:t>
      </w:r>
      <w:r w:rsidR="29F9F886" w:rsidRPr="00881BC8">
        <w:rPr>
          <w:noProof/>
          <w:lang w:val="en-GB"/>
        </w:rPr>
        <w:t xml:space="preserve"> and </w:t>
      </w:r>
      <w:r w:rsidR="00DA0502" w:rsidRPr="00881BC8">
        <w:rPr>
          <w:noProof/>
          <w:lang w:val="en-GB"/>
        </w:rPr>
        <w:t xml:space="preserve">growth of companies active in the </w:t>
      </w:r>
      <w:r w:rsidR="000F442C" w:rsidRPr="00881BC8">
        <w:rPr>
          <w:noProof/>
          <w:lang w:val="en-GB"/>
        </w:rPr>
        <w:t>internal</w:t>
      </w:r>
      <w:r w:rsidR="004E4BD9" w:rsidRPr="00881BC8">
        <w:rPr>
          <w:noProof/>
          <w:lang w:val="en-GB"/>
        </w:rPr>
        <w:t xml:space="preserve"> market </w:t>
      </w:r>
      <w:r w:rsidR="00DA0502" w:rsidRPr="00881BC8">
        <w:rPr>
          <w:noProof/>
          <w:lang w:val="en-GB"/>
        </w:rPr>
        <w:t>by improving the payment discipline of all concerned actors (SMEs, large businesses and public authorities) and protecting SMEs against the negative effects of payment delays in commercial transactions.</w:t>
      </w:r>
    </w:p>
    <w:p w14:paraId="4514EF4C" w14:textId="574CC154" w:rsidR="007C0014" w:rsidRPr="00881BC8" w:rsidRDefault="00E124D3" w:rsidP="004835F8">
      <w:pPr>
        <w:pStyle w:val="NormalPara"/>
        <w:rPr>
          <w:noProof/>
          <w:lang w:val="en-GB"/>
        </w:rPr>
      </w:pPr>
      <w:r w:rsidRPr="00881BC8">
        <w:rPr>
          <w:noProof/>
          <w:lang w:val="en-GB"/>
        </w:rPr>
        <w:t>The need to e</w:t>
      </w:r>
      <w:r w:rsidR="002132F1" w:rsidRPr="00881BC8">
        <w:rPr>
          <w:noProof/>
          <w:lang w:val="en-GB"/>
        </w:rPr>
        <w:t xml:space="preserve">nsure that </w:t>
      </w:r>
      <w:r w:rsidR="001D7C6B" w:rsidRPr="00881BC8">
        <w:rPr>
          <w:noProof/>
          <w:lang w:val="en-GB"/>
        </w:rPr>
        <w:t xml:space="preserve">the internal market </w:t>
      </w:r>
      <w:r w:rsidR="00180EFE" w:rsidRPr="00881BC8">
        <w:rPr>
          <w:noProof/>
          <w:lang w:val="en-GB"/>
        </w:rPr>
        <w:t>can work for the sustainable development of Europe</w:t>
      </w:r>
      <w:r w:rsidR="005E1CDA" w:rsidRPr="00881BC8">
        <w:rPr>
          <w:noProof/>
          <w:lang w:val="en-GB"/>
        </w:rPr>
        <w:t>,</w:t>
      </w:r>
      <w:r w:rsidR="00180EFE" w:rsidRPr="00881BC8">
        <w:rPr>
          <w:noProof/>
          <w:lang w:val="en-GB"/>
        </w:rPr>
        <w:t xml:space="preserve"> based on balanced economic growth, a highly competitive social market economy, and </w:t>
      </w:r>
      <w:r w:rsidR="00CA746D" w:rsidRPr="00881BC8">
        <w:rPr>
          <w:noProof/>
          <w:lang w:val="en-GB"/>
        </w:rPr>
        <w:t xml:space="preserve">that it can </w:t>
      </w:r>
      <w:r w:rsidR="00F7131E" w:rsidRPr="00881BC8">
        <w:rPr>
          <w:noProof/>
          <w:lang w:val="en-GB"/>
        </w:rPr>
        <w:t>promote economic and social cohesion</w:t>
      </w:r>
      <w:r w:rsidR="00724C56" w:rsidRPr="00881BC8">
        <w:rPr>
          <w:noProof/>
          <w:lang w:val="en-GB"/>
        </w:rPr>
        <w:t>,</w:t>
      </w:r>
      <w:r w:rsidRPr="00881BC8">
        <w:rPr>
          <w:noProof/>
          <w:lang w:val="en-GB"/>
        </w:rPr>
        <w:t xml:space="preserve"> follows from</w:t>
      </w:r>
      <w:r w:rsidR="00F7131E" w:rsidRPr="00881BC8">
        <w:rPr>
          <w:noProof/>
          <w:lang w:val="en-GB"/>
        </w:rPr>
        <w:t xml:space="preserve"> Article 3 of the TEU.</w:t>
      </w:r>
    </w:p>
    <w:p w14:paraId="3F51AD8D" w14:textId="3801D6F3" w:rsidR="008562FA" w:rsidRPr="00881BC8" w:rsidRDefault="008562FA" w:rsidP="008562FA">
      <w:pPr>
        <w:pStyle w:val="Caption"/>
        <w:rPr>
          <w:noProof/>
          <w:lang w:val="en-GB"/>
        </w:rPr>
      </w:pPr>
      <w:r w:rsidRPr="00881BC8">
        <w:rPr>
          <w:noProof/>
          <w:lang w:val="en-GB"/>
        </w:rPr>
        <w:t xml:space="preserve">Figure </w:t>
      </w:r>
      <w:r w:rsidR="005851F4">
        <w:rPr>
          <w:noProof/>
          <w:lang w:val="en-GB"/>
        </w:rPr>
        <w:t>5</w:t>
      </w:r>
      <w:r w:rsidRPr="00881BC8">
        <w:rPr>
          <w:noProof/>
          <w:lang w:val="en-GB"/>
        </w:rPr>
        <w:t>: Late payment problem - general and specific objectives</w:t>
      </w:r>
    </w:p>
    <w:p w14:paraId="3B7BCAFF" w14:textId="77777777" w:rsidR="008562FA" w:rsidRPr="00881BC8" w:rsidRDefault="008562FA" w:rsidP="008562FA">
      <w:pPr>
        <w:rPr>
          <w:noProof/>
        </w:rPr>
      </w:pPr>
      <w:r w:rsidRPr="00881BC8">
        <w:rPr>
          <w:noProof/>
          <w:lang w:eastAsia="en-GB"/>
        </w:rPr>
        <w:drawing>
          <wp:inline distT="0" distB="0" distL="0" distR="0" wp14:anchorId="17276B23" wp14:editId="5E45D0AA">
            <wp:extent cx="5069535" cy="3695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02390" cy="3719651"/>
                    </a:xfrm>
                    <a:prstGeom prst="rect">
                      <a:avLst/>
                    </a:prstGeom>
                    <a:noFill/>
                  </pic:spPr>
                </pic:pic>
              </a:graphicData>
            </a:graphic>
          </wp:inline>
        </w:drawing>
      </w:r>
    </w:p>
    <w:p w14:paraId="3F6361E9" w14:textId="7D70E39D" w:rsidR="006B087E" w:rsidRPr="00881BC8" w:rsidRDefault="0CE0488F" w:rsidP="004835F8">
      <w:pPr>
        <w:pStyle w:val="Heading2"/>
        <w:rPr>
          <w:noProof/>
        </w:rPr>
      </w:pPr>
      <w:bookmarkStart w:id="218" w:name="_Toc130395681"/>
      <w:bookmarkStart w:id="219" w:name="_Toc130403599"/>
      <w:bookmarkStart w:id="220" w:name="_Toc128594938"/>
      <w:bookmarkStart w:id="221" w:name="_Toc128678889"/>
      <w:bookmarkStart w:id="222" w:name="_Toc129710189"/>
      <w:bookmarkStart w:id="223" w:name="_Toc129899894"/>
      <w:bookmarkStart w:id="224" w:name="_Toc128935096"/>
      <w:bookmarkStart w:id="225" w:name="_Toc135237398"/>
      <w:bookmarkEnd w:id="218"/>
      <w:bookmarkEnd w:id="219"/>
      <w:r w:rsidRPr="00881BC8">
        <w:rPr>
          <w:noProof/>
        </w:rPr>
        <w:t>Specific objectives</w:t>
      </w:r>
      <w:bookmarkEnd w:id="220"/>
      <w:bookmarkEnd w:id="221"/>
      <w:bookmarkEnd w:id="222"/>
      <w:bookmarkEnd w:id="223"/>
      <w:bookmarkEnd w:id="224"/>
      <w:bookmarkEnd w:id="225"/>
      <w:r w:rsidR="0091653A" w:rsidRPr="00881BC8">
        <w:rPr>
          <w:noProof/>
        </w:rPr>
        <w:t xml:space="preserve"> </w:t>
      </w:r>
    </w:p>
    <w:p w14:paraId="299D03A5" w14:textId="51F5493E" w:rsidR="00501076" w:rsidRPr="00881BC8" w:rsidRDefault="00C91BB0" w:rsidP="004835F8">
      <w:pPr>
        <w:pStyle w:val="NormalPara"/>
        <w:rPr>
          <w:noProof/>
          <w:lang w:val="en-GB"/>
        </w:rPr>
      </w:pPr>
      <w:r w:rsidRPr="00881BC8">
        <w:rPr>
          <w:noProof/>
          <w:lang w:val="en-GB"/>
        </w:rPr>
        <w:t xml:space="preserve">The specific objectives </w:t>
      </w:r>
      <w:r w:rsidR="00501076" w:rsidRPr="00881BC8">
        <w:rPr>
          <w:noProof/>
          <w:lang w:val="en-GB"/>
        </w:rPr>
        <w:t>are:</w:t>
      </w:r>
    </w:p>
    <w:p w14:paraId="06D8E626" w14:textId="6E9478E5" w:rsidR="00262CC7" w:rsidRPr="00881BC8" w:rsidRDefault="00501076" w:rsidP="004835F8">
      <w:pPr>
        <w:pStyle w:val="Heading3"/>
        <w:rPr>
          <w:noProof/>
        </w:rPr>
      </w:pPr>
      <w:bookmarkStart w:id="226" w:name="_Ref130220085"/>
      <w:bookmarkStart w:id="227" w:name="_Toc135237399"/>
      <w:r w:rsidRPr="00881BC8">
        <w:rPr>
          <w:noProof/>
        </w:rPr>
        <w:t xml:space="preserve">To prevent late payment from </w:t>
      </w:r>
      <w:r w:rsidR="004B0DA0" w:rsidRPr="00881BC8">
        <w:rPr>
          <w:noProof/>
        </w:rPr>
        <w:t>occurring</w:t>
      </w:r>
      <w:bookmarkEnd w:id="226"/>
      <w:bookmarkEnd w:id="227"/>
    </w:p>
    <w:p w14:paraId="197E54C4" w14:textId="0A7744FE" w:rsidR="00E753DF" w:rsidRPr="00881BC8" w:rsidRDefault="009D290C" w:rsidP="004835F8">
      <w:pPr>
        <w:pStyle w:val="NormalPara"/>
        <w:rPr>
          <w:noProof/>
          <w:lang w:val="en-GB"/>
        </w:rPr>
      </w:pPr>
      <w:r w:rsidRPr="00881BC8">
        <w:rPr>
          <w:noProof/>
          <w:lang w:val="en-GB"/>
        </w:rPr>
        <w:t xml:space="preserve">The first specific objective of the intervention would be to provide a clear set of measures </w:t>
      </w:r>
      <w:r w:rsidR="000F6EF0" w:rsidRPr="00881BC8">
        <w:rPr>
          <w:noProof/>
          <w:lang w:val="en-GB"/>
        </w:rPr>
        <w:t xml:space="preserve">to </w:t>
      </w:r>
      <w:r w:rsidR="00F83246" w:rsidRPr="00881BC8">
        <w:rPr>
          <w:noProof/>
          <w:lang w:val="en-GB"/>
        </w:rPr>
        <w:t>prevent late payment and</w:t>
      </w:r>
      <w:r w:rsidR="000F6EF0" w:rsidRPr="00881BC8">
        <w:rPr>
          <w:noProof/>
          <w:lang w:val="en-GB"/>
        </w:rPr>
        <w:t xml:space="preserve"> make </w:t>
      </w:r>
      <w:r w:rsidRPr="00881BC8">
        <w:rPr>
          <w:noProof/>
          <w:lang w:val="en-GB"/>
        </w:rPr>
        <w:t xml:space="preserve">companies </w:t>
      </w:r>
      <w:r w:rsidR="00724A36" w:rsidRPr="00881BC8">
        <w:rPr>
          <w:noProof/>
          <w:lang w:val="en-GB"/>
        </w:rPr>
        <w:t>more</w:t>
      </w:r>
      <w:r w:rsidR="00FB1030" w:rsidRPr="00881BC8">
        <w:rPr>
          <w:noProof/>
          <w:lang w:val="en-GB"/>
        </w:rPr>
        <w:t xml:space="preserve"> aware of their rights and obligations</w:t>
      </w:r>
      <w:r w:rsidRPr="00881BC8">
        <w:rPr>
          <w:noProof/>
          <w:lang w:val="en-GB"/>
        </w:rPr>
        <w:t xml:space="preserve">, notably </w:t>
      </w:r>
      <w:r w:rsidR="00544C4D" w:rsidRPr="00881BC8">
        <w:rPr>
          <w:noProof/>
          <w:lang w:val="en-GB"/>
        </w:rPr>
        <w:t>by</w:t>
      </w:r>
      <w:r w:rsidRPr="00881BC8">
        <w:rPr>
          <w:noProof/>
          <w:lang w:val="en-GB"/>
        </w:rPr>
        <w:t xml:space="preserve"> </w:t>
      </w:r>
      <w:r w:rsidR="00057617" w:rsidRPr="00881BC8">
        <w:rPr>
          <w:noProof/>
          <w:lang w:val="en-GB"/>
        </w:rPr>
        <w:t>fixing maximum payment terms</w:t>
      </w:r>
      <w:r w:rsidR="00AE1B3D" w:rsidRPr="00881BC8">
        <w:rPr>
          <w:noProof/>
          <w:lang w:val="en-GB"/>
        </w:rPr>
        <w:t xml:space="preserve"> or </w:t>
      </w:r>
      <w:r w:rsidR="00463A5C" w:rsidRPr="00881BC8">
        <w:rPr>
          <w:noProof/>
          <w:lang w:val="en-GB"/>
        </w:rPr>
        <w:t xml:space="preserve">mastering </w:t>
      </w:r>
      <w:r w:rsidR="00F54947" w:rsidRPr="00881BC8">
        <w:rPr>
          <w:noProof/>
          <w:lang w:val="en-GB"/>
        </w:rPr>
        <w:t>companies’</w:t>
      </w:r>
      <w:r w:rsidR="00463A5C" w:rsidRPr="00881BC8">
        <w:rPr>
          <w:noProof/>
          <w:lang w:val="en-GB"/>
        </w:rPr>
        <w:t xml:space="preserve"> proficiency in </w:t>
      </w:r>
      <w:r w:rsidR="00491850" w:rsidRPr="00881BC8">
        <w:rPr>
          <w:noProof/>
          <w:lang w:val="en-GB"/>
        </w:rPr>
        <w:t>credit management</w:t>
      </w:r>
      <w:r w:rsidR="00AC751A" w:rsidRPr="00881BC8">
        <w:rPr>
          <w:noProof/>
          <w:lang w:val="en-GB"/>
        </w:rPr>
        <w:t xml:space="preserve"> and digital literacy</w:t>
      </w:r>
      <w:r w:rsidRPr="00881BC8">
        <w:rPr>
          <w:noProof/>
          <w:lang w:val="en-GB"/>
        </w:rPr>
        <w:t xml:space="preserve">. The </w:t>
      </w:r>
      <w:r w:rsidR="00C5269B" w:rsidRPr="00881BC8">
        <w:rPr>
          <w:noProof/>
          <w:lang w:val="en-GB"/>
        </w:rPr>
        <w:t>spec</w:t>
      </w:r>
      <w:r w:rsidR="004F42D7" w:rsidRPr="00881BC8">
        <w:rPr>
          <w:noProof/>
          <w:lang w:val="en-GB"/>
        </w:rPr>
        <w:t xml:space="preserve">ific </w:t>
      </w:r>
      <w:r w:rsidRPr="00881BC8">
        <w:rPr>
          <w:noProof/>
          <w:lang w:val="en-GB"/>
        </w:rPr>
        <w:t xml:space="preserve">objective </w:t>
      </w:r>
      <w:r w:rsidR="004F42D7" w:rsidRPr="00881BC8">
        <w:rPr>
          <w:noProof/>
          <w:lang w:val="en-GB"/>
        </w:rPr>
        <w:t>aims</w:t>
      </w:r>
      <w:r w:rsidRPr="00881BC8">
        <w:rPr>
          <w:noProof/>
          <w:lang w:val="en-GB"/>
        </w:rPr>
        <w:t xml:space="preserve"> to facilitate </w:t>
      </w:r>
      <w:r w:rsidR="004F42D7" w:rsidRPr="00881BC8">
        <w:rPr>
          <w:noProof/>
          <w:lang w:val="en-GB"/>
        </w:rPr>
        <w:t>business-to-business</w:t>
      </w:r>
      <w:r w:rsidR="00E614B4" w:rsidRPr="00881BC8">
        <w:rPr>
          <w:noProof/>
          <w:lang w:val="en-GB"/>
        </w:rPr>
        <w:t xml:space="preserve"> </w:t>
      </w:r>
      <w:r w:rsidRPr="00881BC8">
        <w:rPr>
          <w:noProof/>
          <w:lang w:val="en-GB"/>
        </w:rPr>
        <w:t xml:space="preserve">relations </w:t>
      </w:r>
      <w:r w:rsidR="00AC1C0C" w:rsidRPr="00881BC8">
        <w:rPr>
          <w:noProof/>
          <w:lang w:val="en-GB"/>
        </w:rPr>
        <w:t xml:space="preserve">between </w:t>
      </w:r>
      <w:r w:rsidR="00E614B4" w:rsidRPr="00881BC8">
        <w:rPr>
          <w:noProof/>
          <w:lang w:val="en-GB"/>
        </w:rPr>
        <w:t xml:space="preserve">companies </w:t>
      </w:r>
      <w:r w:rsidR="000B1AE5" w:rsidRPr="00881BC8">
        <w:rPr>
          <w:noProof/>
          <w:lang w:val="en-GB"/>
        </w:rPr>
        <w:t xml:space="preserve">especially in </w:t>
      </w:r>
      <w:r w:rsidR="00BD5D28" w:rsidRPr="00881BC8">
        <w:rPr>
          <w:noProof/>
          <w:lang w:val="en-GB"/>
        </w:rPr>
        <w:t xml:space="preserve">the early </w:t>
      </w:r>
      <w:r w:rsidR="003A60EC" w:rsidRPr="00881BC8">
        <w:rPr>
          <w:noProof/>
          <w:lang w:val="en-GB"/>
        </w:rPr>
        <w:t xml:space="preserve">(mainly pre-contractual) </w:t>
      </w:r>
      <w:r w:rsidR="00BD5D28" w:rsidRPr="00881BC8">
        <w:rPr>
          <w:noProof/>
          <w:lang w:val="en-GB"/>
        </w:rPr>
        <w:t>stage of their business relationship</w:t>
      </w:r>
      <w:r w:rsidR="00E614B4" w:rsidRPr="00881BC8">
        <w:rPr>
          <w:noProof/>
          <w:lang w:val="en-GB"/>
        </w:rPr>
        <w:t xml:space="preserve"> </w:t>
      </w:r>
      <w:r w:rsidR="0081605E" w:rsidRPr="00881BC8">
        <w:rPr>
          <w:noProof/>
          <w:lang w:val="en-GB"/>
        </w:rPr>
        <w:t xml:space="preserve">and </w:t>
      </w:r>
      <w:r w:rsidRPr="00881BC8">
        <w:rPr>
          <w:noProof/>
          <w:lang w:val="en-GB"/>
        </w:rPr>
        <w:t xml:space="preserve">to </w:t>
      </w:r>
      <w:r w:rsidR="00AC1C0C" w:rsidRPr="00881BC8">
        <w:rPr>
          <w:noProof/>
          <w:lang w:val="en-GB"/>
        </w:rPr>
        <w:t>allow them</w:t>
      </w:r>
      <w:r w:rsidR="00E753DF" w:rsidRPr="00881BC8">
        <w:rPr>
          <w:noProof/>
          <w:lang w:val="en-GB"/>
        </w:rPr>
        <w:t>:</w:t>
      </w:r>
    </w:p>
    <w:p w14:paraId="7621BB70" w14:textId="507A92B2" w:rsidR="00E753DF" w:rsidRPr="00881BC8" w:rsidRDefault="009D290C" w:rsidP="004835F8">
      <w:pPr>
        <w:pStyle w:val="ListParagraph"/>
        <w:numPr>
          <w:ilvl w:val="0"/>
          <w:numId w:val="8"/>
        </w:numPr>
        <w:rPr>
          <w:rFonts w:eastAsia="Times New Roman"/>
          <w:noProof/>
          <w:color w:val="000000" w:themeColor="text1"/>
        </w:rPr>
      </w:pPr>
      <w:r w:rsidRPr="00881BC8">
        <w:rPr>
          <w:rFonts w:eastAsia="Times New Roman"/>
          <w:noProof/>
          <w:color w:val="000000" w:themeColor="text1"/>
        </w:rPr>
        <w:t xml:space="preserve">to </w:t>
      </w:r>
      <w:r w:rsidR="00604464" w:rsidRPr="00881BC8">
        <w:rPr>
          <w:rFonts w:eastAsia="Times New Roman"/>
          <w:noProof/>
          <w:color w:val="000000" w:themeColor="text1"/>
        </w:rPr>
        <w:t>plan and</w:t>
      </w:r>
      <w:r w:rsidRPr="00881BC8">
        <w:rPr>
          <w:rFonts w:eastAsia="Times New Roman"/>
          <w:noProof/>
          <w:color w:val="000000" w:themeColor="text1"/>
        </w:rPr>
        <w:t xml:space="preserve"> </w:t>
      </w:r>
      <w:r w:rsidR="00F54947" w:rsidRPr="00881BC8">
        <w:rPr>
          <w:rFonts w:eastAsia="Times New Roman"/>
          <w:noProof/>
          <w:color w:val="000000" w:themeColor="text1"/>
        </w:rPr>
        <w:t xml:space="preserve">dedicate their resources to </w:t>
      </w:r>
      <w:r w:rsidRPr="00881BC8">
        <w:rPr>
          <w:rFonts w:eastAsia="Times New Roman"/>
          <w:noProof/>
          <w:color w:val="000000" w:themeColor="text1"/>
        </w:rPr>
        <w:t>their core activities</w:t>
      </w:r>
      <w:r w:rsidR="009C0A22" w:rsidRPr="00881BC8">
        <w:rPr>
          <w:rFonts w:eastAsia="Times New Roman"/>
          <w:noProof/>
          <w:color w:val="000000" w:themeColor="text1"/>
        </w:rPr>
        <w:t>,</w:t>
      </w:r>
      <w:r w:rsidRPr="00881BC8">
        <w:rPr>
          <w:rFonts w:eastAsia="Times New Roman"/>
          <w:noProof/>
          <w:color w:val="000000" w:themeColor="text1"/>
        </w:rPr>
        <w:t xml:space="preserve"> and </w:t>
      </w:r>
    </w:p>
    <w:p w14:paraId="508EFEEF" w14:textId="77777777" w:rsidR="00200B91" w:rsidRPr="00881BC8" w:rsidRDefault="009D290C" w:rsidP="004835F8">
      <w:pPr>
        <w:pStyle w:val="ListParagraph"/>
        <w:numPr>
          <w:ilvl w:val="0"/>
          <w:numId w:val="8"/>
        </w:numPr>
        <w:rPr>
          <w:rFonts w:eastAsia="Times New Roman"/>
          <w:noProof/>
          <w:color w:val="000000" w:themeColor="text1"/>
        </w:rPr>
      </w:pPr>
      <w:r w:rsidRPr="00881BC8">
        <w:rPr>
          <w:rFonts w:eastAsia="Times New Roman"/>
          <w:noProof/>
          <w:color w:val="000000" w:themeColor="text1"/>
        </w:rPr>
        <w:t xml:space="preserve">to fully </w:t>
      </w:r>
      <w:r w:rsidR="00E614B4" w:rsidRPr="00881BC8">
        <w:rPr>
          <w:rFonts w:eastAsia="Times New Roman"/>
          <w:noProof/>
          <w:color w:val="000000" w:themeColor="text1"/>
        </w:rPr>
        <w:t>understand</w:t>
      </w:r>
      <w:r w:rsidRPr="00881BC8">
        <w:rPr>
          <w:rFonts w:eastAsia="Times New Roman"/>
          <w:noProof/>
          <w:color w:val="000000" w:themeColor="text1"/>
        </w:rPr>
        <w:t xml:space="preserve"> the </w:t>
      </w:r>
      <w:r w:rsidR="00E614B4" w:rsidRPr="00881BC8">
        <w:rPr>
          <w:rFonts w:eastAsia="Times New Roman"/>
          <w:noProof/>
          <w:color w:val="000000" w:themeColor="text1"/>
        </w:rPr>
        <w:t xml:space="preserve">benefits </w:t>
      </w:r>
      <w:r w:rsidRPr="00881BC8">
        <w:rPr>
          <w:rFonts w:eastAsia="Times New Roman"/>
          <w:noProof/>
          <w:color w:val="000000" w:themeColor="text1"/>
        </w:rPr>
        <w:t xml:space="preserve">offered by </w:t>
      </w:r>
      <w:r w:rsidR="002151B7" w:rsidRPr="00881BC8">
        <w:rPr>
          <w:rFonts w:eastAsia="Times New Roman"/>
          <w:noProof/>
          <w:color w:val="000000" w:themeColor="text1"/>
        </w:rPr>
        <w:t>streamlined and timely cash flows, that better correspond to the flow of physical goods or delivered services</w:t>
      </w:r>
      <w:r w:rsidRPr="00881BC8">
        <w:rPr>
          <w:rFonts w:eastAsia="Times New Roman"/>
          <w:noProof/>
          <w:color w:val="000000" w:themeColor="text1"/>
        </w:rPr>
        <w:t xml:space="preserve">. </w:t>
      </w:r>
    </w:p>
    <w:p w14:paraId="4C286923" w14:textId="0C38CD4F" w:rsidR="009D290C" w:rsidRPr="00881BC8" w:rsidRDefault="005F6039" w:rsidP="004835F8">
      <w:pPr>
        <w:pStyle w:val="NormalPara"/>
        <w:rPr>
          <w:noProof/>
          <w:lang w:val="en-GB"/>
        </w:rPr>
      </w:pPr>
      <w:r w:rsidRPr="00881BC8">
        <w:rPr>
          <w:noProof/>
          <w:lang w:val="en-GB"/>
        </w:rPr>
        <w:t>The initiative</w:t>
      </w:r>
      <w:r w:rsidR="009D290C" w:rsidRPr="00881BC8">
        <w:rPr>
          <w:noProof/>
          <w:lang w:val="en-GB"/>
        </w:rPr>
        <w:t xml:space="preserve"> should lead to </w:t>
      </w:r>
      <w:r w:rsidR="009E75A2" w:rsidRPr="00881BC8">
        <w:rPr>
          <w:noProof/>
          <w:lang w:val="en-GB"/>
        </w:rPr>
        <w:t xml:space="preserve">creating </w:t>
      </w:r>
      <w:r w:rsidR="009D290C" w:rsidRPr="00881BC8">
        <w:rPr>
          <w:noProof/>
          <w:lang w:val="en-GB"/>
        </w:rPr>
        <w:t xml:space="preserve">a </w:t>
      </w:r>
      <w:r w:rsidR="00200B91" w:rsidRPr="00881BC8">
        <w:rPr>
          <w:noProof/>
          <w:lang w:val="en-GB"/>
        </w:rPr>
        <w:t>more</w:t>
      </w:r>
      <w:r w:rsidR="009D290C" w:rsidRPr="00881BC8">
        <w:rPr>
          <w:noProof/>
          <w:lang w:val="en-GB"/>
        </w:rPr>
        <w:t xml:space="preserve"> predictable business environment for those enterprises which use </w:t>
      </w:r>
      <w:r w:rsidR="002151B7" w:rsidRPr="00881BC8">
        <w:rPr>
          <w:noProof/>
          <w:lang w:val="en-GB"/>
        </w:rPr>
        <w:t>trade credit</w:t>
      </w:r>
      <w:r w:rsidR="009D290C" w:rsidRPr="00881BC8">
        <w:rPr>
          <w:noProof/>
          <w:lang w:val="en-GB"/>
        </w:rPr>
        <w:t xml:space="preserve"> to </w:t>
      </w:r>
      <w:r w:rsidR="002151B7" w:rsidRPr="00881BC8">
        <w:rPr>
          <w:noProof/>
          <w:lang w:val="en-GB"/>
        </w:rPr>
        <w:t>sell their products or services</w:t>
      </w:r>
      <w:r w:rsidR="009D290C" w:rsidRPr="00881BC8">
        <w:rPr>
          <w:noProof/>
          <w:lang w:val="en-GB"/>
        </w:rPr>
        <w:t>.</w:t>
      </w:r>
    </w:p>
    <w:p w14:paraId="361BF5CD" w14:textId="754D26E1" w:rsidR="00501076" w:rsidRPr="00881BC8" w:rsidRDefault="00501076" w:rsidP="004835F8">
      <w:pPr>
        <w:pStyle w:val="Heading3"/>
        <w:rPr>
          <w:noProof/>
        </w:rPr>
      </w:pPr>
      <w:bookmarkStart w:id="228" w:name="_Ref130227921"/>
      <w:bookmarkStart w:id="229" w:name="_Toc135237400"/>
      <w:r w:rsidRPr="00881BC8">
        <w:rPr>
          <w:noProof/>
        </w:rPr>
        <w:t>To facilitate timely payment</w:t>
      </w:r>
      <w:bookmarkEnd w:id="228"/>
      <w:bookmarkEnd w:id="229"/>
    </w:p>
    <w:p w14:paraId="5A91CC73" w14:textId="1185E9AE" w:rsidR="00265677" w:rsidRPr="00881BC8" w:rsidRDefault="00265677" w:rsidP="004835F8">
      <w:pPr>
        <w:pStyle w:val="NormalPara"/>
        <w:rPr>
          <w:noProof/>
          <w:lang w:val="en-GB"/>
        </w:rPr>
      </w:pPr>
      <w:r w:rsidRPr="00881BC8">
        <w:rPr>
          <w:noProof/>
          <w:lang w:val="en-GB"/>
        </w:rPr>
        <w:t xml:space="preserve">The second </w:t>
      </w:r>
      <w:r w:rsidR="00D7609F" w:rsidRPr="00881BC8">
        <w:rPr>
          <w:noProof/>
          <w:lang w:val="en-GB"/>
        </w:rPr>
        <w:t xml:space="preserve">specific </w:t>
      </w:r>
      <w:r w:rsidRPr="00881BC8">
        <w:rPr>
          <w:noProof/>
          <w:lang w:val="en-GB"/>
        </w:rPr>
        <w:t xml:space="preserve">objective </w:t>
      </w:r>
      <w:r w:rsidR="00750426" w:rsidRPr="00881BC8">
        <w:rPr>
          <w:noProof/>
          <w:lang w:val="en-GB"/>
        </w:rPr>
        <w:t xml:space="preserve">refers to the contractual stage of a business relationship. </w:t>
      </w:r>
      <w:r w:rsidR="00CA2AD3" w:rsidRPr="00881BC8">
        <w:rPr>
          <w:noProof/>
          <w:lang w:val="en-GB"/>
        </w:rPr>
        <w:t xml:space="preserve">It aims </w:t>
      </w:r>
      <w:r w:rsidRPr="00881BC8">
        <w:rPr>
          <w:noProof/>
          <w:lang w:val="en-GB"/>
        </w:rPr>
        <w:t xml:space="preserve">to </w:t>
      </w:r>
      <w:r w:rsidR="00171683" w:rsidRPr="00881BC8">
        <w:rPr>
          <w:noProof/>
          <w:lang w:val="en-GB"/>
        </w:rPr>
        <w:t>make it easier for companies to receive due payments on time</w:t>
      </w:r>
      <w:r w:rsidR="00D02660" w:rsidRPr="00881BC8">
        <w:rPr>
          <w:noProof/>
          <w:lang w:val="en-GB"/>
        </w:rPr>
        <w:t xml:space="preserve">, </w:t>
      </w:r>
      <w:r w:rsidR="007F2251" w:rsidRPr="00881BC8">
        <w:rPr>
          <w:noProof/>
          <w:lang w:val="en-GB"/>
        </w:rPr>
        <w:t xml:space="preserve">to help them exercise their right to </w:t>
      </w:r>
      <w:r w:rsidR="004C6D96" w:rsidRPr="00881BC8">
        <w:rPr>
          <w:noProof/>
          <w:lang w:val="en-GB"/>
        </w:rPr>
        <w:t xml:space="preserve">systematically </w:t>
      </w:r>
      <w:r w:rsidR="007F2251" w:rsidRPr="00881BC8">
        <w:rPr>
          <w:noProof/>
          <w:lang w:val="en-GB"/>
        </w:rPr>
        <w:t>receive</w:t>
      </w:r>
      <w:r w:rsidR="00AA6CE7" w:rsidRPr="00881BC8">
        <w:rPr>
          <w:noProof/>
          <w:lang w:val="en-GB"/>
        </w:rPr>
        <w:t xml:space="preserve"> interest and the flat fee</w:t>
      </w:r>
      <w:r w:rsidR="00D72B20" w:rsidRPr="00881BC8">
        <w:rPr>
          <w:noProof/>
          <w:lang w:val="en-GB"/>
        </w:rPr>
        <w:t xml:space="preserve"> compensation</w:t>
      </w:r>
      <w:r w:rsidR="00F3317E" w:rsidRPr="00881BC8">
        <w:rPr>
          <w:noProof/>
          <w:lang w:val="en-GB"/>
        </w:rPr>
        <w:t>,</w:t>
      </w:r>
      <w:r w:rsidR="00AA6CE7" w:rsidRPr="00881BC8">
        <w:rPr>
          <w:noProof/>
          <w:lang w:val="en-GB"/>
        </w:rPr>
        <w:t xml:space="preserve"> and </w:t>
      </w:r>
      <w:r w:rsidR="00F3317E" w:rsidRPr="00881BC8">
        <w:rPr>
          <w:noProof/>
          <w:lang w:val="en-GB"/>
        </w:rPr>
        <w:t xml:space="preserve">to </w:t>
      </w:r>
      <w:r w:rsidRPr="00881BC8">
        <w:rPr>
          <w:noProof/>
          <w:lang w:val="en-GB"/>
        </w:rPr>
        <w:t>ensur</w:t>
      </w:r>
      <w:r w:rsidR="00F3317E" w:rsidRPr="00881BC8">
        <w:rPr>
          <w:noProof/>
          <w:lang w:val="en-GB"/>
        </w:rPr>
        <w:t>e</w:t>
      </w:r>
      <w:r w:rsidRPr="00881BC8">
        <w:rPr>
          <w:noProof/>
          <w:lang w:val="en-GB"/>
        </w:rPr>
        <w:t xml:space="preserve"> </w:t>
      </w:r>
      <w:r w:rsidR="003C0CC1" w:rsidRPr="00881BC8">
        <w:rPr>
          <w:noProof/>
          <w:lang w:val="en-GB"/>
        </w:rPr>
        <w:t>better</w:t>
      </w:r>
      <w:r w:rsidRPr="00881BC8">
        <w:rPr>
          <w:noProof/>
          <w:lang w:val="en-GB"/>
        </w:rPr>
        <w:t xml:space="preserve"> enforcement of the rules by </w:t>
      </w:r>
      <w:r w:rsidR="0022471C" w:rsidRPr="00881BC8">
        <w:rPr>
          <w:noProof/>
          <w:lang w:val="en-GB"/>
        </w:rPr>
        <w:t xml:space="preserve">creating </w:t>
      </w:r>
      <w:r w:rsidRPr="00881BC8">
        <w:rPr>
          <w:noProof/>
          <w:lang w:val="en-GB"/>
        </w:rPr>
        <w:t>appropriate mechanisms</w:t>
      </w:r>
      <w:r w:rsidR="00832AE6" w:rsidRPr="00881BC8">
        <w:rPr>
          <w:noProof/>
          <w:lang w:val="en-GB"/>
        </w:rPr>
        <w:t xml:space="preserve"> </w:t>
      </w:r>
      <w:r w:rsidR="00393B50" w:rsidRPr="00881BC8">
        <w:rPr>
          <w:noProof/>
          <w:lang w:val="en-GB"/>
        </w:rPr>
        <w:t>for</w:t>
      </w:r>
      <w:r w:rsidR="0022471C" w:rsidRPr="00881BC8">
        <w:rPr>
          <w:noProof/>
          <w:lang w:val="en-GB"/>
        </w:rPr>
        <w:t xml:space="preserve"> </w:t>
      </w:r>
      <w:r w:rsidR="00832AE6" w:rsidRPr="00881BC8">
        <w:rPr>
          <w:noProof/>
          <w:lang w:val="en-GB"/>
        </w:rPr>
        <w:t>enforcement.</w:t>
      </w:r>
      <w:r w:rsidRPr="00881BC8">
        <w:rPr>
          <w:noProof/>
          <w:lang w:val="en-GB"/>
        </w:rPr>
        <w:t xml:space="preserve"> These mechanisms should ensure the necessary speed, independence </w:t>
      </w:r>
      <w:r w:rsidR="00832AE6" w:rsidRPr="00881BC8">
        <w:rPr>
          <w:noProof/>
          <w:lang w:val="en-GB"/>
        </w:rPr>
        <w:t xml:space="preserve">and </w:t>
      </w:r>
      <w:r w:rsidRPr="00881BC8">
        <w:rPr>
          <w:noProof/>
          <w:lang w:val="en-GB"/>
        </w:rPr>
        <w:t xml:space="preserve">affordability to overcome the observed gap in </w:t>
      </w:r>
      <w:r w:rsidR="00D75D48" w:rsidRPr="00881BC8">
        <w:rPr>
          <w:noProof/>
          <w:lang w:val="en-GB"/>
        </w:rPr>
        <w:t xml:space="preserve">the </w:t>
      </w:r>
      <w:r w:rsidR="00D13E38" w:rsidRPr="00881BC8">
        <w:rPr>
          <w:noProof/>
          <w:lang w:val="en-GB"/>
        </w:rPr>
        <w:t xml:space="preserve">application of </w:t>
      </w:r>
      <w:r w:rsidR="007C2DA8" w:rsidRPr="00881BC8">
        <w:rPr>
          <w:noProof/>
          <w:lang w:val="en-GB"/>
        </w:rPr>
        <w:t>LPD’s provisions.</w:t>
      </w:r>
      <w:r w:rsidR="000840CF" w:rsidRPr="00881BC8">
        <w:rPr>
          <w:noProof/>
          <w:lang w:val="en-GB"/>
        </w:rPr>
        <w:t xml:space="preserve"> </w:t>
      </w:r>
      <w:r w:rsidR="0012047C" w:rsidRPr="00881BC8">
        <w:rPr>
          <w:noProof/>
          <w:lang w:val="en-GB"/>
        </w:rPr>
        <w:t xml:space="preserve">A stronger commitment from the public </w:t>
      </w:r>
      <w:r w:rsidR="009512AF" w:rsidRPr="00881BC8">
        <w:rPr>
          <w:noProof/>
          <w:lang w:val="en-GB"/>
        </w:rPr>
        <w:t xml:space="preserve">authorities to pay on time and </w:t>
      </w:r>
      <w:r w:rsidR="00D8143E" w:rsidRPr="00881BC8">
        <w:rPr>
          <w:noProof/>
          <w:lang w:val="en-GB"/>
        </w:rPr>
        <w:t xml:space="preserve">to </w:t>
      </w:r>
      <w:r w:rsidR="009512AF" w:rsidRPr="00881BC8">
        <w:rPr>
          <w:noProof/>
          <w:lang w:val="en-GB"/>
        </w:rPr>
        <w:t>lead by example is also necessary</w:t>
      </w:r>
      <w:r w:rsidR="00CA2AD3" w:rsidRPr="00881BC8">
        <w:rPr>
          <w:noProof/>
          <w:lang w:val="en-GB"/>
        </w:rPr>
        <w:t>,</w:t>
      </w:r>
      <w:r w:rsidR="009512AF" w:rsidRPr="00881BC8">
        <w:rPr>
          <w:noProof/>
          <w:lang w:val="en-GB"/>
        </w:rPr>
        <w:t xml:space="preserve"> </w:t>
      </w:r>
      <w:r w:rsidR="00B450EC" w:rsidRPr="00881BC8">
        <w:rPr>
          <w:noProof/>
          <w:lang w:val="en-GB"/>
        </w:rPr>
        <w:t>especially in public procurement</w:t>
      </w:r>
      <w:r w:rsidR="00374526" w:rsidRPr="00881BC8">
        <w:rPr>
          <w:noProof/>
          <w:lang w:val="en-GB"/>
        </w:rPr>
        <w:t xml:space="preserve"> context.</w:t>
      </w:r>
    </w:p>
    <w:p w14:paraId="10789785" w14:textId="1D9980FE" w:rsidR="0088502B" w:rsidRPr="00881BC8" w:rsidRDefault="00265164" w:rsidP="004835F8">
      <w:pPr>
        <w:pStyle w:val="Heading3"/>
        <w:rPr>
          <w:noProof/>
        </w:rPr>
      </w:pPr>
      <w:bookmarkStart w:id="230" w:name="_Toc130395686"/>
      <w:bookmarkStart w:id="231" w:name="_Toc130403604"/>
      <w:bookmarkStart w:id="232" w:name="_Toc135237401"/>
      <w:bookmarkEnd w:id="230"/>
      <w:bookmarkEnd w:id="231"/>
      <w:r w:rsidRPr="00881BC8">
        <w:rPr>
          <w:noProof/>
        </w:rPr>
        <w:t xml:space="preserve">To empower SMEs and </w:t>
      </w:r>
      <w:r w:rsidR="0088502B" w:rsidRPr="00881BC8">
        <w:rPr>
          <w:noProof/>
        </w:rPr>
        <w:t>ensure more fairness in commercial transactions</w:t>
      </w:r>
      <w:bookmarkEnd w:id="232"/>
    </w:p>
    <w:p w14:paraId="7509BE89" w14:textId="1FC6176A" w:rsidR="000C435B" w:rsidRPr="00881BC8" w:rsidRDefault="005F7E3D" w:rsidP="004835F8">
      <w:pPr>
        <w:pStyle w:val="NormalPara"/>
        <w:rPr>
          <w:noProof/>
          <w:lang w:val="en-GB"/>
        </w:rPr>
      </w:pPr>
      <w:r w:rsidRPr="00881BC8">
        <w:rPr>
          <w:noProof/>
          <w:lang w:val="en-GB"/>
        </w:rPr>
        <w:t xml:space="preserve">The third specific objective is to </w:t>
      </w:r>
      <w:r w:rsidR="00F97907" w:rsidRPr="00881BC8">
        <w:rPr>
          <w:noProof/>
          <w:lang w:val="en-GB"/>
        </w:rPr>
        <w:t>empower SMEs and ensure more fairness in commercial transactions</w:t>
      </w:r>
      <w:r w:rsidRPr="00881BC8">
        <w:rPr>
          <w:noProof/>
          <w:lang w:val="en-GB"/>
        </w:rPr>
        <w:t xml:space="preserve">, </w:t>
      </w:r>
      <w:r w:rsidR="0047524C" w:rsidRPr="00881BC8">
        <w:rPr>
          <w:noProof/>
          <w:lang w:val="en-GB"/>
        </w:rPr>
        <w:t>to</w:t>
      </w:r>
      <w:r w:rsidRPr="00881BC8">
        <w:rPr>
          <w:noProof/>
          <w:lang w:val="en-GB"/>
        </w:rPr>
        <w:t xml:space="preserve"> </w:t>
      </w:r>
      <w:r w:rsidR="00CA3688" w:rsidRPr="00881BC8">
        <w:rPr>
          <w:noProof/>
          <w:lang w:val="en-GB"/>
        </w:rPr>
        <w:t>mak</w:t>
      </w:r>
      <w:r w:rsidR="0047524C" w:rsidRPr="00881BC8">
        <w:rPr>
          <w:noProof/>
          <w:lang w:val="en-GB"/>
        </w:rPr>
        <w:t>e</w:t>
      </w:r>
      <w:r w:rsidR="00CA3688" w:rsidRPr="00881BC8">
        <w:rPr>
          <w:noProof/>
          <w:lang w:val="en-GB"/>
        </w:rPr>
        <w:t xml:space="preserve"> it easier for</w:t>
      </w:r>
      <w:r w:rsidRPr="00881BC8">
        <w:rPr>
          <w:noProof/>
          <w:lang w:val="en-GB"/>
        </w:rPr>
        <w:t xml:space="preserve"> </w:t>
      </w:r>
      <w:r w:rsidR="00784878" w:rsidRPr="00881BC8">
        <w:rPr>
          <w:noProof/>
          <w:lang w:val="en-GB"/>
        </w:rPr>
        <w:t xml:space="preserve">companies to </w:t>
      </w:r>
      <w:r w:rsidR="00370755" w:rsidRPr="00881BC8">
        <w:rPr>
          <w:noProof/>
          <w:lang w:val="en-GB"/>
        </w:rPr>
        <w:t>assert</w:t>
      </w:r>
      <w:r w:rsidR="00784878" w:rsidRPr="00881BC8">
        <w:rPr>
          <w:noProof/>
          <w:lang w:val="en-GB"/>
        </w:rPr>
        <w:t xml:space="preserve"> their right</w:t>
      </w:r>
      <w:r w:rsidR="000B4D9F" w:rsidRPr="00881BC8">
        <w:rPr>
          <w:noProof/>
          <w:lang w:val="en-GB"/>
        </w:rPr>
        <w:t xml:space="preserve"> to receiv</w:t>
      </w:r>
      <w:r w:rsidR="0047524C" w:rsidRPr="00881BC8">
        <w:rPr>
          <w:noProof/>
          <w:lang w:val="en-GB"/>
        </w:rPr>
        <w:t>e</w:t>
      </w:r>
      <w:r w:rsidR="000B4D9F" w:rsidRPr="00881BC8">
        <w:rPr>
          <w:noProof/>
          <w:lang w:val="en-GB"/>
        </w:rPr>
        <w:t xml:space="preserve"> timely payments. This objective </w:t>
      </w:r>
      <w:r w:rsidR="00427AB2" w:rsidRPr="00881BC8">
        <w:rPr>
          <w:noProof/>
          <w:lang w:val="en-GB"/>
        </w:rPr>
        <w:t xml:space="preserve">seeks to </w:t>
      </w:r>
      <w:r w:rsidR="0047524C" w:rsidRPr="00881BC8">
        <w:rPr>
          <w:noProof/>
          <w:lang w:val="en-GB"/>
        </w:rPr>
        <w:t xml:space="preserve">respond to </w:t>
      </w:r>
      <w:r w:rsidR="009B7BE2" w:rsidRPr="00881BC8">
        <w:rPr>
          <w:noProof/>
          <w:lang w:val="en-GB"/>
        </w:rPr>
        <w:t xml:space="preserve">the need to </w:t>
      </w:r>
      <w:r w:rsidR="00E9733A" w:rsidRPr="00881BC8">
        <w:rPr>
          <w:noProof/>
          <w:lang w:val="en-GB"/>
        </w:rPr>
        <w:t>request Member States to specifically address the question of unfair contractual terms and practices through their applicable national law</w:t>
      </w:r>
      <w:r w:rsidR="009B7BE2" w:rsidRPr="00881BC8">
        <w:rPr>
          <w:noProof/>
          <w:lang w:val="en-GB"/>
        </w:rPr>
        <w:t xml:space="preserve">, </w:t>
      </w:r>
      <w:r w:rsidR="00ED40CC" w:rsidRPr="00881BC8">
        <w:rPr>
          <w:noProof/>
          <w:lang w:val="en-GB"/>
        </w:rPr>
        <w:t xml:space="preserve">address insufficient </w:t>
      </w:r>
      <w:r w:rsidR="001B32A1" w:rsidRPr="00881BC8">
        <w:rPr>
          <w:noProof/>
          <w:lang w:val="en-GB"/>
        </w:rPr>
        <w:t>access to mediation</w:t>
      </w:r>
      <w:r w:rsidR="00ED40CC" w:rsidRPr="00881BC8">
        <w:rPr>
          <w:noProof/>
          <w:lang w:val="en-GB"/>
        </w:rPr>
        <w:t xml:space="preserve">, </w:t>
      </w:r>
      <w:r w:rsidR="00427AB2" w:rsidRPr="00881BC8">
        <w:rPr>
          <w:noProof/>
          <w:lang w:val="en-GB"/>
        </w:rPr>
        <w:t xml:space="preserve">or </w:t>
      </w:r>
      <w:r w:rsidR="006B43BA" w:rsidRPr="00881BC8">
        <w:rPr>
          <w:noProof/>
          <w:lang w:val="en-GB"/>
        </w:rPr>
        <w:t>creat</w:t>
      </w:r>
      <w:r w:rsidR="00427AB2" w:rsidRPr="00881BC8">
        <w:rPr>
          <w:noProof/>
          <w:lang w:val="en-GB"/>
        </w:rPr>
        <w:t>e</w:t>
      </w:r>
      <w:r w:rsidR="006B43BA" w:rsidRPr="00881BC8">
        <w:rPr>
          <w:noProof/>
          <w:lang w:val="en-GB"/>
        </w:rPr>
        <w:t xml:space="preserve"> </w:t>
      </w:r>
      <w:r w:rsidR="006A3983" w:rsidRPr="00881BC8">
        <w:rPr>
          <w:noProof/>
          <w:lang w:val="en-GB"/>
        </w:rPr>
        <w:t xml:space="preserve">better </w:t>
      </w:r>
      <w:r w:rsidR="008E5C31" w:rsidRPr="00881BC8">
        <w:rPr>
          <w:noProof/>
          <w:lang w:val="en-GB"/>
        </w:rPr>
        <w:t xml:space="preserve">framework for </w:t>
      </w:r>
      <w:r w:rsidR="006A3983" w:rsidRPr="00881BC8">
        <w:rPr>
          <w:noProof/>
          <w:lang w:val="en-GB"/>
        </w:rPr>
        <w:t>redress possibilities</w:t>
      </w:r>
      <w:r w:rsidR="00427AB2" w:rsidRPr="00881BC8">
        <w:rPr>
          <w:noProof/>
          <w:lang w:val="en-GB"/>
        </w:rPr>
        <w:t xml:space="preserve">. </w:t>
      </w:r>
      <w:r w:rsidR="00DD204D" w:rsidRPr="00881BC8">
        <w:rPr>
          <w:noProof/>
          <w:lang w:val="en-GB"/>
        </w:rPr>
        <w:t>The</w:t>
      </w:r>
      <w:r w:rsidR="00FB5EA8" w:rsidRPr="00881BC8">
        <w:rPr>
          <w:noProof/>
          <w:lang w:val="en-GB"/>
        </w:rPr>
        <w:t xml:space="preserve"> objective </w:t>
      </w:r>
      <w:r w:rsidR="00DD204D" w:rsidRPr="00881BC8">
        <w:rPr>
          <w:noProof/>
          <w:lang w:val="en-GB"/>
        </w:rPr>
        <w:t>seek</w:t>
      </w:r>
      <w:r w:rsidR="00FB5EA8" w:rsidRPr="00881BC8">
        <w:rPr>
          <w:noProof/>
          <w:lang w:val="en-GB"/>
        </w:rPr>
        <w:t>s</w:t>
      </w:r>
      <w:r w:rsidR="00DD204D" w:rsidRPr="00881BC8">
        <w:rPr>
          <w:noProof/>
          <w:lang w:val="en-GB"/>
        </w:rPr>
        <w:t xml:space="preserve"> </w:t>
      </w:r>
      <w:r w:rsidR="006F33C1" w:rsidRPr="00881BC8">
        <w:rPr>
          <w:noProof/>
          <w:lang w:val="en-GB"/>
        </w:rPr>
        <w:t>improv</w:t>
      </w:r>
      <w:r w:rsidR="00FB5EA8" w:rsidRPr="00881BC8">
        <w:rPr>
          <w:noProof/>
          <w:lang w:val="en-GB"/>
        </w:rPr>
        <w:t xml:space="preserve">ement in companies’ situation </w:t>
      </w:r>
      <w:r w:rsidRPr="00881BC8">
        <w:rPr>
          <w:noProof/>
          <w:lang w:val="en-GB"/>
        </w:rPr>
        <w:t xml:space="preserve">without creating unnecessary </w:t>
      </w:r>
      <w:r w:rsidR="00FB5EA8" w:rsidRPr="00881BC8">
        <w:rPr>
          <w:noProof/>
          <w:lang w:val="en-GB"/>
        </w:rPr>
        <w:t>or</w:t>
      </w:r>
      <w:r w:rsidRPr="00881BC8">
        <w:rPr>
          <w:noProof/>
          <w:lang w:val="en-GB"/>
        </w:rPr>
        <w:t xml:space="preserve"> disproportionate burdens</w:t>
      </w:r>
      <w:r w:rsidR="00D13E38" w:rsidRPr="00881BC8">
        <w:rPr>
          <w:noProof/>
          <w:lang w:val="en-GB"/>
        </w:rPr>
        <w:t xml:space="preserve"> and facilitate access to effective redress, where currently a judicial procedure represents the only available option.</w:t>
      </w:r>
    </w:p>
    <w:p w14:paraId="2846260E" w14:textId="7079EF26" w:rsidR="008461A1" w:rsidRPr="00881BC8" w:rsidRDefault="00977D6A" w:rsidP="004835F8">
      <w:pPr>
        <w:pStyle w:val="NormalPara"/>
        <w:rPr>
          <w:noProof/>
          <w:lang w:val="en-GB"/>
        </w:rPr>
      </w:pPr>
      <w:r w:rsidRPr="00881BC8">
        <w:rPr>
          <w:noProof/>
          <w:lang w:val="en-GB"/>
        </w:rPr>
        <w:t>T</w:t>
      </w:r>
      <w:r w:rsidR="003E00E9" w:rsidRPr="00881BC8">
        <w:rPr>
          <w:noProof/>
          <w:lang w:val="en-GB"/>
        </w:rPr>
        <w:t xml:space="preserve">hese </w:t>
      </w:r>
      <w:r w:rsidR="003D3EC5" w:rsidRPr="00881BC8">
        <w:rPr>
          <w:noProof/>
          <w:lang w:val="en-GB"/>
        </w:rPr>
        <w:t xml:space="preserve">three </w:t>
      </w:r>
      <w:r w:rsidR="003E00E9" w:rsidRPr="00881BC8">
        <w:rPr>
          <w:noProof/>
          <w:lang w:val="en-GB"/>
        </w:rPr>
        <w:t xml:space="preserve">objectives </w:t>
      </w:r>
      <w:r w:rsidR="00927258" w:rsidRPr="00881BC8">
        <w:rPr>
          <w:noProof/>
          <w:lang w:val="en-GB"/>
        </w:rPr>
        <w:t xml:space="preserve">address the </w:t>
      </w:r>
      <w:r w:rsidR="005947D4" w:rsidRPr="00881BC8">
        <w:rPr>
          <w:noProof/>
          <w:lang w:val="en-GB"/>
        </w:rPr>
        <w:t>problem driver</w:t>
      </w:r>
      <w:r w:rsidR="003E747C" w:rsidRPr="00881BC8">
        <w:rPr>
          <w:noProof/>
          <w:lang w:val="en-GB"/>
        </w:rPr>
        <w:t>s</w:t>
      </w:r>
      <w:r w:rsidR="005947D4" w:rsidRPr="00881BC8">
        <w:rPr>
          <w:noProof/>
          <w:lang w:val="en-GB"/>
        </w:rPr>
        <w:t xml:space="preserve"> identified in </w:t>
      </w:r>
      <w:r w:rsidR="007D24B8" w:rsidRPr="00881BC8">
        <w:rPr>
          <w:noProof/>
          <w:lang w:val="en-GB"/>
        </w:rPr>
        <w:t>section</w:t>
      </w:r>
      <w:r w:rsidR="001501B7" w:rsidRPr="00881BC8">
        <w:rPr>
          <w:noProof/>
          <w:lang w:val="en-GB"/>
        </w:rPr>
        <w:t xml:space="preserve"> </w:t>
      </w:r>
      <w:r w:rsidR="005851F4">
        <w:rPr>
          <w:noProof/>
          <w:lang w:val="en-GB"/>
        </w:rPr>
        <w:t>2.3</w:t>
      </w:r>
      <w:r w:rsidR="003E747C" w:rsidRPr="00881BC8">
        <w:rPr>
          <w:noProof/>
          <w:lang w:val="en-GB"/>
        </w:rPr>
        <w:t xml:space="preserve">. Each </w:t>
      </w:r>
      <w:r w:rsidR="00872A51" w:rsidRPr="00881BC8">
        <w:rPr>
          <w:noProof/>
          <w:lang w:val="en-GB"/>
        </w:rPr>
        <w:t xml:space="preserve">specific </w:t>
      </w:r>
      <w:r w:rsidR="003E747C" w:rsidRPr="00881BC8">
        <w:rPr>
          <w:noProof/>
          <w:lang w:val="en-GB"/>
        </w:rPr>
        <w:t xml:space="preserve">objective </w:t>
      </w:r>
      <w:r w:rsidR="00D66A26" w:rsidRPr="00881BC8">
        <w:rPr>
          <w:noProof/>
          <w:lang w:val="en-GB"/>
        </w:rPr>
        <w:t>corresponds to an individual driver</w:t>
      </w:r>
      <w:r w:rsidR="0074751A" w:rsidRPr="00881BC8">
        <w:rPr>
          <w:noProof/>
          <w:lang w:val="en-GB"/>
        </w:rPr>
        <w:t xml:space="preserve">. </w:t>
      </w:r>
    </w:p>
    <w:p w14:paraId="3F6361EB" w14:textId="7E6F866F" w:rsidR="006B087E" w:rsidRPr="00881BC8" w:rsidRDefault="006B087E" w:rsidP="004835F8">
      <w:pPr>
        <w:pStyle w:val="Heading1"/>
        <w:rPr>
          <w:noProof/>
        </w:rPr>
      </w:pPr>
      <w:bookmarkStart w:id="233" w:name="_Toc130395689"/>
      <w:bookmarkStart w:id="234" w:name="_Toc130403607"/>
      <w:bookmarkStart w:id="235" w:name="_Toc130395690"/>
      <w:bookmarkStart w:id="236" w:name="_Toc130403608"/>
      <w:bookmarkStart w:id="237" w:name="_Toc128566538"/>
      <w:bookmarkStart w:id="238" w:name="_Toc128594939"/>
      <w:bookmarkStart w:id="239" w:name="_Toc135237402"/>
      <w:bookmarkStart w:id="240" w:name="_Ref135728368"/>
      <w:bookmarkStart w:id="241" w:name="_Ref135728503"/>
      <w:bookmarkStart w:id="242" w:name="_Toc128935097"/>
      <w:bookmarkStart w:id="243" w:name="_Toc128678890"/>
      <w:bookmarkStart w:id="244" w:name="_Toc129710190"/>
      <w:bookmarkStart w:id="245" w:name="_Toc129899895"/>
      <w:bookmarkEnd w:id="233"/>
      <w:bookmarkEnd w:id="234"/>
      <w:bookmarkEnd w:id="235"/>
      <w:bookmarkEnd w:id="236"/>
      <w:r w:rsidRPr="00881BC8">
        <w:rPr>
          <w:noProof/>
        </w:rPr>
        <w:t>What are the available policy options?</w:t>
      </w:r>
      <w:bookmarkEnd w:id="237"/>
      <w:bookmarkEnd w:id="238"/>
      <w:bookmarkEnd w:id="239"/>
      <w:bookmarkEnd w:id="240"/>
      <w:bookmarkEnd w:id="241"/>
      <w:r w:rsidR="24D9087B" w:rsidRPr="00881BC8">
        <w:rPr>
          <w:noProof/>
        </w:rPr>
        <w:t xml:space="preserve"> </w:t>
      </w:r>
      <w:bookmarkEnd w:id="242"/>
      <w:bookmarkEnd w:id="243"/>
      <w:bookmarkEnd w:id="244"/>
      <w:bookmarkEnd w:id="245"/>
    </w:p>
    <w:p w14:paraId="04B05D60" w14:textId="1B65FF5A" w:rsidR="006B087E" w:rsidRPr="00881BC8" w:rsidRDefault="0E60E136" w:rsidP="004835F8">
      <w:pPr>
        <w:pStyle w:val="Heading2"/>
        <w:rPr>
          <w:noProof/>
        </w:rPr>
      </w:pPr>
      <w:bookmarkStart w:id="246" w:name="_Toc128678891"/>
      <w:bookmarkStart w:id="247" w:name="_Toc128935098"/>
      <w:bookmarkStart w:id="248" w:name="_Toc129710191"/>
      <w:bookmarkStart w:id="249" w:name="_Toc129899896"/>
      <w:bookmarkStart w:id="250" w:name="_Toc135237403"/>
      <w:r w:rsidRPr="00881BC8">
        <w:rPr>
          <w:noProof/>
        </w:rPr>
        <w:t>What is the baseline from which options are assessed?</w:t>
      </w:r>
      <w:bookmarkEnd w:id="246"/>
      <w:bookmarkEnd w:id="247"/>
      <w:bookmarkEnd w:id="248"/>
      <w:bookmarkEnd w:id="249"/>
      <w:bookmarkEnd w:id="250"/>
    </w:p>
    <w:p w14:paraId="3477BBCF" w14:textId="58C7A546" w:rsidR="00986E4A" w:rsidRPr="00881BC8" w:rsidRDefault="00EA3925" w:rsidP="004835F8">
      <w:pPr>
        <w:pStyle w:val="NormalPara"/>
        <w:rPr>
          <w:noProof/>
          <w:lang w:val="en-GB"/>
        </w:rPr>
      </w:pPr>
      <w:r w:rsidRPr="00881BC8">
        <w:rPr>
          <w:noProof/>
          <w:lang w:val="en-GB"/>
        </w:rPr>
        <w:t xml:space="preserve">As </w:t>
      </w:r>
      <w:r w:rsidR="00631EC7" w:rsidRPr="00881BC8">
        <w:rPr>
          <w:noProof/>
          <w:lang w:val="en-GB"/>
        </w:rPr>
        <w:t>set out</w:t>
      </w:r>
      <w:r w:rsidRPr="00881BC8">
        <w:rPr>
          <w:noProof/>
          <w:lang w:val="en-GB"/>
        </w:rPr>
        <w:t xml:space="preserve"> in section </w:t>
      </w:r>
      <w:r w:rsidR="005851F4">
        <w:rPr>
          <w:noProof/>
          <w:lang w:val="en-GB"/>
        </w:rPr>
        <w:t>2.4</w:t>
      </w:r>
      <w:r w:rsidRPr="00881BC8">
        <w:rPr>
          <w:noProof/>
          <w:lang w:val="en-GB"/>
        </w:rPr>
        <w:t xml:space="preserve">, the initiative is not linked to any of the </w:t>
      </w:r>
      <w:r w:rsidR="00C84138" w:rsidRPr="00881BC8">
        <w:rPr>
          <w:noProof/>
          <w:lang w:val="en-GB"/>
        </w:rPr>
        <w:t>megatrends but</w:t>
      </w:r>
      <w:r w:rsidRPr="00881BC8">
        <w:rPr>
          <w:noProof/>
          <w:lang w:val="en-GB"/>
        </w:rPr>
        <w:t xml:space="preserve"> </w:t>
      </w:r>
      <w:r w:rsidR="00CF6876" w:rsidRPr="00881BC8">
        <w:rPr>
          <w:noProof/>
          <w:lang w:val="en-GB"/>
        </w:rPr>
        <w:t>would support the area of action for a successful twinning related to developing a</w:t>
      </w:r>
      <w:r w:rsidR="00C84138" w:rsidRPr="00881BC8">
        <w:rPr>
          <w:noProof/>
          <w:lang w:val="en-GB"/>
        </w:rPr>
        <w:t>n</w:t>
      </w:r>
      <w:r w:rsidR="00CF6876" w:rsidRPr="00881BC8">
        <w:rPr>
          <w:noProof/>
          <w:lang w:val="en-GB"/>
        </w:rPr>
        <w:t xml:space="preserve"> EU regulatory framework with the single market at its heart.</w:t>
      </w:r>
    </w:p>
    <w:p w14:paraId="020A4279" w14:textId="13A507A2" w:rsidR="00B7419D" w:rsidRPr="00881BC8" w:rsidRDefault="007E3FCA" w:rsidP="004835F8">
      <w:pPr>
        <w:pStyle w:val="NormalPara"/>
        <w:rPr>
          <w:noProof/>
          <w:lang w:val="en-GB"/>
        </w:rPr>
      </w:pPr>
      <w:r w:rsidRPr="00881BC8">
        <w:rPr>
          <w:noProof/>
          <w:lang w:val="en-GB"/>
        </w:rPr>
        <w:t xml:space="preserve">More than 70% of businesses never claim interests or compensation when paid late. </w:t>
      </w:r>
      <w:r w:rsidR="0E60E136" w:rsidRPr="00881BC8">
        <w:rPr>
          <w:noProof/>
          <w:lang w:val="en-GB"/>
        </w:rPr>
        <w:t>In the absence of EU action</w:t>
      </w:r>
      <w:r w:rsidR="003B7140" w:rsidRPr="00881BC8">
        <w:rPr>
          <w:noProof/>
          <w:lang w:val="en-GB"/>
        </w:rPr>
        <w:t xml:space="preserve"> with respect to the </w:t>
      </w:r>
      <w:r w:rsidR="00592231" w:rsidRPr="00881BC8">
        <w:rPr>
          <w:noProof/>
          <w:lang w:val="en-GB"/>
        </w:rPr>
        <w:t>LPD</w:t>
      </w:r>
      <w:r w:rsidR="0E60E136" w:rsidRPr="00881BC8">
        <w:rPr>
          <w:noProof/>
          <w:lang w:val="en-GB"/>
        </w:rPr>
        <w:t xml:space="preserve">, businesses </w:t>
      </w:r>
      <w:r w:rsidR="00B01047" w:rsidRPr="00881BC8">
        <w:rPr>
          <w:noProof/>
          <w:lang w:val="en-GB"/>
        </w:rPr>
        <w:t>are likely to continue experienc</w:t>
      </w:r>
      <w:r w:rsidR="00E215C0" w:rsidRPr="00881BC8">
        <w:rPr>
          <w:noProof/>
          <w:lang w:val="en-GB"/>
        </w:rPr>
        <w:t>ing</w:t>
      </w:r>
      <w:r w:rsidR="0E60E136" w:rsidRPr="00881BC8">
        <w:rPr>
          <w:noProof/>
          <w:lang w:val="en-GB"/>
        </w:rPr>
        <w:t xml:space="preserve"> payment delays. The </w:t>
      </w:r>
      <w:r w:rsidR="00B01047" w:rsidRPr="00881BC8">
        <w:rPr>
          <w:noProof/>
          <w:lang w:val="en-GB"/>
        </w:rPr>
        <w:t xml:space="preserve">identified </w:t>
      </w:r>
      <w:r w:rsidR="0E60E136" w:rsidRPr="00881BC8">
        <w:rPr>
          <w:noProof/>
          <w:lang w:val="en-GB"/>
        </w:rPr>
        <w:t xml:space="preserve">weaknesses </w:t>
      </w:r>
      <w:r w:rsidR="00AF1CBC" w:rsidRPr="00881BC8">
        <w:rPr>
          <w:noProof/>
          <w:lang w:val="en-GB"/>
        </w:rPr>
        <w:t xml:space="preserve">of the </w:t>
      </w:r>
      <w:r w:rsidR="00592231" w:rsidRPr="00881BC8">
        <w:rPr>
          <w:noProof/>
          <w:lang w:val="en-GB"/>
        </w:rPr>
        <w:t>LPD</w:t>
      </w:r>
      <w:r w:rsidR="00CD6465" w:rsidRPr="00881BC8">
        <w:rPr>
          <w:noProof/>
          <w:lang w:val="en-GB"/>
        </w:rPr>
        <w:t xml:space="preserve">: </w:t>
      </w:r>
      <w:r w:rsidR="0E60E136" w:rsidRPr="00881BC8">
        <w:rPr>
          <w:noProof/>
          <w:lang w:val="en-GB"/>
        </w:rPr>
        <w:t xml:space="preserve">the </w:t>
      </w:r>
      <w:r w:rsidR="00AF1CBC" w:rsidRPr="00881BC8">
        <w:rPr>
          <w:noProof/>
          <w:lang w:val="en-GB"/>
        </w:rPr>
        <w:t xml:space="preserve">absence of a cap on </w:t>
      </w:r>
      <w:r w:rsidR="00D866FA" w:rsidRPr="00881BC8">
        <w:rPr>
          <w:noProof/>
          <w:lang w:val="en-GB"/>
        </w:rPr>
        <w:t xml:space="preserve">payment terms in </w:t>
      </w:r>
      <w:r w:rsidR="00AF1CBC" w:rsidRPr="00881BC8">
        <w:rPr>
          <w:noProof/>
          <w:lang w:val="en-GB"/>
        </w:rPr>
        <w:t xml:space="preserve">B2B </w:t>
      </w:r>
      <w:r w:rsidR="00D866FA" w:rsidRPr="00881BC8">
        <w:rPr>
          <w:noProof/>
          <w:lang w:val="en-GB"/>
        </w:rPr>
        <w:t>transactions</w:t>
      </w:r>
      <w:r w:rsidR="00AF1CBC" w:rsidRPr="00881BC8">
        <w:rPr>
          <w:noProof/>
          <w:lang w:val="en-GB"/>
        </w:rPr>
        <w:t xml:space="preserve">, </w:t>
      </w:r>
      <w:r w:rsidR="00E95B3B" w:rsidRPr="00881BC8">
        <w:rPr>
          <w:noProof/>
          <w:lang w:val="en-GB"/>
        </w:rPr>
        <w:t>unclear</w:t>
      </w:r>
      <w:r w:rsidR="0E60E136" w:rsidRPr="00881BC8">
        <w:rPr>
          <w:noProof/>
          <w:lang w:val="en-GB"/>
        </w:rPr>
        <w:t xml:space="preserve"> provisions regarding </w:t>
      </w:r>
      <w:r w:rsidR="00AF1CBC" w:rsidRPr="00881BC8">
        <w:rPr>
          <w:noProof/>
          <w:lang w:val="en-GB"/>
        </w:rPr>
        <w:t>unfair payment practices</w:t>
      </w:r>
      <w:r w:rsidR="004405AC" w:rsidRPr="00881BC8">
        <w:rPr>
          <w:noProof/>
          <w:lang w:val="en-GB"/>
        </w:rPr>
        <w:t>,</w:t>
      </w:r>
      <w:r w:rsidR="00AF1CBC" w:rsidRPr="00881BC8">
        <w:rPr>
          <w:noProof/>
          <w:lang w:val="en-GB"/>
        </w:rPr>
        <w:t xml:space="preserve"> t</w:t>
      </w:r>
      <w:r w:rsidR="0E60E136" w:rsidRPr="00881BC8">
        <w:rPr>
          <w:noProof/>
          <w:lang w:val="en-GB"/>
        </w:rPr>
        <w:t>he payment of interest and compensation</w:t>
      </w:r>
      <w:r w:rsidR="00A36314" w:rsidRPr="00881BC8">
        <w:rPr>
          <w:noProof/>
          <w:lang w:val="en-GB"/>
        </w:rPr>
        <w:t xml:space="preserve"> </w:t>
      </w:r>
      <w:r w:rsidR="004405AC" w:rsidRPr="00881BC8">
        <w:rPr>
          <w:noProof/>
          <w:lang w:val="en-GB"/>
        </w:rPr>
        <w:t>and</w:t>
      </w:r>
      <w:r w:rsidR="00A36314" w:rsidRPr="00881BC8">
        <w:rPr>
          <w:noProof/>
          <w:lang w:val="en-GB"/>
        </w:rPr>
        <w:t xml:space="preserve"> the absence of </w:t>
      </w:r>
      <w:r w:rsidR="0085450F" w:rsidRPr="00881BC8">
        <w:rPr>
          <w:noProof/>
          <w:lang w:val="en-GB"/>
        </w:rPr>
        <w:t xml:space="preserve">means for </w:t>
      </w:r>
      <w:r w:rsidR="005A7B45" w:rsidRPr="00881BC8">
        <w:rPr>
          <w:noProof/>
          <w:lang w:val="en-GB"/>
        </w:rPr>
        <w:t xml:space="preserve">monitoring and </w:t>
      </w:r>
      <w:r w:rsidR="0E60E136" w:rsidRPr="00881BC8">
        <w:rPr>
          <w:noProof/>
          <w:lang w:val="en-GB"/>
        </w:rPr>
        <w:t>enforcement</w:t>
      </w:r>
      <w:r w:rsidR="00A36314" w:rsidRPr="00881BC8">
        <w:rPr>
          <w:noProof/>
          <w:lang w:val="en-GB"/>
        </w:rPr>
        <w:t xml:space="preserve">, would continue to </w:t>
      </w:r>
      <w:r w:rsidR="0085450F" w:rsidRPr="00881BC8">
        <w:rPr>
          <w:noProof/>
          <w:lang w:val="en-GB"/>
        </w:rPr>
        <w:t>negatively affect</w:t>
      </w:r>
      <w:r w:rsidR="00A36314" w:rsidRPr="00881BC8">
        <w:rPr>
          <w:noProof/>
          <w:lang w:val="en-GB"/>
        </w:rPr>
        <w:t xml:space="preserve"> the payment performance of companies.</w:t>
      </w:r>
      <w:r w:rsidR="62ACD911" w:rsidRPr="00881BC8">
        <w:rPr>
          <w:noProof/>
          <w:lang w:val="en-GB"/>
        </w:rPr>
        <w:t xml:space="preserve"> </w:t>
      </w:r>
      <w:r w:rsidR="0085450F" w:rsidRPr="00881BC8">
        <w:rPr>
          <w:noProof/>
          <w:lang w:val="en-GB"/>
        </w:rPr>
        <w:t>The fact that</w:t>
      </w:r>
      <w:r w:rsidR="62ACD911" w:rsidRPr="00881BC8">
        <w:rPr>
          <w:noProof/>
          <w:lang w:val="en-GB"/>
        </w:rPr>
        <w:t xml:space="preserve"> the current provisions</w:t>
      </w:r>
      <w:r w:rsidR="00400226" w:rsidRPr="00881BC8">
        <w:rPr>
          <w:noProof/>
          <w:lang w:val="en-GB"/>
        </w:rPr>
        <w:t xml:space="preserve"> do not </w:t>
      </w:r>
      <w:r w:rsidR="00592231" w:rsidRPr="00881BC8">
        <w:rPr>
          <w:noProof/>
          <w:lang w:val="en-GB"/>
        </w:rPr>
        <w:t xml:space="preserve">sufficiently empower </w:t>
      </w:r>
      <w:r w:rsidR="62ACD911" w:rsidRPr="00881BC8">
        <w:rPr>
          <w:noProof/>
          <w:lang w:val="en-GB"/>
        </w:rPr>
        <w:t>the creditor to claim interests and compensations</w:t>
      </w:r>
      <w:r w:rsidR="00592231" w:rsidRPr="00881BC8">
        <w:rPr>
          <w:noProof/>
          <w:lang w:val="en-GB"/>
        </w:rPr>
        <w:t xml:space="preserve"> </w:t>
      </w:r>
      <w:r w:rsidR="62ACD911" w:rsidRPr="00881BC8">
        <w:rPr>
          <w:noProof/>
          <w:lang w:val="en-GB"/>
        </w:rPr>
        <w:t xml:space="preserve">has led to </w:t>
      </w:r>
      <w:r w:rsidR="00DA4EDE" w:rsidRPr="00881BC8">
        <w:rPr>
          <w:noProof/>
          <w:lang w:val="en-GB"/>
        </w:rPr>
        <w:t>a proliferation</w:t>
      </w:r>
      <w:r w:rsidR="62ACD911" w:rsidRPr="00881BC8">
        <w:rPr>
          <w:noProof/>
          <w:lang w:val="en-GB"/>
        </w:rPr>
        <w:t xml:space="preserve"> of national schemes, </w:t>
      </w:r>
      <w:r w:rsidR="00DA4EDE" w:rsidRPr="00881BC8">
        <w:rPr>
          <w:noProof/>
          <w:lang w:val="en-GB"/>
        </w:rPr>
        <w:t>business</w:t>
      </w:r>
      <w:r w:rsidR="62ACD911" w:rsidRPr="00881BC8">
        <w:rPr>
          <w:noProof/>
          <w:lang w:val="en-GB"/>
        </w:rPr>
        <w:t xml:space="preserve"> practices </w:t>
      </w:r>
      <w:r w:rsidR="00D71E01" w:rsidRPr="00881BC8">
        <w:rPr>
          <w:noProof/>
          <w:lang w:val="en-GB"/>
        </w:rPr>
        <w:t xml:space="preserve">or </w:t>
      </w:r>
      <w:r w:rsidR="00DA4EDE" w:rsidRPr="00881BC8">
        <w:rPr>
          <w:noProof/>
          <w:lang w:val="en-GB"/>
        </w:rPr>
        <w:t>contractual</w:t>
      </w:r>
      <w:r w:rsidR="62ACD911" w:rsidRPr="00881BC8">
        <w:rPr>
          <w:noProof/>
          <w:lang w:val="en-GB"/>
        </w:rPr>
        <w:t xml:space="preserve"> clauses whereby </w:t>
      </w:r>
      <w:r w:rsidRPr="00881BC8">
        <w:rPr>
          <w:noProof/>
          <w:lang w:val="en-GB"/>
        </w:rPr>
        <w:t>debtors make re</w:t>
      </w:r>
      <w:r w:rsidR="62ACD911" w:rsidRPr="00881BC8">
        <w:rPr>
          <w:noProof/>
          <w:lang w:val="en-GB"/>
        </w:rPr>
        <w:t xml:space="preserve">payment </w:t>
      </w:r>
      <w:r w:rsidRPr="00881BC8">
        <w:rPr>
          <w:noProof/>
          <w:lang w:val="en-GB"/>
        </w:rPr>
        <w:t>of their debt</w:t>
      </w:r>
      <w:r w:rsidR="62ACD911" w:rsidRPr="00881BC8">
        <w:rPr>
          <w:noProof/>
          <w:lang w:val="en-GB"/>
        </w:rPr>
        <w:t xml:space="preserve"> conditional on creditors’ </w:t>
      </w:r>
      <w:r w:rsidR="000E2707" w:rsidRPr="00881BC8">
        <w:rPr>
          <w:noProof/>
          <w:lang w:val="en-GB"/>
        </w:rPr>
        <w:t>giving up</w:t>
      </w:r>
      <w:r w:rsidR="62ACD911" w:rsidRPr="00881BC8">
        <w:rPr>
          <w:noProof/>
          <w:lang w:val="en-GB"/>
        </w:rPr>
        <w:t xml:space="preserve"> their rights to interests </w:t>
      </w:r>
      <w:r w:rsidR="246CE1DF" w:rsidRPr="00881BC8">
        <w:rPr>
          <w:noProof/>
          <w:lang w:val="en-GB"/>
        </w:rPr>
        <w:t xml:space="preserve">and </w:t>
      </w:r>
      <w:r w:rsidR="62ACD911" w:rsidRPr="00881BC8">
        <w:rPr>
          <w:noProof/>
          <w:lang w:val="en-GB"/>
        </w:rPr>
        <w:t xml:space="preserve">compensation. </w:t>
      </w:r>
      <w:r w:rsidR="000E2707" w:rsidRPr="00881BC8">
        <w:rPr>
          <w:noProof/>
          <w:lang w:val="en-GB"/>
        </w:rPr>
        <w:t>Should</w:t>
      </w:r>
      <w:r w:rsidR="62ACD911" w:rsidRPr="00881BC8">
        <w:rPr>
          <w:noProof/>
          <w:lang w:val="en-GB"/>
        </w:rPr>
        <w:t xml:space="preserve"> the LPD</w:t>
      </w:r>
      <w:r w:rsidR="00DA4EDE" w:rsidRPr="00881BC8">
        <w:rPr>
          <w:noProof/>
          <w:lang w:val="en-GB"/>
        </w:rPr>
        <w:t>’s</w:t>
      </w:r>
      <w:r w:rsidR="62ACD911" w:rsidRPr="00881BC8">
        <w:rPr>
          <w:noProof/>
          <w:lang w:val="en-GB"/>
        </w:rPr>
        <w:t xml:space="preserve"> sanctioning </w:t>
      </w:r>
      <w:r w:rsidR="002D5FC3" w:rsidRPr="00881BC8">
        <w:rPr>
          <w:noProof/>
          <w:lang w:val="en-GB"/>
        </w:rPr>
        <w:t xml:space="preserve">powers </w:t>
      </w:r>
      <w:r w:rsidR="002F389E" w:rsidRPr="00881BC8">
        <w:rPr>
          <w:noProof/>
          <w:lang w:val="en-GB"/>
        </w:rPr>
        <w:t>remain unchanged</w:t>
      </w:r>
      <w:r w:rsidR="62ACD911" w:rsidRPr="00881BC8">
        <w:rPr>
          <w:noProof/>
          <w:lang w:val="en-GB"/>
        </w:rPr>
        <w:t xml:space="preserve">, </w:t>
      </w:r>
      <w:r w:rsidR="007D6082" w:rsidRPr="00881BC8">
        <w:rPr>
          <w:noProof/>
          <w:lang w:val="en-GB"/>
        </w:rPr>
        <w:t>its</w:t>
      </w:r>
      <w:r w:rsidR="00C60A9E" w:rsidRPr="00881BC8">
        <w:rPr>
          <w:noProof/>
          <w:lang w:val="en-GB"/>
        </w:rPr>
        <w:t xml:space="preserve"> </w:t>
      </w:r>
      <w:r w:rsidR="002D5FC3" w:rsidRPr="00881BC8">
        <w:rPr>
          <w:noProof/>
          <w:lang w:val="en-GB"/>
        </w:rPr>
        <w:t>creditor protection provisions</w:t>
      </w:r>
      <w:r w:rsidR="62ACD911" w:rsidRPr="00881BC8">
        <w:rPr>
          <w:noProof/>
          <w:lang w:val="en-GB"/>
        </w:rPr>
        <w:t xml:space="preserve"> will continue to be circumvented. </w:t>
      </w:r>
    </w:p>
    <w:p w14:paraId="6A209DBA" w14:textId="64C38CAE" w:rsidR="000A4783" w:rsidRPr="00881BC8" w:rsidRDefault="00E84D53" w:rsidP="004835F8">
      <w:pPr>
        <w:pStyle w:val="NormalPara"/>
        <w:rPr>
          <w:noProof/>
          <w:lang w:val="en-GB"/>
        </w:rPr>
      </w:pPr>
      <w:r w:rsidRPr="00881BC8">
        <w:rPr>
          <w:noProof/>
          <w:lang w:val="en-GB"/>
        </w:rPr>
        <w:t>Companies do not claim</w:t>
      </w:r>
      <w:r w:rsidR="62ACD911" w:rsidRPr="00881BC8">
        <w:rPr>
          <w:noProof/>
          <w:lang w:val="en-GB"/>
        </w:rPr>
        <w:t xml:space="preserve"> the </w:t>
      </w:r>
      <w:r w:rsidR="003825CB" w:rsidRPr="00881BC8">
        <w:rPr>
          <w:noProof/>
          <w:lang w:val="en-GB"/>
        </w:rPr>
        <w:t>EUR </w:t>
      </w:r>
      <w:r w:rsidR="62ACD911" w:rsidRPr="00881BC8">
        <w:rPr>
          <w:noProof/>
          <w:lang w:val="en-GB"/>
        </w:rPr>
        <w:t xml:space="preserve">40 </w:t>
      </w:r>
      <w:r w:rsidRPr="00881BC8">
        <w:rPr>
          <w:noProof/>
          <w:lang w:val="en-GB"/>
        </w:rPr>
        <w:t xml:space="preserve">flat fee </w:t>
      </w:r>
      <w:r w:rsidR="62ACD911" w:rsidRPr="00881BC8">
        <w:rPr>
          <w:noProof/>
          <w:lang w:val="en-GB"/>
        </w:rPr>
        <w:t>compensation for recovery costs</w:t>
      </w:r>
      <w:r w:rsidR="00B7419D" w:rsidRPr="00881BC8">
        <w:rPr>
          <w:noProof/>
          <w:lang w:val="en-GB"/>
        </w:rPr>
        <w:t>.</w:t>
      </w:r>
      <w:r w:rsidR="62ACD911" w:rsidRPr="00881BC8">
        <w:rPr>
          <w:noProof/>
          <w:lang w:val="en-GB"/>
        </w:rPr>
        <w:t xml:space="preserve"> </w:t>
      </w:r>
      <w:r w:rsidR="00D1447C" w:rsidRPr="00881BC8">
        <w:rPr>
          <w:noProof/>
          <w:lang w:val="en-GB"/>
        </w:rPr>
        <w:t>T</w:t>
      </w:r>
      <w:r w:rsidR="62ACD911" w:rsidRPr="00881BC8">
        <w:rPr>
          <w:noProof/>
          <w:lang w:val="en-GB"/>
        </w:rPr>
        <w:t xml:space="preserve">he </w:t>
      </w:r>
      <w:r w:rsidR="00485B11" w:rsidRPr="00881BC8">
        <w:rPr>
          <w:noProof/>
          <w:lang w:val="en-GB"/>
        </w:rPr>
        <w:t xml:space="preserve">amount of the fee </w:t>
      </w:r>
      <w:r w:rsidR="00195813" w:rsidRPr="00881BC8">
        <w:rPr>
          <w:noProof/>
          <w:lang w:val="en-GB"/>
        </w:rPr>
        <w:t xml:space="preserve">no longer </w:t>
      </w:r>
      <w:r w:rsidR="001A2D71" w:rsidRPr="00881BC8">
        <w:rPr>
          <w:noProof/>
          <w:lang w:val="en-GB"/>
        </w:rPr>
        <w:t>cover</w:t>
      </w:r>
      <w:r w:rsidR="00195813" w:rsidRPr="00881BC8">
        <w:rPr>
          <w:noProof/>
          <w:lang w:val="en-GB"/>
        </w:rPr>
        <w:t>s</w:t>
      </w:r>
      <w:r w:rsidR="001A2D71" w:rsidRPr="00881BC8">
        <w:rPr>
          <w:noProof/>
          <w:lang w:val="en-GB"/>
        </w:rPr>
        <w:t xml:space="preserve"> </w:t>
      </w:r>
      <w:r w:rsidR="00F21E9D" w:rsidRPr="00881BC8">
        <w:rPr>
          <w:noProof/>
          <w:lang w:val="en-GB"/>
        </w:rPr>
        <w:t xml:space="preserve">the hassle cost of </w:t>
      </w:r>
      <w:r w:rsidR="00195813" w:rsidRPr="00881BC8">
        <w:rPr>
          <w:noProof/>
          <w:lang w:val="en-GB"/>
        </w:rPr>
        <w:t>chasing debtors</w:t>
      </w:r>
      <w:r w:rsidR="6F332355" w:rsidRPr="00881BC8">
        <w:rPr>
          <w:noProof/>
          <w:lang w:val="en-GB"/>
        </w:rPr>
        <w:t xml:space="preserve">. </w:t>
      </w:r>
    </w:p>
    <w:p w14:paraId="7108E593" w14:textId="4520F45F" w:rsidR="003834F4" w:rsidRPr="00881BC8" w:rsidRDefault="0045319D" w:rsidP="004835F8">
      <w:pPr>
        <w:pStyle w:val="NormalPara"/>
        <w:rPr>
          <w:noProof/>
          <w:lang w:val="en-GB"/>
        </w:rPr>
      </w:pPr>
      <w:r w:rsidRPr="00881BC8">
        <w:rPr>
          <w:noProof/>
          <w:lang w:val="en-GB"/>
        </w:rPr>
        <w:t>T</w:t>
      </w:r>
      <w:r w:rsidR="003834F4" w:rsidRPr="00881BC8">
        <w:rPr>
          <w:noProof/>
          <w:lang w:val="en-GB"/>
        </w:rPr>
        <w:t xml:space="preserve">he Commission would continue </w:t>
      </w:r>
      <w:r w:rsidR="00FE4B09" w:rsidRPr="00881BC8">
        <w:rPr>
          <w:noProof/>
          <w:lang w:val="en-GB"/>
        </w:rPr>
        <w:t>to</w:t>
      </w:r>
      <w:r w:rsidR="003834F4" w:rsidRPr="00881BC8">
        <w:rPr>
          <w:noProof/>
          <w:lang w:val="en-GB"/>
        </w:rPr>
        <w:t xml:space="preserve"> enforce</w:t>
      </w:r>
      <w:r w:rsidR="00863192" w:rsidRPr="00881BC8">
        <w:rPr>
          <w:noProof/>
          <w:lang w:val="en-GB"/>
        </w:rPr>
        <w:t xml:space="preserve"> the </w:t>
      </w:r>
      <w:r w:rsidR="009D3467" w:rsidRPr="00881BC8">
        <w:rPr>
          <w:noProof/>
          <w:lang w:val="en-GB"/>
        </w:rPr>
        <w:t xml:space="preserve">LPD </w:t>
      </w:r>
      <w:r w:rsidR="00FE1F3F" w:rsidRPr="00881BC8">
        <w:rPr>
          <w:noProof/>
          <w:lang w:val="en-GB"/>
        </w:rPr>
        <w:t>mainly</w:t>
      </w:r>
      <w:r w:rsidR="003834F4" w:rsidRPr="00881BC8">
        <w:rPr>
          <w:noProof/>
          <w:lang w:val="en-GB"/>
        </w:rPr>
        <w:t xml:space="preserve"> </w:t>
      </w:r>
      <w:r w:rsidR="009D3467" w:rsidRPr="00881BC8">
        <w:rPr>
          <w:noProof/>
          <w:lang w:val="en-GB"/>
        </w:rPr>
        <w:t xml:space="preserve">through </w:t>
      </w:r>
      <w:r w:rsidR="003834F4" w:rsidRPr="00881BC8">
        <w:rPr>
          <w:noProof/>
          <w:lang w:val="en-GB"/>
        </w:rPr>
        <w:t>the European Semester</w:t>
      </w:r>
      <w:r w:rsidR="00FE4B09" w:rsidRPr="00881BC8">
        <w:rPr>
          <w:noProof/>
          <w:lang w:val="en-GB"/>
        </w:rPr>
        <w:t>’s</w:t>
      </w:r>
      <w:r w:rsidR="003834F4" w:rsidRPr="00881BC8">
        <w:rPr>
          <w:noProof/>
          <w:lang w:val="en-GB"/>
        </w:rPr>
        <w:t xml:space="preserve"> country specific recommendation</w:t>
      </w:r>
      <w:r w:rsidR="00FE4B09" w:rsidRPr="00881BC8">
        <w:rPr>
          <w:noProof/>
          <w:lang w:val="en-GB"/>
        </w:rPr>
        <w:t>s or</w:t>
      </w:r>
      <w:r w:rsidR="003834F4" w:rsidRPr="00881BC8">
        <w:rPr>
          <w:noProof/>
          <w:lang w:val="en-GB"/>
        </w:rPr>
        <w:t xml:space="preserve"> </w:t>
      </w:r>
      <w:r w:rsidR="009D3467" w:rsidRPr="00881BC8">
        <w:rPr>
          <w:noProof/>
          <w:lang w:val="en-GB"/>
        </w:rPr>
        <w:t xml:space="preserve">through </w:t>
      </w:r>
      <w:r w:rsidR="003834F4" w:rsidRPr="00881BC8">
        <w:rPr>
          <w:noProof/>
          <w:lang w:val="en-GB"/>
        </w:rPr>
        <w:t>infringem</w:t>
      </w:r>
      <w:r w:rsidR="4F396C6A" w:rsidRPr="00881BC8">
        <w:rPr>
          <w:noProof/>
          <w:lang w:val="en-GB"/>
        </w:rPr>
        <w:t>en</w:t>
      </w:r>
      <w:r w:rsidR="003834F4" w:rsidRPr="00881BC8">
        <w:rPr>
          <w:noProof/>
          <w:lang w:val="en-GB"/>
        </w:rPr>
        <w:t xml:space="preserve">t procedures for bad application or incorrect transposition of the </w:t>
      </w:r>
      <w:r w:rsidR="009D3467" w:rsidRPr="00881BC8">
        <w:rPr>
          <w:noProof/>
          <w:lang w:val="en-GB"/>
        </w:rPr>
        <w:t>LPD</w:t>
      </w:r>
      <w:r w:rsidR="003834F4" w:rsidRPr="00881BC8">
        <w:rPr>
          <w:noProof/>
          <w:lang w:val="en-GB"/>
        </w:rPr>
        <w:t xml:space="preserve">. </w:t>
      </w:r>
      <w:r w:rsidR="00BC54D7" w:rsidRPr="00881BC8">
        <w:rPr>
          <w:noProof/>
          <w:lang w:val="en-GB"/>
        </w:rPr>
        <w:t>Both are</w:t>
      </w:r>
      <w:r w:rsidR="003834F4" w:rsidRPr="00881BC8">
        <w:rPr>
          <w:noProof/>
          <w:lang w:val="en-GB"/>
        </w:rPr>
        <w:t xml:space="preserve"> lenghty procedure</w:t>
      </w:r>
      <w:r w:rsidR="00BC54D7" w:rsidRPr="00881BC8">
        <w:rPr>
          <w:noProof/>
          <w:lang w:val="en-GB"/>
        </w:rPr>
        <w:t>s</w:t>
      </w:r>
      <w:r w:rsidR="003834F4" w:rsidRPr="00881BC8">
        <w:rPr>
          <w:noProof/>
          <w:lang w:val="en-GB"/>
        </w:rPr>
        <w:t xml:space="preserve"> </w:t>
      </w:r>
      <w:r w:rsidR="00BC54D7" w:rsidRPr="00881BC8">
        <w:rPr>
          <w:noProof/>
          <w:lang w:val="en-GB"/>
        </w:rPr>
        <w:t>unlikely to</w:t>
      </w:r>
      <w:r w:rsidR="003834F4" w:rsidRPr="00881BC8">
        <w:rPr>
          <w:noProof/>
          <w:lang w:val="en-GB"/>
        </w:rPr>
        <w:t xml:space="preserve"> have the desired effects.</w:t>
      </w:r>
      <w:r w:rsidR="009D3467" w:rsidRPr="00881BC8">
        <w:rPr>
          <w:noProof/>
          <w:lang w:val="en-GB"/>
        </w:rPr>
        <w:t xml:space="preserve"> </w:t>
      </w:r>
      <w:r w:rsidR="00781914" w:rsidRPr="00881BC8">
        <w:rPr>
          <w:noProof/>
          <w:lang w:val="en-GB"/>
        </w:rPr>
        <w:t>In that context, a</w:t>
      </w:r>
      <w:r w:rsidR="003834F4" w:rsidRPr="00881BC8">
        <w:rPr>
          <w:noProof/>
          <w:lang w:val="en-GB"/>
        </w:rPr>
        <w:t xml:space="preserve"> number of Member States have been requested to provide regular reporting on their payment behaviour.</w:t>
      </w:r>
    </w:p>
    <w:p w14:paraId="069D6D8C" w14:textId="4504B079" w:rsidR="003B7140" w:rsidRPr="00881BC8" w:rsidRDefault="009D3467" w:rsidP="004835F8">
      <w:pPr>
        <w:pStyle w:val="NormalPara"/>
        <w:rPr>
          <w:noProof/>
          <w:lang w:val="en-GB"/>
        </w:rPr>
      </w:pPr>
      <w:r w:rsidRPr="00881BC8">
        <w:rPr>
          <w:noProof/>
          <w:lang w:val="en-GB"/>
        </w:rPr>
        <w:t>Since t</w:t>
      </w:r>
      <w:r w:rsidR="009E76F3" w:rsidRPr="00881BC8">
        <w:rPr>
          <w:noProof/>
          <w:lang w:val="en-GB"/>
        </w:rPr>
        <w:t>he problem is not new</w:t>
      </w:r>
      <w:r w:rsidRPr="00881BC8">
        <w:rPr>
          <w:noProof/>
          <w:lang w:val="en-GB"/>
        </w:rPr>
        <w:t xml:space="preserve">, the </w:t>
      </w:r>
      <w:r w:rsidR="00402A24" w:rsidRPr="00881BC8">
        <w:rPr>
          <w:noProof/>
          <w:lang w:val="en-GB"/>
        </w:rPr>
        <w:t xml:space="preserve">EU </w:t>
      </w:r>
      <w:r w:rsidR="003B7140" w:rsidRPr="00881BC8">
        <w:rPr>
          <w:noProof/>
          <w:lang w:val="en-GB"/>
        </w:rPr>
        <w:t xml:space="preserve">initiatives </w:t>
      </w:r>
      <w:r w:rsidRPr="00881BC8">
        <w:rPr>
          <w:noProof/>
          <w:lang w:val="en-GB"/>
        </w:rPr>
        <w:t xml:space="preserve">already </w:t>
      </w:r>
      <w:r w:rsidR="003B7140" w:rsidRPr="00881BC8">
        <w:rPr>
          <w:noProof/>
          <w:lang w:val="en-GB"/>
        </w:rPr>
        <w:t xml:space="preserve">put in place </w:t>
      </w:r>
      <w:r w:rsidR="009E76F3" w:rsidRPr="00881BC8">
        <w:rPr>
          <w:noProof/>
          <w:lang w:val="en-GB"/>
        </w:rPr>
        <w:t xml:space="preserve">to tackle </w:t>
      </w:r>
      <w:r w:rsidR="00646A2A" w:rsidRPr="00881BC8">
        <w:rPr>
          <w:noProof/>
          <w:lang w:val="en-GB"/>
        </w:rPr>
        <w:t xml:space="preserve">the problem </w:t>
      </w:r>
      <w:r w:rsidR="003E6ADE" w:rsidRPr="00881BC8">
        <w:rPr>
          <w:noProof/>
          <w:lang w:val="en-GB"/>
        </w:rPr>
        <w:t xml:space="preserve">of late payment </w:t>
      </w:r>
      <w:r w:rsidR="00155699" w:rsidRPr="00881BC8">
        <w:rPr>
          <w:noProof/>
          <w:lang w:val="en-GB"/>
        </w:rPr>
        <w:t xml:space="preserve">form part </w:t>
      </w:r>
      <w:r w:rsidR="009E76F3" w:rsidRPr="00881BC8">
        <w:rPr>
          <w:noProof/>
          <w:lang w:val="en-GB"/>
        </w:rPr>
        <w:t>of the</w:t>
      </w:r>
      <w:r w:rsidR="003B7140" w:rsidRPr="00881BC8">
        <w:rPr>
          <w:noProof/>
          <w:lang w:val="en-GB"/>
        </w:rPr>
        <w:t xml:space="preserve"> baseline.</w:t>
      </w:r>
      <w:r w:rsidR="00D42F74" w:rsidRPr="00881BC8">
        <w:rPr>
          <w:noProof/>
          <w:lang w:val="en-GB"/>
        </w:rPr>
        <w:t xml:space="preserve"> </w:t>
      </w:r>
      <w:r w:rsidR="00402A24" w:rsidRPr="00881BC8">
        <w:rPr>
          <w:noProof/>
          <w:lang w:val="en-GB"/>
        </w:rPr>
        <w:t xml:space="preserve">Examples </w:t>
      </w:r>
      <w:r w:rsidR="002825C6" w:rsidRPr="00881BC8">
        <w:rPr>
          <w:noProof/>
          <w:lang w:val="en-GB"/>
        </w:rPr>
        <w:t>are set out below.</w:t>
      </w:r>
    </w:p>
    <w:p w14:paraId="204C2505" w14:textId="43791698" w:rsidR="000D44F8" w:rsidRPr="00881BC8" w:rsidRDefault="2B3CC286" w:rsidP="004835F8">
      <w:pPr>
        <w:pStyle w:val="NormalPara"/>
        <w:rPr>
          <w:noProof/>
          <w:sz w:val="22"/>
          <w:szCs w:val="22"/>
          <w:lang w:val="en-GB"/>
        </w:rPr>
      </w:pPr>
      <w:r w:rsidRPr="00881BC8">
        <w:rPr>
          <w:noProof/>
          <w:lang w:val="en-GB"/>
        </w:rPr>
        <w:t xml:space="preserve">The UTP </w:t>
      </w:r>
      <w:r w:rsidR="445FBC3A" w:rsidRPr="00881BC8">
        <w:rPr>
          <w:noProof/>
          <w:lang w:val="en-GB"/>
        </w:rPr>
        <w:t>directive</w:t>
      </w:r>
      <w:r w:rsidRPr="00881BC8">
        <w:rPr>
          <w:noProof/>
          <w:lang w:val="en-GB"/>
        </w:rPr>
        <w:t xml:space="preserve"> </w:t>
      </w:r>
      <w:r w:rsidR="008A1D86" w:rsidRPr="00881BC8">
        <w:rPr>
          <w:noProof/>
          <w:lang w:val="en-GB"/>
        </w:rPr>
        <w:t>(art</w:t>
      </w:r>
      <w:r w:rsidR="00781914" w:rsidRPr="00881BC8">
        <w:rPr>
          <w:noProof/>
          <w:lang w:val="en-GB"/>
        </w:rPr>
        <w:t>icle</w:t>
      </w:r>
      <w:r w:rsidR="008A1D86" w:rsidRPr="00881BC8">
        <w:rPr>
          <w:noProof/>
          <w:lang w:val="en-GB"/>
        </w:rPr>
        <w:t xml:space="preserve"> 1) </w:t>
      </w:r>
      <w:r w:rsidR="281539E6" w:rsidRPr="00881BC8">
        <w:rPr>
          <w:noProof/>
          <w:lang w:val="en-GB"/>
        </w:rPr>
        <w:t>addresse</w:t>
      </w:r>
      <w:r w:rsidR="0E434BEB" w:rsidRPr="00881BC8">
        <w:rPr>
          <w:noProof/>
          <w:lang w:val="en-GB"/>
        </w:rPr>
        <w:t>s</w:t>
      </w:r>
      <w:r w:rsidR="062F6B5E" w:rsidRPr="00881BC8">
        <w:rPr>
          <w:noProof/>
          <w:lang w:val="en-GB"/>
        </w:rPr>
        <w:t xml:space="preserve"> the </w:t>
      </w:r>
      <w:r w:rsidR="0135DAD0" w:rsidRPr="00881BC8">
        <w:rPr>
          <w:noProof/>
          <w:lang w:val="en-GB"/>
        </w:rPr>
        <w:t xml:space="preserve">capping </w:t>
      </w:r>
      <w:r w:rsidR="0E434BEB" w:rsidRPr="00881BC8">
        <w:rPr>
          <w:noProof/>
          <w:lang w:val="en-GB"/>
        </w:rPr>
        <w:t>of</w:t>
      </w:r>
      <w:r w:rsidR="0135DAD0" w:rsidRPr="00881BC8">
        <w:rPr>
          <w:noProof/>
          <w:lang w:val="en-GB"/>
        </w:rPr>
        <w:t xml:space="preserve"> B2B </w:t>
      </w:r>
      <w:r w:rsidR="46E5AF8A" w:rsidRPr="00881BC8">
        <w:rPr>
          <w:noProof/>
          <w:lang w:val="en-GB"/>
        </w:rPr>
        <w:t>payment</w:t>
      </w:r>
      <w:r w:rsidR="0E434BEB" w:rsidRPr="00881BC8">
        <w:rPr>
          <w:noProof/>
          <w:lang w:val="en-GB"/>
        </w:rPr>
        <w:t xml:space="preserve"> term</w:t>
      </w:r>
      <w:r w:rsidR="46E5AF8A" w:rsidRPr="00881BC8">
        <w:rPr>
          <w:noProof/>
          <w:lang w:val="en-GB"/>
        </w:rPr>
        <w:t>s</w:t>
      </w:r>
      <w:r w:rsidR="0135DAD0" w:rsidRPr="00881BC8">
        <w:rPr>
          <w:noProof/>
          <w:lang w:val="en-GB"/>
        </w:rPr>
        <w:t xml:space="preserve"> and </w:t>
      </w:r>
      <w:r w:rsidR="46E5AF8A" w:rsidRPr="00881BC8">
        <w:rPr>
          <w:noProof/>
          <w:lang w:val="en-GB"/>
        </w:rPr>
        <w:t>clarifi</w:t>
      </w:r>
      <w:r w:rsidR="0E434BEB" w:rsidRPr="00881BC8">
        <w:rPr>
          <w:noProof/>
          <w:lang w:val="en-GB"/>
        </w:rPr>
        <w:t>es</w:t>
      </w:r>
      <w:r w:rsidR="46E5AF8A" w:rsidRPr="00881BC8">
        <w:rPr>
          <w:noProof/>
          <w:lang w:val="en-GB"/>
        </w:rPr>
        <w:t xml:space="preserve"> </w:t>
      </w:r>
      <w:r w:rsidR="7D739265" w:rsidRPr="00881BC8">
        <w:rPr>
          <w:noProof/>
          <w:lang w:val="en-GB"/>
        </w:rPr>
        <w:t>what</w:t>
      </w:r>
      <w:r w:rsidR="062F6B5E" w:rsidRPr="00881BC8">
        <w:rPr>
          <w:noProof/>
          <w:lang w:val="en-GB"/>
        </w:rPr>
        <w:t xml:space="preserve"> </w:t>
      </w:r>
      <w:r w:rsidR="00D2380A" w:rsidRPr="00881BC8">
        <w:rPr>
          <w:noProof/>
          <w:lang w:val="en-GB"/>
        </w:rPr>
        <w:t xml:space="preserve">are practices that ‘grossly deviate from good commercial conduct’, which can be used as a proxy for understanding what </w:t>
      </w:r>
      <w:r w:rsidR="062F6B5E" w:rsidRPr="00881BC8">
        <w:rPr>
          <w:noProof/>
          <w:lang w:val="en-GB"/>
        </w:rPr>
        <w:t>‘grossly unfair’</w:t>
      </w:r>
      <w:r w:rsidR="7D739265" w:rsidRPr="00881BC8">
        <w:rPr>
          <w:noProof/>
          <w:lang w:val="en-GB"/>
        </w:rPr>
        <w:t xml:space="preserve"> means</w:t>
      </w:r>
      <w:r w:rsidR="4A12DCDF" w:rsidRPr="00881BC8">
        <w:rPr>
          <w:noProof/>
          <w:lang w:val="en-GB"/>
        </w:rPr>
        <w:t>.</w:t>
      </w:r>
      <w:r w:rsidR="49622B09" w:rsidRPr="00881BC8">
        <w:rPr>
          <w:noProof/>
          <w:lang w:val="en-GB"/>
        </w:rPr>
        <w:t xml:space="preserve"> EU countries were required to transpose the </w:t>
      </w:r>
      <w:r w:rsidR="00FC45F4" w:rsidRPr="00881BC8">
        <w:rPr>
          <w:noProof/>
          <w:lang w:val="en-GB"/>
        </w:rPr>
        <w:t>d</w:t>
      </w:r>
      <w:r w:rsidR="49622B09" w:rsidRPr="00881BC8">
        <w:rPr>
          <w:noProof/>
          <w:lang w:val="en-GB"/>
        </w:rPr>
        <w:t>irective into national law by 1 May 2021 and apply it six months</w:t>
      </w:r>
      <w:r w:rsidR="550216A3" w:rsidRPr="00881BC8">
        <w:rPr>
          <w:noProof/>
          <w:lang w:val="en-GB"/>
        </w:rPr>
        <w:t xml:space="preserve"> </w:t>
      </w:r>
      <w:r w:rsidR="00CC7102" w:rsidRPr="00881BC8">
        <w:rPr>
          <w:noProof/>
          <w:lang w:val="en-GB"/>
        </w:rPr>
        <w:t>after</w:t>
      </w:r>
      <w:r w:rsidR="4A12DCDF" w:rsidRPr="00881BC8">
        <w:rPr>
          <w:noProof/>
          <w:lang w:val="en-GB"/>
        </w:rPr>
        <w:t>.</w:t>
      </w:r>
      <w:r w:rsidR="49622B09" w:rsidRPr="00881BC8">
        <w:rPr>
          <w:noProof/>
          <w:lang w:val="en-GB"/>
        </w:rPr>
        <w:t xml:space="preserve"> It aims to </w:t>
      </w:r>
      <w:r w:rsidR="516728D6" w:rsidRPr="00881BC8">
        <w:rPr>
          <w:noProof/>
          <w:lang w:val="en-GB"/>
        </w:rPr>
        <w:t>better protect</w:t>
      </w:r>
      <w:r w:rsidR="49622B09" w:rsidRPr="00881BC8">
        <w:rPr>
          <w:noProof/>
          <w:lang w:val="en-GB"/>
        </w:rPr>
        <w:t xml:space="preserve"> farmers </w:t>
      </w:r>
      <w:r w:rsidR="516728D6" w:rsidRPr="00881BC8">
        <w:rPr>
          <w:noProof/>
          <w:lang w:val="en-GB"/>
        </w:rPr>
        <w:t xml:space="preserve">and </w:t>
      </w:r>
      <w:r w:rsidR="49622B09" w:rsidRPr="00881BC8">
        <w:rPr>
          <w:noProof/>
          <w:lang w:val="en-GB"/>
        </w:rPr>
        <w:t>small and medium sized suppliers</w:t>
      </w:r>
      <w:r w:rsidR="00FC45F4" w:rsidRPr="00881BC8">
        <w:rPr>
          <w:noProof/>
          <w:lang w:val="en-GB"/>
        </w:rPr>
        <w:t xml:space="preserve"> in the agro-food sector</w:t>
      </w:r>
      <w:r w:rsidR="6BB377BC" w:rsidRPr="00881BC8">
        <w:rPr>
          <w:noProof/>
          <w:lang w:val="en-GB"/>
        </w:rPr>
        <w:t>. It</w:t>
      </w:r>
      <w:r w:rsidR="00FC45F4" w:rsidRPr="00881BC8">
        <w:rPr>
          <w:noProof/>
          <w:lang w:val="en-GB"/>
        </w:rPr>
        <w:t xml:space="preserve"> </w:t>
      </w:r>
      <w:r w:rsidR="4A12DCDF" w:rsidRPr="00881BC8">
        <w:rPr>
          <w:noProof/>
          <w:lang w:val="en-GB"/>
        </w:rPr>
        <w:t>provid</w:t>
      </w:r>
      <w:r w:rsidR="6BB377BC" w:rsidRPr="00881BC8">
        <w:rPr>
          <w:noProof/>
          <w:lang w:val="en-GB"/>
        </w:rPr>
        <w:t>es</w:t>
      </w:r>
      <w:r w:rsidR="49622B09" w:rsidRPr="00881BC8">
        <w:rPr>
          <w:noProof/>
          <w:lang w:val="en-GB"/>
        </w:rPr>
        <w:t xml:space="preserve"> </w:t>
      </w:r>
      <w:r w:rsidR="00FC45F4" w:rsidRPr="00881BC8">
        <w:rPr>
          <w:noProof/>
          <w:lang w:val="en-GB"/>
        </w:rPr>
        <w:t xml:space="preserve">for </w:t>
      </w:r>
      <w:r w:rsidR="49622B09" w:rsidRPr="00881BC8">
        <w:rPr>
          <w:noProof/>
          <w:lang w:val="en-GB"/>
        </w:rPr>
        <w:t>mandatory rules that outlaw certain unfair trading practices</w:t>
      </w:r>
      <w:r w:rsidR="00FC45F4" w:rsidRPr="00881BC8">
        <w:rPr>
          <w:noProof/>
          <w:lang w:val="en-GB"/>
        </w:rPr>
        <w:t xml:space="preserve">. </w:t>
      </w:r>
      <w:r w:rsidR="00DD4670" w:rsidRPr="00881BC8">
        <w:rPr>
          <w:noProof/>
          <w:lang w:val="en-GB"/>
        </w:rPr>
        <w:t>It bans 10 unfair trading practices and lists further 6 unfair trading practices, which are only allowed if the supplier and the buyer agree on them beforehand in a clear and unambigious manner. Such practices include unfair payment terms, and provide for enforcement and fines.</w:t>
      </w:r>
    </w:p>
    <w:p w14:paraId="1527340A" w14:textId="1D3B7A2E" w:rsidR="000D44F8" w:rsidRPr="00881BC8" w:rsidRDefault="00FC45F4" w:rsidP="004835F8">
      <w:pPr>
        <w:pStyle w:val="NormalPara"/>
        <w:rPr>
          <w:noProof/>
          <w:lang w:val="en-GB"/>
        </w:rPr>
      </w:pPr>
      <w:r w:rsidRPr="00881BC8">
        <w:rPr>
          <w:noProof/>
          <w:lang w:val="en-GB"/>
        </w:rPr>
        <w:t xml:space="preserve">Several </w:t>
      </w:r>
      <w:r w:rsidR="00523488" w:rsidRPr="00881BC8">
        <w:rPr>
          <w:noProof/>
          <w:lang w:val="en-GB"/>
        </w:rPr>
        <w:t xml:space="preserve">court rulings </w:t>
      </w:r>
      <w:r w:rsidR="00CC7102" w:rsidRPr="00881BC8">
        <w:rPr>
          <w:noProof/>
          <w:lang w:val="en-GB"/>
        </w:rPr>
        <w:t xml:space="preserve">linked to the LPD </w:t>
      </w:r>
      <w:r w:rsidR="00523488" w:rsidRPr="00881BC8">
        <w:rPr>
          <w:noProof/>
          <w:lang w:val="en-GB"/>
        </w:rPr>
        <w:t>have given guidance on the interpretation</w:t>
      </w:r>
      <w:r w:rsidR="0069293A" w:rsidRPr="00881BC8">
        <w:rPr>
          <w:noProof/>
          <w:lang w:val="en-GB"/>
        </w:rPr>
        <w:t xml:space="preserve"> </w:t>
      </w:r>
      <w:r w:rsidR="00523488" w:rsidRPr="00881BC8">
        <w:rPr>
          <w:noProof/>
          <w:lang w:val="en-GB"/>
        </w:rPr>
        <w:t xml:space="preserve">of the interest and compensation claims, </w:t>
      </w:r>
      <w:r w:rsidR="00562DD2" w:rsidRPr="00881BC8">
        <w:rPr>
          <w:noProof/>
          <w:lang w:val="en-GB"/>
        </w:rPr>
        <w:t>(see</w:t>
      </w:r>
      <w:r w:rsidR="00523488" w:rsidRPr="00881BC8">
        <w:rPr>
          <w:noProof/>
          <w:lang w:val="en-GB"/>
        </w:rPr>
        <w:t xml:space="preserve"> section</w:t>
      </w:r>
      <w:r w:rsidRPr="00881BC8">
        <w:rPr>
          <w:noProof/>
          <w:lang w:val="en-GB"/>
        </w:rPr>
        <w:t xml:space="preserve"> </w:t>
      </w:r>
      <w:r w:rsidR="005851F4">
        <w:rPr>
          <w:noProof/>
          <w:lang w:val="en-GB"/>
        </w:rPr>
        <w:t>1.3</w:t>
      </w:r>
      <w:r w:rsidR="00781914" w:rsidRPr="00881BC8">
        <w:rPr>
          <w:noProof/>
          <w:lang w:val="en-GB"/>
        </w:rPr>
        <w:t xml:space="preserve"> and </w:t>
      </w:r>
      <w:r w:rsidR="00781914" w:rsidRPr="00881BC8">
        <w:rPr>
          <w:noProof/>
          <w:lang w:val="en-GB"/>
        </w:rPr>
        <w:fldChar w:fldCharType="begin"/>
      </w:r>
      <w:r w:rsidR="00781914" w:rsidRPr="00881BC8">
        <w:rPr>
          <w:noProof/>
          <w:lang w:val="en-GB"/>
        </w:rPr>
        <w:instrText xml:space="preserve"> REF Annex11 \h </w:instrText>
      </w:r>
      <w:r w:rsidR="00781914" w:rsidRPr="00881BC8">
        <w:rPr>
          <w:noProof/>
          <w:lang w:val="en-GB"/>
        </w:rPr>
      </w:r>
      <w:r w:rsidR="00781914" w:rsidRPr="00881BC8">
        <w:rPr>
          <w:noProof/>
          <w:lang w:val="en-GB"/>
        </w:rPr>
        <w:fldChar w:fldCharType="separate"/>
      </w:r>
      <w:r w:rsidR="005851F4" w:rsidRPr="00881BC8">
        <w:rPr>
          <w:noProof/>
        </w:rPr>
        <w:t>Annex 11</w:t>
      </w:r>
      <w:r w:rsidR="00781914" w:rsidRPr="00881BC8">
        <w:rPr>
          <w:noProof/>
          <w:lang w:val="en-GB"/>
        </w:rPr>
        <w:fldChar w:fldCharType="end"/>
      </w:r>
      <w:r w:rsidR="00562DD2" w:rsidRPr="00881BC8">
        <w:rPr>
          <w:noProof/>
          <w:lang w:val="en-GB"/>
        </w:rPr>
        <w:t>)</w:t>
      </w:r>
      <w:r w:rsidR="00523488" w:rsidRPr="00881BC8">
        <w:rPr>
          <w:noProof/>
          <w:lang w:val="en-GB"/>
        </w:rPr>
        <w:t>.</w:t>
      </w:r>
      <w:r w:rsidRPr="00881BC8">
        <w:rPr>
          <w:noProof/>
          <w:lang w:val="en-GB"/>
        </w:rPr>
        <w:t xml:space="preserve"> </w:t>
      </w:r>
      <w:r w:rsidR="00402A24" w:rsidRPr="00881BC8">
        <w:rPr>
          <w:noProof/>
          <w:lang w:val="en-GB"/>
        </w:rPr>
        <w:t>It is preferable to</w:t>
      </w:r>
      <w:r w:rsidR="005A7B45" w:rsidRPr="00881BC8">
        <w:rPr>
          <w:noProof/>
          <w:lang w:val="en-GB"/>
        </w:rPr>
        <w:t xml:space="preserve"> reflect</w:t>
      </w:r>
      <w:r w:rsidR="00D11588" w:rsidRPr="00881BC8">
        <w:rPr>
          <w:noProof/>
          <w:lang w:val="en-GB"/>
        </w:rPr>
        <w:t xml:space="preserve"> them</w:t>
      </w:r>
      <w:r w:rsidR="005A7B45" w:rsidRPr="00881BC8">
        <w:rPr>
          <w:noProof/>
          <w:lang w:val="en-GB"/>
        </w:rPr>
        <w:t xml:space="preserve"> in the wording of the </w:t>
      </w:r>
      <w:r w:rsidR="00F31A50" w:rsidRPr="00881BC8">
        <w:rPr>
          <w:noProof/>
          <w:lang w:val="en-GB"/>
        </w:rPr>
        <w:t>LPD</w:t>
      </w:r>
      <w:r w:rsidR="00D11588" w:rsidRPr="00881BC8">
        <w:rPr>
          <w:noProof/>
          <w:lang w:val="en-GB"/>
        </w:rPr>
        <w:t xml:space="preserve"> to make it easier for</w:t>
      </w:r>
      <w:r w:rsidR="005A7B45" w:rsidRPr="00881BC8">
        <w:rPr>
          <w:noProof/>
          <w:lang w:val="en-GB"/>
        </w:rPr>
        <w:t xml:space="preserve"> companies to secure </w:t>
      </w:r>
      <w:r w:rsidR="00F71D1B" w:rsidRPr="00881BC8">
        <w:rPr>
          <w:noProof/>
          <w:lang w:val="en-GB"/>
        </w:rPr>
        <w:t>their rights</w:t>
      </w:r>
      <w:r w:rsidR="005A7B45" w:rsidRPr="00881BC8">
        <w:rPr>
          <w:noProof/>
          <w:lang w:val="en-GB"/>
        </w:rPr>
        <w:t>.</w:t>
      </w:r>
    </w:p>
    <w:p w14:paraId="00B9A95C" w14:textId="0D1E5A56" w:rsidR="00D02956" w:rsidRPr="00881BC8" w:rsidRDefault="000A149D" w:rsidP="004835F8">
      <w:pPr>
        <w:pStyle w:val="NormalPara"/>
        <w:rPr>
          <w:noProof/>
          <w:lang w:val="en-GB"/>
        </w:rPr>
      </w:pPr>
      <w:r w:rsidRPr="00881BC8">
        <w:rPr>
          <w:noProof/>
          <w:lang w:val="en-GB"/>
        </w:rPr>
        <w:t>A</w:t>
      </w:r>
      <w:r w:rsidR="00690D26" w:rsidRPr="00881BC8">
        <w:rPr>
          <w:noProof/>
          <w:lang w:val="en-GB"/>
        </w:rPr>
        <w:t xml:space="preserve"> </w:t>
      </w:r>
      <w:r w:rsidRPr="00881BC8">
        <w:rPr>
          <w:noProof/>
          <w:lang w:val="en-GB"/>
        </w:rPr>
        <w:t xml:space="preserve">pilot project for a temporary EU Observatory for late payments </w:t>
      </w:r>
      <w:r w:rsidR="004A58C7" w:rsidRPr="00881BC8">
        <w:rPr>
          <w:noProof/>
          <w:lang w:val="en-GB"/>
        </w:rPr>
        <w:t xml:space="preserve">was </w:t>
      </w:r>
      <w:r w:rsidR="00690D26" w:rsidRPr="00881BC8">
        <w:rPr>
          <w:noProof/>
          <w:lang w:val="en-GB"/>
        </w:rPr>
        <w:t xml:space="preserve">launched </w:t>
      </w:r>
      <w:r w:rsidR="004A58C7" w:rsidRPr="00881BC8">
        <w:rPr>
          <w:noProof/>
          <w:lang w:val="en-GB"/>
        </w:rPr>
        <w:t xml:space="preserve">in 2023 </w:t>
      </w:r>
      <w:r w:rsidRPr="00881BC8">
        <w:rPr>
          <w:noProof/>
          <w:lang w:val="en-GB"/>
        </w:rPr>
        <w:t xml:space="preserve">to </w:t>
      </w:r>
      <w:r w:rsidR="74F54CC0" w:rsidRPr="00881BC8">
        <w:rPr>
          <w:noProof/>
          <w:lang w:val="en-GB"/>
        </w:rPr>
        <w:t xml:space="preserve">support the monitoring of compliance </w:t>
      </w:r>
      <w:r w:rsidR="1C851A75" w:rsidRPr="00881BC8">
        <w:rPr>
          <w:noProof/>
          <w:lang w:val="en-GB"/>
        </w:rPr>
        <w:t>with</w:t>
      </w:r>
      <w:r w:rsidR="74F54CC0" w:rsidRPr="00881BC8">
        <w:rPr>
          <w:noProof/>
          <w:lang w:val="en-GB"/>
        </w:rPr>
        <w:t xml:space="preserve"> payment terms and transparency on payment performance</w:t>
      </w:r>
      <w:r w:rsidR="1C851A75" w:rsidRPr="00881BC8">
        <w:rPr>
          <w:noProof/>
          <w:lang w:val="en-GB"/>
        </w:rPr>
        <w:t>, such as</w:t>
      </w:r>
      <w:r w:rsidR="74F54CC0" w:rsidRPr="00881BC8">
        <w:rPr>
          <w:noProof/>
          <w:lang w:val="en-GB"/>
        </w:rPr>
        <w:t xml:space="preserve"> collection of statistics on average payment periods or average payment terms in B2B and G2B transactions</w:t>
      </w:r>
      <w:r w:rsidR="004A58C7" w:rsidRPr="00881BC8">
        <w:rPr>
          <w:noProof/>
          <w:lang w:val="en-GB"/>
        </w:rPr>
        <w:t xml:space="preserve"> (see </w:t>
      </w:r>
      <w:r w:rsidR="004A58C7" w:rsidRPr="00881BC8">
        <w:rPr>
          <w:noProof/>
          <w:lang w:val="en-GB"/>
        </w:rPr>
        <w:fldChar w:fldCharType="begin"/>
      </w:r>
      <w:r w:rsidR="004A58C7" w:rsidRPr="00881BC8">
        <w:rPr>
          <w:noProof/>
          <w:lang w:val="en-GB"/>
        </w:rPr>
        <w:instrText xml:space="preserve"> REF Annex07 \h </w:instrText>
      </w:r>
      <w:r w:rsidR="004A58C7" w:rsidRPr="00881BC8">
        <w:rPr>
          <w:noProof/>
          <w:lang w:val="en-GB"/>
        </w:rPr>
      </w:r>
      <w:r w:rsidR="004A58C7" w:rsidRPr="00881BC8">
        <w:rPr>
          <w:noProof/>
          <w:lang w:val="en-GB"/>
        </w:rPr>
        <w:fldChar w:fldCharType="separate"/>
      </w:r>
      <w:r w:rsidR="005851F4" w:rsidRPr="00881BC8">
        <w:rPr>
          <w:noProof/>
        </w:rPr>
        <w:t>Annex 7</w:t>
      </w:r>
      <w:r w:rsidR="004A58C7" w:rsidRPr="00881BC8">
        <w:rPr>
          <w:noProof/>
          <w:lang w:val="en-GB"/>
        </w:rPr>
        <w:fldChar w:fldCharType="end"/>
      </w:r>
      <w:r w:rsidR="004A58C7" w:rsidRPr="00881BC8">
        <w:rPr>
          <w:noProof/>
          <w:lang w:val="en-GB"/>
        </w:rPr>
        <w:t>)</w:t>
      </w:r>
      <w:r w:rsidR="74F54CC0" w:rsidRPr="00881BC8">
        <w:rPr>
          <w:noProof/>
          <w:lang w:val="en-GB"/>
        </w:rPr>
        <w:t xml:space="preserve">. </w:t>
      </w:r>
      <w:r w:rsidR="00690D26" w:rsidRPr="00881BC8">
        <w:rPr>
          <w:noProof/>
          <w:lang w:val="en-GB"/>
        </w:rPr>
        <w:t>The project relies on voluntary data provision</w:t>
      </w:r>
      <w:r w:rsidR="00146B5E" w:rsidRPr="00881BC8">
        <w:rPr>
          <w:noProof/>
          <w:lang w:val="en-GB"/>
        </w:rPr>
        <w:t xml:space="preserve"> </w:t>
      </w:r>
      <w:r w:rsidR="00690D26" w:rsidRPr="00881BC8">
        <w:rPr>
          <w:noProof/>
          <w:lang w:val="en-GB"/>
        </w:rPr>
        <w:t>and builds on national and sectoral databases, leading to issues of coherence and comparability of data.</w:t>
      </w:r>
      <w:r w:rsidR="00A93DDC" w:rsidRPr="00881BC8">
        <w:rPr>
          <w:noProof/>
          <w:lang w:val="en-GB"/>
        </w:rPr>
        <w:t xml:space="preserve"> </w:t>
      </w:r>
      <w:r w:rsidR="1C851A75" w:rsidRPr="00881BC8">
        <w:rPr>
          <w:noProof/>
          <w:lang w:val="en-GB"/>
        </w:rPr>
        <w:t>T</w:t>
      </w:r>
      <w:r w:rsidR="3CE0EF26" w:rsidRPr="00881BC8">
        <w:rPr>
          <w:noProof/>
          <w:lang w:val="en-GB"/>
        </w:rPr>
        <w:t>he</w:t>
      </w:r>
      <w:r w:rsidR="60FBF1EE" w:rsidRPr="00881BC8">
        <w:rPr>
          <w:noProof/>
          <w:lang w:val="en-GB"/>
        </w:rPr>
        <w:t xml:space="preserve"> European construction sector observatory (ECSO)</w:t>
      </w:r>
      <w:r w:rsidR="00D42F74" w:rsidRPr="00881BC8">
        <w:rPr>
          <w:rStyle w:val="FootnoteReference"/>
          <w:noProof/>
          <w:lang w:val="en-GB"/>
        </w:rPr>
        <w:footnoteReference w:id="70"/>
      </w:r>
      <w:r w:rsidR="60FBF1EE" w:rsidRPr="00881BC8">
        <w:rPr>
          <w:rStyle w:val="FootnoteReference"/>
          <w:noProof/>
          <w:lang w:val="en-GB"/>
        </w:rPr>
        <w:t xml:space="preserve"> </w:t>
      </w:r>
      <w:r w:rsidR="60FBF1EE" w:rsidRPr="00881BC8">
        <w:rPr>
          <w:noProof/>
          <w:lang w:val="en-GB"/>
        </w:rPr>
        <w:t xml:space="preserve">regularly analyses and </w:t>
      </w:r>
      <w:r w:rsidR="3CE0EF26" w:rsidRPr="00881BC8">
        <w:rPr>
          <w:noProof/>
          <w:lang w:val="en-GB"/>
        </w:rPr>
        <w:t>comparative</w:t>
      </w:r>
      <w:r w:rsidR="1C851A75" w:rsidRPr="00881BC8">
        <w:rPr>
          <w:noProof/>
          <w:lang w:val="en-GB"/>
        </w:rPr>
        <w:t>l</w:t>
      </w:r>
      <w:r w:rsidR="5906759F" w:rsidRPr="00881BC8">
        <w:rPr>
          <w:noProof/>
          <w:lang w:val="en-GB"/>
        </w:rPr>
        <w:t>y</w:t>
      </w:r>
      <w:r w:rsidR="3CE0EF26" w:rsidRPr="00881BC8">
        <w:rPr>
          <w:noProof/>
          <w:lang w:val="en-GB"/>
        </w:rPr>
        <w:t xml:space="preserve"> </w:t>
      </w:r>
      <w:r w:rsidR="5906759F" w:rsidRPr="00881BC8">
        <w:rPr>
          <w:noProof/>
          <w:lang w:val="en-GB"/>
        </w:rPr>
        <w:t xml:space="preserve">assesses </w:t>
      </w:r>
      <w:r w:rsidR="00980C6C" w:rsidRPr="00881BC8">
        <w:rPr>
          <w:noProof/>
          <w:lang w:val="en-GB"/>
        </w:rPr>
        <w:t xml:space="preserve">payment performance </w:t>
      </w:r>
      <w:r w:rsidR="5906759F" w:rsidRPr="00881BC8">
        <w:rPr>
          <w:noProof/>
          <w:lang w:val="en-GB"/>
        </w:rPr>
        <w:t>i</w:t>
      </w:r>
      <w:r w:rsidR="3CE0EF26" w:rsidRPr="00881BC8">
        <w:rPr>
          <w:noProof/>
          <w:lang w:val="en-GB"/>
        </w:rPr>
        <w:t>n</w:t>
      </w:r>
      <w:r w:rsidR="60FBF1EE" w:rsidRPr="00881BC8">
        <w:rPr>
          <w:noProof/>
          <w:lang w:val="en-GB"/>
        </w:rPr>
        <w:t xml:space="preserve"> the construction sector in 27 EU countries and the UK</w:t>
      </w:r>
      <w:r w:rsidR="00980C6C" w:rsidRPr="00881BC8">
        <w:rPr>
          <w:noProof/>
          <w:lang w:val="en-GB"/>
        </w:rPr>
        <w:t>.</w:t>
      </w:r>
      <w:r w:rsidR="60FBF1EE" w:rsidRPr="00881BC8">
        <w:rPr>
          <w:noProof/>
          <w:lang w:val="en-GB"/>
        </w:rPr>
        <w:t xml:space="preserve"> </w:t>
      </w:r>
    </w:p>
    <w:p w14:paraId="037BAC27" w14:textId="6A2BE73B" w:rsidR="00C21616" w:rsidRPr="00881BC8" w:rsidRDefault="4FE8A71A" w:rsidP="004835F8">
      <w:pPr>
        <w:pStyle w:val="NormalPara"/>
        <w:rPr>
          <w:noProof/>
          <w:lang w:val="en-GB"/>
        </w:rPr>
      </w:pPr>
      <w:r w:rsidRPr="00881BC8">
        <w:rPr>
          <w:noProof/>
          <w:lang w:val="en-GB"/>
        </w:rPr>
        <w:t>T</w:t>
      </w:r>
      <w:r w:rsidR="5249DEDD" w:rsidRPr="00881BC8">
        <w:rPr>
          <w:noProof/>
          <w:lang w:val="en-GB"/>
        </w:rPr>
        <w:t>he</w:t>
      </w:r>
      <w:r w:rsidR="6DFD9CBA" w:rsidRPr="00881BC8">
        <w:rPr>
          <w:noProof/>
          <w:lang w:val="en-GB"/>
        </w:rPr>
        <w:t xml:space="preserve"> Corporate </w:t>
      </w:r>
      <w:r w:rsidR="40C8A5F4" w:rsidRPr="00881BC8">
        <w:rPr>
          <w:noProof/>
          <w:lang w:val="en-GB"/>
        </w:rPr>
        <w:t>S</w:t>
      </w:r>
      <w:r w:rsidR="7C322BD0" w:rsidRPr="00881BC8">
        <w:rPr>
          <w:noProof/>
          <w:lang w:val="en-GB"/>
        </w:rPr>
        <w:t>ustainability</w:t>
      </w:r>
      <w:r w:rsidR="40C8A5F4" w:rsidRPr="00881BC8">
        <w:rPr>
          <w:noProof/>
          <w:lang w:val="en-GB"/>
        </w:rPr>
        <w:t xml:space="preserve"> Re</w:t>
      </w:r>
      <w:r w:rsidR="21E575E9" w:rsidRPr="00881BC8">
        <w:rPr>
          <w:noProof/>
          <w:lang w:val="en-GB"/>
        </w:rPr>
        <w:t>porting</w:t>
      </w:r>
      <w:r w:rsidR="40C8A5F4" w:rsidRPr="00881BC8">
        <w:rPr>
          <w:noProof/>
          <w:lang w:val="en-GB"/>
        </w:rPr>
        <w:t xml:space="preserve"> Directive</w:t>
      </w:r>
      <w:r w:rsidR="00C21616" w:rsidRPr="00881BC8">
        <w:rPr>
          <w:rStyle w:val="FootnoteReference"/>
          <w:rFonts w:eastAsia="Times New Roman"/>
          <w:noProof/>
          <w:lang w:val="en-GB"/>
        </w:rPr>
        <w:footnoteReference w:id="71"/>
      </w:r>
      <w:r w:rsidR="577A2B94" w:rsidRPr="00881BC8">
        <w:rPr>
          <w:noProof/>
          <w:lang w:val="en-GB"/>
        </w:rPr>
        <w:t xml:space="preserve"> (see </w:t>
      </w:r>
      <w:r w:rsidR="00C91F9F" w:rsidRPr="00881BC8">
        <w:rPr>
          <w:noProof/>
          <w:lang w:val="en-GB"/>
        </w:rPr>
        <w:fldChar w:fldCharType="begin"/>
      </w:r>
      <w:r w:rsidR="00C91F9F" w:rsidRPr="00881BC8">
        <w:rPr>
          <w:noProof/>
          <w:lang w:val="en-GB"/>
        </w:rPr>
        <w:instrText xml:space="preserve"> REF Annex14 \h </w:instrText>
      </w:r>
      <w:r w:rsidR="00933295" w:rsidRPr="00881BC8">
        <w:rPr>
          <w:noProof/>
          <w:lang w:val="en-GB"/>
        </w:rPr>
        <w:instrText xml:space="preserve"> \* MERGEFORMAT </w:instrText>
      </w:r>
      <w:r w:rsidR="00C91F9F" w:rsidRPr="00881BC8">
        <w:rPr>
          <w:noProof/>
          <w:lang w:val="en-GB"/>
        </w:rPr>
      </w:r>
      <w:r w:rsidR="00C91F9F" w:rsidRPr="00881BC8">
        <w:rPr>
          <w:noProof/>
          <w:lang w:val="en-GB"/>
        </w:rPr>
        <w:fldChar w:fldCharType="separate"/>
      </w:r>
      <w:r w:rsidR="005851F4" w:rsidRPr="005851F4">
        <w:rPr>
          <w:noProof/>
          <w:lang w:val="en-GB"/>
        </w:rPr>
        <w:t>Annex 14</w:t>
      </w:r>
      <w:r w:rsidR="00C91F9F" w:rsidRPr="00881BC8">
        <w:rPr>
          <w:noProof/>
          <w:lang w:val="en-GB"/>
        </w:rPr>
        <w:fldChar w:fldCharType="end"/>
      </w:r>
      <w:r w:rsidR="577A2B94" w:rsidRPr="00881BC8">
        <w:rPr>
          <w:noProof/>
          <w:lang w:val="en-GB"/>
        </w:rPr>
        <w:t>)</w:t>
      </w:r>
      <w:r w:rsidR="383FFF92" w:rsidRPr="00881BC8">
        <w:rPr>
          <w:noProof/>
          <w:lang w:val="en-GB"/>
        </w:rPr>
        <w:t xml:space="preserve"> </w:t>
      </w:r>
      <w:r w:rsidR="40C8A5F4" w:rsidRPr="00881BC8">
        <w:rPr>
          <w:noProof/>
          <w:lang w:val="en-GB"/>
        </w:rPr>
        <w:t xml:space="preserve">acknowledges the </w:t>
      </w:r>
      <w:r w:rsidR="762D88AF" w:rsidRPr="00881BC8">
        <w:rPr>
          <w:noProof/>
          <w:lang w:val="en-GB"/>
        </w:rPr>
        <w:t>important</w:t>
      </w:r>
      <w:r w:rsidR="40C8A5F4" w:rsidRPr="00881BC8">
        <w:rPr>
          <w:noProof/>
          <w:lang w:val="en-GB"/>
        </w:rPr>
        <w:t xml:space="preserve"> role </w:t>
      </w:r>
      <w:r w:rsidR="6ABF0776" w:rsidRPr="00881BC8">
        <w:rPr>
          <w:noProof/>
          <w:lang w:val="en-GB"/>
        </w:rPr>
        <w:t>of</w:t>
      </w:r>
      <w:r w:rsidR="40C8A5F4" w:rsidRPr="00881BC8">
        <w:rPr>
          <w:noProof/>
          <w:lang w:val="en-GB"/>
        </w:rPr>
        <w:t xml:space="preserve"> payment</w:t>
      </w:r>
      <w:r w:rsidR="797DED27" w:rsidRPr="00881BC8">
        <w:rPr>
          <w:noProof/>
          <w:lang w:val="en-GB"/>
        </w:rPr>
        <w:t xml:space="preserve"> practice</w:t>
      </w:r>
      <w:r w:rsidR="40C8A5F4" w:rsidRPr="00881BC8">
        <w:rPr>
          <w:noProof/>
          <w:lang w:val="en-GB"/>
        </w:rPr>
        <w:t xml:space="preserve">s </w:t>
      </w:r>
      <w:r w:rsidR="5EE45348" w:rsidRPr="00881BC8">
        <w:rPr>
          <w:noProof/>
          <w:color w:val="333333"/>
          <w:lang w:val="en-GB"/>
        </w:rPr>
        <w:t>in</w:t>
      </w:r>
      <w:r w:rsidR="615C51D6" w:rsidRPr="00881BC8">
        <w:rPr>
          <w:noProof/>
          <w:color w:val="333333"/>
          <w:lang w:val="en-GB"/>
        </w:rPr>
        <w:t xml:space="preserve"> the management of </w:t>
      </w:r>
      <w:r w:rsidR="00980C6C" w:rsidRPr="00881BC8">
        <w:rPr>
          <w:noProof/>
          <w:color w:val="333333"/>
          <w:lang w:val="en-GB"/>
        </w:rPr>
        <w:t xml:space="preserve">a company </w:t>
      </w:r>
      <w:r w:rsidR="615C51D6" w:rsidRPr="00881BC8">
        <w:rPr>
          <w:noProof/>
          <w:color w:val="333333"/>
          <w:lang w:val="en-GB"/>
        </w:rPr>
        <w:t>and the quality of relationships with suppliers</w:t>
      </w:r>
      <w:r w:rsidR="615C51D6" w:rsidRPr="00881BC8">
        <w:rPr>
          <w:noProof/>
          <w:lang w:val="en-GB"/>
        </w:rPr>
        <w:t xml:space="preserve"> and </w:t>
      </w:r>
      <w:r w:rsidR="00980C6C" w:rsidRPr="00881BC8">
        <w:rPr>
          <w:noProof/>
          <w:lang w:val="en-GB"/>
        </w:rPr>
        <w:t xml:space="preserve">requires </w:t>
      </w:r>
      <w:r w:rsidR="40C8A5F4" w:rsidRPr="00881BC8">
        <w:rPr>
          <w:noProof/>
          <w:lang w:val="en-GB"/>
        </w:rPr>
        <w:t xml:space="preserve">payment </w:t>
      </w:r>
      <w:r w:rsidR="43C35C3C" w:rsidRPr="00881BC8">
        <w:rPr>
          <w:noProof/>
          <w:lang w:val="en-GB"/>
        </w:rPr>
        <w:t xml:space="preserve">practices to be </w:t>
      </w:r>
      <w:r w:rsidR="7E49A395" w:rsidRPr="00881BC8">
        <w:rPr>
          <w:noProof/>
          <w:lang w:val="en-GB"/>
        </w:rPr>
        <w:t>covered</w:t>
      </w:r>
      <w:r w:rsidR="43C35C3C" w:rsidRPr="00881BC8">
        <w:rPr>
          <w:noProof/>
          <w:lang w:val="en-GB"/>
        </w:rPr>
        <w:t xml:space="preserve"> in the reporting standa</w:t>
      </w:r>
      <w:r w:rsidR="7C67AD55" w:rsidRPr="00881BC8">
        <w:rPr>
          <w:noProof/>
          <w:lang w:val="en-GB"/>
        </w:rPr>
        <w:t>rds</w:t>
      </w:r>
      <w:r w:rsidR="008130AF" w:rsidRPr="00881BC8">
        <w:rPr>
          <w:rStyle w:val="FootnoteReference"/>
          <w:rFonts w:eastAsia="Times New Roman"/>
          <w:noProof/>
          <w:lang w:val="en-GB"/>
        </w:rPr>
        <w:footnoteReference w:id="72"/>
      </w:r>
      <w:r w:rsidR="40C8A5F4" w:rsidRPr="00881BC8">
        <w:rPr>
          <w:noProof/>
          <w:lang w:val="en-GB"/>
        </w:rPr>
        <w:t>.</w:t>
      </w:r>
    </w:p>
    <w:p w14:paraId="24F943CB" w14:textId="6286FC57" w:rsidR="00821859" w:rsidRPr="00881BC8" w:rsidRDefault="00BB259D" w:rsidP="004835F8">
      <w:pPr>
        <w:pStyle w:val="NormalPara"/>
        <w:rPr>
          <w:noProof/>
          <w:lang w:val="en-GB"/>
        </w:rPr>
      </w:pPr>
      <w:r w:rsidRPr="00881BC8">
        <w:rPr>
          <w:noProof/>
          <w:lang w:val="en-GB"/>
        </w:rPr>
        <w:t>D</w:t>
      </w:r>
      <w:r w:rsidR="3D80F9B9" w:rsidRPr="00881BC8">
        <w:rPr>
          <w:noProof/>
          <w:lang w:val="en-GB"/>
        </w:rPr>
        <w:t>igital</w:t>
      </w:r>
      <w:r w:rsidR="77E5FC6E" w:rsidRPr="00881BC8">
        <w:rPr>
          <w:noProof/>
          <w:lang w:val="en-GB"/>
        </w:rPr>
        <w:t xml:space="preserve"> means</w:t>
      </w:r>
      <w:r w:rsidR="08AD2616" w:rsidRPr="00881BC8">
        <w:rPr>
          <w:noProof/>
          <w:lang w:val="en-GB"/>
        </w:rPr>
        <w:t xml:space="preserve"> </w:t>
      </w:r>
      <w:r w:rsidR="008130AF" w:rsidRPr="00881BC8">
        <w:rPr>
          <w:noProof/>
          <w:lang w:val="en-GB"/>
        </w:rPr>
        <w:t xml:space="preserve">such as e-invoicing </w:t>
      </w:r>
      <w:r w:rsidR="08AD2616" w:rsidRPr="00881BC8">
        <w:rPr>
          <w:noProof/>
          <w:lang w:val="en-GB"/>
        </w:rPr>
        <w:t>can</w:t>
      </w:r>
      <w:r w:rsidR="1E007664" w:rsidRPr="00881BC8">
        <w:rPr>
          <w:noProof/>
          <w:lang w:val="en-GB"/>
        </w:rPr>
        <w:t xml:space="preserve"> </w:t>
      </w:r>
      <w:r w:rsidR="08AD2616" w:rsidRPr="00881BC8">
        <w:rPr>
          <w:noProof/>
          <w:lang w:val="en-GB"/>
        </w:rPr>
        <w:t>facilitat</w:t>
      </w:r>
      <w:r w:rsidR="000049CF" w:rsidRPr="00881BC8">
        <w:rPr>
          <w:noProof/>
          <w:lang w:val="en-GB"/>
        </w:rPr>
        <w:t>e</w:t>
      </w:r>
      <w:r w:rsidR="08AD2616" w:rsidRPr="00881BC8">
        <w:rPr>
          <w:noProof/>
          <w:lang w:val="en-GB"/>
        </w:rPr>
        <w:t xml:space="preserve"> timely payments</w:t>
      </w:r>
      <w:r w:rsidR="008130AF" w:rsidRPr="00881BC8">
        <w:rPr>
          <w:noProof/>
          <w:lang w:val="en-GB"/>
        </w:rPr>
        <w:t xml:space="preserve">. </w:t>
      </w:r>
      <w:r w:rsidR="00821859" w:rsidRPr="00881BC8">
        <w:rPr>
          <w:noProof/>
          <w:lang w:val="en-GB"/>
        </w:rPr>
        <w:t>P</w:t>
      </w:r>
      <w:r w:rsidR="08AD2616" w:rsidRPr="00881BC8">
        <w:rPr>
          <w:noProof/>
          <w:lang w:val="en-GB"/>
        </w:rPr>
        <w:t>romot</w:t>
      </w:r>
      <w:r w:rsidR="00821859" w:rsidRPr="00881BC8">
        <w:rPr>
          <w:noProof/>
          <w:lang w:val="en-GB"/>
        </w:rPr>
        <w:t>ing</w:t>
      </w:r>
      <w:r w:rsidR="08AD2616" w:rsidRPr="00881BC8">
        <w:rPr>
          <w:noProof/>
          <w:lang w:val="en-GB"/>
        </w:rPr>
        <w:t xml:space="preserve"> the use of modern digital payment tools </w:t>
      </w:r>
      <w:r w:rsidR="6C129DC3" w:rsidRPr="00881BC8">
        <w:rPr>
          <w:noProof/>
          <w:lang w:val="en-GB"/>
        </w:rPr>
        <w:t>and digital literacy</w:t>
      </w:r>
      <w:r w:rsidR="00821859" w:rsidRPr="00881BC8">
        <w:rPr>
          <w:noProof/>
          <w:lang w:val="en-GB"/>
        </w:rPr>
        <w:t xml:space="preserve"> can result in </w:t>
      </w:r>
      <w:r w:rsidR="65C27D46" w:rsidRPr="00881BC8">
        <w:rPr>
          <w:noProof/>
          <w:lang w:val="en-GB"/>
        </w:rPr>
        <w:t>shorten</w:t>
      </w:r>
      <w:r w:rsidR="00821859" w:rsidRPr="00881BC8">
        <w:rPr>
          <w:noProof/>
          <w:lang w:val="en-GB"/>
        </w:rPr>
        <w:t>ing</w:t>
      </w:r>
      <w:r w:rsidR="65C27D46" w:rsidRPr="00881BC8">
        <w:rPr>
          <w:noProof/>
          <w:lang w:val="en-GB"/>
        </w:rPr>
        <w:t xml:space="preserve"> </w:t>
      </w:r>
      <w:r w:rsidR="00606FCC" w:rsidRPr="00881BC8">
        <w:rPr>
          <w:noProof/>
          <w:lang w:val="en-GB"/>
        </w:rPr>
        <w:t>invoice</w:t>
      </w:r>
      <w:r w:rsidR="00821859" w:rsidRPr="00881BC8">
        <w:rPr>
          <w:noProof/>
          <w:lang w:val="en-GB"/>
        </w:rPr>
        <w:t>-</w:t>
      </w:r>
      <w:r w:rsidR="65C27D46" w:rsidRPr="00881BC8">
        <w:rPr>
          <w:noProof/>
          <w:lang w:val="en-GB"/>
        </w:rPr>
        <w:t>processing time</w:t>
      </w:r>
      <w:r w:rsidR="00821859" w:rsidRPr="00881BC8">
        <w:rPr>
          <w:noProof/>
          <w:lang w:val="en-GB"/>
        </w:rPr>
        <w:t xml:space="preserve">, </w:t>
      </w:r>
      <w:r w:rsidR="65C27D46" w:rsidRPr="00881BC8">
        <w:rPr>
          <w:noProof/>
          <w:lang w:val="en-GB"/>
        </w:rPr>
        <w:t>reduc</w:t>
      </w:r>
      <w:r w:rsidR="00821859" w:rsidRPr="00881BC8">
        <w:rPr>
          <w:noProof/>
          <w:lang w:val="en-GB"/>
        </w:rPr>
        <w:t>ing</w:t>
      </w:r>
      <w:r w:rsidR="00606FCC" w:rsidRPr="00881BC8">
        <w:rPr>
          <w:noProof/>
          <w:lang w:val="en-GB"/>
        </w:rPr>
        <w:t xml:space="preserve"> error rates</w:t>
      </w:r>
      <w:r w:rsidR="00821859" w:rsidRPr="00881BC8">
        <w:rPr>
          <w:noProof/>
          <w:lang w:val="en-GB"/>
        </w:rPr>
        <w:t xml:space="preserve"> and streamlining companies’ cash management</w:t>
      </w:r>
      <w:r w:rsidR="00DE2FA0" w:rsidRPr="00881BC8">
        <w:rPr>
          <w:noProof/>
          <w:lang w:val="en-GB"/>
        </w:rPr>
        <w:t>.</w:t>
      </w:r>
      <w:r w:rsidR="00821859" w:rsidRPr="00881BC8">
        <w:rPr>
          <w:noProof/>
          <w:lang w:val="en-GB"/>
        </w:rPr>
        <w:t xml:space="preserve"> </w:t>
      </w:r>
      <w:r w:rsidR="00DE2FA0" w:rsidRPr="00881BC8">
        <w:rPr>
          <w:noProof/>
          <w:lang w:val="en-GB"/>
        </w:rPr>
        <w:t>S</w:t>
      </w:r>
      <w:r w:rsidR="2AE17D98" w:rsidRPr="00881BC8">
        <w:rPr>
          <w:noProof/>
          <w:lang w:val="en-GB"/>
        </w:rPr>
        <w:t>ince the adoption of the LPD</w:t>
      </w:r>
      <w:r w:rsidR="00DE2FA0" w:rsidRPr="00881BC8">
        <w:rPr>
          <w:noProof/>
          <w:lang w:val="en-GB"/>
        </w:rPr>
        <w:t>,</w:t>
      </w:r>
      <w:r w:rsidR="2AE17D98" w:rsidRPr="00881BC8">
        <w:rPr>
          <w:noProof/>
          <w:lang w:val="en-GB"/>
        </w:rPr>
        <w:t xml:space="preserve"> </w:t>
      </w:r>
      <w:r w:rsidR="00B948C6" w:rsidRPr="00881BC8">
        <w:rPr>
          <w:noProof/>
          <w:lang w:val="en-GB"/>
        </w:rPr>
        <w:t xml:space="preserve">both </w:t>
      </w:r>
      <w:r w:rsidR="00821859" w:rsidRPr="00881BC8">
        <w:rPr>
          <w:noProof/>
          <w:lang w:val="en-GB"/>
        </w:rPr>
        <w:t>d</w:t>
      </w:r>
      <w:r w:rsidR="0188195C" w:rsidRPr="00881BC8">
        <w:rPr>
          <w:noProof/>
          <w:lang w:val="en-GB"/>
        </w:rPr>
        <w:t xml:space="preserve">igital </w:t>
      </w:r>
      <w:r w:rsidR="00C30F09" w:rsidRPr="00881BC8">
        <w:rPr>
          <w:noProof/>
          <w:lang w:val="en-GB"/>
        </w:rPr>
        <w:t xml:space="preserve">banking </w:t>
      </w:r>
      <w:r w:rsidR="00B948C6" w:rsidRPr="00881BC8">
        <w:rPr>
          <w:noProof/>
          <w:lang w:val="en-GB"/>
        </w:rPr>
        <w:t xml:space="preserve">payment </w:t>
      </w:r>
      <w:r w:rsidR="0188195C" w:rsidRPr="00881BC8">
        <w:rPr>
          <w:noProof/>
          <w:lang w:val="en-GB"/>
        </w:rPr>
        <w:t xml:space="preserve">solutions </w:t>
      </w:r>
      <w:r w:rsidR="00B948C6" w:rsidRPr="00881BC8">
        <w:rPr>
          <w:noProof/>
          <w:lang w:val="en-GB"/>
        </w:rPr>
        <w:t xml:space="preserve">and automated accountancy programs </w:t>
      </w:r>
      <w:r w:rsidR="00DE2FA0" w:rsidRPr="00881BC8">
        <w:rPr>
          <w:noProof/>
          <w:lang w:val="en-GB"/>
        </w:rPr>
        <w:t xml:space="preserve">have become </w:t>
      </w:r>
      <w:r w:rsidR="00B06BAA" w:rsidRPr="00881BC8">
        <w:rPr>
          <w:noProof/>
          <w:lang w:val="en-GB"/>
        </w:rPr>
        <w:t>universally</w:t>
      </w:r>
      <w:r w:rsidR="0188195C" w:rsidRPr="00881BC8">
        <w:rPr>
          <w:noProof/>
          <w:lang w:val="en-GB"/>
        </w:rPr>
        <w:t xml:space="preserve"> available on the market</w:t>
      </w:r>
      <w:r w:rsidR="00B948C6" w:rsidRPr="00881BC8">
        <w:rPr>
          <w:noProof/>
          <w:lang w:val="en-GB"/>
        </w:rPr>
        <w:t>. They</w:t>
      </w:r>
      <w:r w:rsidR="396F00B4" w:rsidRPr="00881BC8">
        <w:rPr>
          <w:noProof/>
          <w:lang w:val="en-GB"/>
        </w:rPr>
        <w:t xml:space="preserve"> </w:t>
      </w:r>
      <w:r w:rsidR="73E83F87" w:rsidRPr="00881BC8">
        <w:rPr>
          <w:noProof/>
          <w:lang w:val="en-GB"/>
        </w:rPr>
        <w:t xml:space="preserve">can foster prompt payment by providing </w:t>
      </w:r>
      <w:r w:rsidR="00B06BAA" w:rsidRPr="00881BC8">
        <w:rPr>
          <w:noProof/>
          <w:lang w:val="en-GB"/>
        </w:rPr>
        <w:t>liquidity management solutions</w:t>
      </w:r>
      <w:r w:rsidR="73E83F87" w:rsidRPr="00881BC8">
        <w:rPr>
          <w:noProof/>
          <w:lang w:val="en-GB"/>
        </w:rPr>
        <w:t xml:space="preserve">. </w:t>
      </w:r>
    </w:p>
    <w:p w14:paraId="0145E9D2" w14:textId="463FA65A" w:rsidR="00D834EE" w:rsidRPr="00881BC8" w:rsidRDefault="00821859" w:rsidP="004835F8">
      <w:pPr>
        <w:pStyle w:val="NormalPara"/>
        <w:rPr>
          <w:noProof/>
          <w:lang w:val="en-GB"/>
        </w:rPr>
      </w:pPr>
      <w:r w:rsidRPr="00881BC8">
        <w:rPr>
          <w:noProof/>
          <w:lang w:val="en-GB"/>
        </w:rPr>
        <w:t>D</w:t>
      </w:r>
      <w:r w:rsidR="02C9A904" w:rsidRPr="00881BC8">
        <w:rPr>
          <w:noProof/>
          <w:lang w:val="en-GB"/>
        </w:rPr>
        <w:t xml:space="preserve">igital solutions </w:t>
      </w:r>
      <w:r w:rsidR="3B78355A" w:rsidRPr="00881BC8">
        <w:rPr>
          <w:noProof/>
          <w:lang w:val="en-GB"/>
        </w:rPr>
        <w:t xml:space="preserve">can </w:t>
      </w:r>
      <w:r w:rsidR="0A6CBF3B" w:rsidRPr="00881BC8">
        <w:rPr>
          <w:noProof/>
          <w:lang w:val="en-GB"/>
        </w:rPr>
        <w:t xml:space="preserve">boost </w:t>
      </w:r>
      <w:r w:rsidR="1EEFED78" w:rsidRPr="00881BC8">
        <w:rPr>
          <w:noProof/>
          <w:lang w:val="en-GB"/>
        </w:rPr>
        <w:t>tra</w:t>
      </w:r>
      <w:r w:rsidR="1B3EF7C4" w:rsidRPr="00881BC8">
        <w:rPr>
          <w:noProof/>
          <w:lang w:val="en-GB"/>
        </w:rPr>
        <w:t>n</w:t>
      </w:r>
      <w:r w:rsidR="1EEFED78" w:rsidRPr="00881BC8">
        <w:rPr>
          <w:noProof/>
          <w:lang w:val="en-GB"/>
        </w:rPr>
        <w:t>sparency</w:t>
      </w:r>
      <w:r w:rsidR="1F5814CD" w:rsidRPr="00881BC8">
        <w:rPr>
          <w:noProof/>
          <w:lang w:val="en-GB"/>
        </w:rPr>
        <w:t xml:space="preserve"> and </w:t>
      </w:r>
      <w:r w:rsidR="0A6CBF3B" w:rsidRPr="00881BC8">
        <w:rPr>
          <w:noProof/>
          <w:lang w:val="en-GB"/>
        </w:rPr>
        <w:t xml:space="preserve">facilitate </w:t>
      </w:r>
      <w:r w:rsidR="1F5814CD" w:rsidRPr="00881BC8">
        <w:rPr>
          <w:noProof/>
          <w:lang w:val="en-GB"/>
        </w:rPr>
        <w:t>reporting obligations</w:t>
      </w:r>
      <w:r w:rsidR="0A6CBF3B" w:rsidRPr="00881BC8">
        <w:rPr>
          <w:noProof/>
          <w:lang w:val="en-GB"/>
        </w:rPr>
        <w:t xml:space="preserve"> </w:t>
      </w:r>
      <w:r w:rsidR="0064055C" w:rsidRPr="00881BC8">
        <w:rPr>
          <w:noProof/>
          <w:lang w:val="en-GB"/>
        </w:rPr>
        <w:t>resulting</w:t>
      </w:r>
      <w:r w:rsidR="0A6CBF3B" w:rsidRPr="00881BC8">
        <w:rPr>
          <w:noProof/>
          <w:lang w:val="en-GB"/>
        </w:rPr>
        <w:t xml:space="preserve"> </w:t>
      </w:r>
      <w:r w:rsidR="0064055C" w:rsidRPr="00881BC8">
        <w:rPr>
          <w:noProof/>
          <w:lang w:val="en-GB"/>
        </w:rPr>
        <w:t xml:space="preserve">from </w:t>
      </w:r>
      <w:r w:rsidR="0A6CBF3B" w:rsidRPr="00881BC8">
        <w:rPr>
          <w:noProof/>
          <w:lang w:val="en-GB"/>
        </w:rPr>
        <w:t>several legal instruments</w:t>
      </w:r>
      <w:r w:rsidR="038960B8" w:rsidRPr="00881BC8">
        <w:rPr>
          <w:noProof/>
          <w:lang w:val="en-GB"/>
        </w:rPr>
        <w:t>.</w:t>
      </w:r>
      <w:r w:rsidR="3601D490" w:rsidRPr="00881BC8">
        <w:rPr>
          <w:noProof/>
          <w:lang w:val="en-GB"/>
        </w:rPr>
        <w:t xml:space="preserve"> </w:t>
      </w:r>
      <w:r w:rsidR="00B65BAD" w:rsidRPr="00881BC8">
        <w:rPr>
          <w:noProof/>
          <w:lang w:val="en-GB"/>
        </w:rPr>
        <w:t>The d</w:t>
      </w:r>
      <w:r w:rsidR="169957D4" w:rsidRPr="00881BC8">
        <w:rPr>
          <w:noProof/>
          <w:lang w:val="en-GB"/>
        </w:rPr>
        <w:t>irective on electronic invoicing in public procurement</w:t>
      </w:r>
      <w:r w:rsidR="006860D4" w:rsidRPr="00881BC8">
        <w:rPr>
          <w:rStyle w:val="FootnoteReference"/>
          <w:noProof/>
          <w:lang w:val="en-GB"/>
        </w:rPr>
        <w:footnoteReference w:id="73"/>
      </w:r>
      <w:r w:rsidR="169957D4" w:rsidRPr="00881BC8">
        <w:rPr>
          <w:rStyle w:val="FootnoteReference"/>
          <w:noProof/>
          <w:lang w:val="en-GB"/>
        </w:rPr>
        <w:t xml:space="preserve"> </w:t>
      </w:r>
      <w:r w:rsidR="169957D4" w:rsidRPr="00881BC8">
        <w:rPr>
          <w:noProof/>
          <w:lang w:val="en-GB"/>
        </w:rPr>
        <w:t xml:space="preserve">aims </w:t>
      </w:r>
      <w:r w:rsidR="0064055C" w:rsidRPr="00881BC8">
        <w:rPr>
          <w:noProof/>
          <w:lang w:val="en-GB"/>
        </w:rPr>
        <w:t xml:space="preserve">to make </w:t>
      </w:r>
      <w:r w:rsidR="11F39006" w:rsidRPr="00881BC8">
        <w:rPr>
          <w:noProof/>
          <w:lang w:val="en-GB"/>
        </w:rPr>
        <w:t>the use of</w:t>
      </w:r>
      <w:r w:rsidR="169957D4" w:rsidRPr="00881BC8">
        <w:rPr>
          <w:noProof/>
          <w:lang w:val="en-GB"/>
        </w:rPr>
        <w:t xml:space="preserve"> e-invoicing</w:t>
      </w:r>
      <w:r w:rsidR="0064055C" w:rsidRPr="00881BC8">
        <w:rPr>
          <w:noProof/>
          <w:lang w:val="en-GB"/>
        </w:rPr>
        <w:t xml:space="preserve"> widespread. T</w:t>
      </w:r>
      <w:r w:rsidR="00D834EE" w:rsidRPr="00881BC8">
        <w:rPr>
          <w:noProof/>
          <w:lang w:val="en-GB"/>
        </w:rPr>
        <w:t>he VAT in the digital age proposal</w:t>
      </w:r>
      <w:r w:rsidR="00D834EE" w:rsidRPr="00881BC8">
        <w:rPr>
          <w:rStyle w:val="FootnoteReference"/>
          <w:noProof/>
          <w:lang w:val="en-GB"/>
        </w:rPr>
        <w:footnoteReference w:id="74"/>
      </w:r>
      <w:r w:rsidR="649FBBD1" w:rsidRPr="00881BC8">
        <w:rPr>
          <w:rStyle w:val="FootnoteReference"/>
          <w:noProof/>
          <w:lang w:val="en-GB"/>
        </w:rPr>
        <w:t xml:space="preserve"> </w:t>
      </w:r>
      <w:r w:rsidR="0064055C" w:rsidRPr="00881BC8">
        <w:rPr>
          <w:noProof/>
          <w:lang w:val="en-GB"/>
        </w:rPr>
        <w:t xml:space="preserve">aims </w:t>
      </w:r>
      <w:r w:rsidR="649FBBD1" w:rsidRPr="00881BC8">
        <w:rPr>
          <w:noProof/>
          <w:lang w:val="en-GB"/>
        </w:rPr>
        <w:t xml:space="preserve">to </w:t>
      </w:r>
      <w:r w:rsidR="3501D208" w:rsidRPr="00881BC8">
        <w:rPr>
          <w:noProof/>
          <w:lang w:val="en-GB"/>
        </w:rPr>
        <w:t>make compliance with VAT easier for businesses</w:t>
      </w:r>
      <w:r w:rsidR="0064055C" w:rsidRPr="00881BC8">
        <w:rPr>
          <w:noProof/>
          <w:lang w:val="en-GB"/>
        </w:rPr>
        <w:t xml:space="preserve"> </w:t>
      </w:r>
      <w:r w:rsidR="00D834EE" w:rsidRPr="00881BC8">
        <w:rPr>
          <w:noProof/>
          <w:lang w:val="en-GB"/>
        </w:rPr>
        <w:t xml:space="preserve">by </w:t>
      </w:r>
      <w:r w:rsidR="0064055C" w:rsidRPr="00881BC8">
        <w:rPr>
          <w:noProof/>
          <w:lang w:val="en-GB"/>
        </w:rPr>
        <w:t xml:space="preserve">better harnessing the potential offered by </w:t>
      </w:r>
      <w:r w:rsidR="00D834EE" w:rsidRPr="00881BC8">
        <w:rPr>
          <w:noProof/>
          <w:lang w:val="en-GB"/>
        </w:rPr>
        <w:t xml:space="preserve">digitalisation. </w:t>
      </w:r>
      <w:r w:rsidR="00827A6F" w:rsidRPr="00881BC8">
        <w:rPr>
          <w:noProof/>
          <w:lang w:val="en-GB"/>
        </w:rPr>
        <w:t>Public authorities and companies could benefit from open and reusable digital solutions</w:t>
      </w:r>
      <w:r w:rsidR="00827A6F" w:rsidRPr="00881BC8">
        <w:rPr>
          <w:rStyle w:val="FootnoteReference"/>
          <w:noProof/>
          <w:lang w:val="en-GB"/>
        </w:rPr>
        <w:footnoteReference w:id="75"/>
      </w:r>
      <w:r w:rsidR="00827A6F" w:rsidRPr="00881BC8">
        <w:rPr>
          <w:noProof/>
          <w:lang w:val="en-GB"/>
        </w:rPr>
        <w:t xml:space="preserve"> which the Commission is making available for free</w:t>
      </w:r>
      <w:r w:rsidR="000F7019" w:rsidRPr="00881BC8">
        <w:rPr>
          <w:noProof/>
          <w:lang w:val="en-GB"/>
        </w:rPr>
        <w:t xml:space="preserve">, e.g. </w:t>
      </w:r>
      <w:r w:rsidR="001C4C01" w:rsidRPr="00881BC8">
        <w:rPr>
          <w:noProof/>
          <w:lang w:val="en-GB"/>
        </w:rPr>
        <w:t>eID</w:t>
      </w:r>
      <w:r w:rsidR="00DA1C44" w:rsidRPr="00881BC8">
        <w:rPr>
          <w:noProof/>
          <w:lang w:val="en-GB"/>
        </w:rPr>
        <w:t>, eSignature, eDelivery</w:t>
      </w:r>
      <w:r w:rsidR="000F7019" w:rsidRPr="00881BC8">
        <w:rPr>
          <w:noProof/>
          <w:lang w:val="en-GB"/>
        </w:rPr>
        <w:t xml:space="preserve">, see </w:t>
      </w:r>
      <w:r w:rsidR="000F7019" w:rsidRPr="00881BC8">
        <w:rPr>
          <w:noProof/>
          <w:lang w:val="en-GB"/>
        </w:rPr>
        <w:fldChar w:fldCharType="begin"/>
      </w:r>
      <w:r w:rsidR="000F7019" w:rsidRPr="00881BC8">
        <w:rPr>
          <w:noProof/>
          <w:lang w:val="en-GB"/>
        </w:rPr>
        <w:instrText xml:space="preserve"> REF Annex22 \h </w:instrText>
      </w:r>
      <w:r w:rsidR="000F7019" w:rsidRPr="00881BC8">
        <w:rPr>
          <w:noProof/>
          <w:lang w:val="en-GB"/>
        </w:rPr>
      </w:r>
      <w:r w:rsidR="000F7019" w:rsidRPr="00881BC8">
        <w:rPr>
          <w:noProof/>
          <w:lang w:val="en-GB"/>
        </w:rPr>
        <w:fldChar w:fldCharType="separate"/>
      </w:r>
      <w:r w:rsidR="005851F4" w:rsidRPr="00881BC8">
        <w:rPr>
          <w:noProof/>
        </w:rPr>
        <w:t>Annex 22</w:t>
      </w:r>
      <w:r w:rsidR="000F7019" w:rsidRPr="00881BC8">
        <w:rPr>
          <w:noProof/>
          <w:lang w:val="en-GB"/>
        </w:rPr>
        <w:fldChar w:fldCharType="end"/>
      </w:r>
      <w:r w:rsidR="000F7019" w:rsidRPr="00881BC8">
        <w:rPr>
          <w:noProof/>
          <w:lang w:val="en-GB"/>
        </w:rPr>
        <w:t>.</w:t>
      </w:r>
    </w:p>
    <w:p w14:paraId="0A419DAB" w14:textId="3CF8DF15" w:rsidR="00232E62" w:rsidRPr="00881BC8" w:rsidRDefault="00902A81" w:rsidP="004835F8">
      <w:pPr>
        <w:pStyle w:val="NormalPara"/>
        <w:rPr>
          <w:noProof/>
          <w:lang w:val="en-GB"/>
        </w:rPr>
      </w:pPr>
      <w:r w:rsidRPr="00881BC8">
        <w:rPr>
          <w:noProof/>
          <w:lang w:val="en-GB"/>
        </w:rPr>
        <w:t xml:space="preserve">The Commission </w:t>
      </w:r>
      <w:r w:rsidR="00870DF7" w:rsidRPr="00881BC8">
        <w:rPr>
          <w:noProof/>
          <w:lang w:val="en-GB"/>
        </w:rPr>
        <w:t>launched a call in March 2023 for</w:t>
      </w:r>
      <w:r w:rsidRPr="00881BC8">
        <w:rPr>
          <w:noProof/>
          <w:lang w:val="en-GB"/>
        </w:rPr>
        <w:t xml:space="preserve"> a pilot project for the uptake of alternative dispute resolution mechanisms and mediation</w:t>
      </w:r>
      <w:r w:rsidR="003825CB" w:rsidRPr="00881BC8">
        <w:rPr>
          <w:rStyle w:val="FootnoteReference"/>
          <w:noProof/>
          <w:lang w:val="en-GB"/>
        </w:rPr>
        <w:footnoteReference w:id="76"/>
      </w:r>
      <w:r w:rsidRPr="00881BC8">
        <w:rPr>
          <w:noProof/>
          <w:lang w:val="en-GB"/>
        </w:rPr>
        <w:t xml:space="preserve"> </w:t>
      </w:r>
      <w:r w:rsidR="00EA327A" w:rsidRPr="00881BC8">
        <w:rPr>
          <w:noProof/>
          <w:lang w:val="en-GB"/>
        </w:rPr>
        <w:t xml:space="preserve">to </w:t>
      </w:r>
      <w:r w:rsidRPr="00881BC8">
        <w:rPr>
          <w:noProof/>
          <w:lang w:val="en-GB"/>
        </w:rPr>
        <w:t xml:space="preserve">address </w:t>
      </w:r>
      <w:r w:rsidR="00EA327A" w:rsidRPr="00881BC8">
        <w:rPr>
          <w:noProof/>
          <w:lang w:val="en-GB"/>
        </w:rPr>
        <w:t>t</w:t>
      </w:r>
      <w:r w:rsidR="00960372" w:rsidRPr="00881BC8">
        <w:rPr>
          <w:noProof/>
          <w:lang w:val="en-GB"/>
        </w:rPr>
        <w:t>he</w:t>
      </w:r>
      <w:r w:rsidR="00EA327A" w:rsidRPr="00881BC8">
        <w:rPr>
          <w:noProof/>
          <w:lang w:val="en-GB"/>
        </w:rPr>
        <w:t xml:space="preserve"> lack of accessible </w:t>
      </w:r>
      <w:r w:rsidR="001C4C01" w:rsidRPr="00881BC8">
        <w:rPr>
          <w:noProof/>
          <w:lang w:val="en-GB"/>
        </w:rPr>
        <w:t xml:space="preserve">(i.e. alternative to legal action) </w:t>
      </w:r>
      <w:r w:rsidR="0E60E136" w:rsidRPr="00881BC8">
        <w:rPr>
          <w:noProof/>
          <w:lang w:val="en-GB"/>
        </w:rPr>
        <w:t>tools</w:t>
      </w:r>
      <w:r w:rsidR="00EA327A" w:rsidRPr="00881BC8">
        <w:rPr>
          <w:noProof/>
          <w:lang w:val="en-GB"/>
        </w:rPr>
        <w:t xml:space="preserve"> for companies</w:t>
      </w:r>
      <w:r w:rsidR="0E60E136" w:rsidRPr="00881BC8">
        <w:rPr>
          <w:noProof/>
          <w:lang w:val="en-GB"/>
        </w:rPr>
        <w:t xml:space="preserve"> to take action against their debtors</w:t>
      </w:r>
      <w:r w:rsidR="00232E62" w:rsidRPr="00881BC8">
        <w:rPr>
          <w:noProof/>
          <w:lang w:val="en-GB"/>
        </w:rPr>
        <w:t>. The project</w:t>
      </w:r>
      <w:r w:rsidR="001C4C01" w:rsidRPr="00881BC8">
        <w:rPr>
          <w:noProof/>
          <w:lang w:val="en-GB"/>
        </w:rPr>
        <w:t>’s limitations</w:t>
      </w:r>
      <w:r w:rsidR="00232E62" w:rsidRPr="00881BC8">
        <w:rPr>
          <w:noProof/>
          <w:lang w:val="en-GB"/>
        </w:rPr>
        <w:t xml:space="preserve"> </w:t>
      </w:r>
      <w:r w:rsidR="001C4C01" w:rsidRPr="00881BC8">
        <w:rPr>
          <w:noProof/>
          <w:lang w:val="en-GB"/>
        </w:rPr>
        <w:t>(</w:t>
      </w:r>
      <w:r w:rsidR="0E60E136" w:rsidRPr="00881BC8">
        <w:rPr>
          <w:noProof/>
          <w:lang w:val="en-GB"/>
        </w:rPr>
        <w:t>geographical scope</w:t>
      </w:r>
      <w:r w:rsidR="001C4C01" w:rsidRPr="00881BC8">
        <w:rPr>
          <w:noProof/>
          <w:lang w:val="en-GB"/>
        </w:rPr>
        <w:t>,</w:t>
      </w:r>
      <w:r w:rsidR="0E60E136" w:rsidRPr="00881BC8">
        <w:rPr>
          <w:noProof/>
          <w:lang w:val="en-GB"/>
        </w:rPr>
        <w:t xml:space="preserve"> </w:t>
      </w:r>
      <w:r w:rsidR="00232E62" w:rsidRPr="00881BC8">
        <w:rPr>
          <w:noProof/>
          <w:lang w:val="en-GB"/>
        </w:rPr>
        <w:t>duration</w:t>
      </w:r>
      <w:r w:rsidR="001C4C01" w:rsidRPr="00881BC8">
        <w:rPr>
          <w:noProof/>
          <w:lang w:val="en-GB"/>
        </w:rPr>
        <w:t>)</w:t>
      </w:r>
      <w:r w:rsidR="00232E62" w:rsidRPr="00881BC8">
        <w:rPr>
          <w:noProof/>
          <w:lang w:val="en-GB"/>
        </w:rPr>
        <w:t xml:space="preserve"> </w:t>
      </w:r>
      <w:r w:rsidR="001C4C01" w:rsidRPr="00881BC8">
        <w:rPr>
          <w:noProof/>
          <w:lang w:val="en-GB"/>
        </w:rPr>
        <w:t xml:space="preserve">are unlikely to </w:t>
      </w:r>
      <w:r w:rsidR="00232E62" w:rsidRPr="00881BC8">
        <w:rPr>
          <w:noProof/>
          <w:lang w:val="en-GB"/>
        </w:rPr>
        <w:t xml:space="preserve">provide a </w:t>
      </w:r>
      <w:r w:rsidR="001C4C01" w:rsidRPr="00881BC8">
        <w:rPr>
          <w:noProof/>
          <w:lang w:val="en-GB"/>
        </w:rPr>
        <w:t xml:space="preserve">sustainable EU-wide </w:t>
      </w:r>
      <w:r w:rsidR="00232E62" w:rsidRPr="00881BC8">
        <w:rPr>
          <w:noProof/>
          <w:lang w:val="en-GB"/>
        </w:rPr>
        <w:t>solution.</w:t>
      </w:r>
    </w:p>
    <w:p w14:paraId="276DCD64" w14:textId="62C1BB6C" w:rsidR="00106B98" w:rsidRPr="00881BC8" w:rsidRDefault="0E60E136" w:rsidP="004835F8">
      <w:pPr>
        <w:pStyle w:val="NormalPara"/>
        <w:rPr>
          <w:rFonts w:eastAsiaTheme="minorEastAsia"/>
          <w:noProof/>
          <w:lang w:val="en-GB"/>
        </w:rPr>
      </w:pPr>
      <w:r w:rsidRPr="00881BC8">
        <w:rPr>
          <w:noProof/>
          <w:lang w:val="en-GB"/>
        </w:rPr>
        <w:t xml:space="preserve">Finally, </w:t>
      </w:r>
      <w:r w:rsidR="004D0DE2" w:rsidRPr="00881BC8">
        <w:rPr>
          <w:noProof/>
          <w:lang w:val="en-GB"/>
        </w:rPr>
        <w:t xml:space="preserve">higher </w:t>
      </w:r>
      <w:r w:rsidRPr="00881BC8">
        <w:rPr>
          <w:noProof/>
          <w:lang w:val="en-GB"/>
        </w:rPr>
        <w:t xml:space="preserve">inflation </w:t>
      </w:r>
      <w:r w:rsidR="004D0DE2" w:rsidRPr="00881BC8">
        <w:rPr>
          <w:noProof/>
          <w:lang w:val="en-GB"/>
        </w:rPr>
        <w:t xml:space="preserve">and higher interest rates </w:t>
      </w:r>
      <w:r w:rsidR="00DA1C44" w:rsidRPr="00881BC8">
        <w:rPr>
          <w:noProof/>
          <w:lang w:val="en-GB"/>
        </w:rPr>
        <w:t>provide additional incentive</w:t>
      </w:r>
      <w:r w:rsidR="004D0DE2" w:rsidRPr="00881BC8">
        <w:rPr>
          <w:noProof/>
          <w:lang w:val="en-GB"/>
        </w:rPr>
        <w:t>s</w:t>
      </w:r>
      <w:r w:rsidR="00DA1C44" w:rsidRPr="00881BC8">
        <w:rPr>
          <w:noProof/>
          <w:lang w:val="en-GB"/>
        </w:rPr>
        <w:t xml:space="preserve"> for paying late</w:t>
      </w:r>
      <w:r w:rsidRPr="00881BC8">
        <w:rPr>
          <w:noProof/>
          <w:lang w:val="en-GB"/>
        </w:rPr>
        <w:t xml:space="preserve">. </w:t>
      </w:r>
      <w:r w:rsidR="00BC1348" w:rsidRPr="00881BC8">
        <w:rPr>
          <w:noProof/>
          <w:lang w:val="en-GB"/>
        </w:rPr>
        <w:t>With r</w:t>
      </w:r>
      <w:r w:rsidRPr="00881BC8">
        <w:rPr>
          <w:noProof/>
          <w:lang w:val="en-GB"/>
        </w:rPr>
        <w:t>ecord</w:t>
      </w:r>
      <w:r w:rsidR="00DA1C44" w:rsidRPr="00881BC8">
        <w:rPr>
          <w:noProof/>
          <w:lang w:val="en-GB"/>
        </w:rPr>
        <w:t>-</w:t>
      </w:r>
      <w:r w:rsidRPr="00881BC8">
        <w:rPr>
          <w:noProof/>
          <w:lang w:val="en-GB"/>
        </w:rPr>
        <w:t xml:space="preserve">high inflation </w:t>
      </w:r>
      <w:r w:rsidR="00DA1C44" w:rsidRPr="00881BC8">
        <w:rPr>
          <w:noProof/>
          <w:lang w:val="en-GB"/>
        </w:rPr>
        <w:t xml:space="preserve">exceeding </w:t>
      </w:r>
      <w:r w:rsidR="000657F8" w:rsidRPr="00881BC8">
        <w:rPr>
          <w:noProof/>
          <w:lang w:val="en-GB"/>
        </w:rPr>
        <w:t>9</w:t>
      </w:r>
      <w:r w:rsidRPr="00881BC8">
        <w:rPr>
          <w:noProof/>
          <w:lang w:val="en-GB"/>
        </w:rPr>
        <w:t>% in 2022</w:t>
      </w:r>
      <w:r w:rsidR="00DA1C44" w:rsidRPr="00881BC8">
        <w:rPr>
          <w:rStyle w:val="FootnoteReference"/>
          <w:noProof/>
          <w:lang w:val="en-GB"/>
        </w:rPr>
        <w:footnoteReference w:id="77"/>
      </w:r>
      <w:r w:rsidRPr="00881BC8">
        <w:rPr>
          <w:noProof/>
          <w:lang w:val="en-GB"/>
        </w:rPr>
        <w:t xml:space="preserve"> and associated rises in interest rates, the </w:t>
      </w:r>
      <w:r w:rsidR="000657F8" w:rsidRPr="00881BC8">
        <w:rPr>
          <w:noProof/>
          <w:lang w:val="en-GB"/>
        </w:rPr>
        <w:t>possibility of using free funding (</w:t>
      </w:r>
      <w:r w:rsidRPr="00881BC8">
        <w:rPr>
          <w:noProof/>
          <w:lang w:val="en-GB"/>
        </w:rPr>
        <w:t>by paying late</w:t>
      </w:r>
      <w:r w:rsidR="000657F8" w:rsidRPr="00881BC8">
        <w:rPr>
          <w:noProof/>
          <w:lang w:val="en-GB"/>
        </w:rPr>
        <w:t>)</w:t>
      </w:r>
      <w:r w:rsidRPr="00881BC8">
        <w:rPr>
          <w:noProof/>
          <w:lang w:val="en-GB"/>
        </w:rPr>
        <w:t xml:space="preserve"> </w:t>
      </w:r>
      <w:r w:rsidR="000657F8" w:rsidRPr="00881BC8">
        <w:rPr>
          <w:noProof/>
          <w:lang w:val="en-GB"/>
        </w:rPr>
        <w:t xml:space="preserve">has </w:t>
      </w:r>
      <w:r w:rsidRPr="00881BC8">
        <w:rPr>
          <w:noProof/>
          <w:lang w:val="en-GB"/>
        </w:rPr>
        <w:t xml:space="preserve">become more attractive. </w:t>
      </w:r>
      <w:r w:rsidR="004D0DE2" w:rsidRPr="00881BC8">
        <w:rPr>
          <w:noProof/>
          <w:lang w:val="en-GB"/>
        </w:rPr>
        <w:t>I</w:t>
      </w:r>
      <w:r w:rsidR="000657F8" w:rsidRPr="00881BC8">
        <w:rPr>
          <w:noProof/>
          <w:lang w:val="en-GB"/>
        </w:rPr>
        <w:t xml:space="preserve">nflation also points to the need to adjust the </w:t>
      </w:r>
      <w:r w:rsidR="00F00AEC" w:rsidRPr="00881BC8">
        <w:rPr>
          <w:noProof/>
          <w:lang w:val="en-GB"/>
        </w:rPr>
        <w:t>EUR </w:t>
      </w:r>
      <w:r w:rsidR="00770B2E" w:rsidRPr="00881BC8">
        <w:rPr>
          <w:noProof/>
          <w:lang w:val="en-GB"/>
        </w:rPr>
        <w:t xml:space="preserve">40 compensation </w:t>
      </w:r>
      <w:r w:rsidR="000657F8" w:rsidRPr="00881BC8">
        <w:rPr>
          <w:noProof/>
          <w:lang w:val="en-GB"/>
        </w:rPr>
        <w:t xml:space="preserve">fee </w:t>
      </w:r>
      <w:r w:rsidR="00770B2E" w:rsidRPr="00881BC8">
        <w:rPr>
          <w:noProof/>
          <w:lang w:val="en-GB"/>
        </w:rPr>
        <w:t xml:space="preserve">for hassle costs to which a creditor </w:t>
      </w:r>
      <w:r w:rsidR="004D0DE2" w:rsidRPr="00881BC8">
        <w:rPr>
          <w:noProof/>
          <w:lang w:val="en-GB"/>
        </w:rPr>
        <w:t>has the right</w:t>
      </w:r>
      <w:r w:rsidR="00770B2E" w:rsidRPr="00881BC8">
        <w:rPr>
          <w:noProof/>
          <w:lang w:val="en-GB"/>
        </w:rPr>
        <w:t>.</w:t>
      </w:r>
      <w:r w:rsidR="00FF4F1B" w:rsidRPr="00881BC8">
        <w:rPr>
          <w:noProof/>
          <w:lang w:val="en-GB"/>
        </w:rPr>
        <w:t xml:space="preserve"> </w:t>
      </w:r>
      <w:r w:rsidR="00BC1348" w:rsidRPr="00881BC8">
        <w:rPr>
          <w:noProof/>
          <w:lang w:val="en-GB"/>
        </w:rPr>
        <w:t>According to a</w:t>
      </w:r>
      <w:r w:rsidR="00FF4F1B" w:rsidRPr="00881BC8">
        <w:rPr>
          <w:noProof/>
          <w:lang w:val="en-GB"/>
        </w:rPr>
        <w:t>n EU-wide survey</w:t>
      </w:r>
      <w:r w:rsidR="00FF4F1B" w:rsidRPr="00881BC8">
        <w:rPr>
          <w:rStyle w:val="FootnoteReference"/>
          <w:noProof/>
          <w:lang w:val="en-GB"/>
        </w:rPr>
        <w:footnoteReference w:id="78"/>
      </w:r>
      <w:r w:rsidR="00FF4F1B" w:rsidRPr="00881BC8">
        <w:rPr>
          <w:noProof/>
          <w:lang w:val="en-GB"/>
        </w:rPr>
        <w:t>, six out of ten companies are worried that the risk of late payments will grow in the short term, due to inflation.</w:t>
      </w:r>
    </w:p>
    <w:p w14:paraId="3BC7A0A9" w14:textId="6A188CF6" w:rsidR="006B087E" w:rsidRPr="00881BC8" w:rsidRDefault="004977CC" w:rsidP="004835F8">
      <w:pPr>
        <w:pStyle w:val="NormalPara"/>
        <w:rPr>
          <w:noProof/>
          <w:color w:val="000000" w:themeColor="text1"/>
          <w:lang w:val="en-GB"/>
        </w:rPr>
      </w:pPr>
      <w:r w:rsidRPr="00881BC8">
        <w:rPr>
          <w:noProof/>
          <w:lang w:val="en-GB"/>
        </w:rPr>
        <w:t>T</w:t>
      </w:r>
      <w:r w:rsidR="43900D2A" w:rsidRPr="00881BC8">
        <w:rPr>
          <w:noProof/>
          <w:lang w:val="en-GB"/>
        </w:rPr>
        <w:t xml:space="preserve">he current baseline </w:t>
      </w:r>
      <w:r w:rsidR="00C3140F" w:rsidRPr="00881BC8">
        <w:rPr>
          <w:noProof/>
          <w:lang w:val="en-GB"/>
        </w:rPr>
        <w:t>is</w:t>
      </w:r>
      <w:r w:rsidR="0E60E136" w:rsidRPr="00881BC8">
        <w:rPr>
          <w:noProof/>
          <w:lang w:val="en-GB"/>
        </w:rPr>
        <w:t xml:space="preserve"> likely </w:t>
      </w:r>
      <w:r w:rsidR="00C3140F" w:rsidRPr="00881BC8">
        <w:rPr>
          <w:noProof/>
          <w:lang w:val="en-GB"/>
        </w:rPr>
        <w:t xml:space="preserve">to </w:t>
      </w:r>
      <w:r w:rsidR="0E60E136" w:rsidRPr="00881BC8">
        <w:rPr>
          <w:noProof/>
          <w:lang w:val="en-GB"/>
        </w:rPr>
        <w:t>deteriorate</w:t>
      </w:r>
      <w:r w:rsidR="4AB5895A" w:rsidRPr="00881BC8">
        <w:rPr>
          <w:noProof/>
          <w:lang w:val="en-GB"/>
        </w:rPr>
        <w:t xml:space="preserve"> in the futur</w:t>
      </w:r>
      <w:r w:rsidR="43900D2A" w:rsidRPr="00881BC8">
        <w:rPr>
          <w:noProof/>
          <w:lang w:val="en-GB"/>
        </w:rPr>
        <w:t>e</w:t>
      </w:r>
      <w:r w:rsidR="00C3140F" w:rsidRPr="00881BC8">
        <w:rPr>
          <w:noProof/>
          <w:lang w:val="en-GB"/>
        </w:rPr>
        <w:t xml:space="preserve"> because of the war at EU’s borders, inflation, </w:t>
      </w:r>
      <w:r w:rsidR="00080698" w:rsidRPr="00881BC8">
        <w:rPr>
          <w:noProof/>
          <w:lang w:val="en-GB"/>
        </w:rPr>
        <w:t xml:space="preserve">higher interest rates </w:t>
      </w:r>
      <w:r w:rsidR="00C3140F" w:rsidRPr="00881BC8">
        <w:rPr>
          <w:noProof/>
          <w:lang w:val="en-GB"/>
        </w:rPr>
        <w:t xml:space="preserve">and </w:t>
      </w:r>
      <w:r w:rsidR="00C3140F" w:rsidRPr="00881BC8">
        <w:rPr>
          <w:noProof/>
          <w:color w:val="000000" w:themeColor="text1"/>
          <w:lang w:val="en-GB"/>
        </w:rPr>
        <w:t>energy prices shock</w:t>
      </w:r>
      <w:r w:rsidR="43900D2A" w:rsidRPr="00881BC8">
        <w:rPr>
          <w:noProof/>
          <w:color w:val="000000" w:themeColor="text1"/>
          <w:lang w:val="en-GB"/>
        </w:rPr>
        <w:t>.</w:t>
      </w:r>
      <w:r w:rsidR="0E60E136" w:rsidRPr="00881BC8">
        <w:rPr>
          <w:noProof/>
          <w:color w:val="000000" w:themeColor="text1"/>
          <w:lang w:val="en-GB"/>
        </w:rPr>
        <w:t xml:space="preserve"> </w:t>
      </w:r>
    </w:p>
    <w:p w14:paraId="1C202DC4" w14:textId="3E63D666" w:rsidR="00CF43E4" w:rsidRPr="00881BC8" w:rsidRDefault="00CF43E4" w:rsidP="004835F8">
      <w:pPr>
        <w:pStyle w:val="Heading2"/>
        <w:rPr>
          <w:rFonts w:eastAsia="@Yu Mincho Light"/>
          <w:noProof/>
        </w:rPr>
      </w:pPr>
      <w:bookmarkStart w:id="251" w:name="_Toc130395693"/>
      <w:bookmarkStart w:id="252" w:name="_Toc130403611"/>
      <w:bookmarkStart w:id="253" w:name="_Toc108191625"/>
      <w:bookmarkStart w:id="254" w:name="_Toc108194812"/>
      <w:bookmarkStart w:id="255" w:name="_Toc108439915"/>
      <w:bookmarkStart w:id="256" w:name="_Toc108441085"/>
      <w:bookmarkStart w:id="257" w:name="_Toc113029440"/>
      <w:bookmarkStart w:id="258" w:name="_Toc113311921"/>
      <w:bookmarkStart w:id="259" w:name="_Toc113313966"/>
      <w:bookmarkStart w:id="260" w:name="_Toc113314994"/>
      <w:bookmarkStart w:id="261" w:name="_Toc113656930"/>
      <w:bookmarkStart w:id="262" w:name="_Toc113904545"/>
      <w:bookmarkStart w:id="263" w:name="_Toc113915463"/>
      <w:bookmarkStart w:id="264" w:name="_Toc113915530"/>
      <w:bookmarkStart w:id="265" w:name="_Toc113915612"/>
      <w:bookmarkStart w:id="266" w:name="_Toc114137180"/>
      <w:bookmarkStart w:id="267" w:name="_Toc128594943"/>
      <w:bookmarkStart w:id="268" w:name="_Toc128678898"/>
      <w:bookmarkStart w:id="269" w:name="_Toc135237404"/>
      <w:bookmarkStart w:id="270" w:name="_Toc128935099"/>
      <w:bookmarkStart w:id="271" w:name="_Toc129710192"/>
      <w:bookmarkStart w:id="272" w:name="_Toc129899897"/>
      <w:bookmarkEnd w:id="251"/>
      <w:bookmarkEnd w:id="252"/>
      <w:r w:rsidRPr="00881BC8">
        <w:rPr>
          <w:rFonts w:eastAsia="@Yu Mincho Light"/>
          <w:noProof/>
        </w:rPr>
        <w:t>Description of the policy options</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rsidR="003B3015" w:rsidRPr="00881BC8">
        <w:rPr>
          <w:rFonts w:eastAsia="@Yu Mincho Light"/>
          <w:noProof/>
        </w:rPr>
        <w:t xml:space="preserve"> </w:t>
      </w:r>
      <w:bookmarkEnd w:id="270"/>
      <w:bookmarkEnd w:id="271"/>
      <w:bookmarkEnd w:id="272"/>
    </w:p>
    <w:p w14:paraId="198883BC" w14:textId="64A6C4EA" w:rsidR="00CF43E4" w:rsidRPr="00881BC8" w:rsidRDefault="00C3140F" w:rsidP="004835F8">
      <w:pPr>
        <w:pStyle w:val="NormalPara"/>
        <w:rPr>
          <w:noProof/>
          <w:lang w:val="en-GB"/>
        </w:rPr>
      </w:pPr>
      <w:r w:rsidRPr="00881BC8">
        <w:rPr>
          <w:noProof/>
          <w:lang w:val="en-GB"/>
        </w:rPr>
        <w:t>T</w:t>
      </w:r>
      <w:r w:rsidR="00CF43E4" w:rsidRPr="00881BC8">
        <w:rPr>
          <w:noProof/>
          <w:lang w:val="en-GB"/>
        </w:rPr>
        <w:t xml:space="preserve">he policy options </w:t>
      </w:r>
      <w:r w:rsidR="00E26E43" w:rsidRPr="00881BC8">
        <w:rPr>
          <w:noProof/>
          <w:lang w:val="en-GB"/>
        </w:rPr>
        <w:t xml:space="preserve">(PO) </w:t>
      </w:r>
      <w:r w:rsidR="00D6453D" w:rsidRPr="00881BC8">
        <w:rPr>
          <w:noProof/>
          <w:lang w:val="en-GB"/>
        </w:rPr>
        <w:t xml:space="preserve">address the problem drivers (section </w:t>
      </w:r>
      <w:r w:rsidR="005851F4">
        <w:rPr>
          <w:noProof/>
          <w:lang w:val="en-GB"/>
        </w:rPr>
        <w:t>2.3</w:t>
      </w:r>
      <w:r w:rsidR="00D6453D" w:rsidRPr="00881BC8">
        <w:rPr>
          <w:noProof/>
          <w:lang w:val="en-GB"/>
        </w:rPr>
        <w:t xml:space="preserve">) through a user-driven approach </w:t>
      </w:r>
      <w:r w:rsidRPr="00881BC8">
        <w:rPr>
          <w:noProof/>
          <w:lang w:val="en-GB"/>
        </w:rPr>
        <w:t xml:space="preserve">to </w:t>
      </w:r>
      <w:r w:rsidR="003C6E6E" w:rsidRPr="00881BC8">
        <w:rPr>
          <w:noProof/>
          <w:lang w:val="en-GB"/>
        </w:rPr>
        <w:t>achiev</w:t>
      </w:r>
      <w:r w:rsidRPr="00881BC8">
        <w:rPr>
          <w:noProof/>
          <w:lang w:val="en-GB"/>
        </w:rPr>
        <w:t>e</w:t>
      </w:r>
      <w:r w:rsidR="003C6E6E" w:rsidRPr="00881BC8">
        <w:rPr>
          <w:noProof/>
          <w:lang w:val="en-GB"/>
        </w:rPr>
        <w:t xml:space="preserve"> the objectives </w:t>
      </w:r>
      <w:r w:rsidRPr="00881BC8">
        <w:rPr>
          <w:noProof/>
          <w:lang w:val="en-GB"/>
        </w:rPr>
        <w:t xml:space="preserve">(section </w:t>
      </w:r>
      <w:r w:rsidR="005851F4">
        <w:rPr>
          <w:noProof/>
          <w:lang w:val="en-GB"/>
        </w:rPr>
        <w:t>4</w:t>
      </w:r>
      <w:r w:rsidRPr="00881BC8">
        <w:rPr>
          <w:noProof/>
          <w:lang w:val="en-GB"/>
        </w:rPr>
        <w:t>), in particular by</w:t>
      </w:r>
      <w:r w:rsidR="00CF43E4" w:rsidRPr="00881BC8">
        <w:rPr>
          <w:noProof/>
          <w:lang w:val="en-GB"/>
        </w:rPr>
        <w:t>:</w:t>
      </w:r>
    </w:p>
    <w:p w14:paraId="25327A5F" w14:textId="3824A7C7" w:rsidR="00CF43E4" w:rsidRPr="00881BC8" w:rsidRDefault="009F431B" w:rsidP="004835F8">
      <w:pPr>
        <w:numPr>
          <w:ilvl w:val="0"/>
          <w:numId w:val="9"/>
        </w:numPr>
        <w:spacing w:after="120"/>
        <w:ind w:left="357" w:hanging="357"/>
        <w:contextualSpacing/>
        <w:rPr>
          <w:noProof/>
        </w:rPr>
      </w:pPr>
      <w:r w:rsidRPr="00881BC8">
        <w:rPr>
          <w:noProof/>
        </w:rPr>
        <w:t>f</w:t>
      </w:r>
      <w:r w:rsidR="00CF43E4" w:rsidRPr="00881BC8">
        <w:rPr>
          <w:noProof/>
        </w:rPr>
        <w:t>ix</w:t>
      </w:r>
      <w:r w:rsidR="001F38D5" w:rsidRPr="00881BC8">
        <w:rPr>
          <w:noProof/>
        </w:rPr>
        <w:t>ing</w:t>
      </w:r>
      <w:r w:rsidR="00CF43E4" w:rsidRPr="00881BC8">
        <w:rPr>
          <w:noProof/>
        </w:rPr>
        <w:t xml:space="preserve"> the </w:t>
      </w:r>
      <w:r w:rsidR="00C3140F" w:rsidRPr="00881BC8">
        <w:rPr>
          <w:noProof/>
        </w:rPr>
        <w:t>framework conditions</w:t>
      </w:r>
      <w:r w:rsidR="00CF43E4" w:rsidRPr="00881BC8">
        <w:rPr>
          <w:noProof/>
        </w:rPr>
        <w:t xml:space="preserve"> to prevent late payments; </w:t>
      </w:r>
    </w:p>
    <w:p w14:paraId="1C8D5565" w14:textId="0D2699C7" w:rsidR="00CF43E4" w:rsidRPr="00881BC8" w:rsidRDefault="009F431B" w:rsidP="004835F8">
      <w:pPr>
        <w:numPr>
          <w:ilvl w:val="0"/>
          <w:numId w:val="9"/>
        </w:numPr>
        <w:spacing w:after="120"/>
        <w:ind w:left="357" w:hanging="357"/>
        <w:contextualSpacing/>
        <w:rPr>
          <w:noProof/>
        </w:rPr>
      </w:pPr>
      <w:r w:rsidRPr="00881BC8">
        <w:rPr>
          <w:noProof/>
        </w:rPr>
        <w:t>f</w:t>
      </w:r>
      <w:r w:rsidR="001F38D5" w:rsidRPr="00881BC8">
        <w:rPr>
          <w:noProof/>
        </w:rPr>
        <w:t xml:space="preserve">ixing </w:t>
      </w:r>
      <w:r w:rsidR="00CF43E4" w:rsidRPr="00881BC8">
        <w:rPr>
          <w:noProof/>
        </w:rPr>
        <w:t xml:space="preserve">the </w:t>
      </w:r>
      <w:r w:rsidR="00C3140F" w:rsidRPr="00881BC8">
        <w:rPr>
          <w:noProof/>
        </w:rPr>
        <w:t xml:space="preserve">market failure resulting from imbalances in bargaining power </w:t>
      </w:r>
      <w:r w:rsidR="00CF43E4" w:rsidRPr="00881BC8">
        <w:rPr>
          <w:noProof/>
        </w:rPr>
        <w:t xml:space="preserve">to facilitate timely payments; </w:t>
      </w:r>
    </w:p>
    <w:p w14:paraId="5639520F" w14:textId="1CE60D22" w:rsidR="00CF43E4" w:rsidRPr="00881BC8" w:rsidRDefault="009F431B" w:rsidP="004835F8">
      <w:pPr>
        <w:numPr>
          <w:ilvl w:val="0"/>
          <w:numId w:val="9"/>
        </w:numPr>
        <w:spacing w:after="120"/>
        <w:ind w:left="357" w:hanging="357"/>
        <w:contextualSpacing/>
        <w:rPr>
          <w:noProof/>
        </w:rPr>
      </w:pPr>
      <w:r w:rsidRPr="00881BC8">
        <w:rPr>
          <w:noProof/>
        </w:rPr>
        <w:t>e</w:t>
      </w:r>
      <w:r w:rsidR="00C3140F" w:rsidRPr="00881BC8">
        <w:rPr>
          <w:noProof/>
        </w:rPr>
        <w:t>mpowering SMEs to take action, challenge unfair conditions and claim redress when paid late.</w:t>
      </w:r>
    </w:p>
    <w:p w14:paraId="2C907D48" w14:textId="2C2B0C41" w:rsidR="00FA587D" w:rsidRPr="00881BC8" w:rsidRDefault="00900CB1" w:rsidP="004835F8">
      <w:pPr>
        <w:pStyle w:val="NormalPara"/>
        <w:rPr>
          <w:noProof/>
          <w:lang w:val="en-GB"/>
        </w:rPr>
      </w:pPr>
      <w:r w:rsidRPr="00881BC8">
        <w:rPr>
          <w:noProof/>
          <w:lang w:val="en-GB"/>
        </w:rPr>
        <w:t xml:space="preserve">The activities </w:t>
      </w:r>
      <w:r w:rsidR="00780A36" w:rsidRPr="00881BC8">
        <w:rPr>
          <w:noProof/>
          <w:lang w:val="en-GB"/>
        </w:rPr>
        <w:t xml:space="preserve">related to the monitoring LPD’s implementation (see </w:t>
      </w:r>
      <w:r w:rsidR="005518CC" w:rsidRPr="00881BC8">
        <w:rPr>
          <w:noProof/>
          <w:lang w:val="en-GB"/>
        </w:rPr>
        <w:fldChar w:fldCharType="begin"/>
      </w:r>
      <w:r w:rsidR="005518CC" w:rsidRPr="00881BC8">
        <w:rPr>
          <w:noProof/>
          <w:lang w:val="en-GB"/>
        </w:rPr>
        <w:instrText xml:space="preserve"> REF Annex06 \h </w:instrText>
      </w:r>
      <w:r w:rsidR="00EA6B6A" w:rsidRPr="00881BC8">
        <w:rPr>
          <w:noProof/>
          <w:lang w:val="en-GB"/>
        </w:rPr>
        <w:instrText xml:space="preserve"> \* MERGEFORMAT </w:instrText>
      </w:r>
      <w:r w:rsidR="005518CC" w:rsidRPr="00881BC8">
        <w:rPr>
          <w:noProof/>
          <w:lang w:val="en-GB"/>
        </w:rPr>
      </w:r>
      <w:r w:rsidR="005518CC" w:rsidRPr="00881BC8">
        <w:rPr>
          <w:noProof/>
          <w:lang w:val="en-GB"/>
        </w:rPr>
        <w:fldChar w:fldCharType="separate"/>
      </w:r>
      <w:r w:rsidR="005851F4" w:rsidRPr="005851F4">
        <w:rPr>
          <w:noProof/>
          <w:lang w:val="en-GB"/>
        </w:rPr>
        <w:t>Annex 6</w:t>
      </w:r>
      <w:r w:rsidR="005518CC" w:rsidRPr="00881BC8">
        <w:rPr>
          <w:noProof/>
          <w:lang w:val="en-GB"/>
        </w:rPr>
        <w:fldChar w:fldCharType="end"/>
      </w:r>
      <w:r w:rsidR="00780A36" w:rsidRPr="00881BC8">
        <w:rPr>
          <w:noProof/>
          <w:lang w:val="en-GB"/>
        </w:rPr>
        <w:t>)</w:t>
      </w:r>
      <w:r w:rsidR="005518CC" w:rsidRPr="00881BC8">
        <w:rPr>
          <w:noProof/>
          <w:lang w:val="en-GB"/>
        </w:rPr>
        <w:t xml:space="preserve"> </w:t>
      </w:r>
      <w:r w:rsidRPr="00881BC8">
        <w:rPr>
          <w:noProof/>
          <w:lang w:val="en-GB"/>
        </w:rPr>
        <w:t xml:space="preserve">have </w:t>
      </w:r>
      <w:r w:rsidR="00387FFD" w:rsidRPr="00881BC8">
        <w:rPr>
          <w:noProof/>
          <w:lang w:val="en-GB"/>
        </w:rPr>
        <w:t xml:space="preserve">allowed the Commission </w:t>
      </w:r>
      <w:r w:rsidR="00A843A0" w:rsidRPr="00881BC8">
        <w:rPr>
          <w:noProof/>
          <w:lang w:val="en-GB"/>
        </w:rPr>
        <w:t xml:space="preserve">during the last 10 years </w:t>
      </w:r>
      <w:r w:rsidR="00387FFD" w:rsidRPr="00881BC8">
        <w:rPr>
          <w:noProof/>
          <w:lang w:val="en-GB"/>
        </w:rPr>
        <w:t xml:space="preserve">to pre-identify the specific areas </w:t>
      </w:r>
      <w:r w:rsidR="00415E8F" w:rsidRPr="00881BC8">
        <w:rPr>
          <w:noProof/>
          <w:lang w:val="en-GB"/>
        </w:rPr>
        <w:t>for</w:t>
      </w:r>
      <w:r w:rsidR="00387FFD" w:rsidRPr="00881BC8">
        <w:rPr>
          <w:noProof/>
          <w:lang w:val="en-GB"/>
        </w:rPr>
        <w:t xml:space="preserve"> intervention </w:t>
      </w:r>
      <w:r w:rsidR="00415E8F" w:rsidRPr="00881BC8">
        <w:rPr>
          <w:noProof/>
          <w:lang w:val="en-GB"/>
        </w:rPr>
        <w:t xml:space="preserve">among </w:t>
      </w:r>
      <w:r w:rsidR="00387FFD" w:rsidRPr="00881BC8">
        <w:rPr>
          <w:noProof/>
          <w:lang w:val="en-GB"/>
        </w:rPr>
        <w:t xml:space="preserve">several </w:t>
      </w:r>
      <w:r w:rsidR="00415E8F" w:rsidRPr="00881BC8">
        <w:rPr>
          <w:noProof/>
          <w:lang w:val="en-GB"/>
        </w:rPr>
        <w:t xml:space="preserve">possibilities </w:t>
      </w:r>
      <w:r w:rsidR="00387FFD" w:rsidRPr="00881BC8">
        <w:rPr>
          <w:noProof/>
          <w:lang w:val="en-GB"/>
        </w:rPr>
        <w:t>across the political/regulatory spectrum</w:t>
      </w:r>
      <w:r w:rsidR="00E71926" w:rsidRPr="00881BC8">
        <w:rPr>
          <w:noProof/>
          <w:lang w:val="en-GB"/>
        </w:rPr>
        <w:t xml:space="preserve"> (defined within</w:t>
      </w:r>
      <w:r w:rsidR="00387FFD" w:rsidRPr="00881BC8">
        <w:rPr>
          <w:noProof/>
          <w:lang w:val="en-GB"/>
        </w:rPr>
        <w:t xml:space="preserve"> </w:t>
      </w:r>
      <w:r w:rsidR="00E71926" w:rsidRPr="00881BC8">
        <w:rPr>
          <w:noProof/>
          <w:lang w:val="en-GB"/>
        </w:rPr>
        <w:t xml:space="preserve">the </w:t>
      </w:r>
      <w:r w:rsidR="00387FFD" w:rsidRPr="00881BC8">
        <w:rPr>
          <w:noProof/>
          <w:lang w:val="en-GB"/>
        </w:rPr>
        <w:t>limit</w:t>
      </w:r>
      <w:r w:rsidR="00E71926" w:rsidRPr="00881BC8">
        <w:rPr>
          <w:noProof/>
          <w:lang w:val="en-GB"/>
        </w:rPr>
        <w:t xml:space="preserve">s </w:t>
      </w:r>
      <w:r w:rsidR="00387FFD" w:rsidRPr="00881BC8">
        <w:rPr>
          <w:noProof/>
          <w:lang w:val="en-GB"/>
        </w:rPr>
        <w:t>of political and legal feasibility and Treaty competences</w:t>
      </w:r>
      <w:r w:rsidR="00D460F1" w:rsidRPr="00881BC8">
        <w:rPr>
          <w:noProof/>
          <w:lang w:val="en-GB"/>
        </w:rPr>
        <w:t xml:space="preserve">, </w:t>
      </w:r>
      <w:r w:rsidR="00387FFD" w:rsidRPr="00881BC8">
        <w:rPr>
          <w:noProof/>
          <w:lang w:val="en-GB"/>
        </w:rPr>
        <w:t>see Annex 14).</w:t>
      </w:r>
      <w:r w:rsidR="002E552C" w:rsidRPr="00881BC8">
        <w:rPr>
          <w:noProof/>
          <w:lang w:val="en-GB"/>
        </w:rPr>
        <w:t xml:space="preserve"> </w:t>
      </w:r>
      <w:r w:rsidR="00FA587D" w:rsidRPr="00881BC8">
        <w:rPr>
          <w:noProof/>
          <w:lang w:val="en-GB"/>
        </w:rPr>
        <w:t xml:space="preserve">The options presented and assessed in this report focus on areas of intervention pre-identified as critical for combating late payments: </w:t>
      </w:r>
      <w:r w:rsidR="0004788B" w:rsidRPr="00881BC8">
        <w:rPr>
          <w:noProof/>
          <w:lang w:val="en-GB"/>
        </w:rPr>
        <w:t xml:space="preserve">the ‘framework conditions’ </w:t>
      </w:r>
      <w:r w:rsidR="00500CBB" w:rsidRPr="00881BC8">
        <w:rPr>
          <w:noProof/>
          <w:lang w:val="en-GB"/>
        </w:rPr>
        <w:t>including</w:t>
      </w:r>
      <w:r w:rsidR="0004788B" w:rsidRPr="00881BC8">
        <w:rPr>
          <w:noProof/>
          <w:lang w:val="en-GB"/>
        </w:rPr>
        <w:t xml:space="preserve"> </w:t>
      </w:r>
      <w:r w:rsidR="00FA587D" w:rsidRPr="00881BC8">
        <w:rPr>
          <w:noProof/>
          <w:lang w:val="en-GB"/>
        </w:rPr>
        <w:t xml:space="preserve">the </w:t>
      </w:r>
      <w:r w:rsidR="001077E4" w:rsidRPr="00881BC8">
        <w:rPr>
          <w:noProof/>
          <w:lang w:val="en-GB"/>
        </w:rPr>
        <w:t xml:space="preserve">degree </w:t>
      </w:r>
      <w:r w:rsidR="00FA587D" w:rsidRPr="00881BC8">
        <w:rPr>
          <w:noProof/>
          <w:lang w:val="en-GB"/>
        </w:rPr>
        <w:t xml:space="preserve">of freedom of contract, </w:t>
      </w:r>
      <w:r w:rsidR="00500CBB" w:rsidRPr="00881BC8">
        <w:rPr>
          <w:noProof/>
          <w:lang w:val="en-GB"/>
        </w:rPr>
        <w:t xml:space="preserve">‘the enforcement’ </w:t>
      </w:r>
      <w:r w:rsidR="001077E4" w:rsidRPr="00881BC8">
        <w:rPr>
          <w:noProof/>
          <w:lang w:val="en-GB"/>
        </w:rPr>
        <w:t xml:space="preserve">and </w:t>
      </w:r>
      <w:r w:rsidR="00FA587D" w:rsidRPr="00881BC8">
        <w:rPr>
          <w:noProof/>
          <w:lang w:val="en-GB"/>
        </w:rPr>
        <w:t xml:space="preserve">the </w:t>
      </w:r>
      <w:r w:rsidR="001077E4" w:rsidRPr="00881BC8">
        <w:rPr>
          <w:noProof/>
          <w:lang w:val="en-GB"/>
        </w:rPr>
        <w:t>‘</w:t>
      </w:r>
      <w:r w:rsidR="00FA587D" w:rsidRPr="00881BC8">
        <w:rPr>
          <w:noProof/>
          <w:lang w:val="en-GB"/>
        </w:rPr>
        <w:t>redress mechanisms</w:t>
      </w:r>
      <w:r w:rsidR="001077E4" w:rsidRPr="00881BC8">
        <w:rPr>
          <w:noProof/>
          <w:lang w:val="en-GB"/>
        </w:rPr>
        <w:t>’</w:t>
      </w:r>
      <w:r w:rsidR="00FA587D" w:rsidRPr="00881BC8">
        <w:rPr>
          <w:noProof/>
          <w:lang w:val="en-GB"/>
        </w:rPr>
        <w:t xml:space="preserve">. </w:t>
      </w:r>
    </w:p>
    <w:p w14:paraId="1A29A601" w14:textId="2B4311D9" w:rsidR="001077E4" w:rsidRPr="00881BC8" w:rsidRDefault="001077E4" w:rsidP="004835F8">
      <w:pPr>
        <w:pStyle w:val="NormalPara"/>
        <w:rPr>
          <w:noProof/>
          <w:lang w:val="en-GB"/>
        </w:rPr>
      </w:pPr>
      <w:r w:rsidRPr="00881BC8">
        <w:rPr>
          <w:noProof/>
          <w:lang w:val="en-GB"/>
        </w:rPr>
        <w:t xml:space="preserve">Each option presents a different </w:t>
      </w:r>
      <w:r w:rsidR="00FA4529" w:rsidRPr="00881BC8">
        <w:rPr>
          <w:noProof/>
          <w:lang w:val="en-GB"/>
        </w:rPr>
        <w:t xml:space="preserve">degree of intervention among </w:t>
      </w:r>
      <w:r w:rsidRPr="00881BC8">
        <w:rPr>
          <w:noProof/>
          <w:lang w:val="en-GB"/>
        </w:rPr>
        <w:t xml:space="preserve">these areas. </w:t>
      </w:r>
      <w:r w:rsidR="009358BA" w:rsidRPr="00881BC8">
        <w:rPr>
          <w:noProof/>
          <w:lang w:val="en-GB"/>
        </w:rPr>
        <w:t>PO</w:t>
      </w:r>
      <w:r w:rsidRPr="00881BC8">
        <w:rPr>
          <w:noProof/>
          <w:lang w:val="en-GB"/>
        </w:rPr>
        <w:t>1</w:t>
      </w:r>
      <w:r w:rsidR="0053268C" w:rsidRPr="00881BC8">
        <w:rPr>
          <w:noProof/>
          <w:lang w:val="en-GB"/>
        </w:rPr>
        <w:t xml:space="preserve"> </w:t>
      </w:r>
      <w:r w:rsidR="00D609BC" w:rsidRPr="00881BC8">
        <w:rPr>
          <w:noProof/>
          <w:lang w:val="en-GB"/>
        </w:rPr>
        <w:t>consider</w:t>
      </w:r>
      <w:r w:rsidR="009E0A22" w:rsidRPr="00881BC8">
        <w:rPr>
          <w:noProof/>
          <w:lang w:val="en-GB"/>
        </w:rPr>
        <w:t>s</w:t>
      </w:r>
      <w:r w:rsidRPr="00881BC8">
        <w:rPr>
          <w:noProof/>
          <w:lang w:val="en-GB"/>
        </w:rPr>
        <w:t xml:space="preserve"> </w:t>
      </w:r>
      <w:r w:rsidR="0053268C" w:rsidRPr="00881BC8">
        <w:rPr>
          <w:noProof/>
          <w:lang w:val="en-GB"/>
        </w:rPr>
        <w:t xml:space="preserve">a stronger </w:t>
      </w:r>
      <w:r w:rsidRPr="00881BC8">
        <w:rPr>
          <w:noProof/>
          <w:lang w:val="en-GB"/>
        </w:rPr>
        <w:t xml:space="preserve">intervention on the </w:t>
      </w:r>
      <w:r w:rsidR="0004788B" w:rsidRPr="00881BC8">
        <w:rPr>
          <w:noProof/>
          <w:lang w:val="en-GB"/>
        </w:rPr>
        <w:t>‘</w:t>
      </w:r>
      <w:r w:rsidRPr="00881BC8">
        <w:rPr>
          <w:noProof/>
          <w:lang w:val="en-GB"/>
        </w:rPr>
        <w:t>freedom of contract</w:t>
      </w:r>
      <w:r w:rsidR="0004788B" w:rsidRPr="00881BC8">
        <w:rPr>
          <w:noProof/>
          <w:lang w:val="en-GB"/>
        </w:rPr>
        <w:t>’</w:t>
      </w:r>
      <w:r w:rsidRPr="00881BC8">
        <w:rPr>
          <w:noProof/>
          <w:lang w:val="en-GB"/>
        </w:rPr>
        <w:t xml:space="preserve"> </w:t>
      </w:r>
      <w:r w:rsidR="0004788B" w:rsidRPr="00881BC8">
        <w:rPr>
          <w:noProof/>
          <w:lang w:val="en-GB"/>
        </w:rPr>
        <w:t xml:space="preserve">under ‘framework conditions’ </w:t>
      </w:r>
      <w:r w:rsidRPr="00881BC8">
        <w:rPr>
          <w:noProof/>
          <w:lang w:val="en-GB"/>
        </w:rPr>
        <w:t xml:space="preserve">to bring a better balance between freedom of negotiation and fairness, by laying down stricter payment terms. </w:t>
      </w:r>
      <w:r w:rsidR="0053268C" w:rsidRPr="00881BC8">
        <w:rPr>
          <w:noProof/>
          <w:lang w:val="en-GB"/>
        </w:rPr>
        <w:t>The option’s rationale is prevention and it envisages</w:t>
      </w:r>
      <w:r w:rsidRPr="00881BC8">
        <w:rPr>
          <w:noProof/>
          <w:lang w:val="en-GB"/>
        </w:rPr>
        <w:t xml:space="preserve"> </w:t>
      </w:r>
      <w:r w:rsidR="0053268C" w:rsidRPr="00881BC8">
        <w:rPr>
          <w:noProof/>
          <w:lang w:val="en-GB"/>
        </w:rPr>
        <w:t>n</w:t>
      </w:r>
      <w:r w:rsidRPr="00881BC8">
        <w:rPr>
          <w:noProof/>
          <w:lang w:val="en-GB"/>
        </w:rPr>
        <w:t xml:space="preserve">o </w:t>
      </w:r>
      <w:r w:rsidR="002F4624" w:rsidRPr="00881BC8">
        <w:rPr>
          <w:noProof/>
          <w:lang w:val="en-GB"/>
        </w:rPr>
        <w:t xml:space="preserve">EU </w:t>
      </w:r>
      <w:r w:rsidRPr="00881BC8">
        <w:rPr>
          <w:noProof/>
          <w:lang w:val="en-GB"/>
        </w:rPr>
        <w:t xml:space="preserve">intervention on </w:t>
      </w:r>
      <w:r w:rsidR="0053268C" w:rsidRPr="00881BC8">
        <w:rPr>
          <w:noProof/>
          <w:lang w:val="en-GB"/>
        </w:rPr>
        <w:t>‘</w:t>
      </w:r>
      <w:r w:rsidR="002F4624" w:rsidRPr="00881BC8">
        <w:rPr>
          <w:noProof/>
          <w:lang w:val="en-GB"/>
        </w:rPr>
        <w:t>enforcement</w:t>
      </w:r>
      <w:r w:rsidR="0053268C" w:rsidRPr="00881BC8">
        <w:rPr>
          <w:noProof/>
          <w:lang w:val="en-GB"/>
        </w:rPr>
        <w:t>’</w:t>
      </w:r>
      <w:r w:rsidRPr="00881BC8">
        <w:rPr>
          <w:noProof/>
          <w:lang w:val="en-GB"/>
        </w:rPr>
        <w:t xml:space="preserve"> and </w:t>
      </w:r>
      <w:r w:rsidR="0053268C" w:rsidRPr="00881BC8">
        <w:rPr>
          <w:noProof/>
          <w:lang w:val="en-GB"/>
        </w:rPr>
        <w:t>‘</w:t>
      </w:r>
      <w:r w:rsidRPr="00881BC8">
        <w:rPr>
          <w:noProof/>
          <w:lang w:val="en-GB"/>
        </w:rPr>
        <w:t>redress mechanisms</w:t>
      </w:r>
      <w:r w:rsidR="0053268C" w:rsidRPr="00881BC8">
        <w:rPr>
          <w:noProof/>
          <w:lang w:val="en-GB"/>
        </w:rPr>
        <w:t>’</w:t>
      </w:r>
      <w:r w:rsidR="003055C8" w:rsidRPr="00881BC8">
        <w:rPr>
          <w:noProof/>
          <w:lang w:val="en-GB"/>
        </w:rPr>
        <w:t>, leaving these elements to the existing baseline scenario</w:t>
      </w:r>
      <w:r w:rsidRPr="00881BC8">
        <w:rPr>
          <w:noProof/>
          <w:lang w:val="en-GB"/>
        </w:rPr>
        <w:t xml:space="preserve">. This approach </w:t>
      </w:r>
      <w:r w:rsidR="003055C8" w:rsidRPr="00881BC8">
        <w:rPr>
          <w:noProof/>
          <w:lang w:val="en-GB"/>
        </w:rPr>
        <w:t xml:space="preserve">essentially </w:t>
      </w:r>
      <w:r w:rsidRPr="00881BC8">
        <w:rPr>
          <w:noProof/>
          <w:lang w:val="en-GB"/>
        </w:rPr>
        <w:t>follow</w:t>
      </w:r>
      <w:r w:rsidR="001961EE" w:rsidRPr="00881BC8">
        <w:rPr>
          <w:noProof/>
          <w:lang w:val="en-GB"/>
        </w:rPr>
        <w:t xml:space="preserve">s </w:t>
      </w:r>
      <w:r w:rsidR="00141344" w:rsidRPr="00881BC8">
        <w:rPr>
          <w:noProof/>
          <w:lang w:val="en-GB"/>
        </w:rPr>
        <w:t xml:space="preserve">the specific </w:t>
      </w:r>
      <w:r w:rsidR="001961EE" w:rsidRPr="00881BC8">
        <w:rPr>
          <w:noProof/>
          <w:lang w:val="en-GB"/>
        </w:rPr>
        <w:t xml:space="preserve">policy choice </w:t>
      </w:r>
      <w:r w:rsidR="00141344" w:rsidRPr="00881BC8">
        <w:rPr>
          <w:noProof/>
          <w:lang w:val="en-GB"/>
        </w:rPr>
        <w:t xml:space="preserve">recently </w:t>
      </w:r>
      <w:r w:rsidR="001961EE" w:rsidRPr="00881BC8">
        <w:rPr>
          <w:noProof/>
          <w:lang w:val="en-GB"/>
        </w:rPr>
        <w:t>made</w:t>
      </w:r>
      <w:r w:rsidRPr="00881BC8">
        <w:rPr>
          <w:noProof/>
          <w:lang w:val="en-GB"/>
        </w:rPr>
        <w:t xml:space="preserve"> in the Netherlands</w:t>
      </w:r>
      <w:r w:rsidR="003C6D03" w:rsidRPr="00881BC8">
        <w:rPr>
          <w:noProof/>
          <w:lang w:val="en-GB"/>
        </w:rPr>
        <w:t>,</w:t>
      </w:r>
      <w:r w:rsidRPr="00881BC8">
        <w:rPr>
          <w:noProof/>
          <w:lang w:val="en-GB"/>
        </w:rPr>
        <w:t xml:space="preserve"> where payment terms </w:t>
      </w:r>
      <w:r w:rsidR="001961EE" w:rsidRPr="00881BC8">
        <w:rPr>
          <w:noProof/>
          <w:lang w:val="en-GB"/>
        </w:rPr>
        <w:t xml:space="preserve">in B2B transactions </w:t>
      </w:r>
      <w:r w:rsidR="003C6D03" w:rsidRPr="00881BC8">
        <w:rPr>
          <w:noProof/>
          <w:lang w:val="en-GB"/>
        </w:rPr>
        <w:t xml:space="preserve">have been </w:t>
      </w:r>
      <w:r w:rsidR="001961EE" w:rsidRPr="00881BC8">
        <w:rPr>
          <w:noProof/>
          <w:lang w:val="en-GB"/>
        </w:rPr>
        <w:t xml:space="preserve">reduced </w:t>
      </w:r>
      <w:r w:rsidRPr="00881BC8">
        <w:rPr>
          <w:noProof/>
          <w:lang w:val="en-GB"/>
        </w:rPr>
        <w:t>from 60 to 30 days</w:t>
      </w:r>
      <w:r w:rsidR="00D80E4B" w:rsidRPr="00881BC8">
        <w:rPr>
          <w:rStyle w:val="FootnoteReference"/>
          <w:noProof/>
          <w:lang w:val="en-GB"/>
        </w:rPr>
        <w:footnoteReference w:id="79"/>
      </w:r>
      <w:r w:rsidRPr="00881BC8">
        <w:rPr>
          <w:noProof/>
          <w:lang w:val="en-GB"/>
        </w:rPr>
        <w:t xml:space="preserve">. </w:t>
      </w:r>
      <w:r w:rsidR="009358BA" w:rsidRPr="00881BC8">
        <w:rPr>
          <w:noProof/>
          <w:lang w:val="en-GB"/>
        </w:rPr>
        <w:t>PO</w:t>
      </w:r>
      <w:r w:rsidRPr="00881BC8">
        <w:rPr>
          <w:noProof/>
          <w:lang w:val="en-GB"/>
        </w:rPr>
        <w:t>2 focus</w:t>
      </w:r>
      <w:r w:rsidR="003C6D03" w:rsidRPr="00881BC8">
        <w:rPr>
          <w:noProof/>
          <w:lang w:val="en-GB"/>
        </w:rPr>
        <w:t>es</w:t>
      </w:r>
      <w:r w:rsidRPr="00881BC8">
        <w:rPr>
          <w:noProof/>
          <w:lang w:val="en-GB"/>
        </w:rPr>
        <w:t xml:space="preserve"> on </w:t>
      </w:r>
      <w:r w:rsidR="003C6D03" w:rsidRPr="00881BC8">
        <w:rPr>
          <w:noProof/>
          <w:lang w:val="en-GB"/>
        </w:rPr>
        <w:t>‘</w:t>
      </w:r>
      <w:r w:rsidR="002F4624" w:rsidRPr="00881BC8">
        <w:rPr>
          <w:noProof/>
          <w:lang w:val="en-GB"/>
        </w:rPr>
        <w:t>enforcement</w:t>
      </w:r>
      <w:r w:rsidR="003C6D03" w:rsidRPr="00881BC8">
        <w:rPr>
          <w:noProof/>
          <w:lang w:val="en-GB"/>
        </w:rPr>
        <w:t>’</w:t>
      </w:r>
      <w:r w:rsidRPr="00881BC8">
        <w:rPr>
          <w:noProof/>
          <w:lang w:val="en-GB"/>
        </w:rPr>
        <w:t>, by sharpening deterrents (interest and compensation</w:t>
      </w:r>
      <w:r w:rsidR="003C6D03" w:rsidRPr="00881BC8">
        <w:rPr>
          <w:noProof/>
          <w:lang w:val="en-GB"/>
        </w:rPr>
        <w:t xml:space="preserve"> fees</w:t>
      </w:r>
      <w:r w:rsidRPr="00881BC8">
        <w:rPr>
          <w:noProof/>
          <w:lang w:val="en-GB"/>
        </w:rPr>
        <w:t xml:space="preserve">) and </w:t>
      </w:r>
      <w:r w:rsidR="003C6D03" w:rsidRPr="00881BC8">
        <w:rPr>
          <w:noProof/>
          <w:lang w:val="en-GB"/>
        </w:rPr>
        <w:t xml:space="preserve">designating </w:t>
      </w:r>
      <w:r w:rsidRPr="00881BC8">
        <w:rPr>
          <w:noProof/>
          <w:lang w:val="en-GB"/>
        </w:rPr>
        <w:t xml:space="preserve">enforcement bodies. </w:t>
      </w:r>
      <w:r w:rsidR="00BA3B33" w:rsidRPr="00881BC8">
        <w:rPr>
          <w:noProof/>
          <w:lang w:val="en-GB"/>
        </w:rPr>
        <w:t xml:space="preserve">This option leaves more freedom to the parties </w:t>
      </w:r>
      <w:r w:rsidR="009A151D" w:rsidRPr="00881BC8">
        <w:rPr>
          <w:noProof/>
          <w:lang w:val="en-GB"/>
        </w:rPr>
        <w:t>at the outset of the</w:t>
      </w:r>
      <w:r w:rsidR="002301DE" w:rsidRPr="00881BC8">
        <w:rPr>
          <w:noProof/>
          <w:lang w:val="en-GB"/>
        </w:rPr>
        <w:t>ir</w:t>
      </w:r>
      <w:r w:rsidR="009A151D" w:rsidRPr="00881BC8">
        <w:rPr>
          <w:noProof/>
          <w:lang w:val="en-GB"/>
        </w:rPr>
        <w:t xml:space="preserve"> contractual relation</w:t>
      </w:r>
      <w:r w:rsidR="00B56916" w:rsidRPr="00881BC8">
        <w:rPr>
          <w:noProof/>
          <w:lang w:val="en-GB"/>
        </w:rPr>
        <w:t>ship</w:t>
      </w:r>
      <w:r w:rsidR="009A151D" w:rsidRPr="00881BC8">
        <w:rPr>
          <w:noProof/>
          <w:lang w:val="en-GB"/>
        </w:rPr>
        <w:t xml:space="preserve"> but </w:t>
      </w:r>
      <w:r w:rsidR="00BA3B33" w:rsidRPr="00881BC8">
        <w:rPr>
          <w:noProof/>
          <w:lang w:val="en-GB"/>
        </w:rPr>
        <w:t xml:space="preserve">is more </w:t>
      </w:r>
      <w:r w:rsidR="004C49A4" w:rsidRPr="00881BC8">
        <w:rPr>
          <w:noProof/>
          <w:lang w:val="en-GB"/>
        </w:rPr>
        <w:t xml:space="preserve">focused </w:t>
      </w:r>
      <w:r w:rsidR="00B56916" w:rsidRPr="00881BC8">
        <w:rPr>
          <w:noProof/>
          <w:lang w:val="en-GB"/>
        </w:rPr>
        <w:t xml:space="preserve">on </w:t>
      </w:r>
      <w:r w:rsidR="009A151D" w:rsidRPr="00881BC8">
        <w:rPr>
          <w:noProof/>
          <w:lang w:val="en-GB"/>
        </w:rPr>
        <w:t xml:space="preserve">ensuring </w:t>
      </w:r>
      <w:r w:rsidR="00B56916" w:rsidRPr="00881BC8">
        <w:rPr>
          <w:noProof/>
          <w:lang w:val="en-GB"/>
        </w:rPr>
        <w:t xml:space="preserve">the </w:t>
      </w:r>
      <w:r w:rsidR="009A151D" w:rsidRPr="00881BC8">
        <w:rPr>
          <w:noProof/>
          <w:lang w:val="en-GB"/>
        </w:rPr>
        <w:t>implementation</w:t>
      </w:r>
      <w:r w:rsidR="00B56916" w:rsidRPr="00881BC8">
        <w:rPr>
          <w:noProof/>
          <w:lang w:val="en-GB"/>
        </w:rPr>
        <w:t xml:space="preserve"> of the will of the parties</w:t>
      </w:r>
      <w:r w:rsidR="009A151D" w:rsidRPr="00881BC8">
        <w:rPr>
          <w:noProof/>
          <w:lang w:val="en-GB"/>
        </w:rPr>
        <w:t xml:space="preserve">. </w:t>
      </w:r>
      <w:r w:rsidRPr="00881BC8">
        <w:rPr>
          <w:noProof/>
          <w:lang w:val="en-GB"/>
        </w:rPr>
        <w:t xml:space="preserve">The rationale </w:t>
      </w:r>
      <w:r w:rsidR="00F32704" w:rsidRPr="00881BC8">
        <w:rPr>
          <w:noProof/>
          <w:lang w:val="en-GB"/>
        </w:rPr>
        <w:t xml:space="preserve">for </w:t>
      </w:r>
      <w:r w:rsidRPr="00881BC8">
        <w:rPr>
          <w:noProof/>
          <w:lang w:val="en-GB"/>
        </w:rPr>
        <w:t xml:space="preserve">this option is to ensure that </w:t>
      </w:r>
      <w:r w:rsidR="00BD3DFF" w:rsidRPr="00881BC8">
        <w:rPr>
          <w:noProof/>
          <w:lang w:val="en-GB"/>
        </w:rPr>
        <w:t xml:space="preserve">agreed </w:t>
      </w:r>
      <w:r w:rsidRPr="00881BC8">
        <w:rPr>
          <w:noProof/>
          <w:lang w:val="en-GB"/>
        </w:rPr>
        <w:t xml:space="preserve">payment conditions are </w:t>
      </w:r>
      <w:r w:rsidR="00BD3DFF" w:rsidRPr="00881BC8">
        <w:rPr>
          <w:noProof/>
          <w:lang w:val="en-GB"/>
        </w:rPr>
        <w:t>met</w:t>
      </w:r>
      <w:r w:rsidRPr="00881BC8">
        <w:rPr>
          <w:noProof/>
          <w:lang w:val="en-GB"/>
        </w:rPr>
        <w:t xml:space="preserve"> and intervening only </w:t>
      </w:r>
      <w:r w:rsidR="00BD3DFF" w:rsidRPr="00881BC8">
        <w:rPr>
          <w:noProof/>
          <w:lang w:val="en-GB"/>
        </w:rPr>
        <w:t>if this is not the case</w:t>
      </w:r>
      <w:r w:rsidRPr="00881BC8">
        <w:rPr>
          <w:noProof/>
          <w:lang w:val="en-GB"/>
        </w:rPr>
        <w:t xml:space="preserve">. This approach </w:t>
      </w:r>
      <w:r w:rsidR="00BD3DFF" w:rsidRPr="00881BC8">
        <w:rPr>
          <w:noProof/>
          <w:lang w:val="en-GB"/>
        </w:rPr>
        <w:t xml:space="preserve">has </w:t>
      </w:r>
      <w:r w:rsidR="00141344" w:rsidRPr="00881BC8">
        <w:rPr>
          <w:noProof/>
          <w:lang w:val="en-GB"/>
        </w:rPr>
        <w:t xml:space="preserve">recently </w:t>
      </w:r>
      <w:r w:rsidR="00BD3DFF" w:rsidRPr="00881BC8">
        <w:rPr>
          <w:noProof/>
          <w:lang w:val="en-GB"/>
        </w:rPr>
        <w:t xml:space="preserve">been put in place </w:t>
      </w:r>
      <w:r w:rsidRPr="00881BC8">
        <w:rPr>
          <w:noProof/>
          <w:lang w:val="en-GB"/>
        </w:rPr>
        <w:t>in Spain (</w:t>
      </w:r>
      <w:r w:rsidR="00D80E4B" w:rsidRPr="00881BC8">
        <w:rPr>
          <w:noProof/>
          <w:lang w:val="en-GB"/>
        </w:rPr>
        <w:t>s</w:t>
      </w:r>
      <w:r w:rsidRPr="00881BC8">
        <w:rPr>
          <w:noProof/>
          <w:lang w:val="en-GB"/>
        </w:rPr>
        <w:t xml:space="preserve">ee Annex 9). </w:t>
      </w:r>
      <w:r w:rsidR="009358BA" w:rsidRPr="00881BC8">
        <w:rPr>
          <w:noProof/>
          <w:lang w:val="en-GB"/>
        </w:rPr>
        <w:t>PO</w:t>
      </w:r>
      <w:r w:rsidRPr="00881BC8">
        <w:rPr>
          <w:noProof/>
          <w:lang w:val="en-GB"/>
        </w:rPr>
        <w:t>3 focus</w:t>
      </w:r>
      <w:r w:rsidR="00D97369" w:rsidRPr="00881BC8">
        <w:rPr>
          <w:noProof/>
          <w:lang w:val="en-GB"/>
        </w:rPr>
        <w:t>es</w:t>
      </w:r>
      <w:r w:rsidRPr="00881BC8">
        <w:rPr>
          <w:noProof/>
          <w:lang w:val="en-GB"/>
        </w:rPr>
        <w:t xml:space="preserve"> </w:t>
      </w:r>
      <w:r w:rsidR="00D97369" w:rsidRPr="00881BC8">
        <w:rPr>
          <w:noProof/>
          <w:lang w:val="en-GB"/>
        </w:rPr>
        <w:t xml:space="preserve">the </w:t>
      </w:r>
      <w:r w:rsidRPr="00881BC8">
        <w:rPr>
          <w:noProof/>
          <w:lang w:val="en-GB"/>
        </w:rPr>
        <w:t xml:space="preserve">intervention on remedial measures. </w:t>
      </w:r>
      <w:r w:rsidR="004C49A4" w:rsidRPr="00881BC8">
        <w:rPr>
          <w:noProof/>
          <w:lang w:val="en-GB"/>
        </w:rPr>
        <w:t xml:space="preserve">It is the least interventionist at the level of the freedom of the parties. </w:t>
      </w:r>
      <w:r w:rsidR="00D97369" w:rsidRPr="00881BC8">
        <w:rPr>
          <w:noProof/>
          <w:lang w:val="en-GB"/>
        </w:rPr>
        <w:t>T</w:t>
      </w:r>
      <w:r w:rsidRPr="00881BC8">
        <w:rPr>
          <w:noProof/>
          <w:lang w:val="en-GB"/>
        </w:rPr>
        <w:t xml:space="preserve">he measures assessed </w:t>
      </w:r>
      <w:r w:rsidR="00D97369" w:rsidRPr="00881BC8">
        <w:rPr>
          <w:noProof/>
          <w:lang w:val="en-GB"/>
        </w:rPr>
        <w:t xml:space="preserve">under this option seek to </w:t>
      </w:r>
      <w:r w:rsidRPr="00881BC8">
        <w:rPr>
          <w:noProof/>
          <w:lang w:val="en-GB"/>
        </w:rPr>
        <w:t xml:space="preserve">improve the redress conditions when payment terms – which have been freely negotiated </w:t>
      </w:r>
      <w:r w:rsidR="00D80E4B" w:rsidRPr="00881BC8">
        <w:rPr>
          <w:noProof/>
          <w:lang w:val="en-GB"/>
        </w:rPr>
        <w:t xml:space="preserve">– </w:t>
      </w:r>
      <w:r w:rsidRPr="00881BC8">
        <w:rPr>
          <w:noProof/>
          <w:lang w:val="en-GB"/>
        </w:rPr>
        <w:t xml:space="preserve">are not </w:t>
      </w:r>
      <w:r w:rsidR="00D80E4B" w:rsidRPr="00881BC8">
        <w:rPr>
          <w:noProof/>
          <w:lang w:val="en-GB"/>
        </w:rPr>
        <w:t>met</w:t>
      </w:r>
      <w:r w:rsidRPr="00881BC8">
        <w:rPr>
          <w:noProof/>
          <w:lang w:val="en-GB"/>
        </w:rPr>
        <w:t xml:space="preserve">, and where the existing deterrents have not been effective. This approach </w:t>
      </w:r>
      <w:r w:rsidR="00D80E4B" w:rsidRPr="00881BC8">
        <w:rPr>
          <w:noProof/>
          <w:lang w:val="en-GB"/>
        </w:rPr>
        <w:t xml:space="preserve">has been </w:t>
      </w:r>
      <w:r w:rsidRPr="00881BC8">
        <w:rPr>
          <w:noProof/>
          <w:lang w:val="en-GB"/>
        </w:rPr>
        <w:t>implemented in Belgium and in Ireland in the construction sector</w:t>
      </w:r>
      <w:r w:rsidR="00D80E4B" w:rsidRPr="00881BC8">
        <w:rPr>
          <w:rStyle w:val="FootnoteReference"/>
          <w:noProof/>
          <w:lang w:val="en-GB"/>
        </w:rPr>
        <w:footnoteReference w:id="80"/>
      </w:r>
      <w:r w:rsidR="00D80E4B" w:rsidRPr="00881BC8">
        <w:rPr>
          <w:noProof/>
          <w:lang w:val="en-GB"/>
        </w:rPr>
        <w:t>.</w:t>
      </w:r>
      <w:r w:rsidRPr="00881BC8">
        <w:rPr>
          <w:noProof/>
          <w:lang w:val="en-GB"/>
        </w:rPr>
        <w:t xml:space="preserve"> </w:t>
      </w:r>
    </w:p>
    <w:p w14:paraId="41E3C428" w14:textId="481DFB9B" w:rsidR="00791307" w:rsidRPr="00881BC8" w:rsidRDefault="00C3140F" w:rsidP="004835F8">
      <w:pPr>
        <w:pStyle w:val="NormalPara"/>
        <w:rPr>
          <w:noProof/>
          <w:lang w:val="en-GB"/>
        </w:rPr>
      </w:pPr>
      <w:r w:rsidRPr="00881BC8">
        <w:rPr>
          <w:noProof/>
          <w:lang w:val="en-GB"/>
        </w:rPr>
        <w:t>Each proposed policy option is put forward as standalone</w:t>
      </w:r>
      <w:r w:rsidR="00BC1348" w:rsidRPr="00881BC8">
        <w:rPr>
          <w:noProof/>
          <w:lang w:val="en-GB"/>
        </w:rPr>
        <w:t>,</w:t>
      </w:r>
      <w:r w:rsidRPr="00881BC8">
        <w:rPr>
          <w:noProof/>
          <w:lang w:val="en-GB"/>
        </w:rPr>
        <w:t xml:space="preserve"> </w:t>
      </w:r>
      <w:r w:rsidR="00BC1348" w:rsidRPr="00881BC8">
        <w:rPr>
          <w:noProof/>
          <w:lang w:val="en-GB"/>
        </w:rPr>
        <w:t xml:space="preserve">therefore </w:t>
      </w:r>
      <w:r w:rsidRPr="00881BC8">
        <w:rPr>
          <w:noProof/>
          <w:lang w:val="en-GB"/>
        </w:rPr>
        <w:t>can be introduced independently</w:t>
      </w:r>
      <w:r w:rsidR="00D357F5" w:rsidRPr="00881BC8">
        <w:rPr>
          <w:noProof/>
          <w:lang w:val="en-GB"/>
        </w:rPr>
        <w:t xml:space="preserve"> from others</w:t>
      </w:r>
      <w:r w:rsidR="00791307" w:rsidRPr="00881BC8">
        <w:rPr>
          <w:noProof/>
          <w:lang w:val="en-GB"/>
        </w:rPr>
        <w:t>. However</w:t>
      </w:r>
      <w:r w:rsidR="004D6F3D" w:rsidRPr="00881BC8">
        <w:rPr>
          <w:noProof/>
          <w:lang w:val="en-GB"/>
        </w:rPr>
        <w:t xml:space="preserve">, </w:t>
      </w:r>
      <w:r w:rsidR="00791307" w:rsidRPr="00881BC8">
        <w:rPr>
          <w:noProof/>
          <w:lang w:val="en-GB"/>
        </w:rPr>
        <w:t xml:space="preserve">each option aims to address only a part of the shortcomings of the current situation. In addition, options include different sub-options which </w:t>
      </w:r>
      <w:r w:rsidR="003563A2" w:rsidRPr="00881BC8">
        <w:rPr>
          <w:noProof/>
          <w:lang w:val="en-GB"/>
        </w:rPr>
        <w:t>vary</w:t>
      </w:r>
      <w:r w:rsidR="00791307" w:rsidRPr="00881BC8">
        <w:rPr>
          <w:noProof/>
          <w:lang w:val="en-GB"/>
        </w:rPr>
        <w:t xml:space="preserve"> in the degree to which they respond to the individual specific objectives.</w:t>
      </w:r>
    </w:p>
    <w:p w14:paraId="5F0388FE" w14:textId="655601E8" w:rsidR="00CF43E4" w:rsidRPr="00881BC8" w:rsidRDefault="00BC1348" w:rsidP="004835F8">
      <w:pPr>
        <w:pStyle w:val="NormalPara"/>
        <w:rPr>
          <w:noProof/>
          <w:lang w:val="en-GB"/>
        </w:rPr>
      </w:pPr>
      <w:r w:rsidRPr="00881BC8">
        <w:rPr>
          <w:noProof/>
          <w:lang w:val="en-GB"/>
        </w:rPr>
        <w:t>Policy options contain legal measures.</w:t>
      </w:r>
      <w:r w:rsidR="00341A07" w:rsidRPr="00881BC8">
        <w:rPr>
          <w:noProof/>
          <w:lang w:val="en-GB"/>
        </w:rPr>
        <w:t xml:space="preserve"> The analysis consists in choosing the best sub-option to address the policy option to which it belongs.</w:t>
      </w:r>
      <w:r w:rsidR="00BF2830" w:rsidRPr="00881BC8">
        <w:rPr>
          <w:noProof/>
          <w:lang w:val="en-GB"/>
        </w:rPr>
        <w:t xml:space="preserve"> In the next step, i</w:t>
      </w:r>
      <w:r w:rsidR="00341A07" w:rsidRPr="00881BC8">
        <w:rPr>
          <w:noProof/>
          <w:lang w:val="en-GB"/>
        </w:rPr>
        <w:t xml:space="preserve">ndividual </w:t>
      </w:r>
      <w:r w:rsidR="00BF2830" w:rsidRPr="00881BC8">
        <w:rPr>
          <w:noProof/>
          <w:lang w:val="en-GB"/>
        </w:rPr>
        <w:t xml:space="preserve">(standalone) </w:t>
      </w:r>
      <w:r w:rsidR="00341A07" w:rsidRPr="00881BC8">
        <w:rPr>
          <w:noProof/>
          <w:lang w:val="en-GB"/>
        </w:rPr>
        <w:t xml:space="preserve">policy options </w:t>
      </w:r>
      <w:r w:rsidR="00BF2830" w:rsidRPr="00881BC8">
        <w:rPr>
          <w:noProof/>
          <w:lang w:val="en-GB"/>
        </w:rPr>
        <w:t xml:space="preserve">are </w:t>
      </w:r>
      <w:r w:rsidR="00341A07" w:rsidRPr="00881BC8">
        <w:rPr>
          <w:noProof/>
          <w:lang w:val="en-GB"/>
        </w:rPr>
        <w:t>compared against a package of individual policy options to determine the best way to achieve the objectives.</w:t>
      </w:r>
      <w:r w:rsidRPr="00881BC8">
        <w:rPr>
          <w:noProof/>
          <w:lang w:val="en-GB"/>
        </w:rPr>
        <w:t xml:space="preserve"> The preferred </w:t>
      </w:r>
      <w:r w:rsidR="00630EFE" w:rsidRPr="00881BC8">
        <w:rPr>
          <w:noProof/>
          <w:lang w:val="en-GB"/>
        </w:rPr>
        <w:t xml:space="preserve">package </w:t>
      </w:r>
      <w:r w:rsidRPr="00881BC8">
        <w:rPr>
          <w:noProof/>
          <w:lang w:val="en-GB"/>
        </w:rPr>
        <w:t xml:space="preserve">is a combination of three </w:t>
      </w:r>
      <w:r w:rsidR="00630EFE" w:rsidRPr="00881BC8">
        <w:rPr>
          <w:noProof/>
          <w:lang w:val="en-GB"/>
        </w:rPr>
        <w:t xml:space="preserve">policy </w:t>
      </w:r>
      <w:r w:rsidRPr="00881BC8">
        <w:rPr>
          <w:noProof/>
          <w:lang w:val="en-GB"/>
        </w:rPr>
        <w:t>options.</w:t>
      </w:r>
    </w:p>
    <w:p w14:paraId="3AC6A411" w14:textId="6746C452" w:rsidR="00CF43E4" w:rsidRPr="00881BC8" w:rsidRDefault="00CF43E4" w:rsidP="004835F8">
      <w:pPr>
        <w:pStyle w:val="Heading3"/>
        <w:rPr>
          <w:rFonts w:eastAsia="@Yu Mincho Light"/>
          <w:noProof/>
        </w:rPr>
      </w:pPr>
      <w:bookmarkStart w:id="273" w:name="_Toc113029441"/>
      <w:bookmarkStart w:id="274" w:name="_Toc113311922"/>
      <w:bookmarkStart w:id="275" w:name="_Toc113313967"/>
      <w:bookmarkStart w:id="276" w:name="_Toc113314995"/>
      <w:bookmarkStart w:id="277" w:name="_Toc113656931"/>
      <w:bookmarkStart w:id="278" w:name="_Toc113904546"/>
      <w:bookmarkStart w:id="279" w:name="_Toc113915464"/>
      <w:bookmarkStart w:id="280" w:name="_Toc113915531"/>
      <w:bookmarkStart w:id="281" w:name="_Toc113915613"/>
      <w:bookmarkStart w:id="282" w:name="_Toc114137181"/>
      <w:bookmarkStart w:id="283" w:name="_Toc108191626"/>
      <w:bookmarkStart w:id="284" w:name="_Toc108194813"/>
      <w:bookmarkStart w:id="285" w:name="_Toc108439916"/>
      <w:bookmarkStart w:id="286" w:name="_Toc108441086"/>
      <w:bookmarkStart w:id="287" w:name="_Toc128594944"/>
      <w:bookmarkStart w:id="288" w:name="_Toc128678899"/>
      <w:bookmarkStart w:id="289" w:name="_Toc128935100"/>
      <w:bookmarkStart w:id="290" w:name="_Toc129710193"/>
      <w:bookmarkStart w:id="291" w:name="_Toc129899898"/>
      <w:bookmarkStart w:id="292" w:name="_Toc135237405"/>
      <w:r w:rsidRPr="00881BC8">
        <w:rPr>
          <w:rFonts w:eastAsia="@Yu Mincho Light"/>
          <w:noProof/>
        </w:rPr>
        <w:t>Policy option 1</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r w:rsidRPr="00881BC8">
        <w:rPr>
          <w:rFonts w:eastAsia="@Yu Mincho Light"/>
          <w:noProof/>
        </w:rPr>
        <w:t xml:space="preserve">: </w:t>
      </w:r>
      <w:r w:rsidR="00595F04" w:rsidRPr="00881BC8">
        <w:rPr>
          <w:rFonts w:eastAsia="@Yu Mincho Light"/>
          <w:noProof/>
        </w:rPr>
        <w:t>P</w:t>
      </w:r>
      <w:r w:rsidRPr="00881BC8">
        <w:rPr>
          <w:rFonts w:eastAsia="@Yu Mincho Light"/>
          <w:noProof/>
        </w:rPr>
        <w:t>revent late payment</w:t>
      </w:r>
      <w:bookmarkEnd w:id="287"/>
      <w:bookmarkEnd w:id="288"/>
      <w:bookmarkEnd w:id="289"/>
      <w:bookmarkEnd w:id="290"/>
      <w:bookmarkEnd w:id="291"/>
      <w:r w:rsidRPr="00881BC8">
        <w:rPr>
          <w:rFonts w:eastAsia="@Yu Mincho Light"/>
          <w:noProof/>
        </w:rPr>
        <w:t xml:space="preserve"> </w:t>
      </w:r>
      <w:r w:rsidR="00D357F5" w:rsidRPr="00881BC8">
        <w:rPr>
          <w:rFonts w:eastAsia="@Yu Mincho Light"/>
          <w:noProof/>
        </w:rPr>
        <w:t>from occurring</w:t>
      </w:r>
      <w:bookmarkEnd w:id="292"/>
      <w:r w:rsidR="00D357F5" w:rsidRPr="00881BC8">
        <w:rPr>
          <w:rFonts w:eastAsia="@Yu Mincho Light"/>
          <w:noProof/>
        </w:rPr>
        <w:t xml:space="preserve"> </w:t>
      </w:r>
    </w:p>
    <w:p w14:paraId="2DD8DA20" w14:textId="49EFF4A9" w:rsidR="005252F7" w:rsidRPr="00881BC8" w:rsidRDefault="00361D76" w:rsidP="004835F8">
      <w:pPr>
        <w:pStyle w:val="NormalPara"/>
        <w:rPr>
          <w:noProof/>
          <w:lang w:val="en-GB"/>
        </w:rPr>
      </w:pPr>
      <w:r w:rsidRPr="00881BC8">
        <w:rPr>
          <w:b/>
          <w:bCs/>
          <w:noProof/>
          <w:lang w:val="en-GB"/>
        </w:rPr>
        <w:t>Policy option 1 (</w:t>
      </w:r>
      <w:r w:rsidR="002577BB" w:rsidRPr="00881BC8">
        <w:rPr>
          <w:b/>
          <w:bCs/>
          <w:noProof/>
          <w:lang w:val="en-GB"/>
        </w:rPr>
        <w:t>PO</w:t>
      </w:r>
      <w:r w:rsidR="00157FA4" w:rsidRPr="00881BC8">
        <w:rPr>
          <w:b/>
          <w:bCs/>
          <w:noProof/>
          <w:lang w:val="en-GB"/>
        </w:rPr>
        <w:t>1</w:t>
      </w:r>
      <w:r w:rsidRPr="00881BC8">
        <w:rPr>
          <w:b/>
          <w:bCs/>
          <w:noProof/>
          <w:lang w:val="en-GB"/>
        </w:rPr>
        <w:t>)</w:t>
      </w:r>
      <w:r w:rsidR="00157FA4" w:rsidRPr="00881BC8">
        <w:rPr>
          <w:noProof/>
          <w:lang w:val="en-GB"/>
        </w:rPr>
        <w:t xml:space="preserve"> seeks to address drivers </w:t>
      </w:r>
      <w:r w:rsidR="006369C5" w:rsidRPr="00881BC8">
        <w:rPr>
          <w:noProof/>
          <w:lang w:val="en-GB"/>
        </w:rPr>
        <w:t xml:space="preserve">(section </w:t>
      </w:r>
      <w:r w:rsidR="005851F4">
        <w:rPr>
          <w:noProof/>
          <w:lang w:val="en-GB"/>
        </w:rPr>
        <w:t>2.3.1</w:t>
      </w:r>
      <w:r w:rsidR="006369C5" w:rsidRPr="00881BC8">
        <w:rPr>
          <w:noProof/>
          <w:lang w:val="en-GB"/>
        </w:rPr>
        <w:t xml:space="preserve">) </w:t>
      </w:r>
      <w:r w:rsidR="00157FA4" w:rsidRPr="00881BC8">
        <w:rPr>
          <w:noProof/>
          <w:lang w:val="en-GB"/>
        </w:rPr>
        <w:t>identified with regards</w:t>
      </w:r>
      <w:r w:rsidR="073D4B55" w:rsidRPr="00881BC8">
        <w:rPr>
          <w:noProof/>
          <w:lang w:val="en-GB"/>
        </w:rPr>
        <w:t xml:space="preserve"> the specific objective 1 (</w:t>
      </w:r>
      <w:r w:rsidR="00157FA4" w:rsidRPr="00881BC8">
        <w:rPr>
          <w:noProof/>
          <w:lang w:val="en-GB"/>
        </w:rPr>
        <w:t xml:space="preserve">section </w:t>
      </w:r>
      <w:r w:rsidR="005851F4">
        <w:rPr>
          <w:noProof/>
          <w:lang w:val="en-GB"/>
        </w:rPr>
        <w:t>4.2.1</w:t>
      </w:r>
      <w:r w:rsidR="073D4B55" w:rsidRPr="00881BC8">
        <w:rPr>
          <w:noProof/>
          <w:lang w:val="en-GB"/>
        </w:rPr>
        <w:t>)</w:t>
      </w:r>
      <w:r w:rsidR="006369C5" w:rsidRPr="00881BC8">
        <w:rPr>
          <w:noProof/>
          <w:lang w:val="en-GB"/>
        </w:rPr>
        <w:t xml:space="preserve">. </w:t>
      </w:r>
      <w:r w:rsidR="005252F7" w:rsidRPr="00881BC8">
        <w:rPr>
          <w:noProof/>
          <w:lang w:val="en-GB"/>
        </w:rPr>
        <w:t xml:space="preserve">Policy measures </w:t>
      </w:r>
      <w:r w:rsidR="073D4B55" w:rsidRPr="00881BC8">
        <w:rPr>
          <w:noProof/>
          <w:lang w:val="en-GB"/>
        </w:rPr>
        <w:t>considered</w:t>
      </w:r>
      <w:r w:rsidR="005252F7" w:rsidRPr="00881BC8">
        <w:rPr>
          <w:noProof/>
          <w:lang w:val="en-GB"/>
        </w:rPr>
        <w:t xml:space="preserve"> under this option aim at ensuring </w:t>
      </w:r>
      <w:r w:rsidR="21D48A54" w:rsidRPr="00881BC8">
        <w:rPr>
          <w:noProof/>
          <w:u w:val="single"/>
          <w:lang w:val="en-GB"/>
        </w:rPr>
        <w:t>prevention</w:t>
      </w:r>
      <w:r w:rsidR="005252F7" w:rsidRPr="00881BC8">
        <w:rPr>
          <w:noProof/>
          <w:lang w:val="en-GB"/>
        </w:rPr>
        <w:t>. They focus on the early stages of commercial transaction, including the stage before the contract is signed</w:t>
      </w:r>
      <w:r w:rsidR="21D48A54" w:rsidRPr="00881BC8">
        <w:rPr>
          <w:noProof/>
          <w:lang w:val="en-GB"/>
        </w:rPr>
        <w:t xml:space="preserve">. </w:t>
      </w:r>
      <w:r w:rsidR="005252F7" w:rsidRPr="00881BC8">
        <w:rPr>
          <w:noProof/>
          <w:lang w:val="en-GB"/>
        </w:rPr>
        <w:t>This is because l</w:t>
      </w:r>
      <w:r w:rsidR="21D48A54" w:rsidRPr="00881BC8">
        <w:rPr>
          <w:noProof/>
          <w:lang w:val="en-GB"/>
        </w:rPr>
        <w:t xml:space="preserve">ate payments </w:t>
      </w:r>
      <w:r w:rsidR="005252F7" w:rsidRPr="00881BC8">
        <w:rPr>
          <w:noProof/>
          <w:lang w:val="en-GB"/>
        </w:rPr>
        <w:t xml:space="preserve">may stem from </w:t>
      </w:r>
      <w:r w:rsidR="0AF799FA" w:rsidRPr="00881BC8">
        <w:rPr>
          <w:noProof/>
          <w:lang w:val="en-GB"/>
        </w:rPr>
        <w:t>unfairly negotiated contracts</w:t>
      </w:r>
      <w:r w:rsidR="20468BB8" w:rsidRPr="00881BC8">
        <w:rPr>
          <w:noProof/>
          <w:lang w:val="en-GB"/>
        </w:rPr>
        <w:t xml:space="preserve">, </w:t>
      </w:r>
      <w:r w:rsidR="005252F7" w:rsidRPr="00881BC8">
        <w:rPr>
          <w:noProof/>
          <w:lang w:val="en-GB"/>
        </w:rPr>
        <w:t>which from the start force</w:t>
      </w:r>
      <w:r w:rsidR="20468BB8" w:rsidRPr="00881BC8">
        <w:rPr>
          <w:noProof/>
          <w:lang w:val="en-GB"/>
        </w:rPr>
        <w:t xml:space="preserve"> the creditor to accept</w:t>
      </w:r>
      <w:r w:rsidR="0AF799FA" w:rsidRPr="00881BC8">
        <w:rPr>
          <w:noProof/>
          <w:lang w:val="en-GB"/>
        </w:rPr>
        <w:t xml:space="preserve"> </w:t>
      </w:r>
      <w:r w:rsidR="093F0195" w:rsidRPr="00881BC8">
        <w:rPr>
          <w:noProof/>
          <w:lang w:val="en-GB"/>
        </w:rPr>
        <w:t xml:space="preserve">excessively </w:t>
      </w:r>
      <w:r w:rsidR="0AF799FA" w:rsidRPr="00881BC8">
        <w:rPr>
          <w:noProof/>
          <w:lang w:val="en-GB"/>
        </w:rPr>
        <w:t>long payment terms.</w:t>
      </w:r>
      <w:r w:rsidR="188DC8C3" w:rsidRPr="00881BC8">
        <w:rPr>
          <w:noProof/>
          <w:lang w:val="en-GB"/>
        </w:rPr>
        <w:t xml:space="preserve"> </w:t>
      </w:r>
      <w:r w:rsidR="005252F7" w:rsidRPr="00881BC8">
        <w:rPr>
          <w:noProof/>
          <w:lang w:val="en-GB"/>
        </w:rPr>
        <w:t xml:space="preserve">Through this practice a debtor plans for an effective </w:t>
      </w:r>
      <w:r w:rsidR="0AF799FA" w:rsidRPr="00881BC8">
        <w:rPr>
          <w:noProof/>
          <w:lang w:val="en-GB"/>
        </w:rPr>
        <w:t xml:space="preserve">payment </w:t>
      </w:r>
      <w:r w:rsidR="00FD01BF" w:rsidRPr="00881BC8">
        <w:rPr>
          <w:noProof/>
          <w:lang w:val="en-GB"/>
        </w:rPr>
        <w:t>delay and</w:t>
      </w:r>
      <w:r w:rsidR="005252F7" w:rsidRPr="00881BC8">
        <w:rPr>
          <w:noProof/>
          <w:lang w:val="en-GB"/>
        </w:rPr>
        <w:t xml:space="preserve"> incorporates it into the contract. The problem</w:t>
      </w:r>
      <w:r w:rsidR="0AF799FA" w:rsidRPr="00881BC8">
        <w:rPr>
          <w:noProof/>
          <w:lang w:val="en-GB"/>
        </w:rPr>
        <w:t xml:space="preserve"> </w:t>
      </w:r>
      <w:r w:rsidR="00FD01BF" w:rsidRPr="00881BC8">
        <w:rPr>
          <w:noProof/>
          <w:lang w:val="en-GB"/>
        </w:rPr>
        <w:t>becomes in</w:t>
      </w:r>
      <w:r w:rsidR="0AF799FA" w:rsidRPr="00881BC8">
        <w:rPr>
          <w:noProof/>
          <w:lang w:val="en-GB"/>
        </w:rPr>
        <w:t>visible</w:t>
      </w:r>
      <w:r w:rsidR="005252F7" w:rsidRPr="00881BC8">
        <w:rPr>
          <w:noProof/>
          <w:lang w:val="en-GB"/>
        </w:rPr>
        <w:t xml:space="preserve">, because </w:t>
      </w:r>
      <w:r w:rsidR="00AE539C" w:rsidRPr="00881BC8">
        <w:rPr>
          <w:noProof/>
          <w:lang w:val="en-GB"/>
        </w:rPr>
        <w:t xml:space="preserve">it </w:t>
      </w:r>
      <w:r w:rsidR="0AF799FA" w:rsidRPr="00881BC8">
        <w:rPr>
          <w:noProof/>
          <w:lang w:val="en-GB"/>
        </w:rPr>
        <w:t xml:space="preserve">is included </w:t>
      </w:r>
      <w:r w:rsidR="555FF8E2" w:rsidRPr="00881BC8">
        <w:rPr>
          <w:noProof/>
          <w:lang w:val="en-GB"/>
        </w:rPr>
        <w:t>from</w:t>
      </w:r>
      <w:r w:rsidR="0AF799FA" w:rsidRPr="00881BC8">
        <w:rPr>
          <w:noProof/>
          <w:lang w:val="en-GB"/>
        </w:rPr>
        <w:t xml:space="preserve"> </w:t>
      </w:r>
      <w:r w:rsidR="049A0DB2" w:rsidRPr="00881BC8">
        <w:rPr>
          <w:noProof/>
          <w:lang w:val="en-GB"/>
        </w:rPr>
        <w:t xml:space="preserve">the </w:t>
      </w:r>
      <w:r w:rsidR="3B89FD40" w:rsidRPr="00881BC8">
        <w:rPr>
          <w:noProof/>
          <w:lang w:val="en-GB"/>
        </w:rPr>
        <w:t>start into</w:t>
      </w:r>
      <w:r w:rsidR="049A0DB2" w:rsidRPr="00881BC8">
        <w:rPr>
          <w:noProof/>
          <w:lang w:val="en-GB"/>
        </w:rPr>
        <w:t xml:space="preserve"> the contract</w:t>
      </w:r>
      <w:r w:rsidR="50A28E51" w:rsidRPr="00881BC8">
        <w:rPr>
          <w:noProof/>
          <w:lang w:val="en-GB"/>
        </w:rPr>
        <w:t xml:space="preserve"> and </w:t>
      </w:r>
      <w:r w:rsidR="005252F7" w:rsidRPr="00881BC8">
        <w:rPr>
          <w:noProof/>
          <w:lang w:val="en-GB"/>
        </w:rPr>
        <w:t xml:space="preserve">formally accepted </w:t>
      </w:r>
      <w:r w:rsidR="50A28E51" w:rsidRPr="00881BC8">
        <w:rPr>
          <w:noProof/>
          <w:lang w:val="en-GB"/>
        </w:rPr>
        <w:t>by the creditor.</w:t>
      </w:r>
      <w:r w:rsidR="0091653A" w:rsidRPr="00881BC8">
        <w:rPr>
          <w:noProof/>
          <w:lang w:val="en-GB"/>
        </w:rPr>
        <w:t xml:space="preserve"> </w:t>
      </w:r>
    </w:p>
    <w:p w14:paraId="654AE517" w14:textId="3BFE2820" w:rsidR="00932765" w:rsidRPr="00881BC8" w:rsidRDefault="00932765" w:rsidP="004835F8">
      <w:pPr>
        <w:pStyle w:val="NormalPara"/>
        <w:rPr>
          <w:noProof/>
          <w:lang w:val="en-GB"/>
        </w:rPr>
      </w:pPr>
      <w:r w:rsidRPr="00881BC8">
        <w:rPr>
          <w:noProof/>
          <w:lang w:val="en-GB"/>
        </w:rPr>
        <w:t>The current regulatory framework does not set an absolute maximum payment term in B2B transactions. The EP pleaded for the setting up of preventive measures to combat late payments, including capping of payment terms in B2B transactions, introducing transparency obligations, and providing SMEs with training on credit and invoice management</w:t>
      </w:r>
      <w:r w:rsidRPr="00881BC8">
        <w:rPr>
          <w:rStyle w:val="FootnoteReference"/>
          <w:noProof/>
          <w:lang w:val="en-GB"/>
        </w:rPr>
        <w:footnoteReference w:id="81"/>
      </w:r>
      <w:r w:rsidRPr="00881BC8">
        <w:rPr>
          <w:noProof/>
          <w:lang w:val="en-GB"/>
        </w:rPr>
        <w:t xml:space="preserve">. The Fit for Future platform refers to similar measures (recommendations number 4, 5 and 7 of </w:t>
      </w:r>
      <w:r w:rsidR="000A6AEB" w:rsidRPr="00881BC8">
        <w:rPr>
          <w:noProof/>
          <w:lang w:val="en-GB"/>
        </w:rPr>
        <w:t>the F4F</w:t>
      </w:r>
      <w:r w:rsidRPr="00881BC8">
        <w:rPr>
          <w:noProof/>
          <w:lang w:val="en-GB"/>
        </w:rPr>
        <w:t xml:space="preserve"> opinion</w:t>
      </w:r>
      <w:r w:rsidR="000A6AEB" w:rsidRPr="00881BC8">
        <w:rPr>
          <w:noProof/>
          <w:lang w:val="en-GB"/>
        </w:rPr>
        <w:t xml:space="preserve"> 2021</w:t>
      </w:r>
      <w:r w:rsidRPr="00881BC8">
        <w:rPr>
          <w:noProof/>
          <w:lang w:val="en-GB"/>
        </w:rPr>
        <w:t xml:space="preserve">). </w:t>
      </w:r>
    </w:p>
    <w:p w14:paraId="054386B7" w14:textId="77777777" w:rsidR="00932765" w:rsidRPr="00881BC8" w:rsidRDefault="00932765" w:rsidP="004835F8">
      <w:pPr>
        <w:pStyle w:val="NormalPara"/>
        <w:rPr>
          <w:noProof/>
          <w:lang w:val="en-GB"/>
        </w:rPr>
      </w:pPr>
      <w:bookmarkStart w:id="293" w:name="PO1a"/>
      <w:r w:rsidRPr="00881BC8">
        <w:rPr>
          <w:b/>
          <w:noProof/>
          <w:lang w:val="en-GB"/>
        </w:rPr>
        <w:t>Policy option 1a</w:t>
      </w:r>
      <w:r w:rsidRPr="00881BC8">
        <w:rPr>
          <w:noProof/>
          <w:lang w:val="en-GB"/>
        </w:rPr>
        <w:t xml:space="preserve"> </w:t>
      </w:r>
      <w:bookmarkEnd w:id="293"/>
      <w:r w:rsidRPr="00881BC8">
        <w:rPr>
          <w:noProof/>
          <w:lang w:val="en-GB"/>
        </w:rPr>
        <w:t xml:space="preserve">(PO1a) sets up a maximum payment term in B2B transactions, making it mandatory for businesses to pay in maximum 30 days. This would introduce a clear legal limit to B2B transactions. While this would limit the current freedom of contract, it would boost the degree of fairness with which payment terms are set and establish a better balance in the negotiation of payment terms. </w:t>
      </w:r>
    </w:p>
    <w:p w14:paraId="0A93C86A" w14:textId="6357DA87" w:rsidR="00932765" w:rsidRPr="00881BC8" w:rsidRDefault="00932765" w:rsidP="004835F8">
      <w:pPr>
        <w:pStyle w:val="NormalPara"/>
        <w:rPr>
          <w:noProof/>
          <w:lang w:val="en-GB"/>
        </w:rPr>
      </w:pPr>
      <w:r w:rsidRPr="00881BC8">
        <w:rPr>
          <w:noProof/>
          <w:lang w:val="en-GB"/>
        </w:rPr>
        <w:t>A</w:t>
      </w:r>
      <w:r w:rsidR="00D61765" w:rsidRPr="00881BC8">
        <w:rPr>
          <w:noProof/>
          <w:lang w:val="en-GB"/>
        </w:rPr>
        <w:t xml:space="preserve"> </w:t>
      </w:r>
      <w:r w:rsidR="00BE42EA" w:rsidRPr="00881BC8">
        <w:rPr>
          <w:noProof/>
          <w:lang w:val="en-GB"/>
        </w:rPr>
        <w:t>possibility</w:t>
      </w:r>
      <w:r w:rsidR="00D61765" w:rsidRPr="00881BC8">
        <w:rPr>
          <w:noProof/>
          <w:lang w:val="en-GB"/>
        </w:rPr>
        <w:t xml:space="preserve"> for capping </w:t>
      </w:r>
      <w:r w:rsidRPr="00881BC8">
        <w:rPr>
          <w:noProof/>
          <w:lang w:val="en-GB"/>
        </w:rPr>
        <w:t>payments in B2B transactions at 30 days but allowing for (longer) specific payment terms for certain identified sectors</w:t>
      </w:r>
      <w:r w:rsidR="00357134" w:rsidRPr="00881BC8">
        <w:rPr>
          <w:noProof/>
          <w:lang w:val="en-GB"/>
        </w:rPr>
        <w:t>, in particular those characterised by seasonality or long shelf-life of products</w:t>
      </w:r>
      <w:r w:rsidR="00357134" w:rsidRPr="00881BC8">
        <w:rPr>
          <w:rStyle w:val="FootnoteReference"/>
          <w:noProof/>
          <w:lang w:val="en-GB"/>
        </w:rPr>
        <w:footnoteReference w:id="82"/>
      </w:r>
      <w:r w:rsidR="00BE42EA" w:rsidRPr="00881BC8">
        <w:rPr>
          <w:noProof/>
          <w:lang w:val="en-GB"/>
        </w:rPr>
        <w:t xml:space="preserve"> is </w:t>
      </w:r>
      <w:r w:rsidR="00F80313" w:rsidRPr="00881BC8">
        <w:rPr>
          <w:noProof/>
          <w:lang w:val="en-GB"/>
        </w:rPr>
        <w:t>addressed</w:t>
      </w:r>
      <w:r w:rsidR="00BE42EA" w:rsidRPr="00881BC8">
        <w:rPr>
          <w:noProof/>
          <w:lang w:val="en-GB"/>
        </w:rPr>
        <w:t xml:space="preserve"> in section </w:t>
      </w:r>
      <w:r w:rsidR="005851F4">
        <w:rPr>
          <w:noProof/>
          <w:lang w:val="en-GB"/>
        </w:rPr>
        <w:t>6</w:t>
      </w:r>
      <w:r w:rsidRPr="00881BC8">
        <w:rPr>
          <w:noProof/>
          <w:lang w:val="en-GB"/>
        </w:rPr>
        <w:t xml:space="preserve">. </w:t>
      </w:r>
      <w:r w:rsidR="00E40156" w:rsidRPr="00881BC8">
        <w:rPr>
          <w:noProof/>
          <w:lang w:val="en-GB"/>
        </w:rPr>
        <w:t>In France there are specific payment terms for identified sectors (‘Délais dérogatoires’)</w:t>
      </w:r>
      <w:r w:rsidR="00E40156" w:rsidRPr="00881BC8">
        <w:rPr>
          <w:rStyle w:val="FootnoteReference"/>
          <w:noProof/>
          <w:lang w:val="en-GB"/>
        </w:rPr>
        <w:footnoteReference w:id="83"/>
      </w:r>
      <w:r w:rsidR="00E40156" w:rsidRPr="00881BC8">
        <w:rPr>
          <w:noProof/>
          <w:lang w:val="en-GB"/>
        </w:rPr>
        <w:t>.</w:t>
      </w:r>
    </w:p>
    <w:p w14:paraId="57A7353D" w14:textId="4802C727" w:rsidR="00C779CA" w:rsidRPr="00881BC8" w:rsidRDefault="00C779CA" w:rsidP="002F76D9">
      <w:pPr>
        <w:pStyle w:val="Caption"/>
        <w:rPr>
          <w:noProof/>
          <w:lang w:val="en-GB"/>
        </w:rPr>
      </w:pPr>
      <w:bookmarkStart w:id="294" w:name="_Ref131153505"/>
      <w:r w:rsidRPr="00881BC8">
        <w:rPr>
          <w:noProof/>
          <w:lang w:val="en-GB"/>
        </w:rPr>
        <w:t xml:space="preserve">Table </w:t>
      </w:r>
      <w:r w:rsidR="005851F4">
        <w:rPr>
          <w:noProof/>
          <w:lang w:val="en-GB"/>
        </w:rPr>
        <w:t>1</w:t>
      </w:r>
      <w:bookmarkEnd w:id="294"/>
      <w:r w:rsidRPr="00881BC8">
        <w:rPr>
          <w:noProof/>
          <w:lang w:val="en-GB"/>
        </w:rPr>
        <w:t>: Policy option 1</w:t>
      </w:r>
    </w:p>
    <w:tbl>
      <w:tblPr>
        <w:tblStyle w:val="TableGrid1"/>
        <w:tblpPr w:leftFromText="181" w:rightFromText="181" w:bottomFromText="142" w:vertAnchor="text" w:tblpY="1"/>
        <w:tblOverlap w:val="never"/>
        <w:tblW w:w="9072" w:type="dxa"/>
        <w:tblLook w:val="04A0" w:firstRow="1" w:lastRow="0" w:firstColumn="1" w:lastColumn="0" w:noHBand="0" w:noVBand="1"/>
      </w:tblPr>
      <w:tblGrid>
        <w:gridCol w:w="3134"/>
        <w:gridCol w:w="1965"/>
        <w:gridCol w:w="1975"/>
        <w:gridCol w:w="1998"/>
      </w:tblGrid>
      <w:tr w:rsidR="00CF43E4" w:rsidRPr="00881BC8" w14:paraId="490996BD" w14:textId="77777777" w:rsidTr="00690438">
        <w:trPr>
          <w:trHeight w:val="300"/>
          <w:tblHeader/>
        </w:trPr>
        <w:tc>
          <w:tcPr>
            <w:tcW w:w="9072" w:type="dxa"/>
            <w:gridSpan w:val="4"/>
          </w:tcPr>
          <w:p w14:paraId="65241991" w14:textId="31005930" w:rsidR="008077E3" w:rsidRPr="00881BC8" w:rsidRDefault="00EC461E" w:rsidP="00E83577">
            <w:pPr>
              <w:spacing w:after="120"/>
              <w:jc w:val="center"/>
              <w:rPr>
                <w:b/>
                <w:i/>
                <w:noProof/>
                <w:sz w:val="22"/>
                <w:szCs w:val="22"/>
                <w:lang w:val="en-GB"/>
              </w:rPr>
            </w:pPr>
            <w:r w:rsidRPr="00881BC8">
              <w:rPr>
                <w:b/>
                <w:i/>
                <w:noProof/>
                <w:sz w:val="22"/>
                <w:szCs w:val="22"/>
                <w:lang w:val="en-GB"/>
              </w:rPr>
              <w:t>P</w:t>
            </w:r>
            <w:r w:rsidR="5390A7F0" w:rsidRPr="00881BC8">
              <w:rPr>
                <w:b/>
                <w:i/>
                <w:noProof/>
                <w:sz w:val="22"/>
                <w:szCs w:val="22"/>
                <w:lang w:val="en-GB"/>
              </w:rPr>
              <w:t>revent late payments</w:t>
            </w:r>
          </w:p>
        </w:tc>
      </w:tr>
      <w:tr w:rsidR="00EC461E" w:rsidRPr="00881BC8" w14:paraId="6CE926EB" w14:textId="77777777" w:rsidTr="00690438">
        <w:trPr>
          <w:trHeight w:val="348"/>
          <w:tblHeader/>
        </w:trPr>
        <w:tc>
          <w:tcPr>
            <w:tcW w:w="3134" w:type="dxa"/>
          </w:tcPr>
          <w:p w14:paraId="0FE8BEBC" w14:textId="358C2CDF" w:rsidR="00CF43E4" w:rsidRPr="00881BC8" w:rsidRDefault="00CF43E4" w:rsidP="00E83577">
            <w:pPr>
              <w:tabs>
                <w:tab w:val="left" w:pos="170"/>
              </w:tabs>
              <w:spacing w:after="120"/>
              <w:rPr>
                <w:b/>
                <w:noProof/>
                <w:sz w:val="22"/>
                <w:szCs w:val="22"/>
                <w:lang w:val="en-GB"/>
              </w:rPr>
            </w:pPr>
            <w:r w:rsidRPr="00881BC8">
              <w:rPr>
                <w:b/>
                <w:noProof/>
                <w:sz w:val="22"/>
                <w:szCs w:val="22"/>
                <w:lang w:val="en-GB"/>
              </w:rPr>
              <w:t xml:space="preserve">Baseline </w:t>
            </w:r>
          </w:p>
        </w:tc>
        <w:tc>
          <w:tcPr>
            <w:tcW w:w="1965" w:type="dxa"/>
          </w:tcPr>
          <w:p w14:paraId="6EE9DF40" w14:textId="76178E6C" w:rsidR="00CF43E4" w:rsidRPr="00881BC8" w:rsidRDefault="00CF43E4" w:rsidP="00E83577">
            <w:pPr>
              <w:tabs>
                <w:tab w:val="left" w:pos="170"/>
              </w:tabs>
              <w:spacing w:after="120"/>
              <w:rPr>
                <w:b/>
                <w:noProof/>
                <w:sz w:val="22"/>
                <w:szCs w:val="22"/>
                <w:lang w:val="en-GB"/>
              </w:rPr>
            </w:pPr>
            <w:r w:rsidRPr="00881BC8">
              <w:rPr>
                <w:b/>
                <w:noProof/>
                <w:sz w:val="22"/>
                <w:szCs w:val="22"/>
                <w:lang w:val="en-GB"/>
              </w:rPr>
              <w:t>PO 1a</w:t>
            </w:r>
          </w:p>
        </w:tc>
        <w:tc>
          <w:tcPr>
            <w:tcW w:w="1975" w:type="dxa"/>
          </w:tcPr>
          <w:p w14:paraId="0917B153" w14:textId="0B202092" w:rsidR="5A434975" w:rsidRPr="00881BC8" w:rsidRDefault="32AEFE38" w:rsidP="00E83577">
            <w:pPr>
              <w:tabs>
                <w:tab w:val="left" w:pos="170"/>
              </w:tabs>
              <w:spacing w:after="120"/>
              <w:rPr>
                <w:b/>
                <w:bCs/>
                <w:noProof/>
                <w:sz w:val="22"/>
                <w:szCs w:val="22"/>
                <w:lang w:val="en-GB"/>
              </w:rPr>
            </w:pPr>
            <w:r w:rsidRPr="00881BC8">
              <w:rPr>
                <w:b/>
                <w:noProof/>
                <w:sz w:val="22"/>
                <w:szCs w:val="22"/>
                <w:lang w:val="en-GB"/>
              </w:rPr>
              <w:t>PO</w:t>
            </w:r>
            <w:r w:rsidR="453D067D" w:rsidRPr="00881BC8">
              <w:rPr>
                <w:b/>
                <w:noProof/>
                <w:sz w:val="22"/>
                <w:szCs w:val="22"/>
                <w:lang w:val="en-GB"/>
              </w:rPr>
              <w:t xml:space="preserve"> </w:t>
            </w:r>
            <w:r w:rsidRPr="00881BC8">
              <w:rPr>
                <w:b/>
                <w:noProof/>
                <w:sz w:val="22"/>
                <w:szCs w:val="22"/>
                <w:lang w:val="en-GB"/>
              </w:rPr>
              <w:t>1b</w:t>
            </w:r>
          </w:p>
        </w:tc>
        <w:tc>
          <w:tcPr>
            <w:tcW w:w="1998" w:type="dxa"/>
          </w:tcPr>
          <w:p w14:paraId="1D2699DB" w14:textId="47DC23CD" w:rsidR="00CF43E4" w:rsidRPr="00881BC8" w:rsidRDefault="00CF43E4" w:rsidP="00E83577">
            <w:pPr>
              <w:tabs>
                <w:tab w:val="left" w:pos="170"/>
              </w:tabs>
              <w:spacing w:after="120"/>
              <w:rPr>
                <w:b/>
                <w:bCs/>
                <w:noProof/>
                <w:sz w:val="22"/>
                <w:szCs w:val="22"/>
                <w:lang w:val="en-GB"/>
              </w:rPr>
            </w:pPr>
            <w:r w:rsidRPr="00881BC8">
              <w:rPr>
                <w:b/>
                <w:bCs/>
                <w:noProof/>
                <w:sz w:val="22"/>
                <w:szCs w:val="22"/>
                <w:lang w:val="en-GB"/>
              </w:rPr>
              <w:t>PO 1</w:t>
            </w:r>
            <w:r w:rsidR="02492CED" w:rsidRPr="00881BC8">
              <w:rPr>
                <w:b/>
                <w:bCs/>
                <w:noProof/>
                <w:sz w:val="22"/>
                <w:szCs w:val="22"/>
                <w:lang w:val="en-GB"/>
              </w:rPr>
              <w:t>c</w:t>
            </w:r>
          </w:p>
        </w:tc>
      </w:tr>
      <w:tr w:rsidR="00EC461E" w:rsidRPr="00881BC8" w14:paraId="7A6CB9DE" w14:textId="77777777" w:rsidTr="00690438">
        <w:trPr>
          <w:trHeight w:val="300"/>
        </w:trPr>
        <w:tc>
          <w:tcPr>
            <w:tcW w:w="3134" w:type="dxa"/>
          </w:tcPr>
          <w:p w14:paraId="09F38CF1" w14:textId="4FF26BFD" w:rsidR="3A2590A7" w:rsidRPr="00881BC8" w:rsidRDefault="39194B88" w:rsidP="00E83577">
            <w:pPr>
              <w:tabs>
                <w:tab w:val="left" w:pos="170"/>
              </w:tabs>
              <w:spacing w:after="120"/>
              <w:rPr>
                <w:rFonts w:eastAsia="Times New Roman"/>
                <w:noProof/>
                <w:sz w:val="22"/>
                <w:szCs w:val="22"/>
                <w:lang w:val="en-GB"/>
              </w:rPr>
            </w:pPr>
            <w:r w:rsidRPr="00881BC8">
              <w:rPr>
                <w:rFonts w:eastAsia="Times New Roman"/>
                <w:noProof/>
                <w:sz w:val="22"/>
                <w:szCs w:val="22"/>
                <w:lang w:val="en-GB"/>
              </w:rPr>
              <w:t>No capping in B2B transactions will continue supporting the less-than-satisfactory payment performance in B2B transactions, eroding the potential for smaller companies in particular to become more competitive.</w:t>
            </w:r>
            <w:r w:rsidR="3A2590A7" w:rsidRPr="00881BC8">
              <w:rPr>
                <w:rFonts w:eastAsia="Times New Roman"/>
                <w:noProof/>
                <w:sz w:val="22"/>
                <w:szCs w:val="22"/>
                <w:lang w:val="en-GB"/>
              </w:rPr>
              <w:t xml:space="preserve"> </w:t>
            </w:r>
          </w:p>
          <w:p w14:paraId="10869629" w14:textId="034D5CA3" w:rsidR="6AB6767A" w:rsidRPr="00881BC8" w:rsidRDefault="3C02835A" w:rsidP="00E83577">
            <w:pPr>
              <w:tabs>
                <w:tab w:val="left" w:pos="170"/>
              </w:tabs>
              <w:spacing w:after="120"/>
              <w:rPr>
                <w:rFonts w:eastAsia="Times New Roman"/>
                <w:noProof/>
                <w:sz w:val="22"/>
                <w:szCs w:val="22"/>
                <w:lang w:val="en-GB"/>
              </w:rPr>
            </w:pPr>
            <w:r w:rsidRPr="00881BC8">
              <w:rPr>
                <w:rFonts w:eastAsia="Times New Roman"/>
                <w:noProof/>
                <w:sz w:val="22"/>
                <w:szCs w:val="22"/>
                <w:lang w:val="en-GB"/>
              </w:rPr>
              <w:t xml:space="preserve"> </w:t>
            </w:r>
          </w:p>
        </w:tc>
        <w:tc>
          <w:tcPr>
            <w:tcW w:w="1965" w:type="dxa"/>
          </w:tcPr>
          <w:p w14:paraId="40E635CE" w14:textId="0A33758B" w:rsidR="6AB6767A" w:rsidRPr="00881BC8" w:rsidRDefault="38F2B64C" w:rsidP="00E83577">
            <w:pPr>
              <w:spacing w:after="120"/>
              <w:rPr>
                <w:b/>
                <w:bCs/>
                <w:noProof/>
                <w:sz w:val="22"/>
                <w:szCs w:val="22"/>
                <w:lang w:val="en-GB"/>
              </w:rPr>
            </w:pPr>
            <w:r w:rsidRPr="00881BC8">
              <w:rPr>
                <w:b/>
                <w:bCs/>
                <w:noProof/>
                <w:sz w:val="22"/>
                <w:szCs w:val="22"/>
                <w:lang w:val="en-GB"/>
              </w:rPr>
              <w:t xml:space="preserve">Capping at 30 days </w:t>
            </w:r>
            <w:r w:rsidRPr="00881BC8">
              <w:rPr>
                <w:noProof/>
                <w:sz w:val="22"/>
                <w:szCs w:val="22"/>
                <w:lang w:val="en-GB"/>
              </w:rPr>
              <w:t xml:space="preserve">in </w:t>
            </w:r>
            <w:r w:rsidR="001E4576" w:rsidRPr="00881BC8">
              <w:rPr>
                <w:noProof/>
                <w:sz w:val="22"/>
                <w:szCs w:val="22"/>
                <w:lang w:val="en-GB"/>
              </w:rPr>
              <w:t xml:space="preserve">B2B </w:t>
            </w:r>
            <w:r w:rsidRPr="00881BC8">
              <w:rPr>
                <w:noProof/>
                <w:sz w:val="22"/>
                <w:szCs w:val="22"/>
                <w:lang w:val="en-GB"/>
              </w:rPr>
              <w:t>transactions</w:t>
            </w:r>
            <w:r w:rsidR="0026709B" w:rsidRPr="00881BC8">
              <w:rPr>
                <w:noProof/>
                <w:sz w:val="22"/>
                <w:szCs w:val="22"/>
                <w:lang w:val="en-GB"/>
              </w:rPr>
              <w:t xml:space="preserve"> Verification</w:t>
            </w:r>
            <w:r w:rsidR="00394962" w:rsidRPr="00881BC8">
              <w:rPr>
                <w:noProof/>
                <w:sz w:val="22"/>
                <w:szCs w:val="22"/>
                <w:lang w:val="en-GB"/>
              </w:rPr>
              <w:t xml:space="preserve"> or acceptance </w:t>
            </w:r>
            <w:r w:rsidR="0026709B" w:rsidRPr="00881BC8">
              <w:rPr>
                <w:noProof/>
                <w:sz w:val="22"/>
                <w:szCs w:val="22"/>
                <w:lang w:val="en-GB"/>
              </w:rPr>
              <w:t>procedure</w:t>
            </w:r>
            <w:r w:rsidR="0026709B" w:rsidRPr="00881BC8">
              <w:rPr>
                <w:b/>
                <w:bCs/>
                <w:noProof/>
                <w:sz w:val="22"/>
                <w:szCs w:val="22"/>
                <w:lang w:val="en-GB"/>
              </w:rPr>
              <w:t xml:space="preserve"> </w:t>
            </w:r>
            <w:r w:rsidR="00711DE6" w:rsidRPr="00881BC8">
              <w:rPr>
                <w:b/>
                <w:bCs/>
                <w:noProof/>
                <w:sz w:val="22"/>
                <w:szCs w:val="22"/>
                <w:lang w:val="en-GB"/>
              </w:rPr>
              <w:t>capped at 30 days (no derogation)</w:t>
            </w:r>
          </w:p>
          <w:p w14:paraId="769BB698" w14:textId="6A112710" w:rsidR="6AB6767A" w:rsidRPr="00881BC8" w:rsidRDefault="6AB6767A" w:rsidP="00E83577">
            <w:pPr>
              <w:spacing w:after="120"/>
              <w:rPr>
                <w:b/>
                <w:bCs/>
                <w:noProof/>
                <w:sz w:val="22"/>
                <w:szCs w:val="22"/>
                <w:lang w:val="en-GB"/>
              </w:rPr>
            </w:pPr>
          </w:p>
        </w:tc>
        <w:tc>
          <w:tcPr>
            <w:tcW w:w="1975" w:type="dxa"/>
          </w:tcPr>
          <w:p w14:paraId="733E193E" w14:textId="758E63B3" w:rsidR="6AB6767A" w:rsidRPr="00881BC8" w:rsidRDefault="38F2B64C" w:rsidP="00E83577">
            <w:pPr>
              <w:spacing w:after="120"/>
              <w:rPr>
                <w:b/>
                <w:bCs/>
                <w:noProof/>
                <w:sz w:val="22"/>
                <w:szCs w:val="22"/>
                <w:lang w:val="en-GB"/>
              </w:rPr>
            </w:pPr>
            <w:r w:rsidRPr="00881BC8">
              <w:rPr>
                <w:b/>
                <w:bCs/>
                <w:noProof/>
                <w:sz w:val="22"/>
                <w:szCs w:val="22"/>
                <w:lang w:val="en-GB"/>
              </w:rPr>
              <w:t xml:space="preserve">Capping at 60 days </w:t>
            </w:r>
            <w:r w:rsidRPr="00881BC8">
              <w:rPr>
                <w:noProof/>
                <w:sz w:val="22"/>
                <w:szCs w:val="22"/>
                <w:lang w:val="en-GB"/>
              </w:rPr>
              <w:t>in B2B transactions</w:t>
            </w:r>
            <w:r w:rsidR="0026709B" w:rsidRPr="00881BC8">
              <w:rPr>
                <w:b/>
                <w:bCs/>
                <w:noProof/>
                <w:sz w:val="22"/>
                <w:szCs w:val="22"/>
                <w:lang w:val="en-GB"/>
              </w:rPr>
              <w:t xml:space="preserve">. </w:t>
            </w:r>
            <w:r w:rsidR="00EC461E" w:rsidRPr="00881BC8">
              <w:rPr>
                <w:b/>
                <w:bCs/>
                <w:noProof/>
                <w:sz w:val="22"/>
                <w:szCs w:val="22"/>
                <w:lang w:val="en-GB"/>
              </w:rPr>
              <w:br/>
            </w:r>
            <w:r w:rsidR="0026709B" w:rsidRPr="00881BC8">
              <w:rPr>
                <w:noProof/>
                <w:sz w:val="22"/>
                <w:szCs w:val="22"/>
                <w:lang w:val="en-GB"/>
              </w:rPr>
              <w:t xml:space="preserve">Verification </w:t>
            </w:r>
            <w:r w:rsidR="00506A1D" w:rsidRPr="00881BC8">
              <w:rPr>
                <w:noProof/>
                <w:sz w:val="22"/>
                <w:szCs w:val="22"/>
                <w:lang w:val="en-GB"/>
              </w:rPr>
              <w:t>of</w:t>
            </w:r>
            <w:r w:rsidR="00394962" w:rsidRPr="00881BC8">
              <w:rPr>
                <w:noProof/>
                <w:sz w:val="22"/>
                <w:szCs w:val="22"/>
                <w:lang w:val="en-GB"/>
              </w:rPr>
              <w:t xml:space="preserve"> acceptance </w:t>
            </w:r>
            <w:r w:rsidR="0026709B" w:rsidRPr="00881BC8">
              <w:rPr>
                <w:noProof/>
                <w:sz w:val="22"/>
                <w:szCs w:val="22"/>
                <w:lang w:val="en-GB"/>
              </w:rPr>
              <w:t>procedure</w:t>
            </w:r>
            <w:r w:rsidR="0026709B" w:rsidRPr="00881BC8">
              <w:rPr>
                <w:b/>
                <w:bCs/>
                <w:noProof/>
                <w:sz w:val="22"/>
                <w:szCs w:val="22"/>
                <w:lang w:val="en-GB"/>
              </w:rPr>
              <w:t xml:space="preserve"> </w:t>
            </w:r>
            <w:r w:rsidR="00506A1D" w:rsidRPr="00881BC8">
              <w:rPr>
                <w:b/>
                <w:bCs/>
                <w:noProof/>
                <w:sz w:val="22"/>
                <w:szCs w:val="22"/>
                <w:lang w:val="en-GB"/>
              </w:rPr>
              <w:t>c</w:t>
            </w:r>
            <w:r w:rsidRPr="00881BC8">
              <w:rPr>
                <w:b/>
                <w:bCs/>
                <w:noProof/>
                <w:sz w:val="22"/>
                <w:szCs w:val="22"/>
                <w:lang w:val="en-GB"/>
              </w:rPr>
              <w:t>app</w:t>
            </w:r>
            <w:r w:rsidR="00506A1D" w:rsidRPr="00881BC8">
              <w:rPr>
                <w:b/>
                <w:bCs/>
                <w:noProof/>
                <w:sz w:val="22"/>
                <w:szCs w:val="22"/>
                <w:lang w:val="en-GB"/>
              </w:rPr>
              <w:t>ed</w:t>
            </w:r>
            <w:r w:rsidRPr="00881BC8">
              <w:rPr>
                <w:b/>
                <w:bCs/>
                <w:noProof/>
                <w:sz w:val="22"/>
                <w:szCs w:val="22"/>
                <w:lang w:val="en-GB"/>
              </w:rPr>
              <w:t xml:space="preserve"> </w:t>
            </w:r>
            <w:r w:rsidR="00506A1D" w:rsidRPr="00881BC8">
              <w:rPr>
                <w:b/>
                <w:bCs/>
                <w:noProof/>
                <w:sz w:val="22"/>
                <w:szCs w:val="22"/>
                <w:lang w:val="en-GB"/>
              </w:rPr>
              <w:t xml:space="preserve">at </w:t>
            </w:r>
            <w:r w:rsidR="00711DE6" w:rsidRPr="00881BC8">
              <w:rPr>
                <w:b/>
                <w:bCs/>
                <w:noProof/>
                <w:sz w:val="22"/>
                <w:szCs w:val="22"/>
                <w:lang w:val="en-GB"/>
              </w:rPr>
              <w:t xml:space="preserve">30 days (no </w:t>
            </w:r>
            <w:r w:rsidR="00506A1D" w:rsidRPr="00881BC8">
              <w:rPr>
                <w:b/>
                <w:bCs/>
                <w:noProof/>
                <w:sz w:val="22"/>
                <w:szCs w:val="22"/>
                <w:lang w:val="en-GB"/>
              </w:rPr>
              <w:t>derogation)</w:t>
            </w:r>
          </w:p>
        </w:tc>
        <w:tc>
          <w:tcPr>
            <w:tcW w:w="1998" w:type="dxa"/>
          </w:tcPr>
          <w:p w14:paraId="44DF54B0" w14:textId="3915A271" w:rsidR="6AB6767A" w:rsidRPr="00881BC8" w:rsidRDefault="38F2B64C" w:rsidP="00E83577">
            <w:pPr>
              <w:spacing w:after="120"/>
              <w:rPr>
                <w:b/>
                <w:bCs/>
                <w:noProof/>
                <w:sz w:val="22"/>
                <w:szCs w:val="22"/>
                <w:lang w:val="en-GB"/>
              </w:rPr>
            </w:pPr>
            <w:r w:rsidRPr="00881BC8">
              <w:rPr>
                <w:b/>
                <w:bCs/>
                <w:noProof/>
                <w:sz w:val="22"/>
                <w:szCs w:val="22"/>
                <w:lang w:val="en-GB"/>
              </w:rPr>
              <w:t>Capping at 60 days in B2B transactions where the creditor is an SME</w:t>
            </w:r>
            <w:r w:rsidR="0026709B" w:rsidRPr="00881BC8">
              <w:rPr>
                <w:b/>
                <w:bCs/>
                <w:noProof/>
                <w:sz w:val="22"/>
                <w:szCs w:val="22"/>
                <w:lang w:val="en-GB"/>
              </w:rPr>
              <w:t>.</w:t>
            </w:r>
            <w:r w:rsidR="00711DE6" w:rsidRPr="00881BC8">
              <w:rPr>
                <w:b/>
                <w:bCs/>
                <w:noProof/>
                <w:sz w:val="22"/>
                <w:szCs w:val="22"/>
                <w:lang w:val="en-GB"/>
              </w:rPr>
              <w:t xml:space="preserve"> </w:t>
            </w:r>
            <w:r w:rsidR="00EC461E" w:rsidRPr="00881BC8">
              <w:rPr>
                <w:b/>
                <w:bCs/>
                <w:noProof/>
                <w:sz w:val="22"/>
                <w:szCs w:val="22"/>
                <w:lang w:val="en-GB"/>
              </w:rPr>
              <w:br/>
            </w:r>
            <w:r w:rsidR="00711DE6" w:rsidRPr="00881BC8">
              <w:rPr>
                <w:noProof/>
                <w:sz w:val="22"/>
                <w:szCs w:val="22"/>
                <w:lang w:val="en-GB"/>
              </w:rPr>
              <w:t xml:space="preserve">Verification </w:t>
            </w:r>
            <w:r w:rsidR="00394962" w:rsidRPr="00881BC8">
              <w:rPr>
                <w:noProof/>
                <w:sz w:val="22"/>
                <w:szCs w:val="22"/>
                <w:lang w:val="en-GB"/>
              </w:rPr>
              <w:t xml:space="preserve">or acceptance </w:t>
            </w:r>
            <w:r w:rsidR="00711DE6" w:rsidRPr="00881BC8">
              <w:rPr>
                <w:noProof/>
                <w:sz w:val="22"/>
                <w:szCs w:val="22"/>
                <w:lang w:val="en-GB"/>
              </w:rPr>
              <w:t>procedure</w:t>
            </w:r>
            <w:r w:rsidR="00711DE6" w:rsidRPr="00881BC8">
              <w:rPr>
                <w:b/>
                <w:bCs/>
                <w:noProof/>
                <w:sz w:val="22"/>
                <w:szCs w:val="22"/>
                <w:lang w:val="en-GB"/>
              </w:rPr>
              <w:t xml:space="preserve"> capped at 30 days (no derogation)</w:t>
            </w:r>
            <w:r w:rsidR="0081673D" w:rsidRPr="00881BC8">
              <w:rPr>
                <w:b/>
                <w:bCs/>
                <w:noProof/>
                <w:sz w:val="22"/>
                <w:szCs w:val="22"/>
                <w:lang w:val="en-GB"/>
              </w:rPr>
              <w:t>.</w:t>
            </w:r>
          </w:p>
        </w:tc>
      </w:tr>
      <w:tr w:rsidR="00690438" w:rsidRPr="00881BC8" w14:paraId="689175E6" w14:textId="77777777" w:rsidTr="00690438">
        <w:trPr>
          <w:trHeight w:val="1262"/>
        </w:trPr>
        <w:tc>
          <w:tcPr>
            <w:tcW w:w="3134" w:type="dxa"/>
            <w:vMerge w:val="restart"/>
          </w:tcPr>
          <w:p w14:paraId="716183D7" w14:textId="3A9E5B34" w:rsidR="00690438" w:rsidRPr="00881BC8" w:rsidRDefault="00690438" w:rsidP="00E83577">
            <w:pPr>
              <w:tabs>
                <w:tab w:val="left" w:pos="170"/>
              </w:tabs>
              <w:spacing w:after="120"/>
              <w:rPr>
                <w:rFonts w:eastAsia="Times New Roman"/>
                <w:noProof/>
                <w:sz w:val="22"/>
                <w:szCs w:val="22"/>
                <w:lang w:val="en-GB"/>
              </w:rPr>
            </w:pPr>
            <w:r w:rsidRPr="00881BC8">
              <w:rPr>
                <w:rFonts w:eastAsia="Times New Roman"/>
                <w:noProof/>
                <w:sz w:val="22"/>
                <w:szCs w:val="22"/>
                <w:lang w:val="en-GB"/>
              </w:rPr>
              <w:t xml:space="preserve">Lack of credit management skills and relevant training material for SMEs makes them more vulnerable to the risk of being paid late. </w:t>
            </w:r>
          </w:p>
        </w:tc>
        <w:tc>
          <w:tcPr>
            <w:tcW w:w="5938" w:type="dxa"/>
            <w:gridSpan w:val="3"/>
          </w:tcPr>
          <w:p w14:paraId="63007603" w14:textId="159BFA99" w:rsidR="00690438" w:rsidRPr="00881BC8" w:rsidRDefault="00690438" w:rsidP="00E83577">
            <w:pPr>
              <w:spacing w:after="120"/>
              <w:rPr>
                <w:rFonts w:eastAsiaTheme="minorEastAsia"/>
                <w:b/>
                <w:noProof/>
                <w:sz w:val="22"/>
                <w:szCs w:val="22"/>
                <w:lang w:val="en-GB"/>
              </w:rPr>
            </w:pPr>
            <w:r w:rsidRPr="00881BC8">
              <w:rPr>
                <w:noProof/>
                <w:sz w:val="22"/>
                <w:szCs w:val="22"/>
                <w:lang w:val="en-GB"/>
              </w:rPr>
              <w:t xml:space="preserve">MS facilitate availability and access of SMEs to </w:t>
            </w:r>
            <w:r w:rsidRPr="00881BC8">
              <w:rPr>
                <w:b/>
                <w:bCs/>
                <w:noProof/>
                <w:sz w:val="22"/>
                <w:szCs w:val="22"/>
                <w:lang w:val="en-GB"/>
              </w:rPr>
              <w:t>credit management tools</w:t>
            </w:r>
            <w:r w:rsidRPr="00881BC8">
              <w:rPr>
                <w:noProof/>
                <w:sz w:val="22"/>
                <w:szCs w:val="22"/>
                <w:lang w:val="en-GB"/>
              </w:rPr>
              <w:t xml:space="preserve">, financial literacy training and </w:t>
            </w:r>
            <w:r w:rsidRPr="00881BC8">
              <w:rPr>
                <w:b/>
                <w:bCs/>
                <w:noProof/>
                <w:sz w:val="22"/>
                <w:szCs w:val="22"/>
                <w:lang w:val="en-GB"/>
              </w:rPr>
              <w:t>foster</w:t>
            </w:r>
            <w:r w:rsidRPr="00881BC8">
              <w:rPr>
                <w:rFonts w:eastAsiaTheme="minorEastAsia"/>
                <w:b/>
                <w:bCs/>
                <w:noProof/>
                <w:sz w:val="22"/>
                <w:szCs w:val="22"/>
                <w:lang w:val="en-GB"/>
              </w:rPr>
              <w:t xml:space="preserve"> the use by SMEs of digital tools for timely payments</w:t>
            </w:r>
          </w:p>
        </w:tc>
      </w:tr>
      <w:tr w:rsidR="4857ED98" w:rsidRPr="00881BC8" w14:paraId="2845ED72" w14:textId="77777777" w:rsidTr="00690438">
        <w:trPr>
          <w:trHeight w:val="300"/>
        </w:trPr>
        <w:tc>
          <w:tcPr>
            <w:tcW w:w="3134" w:type="dxa"/>
            <w:vMerge/>
          </w:tcPr>
          <w:p w14:paraId="698C762E" w14:textId="77777777" w:rsidR="00485FFD" w:rsidRPr="00881BC8" w:rsidRDefault="00485FFD" w:rsidP="00E83577">
            <w:pPr>
              <w:spacing w:after="120"/>
              <w:rPr>
                <w:noProof/>
                <w:sz w:val="22"/>
                <w:szCs w:val="22"/>
                <w:lang w:val="en-GB"/>
              </w:rPr>
            </w:pPr>
          </w:p>
        </w:tc>
        <w:tc>
          <w:tcPr>
            <w:tcW w:w="5938" w:type="dxa"/>
            <w:gridSpan w:val="3"/>
          </w:tcPr>
          <w:p w14:paraId="6DE6A683" w14:textId="6505DA69" w:rsidR="0A6478F2" w:rsidRPr="00881BC8" w:rsidRDefault="0A6478F2" w:rsidP="00E83577">
            <w:pPr>
              <w:spacing w:after="120"/>
              <w:rPr>
                <w:b/>
                <w:bCs/>
                <w:noProof/>
                <w:sz w:val="22"/>
                <w:szCs w:val="22"/>
                <w:lang w:val="en-GB"/>
              </w:rPr>
            </w:pPr>
          </w:p>
        </w:tc>
      </w:tr>
    </w:tbl>
    <w:p w14:paraId="0FCB947F" w14:textId="3B97894E" w:rsidR="00D84E96" w:rsidRPr="00881BC8" w:rsidRDefault="00D84E96" w:rsidP="004835F8">
      <w:pPr>
        <w:pStyle w:val="NormalPara"/>
        <w:rPr>
          <w:noProof/>
          <w:lang w:val="en-GB"/>
        </w:rPr>
      </w:pPr>
      <w:r w:rsidRPr="00881BC8">
        <w:rPr>
          <w:noProof/>
          <w:lang w:val="en-GB"/>
        </w:rPr>
        <w:t>The verification procedure for assessing the compliance of the goods or services would be capped at 30 days. Therefore, the result would be a maximum of 60-day (30+30) payment term for all B2B transactions and where a verification procedure is required by the contract. The Court of Justice</w:t>
      </w:r>
      <w:r w:rsidRPr="00881BC8">
        <w:rPr>
          <w:rStyle w:val="FootnoteReference"/>
          <w:noProof/>
          <w:lang w:val="en-GB"/>
        </w:rPr>
        <w:footnoteReference w:id="84"/>
      </w:r>
      <w:r w:rsidRPr="00881BC8">
        <w:rPr>
          <w:noProof/>
          <w:lang w:val="en-GB"/>
        </w:rPr>
        <w:t xml:space="preserve"> emphasised that verification procedures are often used to delay artificially the payment period</w:t>
      </w:r>
      <w:r w:rsidRPr="00881BC8">
        <w:rPr>
          <w:rStyle w:val="FootnoteReference"/>
          <w:rFonts w:eastAsia="Times New Roman"/>
          <w:noProof/>
          <w:lang w:val="en-GB"/>
        </w:rPr>
        <w:footnoteReference w:id="85"/>
      </w:r>
      <w:r w:rsidRPr="00881BC8">
        <w:rPr>
          <w:noProof/>
          <w:lang w:val="en-GB"/>
        </w:rPr>
        <w:t xml:space="preserve"> and therefore, their inclusion in the contract must be ‘objectively justified by the particular nature of the contract in question or by certain of its characteristics’</w:t>
      </w:r>
      <w:r w:rsidRPr="00881BC8">
        <w:rPr>
          <w:rStyle w:val="FootnoteReference"/>
          <w:rFonts w:eastAsia="Times New Roman"/>
          <w:noProof/>
          <w:lang w:val="en-GB"/>
        </w:rPr>
        <w:footnoteReference w:id="86"/>
      </w:r>
      <w:r w:rsidRPr="00881BC8">
        <w:rPr>
          <w:noProof/>
          <w:lang w:val="en-GB"/>
        </w:rPr>
        <w:t>.</w:t>
      </w:r>
    </w:p>
    <w:p w14:paraId="100C74D3" w14:textId="15BCD2C5" w:rsidR="00D84E96" w:rsidRPr="00881BC8" w:rsidRDefault="00725B74" w:rsidP="004835F8">
      <w:pPr>
        <w:pStyle w:val="NormalPara"/>
        <w:rPr>
          <w:noProof/>
          <w:sz w:val="22"/>
          <w:szCs w:val="22"/>
          <w:lang w:val="en-GB"/>
        </w:rPr>
      </w:pPr>
      <w:r w:rsidRPr="00881BC8">
        <w:rPr>
          <w:noProof/>
          <w:lang w:val="en-GB"/>
        </w:rPr>
        <w:t>PO</w:t>
      </w:r>
      <w:r w:rsidR="00D84E96" w:rsidRPr="00881BC8">
        <w:rPr>
          <w:noProof/>
          <w:lang w:val="en-GB"/>
        </w:rPr>
        <w:t xml:space="preserve">1 proposes different combinations of the same type of measures to make sure that payment terms are negotiated fairly. </w:t>
      </w:r>
    </w:p>
    <w:p w14:paraId="4E0F420A" w14:textId="015FD780" w:rsidR="00D479EE" w:rsidRPr="00881BC8" w:rsidRDefault="00D479EE" w:rsidP="004835F8">
      <w:pPr>
        <w:pStyle w:val="NormalPara"/>
        <w:rPr>
          <w:noProof/>
          <w:lang w:val="en-GB"/>
        </w:rPr>
      </w:pPr>
      <w:r w:rsidRPr="00881BC8">
        <w:rPr>
          <w:noProof/>
          <w:lang w:val="en-GB"/>
        </w:rPr>
        <w:t xml:space="preserve">PO1a includes measures to address the information asymmetry about payment performance of public authorities. Knowing whether a perspective </w:t>
      </w:r>
      <w:r w:rsidR="00725B74" w:rsidRPr="00881BC8">
        <w:rPr>
          <w:noProof/>
          <w:lang w:val="en-GB"/>
        </w:rPr>
        <w:t>public sector client</w:t>
      </w:r>
      <w:r w:rsidRPr="00881BC8">
        <w:rPr>
          <w:noProof/>
          <w:lang w:val="en-GB"/>
        </w:rPr>
        <w:t xml:space="preserve"> is a good payer or not, is valuable information.</w:t>
      </w:r>
      <w:r w:rsidRPr="00881BC8">
        <w:rPr>
          <w:rFonts w:eastAsia="Times New Roman"/>
          <w:noProof/>
          <w:lang w:val="en-GB"/>
        </w:rPr>
        <w:t xml:space="preserve"> The </w:t>
      </w:r>
      <w:r w:rsidR="00736F93" w:rsidRPr="00881BC8">
        <w:rPr>
          <w:rFonts w:eastAsia="Times New Roman"/>
          <w:noProof/>
          <w:lang w:val="en-GB"/>
        </w:rPr>
        <w:t>company</w:t>
      </w:r>
      <w:r w:rsidRPr="00881BC8">
        <w:rPr>
          <w:rFonts w:eastAsia="Times New Roman"/>
          <w:noProof/>
          <w:lang w:val="en-GB"/>
        </w:rPr>
        <w:t xml:space="preserve"> could then factor it in </w:t>
      </w:r>
      <w:r w:rsidR="00725B74" w:rsidRPr="00881BC8">
        <w:rPr>
          <w:rFonts w:eastAsia="Times New Roman"/>
          <w:noProof/>
          <w:lang w:val="en-GB"/>
        </w:rPr>
        <w:t xml:space="preserve">in </w:t>
      </w:r>
      <w:r w:rsidRPr="00881BC8">
        <w:rPr>
          <w:rFonts w:eastAsia="Times New Roman"/>
          <w:noProof/>
          <w:lang w:val="en-GB"/>
        </w:rPr>
        <w:t xml:space="preserve">the </w:t>
      </w:r>
      <w:r w:rsidR="00725B74" w:rsidRPr="00881BC8">
        <w:rPr>
          <w:rFonts w:eastAsia="Times New Roman"/>
          <w:noProof/>
          <w:lang w:val="en-GB"/>
        </w:rPr>
        <w:t>tender or offer</w:t>
      </w:r>
      <w:r w:rsidRPr="00881BC8">
        <w:rPr>
          <w:rFonts w:eastAsia="Times New Roman"/>
          <w:noProof/>
          <w:lang w:val="en-GB"/>
        </w:rPr>
        <w:t>.</w:t>
      </w:r>
      <w:r w:rsidRPr="00881BC8">
        <w:rPr>
          <w:noProof/>
          <w:lang w:val="en-GB"/>
        </w:rPr>
        <w:t xml:space="preserve"> The data made available through this measure would be included in the EU observatory of payments and support the Commission’s enforcement activities.</w:t>
      </w:r>
    </w:p>
    <w:p w14:paraId="3A654CE1" w14:textId="77777777" w:rsidR="00D479EE" w:rsidRPr="00881BC8" w:rsidRDefault="00D479EE" w:rsidP="004835F8">
      <w:pPr>
        <w:pStyle w:val="NormalPara"/>
        <w:rPr>
          <w:noProof/>
          <w:lang w:val="en-GB"/>
        </w:rPr>
      </w:pPr>
      <w:r w:rsidRPr="00881BC8">
        <w:rPr>
          <w:noProof/>
          <w:lang w:val="en-GB"/>
        </w:rPr>
        <w:t>Member States should boost availability and facilitate access of to credit management and financial literacy training for SMEs</w:t>
      </w:r>
      <w:r w:rsidRPr="00881BC8">
        <w:rPr>
          <w:noProof/>
          <w:u w:val="single"/>
          <w:lang w:val="en-GB"/>
        </w:rPr>
        <w:t>,</w:t>
      </w:r>
      <w:r w:rsidRPr="00881BC8">
        <w:rPr>
          <w:noProof/>
          <w:lang w:val="en-GB"/>
        </w:rPr>
        <w:t xml:space="preserve"> to make them less vulnerable to late payment.</w:t>
      </w:r>
    </w:p>
    <w:p w14:paraId="2A5F8E06" w14:textId="0C5A6058" w:rsidR="25787914" w:rsidRPr="00881BC8" w:rsidRDefault="00466612" w:rsidP="004835F8">
      <w:pPr>
        <w:pStyle w:val="NormalPara"/>
        <w:rPr>
          <w:noProof/>
          <w:lang w:val="en-GB"/>
        </w:rPr>
      </w:pPr>
      <w:bookmarkStart w:id="295" w:name="PO1b"/>
      <w:r w:rsidRPr="00881BC8">
        <w:rPr>
          <w:b/>
          <w:bCs/>
          <w:noProof/>
          <w:lang w:val="en-GB"/>
        </w:rPr>
        <w:t>Policy</w:t>
      </w:r>
      <w:r w:rsidRPr="00881BC8">
        <w:rPr>
          <w:noProof/>
          <w:lang w:val="en-GB"/>
        </w:rPr>
        <w:t xml:space="preserve"> </w:t>
      </w:r>
      <w:r w:rsidR="0EE7A5D5" w:rsidRPr="00881BC8">
        <w:rPr>
          <w:b/>
          <w:bCs/>
          <w:noProof/>
          <w:lang w:val="en-GB"/>
        </w:rPr>
        <w:t>option 1b</w:t>
      </w:r>
      <w:bookmarkEnd w:id="295"/>
      <w:r w:rsidRPr="00881BC8">
        <w:rPr>
          <w:b/>
          <w:bCs/>
          <w:noProof/>
          <w:lang w:val="en-GB"/>
        </w:rPr>
        <w:t xml:space="preserve"> (PO1b)</w:t>
      </w:r>
      <w:r w:rsidRPr="00881BC8">
        <w:rPr>
          <w:noProof/>
          <w:lang w:val="en-GB"/>
        </w:rPr>
        <w:t xml:space="preserve"> would cap</w:t>
      </w:r>
      <w:r w:rsidR="3829E229" w:rsidRPr="00881BC8">
        <w:rPr>
          <w:noProof/>
          <w:lang w:val="en-GB"/>
        </w:rPr>
        <w:t xml:space="preserve"> </w:t>
      </w:r>
      <w:r w:rsidR="423234CB" w:rsidRPr="00881BC8">
        <w:rPr>
          <w:noProof/>
          <w:lang w:val="en-GB"/>
        </w:rPr>
        <w:t xml:space="preserve">payment </w:t>
      </w:r>
      <w:r w:rsidR="00C51520" w:rsidRPr="00881BC8">
        <w:rPr>
          <w:noProof/>
          <w:lang w:val="en-GB"/>
        </w:rPr>
        <w:t>terms</w:t>
      </w:r>
      <w:r w:rsidR="423234CB" w:rsidRPr="00881BC8">
        <w:rPr>
          <w:noProof/>
          <w:lang w:val="en-GB"/>
        </w:rPr>
        <w:t xml:space="preserve"> in B2B transactions </w:t>
      </w:r>
      <w:r w:rsidR="00C51520" w:rsidRPr="00881BC8">
        <w:rPr>
          <w:noProof/>
          <w:lang w:val="en-GB"/>
        </w:rPr>
        <w:t xml:space="preserve">at 60 days. </w:t>
      </w:r>
      <w:r w:rsidR="00D55D2F" w:rsidRPr="00881BC8">
        <w:rPr>
          <w:noProof/>
          <w:lang w:val="en-GB"/>
        </w:rPr>
        <w:t>It</w:t>
      </w:r>
      <w:r w:rsidR="00C51520" w:rsidRPr="00881BC8">
        <w:rPr>
          <w:noProof/>
          <w:lang w:val="en-GB"/>
        </w:rPr>
        <w:t xml:space="preserve"> </w:t>
      </w:r>
      <w:r w:rsidR="005C4DB9" w:rsidRPr="00881BC8">
        <w:rPr>
          <w:noProof/>
          <w:lang w:val="en-GB"/>
        </w:rPr>
        <w:t xml:space="preserve">would allow </w:t>
      </w:r>
      <w:r w:rsidR="00C51520" w:rsidRPr="00881BC8">
        <w:rPr>
          <w:noProof/>
          <w:lang w:val="en-GB"/>
        </w:rPr>
        <w:t xml:space="preserve">to limit the impact on the freedom of contract, while reducing the </w:t>
      </w:r>
      <w:r w:rsidR="005C4DB9" w:rsidRPr="00881BC8">
        <w:rPr>
          <w:noProof/>
          <w:lang w:val="en-GB"/>
        </w:rPr>
        <w:t xml:space="preserve">room </w:t>
      </w:r>
      <w:r w:rsidR="00C51520" w:rsidRPr="00881BC8">
        <w:rPr>
          <w:noProof/>
          <w:lang w:val="en-GB"/>
        </w:rPr>
        <w:t xml:space="preserve">for discretion and unfairness. </w:t>
      </w:r>
      <w:r w:rsidR="00487A44" w:rsidRPr="00881BC8">
        <w:rPr>
          <w:noProof/>
          <w:lang w:val="en-GB"/>
        </w:rPr>
        <w:t>V</w:t>
      </w:r>
      <w:r w:rsidR="36FBD5F9" w:rsidRPr="00881BC8">
        <w:rPr>
          <w:noProof/>
          <w:lang w:val="en-GB"/>
        </w:rPr>
        <w:t xml:space="preserve">erification procedure would be </w:t>
      </w:r>
      <w:r w:rsidR="00487A44" w:rsidRPr="00881BC8">
        <w:rPr>
          <w:noProof/>
          <w:lang w:val="en-GB"/>
        </w:rPr>
        <w:t xml:space="preserve">capped at </w:t>
      </w:r>
      <w:r w:rsidR="36FBD5F9" w:rsidRPr="00881BC8">
        <w:rPr>
          <w:noProof/>
          <w:lang w:val="en-GB"/>
        </w:rPr>
        <w:t>30 days</w:t>
      </w:r>
      <w:r w:rsidR="00E13EFF" w:rsidRPr="00881BC8">
        <w:rPr>
          <w:noProof/>
          <w:lang w:val="en-GB"/>
        </w:rPr>
        <w:t>.</w:t>
      </w:r>
      <w:r w:rsidR="00C51520" w:rsidRPr="00881BC8">
        <w:rPr>
          <w:noProof/>
          <w:lang w:val="en-GB"/>
        </w:rPr>
        <w:t xml:space="preserve"> </w:t>
      </w:r>
      <w:r w:rsidR="00487A44" w:rsidRPr="00881BC8">
        <w:rPr>
          <w:noProof/>
          <w:lang w:val="en-GB"/>
        </w:rPr>
        <w:t>PO1b</w:t>
      </w:r>
      <w:r w:rsidR="00C51520" w:rsidRPr="00881BC8">
        <w:rPr>
          <w:noProof/>
          <w:lang w:val="en-GB"/>
        </w:rPr>
        <w:t xml:space="preserve"> would </w:t>
      </w:r>
      <w:r w:rsidR="00B265EF" w:rsidRPr="00881BC8">
        <w:rPr>
          <w:noProof/>
          <w:lang w:val="en-GB"/>
        </w:rPr>
        <w:t xml:space="preserve">set the maximum of 90 days for </w:t>
      </w:r>
      <w:r w:rsidR="00C51520" w:rsidRPr="00881BC8">
        <w:rPr>
          <w:noProof/>
          <w:lang w:val="en-GB"/>
        </w:rPr>
        <w:t>payment terms in B2B transactions</w:t>
      </w:r>
      <w:r w:rsidR="00CC2B86" w:rsidRPr="00881BC8">
        <w:rPr>
          <w:noProof/>
          <w:lang w:val="en-GB"/>
        </w:rPr>
        <w:t xml:space="preserve">, </w:t>
      </w:r>
      <w:r w:rsidR="00B265EF" w:rsidRPr="00881BC8">
        <w:rPr>
          <w:noProof/>
          <w:lang w:val="en-GB"/>
        </w:rPr>
        <w:t xml:space="preserve">where </w:t>
      </w:r>
      <w:r w:rsidR="00C51520" w:rsidRPr="00881BC8">
        <w:rPr>
          <w:noProof/>
          <w:lang w:val="en-GB"/>
        </w:rPr>
        <w:t xml:space="preserve">the contract </w:t>
      </w:r>
      <w:r w:rsidR="00CB2E0C" w:rsidRPr="00881BC8">
        <w:rPr>
          <w:noProof/>
          <w:lang w:val="en-GB"/>
        </w:rPr>
        <w:t xml:space="preserve">provides for </w:t>
      </w:r>
      <w:r w:rsidR="00CC2B86" w:rsidRPr="00881BC8">
        <w:rPr>
          <w:noProof/>
          <w:lang w:val="en-GB"/>
        </w:rPr>
        <w:t>a verification procedure (</w:t>
      </w:r>
      <w:r w:rsidR="00B265EF" w:rsidRPr="00881BC8">
        <w:rPr>
          <w:noProof/>
          <w:lang w:val="en-GB"/>
        </w:rPr>
        <w:t xml:space="preserve">which must be </w:t>
      </w:r>
      <w:r w:rsidR="00C51520" w:rsidRPr="00881BC8">
        <w:rPr>
          <w:noProof/>
          <w:lang w:val="en-GB"/>
        </w:rPr>
        <w:t xml:space="preserve">objectively justified). </w:t>
      </w:r>
    </w:p>
    <w:p w14:paraId="4557B2AC" w14:textId="369C2EDF" w:rsidR="00CF43E4" w:rsidRPr="00881BC8" w:rsidRDefault="009951A5" w:rsidP="004835F8">
      <w:pPr>
        <w:pStyle w:val="NormalPara"/>
        <w:rPr>
          <w:noProof/>
          <w:lang w:val="en-GB"/>
        </w:rPr>
      </w:pPr>
      <w:r w:rsidRPr="00881BC8">
        <w:rPr>
          <w:noProof/>
          <w:lang w:val="en-GB"/>
        </w:rPr>
        <w:t>M</w:t>
      </w:r>
      <w:r w:rsidR="3829E229" w:rsidRPr="00881BC8">
        <w:rPr>
          <w:noProof/>
          <w:lang w:val="en-GB"/>
        </w:rPr>
        <w:t xml:space="preserve">easures to address the information asymmetry on payment </w:t>
      </w:r>
      <w:r w:rsidR="7FCA576E" w:rsidRPr="00881BC8">
        <w:rPr>
          <w:noProof/>
          <w:lang w:val="en-GB"/>
        </w:rPr>
        <w:t>performance</w:t>
      </w:r>
      <w:r w:rsidR="7571341C" w:rsidRPr="00881BC8">
        <w:rPr>
          <w:noProof/>
          <w:lang w:val="en-GB"/>
        </w:rPr>
        <w:t xml:space="preserve"> </w:t>
      </w:r>
      <w:r w:rsidR="0022695C" w:rsidRPr="00881BC8">
        <w:rPr>
          <w:noProof/>
          <w:lang w:val="en-GB"/>
        </w:rPr>
        <w:t xml:space="preserve">and to boost availability and facilitate access of SMEs to credit management and financial literacy training </w:t>
      </w:r>
      <w:r w:rsidR="7571341C" w:rsidRPr="00881BC8">
        <w:rPr>
          <w:noProof/>
          <w:lang w:val="en-GB"/>
        </w:rPr>
        <w:t xml:space="preserve">would be </w:t>
      </w:r>
      <w:r w:rsidR="7FCA576E" w:rsidRPr="00881BC8">
        <w:rPr>
          <w:noProof/>
          <w:lang w:val="en-GB"/>
        </w:rPr>
        <w:t>the</w:t>
      </w:r>
      <w:r w:rsidR="3829E229" w:rsidRPr="00881BC8">
        <w:rPr>
          <w:noProof/>
          <w:lang w:val="en-GB"/>
        </w:rPr>
        <w:t xml:space="preserve"> same as under </w:t>
      </w:r>
      <w:r w:rsidR="0022695C" w:rsidRPr="00881BC8">
        <w:rPr>
          <w:noProof/>
          <w:lang w:val="en-GB"/>
        </w:rPr>
        <w:t>PO</w:t>
      </w:r>
      <w:r w:rsidR="3829E229" w:rsidRPr="00881BC8">
        <w:rPr>
          <w:noProof/>
          <w:lang w:val="en-GB"/>
        </w:rPr>
        <w:t>1a</w:t>
      </w:r>
      <w:r w:rsidR="0022695C" w:rsidRPr="00881BC8">
        <w:rPr>
          <w:noProof/>
          <w:lang w:val="en-GB"/>
        </w:rPr>
        <w:t>.</w:t>
      </w:r>
      <w:r w:rsidR="00EA1546" w:rsidRPr="00881BC8">
        <w:rPr>
          <w:noProof/>
          <w:lang w:val="en-GB"/>
        </w:rPr>
        <w:t xml:space="preserve"> </w:t>
      </w:r>
    </w:p>
    <w:p w14:paraId="7D64E8C5" w14:textId="4EC5663C" w:rsidR="00CF43E4" w:rsidRPr="00881BC8" w:rsidRDefault="00185C2B" w:rsidP="004835F8">
      <w:pPr>
        <w:pStyle w:val="NormalPara"/>
        <w:rPr>
          <w:noProof/>
          <w:lang w:val="en-GB"/>
        </w:rPr>
      </w:pPr>
      <w:bookmarkStart w:id="296" w:name="PO1c"/>
      <w:r w:rsidRPr="00881BC8">
        <w:rPr>
          <w:b/>
          <w:bCs/>
          <w:noProof/>
          <w:lang w:val="en-GB"/>
        </w:rPr>
        <w:t xml:space="preserve">Policy </w:t>
      </w:r>
      <w:r w:rsidR="71C7BF0C" w:rsidRPr="00881BC8">
        <w:rPr>
          <w:b/>
          <w:bCs/>
          <w:noProof/>
          <w:lang w:val="en-GB"/>
        </w:rPr>
        <w:t xml:space="preserve">option </w:t>
      </w:r>
      <w:r w:rsidR="6E2E8D6A" w:rsidRPr="00881BC8">
        <w:rPr>
          <w:b/>
          <w:bCs/>
          <w:noProof/>
          <w:lang w:val="en-GB"/>
        </w:rPr>
        <w:t>1</w:t>
      </w:r>
      <w:r w:rsidR="71C7BF0C" w:rsidRPr="00881BC8">
        <w:rPr>
          <w:b/>
          <w:bCs/>
          <w:noProof/>
          <w:lang w:val="en-GB"/>
        </w:rPr>
        <w:t>c</w:t>
      </w:r>
      <w:bookmarkEnd w:id="296"/>
      <w:r w:rsidR="3830BF9D" w:rsidRPr="00881BC8">
        <w:rPr>
          <w:b/>
          <w:bCs/>
          <w:noProof/>
          <w:lang w:val="en-GB"/>
        </w:rPr>
        <w:t xml:space="preserve"> </w:t>
      </w:r>
      <w:r w:rsidRPr="00881BC8">
        <w:rPr>
          <w:b/>
          <w:bCs/>
          <w:noProof/>
          <w:lang w:val="en-GB"/>
        </w:rPr>
        <w:t>(PO1c)</w:t>
      </w:r>
      <w:r w:rsidRPr="00881BC8">
        <w:rPr>
          <w:noProof/>
          <w:lang w:val="en-GB"/>
        </w:rPr>
        <w:t xml:space="preserve"> </w:t>
      </w:r>
      <w:r w:rsidR="0065469B" w:rsidRPr="00881BC8">
        <w:rPr>
          <w:noProof/>
          <w:lang w:val="en-GB"/>
        </w:rPr>
        <w:t xml:space="preserve">is similar to </w:t>
      </w:r>
      <w:r w:rsidRPr="00881BC8">
        <w:rPr>
          <w:noProof/>
          <w:lang w:val="en-GB"/>
        </w:rPr>
        <w:t>PO</w:t>
      </w:r>
      <w:r w:rsidR="0065469B" w:rsidRPr="00881BC8">
        <w:rPr>
          <w:noProof/>
          <w:lang w:val="en-GB"/>
        </w:rPr>
        <w:t xml:space="preserve">1b </w:t>
      </w:r>
      <w:r w:rsidR="00332171" w:rsidRPr="00881BC8">
        <w:rPr>
          <w:noProof/>
          <w:lang w:val="en-GB"/>
        </w:rPr>
        <w:t xml:space="preserve">in </w:t>
      </w:r>
      <w:r w:rsidR="3830BF9D" w:rsidRPr="00881BC8">
        <w:rPr>
          <w:noProof/>
          <w:lang w:val="en-GB"/>
        </w:rPr>
        <w:t xml:space="preserve">capping </w:t>
      </w:r>
      <w:r w:rsidR="00332171" w:rsidRPr="00881BC8">
        <w:rPr>
          <w:noProof/>
          <w:lang w:val="en-GB"/>
        </w:rPr>
        <w:t xml:space="preserve">payment terms in B2B transactions </w:t>
      </w:r>
      <w:r w:rsidR="3830BF9D" w:rsidRPr="00881BC8">
        <w:rPr>
          <w:noProof/>
          <w:lang w:val="en-GB"/>
        </w:rPr>
        <w:t xml:space="preserve">at </w:t>
      </w:r>
      <w:r w:rsidR="00332171" w:rsidRPr="00881BC8">
        <w:rPr>
          <w:noProof/>
          <w:lang w:val="en-GB"/>
        </w:rPr>
        <w:t>6</w:t>
      </w:r>
      <w:r w:rsidR="3830BF9D" w:rsidRPr="00881BC8">
        <w:rPr>
          <w:noProof/>
          <w:lang w:val="en-GB"/>
        </w:rPr>
        <w:t>0 days. However</w:t>
      </w:r>
      <w:r w:rsidR="3B4A1950" w:rsidRPr="00881BC8">
        <w:rPr>
          <w:noProof/>
          <w:lang w:val="en-GB"/>
        </w:rPr>
        <w:t>,</w:t>
      </w:r>
      <w:r w:rsidR="14B3711A" w:rsidRPr="00881BC8">
        <w:rPr>
          <w:noProof/>
          <w:lang w:val="en-GB"/>
        </w:rPr>
        <w:t xml:space="preserve"> this limit would apply only to B2B transactions </w:t>
      </w:r>
      <w:r w:rsidR="3830BF9D" w:rsidRPr="00881BC8">
        <w:rPr>
          <w:noProof/>
          <w:lang w:val="en-GB"/>
        </w:rPr>
        <w:t>where the creditor is an SME</w:t>
      </w:r>
      <w:r w:rsidR="6DDEC0DD" w:rsidRPr="00881BC8">
        <w:rPr>
          <w:noProof/>
          <w:lang w:val="en-GB"/>
        </w:rPr>
        <w:t>.</w:t>
      </w:r>
      <w:r w:rsidR="3830BF9D" w:rsidRPr="00881BC8">
        <w:rPr>
          <w:noProof/>
          <w:lang w:val="en-GB"/>
        </w:rPr>
        <w:t xml:space="preserve"> </w:t>
      </w:r>
      <w:r w:rsidRPr="00881BC8">
        <w:rPr>
          <w:noProof/>
          <w:lang w:val="en-GB"/>
        </w:rPr>
        <w:t>I</w:t>
      </w:r>
      <w:r w:rsidR="42DB4B62" w:rsidRPr="00881BC8">
        <w:rPr>
          <w:noProof/>
          <w:lang w:val="en-GB"/>
        </w:rPr>
        <w:t>dentif</w:t>
      </w:r>
      <w:r w:rsidRPr="00881BC8">
        <w:rPr>
          <w:noProof/>
          <w:lang w:val="en-GB"/>
        </w:rPr>
        <w:t>ying</w:t>
      </w:r>
      <w:r w:rsidR="42DB4B62" w:rsidRPr="00881BC8">
        <w:rPr>
          <w:noProof/>
          <w:lang w:val="en-GB"/>
        </w:rPr>
        <w:t xml:space="preserve"> SME</w:t>
      </w:r>
      <w:r w:rsidRPr="00881BC8">
        <w:rPr>
          <w:noProof/>
          <w:lang w:val="en-GB"/>
        </w:rPr>
        <w:t>s</w:t>
      </w:r>
      <w:r w:rsidR="42DB4B62" w:rsidRPr="00881BC8">
        <w:rPr>
          <w:noProof/>
          <w:lang w:val="en-GB"/>
        </w:rPr>
        <w:t xml:space="preserve"> will rely on the criteria laid down in the SME Definition</w:t>
      </w:r>
      <w:r w:rsidR="00CC2B86" w:rsidRPr="00881BC8">
        <w:rPr>
          <w:rStyle w:val="FootnoteReference"/>
          <w:rFonts w:eastAsia="Times New Roman"/>
          <w:noProof/>
          <w:lang w:val="en-GB"/>
        </w:rPr>
        <w:footnoteReference w:id="87"/>
      </w:r>
      <w:r w:rsidR="00906AE9" w:rsidRPr="00881BC8">
        <w:rPr>
          <w:noProof/>
          <w:lang w:val="en-GB"/>
        </w:rPr>
        <w:t>.</w:t>
      </w:r>
      <w:r w:rsidR="3830BF9D" w:rsidRPr="00881BC8">
        <w:rPr>
          <w:noProof/>
          <w:lang w:val="en-GB"/>
        </w:rPr>
        <w:t xml:space="preserve"> </w:t>
      </w:r>
      <w:r w:rsidR="42DB4B62" w:rsidRPr="00881BC8">
        <w:rPr>
          <w:noProof/>
          <w:lang w:val="en-GB"/>
        </w:rPr>
        <w:t xml:space="preserve">Payment terms </w:t>
      </w:r>
      <w:r w:rsidR="00455057" w:rsidRPr="00881BC8">
        <w:rPr>
          <w:noProof/>
          <w:lang w:val="en-GB"/>
        </w:rPr>
        <w:t xml:space="preserve">in transactions </w:t>
      </w:r>
      <w:r w:rsidR="42DB4B62" w:rsidRPr="00881BC8">
        <w:rPr>
          <w:noProof/>
          <w:lang w:val="en-GB"/>
        </w:rPr>
        <w:t>between large businesses, or between SMEs and large businesses, where the SME</w:t>
      </w:r>
      <w:r w:rsidR="69AA684E" w:rsidRPr="00881BC8">
        <w:rPr>
          <w:noProof/>
          <w:lang w:val="en-GB"/>
        </w:rPr>
        <w:t xml:space="preserve"> is the debtor</w:t>
      </w:r>
      <w:r w:rsidR="42DB4B62" w:rsidRPr="00881BC8">
        <w:rPr>
          <w:noProof/>
          <w:lang w:val="en-GB"/>
        </w:rPr>
        <w:t xml:space="preserve">, would </w:t>
      </w:r>
      <w:r w:rsidR="00AB5D6F" w:rsidRPr="00881BC8">
        <w:rPr>
          <w:noProof/>
          <w:lang w:val="en-GB"/>
        </w:rPr>
        <w:t>remain</w:t>
      </w:r>
      <w:r w:rsidR="42DB4B62" w:rsidRPr="00881BC8">
        <w:rPr>
          <w:noProof/>
          <w:lang w:val="en-GB"/>
        </w:rPr>
        <w:t xml:space="preserve"> regulated according to the current provisions. </w:t>
      </w:r>
      <w:r w:rsidR="00FC1E5B" w:rsidRPr="00881BC8">
        <w:rPr>
          <w:noProof/>
          <w:lang w:val="en-GB"/>
        </w:rPr>
        <w:t>T</w:t>
      </w:r>
      <w:r w:rsidR="42DB4B62" w:rsidRPr="00881BC8">
        <w:rPr>
          <w:noProof/>
          <w:lang w:val="en-GB"/>
        </w:rPr>
        <w:t>his specific measure is already in place in Belgium and in Poland</w:t>
      </w:r>
      <w:r w:rsidR="00B9688B" w:rsidRPr="00881BC8">
        <w:rPr>
          <w:rStyle w:val="FootnoteReference"/>
          <w:noProof/>
          <w:lang w:val="en-GB"/>
        </w:rPr>
        <w:footnoteReference w:id="88"/>
      </w:r>
      <w:r w:rsidR="00625EDA" w:rsidRPr="00881BC8">
        <w:rPr>
          <w:noProof/>
          <w:lang w:val="en-GB"/>
        </w:rPr>
        <w:t>. I</w:t>
      </w:r>
      <w:r w:rsidR="42DB4B62" w:rsidRPr="00881BC8">
        <w:rPr>
          <w:noProof/>
          <w:lang w:val="en-GB"/>
        </w:rPr>
        <w:t>n the Netherlands it was applied from 2017 until 2022</w:t>
      </w:r>
      <w:r w:rsidR="00AB5D6F" w:rsidRPr="00881BC8">
        <w:rPr>
          <w:noProof/>
          <w:lang w:val="en-GB"/>
        </w:rPr>
        <w:t xml:space="preserve"> (in 2022</w:t>
      </w:r>
      <w:r w:rsidR="42DB4B62" w:rsidRPr="00881BC8">
        <w:rPr>
          <w:noProof/>
          <w:lang w:val="en-GB"/>
        </w:rPr>
        <w:t xml:space="preserve"> </w:t>
      </w:r>
      <w:r w:rsidR="00AB5D6F" w:rsidRPr="00881BC8">
        <w:rPr>
          <w:noProof/>
          <w:lang w:val="en-GB"/>
        </w:rPr>
        <w:t xml:space="preserve">the cap was </w:t>
      </w:r>
      <w:r w:rsidR="42DB4B62" w:rsidRPr="00881BC8">
        <w:rPr>
          <w:noProof/>
          <w:lang w:val="en-GB"/>
        </w:rPr>
        <w:t>brought from 60 to 30 days</w:t>
      </w:r>
      <w:r w:rsidR="00AB5D6F" w:rsidRPr="00881BC8">
        <w:rPr>
          <w:noProof/>
          <w:lang w:val="en-GB"/>
        </w:rPr>
        <w:t>)</w:t>
      </w:r>
      <w:r w:rsidR="42DB4B62" w:rsidRPr="00881BC8">
        <w:rPr>
          <w:noProof/>
          <w:lang w:val="en-GB"/>
        </w:rPr>
        <w:t xml:space="preserve">. </w:t>
      </w:r>
      <w:r w:rsidR="00FC1E5B" w:rsidRPr="00881BC8">
        <w:rPr>
          <w:noProof/>
          <w:lang w:val="en-GB"/>
        </w:rPr>
        <w:t>C</w:t>
      </w:r>
      <w:r w:rsidR="42DB4B62" w:rsidRPr="00881BC8">
        <w:rPr>
          <w:noProof/>
          <w:lang w:val="en-GB"/>
        </w:rPr>
        <w:t xml:space="preserve">apping the verification procedure at 30 days </w:t>
      </w:r>
      <w:r w:rsidR="00FC1E5B" w:rsidRPr="00881BC8">
        <w:rPr>
          <w:noProof/>
          <w:lang w:val="en-GB"/>
        </w:rPr>
        <w:t>a</w:t>
      </w:r>
      <w:r w:rsidR="42DB4B62" w:rsidRPr="00881BC8">
        <w:rPr>
          <w:noProof/>
          <w:lang w:val="en-GB"/>
        </w:rPr>
        <w:t>i</w:t>
      </w:r>
      <w:r w:rsidR="00FC1E5B" w:rsidRPr="00881BC8">
        <w:rPr>
          <w:noProof/>
          <w:lang w:val="en-GB"/>
        </w:rPr>
        <w:t>m</w:t>
      </w:r>
      <w:r w:rsidR="42DB4B62" w:rsidRPr="00881BC8">
        <w:rPr>
          <w:noProof/>
          <w:lang w:val="en-GB"/>
        </w:rPr>
        <w:t xml:space="preserve">s to ensure a predictable payment framework for SMEs, </w:t>
      </w:r>
      <w:r w:rsidR="00DB00CD" w:rsidRPr="00881BC8">
        <w:rPr>
          <w:noProof/>
          <w:lang w:val="en-GB"/>
        </w:rPr>
        <w:t>so that they</w:t>
      </w:r>
      <w:r w:rsidR="42DB4B62" w:rsidRPr="00881BC8">
        <w:rPr>
          <w:noProof/>
          <w:lang w:val="en-GB"/>
        </w:rPr>
        <w:t xml:space="preserve"> </w:t>
      </w:r>
      <w:r w:rsidR="00DB00CD" w:rsidRPr="00881BC8">
        <w:rPr>
          <w:noProof/>
          <w:lang w:val="en-GB"/>
        </w:rPr>
        <w:t>can</w:t>
      </w:r>
      <w:r w:rsidR="6A3B8D40" w:rsidRPr="00881BC8">
        <w:rPr>
          <w:noProof/>
          <w:lang w:val="en-GB"/>
        </w:rPr>
        <w:t xml:space="preserve"> expect</w:t>
      </w:r>
      <w:r w:rsidR="69AA684E" w:rsidRPr="00881BC8">
        <w:rPr>
          <w:noProof/>
          <w:lang w:val="en-GB"/>
        </w:rPr>
        <w:t xml:space="preserve"> </w:t>
      </w:r>
      <w:r w:rsidR="00617F9C" w:rsidRPr="00881BC8">
        <w:rPr>
          <w:noProof/>
          <w:lang w:val="en-GB"/>
        </w:rPr>
        <w:t xml:space="preserve">that </w:t>
      </w:r>
      <w:r w:rsidR="69AA684E" w:rsidRPr="00881BC8">
        <w:rPr>
          <w:noProof/>
          <w:lang w:val="en-GB"/>
        </w:rPr>
        <w:t xml:space="preserve">payments they are owed in </w:t>
      </w:r>
      <w:r w:rsidR="00617F9C" w:rsidRPr="00881BC8">
        <w:rPr>
          <w:noProof/>
          <w:lang w:val="en-GB"/>
        </w:rPr>
        <w:t xml:space="preserve">B2B </w:t>
      </w:r>
      <w:r w:rsidR="69AA684E" w:rsidRPr="00881BC8">
        <w:rPr>
          <w:noProof/>
          <w:lang w:val="en-GB"/>
        </w:rPr>
        <w:t xml:space="preserve">commercial transactions </w:t>
      </w:r>
      <w:r w:rsidR="00DB00CD" w:rsidRPr="00881BC8">
        <w:rPr>
          <w:noProof/>
          <w:lang w:val="en-GB"/>
        </w:rPr>
        <w:t xml:space="preserve">do not </w:t>
      </w:r>
      <w:r w:rsidR="69AA684E" w:rsidRPr="00881BC8">
        <w:rPr>
          <w:noProof/>
          <w:lang w:val="en-GB"/>
        </w:rPr>
        <w:t xml:space="preserve">exceed 60 days </w:t>
      </w:r>
      <w:r w:rsidR="00625EDA" w:rsidRPr="00881BC8">
        <w:rPr>
          <w:noProof/>
          <w:lang w:val="en-GB"/>
        </w:rPr>
        <w:t xml:space="preserve">- </w:t>
      </w:r>
      <w:r w:rsidR="69AA684E" w:rsidRPr="00881BC8">
        <w:rPr>
          <w:noProof/>
          <w:lang w:val="en-GB"/>
        </w:rPr>
        <w:t>or 90 days if a verification procedure is included in the contract and</w:t>
      </w:r>
      <w:r w:rsidR="00DB00CD" w:rsidRPr="00881BC8">
        <w:rPr>
          <w:noProof/>
          <w:lang w:val="en-GB"/>
        </w:rPr>
        <w:t xml:space="preserve"> </w:t>
      </w:r>
      <w:r w:rsidR="69AA684E" w:rsidRPr="00881BC8">
        <w:rPr>
          <w:noProof/>
          <w:lang w:val="en-GB"/>
        </w:rPr>
        <w:t xml:space="preserve">objectively justified. </w:t>
      </w:r>
    </w:p>
    <w:p w14:paraId="18A1CDCA" w14:textId="7261CC4E" w:rsidR="00CD02E0" w:rsidRPr="00881BC8" w:rsidRDefault="00CD02E0" w:rsidP="004835F8">
      <w:pPr>
        <w:pStyle w:val="NormalPara"/>
        <w:rPr>
          <w:noProof/>
          <w:lang w:val="en-GB"/>
        </w:rPr>
      </w:pPr>
      <w:r w:rsidRPr="00881BC8">
        <w:rPr>
          <w:noProof/>
          <w:lang w:val="en-GB"/>
        </w:rPr>
        <w:t xml:space="preserve">Measures to address the information asymmetry on payment performance and to boost availability and facilitate access of SMEs to credit management and financial literacy training would be the same as under PO1a and PO1b. </w:t>
      </w:r>
    </w:p>
    <w:p w14:paraId="330659BD" w14:textId="7DC466A8" w:rsidR="00CF43E4" w:rsidRPr="00881BC8" w:rsidRDefault="6D430496" w:rsidP="004835F8">
      <w:pPr>
        <w:pStyle w:val="Heading3"/>
        <w:rPr>
          <w:rFonts w:eastAsia="@Yu Mincho Light"/>
          <w:noProof/>
        </w:rPr>
      </w:pPr>
      <w:bookmarkStart w:id="297" w:name="_Toc130395696"/>
      <w:bookmarkStart w:id="298" w:name="_Toc130403614"/>
      <w:bookmarkStart w:id="299" w:name="_Toc113029442"/>
      <w:bookmarkStart w:id="300" w:name="_Toc113311923"/>
      <w:bookmarkStart w:id="301" w:name="_Toc113313968"/>
      <w:bookmarkStart w:id="302" w:name="_Toc113314996"/>
      <w:bookmarkStart w:id="303" w:name="_Toc113656932"/>
      <w:bookmarkStart w:id="304" w:name="_Toc113904547"/>
      <w:bookmarkStart w:id="305" w:name="_Toc113915465"/>
      <w:bookmarkStart w:id="306" w:name="_Toc113915532"/>
      <w:bookmarkStart w:id="307" w:name="_Toc113915614"/>
      <w:bookmarkStart w:id="308" w:name="_Toc114137182"/>
      <w:bookmarkStart w:id="309" w:name="_Toc128594945"/>
      <w:bookmarkStart w:id="310" w:name="_Toc128678900"/>
      <w:bookmarkStart w:id="311" w:name="_Toc128935101"/>
      <w:bookmarkStart w:id="312" w:name="_Toc129710194"/>
      <w:bookmarkStart w:id="313" w:name="_Toc129899899"/>
      <w:bookmarkStart w:id="314" w:name="_Toc135237406"/>
      <w:bookmarkEnd w:id="297"/>
      <w:bookmarkEnd w:id="298"/>
      <w:r w:rsidRPr="00881BC8">
        <w:rPr>
          <w:rFonts w:eastAsia="@Yu Mincho Light"/>
          <w:noProof/>
        </w:rPr>
        <w:t xml:space="preserve">Policy option </w:t>
      </w:r>
      <w:r w:rsidR="4573504A" w:rsidRPr="00881BC8">
        <w:rPr>
          <w:rFonts w:eastAsia="@Yu Mincho Light"/>
          <w:noProof/>
        </w:rPr>
        <w:t>2:</w:t>
      </w:r>
      <w:bookmarkEnd w:id="299"/>
      <w:bookmarkEnd w:id="300"/>
      <w:bookmarkEnd w:id="301"/>
      <w:bookmarkEnd w:id="302"/>
      <w:bookmarkEnd w:id="303"/>
      <w:bookmarkEnd w:id="304"/>
      <w:bookmarkEnd w:id="305"/>
      <w:bookmarkEnd w:id="306"/>
      <w:bookmarkEnd w:id="307"/>
      <w:bookmarkEnd w:id="308"/>
      <w:r w:rsidRPr="00881BC8">
        <w:rPr>
          <w:rFonts w:eastAsia="@Yu Mincho Light"/>
          <w:noProof/>
        </w:rPr>
        <w:t xml:space="preserve"> </w:t>
      </w:r>
      <w:r w:rsidR="00721D11" w:rsidRPr="00881BC8">
        <w:rPr>
          <w:rFonts w:eastAsia="@Yu Mincho Light"/>
          <w:noProof/>
        </w:rPr>
        <w:t xml:space="preserve">Facilitate </w:t>
      </w:r>
      <w:r w:rsidRPr="00881BC8">
        <w:rPr>
          <w:rFonts w:eastAsia="@Yu Mincho Light"/>
          <w:noProof/>
        </w:rPr>
        <w:t>timely payments</w:t>
      </w:r>
      <w:bookmarkEnd w:id="309"/>
      <w:bookmarkEnd w:id="310"/>
      <w:bookmarkEnd w:id="311"/>
      <w:bookmarkEnd w:id="312"/>
      <w:bookmarkEnd w:id="313"/>
      <w:bookmarkEnd w:id="314"/>
      <w:r w:rsidRPr="00881BC8">
        <w:rPr>
          <w:rFonts w:eastAsia="@Yu Mincho Light"/>
          <w:noProof/>
        </w:rPr>
        <w:t xml:space="preserve"> </w:t>
      </w:r>
    </w:p>
    <w:p w14:paraId="401C14FC" w14:textId="6341E4D0" w:rsidR="00AC16C3" w:rsidRPr="00881BC8" w:rsidRDefault="00D868AE" w:rsidP="004835F8">
      <w:pPr>
        <w:pStyle w:val="NormalPara"/>
        <w:rPr>
          <w:iCs/>
          <w:noProof/>
          <w:lang w:val="en-GB"/>
        </w:rPr>
      </w:pPr>
      <w:bookmarkStart w:id="315" w:name="PO2"/>
      <w:r w:rsidRPr="00881BC8">
        <w:rPr>
          <w:b/>
          <w:bCs/>
          <w:noProof/>
          <w:lang w:val="en-GB"/>
        </w:rPr>
        <w:t xml:space="preserve">Policy </w:t>
      </w:r>
      <w:r w:rsidR="6D430496" w:rsidRPr="00881BC8">
        <w:rPr>
          <w:b/>
          <w:bCs/>
          <w:noProof/>
          <w:lang w:val="en-GB"/>
        </w:rPr>
        <w:t xml:space="preserve">option </w:t>
      </w:r>
      <w:r w:rsidRPr="00881BC8">
        <w:rPr>
          <w:b/>
          <w:bCs/>
          <w:noProof/>
          <w:lang w:val="en-GB"/>
        </w:rPr>
        <w:t>2</w:t>
      </w:r>
      <w:bookmarkEnd w:id="315"/>
      <w:r w:rsidRPr="00881BC8">
        <w:rPr>
          <w:noProof/>
          <w:lang w:val="en-GB"/>
        </w:rPr>
        <w:t xml:space="preserve"> </w:t>
      </w:r>
      <w:r w:rsidR="00735E47" w:rsidRPr="00881BC8">
        <w:rPr>
          <w:b/>
          <w:bCs/>
          <w:noProof/>
          <w:lang w:val="en-GB"/>
        </w:rPr>
        <w:t>(PO2)</w:t>
      </w:r>
      <w:r w:rsidR="00735E47" w:rsidRPr="00881BC8">
        <w:rPr>
          <w:noProof/>
          <w:lang w:val="en-GB"/>
        </w:rPr>
        <w:t xml:space="preserve"> </w:t>
      </w:r>
      <w:r w:rsidR="6D430496" w:rsidRPr="00881BC8">
        <w:rPr>
          <w:noProof/>
          <w:lang w:val="en-GB"/>
        </w:rPr>
        <w:t>contributes to specific objective 2 (</w:t>
      </w:r>
      <w:r w:rsidR="00721D11" w:rsidRPr="00881BC8">
        <w:rPr>
          <w:noProof/>
          <w:lang w:val="en-GB"/>
        </w:rPr>
        <w:t xml:space="preserve">section </w:t>
      </w:r>
      <w:r w:rsidR="005851F4">
        <w:rPr>
          <w:noProof/>
          <w:lang w:val="en-GB"/>
        </w:rPr>
        <w:t>4.2.2</w:t>
      </w:r>
      <w:r w:rsidR="6D430496" w:rsidRPr="00881BC8">
        <w:rPr>
          <w:noProof/>
          <w:lang w:val="en-GB"/>
        </w:rPr>
        <w:t>)</w:t>
      </w:r>
      <w:r w:rsidR="6DFACA16" w:rsidRPr="00881BC8">
        <w:rPr>
          <w:noProof/>
          <w:lang w:val="en-GB"/>
        </w:rPr>
        <w:t xml:space="preserve">. The </w:t>
      </w:r>
      <w:r w:rsidR="00B637DE" w:rsidRPr="00881BC8">
        <w:rPr>
          <w:noProof/>
          <w:lang w:val="en-GB"/>
        </w:rPr>
        <w:t>measures</w:t>
      </w:r>
      <w:r w:rsidR="6DFACA16" w:rsidRPr="00881BC8">
        <w:rPr>
          <w:noProof/>
          <w:lang w:val="en-GB"/>
        </w:rPr>
        <w:t xml:space="preserve"> under this </w:t>
      </w:r>
      <w:r w:rsidRPr="00881BC8">
        <w:rPr>
          <w:noProof/>
          <w:lang w:val="en-GB"/>
        </w:rPr>
        <w:t xml:space="preserve">policy option </w:t>
      </w:r>
      <w:r w:rsidR="6DFACA16" w:rsidRPr="00881BC8">
        <w:rPr>
          <w:noProof/>
          <w:lang w:val="en-GB"/>
        </w:rPr>
        <w:t xml:space="preserve">aim at combating late payments by </w:t>
      </w:r>
      <w:r w:rsidR="00601E81" w:rsidRPr="00881BC8">
        <w:rPr>
          <w:noProof/>
          <w:lang w:val="en-GB"/>
        </w:rPr>
        <w:t xml:space="preserve">ensuring that the rules are enforced, payment terms are respected, and </w:t>
      </w:r>
      <w:r w:rsidR="00CF6F28" w:rsidRPr="00881BC8">
        <w:rPr>
          <w:noProof/>
          <w:lang w:val="en-GB"/>
        </w:rPr>
        <w:t>administrative sanctions</w:t>
      </w:r>
      <w:r w:rsidR="00601E81" w:rsidRPr="00881BC8">
        <w:rPr>
          <w:noProof/>
          <w:lang w:val="en-GB"/>
        </w:rPr>
        <w:t xml:space="preserve"> kick-in</w:t>
      </w:r>
      <w:r w:rsidRPr="00881BC8">
        <w:rPr>
          <w:noProof/>
          <w:lang w:val="en-GB"/>
        </w:rPr>
        <w:t xml:space="preserve"> in case of no-compliance</w:t>
      </w:r>
      <w:r w:rsidR="000B1308" w:rsidRPr="00881BC8">
        <w:rPr>
          <w:noProof/>
          <w:lang w:val="en-GB"/>
        </w:rPr>
        <w:t xml:space="preserve"> (see</w:t>
      </w:r>
      <w:r w:rsidR="00AC16C3" w:rsidRPr="00881BC8">
        <w:rPr>
          <w:noProof/>
          <w:lang w:val="en-GB"/>
        </w:rPr>
        <w:t xml:space="preserve"> </w:t>
      </w:r>
      <w:r w:rsidR="000B1308" w:rsidRPr="00881BC8">
        <w:rPr>
          <w:noProof/>
          <w:lang w:val="en-GB"/>
        </w:rPr>
        <w:t>point 21</w:t>
      </w:r>
      <w:r w:rsidR="00735E47" w:rsidRPr="00881BC8">
        <w:rPr>
          <w:noProof/>
          <w:lang w:val="en-GB"/>
        </w:rPr>
        <w:t xml:space="preserve"> of t</w:t>
      </w:r>
      <w:r w:rsidR="00AC16C3" w:rsidRPr="00881BC8">
        <w:rPr>
          <w:noProof/>
          <w:lang w:val="en-GB"/>
        </w:rPr>
        <w:t>he EP Resolution</w:t>
      </w:r>
      <w:r w:rsidR="00CF6F28" w:rsidRPr="00881BC8">
        <w:rPr>
          <w:noProof/>
          <w:lang w:val="en-GB"/>
        </w:rPr>
        <w:t xml:space="preserve"> 2019</w:t>
      </w:r>
      <w:r w:rsidR="00735E47" w:rsidRPr="00881BC8">
        <w:rPr>
          <w:noProof/>
          <w:lang w:val="en-GB"/>
        </w:rPr>
        <w:t>)</w:t>
      </w:r>
      <w:r w:rsidRPr="00881BC8">
        <w:rPr>
          <w:iCs/>
          <w:noProof/>
          <w:lang w:val="en-GB"/>
        </w:rPr>
        <w:t>.</w:t>
      </w:r>
    </w:p>
    <w:p w14:paraId="3A97DF79" w14:textId="022ED61B" w:rsidR="00873EE4" w:rsidRPr="00881BC8" w:rsidRDefault="00735E47" w:rsidP="004835F8">
      <w:pPr>
        <w:pStyle w:val="NormalPara"/>
        <w:rPr>
          <w:noProof/>
          <w:lang w:val="en-GB"/>
        </w:rPr>
      </w:pPr>
      <w:r w:rsidRPr="00881BC8">
        <w:rPr>
          <w:noProof/>
          <w:lang w:val="en-GB"/>
        </w:rPr>
        <w:t>Policy</w:t>
      </w:r>
      <w:r w:rsidR="00601E81" w:rsidRPr="00881BC8">
        <w:rPr>
          <w:noProof/>
          <w:lang w:val="en-GB"/>
        </w:rPr>
        <w:t xml:space="preserve"> measures under </w:t>
      </w:r>
      <w:r w:rsidR="00E4273B" w:rsidRPr="00881BC8">
        <w:rPr>
          <w:noProof/>
          <w:lang w:val="en-GB"/>
        </w:rPr>
        <w:t xml:space="preserve">PO2 </w:t>
      </w:r>
      <w:r w:rsidR="009E2E6F" w:rsidRPr="00881BC8">
        <w:rPr>
          <w:noProof/>
          <w:lang w:val="en-GB"/>
        </w:rPr>
        <w:t xml:space="preserve">provide for </w:t>
      </w:r>
      <w:r w:rsidR="1B24F56D" w:rsidRPr="00881BC8">
        <w:rPr>
          <w:noProof/>
          <w:lang w:val="en-GB"/>
        </w:rPr>
        <w:t>using</w:t>
      </w:r>
      <w:r w:rsidR="6D430496" w:rsidRPr="00881BC8">
        <w:rPr>
          <w:noProof/>
          <w:lang w:val="en-GB"/>
        </w:rPr>
        <w:t xml:space="preserve"> stronger </w:t>
      </w:r>
      <w:r w:rsidR="5B15D949" w:rsidRPr="00881BC8">
        <w:rPr>
          <w:noProof/>
          <w:lang w:val="en-GB"/>
        </w:rPr>
        <w:t>deterrent</w:t>
      </w:r>
      <w:r w:rsidR="009E2E6F" w:rsidRPr="00881BC8">
        <w:rPr>
          <w:noProof/>
          <w:lang w:val="en-GB"/>
        </w:rPr>
        <w:t>s</w:t>
      </w:r>
      <w:r w:rsidR="5B15D949" w:rsidRPr="00881BC8">
        <w:rPr>
          <w:noProof/>
          <w:lang w:val="en-GB"/>
        </w:rPr>
        <w:t>,</w:t>
      </w:r>
      <w:r w:rsidR="6D430496" w:rsidRPr="00881BC8">
        <w:rPr>
          <w:noProof/>
          <w:lang w:val="en-GB"/>
        </w:rPr>
        <w:t xml:space="preserve"> </w:t>
      </w:r>
      <w:r w:rsidR="00601E81" w:rsidRPr="00881BC8">
        <w:rPr>
          <w:noProof/>
          <w:lang w:val="en-GB"/>
        </w:rPr>
        <w:t xml:space="preserve">setting up enforcement bodies, </w:t>
      </w:r>
      <w:r w:rsidR="009E2E6F" w:rsidRPr="00881BC8">
        <w:rPr>
          <w:noProof/>
          <w:lang w:val="en-GB"/>
        </w:rPr>
        <w:t>and</w:t>
      </w:r>
      <w:r w:rsidR="00532DCA" w:rsidRPr="00881BC8">
        <w:rPr>
          <w:noProof/>
          <w:lang w:val="en-GB"/>
        </w:rPr>
        <w:t xml:space="preserve"> verifying that payment to the main contractor has been passed onto the subcontractors in public works contracts</w:t>
      </w:r>
      <w:r w:rsidR="18F9B79C" w:rsidRPr="00881BC8">
        <w:rPr>
          <w:noProof/>
          <w:lang w:val="en-GB"/>
        </w:rPr>
        <w:t xml:space="preserve">. </w:t>
      </w:r>
      <w:r w:rsidR="00613CE3" w:rsidRPr="00881BC8">
        <w:rPr>
          <w:noProof/>
          <w:lang w:val="en-GB"/>
        </w:rPr>
        <w:t xml:space="preserve">As a standalone option, these proposals would apply irrespective of the baseline for the setting of the payment terms. </w:t>
      </w:r>
      <w:r w:rsidR="259270E0" w:rsidRPr="00881BC8">
        <w:rPr>
          <w:noProof/>
          <w:lang w:val="en-GB"/>
        </w:rPr>
        <w:t xml:space="preserve">Some of the </w:t>
      </w:r>
      <w:r w:rsidR="009E2E6F" w:rsidRPr="00881BC8">
        <w:rPr>
          <w:noProof/>
          <w:lang w:val="en-GB"/>
        </w:rPr>
        <w:t xml:space="preserve">proposed </w:t>
      </w:r>
      <w:r w:rsidR="259270E0" w:rsidRPr="00881BC8">
        <w:rPr>
          <w:noProof/>
          <w:lang w:val="en-GB"/>
        </w:rPr>
        <w:t xml:space="preserve">measures </w:t>
      </w:r>
      <w:r w:rsidR="0080421E" w:rsidRPr="00881BC8">
        <w:rPr>
          <w:noProof/>
          <w:lang w:val="en-GB"/>
        </w:rPr>
        <w:t xml:space="preserve">directly respond to </w:t>
      </w:r>
      <w:r w:rsidR="7A3BF686" w:rsidRPr="00881BC8">
        <w:rPr>
          <w:noProof/>
          <w:lang w:val="en-GB"/>
        </w:rPr>
        <w:t xml:space="preserve">the EP </w:t>
      </w:r>
      <w:r w:rsidR="0DDEA561" w:rsidRPr="00881BC8">
        <w:rPr>
          <w:noProof/>
          <w:lang w:val="en-GB"/>
        </w:rPr>
        <w:t>Resolution</w:t>
      </w:r>
      <w:r w:rsidR="18F9B79C" w:rsidRPr="00881BC8">
        <w:rPr>
          <w:noProof/>
          <w:lang w:val="en-GB"/>
        </w:rPr>
        <w:t xml:space="preserve"> of 2019 </w:t>
      </w:r>
      <w:r w:rsidR="69DA10D3" w:rsidRPr="00881BC8">
        <w:rPr>
          <w:noProof/>
          <w:lang w:val="en-GB"/>
        </w:rPr>
        <w:t>an</w:t>
      </w:r>
      <w:r w:rsidR="6C5006EC" w:rsidRPr="00881BC8">
        <w:rPr>
          <w:noProof/>
          <w:lang w:val="en-GB"/>
        </w:rPr>
        <w:t xml:space="preserve">d </w:t>
      </w:r>
      <w:r w:rsidR="61B73B3E" w:rsidRPr="00881BC8">
        <w:rPr>
          <w:noProof/>
          <w:lang w:val="en-GB"/>
        </w:rPr>
        <w:t>the</w:t>
      </w:r>
      <w:r w:rsidR="69DA10D3" w:rsidRPr="00881BC8">
        <w:rPr>
          <w:noProof/>
          <w:lang w:val="en-GB"/>
        </w:rPr>
        <w:t xml:space="preserve"> </w:t>
      </w:r>
      <w:r w:rsidR="0080421E" w:rsidRPr="00881BC8">
        <w:rPr>
          <w:noProof/>
          <w:lang w:val="en-GB"/>
        </w:rPr>
        <w:t xml:space="preserve">opinion of the </w:t>
      </w:r>
      <w:r w:rsidR="69DA10D3" w:rsidRPr="00881BC8">
        <w:rPr>
          <w:noProof/>
          <w:lang w:val="en-GB"/>
        </w:rPr>
        <w:t>F</w:t>
      </w:r>
      <w:r w:rsidR="0080421E" w:rsidRPr="00881BC8">
        <w:rPr>
          <w:noProof/>
          <w:lang w:val="en-GB"/>
        </w:rPr>
        <w:t xml:space="preserve">it for </w:t>
      </w:r>
      <w:r w:rsidR="69DA10D3" w:rsidRPr="00881BC8">
        <w:rPr>
          <w:noProof/>
          <w:lang w:val="en-GB"/>
        </w:rPr>
        <w:t>F</w:t>
      </w:r>
      <w:r w:rsidR="0080421E" w:rsidRPr="00881BC8">
        <w:rPr>
          <w:noProof/>
          <w:lang w:val="en-GB"/>
        </w:rPr>
        <w:t>uture</w:t>
      </w:r>
      <w:r w:rsidR="69DA10D3" w:rsidRPr="00881BC8">
        <w:rPr>
          <w:noProof/>
          <w:lang w:val="en-GB"/>
        </w:rPr>
        <w:t xml:space="preserve"> </w:t>
      </w:r>
      <w:r w:rsidR="0080421E" w:rsidRPr="00881BC8">
        <w:rPr>
          <w:noProof/>
          <w:lang w:val="en-GB"/>
        </w:rPr>
        <w:t>p</w:t>
      </w:r>
      <w:r w:rsidR="69DA10D3" w:rsidRPr="00881BC8">
        <w:rPr>
          <w:noProof/>
          <w:lang w:val="en-GB"/>
        </w:rPr>
        <w:t>latform 2021 (rec</w:t>
      </w:r>
      <w:r w:rsidR="22556E44" w:rsidRPr="00881BC8">
        <w:rPr>
          <w:noProof/>
          <w:lang w:val="en-GB"/>
        </w:rPr>
        <w:t>o</w:t>
      </w:r>
      <w:r w:rsidR="69DA10D3" w:rsidRPr="00881BC8">
        <w:rPr>
          <w:noProof/>
          <w:lang w:val="en-GB"/>
        </w:rPr>
        <w:t>mmendation</w:t>
      </w:r>
      <w:r w:rsidR="7FF01BFA" w:rsidRPr="00881BC8">
        <w:rPr>
          <w:noProof/>
          <w:lang w:val="en-GB"/>
        </w:rPr>
        <w:t xml:space="preserve"> n.</w:t>
      </w:r>
      <w:r w:rsidR="6F623C27" w:rsidRPr="00881BC8">
        <w:rPr>
          <w:noProof/>
          <w:lang w:val="en-GB"/>
        </w:rPr>
        <w:t>10)</w:t>
      </w:r>
      <w:r w:rsidR="1F8CB13A" w:rsidRPr="00881BC8">
        <w:rPr>
          <w:noProof/>
          <w:lang w:val="en-GB"/>
        </w:rPr>
        <w:t xml:space="preserve">. </w:t>
      </w:r>
    </w:p>
    <w:p w14:paraId="3EA4BE7B" w14:textId="7F9EA9DD" w:rsidR="003E5FBC" w:rsidRPr="00881BC8" w:rsidRDefault="003E5FBC" w:rsidP="004835F8">
      <w:pPr>
        <w:pStyle w:val="NormalPara"/>
        <w:rPr>
          <w:i/>
          <w:iCs/>
          <w:noProof/>
          <w:lang w:val="en-GB"/>
        </w:rPr>
      </w:pPr>
      <w:r w:rsidRPr="00881BC8">
        <w:rPr>
          <w:noProof/>
          <w:lang w:val="en-GB"/>
        </w:rPr>
        <w:t xml:space="preserve">The first measure proposed under </w:t>
      </w:r>
      <w:r w:rsidRPr="00881BC8">
        <w:rPr>
          <w:b/>
          <w:bCs/>
          <w:noProof/>
          <w:lang w:val="en-GB"/>
        </w:rPr>
        <w:t xml:space="preserve">policy options 2a (PO2a) and 2b (PO2b) </w:t>
      </w:r>
      <w:r w:rsidRPr="00881BC8">
        <w:rPr>
          <w:noProof/>
          <w:lang w:val="en-GB"/>
        </w:rPr>
        <w:t>consists in removing the current ‘entitlement’ to interests and compensation</w:t>
      </w:r>
      <w:r w:rsidR="000C311F" w:rsidRPr="00881BC8">
        <w:rPr>
          <w:noProof/>
          <w:lang w:val="en-GB"/>
        </w:rPr>
        <w:t xml:space="preserve"> fee</w:t>
      </w:r>
      <w:r w:rsidRPr="00881BC8">
        <w:rPr>
          <w:noProof/>
          <w:lang w:val="en-GB"/>
        </w:rPr>
        <w:t xml:space="preserve">s and making </w:t>
      </w:r>
      <w:r w:rsidR="000C311F" w:rsidRPr="00881BC8">
        <w:rPr>
          <w:noProof/>
          <w:lang w:val="en-GB"/>
        </w:rPr>
        <w:t xml:space="preserve">their payment </w:t>
      </w:r>
      <w:r w:rsidRPr="00881BC8">
        <w:rPr>
          <w:noProof/>
          <w:lang w:val="en-GB"/>
        </w:rPr>
        <w:t xml:space="preserve">legally automatic (see glossary). This means that businesses and public authorities, if they do not comply with the statutory payment terms or the terms agreed in the contract, shall be legally obliged to pay interests and flat fee compensations. Any negotiation, practice or clause to the contrary would be a violation of the rules. According to this measure, the only legal way to avoid paying interest and compensations is paying on time. Furthermore, it will be clarified that </w:t>
      </w:r>
      <w:r w:rsidR="000B358C" w:rsidRPr="00881BC8">
        <w:rPr>
          <w:noProof/>
          <w:lang w:val="en-GB"/>
        </w:rPr>
        <w:t xml:space="preserve">interests continue accruing until </w:t>
      </w:r>
      <w:r w:rsidRPr="00881BC8">
        <w:rPr>
          <w:noProof/>
          <w:lang w:val="en-GB"/>
        </w:rPr>
        <w:t>the legal obligation to pay is extinguished</w:t>
      </w:r>
      <w:r w:rsidR="000B358C" w:rsidRPr="00881BC8">
        <w:rPr>
          <w:noProof/>
          <w:lang w:val="en-GB"/>
        </w:rPr>
        <w:t xml:space="preserve"> (see court case </w:t>
      </w:r>
      <w:r w:rsidR="00A824C5" w:rsidRPr="00881BC8">
        <w:rPr>
          <w:noProof/>
          <w:lang w:val="en-GB"/>
        </w:rPr>
        <w:t xml:space="preserve">C-256/15 in </w:t>
      </w:r>
      <w:r w:rsidR="00A824C5" w:rsidRPr="00881BC8">
        <w:rPr>
          <w:noProof/>
          <w:lang w:val="en-GB"/>
        </w:rPr>
        <w:fldChar w:fldCharType="begin"/>
      </w:r>
      <w:r w:rsidR="00A824C5" w:rsidRPr="00881BC8">
        <w:rPr>
          <w:noProof/>
          <w:lang w:val="en-GB"/>
        </w:rPr>
        <w:instrText xml:space="preserve"> REF Annex11 \h </w:instrText>
      </w:r>
      <w:r w:rsidR="00A824C5" w:rsidRPr="00881BC8">
        <w:rPr>
          <w:noProof/>
          <w:lang w:val="en-GB"/>
        </w:rPr>
      </w:r>
      <w:r w:rsidR="00A824C5" w:rsidRPr="00881BC8">
        <w:rPr>
          <w:noProof/>
          <w:lang w:val="en-GB"/>
        </w:rPr>
        <w:fldChar w:fldCharType="separate"/>
      </w:r>
      <w:r w:rsidR="005851F4" w:rsidRPr="00881BC8">
        <w:rPr>
          <w:noProof/>
        </w:rPr>
        <w:t>Annex 11</w:t>
      </w:r>
      <w:r w:rsidR="00A824C5" w:rsidRPr="00881BC8">
        <w:rPr>
          <w:noProof/>
          <w:lang w:val="en-GB"/>
        </w:rPr>
        <w:fldChar w:fldCharType="end"/>
      </w:r>
      <w:r w:rsidR="00A824C5" w:rsidRPr="00881BC8">
        <w:rPr>
          <w:noProof/>
          <w:lang w:val="en-GB"/>
        </w:rPr>
        <w:t>)</w:t>
      </w:r>
      <w:r w:rsidRPr="00881BC8">
        <w:rPr>
          <w:noProof/>
          <w:lang w:val="en-GB"/>
        </w:rPr>
        <w:t xml:space="preserve">. </w:t>
      </w:r>
    </w:p>
    <w:p w14:paraId="5AAFF806" w14:textId="77777777" w:rsidR="00D84E96" w:rsidRPr="00881BC8" w:rsidRDefault="00D84E96" w:rsidP="004835F8">
      <w:pPr>
        <w:pStyle w:val="NormalPara"/>
        <w:rPr>
          <w:noProof/>
          <w:lang w:val="en-GB"/>
        </w:rPr>
      </w:pPr>
      <w:bookmarkStart w:id="316" w:name="_Ref131153515"/>
      <w:r w:rsidRPr="00881BC8">
        <w:rPr>
          <w:noProof/>
          <w:lang w:val="en-GB"/>
        </w:rPr>
        <w:t xml:space="preserve">The subsequent set of measures consist in increasing the efficacy of the late payment compensation by exploring whether they should be adapted to inflation or not, and, for the EUR 40 flat fee compensation, whether introducing a staggered value according to the value of the invoice (as in the original proposal for the LPD, and as applied in Ireland and Poland) would be an effective solution or should the fee be revised to EUR 50 to account for past inflation. </w:t>
      </w:r>
    </w:p>
    <w:p w14:paraId="2BCADE17" w14:textId="7268D985" w:rsidR="00D84E96" w:rsidRPr="00881BC8" w:rsidRDefault="00D84E96" w:rsidP="004835F8">
      <w:pPr>
        <w:pStyle w:val="NormalPara"/>
        <w:rPr>
          <w:noProof/>
          <w:lang w:val="en-GB"/>
        </w:rPr>
      </w:pPr>
      <w:r w:rsidRPr="00881BC8">
        <w:rPr>
          <w:noProof/>
          <w:lang w:val="en-GB"/>
        </w:rPr>
        <w:t>Enforcement is a key issue identified in the drivers, which was neither addressed in Directive 2000/35/EC nor in the LPD. The EP Resolution 2021 recalled in this respect that the (then) ‘proposal for a directive on unfair trading practices in business-to-business relationships in the food supply chain (</w:t>
      </w:r>
      <w:hyperlink r:id="rId50">
        <w:r w:rsidRPr="00881BC8">
          <w:rPr>
            <w:noProof/>
            <w:lang w:val="en-GB"/>
          </w:rPr>
          <w:t>COM(2018)0173</w:t>
        </w:r>
      </w:hyperlink>
      <w:r w:rsidRPr="00881BC8">
        <w:rPr>
          <w:noProof/>
          <w:lang w:val="en-GB"/>
        </w:rPr>
        <w:t xml:space="preserve">) includes provisions on late payments […] and the designation by Member States of an enforcement authority to monitor compliance with the rules.’ PO2a and PO2b differ in the degree of powers they entrust to the enforcement body. </w:t>
      </w:r>
    </w:p>
    <w:p w14:paraId="0671319F" w14:textId="77777777" w:rsidR="00D84E96" w:rsidRPr="00881BC8" w:rsidRDefault="00D84E96" w:rsidP="004835F8">
      <w:pPr>
        <w:pStyle w:val="NormalPara"/>
        <w:rPr>
          <w:noProof/>
          <w:lang w:val="en-GB"/>
        </w:rPr>
      </w:pPr>
      <w:r w:rsidRPr="00881BC8">
        <w:rPr>
          <w:noProof/>
          <w:lang w:val="en-GB"/>
        </w:rPr>
        <w:t>Fostering better synergies with other EU policies, e.g. on public procurement, can strengthen the enforcement of the obligation to pay on time. The 1995 Recommendation and the 2019 EP Resolution indicated specific measures to ensure this synergy. This measure was inspired by the recently introduced Spanish legislation ‘Crea y Crece’</w:t>
      </w:r>
      <w:r w:rsidRPr="00881BC8">
        <w:rPr>
          <w:rStyle w:val="FootnoteReference"/>
          <w:rFonts w:eastAsia="Times New Roman"/>
          <w:noProof/>
          <w:lang w:val="en-GB"/>
        </w:rPr>
        <w:footnoteReference w:id="89"/>
      </w:r>
      <w:r w:rsidRPr="00881BC8">
        <w:rPr>
          <w:noProof/>
          <w:lang w:val="en-GB"/>
        </w:rPr>
        <w:t xml:space="preserve"> and is without prejudice to trade confidentiality agreements that might exist between main contractor and subcontractors. </w:t>
      </w:r>
    </w:p>
    <w:p w14:paraId="5CA080D6" w14:textId="457466DC" w:rsidR="00C779CA" w:rsidRPr="00881BC8" w:rsidRDefault="00C779CA" w:rsidP="002F76D9">
      <w:pPr>
        <w:pStyle w:val="Caption"/>
        <w:rPr>
          <w:noProof/>
          <w:lang w:val="en-GB"/>
        </w:rPr>
      </w:pPr>
      <w:bookmarkStart w:id="317" w:name="_Ref131765743"/>
      <w:r w:rsidRPr="00881BC8">
        <w:rPr>
          <w:noProof/>
          <w:lang w:val="en-GB"/>
        </w:rPr>
        <w:t xml:space="preserve">Table </w:t>
      </w:r>
      <w:r w:rsidR="005851F4">
        <w:rPr>
          <w:noProof/>
          <w:lang w:val="en-GB"/>
        </w:rPr>
        <w:t>2</w:t>
      </w:r>
      <w:bookmarkEnd w:id="316"/>
      <w:bookmarkEnd w:id="317"/>
      <w:r w:rsidRPr="00881BC8">
        <w:rPr>
          <w:noProof/>
          <w:lang w:val="en-GB"/>
        </w:rPr>
        <w:t>: Policy option 2</w:t>
      </w:r>
    </w:p>
    <w:tbl>
      <w:tblPr>
        <w:tblStyle w:val="TableGrid1"/>
        <w:tblpPr w:leftFromText="181" w:rightFromText="181" w:bottomFromText="142" w:vertAnchor="text" w:tblpY="1"/>
        <w:tblOverlap w:val="never"/>
        <w:tblW w:w="9072" w:type="dxa"/>
        <w:tblLook w:val="04A0" w:firstRow="1" w:lastRow="0" w:firstColumn="1" w:lastColumn="0" w:noHBand="0" w:noVBand="1"/>
      </w:tblPr>
      <w:tblGrid>
        <w:gridCol w:w="3706"/>
        <w:gridCol w:w="2669"/>
        <w:gridCol w:w="2697"/>
      </w:tblGrid>
      <w:tr w:rsidR="3E23C2DB" w:rsidRPr="00881BC8" w14:paraId="2D5EEEDE" w14:textId="77777777" w:rsidTr="00E83577">
        <w:trPr>
          <w:trHeight w:val="300"/>
          <w:tblHeader/>
        </w:trPr>
        <w:tc>
          <w:tcPr>
            <w:tcW w:w="14737" w:type="dxa"/>
            <w:gridSpan w:val="3"/>
          </w:tcPr>
          <w:p w14:paraId="4B79242E" w14:textId="708F5086" w:rsidR="6167FF82" w:rsidRPr="00881BC8" w:rsidRDefault="6167FF82" w:rsidP="00E83577">
            <w:pPr>
              <w:spacing w:after="120"/>
              <w:contextualSpacing/>
              <w:jc w:val="center"/>
              <w:rPr>
                <w:b/>
                <w:bCs/>
                <w:noProof/>
                <w:sz w:val="20"/>
                <w:szCs w:val="20"/>
                <w:lang w:val="en-GB"/>
              </w:rPr>
            </w:pPr>
            <w:r w:rsidRPr="00881BC8">
              <w:rPr>
                <w:b/>
                <w:bCs/>
                <w:noProof/>
                <w:sz w:val="20"/>
                <w:szCs w:val="20"/>
                <w:lang w:val="en-GB"/>
              </w:rPr>
              <w:t xml:space="preserve">Make timely payments happen </w:t>
            </w:r>
          </w:p>
        </w:tc>
      </w:tr>
      <w:tr w:rsidR="00842F6C" w:rsidRPr="00881BC8" w14:paraId="3C2151DF" w14:textId="77777777" w:rsidTr="00E83577">
        <w:trPr>
          <w:trHeight w:val="300"/>
          <w:tblHeader/>
        </w:trPr>
        <w:tc>
          <w:tcPr>
            <w:tcW w:w="6374" w:type="dxa"/>
          </w:tcPr>
          <w:p w14:paraId="20C64CB7" w14:textId="518A8497" w:rsidR="00842F6C" w:rsidRPr="00881BC8" w:rsidRDefault="00842F6C" w:rsidP="00E83577">
            <w:pPr>
              <w:spacing w:after="120"/>
              <w:contextualSpacing/>
              <w:rPr>
                <w:b/>
                <w:bCs/>
                <w:noProof/>
                <w:sz w:val="20"/>
                <w:szCs w:val="20"/>
                <w:lang w:val="en-GB"/>
              </w:rPr>
            </w:pPr>
            <w:r w:rsidRPr="00881BC8">
              <w:rPr>
                <w:b/>
                <w:bCs/>
                <w:noProof/>
                <w:sz w:val="20"/>
                <w:szCs w:val="20"/>
                <w:lang w:val="en-GB"/>
              </w:rPr>
              <w:t>Baseline</w:t>
            </w:r>
          </w:p>
        </w:tc>
        <w:tc>
          <w:tcPr>
            <w:tcW w:w="4181" w:type="dxa"/>
          </w:tcPr>
          <w:p w14:paraId="4548DF5D" w14:textId="087E8F79" w:rsidR="00842F6C" w:rsidRPr="00881BC8" w:rsidRDefault="00842F6C" w:rsidP="00E83577">
            <w:pPr>
              <w:tabs>
                <w:tab w:val="left" w:pos="170"/>
              </w:tabs>
              <w:spacing w:after="120"/>
              <w:contextualSpacing/>
              <w:rPr>
                <w:b/>
                <w:i/>
                <w:noProof/>
                <w:sz w:val="20"/>
                <w:szCs w:val="20"/>
                <w:lang w:val="en-GB"/>
              </w:rPr>
            </w:pPr>
            <w:r w:rsidRPr="00881BC8">
              <w:rPr>
                <w:b/>
                <w:bCs/>
                <w:noProof/>
                <w:sz w:val="20"/>
                <w:szCs w:val="20"/>
                <w:lang w:val="en-GB"/>
              </w:rPr>
              <w:t>2a</w:t>
            </w:r>
            <w:r w:rsidRPr="00881BC8">
              <w:rPr>
                <w:b/>
                <w:i/>
                <w:noProof/>
                <w:sz w:val="20"/>
                <w:szCs w:val="20"/>
                <w:lang w:val="en-GB"/>
              </w:rPr>
              <w:t xml:space="preserve"> </w:t>
            </w:r>
          </w:p>
        </w:tc>
        <w:tc>
          <w:tcPr>
            <w:tcW w:w="4182" w:type="dxa"/>
          </w:tcPr>
          <w:p w14:paraId="0064F540" w14:textId="1E6114FB" w:rsidR="00842F6C" w:rsidRPr="00881BC8" w:rsidRDefault="00842F6C" w:rsidP="00E83577">
            <w:pPr>
              <w:spacing w:after="120"/>
              <w:contextualSpacing/>
              <w:rPr>
                <w:b/>
                <w:bCs/>
                <w:noProof/>
                <w:sz w:val="20"/>
                <w:szCs w:val="20"/>
                <w:lang w:val="en-GB"/>
              </w:rPr>
            </w:pPr>
            <w:r w:rsidRPr="00881BC8">
              <w:rPr>
                <w:b/>
                <w:bCs/>
                <w:noProof/>
                <w:sz w:val="20"/>
                <w:szCs w:val="20"/>
                <w:lang w:val="en-GB"/>
              </w:rPr>
              <w:t xml:space="preserve">2b </w:t>
            </w:r>
          </w:p>
        </w:tc>
      </w:tr>
      <w:tr w:rsidR="00CF43E4" w:rsidRPr="00881BC8" w14:paraId="1F440A5E" w14:textId="43819E6D" w:rsidTr="00E83577">
        <w:trPr>
          <w:trHeight w:val="300"/>
        </w:trPr>
        <w:tc>
          <w:tcPr>
            <w:tcW w:w="6374" w:type="dxa"/>
            <w:vMerge w:val="restart"/>
          </w:tcPr>
          <w:p w14:paraId="4E3CD84B" w14:textId="5F821B5E" w:rsidR="00CF43E4" w:rsidRPr="00881BC8" w:rsidRDefault="00CF43E4" w:rsidP="00E83577">
            <w:pPr>
              <w:tabs>
                <w:tab w:val="left" w:pos="170"/>
              </w:tabs>
              <w:spacing w:after="120"/>
              <w:contextualSpacing/>
              <w:rPr>
                <w:noProof/>
                <w:sz w:val="20"/>
                <w:szCs w:val="20"/>
                <w:lang w:val="en-GB"/>
              </w:rPr>
            </w:pPr>
            <w:r w:rsidRPr="00881BC8">
              <w:rPr>
                <w:noProof/>
                <w:sz w:val="20"/>
                <w:szCs w:val="20"/>
                <w:lang w:val="en-GB"/>
              </w:rPr>
              <w:t xml:space="preserve">Under the current provisions, the creditor is not obliged to claim interests and compensations. This has led to adoption of national schemes, private practices and clauses whereby payment (even delayed payment) is made conditional upon the creditors’ waiver of their rights to claim interests and compensations. In this way the LPD will continue to be deprived of its sole sanctioning tool, and deterrents will continue to be circumvented. </w:t>
            </w:r>
            <w:r w:rsidR="15C0C06A" w:rsidRPr="00881BC8">
              <w:rPr>
                <w:noProof/>
                <w:sz w:val="20"/>
                <w:szCs w:val="20"/>
                <w:lang w:val="en-GB"/>
              </w:rPr>
              <w:t xml:space="preserve">More than </w:t>
            </w:r>
            <w:r w:rsidR="75360AD7" w:rsidRPr="00881BC8">
              <w:rPr>
                <w:noProof/>
                <w:sz w:val="20"/>
                <w:szCs w:val="20"/>
                <w:lang w:val="en-GB"/>
              </w:rPr>
              <w:t>70</w:t>
            </w:r>
            <w:r w:rsidR="5AB186CF" w:rsidRPr="00881BC8">
              <w:rPr>
                <w:noProof/>
                <w:sz w:val="20"/>
                <w:szCs w:val="20"/>
                <w:lang w:val="en-GB"/>
              </w:rPr>
              <w:t>%</w:t>
            </w:r>
            <w:r w:rsidR="15C0C06A" w:rsidRPr="00881BC8">
              <w:rPr>
                <w:noProof/>
                <w:sz w:val="20"/>
                <w:szCs w:val="20"/>
                <w:lang w:val="en-GB"/>
              </w:rPr>
              <w:t xml:space="preserve"> of businesses never claim interests and compensations when paid late.</w:t>
            </w:r>
            <w:r w:rsidR="002E552C" w:rsidRPr="00881BC8">
              <w:rPr>
                <w:noProof/>
                <w:sz w:val="20"/>
                <w:szCs w:val="20"/>
                <w:lang w:val="en-GB"/>
              </w:rPr>
              <w:t xml:space="preserve"> </w:t>
            </w:r>
          </w:p>
          <w:p w14:paraId="6E9E0A64" w14:textId="544C373E" w:rsidR="00CF43E4" w:rsidRPr="00881BC8" w:rsidRDefault="4A4D3724" w:rsidP="00E83577">
            <w:pPr>
              <w:tabs>
                <w:tab w:val="left" w:pos="170"/>
              </w:tabs>
              <w:spacing w:after="120"/>
              <w:contextualSpacing/>
              <w:rPr>
                <w:noProof/>
                <w:sz w:val="20"/>
                <w:szCs w:val="20"/>
                <w:lang w:val="en-GB"/>
              </w:rPr>
            </w:pPr>
            <w:r w:rsidRPr="00881BC8">
              <w:rPr>
                <w:noProof/>
                <w:sz w:val="20"/>
                <w:szCs w:val="20"/>
                <w:lang w:val="en-GB"/>
              </w:rPr>
              <w:t xml:space="preserve">The application of the </w:t>
            </w:r>
            <w:r w:rsidR="00A824C5" w:rsidRPr="00881BC8">
              <w:rPr>
                <w:noProof/>
                <w:sz w:val="20"/>
                <w:szCs w:val="20"/>
                <w:lang w:val="en-GB"/>
              </w:rPr>
              <w:t xml:space="preserve">EUR </w:t>
            </w:r>
            <w:r w:rsidRPr="00881BC8">
              <w:rPr>
                <w:noProof/>
                <w:sz w:val="20"/>
                <w:szCs w:val="20"/>
                <w:lang w:val="en-GB"/>
              </w:rPr>
              <w:t xml:space="preserve">40 compensation for recovery costs has proven to be very difficult since the entering into force of the LPD. </w:t>
            </w:r>
            <w:r w:rsidR="00C779CA" w:rsidRPr="00881BC8">
              <w:rPr>
                <w:noProof/>
                <w:sz w:val="20"/>
                <w:szCs w:val="20"/>
                <w:lang w:val="en-GB"/>
              </w:rPr>
              <w:t>O</w:t>
            </w:r>
            <w:r w:rsidR="48EA7041" w:rsidRPr="00881BC8">
              <w:rPr>
                <w:noProof/>
                <w:sz w:val="20"/>
                <w:szCs w:val="20"/>
                <w:lang w:val="en-GB"/>
              </w:rPr>
              <w:t>nly</w:t>
            </w:r>
            <w:r w:rsidRPr="00881BC8">
              <w:rPr>
                <w:noProof/>
                <w:sz w:val="20"/>
                <w:szCs w:val="20"/>
                <w:lang w:val="en-GB"/>
              </w:rPr>
              <w:t xml:space="preserve"> recently </w:t>
            </w:r>
            <w:r w:rsidR="00C779CA" w:rsidRPr="00881BC8">
              <w:rPr>
                <w:noProof/>
                <w:sz w:val="20"/>
                <w:szCs w:val="20"/>
                <w:lang w:val="en-GB"/>
              </w:rPr>
              <w:t xml:space="preserve">has </w:t>
            </w:r>
            <w:r w:rsidRPr="00881BC8">
              <w:rPr>
                <w:noProof/>
                <w:sz w:val="20"/>
                <w:szCs w:val="20"/>
                <w:lang w:val="en-GB"/>
              </w:rPr>
              <w:t>the ECJ clarified that this compensation applies to each invoice for which late payment interests are claimed</w:t>
            </w:r>
            <w:r w:rsidR="00E9590F" w:rsidRPr="00881BC8">
              <w:rPr>
                <w:noProof/>
                <w:sz w:val="20"/>
                <w:szCs w:val="20"/>
                <w:lang w:val="en-GB"/>
              </w:rPr>
              <w:t>.</w:t>
            </w:r>
            <w:r w:rsidRPr="00881BC8">
              <w:rPr>
                <w:noProof/>
                <w:sz w:val="20"/>
                <w:szCs w:val="20"/>
                <w:lang w:val="en-GB"/>
              </w:rPr>
              <w:t xml:space="preserve"> </w:t>
            </w:r>
          </w:p>
        </w:tc>
        <w:tc>
          <w:tcPr>
            <w:tcW w:w="8363" w:type="dxa"/>
            <w:gridSpan w:val="2"/>
          </w:tcPr>
          <w:p w14:paraId="0F9AD1B9" w14:textId="47403D21" w:rsidR="33959503" w:rsidRPr="00881BC8" w:rsidRDefault="33959503" w:rsidP="00E83577">
            <w:pPr>
              <w:tabs>
                <w:tab w:val="left" w:pos="170"/>
              </w:tabs>
              <w:spacing w:after="120"/>
              <w:contextualSpacing/>
              <w:rPr>
                <w:b/>
                <w:noProof/>
                <w:sz w:val="20"/>
                <w:szCs w:val="20"/>
                <w:lang w:val="en-GB"/>
              </w:rPr>
            </w:pPr>
            <w:r w:rsidRPr="00881BC8">
              <w:rPr>
                <w:noProof/>
                <w:sz w:val="20"/>
                <w:szCs w:val="20"/>
                <w:lang w:val="en-GB"/>
              </w:rPr>
              <w:t>Making payment of interests automatic (eliminate</w:t>
            </w:r>
            <w:r w:rsidR="6B1853ED" w:rsidRPr="00881BC8">
              <w:rPr>
                <w:noProof/>
                <w:sz w:val="20"/>
                <w:szCs w:val="20"/>
                <w:lang w:val="en-GB"/>
              </w:rPr>
              <w:t xml:space="preserve"> the concept of </w:t>
            </w:r>
            <w:r w:rsidR="00303DFA" w:rsidRPr="00881BC8">
              <w:rPr>
                <w:noProof/>
                <w:sz w:val="20"/>
                <w:szCs w:val="20"/>
                <w:lang w:val="en-GB"/>
              </w:rPr>
              <w:t>‘</w:t>
            </w:r>
            <w:r w:rsidRPr="00881BC8">
              <w:rPr>
                <w:noProof/>
                <w:sz w:val="20"/>
                <w:szCs w:val="20"/>
                <w:lang w:val="en-GB"/>
              </w:rPr>
              <w:t>entitlement</w:t>
            </w:r>
            <w:r w:rsidR="00303DFA" w:rsidRPr="00881BC8">
              <w:rPr>
                <w:noProof/>
                <w:sz w:val="20"/>
                <w:szCs w:val="20"/>
                <w:lang w:val="en-GB"/>
              </w:rPr>
              <w:t>’</w:t>
            </w:r>
            <w:r w:rsidRPr="00881BC8">
              <w:rPr>
                <w:noProof/>
                <w:sz w:val="20"/>
                <w:szCs w:val="20"/>
                <w:lang w:val="en-GB"/>
              </w:rPr>
              <w:t xml:space="preserve">) </w:t>
            </w:r>
            <w:r w:rsidR="4C3C5E82" w:rsidRPr="00881BC8">
              <w:rPr>
                <w:noProof/>
                <w:sz w:val="20"/>
                <w:szCs w:val="20"/>
                <w:lang w:val="en-GB"/>
              </w:rPr>
              <w:t xml:space="preserve">and clarify the </w:t>
            </w:r>
            <w:r w:rsidR="00303DFA" w:rsidRPr="00881BC8">
              <w:rPr>
                <w:b/>
                <w:bCs/>
                <w:noProof/>
                <w:sz w:val="20"/>
                <w:szCs w:val="20"/>
                <w:lang w:val="en-GB"/>
              </w:rPr>
              <w:t>‘</w:t>
            </w:r>
            <w:r w:rsidR="4C3C5E82" w:rsidRPr="00881BC8">
              <w:rPr>
                <w:b/>
                <w:bCs/>
                <w:i/>
                <w:iCs/>
                <w:noProof/>
                <w:sz w:val="20"/>
                <w:szCs w:val="20"/>
                <w:lang w:val="en-GB"/>
              </w:rPr>
              <w:t>dies ad quem</w:t>
            </w:r>
            <w:r w:rsidR="00303DFA" w:rsidRPr="00881BC8">
              <w:rPr>
                <w:b/>
                <w:bCs/>
                <w:noProof/>
                <w:sz w:val="20"/>
                <w:szCs w:val="20"/>
                <w:lang w:val="en-GB"/>
              </w:rPr>
              <w:t>’</w:t>
            </w:r>
            <w:r w:rsidR="4C3C5E82" w:rsidRPr="00881BC8">
              <w:rPr>
                <w:noProof/>
                <w:sz w:val="20"/>
                <w:szCs w:val="20"/>
                <w:lang w:val="en-GB"/>
              </w:rPr>
              <w:t xml:space="preserve"> </w:t>
            </w:r>
            <w:r w:rsidR="00D24C1C" w:rsidRPr="00881BC8">
              <w:rPr>
                <w:noProof/>
                <w:sz w:val="20"/>
                <w:szCs w:val="20"/>
                <w:lang w:val="en-GB"/>
              </w:rPr>
              <w:t>and making payment of the flat fee compensation automatic</w:t>
            </w:r>
          </w:p>
        </w:tc>
      </w:tr>
      <w:tr w:rsidR="00CF43E4" w:rsidRPr="00881BC8" w14:paraId="28E75C75" w14:textId="662DB841" w:rsidTr="00E83577">
        <w:trPr>
          <w:trHeight w:val="300"/>
        </w:trPr>
        <w:tc>
          <w:tcPr>
            <w:tcW w:w="6374" w:type="dxa"/>
            <w:vMerge/>
          </w:tcPr>
          <w:p w14:paraId="104E7CB6" w14:textId="1FDC486C" w:rsidR="00CF43E4" w:rsidRPr="00881BC8" w:rsidRDefault="00CF43E4" w:rsidP="00E83577">
            <w:pPr>
              <w:tabs>
                <w:tab w:val="left" w:pos="170"/>
              </w:tabs>
              <w:spacing w:after="120"/>
              <w:contextualSpacing/>
              <w:rPr>
                <w:noProof/>
                <w:sz w:val="20"/>
                <w:szCs w:val="20"/>
                <w:lang w:val="en-GB"/>
              </w:rPr>
            </w:pPr>
          </w:p>
        </w:tc>
        <w:tc>
          <w:tcPr>
            <w:tcW w:w="4181" w:type="dxa"/>
          </w:tcPr>
          <w:p w14:paraId="2E130D50" w14:textId="3DE597A7" w:rsidR="00CF43E4" w:rsidRPr="00881BC8" w:rsidRDefault="00495E35" w:rsidP="00E83577">
            <w:pPr>
              <w:tabs>
                <w:tab w:val="left" w:pos="170"/>
              </w:tabs>
              <w:spacing w:after="120"/>
              <w:contextualSpacing/>
              <w:rPr>
                <w:b/>
                <w:bCs/>
                <w:noProof/>
                <w:sz w:val="20"/>
                <w:szCs w:val="20"/>
                <w:lang w:val="en-GB"/>
              </w:rPr>
            </w:pPr>
            <w:r w:rsidRPr="00881BC8">
              <w:rPr>
                <w:noProof/>
                <w:sz w:val="20"/>
                <w:szCs w:val="20"/>
                <w:lang w:val="en-GB"/>
              </w:rPr>
              <w:t>Leave the rate of interests for late payment as such (ECB+8%) but</w:t>
            </w:r>
            <w:r w:rsidRPr="00881BC8">
              <w:rPr>
                <w:b/>
                <w:bCs/>
                <w:noProof/>
                <w:sz w:val="20"/>
                <w:szCs w:val="20"/>
                <w:lang w:val="en-GB"/>
              </w:rPr>
              <w:t xml:space="preserve"> adapt the flat fee compensation to inflation</w:t>
            </w:r>
            <w:r w:rsidRPr="00881BC8" w:rsidDel="00495E35">
              <w:rPr>
                <w:noProof/>
                <w:sz w:val="20"/>
                <w:szCs w:val="20"/>
                <w:lang w:val="en-GB"/>
              </w:rPr>
              <w:t xml:space="preserve"> </w:t>
            </w:r>
            <w:r w:rsidR="008F6F26" w:rsidRPr="00881BC8">
              <w:rPr>
                <w:noProof/>
                <w:sz w:val="20"/>
                <w:szCs w:val="20"/>
                <w:lang w:val="en-GB"/>
              </w:rPr>
              <w:t>(one time adaptation, to EUR 50)</w:t>
            </w:r>
            <w:r w:rsidR="3B11A964" w:rsidRPr="00881BC8">
              <w:rPr>
                <w:b/>
                <w:bCs/>
                <w:noProof/>
                <w:sz w:val="20"/>
                <w:szCs w:val="20"/>
                <w:lang w:val="en-GB"/>
              </w:rPr>
              <w:t xml:space="preserve"> </w:t>
            </w:r>
          </w:p>
        </w:tc>
        <w:tc>
          <w:tcPr>
            <w:tcW w:w="4182" w:type="dxa"/>
          </w:tcPr>
          <w:p w14:paraId="69672E2D" w14:textId="77777777" w:rsidR="00495E35" w:rsidRPr="00881BC8" w:rsidRDefault="00495E35" w:rsidP="00E83577">
            <w:pPr>
              <w:tabs>
                <w:tab w:val="left" w:pos="170"/>
              </w:tabs>
              <w:spacing w:after="120"/>
              <w:contextualSpacing/>
              <w:rPr>
                <w:noProof/>
                <w:sz w:val="20"/>
                <w:szCs w:val="20"/>
                <w:lang w:val="en-GB"/>
              </w:rPr>
            </w:pPr>
            <w:r w:rsidRPr="00881BC8">
              <w:rPr>
                <w:noProof/>
                <w:sz w:val="20"/>
                <w:szCs w:val="20"/>
                <w:lang w:val="en-GB"/>
              </w:rPr>
              <w:t xml:space="preserve">Leave the rate of interests for late payment as such (ECB+8% - no change) but for the </w:t>
            </w:r>
            <w:r w:rsidRPr="00881BC8">
              <w:rPr>
                <w:b/>
                <w:bCs/>
                <w:noProof/>
                <w:sz w:val="20"/>
                <w:szCs w:val="20"/>
                <w:lang w:val="en-GB"/>
              </w:rPr>
              <w:t>flat fee compensation</w:t>
            </w:r>
            <w:r w:rsidRPr="00881BC8">
              <w:rPr>
                <w:noProof/>
                <w:sz w:val="20"/>
                <w:szCs w:val="20"/>
                <w:lang w:val="en-GB"/>
              </w:rPr>
              <w:t>, reintroduce a:</w:t>
            </w:r>
          </w:p>
          <w:p w14:paraId="3663638B" w14:textId="77777777" w:rsidR="00495E35" w:rsidRPr="00881BC8" w:rsidRDefault="00495E35" w:rsidP="00E83577">
            <w:pPr>
              <w:tabs>
                <w:tab w:val="left" w:pos="170"/>
              </w:tabs>
              <w:spacing w:after="120"/>
              <w:contextualSpacing/>
              <w:rPr>
                <w:noProof/>
                <w:sz w:val="20"/>
                <w:szCs w:val="20"/>
                <w:lang w:val="en-GB"/>
              </w:rPr>
            </w:pPr>
          </w:p>
          <w:p w14:paraId="1DEE9441" w14:textId="30DC0DE8" w:rsidR="00495E35" w:rsidRPr="00881BC8" w:rsidRDefault="00495E35" w:rsidP="00E83577">
            <w:pPr>
              <w:tabs>
                <w:tab w:val="left" w:pos="170"/>
              </w:tabs>
              <w:spacing w:after="120"/>
              <w:contextualSpacing/>
              <w:rPr>
                <w:noProof/>
                <w:sz w:val="20"/>
                <w:szCs w:val="20"/>
                <w:lang w:val="en-GB"/>
              </w:rPr>
            </w:pPr>
            <w:r w:rsidRPr="00881BC8">
              <w:rPr>
                <w:noProof/>
                <w:sz w:val="20"/>
                <w:szCs w:val="20"/>
                <w:lang w:val="en-GB"/>
              </w:rPr>
              <w:t>40 EUR for debts up to 1,000 EUR</w:t>
            </w:r>
          </w:p>
          <w:p w14:paraId="64BA4366" w14:textId="050E4597" w:rsidR="00495E35" w:rsidRPr="00881BC8" w:rsidRDefault="00495E35" w:rsidP="00E83577">
            <w:pPr>
              <w:tabs>
                <w:tab w:val="left" w:pos="170"/>
              </w:tabs>
              <w:spacing w:after="120"/>
              <w:contextualSpacing/>
              <w:rPr>
                <w:noProof/>
                <w:sz w:val="20"/>
                <w:szCs w:val="20"/>
                <w:lang w:val="en-GB"/>
              </w:rPr>
            </w:pPr>
            <w:r w:rsidRPr="00881BC8">
              <w:rPr>
                <w:noProof/>
                <w:sz w:val="20"/>
                <w:szCs w:val="20"/>
                <w:lang w:val="en-GB"/>
              </w:rPr>
              <w:t>70 EUR for debts between 1,000 and 10,000 EUR</w:t>
            </w:r>
          </w:p>
          <w:p w14:paraId="255BA315" w14:textId="77777777" w:rsidR="00E272B3" w:rsidRPr="00881BC8" w:rsidRDefault="00495E35" w:rsidP="00E83577">
            <w:pPr>
              <w:spacing w:after="120"/>
              <w:contextualSpacing/>
              <w:rPr>
                <w:noProof/>
                <w:sz w:val="20"/>
                <w:szCs w:val="20"/>
                <w:lang w:val="en-GB"/>
              </w:rPr>
            </w:pPr>
            <w:r w:rsidRPr="00881BC8">
              <w:rPr>
                <w:noProof/>
                <w:sz w:val="20"/>
                <w:szCs w:val="20"/>
                <w:lang w:val="en-GB"/>
              </w:rPr>
              <w:t>100 EUR for debts of more than 10,000 EUR</w:t>
            </w:r>
          </w:p>
          <w:p w14:paraId="10A1C3F6" w14:textId="268DB4BE" w:rsidR="00CF43E4" w:rsidRPr="00881BC8" w:rsidRDefault="0091653A" w:rsidP="00E83577">
            <w:pPr>
              <w:spacing w:after="120"/>
              <w:contextualSpacing/>
              <w:rPr>
                <w:b/>
                <w:bCs/>
                <w:noProof/>
                <w:sz w:val="20"/>
                <w:szCs w:val="20"/>
                <w:lang w:val="en-GB"/>
              </w:rPr>
            </w:pPr>
            <w:r w:rsidRPr="00881BC8">
              <w:rPr>
                <w:b/>
                <w:bCs/>
                <w:noProof/>
                <w:sz w:val="20"/>
                <w:szCs w:val="20"/>
                <w:lang w:val="en-GB"/>
              </w:rPr>
              <w:t xml:space="preserve"> </w:t>
            </w:r>
          </w:p>
        </w:tc>
      </w:tr>
      <w:tr w:rsidR="25D786DC" w:rsidRPr="00881BC8" w14:paraId="353D4DF1" w14:textId="77777777" w:rsidTr="00E83577">
        <w:trPr>
          <w:trHeight w:val="300"/>
        </w:trPr>
        <w:tc>
          <w:tcPr>
            <w:tcW w:w="6374" w:type="dxa"/>
            <w:vMerge/>
          </w:tcPr>
          <w:p w14:paraId="758DF955" w14:textId="13B99ED9" w:rsidR="006609F6" w:rsidRPr="00881BC8" w:rsidRDefault="006609F6" w:rsidP="00E83577">
            <w:pPr>
              <w:spacing w:after="120"/>
              <w:contextualSpacing/>
              <w:rPr>
                <w:noProof/>
                <w:sz w:val="20"/>
                <w:szCs w:val="20"/>
                <w:lang w:val="en-GB"/>
              </w:rPr>
            </w:pPr>
          </w:p>
        </w:tc>
        <w:tc>
          <w:tcPr>
            <w:tcW w:w="4181" w:type="dxa"/>
          </w:tcPr>
          <w:p w14:paraId="64F5BF6F" w14:textId="77777777" w:rsidR="076D8C5B" w:rsidRPr="00881BC8" w:rsidRDefault="1A99491C" w:rsidP="00E83577">
            <w:pPr>
              <w:spacing w:after="120"/>
              <w:contextualSpacing/>
              <w:rPr>
                <w:b/>
                <w:bCs/>
                <w:noProof/>
                <w:sz w:val="20"/>
                <w:szCs w:val="20"/>
                <w:lang w:val="en-GB"/>
              </w:rPr>
            </w:pPr>
            <w:r w:rsidRPr="00881BC8">
              <w:rPr>
                <w:noProof/>
                <w:sz w:val="20"/>
                <w:szCs w:val="20"/>
                <w:lang w:val="en-GB"/>
              </w:rPr>
              <w:t xml:space="preserve">MS to </w:t>
            </w:r>
            <w:r w:rsidR="0042783F" w:rsidRPr="00881BC8">
              <w:rPr>
                <w:noProof/>
                <w:sz w:val="20"/>
                <w:szCs w:val="20"/>
                <w:lang w:val="en-GB"/>
              </w:rPr>
              <w:t>designate</w:t>
            </w:r>
            <w:r w:rsidRPr="00881BC8">
              <w:rPr>
                <w:noProof/>
                <w:sz w:val="20"/>
                <w:szCs w:val="20"/>
                <w:lang w:val="en-GB"/>
              </w:rPr>
              <w:t xml:space="preserve"> bodies </w:t>
            </w:r>
            <w:r w:rsidRPr="00881BC8">
              <w:rPr>
                <w:b/>
                <w:bCs/>
                <w:noProof/>
                <w:sz w:val="20"/>
                <w:szCs w:val="20"/>
                <w:lang w:val="en-GB"/>
              </w:rPr>
              <w:t xml:space="preserve">responsible for the enforcement of the </w:t>
            </w:r>
            <w:r w:rsidR="4DBD6265" w:rsidRPr="00881BC8">
              <w:rPr>
                <w:b/>
                <w:bCs/>
                <w:noProof/>
                <w:sz w:val="20"/>
                <w:szCs w:val="20"/>
                <w:lang w:val="en-GB"/>
              </w:rPr>
              <w:t>law</w:t>
            </w:r>
            <w:r w:rsidR="4DBD6265" w:rsidRPr="00881BC8">
              <w:rPr>
                <w:noProof/>
                <w:sz w:val="20"/>
                <w:szCs w:val="20"/>
                <w:lang w:val="en-GB"/>
              </w:rPr>
              <w:t>,</w:t>
            </w:r>
            <w:r w:rsidRPr="00881BC8">
              <w:rPr>
                <w:noProof/>
                <w:sz w:val="20"/>
                <w:szCs w:val="20"/>
                <w:lang w:val="en-GB"/>
              </w:rPr>
              <w:t xml:space="preserve"> carrying out investigations ex officio, acting on complaints, and empowered to issue administrative sanctions and </w:t>
            </w:r>
            <w:bookmarkStart w:id="318" w:name="_Hlk130306537"/>
            <w:r w:rsidRPr="00881BC8">
              <w:rPr>
                <w:noProof/>
                <w:sz w:val="20"/>
                <w:szCs w:val="20"/>
                <w:lang w:val="en-GB"/>
              </w:rPr>
              <w:t xml:space="preserve">publish the name of offenders </w:t>
            </w:r>
            <w:bookmarkEnd w:id="318"/>
            <w:r w:rsidRPr="00881BC8">
              <w:rPr>
                <w:noProof/>
                <w:sz w:val="20"/>
                <w:szCs w:val="20"/>
                <w:lang w:val="en-GB"/>
              </w:rPr>
              <w:t>(</w:t>
            </w:r>
            <w:r w:rsidR="00303DFA" w:rsidRPr="00881BC8">
              <w:rPr>
                <w:noProof/>
                <w:sz w:val="20"/>
                <w:szCs w:val="20"/>
                <w:lang w:val="en-GB"/>
              </w:rPr>
              <w:t>‘</w:t>
            </w:r>
            <w:r w:rsidRPr="00881BC8">
              <w:rPr>
                <w:noProof/>
                <w:sz w:val="20"/>
                <w:szCs w:val="20"/>
                <w:lang w:val="en-GB"/>
              </w:rPr>
              <w:t>name and shame</w:t>
            </w:r>
            <w:r w:rsidR="00303DFA" w:rsidRPr="00881BC8">
              <w:rPr>
                <w:noProof/>
                <w:sz w:val="20"/>
                <w:szCs w:val="20"/>
                <w:lang w:val="en-GB"/>
              </w:rPr>
              <w:t>’</w:t>
            </w:r>
            <w:r w:rsidRPr="00881BC8">
              <w:rPr>
                <w:noProof/>
                <w:sz w:val="20"/>
                <w:szCs w:val="20"/>
                <w:lang w:val="en-GB"/>
              </w:rPr>
              <w:t>)</w:t>
            </w:r>
            <w:r w:rsidR="019DDBE0" w:rsidRPr="00881BC8">
              <w:rPr>
                <w:noProof/>
                <w:sz w:val="20"/>
                <w:szCs w:val="20"/>
                <w:lang w:val="en-GB"/>
              </w:rPr>
              <w:t xml:space="preserve">. </w:t>
            </w:r>
            <w:r w:rsidR="019DDBE0" w:rsidRPr="00881BC8">
              <w:rPr>
                <w:b/>
                <w:bCs/>
                <w:noProof/>
                <w:sz w:val="20"/>
                <w:szCs w:val="20"/>
                <w:lang w:val="en-GB"/>
              </w:rPr>
              <w:t>Use of digital tools for more effective enforcement.</w:t>
            </w:r>
          </w:p>
          <w:p w14:paraId="4A336EF3" w14:textId="174248F6" w:rsidR="00E272B3" w:rsidRPr="00881BC8" w:rsidRDefault="00E272B3" w:rsidP="00E83577">
            <w:pPr>
              <w:spacing w:after="120"/>
              <w:contextualSpacing/>
              <w:rPr>
                <w:b/>
                <w:bCs/>
                <w:noProof/>
                <w:sz w:val="20"/>
                <w:szCs w:val="20"/>
                <w:lang w:val="en-GB"/>
              </w:rPr>
            </w:pPr>
          </w:p>
        </w:tc>
        <w:tc>
          <w:tcPr>
            <w:tcW w:w="4182" w:type="dxa"/>
          </w:tcPr>
          <w:p w14:paraId="1903C902" w14:textId="6B8F33A2" w:rsidR="25D786DC" w:rsidRPr="00881BC8" w:rsidRDefault="4F20C690" w:rsidP="00E83577">
            <w:pPr>
              <w:spacing w:after="120"/>
              <w:contextualSpacing/>
              <w:rPr>
                <w:b/>
                <w:bCs/>
                <w:noProof/>
                <w:sz w:val="20"/>
                <w:szCs w:val="20"/>
                <w:lang w:val="en-GB"/>
              </w:rPr>
            </w:pPr>
            <w:r w:rsidRPr="00881BC8">
              <w:rPr>
                <w:noProof/>
                <w:sz w:val="20"/>
                <w:szCs w:val="20"/>
                <w:lang w:val="en-GB"/>
              </w:rPr>
              <w:t xml:space="preserve">MS to </w:t>
            </w:r>
            <w:r w:rsidR="000028B1" w:rsidRPr="00881BC8">
              <w:rPr>
                <w:noProof/>
                <w:sz w:val="20"/>
                <w:szCs w:val="20"/>
                <w:lang w:val="en-GB"/>
              </w:rPr>
              <w:t>designate</w:t>
            </w:r>
            <w:r w:rsidR="00676BBD" w:rsidRPr="00881BC8">
              <w:rPr>
                <w:b/>
                <w:bCs/>
                <w:noProof/>
                <w:sz w:val="20"/>
                <w:szCs w:val="20"/>
                <w:lang w:val="en-GB"/>
              </w:rPr>
              <w:t xml:space="preserve"> </w:t>
            </w:r>
            <w:r w:rsidR="599574BB" w:rsidRPr="00881BC8">
              <w:rPr>
                <w:noProof/>
                <w:sz w:val="20"/>
                <w:szCs w:val="20"/>
                <w:lang w:val="en-GB"/>
              </w:rPr>
              <w:t>bodies</w:t>
            </w:r>
            <w:r w:rsidR="599574BB" w:rsidRPr="00881BC8">
              <w:rPr>
                <w:b/>
                <w:bCs/>
                <w:noProof/>
                <w:sz w:val="20"/>
                <w:szCs w:val="20"/>
                <w:lang w:val="en-GB"/>
              </w:rPr>
              <w:t xml:space="preserve"> monitoring </w:t>
            </w:r>
            <w:r w:rsidR="0054678A" w:rsidRPr="00881BC8">
              <w:rPr>
                <w:b/>
                <w:bCs/>
                <w:noProof/>
                <w:sz w:val="20"/>
                <w:szCs w:val="20"/>
                <w:lang w:val="en-GB"/>
              </w:rPr>
              <w:t xml:space="preserve">the </w:t>
            </w:r>
            <w:r w:rsidR="00980B6A" w:rsidRPr="00881BC8">
              <w:rPr>
                <w:b/>
                <w:bCs/>
                <w:noProof/>
                <w:sz w:val="20"/>
                <w:szCs w:val="20"/>
                <w:lang w:val="en-GB"/>
              </w:rPr>
              <w:t>application</w:t>
            </w:r>
            <w:r w:rsidR="00676BBD" w:rsidRPr="00881BC8">
              <w:rPr>
                <w:b/>
                <w:bCs/>
                <w:noProof/>
                <w:sz w:val="20"/>
                <w:szCs w:val="20"/>
                <w:lang w:val="en-GB"/>
              </w:rPr>
              <w:t xml:space="preserve"> of the </w:t>
            </w:r>
            <w:r w:rsidR="0054678A" w:rsidRPr="00881BC8">
              <w:rPr>
                <w:b/>
                <w:bCs/>
                <w:noProof/>
                <w:sz w:val="20"/>
                <w:szCs w:val="20"/>
                <w:lang w:val="en-GB"/>
              </w:rPr>
              <w:t>law</w:t>
            </w:r>
            <w:r w:rsidR="599574BB" w:rsidRPr="00881BC8">
              <w:rPr>
                <w:b/>
                <w:bCs/>
                <w:noProof/>
                <w:sz w:val="20"/>
                <w:szCs w:val="20"/>
                <w:lang w:val="en-GB"/>
              </w:rPr>
              <w:t xml:space="preserve">. </w:t>
            </w:r>
          </w:p>
        </w:tc>
      </w:tr>
      <w:tr w:rsidR="00C008D6" w:rsidRPr="00881BC8" w14:paraId="71DA0051" w14:textId="0D87FFBE" w:rsidTr="00E83577">
        <w:trPr>
          <w:trHeight w:val="300"/>
        </w:trPr>
        <w:tc>
          <w:tcPr>
            <w:tcW w:w="6374" w:type="dxa"/>
          </w:tcPr>
          <w:p w14:paraId="524D2D6B" w14:textId="1D1F1CB8" w:rsidR="00E272B3" w:rsidRPr="00881BC8" w:rsidRDefault="00C008D6" w:rsidP="00E83577">
            <w:pPr>
              <w:spacing w:after="120"/>
              <w:contextualSpacing/>
              <w:rPr>
                <w:noProof/>
                <w:sz w:val="20"/>
                <w:szCs w:val="20"/>
                <w:lang w:val="en-GB"/>
              </w:rPr>
            </w:pPr>
            <w:bookmarkStart w:id="319" w:name="_Hlk130228869"/>
            <w:r w:rsidRPr="00881BC8">
              <w:rPr>
                <w:noProof/>
                <w:sz w:val="20"/>
                <w:szCs w:val="20"/>
                <w:lang w:val="en-GB"/>
              </w:rPr>
              <w:t xml:space="preserve">Currently there are little synergies between prompt payment policy objectives and public procurement framework, although the EP stressed the need to put in place such synergies back in 2019. In fact, when contracting authorities </w:t>
            </w:r>
            <w:r w:rsidR="00365442">
              <w:rPr>
                <w:noProof/>
                <w:sz w:val="20"/>
                <w:szCs w:val="20"/>
                <w:lang w:val="en-GB"/>
              </w:rPr>
              <w:t xml:space="preserve">or contracting entities </w:t>
            </w:r>
            <w:r w:rsidRPr="00881BC8">
              <w:rPr>
                <w:noProof/>
                <w:sz w:val="20"/>
                <w:szCs w:val="20"/>
                <w:lang w:val="en-GB"/>
              </w:rPr>
              <w:t>pay their suppliers, there is no mechanism to ensure that this payment flows through the supply chains to subcontractors.</w:t>
            </w:r>
            <w:r w:rsidR="00C9280B" w:rsidRPr="00881BC8">
              <w:rPr>
                <w:noProof/>
                <w:sz w:val="20"/>
                <w:szCs w:val="20"/>
                <w:lang w:val="en-GB"/>
              </w:rPr>
              <w:t xml:space="preserve"> The public procurement Directives foresee already that contracting authorities, once the contract has been awarded, </w:t>
            </w:r>
            <w:r w:rsidR="00B17C13" w:rsidRPr="00881BC8">
              <w:rPr>
                <w:noProof/>
                <w:sz w:val="20"/>
                <w:szCs w:val="20"/>
                <w:lang w:val="en-GB"/>
              </w:rPr>
              <w:t>can</w:t>
            </w:r>
            <w:r w:rsidR="00C9280B" w:rsidRPr="00881BC8">
              <w:rPr>
                <w:noProof/>
                <w:sz w:val="20"/>
                <w:szCs w:val="20"/>
                <w:lang w:val="en-GB"/>
              </w:rPr>
              <w:t xml:space="preserve"> identify the subcontractors in the supply chain. Despite this, there is no mechanism, obligation or tool ensuring information to the subcontractors that payment has been made to the main contractor. The provisions on direct payment to subcontractors are not apt to fill this gap because they are voluntary (only 18 MS out of 27 have transposed it) and their transposition </w:t>
            </w:r>
            <w:r w:rsidR="004A6102" w:rsidRPr="00881BC8">
              <w:rPr>
                <w:noProof/>
                <w:sz w:val="20"/>
                <w:szCs w:val="20"/>
                <w:lang w:val="en-GB"/>
              </w:rPr>
              <w:t>has been varied (see Economisti study 2022)</w:t>
            </w:r>
            <w:r w:rsidR="00C9280B" w:rsidRPr="00881BC8">
              <w:rPr>
                <w:noProof/>
                <w:sz w:val="20"/>
                <w:szCs w:val="20"/>
                <w:lang w:val="en-GB"/>
              </w:rPr>
              <w:t>.</w:t>
            </w:r>
          </w:p>
        </w:tc>
        <w:tc>
          <w:tcPr>
            <w:tcW w:w="8363" w:type="dxa"/>
            <w:gridSpan w:val="2"/>
          </w:tcPr>
          <w:p w14:paraId="30A289E5" w14:textId="7D862EF9" w:rsidR="004411F1" w:rsidRPr="00881BC8" w:rsidRDefault="00122DE1" w:rsidP="00E83577">
            <w:pPr>
              <w:tabs>
                <w:tab w:val="left" w:pos="170"/>
              </w:tabs>
              <w:spacing w:after="120"/>
              <w:contextualSpacing/>
              <w:rPr>
                <w:noProof/>
                <w:sz w:val="20"/>
                <w:szCs w:val="20"/>
                <w:lang w:val="en-GB"/>
              </w:rPr>
            </w:pPr>
            <w:r w:rsidRPr="00881BC8">
              <w:rPr>
                <w:noProof/>
                <w:sz w:val="20"/>
                <w:szCs w:val="20"/>
                <w:lang w:val="en-GB"/>
              </w:rPr>
              <w:t xml:space="preserve">In public works contracts falling within the scope of the </w:t>
            </w:r>
            <w:r w:rsidR="00B47D8D" w:rsidRPr="00881BC8">
              <w:rPr>
                <w:b/>
                <w:bCs/>
                <w:noProof/>
                <w:sz w:val="20"/>
                <w:szCs w:val="20"/>
                <w:lang w:val="en-GB"/>
              </w:rPr>
              <w:t>public procurement</w:t>
            </w:r>
            <w:r w:rsidRPr="00881BC8">
              <w:rPr>
                <w:b/>
                <w:bCs/>
                <w:noProof/>
                <w:sz w:val="20"/>
                <w:szCs w:val="20"/>
                <w:lang w:val="en-GB"/>
              </w:rPr>
              <w:t xml:space="preserve"> </w:t>
            </w:r>
            <w:r w:rsidR="00B47D8D" w:rsidRPr="00881BC8">
              <w:rPr>
                <w:b/>
                <w:bCs/>
                <w:noProof/>
                <w:sz w:val="20"/>
                <w:szCs w:val="20"/>
                <w:lang w:val="en-GB"/>
              </w:rPr>
              <w:t>d</w:t>
            </w:r>
            <w:r w:rsidRPr="00881BC8">
              <w:rPr>
                <w:b/>
                <w:bCs/>
                <w:noProof/>
                <w:sz w:val="20"/>
                <w:szCs w:val="20"/>
                <w:lang w:val="en-GB"/>
              </w:rPr>
              <w:t>irectives</w:t>
            </w:r>
            <w:r w:rsidR="007F744A" w:rsidRPr="00881BC8">
              <w:rPr>
                <w:b/>
                <w:bCs/>
                <w:noProof/>
                <w:sz w:val="20"/>
                <w:szCs w:val="20"/>
                <w:lang w:val="en-GB"/>
              </w:rPr>
              <w:t>*</w:t>
            </w:r>
            <w:r w:rsidR="0025006E" w:rsidRPr="00881BC8">
              <w:rPr>
                <w:rStyle w:val="FootnoteReference"/>
                <w:noProof/>
                <w:sz w:val="20"/>
                <w:szCs w:val="20"/>
                <w:lang w:val="en-GB"/>
              </w:rPr>
              <w:t>,</w:t>
            </w:r>
            <w:r w:rsidR="00365442">
              <w:rPr>
                <w:rStyle w:val="FootnoteReference"/>
                <w:noProof/>
                <w:sz w:val="20"/>
                <w:szCs w:val="20"/>
                <w:lang w:val="en-GB"/>
              </w:rPr>
              <w:t xml:space="preserve"> </w:t>
            </w:r>
            <w:r w:rsidR="00402CE0" w:rsidRPr="00881BC8">
              <w:rPr>
                <w:noProof/>
                <w:sz w:val="20"/>
                <w:szCs w:val="20"/>
                <w:lang w:val="en-GB"/>
              </w:rPr>
              <w:t>c</w:t>
            </w:r>
            <w:r w:rsidRPr="00881BC8">
              <w:rPr>
                <w:noProof/>
                <w:sz w:val="20"/>
                <w:szCs w:val="20"/>
                <w:lang w:val="en-GB"/>
              </w:rPr>
              <w:t xml:space="preserve">ontracting authorities </w:t>
            </w:r>
            <w:r w:rsidR="00365442">
              <w:rPr>
                <w:noProof/>
                <w:sz w:val="20"/>
                <w:szCs w:val="20"/>
                <w:lang w:val="en-GB"/>
              </w:rPr>
              <w:t xml:space="preserve">and contracting entities (for the purpose of this impact assessment included as well when falling under the scope of the public procurement directives) </w:t>
            </w:r>
            <w:r w:rsidRPr="00881BC8">
              <w:rPr>
                <w:noProof/>
                <w:sz w:val="20"/>
                <w:szCs w:val="20"/>
                <w:lang w:val="en-GB"/>
              </w:rPr>
              <w:t xml:space="preserve">shall </w:t>
            </w:r>
            <w:r w:rsidR="00402CE0" w:rsidRPr="00881BC8">
              <w:rPr>
                <w:noProof/>
                <w:sz w:val="20"/>
                <w:szCs w:val="20"/>
                <w:lang w:val="en-GB"/>
              </w:rPr>
              <w:t xml:space="preserve">verify </w:t>
            </w:r>
            <w:r w:rsidRPr="00881BC8">
              <w:rPr>
                <w:noProof/>
                <w:sz w:val="20"/>
                <w:szCs w:val="20"/>
                <w:lang w:val="en-GB"/>
              </w:rPr>
              <w:t xml:space="preserve">that payment to the main contractor </w:t>
            </w:r>
            <w:r w:rsidR="00402CE0" w:rsidRPr="00881BC8">
              <w:rPr>
                <w:noProof/>
                <w:sz w:val="20"/>
                <w:szCs w:val="20"/>
                <w:lang w:val="en-GB"/>
              </w:rPr>
              <w:t xml:space="preserve">has been </w:t>
            </w:r>
            <w:r w:rsidRPr="00881BC8">
              <w:rPr>
                <w:noProof/>
                <w:sz w:val="20"/>
                <w:szCs w:val="20"/>
                <w:lang w:val="en-GB"/>
              </w:rPr>
              <w:t>passed onto the subcontractors.</w:t>
            </w:r>
            <w:r w:rsidR="00402CE0" w:rsidRPr="00881BC8">
              <w:rPr>
                <w:noProof/>
                <w:sz w:val="20"/>
                <w:szCs w:val="20"/>
                <w:lang w:val="en-GB"/>
              </w:rPr>
              <w:t xml:space="preserve"> For this purpose, the main contractor shall provide to the contracting authority a certificate or proof of payment to the subcontractors at each intermediate work certification.</w:t>
            </w:r>
          </w:p>
          <w:p w14:paraId="007CE478" w14:textId="599D956F" w:rsidR="00AD7F49" w:rsidRPr="00881BC8" w:rsidRDefault="00AD7F49" w:rsidP="00E83577">
            <w:pPr>
              <w:spacing w:after="120"/>
              <w:contextualSpacing/>
              <w:rPr>
                <w:noProof/>
                <w:sz w:val="20"/>
                <w:szCs w:val="20"/>
                <w:lang w:val="en-GB"/>
              </w:rPr>
            </w:pPr>
          </w:p>
          <w:p w14:paraId="0D7A96CC" w14:textId="77777777" w:rsidR="007F744A" w:rsidRPr="00881BC8" w:rsidRDefault="007F744A" w:rsidP="00E83577">
            <w:pPr>
              <w:spacing w:after="120"/>
              <w:contextualSpacing/>
              <w:rPr>
                <w:noProof/>
                <w:sz w:val="20"/>
                <w:szCs w:val="20"/>
                <w:lang w:val="en-GB"/>
              </w:rPr>
            </w:pPr>
          </w:p>
          <w:p w14:paraId="59E6DFAF" w14:textId="6D83019F" w:rsidR="00AD7F49" w:rsidRPr="00881BC8" w:rsidRDefault="007F744A" w:rsidP="00E83577">
            <w:pPr>
              <w:tabs>
                <w:tab w:val="left" w:pos="170"/>
              </w:tabs>
              <w:spacing w:after="120"/>
              <w:contextualSpacing/>
              <w:rPr>
                <w:noProof/>
                <w:sz w:val="20"/>
                <w:szCs w:val="20"/>
                <w:lang w:val="en-GB"/>
              </w:rPr>
            </w:pPr>
            <w:r w:rsidRPr="00881BC8">
              <w:rPr>
                <w:noProof/>
                <w:sz w:val="20"/>
                <w:szCs w:val="20"/>
                <w:lang w:val="en-GB"/>
              </w:rPr>
              <w:t xml:space="preserve">*) </w:t>
            </w:r>
            <w:r w:rsidR="00AD7F49" w:rsidRPr="00881BC8">
              <w:rPr>
                <w:noProof/>
                <w:sz w:val="20"/>
                <w:szCs w:val="20"/>
                <w:lang w:val="en-GB"/>
              </w:rPr>
              <w:t>The threshold for public works contracts under the scope of Directives 2014/23/EU, 2014/24/EU, 2014/25/EU and 2009/81/EC is currently 5.382.000 EUR (subject to regular review by delegated acts).</w:t>
            </w:r>
          </w:p>
          <w:p w14:paraId="479BE94B" w14:textId="53401886" w:rsidR="00C008D6" w:rsidRPr="00881BC8" w:rsidRDefault="00C008D6" w:rsidP="00E83577">
            <w:pPr>
              <w:spacing w:after="120"/>
              <w:contextualSpacing/>
              <w:rPr>
                <w:b/>
                <w:bCs/>
                <w:noProof/>
                <w:sz w:val="20"/>
                <w:szCs w:val="20"/>
                <w:lang w:val="en-GB"/>
              </w:rPr>
            </w:pPr>
          </w:p>
        </w:tc>
      </w:tr>
    </w:tbl>
    <w:p w14:paraId="30200FFE" w14:textId="77777777" w:rsidR="00BF53DF" w:rsidRPr="008D7249" w:rsidRDefault="00BF53DF" w:rsidP="002C0AC8">
      <w:pPr>
        <w:rPr>
          <w:noProof/>
          <w:sz w:val="16"/>
          <w:szCs w:val="16"/>
        </w:rPr>
      </w:pPr>
      <w:bookmarkStart w:id="320" w:name="_Toc130395698"/>
      <w:bookmarkStart w:id="321" w:name="_Toc130403616"/>
      <w:bookmarkStart w:id="322" w:name="_Toc130395699"/>
      <w:bookmarkStart w:id="323" w:name="_Toc130403617"/>
      <w:bookmarkStart w:id="324" w:name="_Toc130395700"/>
      <w:bookmarkStart w:id="325" w:name="_Toc130403618"/>
      <w:bookmarkStart w:id="326" w:name="_Toc113029443"/>
      <w:bookmarkStart w:id="327" w:name="_Toc113311924"/>
      <w:bookmarkStart w:id="328" w:name="_Toc113313969"/>
      <w:bookmarkStart w:id="329" w:name="_Toc113314997"/>
      <w:bookmarkStart w:id="330" w:name="_Toc113656933"/>
      <w:bookmarkStart w:id="331" w:name="_Toc113904548"/>
      <w:bookmarkStart w:id="332" w:name="_Toc113915466"/>
      <w:bookmarkStart w:id="333" w:name="_Toc113915533"/>
      <w:bookmarkStart w:id="334" w:name="_Toc113915615"/>
      <w:bookmarkStart w:id="335" w:name="_Toc114137183"/>
      <w:bookmarkStart w:id="336" w:name="_Toc128594946"/>
      <w:bookmarkStart w:id="337" w:name="_Toc128678901"/>
      <w:bookmarkStart w:id="338" w:name="_Toc128935102"/>
      <w:bookmarkStart w:id="339" w:name="_Toc129710195"/>
      <w:bookmarkStart w:id="340" w:name="_Toc129899900"/>
      <w:bookmarkStart w:id="341" w:name="_Ref131223891"/>
      <w:bookmarkEnd w:id="319"/>
      <w:bookmarkEnd w:id="320"/>
      <w:bookmarkEnd w:id="321"/>
      <w:bookmarkEnd w:id="322"/>
      <w:bookmarkEnd w:id="323"/>
      <w:bookmarkEnd w:id="324"/>
      <w:bookmarkEnd w:id="325"/>
    </w:p>
    <w:p w14:paraId="66E6691E" w14:textId="2CC8D855" w:rsidR="00CF43E4" w:rsidRPr="00881BC8" w:rsidRDefault="00CF43E4" w:rsidP="004835F8">
      <w:pPr>
        <w:pStyle w:val="Heading3"/>
        <w:rPr>
          <w:rFonts w:eastAsia="@Yu Mincho Light"/>
          <w:noProof/>
        </w:rPr>
      </w:pPr>
      <w:bookmarkStart w:id="342" w:name="_Toc135237407"/>
      <w:r w:rsidRPr="00881BC8">
        <w:rPr>
          <w:rFonts w:eastAsia="@Yu Mincho Light"/>
          <w:noProof/>
        </w:rPr>
        <w:t xml:space="preserve">Policy option 3: </w:t>
      </w:r>
      <w:r w:rsidR="00081A2E" w:rsidRPr="00881BC8">
        <w:rPr>
          <w:rFonts w:eastAsia="@Yu Mincho Light"/>
          <w:noProof/>
        </w:rPr>
        <w:t>Strengthening redress mechanisms</w:t>
      </w:r>
      <w:r w:rsidRPr="00881BC8">
        <w:rPr>
          <w:rFonts w:eastAsia="@Yu Mincho Light"/>
          <w:noProof/>
        </w:rPr>
        <w:t xml:space="preserve"> to ensure fair payment co</w:t>
      </w:r>
      <w:r w:rsidR="7A33F925" w:rsidRPr="00881BC8">
        <w:rPr>
          <w:rFonts w:eastAsia="@Yu Mincho Light"/>
          <w:noProof/>
        </w:rPr>
        <w:t xml:space="preserve">nditions and </w:t>
      </w:r>
      <w:r w:rsidR="00081A2E" w:rsidRPr="00881BC8">
        <w:rPr>
          <w:rFonts w:eastAsia="@Yu Mincho Light"/>
          <w:noProof/>
        </w:rPr>
        <w:t xml:space="preserve">to </w:t>
      </w:r>
      <w:r w:rsidR="7A33F925" w:rsidRPr="00881BC8">
        <w:rPr>
          <w:rFonts w:eastAsia="@Yu Mincho Light"/>
          <w:noProof/>
        </w:rPr>
        <w:t>empower SMEs</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14:paraId="63740DF8" w14:textId="2AB1A550" w:rsidR="000766E1" w:rsidRPr="00881BC8" w:rsidRDefault="00600FD6" w:rsidP="004835F8">
      <w:pPr>
        <w:pStyle w:val="NormalPara"/>
        <w:rPr>
          <w:noProof/>
          <w:lang w:val="en-GB" w:eastAsia="en-GB"/>
        </w:rPr>
      </w:pPr>
      <w:bookmarkStart w:id="343" w:name="PO3"/>
      <w:r w:rsidRPr="00881BC8">
        <w:rPr>
          <w:b/>
          <w:bCs/>
          <w:noProof/>
          <w:lang w:val="en-GB" w:eastAsia="en-GB"/>
        </w:rPr>
        <w:t>Policy</w:t>
      </w:r>
      <w:r w:rsidR="336B1CCD" w:rsidRPr="00881BC8">
        <w:rPr>
          <w:b/>
          <w:bCs/>
          <w:noProof/>
          <w:lang w:val="en-GB" w:eastAsia="en-GB"/>
        </w:rPr>
        <w:t xml:space="preserve"> option</w:t>
      </w:r>
      <w:r w:rsidRPr="00881BC8">
        <w:rPr>
          <w:b/>
          <w:bCs/>
          <w:noProof/>
          <w:lang w:val="en-GB" w:eastAsia="en-GB"/>
        </w:rPr>
        <w:t xml:space="preserve"> 3</w:t>
      </w:r>
      <w:bookmarkEnd w:id="343"/>
      <w:r w:rsidR="00574BEF" w:rsidRPr="00881BC8">
        <w:rPr>
          <w:b/>
          <w:bCs/>
          <w:noProof/>
          <w:lang w:val="en-GB" w:eastAsia="en-GB"/>
        </w:rPr>
        <w:t xml:space="preserve"> (PO3)</w:t>
      </w:r>
      <w:r w:rsidRPr="00881BC8">
        <w:rPr>
          <w:noProof/>
          <w:lang w:val="en-GB" w:eastAsia="en-GB"/>
        </w:rPr>
        <w:t xml:space="preserve"> seeks to</w:t>
      </w:r>
      <w:r w:rsidR="336B1CCD" w:rsidRPr="00881BC8">
        <w:rPr>
          <w:noProof/>
          <w:lang w:val="en-GB" w:eastAsia="en-GB"/>
        </w:rPr>
        <w:t xml:space="preserve"> </w:t>
      </w:r>
      <w:r w:rsidR="70BB82C1" w:rsidRPr="00881BC8">
        <w:rPr>
          <w:noProof/>
          <w:lang w:val="en-GB" w:eastAsia="en-GB"/>
        </w:rPr>
        <w:t>contribute</w:t>
      </w:r>
      <w:r w:rsidR="336B1CCD" w:rsidRPr="00881BC8">
        <w:rPr>
          <w:noProof/>
          <w:lang w:val="en-GB" w:eastAsia="en-GB"/>
        </w:rPr>
        <w:t xml:space="preserve"> to </w:t>
      </w:r>
      <w:r w:rsidR="00DE054C" w:rsidRPr="00881BC8">
        <w:rPr>
          <w:noProof/>
          <w:lang w:val="en-GB" w:eastAsia="en-GB"/>
        </w:rPr>
        <w:t xml:space="preserve">the specific </w:t>
      </w:r>
      <w:r w:rsidR="336B1CCD" w:rsidRPr="00881BC8">
        <w:rPr>
          <w:noProof/>
          <w:lang w:val="en-GB" w:eastAsia="en-GB"/>
        </w:rPr>
        <w:t xml:space="preserve">objective 3 </w:t>
      </w:r>
      <w:r w:rsidR="00FF6B9D" w:rsidRPr="00881BC8">
        <w:rPr>
          <w:noProof/>
          <w:lang w:val="en-GB" w:eastAsia="en-GB"/>
        </w:rPr>
        <w:t xml:space="preserve">to complement and strengthen redress mechanisms </w:t>
      </w:r>
      <w:r w:rsidR="00333511" w:rsidRPr="00881BC8">
        <w:rPr>
          <w:noProof/>
          <w:lang w:val="en-GB" w:eastAsia="en-GB"/>
        </w:rPr>
        <w:t>to</w:t>
      </w:r>
      <w:r w:rsidR="000766E1" w:rsidRPr="00881BC8">
        <w:rPr>
          <w:noProof/>
          <w:lang w:val="en-GB" w:eastAsia="en-GB"/>
        </w:rPr>
        <w:t xml:space="preserve"> empower SMEs </w:t>
      </w:r>
      <w:r w:rsidR="00FF6B9D" w:rsidRPr="00881BC8">
        <w:rPr>
          <w:noProof/>
          <w:lang w:val="en-GB" w:eastAsia="en-GB"/>
        </w:rPr>
        <w:t>and ensure more fairness in commercial transactions.</w:t>
      </w:r>
    </w:p>
    <w:p w14:paraId="4774B28B" w14:textId="353F69A4" w:rsidR="00E44475" w:rsidRPr="00881BC8" w:rsidRDefault="6627151F" w:rsidP="004835F8">
      <w:pPr>
        <w:pStyle w:val="NormalPara"/>
        <w:rPr>
          <w:noProof/>
          <w:lang w:val="en-GB"/>
        </w:rPr>
      </w:pPr>
      <w:r w:rsidRPr="00881BC8">
        <w:rPr>
          <w:noProof/>
          <w:lang w:val="en-GB"/>
        </w:rPr>
        <w:t xml:space="preserve">The </w:t>
      </w:r>
      <w:r w:rsidR="00912522" w:rsidRPr="00881BC8">
        <w:rPr>
          <w:b/>
          <w:bCs/>
          <w:noProof/>
          <w:lang w:val="en-GB"/>
        </w:rPr>
        <w:t xml:space="preserve">policy options 3a </w:t>
      </w:r>
      <w:r w:rsidR="004D378D" w:rsidRPr="00881BC8">
        <w:rPr>
          <w:b/>
          <w:bCs/>
          <w:noProof/>
          <w:lang w:val="en-GB"/>
        </w:rPr>
        <w:t xml:space="preserve">(PO3a) </w:t>
      </w:r>
      <w:r w:rsidR="00912522" w:rsidRPr="00881BC8">
        <w:rPr>
          <w:b/>
          <w:bCs/>
          <w:noProof/>
          <w:lang w:val="en-GB"/>
        </w:rPr>
        <w:t xml:space="preserve">and 3b </w:t>
      </w:r>
      <w:r w:rsidR="004D378D" w:rsidRPr="00881BC8">
        <w:rPr>
          <w:b/>
          <w:bCs/>
          <w:noProof/>
          <w:lang w:val="en-GB"/>
        </w:rPr>
        <w:t>(PO3b)</w:t>
      </w:r>
      <w:r w:rsidR="000766E1" w:rsidRPr="00881BC8">
        <w:rPr>
          <w:noProof/>
          <w:lang w:val="en-GB"/>
        </w:rPr>
        <w:t xml:space="preserve"> </w:t>
      </w:r>
      <w:r w:rsidR="00122DC2" w:rsidRPr="00881BC8">
        <w:rPr>
          <w:noProof/>
          <w:lang w:val="en-GB"/>
        </w:rPr>
        <w:t xml:space="preserve">aim </w:t>
      </w:r>
      <w:r w:rsidRPr="00881BC8">
        <w:rPr>
          <w:noProof/>
          <w:lang w:val="en-GB"/>
        </w:rPr>
        <w:t xml:space="preserve">to remove </w:t>
      </w:r>
      <w:r w:rsidR="6E9143E5" w:rsidRPr="00881BC8">
        <w:rPr>
          <w:noProof/>
          <w:lang w:val="en-GB"/>
        </w:rPr>
        <w:t>ambiguity</w:t>
      </w:r>
      <w:r w:rsidRPr="00881BC8">
        <w:rPr>
          <w:noProof/>
          <w:lang w:val="en-GB"/>
        </w:rPr>
        <w:t xml:space="preserve"> in definitions, </w:t>
      </w:r>
      <w:r w:rsidR="00122DC2" w:rsidRPr="00881BC8">
        <w:rPr>
          <w:noProof/>
          <w:lang w:val="en-GB"/>
        </w:rPr>
        <w:t xml:space="preserve">reward and support prompt payment, </w:t>
      </w:r>
      <w:r w:rsidRPr="00881BC8">
        <w:rPr>
          <w:noProof/>
          <w:lang w:val="en-GB"/>
        </w:rPr>
        <w:t xml:space="preserve">eliminate </w:t>
      </w:r>
      <w:r w:rsidR="00122DC2" w:rsidRPr="00881BC8">
        <w:rPr>
          <w:noProof/>
          <w:lang w:val="en-GB"/>
        </w:rPr>
        <w:t xml:space="preserve">possibilities for </w:t>
      </w:r>
      <w:r w:rsidRPr="00881BC8">
        <w:rPr>
          <w:noProof/>
          <w:lang w:val="en-GB"/>
        </w:rPr>
        <w:t>arbitrary interpretation of the law</w:t>
      </w:r>
      <w:r w:rsidR="518077F5" w:rsidRPr="00881BC8">
        <w:rPr>
          <w:noProof/>
          <w:lang w:val="en-GB"/>
        </w:rPr>
        <w:t xml:space="preserve">, </w:t>
      </w:r>
      <w:r w:rsidR="00122DC2" w:rsidRPr="00881BC8">
        <w:rPr>
          <w:noProof/>
          <w:lang w:val="en-GB"/>
        </w:rPr>
        <w:t xml:space="preserve">and </w:t>
      </w:r>
      <w:r w:rsidR="518077F5" w:rsidRPr="00881BC8">
        <w:rPr>
          <w:noProof/>
          <w:lang w:val="en-GB"/>
        </w:rPr>
        <w:t>empower SMEs</w:t>
      </w:r>
      <w:r w:rsidR="2386CFCB" w:rsidRPr="00881BC8">
        <w:rPr>
          <w:noProof/>
          <w:lang w:val="en-GB"/>
        </w:rPr>
        <w:t xml:space="preserve"> to </w:t>
      </w:r>
      <w:r w:rsidR="42638C6D" w:rsidRPr="00881BC8">
        <w:rPr>
          <w:noProof/>
          <w:lang w:val="en-GB"/>
        </w:rPr>
        <w:t>challenge</w:t>
      </w:r>
      <w:r w:rsidR="2386CFCB" w:rsidRPr="00881BC8">
        <w:rPr>
          <w:noProof/>
          <w:lang w:val="en-GB"/>
        </w:rPr>
        <w:t xml:space="preserve"> unfair conditions</w:t>
      </w:r>
      <w:r w:rsidR="46360E96" w:rsidRPr="00881BC8">
        <w:rPr>
          <w:noProof/>
          <w:lang w:val="en-GB"/>
        </w:rPr>
        <w:t>.</w:t>
      </w:r>
      <w:r w:rsidR="00E44475" w:rsidRPr="00881BC8">
        <w:rPr>
          <w:noProof/>
          <w:lang w:val="en-GB"/>
        </w:rPr>
        <w:t xml:space="preserve"> The measures on ADR, </w:t>
      </w:r>
      <w:r w:rsidR="00717278" w:rsidRPr="00881BC8">
        <w:rPr>
          <w:noProof/>
          <w:lang w:val="en-GB"/>
        </w:rPr>
        <w:t>the need to address</w:t>
      </w:r>
      <w:r w:rsidR="00370877" w:rsidRPr="00881BC8">
        <w:rPr>
          <w:noProof/>
          <w:lang w:val="en-GB"/>
        </w:rPr>
        <w:t xml:space="preserve"> the question of unfair contractual terms and practices through their applicable national law</w:t>
      </w:r>
      <w:r w:rsidR="00370877" w:rsidRPr="00881BC8" w:rsidDel="00370877">
        <w:rPr>
          <w:noProof/>
          <w:lang w:val="en-GB"/>
        </w:rPr>
        <w:t xml:space="preserve"> </w:t>
      </w:r>
      <w:r w:rsidR="00E44475" w:rsidRPr="00881BC8">
        <w:rPr>
          <w:noProof/>
          <w:lang w:val="en-GB"/>
        </w:rPr>
        <w:t xml:space="preserve">are </w:t>
      </w:r>
      <w:r w:rsidR="00991E67" w:rsidRPr="00881BC8">
        <w:rPr>
          <w:noProof/>
          <w:lang w:val="en-GB"/>
        </w:rPr>
        <w:t xml:space="preserve">inspired by </w:t>
      </w:r>
      <w:r w:rsidR="00E44475" w:rsidRPr="00881BC8">
        <w:rPr>
          <w:noProof/>
          <w:lang w:val="en-GB"/>
        </w:rPr>
        <w:t>the EP Resolution 2019 and the F</w:t>
      </w:r>
      <w:r w:rsidR="00991E67" w:rsidRPr="00881BC8">
        <w:rPr>
          <w:noProof/>
          <w:lang w:val="en-GB"/>
        </w:rPr>
        <w:t xml:space="preserve">it for </w:t>
      </w:r>
      <w:r w:rsidR="00E44475" w:rsidRPr="00881BC8">
        <w:rPr>
          <w:noProof/>
          <w:lang w:val="en-GB"/>
        </w:rPr>
        <w:t>F</w:t>
      </w:r>
      <w:r w:rsidR="00991E67" w:rsidRPr="00881BC8">
        <w:rPr>
          <w:noProof/>
          <w:lang w:val="en-GB"/>
        </w:rPr>
        <w:t>uture platform’s</w:t>
      </w:r>
      <w:r w:rsidR="00E44475" w:rsidRPr="00881BC8">
        <w:rPr>
          <w:noProof/>
          <w:lang w:val="en-GB"/>
        </w:rPr>
        <w:t xml:space="preserve"> </w:t>
      </w:r>
      <w:r w:rsidR="00991E67" w:rsidRPr="00881BC8">
        <w:rPr>
          <w:noProof/>
          <w:lang w:val="en-GB"/>
        </w:rPr>
        <w:t>o</w:t>
      </w:r>
      <w:r w:rsidR="00E44475" w:rsidRPr="00881BC8">
        <w:rPr>
          <w:noProof/>
          <w:lang w:val="en-GB"/>
        </w:rPr>
        <w:t>pinion 2021 (recommendations 1, 2, 3 and 6).</w:t>
      </w:r>
    </w:p>
    <w:p w14:paraId="6A1E8D78" w14:textId="461F1C50" w:rsidR="00103DFF" w:rsidRPr="00881BC8" w:rsidRDefault="00DC361F" w:rsidP="004835F8">
      <w:pPr>
        <w:pStyle w:val="NormalPara"/>
        <w:rPr>
          <w:rFonts w:eastAsia="Times New Roman"/>
          <w:noProof/>
          <w:lang w:val="en-GB"/>
        </w:rPr>
      </w:pPr>
      <w:r w:rsidRPr="00881BC8">
        <w:rPr>
          <w:b/>
          <w:bCs/>
          <w:noProof/>
          <w:lang w:val="en-GB" w:eastAsia="en-GB"/>
        </w:rPr>
        <w:t>Policy options 3a (PO3a) and 3b</w:t>
      </w:r>
      <w:r w:rsidRPr="00881BC8">
        <w:rPr>
          <w:noProof/>
          <w:lang w:val="en-GB" w:eastAsia="en-GB"/>
        </w:rPr>
        <w:t xml:space="preserve"> </w:t>
      </w:r>
      <w:r w:rsidRPr="00881BC8">
        <w:rPr>
          <w:b/>
          <w:bCs/>
          <w:noProof/>
          <w:lang w:val="en-GB" w:eastAsia="en-GB"/>
        </w:rPr>
        <w:t>(PO3b)</w:t>
      </w:r>
      <w:r w:rsidRPr="00881BC8">
        <w:rPr>
          <w:noProof/>
          <w:lang w:val="en-GB" w:eastAsia="en-GB"/>
        </w:rPr>
        <w:t xml:space="preserve"> focus on empowering SMEs to challenge lack of fairness in payment conditions by providing means of redress alternative to court proceedings. </w:t>
      </w:r>
      <w:r w:rsidRPr="00881BC8">
        <w:rPr>
          <w:rFonts w:eastAsia="Times New Roman"/>
          <w:noProof/>
          <w:lang w:val="en-GB"/>
        </w:rPr>
        <w:t>The options explore the alternatives of appointing a national payment envoy (PO3a) or setting up a national mediation system to solve payment disputes (PO3b).</w:t>
      </w:r>
    </w:p>
    <w:p w14:paraId="5D5D3995" w14:textId="585C1AF6" w:rsidR="00A343FF" w:rsidRPr="00881BC8" w:rsidRDefault="00A343FF" w:rsidP="002F76D9">
      <w:pPr>
        <w:pStyle w:val="Caption"/>
        <w:rPr>
          <w:noProof/>
          <w:lang w:val="en-GB"/>
        </w:rPr>
      </w:pPr>
      <w:bookmarkStart w:id="344" w:name="_Ref131153526"/>
      <w:r w:rsidRPr="00881BC8">
        <w:rPr>
          <w:noProof/>
          <w:lang w:val="en-GB"/>
        </w:rPr>
        <w:t xml:space="preserve">Table </w:t>
      </w:r>
      <w:r w:rsidR="005851F4">
        <w:rPr>
          <w:noProof/>
          <w:lang w:val="en-GB"/>
        </w:rPr>
        <w:t>3</w:t>
      </w:r>
      <w:bookmarkEnd w:id="344"/>
      <w:r w:rsidRPr="00881BC8">
        <w:rPr>
          <w:noProof/>
          <w:lang w:val="en-GB"/>
        </w:rPr>
        <w:t>: Policy option 3</w:t>
      </w:r>
    </w:p>
    <w:tbl>
      <w:tblPr>
        <w:tblStyle w:val="TableGrid1"/>
        <w:tblpPr w:leftFromText="181" w:rightFromText="181" w:bottomFromText="142" w:vertAnchor="text" w:tblpY="1"/>
        <w:tblOverlap w:val="never"/>
        <w:tblW w:w="9072" w:type="dxa"/>
        <w:tblLook w:val="04A0" w:firstRow="1" w:lastRow="0" w:firstColumn="1" w:lastColumn="0" w:noHBand="0" w:noVBand="1"/>
      </w:tblPr>
      <w:tblGrid>
        <w:gridCol w:w="4390"/>
        <w:gridCol w:w="2341"/>
        <w:gridCol w:w="2341"/>
      </w:tblGrid>
      <w:tr w:rsidR="00CF43E4" w:rsidRPr="00881BC8" w14:paraId="301B6BCA" w14:textId="77777777" w:rsidTr="00276DFA">
        <w:trPr>
          <w:trHeight w:val="300"/>
          <w:tblHeader/>
        </w:trPr>
        <w:tc>
          <w:tcPr>
            <w:tcW w:w="9072" w:type="dxa"/>
            <w:gridSpan w:val="3"/>
          </w:tcPr>
          <w:p w14:paraId="792377B7" w14:textId="3D2E3316" w:rsidR="00CF43E4" w:rsidRPr="00881BC8" w:rsidRDefault="00CF43E4" w:rsidP="00E83577">
            <w:pPr>
              <w:tabs>
                <w:tab w:val="left" w:pos="170"/>
              </w:tabs>
              <w:spacing w:after="0"/>
              <w:jc w:val="center"/>
              <w:rPr>
                <w:b/>
                <w:bCs/>
                <w:noProof/>
                <w:lang w:val="en-GB"/>
              </w:rPr>
            </w:pPr>
          </w:p>
          <w:p w14:paraId="652C7372" w14:textId="2B657145" w:rsidR="18EFB5EC" w:rsidRPr="00881BC8" w:rsidRDefault="780DB37E" w:rsidP="00E83577">
            <w:pPr>
              <w:tabs>
                <w:tab w:val="left" w:pos="170"/>
              </w:tabs>
              <w:spacing w:after="0"/>
              <w:jc w:val="center"/>
              <w:rPr>
                <w:noProof/>
                <w:lang w:val="en-GB"/>
              </w:rPr>
            </w:pPr>
            <w:r w:rsidRPr="00881BC8">
              <w:rPr>
                <w:b/>
                <w:bCs/>
                <w:noProof/>
                <w:lang w:val="en-GB"/>
              </w:rPr>
              <w:t xml:space="preserve">Empower </w:t>
            </w:r>
            <w:r w:rsidR="4965F1C3" w:rsidRPr="00881BC8">
              <w:rPr>
                <w:b/>
                <w:bCs/>
                <w:noProof/>
                <w:lang w:val="en-GB"/>
              </w:rPr>
              <w:t>SMEs</w:t>
            </w:r>
            <w:r w:rsidRPr="00881BC8">
              <w:rPr>
                <w:b/>
                <w:bCs/>
                <w:noProof/>
                <w:lang w:val="en-GB"/>
              </w:rPr>
              <w:t xml:space="preserve"> and ensur</w:t>
            </w:r>
            <w:r w:rsidR="00996F70" w:rsidRPr="00881BC8">
              <w:rPr>
                <w:b/>
                <w:bCs/>
                <w:noProof/>
                <w:lang w:val="en-GB"/>
              </w:rPr>
              <w:t>e</w:t>
            </w:r>
            <w:r w:rsidRPr="00881BC8">
              <w:rPr>
                <w:b/>
                <w:bCs/>
                <w:noProof/>
                <w:lang w:val="en-GB"/>
              </w:rPr>
              <w:t xml:space="preserve"> </w:t>
            </w:r>
            <w:r w:rsidR="41860EAB" w:rsidRPr="00881BC8">
              <w:rPr>
                <w:b/>
                <w:bCs/>
                <w:noProof/>
                <w:lang w:val="en-GB"/>
              </w:rPr>
              <w:t>more fairness in commercial transactions</w:t>
            </w:r>
            <w:r w:rsidR="0091653A" w:rsidRPr="00881BC8">
              <w:rPr>
                <w:b/>
                <w:bCs/>
                <w:noProof/>
                <w:lang w:val="en-GB"/>
              </w:rPr>
              <w:t xml:space="preserve"> </w:t>
            </w:r>
          </w:p>
          <w:p w14:paraId="0C97A180" w14:textId="77777777" w:rsidR="00CF43E4" w:rsidRPr="00881BC8" w:rsidRDefault="00CF43E4" w:rsidP="00E83577">
            <w:pPr>
              <w:tabs>
                <w:tab w:val="left" w:pos="170"/>
              </w:tabs>
              <w:spacing w:after="0"/>
              <w:jc w:val="center"/>
              <w:rPr>
                <w:b/>
                <w:noProof/>
                <w:lang w:val="en-GB"/>
              </w:rPr>
            </w:pPr>
          </w:p>
        </w:tc>
      </w:tr>
      <w:tr w:rsidR="00CF43E4" w:rsidRPr="00881BC8" w14:paraId="23934AE6" w14:textId="77777777" w:rsidTr="00276DFA">
        <w:trPr>
          <w:trHeight w:val="300"/>
        </w:trPr>
        <w:tc>
          <w:tcPr>
            <w:tcW w:w="4390" w:type="dxa"/>
          </w:tcPr>
          <w:p w14:paraId="2702F861" w14:textId="0FC13D8F" w:rsidR="00CF43E4" w:rsidRPr="00881BC8" w:rsidRDefault="00CF43E4" w:rsidP="00E83577">
            <w:pPr>
              <w:tabs>
                <w:tab w:val="left" w:pos="170"/>
              </w:tabs>
              <w:spacing w:after="0"/>
              <w:rPr>
                <w:b/>
                <w:noProof/>
                <w:lang w:val="en-GB"/>
              </w:rPr>
            </w:pPr>
            <w:r w:rsidRPr="00881BC8">
              <w:rPr>
                <w:b/>
                <w:noProof/>
                <w:lang w:val="en-GB"/>
              </w:rPr>
              <w:t xml:space="preserve">Baseline </w:t>
            </w:r>
          </w:p>
        </w:tc>
        <w:tc>
          <w:tcPr>
            <w:tcW w:w="2341" w:type="dxa"/>
          </w:tcPr>
          <w:p w14:paraId="37FF6C78" w14:textId="00BFB8A1" w:rsidR="00CF43E4" w:rsidRPr="00881BC8" w:rsidRDefault="00CF43E4" w:rsidP="00E83577">
            <w:pPr>
              <w:tabs>
                <w:tab w:val="left" w:pos="170"/>
              </w:tabs>
              <w:spacing w:after="0"/>
              <w:rPr>
                <w:b/>
                <w:noProof/>
                <w:lang w:val="en-GB"/>
              </w:rPr>
            </w:pPr>
            <w:r w:rsidRPr="00881BC8">
              <w:rPr>
                <w:b/>
                <w:noProof/>
                <w:lang w:val="en-GB"/>
              </w:rPr>
              <w:t>PO 3a</w:t>
            </w:r>
          </w:p>
        </w:tc>
        <w:tc>
          <w:tcPr>
            <w:tcW w:w="2341" w:type="dxa"/>
          </w:tcPr>
          <w:p w14:paraId="5CF0F928" w14:textId="77777777" w:rsidR="00CF43E4" w:rsidRPr="00881BC8" w:rsidRDefault="00CF43E4" w:rsidP="00E83577">
            <w:pPr>
              <w:tabs>
                <w:tab w:val="left" w:pos="170"/>
              </w:tabs>
              <w:spacing w:after="0"/>
              <w:rPr>
                <w:b/>
                <w:noProof/>
                <w:lang w:val="en-GB"/>
              </w:rPr>
            </w:pPr>
            <w:r w:rsidRPr="00881BC8">
              <w:rPr>
                <w:b/>
                <w:noProof/>
                <w:lang w:val="en-GB"/>
              </w:rPr>
              <w:t>PO 3b</w:t>
            </w:r>
          </w:p>
        </w:tc>
      </w:tr>
      <w:tr w:rsidR="00CF43E4" w:rsidRPr="00881BC8" w14:paraId="585BEF14" w14:textId="77777777" w:rsidTr="00276DFA">
        <w:trPr>
          <w:trHeight w:val="300"/>
        </w:trPr>
        <w:tc>
          <w:tcPr>
            <w:tcW w:w="4390" w:type="dxa"/>
            <w:vMerge w:val="restart"/>
          </w:tcPr>
          <w:p w14:paraId="5B7D47E7" w14:textId="4865EAA2" w:rsidR="00CF43E4" w:rsidRPr="00881BC8" w:rsidRDefault="00CF43E4" w:rsidP="00E83577">
            <w:pPr>
              <w:tabs>
                <w:tab w:val="left" w:pos="170"/>
              </w:tabs>
              <w:spacing w:after="0"/>
              <w:rPr>
                <w:noProof/>
                <w:sz w:val="20"/>
                <w:szCs w:val="20"/>
                <w:lang w:val="en-GB"/>
              </w:rPr>
            </w:pPr>
            <w:r w:rsidRPr="00881BC8">
              <w:rPr>
                <w:noProof/>
                <w:sz w:val="20"/>
                <w:szCs w:val="20"/>
                <w:lang w:val="en-GB"/>
              </w:rPr>
              <w:t xml:space="preserve">Due to size or position in the supply chain, small businesses will continue to be more exposed to the risk of being paid late. </w:t>
            </w:r>
          </w:p>
          <w:p w14:paraId="10C0EAB5" w14:textId="0CAF8343" w:rsidR="00CF43E4" w:rsidRPr="00881BC8" w:rsidRDefault="00CF43E4" w:rsidP="00E83577">
            <w:pPr>
              <w:tabs>
                <w:tab w:val="left" w:pos="170"/>
              </w:tabs>
              <w:spacing w:after="0"/>
              <w:rPr>
                <w:noProof/>
                <w:sz w:val="20"/>
                <w:szCs w:val="20"/>
                <w:lang w:val="en-GB"/>
              </w:rPr>
            </w:pPr>
          </w:p>
          <w:p w14:paraId="2542DE5C" w14:textId="6F189745" w:rsidR="00CF43E4" w:rsidRPr="00881BC8" w:rsidRDefault="503DD15B" w:rsidP="00E83577">
            <w:pPr>
              <w:tabs>
                <w:tab w:val="left" w:pos="170"/>
              </w:tabs>
              <w:spacing w:after="0"/>
              <w:rPr>
                <w:noProof/>
                <w:sz w:val="20"/>
                <w:szCs w:val="20"/>
                <w:lang w:val="en-GB"/>
              </w:rPr>
            </w:pPr>
            <w:r w:rsidRPr="00881BC8">
              <w:rPr>
                <w:noProof/>
                <w:sz w:val="20"/>
                <w:szCs w:val="20"/>
                <w:lang w:val="en-GB"/>
              </w:rPr>
              <w:t xml:space="preserve">The current ambiguity about </w:t>
            </w:r>
            <w:r w:rsidR="00303DFA" w:rsidRPr="00881BC8">
              <w:rPr>
                <w:noProof/>
                <w:sz w:val="20"/>
                <w:szCs w:val="20"/>
                <w:lang w:val="en-GB"/>
              </w:rPr>
              <w:t>‘</w:t>
            </w:r>
            <w:r w:rsidRPr="00881BC8">
              <w:rPr>
                <w:noProof/>
                <w:sz w:val="20"/>
                <w:szCs w:val="20"/>
                <w:lang w:val="en-GB"/>
              </w:rPr>
              <w:t>unfairness</w:t>
            </w:r>
            <w:r w:rsidR="00303DFA" w:rsidRPr="00881BC8">
              <w:rPr>
                <w:noProof/>
                <w:sz w:val="20"/>
                <w:szCs w:val="20"/>
                <w:lang w:val="en-GB"/>
              </w:rPr>
              <w:t>’</w:t>
            </w:r>
            <w:r w:rsidRPr="00881BC8">
              <w:rPr>
                <w:noProof/>
                <w:sz w:val="20"/>
                <w:szCs w:val="20"/>
                <w:lang w:val="en-GB"/>
              </w:rPr>
              <w:t xml:space="preserve"> will </w:t>
            </w:r>
            <w:r w:rsidR="66842C64" w:rsidRPr="00881BC8">
              <w:rPr>
                <w:noProof/>
                <w:sz w:val="20"/>
                <w:szCs w:val="20"/>
                <w:lang w:val="en-GB"/>
              </w:rPr>
              <w:t>continue</w:t>
            </w:r>
            <w:r w:rsidRPr="00881BC8">
              <w:rPr>
                <w:noProof/>
                <w:sz w:val="20"/>
                <w:szCs w:val="20"/>
                <w:lang w:val="en-GB"/>
              </w:rPr>
              <w:t xml:space="preserve"> as well as the current situation where it is </w:t>
            </w:r>
            <w:r w:rsidR="06429639" w:rsidRPr="00881BC8">
              <w:rPr>
                <w:noProof/>
                <w:sz w:val="20"/>
                <w:szCs w:val="20"/>
                <w:lang w:val="en-GB"/>
              </w:rPr>
              <w:t xml:space="preserve">always </w:t>
            </w:r>
            <w:r w:rsidRPr="00881BC8">
              <w:rPr>
                <w:noProof/>
                <w:sz w:val="20"/>
                <w:szCs w:val="20"/>
                <w:lang w:val="en-GB"/>
              </w:rPr>
              <w:t xml:space="preserve">the </w:t>
            </w:r>
            <w:r w:rsidR="66F1BD3C" w:rsidRPr="00881BC8">
              <w:rPr>
                <w:noProof/>
                <w:sz w:val="20"/>
                <w:szCs w:val="20"/>
                <w:lang w:val="en-GB"/>
              </w:rPr>
              <w:t xml:space="preserve">creditor </w:t>
            </w:r>
            <w:r w:rsidR="5BDCBDF9" w:rsidRPr="00881BC8">
              <w:rPr>
                <w:noProof/>
                <w:sz w:val="20"/>
                <w:szCs w:val="20"/>
                <w:lang w:val="en-GB"/>
              </w:rPr>
              <w:t xml:space="preserve">having to bear the burden of proving that a certain clause or a certain </w:t>
            </w:r>
            <w:r w:rsidR="316965F6" w:rsidRPr="00881BC8">
              <w:rPr>
                <w:noProof/>
                <w:sz w:val="20"/>
                <w:szCs w:val="20"/>
                <w:lang w:val="en-GB"/>
              </w:rPr>
              <w:t xml:space="preserve">practice </w:t>
            </w:r>
            <w:r w:rsidR="5BDCBDF9" w:rsidRPr="00881BC8">
              <w:rPr>
                <w:noProof/>
                <w:sz w:val="20"/>
                <w:szCs w:val="20"/>
                <w:lang w:val="en-GB"/>
              </w:rPr>
              <w:t xml:space="preserve">is unfair. </w:t>
            </w:r>
            <w:r w:rsidR="48FFCA94" w:rsidRPr="00881BC8">
              <w:rPr>
                <w:noProof/>
                <w:sz w:val="20"/>
                <w:szCs w:val="20"/>
                <w:lang w:val="en-GB"/>
              </w:rPr>
              <w:t xml:space="preserve">With very limited alternatives to court proceedings, which can be time consuming, expensive, and can irremediably damage the business relation, creditors will continue to be reluctant to take action against their debtors, and challenge unfair </w:t>
            </w:r>
            <w:r w:rsidR="7E180BAD" w:rsidRPr="00881BC8">
              <w:rPr>
                <w:noProof/>
                <w:sz w:val="20"/>
                <w:szCs w:val="20"/>
                <w:lang w:val="en-GB"/>
              </w:rPr>
              <w:t xml:space="preserve">payment conditions or practices. </w:t>
            </w:r>
            <w:r w:rsidR="48FFCA94" w:rsidRPr="00881BC8">
              <w:rPr>
                <w:noProof/>
                <w:sz w:val="20"/>
                <w:szCs w:val="20"/>
                <w:lang w:val="en-GB"/>
              </w:rPr>
              <w:t xml:space="preserve">The only remedy will be, in </w:t>
            </w:r>
            <w:r w:rsidR="08EBA229" w:rsidRPr="00881BC8">
              <w:rPr>
                <w:noProof/>
                <w:sz w:val="20"/>
                <w:szCs w:val="20"/>
                <w:lang w:val="en-GB"/>
              </w:rPr>
              <w:t>many</w:t>
            </w:r>
            <w:r w:rsidR="48FFCA94" w:rsidRPr="00881BC8">
              <w:rPr>
                <w:noProof/>
                <w:sz w:val="20"/>
                <w:szCs w:val="20"/>
                <w:lang w:val="en-GB"/>
              </w:rPr>
              <w:t xml:space="preserve"> cases, further delay pa</w:t>
            </w:r>
            <w:r w:rsidR="202AE0E9" w:rsidRPr="00881BC8">
              <w:rPr>
                <w:noProof/>
                <w:sz w:val="20"/>
                <w:szCs w:val="20"/>
                <w:lang w:val="en-GB"/>
              </w:rPr>
              <w:t xml:space="preserve">yments to their own suppliers, so passing the late payment down the supply chain. </w:t>
            </w:r>
          </w:p>
          <w:p w14:paraId="1F3A29CA" w14:textId="06BE2A7D" w:rsidR="18495ED2" w:rsidRPr="00881BC8" w:rsidRDefault="18495ED2" w:rsidP="00E83577">
            <w:pPr>
              <w:tabs>
                <w:tab w:val="left" w:pos="170"/>
              </w:tabs>
              <w:spacing w:after="0"/>
              <w:rPr>
                <w:noProof/>
                <w:sz w:val="20"/>
                <w:szCs w:val="20"/>
                <w:lang w:val="en-GB"/>
              </w:rPr>
            </w:pPr>
          </w:p>
          <w:p w14:paraId="64AD2B73" w14:textId="1427B74F" w:rsidR="00CF43E4" w:rsidRPr="00881BC8" w:rsidRDefault="0EC64AAE" w:rsidP="00E83577">
            <w:pPr>
              <w:tabs>
                <w:tab w:val="left" w:pos="170"/>
              </w:tabs>
              <w:spacing w:after="0"/>
              <w:rPr>
                <w:noProof/>
                <w:sz w:val="20"/>
                <w:szCs w:val="20"/>
                <w:lang w:val="en-GB"/>
              </w:rPr>
            </w:pPr>
            <w:r w:rsidRPr="00881BC8">
              <w:rPr>
                <w:noProof/>
                <w:sz w:val="20"/>
                <w:szCs w:val="20"/>
                <w:lang w:val="en-GB"/>
              </w:rPr>
              <w:t>Some unfair c</w:t>
            </w:r>
            <w:r w:rsidR="5AC880AD" w:rsidRPr="00881BC8">
              <w:rPr>
                <w:noProof/>
                <w:sz w:val="20"/>
                <w:szCs w:val="20"/>
                <w:lang w:val="en-GB"/>
              </w:rPr>
              <w:t>lauses</w:t>
            </w:r>
            <w:r w:rsidRPr="00881BC8">
              <w:rPr>
                <w:noProof/>
                <w:sz w:val="20"/>
                <w:szCs w:val="20"/>
                <w:lang w:val="en-GB"/>
              </w:rPr>
              <w:t xml:space="preserve"> are</w:t>
            </w:r>
            <w:r w:rsidR="61171CFE" w:rsidRPr="00881BC8">
              <w:rPr>
                <w:noProof/>
                <w:sz w:val="20"/>
                <w:szCs w:val="20"/>
                <w:lang w:val="en-GB"/>
              </w:rPr>
              <w:t xml:space="preserve"> also </w:t>
            </w:r>
            <w:r w:rsidRPr="00881BC8">
              <w:rPr>
                <w:noProof/>
                <w:sz w:val="20"/>
                <w:szCs w:val="20"/>
                <w:lang w:val="en-GB"/>
              </w:rPr>
              <w:t>hampering a wider uptake of faster forms of payments and e-payments (</w:t>
            </w:r>
            <w:r w:rsidR="00A24E48" w:rsidRPr="00881BC8">
              <w:rPr>
                <w:noProof/>
                <w:sz w:val="20"/>
                <w:szCs w:val="20"/>
                <w:lang w:val="en-GB"/>
              </w:rPr>
              <w:t>e.g.</w:t>
            </w:r>
            <w:r w:rsidRPr="00881BC8">
              <w:rPr>
                <w:noProof/>
                <w:sz w:val="20"/>
                <w:szCs w:val="20"/>
                <w:lang w:val="en-GB"/>
              </w:rPr>
              <w:t xml:space="preserve"> factoring, supply chain finance, fintech</w:t>
            </w:r>
            <w:r w:rsidR="00E95164" w:rsidRPr="00881BC8">
              <w:rPr>
                <w:noProof/>
                <w:sz w:val="20"/>
                <w:szCs w:val="20"/>
                <w:lang w:val="en-GB"/>
              </w:rPr>
              <w:t xml:space="preserve"> </w:t>
            </w:r>
            <w:r w:rsidR="00A24E48" w:rsidRPr="00881BC8">
              <w:rPr>
                <w:noProof/>
                <w:sz w:val="20"/>
                <w:szCs w:val="20"/>
                <w:lang w:val="en-GB"/>
              </w:rPr>
              <w:t>companies</w:t>
            </w:r>
            <w:r w:rsidRPr="00881BC8">
              <w:rPr>
                <w:noProof/>
                <w:sz w:val="20"/>
                <w:szCs w:val="20"/>
                <w:lang w:val="en-GB"/>
              </w:rPr>
              <w:t>)</w:t>
            </w:r>
            <w:r w:rsidR="5BBD48B4" w:rsidRPr="00881BC8">
              <w:rPr>
                <w:noProof/>
                <w:sz w:val="20"/>
                <w:szCs w:val="20"/>
                <w:lang w:val="en-GB"/>
              </w:rPr>
              <w:t>.</w:t>
            </w:r>
          </w:p>
        </w:tc>
        <w:tc>
          <w:tcPr>
            <w:tcW w:w="2341" w:type="dxa"/>
          </w:tcPr>
          <w:p w14:paraId="6268C912" w14:textId="1F3344CD" w:rsidR="00CF43E4" w:rsidRPr="00881BC8" w:rsidRDefault="00412306" w:rsidP="00E83577">
            <w:pPr>
              <w:tabs>
                <w:tab w:val="left" w:pos="170"/>
              </w:tabs>
              <w:spacing w:after="0"/>
              <w:rPr>
                <w:b/>
                <w:bCs/>
                <w:noProof/>
                <w:sz w:val="20"/>
                <w:szCs w:val="20"/>
                <w:lang w:val="en-GB"/>
              </w:rPr>
            </w:pPr>
            <w:r w:rsidRPr="00881BC8">
              <w:rPr>
                <w:bCs/>
                <w:noProof/>
                <w:sz w:val="20"/>
                <w:szCs w:val="20"/>
                <w:lang w:val="en-GB"/>
              </w:rPr>
              <w:t>MS to a</w:t>
            </w:r>
            <w:r w:rsidR="59FA251D" w:rsidRPr="00881BC8">
              <w:rPr>
                <w:bCs/>
                <w:noProof/>
                <w:sz w:val="20"/>
                <w:szCs w:val="20"/>
                <w:lang w:val="en-GB"/>
              </w:rPr>
              <w:t>ppoint a</w:t>
            </w:r>
            <w:r w:rsidR="59FA251D" w:rsidRPr="00881BC8">
              <w:rPr>
                <w:b/>
                <w:noProof/>
                <w:sz w:val="20"/>
                <w:szCs w:val="20"/>
                <w:lang w:val="en-GB"/>
              </w:rPr>
              <w:t xml:space="preserve"> </w:t>
            </w:r>
            <w:r w:rsidR="00FB115F" w:rsidRPr="00881BC8">
              <w:rPr>
                <w:b/>
                <w:noProof/>
                <w:sz w:val="20"/>
                <w:szCs w:val="20"/>
                <w:lang w:val="en-GB"/>
              </w:rPr>
              <w:t xml:space="preserve">national payment envoy </w:t>
            </w:r>
          </w:p>
        </w:tc>
        <w:tc>
          <w:tcPr>
            <w:tcW w:w="2341" w:type="dxa"/>
          </w:tcPr>
          <w:p w14:paraId="225DCD7D" w14:textId="7470C3DA" w:rsidR="00CF43E4" w:rsidRPr="00881BC8" w:rsidRDefault="13119389" w:rsidP="00E83577">
            <w:pPr>
              <w:tabs>
                <w:tab w:val="left" w:pos="170"/>
              </w:tabs>
              <w:spacing w:after="0"/>
              <w:rPr>
                <w:b/>
                <w:noProof/>
                <w:sz w:val="20"/>
                <w:szCs w:val="20"/>
                <w:lang w:val="en-GB"/>
              </w:rPr>
            </w:pPr>
            <w:r w:rsidRPr="00881BC8">
              <w:rPr>
                <w:noProof/>
                <w:sz w:val="20"/>
                <w:szCs w:val="20"/>
                <w:lang w:val="en-GB"/>
              </w:rPr>
              <w:t>MS to set up a</w:t>
            </w:r>
            <w:r w:rsidRPr="00881BC8">
              <w:rPr>
                <w:b/>
                <w:bCs/>
                <w:noProof/>
                <w:sz w:val="20"/>
                <w:szCs w:val="20"/>
                <w:lang w:val="en-GB"/>
              </w:rPr>
              <w:t xml:space="preserve"> national system of mediation</w:t>
            </w:r>
            <w:r w:rsidR="63B9CEB3" w:rsidRPr="00881BC8">
              <w:rPr>
                <w:b/>
                <w:bCs/>
                <w:noProof/>
                <w:sz w:val="20"/>
                <w:szCs w:val="20"/>
                <w:lang w:val="en-GB"/>
              </w:rPr>
              <w:t xml:space="preserve"> </w:t>
            </w:r>
            <w:r w:rsidR="63B9CEB3" w:rsidRPr="00881BC8">
              <w:rPr>
                <w:noProof/>
                <w:sz w:val="20"/>
                <w:szCs w:val="20"/>
                <w:lang w:val="en-GB"/>
              </w:rPr>
              <w:t>to solve payment disputes</w:t>
            </w:r>
            <w:r w:rsidR="63B9CEB3" w:rsidRPr="00881BC8">
              <w:rPr>
                <w:b/>
                <w:bCs/>
                <w:noProof/>
                <w:sz w:val="20"/>
                <w:szCs w:val="20"/>
                <w:lang w:val="en-GB"/>
              </w:rPr>
              <w:t xml:space="preserve"> </w:t>
            </w:r>
          </w:p>
          <w:p w14:paraId="402AB385" w14:textId="77777777" w:rsidR="00CF43E4" w:rsidRPr="00881BC8" w:rsidRDefault="00CF43E4" w:rsidP="00E83577">
            <w:pPr>
              <w:tabs>
                <w:tab w:val="left" w:pos="170"/>
              </w:tabs>
              <w:spacing w:after="0"/>
              <w:rPr>
                <w:b/>
                <w:bCs/>
                <w:noProof/>
                <w:sz w:val="20"/>
                <w:szCs w:val="20"/>
                <w:lang w:val="en-GB"/>
              </w:rPr>
            </w:pPr>
          </w:p>
          <w:p w14:paraId="499814D9" w14:textId="77777777" w:rsidR="00CA02E6" w:rsidRPr="00881BC8" w:rsidRDefault="00CA02E6" w:rsidP="00E83577">
            <w:pPr>
              <w:tabs>
                <w:tab w:val="left" w:pos="170"/>
              </w:tabs>
              <w:spacing w:after="0"/>
              <w:rPr>
                <w:b/>
                <w:bCs/>
                <w:noProof/>
                <w:sz w:val="20"/>
                <w:szCs w:val="20"/>
                <w:lang w:val="en-GB"/>
              </w:rPr>
            </w:pPr>
          </w:p>
          <w:p w14:paraId="68F69FC3" w14:textId="4135D779" w:rsidR="00CA02E6" w:rsidRPr="00881BC8" w:rsidRDefault="00CA02E6" w:rsidP="00E83577">
            <w:pPr>
              <w:tabs>
                <w:tab w:val="left" w:pos="170"/>
              </w:tabs>
              <w:spacing w:after="0"/>
              <w:rPr>
                <w:b/>
                <w:bCs/>
                <w:noProof/>
                <w:sz w:val="20"/>
                <w:szCs w:val="20"/>
                <w:lang w:val="en-GB"/>
              </w:rPr>
            </w:pPr>
          </w:p>
        </w:tc>
      </w:tr>
      <w:tr w:rsidR="001E40BE" w:rsidRPr="00881BC8" w14:paraId="124E7A58" w14:textId="77777777" w:rsidTr="00276DFA">
        <w:trPr>
          <w:trHeight w:val="300"/>
        </w:trPr>
        <w:tc>
          <w:tcPr>
            <w:tcW w:w="4390" w:type="dxa"/>
            <w:vMerge/>
          </w:tcPr>
          <w:p w14:paraId="59EFBA0A" w14:textId="77777777" w:rsidR="001E40BE" w:rsidRPr="00881BC8" w:rsidRDefault="001E40BE" w:rsidP="00E83577">
            <w:pPr>
              <w:tabs>
                <w:tab w:val="left" w:pos="170"/>
              </w:tabs>
              <w:spacing w:after="0"/>
              <w:rPr>
                <w:noProof/>
                <w:lang w:val="en-GB"/>
              </w:rPr>
            </w:pPr>
          </w:p>
        </w:tc>
        <w:tc>
          <w:tcPr>
            <w:tcW w:w="4682" w:type="dxa"/>
            <w:gridSpan w:val="2"/>
          </w:tcPr>
          <w:p w14:paraId="11472626" w14:textId="17912072" w:rsidR="001E40BE" w:rsidRPr="00881BC8" w:rsidRDefault="00CA7673" w:rsidP="00E83577">
            <w:pPr>
              <w:tabs>
                <w:tab w:val="left" w:pos="170"/>
              </w:tabs>
              <w:spacing w:after="0"/>
              <w:rPr>
                <w:noProof/>
                <w:sz w:val="20"/>
                <w:szCs w:val="20"/>
                <w:lang w:val="en-GB"/>
              </w:rPr>
            </w:pPr>
            <w:r w:rsidRPr="00881BC8">
              <w:rPr>
                <w:noProof/>
                <w:sz w:val="20"/>
                <w:szCs w:val="20"/>
                <w:lang w:val="en-GB"/>
              </w:rPr>
              <w:t>Require</w:t>
            </w:r>
            <w:r w:rsidR="009C47AC" w:rsidRPr="00881BC8">
              <w:rPr>
                <w:noProof/>
                <w:sz w:val="20"/>
                <w:szCs w:val="20"/>
                <w:lang w:val="en-GB"/>
              </w:rPr>
              <w:t xml:space="preserve"> Member States to specifically address the question of unfair contractual terms and practices through their applicable national law.</w:t>
            </w:r>
          </w:p>
          <w:p w14:paraId="319DD747" w14:textId="77777777" w:rsidR="001E40BE" w:rsidRPr="00881BC8" w:rsidRDefault="001E40BE" w:rsidP="00E83577">
            <w:pPr>
              <w:tabs>
                <w:tab w:val="left" w:pos="170"/>
              </w:tabs>
              <w:spacing w:after="0"/>
              <w:rPr>
                <w:b/>
                <w:bCs/>
                <w:noProof/>
                <w:sz w:val="20"/>
                <w:szCs w:val="20"/>
                <w:lang w:val="en-GB"/>
              </w:rPr>
            </w:pPr>
          </w:p>
          <w:p w14:paraId="1B580B45" w14:textId="501786DE" w:rsidR="00084D92" w:rsidRPr="00881BC8" w:rsidRDefault="00084D92" w:rsidP="00E83577">
            <w:pPr>
              <w:tabs>
                <w:tab w:val="left" w:pos="170"/>
              </w:tabs>
              <w:spacing w:after="0"/>
              <w:rPr>
                <w:b/>
                <w:bCs/>
                <w:noProof/>
                <w:sz w:val="20"/>
                <w:szCs w:val="20"/>
                <w:lang w:val="en-GB"/>
              </w:rPr>
            </w:pPr>
          </w:p>
        </w:tc>
      </w:tr>
      <w:tr w:rsidR="002871D2" w:rsidRPr="00881BC8" w14:paraId="1DC9FAF9" w14:textId="77777777" w:rsidTr="00276DFA">
        <w:trPr>
          <w:trHeight w:val="2240"/>
        </w:trPr>
        <w:tc>
          <w:tcPr>
            <w:tcW w:w="4390" w:type="dxa"/>
            <w:vMerge/>
          </w:tcPr>
          <w:p w14:paraId="188A3809" w14:textId="77777777" w:rsidR="002871D2" w:rsidRPr="00881BC8" w:rsidRDefault="002871D2" w:rsidP="00E83577">
            <w:pPr>
              <w:rPr>
                <w:noProof/>
                <w:sz w:val="20"/>
                <w:szCs w:val="20"/>
                <w:lang w:val="en-GB"/>
              </w:rPr>
            </w:pPr>
          </w:p>
        </w:tc>
        <w:tc>
          <w:tcPr>
            <w:tcW w:w="4682" w:type="dxa"/>
            <w:gridSpan w:val="2"/>
          </w:tcPr>
          <w:p w14:paraId="1A601700" w14:textId="77777777" w:rsidR="002871D2" w:rsidRPr="00881BC8" w:rsidRDefault="002871D2" w:rsidP="00E83577">
            <w:pPr>
              <w:tabs>
                <w:tab w:val="left" w:pos="170"/>
              </w:tabs>
              <w:spacing w:after="0"/>
              <w:rPr>
                <w:b/>
                <w:bCs/>
                <w:noProof/>
                <w:sz w:val="20"/>
                <w:szCs w:val="20"/>
                <w:lang w:val="en-GB"/>
              </w:rPr>
            </w:pPr>
          </w:p>
          <w:p w14:paraId="735F12E5" w14:textId="77777777" w:rsidR="002871D2" w:rsidRPr="00881BC8" w:rsidRDefault="002871D2" w:rsidP="00E83577">
            <w:pPr>
              <w:tabs>
                <w:tab w:val="left" w:pos="170"/>
              </w:tabs>
              <w:spacing w:after="0"/>
              <w:rPr>
                <w:b/>
                <w:bCs/>
                <w:noProof/>
                <w:sz w:val="20"/>
                <w:szCs w:val="20"/>
                <w:lang w:val="en-GB"/>
              </w:rPr>
            </w:pPr>
          </w:p>
          <w:p w14:paraId="09946A98" w14:textId="62DDFCCF" w:rsidR="002871D2" w:rsidRPr="00881BC8" w:rsidRDefault="002871D2" w:rsidP="00E83577">
            <w:pPr>
              <w:tabs>
                <w:tab w:val="left" w:pos="170"/>
              </w:tabs>
              <w:spacing w:after="0"/>
              <w:rPr>
                <w:b/>
                <w:bCs/>
                <w:noProof/>
                <w:sz w:val="20"/>
                <w:szCs w:val="20"/>
                <w:lang w:val="en-GB"/>
              </w:rPr>
            </w:pPr>
          </w:p>
        </w:tc>
      </w:tr>
    </w:tbl>
    <w:p w14:paraId="225EC0C2" w14:textId="77777777" w:rsidR="003E5FBC" w:rsidRPr="00881BC8" w:rsidRDefault="003E5FBC" w:rsidP="004835F8">
      <w:pPr>
        <w:pStyle w:val="NormalPara"/>
        <w:rPr>
          <w:noProof/>
          <w:lang w:val="en-GB"/>
        </w:rPr>
      </w:pPr>
      <w:r w:rsidRPr="00881BC8">
        <w:rPr>
          <w:noProof/>
          <w:lang w:val="en-GB"/>
        </w:rPr>
        <w:t>PO3a puts forward appointing a payment envoy, based on similar solutions already in place in the Member States (e.g., France, Hungary, Slovakia) and in the UK (e.g. Small Business Commissioner)</w:t>
      </w:r>
      <w:r w:rsidRPr="00881BC8">
        <w:rPr>
          <w:rStyle w:val="FootnoteReference"/>
          <w:rFonts w:eastAsia="Times New Roman"/>
          <w:noProof/>
          <w:lang w:val="en-GB"/>
        </w:rPr>
        <w:footnoteReference w:id="90"/>
      </w:r>
      <w:r w:rsidRPr="00881BC8">
        <w:rPr>
          <w:noProof/>
          <w:lang w:val="en-GB"/>
        </w:rPr>
        <w:t>. The envoy would be an interface between the government and businesses on payment delays and their impact on SMEs. The envoy could play an advisory role in the design of national policies and initiatives to combat late payments. They could play a role in raising awareness, providing information and education, and promoting, where available, national prompt payment codes. They could be a central point for collecting data on payment performance. By ensuring confidentiality to the victims of late payment, the envoy could gather intelligence about unfair payment practices</w:t>
      </w:r>
      <w:r w:rsidRPr="00881BC8">
        <w:rPr>
          <w:rStyle w:val="FootnoteReference"/>
          <w:rFonts w:eastAsia="Times New Roman"/>
          <w:noProof/>
          <w:lang w:val="en-GB"/>
        </w:rPr>
        <w:footnoteReference w:id="91"/>
      </w:r>
      <w:r w:rsidRPr="00881BC8">
        <w:rPr>
          <w:noProof/>
          <w:lang w:val="en-GB"/>
        </w:rPr>
        <w:t xml:space="preserve">. Although the envoy would not be tasked with solving disputes or issuing administrative fines, Member States could decide to empower the envoy with these competences. </w:t>
      </w:r>
    </w:p>
    <w:p w14:paraId="4C45648C" w14:textId="7DA608F9" w:rsidR="003E5FBC" w:rsidRPr="00881BC8" w:rsidRDefault="003E5FBC" w:rsidP="004835F8">
      <w:pPr>
        <w:pStyle w:val="NormalPara"/>
        <w:rPr>
          <w:noProof/>
          <w:lang w:val="en-GB"/>
        </w:rPr>
      </w:pPr>
      <w:r w:rsidRPr="00881BC8">
        <w:rPr>
          <w:rFonts w:eastAsia="Times New Roman"/>
          <w:noProof/>
          <w:lang w:val="en-GB"/>
        </w:rPr>
        <w:t>PO3b</w:t>
      </w:r>
      <w:r w:rsidRPr="00881BC8">
        <w:rPr>
          <w:rFonts w:eastAsia="Times New Roman"/>
          <w:b/>
          <w:bCs/>
          <w:noProof/>
          <w:lang w:val="en-GB"/>
        </w:rPr>
        <w:t xml:space="preserve"> </w:t>
      </w:r>
      <w:r w:rsidRPr="00881BC8">
        <w:rPr>
          <w:rFonts w:eastAsia="Times New Roman"/>
          <w:noProof/>
          <w:lang w:val="en-GB"/>
        </w:rPr>
        <w:t xml:space="preserve">provides for setting up a national system of mediation. Recital 34 of the LPD requires </w:t>
      </w:r>
      <w:r w:rsidRPr="00881BC8">
        <w:rPr>
          <w:noProof/>
          <w:lang w:val="en-GB"/>
        </w:rPr>
        <w:t>Member States to encourage recourse to mediation or other means of ADR and quotes the Mediation Directive (2008/59/EC)</w:t>
      </w:r>
      <w:r w:rsidRPr="00881BC8">
        <w:rPr>
          <w:rStyle w:val="FootnoteReference"/>
          <w:rFonts w:eastAsia="@Yu Mincho Light"/>
          <w:noProof/>
          <w:lang w:val="en-GB"/>
        </w:rPr>
        <w:footnoteReference w:id="92"/>
      </w:r>
      <w:r w:rsidRPr="00881BC8">
        <w:rPr>
          <w:noProof/>
          <w:lang w:val="en-GB"/>
        </w:rPr>
        <w:t>. The 2019 EP Resolution calls on Member States to set up national and/or regional ‘free and confidential’ mediation services ‘accessible to all companies, as an alternative to court proceedings, to resolve payment disputes and maintain business relations’. The resolution also calls for the ‘public funding of independent ombudsmen responsible for investigating late payment and non-payment disputes, assisting small businesses in resolving late payment and non-payment disputes, advising on action in the event of payment arrears and recommending solutions, particularly to SMEs’.</w:t>
      </w:r>
    </w:p>
    <w:p w14:paraId="115057DD" w14:textId="01C26CDD" w:rsidR="00DC50C0" w:rsidRDefault="00FC0C8E" w:rsidP="004835F8">
      <w:pPr>
        <w:pStyle w:val="NormalPara"/>
        <w:rPr>
          <w:noProof/>
          <w:lang w:val="en-GB"/>
        </w:rPr>
      </w:pPr>
      <w:r w:rsidRPr="00881BC8">
        <w:rPr>
          <w:noProof/>
          <w:lang w:val="en-GB"/>
        </w:rPr>
        <w:t>PO</w:t>
      </w:r>
      <w:r w:rsidR="00260512" w:rsidRPr="00881BC8">
        <w:rPr>
          <w:noProof/>
          <w:lang w:val="en-GB"/>
        </w:rPr>
        <w:t>3a and</w:t>
      </w:r>
      <w:r w:rsidRPr="00881BC8">
        <w:rPr>
          <w:noProof/>
          <w:lang w:val="en-GB"/>
        </w:rPr>
        <w:t xml:space="preserve"> PO</w:t>
      </w:r>
      <w:r w:rsidR="00E44475" w:rsidRPr="00881BC8">
        <w:rPr>
          <w:noProof/>
          <w:lang w:val="en-GB"/>
        </w:rPr>
        <w:t>3b</w:t>
      </w:r>
      <w:r w:rsidR="00CA65B5" w:rsidRPr="00881BC8">
        <w:rPr>
          <w:noProof/>
          <w:lang w:val="en-GB"/>
        </w:rPr>
        <w:t xml:space="preserve"> </w:t>
      </w:r>
      <w:r w:rsidR="00043792" w:rsidRPr="00881BC8">
        <w:rPr>
          <w:noProof/>
          <w:lang w:val="en-GB"/>
        </w:rPr>
        <w:t xml:space="preserve">put forward </w:t>
      </w:r>
      <w:r w:rsidR="005323C0" w:rsidRPr="00881BC8">
        <w:rPr>
          <w:noProof/>
          <w:lang w:val="en-GB"/>
        </w:rPr>
        <w:t>a</w:t>
      </w:r>
      <w:r w:rsidR="005844E3" w:rsidRPr="00881BC8">
        <w:rPr>
          <w:noProof/>
          <w:lang w:val="en-GB"/>
        </w:rPr>
        <w:t xml:space="preserve"> proposal to Member States to specifically address the question of unfair contractual terms and practices through their applicable national law.</w:t>
      </w:r>
      <w:r w:rsidR="00DC50C0" w:rsidRPr="00881BC8">
        <w:rPr>
          <w:noProof/>
          <w:lang w:val="en-GB"/>
        </w:rPr>
        <w:t xml:space="preserve"> This should avoid the risk of circumvention of the stricter new rules as result of unfair contractual terms or practices introduced for example by the stronger party in a contractual relationship. According to this approach, Member States would be </w:t>
      </w:r>
      <w:r w:rsidR="00922601" w:rsidRPr="00881BC8">
        <w:rPr>
          <w:noProof/>
          <w:lang w:val="en-GB"/>
        </w:rPr>
        <w:t>required</w:t>
      </w:r>
      <w:r w:rsidR="00DC50C0" w:rsidRPr="00881BC8">
        <w:rPr>
          <w:noProof/>
          <w:lang w:val="en-GB"/>
        </w:rPr>
        <w:t xml:space="preserve"> in the new </w:t>
      </w:r>
      <w:r w:rsidR="00922601" w:rsidRPr="00881BC8">
        <w:rPr>
          <w:noProof/>
          <w:lang w:val="en-GB"/>
        </w:rPr>
        <w:t>legal instrument</w:t>
      </w:r>
      <w:r w:rsidR="00DC50C0" w:rsidRPr="00881BC8">
        <w:rPr>
          <w:noProof/>
          <w:lang w:val="en-GB"/>
        </w:rPr>
        <w:t xml:space="preserve"> to </w:t>
      </w:r>
      <w:r w:rsidR="00627DAC" w:rsidRPr="00881BC8">
        <w:rPr>
          <w:noProof/>
          <w:lang w:val="en-GB"/>
        </w:rPr>
        <w:t>provide for</w:t>
      </w:r>
      <w:r w:rsidR="00DC50C0" w:rsidRPr="00881BC8">
        <w:rPr>
          <w:noProof/>
          <w:lang w:val="en-GB"/>
        </w:rPr>
        <w:t xml:space="preserve"> specific solutions preventing such circumvention.</w:t>
      </w:r>
    </w:p>
    <w:p w14:paraId="6EB64DC5" w14:textId="0CC646DF" w:rsidR="0090056C" w:rsidRPr="00466B00" w:rsidRDefault="0090056C" w:rsidP="0043552B">
      <w:pPr>
        <w:pStyle w:val="NormalPara"/>
        <w:rPr>
          <w:noProof/>
        </w:rPr>
      </w:pPr>
      <w:r>
        <w:rPr>
          <w:noProof/>
          <w:lang w:val="en-GB"/>
        </w:rPr>
        <w:t>T</w:t>
      </w:r>
      <w:r>
        <w:rPr>
          <w:noProof/>
        </w:rPr>
        <w:t xml:space="preserve">he specific relationship between the LPD and the UTP might require better clarification. This could be done either through a revision of the UTP Directive or, alternatively, in the context of the </w:t>
      </w:r>
      <w:r w:rsidRPr="00367C59">
        <w:rPr>
          <w:noProof/>
          <w:lang w:val="en-GB"/>
        </w:rPr>
        <w:t>revision</w:t>
      </w:r>
      <w:r>
        <w:rPr>
          <w:noProof/>
        </w:rPr>
        <w:t xml:space="preserve"> of the LPD, without prejudice to all relevant legal considerations regarding, for example, the legal base or the choice of legal instrument. Provided  that this clarification within the context of the LPD revision  is legally feasible, this could be presented as follows in the new legal instrument:  </w:t>
      </w:r>
    </w:p>
    <w:p w14:paraId="36438F07" w14:textId="75ECCC68" w:rsidR="00624EED" w:rsidRPr="0090056C" w:rsidRDefault="00624EED" w:rsidP="0090056C">
      <w:pPr>
        <w:pStyle w:val="NormalPara"/>
        <w:numPr>
          <w:ilvl w:val="1"/>
          <w:numId w:val="62"/>
        </w:numPr>
        <w:ind w:left="357" w:hanging="357"/>
        <w:rPr>
          <w:noProof/>
          <w:lang w:val="en-GB"/>
        </w:rPr>
      </w:pPr>
      <w:r w:rsidRPr="0090056C">
        <w:rPr>
          <w:noProof/>
          <w:lang w:val="en-GB"/>
        </w:rPr>
        <w:t xml:space="preserve">The application of the revised legal text (lex generalis) to those commercial transactions for the supply of agri-food products which do not fall within the scope of the UTP directive. In particular, the UTP directive, in its Article 1 (2), excludes from the scope of the UTP directive commercial transactions for the supply of agri-food products between buyers and suppliers operating within the same “bracket” (e.g. within the brackets identified in letters from a) to e) of article 1.2 of the UTP Directive). Therefore, any of the PO1 and sub-options </w:t>
      </w:r>
      <w:r w:rsidR="0043552B">
        <w:rPr>
          <w:noProof/>
          <w:lang w:val="en-GB"/>
        </w:rPr>
        <w:t xml:space="preserve">might </w:t>
      </w:r>
      <w:r w:rsidRPr="0090056C">
        <w:rPr>
          <w:noProof/>
          <w:lang w:val="en-GB"/>
        </w:rPr>
        <w:t xml:space="preserve"> clarify that payments for these specific transactions would fall within the scope of the new revised legal instrument (lex generalis).</w:t>
      </w:r>
    </w:p>
    <w:p w14:paraId="58D2DEED" w14:textId="186AADF1" w:rsidR="00624EED" w:rsidRPr="00881BC8" w:rsidRDefault="00624EED" w:rsidP="00624EED">
      <w:pPr>
        <w:pStyle w:val="NormalPara"/>
        <w:numPr>
          <w:ilvl w:val="1"/>
          <w:numId w:val="62"/>
        </w:numPr>
        <w:ind w:left="357" w:hanging="357"/>
        <w:rPr>
          <w:noProof/>
          <w:lang w:val="en-GB"/>
        </w:rPr>
      </w:pPr>
      <w:r w:rsidRPr="00881BC8">
        <w:rPr>
          <w:noProof/>
          <w:lang w:val="en-GB"/>
        </w:rPr>
        <w:t xml:space="preserve">To ensure maximum coherence, it </w:t>
      </w:r>
      <w:r w:rsidR="0043552B">
        <w:rPr>
          <w:noProof/>
          <w:lang w:val="en-GB"/>
        </w:rPr>
        <w:t xml:space="preserve">might </w:t>
      </w:r>
      <w:r w:rsidRPr="00881BC8">
        <w:rPr>
          <w:noProof/>
          <w:lang w:val="en-GB"/>
        </w:rPr>
        <w:t>be clarified that the new maximum capping option under PO1b would be without prejudice to the commercial transactions falling within the scope of the UTP, with the exception of the payment period applicable to the supply of non-perishable food products, which are currently subject to a 60-days cap under the UTP Directive. Moreover, the maximum cap of payment periods at 30 days (PO1a) in the revised legal instrument should be in any case without prejudice to the specific rules applicable in the agri-food sector to value sharing agreements, payments in the context of the school scheme, and to certain payments in the must and wine sector</w:t>
      </w:r>
      <w:r w:rsidRPr="00881BC8">
        <w:rPr>
          <w:rStyle w:val="FootnoteReference"/>
          <w:noProof/>
          <w:lang w:val="en-GB"/>
        </w:rPr>
        <w:footnoteReference w:id="93"/>
      </w:r>
      <w:r w:rsidRPr="00881BC8">
        <w:rPr>
          <w:noProof/>
          <w:lang w:val="en-GB"/>
        </w:rPr>
        <w:t xml:space="preserve">. </w:t>
      </w:r>
    </w:p>
    <w:p w14:paraId="1AD6FB68" w14:textId="4F9FA947" w:rsidR="00624EED" w:rsidRPr="00624EED" w:rsidRDefault="00624EED" w:rsidP="00624EED">
      <w:pPr>
        <w:pStyle w:val="NormalPara"/>
        <w:numPr>
          <w:ilvl w:val="1"/>
          <w:numId w:val="62"/>
        </w:numPr>
        <w:ind w:left="357" w:hanging="357"/>
        <w:rPr>
          <w:noProof/>
          <w:lang w:val="en-GB"/>
        </w:rPr>
      </w:pPr>
      <w:r w:rsidRPr="00881BC8">
        <w:rPr>
          <w:noProof/>
          <w:lang w:val="en-GB"/>
        </w:rPr>
        <w:t xml:space="preserve">The revised Directive or the new Regulation </w:t>
      </w:r>
      <w:r w:rsidR="0043552B">
        <w:rPr>
          <w:noProof/>
          <w:lang w:val="en-GB"/>
        </w:rPr>
        <w:t xml:space="preserve">might </w:t>
      </w:r>
      <w:r w:rsidRPr="00881BC8">
        <w:rPr>
          <w:noProof/>
          <w:lang w:val="en-GB"/>
        </w:rPr>
        <w:t>also lay down an obligation aimed at ensuring cooperation and coordination between the enforcement authorities that are already in place as a result of the transposition and implementation of the UTP Directive and the enforcement authorities that will be set up as a result of the revision of the LPD (see PO2).</w:t>
      </w:r>
    </w:p>
    <w:p w14:paraId="12EC2FF0" w14:textId="77777777" w:rsidR="00576E84" w:rsidRPr="00881BC8" w:rsidRDefault="00576E84" w:rsidP="004835F8">
      <w:pPr>
        <w:pStyle w:val="Heading2"/>
        <w:tabs>
          <w:tab w:val="num" w:pos="1134"/>
        </w:tabs>
        <w:ind w:left="1134" w:hanging="708"/>
        <w:rPr>
          <w:noProof/>
        </w:rPr>
      </w:pPr>
      <w:bookmarkStart w:id="345" w:name="_Toc130395702"/>
      <w:bookmarkStart w:id="346" w:name="_Toc130403620"/>
      <w:bookmarkStart w:id="347" w:name="_Toc129899891"/>
      <w:bookmarkStart w:id="348" w:name="_Ref130845627"/>
      <w:bookmarkStart w:id="349" w:name="_Ref135218529"/>
      <w:bookmarkStart w:id="350" w:name="_Ref135220471"/>
      <w:bookmarkStart w:id="351" w:name="_Ref135220516"/>
      <w:bookmarkStart w:id="352" w:name="_Toc135237408"/>
      <w:bookmarkStart w:id="353" w:name="_Toc108191628"/>
      <w:bookmarkStart w:id="354" w:name="_Toc108194815"/>
      <w:bookmarkStart w:id="355" w:name="_Toc108439918"/>
      <w:bookmarkStart w:id="356" w:name="_Toc108441088"/>
      <w:bookmarkStart w:id="357" w:name="_Toc113029445"/>
      <w:bookmarkStart w:id="358" w:name="_Toc113311926"/>
      <w:bookmarkStart w:id="359" w:name="_Toc113313971"/>
      <w:bookmarkStart w:id="360" w:name="_Toc113314999"/>
      <w:bookmarkStart w:id="361" w:name="_Toc113656935"/>
      <w:bookmarkStart w:id="362" w:name="_Toc113904550"/>
      <w:bookmarkStart w:id="363" w:name="_Toc113915468"/>
      <w:bookmarkStart w:id="364" w:name="_Toc113915535"/>
      <w:bookmarkStart w:id="365" w:name="_Toc113915617"/>
      <w:bookmarkStart w:id="366" w:name="_Toc114137185"/>
      <w:bookmarkStart w:id="367" w:name="_Toc129710196"/>
      <w:bookmarkStart w:id="368" w:name="_Toc129899901"/>
      <w:bookmarkEnd w:id="345"/>
      <w:bookmarkEnd w:id="346"/>
      <w:r w:rsidRPr="00881BC8">
        <w:rPr>
          <w:noProof/>
        </w:rPr>
        <w:t>Form of the legal act</w:t>
      </w:r>
      <w:bookmarkEnd w:id="347"/>
      <w:bookmarkEnd w:id="348"/>
      <w:bookmarkEnd w:id="349"/>
      <w:bookmarkEnd w:id="350"/>
      <w:bookmarkEnd w:id="351"/>
      <w:bookmarkEnd w:id="352"/>
    </w:p>
    <w:p w14:paraId="09F7B5B9" w14:textId="47B8583C" w:rsidR="00576E84" w:rsidRPr="00881BC8" w:rsidRDefault="00576E84" w:rsidP="004835F8">
      <w:pPr>
        <w:pStyle w:val="NormalPara"/>
        <w:rPr>
          <w:noProof/>
          <w:lang w:val="en-GB"/>
        </w:rPr>
      </w:pPr>
      <w:r w:rsidRPr="00881BC8">
        <w:rPr>
          <w:rFonts w:eastAsia="@Yu Mincho Light"/>
          <w:noProof/>
          <w:sz w:val="22"/>
          <w:szCs w:val="22"/>
          <w:lang w:val="en-GB"/>
        </w:rPr>
        <w:t>R</w:t>
      </w:r>
      <w:r w:rsidRPr="00881BC8">
        <w:rPr>
          <w:noProof/>
          <w:lang w:val="en-GB"/>
        </w:rPr>
        <w:t>egarding the choice of instrument, the options are adopting a regulation</w:t>
      </w:r>
      <w:r w:rsidR="00624EED">
        <w:rPr>
          <w:noProof/>
          <w:lang w:val="en-GB"/>
        </w:rPr>
        <w:t xml:space="preserve"> (option 1)</w:t>
      </w:r>
      <w:r w:rsidRPr="00881BC8">
        <w:rPr>
          <w:noProof/>
          <w:lang w:val="en-GB"/>
        </w:rPr>
        <w:t xml:space="preserve"> or keeping the same legal instrument by revising the current directive</w:t>
      </w:r>
      <w:r w:rsidR="00624EED">
        <w:rPr>
          <w:noProof/>
          <w:lang w:val="en-GB"/>
        </w:rPr>
        <w:t xml:space="preserve"> (option 2)</w:t>
      </w:r>
      <w:r w:rsidRPr="00881BC8">
        <w:rPr>
          <w:noProof/>
          <w:lang w:val="en-GB"/>
        </w:rPr>
        <w:t>.</w:t>
      </w:r>
    </w:p>
    <w:p w14:paraId="776835B6" w14:textId="77777777" w:rsidR="003C724E" w:rsidRPr="00881BC8" w:rsidRDefault="00F867B4" w:rsidP="003C724E">
      <w:pPr>
        <w:pStyle w:val="NormalPara"/>
        <w:rPr>
          <w:noProof/>
          <w:lang w:val="en-GB"/>
        </w:rPr>
      </w:pPr>
      <w:r w:rsidRPr="00881BC8">
        <w:rPr>
          <w:noProof/>
          <w:lang w:val="en-GB"/>
        </w:rPr>
        <w:t>The two options show some key differences.</w:t>
      </w:r>
    </w:p>
    <w:p w14:paraId="324925F5" w14:textId="595C1582" w:rsidR="00F77B7B" w:rsidRPr="00881BC8" w:rsidRDefault="00AC03D1" w:rsidP="00F77B7B">
      <w:pPr>
        <w:pStyle w:val="NormalPara"/>
        <w:rPr>
          <w:noProof/>
          <w:lang w:val="en-GB"/>
        </w:rPr>
      </w:pPr>
      <w:r w:rsidRPr="00881BC8">
        <w:rPr>
          <w:noProof/>
          <w:lang w:val="en-GB"/>
        </w:rPr>
        <w:t xml:space="preserve">In the case of the first option, where a </w:t>
      </w:r>
      <w:r w:rsidR="002429A8" w:rsidRPr="00881BC8">
        <w:rPr>
          <w:noProof/>
          <w:lang w:val="en-GB"/>
        </w:rPr>
        <w:t>r</w:t>
      </w:r>
      <w:r w:rsidR="00F77B7B" w:rsidRPr="00881BC8">
        <w:rPr>
          <w:noProof/>
          <w:lang w:val="en-GB"/>
        </w:rPr>
        <w:t xml:space="preserve">egulation would repeal and replace the current </w:t>
      </w:r>
      <w:r w:rsidR="002429A8" w:rsidRPr="00881BC8">
        <w:rPr>
          <w:noProof/>
          <w:lang w:val="en-GB"/>
        </w:rPr>
        <w:t>d</w:t>
      </w:r>
      <w:r w:rsidR="00F77B7B" w:rsidRPr="00881BC8">
        <w:rPr>
          <w:noProof/>
          <w:lang w:val="en-GB"/>
        </w:rPr>
        <w:t>irective</w:t>
      </w:r>
      <w:r w:rsidRPr="00881BC8">
        <w:rPr>
          <w:noProof/>
          <w:lang w:val="en-GB"/>
        </w:rPr>
        <w:t>, the provisions of the future act would be drafted in such a way that they are directly applicabl</w:t>
      </w:r>
      <w:r w:rsidR="00DB2D7C" w:rsidRPr="00881BC8">
        <w:rPr>
          <w:noProof/>
          <w:lang w:val="en-GB"/>
        </w:rPr>
        <w:t>e</w:t>
      </w:r>
      <w:r w:rsidR="00F77B7B" w:rsidRPr="00881BC8">
        <w:rPr>
          <w:noProof/>
          <w:lang w:val="en-GB"/>
        </w:rPr>
        <w:t xml:space="preserve">. </w:t>
      </w:r>
      <w:r w:rsidRPr="00881BC8">
        <w:rPr>
          <w:noProof/>
          <w:lang w:val="en-GB"/>
        </w:rPr>
        <w:t>Such</w:t>
      </w:r>
      <w:r w:rsidR="00F77B7B" w:rsidRPr="00881BC8">
        <w:rPr>
          <w:noProof/>
          <w:lang w:val="en-GB"/>
        </w:rPr>
        <w:t xml:space="preserve"> </w:t>
      </w:r>
      <w:r w:rsidRPr="00881BC8">
        <w:rPr>
          <w:noProof/>
          <w:lang w:val="en-GB"/>
        </w:rPr>
        <w:t xml:space="preserve">provisions </w:t>
      </w:r>
      <w:r w:rsidR="00F77B7B" w:rsidRPr="00881BC8">
        <w:rPr>
          <w:noProof/>
          <w:lang w:val="en-GB"/>
        </w:rPr>
        <w:t xml:space="preserve">would be directly applicable in all Member States since its entry into force. While national law would need to adjust to the EU regulation, there would be no need for a transposition. A regulation would be binding </w:t>
      </w:r>
      <w:r w:rsidR="00665462" w:rsidRPr="00881BC8">
        <w:rPr>
          <w:noProof/>
          <w:lang w:val="en-GB"/>
        </w:rPr>
        <w:t>and</w:t>
      </w:r>
      <w:r w:rsidR="00F77B7B" w:rsidRPr="00881BC8">
        <w:rPr>
          <w:noProof/>
          <w:lang w:val="en-GB"/>
        </w:rPr>
        <w:t xml:space="preserve"> the same rules would apply in all Member States</w:t>
      </w:r>
      <w:r w:rsidR="002429A8" w:rsidRPr="00881BC8">
        <w:rPr>
          <w:noProof/>
          <w:lang w:val="en-GB"/>
        </w:rPr>
        <w:t>.</w:t>
      </w:r>
      <w:r w:rsidR="00F77B7B" w:rsidRPr="00881BC8">
        <w:rPr>
          <w:noProof/>
          <w:lang w:val="en-GB"/>
        </w:rPr>
        <w:t xml:space="preserve"> </w:t>
      </w:r>
      <w:r w:rsidRPr="00881BC8">
        <w:rPr>
          <w:noProof/>
          <w:lang w:val="en-GB"/>
        </w:rPr>
        <w:t xml:space="preserve">This could happen in particular as regards measures such as </w:t>
      </w:r>
      <w:r w:rsidR="002429A8" w:rsidRPr="00881BC8">
        <w:rPr>
          <w:noProof/>
          <w:lang w:val="en-GB"/>
        </w:rPr>
        <w:t xml:space="preserve">the </w:t>
      </w:r>
      <w:r w:rsidR="00F77B7B" w:rsidRPr="00881BC8">
        <w:rPr>
          <w:noProof/>
          <w:lang w:val="en-GB"/>
        </w:rPr>
        <w:t xml:space="preserve">setting </w:t>
      </w:r>
      <w:r w:rsidR="002429A8" w:rsidRPr="00881BC8">
        <w:rPr>
          <w:noProof/>
          <w:lang w:val="en-GB"/>
        </w:rPr>
        <w:t xml:space="preserve">of </w:t>
      </w:r>
      <w:r w:rsidR="00F77B7B" w:rsidRPr="00881BC8">
        <w:rPr>
          <w:noProof/>
          <w:lang w:val="en-GB"/>
        </w:rPr>
        <w:t>maximum payment terms</w:t>
      </w:r>
      <w:r w:rsidR="00452F62" w:rsidRPr="00881BC8">
        <w:rPr>
          <w:noProof/>
          <w:lang w:val="en-GB"/>
        </w:rPr>
        <w:t>,</w:t>
      </w:r>
      <w:r w:rsidR="00F77B7B" w:rsidRPr="00881BC8">
        <w:rPr>
          <w:noProof/>
          <w:lang w:val="en-GB"/>
        </w:rPr>
        <w:t xml:space="preserve"> </w:t>
      </w:r>
      <w:r w:rsidRPr="00881BC8">
        <w:rPr>
          <w:noProof/>
          <w:lang w:val="en-GB"/>
        </w:rPr>
        <w:t xml:space="preserve">the </w:t>
      </w:r>
      <w:r w:rsidR="00F77B7B" w:rsidRPr="00881BC8">
        <w:rPr>
          <w:noProof/>
          <w:lang w:val="en-GB"/>
        </w:rPr>
        <w:t>duration of the verification procedures</w:t>
      </w:r>
      <w:r w:rsidRPr="00881BC8">
        <w:rPr>
          <w:noProof/>
          <w:lang w:val="en-GB"/>
        </w:rPr>
        <w:t xml:space="preserve"> or </w:t>
      </w:r>
      <w:r w:rsidR="00F77B7B" w:rsidRPr="00881BC8">
        <w:rPr>
          <w:noProof/>
          <w:lang w:val="en-GB"/>
        </w:rPr>
        <w:t xml:space="preserve">the rate of late payment interests and the amount of the flat fee compensation. The </w:t>
      </w:r>
      <w:r w:rsidR="002429A8" w:rsidRPr="00881BC8">
        <w:rPr>
          <w:noProof/>
          <w:lang w:val="en-GB"/>
        </w:rPr>
        <w:t>r</w:t>
      </w:r>
      <w:r w:rsidR="00F77B7B" w:rsidRPr="00881BC8">
        <w:rPr>
          <w:noProof/>
          <w:lang w:val="en-GB"/>
        </w:rPr>
        <w:t xml:space="preserve">egulation </w:t>
      </w:r>
      <w:r w:rsidR="002429A8" w:rsidRPr="00881BC8">
        <w:rPr>
          <w:noProof/>
          <w:lang w:val="en-GB"/>
        </w:rPr>
        <w:t xml:space="preserve">would </w:t>
      </w:r>
      <w:r w:rsidR="00F77B7B" w:rsidRPr="00881BC8">
        <w:rPr>
          <w:noProof/>
          <w:lang w:val="en-GB"/>
        </w:rPr>
        <w:t xml:space="preserve">also </w:t>
      </w:r>
      <w:r w:rsidR="002429A8" w:rsidRPr="00881BC8">
        <w:rPr>
          <w:noProof/>
          <w:lang w:val="en-GB"/>
        </w:rPr>
        <w:t xml:space="preserve">need to </w:t>
      </w:r>
      <w:r w:rsidR="00F77B7B" w:rsidRPr="00881BC8">
        <w:rPr>
          <w:noProof/>
          <w:lang w:val="en-GB"/>
        </w:rPr>
        <w:t xml:space="preserve">introduce directly applicable provisions </w:t>
      </w:r>
      <w:r w:rsidR="002429A8" w:rsidRPr="00881BC8">
        <w:rPr>
          <w:noProof/>
          <w:lang w:val="en-GB"/>
        </w:rPr>
        <w:t xml:space="preserve">regarding requirements to contractors to provide evidence on </w:t>
      </w:r>
      <w:r w:rsidR="00F77B7B" w:rsidRPr="00881BC8">
        <w:rPr>
          <w:noProof/>
          <w:lang w:val="en-GB"/>
        </w:rPr>
        <w:t>payments to subcontractors in public procurement works (see for more detail Option 2a)</w:t>
      </w:r>
      <w:r w:rsidR="002429A8" w:rsidRPr="00881BC8">
        <w:rPr>
          <w:noProof/>
          <w:lang w:val="en-GB"/>
        </w:rPr>
        <w:t>.</w:t>
      </w:r>
      <w:r w:rsidR="00F77B7B" w:rsidRPr="00881BC8">
        <w:rPr>
          <w:noProof/>
          <w:lang w:val="en-GB"/>
        </w:rPr>
        <w:t xml:space="preserve"> </w:t>
      </w:r>
      <w:r w:rsidR="00F949A3" w:rsidRPr="00881BC8">
        <w:rPr>
          <w:noProof/>
          <w:lang w:val="en-GB"/>
        </w:rPr>
        <w:t xml:space="preserve">Possibly certain specific provisions could explicitly allow Member States to adopt more stringent provisions, where this is carefully calibrated so as to allow operators and national authorities to clearly know which provisions apply. </w:t>
      </w:r>
      <w:r w:rsidR="00665462" w:rsidRPr="00881BC8">
        <w:rPr>
          <w:noProof/>
          <w:lang w:val="en-GB"/>
        </w:rPr>
        <w:t>A</w:t>
      </w:r>
      <w:r w:rsidR="00F77B7B" w:rsidRPr="00881BC8">
        <w:rPr>
          <w:noProof/>
          <w:lang w:val="en-GB"/>
        </w:rPr>
        <w:t xml:space="preserve">s a minimum harmonisation instrument, the </w:t>
      </w:r>
      <w:r w:rsidR="002429A8" w:rsidRPr="00881BC8">
        <w:rPr>
          <w:noProof/>
          <w:lang w:val="en-GB"/>
        </w:rPr>
        <w:t>r</w:t>
      </w:r>
      <w:r w:rsidR="00F77B7B" w:rsidRPr="00881BC8">
        <w:rPr>
          <w:noProof/>
          <w:lang w:val="en-GB"/>
        </w:rPr>
        <w:t xml:space="preserve">egulation </w:t>
      </w:r>
      <w:r w:rsidRPr="00881BC8">
        <w:rPr>
          <w:noProof/>
          <w:lang w:val="en-GB"/>
        </w:rPr>
        <w:t xml:space="preserve">would </w:t>
      </w:r>
      <w:r w:rsidR="00665462" w:rsidRPr="00881BC8">
        <w:rPr>
          <w:noProof/>
          <w:lang w:val="en-GB"/>
        </w:rPr>
        <w:t xml:space="preserve">also </w:t>
      </w:r>
      <w:r w:rsidR="00F77B7B" w:rsidRPr="00881BC8">
        <w:rPr>
          <w:noProof/>
          <w:lang w:val="en-GB"/>
        </w:rPr>
        <w:t xml:space="preserve">lay down obligations and definitions concerning the designation of national enforcement bodies, national mediation systems, credit management and financial literacy training and </w:t>
      </w:r>
      <w:r w:rsidR="00DB2D7C" w:rsidRPr="00881BC8">
        <w:rPr>
          <w:noProof/>
          <w:lang w:val="en-GB"/>
        </w:rPr>
        <w:t>u</w:t>
      </w:r>
      <w:r w:rsidR="00F77B7B" w:rsidRPr="00881BC8">
        <w:rPr>
          <w:noProof/>
          <w:lang w:val="en-GB"/>
        </w:rPr>
        <w:t xml:space="preserve">nfair contractual practices and provisions, but it </w:t>
      </w:r>
      <w:r w:rsidRPr="00881BC8">
        <w:rPr>
          <w:noProof/>
          <w:lang w:val="en-GB"/>
        </w:rPr>
        <w:t xml:space="preserve">would </w:t>
      </w:r>
      <w:r w:rsidR="00F77B7B" w:rsidRPr="00881BC8">
        <w:rPr>
          <w:noProof/>
          <w:lang w:val="en-GB"/>
        </w:rPr>
        <w:t xml:space="preserve">be for the Member States to complement them as these provisions </w:t>
      </w:r>
      <w:r w:rsidRPr="00881BC8">
        <w:rPr>
          <w:noProof/>
          <w:lang w:val="en-GB"/>
        </w:rPr>
        <w:t xml:space="preserve">might </w:t>
      </w:r>
      <w:r w:rsidR="00F77B7B" w:rsidRPr="00881BC8">
        <w:rPr>
          <w:noProof/>
          <w:lang w:val="en-GB"/>
        </w:rPr>
        <w:t xml:space="preserve">not </w:t>
      </w:r>
      <w:r w:rsidRPr="00881BC8">
        <w:rPr>
          <w:noProof/>
          <w:lang w:val="en-GB"/>
        </w:rPr>
        <w:t xml:space="preserve">be </w:t>
      </w:r>
      <w:r w:rsidR="00F77B7B" w:rsidRPr="00881BC8">
        <w:rPr>
          <w:noProof/>
          <w:lang w:val="en-GB"/>
        </w:rPr>
        <w:t>directly applicable</w:t>
      </w:r>
      <w:r w:rsidR="00357A9B" w:rsidRPr="00881BC8">
        <w:rPr>
          <w:noProof/>
          <w:lang w:val="en-GB"/>
        </w:rPr>
        <w:t>.</w:t>
      </w:r>
      <w:r w:rsidR="00F77B7B" w:rsidRPr="00881BC8">
        <w:rPr>
          <w:noProof/>
          <w:lang w:val="en-GB"/>
        </w:rPr>
        <w:t xml:space="preserve"> </w:t>
      </w:r>
      <w:r w:rsidR="00357A9B" w:rsidRPr="00881BC8">
        <w:rPr>
          <w:noProof/>
          <w:lang w:val="en-GB"/>
        </w:rPr>
        <w:t>The new regulation would also incorporate the existing provisions of the LPD which are not touched upon by the existing revision and which do not need to be revised.</w:t>
      </w:r>
    </w:p>
    <w:p w14:paraId="61114C8A" w14:textId="3460A526" w:rsidR="00F77B7B" w:rsidRPr="00881BC8" w:rsidRDefault="00AC03D1" w:rsidP="00F77B7B">
      <w:pPr>
        <w:pStyle w:val="NormalPara"/>
        <w:rPr>
          <w:noProof/>
          <w:lang w:val="en-GB"/>
        </w:rPr>
      </w:pPr>
      <w:r w:rsidRPr="00881BC8">
        <w:rPr>
          <w:noProof/>
          <w:lang w:val="en-GB"/>
        </w:rPr>
        <w:t xml:space="preserve">In the case of the second option, where a directive would amend the </w:t>
      </w:r>
      <w:r w:rsidR="00357A9B" w:rsidRPr="00881BC8">
        <w:rPr>
          <w:noProof/>
          <w:lang w:val="en-GB"/>
        </w:rPr>
        <w:t xml:space="preserve">existing </w:t>
      </w:r>
      <w:r w:rsidRPr="00881BC8">
        <w:rPr>
          <w:noProof/>
          <w:lang w:val="en-GB"/>
        </w:rPr>
        <w:t xml:space="preserve">LPD, the new legal instrument would </w:t>
      </w:r>
      <w:r w:rsidR="00357A9B" w:rsidRPr="00881BC8">
        <w:rPr>
          <w:noProof/>
          <w:lang w:val="en-GB"/>
        </w:rPr>
        <w:t xml:space="preserve">limit itself to </w:t>
      </w:r>
      <w:r w:rsidR="00F77B7B" w:rsidRPr="00881BC8">
        <w:rPr>
          <w:noProof/>
          <w:lang w:val="en-GB"/>
        </w:rPr>
        <w:t xml:space="preserve">introducing the measures identified in the preferred option (see </w:t>
      </w:r>
      <w:r w:rsidR="008E4A18" w:rsidRPr="00881BC8">
        <w:rPr>
          <w:noProof/>
          <w:lang w:val="en-GB"/>
        </w:rPr>
        <w:t>s</w:t>
      </w:r>
      <w:r w:rsidR="00F77B7B" w:rsidRPr="00881BC8">
        <w:rPr>
          <w:noProof/>
          <w:lang w:val="en-GB"/>
        </w:rPr>
        <w:t xml:space="preserve">ection </w:t>
      </w:r>
      <w:r w:rsidR="005851F4">
        <w:rPr>
          <w:noProof/>
          <w:lang w:val="en-GB"/>
        </w:rPr>
        <w:t>8</w:t>
      </w:r>
      <w:r w:rsidR="00F77B7B" w:rsidRPr="00881BC8">
        <w:rPr>
          <w:noProof/>
          <w:lang w:val="en-GB"/>
        </w:rPr>
        <w:t>)</w:t>
      </w:r>
      <w:r w:rsidR="00357A9B" w:rsidRPr="00881BC8">
        <w:rPr>
          <w:noProof/>
          <w:lang w:val="en-GB"/>
        </w:rPr>
        <w:t xml:space="preserve"> as amendments to the existing directive</w:t>
      </w:r>
      <w:r w:rsidR="00F77B7B" w:rsidRPr="00881BC8">
        <w:rPr>
          <w:noProof/>
          <w:lang w:val="en-GB"/>
        </w:rPr>
        <w:t xml:space="preserve">. Member States </w:t>
      </w:r>
      <w:r w:rsidR="00357A9B" w:rsidRPr="00881BC8">
        <w:rPr>
          <w:noProof/>
          <w:lang w:val="en-GB"/>
        </w:rPr>
        <w:t xml:space="preserve">would then </w:t>
      </w:r>
      <w:r w:rsidR="00F77B7B" w:rsidRPr="00881BC8">
        <w:rPr>
          <w:noProof/>
          <w:lang w:val="en-GB"/>
        </w:rPr>
        <w:t>need to transpose the amended Directive into national law. Member States will still be allowed to either maintain or introduce measures that are more favourable to the creditor (e.g. shorter payment terms, or specific payment terms for identified sectors, or higher rates of late payment interests and flat fee compensation).</w:t>
      </w:r>
    </w:p>
    <w:p w14:paraId="05C95765" w14:textId="45BDDD0B" w:rsidR="00F867B4" w:rsidRPr="00881BC8" w:rsidRDefault="00F867B4" w:rsidP="00F77B7B">
      <w:pPr>
        <w:pStyle w:val="NormalPara"/>
        <w:rPr>
          <w:noProof/>
          <w:lang w:val="en-GB"/>
        </w:rPr>
      </w:pPr>
      <w:r w:rsidRPr="00881BC8">
        <w:rPr>
          <w:noProof/>
          <w:lang w:val="en-GB"/>
        </w:rPr>
        <w:t xml:space="preserve">An assessment of the costs and benefits of each </w:t>
      </w:r>
      <w:r w:rsidR="003C724E" w:rsidRPr="00881BC8">
        <w:rPr>
          <w:noProof/>
          <w:lang w:val="en-GB"/>
        </w:rPr>
        <w:t>choice of legal form</w:t>
      </w:r>
      <w:r w:rsidRPr="00881BC8">
        <w:rPr>
          <w:noProof/>
          <w:lang w:val="en-GB"/>
        </w:rPr>
        <w:t xml:space="preserve"> is applied to the </w:t>
      </w:r>
      <w:r w:rsidR="008E4A18" w:rsidRPr="00881BC8">
        <w:rPr>
          <w:noProof/>
          <w:lang w:val="en-GB"/>
        </w:rPr>
        <w:t>p</w:t>
      </w:r>
      <w:r w:rsidRPr="00881BC8">
        <w:rPr>
          <w:noProof/>
          <w:lang w:val="en-GB"/>
        </w:rPr>
        <w:t xml:space="preserve">referred </w:t>
      </w:r>
      <w:r w:rsidR="008E4A18" w:rsidRPr="00881BC8">
        <w:rPr>
          <w:noProof/>
          <w:lang w:val="en-GB"/>
        </w:rPr>
        <w:t>o</w:t>
      </w:r>
      <w:r w:rsidRPr="00881BC8">
        <w:rPr>
          <w:noProof/>
          <w:lang w:val="en-GB"/>
        </w:rPr>
        <w:t xml:space="preserve">ption in </w:t>
      </w:r>
      <w:r w:rsidR="008E4A18" w:rsidRPr="00881BC8">
        <w:rPr>
          <w:noProof/>
          <w:lang w:val="en-GB"/>
        </w:rPr>
        <w:t>s</w:t>
      </w:r>
      <w:r w:rsidRPr="00881BC8">
        <w:rPr>
          <w:noProof/>
          <w:lang w:val="en-GB"/>
        </w:rPr>
        <w:t xml:space="preserve">ection </w:t>
      </w:r>
      <w:r w:rsidR="005851F4">
        <w:rPr>
          <w:noProof/>
          <w:lang w:val="en-GB"/>
        </w:rPr>
        <w:t>8</w:t>
      </w:r>
      <w:r w:rsidRPr="00881BC8">
        <w:rPr>
          <w:noProof/>
          <w:lang w:val="en-GB"/>
        </w:rPr>
        <w:t>.</w:t>
      </w:r>
    </w:p>
    <w:p w14:paraId="3B0D20F1" w14:textId="02D86F76" w:rsidR="00576E84" w:rsidRPr="00881BC8" w:rsidRDefault="00576E84" w:rsidP="00452F62">
      <w:pPr>
        <w:pStyle w:val="NormalPara"/>
        <w:numPr>
          <w:ilvl w:val="0"/>
          <w:numId w:val="0"/>
        </w:numPr>
        <w:rPr>
          <w:noProof/>
          <w:lang w:val="en-GB"/>
        </w:rPr>
      </w:pPr>
    </w:p>
    <w:p w14:paraId="76459C41" w14:textId="0FBF789D" w:rsidR="00CF43E4" w:rsidRPr="00881BC8" w:rsidRDefault="00576E84" w:rsidP="004835F8">
      <w:pPr>
        <w:pStyle w:val="Heading2"/>
        <w:rPr>
          <w:rFonts w:eastAsia="@Yu Mincho Light"/>
          <w:noProof/>
        </w:rPr>
      </w:pPr>
      <w:bookmarkStart w:id="369" w:name="_Ref131692580"/>
      <w:bookmarkStart w:id="370" w:name="_Toc135237409"/>
      <w:r w:rsidRPr="00881BC8">
        <w:rPr>
          <w:rFonts w:eastAsia="@Yu Mincho Light"/>
          <w:noProof/>
        </w:rPr>
        <w:t>Measures</w:t>
      </w:r>
      <w:r w:rsidR="00CF43E4" w:rsidRPr="00881BC8">
        <w:rPr>
          <w:rFonts w:eastAsia="@Yu Mincho Light"/>
          <w:noProof/>
        </w:rPr>
        <w:t xml:space="preserve"> discarded at an early stage</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9"/>
      <w:bookmarkEnd w:id="370"/>
      <w:r w:rsidR="000C4784" w:rsidRPr="00881BC8">
        <w:rPr>
          <w:rFonts w:eastAsia="@Yu Mincho Light"/>
          <w:noProof/>
        </w:rPr>
        <w:t xml:space="preserve"> </w:t>
      </w:r>
      <w:bookmarkEnd w:id="367"/>
      <w:bookmarkEnd w:id="368"/>
    </w:p>
    <w:p w14:paraId="6788652B" w14:textId="7F202F49" w:rsidR="00CF43E4" w:rsidRPr="00881BC8" w:rsidRDefault="00CF43E4" w:rsidP="004835F8">
      <w:pPr>
        <w:pStyle w:val="NormalPara"/>
        <w:rPr>
          <w:noProof/>
          <w:lang w:val="en-GB"/>
        </w:rPr>
      </w:pPr>
      <w:r w:rsidRPr="00881BC8">
        <w:rPr>
          <w:noProof/>
          <w:lang w:val="en-GB"/>
        </w:rPr>
        <w:t xml:space="preserve">The following policy </w:t>
      </w:r>
      <w:r w:rsidR="00576E84" w:rsidRPr="00881BC8">
        <w:rPr>
          <w:noProof/>
          <w:lang w:val="en-GB"/>
        </w:rPr>
        <w:t>measures</w:t>
      </w:r>
      <w:r w:rsidRPr="00881BC8">
        <w:rPr>
          <w:noProof/>
          <w:lang w:val="en-GB"/>
        </w:rPr>
        <w:t xml:space="preserve"> were considered but discarded</w:t>
      </w:r>
      <w:r w:rsidR="00FF1AAC" w:rsidRPr="00881BC8">
        <w:rPr>
          <w:noProof/>
          <w:lang w:val="en-GB"/>
        </w:rPr>
        <w:t xml:space="preserve"> (</w:t>
      </w:r>
      <w:r w:rsidRPr="00881BC8">
        <w:rPr>
          <w:noProof/>
          <w:lang w:val="en-GB"/>
        </w:rPr>
        <w:t xml:space="preserve">reasoning in </w:t>
      </w:r>
      <w:r w:rsidR="00761CB6" w:rsidRPr="00881BC8">
        <w:rPr>
          <w:noProof/>
          <w:lang w:val="en-GB"/>
        </w:rPr>
        <w:fldChar w:fldCharType="begin"/>
      </w:r>
      <w:r w:rsidR="00761CB6" w:rsidRPr="00881BC8">
        <w:rPr>
          <w:noProof/>
          <w:lang w:val="en-GB"/>
        </w:rPr>
        <w:instrText xml:space="preserve"> REF Annex14 \h </w:instrText>
      </w:r>
      <w:r w:rsidR="00843E02" w:rsidRPr="00881BC8">
        <w:rPr>
          <w:noProof/>
          <w:lang w:val="en-GB"/>
        </w:rPr>
        <w:instrText xml:space="preserve"> \* MERGEFORMAT </w:instrText>
      </w:r>
      <w:r w:rsidR="00761CB6" w:rsidRPr="00881BC8">
        <w:rPr>
          <w:noProof/>
          <w:lang w:val="en-GB"/>
        </w:rPr>
      </w:r>
      <w:r w:rsidR="00761CB6" w:rsidRPr="00881BC8">
        <w:rPr>
          <w:noProof/>
          <w:lang w:val="en-GB"/>
        </w:rPr>
        <w:fldChar w:fldCharType="separate"/>
      </w:r>
      <w:r w:rsidR="005851F4" w:rsidRPr="005851F4">
        <w:rPr>
          <w:noProof/>
          <w:lang w:val="en-GB"/>
        </w:rPr>
        <w:t>Annex 14</w:t>
      </w:r>
      <w:r w:rsidR="00761CB6" w:rsidRPr="00881BC8">
        <w:rPr>
          <w:noProof/>
          <w:lang w:val="en-GB"/>
        </w:rPr>
        <w:fldChar w:fldCharType="end"/>
      </w:r>
      <w:r w:rsidR="00FF1AAC" w:rsidRPr="00881BC8">
        <w:rPr>
          <w:noProof/>
          <w:lang w:val="en-GB"/>
        </w:rPr>
        <w:t>)</w:t>
      </w:r>
      <w:r w:rsidRPr="00881BC8">
        <w:rPr>
          <w:noProof/>
          <w:lang w:val="en-GB"/>
        </w:rPr>
        <w:t xml:space="preserve">: </w:t>
      </w:r>
    </w:p>
    <w:p w14:paraId="26729AD8" w14:textId="0A52ED7E" w:rsidR="00117656" w:rsidRPr="00881BC8" w:rsidRDefault="00117656" w:rsidP="004835F8">
      <w:pPr>
        <w:pStyle w:val="ListParagraph"/>
        <w:numPr>
          <w:ilvl w:val="0"/>
          <w:numId w:val="36"/>
        </w:numPr>
        <w:rPr>
          <w:noProof/>
          <w:sz w:val="20"/>
          <w:szCs w:val="20"/>
        </w:rPr>
      </w:pPr>
      <w:r w:rsidRPr="00881BC8">
        <w:rPr>
          <w:noProof/>
        </w:rPr>
        <w:t>making e-invoicing mandatory</w:t>
      </w:r>
      <w:r w:rsidR="000110D5" w:rsidRPr="00881BC8">
        <w:rPr>
          <w:noProof/>
        </w:rPr>
        <w:t xml:space="preserve">; </w:t>
      </w:r>
      <w:r w:rsidR="00D669D6" w:rsidRPr="00881BC8">
        <w:rPr>
          <w:noProof/>
        </w:rPr>
        <w:t>notably due to the current Commission proposal COM (2022) 701 (dynamic baseline scenario) which already addresses this goal</w:t>
      </w:r>
      <w:r w:rsidR="00F451A5" w:rsidRPr="00881BC8">
        <w:rPr>
          <w:noProof/>
        </w:rPr>
        <w:t xml:space="preserve"> (</w:t>
      </w:r>
      <w:r w:rsidR="00F451A5" w:rsidRPr="00881BC8">
        <w:rPr>
          <w:noProof/>
        </w:rPr>
        <w:fldChar w:fldCharType="begin"/>
      </w:r>
      <w:r w:rsidR="00F451A5" w:rsidRPr="00881BC8">
        <w:rPr>
          <w:noProof/>
        </w:rPr>
        <w:instrText xml:space="preserve"> REF Annex22 \h </w:instrText>
      </w:r>
      <w:r w:rsidR="00F451A5" w:rsidRPr="00881BC8">
        <w:rPr>
          <w:noProof/>
        </w:rPr>
      </w:r>
      <w:r w:rsidR="00F451A5" w:rsidRPr="00881BC8">
        <w:rPr>
          <w:noProof/>
        </w:rPr>
        <w:fldChar w:fldCharType="separate"/>
      </w:r>
      <w:r w:rsidR="005851F4" w:rsidRPr="00881BC8">
        <w:rPr>
          <w:noProof/>
        </w:rPr>
        <w:t>Annex 22</w:t>
      </w:r>
      <w:r w:rsidR="00F451A5" w:rsidRPr="00881BC8">
        <w:rPr>
          <w:noProof/>
        </w:rPr>
        <w:fldChar w:fldCharType="end"/>
      </w:r>
      <w:r w:rsidR="00F451A5" w:rsidRPr="00881BC8">
        <w:rPr>
          <w:noProof/>
        </w:rPr>
        <w:t>)</w:t>
      </w:r>
      <w:r w:rsidRPr="00881BC8">
        <w:rPr>
          <w:noProof/>
        </w:rPr>
        <w:t>;</w:t>
      </w:r>
    </w:p>
    <w:p w14:paraId="15AB2344" w14:textId="0ECA5E6E" w:rsidR="00117656" w:rsidRPr="00881BC8" w:rsidRDefault="00117656" w:rsidP="004835F8">
      <w:pPr>
        <w:pStyle w:val="ListParagraph"/>
        <w:numPr>
          <w:ilvl w:val="0"/>
          <w:numId w:val="36"/>
        </w:numPr>
        <w:rPr>
          <w:noProof/>
        </w:rPr>
      </w:pPr>
      <w:r w:rsidRPr="00881BC8">
        <w:rPr>
          <w:noProof/>
        </w:rPr>
        <w:t>offsetting credits owed by the public authorities with debts owed to the public authorities (income taxes, local taxes); the LPD’s legal base is not adequate</w:t>
      </w:r>
      <w:r w:rsidR="00D669D6" w:rsidRPr="00881BC8">
        <w:rPr>
          <w:noProof/>
        </w:rPr>
        <w:t xml:space="preserve"> and </w:t>
      </w:r>
      <w:r w:rsidRPr="00881BC8">
        <w:rPr>
          <w:noProof/>
        </w:rPr>
        <w:t>subsidiarity and competence</w:t>
      </w:r>
      <w:r w:rsidR="009365CA" w:rsidRPr="00881BC8">
        <w:rPr>
          <w:noProof/>
        </w:rPr>
        <w:t xml:space="preserve"> issues would plead against such a measure</w:t>
      </w:r>
      <w:r w:rsidRPr="00881BC8">
        <w:rPr>
          <w:noProof/>
        </w:rPr>
        <w:t xml:space="preserve">: direct taxation and local taxation </w:t>
      </w:r>
      <w:r w:rsidR="009365CA" w:rsidRPr="00881BC8">
        <w:rPr>
          <w:noProof/>
        </w:rPr>
        <w:t xml:space="preserve">do not </w:t>
      </w:r>
      <w:r w:rsidRPr="00881BC8">
        <w:rPr>
          <w:noProof/>
        </w:rPr>
        <w:t>fall under EU competence</w:t>
      </w:r>
      <w:r w:rsidR="009365CA" w:rsidRPr="00881BC8">
        <w:rPr>
          <w:noProof/>
        </w:rPr>
        <w:t>;</w:t>
      </w:r>
      <w:r w:rsidRPr="00881BC8">
        <w:rPr>
          <w:noProof/>
        </w:rPr>
        <w:t xml:space="preserve"> </w:t>
      </w:r>
    </w:p>
    <w:p w14:paraId="6174B687" w14:textId="24F18EBF" w:rsidR="00117656" w:rsidRPr="00881BC8" w:rsidRDefault="00117656" w:rsidP="004835F8">
      <w:pPr>
        <w:pStyle w:val="ListParagraph"/>
        <w:numPr>
          <w:ilvl w:val="0"/>
          <w:numId w:val="36"/>
        </w:numPr>
        <w:rPr>
          <w:noProof/>
        </w:rPr>
      </w:pPr>
      <w:r w:rsidRPr="00881BC8">
        <w:rPr>
          <w:noProof/>
        </w:rPr>
        <w:t>transparency obligations for businesses</w:t>
      </w:r>
      <w:r w:rsidR="00CF3F6A" w:rsidRPr="00881BC8">
        <w:rPr>
          <w:noProof/>
        </w:rPr>
        <w:t xml:space="preserve"> and public authorities</w:t>
      </w:r>
      <w:r w:rsidR="00690F4B" w:rsidRPr="00881BC8">
        <w:rPr>
          <w:noProof/>
        </w:rPr>
        <w:t>:</w:t>
      </w:r>
      <w:r w:rsidR="009365CA" w:rsidRPr="00881BC8">
        <w:rPr>
          <w:noProof/>
        </w:rPr>
        <w:t xml:space="preserve"> </w:t>
      </w:r>
      <w:r w:rsidR="001229CF" w:rsidRPr="00881BC8">
        <w:rPr>
          <w:noProof/>
        </w:rPr>
        <w:t xml:space="preserve">discarded for political feasibility reasons, </w:t>
      </w:r>
      <w:r w:rsidR="009365CA" w:rsidRPr="00881BC8">
        <w:rPr>
          <w:noProof/>
        </w:rPr>
        <w:t xml:space="preserve">as this would require reporting obligations; </w:t>
      </w:r>
    </w:p>
    <w:p w14:paraId="558B362E" w14:textId="78703D7C" w:rsidR="00117656" w:rsidRPr="00881BC8" w:rsidRDefault="00117656" w:rsidP="004835F8">
      <w:pPr>
        <w:pStyle w:val="ListParagraph"/>
        <w:numPr>
          <w:ilvl w:val="0"/>
          <w:numId w:val="36"/>
        </w:numPr>
        <w:rPr>
          <w:noProof/>
        </w:rPr>
      </w:pPr>
      <w:r w:rsidRPr="00881BC8">
        <w:rPr>
          <w:noProof/>
        </w:rPr>
        <w:t>fostering synergies with public procurement</w:t>
      </w:r>
      <w:r w:rsidR="009365CA" w:rsidRPr="00881BC8">
        <w:rPr>
          <w:noProof/>
        </w:rPr>
        <w:t xml:space="preserve"> </w:t>
      </w:r>
      <w:r w:rsidR="00FB68B0" w:rsidRPr="00881BC8">
        <w:rPr>
          <w:noProof/>
        </w:rPr>
        <w:t>by obliging contracting</w:t>
      </w:r>
      <w:r w:rsidRPr="00881BC8">
        <w:rPr>
          <w:noProof/>
        </w:rPr>
        <w:t xml:space="preserve"> authorities </w:t>
      </w:r>
      <w:r w:rsidR="00AF7097" w:rsidRPr="00AF7097">
        <w:rPr>
          <w:noProof/>
        </w:rPr>
        <w:t>to exclude from procurement those contractors with overall bad payment performance towards their subcontractors: as this would require evidence difficult to provide and check, and would thus be burdensome for public authorities and for businesses;</w:t>
      </w:r>
    </w:p>
    <w:p w14:paraId="58AA5415" w14:textId="4AD728F9" w:rsidR="00117656" w:rsidRPr="00881BC8" w:rsidRDefault="008E431C" w:rsidP="004835F8">
      <w:pPr>
        <w:pStyle w:val="ListParagraph"/>
        <w:numPr>
          <w:ilvl w:val="0"/>
          <w:numId w:val="36"/>
        </w:numPr>
        <w:rPr>
          <w:noProof/>
        </w:rPr>
      </w:pPr>
      <w:r w:rsidRPr="00881BC8">
        <w:rPr>
          <w:noProof/>
        </w:rPr>
        <w:t xml:space="preserve">in </w:t>
      </w:r>
      <w:r w:rsidR="00117656" w:rsidRPr="00881BC8">
        <w:rPr>
          <w:noProof/>
        </w:rPr>
        <w:t>G2B</w:t>
      </w:r>
      <w:r w:rsidRPr="00881BC8">
        <w:rPr>
          <w:noProof/>
        </w:rPr>
        <w:t xml:space="preserve">, requiring contracting authorities to </w:t>
      </w:r>
      <w:r w:rsidR="00117656" w:rsidRPr="00881BC8">
        <w:rPr>
          <w:noProof/>
        </w:rPr>
        <w:t>acceler</w:t>
      </w:r>
      <w:r w:rsidRPr="00881BC8">
        <w:rPr>
          <w:noProof/>
        </w:rPr>
        <w:t>ate</w:t>
      </w:r>
      <w:r w:rsidR="00117656" w:rsidRPr="00881BC8">
        <w:rPr>
          <w:noProof/>
        </w:rPr>
        <w:t xml:space="preserve"> payments for low value contracts</w:t>
      </w:r>
      <w:r w:rsidRPr="00881BC8">
        <w:rPr>
          <w:noProof/>
        </w:rPr>
        <w:t xml:space="preserve"> beyond the current provisions of the LPD and </w:t>
      </w:r>
      <w:r w:rsidR="00117656" w:rsidRPr="00881BC8">
        <w:rPr>
          <w:noProof/>
        </w:rPr>
        <w:t>not requiring verification procedures:</w:t>
      </w:r>
      <w:r w:rsidRPr="00881BC8">
        <w:rPr>
          <w:noProof/>
        </w:rPr>
        <w:t xml:space="preserve"> as this would interfere with the </w:t>
      </w:r>
      <w:r w:rsidR="00117656" w:rsidRPr="00881BC8">
        <w:rPr>
          <w:noProof/>
        </w:rPr>
        <w:t xml:space="preserve">subsidiarity and proportionality </w:t>
      </w:r>
      <w:r w:rsidRPr="00881BC8">
        <w:rPr>
          <w:noProof/>
        </w:rPr>
        <w:t>principles and with other existing</w:t>
      </w:r>
      <w:r w:rsidR="00117656" w:rsidRPr="00881BC8">
        <w:rPr>
          <w:noProof/>
        </w:rPr>
        <w:t xml:space="preserve"> EU law. </w:t>
      </w:r>
    </w:p>
    <w:p w14:paraId="3F6361F3" w14:textId="0CDBB5C9" w:rsidR="006B087E" w:rsidRPr="00881BC8" w:rsidRDefault="006B087E" w:rsidP="004835F8">
      <w:pPr>
        <w:pStyle w:val="Heading1"/>
        <w:rPr>
          <w:noProof/>
        </w:rPr>
      </w:pPr>
      <w:bookmarkStart w:id="371" w:name="_Toc130395704"/>
      <w:bookmarkStart w:id="372" w:name="_Toc130403622"/>
      <w:bookmarkStart w:id="373" w:name="_Toc130395705"/>
      <w:bookmarkStart w:id="374" w:name="_Toc130403623"/>
      <w:bookmarkStart w:id="375" w:name="_Toc130395706"/>
      <w:bookmarkStart w:id="376" w:name="_Toc130403624"/>
      <w:bookmarkStart w:id="377" w:name="_Toc128566539"/>
      <w:bookmarkStart w:id="378" w:name="_Toc128594947"/>
      <w:bookmarkStart w:id="379" w:name="_Toc128678902"/>
      <w:bookmarkStart w:id="380" w:name="_Toc128935103"/>
      <w:bookmarkStart w:id="381" w:name="_Toc129710197"/>
      <w:bookmarkStart w:id="382" w:name="_Toc129899902"/>
      <w:bookmarkStart w:id="383" w:name="_Ref131227160"/>
      <w:bookmarkStart w:id="384" w:name="_Ref131249883"/>
      <w:bookmarkStart w:id="385" w:name="_Ref131251667"/>
      <w:bookmarkStart w:id="386" w:name="_Ref131605240"/>
      <w:bookmarkStart w:id="387" w:name="_Toc135237410"/>
      <w:bookmarkEnd w:id="371"/>
      <w:bookmarkEnd w:id="372"/>
      <w:bookmarkEnd w:id="373"/>
      <w:bookmarkEnd w:id="374"/>
      <w:bookmarkEnd w:id="375"/>
      <w:bookmarkEnd w:id="376"/>
      <w:r w:rsidRPr="00881BC8">
        <w:rPr>
          <w:noProof/>
        </w:rPr>
        <w:t>What are the impacts of the policy options?</w:t>
      </w:r>
      <w:bookmarkEnd w:id="377"/>
      <w:bookmarkEnd w:id="378"/>
      <w:bookmarkEnd w:id="379"/>
      <w:bookmarkEnd w:id="380"/>
      <w:bookmarkEnd w:id="381"/>
      <w:bookmarkEnd w:id="382"/>
      <w:bookmarkEnd w:id="383"/>
      <w:bookmarkEnd w:id="384"/>
      <w:bookmarkEnd w:id="385"/>
      <w:bookmarkEnd w:id="386"/>
      <w:bookmarkEnd w:id="387"/>
    </w:p>
    <w:p w14:paraId="58DD941F" w14:textId="3AB4E7A9" w:rsidR="00A74EE1" w:rsidRPr="00881BC8" w:rsidRDefault="00A74EE1" w:rsidP="004835F8">
      <w:pPr>
        <w:pStyle w:val="NormalPara"/>
        <w:rPr>
          <w:noProof/>
          <w:lang w:val="en-GB"/>
        </w:rPr>
      </w:pPr>
      <w:r w:rsidRPr="00881BC8">
        <w:rPr>
          <w:noProof/>
          <w:lang w:val="en-GB"/>
        </w:rPr>
        <w:t>All policy options described above will have mainly economic impacts.</w:t>
      </w:r>
      <w:r w:rsidR="00310AC8" w:rsidRPr="00881BC8">
        <w:rPr>
          <w:noProof/>
          <w:lang w:val="en-GB"/>
        </w:rPr>
        <w:t xml:space="preserve"> T</w:t>
      </w:r>
      <w:r w:rsidRPr="00881BC8">
        <w:rPr>
          <w:noProof/>
          <w:lang w:val="en-GB"/>
        </w:rPr>
        <w:t xml:space="preserve">he </w:t>
      </w:r>
      <w:r w:rsidR="000023CD" w:rsidRPr="00881BC8">
        <w:rPr>
          <w:noProof/>
          <w:lang w:val="en-GB"/>
        </w:rPr>
        <w:t xml:space="preserve">social and environmental </w:t>
      </w:r>
      <w:r w:rsidRPr="00881BC8">
        <w:rPr>
          <w:noProof/>
          <w:lang w:val="en-GB"/>
        </w:rPr>
        <w:t>impacts are not assessed separately for policy options.</w:t>
      </w:r>
      <w:r w:rsidR="00DB7E32" w:rsidRPr="00881BC8">
        <w:rPr>
          <w:noProof/>
          <w:lang w:val="en-GB"/>
        </w:rPr>
        <w:t xml:space="preserve"> </w:t>
      </w:r>
      <w:r w:rsidR="005271A8" w:rsidRPr="00881BC8">
        <w:rPr>
          <w:noProof/>
          <w:lang w:val="en-GB"/>
        </w:rPr>
        <w:t>T</w:t>
      </w:r>
      <w:r w:rsidRPr="00881BC8">
        <w:rPr>
          <w:noProof/>
          <w:lang w:val="en-GB"/>
        </w:rPr>
        <w:t xml:space="preserve">he impact of all policy options </w:t>
      </w:r>
      <w:r w:rsidR="005271A8" w:rsidRPr="00881BC8">
        <w:rPr>
          <w:noProof/>
          <w:lang w:val="en-GB"/>
        </w:rPr>
        <w:t>is described</w:t>
      </w:r>
      <w:r w:rsidRPr="00881BC8">
        <w:rPr>
          <w:noProof/>
          <w:lang w:val="en-GB"/>
        </w:rPr>
        <w:t xml:space="preserve"> both </w:t>
      </w:r>
      <w:r w:rsidR="005271A8" w:rsidRPr="00881BC8">
        <w:rPr>
          <w:noProof/>
          <w:lang w:val="en-GB"/>
        </w:rPr>
        <w:t xml:space="preserve">qualitatively and </w:t>
      </w:r>
      <w:r w:rsidRPr="00881BC8">
        <w:rPr>
          <w:noProof/>
          <w:lang w:val="en-GB"/>
        </w:rPr>
        <w:t>quantitatively</w:t>
      </w:r>
      <w:r w:rsidR="005271A8" w:rsidRPr="00881BC8">
        <w:rPr>
          <w:noProof/>
          <w:lang w:val="en-GB"/>
        </w:rPr>
        <w:t>, where possible</w:t>
      </w:r>
      <w:r w:rsidRPr="00881BC8">
        <w:rPr>
          <w:noProof/>
          <w:lang w:val="en-GB"/>
        </w:rPr>
        <w:t xml:space="preserve">. The methodology for arriving at quantitative impacts is described in </w:t>
      </w:r>
      <w:r w:rsidR="00B41409" w:rsidRPr="00881BC8">
        <w:rPr>
          <w:noProof/>
          <w:lang w:val="en-GB"/>
        </w:rPr>
        <w:fldChar w:fldCharType="begin"/>
      </w:r>
      <w:r w:rsidR="00B41409" w:rsidRPr="00881BC8">
        <w:rPr>
          <w:noProof/>
          <w:lang w:val="en-GB"/>
        </w:rPr>
        <w:instrText xml:space="preserve"> REF Annex04 \h </w:instrText>
      </w:r>
      <w:r w:rsidR="00B41409" w:rsidRPr="00881BC8">
        <w:rPr>
          <w:noProof/>
          <w:lang w:val="en-GB"/>
        </w:rPr>
      </w:r>
      <w:r w:rsidR="00B41409" w:rsidRPr="00881BC8">
        <w:rPr>
          <w:noProof/>
          <w:lang w:val="en-GB"/>
        </w:rPr>
        <w:fldChar w:fldCharType="separate"/>
      </w:r>
      <w:r w:rsidR="005851F4" w:rsidRPr="00881BC8">
        <w:rPr>
          <w:noProof/>
        </w:rPr>
        <w:t>Annex 4</w:t>
      </w:r>
      <w:r w:rsidR="00B41409" w:rsidRPr="00881BC8">
        <w:rPr>
          <w:noProof/>
          <w:lang w:val="en-GB"/>
        </w:rPr>
        <w:fldChar w:fldCharType="end"/>
      </w:r>
      <w:r w:rsidRPr="00881BC8">
        <w:rPr>
          <w:noProof/>
          <w:lang w:val="en-GB"/>
        </w:rPr>
        <w:t>.</w:t>
      </w:r>
      <w:r w:rsidR="00620249" w:rsidRPr="00881BC8">
        <w:rPr>
          <w:noProof/>
          <w:lang w:val="en-GB"/>
        </w:rPr>
        <w:t xml:space="preserve"> </w:t>
      </w:r>
    </w:p>
    <w:p w14:paraId="3F6361F4" w14:textId="099B633F" w:rsidR="006B087E" w:rsidRPr="00881BC8" w:rsidRDefault="002B5568" w:rsidP="004835F8">
      <w:pPr>
        <w:pStyle w:val="Heading2"/>
        <w:rPr>
          <w:noProof/>
        </w:rPr>
      </w:pPr>
      <w:bookmarkStart w:id="388" w:name="_Toc130889210"/>
      <w:bookmarkStart w:id="389" w:name="_Toc130911577"/>
      <w:bookmarkStart w:id="390" w:name="_Toc130395708"/>
      <w:bookmarkStart w:id="391" w:name="_Toc130403626"/>
      <w:bookmarkStart w:id="392" w:name="_Toc129710198"/>
      <w:bookmarkStart w:id="393" w:name="_Toc129899903"/>
      <w:bookmarkStart w:id="394" w:name="_Toc135237411"/>
      <w:bookmarkEnd w:id="388"/>
      <w:bookmarkEnd w:id="389"/>
      <w:bookmarkEnd w:id="390"/>
      <w:bookmarkEnd w:id="391"/>
      <w:r w:rsidRPr="00881BC8">
        <w:rPr>
          <w:noProof/>
        </w:rPr>
        <w:t>Economic impacts</w:t>
      </w:r>
      <w:bookmarkEnd w:id="392"/>
      <w:bookmarkEnd w:id="393"/>
      <w:bookmarkEnd w:id="394"/>
    </w:p>
    <w:p w14:paraId="1FEB9092" w14:textId="19AA580A" w:rsidR="0039376A" w:rsidRPr="00881BC8" w:rsidRDefault="00A74EE1" w:rsidP="004835F8">
      <w:pPr>
        <w:pStyle w:val="NormalPara"/>
        <w:rPr>
          <w:noProof/>
          <w:lang w:val="en-GB"/>
        </w:rPr>
      </w:pPr>
      <w:r w:rsidRPr="00881BC8">
        <w:rPr>
          <w:noProof/>
          <w:lang w:val="en-GB"/>
        </w:rPr>
        <w:t xml:space="preserve">All options will have significant economic impacts. Where the impacts differ per </w:t>
      </w:r>
      <w:r w:rsidR="00DB7E32" w:rsidRPr="00881BC8">
        <w:rPr>
          <w:noProof/>
          <w:lang w:val="en-GB"/>
        </w:rPr>
        <w:t xml:space="preserve">policy </w:t>
      </w:r>
      <w:r w:rsidRPr="00881BC8">
        <w:rPr>
          <w:noProof/>
          <w:lang w:val="en-GB"/>
        </w:rPr>
        <w:t xml:space="preserve">option, they are spelled out clearly. The policy options will have impacts on enterprises, including SMEs, and their competitiveness, as well as on public authorities. </w:t>
      </w:r>
      <w:r w:rsidR="00DF7979" w:rsidRPr="00881BC8">
        <w:rPr>
          <w:noProof/>
          <w:lang w:val="en-GB"/>
        </w:rPr>
        <w:t>N</w:t>
      </w:r>
      <w:r w:rsidRPr="00881BC8">
        <w:rPr>
          <w:noProof/>
          <w:lang w:val="en-GB"/>
        </w:rPr>
        <w:t xml:space="preserve">one of the policy options </w:t>
      </w:r>
      <w:r w:rsidR="00FB620F" w:rsidRPr="00881BC8">
        <w:rPr>
          <w:noProof/>
          <w:lang w:val="en-GB"/>
        </w:rPr>
        <w:t xml:space="preserve">entail </w:t>
      </w:r>
      <w:r w:rsidRPr="00881BC8">
        <w:rPr>
          <w:noProof/>
          <w:lang w:val="en-GB"/>
        </w:rPr>
        <w:t>direct impact on citizens or consumers</w:t>
      </w:r>
      <w:r w:rsidR="00A31B70" w:rsidRPr="00881BC8">
        <w:rPr>
          <w:noProof/>
          <w:lang w:val="en-GB"/>
        </w:rPr>
        <w:t>. T</w:t>
      </w:r>
      <w:r w:rsidRPr="00881BC8">
        <w:rPr>
          <w:noProof/>
          <w:lang w:val="en-GB"/>
        </w:rPr>
        <w:t xml:space="preserve">he overall effect on the competitiveness </w:t>
      </w:r>
      <w:r w:rsidR="00C2385E" w:rsidRPr="00881BC8">
        <w:rPr>
          <w:noProof/>
          <w:lang w:val="en-GB"/>
        </w:rPr>
        <w:t xml:space="preserve">and a </w:t>
      </w:r>
      <w:r w:rsidR="001833DB" w:rsidRPr="00881BC8">
        <w:rPr>
          <w:noProof/>
          <w:lang w:val="en-GB"/>
        </w:rPr>
        <w:t>proper and efficient</w:t>
      </w:r>
      <w:r w:rsidR="00C2385E" w:rsidRPr="00881BC8">
        <w:rPr>
          <w:noProof/>
          <w:lang w:val="en-GB"/>
        </w:rPr>
        <w:t xml:space="preserve"> functioning of the single market</w:t>
      </w:r>
      <w:r w:rsidR="00A31B70" w:rsidRPr="00881BC8">
        <w:rPr>
          <w:noProof/>
          <w:lang w:val="en-GB"/>
        </w:rPr>
        <w:t xml:space="preserve"> is likely to indirectly affect consumers, helping to </w:t>
      </w:r>
      <w:r w:rsidR="0037154B" w:rsidRPr="00881BC8">
        <w:rPr>
          <w:noProof/>
          <w:lang w:val="en-GB"/>
        </w:rPr>
        <w:t xml:space="preserve">guarantee a </w:t>
      </w:r>
      <w:r w:rsidR="00C534E6" w:rsidRPr="00881BC8">
        <w:rPr>
          <w:noProof/>
          <w:lang w:val="en-GB"/>
        </w:rPr>
        <w:t>wide choice of products</w:t>
      </w:r>
      <w:r w:rsidR="0037154B" w:rsidRPr="00881BC8">
        <w:rPr>
          <w:noProof/>
          <w:lang w:val="en-GB"/>
        </w:rPr>
        <w:t xml:space="preserve"> and</w:t>
      </w:r>
      <w:r w:rsidR="00C534E6" w:rsidRPr="00881BC8">
        <w:rPr>
          <w:noProof/>
          <w:lang w:val="en-GB"/>
        </w:rPr>
        <w:t xml:space="preserve"> </w:t>
      </w:r>
      <w:r w:rsidR="0039376A" w:rsidRPr="00881BC8">
        <w:rPr>
          <w:noProof/>
          <w:lang w:val="en-GB"/>
        </w:rPr>
        <w:t>to ensure that supplies reach consumers at reasonable prices</w:t>
      </w:r>
      <w:r w:rsidR="0037154B" w:rsidRPr="00881BC8">
        <w:rPr>
          <w:noProof/>
          <w:lang w:val="en-GB"/>
        </w:rPr>
        <w:t xml:space="preserve">. </w:t>
      </w:r>
      <w:r w:rsidR="001846F5" w:rsidRPr="00881BC8">
        <w:rPr>
          <w:noProof/>
          <w:lang w:val="en-GB"/>
        </w:rPr>
        <w:t xml:space="preserve">Some indirect positive impact is expected on consumers’ purchasing power, following </w:t>
      </w:r>
      <w:r w:rsidR="00A44B2E" w:rsidRPr="00881BC8">
        <w:rPr>
          <w:noProof/>
          <w:lang w:val="en-GB"/>
        </w:rPr>
        <w:t xml:space="preserve">indirectly </w:t>
      </w:r>
      <w:r w:rsidR="001846F5" w:rsidRPr="00881BC8">
        <w:rPr>
          <w:noProof/>
          <w:lang w:val="en-GB"/>
        </w:rPr>
        <w:t>from the likely positive impact on employment.</w:t>
      </w:r>
      <w:r w:rsidR="00DB3E99" w:rsidRPr="00881BC8">
        <w:rPr>
          <w:noProof/>
          <w:lang w:val="en-GB"/>
        </w:rPr>
        <w:t xml:space="preserve"> The overview of economic impacts is in </w:t>
      </w:r>
      <w:r w:rsidR="000B2023" w:rsidRPr="00881BC8">
        <w:rPr>
          <w:noProof/>
          <w:lang w:val="en-GB"/>
        </w:rPr>
        <w:fldChar w:fldCharType="begin"/>
      </w:r>
      <w:r w:rsidR="000B2023" w:rsidRPr="00881BC8">
        <w:rPr>
          <w:noProof/>
          <w:lang w:val="en-GB"/>
        </w:rPr>
        <w:instrText xml:space="preserve"> REF Annex25 \h </w:instrText>
      </w:r>
      <w:r w:rsidR="000B2023" w:rsidRPr="00881BC8">
        <w:rPr>
          <w:noProof/>
          <w:lang w:val="en-GB"/>
        </w:rPr>
      </w:r>
      <w:r w:rsidR="000B2023" w:rsidRPr="00881BC8">
        <w:rPr>
          <w:noProof/>
          <w:lang w:val="en-GB"/>
        </w:rPr>
        <w:fldChar w:fldCharType="separate"/>
      </w:r>
      <w:r w:rsidR="005851F4" w:rsidRPr="00881BC8">
        <w:rPr>
          <w:noProof/>
        </w:rPr>
        <w:t>Annex 25</w:t>
      </w:r>
      <w:r w:rsidR="000B2023" w:rsidRPr="00881BC8">
        <w:rPr>
          <w:noProof/>
          <w:lang w:val="en-GB"/>
        </w:rPr>
        <w:fldChar w:fldCharType="end"/>
      </w:r>
      <w:r w:rsidR="000B2023" w:rsidRPr="00881BC8">
        <w:rPr>
          <w:noProof/>
          <w:lang w:val="en-GB"/>
        </w:rPr>
        <w:t>.</w:t>
      </w:r>
    </w:p>
    <w:p w14:paraId="2EA9D73B" w14:textId="6445CE7A" w:rsidR="009C5059" w:rsidRPr="00881BC8" w:rsidRDefault="009C5059" w:rsidP="004835F8">
      <w:pPr>
        <w:pStyle w:val="Heading3"/>
        <w:rPr>
          <w:noProof/>
        </w:rPr>
      </w:pPr>
      <w:bookmarkStart w:id="395" w:name="_Toc130889212"/>
      <w:bookmarkStart w:id="396" w:name="_Toc130911579"/>
      <w:bookmarkStart w:id="397" w:name="_Toc130395710"/>
      <w:bookmarkStart w:id="398" w:name="_Toc130403628"/>
      <w:bookmarkStart w:id="399" w:name="_Toc135237412"/>
      <w:bookmarkEnd w:id="395"/>
      <w:bookmarkEnd w:id="396"/>
      <w:bookmarkEnd w:id="397"/>
      <w:bookmarkEnd w:id="398"/>
      <w:r w:rsidRPr="00881BC8">
        <w:rPr>
          <w:noProof/>
        </w:rPr>
        <w:t xml:space="preserve">Policy Option 1: Fix the framework </w:t>
      </w:r>
      <w:r w:rsidR="00E93A80" w:rsidRPr="00881BC8">
        <w:rPr>
          <w:noProof/>
        </w:rPr>
        <w:t xml:space="preserve">conditions </w:t>
      </w:r>
      <w:r w:rsidRPr="00881BC8">
        <w:rPr>
          <w:noProof/>
        </w:rPr>
        <w:t>to prevent late payments</w:t>
      </w:r>
      <w:bookmarkEnd w:id="399"/>
    </w:p>
    <w:p w14:paraId="568B9C71" w14:textId="17886E15" w:rsidR="0076729C" w:rsidRPr="00881BC8" w:rsidRDefault="0076729C" w:rsidP="004835F8">
      <w:pPr>
        <w:pStyle w:val="Heading4"/>
        <w:rPr>
          <w:noProof/>
        </w:rPr>
      </w:pPr>
      <w:bookmarkStart w:id="400" w:name="_Toc135237413"/>
      <w:r w:rsidRPr="00881BC8">
        <w:rPr>
          <w:noProof/>
        </w:rPr>
        <w:t>Impacts on enterprises</w:t>
      </w:r>
      <w:bookmarkEnd w:id="400"/>
    </w:p>
    <w:p w14:paraId="1088F2A2" w14:textId="77777777" w:rsidR="00A74EE1" w:rsidRPr="008D7249" w:rsidRDefault="00A74EE1" w:rsidP="004835F8">
      <w:pPr>
        <w:pStyle w:val="Heading5"/>
        <w:rPr>
          <w:noProof/>
          <w:color w:val="auto"/>
        </w:rPr>
      </w:pPr>
      <w:bookmarkStart w:id="401" w:name="_Ref131346533"/>
      <w:r w:rsidRPr="008D7249">
        <w:rPr>
          <w:noProof/>
          <w:color w:val="auto"/>
        </w:rPr>
        <w:t>Benefits</w:t>
      </w:r>
      <w:bookmarkEnd w:id="401"/>
    </w:p>
    <w:p w14:paraId="70D0E6F2" w14:textId="633207C5" w:rsidR="00A74EE1" w:rsidRPr="00881BC8" w:rsidRDefault="00361D76" w:rsidP="004835F8">
      <w:pPr>
        <w:pStyle w:val="NormalPara"/>
        <w:rPr>
          <w:noProof/>
          <w:lang w:val="en-GB"/>
        </w:rPr>
      </w:pPr>
      <w:r w:rsidRPr="00881BC8">
        <w:rPr>
          <w:noProof/>
          <w:lang w:val="en-GB"/>
        </w:rPr>
        <w:t>PO</w:t>
      </w:r>
      <w:r w:rsidR="00A74EE1" w:rsidRPr="00881BC8">
        <w:rPr>
          <w:noProof/>
          <w:lang w:val="en-GB"/>
        </w:rPr>
        <w:t xml:space="preserve">1 focuses on ensuring </w:t>
      </w:r>
      <w:r w:rsidRPr="00881BC8">
        <w:rPr>
          <w:noProof/>
          <w:lang w:val="en-GB"/>
        </w:rPr>
        <w:t xml:space="preserve">that </w:t>
      </w:r>
      <w:r w:rsidR="00A74EE1" w:rsidRPr="00881BC8">
        <w:rPr>
          <w:noProof/>
          <w:lang w:val="en-GB"/>
        </w:rPr>
        <w:t xml:space="preserve">payment terms agreed between </w:t>
      </w:r>
      <w:r w:rsidR="00F34809" w:rsidRPr="00881BC8">
        <w:rPr>
          <w:noProof/>
          <w:lang w:val="en-GB"/>
        </w:rPr>
        <w:t>parties</w:t>
      </w:r>
      <w:r w:rsidR="00A74EE1" w:rsidRPr="00881BC8">
        <w:rPr>
          <w:noProof/>
          <w:lang w:val="en-GB"/>
        </w:rPr>
        <w:t xml:space="preserve"> are fair.</w:t>
      </w:r>
    </w:p>
    <w:p w14:paraId="1938D7AA" w14:textId="20F2FF5B" w:rsidR="00A74EE1" w:rsidRPr="00881BC8" w:rsidRDefault="00A74EE1" w:rsidP="004835F8">
      <w:pPr>
        <w:pStyle w:val="NormalPara"/>
        <w:rPr>
          <w:noProof/>
          <w:lang w:val="en-GB"/>
        </w:rPr>
      </w:pPr>
      <w:r w:rsidRPr="00881BC8">
        <w:rPr>
          <w:noProof/>
          <w:lang w:val="en-GB"/>
        </w:rPr>
        <w:t xml:space="preserve">Considering that currently 73% of all companies have been asked to accept higher payment terms than they are comfortable with, the capping of payment terms can bring a real benefit to companies. It can reduce real payment times, reduce negotiation times and empower particularly smaller businesses. </w:t>
      </w:r>
      <w:r w:rsidR="005C3D90" w:rsidRPr="00881BC8">
        <w:rPr>
          <w:noProof/>
          <w:lang w:val="en-GB"/>
        </w:rPr>
        <w:t>It</w:t>
      </w:r>
      <w:r w:rsidRPr="00881BC8">
        <w:rPr>
          <w:noProof/>
          <w:lang w:val="en-GB"/>
        </w:rPr>
        <w:t xml:space="preserve"> will </w:t>
      </w:r>
      <w:r w:rsidR="005C3D90" w:rsidRPr="00881BC8">
        <w:rPr>
          <w:noProof/>
          <w:lang w:val="en-GB"/>
        </w:rPr>
        <w:t xml:space="preserve">also </w:t>
      </w:r>
      <w:r w:rsidRPr="00881BC8">
        <w:rPr>
          <w:noProof/>
          <w:lang w:val="en-GB"/>
        </w:rPr>
        <w:t>facilitate enforcement.</w:t>
      </w:r>
    </w:p>
    <w:p w14:paraId="51512835" w14:textId="6A666A4E" w:rsidR="00A74EE1" w:rsidRPr="00881BC8" w:rsidRDefault="00A74EE1" w:rsidP="004835F8">
      <w:pPr>
        <w:pStyle w:val="NormalPara"/>
        <w:rPr>
          <w:noProof/>
          <w:lang w:val="en-GB"/>
        </w:rPr>
      </w:pPr>
      <w:r w:rsidRPr="00881BC8">
        <w:rPr>
          <w:noProof/>
          <w:lang w:val="en-GB"/>
        </w:rPr>
        <w:t>Quantifying the effect of capped payment terms on actual payment times relies on some estimations. In an optimistic scenario, payment times will tend to match payment terms</w:t>
      </w:r>
      <w:r w:rsidR="00540EC3" w:rsidRPr="00881BC8">
        <w:rPr>
          <w:noProof/>
          <w:lang w:val="en-GB"/>
        </w:rPr>
        <w:t xml:space="preserve">. Under </w:t>
      </w:r>
      <w:r w:rsidRPr="00881BC8">
        <w:rPr>
          <w:noProof/>
          <w:lang w:val="en-GB"/>
        </w:rPr>
        <w:t>realistic</w:t>
      </w:r>
      <w:r w:rsidR="00540EC3" w:rsidRPr="00881BC8">
        <w:rPr>
          <w:noProof/>
          <w:lang w:val="en-GB"/>
        </w:rPr>
        <w:t xml:space="preserve"> scenario</w:t>
      </w:r>
      <w:r w:rsidRPr="00881BC8">
        <w:rPr>
          <w:noProof/>
          <w:lang w:val="en-GB"/>
        </w:rPr>
        <w:t xml:space="preserve">, some companies still pay after the agreed payment term. Currently, in every EU Member State, actual payment times are higher than payment terms agreed (see </w:t>
      </w:r>
      <w:r w:rsidR="00540EC3" w:rsidRPr="00881BC8">
        <w:rPr>
          <w:noProof/>
          <w:lang w:val="en-GB"/>
        </w:rPr>
        <w:t xml:space="preserve">section </w:t>
      </w:r>
      <w:r w:rsidR="005851F4">
        <w:rPr>
          <w:noProof/>
          <w:lang w:val="en-GB"/>
        </w:rPr>
        <w:t>2</w:t>
      </w:r>
      <w:r w:rsidRPr="00881BC8">
        <w:rPr>
          <w:noProof/>
          <w:lang w:val="en-GB"/>
        </w:rPr>
        <w:t xml:space="preserve">). To map this effect, we assume payment times </w:t>
      </w:r>
      <w:r w:rsidR="00B00EAB" w:rsidRPr="00881BC8">
        <w:rPr>
          <w:noProof/>
          <w:lang w:val="en-GB"/>
        </w:rPr>
        <w:t>to go down</w:t>
      </w:r>
      <w:r w:rsidRPr="00881BC8">
        <w:rPr>
          <w:noProof/>
          <w:lang w:val="en-GB"/>
        </w:rPr>
        <w:t xml:space="preserve"> proportionally to the reduction of the payment term.</w:t>
      </w:r>
      <w:r w:rsidR="00B00EAB" w:rsidRPr="00881BC8">
        <w:rPr>
          <w:noProof/>
          <w:lang w:val="en-GB"/>
        </w:rPr>
        <w:t xml:space="preserve"> </w:t>
      </w:r>
      <w:r w:rsidRPr="00881BC8">
        <w:rPr>
          <w:noProof/>
          <w:lang w:val="en-GB"/>
        </w:rPr>
        <w:t xml:space="preserve">A pessimistic scenario </w:t>
      </w:r>
      <w:r w:rsidR="0071654E" w:rsidRPr="00881BC8">
        <w:rPr>
          <w:noProof/>
          <w:lang w:val="en-GB"/>
        </w:rPr>
        <w:t>assumes</w:t>
      </w:r>
      <w:r w:rsidRPr="00881BC8">
        <w:rPr>
          <w:noProof/>
          <w:lang w:val="en-GB"/>
        </w:rPr>
        <w:t xml:space="preserve"> </w:t>
      </w:r>
      <w:r w:rsidR="0071654E" w:rsidRPr="00881BC8">
        <w:rPr>
          <w:noProof/>
          <w:lang w:val="en-GB"/>
        </w:rPr>
        <w:t xml:space="preserve">the reduction in </w:t>
      </w:r>
      <w:r w:rsidRPr="00881BC8">
        <w:rPr>
          <w:noProof/>
          <w:lang w:val="en-GB"/>
        </w:rPr>
        <w:t>payment terms</w:t>
      </w:r>
      <w:r w:rsidR="0071654E" w:rsidRPr="00881BC8">
        <w:rPr>
          <w:noProof/>
          <w:lang w:val="en-GB"/>
        </w:rPr>
        <w:t xml:space="preserve"> to have </w:t>
      </w:r>
      <w:r w:rsidRPr="00881BC8">
        <w:rPr>
          <w:noProof/>
          <w:lang w:val="en-GB"/>
        </w:rPr>
        <w:t xml:space="preserve">no effect on payment times. This is a risk of </w:t>
      </w:r>
      <w:r w:rsidR="00B742F4" w:rsidRPr="00881BC8">
        <w:rPr>
          <w:noProof/>
          <w:lang w:val="en-GB"/>
        </w:rPr>
        <w:t xml:space="preserve">PO1 </w:t>
      </w:r>
      <w:r w:rsidRPr="00881BC8">
        <w:rPr>
          <w:noProof/>
          <w:lang w:val="en-GB"/>
        </w:rPr>
        <w:t xml:space="preserve">in isolation </w:t>
      </w:r>
      <w:r w:rsidR="00B742F4" w:rsidRPr="00881BC8">
        <w:rPr>
          <w:noProof/>
          <w:lang w:val="en-GB"/>
        </w:rPr>
        <w:t>because</w:t>
      </w:r>
      <w:r w:rsidRPr="00881BC8">
        <w:rPr>
          <w:noProof/>
          <w:lang w:val="en-GB"/>
        </w:rPr>
        <w:t xml:space="preserve"> it </w:t>
      </w:r>
      <w:r w:rsidR="00B742F4" w:rsidRPr="00881BC8">
        <w:rPr>
          <w:noProof/>
          <w:lang w:val="en-GB"/>
        </w:rPr>
        <w:t xml:space="preserve">includes no </w:t>
      </w:r>
      <w:r w:rsidRPr="00881BC8">
        <w:rPr>
          <w:noProof/>
          <w:lang w:val="en-GB"/>
        </w:rPr>
        <w:t>direct enforcement measures. However, evidence from the LPD suggests that the above-mentioned proportional reduction is the most likely</w:t>
      </w:r>
      <w:r w:rsidR="00BF6B96" w:rsidRPr="00881BC8">
        <w:rPr>
          <w:noProof/>
          <w:lang w:val="en-GB"/>
        </w:rPr>
        <w:t xml:space="preserve"> even when PO1 is a self-standing option</w:t>
      </w:r>
      <w:r w:rsidRPr="00881BC8">
        <w:rPr>
          <w:noProof/>
          <w:lang w:val="en-GB"/>
        </w:rPr>
        <w:t xml:space="preserve">. After the 2011 LPD introduced capping on payment terms </w:t>
      </w:r>
      <w:r w:rsidR="007A31C7" w:rsidRPr="00881BC8">
        <w:rPr>
          <w:noProof/>
          <w:lang w:val="en-GB"/>
        </w:rPr>
        <w:t>in G2B transactions</w:t>
      </w:r>
      <w:r w:rsidRPr="00881BC8">
        <w:rPr>
          <w:noProof/>
          <w:lang w:val="en-GB"/>
        </w:rPr>
        <w:t>, the actual payment times showed a significant downward trend</w:t>
      </w:r>
      <w:r w:rsidR="009F5578" w:rsidRPr="00881BC8">
        <w:rPr>
          <w:noProof/>
          <w:lang w:val="en-GB"/>
        </w:rPr>
        <w:t>. P</w:t>
      </w:r>
      <w:r w:rsidRPr="00881BC8">
        <w:rPr>
          <w:noProof/>
          <w:lang w:val="en-GB"/>
        </w:rPr>
        <w:t xml:space="preserve">ayment delays by public authorities </w:t>
      </w:r>
      <w:r w:rsidR="009F5578" w:rsidRPr="00881BC8">
        <w:rPr>
          <w:noProof/>
          <w:lang w:val="en-GB"/>
        </w:rPr>
        <w:t xml:space="preserve">went </w:t>
      </w:r>
      <w:r w:rsidRPr="00881BC8">
        <w:rPr>
          <w:noProof/>
          <w:lang w:val="en-GB"/>
        </w:rPr>
        <w:t xml:space="preserve">down from 27.8 days </w:t>
      </w:r>
      <w:r w:rsidR="009F5578" w:rsidRPr="00881BC8">
        <w:rPr>
          <w:noProof/>
          <w:lang w:val="en-GB"/>
        </w:rPr>
        <w:t xml:space="preserve">in 2011 </w:t>
      </w:r>
      <w:r w:rsidRPr="00881BC8">
        <w:rPr>
          <w:noProof/>
          <w:lang w:val="en-GB"/>
        </w:rPr>
        <w:t>to 16.8 days in 2022, a reduction in 40%</w:t>
      </w:r>
      <w:r w:rsidRPr="00881BC8">
        <w:rPr>
          <w:rStyle w:val="FootnoteReference"/>
          <w:noProof/>
          <w:lang w:val="en-GB"/>
        </w:rPr>
        <w:footnoteReference w:id="94"/>
      </w:r>
      <w:r w:rsidRPr="00881BC8">
        <w:rPr>
          <w:noProof/>
          <w:lang w:val="en-GB"/>
        </w:rPr>
        <w:t>.</w:t>
      </w:r>
    </w:p>
    <w:p w14:paraId="31805F15" w14:textId="75DEDF7C" w:rsidR="00A74EE1" w:rsidRPr="00881BC8" w:rsidRDefault="00A74EE1" w:rsidP="004835F8">
      <w:pPr>
        <w:pStyle w:val="NormalPara"/>
        <w:rPr>
          <w:noProof/>
          <w:lang w:val="en-GB"/>
        </w:rPr>
      </w:pPr>
      <w:r w:rsidRPr="00881BC8">
        <w:rPr>
          <w:noProof/>
          <w:lang w:val="en-GB"/>
        </w:rPr>
        <w:t>These assumptions bring the following reduction in payment duration for each sub-option:</w:t>
      </w:r>
    </w:p>
    <w:p w14:paraId="24CC7CB3" w14:textId="173D8B03" w:rsidR="00A74EE1" w:rsidRPr="00881BC8" w:rsidRDefault="00A74EE1" w:rsidP="004835F8">
      <w:pPr>
        <w:pStyle w:val="Text2"/>
        <w:numPr>
          <w:ilvl w:val="0"/>
          <w:numId w:val="11"/>
        </w:numPr>
        <w:rPr>
          <w:noProof/>
        </w:rPr>
      </w:pPr>
      <w:r w:rsidRPr="00881BC8">
        <w:rPr>
          <w:noProof/>
        </w:rPr>
        <w:t xml:space="preserve">PO1a (Capping at 30 days): Taking current average payment terms in B2B transactions </w:t>
      </w:r>
      <w:r w:rsidR="0031337E" w:rsidRPr="00881BC8">
        <w:rPr>
          <w:noProof/>
        </w:rPr>
        <w:t>of</w:t>
      </w:r>
      <w:r w:rsidRPr="00881BC8">
        <w:rPr>
          <w:noProof/>
        </w:rPr>
        <w:t xml:space="preserve"> 39.3 days and actual payment times of 52.6 days</w:t>
      </w:r>
      <w:r w:rsidRPr="00881BC8">
        <w:rPr>
          <w:rStyle w:val="FootnoteReference"/>
          <w:noProof/>
        </w:rPr>
        <w:footnoteReference w:id="95"/>
      </w:r>
      <w:r w:rsidRPr="00881BC8">
        <w:rPr>
          <w:noProof/>
        </w:rPr>
        <w:t xml:space="preserve"> as a baseline, a 30 days capping will involve a reduction in payment terms for every EU company on average. In an optimistic scenario where payment times comply with the terms agreed, a 30-day cap would produce a reduction of 22.6 days of actual payment duration, or nearly 43%. </w:t>
      </w:r>
      <w:r w:rsidR="00EC7C5D" w:rsidRPr="00881BC8">
        <w:rPr>
          <w:noProof/>
        </w:rPr>
        <w:t>I</w:t>
      </w:r>
      <w:r w:rsidRPr="00881BC8">
        <w:rPr>
          <w:noProof/>
        </w:rPr>
        <w:t xml:space="preserve">n </w:t>
      </w:r>
      <w:r w:rsidR="00EC7C5D" w:rsidRPr="00881BC8">
        <w:rPr>
          <w:noProof/>
        </w:rPr>
        <w:t xml:space="preserve">the </w:t>
      </w:r>
      <w:r w:rsidRPr="00881BC8">
        <w:rPr>
          <w:noProof/>
        </w:rPr>
        <w:t xml:space="preserve">realistic scenario of proportionally reduced payment times, a 30-day capping would lead to actual payment duration of 40.2 days, </w:t>
      </w:r>
      <w:r w:rsidR="00EC7C5D" w:rsidRPr="00881BC8">
        <w:rPr>
          <w:noProof/>
        </w:rPr>
        <w:t>down by</w:t>
      </w:r>
      <w:r w:rsidRPr="00881BC8">
        <w:rPr>
          <w:noProof/>
        </w:rPr>
        <w:t xml:space="preserve"> 12.4 days or 23.5% (or a reduction in payment delays from 13.3 days to 10.2 days, a reduction of 23.4%)</w:t>
      </w:r>
      <w:r w:rsidR="00603D73" w:rsidRPr="00881BC8">
        <w:rPr>
          <w:noProof/>
        </w:rPr>
        <w:t xml:space="preserve"> – see </w:t>
      </w:r>
      <w:r w:rsidR="00CF7320" w:rsidRPr="00881BC8">
        <w:rPr>
          <w:noProof/>
        </w:rPr>
        <w:fldChar w:fldCharType="begin"/>
      </w:r>
      <w:r w:rsidR="00CF7320" w:rsidRPr="00881BC8">
        <w:rPr>
          <w:noProof/>
        </w:rPr>
        <w:instrText xml:space="preserve"> REF Annex04 \h </w:instrText>
      </w:r>
      <w:r w:rsidR="00CF7320" w:rsidRPr="00881BC8">
        <w:rPr>
          <w:noProof/>
        </w:rPr>
      </w:r>
      <w:r w:rsidR="00CF7320" w:rsidRPr="00881BC8">
        <w:rPr>
          <w:noProof/>
        </w:rPr>
        <w:fldChar w:fldCharType="separate"/>
      </w:r>
      <w:r w:rsidR="005851F4" w:rsidRPr="00881BC8">
        <w:rPr>
          <w:noProof/>
        </w:rPr>
        <w:t>Annex 4</w:t>
      </w:r>
      <w:r w:rsidR="00CF7320" w:rsidRPr="00881BC8">
        <w:rPr>
          <w:noProof/>
        </w:rPr>
        <w:fldChar w:fldCharType="end"/>
      </w:r>
      <w:r w:rsidRPr="00881BC8">
        <w:rPr>
          <w:noProof/>
        </w:rPr>
        <w:t xml:space="preserve">. </w:t>
      </w:r>
    </w:p>
    <w:p w14:paraId="53D8B139" w14:textId="0E2617C2" w:rsidR="00A74EE1" w:rsidRPr="00881BC8" w:rsidRDefault="00A74EE1" w:rsidP="004835F8">
      <w:pPr>
        <w:pStyle w:val="ListParagraph"/>
        <w:numPr>
          <w:ilvl w:val="0"/>
          <w:numId w:val="11"/>
        </w:numPr>
        <w:rPr>
          <w:rFonts w:eastAsia="Times New Roman"/>
          <w:noProof/>
        </w:rPr>
      </w:pPr>
      <w:r w:rsidRPr="00881BC8">
        <w:rPr>
          <w:noProof/>
        </w:rPr>
        <w:t xml:space="preserve">PO1b (Capping at 60 days): </w:t>
      </w:r>
      <w:r w:rsidRPr="00881BC8">
        <w:rPr>
          <w:rFonts w:eastAsia="Times New Roman"/>
          <w:noProof/>
        </w:rPr>
        <w:t>As current average payment terms and times in B2B transactions are already below 60 days, this option would not necessarily bring down the payment terms for the average EU company. Instead, this option would target only excessively long payment terms. Therefore, the benefits of this option are significantly lower than the option of capping at 30 days, but it would imply substantial benefits for a subset of companies. Estimating from the European Payment Report, currently 14.4% of all companies specify payment terms above 60 days</w:t>
      </w:r>
      <w:r w:rsidRPr="00881BC8">
        <w:rPr>
          <w:rStyle w:val="FootnoteReference"/>
          <w:rFonts w:eastAsia="Times New Roman"/>
          <w:noProof/>
        </w:rPr>
        <w:footnoteReference w:id="96"/>
      </w:r>
      <w:r w:rsidRPr="00881BC8">
        <w:rPr>
          <w:rFonts w:eastAsia="Times New Roman"/>
          <w:noProof/>
        </w:rPr>
        <w:t xml:space="preserve">. </w:t>
      </w:r>
      <w:r w:rsidR="00D611CD" w:rsidRPr="00881BC8">
        <w:rPr>
          <w:rStyle w:val="ui-provider"/>
          <w:noProof/>
        </w:rPr>
        <w:t>While there is no precise data on how much payment delays this specific subset of companies faces, the JRC study on the economic impact of faster payments suggests that companies that were collecting payments in more than 60 days, on average, show a 10% increase in cash flow four years after the enactment of the LPD</w:t>
      </w:r>
      <w:r w:rsidRPr="00881BC8">
        <w:rPr>
          <w:rStyle w:val="FootnoteReference"/>
          <w:rFonts w:eastAsia="Times New Roman"/>
          <w:noProof/>
        </w:rPr>
        <w:footnoteReference w:id="97"/>
      </w:r>
      <w:r w:rsidRPr="00881BC8">
        <w:rPr>
          <w:rFonts w:eastAsia="Times New Roman"/>
          <w:noProof/>
        </w:rPr>
        <w:t>.</w:t>
      </w:r>
    </w:p>
    <w:p w14:paraId="3B13BB83" w14:textId="77777777" w:rsidR="00A74EE1" w:rsidRPr="00881BC8" w:rsidRDefault="00A74EE1" w:rsidP="004835F8">
      <w:pPr>
        <w:pStyle w:val="Text2"/>
        <w:numPr>
          <w:ilvl w:val="0"/>
          <w:numId w:val="11"/>
        </w:numPr>
        <w:rPr>
          <w:noProof/>
        </w:rPr>
      </w:pPr>
      <w:r w:rsidRPr="00881BC8">
        <w:rPr>
          <w:noProof/>
        </w:rPr>
        <w:t>PO1c (Capping at 60 days where the creditor is an SME): The benefits of this option are similar to the option of capping at 60 days (PO1b), but will affect a smaller subset of invoices. Calculating from the number of companies per size class and the average number of invoices issued by size class, we can estimate 66% of all invoices being issued by an SME</w:t>
      </w:r>
      <w:r w:rsidRPr="00881BC8">
        <w:rPr>
          <w:rStyle w:val="FootnoteReference"/>
          <w:noProof/>
        </w:rPr>
        <w:footnoteReference w:id="98"/>
      </w:r>
      <w:r w:rsidRPr="00881BC8">
        <w:rPr>
          <w:noProof/>
        </w:rPr>
        <w:t>. This sub-option would therefore affect 66% of the invoices of the above-mentioned 14.4% of all companies.</w:t>
      </w:r>
    </w:p>
    <w:p w14:paraId="7F0D6854" w14:textId="031C5ACD" w:rsidR="00A74EE1" w:rsidRPr="00881BC8" w:rsidRDefault="00A74EE1" w:rsidP="004835F8">
      <w:pPr>
        <w:pStyle w:val="NormalPara"/>
        <w:rPr>
          <w:noProof/>
          <w:lang w:val="en-GB"/>
        </w:rPr>
      </w:pPr>
      <w:r w:rsidRPr="00881BC8">
        <w:rPr>
          <w:noProof/>
          <w:lang w:val="en-GB"/>
        </w:rPr>
        <w:t xml:space="preserve">Stakeholders largely support capping payment terms. The results are most clear in the SME </w:t>
      </w:r>
      <w:r w:rsidR="004B68FA" w:rsidRPr="00881BC8">
        <w:rPr>
          <w:noProof/>
          <w:lang w:val="en-GB"/>
        </w:rPr>
        <w:t>p</w:t>
      </w:r>
      <w:r w:rsidRPr="00881BC8">
        <w:rPr>
          <w:noProof/>
          <w:lang w:val="en-GB"/>
        </w:rPr>
        <w:t xml:space="preserve">anel, where 83% of SMEs support a cap on payment terms. </w:t>
      </w:r>
      <w:r w:rsidR="00EE68BF" w:rsidRPr="00881BC8">
        <w:rPr>
          <w:noProof/>
          <w:lang w:val="en-GB"/>
        </w:rPr>
        <w:t xml:space="preserve">SMEs are more split about </w:t>
      </w:r>
      <w:r w:rsidRPr="00881BC8">
        <w:rPr>
          <w:noProof/>
          <w:lang w:val="en-GB"/>
        </w:rPr>
        <w:t xml:space="preserve">the level </w:t>
      </w:r>
      <w:r w:rsidR="00EE68BF" w:rsidRPr="00881BC8">
        <w:rPr>
          <w:noProof/>
          <w:lang w:val="en-GB"/>
        </w:rPr>
        <w:t>for</w:t>
      </w:r>
      <w:r w:rsidRPr="00881BC8">
        <w:rPr>
          <w:noProof/>
          <w:lang w:val="en-GB"/>
        </w:rPr>
        <w:t xml:space="preserve"> this cap: 36% support a cap at 30 days (up to 44% among micro-companies and self-employed), 28% support 60 days (up to 36% among small companies) and 17% support 45 days instead. </w:t>
      </w:r>
    </w:p>
    <w:p w14:paraId="40685341" w14:textId="153B181C" w:rsidR="00A74EE1" w:rsidRPr="00881BC8" w:rsidRDefault="00E4064B" w:rsidP="004835F8">
      <w:pPr>
        <w:pStyle w:val="NormalPara"/>
        <w:rPr>
          <w:noProof/>
          <w:lang w:val="en-GB"/>
        </w:rPr>
      </w:pPr>
      <w:r w:rsidRPr="00881BC8">
        <w:rPr>
          <w:noProof/>
          <w:lang w:val="en-GB"/>
        </w:rPr>
        <w:t>PC</w:t>
      </w:r>
      <w:r w:rsidR="003C4FEF" w:rsidRPr="00881BC8">
        <w:rPr>
          <w:noProof/>
          <w:lang w:val="en-GB"/>
        </w:rPr>
        <w:t xml:space="preserve"> </w:t>
      </w:r>
      <w:r w:rsidR="00A74EE1" w:rsidRPr="00881BC8">
        <w:rPr>
          <w:noProof/>
          <w:lang w:val="en-GB"/>
        </w:rPr>
        <w:t xml:space="preserve">also </w:t>
      </w:r>
      <w:r w:rsidR="003C4FEF" w:rsidRPr="00881BC8">
        <w:rPr>
          <w:noProof/>
          <w:lang w:val="en-GB"/>
        </w:rPr>
        <w:t xml:space="preserve">shows </w:t>
      </w:r>
      <w:r w:rsidR="00A74EE1" w:rsidRPr="00881BC8">
        <w:rPr>
          <w:noProof/>
          <w:lang w:val="en-GB"/>
        </w:rPr>
        <w:t xml:space="preserve">broad </w:t>
      </w:r>
      <w:r w:rsidR="003C4FEF" w:rsidRPr="00881BC8">
        <w:rPr>
          <w:noProof/>
          <w:lang w:val="en-GB"/>
        </w:rPr>
        <w:t xml:space="preserve">stakeholder </w:t>
      </w:r>
      <w:r w:rsidR="00A74EE1" w:rsidRPr="00881BC8">
        <w:rPr>
          <w:noProof/>
          <w:lang w:val="en-GB"/>
        </w:rPr>
        <w:t xml:space="preserve">support for setting a maximum payment term in B2B transactions (59% in total, and the most popular option for each type of respondents, such as business associations, public authorities and individual businesses). However, the most popular options in the </w:t>
      </w:r>
      <w:r w:rsidRPr="00881BC8">
        <w:rPr>
          <w:noProof/>
          <w:lang w:val="en-GB"/>
        </w:rPr>
        <w:t xml:space="preserve">PC </w:t>
      </w:r>
      <w:r w:rsidR="00A74EE1" w:rsidRPr="00881BC8">
        <w:rPr>
          <w:noProof/>
          <w:lang w:val="en-GB"/>
        </w:rPr>
        <w:t xml:space="preserve">for payment terms </w:t>
      </w:r>
      <w:r w:rsidR="00896C28" w:rsidRPr="00881BC8">
        <w:rPr>
          <w:noProof/>
          <w:lang w:val="en-GB"/>
        </w:rPr>
        <w:t xml:space="preserve">are either to </w:t>
      </w:r>
      <w:r w:rsidR="00A74EE1" w:rsidRPr="00881BC8">
        <w:rPr>
          <w:noProof/>
          <w:lang w:val="en-GB"/>
        </w:rPr>
        <w:t xml:space="preserve">remain as they are (29%) or to be capped at 30 days (27%). The option of 60 days finds </w:t>
      </w:r>
      <w:r w:rsidR="001F0F11" w:rsidRPr="00881BC8">
        <w:rPr>
          <w:noProof/>
          <w:lang w:val="en-GB"/>
        </w:rPr>
        <w:t xml:space="preserve">support of </w:t>
      </w:r>
      <w:r w:rsidR="00A74EE1" w:rsidRPr="00881BC8">
        <w:rPr>
          <w:noProof/>
          <w:lang w:val="en-GB"/>
        </w:rPr>
        <w:t xml:space="preserve">only 9.4% </w:t>
      </w:r>
      <w:r w:rsidR="001F0F11" w:rsidRPr="00881BC8">
        <w:rPr>
          <w:noProof/>
          <w:lang w:val="en-GB"/>
        </w:rPr>
        <w:t>of respondents</w:t>
      </w:r>
      <w:r w:rsidR="00A74EE1" w:rsidRPr="00881BC8">
        <w:rPr>
          <w:noProof/>
          <w:lang w:val="en-GB"/>
        </w:rPr>
        <w:t xml:space="preserve">. </w:t>
      </w:r>
      <w:r w:rsidR="001F0F11" w:rsidRPr="00881BC8">
        <w:rPr>
          <w:noProof/>
          <w:lang w:val="en-GB"/>
        </w:rPr>
        <w:t xml:space="preserve">Several </w:t>
      </w:r>
      <w:r w:rsidR="00A74EE1" w:rsidRPr="00881BC8">
        <w:rPr>
          <w:noProof/>
          <w:lang w:val="en-GB"/>
        </w:rPr>
        <w:t xml:space="preserve">stakeholders proposing </w:t>
      </w:r>
      <w:r w:rsidR="00303DFA" w:rsidRPr="00881BC8">
        <w:rPr>
          <w:noProof/>
          <w:lang w:val="en-GB"/>
        </w:rPr>
        <w:t>‘</w:t>
      </w:r>
      <w:r w:rsidR="00A74EE1" w:rsidRPr="00881BC8">
        <w:rPr>
          <w:noProof/>
          <w:lang w:val="en-GB"/>
        </w:rPr>
        <w:t>Other options</w:t>
      </w:r>
      <w:r w:rsidR="00303DFA" w:rsidRPr="00881BC8">
        <w:rPr>
          <w:noProof/>
          <w:lang w:val="en-GB"/>
        </w:rPr>
        <w:t>’</w:t>
      </w:r>
      <w:r w:rsidR="00A74EE1" w:rsidRPr="00881BC8">
        <w:rPr>
          <w:noProof/>
          <w:lang w:val="en-GB"/>
        </w:rPr>
        <w:t xml:space="preserve">, express aversion to limiting freedom of contract. This suggests that those stakeholders who wish to see freedom of contract retained want to keep things as they are; whereas if the freedom of contract is restricted </w:t>
      </w:r>
      <w:r w:rsidR="00613246" w:rsidRPr="00881BC8">
        <w:rPr>
          <w:noProof/>
          <w:lang w:val="en-GB"/>
        </w:rPr>
        <w:t xml:space="preserve">in </w:t>
      </w:r>
      <w:r w:rsidR="00A74EE1" w:rsidRPr="00881BC8">
        <w:rPr>
          <w:noProof/>
          <w:lang w:val="en-GB"/>
        </w:rPr>
        <w:t>any</w:t>
      </w:r>
      <w:r w:rsidR="00613246" w:rsidRPr="00881BC8">
        <w:rPr>
          <w:noProof/>
          <w:lang w:val="en-GB"/>
        </w:rPr>
        <w:t xml:space="preserve"> </w:t>
      </w:r>
      <w:r w:rsidR="00A74EE1" w:rsidRPr="00881BC8">
        <w:rPr>
          <w:noProof/>
          <w:lang w:val="en-GB"/>
        </w:rPr>
        <w:t>way, it should be used for the most effective option, hence the cap at 30 days.</w:t>
      </w:r>
    </w:p>
    <w:p w14:paraId="7D4EBE73" w14:textId="0F81D94A" w:rsidR="00A74EE1" w:rsidRPr="00881BC8" w:rsidRDefault="00A74EE1" w:rsidP="004835F8">
      <w:pPr>
        <w:pStyle w:val="NormalPara"/>
        <w:rPr>
          <w:noProof/>
          <w:lang w:val="en-GB"/>
        </w:rPr>
      </w:pPr>
      <w:r w:rsidRPr="00881BC8">
        <w:rPr>
          <w:noProof/>
          <w:lang w:val="en-GB"/>
        </w:rPr>
        <w:t xml:space="preserve">PO1c finds </w:t>
      </w:r>
      <w:r w:rsidR="00180350">
        <w:rPr>
          <w:noProof/>
          <w:lang w:val="en-GB"/>
        </w:rPr>
        <w:t xml:space="preserve">little </w:t>
      </w:r>
      <w:r w:rsidRPr="00881BC8">
        <w:rPr>
          <w:noProof/>
          <w:lang w:val="en-GB"/>
        </w:rPr>
        <w:t>support overall, with only 2.5% of stakeholders in favour of limiting payment terms to 60 days only in transactions between large companies and SMEs.</w:t>
      </w:r>
      <w:r w:rsidR="009338B4">
        <w:rPr>
          <w:noProof/>
          <w:lang w:val="en-GB"/>
        </w:rPr>
        <w:t xml:space="preserve"> The only support to this option came from a few small business associations and individual EU citizens in the public consultation; no companies or public authorities expressly supported this option in the consultation.</w:t>
      </w:r>
    </w:p>
    <w:p w14:paraId="51EB0A71" w14:textId="1CA3F421" w:rsidR="008D073E" w:rsidRPr="00881BC8" w:rsidRDefault="00E27F95" w:rsidP="004835F8">
      <w:pPr>
        <w:pStyle w:val="NormalPara"/>
        <w:rPr>
          <w:noProof/>
          <w:lang w:val="en-GB"/>
        </w:rPr>
      </w:pPr>
      <w:r w:rsidRPr="00881BC8">
        <w:rPr>
          <w:noProof/>
          <w:lang w:val="en-GB"/>
        </w:rPr>
        <w:t xml:space="preserve">In this option we have also analysed </w:t>
      </w:r>
      <w:r w:rsidR="00A74EE1" w:rsidRPr="00881BC8">
        <w:rPr>
          <w:noProof/>
          <w:lang w:val="en-GB"/>
        </w:rPr>
        <w:t xml:space="preserve">a potential </w:t>
      </w:r>
      <w:r w:rsidR="000E5D25" w:rsidRPr="00881BC8">
        <w:rPr>
          <w:noProof/>
          <w:lang w:val="en-GB"/>
        </w:rPr>
        <w:t>alternative</w:t>
      </w:r>
      <w:r w:rsidR="00A74EE1" w:rsidRPr="00881BC8">
        <w:rPr>
          <w:noProof/>
          <w:lang w:val="en-GB"/>
        </w:rPr>
        <w:t xml:space="preserve"> </w:t>
      </w:r>
      <w:r w:rsidRPr="00881BC8">
        <w:rPr>
          <w:noProof/>
          <w:lang w:val="en-GB"/>
        </w:rPr>
        <w:t xml:space="preserve">for </w:t>
      </w:r>
      <w:r w:rsidR="00A74EE1" w:rsidRPr="00881BC8">
        <w:rPr>
          <w:noProof/>
          <w:lang w:val="en-GB"/>
        </w:rPr>
        <w:t xml:space="preserve">exceptions for specific sectors. </w:t>
      </w:r>
      <w:r w:rsidR="003D15A5" w:rsidRPr="00881BC8">
        <w:rPr>
          <w:noProof/>
          <w:lang w:val="en-GB"/>
        </w:rPr>
        <w:t>Introducing a sectoral approach</w:t>
      </w:r>
      <w:r w:rsidR="00A74EE1" w:rsidRPr="00881BC8">
        <w:rPr>
          <w:noProof/>
          <w:lang w:val="en-GB"/>
        </w:rPr>
        <w:t xml:space="preserve"> finds relatively little favour among stakeholders (4.2% in the </w:t>
      </w:r>
      <w:r w:rsidR="00E4064B" w:rsidRPr="00881BC8">
        <w:rPr>
          <w:noProof/>
          <w:lang w:val="en-GB"/>
        </w:rPr>
        <w:t>PC</w:t>
      </w:r>
      <w:r w:rsidR="00A74EE1" w:rsidRPr="00881BC8">
        <w:rPr>
          <w:noProof/>
          <w:lang w:val="en-GB"/>
        </w:rPr>
        <w:t xml:space="preserve">, and 12% of SMEs in </w:t>
      </w:r>
      <w:r w:rsidR="00C11768" w:rsidRPr="00881BC8">
        <w:rPr>
          <w:noProof/>
          <w:lang w:val="en-GB"/>
        </w:rPr>
        <w:t>the SME</w:t>
      </w:r>
      <w:r w:rsidR="00A74EE1" w:rsidRPr="00881BC8">
        <w:rPr>
          <w:noProof/>
          <w:lang w:val="en-GB"/>
        </w:rPr>
        <w:t xml:space="preserve"> panel)</w:t>
      </w:r>
      <w:r w:rsidR="00FF1EC6" w:rsidRPr="00881BC8">
        <w:rPr>
          <w:noProof/>
          <w:lang w:val="en-GB"/>
        </w:rPr>
        <w:t xml:space="preserve">. Some </w:t>
      </w:r>
      <w:r w:rsidR="00A74EE1" w:rsidRPr="00881BC8">
        <w:rPr>
          <w:noProof/>
          <w:lang w:val="en-GB"/>
        </w:rPr>
        <w:t xml:space="preserve">stakeholders from </w:t>
      </w:r>
      <w:r w:rsidR="00FF1EC6" w:rsidRPr="00881BC8">
        <w:rPr>
          <w:noProof/>
          <w:lang w:val="en-GB"/>
        </w:rPr>
        <w:t xml:space="preserve">retail, wholesale and textile sectors express </w:t>
      </w:r>
      <w:r w:rsidR="00A74EE1" w:rsidRPr="00881BC8">
        <w:rPr>
          <w:noProof/>
          <w:lang w:val="en-GB"/>
        </w:rPr>
        <w:t xml:space="preserve">opposition to uniform payment terms. According to these stakeholders, maximum payment terms </w:t>
      </w:r>
      <w:r w:rsidR="001661C8" w:rsidRPr="00881BC8">
        <w:rPr>
          <w:noProof/>
          <w:lang w:val="en-GB"/>
        </w:rPr>
        <w:t>should not</w:t>
      </w:r>
      <w:r w:rsidR="00A74EE1" w:rsidRPr="00881BC8">
        <w:rPr>
          <w:noProof/>
          <w:lang w:val="en-GB"/>
        </w:rPr>
        <w:t xml:space="preserve"> be enforced in sectors with strong seasonality</w:t>
      </w:r>
      <w:r w:rsidR="003D15A5" w:rsidRPr="00881BC8">
        <w:rPr>
          <w:noProof/>
          <w:lang w:val="en-GB"/>
        </w:rPr>
        <w:t xml:space="preserve"> (</w:t>
      </w:r>
      <w:r w:rsidR="00C0723C" w:rsidRPr="00881BC8">
        <w:rPr>
          <w:noProof/>
          <w:lang w:val="en-GB"/>
        </w:rPr>
        <w:t xml:space="preserve">e.g. </w:t>
      </w:r>
      <w:r w:rsidR="003D15A5" w:rsidRPr="00881BC8">
        <w:rPr>
          <w:noProof/>
          <w:lang w:val="en-GB"/>
        </w:rPr>
        <w:t>textile)</w:t>
      </w:r>
      <w:r w:rsidR="00A74EE1" w:rsidRPr="00881BC8">
        <w:rPr>
          <w:noProof/>
          <w:lang w:val="en-GB"/>
        </w:rPr>
        <w:t xml:space="preserve">, and capped payment terms would harm smaller </w:t>
      </w:r>
      <w:r w:rsidR="00B2794E" w:rsidRPr="00881BC8">
        <w:rPr>
          <w:noProof/>
          <w:lang w:val="en-GB"/>
        </w:rPr>
        <w:t>companies</w:t>
      </w:r>
      <w:r w:rsidR="00A74EE1" w:rsidRPr="00881BC8">
        <w:rPr>
          <w:noProof/>
          <w:lang w:val="en-GB"/>
        </w:rPr>
        <w:t xml:space="preserve"> who rely on long payment terms and would find it difficult to access financing otherwise</w:t>
      </w:r>
      <w:r w:rsidR="001661C8" w:rsidRPr="00881BC8">
        <w:rPr>
          <w:noProof/>
          <w:lang w:val="en-GB"/>
        </w:rPr>
        <w:t xml:space="preserve"> (retail)</w:t>
      </w:r>
      <w:r w:rsidR="00A74EE1" w:rsidRPr="00881BC8">
        <w:rPr>
          <w:noProof/>
          <w:lang w:val="en-GB"/>
        </w:rPr>
        <w:t>.</w:t>
      </w:r>
      <w:r w:rsidR="001661C8" w:rsidRPr="00881BC8">
        <w:rPr>
          <w:noProof/>
          <w:lang w:val="en-GB"/>
        </w:rPr>
        <w:t xml:space="preserve"> </w:t>
      </w:r>
      <w:r w:rsidR="00254942" w:rsidRPr="00881BC8">
        <w:rPr>
          <w:noProof/>
          <w:lang w:val="en-GB"/>
        </w:rPr>
        <w:t xml:space="preserve">Such sector specificities </w:t>
      </w:r>
      <w:r w:rsidR="00BD2FCF" w:rsidRPr="00881BC8">
        <w:rPr>
          <w:noProof/>
          <w:lang w:val="en-GB"/>
        </w:rPr>
        <w:t>c</w:t>
      </w:r>
      <w:r w:rsidR="00254942" w:rsidRPr="00881BC8">
        <w:rPr>
          <w:noProof/>
          <w:lang w:val="en-GB"/>
        </w:rPr>
        <w:t xml:space="preserve">ould be addressed </w:t>
      </w:r>
      <w:r w:rsidR="00BD2FCF" w:rsidRPr="00881BC8">
        <w:rPr>
          <w:noProof/>
          <w:lang w:val="en-GB"/>
        </w:rPr>
        <w:t xml:space="preserve">more adequately </w:t>
      </w:r>
      <w:r w:rsidR="00254942" w:rsidRPr="00881BC8">
        <w:rPr>
          <w:noProof/>
          <w:lang w:val="en-GB"/>
        </w:rPr>
        <w:t>by sector-specific funding options from finance providers</w:t>
      </w:r>
      <w:r w:rsidR="00BD2FCF" w:rsidRPr="00881BC8">
        <w:rPr>
          <w:noProof/>
          <w:lang w:val="en-GB"/>
        </w:rPr>
        <w:t xml:space="preserve"> than by supplier credit</w:t>
      </w:r>
      <w:r w:rsidR="00254942" w:rsidRPr="00881BC8">
        <w:rPr>
          <w:noProof/>
          <w:lang w:val="en-GB"/>
        </w:rPr>
        <w:t>.</w:t>
      </w:r>
    </w:p>
    <w:p w14:paraId="33508FBE" w14:textId="77777777" w:rsidR="008D073E" w:rsidRPr="00881BC8" w:rsidRDefault="008D073E" w:rsidP="004835F8">
      <w:pPr>
        <w:pStyle w:val="NormalPara"/>
        <w:rPr>
          <w:noProof/>
          <w:lang w:val="en-GB"/>
        </w:rPr>
      </w:pPr>
      <w:r w:rsidRPr="00881BC8">
        <w:rPr>
          <w:noProof/>
          <w:lang w:val="en-GB"/>
        </w:rPr>
        <w:t>We have assessed these arguments carefully. There is some evidence for certain sectors that routinely specify longer payment terms. Although the average payment term specified is fairly similar across most sectors, ranging from 37 to 42 days</w:t>
      </w:r>
      <w:r w:rsidRPr="00881BC8">
        <w:rPr>
          <w:rStyle w:val="FootnoteReference"/>
          <w:noProof/>
          <w:lang w:val="en-GB"/>
        </w:rPr>
        <w:footnoteReference w:id="99"/>
      </w:r>
      <w:r w:rsidRPr="00881BC8">
        <w:rPr>
          <w:noProof/>
          <w:lang w:val="en-GB"/>
        </w:rPr>
        <w:t>, among those companies pertaining to none of the listed sectors in the Intrum survey (‘Other’ sector), payment terms are significantly higher, at 59 days.</w:t>
      </w:r>
    </w:p>
    <w:p w14:paraId="50ED39D0" w14:textId="097C57C3" w:rsidR="00A74EE1" w:rsidRPr="00881BC8" w:rsidRDefault="008D073E" w:rsidP="004835F8">
      <w:pPr>
        <w:pStyle w:val="NormalPara"/>
        <w:rPr>
          <w:noProof/>
          <w:lang w:val="en-GB"/>
        </w:rPr>
      </w:pPr>
      <w:r w:rsidRPr="00881BC8">
        <w:rPr>
          <w:noProof/>
          <w:lang w:val="en-GB"/>
        </w:rPr>
        <w:t>B</w:t>
      </w:r>
      <w:r w:rsidR="00CE38EE" w:rsidRPr="00881BC8">
        <w:rPr>
          <w:noProof/>
          <w:lang w:val="en-GB"/>
        </w:rPr>
        <w:t>usiness associations representing exclusively SMEs</w:t>
      </w:r>
      <w:r w:rsidRPr="00881BC8">
        <w:rPr>
          <w:noProof/>
          <w:lang w:val="en-GB"/>
        </w:rPr>
        <w:t xml:space="preserve"> s</w:t>
      </w:r>
      <w:r w:rsidR="00451987" w:rsidRPr="00881BC8">
        <w:rPr>
          <w:noProof/>
          <w:lang w:val="en-GB"/>
        </w:rPr>
        <w:t>pecifically argue against longer payment terms for large retailers or the construction sector</w:t>
      </w:r>
      <w:r w:rsidR="00C4453D" w:rsidRPr="00881BC8">
        <w:rPr>
          <w:noProof/>
          <w:lang w:val="en-GB"/>
        </w:rPr>
        <w:t>.</w:t>
      </w:r>
      <w:r w:rsidR="00734C27" w:rsidRPr="00881BC8">
        <w:rPr>
          <w:noProof/>
          <w:lang w:val="en-GB"/>
        </w:rPr>
        <w:t xml:space="preserve"> </w:t>
      </w:r>
      <w:r w:rsidR="00C4453D" w:rsidRPr="00881BC8">
        <w:rPr>
          <w:noProof/>
          <w:lang w:val="en-GB"/>
        </w:rPr>
        <w:t>Arguments f</w:t>
      </w:r>
      <w:r w:rsidR="00734C27" w:rsidRPr="00881BC8">
        <w:rPr>
          <w:noProof/>
          <w:lang w:val="en-GB"/>
        </w:rPr>
        <w:t xml:space="preserve">or the retail </w:t>
      </w:r>
      <w:r w:rsidR="00C4453D" w:rsidRPr="00881BC8">
        <w:rPr>
          <w:noProof/>
          <w:lang w:val="en-GB"/>
        </w:rPr>
        <w:t xml:space="preserve">and textile </w:t>
      </w:r>
      <w:r w:rsidR="00734C27" w:rsidRPr="00881BC8">
        <w:rPr>
          <w:noProof/>
          <w:lang w:val="en-GB"/>
        </w:rPr>
        <w:t xml:space="preserve">sector </w:t>
      </w:r>
      <w:r w:rsidR="00272CA6" w:rsidRPr="00881BC8">
        <w:rPr>
          <w:noProof/>
          <w:lang w:val="en-GB"/>
        </w:rPr>
        <w:t>should be weighted against the fact that</w:t>
      </w:r>
      <w:r w:rsidR="00734C27" w:rsidRPr="00881BC8">
        <w:rPr>
          <w:noProof/>
          <w:lang w:val="en-GB"/>
        </w:rPr>
        <w:t xml:space="preserve"> sales </w:t>
      </w:r>
      <w:r w:rsidR="00CB7824" w:rsidRPr="00881BC8">
        <w:rPr>
          <w:noProof/>
          <w:lang w:val="en-GB"/>
        </w:rPr>
        <w:t xml:space="preserve">in these sectors </w:t>
      </w:r>
      <w:r w:rsidR="00272CA6" w:rsidRPr="00881BC8">
        <w:rPr>
          <w:noProof/>
          <w:lang w:val="en-GB"/>
        </w:rPr>
        <w:t>are made for cash</w:t>
      </w:r>
      <w:r w:rsidR="00734C27" w:rsidRPr="00881BC8">
        <w:rPr>
          <w:noProof/>
          <w:lang w:val="en-GB"/>
        </w:rPr>
        <w:t>.</w:t>
      </w:r>
      <w:r w:rsidR="00C4453D" w:rsidRPr="00881BC8">
        <w:rPr>
          <w:noProof/>
          <w:lang w:val="en-GB"/>
        </w:rPr>
        <w:t xml:space="preserve"> SME panel respondents</w:t>
      </w:r>
      <w:r w:rsidR="00CB7824" w:rsidRPr="00881BC8">
        <w:rPr>
          <w:noProof/>
          <w:lang w:val="en-GB"/>
        </w:rPr>
        <w:t xml:space="preserve"> do not support a sectoral approach either.</w:t>
      </w:r>
      <w:r w:rsidR="006B0F5F" w:rsidRPr="00881BC8">
        <w:rPr>
          <w:noProof/>
          <w:lang w:val="en-GB"/>
        </w:rPr>
        <w:t xml:space="preserve"> Sectors with the highest number of replies </w:t>
      </w:r>
      <w:r w:rsidR="00272CA6" w:rsidRPr="00881BC8">
        <w:rPr>
          <w:noProof/>
          <w:lang w:val="en-GB"/>
        </w:rPr>
        <w:t>are listed in the table below</w:t>
      </w:r>
      <w:r w:rsidR="006B0F5F" w:rsidRPr="00881BC8">
        <w:rPr>
          <w:noProof/>
          <w:lang w:val="en-GB"/>
        </w:rPr>
        <w:t>.</w:t>
      </w:r>
      <w:r w:rsidR="005F4C90" w:rsidRPr="00881BC8">
        <w:rPr>
          <w:noProof/>
          <w:lang w:val="en-GB"/>
        </w:rPr>
        <w:t xml:space="preserve"> </w:t>
      </w:r>
      <w:r w:rsidR="00812B6F" w:rsidRPr="00881BC8">
        <w:rPr>
          <w:noProof/>
          <w:lang w:val="en-GB"/>
        </w:rPr>
        <w:t>‘It is necessary to establish exceptions for certain sectors due to the specificity of the supply chain or of the market’ or ‘I do not agree with a maximum payment term’ is the preferred option</w:t>
      </w:r>
      <w:r w:rsidR="00620A20" w:rsidRPr="00881BC8">
        <w:rPr>
          <w:noProof/>
          <w:lang w:val="en-GB"/>
        </w:rPr>
        <w:t xml:space="preserve"> for none of the sectors</w:t>
      </w:r>
      <w:r w:rsidR="00812B6F" w:rsidRPr="00881BC8">
        <w:rPr>
          <w:noProof/>
          <w:lang w:val="en-GB"/>
        </w:rPr>
        <w:t>.</w:t>
      </w:r>
    </w:p>
    <w:tbl>
      <w:tblPr>
        <w:tblStyle w:val="TableGrid"/>
        <w:tblpPr w:leftFromText="181" w:rightFromText="181" w:bottomFromText="142" w:vertAnchor="text" w:tblpY="1"/>
        <w:tblOverlap w:val="never"/>
        <w:tblW w:w="8642" w:type="dxa"/>
        <w:tblLayout w:type="fixed"/>
        <w:tblLook w:val="04A0" w:firstRow="1" w:lastRow="0" w:firstColumn="1" w:lastColumn="0" w:noHBand="0" w:noVBand="1"/>
      </w:tblPr>
      <w:tblGrid>
        <w:gridCol w:w="6232"/>
        <w:gridCol w:w="1205"/>
        <w:gridCol w:w="1205"/>
      </w:tblGrid>
      <w:tr w:rsidR="00BB40BB" w:rsidRPr="00881BC8" w14:paraId="62F6514C" w14:textId="77777777" w:rsidTr="00E83577">
        <w:trPr>
          <w:trHeight w:val="290"/>
        </w:trPr>
        <w:tc>
          <w:tcPr>
            <w:tcW w:w="6232" w:type="dxa"/>
            <w:noWrap/>
            <w:hideMark/>
          </w:tcPr>
          <w:p w14:paraId="1C751A54" w14:textId="3BE284A4" w:rsidR="00BB40BB" w:rsidRPr="00881BC8" w:rsidRDefault="00BB40BB" w:rsidP="00E83577">
            <w:pPr>
              <w:spacing w:after="0"/>
              <w:rPr>
                <w:noProof/>
                <w:sz w:val="20"/>
                <w:szCs w:val="20"/>
              </w:rPr>
            </w:pPr>
            <w:r w:rsidRPr="00881BC8">
              <w:rPr>
                <w:noProof/>
                <w:sz w:val="20"/>
                <w:szCs w:val="20"/>
              </w:rPr>
              <w:t>SME panel</w:t>
            </w:r>
            <w:r w:rsidR="0047574F" w:rsidRPr="00881BC8">
              <w:rPr>
                <w:noProof/>
                <w:sz w:val="20"/>
                <w:szCs w:val="20"/>
              </w:rPr>
              <w:t xml:space="preserve"> – sectoral preferences for capping:</w:t>
            </w:r>
          </w:p>
        </w:tc>
        <w:tc>
          <w:tcPr>
            <w:tcW w:w="1205" w:type="dxa"/>
            <w:noWrap/>
            <w:hideMark/>
          </w:tcPr>
          <w:p w14:paraId="537FD34B" w14:textId="77777777" w:rsidR="00BB40BB" w:rsidRPr="00881BC8" w:rsidRDefault="00BB40BB" w:rsidP="00E83577">
            <w:pPr>
              <w:spacing w:after="0"/>
              <w:rPr>
                <w:noProof/>
                <w:sz w:val="20"/>
                <w:szCs w:val="20"/>
              </w:rPr>
            </w:pPr>
            <w:r w:rsidRPr="00881BC8">
              <w:rPr>
                <w:noProof/>
                <w:sz w:val="20"/>
                <w:szCs w:val="20"/>
              </w:rPr>
              <w:t>30 days</w:t>
            </w:r>
          </w:p>
        </w:tc>
        <w:tc>
          <w:tcPr>
            <w:tcW w:w="1205" w:type="dxa"/>
            <w:noWrap/>
            <w:hideMark/>
          </w:tcPr>
          <w:p w14:paraId="69D9C8B9" w14:textId="77777777" w:rsidR="00BB40BB" w:rsidRPr="00881BC8" w:rsidRDefault="00BB40BB" w:rsidP="00E83577">
            <w:pPr>
              <w:spacing w:after="0"/>
              <w:rPr>
                <w:noProof/>
                <w:sz w:val="20"/>
                <w:szCs w:val="20"/>
              </w:rPr>
            </w:pPr>
            <w:r w:rsidRPr="00881BC8">
              <w:rPr>
                <w:noProof/>
                <w:sz w:val="20"/>
                <w:szCs w:val="20"/>
              </w:rPr>
              <w:t>60 days</w:t>
            </w:r>
          </w:p>
        </w:tc>
      </w:tr>
      <w:tr w:rsidR="00BB40BB" w:rsidRPr="00881BC8" w14:paraId="35363416" w14:textId="77777777" w:rsidTr="00E83577">
        <w:trPr>
          <w:trHeight w:val="290"/>
        </w:trPr>
        <w:tc>
          <w:tcPr>
            <w:tcW w:w="6232" w:type="dxa"/>
            <w:noWrap/>
            <w:hideMark/>
          </w:tcPr>
          <w:p w14:paraId="1E99C6A0" w14:textId="77777777" w:rsidR="00BB40BB" w:rsidRPr="00881BC8" w:rsidRDefault="00BB40BB" w:rsidP="00E83577">
            <w:pPr>
              <w:spacing w:after="0"/>
              <w:rPr>
                <w:noProof/>
                <w:sz w:val="20"/>
                <w:szCs w:val="20"/>
              </w:rPr>
            </w:pPr>
            <w:r w:rsidRPr="00881BC8">
              <w:rPr>
                <w:noProof/>
                <w:sz w:val="20"/>
                <w:szCs w:val="20"/>
              </w:rPr>
              <w:t>Manufacturing</w:t>
            </w:r>
          </w:p>
        </w:tc>
        <w:tc>
          <w:tcPr>
            <w:tcW w:w="1205" w:type="dxa"/>
            <w:noWrap/>
            <w:hideMark/>
          </w:tcPr>
          <w:p w14:paraId="0C659ED3" w14:textId="77777777" w:rsidR="00BB40BB" w:rsidRPr="00881BC8" w:rsidRDefault="00BB40BB" w:rsidP="00E83577">
            <w:pPr>
              <w:spacing w:after="0"/>
              <w:rPr>
                <w:noProof/>
                <w:sz w:val="20"/>
                <w:szCs w:val="20"/>
              </w:rPr>
            </w:pPr>
            <w:r w:rsidRPr="00881BC8">
              <w:rPr>
                <w:noProof/>
                <w:sz w:val="20"/>
                <w:szCs w:val="20"/>
              </w:rPr>
              <w:t>22%</w:t>
            </w:r>
          </w:p>
        </w:tc>
        <w:tc>
          <w:tcPr>
            <w:tcW w:w="1205" w:type="dxa"/>
            <w:noWrap/>
            <w:hideMark/>
          </w:tcPr>
          <w:p w14:paraId="318ACF0F" w14:textId="77777777" w:rsidR="00BB40BB" w:rsidRPr="00881BC8" w:rsidRDefault="00BB40BB" w:rsidP="00E83577">
            <w:pPr>
              <w:spacing w:after="0"/>
              <w:rPr>
                <w:noProof/>
                <w:sz w:val="20"/>
                <w:szCs w:val="20"/>
              </w:rPr>
            </w:pPr>
            <w:r w:rsidRPr="00881BC8">
              <w:rPr>
                <w:noProof/>
                <w:sz w:val="20"/>
                <w:szCs w:val="20"/>
              </w:rPr>
              <w:t>35%</w:t>
            </w:r>
          </w:p>
        </w:tc>
      </w:tr>
      <w:tr w:rsidR="00BB40BB" w:rsidRPr="00881BC8" w14:paraId="2BB060BE" w14:textId="77777777" w:rsidTr="00E83577">
        <w:trPr>
          <w:trHeight w:val="290"/>
        </w:trPr>
        <w:tc>
          <w:tcPr>
            <w:tcW w:w="6232" w:type="dxa"/>
            <w:noWrap/>
            <w:hideMark/>
          </w:tcPr>
          <w:p w14:paraId="7B790E53" w14:textId="77777777" w:rsidR="00BB40BB" w:rsidRPr="00881BC8" w:rsidRDefault="00BB40BB" w:rsidP="00E83577">
            <w:pPr>
              <w:spacing w:after="0"/>
              <w:rPr>
                <w:noProof/>
                <w:sz w:val="20"/>
                <w:szCs w:val="20"/>
              </w:rPr>
            </w:pPr>
            <w:r w:rsidRPr="00881BC8">
              <w:rPr>
                <w:noProof/>
                <w:sz w:val="20"/>
                <w:szCs w:val="20"/>
              </w:rPr>
              <w:t>Construction</w:t>
            </w:r>
          </w:p>
        </w:tc>
        <w:tc>
          <w:tcPr>
            <w:tcW w:w="1205" w:type="dxa"/>
            <w:noWrap/>
            <w:hideMark/>
          </w:tcPr>
          <w:p w14:paraId="6E277A4A" w14:textId="77777777" w:rsidR="00BB40BB" w:rsidRPr="00881BC8" w:rsidRDefault="00BB40BB" w:rsidP="00E83577">
            <w:pPr>
              <w:spacing w:after="0"/>
              <w:rPr>
                <w:noProof/>
                <w:sz w:val="20"/>
                <w:szCs w:val="20"/>
              </w:rPr>
            </w:pPr>
            <w:r w:rsidRPr="00881BC8">
              <w:rPr>
                <w:noProof/>
                <w:sz w:val="20"/>
                <w:szCs w:val="20"/>
              </w:rPr>
              <w:t>39%</w:t>
            </w:r>
          </w:p>
        </w:tc>
        <w:tc>
          <w:tcPr>
            <w:tcW w:w="1205" w:type="dxa"/>
            <w:noWrap/>
            <w:hideMark/>
          </w:tcPr>
          <w:p w14:paraId="7B8B57B3" w14:textId="77777777" w:rsidR="00BB40BB" w:rsidRPr="00881BC8" w:rsidRDefault="00BB40BB" w:rsidP="00E83577">
            <w:pPr>
              <w:spacing w:after="0"/>
              <w:rPr>
                <w:noProof/>
                <w:sz w:val="20"/>
                <w:szCs w:val="20"/>
              </w:rPr>
            </w:pPr>
            <w:r w:rsidRPr="00881BC8">
              <w:rPr>
                <w:noProof/>
                <w:sz w:val="20"/>
                <w:szCs w:val="20"/>
              </w:rPr>
              <w:t>30%</w:t>
            </w:r>
          </w:p>
        </w:tc>
      </w:tr>
      <w:tr w:rsidR="00BB40BB" w:rsidRPr="00881BC8" w14:paraId="0ECCEBA7" w14:textId="77777777" w:rsidTr="00E83577">
        <w:trPr>
          <w:trHeight w:val="290"/>
        </w:trPr>
        <w:tc>
          <w:tcPr>
            <w:tcW w:w="6232" w:type="dxa"/>
            <w:noWrap/>
            <w:hideMark/>
          </w:tcPr>
          <w:p w14:paraId="287C3676" w14:textId="77777777" w:rsidR="00BB40BB" w:rsidRPr="00881BC8" w:rsidRDefault="00BB40BB" w:rsidP="00E83577">
            <w:pPr>
              <w:spacing w:after="0"/>
              <w:rPr>
                <w:noProof/>
                <w:sz w:val="20"/>
                <w:szCs w:val="20"/>
              </w:rPr>
            </w:pPr>
            <w:r w:rsidRPr="00881BC8">
              <w:rPr>
                <w:noProof/>
                <w:sz w:val="20"/>
                <w:szCs w:val="20"/>
              </w:rPr>
              <w:t>Other service activities</w:t>
            </w:r>
          </w:p>
        </w:tc>
        <w:tc>
          <w:tcPr>
            <w:tcW w:w="1205" w:type="dxa"/>
            <w:noWrap/>
            <w:hideMark/>
          </w:tcPr>
          <w:p w14:paraId="404213C0" w14:textId="77777777" w:rsidR="00BB40BB" w:rsidRPr="00881BC8" w:rsidRDefault="00BB40BB" w:rsidP="00E83577">
            <w:pPr>
              <w:spacing w:after="0"/>
              <w:rPr>
                <w:noProof/>
                <w:sz w:val="20"/>
                <w:szCs w:val="20"/>
              </w:rPr>
            </w:pPr>
            <w:r w:rsidRPr="00881BC8">
              <w:rPr>
                <w:noProof/>
                <w:sz w:val="20"/>
                <w:szCs w:val="20"/>
              </w:rPr>
              <w:t>41%</w:t>
            </w:r>
          </w:p>
        </w:tc>
        <w:tc>
          <w:tcPr>
            <w:tcW w:w="1205" w:type="dxa"/>
            <w:noWrap/>
            <w:hideMark/>
          </w:tcPr>
          <w:p w14:paraId="41FC8025" w14:textId="77777777" w:rsidR="00BB40BB" w:rsidRPr="00881BC8" w:rsidRDefault="00BB40BB" w:rsidP="00E83577">
            <w:pPr>
              <w:spacing w:after="0"/>
              <w:rPr>
                <w:noProof/>
                <w:sz w:val="20"/>
                <w:szCs w:val="20"/>
              </w:rPr>
            </w:pPr>
            <w:r w:rsidRPr="00881BC8">
              <w:rPr>
                <w:noProof/>
                <w:sz w:val="20"/>
                <w:szCs w:val="20"/>
              </w:rPr>
              <w:t>27%</w:t>
            </w:r>
          </w:p>
        </w:tc>
      </w:tr>
      <w:tr w:rsidR="00BB40BB" w:rsidRPr="00881BC8" w14:paraId="6642F8D7" w14:textId="77777777" w:rsidTr="00E83577">
        <w:trPr>
          <w:trHeight w:val="290"/>
        </w:trPr>
        <w:tc>
          <w:tcPr>
            <w:tcW w:w="6232" w:type="dxa"/>
            <w:noWrap/>
            <w:hideMark/>
          </w:tcPr>
          <w:p w14:paraId="667921D5" w14:textId="77777777" w:rsidR="00BB40BB" w:rsidRPr="00881BC8" w:rsidRDefault="00BB40BB" w:rsidP="00E83577">
            <w:pPr>
              <w:spacing w:after="0"/>
              <w:rPr>
                <w:noProof/>
                <w:sz w:val="20"/>
                <w:szCs w:val="20"/>
              </w:rPr>
            </w:pPr>
            <w:r w:rsidRPr="00881BC8">
              <w:rPr>
                <w:noProof/>
                <w:sz w:val="20"/>
                <w:szCs w:val="20"/>
              </w:rPr>
              <w:t>Wholesale and retail</w:t>
            </w:r>
          </w:p>
        </w:tc>
        <w:tc>
          <w:tcPr>
            <w:tcW w:w="1205" w:type="dxa"/>
            <w:noWrap/>
            <w:hideMark/>
          </w:tcPr>
          <w:p w14:paraId="5013E31C" w14:textId="77777777" w:rsidR="00BB40BB" w:rsidRPr="00881BC8" w:rsidRDefault="00BB40BB" w:rsidP="00E83577">
            <w:pPr>
              <w:spacing w:after="0"/>
              <w:rPr>
                <w:noProof/>
                <w:sz w:val="20"/>
                <w:szCs w:val="20"/>
              </w:rPr>
            </w:pPr>
            <w:r w:rsidRPr="00881BC8">
              <w:rPr>
                <w:noProof/>
                <w:sz w:val="20"/>
                <w:szCs w:val="20"/>
              </w:rPr>
              <w:t>38%</w:t>
            </w:r>
          </w:p>
        </w:tc>
        <w:tc>
          <w:tcPr>
            <w:tcW w:w="1205" w:type="dxa"/>
            <w:noWrap/>
            <w:hideMark/>
          </w:tcPr>
          <w:p w14:paraId="25FC973E" w14:textId="77777777" w:rsidR="00BB40BB" w:rsidRPr="00881BC8" w:rsidRDefault="00BB40BB" w:rsidP="00E83577">
            <w:pPr>
              <w:spacing w:after="0"/>
              <w:rPr>
                <w:noProof/>
                <w:sz w:val="20"/>
                <w:szCs w:val="20"/>
              </w:rPr>
            </w:pPr>
            <w:r w:rsidRPr="00881BC8">
              <w:rPr>
                <w:noProof/>
                <w:sz w:val="20"/>
                <w:szCs w:val="20"/>
              </w:rPr>
              <w:t>30%</w:t>
            </w:r>
          </w:p>
        </w:tc>
      </w:tr>
      <w:tr w:rsidR="00BB40BB" w:rsidRPr="00881BC8" w14:paraId="233C0399" w14:textId="77777777" w:rsidTr="00E83577">
        <w:trPr>
          <w:trHeight w:val="290"/>
        </w:trPr>
        <w:tc>
          <w:tcPr>
            <w:tcW w:w="6232" w:type="dxa"/>
            <w:noWrap/>
            <w:hideMark/>
          </w:tcPr>
          <w:p w14:paraId="32514FB6" w14:textId="77777777" w:rsidR="00BB40BB" w:rsidRPr="00881BC8" w:rsidRDefault="00BB40BB" w:rsidP="00E83577">
            <w:pPr>
              <w:spacing w:after="0"/>
              <w:rPr>
                <w:noProof/>
                <w:sz w:val="20"/>
                <w:szCs w:val="20"/>
              </w:rPr>
            </w:pPr>
            <w:r w:rsidRPr="00881BC8">
              <w:rPr>
                <w:noProof/>
                <w:sz w:val="20"/>
                <w:szCs w:val="20"/>
              </w:rPr>
              <w:t>Professional, scientific and technical activities</w:t>
            </w:r>
          </w:p>
        </w:tc>
        <w:tc>
          <w:tcPr>
            <w:tcW w:w="1205" w:type="dxa"/>
            <w:noWrap/>
            <w:hideMark/>
          </w:tcPr>
          <w:p w14:paraId="746BB967" w14:textId="77777777" w:rsidR="00BB40BB" w:rsidRPr="00881BC8" w:rsidRDefault="00BB40BB" w:rsidP="00E83577">
            <w:pPr>
              <w:spacing w:after="0"/>
              <w:rPr>
                <w:noProof/>
                <w:sz w:val="20"/>
                <w:szCs w:val="20"/>
              </w:rPr>
            </w:pPr>
            <w:r w:rsidRPr="00881BC8">
              <w:rPr>
                <w:noProof/>
                <w:sz w:val="20"/>
                <w:szCs w:val="20"/>
              </w:rPr>
              <w:t>49%</w:t>
            </w:r>
          </w:p>
        </w:tc>
        <w:tc>
          <w:tcPr>
            <w:tcW w:w="1205" w:type="dxa"/>
            <w:noWrap/>
            <w:hideMark/>
          </w:tcPr>
          <w:p w14:paraId="63B49EC6" w14:textId="77777777" w:rsidR="00BB40BB" w:rsidRPr="00881BC8" w:rsidRDefault="00BB40BB" w:rsidP="00E83577">
            <w:pPr>
              <w:spacing w:after="0"/>
              <w:rPr>
                <w:noProof/>
                <w:sz w:val="20"/>
                <w:szCs w:val="20"/>
              </w:rPr>
            </w:pPr>
            <w:r w:rsidRPr="00881BC8">
              <w:rPr>
                <w:noProof/>
                <w:sz w:val="20"/>
                <w:szCs w:val="20"/>
              </w:rPr>
              <w:t>18%</w:t>
            </w:r>
          </w:p>
        </w:tc>
      </w:tr>
      <w:tr w:rsidR="00BB40BB" w:rsidRPr="00881BC8" w14:paraId="0F079506" w14:textId="77777777" w:rsidTr="00E83577">
        <w:trPr>
          <w:trHeight w:val="290"/>
        </w:trPr>
        <w:tc>
          <w:tcPr>
            <w:tcW w:w="6232" w:type="dxa"/>
            <w:noWrap/>
            <w:hideMark/>
          </w:tcPr>
          <w:p w14:paraId="5062CD1D" w14:textId="77777777" w:rsidR="00BB40BB" w:rsidRPr="00881BC8" w:rsidRDefault="00BB40BB" w:rsidP="00E83577">
            <w:pPr>
              <w:spacing w:after="0"/>
              <w:rPr>
                <w:noProof/>
                <w:sz w:val="20"/>
                <w:szCs w:val="20"/>
              </w:rPr>
            </w:pPr>
            <w:r w:rsidRPr="00881BC8">
              <w:rPr>
                <w:noProof/>
                <w:sz w:val="20"/>
                <w:szCs w:val="20"/>
              </w:rPr>
              <w:t>Mining and quarrying</w:t>
            </w:r>
          </w:p>
        </w:tc>
        <w:tc>
          <w:tcPr>
            <w:tcW w:w="1205" w:type="dxa"/>
            <w:noWrap/>
            <w:hideMark/>
          </w:tcPr>
          <w:p w14:paraId="7963A4C7" w14:textId="77777777" w:rsidR="00BB40BB" w:rsidRPr="00881BC8" w:rsidRDefault="00BB40BB" w:rsidP="00E83577">
            <w:pPr>
              <w:spacing w:after="0"/>
              <w:rPr>
                <w:noProof/>
                <w:sz w:val="20"/>
                <w:szCs w:val="20"/>
              </w:rPr>
            </w:pPr>
            <w:r w:rsidRPr="00881BC8">
              <w:rPr>
                <w:noProof/>
                <w:sz w:val="20"/>
                <w:szCs w:val="20"/>
              </w:rPr>
              <w:t>27%</w:t>
            </w:r>
          </w:p>
        </w:tc>
        <w:tc>
          <w:tcPr>
            <w:tcW w:w="1205" w:type="dxa"/>
            <w:noWrap/>
            <w:hideMark/>
          </w:tcPr>
          <w:p w14:paraId="7EB55EED" w14:textId="77777777" w:rsidR="00BB40BB" w:rsidRPr="00881BC8" w:rsidRDefault="00BB40BB" w:rsidP="00E83577">
            <w:pPr>
              <w:spacing w:after="0"/>
              <w:rPr>
                <w:noProof/>
                <w:sz w:val="20"/>
                <w:szCs w:val="20"/>
              </w:rPr>
            </w:pPr>
            <w:r w:rsidRPr="00881BC8">
              <w:rPr>
                <w:noProof/>
                <w:sz w:val="20"/>
                <w:szCs w:val="20"/>
              </w:rPr>
              <w:t>42%</w:t>
            </w:r>
          </w:p>
        </w:tc>
      </w:tr>
      <w:tr w:rsidR="00FC6F5C" w:rsidRPr="00881BC8" w14:paraId="2A39DB0A" w14:textId="77777777" w:rsidTr="00E83577">
        <w:trPr>
          <w:trHeight w:val="290"/>
        </w:trPr>
        <w:tc>
          <w:tcPr>
            <w:tcW w:w="6232" w:type="dxa"/>
            <w:noWrap/>
          </w:tcPr>
          <w:p w14:paraId="15FB26BC" w14:textId="6A338362" w:rsidR="00FC6F5C" w:rsidRPr="00881BC8" w:rsidRDefault="00FC6F5C" w:rsidP="00E83577">
            <w:pPr>
              <w:spacing w:after="0"/>
              <w:rPr>
                <w:noProof/>
                <w:sz w:val="20"/>
                <w:szCs w:val="20"/>
              </w:rPr>
            </w:pPr>
            <w:r w:rsidRPr="00881BC8">
              <w:rPr>
                <w:noProof/>
                <w:sz w:val="20"/>
                <w:szCs w:val="20"/>
              </w:rPr>
              <w:t>Total across all sectors</w:t>
            </w:r>
          </w:p>
        </w:tc>
        <w:tc>
          <w:tcPr>
            <w:tcW w:w="1205" w:type="dxa"/>
            <w:noWrap/>
          </w:tcPr>
          <w:p w14:paraId="5F09AF58" w14:textId="55BCB78B" w:rsidR="00FC6F5C" w:rsidRPr="00881BC8" w:rsidRDefault="00FC6F5C" w:rsidP="00E83577">
            <w:pPr>
              <w:spacing w:after="0"/>
              <w:rPr>
                <w:noProof/>
                <w:sz w:val="20"/>
                <w:szCs w:val="20"/>
              </w:rPr>
            </w:pPr>
            <w:r w:rsidRPr="00881BC8">
              <w:rPr>
                <w:noProof/>
                <w:sz w:val="20"/>
                <w:szCs w:val="20"/>
              </w:rPr>
              <w:t>36%</w:t>
            </w:r>
          </w:p>
        </w:tc>
        <w:tc>
          <w:tcPr>
            <w:tcW w:w="1205" w:type="dxa"/>
            <w:noWrap/>
          </w:tcPr>
          <w:p w14:paraId="1198B3E4" w14:textId="06B373B8" w:rsidR="00FC6F5C" w:rsidRPr="00881BC8" w:rsidRDefault="00FC6F5C" w:rsidP="00E83577">
            <w:pPr>
              <w:spacing w:after="0"/>
              <w:rPr>
                <w:noProof/>
                <w:sz w:val="20"/>
                <w:szCs w:val="20"/>
              </w:rPr>
            </w:pPr>
            <w:r w:rsidRPr="00881BC8">
              <w:rPr>
                <w:noProof/>
                <w:sz w:val="20"/>
                <w:szCs w:val="20"/>
              </w:rPr>
              <w:t>28%</w:t>
            </w:r>
          </w:p>
        </w:tc>
      </w:tr>
    </w:tbl>
    <w:p w14:paraId="3723539C" w14:textId="56F38BB0" w:rsidR="00A74EE1" w:rsidRPr="00881BC8" w:rsidRDefault="00A74EE1" w:rsidP="004835F8">
      <w:pPr>
        <w:pStyle w:val="NormalPara"/>
        <w:rPr>
          <w:noProof/>
          <w:lang w:val="en-GB"/>
        </w:rPr>
      </w:pPr>
      <w:r w:rsidRPr="00881BC8">
        <w:rPr>
          <w:noProof/>
          <w:lang w:val="en-GB"/>
        </w:rPr>
        <w:t>However, against this it is important to weigh the cost of specifying different payment caps per sector or exempting certain sectors entirely, which will be further detailed under the section</w:t>
      </w:r>
      <w:r w:rsidR="005F0369" w:rsidRPr="00881BC8">
        <w:rPr>
          <w:noProof/>
          <w:lang w:val="en-GB"/>
        </w:rPr>
        <w:t xml:space="preserve"> </w:t>
      </w:r>
      <w:r w:rsidR="005851F4">
        <w:rPr>
          <w:noProof/>
          <w:lang w:val="en-GB"/>
        </w:rPr>
        <w:t>6.1.1.1.2</w:t>
      </w:r>
      <w:r w:rsidR="005F0369" w:rsidRPr="00881BC8">
        <w:rPr>
          <w:noProof/>
          <w:lang w:val="en-GB"/>
        </w:rPr>
        <w:t xml:space="preserve"> on costs</w:t>
      </w:r>
      <w:r w:rsidRPr="00881BC8">
        <w:rPr>
          <w:noProof/>
          <w:lang w:val="en-GB"/>
        </w:rPr>
        <w:t>.</w:t>
      </w:r>
    </w:p>
    <w:p w14:paraId="614B4B2E" w14:textId="1EA01FB2" w:rsidR="00A74EE1" w:rsidRPr="00881BC8" w:rsidRDefault="00A74EE1" w:rsidP="004835F8">
      <w:pPr>
        <w:pStyle w:val="NormalPara"/>
        <w:rPr>
          <w:noProof/>
          <w:lang w:val="en-GB"/>
        </w:rPr>
      </w:pPr>
      <w:r w:rsidRPr="00881BC8">
        <w:rPr>
          <w:noProof/>
          <w:lang w:val="en-GB"/>
        </w:rPr>
        <w:t xml:space="preserve">PO1a, PO1b and PO1c contain the capping of the verification or acceptance procedure at 30 days, without exception. This aims to </w:t>
      </w:r>
      <w:r w:rsidR="00C36516" w:rsidRPr="00881BC8">
        <w:rPr>
          <w:noProof/>
          <w:lang w:val="en-GB"/>
        </w:rPr>
        <w:t>prevent</w:t>
      </w:r>
      <w:r w:rsidRPr="00881BC8">
        <w:rPr>
          <w:noProof/>
          <w:lang w:val="en-GB"/>
        </w:rPr>
        <w:t xml:space="preserve"> debtors </w:t>
      </w:r>
      <w:r w:rsidR="00C36516" w:rsidRPr="00881BC8">
        <w:rPr>
          <w:noProof/>
          <w:lang w:val="en-GB"/>
        </w:rPr>
        <w:t xml:space="preserve">from </w:t>
      </w:r>
      <w:r w:rsidRPr="00881BC8">
        <w:rPr>
          <w:noProof/>
          <w:lang w:val="en-GB"/>
        </w:rPr>
        <w:t xml:space="preserve">using long verification procedures to circumvent the maximum payment terms. </w:t>
      </w:r>
      <w:r w:rsidR="004221EC" w:rsidRPr="00881BC8">
        <w:rPr>
          <w:noProof/>
          <w:lang w:val="en-GB"/>
        </w:rPr>
        <w:t xml:space="preserve">SME panel </w:t>
      </w:r>
      <w:r w:rsidR="00C25D53" w:rsidRPr="00881BC8">
        <w:rPr>
          <w:noProof/>
          <w:lang w:val="en-GB"/>
        </w:rPr>
        <w:t xml:space="preserve">shows that </w:t>
      </w:r>
      <w:r w:rsidR="004221EC" w:rsidRPr="00881BC8">
        <w:rPr>
          <w:noProof/>
          <w:lang w:val="en-GB"/>
        </w:rPr>
        <w:t xml:space="preserve">66% of respondents have faced this practice. </w:t>
      </w:r>
      <w:r w:rsidR="0030293D" w:rsidRPr="00881BC8">
        <w:rPr>
          <w:noProof/>
          <w:lang w:val="en-GB"/>
        </w:rPr>
        <w:t>There is no data how widespread the practice is. O</w:t>
      </w:r>
      <w:r w:rsidRPr="00881BC8">
        <w:rPr>
          <w:noProof/>
          <w:lang w:val="en-GB"/>
        </w:rPr>
        <w:t xml:space="preserve">ne </w:t>
      </w:r>
      <w:r w:rsidR="0030293D" w:rsidRPr="00881BC8">
        <w:rPr>
          <w:noProof/>
          <w:lang w:val="en-GB"/>
        </w:rPr>
        <w:t xml:space="preserve">business </w:t>
      </w:r>
      <w:r w:rsidRPr="00881BC8">
        <w:rPr>
          <w:noProof/>
          <w:lang w:val="en-GB"/>
        </w:rPr>
        <w:t xml:space="preserve">association </w:t>
      </w:r>
      <w:r w:rsidR="0030293D" w:rsidRPr="00881BC8">
        <w:rPr>
          <w:noProof/>
          <w:lang w:val="en-GB"/>
        </w:rPr>
        <w:t xml:space="preserve">responding to the PC </w:t>
      </w:r>
      <w:r w:rsidRPr="00881BC8">
        <w:rPr>
          <w:noProof/>
          <w:lang w:val="en-GB"/>
        </w:rPr>
        <w:t>describ</w:t>
      </w:r>
      <w:r w:rsidR="0030293D" w:rsidRPr="00881BC8">
        <w:rPr>
          <w:noProof/>
          <w:lang w:val="en-GB"/>
        </w:rPr>
        <w:t>ed</w:t>
      </w:r>
      <w:r w:rsidRPr="00881BC8">
        <w:rPr>
          <w:noProof/>
          <w:lang w:val="en-GB"/>
        </w:rPr>
        <w:t xml:space="preserve"> the problem as </w:t>
      </w:r>
      <w:r w:rsidR="00303DFA" w:rsidRPr="00881BC8">
        <w:rPr>
          <w:noProof/>
          <w:lang w:val="en-GB"/>
        </w:rPr>
        <w:t>‘</w:t>
      </w:r>
      <w:r w:rsidRPr="00881BC8">
        <w:rPr>
          <w:noProof/>
          <w:lang w:val="en-GB"/>
        </w:rPr>
        <w:t>unfortunately very common</w:t>
      </w:r>
      <w:r w:rsidR="00303DFA" w:rsidRPr="00881BC8">
        <w:rPr>
          <w:noProof/>
          <w:lang w:val="en-GB"/>
        </w:rPr>
        <w:t>’</w:t>
      </w:r>
      <w:r w:rsidRPr="00881BC8">
        <w:rPr>
          <w:noProof/>
          <w:lang w:val="en-GB"/>
        </w:rPr>
        <w:t>. Capping this practice is therefore likely to further reduce actual payment duration, even if this cannot be easily quantified.</w:t>
      </w:r>
    </w:p>
    <w:p w14:paraId="209016CE" w14:textId="7CB693CA" w:rsidR="00A74EE1" w:rsidRPr="00881BC8" w:rsidRDefault="00A74EE1" w:rsidP="004835F8">
      <w:pPr>
        <w:pStyle w:val="NormalPara"/>
        <w:rPr>
          <w:noProof/>
          <w:lang w:val="en-GB"/>
        </w:rPr>
      </w:pPr>
      <w:bookmarkStart w:id="402" w:name="_Hlk131528520"/>
      <w:r w:rsidRPr="00881BC8">
        <w:rPr>
          <w:noProof/>
          <w:lang w:val="en-GB"/>
        </w:rPr>
        <w:t xml:space="preserve">In addition to the direct reduction in payment terms, capping payment terms will lead to reductions of other costs for businesses, mainly for reducing the time needed for negotiating payment terms (41% of SMEs negotiate payment conditions on a case-by-case basis), saved costs due to less chasing of late payments, and a stronger market position for those enterprises (often smaller ones) which are currently forced into terms they are uncomfortable with. The reduction in </w:t>
      </w:r>
      <w:r w:rsidR="003F520B" w:rsidRPr="00881BC8">
        <w:rPr>
          <w:noProof/>
          <w:lang w:val="en-GB"/>
        </w:rPr>
        <w:t>enforcement</w:t>
      </w:r>
      <w:r w:rsidRPr="00881BC8">
        <w:rPr>
          <w:noProof/>
          <w:lang w:val="en-GB"/>
        </w:rPr>
        <w:t xml:space="preserve"> cost on companies from chasing fewer payments, for example, can be significant. The number of person-days per year a company spends on chasing late payments has been estimated from 5 days in Germany to more than 15 days in Spain</w:t>
      </w:r>
      <w:r w:rsidRPr="00881BC8">
        <w:rPr>
          <w:rStyle w:val="FootnoteReference"/>
          <w:noProof/>
          <w:lang w:val="en-GB"/>
        </w:rPr>
        <w:footnoteReference w:id="100"/>
      </w:r>
      <w:r w:rsidRPr="00881BC8">
        <w:rPr>
          <w:noProof/>
          <w:lang w:val="en-GB"/>
        </w:rPr>
        <w:t>. Even if we only assume 5 days per year, under the above-mentioned expected reduction in late payments of 23.4%, a total of 2</w:t>
      </w:r>
      <w:r w:rsidR="003C4E95" w:rsidRPr="00881BC8">
        <w:rPr>
          <w:noProof/>
          <w:lang w:val="en-GB"/>
        </w:rPr>
        <w:t>27.</w:t>
      </w:r>
      <w:r w:rsidR="001932C8" w:rsidRPr="00881BC8">
        <w:rPr>
          <w:noProof/>
          <w:lang w:val="en-GB"/>
        </w:rPr>
        <w:t>4</w:t>
      </w:r>
      <w:r w:rsidRPr="00881BC8">
        <w:rPr>
          <w:noProof/>
          <w:lang w:val="en-GB"/>
        </w:rPr>
        <w:t xml:space="preserve"> million </w:t>
      </w:r>
      <w:r w:rsidR="00165D6B" w:rsidRPr="00881BC8">
        <w:rPr>
          <w:noProof/>
          <w:lang w:val="en-GB"/>
        </w:rPr>
        <w:t>man</w:t>
      </w:r>
      <w:r w:rsidRPr="00881BC8">
        <w:rPr>
          <w:noProof/>
          <w:lang w:val="en-GB"/>
        </w:rPr>
        <w:t xml:space="preserve">-hours could be saved per year for the EU-27 economy. This would be a significant recurring </w:t>
      </w:r>
      <w:r w:rsidR="005B374C" w:rsidRPr="00881BC8">
        <w:rPr>
          <w:noProof/>
          <w:lang w:val="en-GB"/>
        </w:rPr>
        <w:t xml:space="preserve">enforcement </w:t>
      </w:r>
      <w:r w:rsidRPr="00881BC8">
        <w:rPr>
          <w:noProof/>
          <w:lang w:val="en-GB"/>
        </w:rPr>
        <w:t>cost saving</w:t>
      </w:r>
      <w:r w:rsidR="003C4E95" w:rsidRPr="00881BC8">
        <w:rPr>
          <w:noProof/>
          <w:lang w:val="en-GB"/>
        </w:rPr>
        <w:t xml:space="preserve"> </w:t>
      </w:r>
      <w:r w:rsidR="00F52D60" w:rsidRPr="00881BC8">
        <w:rPr>
          <w:noProof/>
          <w:lang w:val="en-GB"/>
        </w:rPr>
        <w:t xml:space="preserve">of </w:t>
      </w:r>
      <w:r w:rsidR="0054351F" w:rsidRPr="00881BC8">
        <w:rPr>
          <w:noProof/>
          <w:lang w:val="en-GB"/>
        </w:rPr>
        <w:t>EUR 5 845,4 million</w:t>
      </w:r>
      <w:r w:rsidRPr="00881BC8">
        <w:rPr>
          <w:noProof/>
          <w:lang w:val="en-GB"/>
        </w:rPr>
        <w:t>.</w:t>
      </w:r>
    </w:p>
    <w:bookmarkEnd w:id="402"/>
    <w:p w14:paraId="52C79050" w14:textId="3336F5EB" w:rsidR="00A74EE1" w:rsidRPr="00881BC8" w:rsidRDefault="00A74EE1" w:rsidP="00C63F20">
      <w:pPr>
        <w:pStyle w:val="NormalPara"/>
        <w:rPr>
          <w:noProof/>
          <w:lang w:val="en-GB"/>
        </w:rPr>
      </w:pPr>
      <w:r w:rsidRPr="00881BC8">
        <w:rPr>
          <w:noProof/>
          <w:lang w:val="en-GB"/>
        </w:rPr>
        <w:t xml:space="preserve">Other of these effects are difficult to quantify but have the potential to strengthen the fairness of the EU economy, contributing to sustainable competitiveness. This is clearest in negotiations; where companies are currently forced to negotiate payment terms longer than they are comfortable with, when payment terms are capped the scope for negotiation and imposition of unfairly long terms by the dominant partner is severely limited. </w:t>
      </w:r>
      <w:r w:rsidR="00F867B4" w:rsidRPr="00881BC8">
        <w:rPr>
          <w:noProof/>
          <w:lang w:val="en-GB"/>
        </w:rPr>
        <w:t>As parties will continue to be free to negotiate their contracts below the maximum payment terms, negotiation times will only be affected for companies that currently negotiate above the maximum payment terms, and companies that will align their payment terms to the new maximum instead of negotiating case-by-case. Parties will not be able to negotiate longer payment terms than defined in the maximum cap depending on the sub-option.</w:t>
      </w:r>
    </w:p>
    <w:p w14:paraId="4CF81EBC" w14:textId="12016E37" w:rsidR="00A74EE1" w:rsidRPr="00881BC8" w:rsidRDefault="00AB1FB1" w:rsidP="004835F8">
      <w:pPr>
        <w:pStyle w:val="NormalPara"/>
        <w:rPr>
          <w:noProof/>
          <w:lang w:val="en-GB"/>
        </w:rPr>
      </w:pPr>
      <w:r w:rsidRPr="00881BC8">
        <w:rPr>
          <w:noProof/>
          <w:lang w:val="en-GB"/>
        </w:rPr>
        <w:t>T</w:t>
      </w:r>
      <w:r w:rsidR="00A74EE1" w:rsidRPr="00881BC8">
        <w:rPr>
          <w:noProof/>
          <w:lang w:val="en-GB"/>
        </w:rPr>
        <w:t>hese benefits differ depending on the option chosen. PO1a (Capping at 30 days) will reduce negotiation times for every EU company on average.</w:t>
      </w:r>
      <w:r w:rsidR="009A1A02" w:rsidRPr="00881BC8">
        <w:rPr>
          <w:noProof/>
          <w:lang w:val="en-GB"/>
        </w:rPr>
        <w:t xml:space="preserve"> We</w:t>
      </w:r>
      <w:r w:rsidR="00A74EE1" w:rsidRPr="00881BC8">
        <w:rPr>
          <w:noProof/>
          <w:lang w:val="en-GB"/>
        </w:rPr>
        <w:t xml:space="preserve"> assume that the SMEs that are currently paid within 30 days (44%) and that currently negotiate on a </w:t>
      </w:r>
      <w:r w:rsidR="00943864" w:rsidRPr="00881BC8">
        <w:rPr>
          <w:noProof/>
          <w:lang w:val="en-GB"/>
        </w:rPr>
        <w:t>case-by-case</w:t>
      </w:r>
      <w:r w:rsidR="00A74EE1" w:rsidRPr="00881BC8">
        <w:rPr>
          <w:noProof/>
          <w:lang w:val="en-GB"/>
        </w:rPr>
        <w:t xml:space="preserve"> basis (35%) might partially cease to do so and align to 30 days (conservatively 50% of those), therefore 8% of SMEs would see a reduction in negotiation time. In addition, for SMEs that are currently paid beyond 30 days and that were doing so based on negotiation, the capping would as well get rid of the negotiation part for 100% of them. This applies to the 45% of SMEs that are currently paid beyond 30 days (56% from SME panel): </w:t>
      </w:r>
      <w:r w:rsidR="00C30331" w:rsidRPr="00881BC8">
        <w:rPr>
          <w:noProof/>
          <w:lang w:val="en-GB"/>
        </w:rPr>
        <w:t>a</w:t>
      </w:r>
      <w:r w:rsidR="00A74EE1" w:rsidRPr="00881BC8">
        <w:rPr>
          <w:noProof/>
          <w:lang w:val="en-GB"/>
        </w:rPr>
        <w:t xml:space="preserve"> total of 25% of SMEs. Taking these two cases together, overall, the avoidance of negotiation should benefit around 33% of SMEs.</w:t>
      </w:r>
    </w:p>
    <w:p w14:paraId="65BFEBAF" w14:textId="77777777" w:rsidR="00A74EE1" w:rsidRPr="00881BC8" w:rsidRDefault="00A74EE1" w:rsidP="004835F8">
      <w:pPr>
        <w:pStyle w:val="NormalPara"/>
        <w:rPr>
          <w:noProof/>
          <w:lang w:val="en-GB"/>
        </w:rPr>
      </w:pPr>
      <w:r w:rsidRPr="00881BC8">
        <w:rPr>
          <w:noProof/>
          <w:lang w:val="en-GB"/>
        </w:rPr>
        <w:t>PO1b (capping at 60 days) will only benefit the 14.4% of companies most affected by excessively long payment terms, and PO1c (capping at 60 days where the creditor is an SME) will only benefit 66% of negotiations conducted by these 14.4% of companies.</w:t>
      </w:r>
    </w:p>
    <w:p w14:paraId="0EC18D2A" w14:textId="73BFB3F9" w:rsidR="00A74EE1" w:rsidRPr="00881BC8" w:rsidRDefault="00BB6B48" w:rsidP="004835F8">
      <w:pPr>
        <w:pStyle w:val="NormalPara"/>
        <w:rPr>
          <w:noProof/>
          <w:lang w:val="en-GB"/>
        </w:rPr>
      </w:pPr>
      <w:r w:rsidRPr="00881BC8">
        <w:rPr>
          <w:noProof/>
          <w:lang w:val="en-GB"/>
        </w:rPr>
        <w:t>Besides</w:t>
      </w:r>
      <w:r w:rsidR="00A74EE1" w:rsidRPr="00881BC8">
        <w:rPr>
          <w:noProof/>
          <w:lang w:val="en-GB"/>
        </w:rPr>
        <w:t xml:space="preserve"> the direct savings in terms of cost and time, there are other unquantifiable effects on businesses. Enterprises, particularly small market players, are empowered to make more informed decisions when </w:t>
      </w:r>
      <w:r w:rsidRPr="00881BC8">
        <w:rPr>
          <w:noProof/>
          <w:lang w:val="en-GB"/>
        </w:rPr>
        <w:t>signing</w:t>
      </w:r>
      <w:r w:rsidR="00A74EE1" w:rsidRPr="00881BC8">
        <w:rPr>
          <w:noProof/>
          <w:lang w:val="en-GB"/>
        </w:rPr>
        <w:t xml:space="preserve"> a contract. They know what payment terms </w:t>
      </w:r>
      <w:r w:rsidR="00CE1688" w:rsidRPr="00881BC8">
        <w:rPr>
          <w:noProof/>
          <w:lang w:val="en-GB"/>
        </w:rPr>
        <w:t>to</w:t>
      </w:r>
      <w:r w:rsidR="00A74EE1" w:rsidRPr="00881BC8">
        <w:rPr>
          <w:noProof/>
          <w:lang w:val="en-GB"/>
        </w:rPr>
        <w:t xml:space="preserve"> expect regardless of the size or market position of the other part</w:t>
      </w:r>
      <w:r w:rsidR="00CE1688" w:rsidRPr="00881BC8">
        <w:rPr>
          <w:noProof/>
          <w:lang w:val="en-GB"/>
        </w:rPr>
        <w:t>y.</w:t>
      </w:r>
    </w:p>
    <w:p w14:paraId="32515003" w14:textId="39263FD6" w:rsidR="00A74EE1" w:rsidRPr="00881BC8" w:rsidRDefault="00A74EE1" w:rsidP="004835F8">
      <w:pPr>
        <w:pStyle w:val="NormalPara"/>
        <w:rPr>
          <w:noProof/>
          <w:lang w:val="en-GB"/>
        </w:rPr>
      </w:pPr>
      <w:r w:rsidRPr="00881BC8">
        <w:rPr>
          <w:noProof/>
          <w:lang w:val="en-GB"/>
        </w:rPr>
        <w:t xml:space="preserve">Companies will also be able to benefit from the horizontal measures provided for in this </w:t>
      </w:r>
      <w:r w:rsidR="001220F0" w:rsidRPr="00881BC8">
        <w:rPr>
          <w:noProof/>
          <w:lang w:val="en-GB"/>
        </w:rPr>
        <w:t>PO</w:t>
      </w:r>
      <w:r w:rsidRPr="00881BC8">
        <w:rPr>
          <w:noProof/>
          <w:lang w:val="en-GB"/>
        </w:rPr>
        <w:t xml:space="preserve">. Access to credit management and </w:t>
      </w:r>
      <w:r w:rsidR="001220F0" w:rsidRPr="00881BC8">
        <w:rPr>
          <w:noProof/>
          <w:lang w:val="en-GB"/>
        </w:rPr>
        <w:t xml:space="preserve">digital </w:t>
      </w:r>
      <w:r w:rsidRPr="00881BC8">
        <w:rPr>
          <w:noProof/>
          <w:lang w:val="en-GB"/>
        </w:rPr>
        <w:t xml:space="preserve">financial literacy trainings can provide a direct benefit to SMEs, with the </w:t>
      </w:r>
      <w:r w:rsidR="00355B9D" w:rsidRPr="00881BC8">
        <w:rPr>
          <w:noProof/>
          <w:lang w:val="en-GB"/>
        </w:rPr>
        <w:t>value</w:t>
      </w:r>
      <w:r w:rsidRPr="00881BC8">
        <w:rPr>
          <w:noProof/>
          <w:lang w:val="en-GB"/>
        </w:rPr>
        <w:t xml:space="preserve"> of such trainings currently ranging </w:t>
      </w:r>
      <w:r w:rsidR="005452AD" w:rsidRPr="00881BC8">
        <w:rPr>
          <w:noProof/>
          <w:lang w:val="en-GB"/>
        </w:rPr>
        <w:t>between</w:t>
      </w:r>
      <w:r w:rsidRPr="00881BC8">
        <w:rPr>
          <w:noProof/>
          <w:lang w:val="en-GB"/>
        </w:rPr>
        <w:t xml:space="preserve"> EUR 200 </w:t>
      </w:r>
      <w:r w:rsidR="005452AD" w:rsidRPr="00881BC8">
        <w:rPr>
          <w:noProof/>
          <w:lang w:val="en-GB"/>
        </w:rPr>
        <w:t xml:space="preserve">and </w:t>
      </w:r>
      <w:r w:rsidRPr="00881BC8">
        <w:rPr>
          <w:noProof/>
          <w:lang w:val="en-GB"/>
        </w:rPr>
        <w:t>EUR 1</w:t>
      </w:r>
      <w:r w:rsidR="00967382" w:rsidRPr="00881BC8">
        <w:rPr>
          <w:noProof/>
          <w:lang w:val="en-GB"/>
        </w:rPr>
        <w:t> </w:t>
      </w:r>
      <w:r w:rsidRPr="00881BC8">
        <w:rPr>
          <w:noProof/>
          <w:lang w:val="en-GB"/>
        </w:rPr>
        <w:t xml:space="preserve">800. </w:t>
      </w:r>
      <w:r w:rsidR="00141A4B" w:rsidRPr="00881BC8">
        <w:rPr>
          <w:noProof/>
          <w:lang w:val="en-GB"/>
        </w:rPr>
        <w:t>I</w:t>
      </w:r>
      <w:r w:rsidR="005C50E9" w:rsidRPr="00881BC8">
        <w:rPr>
          <w:noProof/>
          <w:lang w:val="en-GB"/>
        </w:rPr>
        <w:t>t is left up to Member States to design the most suitable form of making available this training to SMEs, in line with existing provisions on state aid</w:t>
      </w:r>
      <w:r w:rsidR="00D376AC" w:rsidRPr="00881BC8">
        <w:rPr>
          <w:noProof/>
          <w:lang w:val="en-GB"/>
        </w:rPr>
        <w:t>. T</w:t>
      </w:r>
      <w:r w:rsidRPr="00881BC8">
        <w:rPr>
          <w:noProof/>
          <w:lang w:val="en-GB"/>
        </w:rPr>
        <w:t xml:space="preserve">his measure has found near-universal support in the stakeholder consultation: 73% of stakeholders support </w:t>
      </w:r>
      <w:r w:rsidR="001220F0" w:rsidRPr="00881BC8">
        <w:rPr>
          <w:noProof/>
          <w:lang w:val="en-GB"/>
        </w:rPr>
        <w:t>it</w:t>
      </w:r>
      <w:r w:rsidRPr="00881BC8">
        <w:rPr>
          <w:noProof/>
          <w:lang w:val="en-GB"/>
        </w:rPr>
        <w:t>, and it is the only measure not to receive a negative response.</w:t>
      </w:r>
      <w:r w:rsidR="009338B4">
        <w:rPr>
          <w:noProof/>
          <w:lang w:val="en-GB"/>
        </w:rPr>
        <w:t xml:space="preserve"> This support is widespread across all types of respondents, including business associations, public authorities and companies.</w:t>
      </w:r>
    </w:p>
    <w:p w14:paraId="74774F10" w14:textId="77777777" w:rsidR="00A74EE1" w:rsidRPr="00881BC8" w:rsidRDefault="00A74EE1" w:rsidP="004835F8">
      <w:pPr>
        <w:pStyle w:val="Heading5"/>
        <w:rPr>
          <w:noProof/>
        </w:rPr>
      </w:pPr>
      <w:bookmarkStart w:id="403" w:name="_Ref131169451"/>
      <w:r w:rsidRPr="00881BC8">
        <w:rPr>
          <w:noProof/>
        </w:rPr>
        <w:t>Costs</w:t>
      </w:r>
      <w:bookmarkEnd w:id="403"/>
    </w:p>
    <w:p w14:paraId="2021200F" w14:textId="48A63928" w:rsidR="00A74EE1" w:rsidRPr="00881BC8" w:rsidRDefault="00967382" w:rsidP="004835F8">
      <w:pPr>
        <w:pStyle w:val="NormalPara"/>
        <w:rPr>
          <w:noProof/>
          <w:lang w:val="en-GB"/>
        </w:rPr>
      </w:pPr>
      <w:r w:rsidRPr="00881BC8">
        <w:rPr>
          <w:noProof/>
          <w:lang w:val="en-GB"/>
        </w:rPr>
        <w:t>PO</w:t>
      </w:r>
      <w:r w:rsidR="00A74EE1" w:rsidRPr="00881BC8">
        <w:rPr>
          <w:noProof/>
          <w:lang w:val="en-GB"/>
        </w:rPr>
        <w:t>1 will impose some costs on businesses, particularly debtors.</w:t>
      </w:r>
    </w:p>
    <w:p w14:paraId="31D7B40B" w14:textId="5DAFE9B3" w:rsidR="00A74EE1" w:rsidRPr="00881BC8" w:rsidRDefault="00A74EE1" w:rsidP="004835F8">
      <w:pPr>
        <w:pStyle w:val="NormalPara"/>
        <w:rPr>
          <w:noProof/>
          <w:lang w:val="en-GB"/>
        </w:rPr>
      </w:pPr>
      <w:r w:rsidRPr="00881BC8">
        <w:rPr>
          <w:noProof/>
          <w:lang w:val="en-GB"/>
        </w:rPr>
        <w:t xml:space="preserve">Businesses that use long standard payment terms (either </w:t>
      </w:r>
      <w:r w:rsidR="00D22481" w:rsidRPr="00881BC8">
        <w:rPr>
          <w:noProof/>
          <w:lang w:val="en-GB"/>
        </w:rPr>
        <w:t>as their preferred or forced choice</w:t>
      </w:r>
      <w:r w:rsidRPr="00881BC8">
        <w:rPr>
          <w:noProof/>
          <w:lang w:val="en-GB"/>
        </w:rPr>
        <w:t xml:space="preserve">) will have to update their standard payment terms on invoices. This would only apply to those companies that do not negotiate on a case-by-case basis, as these companies currently do not use a standard template. The </w:t>
      </w:r>
      <w:r w:rsidR="008C2280" w:rsidRPr="00881BC8">
        <w:rPr>
          <w:noProof/>
          <w:lang w:val="en-GB"/>
        </w:rPr>
        <w:t xml:space="preserve">related </w:t>
      </w:r>
      <w:r w:rsidRPr="00881BC8">
        <w:rPr>
          <w:noProof/>
          <w:lang w:val="en-GB"/>
        </w:rPr>
        <w:t xml:space="preserve">one-off adjustment cost is relatively limited per company: updating standard terms </w:t>
      </w:r>
      <w:r w:rsidR="00777972" w:rsidRPr="00881BC8">
        <w:rPr>
          <w:noProof/>
          <w:lang w:val="en-GB"/>
        </w:rPr>
        <w:t>is</w:t>
      </w:r>
      <w:r w:rsidRPr="00881BC8">
        <w:rPr>
          <w:noProof/>
          <w:lang w:val="en-GB"/>
        </w:rPr>
        <w:t xml:space="preserve"> likely the same cost as processing a paper invoice (estimated by the ECB</w:t>
      </w:r>
      <w:r w:rsidRPr="00881BC8">
        <w:rPr>
          <w:rStyle w:val="FootnoteReference"/>
          <w:noProof/>
          <w:lang w:val="en-GB"/>
        </w:rPr>
        <w:footnoteReference w:id="101"/>
      </w:r>
      <w:r w:rsidRPr="00881BC8">
        <w:rPr>
          <w:noProof/>
          <w:lang w:val="en-GB"/>
        </w:rPr>
        <w:t xml:space="preserve"> at EUR 2.50 – 10.00), however it will only need to be done once to adapt the template. Although a small cost per company, this will affect a large number of companies depending on the sub-option chosen.</w:t>
      </w:r>
    </w:p>
    <w:p w14:paraId="3B22E69C" w14:textId="1D38B52E" w:rsidR="00A74EE1" w:rsidRPr="00881BC8" w:rsidRDefault="00A74EE1" w:rsidP="004835F8">
      <w:pPr>
        <w:pStyle w:val="Text2"/>
        <w:numPr>
          <w:ilvl w:val="0"/>
          <w:numId w:val="12"/>
        </w:numPr>
        <w:rPr>
          <w:noProof/>
        </w:rPr>
      </w:pPr>
      <w:r w:rsidRPr="00881BC8">
        <w:rPr>
          <w:noProof/>
        </w:rPr>
        <w:t xml:space="preserve">PO1a (Capping at 30 days) will affect all companies currently specifying payment terms longer than 30 days. According to </w:t>
      </w:r>
      <w:r w:rsidR="00E85CF5" w:rsidRPr="00881BC8">
        <w:rPr>
          <w:noProof/>
        </w:rPr>
        <w:t>EPR 2022</w:t>
      </w:r>
      <w:r w:rsidRPr="00881BC8">
        <w:rPr>
          <w:noProof/>
        </w:rPr>
        <w:t xml:space="preserve">, 42% of all companies currently do so (and this is </w:t>
      </w:r>
      <w:r w:rsidR="002F2DBC" w:rsidRPr="00881BC8">
        <w:rPr>
          <w:noProof/>
        </w:rPr>
        <w:t xml:space="preserve">broadly </w:t>
      </w:r>
      <w:r w:rsidRPr="00881BC8">
        <w:rPr>
          <w:noProof/>
        </w:rPr>
        <w:t xml:space="preserve">in line with the finding from the SME </w:t>
      </w:r>
      <w:r w:rsidR="002F2DBC" w:rsidRPr="00881BC8">
        <w:rPr>
          <w:noProof/>
        </w:rPr>
        <w:t>p</w:t>
      </w:r>
      <w:r w:rsidRPr="00881BC8">
        <w:rPr>
          <w:noProof/>
        </w:rPr>
        <w:t xml:space="preserve">anel that 56% of SMEs currently do so). Excluding cases where this is the result of </w:t>
      </w:r>
      <w:r w:rsidR="002F2DBC" w:rsidRPr="00881BC8">
        <w:rPr>
          <w:noProof/>
        </w:rPr>
        <w:t xml:space="preserve">case-by-case </w:t>
      </w:r>
      <w:r w:rsidRPr="00881BC8">
        <w:rPr>
          <w:noProof/>
        </w:rPr>
        <w:t>negotiati</w:t>
      </w:r>
      <w:r w:rsidR="002F2DBC" w:rsidRPr="00881BC8">
        <w:rPr>
          <w:noProof/>
        </w:rPr>
        <w:t>ons</w:t>
      </w:r>
      <w:r w:rsidRPr="00881BC8">
        <w:rPr>
          <w:noProof/>
        </w:rPr>
        <w:t xml:space="preserve"> (45% of SMEs according to the SME </w:t>
      </w:r>
      <w:r w:rsidR="002F2DBC" w:rsidRPr="00881BC8">
        <w:rPr>
          <w:noProof/>
        </w:rPr>
        <w:t>p</w:t>
      </w:r>
      <w:r w:rsidRPr="00881BC8">
        <w:rPr>
          <w:noProof/>
        </w:rPr>
        <w:t xml:space="preserve">anel), this only applies to the companies where the payment terms longer than 30 days are the result of imposing own payment conditions (23% of SMEs), being imposed payment conditions (21%) or finally the result of sectoral standard practice (11%). </w:t>
      </w:r>
      <w:r w:rsidR="00332B7C" w:rsidRPr="00881BC8">
        <w:rPr>
          <w:noProof/>
        </w:rPr>
        <w:t>Therefore,</w:t>
      </w:r>
      <w:r w:rsidRPr="00881BC8">
        <w:rPr>
          <w:noProof/>
        </w:rPr>
        <w:t xml:space="preserve"> the one-off cost is assumed to be borne by 55% of SMEs that are currently paid beyond 30 days (42% of all companies): around 23% of companies. Conservatively assuming the </w:t>
      </w:r>
      <w:r w:rsidR="001B1BD7" w:rsidRPr="00881BC8">
        <w:rPr>
          <w:noProof/>
        </w:rPr>
        <w:t>top</w:t>
      </w:r>
      <w:r w:rsidRPr="00881BC8">
        <w:rPr>
          <w:noProof/>
        </w:rPr>
        <w:t xml:space="preserve"> end of the ECB range, this would impose a total one-off adjustment cost of EUR 56.1 million.</w:t>
      </w:r>
    </w:p>
    <w:p w14:paraId="44F5B5A1" w14:textId="688D6497" w:rsidR="00A74EE1" w:rsidRPr="00881BC8" w:rsidRDefault="00A74EE1" w:rsidP="004835F8">
      <w:pPr>
        <w:pStyle w:val="Text2"/>
        <w:numPr>
          <w:ilvl w:val="0"/>
          <w:numId w:val="12"/>
        </w:numPr>
        <w:rPr>
          <w:noProof/>
        </w:rPr>
      </w:pPr>
      <w:r w:rsidRPr="00881BC8">
        <w:rPr>
          <w:noProof/>
        </w:rPr>
        <w:t>PO1b (Capping at 60 days)</w:t>
      </w:r>
      <w:r w:rsidR="00E659EE" w:rsidRPr="00881BC8">
        <w:rPr>
          <w:noProof/>
        </w:rPr>
        <w:t xml:space="preserve"> </w:t>
      </w:r>
      <w:r w:rsidRPr="00881BC8">
        <w:rPr>
          <w:noProof/>
        </w:rPr>
        <w:t>would only affect the 14.4% of companies specifying payment terms longer than 60 days. The total one-off adjustment cost would be EUR</w:t>
      </w:r>
      <w:r w:rsidR="00B111F9" w:rsidRPr="00881BC8">
        <w:rPr>
          <w:noProof/>
        </w:rPr>
        <w:t> </w:t>
      </w:r>
      <w:r w:rsidRPr="00881BC8">
        <w:rPr>
          <w:noProof/>
        </w:rPr>
        <w:t>35.0 million.</w:t>
      </w:r>
    </w:p>
    <w:p w14:paraId="2145BBDB" w14:textId="53ED1EA3" w:rsidR="00A74EE1" w:rsidRPr="00881BC8" w:rsidRDefault="00A74EE1" w:rsidP="004835F8">
      <w:pPr>
        <w:pStyle w:val="Text2"/>
        <w:numPr>
          <w:ilvl w:val="0"/>
          <w:numId w:val="12"/>
        </w:numPr>
        <w:rPr>
          <w:noProof/>
        </w:rPr>
      </w:pPr>
      <w:r w:rsidRPr="00881BC8">
        <w:rPr>
          <w:noProof/>
        </w:rPr>
        <w:t>PO1c (Capping at 60 days where the creditor is an SME)</w:t>
      </w:r>
      <w:r w:rsidR="00E659EE" w:rsidRPr="00881BC8">
        <w:rPr>
          <w:noProof/>
        </w:rPr>
        <w:t xml:space="preserve"> </w:t>
      </w:r>
      <w:r w:rsidRPr="00881BC8">
        <w:rPr>
          <w:noProof/>
        </w:rPr>
        <w:t>would only affect 66% of the invoices under the previous option. The total one-off adjustment cost can be estimated at EUR</w:t>
      </w:r>
      <w:r w:rsidR="00B111F9" w:rsidRPr="00881BC8">
        <w:rPr>
          <w:noProof/>
        </w:rPr>
        <w:t> </w:t>
      </w:r>
      <w:r w:rsidRPr="00881BC8">
        <w:rPr>
          <w:noProof/>
        </w:rPr>
        <w:t xml:space="preserve">23.1 million. However, an additional </w:t>
      </w:r>
      <w:r w:rsidR="004F3431" w:rsidRPr="00881BC8">
        <w:rPr>
          <w:noProof/>
        </w:rPr>
        <w:t xml:space="preserve">one-off </w:t>
      </w:r>
      <w:r w:rsidR="0021768E" w:rsidRPr="00881BC8">
        <w:rPr>
          <w:noProof/>
        </w:rPr>
        <w:t xml:space="preserve">administrative </w:t>
      </w:r>
      <w:r w:rsidRPr="00881BC8">
        <w:rPr>
          <w:noProof/>
        </w:rPr>
        <w:t xml:space="preserve">cost </w:t>
      </w:r>
      <w:r w:rsidR="0021768E" w:rsidRPr="00881BC8">
        <w:rPr>
          <w:noProof/>
        </w:rPr>
        <w:t xml:space="preserve">related to verification </w:t>
      </w:r>
      <w:r w:rsidR="00C32648" w:rsidRPr="00881BC8">
        <w:rPr>
          <w:noProof/>
        </w:rPr>
        <w:t xml:space="preserve">for a creditor </w:t>
      </w:r>
      <w:r w:rsidRPr="00881BC8">
        <w:rPr>
          <w:noProof/>
        </w:rPr>
        <w:t>may be required if the debtor wishes to verify that the creditor is an SME. The evaluation of the SME Definition estimates this cost at 6.5 person-hours per SME to collect and provide information to prove their SME status</w:t>
      </w:r>
      <w:r w:rsidRPr="00881BC8">
        <w:rPr>
          <w:rStyle w:val="FootnoteReference"/>
          <w:noProof/>
        </w:rPr>
        <w:footnoteReference w:id="102"/>
      </w:r>
      <w:r w:rsidRPr="00881BC8">
        <w:rPr>
          <w:noProof/>
        </w:rPr>
        <w:t>. Even assuming every SME would only have to prove it once already leads to an estimate of 15 million person-hours spent, or EUR</w:t>
      </w:r>
      <w:r w:rsidR="008D4528" w:rsidRPr="00881BC8">
        <w:rPr>
          <w:noProof/>
        </w:rPr>
        <w:t> </w:t>
      </w:r>
      <w:r w:rsidRPr="00881BC8">
        <w:rPr>
          <w:noProof/>
        </w:rPr>
        <w:t>3</w:t>
      </w:r>
      <w:r w:rsidR="004F6389" w:rsidRPr="00881BC8">
        <w:rPr>
          <w:noProof/>
        </w:rPr>
        <w:t xml:space="preserve">84 </w:t>
      </w:r>
      <w:r w:rsidRPr="00881BC8">
        <w:rPr>
          <w:noProof/>
        </w:rPr>
        <w:t>million assuming average EU hourly cost</w:t>
      </w:r>
      <w:r w:rsidRPr="00881BC8">
        <w:rPr>
          <w:rStyle w:val="FootnoteReference"/>
          <w:noProof/>
        </w:rPr>
        <w:footnoteReference w:id="103"/>
      </w:r>
      <w:r w:rsidRPr="00881BC8">
        <w:rPr>
          <w:noProof/>
        </w:rPr>
        <w:t xml:space="preserve">. This verification cost therefore makes </w:t>
      </w:r>
      <w:r w:rsidR="001B374E" w:rsidRPr="00881BC8">
        <w:rPr>
          <w:noProof/>
        </w:rPr>
        <w:t xml:space="preserve">PO1c </w:t>
      </w:r>
      <w:r w:rsidRPr="00881BC8">
        <w:rPr>
          <w:noProof/>
        </w:rPr>
        <w:t xml:space="preserve">the costliest of the three </w:t>
      </w:r>
      <w:r w:rsidR="001B374E" w:rsidRPr="00881BC8">
        <w:rPr>
          <w:noProof/>
        </w:rPr>
        <w:t>choices under PO1</w:t>
      </w:r>
      <w:r w:rsidRPr="00881BC8">
        <w:rPr>
          <w:noProof/>
        </w:rPr>
        <w:t xml:space="preserve">, despite affecting </w:t>
      </w:r>
      <w:r w:rsidR="001B374E" w:rsidRPr="00881BC8">
        <w:rPr>
          <w:noProof/>
        </w:rPr>
        <w:t xml:space="preserve">only </w:t>
      </w:r>
      <w:r w:rsidRPr="00881BC8">
        <w:rPr>
          <w:noProof/>
        </w:rPr>
        <w:t>a relatively small subset of companies.</w:t>
      </w:r>
    </w:p>
    <w:p w14:paraId="0B447649" w14:textId="0FA36A48" w:rsidR="00A74EE1" w:rsidRPr="00881BC8" w:rsidRDefault="00A74EE1" w:rsidP="004835F8">
      <w:pPr>
        <w:pStyle w:val="NormalPara"/>
        <w:rPr>
          <w:noProof/>
          <w:lang w:val="en-GB"/>
        </w:rPr>
      </w:pPr>
      <w:r w:rsidRPr="00881BC8">
        <w:rPr>
          <w:noProof/>
          <w:lang w:val="en-GB"/>
        </w:rPr>
        <w:t xml:space="preserve">In the </w:t>
      </w:r>
      <w:r w:rsidR="00E85CF5" w:rsidRPr="00881BC8">
        <w:rPr>
          <w:noProof/>
          <w:lang w:val="en-GB"/>
        </w:rPr>
        <w:t>alternative consideration</w:t>
      </w:r>
      <w:r w:rsidRPr="00881BC8">
        <w:rPr>
          <w:noProof/>
          <w:lang w:val="en-GB"/>
        </w:rPr>
        <w:t xml:space="preserve"> </w:t>
      </w:r>
      <w:r w:rsidR="00FE0AA7" w:rsidRPr="00881BC8">
        <w:rPr>
          <w:noProof/>
          <w:lang w:val="en-GB"/>
        </w:rPr>
        <w:t xml:space="preserve">in </w:t>
      </w:r>
      <w:r w:rsidRPr="00881BC8">
        <w:rPr>
          <w:noProof/>
          <w:lang w:val="en-GB"/>
        </w:rPr>
        <w:t xml:space="preserve">PO1a </w:t>
      </w:r>
      <w:r w:rsidR="00FE0AA7" w:rsidRPr="00881BC8">
        <w:rPr>
          <w:noProof/>
          <w:lang w:val="en-GB"/>
        </w:rPr>
        <w:t xml:space="preserve">for </w:t>
      </w:r>
      <w:r w:rsidRPr="00881BC8">
        <w:rPr>
          <w:noProof/>
          <w:lang w:val="en-GB"/>
        </w:rPr>
        <w:t xml:space="preserve">setting different caps for certain sectors or exempting certain sectors entirely, companies that wish to set long payment terms would face an additional </w:t>
      </w:r>
      <w:r w:rsidR="00CC07CF" w:rsidRPr="00881BC8">
        <w:rPr>
          <w:noProof/>
          <w:lang w:val="en-GB"/>
        </w:rPr>
        <w:t xml:space="preserve">one-off administrative </w:t>
      </w:r>
      <w:r w:rsidRPr="00881BC8">
        <w:rPr>
          <w:noProof/>
          <w:lang w:val="en-GB"/>
        </w:rPr>
        <w:t xml:space="preserve">cost of proving that they belong to a certain sector. </w:t>
      </w:r>
      <w:r w:rsidR="0020502F" w:rsidRPr="00881BC8">
        <w:rPr>
          <w:noProof/>
          <w:lang w:val="en-GB"/>
        </w:rPr>
        <w:t xml:space="preserve">This </w:t>
      </w:r>
      <w:r w:rsidR="00833663" w:rsidRPr="00881BC8">
        <w:rPr>
          <w:noProof/>
          <w:lang w:val="en-GB"/>
        </w:rPr>
        <w:t xml:space="preserve">usually entails providing an extract from company register, which companies </w:t>
      </w:r>
      <w:r w:rsidR="004D33D0" w:rsidRPr="00881BC8">
        <w:rPr>
          <w:noProof/>
          <w:lang w:val="en-GB"/>
        </w:rPr>
        <w:t>obtain on a regular basis for different business operations</w:t>
      </w:r>
      <w:r w:rsidRPr="00881BC8">
        <w:rPr>
          <w:noProof/>
          <w:lang w:val="en-GB"/>
        </w:rPr>
        <w:t xml:space="preserve">. </w:t>
      </w:r>
      <w:r w:rsidR="00AB5966" w:rsidRPr="00881BC8">
        <w:rPr>
          <w:noProof/>
          <w:lang w:val="en-GB"/>
        </w:rPr>
        <w:t>This cost is largely considered as business as usual and its magnitude is insignificant.</w:t>
      </w:r>
    </w:p>
    <w:p w14:paraId="5C7A8B0F" w14:textId="137AF32C" w:rsidR="00A74EE1" w:rsidRPr="00881BC8" w:rsidRDefault="00A74EE1" w:rsidP="004835F8">
      <w:pPr>
        <w:pStyle w:val="NormalPara"/>
        <w:rPr>
          <w:noProof/>
          <w:lang w:val="en-GB"/>
        </w:rPr>
      </w:pPr>
      <w:r w:rsidRPr="00881BC8">
        <w:rPr>
          <w:noProof/>
          <w:lang w:val="en-GB"/>
        </w:rPr>
        <w:t>In addition to the one-off costs specified above, debtors are likely to face consequences for their business operation</w:t>
      </w:r>
      <w:r w:rsidR="00706146" w:rsidRPr="00881BC8">
        <w:rPr>
          <w:noProof/>
          <w:lang w:val="en-GB"/>
        </w:rPr>
        <w:t>s</w:t>
      </w:r>
      <w:r w:rsidRPr="00881BC8">
        <w:rPr>
          <w:noProof/>
          <w:lang w:val="en-GB"/>
        </w:rPr>
        <w:t xml:space="preserve">. As late payments are a form of </w:t>
      </w:r>
      <w:r w:rsidR="00473367" w:rsidRPr="00881BC8">
        <w:rPr>
          <w:noProof/>
          <w:lang w:val="en-GB"/>
        </w:rPr>
        <w:t>hassle-</w:t>
      </w:r>
      <w:r w:rsidRPr="00881BC8">
        <w:rPr>
          <w:noProof/>
          <w:lang w:val="en-GB"/>
        </w:rPr>
        <w:t xml:space="preserve">free credit, any reduction in payment duration will </w:t>
      </w:r>
      <w:r w:rsidR="0034399B" w:rsidRPr="00881BC8">
        <w:rPr>
          <w:noProof/>
          <w:lang w:val="en-GB"/>
        </w:rPr>
        <w:t>force</w:t>
      </w:r>
      <w:r w:rsidRPr="00881BC8">
        <w:rPr>
          <w:noProof/>
          <w:lang w:val="en-GB"/>
        </w:rPr>
        <w:t xml:space="preserve"> </w:t>
      </w:r>
      <w:r w:rsidR="00801048" w:rsidRPr="00881BC8">
        <w:rPr>
          <w:noProof/>
          <w:lang w:val="en-GB"/>
        </w:rPr>
        <w:t xml:space="preserve">the debtor </w:t>
      </w:r>
      <w:r w:rsidR="0034399B" w:rsidRPr="00881BC8">
        <w:rPr>
          <w:noProof/>
          <w:lang w:val="en-GB"/>
        </w:rPr>
        <w:t xml:space="preserve">to seek </w:t>
      </w:r>
      <w:r w:rsidR="00924E55" w:rsidRPr="00881BC8">
        <w:rPr>
          <w:noProof/>
          <w:lang w:val="en-GB"/>
        </w:rPr>
        <w:t xml:space="preserve">additional financing to meet the new payment terms. </w:t>
      </w:r>
      <w:r w:rsidR="0034399B" w:rsidRPr="00881BC8">
        <w:rPr>
          <w:noProof/>
          <w:lang w:val="en-GB"/>
        </w:rPr>
        <w:t xml:space="preserve">This will entail </w:t>
      </w:r>
      <w:r w:rsidR="00801048" w:rsidRPr="00881BC8">
        <w:rPr>
          <w:noProof/>
          <w:lang w:val="en-GB"/>
        </w:rPr>
        <w:t xml:space="preserve">both </w:t>
      </w:r>
      <w:r w:rsidR="00D52697" w:rsidRPr="00881BC8">
        <w:rPr>
          <w:noProof/>
          <w:lang w:val="en-GB"/>
        </w:rPr>
        <w:t>one-off</w:t>
      </w:r>
      <w:r w:rsidR="00706146" w:rsidRPr="00881BC8">
        <w:rPr>
          <w:noProof/>
          <w:lang w:val="en-GB"/>
        </w:rPr>
        <w:t xml:space="preserve"> cost of dealing with the bank</w:t>
      </w:r>
      <w:r w:rsidR="00D52697" w:rsidRPr="00881BC8">
        <w:rPr>
          <w:noProof/>
          <w:lang w:val="en-GB"/>
        </w:rPr>
        <w:t xml:space="preserve"> and </w:t>
      </w:r>
      <w:r w:rsidRPr="00881BC8">
        <w:rPr>
          <w:noProof/>
          <w:lang w:val="en-GB"/>
        </w:rPr>
        <w:t>recurring costs</w:t>
      </w:r>
      <w:r w:rsidR="00801048" w:rsidRPr="00881BC8">
        <w:rPr>
          <w:noProof/>
          <w:lang w:val="en-GB"/>
        </w:rPr>
        <w:t xml:space="preserve"> related to interests</w:t>
      </w:r>
      <w:r w:rsidRPr="00881BC8">
        <w:rPr>
          <w:noProof/>
          <w:lang w:val="en-GB"/>
        </w:rPr>
        <w:t xml:space="preserve">. </w:t>
      </w:r>
      <w:r w:rsidR="00825FF2" w:rsidRPr="00881BC8">
        <w:rPr>
          <w:noProof/>
          <w:lang w:val="en-GB"/>
        </w:rPr>
        <w:t xml:space="preserve">However, the </w:t>
      </w:r>
      <w:r w:rsidR="0034399B" w:rsidRPr="00881BC8">
        <w:rPr>
          <w:noProof/>
          <w:lang w:val="en-GB"/>
        </w:rPr>
        <w:t xml:space="preserve">net </w:t>
      </w:r>
      <w:r w:rsidR="00825FF2" w:rsidRPr="00881BC8">
        <w:rPr>
          <w:noProof/>
          <w:lang w:val="en-GB"/>
        </w:rPr>
        <w:t xml:space="preserve">interest </w:t>
      </w:r>
      <w:r w:rsidR="0011382B" w:rsidRPr="00881BC8">
        <w:rPr>
          <w:noProof/>
          <w:lang w:val="en-GB"/>
        </w:rPr>
        <w:t>costs of</w:t>
      </w:r>
      <w:r w:rsidR="00825FF2" w:rsidRPr="00881BC8">
        <w:rPr>
          <w:noProof/>
          <w:lang w:val="en-GB"/>
        </w:rPr>
        <w:t xml:space="preserve"> </w:t>
      </w:r>
      <w:r w:rsidR="000B6268" w:rsidRPr="00881BC8">
        <w:rPr>
          <w:noProof/>
          <w:lang w:val="en-GB"/>
        </w:rPr>
        <w:t>the new</w:t>
      </w:r>
      <w:r w:rsidR="00825FF2" w:rsidRPr="00881BC8">
        <w:rPr>
          <w:noProof/>
          <w:lang w:val="en-GB"/>
        </w:rPr>
        <w:t xml:space="preserve"> financing would likely be</w:t>
      </w:r>
      <w:r w:rsidR="0011382B" w:rsidRPr="00881BC8">
        <w:rPr>
          <w:noProof/>
          <w:lang w:val="en-GB"/>
        </w:rPr>
        <w:t xml:space="preserve"> favourable to the debtor</w:t>
      </w:r>
      <w:r w:rsidR="00825FF2" w:rsidRPr="00881BC8">
        <w:rPr>
          <w:noProof/>
          <w:lang w:val="en-GB"/>
        </w:rPr>
        <w:t xml:space="preserve"> </w:t>
      </w:r>
      <w:r w:rsidR="0011382B" w:rsidRPr="00881BC8">
        <w:rPr>
          <w:noProof/>
          <w:lang w:val="en-GB"/>
        </w:rPr>
        <w:t xml:space="preserve">because </w:t>
      </w:r>
      <w:r w:rsidR="00825FF2" w:rsidRPr="00881BC8">
        <w:rPr>
          <w:noProof/>
          <w:lang w:val="en-GB"/>
        </w:rPr>
        <w:t xml:space="preserve">the interest implicitly </w:t>
      </w:r>
      <w:r w:rsidR="000D7721" w:rsidRPr="00881BC8">
        <w:rPr>
          <w:noProof/>
          <w:lang w:val="en-GB"/>
        </w:rPr>
        <w:t xml:space="preserve">included </w:t>
      </w:r>
      <w:r w:rsidR="00825FF2" w:rsidRPr="00881BC8">
        <w:rPr>
          <w:noProof/>
          <w:lang w:val="en-GB"/>
        </w:rPr>
        <w:t xml:space="preserve">in the prices of goods or services </w:t>
      </w:r>
      <w:r w:rsidR="00CD3FED" w:rsidRPr="00881BC8">
        <w:rPr>
          <w:noProof/>
          <w:lang w:val="en-GB"/>
        </w:rPr>
        <w:t xml:space="preserve">currently </w:t>
      </w:r>
      <w:r w:rsidR="00825FF2" w:rsidRPr="00881BC8">
        <w:rPr>
          <w:noProof/>
          <w:lang w:val="en-GB"/>
        </w:rPr>
        <w:t xml:space="preserve">purchased </w:t>
      </w:r>
      <w:r w:rsidR="000B6268" w:rsidRPr="00881BC8">
        <w:rPr>
          <w:noProof/>
          <w:lang w:val="en-GB"/>
        </w:rPr>
        <w:t>on</w:t>
      </w:r>
      <w:r w:rsidR="00CD3FED" w:rsidRPr="00881BC8">
        <w:rPr>
          <w:noProof/>
          <w:lang w:val="en-GB"/>
        </w:rPr>
        <w:t xml:space="preserve"> supplier credit</w:t>
      </w:r>
      <w:r w:rsidR="000D7721" w:rsidRPr="00881BC8">
        <w:rPr>
          <w:noProof/>
          <w:lang w:val="en-GB"/>
        </w:rPr>
        <w:t xml:space="preserve"> is likely higher (see section </w:t>
      </w:r>
      <w:r w:rsidR="005851F4">
        <w:rPr>
          <w:noProof/>
          <w:lang w:val="en-GB"/>
        </w:rPr>
        <w:t>2.3</w:t>
      </w:r>
      <w:r w:rsidR="000D7721" w:rsidRPr="00881BC8">
        <w:rPr>
          <w:noProof/>
          <w:lang w:val="en-GB"/>
        </w:rPr>
        <w:t>)</w:t>
      </w:r>
      <w:r w:rsidR="00CD3FED" w:rsidRPr="00881BC8">
        <w:rPr>
          <w:noProof/>
          <w:lang w:val="en-GB"/>
        </w:rPr>
        <w:t xml:space="preserve">. </w:t>
      </w:r>
      <w:r w:rsidR="00E5129B" w:rsidRPr="00881BC8">
        <w:rPr>
          <w:noProof/>
          <w:lang w:val="en-GB"/>
        </w:rPr>
        <w:t>In addition,</w:t>
      </w:r>
      <w:r w:rsidRPr="00881BC8">
        <w:rPr>
          <w:noProof/>
          <w:lang w:val="en-GB"/>
        </w:rPr>
        <w:t xml:space="preserve"> the </w:t>
      </w:r>
      <w:r w:rsidR="00E5129B" w:rsidRPr="00881BC8">
        <w:rPr>
          <w:noProof/>
          <w:lang w:val="en-GB"/>
        </w:rPr>
        <w:t xml:space="preserve">need for additional financing </w:t>
      </w:r>
      <w:r w:rsidRPr="00881BC8">
        <w:rPr>
          <w:noProof/>
          <w:lang w:val="en-GB"/>
        </w:rPr>
        <w:t xml:space="preserve">is likely to be limited, because the debtors will benefit from being paid </w:t>
      </w:r>
      <w:r w:rsidR="00E5129B" w:rsidRPr="00881BC8">
        <w:rPr>
          <w:noProof/>
          <w:lang w:val="en-GB"/>
        </w:rPr>
        <w:t>o</w:t>
      </w:r>
      <w:r w:rsidRPr="00881BC8">
        <w:rPr>
          <w:noProof/>
          <w:lang w:val="en-GB"/>
        </w:rPr>
        <w:t xml:space="preserve">n time themselves. </w:t>
      </w:r>
      <w:r w:rsidR="0017601C" w:rsidRPr="00881BC8">
        <w:rPr>
          <w:noProof/>
          <w:lang w:val="en-GB"/>
        </w:rPr>
        <w:t xml:space="preserve">65% of all respondents in the </w:t>
      </w:r>
      <w:r w:rsidR="00E4064B" w:rsidRPr="00881BC8">
        <w:rPr>
          <w:noProof/>
          <w:lang w:val="en-GB"/>
        </w:rPr>
        <w:t>PC</w:t>
      </w:r>
      <w:r w:rsidR="0017601C" w:rsidRPr="00881BC8">
        <w:rPr>
          <w:noProof/>
          <w:lang w:val="en-GB"/>
        </w:rPr>
        <w:t xml:space="preserve"> gave ‘Late payments are a vicious circle (a company is paid late and then pays late in return)’ as </w:t>
      </w:r>
      <w:r w:rsidRPr="00881BC8">
        <w:rPr>
          <w:noProof/>
          <w:lang w:val="en-GB"/>
        </w:rPr>
        <w:t>the top reason for late payments. This indicates that if debtors themselves are paid on time, they will find it easier to meet the payment terms to their creditors.</w:t>
      </w:r>
    </w:p>
    <w:p w14:paraId="7B86EDDB" w14:textId="755606BE" w:rsidR="00A74EE1" w:rsidRPr="00881BC8" w:rsidRDefault="00A74EE1" w:rsidP="004835F8">
      <w:pPr>
        <w:pStyle w:val="NormalPara"/>
        <w:rPr>
          <w:noProof/>
          <w:lang w:val="en-GB"/>
        </w:rPr>
      </w:pPr>
      <w:r w:rsidRPr="00881BC8">
        <w:rPr>
          <w:noProof/>
          <w:lang w:val="en-GB"/>
        </w:rPr>
        <w:t>However, some debtors, includ</w:t>
      </w:r>
      <w:r w:rsidR="00AA6BF8" w:rsidRPr="00881BC8">
        <w:rPr>
          <w:noProof/>
          <w:lang w:val="en-GB"/>
        </w:rPr>
        <w:t>ing</w:t>
      </w:r>
      <w:r w:rsidRPr="00881BC8">
        <w:rPr>
          <w:noProof/>
          <w:lang w:val="en-GB"/>
        </w:rPr>
        <w:t xml:space="preserve"> SMEs, deliberately rely on late payments at the moment to finance themselves with </w:t>
      </w:r>
      <w:r w:rsidR="008E6B62" w:rsidRPr="00881BC8">
        <w:rPr>
          <w:noProof/>
          <w:lang w:val="en-GB"/>
        </w:rPr>
        <w:t>almost-</w:t>
      </w:r>
      <w:r w:rsidRPr="00881BC8">
        <w:rPr>
          <w:noProof/>
          <w:lang w:val="en-GB"/>
        </w:rPr>
        <w:t xml:space="preserve">interest-free credit. These debtors </w:t>
      </w:r>
      <w:r w:rsidR="008E6B62" w:rsidRPr="00881BC8">
        <w:rPr>
          <w:noProof/>
          <w:lang w:val="en-GB"/>
        </w:rPr>
        <w:t>c</w:t>
      </w:r>
      <w:r w:rsidRPr="00881BC8">
        <w:rPr>
          <w:noProof/>
          <w:lang w:val="en-GB"/>
        </w:rPr>
        <w:t xml:space="preserve">ould face a recurring cost if they were unable to use this credit. The cost of this is hard to estimate </w:t>
      </w:r>
      <w:r w:rsidR="00F66914" w:rsidRPr="00881BC8">
        <w:rPr>
          <w:noProof/>
          <w:lang w:val="en-GB"/>
        </w:rPr>
        <w:t>because</w:t>
      </w:r>
      <w:r w:rsidRPr="00881BC8">
        <w:rPr>
          <w:noProof/>
          <w:lang w:val="en-GB"/>
        </w:rPr>
        <w:t xml:space="preserve"> few companies openly state this as a reason for their late payments. An impact assessment on late payments by the Australian government may provide some indication</w:t>
      </w:r>
      <w:r w:rsidRPr="00881BC8">
        <w:rPr>
          <w:rStyle w:val="FootnoteReference"/>
          <w:noProof/>
          <w:lang w:val="en-GB"/>
        </w:rPr>
        <w:footnoteReference w:id="104"/>
      </w:r>
      <w:r w:rsidRPr="00881BC8">
        <w:rPr>
          <w:noProof/>
          <w:lang w:val="en-GB"/>
        </w:rPr>
        <w:t>. This impact assessment estimates that annual trade credit from small to large businesses amounts to $AUD</w:t>
      </w:r>
      <w:r w:rsidR="00355B9D" w:rsidRPr="00881BC8">
        <w:rPr>
          <w:noProof/>
          <w:lang w:val="en-GB"/>
        </w:rPr>
        <w:t> </w:t>
      </w:r>
      <w:r w:rsidRPr="00881BC8">
        <w:rPr>
          <w:noProof/>
          <w:lang w:val="en-GB"/>
        </w:rPr>
        <w:t xml:space="preserve">216 billion. Converting this to EUR and extrapolating to the size of the EU economy, we can estimate a </w:t>
      </w:r>
      <w:r w:rsidR="00355B9D" w:rsidRPr="00881BC8">
        <w:rPr>
          <w:noProof/>
          <w:lang w:val="en-GB"/>
        </w:rPr>
        <w:t>EUR </w:t>
      </w:r>
      <w:r w:rsidRPr="00881BC8">
        <w:rPr>
          <w:noProof/>
          <w:lang w:val="en-GB"/>
        </w:rPr>
        <w:t xml:space="preserve">1.34 trillion trade credit from small to large businesses in the EU. Even assuming the above figure of 65% of late payments only being due to a vicious circle, if the remaining trade credit will have to be </w:t>
      </w:r>
      <w:r w:rsidR="00F4561B" w:rsidRPr="00881BC8">
        <w:rPr>
          <w:noProof/>
          <w:lang w:val="en-GB"/>
        </w:rPr>
        <w:t>borrowed</w:t>
      </w:r>
      <w:r w:rsidRPr="00881BC8">
        <w:rPr>
          <w:noProof/>
          <w:lang w:val="en-GB"/>
        </w:rPr>
        <w:t xml:space="preserve"> at market rates, debtors may still face a financing cost of tens of billions of euros per year.</w:t>
      </w:r>
      <w:r w:rsidR="00C7180D" w:rsidRPr="00881BC8">
        <w:rPr>
          <w:noProof/>
          <w:lang w:val="en-GB"/>
        </w:rPr>
        <w:t xml:space="preserve"> </w:t>
      </w:r>
      <w:r w:rsidRPr="00881BC8">
        <w:rPr>
          <w:noProof/>
          <w:lang w:val="en-GB"/>
        </w:rPr>
        <w:t>Yet this effect is not a net cost</w:t>
      </w:r>
      <w:r w:rsidR="00B25F88" w:rsidRPr="00881BC8">
        <w:rPr>
          <w:noProof/>
          <w:lang w:val="en-GB"/>
        </w:rPr>
        <w:t xml:space="preserve"> because the reasoning does not consider that debtors are already paying an implicit interest on supplier credit.</w:t>
      </w:r>
      <w:r w:rsidRPr="00881BC8">
        <w:rPr>
          <w:noProof/>
          <w:lang w:val="en-GB"/>
        </w:rPr>
        <w:t xml:space="preserve"> The debtor currently only avoids the need for this financing by forcing its suppliers to cover the financing cost instead. Seeing that interest rates for large businesses are usually lower than for small business, the same Australian impact assessment has found that despite the costs </w:t>
      </w:r>
      <w:r w:rsidR="00B25F88" w:rsidRPr="00881BC8">
        <w:rPr>
          <w:noProof/>
          <w:lang w:val="en-GB"/>
        </w:rPr>
        <w:t>for</w:t>
      </w:r>
      <w:r w:rsidRPr="00881BC8">
        <w:rPr>
          <w:noProof/>
          <w:lang w:val="en-GB"/>
        </w:rPr>
        <w:t xml:space="preserve"> debtors, there will be a sizeable net benefit to the Australian economy of $AUD 313 million per year.</w:t>
      </w:r>
    </w:p>
    <w:p w14:paraId="025FE61F" w14:textId="77777777" w:rsidR="00A74EE1" w:rsidRPr="00881BC8" w:rsidRDefault="00A74EE1" w:rsidP="004835F8">
      <w:pPr>
        <w:pStyle w:val="NormalPara"/>
        <w:rPr>
          <w:noProof/>
          <w:lang w:val="en-GB"/>
        </w:rPr>
      </w:pPr>
      <w:r w:rsidRPr="00881BC8">
        <w:rPr>
          <w:noProof/>
          <w:lang w:val="en-GB"/>
        </w:rPr>
        <w:t>Besides the monetary net benefits, this is also a question of sustainable competitiveness and fairness. While it may impose a financial cost on a debtor to pay their suppliers on time, this is preferable to the debtor imposing those financial costs on its suppliers. Even if the cost-benefit were exactly neutral, the fairer option would still be preferable.</w:t>
      </w:r>
    </w:p>
    <w:p w14:paraId="340BD49B" w14:textId="77777777" w:rsidR="00A74EE1" w:rsidRPr="00881BC8" w:rsidRDefault="00A74EE1" w:rsidP="004835F8">
      <w:pPr>
        <w:pStyle w:val="NormalPara"/>
        <w:rPr>
          <w:noProof/>
          <w:lang w:val="en-GB"/>
        </w:rPr>
      </w:pPr>
      <w:r w:rsidRPr="00881BC8">
        <w:rPr>
          <w:noProof/>
          <w:lang w:val="en-GB"/>
        </w:rPr>
        <w:t>Some indirect effects could arise from the measure to facilitate SMEs’ access to credit management and financial literacy training. Commercial providers of such training courses may find a distorted playing field if Member States provide or subsidise such courses. This risk is reduced if Member States focus on providing access to commercially provided courses to SMEs (e.g. by subsiding part of the participation fees).</w:t>
      </w:r>
    </w:p>
    <w:p w14:paraId="3FF7BC25" w14:textId="65458C4A" w:rsidR="0066713D" w:rsidRPr="00881BC8" w:rsidRDefault="0066713D" w:rsidP="004835F8">
      <w:pPr>
        <w:pStyle w:val="Heading4"/>
        <w:rPr>
          <w:noProof/>
        </w:rPr>
      </w:pPr>
      <w:bookmarkStart w:id="404" w:name="_Toc130889215"/>
      <w:bookmarkStart w:id="405" w:name="_Toc130911582"/>
      <w:bookmarkStart w:id="406" w:name="_Toc130889216"/>
      <w:bookmarkStart w:id="407" w:name="_Toc130911583"/>
      <w:bookmarkStart w:id="408" w:name="_Toc130889217"/>
      <w:bookmarkStart w:id="409" w:name="_Toc130911584"/>
      <w:bookmarkStart w:id="410" w:name="_Toc130889218"/>
      <w:bookmarkStart w:id="411" w:name="_Toc130911585"/>
      <w:bookmarkStart w:id="412" w:name="_Toc130889219"/>
      <w:bookmarkStart w:id="413" w:name="_Toc130911586"/>
      <w:bookmarkStart w:id="414" w:name="_Toc130889220"/>
      <w:bookmarkStart w:id="415" w:name="_Toc130911587"/>
      <w:bookmarkStart w:id="416" w:name="_Toc130889221"/>
      <w:bookmarkStart w:id="417" w:name="_Toc130911588"/>
      <w:bookmarkStart w:id="418" w:name="_Toc130889222"/>
      <w:bookmarkStart w:id="419" w:name="_Toc130911589"/>
      <w:bookmarkStart w:id="420" w:name="_Toc130889223"/>
      <w:bookmarkStart w:id="421" w:name="_Toc130911590"/>
      <w:bookmarkStart w:id="422" w:name="_Toc130889224"/>
      <w:bookmarkStart w:id="423" w:name="_Toc130911591"/>
      <w:bookmarkStart w:id="424" w:name="_Toc130889225"/>
      <w:bookmarkStart w:id="425" w:name="_Toc130911592"/>
      <w:bookmarkStart w:id="426" w:name="_Toc130889226"/>
      <w:bookmarkStart w:id="427" w:name="_Toc130911593"/>
      <w:bookmarkStart w:id="428" w:name="_Toc130889227"/>
      <w:bookmarkStart w:id="429" w:name="_Toc130911594"/>
      <w:bookmarkStart w:id="430" w:name="_Toc130889228"/>
      <w:bookmarkStart w:id="431" w:name="_Toc130911595"/>
      <w:bookmarkStart w:id="432" w:name="_Toc130889229"/>
      <w:bookmarkStart w:id="433" w:name="_Toc130911596"/>
      <w:bookmarkStart w:id="434" w:name="_Toc130889230"/>
      <w:bookmarkStart w:id="435" w:name="_Toc130911597"/>
      <w:bookmarkStart w:id="436" w:name="_Toc130889231"/>
      <w:bookmarkStart w:id="437" w:name="_Toc130911598"/>
      <w:bookmarkStart w:id="438" w:name="_Toc130889232"/>
      <w:bookmarkStart w:id="439" w:name="_Toc130911599"/>
      <w:bookmarkStart w:id="440" w:name="_Toc130889233"/>
      <w:bookmarkStart w:id="441" w:name="_Toc130911600"/>
      <w:bookmarkStart w:id="442" w:name="_Toc130889234"/>
      <w:bookmarkStart w:id="443" w:name="_Toc130911601"/>
      <w:bookmarkStart w:id="444" w:name="_Toc130889235"/>
      <w:bookmarkStart w:id="445" w:name="_Toc130911602"/>
      <w:bookmarkStart w:id="446" w:name="_Toc130889236"/>
      <w:bookmarkStart w:id="447" w:name="_Toc130911603"/>
      <w:bookmarkStart w:id="448" w:name="_Toc130889237"/>
      <w:bookmarkStart w:id="449" w:name="_Toc130911604"/>
      <w:bookmarkStart w:id="450" w:name="_Toc130889238"/>
      <w:bookmarkStart w:id="451" w:name="_Toc130911605"/>
      <w:bookmarkStart w:id="452" w:name="_Toc130889239"/>
      <w:bookmarkStart w:id="453" w:name="_Toc130911606"/>
      <w:bookmarkStart w:id="454" w:name="_Toc130889240"/>
      <w:bookmarkStart w:id="455" w:name="_Toc130911607"/>
      <w:bookmarkStart w:id="456" w:name="_Toc130889241"/>
      <w:bookmarkStart w:id="457" w:name="_Toc130911608"/>
      <w:bookmarkStart w:id="458" w:name="_Toc130889242"/>
      <w:bookmarkStart w:id="459" w:name="_Toc130911609"/>
      <w:bookmarkStart w:id="460" w:name="_Toc130889243"/>
      <w:bookmarkStart w:id="461" w:name="_Toc130911610"/>
      <w:bookmarkStart w:id="462" w:name="_Toc130889244"/>
      <w:bookmarkStart w:id="463" w:name="_Toc130911611"/>
      <w:bookmarkStart w:id="464" w:name="_Toc130889245"/>
      <w:bookmarkStart w:id="465" w:name="_Toc130911612"/>
      <w:bookmarkStart w:id="466" w:name="_Toc130889246"/>
      <w:bookmarkStart w:id="467" w:name="_Toc130911613"/>
      <w:bookmarkStart w:id="468" w:name="_Ref131309610"/>
      <w:bookmarkStart w:id="469" w:name="_Toc135237414"/>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r w:rsidRPr="00881BC8">
        <w:rPr>
          <w:noProof/>
        </w:rPr>
        <w:t>Impacts on SMEs and competitiveness</w:t>
      </w:r>
      <w:bookmarkEnd w:id="468"/>
      <w:bookmarkEnd w:id="469"/>
    </w:p>
    <w:p w14:paraId="3146C06F" w14:textId="6D935497" w:rsidR="00A74EE1" w:rsidRPr="00881BC8" w:rsidRDefault="00316618" w:rsidP="004835F8">
      <w:pPr>
        <w:pStyle w:val="NormalPara"/>
        <w:rPr>
          <w:noProof/>
          <w:lang w:val="en-GB"/>
        </w:rPr>
      </w:pPr>
      <w:r w:rsidRPr="00881BC8">
        <w:rPr>
          <w:noProof/>
          <w:lang w:val="en-GB"/>
        </w:rPr>
        <w:t>PO1</w:t>
      </w:r>
      <w:r w:rsidR="00A74EE1" w:rsidRPr="00881BC8">
        <w:rPr>
          <w:noProof/>
          <w:lang w:val="en-GB"/>
        </w:rPr>
        <w:t xml:space="preserve"> will have impacts on SMEs and the economy’s competitiveness. All measures target either all companies or </w:t>
      </w:r>
      <w:r w:rsidRPr="00881BC8">
        <w:rPr>
          <w:noProof/>
          <w:lang w:val="en-GB"/>
        </w:rPr>
        <w:t xml:space="preserve">specifically </w:t>
      </w:r>
      <w:r w:rsidR="00A74EE1" w:rsidRPr="00881BC8">
        <w:rPr>
          <w:noProof/>
          <w:lang w:val="en-GB"/>
        </w:rPr>
        <w:t>SMEs (</w:t>
      </w:r>
      <w:r w:rsidRPr="00881BC8">
        <w:rPr>
          <w:noProof/>
          <w:lang w:val="en-GB"/>
        </w:rPr>
        <w:t>e.g. PO</w:t>
      </w:r>
      <w:r w:rsidR="00A74EE1" w:rsidRPr="00881BC8">
        <w:rPr>
          <w:noProof/>
          <w:lang w:val="en-GB"/>
        </w:rPr>
        <w:t xml:space="preserve">1c). No exclusion of scope for any measures is </w:t>
      </w:r>
      <w:r w:rsidRPr="00881BC8">
        <w:rPr>
          <w:noProof/>
          <w:lang w:val="en-GB"/>
        </w:rPr>
        <w:t>planned</w:t>
      </w:r>
      <w:r w:rsidR="00A74EE1" w:rsidRPr="00881BC8">
        <w:rPr>
          <w:noProof/>
          <w:lang w:val="en-GB"/>
        </w:rPr>
        <w:t>.</w:t>
      </w:r>
    </w:p>
    <w:p w14:paraId="0251247D" w14:textId="066BD736" w:rsidR="00A74EE1" w:rsidRPr="00881BC8" w:rsidRDefault="00A9034C" w:rsidP="004835F8">
      <w:pPr>
        <w:pStyle w:val="NormalPara"/>
        <w:rPr>
          <w:noProof/>
          <w:lang w:val="en-GB"/>
        </w:rPr>
      </w:pPr>
      <w:r w:rsidRPr="00881BC8">
        <w:rPr>
          <w:noProof/>
          <w:lang w:val="en-GB"/>
        </w:rPr>
        <w:t>The initiative should strengthen overall c</w:t>
      </w:r>
      <w:r w:rsidR="00A74EE1" w:rsidRPr="00881BC8">
        <w:rPr>
          <w:noProof/>
          <w:lang w:val="en-GB"/>
        </w:rPr>
        <w:t xml:space="preserve">ompetitiveness. Although reducing late payments </w:t>
      </w:r>
      <w:r w:rsidRPr="00881BC8">
        <w:rPr>
          <w:noProof/>
          <w:lang w:val="en-GB"/>
        </w:rPr>
        <w:t>may bring</w:t>
      </w:r>
      <w:r w:rsidR="00A74EE1" w:rsidRPr="00881BC8">
        <w:rPr>
          <w:noProof/>
          <w:lang w:val="en-GB"/>
        </w:rPr>
        <w:t xml:space="preserve"> costs </w:t>
      </w:r>
      <w:r w:rsidRPr="00881BC8">
        <w:rPr>
          <w:noProof/>
          <w:lang w:val="en-GB"/>
        </w:rPr>
        <w:t>to</w:t>
      </w:r>
      <w:r w:rsidR="00A74EE1" w:rsidRPr="00881BC8">
        <w:rPr>
          <w:noProof/>
          <w:lang w:val="en-GB"/>
        </w:rPr>
        <w:t xml:space="preserve"> debtors while providing benefits to creditors, the</w:t>
      </w:r>
      <w:r w:rsidR="00D634E4" w:rsidRPr="00881BC8">
        <w:rPr>
          <w:noProof/>
          <w:lang w:val="en-GB"/>
        </w:rPr>
        <w:t xml:space="preserve"> net</w:t>
      </w:r>
      <w:r w:rsidR="00A74EE1" w:rsidRPr="00881BC8">
        <w:rPr>
          <w:noProof/>
          <w:lang w:val="en-GB"/>
        </w:rPr>
        <w:t xml:space="preserve"> effect of this is not zero-sum, but a measurable economic benefit. On average, the effect of the on aggregate cash flow amounts to a 0.9% increase for each differential day. This effect is more marked in the manufacturing and construction sectors, characterized by a strong presence of SMEs in the relevant supply chains</w:t>
      </w:r>
      <w:r w:rsidR="00A74EE1" w:rsidRPr="00881BC8">
        <w:rPr>
          <w:rStyle w:val="FootnoteReference"/>
          <w:noProof/>
          <w:lang w:val="en-GB"/>
        </w:rPr>
        <w:footnoteReference w:id="105"/>
      </w:r>
      <w:r w:rsidR="00A74EE1" w:rsidRPr="00881BC8">
        <w:rPr>
          <w:noProof/>
          <w:lang w:val="en-GB"/>
        </w:rPr>
        <w:t>.</w:t>
      </w:r>
      <w:r w:rsidR="00D634E4" w:rsidRPr="00881BC8">
        <w:rPr>
          <w:noProof/>
          <w:lang w:val="en-GB"/>
        </w:rPr>
        <w:t xml:space="preserve"> There is also an unquantifiable benefit of reducing uncertainty and making business environment more predictable.</w:t>
      </w:r>
    </w:p>
    <w:p w14:paraId="7DF191CB" w14:textId="122CB6BF" w:rsidR="00A74EE1" w:rsidRPr="00881BC8" w:rsidRDefault="00A74EE1" w:rsidP="004835F8">
      <w:pPr>
        <w:pStyle w:val="NormalPara"/>
        <w:rPr>
          <w:noProof/>
          <w:lang w:val="en-GB"/>
        </w:rPr>
      </w:pPr>
      <w:r w:rsidRPr="00881BC8">
        <w:rPr>
          <w:noProof/>
          <w:lang w:val="en-GB"/>
        </w:rPr>
        <w:t xml:space="preserve">Therefore, the effect on price/cost competitiveness </w:t>
      </w:r>
      <w:r w:rsidR="000D4DA9" w:rsidRPr="00881BC8">
        <w:rPr>
          <w:noProof/>
          <w:lang w:val="en-GB"/>
        </w:rPr>
        <w:t xml:space="preserve">and </w:t>
      </w:r>
      <w:r w:rsidRPr="00881BC8">
        <w:rPr>
          <w:noProof/>
          <w:lang w:val="en-GB"/>
        </w:rPr>
        <w:t>innovation competitiveness is expected to be positive. With an increased aggregate cash flow in the economy, enterprises have more liquidity to invest in innovation or to pass cost reductions to consumers.</w:t>
      </w:r>
      <w:r w:rsidR="00DB491C" w:rsidRPr="00881BC8">
        <w:rPr>
          <w:noProof/>
          <w:lang w:val="en-GB"/>
        </w:rPr>
        <w:t xml:space="preserve"> </w:t>
      </w:r>
      <w:r w:rsidR="00D65B0B" w:rsidRPr="00881BC8">
        <w:rPr>
          <w:noProof/>
          <w:lang w:val="en-GB"/>
        </w:rPr>
        <w:t xml:space="preserve">Doing business is more predictable, </w:t>
      </w:r>
      <w:r w:rsidR="000C47F0" w:rsidRPr="00881BC8">
        <w:rPr>
          <w:noProof/>
          <w:lang w:val="en-GB"/>
        </w:rPr>
        <w:t xml:space="preserve">and fairer, with every business paying for the liquidity they need and use. Cost of funding goes down, because banks </w:t>
      </w:r>
      <w:r w:rsidR="003648CD" w:rsidRPr="00881BC8">
        <w:rPr>
          <w:noProof/>
          <w:lang w:val="en-GB"/>
        </w:rPr>
        <w:t xml:space="preserve">directly </w:t>
      </w:r>
      <w:r w:rsidR="00A87C5E" w:rsidRPr="00881BC8">
        <w:rPr>
          <w:noProof/>
          <w:lang w:val="en-GB"/>
        </w:rPr>
        <w:t>fund</w:t>
      </w:r>
      <w:r w:rsidR="003648CD" w:rsidRPr="00881BC8">
        <w:rPr>
          <w:noProof/>
          <w:lang w:val="en-GB"/>
        </w:rPr>
        <w:t xml:space="preserve"> the risk</w:t>
      </w:r>
      <w:r w:rsidR="00A87C5E" w:rsidRPr="00881BC8">
        <w:rPr>
          <w:noProof/>
          <w:lang w:val="en-GB"/>
        </w:rPr>
        <w:t>s</w:t>
      </w:r>
      <w:r w:rsidR="003648CD" w:rsidRPr="00881BC8">
        <w:rPr>
          <w:noProof/>
          <w:lang w:val="en-GB"/>
        </w:rPr>
        <w:t xml:space="preserve"> of their clients</w:t>
      </w:r>
      <w:r w:rsidR="00A87C5E" w:rsidRPr="00881BC8">
        <w:rPr>
          <w:noProof/>
          <w:lang w:val="en-GB"/>
        </w:rPr>
        <w:t>, which they understand well</w:t>
      </w:r>
      <w:r w:rsidR="003648CD" w:rsidRPr="00881BC8">
        <w:rPr>
          <w:noProof/>
          <w:lang w:val="en-GB"/>
        </w:rPr>
        <w:t xml:space="preserve">, </w:t>
      </w:r>
      <w:r w:rsidR="008D2933" w:rsidRPr="00881BC8">
        <w:rPr>
          <w:noProof/>
          <w:lang w:val="en-GB"/>
        </w:rPr>
        <w:t>rather than indirectly</w:t>
      </w:r>
      <w:r w:rsidR="003648CD" w:rsidRPr="00881BC8">
        <w:rPr>
          <w:noProof/>
          <w:lang w:val="en-GB"/>
        </w:rPr>
        <w:t xml:space="preserve"> </w:t>
      </w:r>
      <w:r w:rsidR="008D2933" w:rsidRPr="00881BC8">
        <w:rPr>
          <w:noProof/>
          <w:lang w:val="en-GB"/>
        </w:rPr>
        <w:t xml:space="preserve">finance </w:t>
      </w:r>
      <w:r w:rsidR="003648CD" w:rsidRPr="00881BC8">
        <w:rPr>
          <w:noProof/>
          <w:lang w:val="en-GB"/>
        </w:rPr>
        <w:t xml:space="preserve">the unknown risk </w:t>
      </w:r>
      <w:r w:rsidR="008D2933" w:rsidRPr="00881BC8">
        <w:rPr>
          <w:noProof/>
          <w:lang w:val="en-GB"/>
        </w:rPr>
        <w:t xml:space="preserve">carried by </w:t>
      </w:r>
      <w:r w:rsidR="003648CD" w:rsidRPr="00881BC8">
        <w:rPr>
          <w:noProof/>
          <w:lang w:val="en-GB"/>
        </w:rPr>
        <w:t xml:space="preserve">their </w:t>
      </w:r>
      <w:r w:rsidR="008D2933" w:rsidRPr="00881BC8">
        <w:rPr>
          <w:noProof/>
          <w:lang w:val="en-GB"/>
        </w:rPr>
        <w:t>customers</w:t>
      </w:r>
      <w:r w:rsidR="003648CD" w:rsidRPr="00881BC8">
        <w:rPr>
          <w:noProof/>
          <w:lang w:val="en-GB"/>
        </w:rPr>
        <w:t>.</w:t>
      </w:r>
    </w:p>
    <w:p w14:paraId="37731667" w14:textId="477EE740" w:rsidR="00A74EE1" w:rsidRPr="00881BC8" w:rsidRDefault="00A74EE1" w:rsidP="004835F8">
      <w:pPr>
        <w:pStyle w:val="NormalPara"/>
        <w:rPr>
          <w:noProof/>
          <w:color w:val="000000" w:themeColor="text1"/>
          <w:lang w:val="en-GB"/>
        </w:rPr>
      </w:pPr>
      <w:r w:rsidRPr="00881BC8">
        <w:rPr>
          <w:noProof/>
          <w:lang w:val="en-GB"/>
        </w:rPr>
        <w:t xml:space="preserve">On international competitiveness, there is some risk that non-EU companies that are not bound by maximum payment terms can undercut EU companies by offering long payment terms. However, the effect of this is estimated to be </w:t>
      </w:r>
      <w:r w:rsidR="000D4DA9" w:rsidRPr="00881BC8">
        <w:rPr>
          <w:noProof/>
          <w:lang w:val="en-GB"/>
        </w:rPr>
        <w:t>limited</w:t>
      </w:r>
      <w:r w:rsidRPr="00881BC8">
        <w:rPr>
          <w:noProof/>
          <w:lang w:val="en-GB"/>
        </w:rPr>
        <w:t xml:space="preserve">. Firstly, </w:t>
      </w:r>
      <w:r w:rsidR="00A503C7" w:rsidRPr="00881BC8">
        <w:rPr>
          <w:noProof/>
          <w:lang w:val="en-GB"/>
        </w:rPr>
        <w:t xml:space="preserve">this effect will likely be cancelling itself between import and export transactions. Secondly, </w:t>
      </w:r>
      <w:r w:rsidRPr="00881BC8">
        <w:rPr>
          <w:noProof/>
          <w:lang w:val="en-GB"/>
        </w:rPr>
        <w:t xml:space="preserve">many non-EU countries such as Canada, the US, </w:t>
      </w:r>
      <w:r w:rsidR="00CC1DE0" w:rsidRPr="00881BC8">
        <w:rPr>
          <w:noProof/>
          <w:lang w:val="en-GB" w:eastAsia="en-GB"/>
        </w:rPr>
        <w:t>Türkiye</w:t>
      </w:r>
      <w:r w:rsidRPr="00881BC8">
        <w:rPr>
          <w:noProof/>
          <w:lang w:val="en-GB"/>
        </w:rPr>
        <w:t xml:space="preserve"> and the UK already impose legislation on late payments as well. </w:t>
      </w:r>
      <w:r w:rsidR="00A503C7" w:rsidRPr="00881BC8">
        <w:rPr>
          <w:noProof/>
          <w:lang w:val="en-GB"/>
        </w:rPr>
        <w:t>Thirdly</w:t>
      </w:r>
      <w:r w:rsidRPr="00881BC8">
        <w:rPr>
          <w:noProof/>
          <w:lang w:val="en-GB"/>
        </w:rPr>
        <w:t>, this effect has not really been visible within the EU, where some countries such as the Netherlands have imposed stricter legislation on payments than others.</w:t>
      </w:r>
      <w:r w:rsidR="00A503C7" w:rsidRPr="00881BC8">
        <w:rPr>
          <w:noProof/>
          <w:lang w:val="en-GB"/>
        </w:rPr>
        <w:t xml:space="preserve"> </w:t>
      </w:r>
      <w:r w:rsidRPr="00881BC8">
        <w:rPr>
          <w:noProof/>
          <w:lang w:val="en-GB"/>
        </w:rPr>
        <w:t xml:space="preserve">In terms of SME competitiveness, impacts on SMEs are likely to be more positive than for large enterprises. As stated in the problem definition, large enterprises are more likely than SMEs to pay late. Large enterprises are therefore somewhat more likely to bear the costs identified in </w:t>
      </w:r>
      <w:r w:rsidRPr="00881BC8">
        <w:rPr>
          <w:noProof/>
          <w:color w:val="000000" w:themeColor="text1"/>
          <w:lang w:val="en-GB"/>
        </w:rPr>
        <w:t>this policy option, whereas SMEs are more likely to see the benefit</w:t>
      </w:r>
      <w:r w:rsidR="00932DFD" w:rsidRPr="00881BC8">
        <w:rPr>
          <w:noProof/>
          <w:color w:val="000000" w:themeColor="text1"/>
          <w:lang w:val="en-GB"/>
        </w:rPr>
        <w:t>.</w:t>
      </w:r>
      <w:r w:rsidRPr="00881BC8">
        <w:rPr>
          <w:noProof/>
          <w:color w:val="000000" w:themeColor="text1"/>
          <w:lang w:val="en-GB"/>
        </w:rPr>
        <w:t xml:space="preserve"> </w:t>
      </w:r>
    </w:p>
    <w:p w14:paraId="1303F2AF" w14:textId="200F7C25" w:rsidR="00A74EE1" w:rsidRPr="00881BC8" w:rsidRDefault="00A74EE1" w:rsidP="004835F8">
      <w:pPr>
        <w:pStyle w:val="NormalPara"/>
        <w:rPr>
          <w:noProof/>
          <w:lang w:val="en-GB"/>
        </w:rPr>
      </w:pPr>
      <w:r w:rsidRPr="00881BC8">
        <w:rPr>
          <w:noProof/>
          <w:color w:val="000000" w:themeColor="text1"/>
          <w:lang w:val="en-GB"/>
        </w:rPr>
        <w:t xml:space="preserve">SMEs strongly </w:t>
      </w:r>
      <w:r w:rsidRPr="00881BC8">
        <w:rPr>
          <w:noProof/>
          <w:lang w:val="en-GB"/>
        </w:rPr>
        <w:t xml:space="preserve">support the measures identified above, more than the </w:t>
      </w:r>
      <w:r w:rsidR="00584803" w:rsidRPr="00881BC8">
        <w:rPr>
          <w:noProof/>
          <w:lang w:val="en-GB"/>
        </w:rPr>
        <w:t>respondents to the</w:t>
      </w:r>
      <w:r w:rsidRPr="00881BC8">
        <w:rPr>
          <w:noProof/>
          <w:lang w:val="en-GB"/>
        </w:rPr>
        <w:t xml:space="preserve"> </w:t>
      </w:r>
      <w:r w:rsidR="00E4064B" w:rsidRPr="00881BC8">
        <w:rPr>
          <w:noProof/>
          <w:lang w:val="en-GB"/>
        </w:rPr>
        <w:t>PC</w:t>
      </w:r>
      <w:r w:rsidR="00584803" w:rsidRPr="00881BC8">
        <w:rPr>
          <w:noProof/>
          <w:lang w:val="en-GB"/>
        </w:rPr>
        <w:t>,</w:t>
      </w:r>
      <w:r w:rsidRPr="00881BC8">
        <w:rPr>
          <w:noProof/>
          <w:lang w:val="en-GB"/>
        </w:rPr>
        <w:t xml:space="preserve"> where a clear comparison is possible. For example, on capping payment terms, SMEs strongly support a maximum payment term (82%), whereas 59% of stakeholders in the </w:t>
      </w:r>
      <w:r w:rsidR="00782A13" w:rsidRPr="00881BC8">
        <w:rPr>
          <w:noProof/>
          <w:lang w:val="en-GB"/>
        </w:rPr>
        <w:t xml:space="preserve">PC </w:t>
      </w:r>
      <w:r w:rsidRPr="00881BC8">
        <w:rPr>
          <w:noProof/>
          <w:lang w:val="en-GB"/>
        </w:rPr>
        <w:t xml:space="preserve">support this measure. </w:t>
      </w:r>
      <w:r w:rsidR="00C23426" w:rsidRPr="00881BC8">
        <w:rPr>
          <w:noProof/>
          <w:lang w:val="en-GB"/>
        </w:rPr>
        <w:t>A</w:t>
      </w:r>
      <w:r w:rsidRPr="00881BC8">
        <w:rPr>
          <w:noProof/>
          <w:lang w:val="en-GB"/>
        </w:rPr>
        <w:t xml:space="preserve">ll measures under this option </w:t>
      </w:r>
      <w:r w:rsidR="00C23426" w:rsidRPr="00881BC8">
        <w:rPr>
          <w:noProof/>
          <w:lang w:val="en-GB"/>
        </w:rPr>
        <w:t xml:space="preserve">receive either </w:t>
      </w:r>
      <w:r w:rsidRPr="00881BC8">
        <w:rPr>
          <w:noProof/>
          <w:lang w:val="en-GB"/>
        </w:rPr>
        <w:t xml:space="preserve">majority or at least plurality support among stakeholders and SMEs alike. This indicates that thanks to the </w:t>
      </w:r>
      <w:r w:rsidR="003572FE" w:rsidRPr="00881BC8">
        <w:rPr>
          <w:noProof/>
          <w:lang w:val="en-GB"/>
        </w:rPr>
        <w:t xml:space="preserve">identified </w:t>
      </w:r>
      <w:r w:rsidR="00303DFA" w:rsidRPr="00881BC8">
        <w:rPr>
          <w:noProof/>
          <w:lang w:val="en-GB"/>
        </w:rPr>
        <w:t>‘</w:t>
      </w:r>
      <w:r w:rsidRPr="00881BC8">
        <w:rPr>
          <w:noProof/>
          <w:lang w:val="en-GB"/>
        </w:rPr>
        <w:t>virtuous circle</w:t>
      </w:r>
      <w:r w:rsidR="00303DFA" w:rsidRPr="00881BC8">
        <w:rPr>
          <w:noProof/>
          <w:lang w:val="en-GB"/>
        </w:rPr>
        <w:t>’</w:t>
      </w:r>
      <w:r w:rsidRPr="00881BC8">
        <w:rPr>
          <w:noProof/>
          <w:lang w:val="en-GB"/>
        </w:rPr>
        <w:t xml:space="preserve"> of prompt payments </w:t>
      </w:r>
      <w:r w:rsidR="003572FE" w:rsidRPr="00881BC8">
        <w:rPr>
          <w:noProof/>
          <w:lang w:val="en-GB"/>
        </w:rPr>
        <w:t>flowing</w:t>
      </w:r>
      <w:r w:rsidRPr="00881BC8">
        <w:rPr>
          <w:noProof/>
          <w:lang w:val="en-GB"/>
        </w:rPr>
        <w:t xml:space="preserve"> </w:t>
      </w:r>
      <w:r w:rsidR="003572FE" w:rsidRPr="00881BC8">
        <w:rPr>
          <w:noProof/>
          <w:lang w:val="en-GB"/>
        </w:rPr>
        <w:t>up</w:t>
      </w:r>
      <w:r w:rsidRPr="00881BC8">
        <w:rPr>
          <w:noProof/>
          <w:lang w:val="en-GB"/>
        </w:rPr>
        <w:t xml:space="preserve"> the supply chain, all businesses will ultimately see an improvement to their cash flow and to their competitiveness.</w:t>
      </w:r>
    </w:p>
    <w:p w14:paraId="24DA3E0E" w14:textId="65F79A10" w:rsidR="001E4A0C" w:rsidRPr="00881BC8" w:rsidRDefault="001E4A0C" w:rsidP="004835F8">
      <w:pPr>
        <w:pStyle w:val="Heading4"/>
        <w:rPr>
          <w:noProof/>
          <w:u w:val="single"/>
        </w:rPr>
      </w:pPr>
      <w:bookmarkStart w:id="470" w:name="_Toc130889248"/>
      <w:bookmarkStart w:id="471" w:name="_Toc130911615"/>
      <w:bookmarkStart w:id="472" w:name="_Toc130889249"/>
      <w:bookmarkStart w:id="473" w:name="_Toc130911616"/>
      <w:bookmarkStart w:id="474" w:name="_Toc130889250"/>
      <w:bookmarkStart w:id="475" w:name="_Toc130911617"/>
      <w:bookmarkStart w:id="476" w:name="_Toc130889251"/>
      <w:bookmarkStart w:id="477" w:name="_Toc130911618"/>
      <w:bookmarkStart w:id="478" w:name="_Toc130889252"/>
      <w:bookmarkStart w:id="479" w:name="_Toc130911619"/>
      <w:bookmarkStart w:id="480" w:name="_Toc130395714"/>
      <w:bookmarkStart w:id="481" w:name="_Toc130403632"/>
      <w:bookmarkStart w:id="482" w:name="_Toc130395715"/>
      <w:bookmarkStart w:id="483" w:name="_Toc130403633"/>
      <w:bookmarkStart w:id="484" w:name="_Toc130395716"/>
      <w:bookmarkStart w:id="485" w:name="_Toc130403634"/>
      <w:bookmarkStart w:id="486" w:name="_Toc130395717"/>
      <w:bookmarkStart w:id="487" w:name="_Toc130403635"/>
      <w:bookmarkStart w:id="488" w:name="_Toc130395718"/>
      <w:bookmarkStart w:id="489" w:name="_Toc130403636"/>
      <w:bookmarkStart w:id="490" w:name="_Toc130395719"/>
      <w:bookmarkStart w:id="491" w:name="_Toc130403637"/>
      <w:bookmarkStart w:id="492" w:name="_Toc130395720"/>
      <w:bookmarkStart w:id="493" w:name="_Toc130403638"/>
      <w:bookmarkStart w:id="494" w:name="_Toc130395721"/>
      <w:bookmarkStart w:id="495" w:name="_Toc130403639"/>
      <w:bookmarkStart w:id="496" w:name="_Toc130395722"/>
      <w:bookmarkStart w:id="497" w:name="_Toc130403640"/>
      <w:bookmarkStart w:id="498" w:name="_Toc135237415"/>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r w:rsidRPr="00881BC8">
        <w:rPr>
          <w:noProof/>
          <w:u w:val="single"/>
        </w:rPr>
        <w:t>Impact on public authorities</w:t>
      </w:r>
      <w:bookmarkEnd w:id="498"/>
    </w:p>
    <w:p w14:paraId="6954C9E3" w14:textId="77777777" w:rsidR="00A74EE1" w:rsidRPr="00881BC8" w:rsidRDefault="00A74EE1" w:rsidP="004835F8">
      <w:pPr>
        <w:pStyle w:val="Heading5"/>
        <w:rPr>
          <w:noProof/>
        </w:rPr>
      </w:pPr>
      <w:r w:rsidRPr="00881BC8">
        <w:rPr>
          <w:noProof/>
        </w:rPr>
        <w:t>Benefits</w:t>
      </w:r>
    </w:p>
    <w:p w14:paraId="74D20133" w14:textId="48764792" w:rsidR="00A74EE1" w:rsidRPr="00881BC8" w:rsidRDefault="00A74EE1" w:rsidP="004835F8">
      <w:pPr>
        <w:pStyle w:val="NormalPara"/>
        <w:rPr>
          <w:noProof/>
          <w:lang w:val="en-GB"/>
        </w:rPr>
      </w:pPr>
      <w:r w:rsidRPr="00881BC8">
        <w:rPr>
          <w:noProof/>
          <w:lang w:val="en-GB"/>
        </w:rPr>
        <w:t xml:space="preserve">Benefits to public authorities in </w:t>
      </w:r>
      <w:r w:rsidR="00F924A0" w:rsidRPr="00881BC8">
        <w:rPr>
          <w:noProof/>
          <w:lang w:val="en-GB"/>
        </w:rPr>
        <w:t xml:space="preserve">PO1 </w:t>
      </w:r>
      <w:r w:rsidRPr="00881BC8">
        <w:rPr>
          <w:noProof/>
          <w:lang w:val="en-GB"/>
        </w:rPr>
        <w:t>are limited. No particular cost savings are identified.</w:t>
      </w:r>
    </w:p>
    <w:p w14:paraId="3784E568" w14:textId="62DC40BB" w:rsidR="00A74EE1" w:rsidRPr="00881BC8" w:rsidRDefault="001C1AE7" w:rsidP="004835F8">
      <w:pPr>
        <w:pStyle w:val="NormalPara"/>
        <w:rPr>
          <w:noProof/>
          <w:lang w:val="en-GB"/>
        </w:rPr>
      </w:pPr>
      <w:r w:rsidRPr="00881BC8">
        <w:rPr>
          <w:noProof/>
          <w:lang w:val="en-GB"/>
        </w:rPr>
        <w:t>I</w:t>
      </w:r>
      <w:r w:rsidR="00A74EE1" w:rsidRPr="00881BC8">
        <w:rPr>
          <w:noProof/>
          <w:lang w:val="en-GB"/>
        </w:rPr>
        <w:t>ndirect effects on public authorities’ budget can be significant. Considering the impact of late payment on bankruptcies and employment, reducing late payment (by more than 23% under PO1a) could provide significant savings on public budget through higher tax revenue and reduced unemployment benefits.</w:t>
      </w:r>
    </w:p>
    <w:p w14:paraId="0061A592" w14:textId="77777777" w:rsidR="00A74EE1" w:rsidRPr="00881BC8" w:rsidRDefault="00A74EE1" w:rsidP="004835F8">
      <w:pPr>
        <w:pStyle w:val="Heading5"/>
        <w:rPr>
          <w:noProof/>
        </w:rPr>
      </w:pPr>
      <w:r w:rsidRPr="00881BC8">
        <w:rPr>
          <w:noProof/>
        </w:rPr>
        <w:t>Costs</w:t>
      </w:r>
    </w:p>
    <w:p w14:paraId="299322C3" w14:textId="77777777" w:rsidR="007F1B9F" w:rsidRPr="00881BC8" w:rsidRDefault="009C5707" w:rsidP="004835F8">
      <w:pPr>
        <w:pStyle w:val="NormalPara"/>
        <w:rPr>
          <w:noProof/>
          <w:lang w:val="en-GB"/>
        </w:rPr>
      </w:pPr>
      <w:r w:rsidRPr="00881BC8">
        <w:rPr>
          <w:noProof/>
          <w:lang w:val="en-GB"/>
        </w:rPr>
        <w:t>PO1’s</w:t>
      </w:r>
      <w:r w:rsidR="00A74EE1" w:rsidRPr="00881BC8">
        <w:rPr>
          <w:noProof/>
          <w:lang w:val="en-GB"/>
        </w:rPr>
        <w:t xml:space="preserve"> costs to public authorities are relatively limited. </w:t>
      </w:r>
      <w:r w:rsidRPr="00881BC8">
        <w:rPr>
          <w:noProof/>
          <w:lang w:val="en-GB"/>
        </w:rPr>
        <w:t>Since</w:t>
      </w:r>
      <w:r w:rsidR="00A74EE1" w:rsidRPr="00881BC8">
        <w:rPr>
          <w:noProof/>
          <w:lang w:val="en-GB"/>
        </w:rPr>
        <w:t xml:space="preserve"> the main measures concern the setting of payment terms in B2B transactions, public authorities do not have a direct cost to implement this measure. </w:t>
      </w:r>
    </w:p>
    <w:p w14:paraId="3D197CE6" w14:textId="34227945" w:rsidR="00A74EE1" w:rsidRPr="00881BC8" w:rsidRDefault="00A74EE1" w:rsidP="004835F8">
      <w:pPr>
        <w:pStyle w:val="NormalPara"/>
        <w:rPr>
          <w:noProof/>
          <w:lang w:val="en-GB"/>
        </w:rPr>
      </w:pPr>
      <w:r w:rsidRPr="00881BC8">
        <w:rPr>
          <w:noProof/>
          <w:lang w:val="en-GB"/>
        </w:rPr>
        <w:t xml:space="preserve">In the 2015 evaluation of the LPD, Member States found the administrative costs associated with maximum payment terms to be negligible: </w:t>
      </w:r>
      <w:r w:rsidR="00303DFA" w:rsidRPr="00881BC8">
        <w:rPr>
          <w:noProof/>
          <w:lang w:val="en-GB"/>
        </w:rPr>
        <w:t>‘</w:t>
      </w:r>
      <w:r w:rsidRPr="00881BC8">
        <w:rPr>
          <w:noProof/>
          <w:lang w:val="en-GB"/>
        </w:rPr>
        <w:t>All costs to public authorities as a result of the Directive are one-off and, on the whole, they are considered marginal by the authorities themselves</w:t>
      </w:r>
      <w:r w:rsidR="00303DFA" w:rsidRPr="00881BC8">
        <w:rPr>
          <w:noProof/>
          <w:lang w:val="en-GB"/>
        </w:rPr>
        <w:t>’</w:t>
      </w:r>
      <w:r w:rsidRPr="00881BC8">
        <w:rPr>
          <w:rStyle w:val="FootnoteReference"/>
          <w:noProof/>
          <w:lang w:val="en-GB"/>
        </w:rPr>
        <w:footnoteReference w:id="106"/>
      </w:r>
      <w:r w:rsidR="009C5707" w:rsidRPr="00881BC8">
        <w:rPr>
          <w:noProof/>
          <w:lang w:val="en-GB"/>
        </w:rPr>
        <w:t>.</w:t>
      </w:r>
    </w:p>
    <w:p w14:paraId="4E4B5279" w14:textId="518280FC" w:rsidR="00A74EE1" w:rsidRPr="00881BC8" w:rsidRDefault="00FD201D" w:rsidP="004835F8">
      <w:pPr>
        <w:pStyle w:val="NormalPara"/>
        <w:rPr>
          <w:noProof/>
          <w:lang w:val="en-GB"/>
        </w:rPr>
      </w:pPr>
      <w:r w:rsidRPr="00881BC8">
        <w:rPr>
          <w:noProof/>
          <w:lang w:val="en-GB"/>
        </w:rPr>
        <w:t>V</w:t>
      </w:r>
      <w:r w:rsidR="00A74EE1" w:rsidRPr="00881BC8">
        <w:rPr>
          <w:noProof/>
          <w:lang w:val="en-GB"/>
        </w:rPr>
        <w:t xml:space="preserve">erifying </w:t>
      </w:r>
      <w:r w:rsidR="00E914C1" w:rsidRPr="00881BC8">
        <w:rPr>
          <w:noProof/>
          <w:lang w:val="en-GB"/>
        </w:rPr>
        <w:t>purchases</w:t>
      </w:r>
      <w:r w:rsidR="00A74EE1" w:rsidRPr="00881BC8">
        <w:rPr>
          <w:noProof/>
          <w:lang w:val="en-GB"/>
        </w:rPr>
        <w:t xml:space="preserve"> within 30 days</w:t>
      </w:r>
      <w:r w:rsidRPr="00881BC8">
        <w:rPr>
          <w:noProof/>
          <w:lang w:val="en-GB"/>
        </w:rPr>
        <w:t xml:space="preserve"> may require public authorities to streamline verification procedures</w:t>
      </w:r>
      <w:r w:rsidR="006474A8" w:rsidRPr="00881BC8">
        <w:rPr>
          <w:noProof/>
          <w:lang w:val="en-GB"/>
        </w:rPr>
        <w:t>.</w:t>
      </w:r>
      <w:r w:rsidRPr="00881BC8">
        <w:rPr>
          <w:noProof/>
          <w:lang w:val="en-GB"/>
        </w:rPr>
        <w:t xml:space="preserve"> </w:t>
      </w:r>
      <w:r w:rsidR="001C4910" w:rsidRPr="00881BC8">
        <w:rPr>
          <w:noProof/>
          <w:lang w:val="en-GB"/>
        </w:rPr>
        <w:t xml:space="preserve">This </w:t>
      </w:r>
      <w:r w:rsidR="006474A8" w:rsidRPr="00881BC8">
        <w:rPr>
          <w:noProof/>
          <w:lang w:val="en-GB"/>
        </w:rPr>
        <w:t xml:space="preserve">is not a big change </w:t>
      </w:r>
      <w:r w:rsidR="001C4910" w:rsidRPr="00881BC8">
        <w:rPr>
          <w:noProof/>
          <w:lang w:val="en-GB"/>
        </w:rPr>
        <w:t xml:space="preserve">as </w:t>
      </w:r>
      <w:r w:rsidR="006474A8" w:rsidRPr="00881BC8">
        <w:rPr>
          <w:noProof/>
          <w:lang w:val="en-GB"/>
        </w:rPr>
        <w:t>t</w:t>
      </w:r>
      <w:r w:rsidRPr="00881BC8">
        <w:rPr>
          <w:noProof/>
          <w:lang w:val="en-GB"/>
        </w:rPr>
        <w:t xml:space="preserve">he </w:t>
      </w:r>
      <w:r w:rsidR="00E914C1" w:rsidRPr="00881BC8">
        <w:rPr>
          <w:noProof/>
          <w:lang w:val="en-GB"/>
        </w:rPr>
        <w:t xml:space="preserve">purchases </w:t>
      </w:r>
      <w:r w:rsidR="006474A8" w:rsidRPr="00881BC8">
        <w:rPr>
          <w:noProof/>
          <w:lang w:val="en-GB"/>
        </w:rPr>
        <w:t xml:space="preserve">must </w:t>
      </w:r>
      <w:r w:rsidRPr="00881BC8">
        <w:rPr>
          <w:noProof/>
          <w:lang w:val="en-GB"/>
        </w:rPr>
        <w:t>be</w:t>
      </w:r>
      <w:r w:rsidR="009C0662" w:rsidRPr="00881BC8">
        <w:rPr>
          <w:noProof/>
          <w:lang w:val="en-GB"/>
        </w:rPr>
        <w:t xml:space="preserve"> verified anyway</w:t>
      </w:r>
      <w:r w:rsidR="00A74EE1" w:rsidRPr="00881BC8">
        <w:rPr>
          <w:noProof/>
          <w:lang w:val="en-GB"/>
        </w:rPr>
        <w:t xml:space="preserve">. </w:t>
      </w:r>
    </w:p>
    <w:p w14:paraId="3AA7D708" w14:textId="324F4D98" w:rsidR="00A74EE1" w:rsidRPr="00881BC8" w:rsidRDefault="00A74EE1" w:rsidP="004835F8">
      <w:pPr>
        <w:pStyle w:val="NormalPara"/>
        <w:rPr>
          <w:noProof/>
          <w:lang w:val="en-GB"/>
        </w:rPr>
      </w:pPr>
      <w:r w:rsidRPr="00881BC8">
        <w:rPr>
          <w:noProof/>
          <w:lang w:val="en-GB"/>
        </w:rPr>
        <w:t xml:space="preserve">Providing access to SMEs to credit management and financial literacy training involves some </w:t>
      </w:r>
      <w:r w:rsidR="00BC59D7" w:rsidRPr="00881BC8">
        <w:rPr>
          <w:noProof/>
          <w:lang w:val="en-GB"/>
        </w:rPr>
        <w:t xml:space="preserve">adjustment </w:t>
      </w:r>
      <w:r w:rsidRPr="00881BC8">
        <w:rPr>
          <w:noProof/>
          <w:lang w:val="en-GB"/>
        </w:rPr>
        <w:t xml:space="preserve">cost for public authorities. The precise cost will depend </w:t>
      </w:r>
      <w:r w:rsidR="001E1969" w:rsidRPr="00881BC8">
        <w:rPr>
          <w:noProof/>
          <w:lang w:val="en-GB"/>
        </w:rPr>
        <w:t xml:space="preserve">on </w:t>
      </w:r>
      <w:r w:rsidRPr="00881BC8">
        <w:rPr>
          <w:noProof/>
          <w:lang w:val="en-GB"/>
        </w:rPr>
        <w:t>how Member States will structure their support, ranging from promotional campaigns to fully subsidising courses for SMEs</w:t>
      </w:r>
      <w:r w:rsidR="00284704" w:rsidRPr="00881BC8">
        <w:rPr>
          <w:noProof/>
          <w:lang w:val="en-GB"/>
        </w:rPr>
        <w:t xml:space="preserve"> in compliance with state aid rules</w:t>
      </w:r>
      <w:r w:rsidRPr="00881BC8">
        <w:rPr>
          <w:noProof/>
          <w:lang w:val="en-GB"/>
        </w:rPr>
        <w:t>. A full estimate of the cost can therefore not be given in monetary terms.</w:t>
      </w:r>
    </w:p>
    <w:p w14:paraId="3165880E" w14:textId="14219C6E" w:rsidR="00D946EA" w:rsidRPr="00881BC8" w:rsidRDefault="00D946EA" w:rsidP="004835F8">
      <w:pPr>
        <w:pStyle w:val="Heading3"/>
        <w:rPr>
          <w:noProof/>
        </w:rPr>
      </w:pPr>
      <w:bookmarkStart w:id="499" w:name="_Toc130889254"/>
      <w:bookmarkStart w:id="500" w:name="_Toc130911621"/>
      <w:bookmarkStart w:id="501" w:name="_Toc130889255"/>
      <w:bookmarkStart w:id="502" w:name="_Toc130911622"/>
      <w:bookmarkStart w:id="503" w:name="_Toc130889256"/>
      <w:bookmarkStart w:id="504" w:name="_Toc130911623"/>
      <w:bookmarkStart w:id="505" w:name="_Toc130889257"/>
      <w:bookmarkStart w:id="506" w:name="_Toc130911624"/>
      <w:bookmarkStart w:id="507" w:name="_Toc130889258"/>
      <w:bookmarkStart w:id="508" w:name="_Toc130911625"/>
      <w:bookmarkStart w:id="509" w:name="_Toc130889259"/>
      <w:bookmarkStart w:id="510" w:name="_Toc130911626"/>
      <w:bookmarkStart w:id="511" w:name="_Toc130889260"/>
      <w:bookmarkStart w:id="512" w:name="_Toc130911627"/>
      <w:bookmarkStart w:id="513" w:name="_Toc130889261"/>
      <w:bookmarkStart w:id="514" w:name="_Toc130911628"/>
      <w:bookmarkStart w:id="515" w:name="_Toc130502358"/>
      <w:bookmarkStart w:id="516" w:name="_Toc130502499"/>
      <w:bookmarkStart w:id="517" w:name="_Toc130395724"/>
      <w:bookmarkStart w:id="518" w:name="_Toc130403642"/>
      <w:bookmarkStart w:id="519" w:name="_Toc130395725"/>
      <w:bookmarkStart w:id="520" w:name="_Toc130403643"/>
      <w:bookmarkStart w:id="521" w:name="_Toc130395726"/>
      <w:bookmarkStart w:id="522" w:name="_Toc130403644"/>
      <w:bookmarkStart w:id="523" w:name="_Toc130395727"/>
      <w:bookmarkStart w:id="524" w:name="_Toc130403645"/>
      <w:bookmarkStart w:id="525" w:name="_Toc130395728"/>
      <w:bookmarkStart w:id="526" w:name="_Toc130403646"/>
      <w:bookmarkStart w:id="527" w:name="_Toc130395729"/>
      <w:bookmarkStart w:id="528" w:name="_Toc130403647"/>
      <w:bookmarkStart w:id="529" w:name="_Toc130395730"/>
      <w:bookmarkStart w:id="530" w:name="_Toc130403648"/>
      <w:bookmarkStart w:id="531" w:name="_Toc130395731"/>
      <w:bookmarkStart w:id="532" w:name="_Toc130403649"/>
      <w:bookmarkStart w:id="533" w:name="_Toc130395732"/>
      <w:bookmarkStart w:id="534" w:name="_Toc130403650"/>
      <w:bookmarkStart w:id="535" w:name="_Toc135237416"/>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r w:rsidRPr="00881BC8">
        <w:rPr>
          <w:noProof/>
        </w:rPr>
        <w:t>Policy Option 2: Foster timely payments</w:t>
      </w:r>
      <w:bookmarkEnd w:id="535"/>
    </w:p>
    <w:p w14:paraId="536D390E" w14:textId="10C8EF83" w:rsidR="001E4A0C" w:rsidRPr="00881BC8" w:rsidRDefault="001E4A0C" w:rsidP="004835F8">
      <w:pPr>
        <w:pStyle w:val="Heading4"/>
        <w:rPr>
          <w:noProof/>
        </w:rPr>
      </w:pPr>
      <w:bookmarkStart w:id="536" w:name="_Toc135237417"/>
      <w:r w:rsidRPr="00881BC8">
        <w:rPr>
          <w:noProof/>
        </w:rPr>
        <w:t>Impact on enterprises</w:t>
      </w:r>
      <w:bookmarkEnd w:id="536"/>
    </w:p>
    <w:p w14:paraId="51DCB04B" w14:textId="77777777" w:rsidR="00A74EE1" w:rsidRPr="00881BC8" w:rsidRDefault="00A74EE1" w:rsidP="004835F8">
      <w:pPr>
        <w:pStyle w:val="Heading5"/>
        <w:rPr>
          <w:noProof/>
        </w:rPr>
      </w:pPr>
      <w:r w:rsidRPr="00881BC8">
        <w:rPr>
          <w:noProof/>
        </w:rPr>
        <w:t>Benefits</w:t>
      </w:r>
    </w:p>
    <w:p w14:paraId="1A640E81" w14:textId="71257F57" w:rsidR="00A74EE1" w:rsidRPr="00881BC8" w:rsidRDefault="00A74EE1" w:rsidP="004835F8">
      <w:pPr>
        <w:pStyle w:val="NormalPara"/>
        <w:rPr>
          <w:noProof/>
          <w:lang w:val="en-GB"/>
        </w:rPr>
      </w:pPr>
      <w:r w:rsidRPr="00881BC8">
        <w:rPr>
          <w:noProof/>
          <w:lang w:val="en-GB"/>
        </w:rPr>
        <w:t xml:space="preserve">Under </w:t>
      </w:r>
      <w:r w:rsidR="00CA6079" w:rsidRPr="00881BC8">
        <w:rPr>
          <w:noProof/>
          <w:lang w:val="en-GB"/>
        </w:rPr>
        <w:t>PO2</w:t>
      </w:r>
      <w:r w:rsidRPr="00881BC8">
        <w:rPr>
          <w:noProof/>
          <w:lang w:val="en-GB"/>
        </w:rPr>
        <w:t xml:space="preserve">, the impact on businesses is mainly a </w:t>
      </w:r>
      <w:r w:rsidR="00303DFA" w:rsidRPr="00881BC8">
        <w:rPr>
          <w:noProof/>
          <w:lang w:val="en-GB"/>
        </w:rPr>
        <w:t>‘</w:t>
      </w:r>
      <w:r w:rsidRPr="00881BC8">
        <w:rPr>
          <w:noProof/>
          <w:lang w:val="en-GB"/>
        </w:rPr>
        <w:t>double-edged sword</w:t>
      </w:r>
      <w:r w:rsidR="00303DFA" w:rsidRPr="00881BC8">
        <w:rPr>
          <w:noProof/>
          <w:lang w:val="en-GB"/>
        </w:rPr>
        <w:t>’</w:t>
      </w:r>
      <w:r w:rsidRPr="00881BC8">
        <w:rPr>
          <w:noProof/>
          <w:lang w:val="en-GB"/>
        </w:rPr>
        <w:t xml:space="preserve">. Increased compensation and </w:t>
      </w:r>
      <w:r w:rsidR="00107982" w:rsidRPr="00881BC8">
        <w:rPr>
          <w:noProof/>
          <w:lang w:val="en-GB"/>
        </w:rPr>
        <w:t xml:space="preserve">its </w:t>
      </w:r>
      <w:r w:rsidR="00782A13" w:rsidRPr="00881BC8">
        <w:rPr>
          <w:noProof/>
          <w:lang w:val="en-GB"/>
        </w:rPr>
        <w:t xml:space="preserve">legally </w:t>
      </w:r>
      <w:r w:rsidRPr="00881BC8">
        <w:rPr>
          <w:noProof/>
          <w:lang w:val="en-GB"/>
        </w:rPr>
        <w:t>automatic payment will bring significant benefits to creditors who are paid late</w:t>
      </w:r>
      <w:r w:rsidR="00705B45" w:rsidRPr="00881BC8">
        <w:rPr>
          <w:noProof/>
          <w:lang w:val="en-GB"/>
        </w:rPr>
        <w:t xml:space="preserve"> </w:t>
      </w:r>
      <w:r w:rsidR="00C20193" w:rsidRPr="00881BC8">
        <w:rPr>
          <w:noProof/>
          <w:lang w:val="en-GB"/>
        </w:rPr>
        <w:t>and</w:t>
      </w:r>
      <w:r w:rsidR="00705B45" w:rsidRPr="00881BC8">
        <w:rPr>
          <w:noProof/>
          <w:lang w:val="en-GB"/>
        </w:rPr>
        <w:t xml:space="preserve"> help them pay their own debts on time</w:t>
      </w:r>
      <w:r w:rsidRPr="00881BC8">
        <w:rPr>
          <w:noProof/>
          <w:lang w:val="en-GB"/>
        </w:rPr>
        <w:t xml:space="preserve">. </w:t>
      </w:r>
      <w:r w:rsidR="00E04CD6" w:rsidRPr="00881BC8">
        <w:rPr>
          <w:noProof/>
          <w:lang w:val="en-GB"/>
        </w:rPr>
        <w:t>T</w:t>
      </w:r>
      <w:r w:rsidRPr="00881BC8">
        <w:rPr>
          <w:noProof/>
          <w:lang w:val="en-GB"/>
        </w:rPr>
        <w:t>hese benefits to creditors are a direct cost to</w:t>
      </w:r>
      <w:r w:rsidR="00705B45" w:rsidRPr="00881BC8">
        <w:rPr>
          <w:noProof/>
          <w:lang w:val="en-GB"/>
        </w:rPr>
        <w:t xml:space="preserve"> their</w:t>
      </w:r>
      <w:r w:rsidRPr="00881BC8">
        <w:rPr>
          <w:noProof/>
          <w:lang w:val="en-GB"/>
        </w:rPr>
        <w:t xml:space="preserve"> debtors who pay compensation. Debtors are likely to want to avoid paying this cost, either by paying on time or by avoiding their obligation to pay.</w:t>
      </w:r>
    </w:p>
    <w:p w14:paraId="0B8D3BDD" w14:textId="6BA3198F" w:rsidR="00A74EE1" w:rsidRPr="00881BC8" w:rsidRDefault="00A74EE1" w:rsidP="004835F8">
      <w:pPr>
        <w:pStyle w:val="NormalPara"/>
        <w:rPr>
          <w:noProof/>
          <w:lang w:val="en-GB"/>
        </w:rPr>
      </w:pPr>
      <w:r w:rsidRPr="00881BC8">
        <w:rPr>
          <w:noProof/>
          <w:lang w:val="en-GB"/>
        </w:rPr>
        <w:t xml:space="preserve">There are therefore, for </w:t>
      </w:r>
      <w:r w:rsidR="00360290" w:rsidRPr="00881BC8">
        <w:rPr>
          <w:noProof/>
          <w:lang w:val="en-GB"/>
        </w:rPr>
        <w:t>both PO2a and PO2b</w:t>
      </w:r>
      <w:r w:rsidRPr="00881BC8">
        <w:rPr>
          <w:noProof/>
          <w:lang w:val="en-GB"/>
        </w:rPr>
        <w:t xml:space="preserve">, two extreme scenarios that we can assess: </w:t>
      </w:r>
      <w:r w:rsidR="003947E6" w:rsidRPr="00881BC8">
        <w:rPr>
          <w:noProof/>
          <w:lang w:val="en-GB"/>
        </w:rPr>
        <w:t xml:space="preserve">(i) </w:t>
      </w:r>
      <w:r w:rsidR="00360290" w:rsidRPr="00881BC8">
        <w:rPr>
          <w:noProof/>
          <w:lang w:val="en-GB"/>
        </w:rPr>
        <w:t>n</w:t>
      </w:r>
      <w:r w:rsidRPr="00881BC8">
        <w:rPr>
          <w:noProof/>
          <w:lang w:val="en-GB"/>
        </w:rPr>
        <w:t xml:space="preserve">o change in late payments and a substantial cost on debtors directly translating into a substantial benefit for creditors; and </w:t>
      </w:r>
      <w:r w:rsidR="003947E6" w:rsidRPr="00881BC8">
        <w:rPr>
          <w:noProof/>
          <w:lang w:val="en-GB"/>
        </w:rPr>
        <w:t xml:space="preserve">(ii) </w:t>
      </w:r>
      <w:r w:rsidRPr="00881BC8">
        <w:rPr>
          <w:noProof/>
          <w:lang w:val="en-GB"/>
        </w:rPr>
        <w:t>a full-scale change of all debtors paying on time to avoid paying interest and compensation fees. Realistically, neither scenario is going to play out 100%, but they are presented here as extreme cases for purposes of quantification, followed by a conservative estimate for a realistic scenario.</w:t>
      </w:r>
    </w:p>
    <w:p w14:paraId="443E4E53" w14:textId="6A222B41" w:rsidR="00A74EE1" w:rsidRPr="00881BC8" w:rsidRDefault="00A74EE1" w:rsidP="004835F8">
      <w:pPr>
        <w:pStyle w:val="NormalPara"/>
        <w:rPr>
          <w:noProof/>
          <w:lang w:val="en-GB"/>
        </w:rPr>
      </w:pPr>
      <w:r w:rsidRPr="00881BC8">
        <w:rPr>
          <w:noProof/>
          <w:lang w:val="en-GB"/>
        </w:rPr>
        <w:t xml:space="preserve">Making payment of compensation </w:t>
      </w:r>
      <w:r w:rsidR="00176B47" w:rsidRPr="00881BC8">
        <w:rPr>
          <w:noProof/>
          <w:lang w:val="en-GB"/>
        </w:rPr>
        <w:t xml:space="preserve">legally </w:t>
      </w:r>
      <w:r w:rsidRPr="00881BC8">
        <w:rPr>
          <w:noProof/>
          <w:lang w:val="en-GB"/>
        </w:rPr>
        <w:t>automatic would imply a substantial impact. Currently, creditors have to ask for the compensatory interest to be paid, and often avoid doing so for fear of jeopardising the business relationship. 54% of companies, even those familiar with the entitlement to compensation under the LPD, say they never ask for it, and a further 26% only sometimes ask for the compensation</w:t>
      </w:r>
      <w:r w:rsidRPr="00881BC8">
        <w:rPr>
          <w:rStyle w:val="FootnoteReference"/>
          <w:noProof/>
          <w:lang w:val="en-GB"/>
        </w:rPr>
        <w:footnoteReference w:id="107"/>
      </w:r>
      <w:r w:rsidRPr="00881BC8">
        <w:rPr>
          <w:noProof/>
          <w:lang w:val="en-GB"/>
        </w:rPr>
        <w:t xml:space="preserve">. </w:t>
      </w:r>
      <w:r w:rsidR="002A19B7" w:rsidRPr="00881BC8">
        <w:rPr>
          <w:noProof/>
          <w:lang w:val="en-GB"/>
        </w:rPr>
        <w:t>SME panel</w:t>
      </w:r>
      <w:r w:rsidRPr="00881BC8">
        <w:rPr>
          <w:noProof/>
          <w:lang w:val="en-GB"/>
        </w:rPr>
        <w:t xml:space="preserve"> </w:t>
      </w:r>
      <w:r w:rsidR="007B39CC" w:rsidRPr="00881BC8">
        <w:rPr>
          <w:noProof/>
          <w:lang w:val="en-GB"/>
        </w:rPr>
        <w:t xml:space="preserve">paints an even starker </w:t>
      </w:r>
      <w:r w:rsidRPr="00881BC8">
        <w:rPr>
          <w:noProof/>
          <w:lang w:val="en-GB"/>
        </w:rPr>
        <w:t xml:space="preserve">picture, with 80% never receiving interest or compensation, 8.5% rarely and only 1% often. Even under </w:t>
      </w:r>
      <w:r w:rsidR="00176B47" w:rsidRPr="00881BC8">
        <w:rPr>
          <w:noProof/>
          <w:lang w:val="en-GB"/>
        </w:rPr>
        <w:t xml:space="preserve">legally </w:t>
      </w:r>
      <w:r w:rsidRPr="00881BC8">
        <w:rPr>
          <w:noProof/>
          <w:lang w:val="en-GB"/>
        </w:rPr>
        <w:t xml:space="preserve">automatic payment, it would be unrealistic to assume 100% of </w:t>
      </w:r>
      <w:r w:rsidR="008F7C8C" w:rsidRPr="00881BC8">
        <w:rPr>
          <w:noProof/>
          <w:lang w:val="en-GB"/>
        </w:rPr>
        <w:t>compensation</w:t>
      </w:r>
      <w:r w:rsidRPr="00881BC8">
        <w:rPr>
          <w:noProof/>
          <w:lang w:val="en-GB"/>
        </w:rPr>
        <w:t xml:space="preserve"> </w:t>
      </w:r>
      <w:r w:rsidR="008F7C8C" w:rsidRPr="00881BC8">
        <w:rPr>
          <w:noProof/>
          <w:lang w:val="en-GB"/>
        </w:rPr>
        <w:t xml:space="preserve">to be </w:t>
      </w:r>
      <w:r w:rsidRPr="00881BC8">
        <w:rPr>
          <w:noProof/>
          <w:lang w:val="en-GB"/>
        </w:rPr>
        <w:t>paid. Companies may still not seek redress if their debtor does not pay interest or compensation fees.</w:t>
      </w:r>
    </w:p>
    <w:p w14:paraId="254F931B" w14:textId="2007DB7E" w:rsidR="00A74EE1" w:rsidRPr="00881BC8" w:rsidRDefault="00A74EE1" w:rsidP="004835F8">
      <w:pPr>
        <w:pStyle w:val="NormalPara"/>
        <w:rPr>
          <w:noProof/>
          <w:lang w:val="en-GB"/>
        </w:rPr>
      </w:pPr>
      <w:r w:rsidRPr="00881BC8">
        <w:rPr>
          <w:noProof/>
          <w:lang w:val="en-GB"/>
        </w:rPr>
        <w:t>Yet even under very conservative assumptions, automatic payment of the compensation</w:t>
      </w:r>
      <w:r w:rsidR="00A96002" w:rsidRPr="00881BC8">
        <w:rPr>
          <w:noProof/>
          <w:lang w:val="en-GB"/>
        </w:rPr>
        <w:t xml:space="preserve"> </w:t>
      </w:r>
      <w:r w:rsidRPr="00881BC8">
        <w:rPr>
          <w:noProof/>
          <w:lang w:val="en-GB"/>
        </w:rPr>
        <w:t xml:space="preserve">interest (ECB rate + 8%) would provide significant benefits </w:t>
      </w:r>
      <w:r w:rsidR="00D5737F" w:rsidRPr="00881BC8">
        <w:rPr>
          <w:noProof/>
          <w:lang w:val="en-GB"/>
        </w:rPr>
        <w:t xml:space="preserve">of EUR 265.5 million </w:t>
      </w:r>
      <w:r w:rsidRPr="00881BC8">
        <w:rPr>
          <w:noProof/>
          <w:lang w:val="en-GB"/>
        </w:rPr>
        <w:t xml:space="preserve">to creditors. SME </w:t>
      </w:r>
      <w:r w:rsidR="00186CCE" w:rsidRPr="00881BC8">
        <w:rPr>
          <w:noProof/>
          <w:lang w:val="en-GB"/>
        </w:rPr>
        <w:t>p</w:t>
      </w:r>
      <w:r w:rsidRPr="00881BC8">
        <w:rPr>
          <w:noProof/>
          <w:lang w:val="en-GB"/>
        </w:rPr>
        <w:t xml:space="preserve">anel </w:t>
      </w:r>
      <w:r w:rsidR="00D86A5B" w:rsidRPr="00881BC8">
        <w:rPr>
          <w:noProof/>
          <w:lang w:val="en-GB"/>
        </w:rPr>
        <w:t xml:space="preserve">replies indicate that 8.5% companies currently </w:t>
      </w:r>
      <w:r w:rsidR="003C64FD" w:rsidRPr="00881BC8">
        <w:rPr>
          <w:noProof/>
          <w:lang w:val="en-GB"/>
        </w:rPr>
        <w:t>rarely receive compensation</w:t>
      </w:r>
      <w:r w:rsidR="00D86A5B" w:rsidRPr="00881BC8">
        <w:rPr>
          <w:noProof/>
          <w:lang w:val="en-GB"/>
        </w:rPr>
        <w:t>. A</w:t>
      </w:r>
      <w:r w:rsidRPr="00881BC8">
        <w:rPr>
          <w:noProof/>
          <w:lang w:val="en-GB"/>
        </w:rPr>
        <w:t xml:space="preserve"> conservative assumption </w:t>
      </w:r>
      <w:r w:rsidR="00D86A5B" w:rsidRPr="00881BC8">
        <w:rPr>
          <w:noProof/>
          <w:lang w:val="en-GB"/>
        </w:rPr>
        <w:t xml:space="preserve">that </w:t>
      </w:r>
      <w:r w:rsidRPr="00881BC8">
        <w:rPr>
          <w:noProof/>
          <w:lang w:val="en-GB"/>
        </w:rPr>
        <w:t xml:space="preserve">half of </w:t>
      </w:r>
      <w:r w:rsidR="00D86A5B" w:rsidRPr="00881BC8">
        <w:rPr>
          <w:noProof/>
          <w:lang w:val="en-GB"/>
        </w:rPr>
        <w:t xml:space="preserve">them would </w:t>
      </w:r>
      <w:r w:rsidRPr="00881BC8">
        <w:rPr>
          <w:noProof/>
          <w:lang w:val="en-GB"/>
        </w:rPr>
        <w:t xml:space="preserve">receive their claims </w:t>
      </w:r>
      <w:r w:rsidR="003C64FD" w:rsidRPr="00881BC8">
        <w:rPr>
          <w:noProof/>
          <w:lang w:val="en-GB"/>
        </w:rPr>
        <w:t xml:space="preserve">for compensation </w:t>
      </w:r>
      <w:r w:rsidRPr="00881BC8">
        <w:rPr>
          <w:noProof/>
          <w:lang w:val="en-GB"/>
        </w:rPr>
        <w:t xml:space="preserve">more regularly, </w:t>
      </w:r>
      <w:r w:rsidR="00D86A5B" w:rsidRPr="00881BC8">
        <w:rPr>
          <w:noProof/>
          <w:lang w:val="en-GB"/>
        </w:rPr>
        <w:t xml:space="preserve">would represent </w:t>
      </w:r>
      <w:r w:rsidRPr="00881BC8">
        <w:rPr>
          <w:noProof/>
          <w:lang w:val="en-GB"/>
        </w:rPr>
        <w:t>an increase in 4.25%</w:t>
      </w:r>
      <w:r w:rsidR="005A1D21" w:rsidRPr="00881BC8">
        <w:rPr>
          <w:noProof/>
          <w:lang w:val="en-GB"/>
        </w:rPr>
        <w:t xml:space="preserve"> of companies</w:t>
      </w:r>
      <w:r w:rsidRPr="00881BC8">
        <w:rPr>
          <w:noProof/>
          <w:lang w:val="en-GB"/>
        </w:rPr>
        <w:t xml:space="preserve">. </w:t>
      </w:r>
      <w:r w:rsidR="00913EF8" w:rsidRPr="00881BC8">
        <w:rPr>
          <w:noProof/>
          <w:lang w:val="en-GB"/>
        </w:rPr>
        <w:t>W</w:t>
      </w:r>
      <w:r w:rsidRPr="00881BC8">
        <w:rPr>
          <w:noProof/>
          <w:lang w:val="en-GB"/>
        </w:rPr>
        <w:t xml:space="preserve">e round </w:t>
      </w:r>
      <w:r w:rsidR="00913EF8" w:rsidRPr="00881BC8">
        <w:rPr>
          <w:noProof/>
          <w:lang w:val="en-GB"/>
        </w:rPr>
        <w:t xml:space="preserve">4.25% up to </w:t>
      </w:r>
      <w:r w:rsidRPr="00881BC8">
        <w:rPr>
          <w:noProof/>
          <w:lang w:val="en-GB"/>
        </w:rPr>
        <w:t>5%</w:t>
      </w:r>
      <w:r w:rsidR="00913EF8" w:rsidRPr="00881BC8">
        <w:rPr>
          <w:noProof/>
          <w:lang w:val="en-GB"/>
        </w:rPr>
        <w:t xml:space="preserve"> </w:t>
      </w:r>
      <w:r w:rsidR="0036584A" w:rsidRPr="00881BC8">
        <w:rPr>
          <w:noProof/>
          <w:lang w:val="en-GB"/>
        </w:rPr>
        <w:t>assuming that this is the share of</w:t>
      </w:r>
      <w:r w:rsidRPr="00881BC8">
        <w:rPr>
          <w:noProof/>
          <w:lang w:val="en-GB"/>
        </w:rPr>
        <w:t xml:space="preserve"> </w:t>
      </w:r>
      <w:r w:rsidR="00913EF8" w:rsidRPr="00881BC8">
        <w:rPr>
          <w:noProof/>
          <w:lang w:val="en-GB"/>
        </w:rPr>
        <w:t xml:space="preserve">compensation </w:t>
      </w:r>
      <w:r w:rsidRPr="00881BC8">
        <w:rPr>
          <w:noProof/>
          <w:lang w:val="en-GB"/>
        </w:rPr>
        <w:t>interest successfully paid out</w:t>
      </w:r>
      <w:r w:rsidR="0036584A" w:rsidRPr="00881BC8">
        <w:rPr>
          <w:noProof/>
          <w:lang w:val="en-GB"/>
        </w:rPr>
        <w:t>.</w:t>
      </w:r>
      <w:r w:rsidRPr="00881BC8">
        <w:rPr>
          <w:noProof/>
          <w:lang w:val="en-GB"/>
        </w:rPr>
        <w:t xml:space="preserve"> </w:t>
      </w:r>
      <w:r w:rsidR="0054394E" w:rsidRPr="00881BC8">
        <w:rPr>
          <w:noProof/>
          <w:lang w:val="en-GB"/>
        </w:rPr>
        <w:t xml:space="preserve">We take </w:t>
      </w:r>
      <w:r w:rsidRPr="00881BC8">
        <w:rPr>
          <w:noProof/>
          <w:lang w:val="en-GB"/>
        </w:rPr>
        <w:t xml:space="preserve">the value of unpaid turnover (as assumed in the Impact Assessment </w:t>
      </w:r>
      <w:r w:rsidR="00DF0D27" w:rsidRPr="00881BC8">
        <w:rPr>
          <w:noProof/>
          <w:lang w:val="en-GB"/>
        </w:rPr>
        <w:t>2009</w:t>
      </w:r>
      <w:r w:rsidR="00086B4C" w:rsidRPr="00881BC8">
        <w:rPr>
          <w:noProof/>
          <w:lang w:val="en-GB"/>
        </w:rPr>
        <w:t>, at EUR 1 864 billion</w:t>
      </w:r>
      <w:r w:rsidRPr="00881BC8">
        <w:rPr>
          <w:noProof/>
          <w:lang w:val="en-GB"/>
        </w:rPr>
        <w:t>; the value has likely changed but still serves to provide an order of magnitude</w:t>
      </w:r>
      <w:r w:rsidRPr="00881BC8">
        <w:rPr>
          <w:rStyle w:val="FootnoteReference"/>
          <w:noProof/>
          <w:lang w:val="en-GB"/>
        </w:rPr>
        <w:footnoteReference w:id="108"/>
      </w:r>
      <w:r w:rsidRPr="00881BC8">
        <w:rPr>
          <w:noProof/>
          <w:lang w:val="en-GB"/>
        </w:rPr>
        <w:t>)</w:t>
      </w:r>
      <w:r w:rsidR="0054394E" w:rsidRPr="00881BC8">
        <w:rPr>
          <w:noProof/>
          <w:lang w:val="en-GB"/>
        </w:rPr>
        <w:t xml:space="preserve"> as the basis for calculation of interest.</w:t>
      </w:r>
      <w:r w:rsidRPr="00881BC8">
        <w:rPr>
          <w:noProof/>
          <w:lang w:val="en-GB"/>
        </w:rPr>
        <w:t xml:space="preserve"> </w:t>
      </w:r>
      <w:r w:rsidR="003C765A" w:rsidRPr="00881BC8">
        <w:rPr>
          <w:noProof/>
          <w:lang w:val="en-GB"/>
        </w:rPr>
        <w:t>We</w:t>
      </w:r>
      <w:r w:rsidRPr="00881BC8">
        <w:rPr>
          <w:noProof/>
          <w:lang w:val="en-GB"/>
        </w:rPr>
        <w:t xml:space="preserve"> conservative</w:t>
      </w:r>
      <w:r w:rsidR="003C765A" w:rsidRPr="00881BC8">
        <w:rPr>
          <w:noProof/>
          <w:lang w:val="en-GB"/>
        </w:rPr>
        <w:t>ly assume</w:t>
      </w:r>
      <w:r w:rsidRPr="00881BC8">
        <w:rPr>
          <w:noProof/>
          <w:lang w:val="en-GB"/>
        </w:rPr>
        <w:t xml:space="preserve"> interest rate </w:t>
      </w:r>
      <w:r w:rsidR="00265512" w:rsidRPr="00881BC8">
        <w:rPr>
          <w:noProof/>
          <w:lang w:val="en-GB"/>
        </w:rPr>
        <w:t>at</w:t>
      </w:r>
      <w:r w:rsidRPr="00881BC8">
        <w:rPr>
          <w:noProof/>
          <w:lang w:val="en-GB"/>
        </w:rPr>
        <w:t xml:space="preserve"> 8%</w:t>
      </w:r>
      <w:r w:rsidRPr="00881BC8">
        <w:rPr>
          <w:rStyle w:val="FootnoteReference"/>
          <w:noProof/>
          <w:lang w:val="en-GB"/>
        </w:rPr>
        <w:footnoteReference w:id="109"/>
      </w:r>
      <w:r w:rsidRPr="00881BC8">
        <w:rPr>
          <w:noProof/>
          <w:lang w:val="en-GB"/>
        </w:rPr>
        <w:t xml:space="preserve">, </w:t>
      </w:r>
      <w:r w:rsidR="00D5737F" w:rsidRPr="00881BC8">
        <w:rPr>
          <w:noProof/>
          <w:lang w:val="en-GB"/>
        </w:rPr>
        <w:t xml:space="preserve">and take the average delay of 13 days. </w:t>
      </w:r>
      <w:r w:rsidR="00591BBF" w:rsidRPr="00881BC8">
        <w:rPr>
          <w:noProof/>
          <w:lang w:val="en-GB"/>
        </w:rPr>
        <w:t xml:space="preserve">See </w:t>
      </w:r>
      <w:r w:rsidR="00D5737F" w:rsidRPr="00881BC8">
        <w:rPr>
          <w:noProof/>
          <w:lang w:val="en-GB"/>
        </w:rPr>
        <w:fldChar w:fldCharType="begin"/>
      </w:r>
      <w:r w:rsidR="00D5737F" w:rsidRPr="00881BC8">
        <w:rPr>
          <w:noProof/>
          <w:lang w:val="en-GB"/>
        </w:rPr>
        <w:instrText xml:space="preserve"> REF Annex04 \h </w:instrText>
      </w:r>
      <w:r w:rsidR="00D5737F" w:rsidRPr="00881BC8">
        <w:rPr>
          <w:noProof/>
          <w:lang w:val="en-GB"/>
        </w:rPr>
      </w:r>
      <w:r w:rsidR="00D5737F" w:rsidRPr="00881BC8">
        <w:rPr>
          <w:noProof/>
          <w:lang w:val="en-GB"/>
        </w:rPr>
        <w:fldChar w:fldCharType="separate"/>
      </w:r>
      <w:r w:rsidR="005851F4" w:rsidRPr="00881BC8">
        <w:rPr>
          <w:noProof/>
        </w:rPr>
        <w:t>Annex 4</w:t>
      </w:r>
      <w:r w:rsidR="00D5737F" w:rsidRPr="00881BC8">
        <w:rPr>
          <w:noProof/>
          <w:lang w:val="en-GB"/>
        </w:rPr>
        <w:fldChar w:fldCharType="end"/>
      </w:r>
      <w:r w:rsidRPr="00881BC8">
        <w:rPr>
          <w:noProof/>
          <w:lang w:val="en-GB"/>
        </w:rPr>
        <w:t xml:space="preserve">. </w:t>
      </w:r>
    </w:p>
    <w:p w14:paraId="78CB3B30" w14:textId="12756CE5" w:rsidR="00A74EE1" w:rsidRPr="00881BC8" w:rsidRDefault="00A74EE1" w:rsidP="004835F8">
      <w:pPr>
        <w:pStyle w:val="NormalPara"/>
        <w:rPr>
          <w:noProof/>
          <w:lang w:val="en-GB"/>
        </w:rPr>
      </w:pPr>
      <w:r w:rsidRPr="00881BC8">
        <w:rPr>
          <w:noProof/>
          <w:lang w:val="en-GB"/>
        </w:rPr>
        <w:t xml:space="preserve">PO2a and PO2b imply significant benefits to creditors from direct compensation fees. The share of invoices not paid on time varies significantly by Member State. However, assuming the best </w:t>
      </w:r>
      <w:r w:rsidR="004507B8" w:rsidRPr="00881BC8">
        <w:rPr>
          <w:noProof/>
          <w:lang w:val="en-GB"/>
        </w:rPr>
        <w:t xml:space="preserve">actual </w:t>
      </w:r>
      <w:r w:rsidRPr="00881BC8">
        <w:rPr>
          <w:noProof/>
          <w:lang w:val="en-GB"/>
        </w:rPr>
        <w:t>performance (</w:t>
      </w:r>
      <w:r w:rsidR="004507B8" w:rsidRPr="00881BC8">
        <w:rPr>
          <w:noProof/>
          <w:lang w:val="en-GB"/>
        </w:rPr>
        <w:t>i.e.</w:t>
      </w:r>
      <w:r w:rsidRPr="00881BC8">
        <w:rPr>
          <w:noProof/>
          <w:lang w:val="en-GB"/>
        </w:rPr>
        <w:t xml:space="preserve"> Denmark, where in 2021 90% of payments were made on time</w:t>
      </w:r>
      <w:r w:rsidRPr="00881BC8">
        <w:rPr>
          <w:rStyle w:val="FootnoteReference"/>
          <w:noProof/>
          <w:lang w:val="en-GB"/>
        </w:rPr>
        <w:footnoteReference w:id="110"/>
      </w:r>
      <w:r w:rsidRPr="00881BC8">
        <w:rPr>
          <w:noProof/>
          <w:lang w:val="en-GB"/>
        </w:rPr>
        <w:t>) would lead to the compensation fees to be applied to a total of 10% of the 15 billion B2B and G2B invoices every year.</w:t>
      </w:r>
      <w:r w:rsidR="00262E0F" w:rsidRPr="00881BC8">
        <w:rPr>
          <w:noProof/>
          <w:lang w:val="en-GB"/>
        </w:rPr>
        <w:t xml:space="preserve"> A</w:t>
      </w:r>
      <w:r w:rsidRPr="00881BC8">
        <w:rPr>
          <w:noProof/>
          <w:lang w:val="en-GB"/>
        </w:rPr>
        <w:t xml:space="preserve">ssuming conservatively that only an extra 5% of companies will receive the flat fees once their payment is made automatic, we can see what a sizeable impact the consistent application of compensation fees would have (see </w:t>
      </w:r>
      <w:r w:rsidR="000E2065" w:rsidRPr="00881BC8">
        <w:rPr>
          <w:noProof/>
          <w:lang w:val="en-GB"/>
        </w:rPr>
        <w:fldChar w:fldCharType="begin"/>
      </w:r>
      <w:r w:rsidR="000E2065" w:rsidRPr="00881BC8">
        <w:rPr>
          <w:noProof/>
          <w:lang w:val="en-GB"/>
        </w:rPr>
        <w:instrText xml:space="preserve"> REF Annex04 \h </w:instrText>
      </w:r>
      <w:r w:rsidR="000E2065" w:rsidRPr="00881BC8">
        <w:rPr>
          <w:noProof/>
          <w:lang w:val="en-GB"/>
        </w:rPr>
      </w:r>
      <w:r w:rsidR="000E2065" w:rsidRPr="00881BC8">
        <w:rPr>
          <w:noProof/>
          <w:lang w:val="en-GB"/>
        </w:rPr>
        <w:fldChar w:fldCharType="separate"/>
      </w:r>
      <w:r w:rsidR="005851F4" w:rsidRPr="00881BC8">
        <w:rPr>
          <w:noProof/>
        </w:rPr>
        <w:t>Annex 4</w:t>
      </w:r>
      <w:r w:rsidR="000E2065" w:rsidRPr="00881BC8">
        <w:rPr>
          <w:noProof/>
          <w:lang w:val="en-GB"/>
        </w:rPr>
        <w:fldChar w:fldCharType="end"/>
      </w:r>
      <w:r w:rsidRPr="00881BC8">
        <w:rPr>
          <w:noProof/>
          <w:lang w:val="en-GB"/>
        </w:rPr>
        <w:t>)</w:t>
      </w:r>
      <w:r w:rsidR="00591BBF" w:rsidRPr="00881BC8">
        <w:rPr>
          <w:noProof/>
          <w:lang w:val="en-GB"/>
        </w:rPr>
        <w:t>.</w:t>
      </w:r>
    </w:p>
    <w:p w14:paraId="27AA8C1C" w14:textId="72814527" w:rsidR="00A74EE1" w:rsidRPr="00881BC8" w:rsidRDefault="00A74EE1" w:rsidP="004835F8">
      <w:pPr>
        <w:pStyle w:val="Text2"/>
        <w:numPr>
          <w:ilvl w:val="0"/>
          <w:numId w:val="13"/>
        </w:numPr>
        <w:rPr>
          <w:noProof/>
        </w:rPr>
      </w:pPr>
      <w:r w:rsidRPr="00881BC8">
        <w:rPr>
          <w:noProof/>
        </w:rPr>
        <w:t>PO2a (adjusting EUR</w:t>
      </w:r>
      <w:r w:rsidR="00B57523" w:rsidRPr="00881BC8">
        <w:rPr>
          <w:noProof/>
        </w:rPr>
        <w:t> </w:t>
      </w:r>
      <w:r w:rsidRPr="00881BC8">
        <w:rPr>
          <w:noProof/>
        </w:rPr>
        <w:t xml:space="preserve">40 flat fee to inflation): Adapting the flat fee to inflation (based on Eurostat HICP comparing 2022 to 2011) would lead to a new flat fee of 50 euros. The total benefit to the additional 5% of companies receiving the flat fee would </w:t>
      </w:r>
      <w:r w:rsidR="00B57523" w:rsidRPr="00881BC8">
        <w:rPr>
          <w:noProof/>
        </w:rPr>
        <w:t>equal</w:t>
      </w:r>
      <w:r w:rsidRPr="00881BC8">
        <w:rPr>
          <w:noProof/>
        </w:rPr>
        <w:t xml:space="preserve"> EUR</w:t>
      </w:r>
      <w:r w:rsidR="00B57523" w:rsidRPr="00881BC8">
        <w:rPr>
          <w:noProof/>
        </w:rPr>
        <w:t> </w:t>
      </w:r>
      <w:r w:rsidRPr="00881BC8">
        <w:rPr>
          <w:noProof/>
        </w:rPr>
        <w:t>3.75 billion. Those companies that already ask for the compensation fees currently would still obtain the EUR</w:t>
      </w:r>
      <w:r w:rsidR="00B57523" w:rsidRPr="00881BC8">
        <w:rPr>
          <w:noProof/>
        </w:rPr>
        <w:t> </w:t>
      </w:r>
      <w:r w:rsidRPr="00881BC8">
        <w:rPr>
          <w:noProof/>
        </w:rPr>
        <w:t>10 extra per late invoice.</w:t>
      </w:r>
    </w:p>
    <w:p w14:paraId="54CDE8C2" w14:textId="0C8E14A1" w:rsidR="00A74EE1" w:rsidRPr="00881BC8" w:rsidRDefault="00A74EE1" w:rsidP="004835F8">
      <w:pPr>
        <w:pStyle w:val="Text2"/>
        <w:numPr>
          <w:ilvl w:val="0"/>
          <w:numId w:val="13"/>
        </w:numPr>
        <w:rPr>
          <w:noProof/>
        </w:rPr>
      </w:pPr>
      <w:r w:rsidRPr="00881BC8">
        <w:rPr>
          <w:noProof/>
        </w:rPr>
        <w:t>PO2b (EUR</w:t>
      </w:r>
      <w:r w:rsidR="00B57523" w:rsidRPr="00881BC8">
        <w:rPr>
          <w:noProof/>
        </w:rPr>
        <w:t> </w:t>
      </w:r>
      <w:r w:rsidRPr="00881BC8">
        <w:rPr>
          <w:noProof/>
        </w:rPr>
        <w:t>40-100 depending on invoice volume): Total benefit to the additional 5% of companies receiving the compensation fee of EUR 3 billion – 7.5 billion, depending on volume of invoices. The companies who already claim compensation fees currently would still benefit from the increase depending on invoice volume.</w:t>
      </w:r>
    </w:p>
    <w:p w14:paraId="7A674B77" w14:textId="73EEB711" w:rsidR="00A74EE1" w:rsidRPr="00881BC8" w:rsidRDefault="00A74EE1" w:rsidP="004835F8">
      <w:pPr>
        <w:pStyle w:val="NormalPara"/>
        <w:rPr>
          <w:noProof/>
          <w:lang w:val="en-GB"/>
        </w:rPr>
      </w:pPr>
      <w:r w:rsidRPr="00881BC8">
        <w:rPr>
          <w:noProof/>
          <w:lang w:val="en-GB"/>
        </w:rPr>
        <w:t xml:space="preserve">These benefits would be a direct cost for the debtors who pay the interest and compensation fees. Many debtors would therefore try to avoid paying the interest and compensation fees by reducing their payment times. As a negative effect, in those countries which currently do not impose a maximum payment term, debtors might purposely negotiate particularly long payment terms in order to minimise chances of paying late. This would reduce </w:t>
      </w:r>
      <w:r w:rsidR="00303DFA" w:rsidRPr="00881BC8">
        <w:rPr>
          <w:noProof/>
          <w:lang w:val="en-GB"/>
        </w:rPr>
        <w:t>‘</w:t>
      </w:r>
      <w:r w:rsidRPr="00881BC8">
        <w:rPr>
          <w:noProof/>
          <w:lang w:val="en-GB"/>
        </w:rPr>
        <w:t>late</w:t>
      </w:r>
      <w:r w:rsidR="00303DFA" w:rsidRPr="00881BC8">
        <w:rPr>
          <w:noProof/>
          <w:lang w:val="en-GB"/>
        </w:rPr>
        <w:t>’</w:t>
      </w:r>
      <w:r w:rsidRPr="00881BC8">
        <w:rPr>
          <w:noProof/>
          <w:lang w:val="en-GB"/>
        </w:rPr>
        <w:t xml:space="preserve"> payments as such, but at the cost of introducing unfairly long payment terms.</w:t>
      </w:r>
    </w:p>
    <w:p w14:paraId="67C71122" w14:textId="29DA1964" w:rsidR="00A74EE1" w:rsidRPr="00881BC8" w:rsidRDefault="00A74EE1" w:rsidP="004835F8">
      <w:pPr>
        <w:pStyle w:val="NormalPara"/>
        <w:rPr>
          <w:noProof/>
          <w:lang w:val="en-GB"/>
        </w:rPr>
      </w:pPr>
      <w:r w:rsidRPr="00881BC8">
        <w:rPr>
          <w:noProof/>
          <w:lang w:val="en-GB"/>
        </w:rPr>
        <w:t xml:space="preserve">However, the benefit to businesses is clearer when looking at </w:t>
      </w:r>
      <w:r w:rsidR="000323E2" w:rsidRPr="00881BC8">
        <w:rPr>
          <w:noProof/>
          <w:lang w:val="en-GB"/>
        </w:rPr>
        <w:t>G2B</w:t>
      </w:r>
      <w:r w:rsidRPr="00881BC8">
        <w:rPr>
          <w:noProof/>
          <w:lang w:val="en-GB"/>
        </w:rPr>
        <w:t xml:space="preserve"> payments. These already have maximum payment terms under the LPD. Governments </w:t>
      </w:r>
      <w:r w:rsidR="000323E2" w:rsidRPr="00881BC8">
        <w:rPr>
          <w:noProof/>
          <w:lang w:val="en-GB"/>
        </w:rPr>
        <w:t>are</w:t>
      </w:r>
      <w:r w:rsidRPr="00881BC8">
        <w:rPr>
          <w:noProof/>
          <w:lang w:val="en-GB"/>
        </w:rPr>
        <w:t xml:space="preserve"> therefore more likely to pay </w:t>
      </w:r>
      <w:r w:rsidR="00135367" w:rsidRPr="00881BC8">
        <w:rPr>
          <w:noProof/>
          <w:lang w:val="en-GB"/>
        </w:rPr>
        <w:t>o</w:t>
      </w:r>
      <w:r w:rsidRPr="00881BC8">
        <w:rPr>
          <w:noProof/>
          <w:lang w:val="en-GB"/>
        </w:rPr>
        <w:t xml:space="preserve">n time </w:t>
      </w:r>
      <w:r w:rsidR="00135367" w:rsidRPr="00881BC8">
        <w:rPr>
          <w:noProof/>
          <w:lang w:val="en-GB"/>
        </w:rPr>
        <w:t>and</w:t>
      </w:r>
      <w:r w:rsidRPr="00881BC8">
        <w:rPr>
          <w:noProof/>
          <w:lang w:val="en-GB"/>
        </w:rPr>
        <w:t xml:space="preserve"> avoid </w:t>
      </w:r>
      <w:r w:rsidR="00135367" w:rsidRPr="00881BC8">
        <w:rPr>
          <w:noProof/>
          <w:lang w:val="en-GB"/>
        </w:rPr>
        <w:t>compensation (</w:t>
      </w:r>
      <w:r w:rsidRPr="00881BC8">
        <w:rPr>
          <w:noProof/>
          <w:lang w:val="en-GB"/>
        </w:rPr>
        <w:t>interest and fees</w:t>
      </w:r>
      <w:r w:rsidR="00135367" w:rsidRPr="00881BC8">
        <w:rPr>
          <w:noProof/>
          <w:lang w:val="en-GB"/>
        </w:rPr>
        <w:t>)</w:t>
      </w:r>
      <w:r w:rsidRPr="00881BC8">
        <w:rPr>
          <w:noProof/>
          <w:lang w:val="en-GB"/>
        </w:rPr>
        <w:t xml:space="preserve">, similar to the effects after </w:t>
      </w:r>
      <w:r w:rsidR="00135367" w:rsidRPr="00881BC8">
        <w:rPr>
          <w:noProof/>
          <w:lang w:val="en-GB"/>
        </w:rPr>
        <w:t>the LPD’s</w:t>
      </w:r>
      <w:r w:rsidRPr="00881BC8">
        <w:rPr>
          <w:noProof/>
          <w:lang w:val="en-GB"/>
        </w:rPr>
        <w:t xml:space="preserve"> entry into force. </w:t>
      </w:r>
      <w:r w:rsidR="004E546A" w:rsidRPr="00881BC8">
        <w:rPr>
          <w:noProof/>
          <w:lang w:val="en-GB"/>
        </w:rPr>
        <w:t>P</w:t>
      </w:r>
      <w:r w:rsidRPr="00881BC8">
        <w:rPr>
          <w:noProof/>
          <w:lang w:val="en-GB"/>
        </w:rPr>
        <w:t xml:space="preserve">ayment delays by public authorities </w:t>
      </w:r>
      <w:r w:rsidR="004E546A" w:rsidRPr="00881BC8">
        <w:rPr>
          <w:noProof/>
          <w:lang w:val="en-GB"/>
        </w:rPr>
        <w:t>went</w:t>
      </w:r>
      <w:r w:rsidRPr="00881BC8">
        <w:rPr>
          <w:noProof/>
          <w:lang w:val="en-GB"/>
        </w:rPr>
        <w:t xml:space="preserve"> down from 27.8 days </w:t>
      </w:r>
      <w:r w:rsidR="004E546A" w:rsidRPr="00881BC8">
        <w:rPr>
          <w:noProof/>
          <w:lang w:val="en-GB"/>
        </w:rPr>
        <w:t xml:space="preserve">in 2011 </w:t>
      </w:r>
      <w:r w:rsidRPr="00881BC8">
        <w:rPr>
          <w:noProof/>
          <w:lang w:val="en-GB"/>
        </w:rPr>
        <w:t xml:space="preserve">to 16.8 days in 2022, a reduction </w:t>
      </w:r>
      <w:r w:rsidR="004E546A" w:rsidRPr="00881BC8">
        <w:rPr>
          <w:noProof/>
          <w:lang w:val="en-GB"/>
        </w:rPr>
        <w:t>of</w:t>
      </w:r>
      <w:r w:rsidRPr="00881BC8">
        <w:rPr>
          <w:noProof/>
          <w:lang w:val="en-GB"/>
        </w:rPr>
        <w:t xml:space="preserve"> 40% (which includes the </w:t>
      </w:r>
      <w:r w:rsidR="004E546A" w:rsidRPr="00881BC8">
        <w:rPr>
          <w:noProof/>
          <w:lang w:val="en-GB"/>
        </w:rPr>
        <w:t>spike in</w:t>
      </w:r>
      <w:r w:rsidRPr="00881BC8">
        <w:rPr>
          <w:noProof/>
          <w:lang w:val="en-GB"/>
        </w:rPr>
        <w:t xml:space="preserve"> payment delay</w:t>
      </w:r>
      <w:r w:rsidR="00857F1E" w:rsidRPr="00881BC8">
        <w:rPr>
          <w:noProof/>
          <w:lang w:val="en-GB"/>
        </w:rPr>
        <w:t>s</w:t>
      </w:r>
      <w:r w:rsidRPr="00881BC8">
        <w:rPr>
          <w:noProof/>
          <w:lang w:val="en-GB"/>
        </w:rPr>
        <w:t xml:space="preserve"> in recent years)</w:t>
      </w:r>
      <w:r w:rsidRPr="00881BC8">
        <w:rPr>
          <w:rStyle w:val="FootnoteReference"/>
          <w:noProof/>
          <w:lang w:val="en-GB"/>
        </w:rPr>
        <w:footnoteReference w:id="111"/>
      </w:r>
      <w:r w:rsidRPr="00881BC8">
        <w:rPr>
          <w:noProof/>
          <w:lang w:val="en-GB"/>
        </w:rPr>
        <w:t xml:space="preserve">. Assuming a similar effect from automatic interest rates and increased compensation fees, a further 40% reduction to 10.1 days is </w:t>
      </w:r>
      <w:r w:rsidR="00857F1E" w:rsidRPr="00881BC8">
        <w:rPr>
          <w:noProof/>
          <w:lang w:val="en-GB"/>
        </w:rPr>
        <w:t>possible</w:t>
      </w:r>
      <w:r w:rsidRPr="00881BC8">
        <w:rPr>
          <w:noProof/>
          <w:lang w:val="en-GB"/>
        </w:rPr>
        <w:t>.</w:t>
      </w:r>
    </w:p>
    <w:p w14:paraId="5AE93DC3" w14:textId="619B9507" w:rsidR="00A74EE1" w:rsidRPr="00881BC8" w:rsidRDefault="00A74EE1" w:rsidP="004835F8">
      <w:pPr>
        <w:pStyle w:val="NormalPara"/>
        <w:rPr>
          <w:noProof/>
          <w:lang w:val="en-GB"/>
        </w:rPr>
      </w:pPr>
      <w:r w:rsidRPr="00881BC8">
        <w:rPr>
          <w:noProof/>
          <w:lang w:val="en-GB"/>
        </w:rPr>
        <w:t xml:space="preserve">The main benefit of this policy option, in the absence of a cap on payment terms, would therefore be a reduction in late payments by public authorities. In B2B payments, late payments are also likely to </w:t>
      </w:r>
      <w:r w:rsidR="00A272CA" w:rsidRPr="00881BC8">
        <w:rPr>
          <w:noProof/>
          <w:lang w:val="en-GB"/>
        </w:rPr>
        <w:t>go down</w:t>
      </w:r>
      <w:r w:rsidRPr="00881BC8">
        <w:rPr>
          <w:noProof/>
          <w:lang w:val="en-GB"/>
        </w:rPr>
        <w:t xml:space="preserve">, but the risk of companies negotiating unfairly long payment terms </w:t>
      </w:r>
      <w:r w:rsidR="00A272CA" w:rsidRPr="00881BC8">
        <w:rPr>
          <w:noProof/>
          <w:lang w:val="en-GB"/>
        </w:rPr>
        <w:t xml:space="preserve">is likely to limit </w:t>
      </w:r>
      <w:r w:rsidRPr="00881BC8">
        <w:rPr>
          <w:noProof/>
          <w:lang w:val="en-GB"/>
        </w:rPr>
        <w:t>the effect on actual payment times.</w:t>
      </w:r>
    </w:p>
    <w:p w14:paraId="40F337B5" w14:textId="78234E5D" w:rsidR="00A74EE1" w:rsidRPr="00881BC8" w:rsidRDefault="00B661B4" w:rsidP="004835F8">
      <w:pPr>
        <w:pStyle w:val="NormalPara"/>
        <w:rPr>
          <w:noProof/>
          <w:lang w:val="en-GB"/>
        </w:rPr>
      </w:pPr>
      <w:r w:rsidRPr="00881BC8">
        <w:rPr>
          <w:noProof/>
          <w:lang w:val="en-GB"/>
        </w:rPr>
        <w:t xml:space="preserve">The </w:t>
      </w:r>
      <w:r w:rsidR="00A74EE1" w:rsidRPr="00881BC8">
        <w:rPr>
          <w:noProof/>
          <w:lang w:val="en-GB"/>
        </w:rPr>
        <w:t>SME panel</w:t>
      </w:r>
      <w:r w:rsidRPr="00881BC8">
        <w:rPr>
          <w:noProof/>
          <w:lang w:val="en-GB"/>
        </w:rPr>
        <w:t xml:space="preserve"> reveals that in 80% of cases</w:t>
      </w:r>
      <w:r w:rsidR="00A74EE1" w:rsidRPr="00881BC8">
        <w:rPr>
          <w:noProof/>
          <w:lang w:val="en-GB"/>
        </w:rPr>
        <w:t xml:space="preserve"> interest and the compensation </w:t>
      </w:r>
      <w:r w:rsidRPr="00881BC8">
        <w:rPr>
          <w:noProof/>
          <w:lang w:val="en-GB"/>
        </w:rPr>
        <w:t xml:space="preserve">fee </w:t>
      </w:r>
      <w:r w:rsidR="00120809" w:rsidRPr="00881BC8">
        <w:rPr>
          <w:noProof/>
          <w:lang w:val="en-GB"/>
        </w:rPr>
        <w:t>are</w:t>
      </w:r>
      <w:r w:rsidR="00A74EE1" w:rsidRPr="00881BC8">
        <w:rPr>
          <w:noProof/>
          <w:lang w:val="en-GB"/>
        </w:rPr>
        <w:t xml:space="preserve"> never automatically paid and </w:t>
      </w:r>
      <w:r w:rsidR="00120809" w:rsidRPr="00881BC8">
        <w:rPr>
          <w:noProof/>
          <w:lang w:val="en-GB"/>
        </w:rPr>
        <w:t xml:space="preserve">they are </w:t>
      </w:r>
      <w:r w:rsidR="00A74EE1" w:rsidRPr="00881BC8">
        <w:rPr>
          <w:noProof/>
          <w:lang w:val="en-GB"/>
        </w:rPr>
        <w:t xml:space="preserve">rarely </w:t>
      </w:r>
      <w:r w:rsidR="00DC097A" w:rsidRPr="00881BC8">
        <w:rPr>
          <w:noProof/>
          <w:lang w:val="en-GB"/>
        </w:rPr>
        <w:t xml:space="preserve">paid </w:t>
      </w:r>
      <w:r w:rsidR="00A74EE1" w:rsidRPr="00881BC8">
        <w:rPr>
          <w:noProof/>
          <w:lang w:val="en-GB"/>
        </w:rPr>
        <w:t>in 8% of cases. 15% of medium-sized companies replied that they rarely receive interest and compensation compared to 8% for SME</w:t>
      </w:r>
      <w:r w:rsidR="00120809" w:rsidRPr="00881BC8">
        <w:rPr>
          <w:noProof/>
          <w:lang w:val="en-GB"/>
        </w:rPr>
        <w:t>s</w:t>
      </w:r>
      <w:r w:rsidR="00A74EE1" w:rsidRPr="00881BC8">
        <w:rPr>
          <w:noProof/>
          <w:lang w:val="en-GB"/>
        </w:rPr>
        <w:t xml:space="preserve"> </w:t>
      </w:r>
      <w:r w:rsidR="00A06DEA" w:rsidRPr="00881BC8">
        <w:rPr>
          <w:noProof/>
          <w:lang w:val="en-GB"/>
        </w:rPr>
        <w:t xml:space="preserve">on </w:t>
      </w:r>
      <w:r w:rsidR="00A74EE1" w:rsidRPr="00881BC8">
        <w:rPr>
          <w:noProof/>
          <w:lang w:val="en-GB"/>
        </w:rPr>
        <w:t xml:space="preserve">average. </w:t>
      </w:r>
    </w:p>
    <w:p w14:paraId="4DACFABD" w14:textId="4FB53A89" w:rsidR="00A74EE1" w:rsidRPr="00881BC8" w:rsidRDefault="00A74EE1" w:rsidP="004835F8">
      <w:pPr>
        <w:pStyle w:val="NormalPara"/>
        <w:rPr>
          <w:noProof/>
          <w:lang w:val="en-GB"/>
        </w:rPr>
      </w:pPr>
      <w:r w:rsidRPr="00881BC8">
        <w:rPr>
          <w:noProof/>
          <w:lang w:val="en-GB"/>
        </w:rPr>
        <w:t>In the SME panel, 77% of SMEs support banning practices and clauses that oblige creditors to waive their rights to late payment interest and compensation in exchange for immediate payment. This action is most supported by micros (80%)</w:t>
      </w:r>
      <w:r w:rsidR="005210D0" w:rsidRPr="00881BC8">
        <w:rPr>
          <w:noProof/>
          <w:lang w:val="en-GB"/>
        </w:rPr>
        <w:t>.</w:t>
      </w:r>
    </w:p>
    <w:p w14:paraId="001BF24A" w14:textId="5E6C85DD" w:rsidR="00A74EE1" w:rsidRPr="00881BC8" w:rsidRDefault="00A74EE1" w:rsidP="004835F8">
      <w:pPr>
        <w:pStyle w:val="NormalPara"/>
        <w:rPr>
          <w:noProof/>
          <w:lang w:val="en-GB"/>
        </w:rPr>
      </w:pPr>
      <w:r w:rsidRPr="00881BC8">
        <w:rPr>
          <w:noProof/>
          <w:lang w:val="en-GB"/>
        </w:rPr>
        <w:t xml:space="preserve">Debtors are likely to </w:t>
      </w:r>
      <w:r w:rsidR="00FB3D7F" w:rsidRPr="00881BC8">
        <w:rPr>
          <w:noProof/>
          <w:lang w:val="en-GB"/>
        </w:rPr>
        <w:t>try to avoid</w:t>
      </w:r>
      <w:r w:rsidRPr="00881BC8">
        <w:rPr>
          <w:noProof/>
          <w:lang w:val="en-GB"/>
        </w:rPr>
        <w:t xml:space="preserve"> paying </w:t>
      </w:r>
      <w:r w:rsidR="00FB3D7F" w:rsidRPr="00881BC8">
        <w:rPr>
          <w:noProof/>
          <w:lang w:val="en-GB"/>
        </w:rPr>
        <w:t>compensation in other ways too</w:t>
      </w:r>
      <w:r w:rsidRPr="00881BC8">
        <w:rPr>
          <w:noProof/>
          <w:lang w:val="en-GB"/>
        </w:rPr>
        <w:t xml:space="preserve">, e.g. by refusing to pay or threatening the business relationship. Particularly smaller players will find it difficult to enforce their claims by themselves. Enforcement of the correct application of interest and compensation fees </w:t>
      </w:r>
      <w:r w:rsidR="00DA1B86" w:rsidRPr="00881BC8">
        <w:rPr>
          <w:noProof/>
          <w:lang w:val="en-GB"/>
        </w:rPr>
        <w:t xml:space="preserve">needs </w:t>
      </w:r>
      <w:r w:rsidRPr="00881BC8">
        <w:rPr>
          <w:noProof/>
          <w:lang w:val="en-GB"/>
        </w:rPr>
        <w:t xml:space="preserve">to be done centrally by the Member States. Hence, this policy option </w:t>
      </w:r>
      <w:r w:rsidR="00DA1B86" w:rsidRPr="00881BC8">
        <w:rPr>
          <w:noProof/>
          <w:lang w:val="en-GB"/>
        </w:rPr>
        <w:t xml:space="preserve">puts forward </w:t>
      </w:r>
      <w:r w:rsidRPr="00881BC8">
        <w:rPr>
          <w:noProof/>
          <w:lang w:val="en-GB"/>
        </w:rPr>
        <w:t>enforcement bodies by Member States.</w:t>
      </w:r>
    </w:p>
    <w:p w14:paraId="4B2ABB40" w14:textId="167EF21F" w:rsidR="00A74EE1" w:rsidRPr="00881BC8" w:rsidRDefault="00A74EE1" w:rsidP="004835F8">
      <w:pPr>
        <w:pStyle w:val="NormalPara"/>
        <w:rPr>
          <w:noProof/>
          <w:lang w:val="en-GB"/>
        </w:rPr>
      </w:pPr>
      <w:r w:rsidRPr="00881BC8">
        <w:rPr>
          <w:noProof/>
          <w:lang w:val="en-GB"/>
        </w:rPr>
        <w:t xml:space="preserve">Most stakeholders (see Annex 2) are positive towards </w:t>
      </w:r>
      <w:r w:rsidR="00AC7A4E" w:rsidRPr="00881BC8">
        <w:rPr>
          <w:noProof/>
          <w:lang w:val="en-GB"/>
        </w:rPr>
        <w:t xml:space="preserve">setting up </w:t>
      </w:r>
      <w:r w:rsidRPr="00881BC8">
        <w:rPr>
          <w:noProof/>
          <w:lang w:val="en-GB"/>
        </w:rPr>
        <w:t>enforcement bodies. There is no significant difference between enforcement bodies with sanctions power (PO2a) and those without (PO2b) (47% vs. 50%),</w:t>
      </w:r>
      <w:r w:rsidR="00AC7A4E" w:rsidRPr="00881BC8">
        <w:rPr>
          <w:noProof/>
          <w:lang w:val="en-GB"/>
        </w:rPr>
        <w:t xml:space="preserve"> T</w:t>
      </w:r>
      <w:r w:rsidRPr="00881BC8">
        <w:rPr>
          <w:noProof/>
          <w:lang w:val="en-GB"/>
        </w:rPr>
        <w:t xml:space="preserve">he share of negative responses </w:t>
      </w:r>
      <w:r w:rsidR="00AC7A4E" w:rsidRPr="00881BC8">
        <w:rPr>
          <w:noProof/>
          <w:lang w:val="en-GB"/>
        </w:rPr>
        <w:t xml:space="preserve">is </w:t>
      </w:r>
      <w:r w:rsidRPr="00881BC8">
        <w:rPr>
          <w:noProof/>
          <w:lang w:val="en-GB"/>
        </w:rPr>
        <w:t>similar for both (18%), which suggests that the minority opposition mainly comes from the cost to designating an enforcement body in the first place.</w:t>
      </w:r>
      <w:r w:rsidR="009338B4">
        <w:rPr>
          <w:noProof/>
          <w:lang w:val="en-GB"/>
        </w:rPr>
        <w:t xml:space="preserve"> The negative responses mainly come from business associations and public authorities, with few negative responses from companies themselves.</w:t>
      </w:r>
    </w:p>
    <w:p w14:paraId="415E7333" w14:textId="77777777" w:rsidR="00A74EE1" w:rsidRPr="00881BC8" w:rsidRDefault="00A74EE1" w:rsidP="004835F8">
      <w:pPr>
        <w:pStyle w:val="NormalPara"/>
        <w:rPr>
          <w:noProof/>
          <w:lang w:val="en-GB"/>
        </w:rPr>
      </w:pPr>
      <w:r w:rsidRPr="00881BC8">
        <w:rPr>
          <w:noProof/>
          <w:lang w:val="en-GB"/>
        </w:rPr>
        <w:t>In the SME Panel, businesses were even more supportive of enforcement bodies. 84% of SMEs found this useful or very useful. For this action, no significant difference is found by size of companies or by size of debtor that mostly pay late.</w:t>
      </w:r>
    </w:p>
    <w:p w14:paraId="5F76316F" w14:textId="600E1FBC" w:rsidR="00A74EE1" w:rsidRPr="00881BC8" w:rsidRDefault="00A74EE1" w:rsidP="004835F8">
      <w:pPr>
        <w:pStyle w:val="Text2"/>
        <w:numPr>
          <w:ilvl w:val="0"/>
          <w:numId w:val="14"/>
        </w:numPr>
        <w:rPr>
          <w:noProof/>
          <w:color w:val="000000" w:themeColor="text1"/>
          <w:lang w:eastAsia="en-GB"/>
        </w:rPr>
      </w:pPr>
      <w:r w:rsidRPr="00881BC8">
        <w:rPr>
          <w:noProof/>
        </w:rPr>
        <w:t xml:space="preserve">PO2a (enforcement bodies </w:t>
      </w:r>
      <w:r w:rsidRPr="00881BC8">
        <w:rPr>
          <w:noProof/>
          <w:color w:val="000000" w:themeColor="text1"/>
          <w:lang w:eastAsia="en-GB"/>
        </w:rPr>
        <w:t>empowered to issue administrative sanctions and publish the name of offenders): Such bodies would have the power to impose fines and sanctions on non-complying firms. In practice, fines would usually follow warnings, but warnings by an enforcement body will be more effective when accompanied by the threat of a fine. While it is hard to estimate to what precise reduction in late payments an enforcement body such as this can lead, the</w:t>
      </w:r>
      <w:r w:rsidR="00F2372C" w:rsidRPr="00881BC8">
        <w:rPr>
          <w:noProof/>
          <w:color w:val="000000" w:themeColor="text1"/>
          <w:lang w:eastAsia="en-GB"/>
        </w:rPr>
        <w:t>re is an</w:t>
      </w:r>
      <w:r w:rsidRPr="00881BC8">
        <w:rPr>
          <w:noProof/>
          <w:color w:val="000000" w:themeColor="text1"/>
          <w:lang w:eastAsia="en-GB"/>
        </w:rPr>
        <w:t xml:space="preserve"> </w:t>
      </w:r>
      <w:r w:rsidR="00F2372C" w:rsidRPr="00881BC8">
        <w:rPr>
          <w:noProof/>
          <w:color w:val="000000" w:themeColor="text1"/>
          <w:lang w:eastAsia="en-GB"/>
        </w:rPr>
        <w:t xml:space="preserve">illustrative </w:t>
      </w:r>
      <w:r w:rsidRPr="00881BC8">
        <w:rPr>
          <w:noProof/>
          <w:color w:val="000000" w:themeColor="text1"/>
          <w:lang w:eastAsia="en-GB"/>
        </w:rPr>
        <w:t xml:space="preserve">example </w:t>
      </w:r>
      <w:r w:rsidR="00F2372C" w:rsidRPr="00881BC8">
        <w:rPr>
          <w:noProof/>
          <w:color w:val="000000" w:themeColor="text1"/>
          <w:lang w:eastAsia="en-GB"/>
        </w:rPr>
        <w:t>from</w:t>
      </w:r>
      <w:r w:rsidRPr="00881BC8">
        <w:rPr>
          <w:noProof/>
          <w:color w:val="000000" w:themeColor="text1"/>
          <w:lang w:eastAsia="en-GB"/>
        </w:rPr>
        <w:t xml:space="preserve"> France. </w:t>
      </w:r>
      <w:r w:rsidR="00645691" w:rsidRPr="00881BC8">
        <w:rPr>
          <w:noProof/>
          <w:color w:val="000000" w:themeColor="text1"/>
          <w:lang w:eastAsia="en-GB"/>
        </w:rPr>
        <w:t>It is</w:t>
      </w:r>
      <w:r w:rsidRPr="00881BC8">
        <w:rPr>
          <w:noProof/>
          <w:color w:val="000000" w:themeColor="text1"/>
          <w:lang w:eastAsia="en-GB"/>
        </w:rPr>
        <w:t xml:space="preserve"> estimated that, since </w:t>
      </w:r>
      <w:r w:rsidR="00F2372C" w:rsidRPr="00881BC8">
        <w:rPr>
          <w:noProof/>
          <w:color w:val="000000" w:themeColor="text1"/>
          <w:lang w:eastAsia="en-GB"/>
        </w:rPr>
        <w:t xml:space="preserve">the </w:t>
      </w:r>
      <w:r w:rsidRPr="00881BC8">
        <w:rPr>
          <w:noProof/>
          <w:color w:val="000000" w:themeColor="text1"/>
          <w:lang w:eastAsia="en-GB"/>
        </w:rPr>
        <w:t>introduction of the enforcement body</w:t>
      </w:r>
      <w:r w:rsidR="00645691" w:rsidRPr="00881BC8">
        <w:rPr>
          <w:noProof/>
          <w:color w:val="000000" w:themeColor="text1"/>
          <w:lang w:eastAsia="en-GB"/>
        </w:rPr>
        <w:t xml:space="preserve"> in France</w:t>
      </w:r>
      <w:r w:rsidRPr="00881BC8">
        <w:rPr>
          <w:noProof/>
          <w:color w:val="000000" w:themeColor="text1"/>
          <w:lang w:eastAsia="en-GB"/>
        </w:rPr>
        <w:t>, average payment delays have gone down from 13.6 days to 11.2 days</w:t>
      </w:r>
      <w:r w:rsidRPr="00881BC8">
        <w:rPr>
          <w:noProof/>
          <w:color w:val="000000" w:themeColor="text1"/>
          <w:vertAlign w:val="superscript"/>
          <w:lang w:eastAsia="en-GB"/>
        </w:rPr>
        <w:footnoteReference w:id="112"/>
      </w:r>
      <w:r w:rsidRPr="00881BC8">
        <w:rPr>
          <w:noProof/>
          <w:color w:val="000000" w:themeColor="text1"/>
          <w:lang w:eastAsia="en-GB"/>
        </w:rPr>
        <w:t>, i.e. a reduction of 17.8%. While a clear causality is difficult to prove, it provides some estimates as to the effects of stronger enforcement.</w:t>
      </w:r>
    </w:p>
    <w:p w14:paraId="54535B38" w14:textId="58DDAB1D" w:rsidR="00A74EE1" w:rsidRPr="00881BC8" w:rsidRDefault="00A74EE1" w:rsidP="004835F8">
      <w:pPr>
        <w:pStyle w:val="Text2"/>
        <w:numPr>
          <w:ilvl w:val="0"/>
          <w:numId w:val="14"/>
        </w:numPr>
        <w:rPr>
          <w:noProof/>
        </w:rPr>
      </w:pPr>
      <w:r w:rsidRPr="00881BC8">
        <w:rPr>
          <w:noProof/>
        </w:rPr>
        <w:t xml:space="preserve">PO2b (enforcement bodies responsible for monitoring implementation): Enforcement bodies could be implemented without sanctioning powers. This would save costs for public </w:t>
      </w:r>
      <w:r w:rsidR="00A951E8" w:rsidRPr="00881BC8">
        <w:rPr>
          <w:noProof/>
        </w:rPr>
        <w:t>authorities but</w:t>
      </w:r>
      <w:r w:rsidRPr="00881BC8">
        <w:rPr>
          <w:noProof/>
        </w:rPr>
        <w:t xml:space="preserve"> </w:t>
      </w:r>
      <w:r w:rsidR="00A951E8" w:rsidRPr="00881BC8">
        <w:rPr>
          <w:noProof/>
        </w:rPr>
        <w:t>would</w:t>
      </w:r>
      <w:r w:rsidRPr="00881BC8">
        <w:rPr>
          <w:noProof/>
        </w:rPr>
        <w:t xml:space="preserve"> reduce benefits for businesses that are paid late </w:t>
      </w:r>
      <w:r w:rsidR="00A951E8" w:rsidRPr="00881BC8">
        <w:rPr>
          <w:noProof/>
        </w:rPr>
        <w:t>because</w:t>
      </w:r>
      <w:r w:rsidRPr="00881BC8">
        <w:rPr>
          <w:noProof/>
        </w:rPr>
        <w:t xml:space="preserve"> the deterrent effect </w:t>
      </w:r>
      <w:r w:rsidR="00A951E8" w:rsidRPr="00881BC8">
        <w:rPr>
          <w:noProof/>
        </w:rPr>
        <w:t xml:space="preserve">would be </w:t>
      </w:r>
      <w:r w:rsidRPr="00881BC8">
        <w:rPr>
          <w:noProof/>
        </w:rPr>
        <w:t>much lower here than in PO2a.</w:t>
      </w:r>
    </w:p>
    <w:p w14:paraId="1CDF62C4" w14:textId="21BA23C5" w:rsidR="00A74EE1" w:rsidRPr="00881BC8" w:rsidRDefault="00A74EE1" w:rsidP="004835F8">
      <w:pPr>
        <w:pStyle w:val="NormalPara"/>
        <w:rPr>
          <w:noProof/>
          <w:lang w:val="en-GB"/>
        </w:rPr>
      </w:pPr>
      <w:r w:rsidRPr="00881BC8">
        <w:rPr>
          <w:noProof/>
          <w:lang w:val="en-GB"/>
        </w:rPr>
        <w:t xml:space="preserve">In addition, </w:t>
      </w:r>
      <w:r w:rsidR="00F437F2" w:rsidRPr="00881BC8">
        <w:rPr>
          <w:noProof/>
          <w:lang w:val="en-GB"/>
        </w:rPr>
        <w:t xml:space="preserve">PO2 </w:t>
      </w:r>
      <w:r w:rsidRPr="00881BC8">
        <w:rPr>
          <w:noProof/>
          <w:lang w:val="en-GB"/>
        </w:rPr>
        <w:t xml:space="preserve">focuses on public authorities setting good examples in payment behaviour, by ensuring that subcontractors in public tenders are paid promptly (which 57% of </w:t>
      </w:r>
      <w:r w:rsidR="006C5500" w:rsidRPr="00881BC8">
        <w:rPr>
          <w:noProof/>
          <w:lang w:val="en-GB"/>
        </w:rPr>
        <w:t>respondents</w:t>
      </w:r>
      <w:r w:rsidRPr="00881BC8">
        <w:rPr>
          <w:noProof/>
          <w:lang w:val="en-GB"/>
        </w:rPr>
        <w:t>, including business associations and direct responses from businesses, supported in the PC). This could bring benefits to businesses in public procurement procedures and make it more attractive for SMEs to participate in public tenders. Precise estimates are difficult to quantify, but the example of the UK shows that this policy led to an unblocking of GB</w:t>
      </w:r>
      <w:r w:rsidR="006C5500" w:rsidRPr="00881BC8">
        <w:rPr>
          <w:noProof/>
          <w:lang w:val="en-GB"/>
        </w:rPr>
        <w:t> </w:t>
      </w:r>
      <w:r w:rsidRPr="00881BC8">
        <w:rPr>
          <w:noProof/>
          <w:lang w:val="en-GB"/>
        </w:rPr>
        <w:t>7.5 million over three years</w:t>
      </w:r>
      <w:r w:rsidRPr="00881BC8">
        <w:rPr>
          <w:rStyle w:val="FootnoteReference"/>
          <w:noProof/>
          <w:lang w:val="en-GB"/>
        </w:rPr>
        <w:footnoteReference w:id="113"/>
      </w:r>
      <w:r w:rsidRPr="00881BC8">
        <w:rPr>
          <w:noProof/>
          <w:lang w:val="en-GB"/>
        </w:rPr>
        <w:t>. Converting this to euros and extrapolating to the EU-27, this could lead to unblocked payments of EUR 31 million per year.</w:t>
      </w:r>
    </w:p>
    <w:p w14:paraId="40DCB080" w14:textId="30A1D64C" w:rsidR="00A74EE1" w:rsidRPr="00881BC8" w:rsidRDefault="00A74EE1" w:rsidP="004835F8">
      <w:pPr>
        <w:pStyle w:val="NormalPara"/>
        <w:rPr>
          <w:noProof/>
          <w:lang w:val="en-GB"/>
        </w:rPr>
      </w:pPr>
      <w:r w:rsidRPr="00881BC8">
        <w:rPr>
          <w:noProof/>
          <w:lang w:val="en-GB"/>
        </w:rPr>
        <w:t xml:space="preserve">This measure is focused on the construction </w:t>
      </w:r>
      <w:r w:rsidR="00162032" w:rsidRPr="00881BC8">
        <w:rPr>
          <w:noProof/>
          <w:lang w:val="en-GB"/>
        </w:rPr>
        <w:t>sector because</w:t>
      </w:r>
      <w:r w:rsidRPr="00881BC8">
        <w:rPr>
          <w:noProof/>
          <w:lang w:val="en-GB"/>
        </w:rPr>
        <w:t xml:space="preserve"> payment delay</w:t>
      </w:r>
      <w:r w:rsidR="00162032" w:rsidRPr="00881BC8">
        <w:rPr>
          <w:noProof/>
          <w:lang w:val="en-GB"/>
        </w:rPr>
        <w:t>s</w:t>
      </w:r>
      <w:r w:rsidRPr="00881BC8">
        <w:rPr>
          <w:noProof/>
          <w:lang w:val="en-GB"/>
        </w:rPr>
        <w:t xml:space="preserve"> in the construction industry </w:t>
      </w:r>
      <w:r w:rsidR="00162032" w:rsidRPr="00881BC8">
        <w:rPr>
          <w:noProof/>
          <w:lang w:val="en-GB"/>
        </w:rPr>
        <w:t xml:space="preserve">are </w:t>
      </w:r>
      <w:r w:rsidRPr="00881BC8">
        <w:rPr>
          <w:noProof/>
          <w:lang w:val="en-GB"/>
        </w:rPr>
        <w:t>systemic</w:t>
      </w:r>
      <w:r w:rsidR="00162032" w:rsidRPr="00881BC8">
        <w:rPr>
          <w:noProof/>
          <w:lang w:val="en-GB"/>
        </w:rPr>
        <w:t>,</w:t>
      </w:r>
      <w:r w:rsidRPr="00881BC8">
        <w:rPr>
          <w:noProof/>
          <w:lang w:val="en-GB"/>
        </w:rPr>
        <w:t xml:space="preserve"> largely because of the construction pyramid. The complex structure</w:t>
      </w:r>
      <w:r w:rsidR="0028070E" w:rsidRPr="00881BC8">
        <w:rPr>
          <w:noProof/>
          <w:lang w:val="en-GB"/>
        </w:rPr>
        <w:t>s</w:t>
      </w:r>
      <w:r w:rsidRPr="00881BC8">
        <w:rPr>
          <w:noProof/>
          <w:lang w:val="en-GB"/>
        </w:rPr>
        <w:t xml:space="preserve"> of contracting and subcontracting set the construction industry apart from almost all other industries. For the vast majority of projects, the prime contractor will subcontract various segments of the project to specialized trade contractors. </w:t>
      </w:r>
      <w:r w:rsidR="0060790C" w:rsidRPr="00881BC8">
        <w:rPr>
          <w:b/>
          <w:bCs/>
          <w:noProof/>
          <w:lang w:val="en-GB"/>
        </w:rPr>
        <w:t>T</w:t>
      </w:r>
      <w:r w:rsidRPr="00881BC8">
        <w:rPr>
          <w:b/>
          <w:noProof/>
          <w:lang w:val="en-GB"/>
        </w:rPr>
        <w:t>hese trade contractors often perform upwards of 80%</w:t>
      </w:r>
      <w:r w:rsidRPr="00881BC8">
        <w:rPr>
          <w:rStyle w:val="FootnoteReference"/>
          <w:b/>
          <w:noProof/>
          <w:lang w:val="en-GB"/>
        </w:rPr>
        <w:footnoteReference w:id="114"/>
      </w:r>
      <w:r w:rsidRPr="00881BC8">
        <w:rPr>
          <w:noProof/>
          <w:lang w:val="en-GB"/>
        </w:rPr>
        <w:t>, and sometimes more, of the actual work</w:t>
      </w:r>
      <w:r w:rsidR="0060790C" w:rsidRPr="00881BC8">
        <w:rPr>
          <w:noProof/>
          <w:lang w:val="en-GB"/>
        </w:rPr>
        <w:t xml:space="preserve"> on the project</w:t>
      </w:r>
      <w:r w:rsidRPr="00881BC8">
        <w:rPr>
          <w:noProof/>
          <w:lang w:val="en-GB"/>
        </w:rPr>
        <w:t>.</w:t>
      </w:r>
    </w:p>
    <w:p w14:paraId="6D6BFA49" w14:textId="4E3D29ED" w:rsidR="00A74EE1" w:rsidRPr="00881BC8" w:rsidRDefault="00A74EE1" w:rsidP="004835F8">
      <w:pPr>
        <w:pStyle w:val="NormalPara"/>
        <w:rPr>
          <w:noProof/>
          <w:lang w:val="en-GB"/>
        </w:rPr>
      </w:pPr>
      <w:r w:rsidRPr="00881BC8">
        <w:rPr>
          <w:noProof/>
          <w:lang w:val="en-GB"/>
        </w:rPr>
        <w:t xml:space="preserve">As in </w:t>
      </w:r>
      <w:r w:rsidR="0060790C" w:rsidRPr="00881BC8">
        <w:rPr>
          <w:noProof/>
          <w:lang w:val="en-GB"/>
        </w:rPr>
        <w:t>PO</w:t>
      </w:r>
      <w:r w:rsidRPr="00881BC8">
        <w:rPr>
          <w:noProof/>
          <w:lang w:val="en-GB"/>
        </w:rPr>
        <w:t xml:space="preserve">1, these measures together could lead to a sizeable reduction in </w:t>
      </w:r>
      <w:r w:rsidR="00EE17A4" w:rsidRPr="00881BC8">
        <w:rPr>
          <w:noProof/>
          <w:lang w:val="en-GB"/>
        </w:rPr>
        <w:t>enforcement</w:t>
      </w:r>
      <w:r w:rsidRPr="00881BC8">
        <w:rPr>
          <w:noProof/>
          <w:lang w:val="en-GB"/>
        </w:rPr>
        <w:t xml:space="preserve"> cost for companies through reducing their cost of chasing late payers. Assuming the same number of 5 </w:t>
      </w:r>
      <w:r w:rsidR="00C11AEA" w:rsidRPr="00881BC8">
        <w:rPr>
          <w:noProof/>
          <w:lang w:val="en-GB"/>
        </w:rPr>
        <w:t>man</w:t>
      </w:r>
      <w:r w:rsidRPr="00881BC8">
        <w:rPr>
          <w:noProof/>
          <w:lang w:val="en-GB"/>
        </w:rPr>
        <w:t xml:space="preserve">-days per year as in </w:t>
      </w:r>
      <w:r w:rsidR="00C11AEA" w:rsidRPr="00881BC8">
        <w:rPr>
          <w:noProof/>
          <w:lang w:val="en-GB"/>
        </w:rPr>
        <w:t>PO</w:t>
      </w:r>
      <w:r w:rsidRPr="00881BC8">
        <w:rPr>
          <w:noProof/>
          <w:lang w:val="en-GB"/>
        </w:rPr>
        <w:t>1</w:t>
      </w:r>
      <w:r w:rsidRPr="00881BC8">
        <w:rPr>
          <w:rStyle w:val="FootnoteReference"/>
          <w:noProof/>
          <w:lang w:val="en-GB"/>
        </w:rPr>
        <w:footnoteReference w:id="115"/>
      </w:r>
      <w:r w:rsidRPr="00881BC8">
        <w:rPr>
          <w:noProof/>
          <w:lang w:val="en-GB"/>
        </w:rPr>
        <w:t xml:space="preserve">, under an expected reduction in late payments of 17.8%, a total of 21.6 million </w:t>
      </w:r>
      <w:r w:rsidR="00C11AEA" w:rsidRPr="00881BC8">
        <w:rPr>
          <w:noProof/>
          <w:lang w:val="en-GB"/>
        </w:rPr>
        <w:t>man</w:t>
      </w:r>
      <w:r w:rsidRPr="00881BC8">
        <w:rPr>
          <w:noProof/>
          <w:lang w:val="en-GB"/>
        </w:rPr>
        <w:t>-</w:t>
      </w:r>
      <w:r w:rsidR="003517B2" w:rsidRPr="00881BC8">
        <w:rPr>
          <w:noProof/>
          <w:lang w:val="en-GB"/>
        </w:rPr>
        <w:t>days</w:t>
      </w:r>
      <w:r w:rsidRPr="00881BC8">
        <w:rPr>
          <w:noProof/>
          <w:lang w:val="en-GB"/>
        </w:rPr>
        <w:t xml:space="preserve"> could be saved per year for the EU-27 economy. This would be a significant recurring cost saving</w:t>
      </w:r>
      <w:r w:rsidR="00C23DC0" w:rsidRPr="00881BC8">
        <w:rPr>
          <w:noProof/>
          <w:lang w:val="en-GB"/>
        </w:rPr>
        <w:t xml:space="preserve"> of 173 million</w:t>
      </w:r>
      <w:r w:rsidR="003517B2" w:rsidRPr="00881BC8">
        <w:rPr>
          <w:noProof/>
          <w:lang w:val="en-GB"/>
        </w:rPr>
        <w:t xml:space="preserve"> man-hours</w:t>
      </w:r>
      <w:r w:rsidRPr="00881BC8">
        <w:rPr>
          <w:noProof/>
          <w:lang w:val="en-GB"/>
        </w:rPr>
        <w:t>.</w:t>
      </w:r>
    </w:p>
    <w:p w14:paraId="626DAFEA" w14:textId="77777777" w:rsidR="00A74EE1" w:rsidRPr="00881BC8" w:rsidRDefault="00A74EE1" w:rsidP="004835F8">
      <w:pPr>
        <w:pStyle w:val="NormalPara"/>
        <w:rPr>
          <w:noProof/>
          <w:lang w:val="en-GB"/>
        </w:rPr>
      </w:pPr>
      <w:r w:rsidRPr="00881BC8">
        <w:rPr>
          <w:noProof/>
          <w:lang w:val="en-GB"/>
        </w:rPr>
        <w:t>Taken together, the deterrent from the interest rates and compensation fees combined with enforcement bodies and ensuring prompt payment in public contracts could therefore lead to a sizeable reduction in late payments. While precise estimates are difficult to quantify, based on the above-mentioned evidence we expect a reduction in payment times of up to 40% in G2B transactions under both PO2a and PO2b (mainly from the deterrent of interest and compensation), and up to 17.8% of reduction in B2B transactions under PO2a (mainly from stronger enforcement bodies).</w:t>
      </w:r>
    </w:p>
    <w:p w14:paraId="25028557" w14:textId="77777777" w:rsidR="00A74EE1" w:rsidRPr="00881BC8" w:rsidRDefault="00A74EE1" w:rsidP="004835F8">
      <w:pPr>
        <w:pStyle w:val="Heading5"/>
        <w:rPr>
          <w:noProof/>
        </w:rPr>
      </w:pPr>
      <w:r w:rsidRPr="00881BC8">
        <w:rPr>
          <w:noProof/>
        </w:rPr>
        <w:t>Costs</w:t>
      </w:r>
    </w:p>
    <w:p w14:paraId="6CC23292" w14:textId="6C3EEEDF" w:rsidR="00A74EE1" w:rsidRPr="00881BC8" w:rsidRDefault="00A74EE1" w:rsidP="004835F8">
      <w:pPr>
        <w:pStyle w:val="NormalPara"/>
        <w:rPr>
          <w:noProof/>
          <w:lang w:val="en-GB"/>
        </w:rPr>
      </w:pPr>
      <w:r w:rsidRPr="00881BC8">
        <w:rPr>
          <w:noProof/>
          <w:lang w:val="en-GB"/>
        </w:rPr>
        <w:t xml:space="preserve">The main cost on businesses under </w:t>
      </w:r>
      <w:r w:rsidR="006524AB" w:rsidRPr="00881BC8">
        <w:rPr>
          <w:noProof/>
          <w:lang w:val="en-GB"/>
        </w:rPr>
        <w:t>PO2</w:t>
      </w:r>
      <w:r w:rsidRPr="00881BC8">
        <w:rPr>
          <w:noProof/>
          <w:lang w:val="en-GB"/>
        </w:rPr>
        <w:t xml:space="preserve"> will fall on those </w:t>
      </w:r>
      <w:r w:rsidR="002C3445" w:rsidRPr="00881BC8">
        <w:rPr>
          <w:noProof/>
          <w:lang w:val="en-GB"/>
        </w:rPr>
        <w:t xml:space="preserve">debtors </w:t>
      </w:r>
      <w:r w:rsidRPr="00881BC8">
        <w:rPr>
          <w:noProof/>
          <w:lang w:val="en-GB"/>
        </w:rPr>
        <w:t xml:space="preserve">that currently pay late. </w:t>
      </w:r>
      <w:r w:rsidR="00ED62B7" w:rsidRPr="00881BC8">
        <w:rPr>
          <w:noProof/>
          <w:lang w:val="en-GB"/>
        </w:rPr>
        <w:t>T</w:t>
      </w:r>
      <w:r w:rsidRPr="00881BC8">
        <w:rPr>
          <w:noProof/>
          <w:lang w:val="en-GB"/>
        </w:rPr>
        <w:t xml:space="preserve">he </w:t>
      </w:r>
      <w:r w:rsidR="00ED62B7" w:rsidRPr="00881BC8">
        <w:rPr>
          <w:noProof/>
          <w:lang w:val="en-GB"/>
        </w:rPr>
        <w:t xml:space="preserve">compensation </w:t>
      </w:r>
      <w:r w:rsidR="004D195F" w:rsidRPr="00881BC8">
        <w:rPr>
          <w:noProof/>
          <w:lang w:val="en-GB"/>
        </w:rPr>
        <w:t xml:space="preserve">amounts </w:t>
      </w:r>
      <w:r w:rsidRPr="00881BC8">
        <w:rPr>
          <w:noProof/>
          <w:lang w:val="en-GB"/>
        </w:rPr>
        <w:t xml:space="preserve">debtors are liable for if there is no change to current behaviour are enormous. </w:t>
      </w:r>
      <w:r w:rsidR="00EC1ED3" w:rsidRPr="00881BC8">
        <w:rPr>
          <w:noProof/>
          <w:lang w:val="en-GB"/>
        </w:rPr>
        <w:t xml:space="preserve">Assuming that automatic payment of compensation </w:t>
      </w:r>
      <w:r w:rsidR="001900FD" w:rsidRPr="00881BC8">
        <w:rPr>
          <w:noProof/>
          <w:lang w:val="en-GB"/>
        </w:rPr>
        <w:t xml:space="preserve">would benefit an extra 5% of companies, debtors would pay EUR 265.5 million in interest and EUR 3.75 billion in fees. </w:t>
      </w:r>
      <w:r w:rsidRPr="00881BC8">
        <w:rPr>
          <w:noProof/>
          <w:lang w:val="en-GB"/>
        </w:rPr>
        <w:t xml:space="preserve">However, debtors can avoid this </w:t>
      </w:r>
      <w:r w:rsidR="00943864" w:rsidRPr="00881BC8">
        <w:rPr>
          <w:noProof/>
          <w:lang w:val="en-GB"/>
        </w:rPr>
        <w:t>cost</w:t>
      </w:r>
      <w:r w:rsidRPr="00881BC8">
        <w:rPr>
          <w:noProof/>
          <w:lang w:val="en-GB"/>
        </w:rPr>
        <w:t xml:space="preserve"> </w:t>
      </w:r>
      <w:r w:rsidR="004D195F" w:rsidRPr="00881BC8">
        <w:rPr>
          <w:noProof/>
          <w:lang w:val="en-GB"/>
        </w:rPr>
        <w:t>by</w:t>
      </w:r>
      <w:r w:rsidRPr="00881BC8">
        <w:rPr>
          <w:noProof/>
          <w:lang w:val="en-GB"/>
        </w:rPr>
        <w:t xml:space="preserve"> pa</w:t>
      </w:r>
      <w:r w:rsidR="004D195F" w:rsidRPr="00881BC8">
        <w:rPr>
          <w:noProof/>
          <w:lang w:val="en-GB"/>
        </w:rPr>
        <w:t>ying</w:t>
      </w:r>
      <w:r w:rsidRPr="00881BC8">
        <w:rPr>
          <w:noProof/>
          <w:lang w:val="en-GB"/>
        </w:rPr>
        <w:t xml:space="preserve"> on time.</w:t>
      </w:r>
      <w:r w:rsidR="00762BF4" w:rsidRPr="00881BC8">
        <w:rPr>
          <w:noProof/>
          <w:lang w:val="en-GB"/>
        </w:rPr>
        <w:t xml:space="preserve"> Debtors would need to obtain the financing needed </w:t>
      </w:r>
      <w:r w:rsidR="00994FE1" w:rsidRPr="00881BC8">
        <w:rPr>
          <w:noProof/>
          <w:lang w:val="en-GB"/>
        </w:rPr>
        <w:t xml:space="preserve">but this financing would likely </w:t>
      </w:r>
      <w:r w:rsidR="00E46ACC" w:rsidRPr="00881BC8">
        <w:rPr>
          <w:noProof/>
          <w:lang w:val="en-GB"/>
        </w:rPr>
        <w:t xml:space="preserve">be cheaper than the implicit rate they are paying now (see section </w:t>
      </w:r>
      <w:r w:rsidR="005851F4">
        <w:rPr>
          <w:noProof/>
          <w:lang w:val="en-GB"/>
        </w:rPr>
        <w:t>2.3</w:t>
      </w:r>
      <w:r w:rsidR="00E46ACC" w:rsidRPr="00881BC8">
        <w:rPr>
          <w:noProof/>
          <w:lang w:val="en-GB"/>
        </w:rPr>
        <w:t xml:space="preserve"> and </w:t>
      </w:r>
      <w:r w:rsidR="005851F4">
        <w:rPr>
          <w:noProof/>
          <w:lang w:val="en-GB"/>
        </w:rPr>
        <w:t>8.1.2</w:t>
      </w:r>
      <w:r w:rsidR="00E46ACC" w:rsidRPr="00881BC8">
        <w:rPr>
          <w:noProof/>
          <w:lang w:val="en-GB"/>
        </w:rPr>
        <w:t xml:space="preserve"> for detailed explanation).</w:t>
      </w:r>
    </w:p>
    <w:p w14:paraId="2D7FA6E7" w14:textId="7620E18B" w:rsidR="00CA68DA" w:rsidRPr="00881BC8" w:rsidRDefault="0002753E" w:rsidP="004835F8">
      <w:pPr>
        <w:pStyle w:val="NormalPara"/>
        <w:rPr>
          <w:noProof/>
          <w:lang w:val="en-GB"/>
        </w:rPr>
      </w:pPr>
      <w:r w:rsidRPr="00881BC8">
        <w:rPr>
          <w:noProof/>
          <w:lang w:val="en-GB"/>
        </w:rPr>
        <w:t>Under both PO2a and PO2b, s</w:t>
      </w:r>
      <w:r w:rsidR="00CA68DA" w:rsidRPr="00881BC8">
        <w:rPr>
          <w:noProof/>
          <w:lang w:val="en-GB"/>
        </w:rPr>
        <w:t>ome standard one-off adjustment cost will fall on all businesses; if the compensation fee is adapted, businesses will have to adapt their standard payment terms to the new sum. Using the same method as in PO1 and assuming a EUR 10 one-off adjustment cost per company, this one-off adjustment cost would impose a total cost of EUR 243 million for the EU-27.</w:t>
      </w:r>
    </w:p>
    <w:p w14:paraId="711AEE51" w14:textId="49BA7F27" w:rsidR="00A74EE1" w:rsidRPr="00881BC8" w:rsidRDefault="00A74EE1" w:rsidP="004835F8">
      <w:pPr>
        <w:pStyle w:val="NormalPara"/>
        <w:rPr>
          <w:noProof/>
          <w:lang w:val="en-GB"/>
        </w:rPr>
      </w:pPr>
      <w:r w:rsidRPr="00881BC8">
        <w:rPr>
          <w:noProof/>
          <w:lang w:val="en-GB"/>
        </w:rPr>
        <w:t xml:space="preserve">Under </w:t>
      </w:r>
      <w:r w:rsidR="004D195F" w:rsidRPr="00881BC8">
        <w:rPr>
          <w:noProof/>
          <w:lang w:val="en-GB"/>
        </w:rPr>
        <w:t>PO</w:t>
      </w:r>
      <w:r w:rsidRPr="00881BC8">
        <w:rPr>
          <w:noProof/>
          <w:lang w:val="en-GB"/>
        </w:rPr>
        <w:t xml:space="preserve">2a, debtors are liable to administrative fines that enforcement bodies would impose. Extrapolating to the EU-27 from the example of the French B2B payment delays mission would suggest potential fines to firms paying late of around EUR 136.8 million per year. </w:t>
      </w:r>
      <w:r w:rsidR="009D2DB0" w:rsidRPr="00881BC8">
        <w:rPr>
          <w:noProof/>
          <w:lang w:val="en-GB"/>
        </w:rPr>
        <w:t>D</w:t>
      </w:r>
      <w:r w:rsidRPr="00881BC8">
        <w:rPr>
          <w:noProof/>
          <w:lang w:val="en-GB"/>
        </w:rPr>
        <w:t>ebtors could avoid these fines by paying on time.</w:t>
      </w:r>
    </w:p>
    <w:p w14:paraId="31358D31" w14:textId="33D7D357" w:rsidR="00A74EE1" w:rsidRPr="00881BC8" w:rsidRDefault="00A74EE1" w:rsidP="004835F8">
      <w:pPr>
        <w:pStyle w:val="NormalPara"/>
        <w:rPr>
          <w:noProof/>
          <w:lang w:val="en-GB"/>
        </w:rPr>
      </w:pPr>
      <w:r w:rsidRPr="00881BC8">
        <w:rPr>
          <w:noProof/>
          <w:lang w:val="en-GB"/>
        </w:rPr>
        <w:t>Contractors under public contracts will have to show that they have paid their own subcontractors on time. This could affect a relatively large number of companies. There are around 3.7 million companies active in the construction sector</w:t>
      </w:r>
      <w:r w:rsidRPr="00881BC8">
        <w:rPr>
          <w:rStyle w:val="FootnoteReference"/>
          <w:noProof/>
          <w:lang w:val="en-GB"/>
        </w:rPr>
        <w:footnoteReference w:id="116"/>
      </w:r>
      <w:r w:rsidRPr="00881BC8">
        <w:rPr>
          <w:noProof/>
          <w:lang w:val="en-GB"/>
        </w:rPr>
        <w:t>. While there are no exact figures on how many of these companies work for the public sector as a main contractor, if we assume all companies working on civil engineering projects are under public contract, we can estimate about 18% of construction companies to be in a public contract, i.e. 666 000 companies</w:t>
      </w:r>
      <w:r w:rsidRPr="00881BC8">
        <w:rPr>
          <w:rStyle w:val="FootnoteReference"/>
          <w:noProof/>
          <w:lang w:val="en-GB"/>
        </w:rPr>
        <w:footnoteReference w:id="117"/>
      </w:r>
      <w:r w:rsidRPr="00881BC8">
        <w:rPr>
          <w:noProof/>
          <w:lang w:val="en-GB"/>
        </w:rPr>
        <w:t>. Of these, 26% are main contractors</w:t>
      </w:r>
      <w:r w:rsidRPr="00881BC8">
        <w:rPr>
          <w:rStyle w:val="FootnoteReference"/>
          <w:noProof/>
          <w:lang w:val="en-GB"/>
        </w:rPr>
        <w:footnoteReference w:id="118"/>
      </w:r>
      <w:r w:rsidRPr="00881BC8">
        <w:rPr>
          <w:noProof/>
          <w:lang w:val="en-GB"/>
        </w:rPr>
        <w:t xml:space="preserve">. This measure might therefore impose a cost on around 173 000 companies. </w:t>
      </w:r>
      <w:r w:rsidR="00F5754A" w:rsidRPr="00881BC8">
        <w:rPr>
          <w:noProof/>
          <w:lang w:val="en-GB"/>
        </w:rPr>
        <w:t xml:space="preserve">Assuming that each of these companies </w:t>
      </w:r>
      <w:r w:rsidR="006A284A" w:rsidRPr="00881BC8">
        <w:rPr>
          <w:noProof/>
          <w:lang w:val="en-GB"/>
        </w:rPr>
        <w:t xml:space="preserve">has to provide this information once a year, and the time to collect this information is equal to 0.5 </w:t>
      </w:r>
      <w:r w:rsidR="004946E3" w:rsidRPr="00881BC8">
        <w:rPr>
          <w:noProof/>
          <w:lang w:val="en-GB"/>
        </w:rPr>
        <w:t>man-hours</w:t>
      </w:r>
      <w:r w:rsidR="00D946F4" w:rsidRPr="00881BC8">
        <w:rPr>
          <w:noProof/>
          <w:lang w:val="en-GB"/>
        </w:rPr>
        <w:t xml:space="preserve"> a</w:t>
      </w:r>
      <w:r w:rsidR="005F5B76" w:rsidRPr="00881BC8">
        <w:rPr>
          <w:noProof/>
          <w:lang w:val="en-GB"/>
        </w:rPr>
        <w:t xml:space="preserve">t </w:t>
      </w:r>
      <w:r w:rsidR="003525C8" w:rsidRPr="00881BC8">
        <w:rPr>
          <w:noProof/>
          <w:lang w:val="en-GB"/>
        </w:rPr>
        <w:t xml:space="preserve">EUR 25.7 average </w:t>
      </w:r>
      <w:r w:rsidR="007D65D3" w:rsidRPr="00881BC8">
        <w:rPr>
          <w:noProof/>
          <w:lang w:val="en-GB"/>
        </w:rPr>
        <w:t xml:space="preserve">hourly </w:t>
      </w:r>
      <w:r w:rsidR="003525C8" w:rsidRPr="00881BC8">
        <w:rPr>
          <w:noProof/>
          <w:lang w:val="en-GB"/>
        </w:rPr>
        <w:t>rate</w:t>
      </w:r>
      <w:r w:rsidR="004946E3" w:rsidRPr="00881BC8">
        <w:rPr>
          <w:noProof/>
          <w:lang w:val="en-GB"/>
        </w:rPr>
        <w:t xml:space="preserve">, the overall recurring administrative cost amounts to </w:t>
      </w:r>
      <w:r w:rsidR="00BD36B8" w:rsidRPr="00881BC8">
        <w:rPr>
          <w:noProof/>
          <w:lang w:val="en-GB"/>
        </w:rPr>
        <w:t>EUR 2.2 million.</w:t>
      </w:r>
      <w:r w:rsidR="004946E3" w:rsidRPr="00881BC8">
        <w:rPr>
          <w:noProof/>
          <w:lang w:val="en-GB"/>
        </w:rPr>
        <w:t xml:space="preserve"> </w:t>
      </w:r>
      <w:r w:rsidR="000A6BE1" w:rsidRPr="00881BC8">
        <w:rPr>
          <w:noProof/>
          <w:lang w:val="en-GB"/>
        </w:rPr>
        <w:t>T</w:t>
      </w:r>
      <w:r w:rsidRPr="00881BC8">
        <w:rPr>
          <w:noProof/>
          <w:lang w:val="en-GB"/>
        </w:rPr>
        <w:t xml:space="preserve">he verification cost to contractors </w:t>
      </w:r>
      <w:r w:rsidR="000A6BE1" w:rsidRPr="00881BC8">
        <w:rPr>
          <w:noProof/>
          <w:lang w:val="en-GB"/>
        </w:rPr>
        <w:t xml:space="preserve">would consist in providing a self-declaration and an excerpt from accounting systems showing </w:t>
      </w:r>
      <w:r w:rsidR="009D2CDD" w:rsidRPr="00881BC8">
        <w:rPr>
          <w:noProof/>
          <w:lang w:val="en-GB"/>
        </w:rPr>
        <w:t xml:space="preserve">that </w:t>
      </w:r>
      <w:r w:rsidR="000A6BE1" w:rsidRPr="00881BC8">
        <w:rPr>
          <w:noProof/>
          <w:lang w:val="en-GB"/>
        </w:rPr>
        <w:t xml:space="preserve">all invoices related to the project </w:t>
      </w:r>
      <w:r w:rsidR="009D2CDD" w:rsidRPr="00881BC8">
        <w:rPr>
          <w:noProof/>
          <w:lang w:val="en-GB"/>
        </w:rPr>
        <w:t xml:space="preserve">had been </w:t>
      </w:r>
      <w:r w:rsidR="000A6BE1" w:rsidRPr="00881BC8">
        <w:rPr>
          <w:noProof/>
          <w:lang w:val="en-GB"/>
        </w:rPr>
        <w:t>paid.</w:t>
      </w:r>
      <w:r w:rsidR="00BB66A0" w:rsidRPr="00881BC8">
        <w:rPr>
          <w:noProof/>
          <w:lang w:val="en-GB"/>
        </w:rPr>
        <w:t xml:space="preserve"> T</w:t>
      </w:r>
      <w:r w:rsidR="00872033" w:rsidRPr="00881BC8">
        <w:rPr>
          <w:noProof/>
          <w:lang w:val="en-GB"/>
        </w:rPr>
        <w:t xml:space="preserve">he measure would </w:t>
      </w:r>
      <w:r w:rsidR="00BB66A0" w:rsidRPr="00881BC8">
        <w:rPr>
          <w:noProof/>
          <w:lang w:val="en-GB"/>
        </w:rPr>
        <w:t xml:space="preserve">only </w:t>
      </w:r>
      <w:r w:rsidR="00872033" w:rsidRPr="00881BC8">
        <w:rPr>
          <w:noProof/>
          <w:lang w:val="en-GB"/>
        </w:rPr>
        <w:t xml:space="preserve">apply to </w:t>
      </w:r>
      <w:r w:rsidR="00EC23E6" w:rsidRPr="00881BC8">
        <w:rPr>
          <w:noProof/>
          <w:lang w:val="en-GB"/>
        </w:rPr>
        <w:t xml:space="preserve">payments to </w:t>
      </w:r>
      <w:r w:rsidR="00FB0344" w:rsidRPr="00881BC8">
        <w:rPr>
          <w:noProof/>
          <w:lang w:val="en-GB"/>
        </w:rPr>
        <w:t xml:space="preserve">immediate </w:t>
      </w:r>
      <w:r w:rsidR="00872033" w:rsidRPr="00881BC8">
        <w:rPr>
          <w:noProof/>
          <w:lang w:val="en-GB"/>
        </w:rPr>
        <w:t>suppliers</w:t>
      </w:r>
      <w:r w:rsidR="00EC23E6" w:rsidRPr="00881BC8">
        <w:rPr>
          <w:noProof/>
          <w:lang w:val="en-GB"/>
        </w:rPr>
        <w:t xml:space="preserve"> (Tier 2)</w:t>
      </w:r>
      <w:r w:rsidR="00872033" w:rsidRPr="00881BC8">
        <w:rPr>
          <w:noProof/>
          <w:lang w:val="en-GB"/>
        </w:rPr>
        <w:t xml:space="preserve"> </w:t>
      </w:r>
      <w:r w:rsidR="00EC23E6" w:rsidRPr="00881BC8">
        <w:rPr>
          <w:noProof/>
          <w:lang w:val="en-GB"/>
        </w:rPr>
        <w:t xml:space="preserve">of </w:t>
      </w:r>
      <w:r w:rsidR="00872033" w:rsidRPr="00881BC8">
        <w:rPr>
          <w:noProof/>
          <w:lang w:val="en-GB"/>
        </w:rPr>
        <w:t>main contractors</w:t>
      </w:r>
      <w:r w:rsidR="00EC23E6" w:rsidRPr="00881BC8">
        <w:rPr>
          <w:noProof/>
          <w:lang w:val="en-GB"/>
        </w:rPr>
        <w:t xml:space="preserve"> (Tier 1)</w:t>
      </w:r>
      <w:r w:rsidR="00FB0344" w:rsidRPr="00881BC8">
        <w:rPr>
          <w:noProof/>
          <w:lang w:val="en-GB"/>
        </w:rPr>
        <w:t>.</w:t>
      </w:r>
    </w:p>
    <w:p w14:paraId="5CEC8716" w14:textId="5BCAF9E9" w:rsidR="001E4A0C" w:rsidRPr="00881BC8" w:rsidRDefault="001E4A0C" w:rsidP="004835F8">
      <w:pPr>
        <w:pStyle w:val="Heading4"/>
        <w:rPr>
          <w:noProof/>
        </w:rPr>
      </w:pPr>
      <w:bookmarkStart w:id="537" w:name="_Toc130889264"/>
      <w:bookmarkStart w:id="538" w:name="_Toc130911631"/>
      <w:bookmarkStart w:id="539" w:name="_Toc130889265"/>
      <w:bookmarkStart w:id="540" w:name="_Toc130911632"/>
      <w:bookmarkStart w:id="541" w:name="_Toc130889266"/>
      <w:bookmarkStart w:id="542" w:name="_Toc130911633"/>
      <w:bookmarkStart w:id="543" w:name="_Toc130889267"/>
      <w:bookmarkStart w:id="544" w:name="_Toc130911634"/>
      <w:bookmarkStart w:id="545" w:name="_Toc130889268"/>
      <w:bookmarkStart w:id="546" w:name="_Toc130911635"/>
      <w:bookmarkStart w:id="547" w:name="_Toc130889269"/>
      <w:bookmarkStart w:id="548" w:name="_Toc130911636"/>
      <w:bookmarkStart w:id="549" w:name="_Toc130889270"/>
      <w:bookmarkStart w:id="550" w:name="_Toc130911637"/>
      <w:bookmarkStart w:id="551" w:name="_Toc130889271"/>
      <w:bookmarkStart w:id="552" w:name="_Toc130911638"/>
      <w:bookmarkStart w:id="553" w:name="_Toc130889272"/>
      <w:bookmarkStart w:id="554" w:name="_Toc130911639"/>
      <w:bookmarkStart w:id="555" w:name="_Toc130889273"/>
      <w:bookmarkStart w:id="556" w:name="_Toc130911640"/>
      <w:bookmarkStart w:id="557" w:name="_Toc130889274"/>
      <w:bookmarkStart w:id="558" w:name="_Toc130911641"/>
      <w:bookmarkStart w:id="559" w:name="_Toc130889275"/>
      <w:bookmarkStart w:id="560" w:name="_Toc130911642"/>
      <w:bookmarkStart w:id="561" w:name="_Toc130889276"/>
      <w:bookmarkStart w:id="562" w:name="_Toc130911643"/>
      <w:bookmarkStart w:id="563" w:name="_Toc130889277"/>
      <w:bookmarkStart w:id="564" w:name="_Toc130911644"/>
      <w:bookmarkStart w:id="565" w:name="_Toc130889278"/>
      <w:bookmarkStart w:id="566" w:name="_Toc130911645"/>
      <w:bookmarkStart w:id="567" w:name="_Toc130889279"/>
      <w:bookmarkStart w:id="568" w:name="_Toc130911646"/>
      <w:bookmarkStart w:id="569" w:name="_Toc130889280"/>
      <w:bookmarkStart w:id="570" w:name="_Toc130911647"/>
      <w:bookmarkStart w:id="571" w:name="_Toc130889281"/>
      <w:bookmarkStart w:id="572" w:name="_Toc130911648"/>
      <w:bookmarkStart w:id="573" w:name="_Toc130889282"/>
      <w:bookmarkStart w:id="574" w:name="_Toc130911649"/>
      <w:bookmarkStart w:id="575" w:name="_Toc130889283"/>
      <w:bookmarkStart w:id="576" w:name="_Toc130911650"/>
      <w:bookmarkStart w:id="577" w:name="_Toc130889284"/>
      <w:bookmarkStart w:id="578" w:name="_Toc130911651"/>
      <w:bookmarkStart w:id="579" w:name="_Toc130889285"/>
      <w:bookmarkStart w:id="580" w:name="_Toc130911652"/>
      <w:bookmarkStart w:id="581" w:name="_Toc130889286"/>
      <w:bookmarkStart w:id="582" w:name="_Toc130911653"/>
      <w:bookmarkStart w:id="583" w:name="_Toc130889287"/>
      <w:bookmarkStart w:id="584" w:name="_Toc130911654"/>
      <w:bookmarkStart w:id="585" w:name="_Ref131309625"/>
      <w:bookmarkStart w:id="586" w:name="_Toc135237418"/>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r w:rsidRPr="00881BC8">
        <w:rPr>
          <w:noProof/>
        </w:rPr>
        <w:t>Impacts on SMEs and competitiveness</w:t>
      </w:r>
      <w:bookmarkEnd w:id="585"/>
      <w:bookmarkEnd w:id="586"/>
    </w:p>
    <w:p w14:paraId="2249A5C1" w14:textId="530A7F1A" w:rsidR="00A74EE1" w:rsidRPr="00881BC8" w:rsidRDefault="00A74EE1" w:rsidP="004835F8">
      <w:pPr>
        <w:pStyle w:val="NormalPara"/>
        <w:rPr>
          <w:noProof/>
          <w:lang w:val="en-GB"/>
        </w:rPr>
      </w:pPr>
      <w:r w:rsidRPr="00881BC8">
        <w:rPr>
          <w:noProof/>
          <w:lang w:val="en-GB"/>
        </w:rPr>
        <w:t xml:space="preserve">This policy option and all its sub-options will have impacts on SMEs and the economy’s competitiveness. All measures target all companies, and no exclusion of scope for any measures is </w:t>
      </w:r>
      <w:r w:rsidR="00E201E6" w:rsidRPr="00881BC8">
        <w:rPr>
          <w:noProof/>
          <w:lang w:val="en-GB"/>
        </w:rPr>
        <w:t>proposed</w:t>
      </w:r>
      <w:r w:rsidRPr="00881BC8">
        <w:rPr>
          <w:noProof/>
          <w:lang w:val="en-GB"/>
        </w:rPr>
        <w:t>.</w:t>
      </w:r>
    </w:p>
    <w:p w14:paraId="7E68A916" w14:textId="33498A4E" w:rsidR="00A74EE1" w:rsidRPr="00881BC8" w:rsidRDefault="00A74EE1" w:rsidP="004835F8">
      <w:pPr>
        <w:pStyle w:val="NormalPara"/>
        <w:rPr>
          <w:noProof/>
          <w:lang w:val="en-GB"/>
        </w:rPr>
      </w:pPr>
      <w:r w:rsidRPr="00881BC8">
        <w:rPr>
          <w:noProof/>
          <w:lang w:val="en-GB"/>
        </w:rPr>
        <w:t xml:space="preserve">As in </w:t>
      </w:r>
      <w:r w:rsidR="00E201E6" w:rsidRPr="00881BC8">
        <w:rPr>
          <w:noProof/>
          <w:lang w:val="en-GB"/>
        </w:rPr>
        <w:t>PO</w:t>
      </w:r>
      <w:r w:rsidRPr="00881BC8">
        <w:rPr>
          <w:noProof/>
          <w:lang w:val="en-GB"/>
        </w:rPr>
        <w:t xml:space="preserve">1, impacts are likely to be more positive </w:t>
      </w:r>
      <w:r w:rsidR="00E201E6" w:rsidRPr="00881BC8">
        <w:rPr>
          <w:noProof/>
          <w:lang w:val="en-GB"/>
        </w:rPr>
        <w:t xml:space="preserve">for SMEs </w:t>
      </w:r>
      <w:r w:rsidRPr="00881BC8">
        <w:rPr>
          <w:noProof/>
          <w:lang w:val="en-GB"/>
        </w:rPr>
        <w:t xml:space="preserve">than </w:t>
      </w:r>
      <w:r w:rsidR="00E201E6" w:rsidRPr="00881BC8">
        <w:rPr>
          <w:noProof/>
          <w:lang w:val="en-GB"/>
        </w:rPr>
        <w:t xml:space="preserve">for </w:t>
      </w:r>
      <w:r w:rsidRPr="00881BC8">
        <w:rPr>
          <w:noProof/>
          <w:lang w:val="en-GB"/>
        </w:rPr>
        <w:t xml:space="preserve">large enterprises. SMEs are particularly </w:t>
      </w:r>
      <w:r w:rsidR="00E201E6" w:rsidRPr="00881BC8">
        <w:rPr>
          <w:noProof/>
          <w:lang w:val="en-GB"/>
        </w:rPr>
        <w:t>affected</w:t>
      </w:r>
      <w:r w:rsidRPr="00881BC8">
        <w:rPr>
          <w:noProof/>
          <w:lang w:val="en-GB"/>
        </w:rPr>
        <w:t xml:space="preserve"> by non-payment of interest or compensation fees and are less likely to be able to enforce claim</w:t>
      </w:r>
      <w:r w:rsidR="00D10A28" w:rsidRPr="00881BC8">
        <w:rPr>
          <w:noProof/>
          <w:lang w:val="en-GB"/>
        </w:rPr>
        <w:t>s</w:t>
      </w:r>
      <w:r w:rsidRPr="00881BC8">
        <w:rPr>
          <w:noProof/>
          <w:lang w:val="en-GB"/>
        </w:rPr>
        <w:t xml:space="preserve"> without the support of a public enforcement body.</w:t>
      </w:r>
    </w:p>
    <w:p w14:paraId="102BB83E" w14:textId="1FBDA656" w:rsidR="00A74EE1" w:rsidRPr="00881BC8" w:rsidRDefault="00A74EE1" w:rsidP="004835F8">
      <w:pPr>
        <w:pStyle w:val="NormalPara"/>
        <w:rPr>
          <w:noProof/>
          <w:lang w:val="en-GB"/>
        </w:rPr>
      </w:pPr>
      <w:r w:rsidRPr="00881BC8">
        <w:rPr>
          <w:noProof/>
          <w:lang w:val="en-GB"/>
        </w:rPr>
        <w:t xml:space="preserve">Competitiveness is overall expected to be enhanced. As in PO1, reducing late payments will lead to an increase in aggregate </w:t>
      </w:r>
      <w:r w:rsidR="00DD4F43" w:rsidRPr="00881BC8">
        <w:rPr>
          <w:noProof/>
          <w:lang w:val="en-GB"/>
        </w:rPr>
        <w:t>cash flow, improved certainty about cash flow and reduced cost of chasing debtors (including the costs of judicial procedures)</w:t>
      </w:r>
      <w:r w:rsidRPr="00881BC8">
        <w:rPr>
          <w:noProof/>
          <w:lang w:val="en-GB"/>
        </w:rPr>
        <w:t>.</w:t>
      </w:r>
    </w:p>
    <w:p w14:paraId="7847D0C0" w14:textId="4EB50DF8" w:rsidR="00A74EE1" w:rsidRPr="00881BC8" w:rsidRDefault="00A74EE1" w:rsidP="004835F8">
      <w:pPr>
        <w:pStyle w:val="NormalPara"/>
        <w:rPr>
          <w:noProof/>
          <w:lang w:val="en-GB"/>
        </w:rPr>
      </w:pPr>
      <w:r w:rsidRPr="00881BC8">
        <w:rPr>
          <w:noProof/>
          <w:lang w:val="en-GB"/>
        </w:rPr>
        <w:t>On international competitiveness, there is some risk that companies outside the EU can accept late payments without automatic interest or compensation fees. However, this effect is not necessarily likely to lead to an actual undercutting of EU companies. Instead, the most likely effect is that also those EU companies competing internationally will refuse to claim the interest rates and compensation fees. This effect is already priced in for the above calculations, where the monetary value of interest and compensation</w:t>
      </w:r>
      <w:r w:rsidR="00FE0E65" w:rsidRPr="00881BC8">
        <w:rPr>
          <w:noProof/>
          <w:lang w:val="en-GB"/>
        </w:rPr>
        <w:t xml:space="preserve"> fees</w:t>
      </w:r>
      <w:r w:rsidRPr="00881BC8">
        <w:rPr>
          <w:noProof/>
          <w:lang w:val="en-GB"/>
        </w:rPr>
        <w:t xml:space="preserve"> only assumes a 5% increase in companies receiving interest and compensation, and where the effect on B2B relations is estimated to be smaller than for G2B.</w:t>
      </w:r>
      <w:r w:rsidR="00E13F63" w:rsidRPr="00881BC8">
        <w:rPr>
          <w:noProof/>
          <w:lang w:val="en-GB"/>
        </w:rPr>
        <w:t xml:space="preserve"> Furthermore, mismatches in the length of payment terms in international transactions </w:t>
      </w:r>
      <w:r w:rsidR="00C94C46" w:rsidRPr="00881BC8">
        <w:rPr>
          <w:noProof/>
          <w:lang w:val="en-GB"/>
        </w:rPr>
        <w:t xml:space="preserve">are usually addressed by </w:t>
      </w:r>
      <w:r w:rsidR="00A953D3" w:rsidRPr="00881BC8">
        <w:rPr>
          <w:noProof/>
          <w:lang w:val="en-GB"/>
        </w:rPr>
        <w:t xml:space="preserve">trade finance </w:t>
      </w:r>
      <w:r w:rsidR="00C94C46" w:rsidRPr="00881BC8">
        <w:rPr>
          <w:noProof/>
          <w:lang w:val="en-GB"/>
        </w:rPr>
        <w:t xml:space="preserve">solutions </w:t>
      </w:r>
      <w:r w:rsidR="00A953D3" w:rsidRPr="00881BC8">
        <w:rPr>
          <w:noProof/>
          <w:lang w:val="en-GB"/>
        </w:rPr>
        <w:t>e.g.</w:t>
      </w:r>
      <w:r w:rsidR="00C66210" w:rsidRPr="00881BC8">
        <w:rPr>
          <w:noProof/>
          <w:lang w:val="en-GB"/>
        </w:rPr>
        <w:t xml:space="preserve"> cash-in-advance,</w:t>
      </w:r>
      <w:r w:rsidR="00A953D3" w:rsidRPr="00881BC8">
        <w:rPr>
          <w:noProof/>
          <w:lang w:val="en-GB"/>
        </w:rPr>
        <w:t xml:space="preserve"> letter of credit</w:t>
      </w:r>
      <w:r w:rsidR="00C66210" w:rsidRPr="00881BC8">
        <w:rPr>
          <w:noProof/>
          <w:lang w:val="en-GB"/>
        </w:rPr>
        <w:t>, documentary collections, open account and consignment</w:t>
      </w:r>
      <w:r w:rsidR="00C66210" w:rsidRPr="00881BC8">
        <w:rPr>
          <w:rStyle w:val="FootnoteReference"/>
          <w:noProof/>
          <w:lang w:val="en-GB"/>
        </w:rPr>
        <w:footnoteReference w:id="119"/>
      </w:r>
      <w:r w:rsidR="00A953D3" w:rsidRPr="00881BC8">
        <w:rPr>
          <w:noProof/>
          <w:lang w:val="en-GB"/>
        </w:rPr>
        <w:t xml:space="preserve"> </w:t>
      </w:r>
      <w:r w:rsidR="00C94C46" w:rsidRPr="00881BC8">
        <w:rPr>
          <w:noProof/>
          <w:lang w:val="en-GB"/>
        </w:rPr>
        <w:t xml:space="preserve">(see </w:t>
      </w:r>
      <w:r w:rsidR="00C94C46" w:rsidRPr="00881BC8">
        <w:rPr>
          <w:noProof/>
          <w:lang w:val="en-GB"/>
        </w:rPr>
        <w:fldChar w:fldCharType="begin"/>
      </w:r>
      <w:r w:rsidR="00C94C46" w:rsidRPr="00881BC8">
        <w:rPr>
          <w:noProof/>
          <w:lang w:val="en-GB"/>
        </w:rPr>
        <w:instrText xml:space="preserve"> REF Annex05 \h </w:instrText>
      </w:r>
      <w:r w:rsidR="00C94C46" w:rsidRPr="00881BC8">
        <w:rPr>
          <w:noProof/>
          <w:lang w:val="en-GB"/>
        </w:rPr>
      </w:r>
      <w:r w:rsidR="00C94C46" w:rsidRPr="00881BC8">
        <w:rPr>
          <w:noProof/>
          <w:lang w:val="en-GB"/>
        </w:rPr>
        <w:fldChar w:fldCharType="separate"/>
      </w:r>
      <w:r w:rsidR="005851F4" w:rsidRPr="00881BC8">
        <w:rPr>
          <w:noProof/>
        </w:rPr>
        <w:t>Annex 5</w:t>
      </w:r>
      <w:r w:rsidR="00C94C46" w:rsidRPr="00881BC8">
        <w:rPr>
          <w:noProof/>
          <w:lang w:val="en-GB"/>
        </w:rPr>
        <w:fldChar w:fldCharType="end"/>
      </w:r>
      <w:r w:rsidR="00C94C46" w:rsidRPr="00881BC8">
        <w:rPr>
          <w:noProof/>
          <w:lang w:val="en-GB"/>
        </w:rPr>
        <w:t>)</w:t>
      </w:r>
      <w:r w:rsidR="00C66210" w:rsidRPr="00881BC8">
        <w:rPr>
          <w:noProof/>
          <w:lang w:val="en-GB"/>
        </w:rPr>
        <w:t>, which significantly reduces the impact</w:t>
      </w:r>
      <w:r w:rsidR="00D44AFC" w:rsidRPr="00881BC8">
        <w:rPr>
          <w:noProof/>
          <w:lang w:val="en-GB"/>
        </w:rPr>
        <w:t>.</w:t>
      </w:r>
    </w:p>
    <w:p w14:paraId="762058B9" w14:textId="2527FF8A" w:rsidR="00A74EE1" w:rsidRPr="00881BC8" w:rsidRDefault="00A74EE1" w:rsidP="004835F8">
      <w:pPr>
        <w:pStyle w:val="NormalPara"/>
        <w:rPr>
          <w:noProof/>
          <w:lang w:val="en-GB"/>
        </w:rPr>
      </w:pPr>
      <w:r w:rsidRPr="00881BC8">
        <w:rPr>
          <w:noProof/>
          <w:lang w:val="en-GB"/>
        </w:rPr>
        <w:t xml:space="preserve">There may be some costs arising from </w:t>
      </w:r>
      <w:r w:rsidR="00F6244E" w:rsidRPr="00881BC8">
        <w:rPr>
          <w:noProof/>
          <w:lang w:val="en-GB"/>
        </w:rPr>
        <w:t xml:space="preserve">PO2 </w:t>
      </w:r>
      <w:r w:rsidRPr="00881BC8">
        <w:rPr>
          <w:noProof/>
          <w:lang w:val="en-GB"/>
        </w:rPr>
        <w:t xml:space="preserve">to SMEs. SMEs, like any other business, will have to pay interest and compensation fees if they pay late. If SMEs find it difficult to enforce interest from </w:t>
      </w:r>
      <w:r w:rsidR="00F6244E" w:rsidRPr="00881BC8">
        <w:rPr>
          <w:noProof/>
          <w:lang w:val="en-GB"/>
        </w:rPr>
        <w:t xml:space="preserve">debtors </w:t>
      </w:r>
      <w:r w:rsidRPr="00881BC8">
        <w:rPr>
          <w:noProof/>
          <w:lang w:val="en-GB"/>
        </w:rPr>
        <w:t xml:space="preserve">but </w:t>
      </w:r>
      <w:r w:rsidR="00F6244E" w:rsidRPr="00881BC8">
        <w:rPr>
          <w:noProof/>
          <w:lang w:val="en-GB"/>
        </w:rPr>
        <w:t xml:space="preserve">must </w:t>
      </w:r>
      <w:r w:rsidRPr="00881BC8">
        <w:rPr>
          <w:noProof/>
          <w:lang w:val="en-GB"/>
        </w:rPr>
        <w:t xml:space="preserve">pay interest </w:t>
      </w:r>
      <w:r w:rsidR="00F6244E" w:rsidRPr="00881BC8">
        <w:rPr>
          <w:noProof/>
          <w:lang w:val="en-GB"/>
        </w:rPr>
        <w:t>to creditors</w:t>
      </w:r>
      <w:r w:rsidR="00204442" w:rsidRPr="00881BC8">
        <w:rPr>
          <w:noProof/>
          <w:lang w:val="en-GB"/>
        </w:rPr>
        <w:t>,</w:t>
      </w:r>
      <w:r w:rsidR="00F6244E" w:rsidRPr="00881BC8">
        <w:rPr>
          <w:noProof/>
          <w:lang w:val="en-GB"/>
        </w:rPr>
        <w:t xml:space="preserve"> </w:t>
      </w:r>
      <w:r w:rsidRPr="00881BC8">
        <w:rPr>
          <w:noProof/>
          <w:lang w:val="en-GB"/>
        </w:rPr>
        <w:t>whe</w:t>
      </w:r>
      <w:r w:rsidR="00204442" w:rsidRPr="00881BC8">
        <w:rPr>
          <w:noProof/>
          <w:lang w:val="en-GB"/>
        </w:rPr>
        <w:t>re</w:t>
      </w:r>
      <w:r w:rsidRPr="00881BC8">
        <w:rPr>
          <w:noProof/>
          <w:lang w:val="en-GB"/>
        </w:rPr>
        <w:t xml:space="preserve"> they pay late because they have been paid late, </w:t>
      </w:r>
      <w:r w:rsidR="00204442" w:rsidRPr="00881BC8">
        <w:rPr>
          <w:noProof/>
          <w:lang w:val="en-GB"/>
        </w:rPr>
        <w:t xml:space="preserve">the automatic interest and compensation </w:t>
      </w:r>
      <w:r w:rsidRPr="00881BC8">
        <w:rPr>
          <w:noProof/>
          <w:lang w:val="en-GB"/>
        </w:rPr>
        <w:t>may affect</w:t>
      </w:r>
      <w:r w:rsidR="00204442" w:rsidRPr="00881BC8">
        <w:rPr>
          <w:noProof/>
          <w:lang w:val="en-GB"/>
        </w:rPr>
        <w:t xml:space="preserve"> SMEs more </w:t>
      </w:r>
      <w:r w:rsidRPr="00881BC8">
        <w:rPr>
          <w:noProof/>
          <w:lang w:val="en-GB"/>
        </w:rPr>
        <w:t>than large businesses.</w:t>
      </w:r>
    </w:p>
    <w:p w14:paraId="51F89E87" w14:textId="468C117B" w:rsidR="00A74EE1" w:rsidRPr="00881BC8" w:rsidRDefault="00A74EE1" w:rsidP="004835F8">
      <w:pPr>
        <w:pStyle w:val="NormalPara"/>
        <w:rPr>
          <w:noProof/>
          <w:lang w:val="en-GB"/>
        </w:rPr>
      </w:pPr>
      <w:r w:rsidRPr="00881BC8">
        <w:rPr>
          <w:noProof/>
          <w:lang w:val="en-GB"/>
        </w:rPr>
        <w:t xml:space="preserve">This assessment is </w:t>
      </w:r>
      <w:r w:rsidR="005C29CF" w:rsidRPr="00881BC8">
        <w:rPr>
          <w:noProof/>
          <w:lang w:val="en-GB"/>
        </w:rPr>
        <w:t>confirmed</w:t>
      </w:r>
      <w:r w:rsidRPr="00881BC8">
        <w:rPr>
          <w:noProof/>
          <w:lang w:val="en-GB"/>
        </w:rPr>
        <w:t xml:space="preserve"> by the responses to the SME Panels. SMEs strongly support the measures identified above, more than the </w:t>
      </w:r>
      <w:r w:rsidR="00E17D29" w:rsidRPr="00881BC8">
        <w:rPr>
          <w:noProof/>
          <w:lang w:val="en-GB"/>
        </w:rPr>
        <w:t xml:space="preserve">PC respondents, </w:t>
      </w:r>
      <w:r w:rsidRPr="00881BC8">
        <w:rPr>
          <w:noProof/>
          <w:lang w:val="en-GB"/>
        </w:rPr>
        <w:t xml:space="preserve">where a clear comparison is possible. For example, on setting up enforcement bodies, SMEs find this measure very useful (84%), whereas 47% of </w:t>
      </w:r>
      <w:r w:rsidR="00E17D29" w:rsidRPr="00881BC8">
        <w:rPr>
          <w:noProof/>
          <w:lang w:val="en-GB"/>
        </w:rPr>
        <w:t>PC respondents</w:t>
      </w:r>
      <w:r w:rsidRPr="00881BC8">
        <w:rPr>
          <w:noProof/>
          <w:lang w:val="en-GB"/>
        </w:rPr>
        <w:t xml:space="preserve"> support enforcement bodies with sanctioning power.</w:t>
      </w:r>
    </w:p>
    <w:p w14:paraId="6A9FCD40" w14:textId="147A77E4" w:rsidR="001E4A0C" w:rsidRPr="00881BC8" w:rsidRDefault="001E4A0C" w:rsidP="004835F8">
      <w:pPr>
        <w:pStyle w:val="Heading4"/>
        <w:rPr>
          <w:noProof/>
        </w:rPr>
      </w:pPr>
      <w:bookmarkStart w:id="587" w:name="_Toc130889289"/>
      <w:bookmarkStart w:id="588" w:name="_Toc130911656"/>
      <w:bookmarkStart w:id="589" w:name="_Toc130889290"/>
      <w:bookmarkStart w:id="590" w:name="_Toc130911657"/>
      <w:bookmarkStart w:id="591" w:name="_Toc130889291"/>
      <w:bookmarkStart w:id="592" w:name="_Toc130911658"/>
      <w:bookmarkStart w:id="593" w:name="_Toc130889292"/>
      <w:bookmarkStart w:id="594" w:name="_Toc130911659"/>
      <w:bookmarkStart w:id="595" w:name="_Toc135237419"/>
      <w:bookmarkEnd w:id="587"/>
      <w:bookmarkEnd w:id="588"/>
      <w:bookmarkEnd w:id="589"/>
      <w:bookmarkEnd w:id="590"/>
      <w:bookmarkEnd w:id="591"/>
      <w:bookmarkEnd w:id="592"/>
      <w:bookmarkEnd w:id="593"/>
      <w:bookmarkEnd w:id="594"/>
      <w:r w:rsidRPr="00881BC8">
        <w:rPr>
          <w:noProof/>
        </w:rPr>
        <w:t>Impacts on public authorities</w:t>
      </w:r>
      <w:bookmarkEnd w:id="595"/>
    </w:p>
    <w:p w14:paraId="3C6FDD94" w14:textId="77777777" w:rsidR="0056450C" w:rsidRPr="00881BC8" w:rsidRDefault="0056450C" w:rsidP="004835F8">
      <w:pPr>
        <w:pStyle w:val="Heading5"/>
        <w:rPr>
          <w:noProof/>
        </w:rPr>
      </w:pPr>
      <w:r w:rsidRPr="00881BC8">
        <w:rPr>
          <w:noProof/>
        </w:rPr>
        <w:t>Benefits</w:t>
      </w:r>
    </w:p>
    <w:p w14:paraId="2A945BEC" w14:textId="73BBEBF0" w:rsidR="0056450C" w:rsidRPr="00881BC8" w:rsidRDefault="0056450C" w:rsidP="004835F8">
      <w:pPr>
        <w:pStyle w:val="NormalPara"/>
        <w:rPr>
          <w:noProof/>
          <w:lang w:val="en-GB"/>
        </w:rPr>
      </w:pPr>
      <w:r w:rsidRPr="00881BC8">
        <w:rPr>
          <w:noProof/>
          <w:lang w:val="en-GB"/>
        </w:rPr>
        <w:t xml:space="preserve">This policy option </w:t>
      </w:r>
      <w:r w:rsidR="00CA640D" w:rsidRPr="00881BC8">
        <w:rPr>
          <w:noProof/>
          <w:lang w:val="en-GB"/>
        </w:rPr>
        <w:t>provides for</w:t>
      </w:r>
      <w:r w:rsidRPr="00881BC8">
        <w:rPr>
          <w:noProof/>
          <w:lang w:val="en-GB"/>
        </w:rPr>
        <w:t xml:space="preserve"> no direct savings to public authorities.</w:t>
      </w:r>
    </w:p>
    <w:p w14:paraId="79F7BB0F" w14:textId="3ABC7799" w:rsidR="0056450C" w:rsidRPr="00881BC8" w:rsidRDefault="00B63CF0" w:rsidP="004835F8">
      <w:pPr>
        <w:pStyle w:val="NormalPara"/>
        <w:rPr>
          <w:noProof/>
          <w:sz w:val="22"/>
          <w:szCs w:val="22"/>
          <w:lang w:val="en-GB"/>
        </w:rPr>
      </w:pPr>
      <w:r w:rsidRPr="00881BC8">
        <w:rPr>
          <w:noProof/>
          <w:lang w:val="en-GB"/>
        </w:rPr>
        <w:t>T</w:t>
      </w:r>
      <w:r w:rsidR="0056450C" w:rsidRPr="00881BC8">
        <w:rPr>
          <w:noProof/>
          <w:lang w:val="en-GB"/>
        </w:rPr>
        <w:t>he measure of ensuring prompt payments to subcontractors in public works contracts can improve the execution of public construction projects. The example of Canada, where a similar policy is in place, has shown that payment delays impede the ability of the federal government to complete its construction projects quickly and at the best value for the Canadian taxpayer</w:t>
      </w:r>
      <w:r w:rsidR="009F52A5" w:rsidRPr="00881BC8">
        <w:rPr>
          <w:rStyle w:val="FootnoteReference"/>
          <w:noProof/>
          <w:lang w:val="en-GB"/>
        </w:rPr>
        <w:footnoteReference w:id="120"/>
      </w:r>
      <w:r w:rsidR="009F52A5" w:rsidRPr="00881BC8">
        <w:rPr>
          <w:noProof/>
          <w:lang w:val="en-GB"/>
        </w:rPr>
        <w:t>. R</w:t>
      </w:r>
      <w:r w:rsidR="0056450C" w:rsidRPr="00881BC8">
        <w:rPr>
          <w:noProof/>
          <w:lang w:val="en-GB"/>
        </w:rPr>
        <w:t>educing payment delays in public work contracts therefore benefits the public authority.</w:t>
      </w:r>
    </w:p>
    <w:p w14:paraId="2FD0353F" w14:textId="77777777" w:rsidR="0056450C" w:rsidRPr="00881BC8" w:rsidRDefault="0056450C" w:rsidP="004835F8">
      <w:pPr>
        <w:pStyle w:val="Heading5"/>
        <w:rPr>
          <w:noProof/>
        </w:rPr>
      </w:pPr>
      <w:r w:rsidRPr="00881BC8">
        <w:rPr>
          <w:noProof/>
        </w:rPr>
        <w:t>Costs</w:t>
      </w:r>
    </w:p>
    <w:p w14:paraId="61978308" w14:textId="70A2FD92" w:rsidR="0056450C" w:rsidRPr="00881BC8" w:rsidRDefault="0056450C" w:rsidP="004835F8">
      <w:pPr>
        <w:pStyle w:val="NormalPara"/>
        <w:rPr>
          <w:noProof/>
          <w:lang w:val="en-GB"/>
        </w:rPr>
      </w:pPr>
      <w:r w:rsidRPr="00881BC8">
        <w:rPr>
          <w:noProof/>
          <w:lang w:val="en-GB"/>
        </w:rPr>
        <w:t xml:space="preserve">Public authorities will incur several costs under </w:t>
      </w:r>
      <w:r w:rsidR="009A7936" w:rsidRPr="00881BC8">
        <w:rPr>
          <w:noProof/>
          <w:lang w:val="en-GB"/>
        </w:rPr>
        <w:t>PO2</w:t>
      </w:r>
      <w:r w:rsidRPr="00881BC8">
        <w:rPr>
          <w:noProof/>
          <w:lang w:val="en-GB"/>
        </w:rPr>
        <w:t xml:space="preserve">. A significant cost is expected to come from the requirement to designate enforcement bodies. </w:t>
      </w:r>
      <w:bookmarkStart w:id="596" w:name="_Hlk131269286"/>
      <w:r w:rsidRPr="00881BC8">
        <w:rPr>
          <w:noProof/>
          <w:lang w:val="en-GB"/>
        </w:rPr>
        <w:t xml:space="preserve">Based on examples and estimations from Member States who responded to the Call for Evidence, an extrapolation to the EU-27 suggests a yearly adjustment cost of EUR 60-65 million when including all Member States </w:t>
      </w:r>
      <w:bookmarkEnd w:id="596"/>
      <w:r w:rsidRPr="00881BC8">
        <w:rPr>
          <w:noProof/>
          <w:lang w:val="en-GB"/>
        </w:rPr>
        <w:t>(see Annex 4). Some Member States already have such enforcement bodies in place, e.g. France. While they would still bear the same yearly cost, this would not impose additional cost compared to the baseline.</w:t>
      </w:r>
      <w:r w:rsidR="000F5152" w:rsidRPr="00881BC8">
        <w:rPr>
          <w:noProof/>
          <w:lang w:val="en-GB"/>
        </w:rPr>
        <w:t xml:space="preserve"> As only a few Member States have such enforcement bodies in place already, for the analysis of costs we therefore stick to the maximum cost of EUR 60-65 million, so as to use a conservative estimate and rather overestimate than underestimate the true costs.</w:t>
      </w:r>
    </w:p>
    <w:p w14:paraId="0C8ABF3F" w14:textId="6D6A9929" w:rsidR="0056450C" w:rsidRPr="00881BC8" w:rsidRDefault="0056450C" w:rsidP="004835F8">
      <w:pPr>
        <w:pStyle w:val="NormalPara"/>
        <w:rPr>
          <w:noProof/>
          <w:lang w:val="en-GB"/>
        </w:rPr>
      </w:pPr>
      <w:r w:rsidRPr="00881BC8">
        <w:rPr>
          <w:noProof/>
          <w:lang w:val="en-GB"/>
        </w:rPr>
        <w:t xml:space="preserve">Existing enforcement bodies can also take on those tasks. For example, bodies tasked with enforcing </w:t>
      </w:r>
      <w:r w:rsidR="00643B3D" w:rsidRPr="00881BC8">
        <w:rPr>
          <w:noProof/>
          <w:lang w:val="en-GB"/>
        </w:rPr>
        <w:t xml:space="preserve">the UTP directive </w:t>
      </w:r>
      <w:r w:rsidRPr="00881BC8">
        <w:rPr>
          <w:noProof/>
          <w:lang w:val="en-GB"/>
        </w:rPr>
        <w:t>already deal with some aspects of late payments. Member States would therefore not need to set up new bod</w:t>
      </w:r>
      <w:r w:rsidR="00F6038B" w:rsidRPr="00881BC8">
        <w:rPr>
          <w:noProof/>
          <w:lang w:val="en-GB"/>
        </w:rPr>
        <w:t>ies</w:t>
      </w:r>
      <w:r w:rsidRPr="00881BC8">
        <w:rPr>
          <w:noProof/>
          <w:lang w:val="en-GB"/>
        </w:rPr>
        <w:t xml:space="preserve">, but it would be sufficient to </w:t>
      </w:r>
      <w:r w:rsidR="00C5035E" w:rsidRPr="00881BC8">
        <w:rPr>
          <w:noProof/>
          <w:lang w:val="en-GB"/>
        </w:rPr>
        <w:t>make</w:t>
      </w:r>
      <w:r w:rsidRPr="00881BC8">
        <w:rPr>
          <w:noProof/>
          <w:lang w:val="en-GB"/>
        </w:rPr>
        <w:t xml:space="preserve"> an existing body </w:t>
      </w:r>
      <w:r w:rsidR="00C5035E" w:rsidRPr="00881BC8">
        <w:rPr>
          <w:noProof/>
          <w:lang w:val="en-GB"/>
        </w:rPr>
        <w:t xml:space="preserve">responsible for </w:t>
      </w:r>
      <w:r w:rsidRPr="00881BC8">
        <w:rPr>
          <w:noProof/>
          <w:lang w:val="en-GB"/>
        </w:rPr>
        <w:t>carrying out these tasks.</w:t>
      </w:r>
    </w:p>
    <w:p w14:paraId="41D79899" w14:textId="2CDFABAF" w:rsidR="0056450C" w:rsidRPr="00881BC8" w:rsidRDefault="00C5035E" w:rsidP="004835F8">
      <w:pPr>
        <w:pStyle w:val="NormalPara"/>
        <w:rPr>
          <w:noProof/>
          <w:lang w:val="en-GB"/>
        </w:rPr>
      </w:pPr>
      <w:r w:rsidRPr="00881BC8">
        <w:rPr>
          <w:noProof/>
          <w:lang w:val="en-GB"/>
        </w:rPr>
        <w:t>Pu</w:t>
      </w:r>
      <w:r w:rsidR="0056450C" w:rsidRPr="00881BC8">
        <w:rPr>
          <w:noProof/>
          <w:lang w:val="en-GB"/>
        </w:rPr>
        <w:t>blic authorities that pay late will incur interest and compensation fees. They will either have to pay the compensation provided for or adjust their own payment behaviour.</w:t>
      </w:r>
    </w:p>
    <w:p w14:paraId="0705EEB7" w14:textId="7D7D56DF" w:rsidR="0056450C" w:rsidRPr="00881BC8" w:rsidRDefault="009A7936" w:rsidP="004835F8">
      <w:pPr>
        <w:pStyle w:val="NormalPara"/>
        <w:rPr>
          <w:noProof/>
          <w:lang w:val="en-GB"/>
        </w:rPr>
      </w:pPr>
      <w:r w:rsidRPr="00881BC8">
        <w:rPr>
          <w:noProof/>
          <w:lang w:val="en-GB"/>
        </w:rPr>
        <w:t>PO2</w:t>
      </w:r>
      <w:r w:rsidR="0056450C" w:rsidRPr="00881BC8">
        <w:rPr>
          <w:noProof/>
          <w:lang w:val="en-GB"/>
        </w:rPr>
        <w:t xml:space="preserve"> also implies costs on public authorities in their own public tenders. Public authorities </w:t>
      </w:r>
      <w:r w:rsidR="006A0961" w:rsidRPr="00881BC8">
        <w:rPr>
          <w:noProof/>
          <w:lang w:val="en-GB"/>
        </w:rPr>
        <w:t>may</w:t>
      </w:r>
      <w:r w:rsidR="0056450C" w:rsidRPr="00881BC8">
        <w:rPr>
          <w:noProof/>
          <w:lang w:val="en-GB"/>
        </w:rPr>
        <w:t xml:space="preserve"> check the payment behaviour of their contractors when verifying invoices. This w</w:t>
      </w:r>
      <w:r w:rsidR="00092B7A" w:rsidRPr="00881BC8">
        <w:rPr>
          <w:noProof/>
          <w:lang w:val="en-GB"/>
        </w:rPr>
        <w:t>ould</w:t>
      </w:r>
      <w:r w:rsidR="0056450C" w:rsidRPr="00881BC8">
        <w:rPr>
          <w:noProof/>
          <w:lang w:val="en-GB"/>
        </w:rPr>
        <w:t xml:space="preserve"> impose some verification time and cost</w:t>
      </w:r>
      <w:r w:rsidR="00D97B35" w:rsidRPr="00881BC8">
        <w:rPr>
          <w:noProof/>
          <w:lang w:val="en-GB"/>
        </w:rPr>
        <w:t xml:space="preserve"> e.g. contacting subcontractors.</w:t>
      </w:r>
    </w:p>
    <w:p w14:paraId="72EF90C6" w14:textId="6969D486" w:rsidR="0028081A" w:rsidRPr="00881BC8" w:rsidRDefault="0028081A" w:rsidP="004835F8">
      <w:pPr>
        <w:pStyle w:val="Heading3"/>
        <w:rPr>
          <w:noProof/>
        </w:rPr>
      </w:pPr>
      <w:bookmarkStart w:id="597" w:name="_Toc130889294"/>
      <w:bookmarkStart w:id="598" w:name="_Toc130911661"/>
      <w:bookmarkStart w:id="599" w:name="_Toc130889295"/>
      <w:bookmarkStart w:id="600" w:name="_Toc130911662"/>
      <w:bookmarkStart w:id="601" w:name="_Toc130889296"/>
      <w:bookmarkStart w:id="602" w:name="_Toc130911663"/>
      <w:bookmarkStart w:id="603" w:name="_Toc130889297"/>
      <w:bookmarkStart w:id="604" w:name="_Toc130911664"/>
      <w:bookmarkStart w:id="605" w:name="_Toc130889298"/>
      <w:bookmarkStart w:id="606" w:name="_Toc130911665"/>
      <w:bookmarkStart w:id="607" w:name="_Toc130889299"/>
      <w:bookmarkStart w:id="608" w:name="_Toc130911666"/>
      <w:bookmarkStart w:id="609" w:name="_Toc130889300"/>
      <w:bookmarkStart w:id="610" w:name="_Toc130911667"/>
      <w:bookmarkStart w:id="611" w:name="_Toc130889301"/>
      <w:bookmarkStart w:id="612" w:name="_Toc130911668"/>
      <w:bookmarkStart w:id="613" w:name="_Toc130395737"/>
      <w:bookmarkStart w:id="614" w:name="_Toc130403655"/>
      <w:bookmarkStart w:id="615" w:name="_Toc130395738"/>
      <w:bookmarkStart w:id="616" w:name="_Toc130403656"/>
      <w:bookmarkStart w:id="617" w:name="_Toc130395739"/>
      <w:bookmarkStart w:id="618" w:name="_Toc130403657"/>
      <w:bookmarkStart w:id="619" w:name="_Toc130395740"/>
      <w:bookmarkStart w:id="620" w:name="_Toc130403658"/>
      <w:bookmarkStart w:id="621" w:name="_Toc130395741"/>
      <w:bookmarkStart w:id="622" w:name="_Toc130403659"/>
      <w:bookmarkStart w:id="623" w:name="_Toc130395742"/>
      <w:bookmarkStart w:id="624" w:name="_Toc130403660"/>
      <w:bookmarkStart w:id="625" w:name="_Toc130395743"/>
      <w:bookmarkStart w:id="626" w:name="_Toc130403661"/>
      <w:bookmarkStart w:id="627" w:name="_Toc130395744"/>
      <w:bookmarkStart w:id="628" w:name="_Toc130403662"/>
      <w:bookmarkStart w:id="629" w:name="_Toc130395745"/>
      <w:bookmarkStart w:id="630" w:name="_Toc130403663"/>
      <w:bookmarkStart w:id="631" w:name="_Toc130395746"/>
      <w:bookmarkStart w:id="632" w:name="_Toc130403664"/>
      <w:bookmarkStart w:id="633" w:name="_Toc130395747"/>
      <w:bookmarkStart w:id="634" w:name="_Toc130403665"/>
      <w:bookmarkStart w:id="635" w:name="_Toc130395748"/>
      <w:bookmarkStart w:id="636" w:name="_Toc130403666"/>
      <w:bookmarkStart w:id="637" w:name="_Toc130395749"/>
      <w:bookmarkStart w:id="638" w:name="_Toc130403667"/>
      <w:bookmarkStart w:id="639" w:name="_Toc130395750"/>
      <w:bookmarkStart w:id="640" w:name="_Toc130403668"/>
      <w:bookmarkStart w:id="641" w:name="_Toc130395751"/>
      <w:bookmarkStart w:id="642" w:name="_Toc130403669"/>
      <w:bookmarkStart w:id="643" w:name="_Toc130395752"/>
      <w:bookmarkStart w:id="644" w:name="_Toc130403670"/>
      <w:bookmarkStart w:id="645" w:name="_Toc130395753"/>
      <w:bookmarkStart w:id="646" w:name="_Toc130403671"/>
      <w:bookmarkStart w:id="647" w:name="_Toc130395754"/>
      <w:bookmarkStart w:id="648" w:name="_Toc130403672"/>
      <w:bookmarkStart w:id="649" w:name="_Toc130395755"/>
      <w:bookmarkStart w:id="650" w:name="_Toc130403673"/>
      <w:bookmarkStart w:id="651" w:name="_Toc130395756"/>
      <w:bookmarkStart w:id="652" w:name="_Toc130403674"/>
      <w:bookmarkStart w:id="653" w:name="_Toc130395757"/>
      <w:bookmarkStart w:id="654" w:name="_Toc130403675"/>
      <w:bookmarkStart w:id="655" w:name="_Toc130395758"/>
      <w:bookmarkStart w:id="656" w:name="_Toc130403676"/>
      <w:bookmarkStart w:id="657" w:name="_Toc130395759"/>
      <w:bookmarkStart w:id="658" w:name="_Toc130403677"/>
      <w:bookmarkStart w:id="659" w:name="_Toc130395760"/>
      <w:bookmarkStart w:id="660" w:name="_Toc130403678"/>
      <w:bookmarkStart w:id="661" w:name="_Toc130395761"/>
      <w:bookmarkStart w:id="662" w:name="_Toc130403679"/>
      <w:bookmarkStart w:id="663" w:name="_Toc130395762"/>
      <w:bookmarkStart w:id="664" w:name="_Toc130403680"/>
      <w:bookmarkStart w:id="665" w:name="_Toc135237420"/>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r w:rsidRPr="00881BC8">
        <w:rPr>
          <w:noProof/>
        </w:rPr>
        <w:t xml:space="preserve">Policy Option 3: </w:t>
      </w:r>
      <w:r w:rsidR="00F92B77" w:rsidRPr="00881BC8">
        <w:rPr>
          <w:noProof/>
        </w:rPr>
        <w:t>Empowering SMEs and ensuring more fairness in business transactions</w:t>
      </w:r>
      <w:bookmarkEnd w:id="665"/>
    </w:p>
    <w:p w14:paraId="41F9129D" w14:textId="0104B095" w:rsidR="00487641" w:rsidRPr="00881BC8" w:rsidRDefault="00487641" w:rsidP="004835F8">
      <w:pPr>
        <w:pStyle w:val="Heading4"/>
        <w:rPr>
          <w:noProof/>
        </w:rPr>
      </w:pPr>
      <w:bookmarkStart w:id="666" w:name="_Toc135237421"/>
      <w:r w:rsidRPr="00881BC8">
        <w:rPr>
          <w:noProof/>
        </w:rPr>
        <w:t>Impacts on enterprises</w:t>
      </w:r>
      <w:bookmarkEnd w:id="666"/>
    </w:p>
    <w:p w14:paraId="6A8D11D8" w14:textId="77777777" w:rsidR="0056450C" w:rsidRPr="00881BC8" w:rsidRDefault="0056450C" w:rsidP="004835F8">
      <w:pPr>
        <w:pStyle w:val="Heading5"/>
        <w:rPr>
          <w:noProof/>
        </w:rPr>
      </w:pPr>
      <w:r w:rsidRPr="00881BC8">
        <w:rPr>
          <w:noProof/>
        </w:rPr>
        <w:t>Benefits</w:t>
      </w:r>
    </w:p>
    <w:p w14:paraId="40F2721F" w14:textId="1C79D213" w:rsidR="0056450C" w:rsidRPr="00881BC8" w:rsidRDefault="007818FB" w:rsidP="004835F8">
      <w:pPr>
        <w:pStyle w:val="NormalPara"/>
        <w:rPr>
          <w:noProof/>
          <w:lang w:val="en-GB"/>
        </w:rPr>
      </w:pPr>
      <w:r w:rsidRPr="00881BC8">
        <w:rPr>
          <w:noProof/>
          <w:lang w:val="en-GB"/>
        </w:rPr>
        <w:t xml:space="preserve">PO3 </w:t>
      </w:r>
      <w:r w:rsidR="0056450C" w:rsidRPr="00881BC8">
        <w:rPr>
          <w:noProof/>
          <w:lang w:val="en-GB"/>
        </w:rPr>
        <w:t xml:space="preserve">focuses mainly on ensuring </w:t>
      </w:r>
      <w:r w:rsidR="001C2098" w:rsidRPr="00881BC8">
        <w:rPr>
          <w:noProof/>
          <w:lang w:val="en-GB"/>
        </w:rPr>
        <w:t xml:space="preserve">that </w:t>
      </w:r>
      <w:r w:rsidR="0056450C" w:rsidRPr="00881BC8">
        <w:rPr>
          <w:noProof/>
          <w:lang w:val="en-GB"/>
        </w:rPr>
        <w:t xml:space="preserve">enterprises </w:t>
      </w:r>
      <w:r w:rsidR="00466DF9" w:rsidRPr="00881BC8">
        <w:rPr>
          <w:noProof/>
          <w:lang w:val="en-GB"/>
        </w:rPr>
        <w:t xml:space="preserve">whose invoices are overdue </w:t>
      </w:r>
      <w:r w:rsidR="0056450C" w:rsidRPr="00881BC8">
        <w:rPr>
          <w:noProof/>
          <w:lang w:val="en-GB"/>
        </w:rPr>
        <w:t xml:space="preserve">have </w:t>
      </w:r>
      <w:r w:rsidR="001C2098" w:rsidRPr="00881BC8">
        <w:rPr>
          <w:noProof/>
          <w:lang w:val="en-GB"/>
        </w:rPr>
        <w:t xml:space="preserve">an </w:t>
      </w:r>
      <w:r w:rsidR="0056450C" w:rsidRPr="00881BC8">
        <w:rPr>
          <w:noProof/>
          <w:lang w:val="en-GB"/>
        </w:rPr>
        <w:t xml:space="preserve">effective and affordable means of redress to ensure </w:t>
      </w:r>
      <w:r w:rsidR="00466DF9" w:rsidRPr="00881BC8">
        <w:rPr>
          <w:noProof/>
          <w:lang w:val="en-GB"/>
        </w:rPr>
        <w:t xml:space="preserve">these </w:t>
      </w:r>
      <w:r w:rsidR="0056450C" w:rsidRPr="00881BC8">
        <w:rPr>
          <w:noProof/>
          <w:lang w:val="en-GB"/>
        </w:rPr>
        <w:t>invoices are paid.</w:t>
      </w:r>
    </w:p>
    <w:p w14:paraId="3010E342" w14:textId="2E39AA22" w:rsidR="0056450C" w:rsidRPr="00881BC8" w:rsidRDefault="0056450C" w:rsidP="004835F8">
      <w:pPr>
        <w:pStyle w:val="NormalPara"/>
        <w:rPr>
          <w:noProof/>
          <w:lang w:val="en-GB"/>
        </w:rPr>
      </w:pPr>
      <w:r w:rsidRPr="00881BC8">
        <w:rPr>
          <w:noProof/>
          <w:lang w:val="en-GB"/>
        </w:rPr>
        <w:t xml:space="preserve">The main benefits to businesses from </w:t>
      </w:r>
      <w:r w:rsidR="007818FB" w:rsidRPr="00881BC8">
        <w:rPr>
          <w:noProof/>
          <w:lang w:val="en-GB"/>
        </w:rPr>
        <w:t>PO3</w:t>
      </w:r>
      <w:r w:rsidRPr="00881BC8">
        <w:rPr>
          <w:noProof/>
          <w:lang w:val="en-GB"/>
        </w:rPr>
        <w:t xml:space="preserve"> come from reduced </w:t>
      </w:r>
      <w:r w:rsidR="00B11316" w:rsidRPr="00881BC8">
        <w:rPr>
          <w:noProof/>
          <w:lang w:val="en-GB"/>
        </w:rPr>
        <w:t xml:space="preserve">enforcement </w:t>
      </w:r>
      <w:r w:rsidRPr="00881BC8">
        <w:rPr>
          <w:noProof/>
          <w:lang w:val="en-GB"/>
        </w:rPr>
        <w:t>costs to chase late payments. These are currently significant; according to some estimates, between 5 and 10% of administrative work for an SME consists of chasing late payments</w:t>
      </w:r>
      <w:r w:rsidRPr="00881BC8">
        <w:rPr>
          <w:rStyle w:val="FootnoteReference"/>
          <w:noProof/>
          <w:lang w:val="en-GB"/>
        </w:rPr>
        <w:footnoteReference w:id="121"/>
      </w:r>
      <w:r w:rsidRPr="00881BC8">
        <w:rPr>
          <w:noProof/>
          <w:lang w:val="en-GB"/>
        </w:rPr>
        <w:t>. It is difficult to quantify how much of this is down to litigation costs in the courts.</w:t>
      </w:r>
    </w:p>
    <w:p w14:paraId="12EB2635" w14:textId="3DE0F599" w:rsidR="0056450C" w:rsidRPr="00881BC8" w:rsidRDefault="00050592" w:rsidP="004835F8">
      <w:pPr>
        <w:pStyle w:val="NormalPara"/>
        <w:rPr>
          <w:noProof/>
          <w:lang w:val="en-GB"/>
        </w:rPr>
      </w:pPr>
      <w:r w:rsidRPr="00881BC8">
        <w:rPr>
          <w:noProof/>
          <w:lang w:val="en-GB"/>
        </w:rPr>
        <w:t>C</w:t>
      </w:r>
      <w:r w:rsidR="0056450C" w:rsidRPr="00881BC8">
        <w:rPr>
          <w:noProof/>
          <w:lang w:val="en-GB"/>
        </w:rPr>
        <w:t xml:space="preserve">urrently, many businesses do not take their cases to court, for fear of jeopardising a business relationship or because they cannot afford the upfront costs. In this case, alternative dispute resolution mechanisms may not produce any direct savings; however, they make it more likely for </w:t>
      </w:r>
      <w:r w:rsidR="00811736" w:rsidRPr="00881BC8">
        <w:rPr>
          <w:noProof/>
          <w:lang w:val="en-GB"/>
        </w:rPr>
        <w:t>companies</w:t>
      </w:r>
      <w:r w:rsidR="0056450C" w:rsidRPr="00881BC8">
        <w:rPr>
          <w:noProof/>
          <w:lang w:val="en-GB"/>
        </w:rPr>
        <w:t xml:space="preserve"> to seek redress in the first place.</w:t>
      </w:r>
    </w:p>
    <w:p w14:paraId="622580D0" w14:textId="08F7E6CB" w:rsidR="0056450C" w:rsidRPr="00881BC8" w:rsidRDefault="00811736" w:rsidP="004835F8">
      <w:pPr>
        <w:pStyle w:val="NormalPara"/>
        <w:rPr>
          <w:noProof/>
          <w:lang w:val="en-GB"/>
        </w:rPr>
      </w:pPr>
      <w:r w:rsidRPr="00881BC8">
        <w:rPr>
          <w:noProof/>
          <w:lang w:val="en-GB"/>
        </w:rPr>
        <w:t>Both</w:t>
      </w:r>
      <w:r w:rsidR="0056450C" w:rsidRPr="00881BC8">
        <w:rPr>
          <w:noProof/>
          <w:lang w:val="en-GB"/>
        </w:rPr>
        <w:t xml:space="preserve"> </w:t>
      </w:r>
      <w:r w:rsidRPr="00881BC8">
        <w:rPr>
          <w:noProof/>
          <w:lang w:val="en-GB"/>
        </w:rPr>
        <w:t>PO</w:t>
      </w:r>
      <w:r w:rsidR="0056450C" w:rsidRPr="00881BC8">
        <w:rPr>
          <w:noProof/>
          <w:lang w:val="en-GB"/>
        </w:rPr>
        <w:t xml:space="preserve">3a and </w:t>
      </w:r>
      <w:r w:rsidRPr="00881BC8">
        <w:rPr>
          <w:noProof/>
          <w:lang w:val="en-GB"/>
        </w:rPr>
        <w:t>PO</w:t>
      </w:r>
      <w:r w:rsidR="0056450C" w:rsidRPr="00881BC8">
        <w:rPr>
          <w:noProof/>
          <w:lang w:val="en-GB"/>
        </w:rPr>
        <w:t>3b target the same objectives. Their effectiveness in reaching these benefits differ</w:t>
      </w:r>
      <w:r w:rsidR="00407101" w:rsidRPr="00881BC8">
        <w:rPr>
          <w:noProof/>
          <w:lang w:val="en-GB"/>
        </w:rPr>
        <w:t>s</w:t>
      </w:r>
      <w:r w:rsidR="0056450C" w:rsidRPr="00881BC8">
        <w:rPr>
          <w:noProof/>
          <w:lang w:val="en-GB"/>
        </w:rPr>
        <w:t xml:space="preserve"> somewhat:</w:t>
      </w:r>
    </w:p>
    <w:p w14:paraId="53CBA94B" w14:textId="611E6D51" w:rsidR="0056450C" w:rsidRPr="00881BC8" w:rsidRDefault="0056450C" w:rsidP="004835F8">
      <w:pPr>
        <w:pStyle w:val="Text2"/>
        <w:numPr>
          <w:ilvl w:val="0"/>
          <w:numId w:val="15"/>
        </w:numPr>
        <w:rPr>
          <w:noProof/>
        </w:rPr>
      </w:pPr>
      <w:r w:rsidRPr="00881BC8">
        <w:rPr>
          <w:noProof/>
        </w:rPr>
        <w:t>PO3a (</w:t>
      </w:r>
      <w:r w:rsidR="00407101" w:rsidRPr="00881BC8">
        <w:rPr>
          <w:noProof/>
        </w:rPr>
        <w:t>n</w:t>
      </w:r>
      <w:r w:rsidRPr="00881BC8">
        <w:rPr>
          <w:noProof/>
        </w:rPr>
        <w:t xml:space="preserve">ational </w:t>
      </w:r>
      <w:r w:rsidR="00407101" w:rsidRPr="00881BC8">
        <w:rPr>
          <w:noProof/>
        </w:rPr>
        <w:t>p</w:t>
      </w:r>
      <w:r w:rsidRPr="00881BC8">
        <w:rPr>
          <w:noProof/>
        </w:rPr>
        <w:t xml:space="preserve">ayment </w:t>
      </w:r>
      <w:r w:rsidR="00407101" w:rsidRPr="00881BC8">
        <w:rPr>
          <w:noProof/>
        </w:rPr>
        <w:t>e</w:t>
      </w:r>
      <w:r w:rsidRPr="00881BC8">
        <w:rPr>
          <w:noProof/>
        </w:rPr>
        <w:t xml:space="preserve">nvoy): The </w:t>
      </w:r>
      <w:r w:rsidR="00487A07" w:rsidRPr="00881BC8">
        <w:rPr>
          <w:noProof/>
        </w:rPr>
        <w:t>e</w:t>
      </w:r>
      <w:r w:rsidRPr="00881BC8">
        <w:rPr>
          <w:noProof/>
        </w:rPr>
        <w:t xml:space="preserve">nvoy, </w:t>
      </w:r>
      <w:r w:rsidR="00407101" w:rsidRPr="00881BC8">
        <w:rPr>
          <w:noProof/>
        </w:rPr>
        <w:t>(see</w:t>
      </w:r>
      <w:r w:rsidRPr="00881BC8">
        <w:rPr>
          <w:noProof/>
        </w:rPr>
        <w:t xml:space="preserve"> </w:t>
      </w:r>
      <w:r w:rsidR="005851F4">
        <w:rPr>
          <w:noProof/>
        </w:rPr>
        <w:t>0</w:t>
      </w:r>
      <w:r w:rsidR="00972AAF" w:rsidRPr="00881BC8">
        <w:rPr>
          <w:noProof/>
        </w:rPr>
        <w:t>)</w:t>
      </w:r>
      <w:r w:rsidRPr="00881BC8">
        <w:rPr>
          <w:noProof/>
        </w:rPr>
        <w:t xml:space="preserve">, would not directly intervene in administrative disputes, unless Member States specifically empower them to do so. As the </w:t>
      </w:r>
      <w:r w:rsidR="00A819E7" w:rsidRPr="00881BC8">
        <w:rPr>
          <w:noProof/>
        </w:rPr>
        <w:t>e</w:t>
      </w:r>
      <w:r w:rsidRPr="00881BC8">
        <w:rPr>
          <w:noProof/>
        </w:rPr>
        <w:t>nvoy’s role would focus on providing advice and information, the direct benefits to businesses would not necessarily be monetary. Nonetheless, monetary benefits may materialise if the information provided leads to a recovery of unpaid debt. Extrapolating from the example of the UK’s Small Business Commissioner</w:t>
      </w:r>
      <w:r w:rsidRPr="00881BC8">
        <w:rPr>
          <w:rStyle w:val="FootnoteReference"/>
          <w:noProof/>
        </w:rPr>
        <w:footnoteReference w:id="122"/>
      </w:r>
      <w:r w:rsidR="00ED6346" w:rsidRPr="00881BC8">
        <w:rPr>
          <w:noProof/>
        </w:rPr>
        <w:t xml:space="preserve"> (see </w:t>
      </w:r>
      <w:r w:rsidR="003E614D" w:rsidRPr="00881BC8">
        <w:rPr>
          <w:noProof/>
        </w:rPr>
        <w:fldChar w:fldCharType="begin"/>
      </w:r>
      <w:r w:rsidR="003E614D" w:rsidRPr="00881BC8">
        <w:rPr>
          <w:noProof/>
        </w:rPr>
        <w:instrText xml:space="preserve"> REF Annex04 \h </w:instrText>
      </w:r>
      <w:r w:rsidR="003E614D" w:rsidRPr="00881BC8">
        <w:rPr>
          <w:noProof/>
        </w:rPr>
      </w:r>
      <w:r w:rsidR="003E614D" w:rsidRPr="00881BC8">
        <w:rPr>
          <w:noProof/>
        </w:rPr>
        <w:fldChar w:fldCharType="separate"/>
      </w:r>
      <w:r w:rsidR="005851F4" w:rsidRPr="00881BC8">
        <w:rPr>
          <w:noProof/>
        </w:rPr>
        <w:t>Annex 4</w:t>
      </w:r>
      <w:r w:rsidR="003E614D" w:rsidRPr="00881BC8">
        <w:rPr>
          <w:noProof/>
        </w:rPr>
        <w:fldChar w:fldCharType="end"/>
      </w:r>
      <w:r w:rsidR="00ED6346" w:rsidRPr="00881BC8">
        <w:rPr>
          <w:noProof/>
        </w:rPr>
        <w:t xml:space="preserve"> for full calculations and limitations linked to extrapolation)</w:t>
      </w:r>
      <w:r w:rsidRPr="00881BC8">
        <w:rPr>
          <w:noProof/>
        </w:rPr>
        <w:t xml:space="preserve">, the intervention of a </w:t>
      </w:r>
      <w:r w:rsidR="00487A07" w:rsidRPr="00881BC8">
        <w:rPr>
          <w:noProof/>
        </w:rPr>
        <w:t>p</w:t>
      </w:r>
      <w:r w:rsidRPr="00881BC8">
        <w:rPr>
          <w:noProof/>
        </w:rPr>
        <w:t xml:space="preserve">ayment </w:t>
      </w:r>
      <w:r w:rsidR="00487A07" w:rsidRPr="00881BC8">
        <w:rPr>
          <w:noProof/>
        </w:rPr>
        <w:t>e</w:t>
      </w:r>
      <w:r w:rsidRPr="00881BC8">
        <w:rPr>
          <w:noProof/>
        </w:rPr>
        <w:t>nvoy could lead to around EUR 2.6 million in recovered debt across the EU-27.</w:t>
      </w:r>
    </w:p>
    <w:p w14:paraId="472A7425" w14:textId="627A17DC" w:rsidR="0056450C" w:rsidRPr="00881BC8" w:rsidRDefault="0056450C" w:rsidP="004835F8">
      <w:pPr>
        <w:pStyle w:val="Text2"/>
        <w:numPr>
          <w:ilvl w:val="0"/>
          <w:numId w:val="15"/>
        </w:numPr>
        <w:rPr>
          <w:noProof/>
        </w:rPr>
      </w:pPr>
      <w:r w:rsidRPr="00881BC8">
        <w:rPr>
          <w:noProof/>
        </w:rPr>
        <w:t>PO3b (national mediation system): A national mediation system would more directly lead to monetary benefits for those businesses that currently rely on court litigation, and on access to dispute resolution for those businesses that currently avoid going to courts to recover unpaid debt. Extrapolating from the number of cases by the French médiateur des entreprises</w:t>
      </w:r>
      <w:r w:rsidRPr="00881BC8">
        <w:rPr>
          <w:rStyle w:val="FootnoteReference"/>
          <w:noProof/>
        </w:rPr>
        <w:footnoteReference w:id="123"/>
      </w:r>
      <w:r w:rsidRPr="00881BC8">
        <w:rPr>
          <w:noProof/>
        </w:rPr>
        <w:t xml:space="preserve">, such a system may provide mediation services for more than 70 000 </w:t>
      </w:r>
      <w:r w:rsidR="00A17D3D" w:rsidRPr="00881BC8">
        <w:rPr>
          <w:noProof/>
        </w:rPr>
        <w:t>companies</w:t>
      </w:r>
      <w:r w:rsidRPr="00881BC8">
        <w:rPr>
          <w:noProof/>
        </w:rPr>
        <w:t xml:space="preserve"> across the EU-27</w:t>
      </w:r>
      <w:r w:rsidR="00A17D3D" w:rsidRPr="00881BC8">
        <w:rPr>
          <w:noProof/>
        </w:rPr>
        <w:t>.</w:t>
      </w:r>
      <w:r w:rsidRPr="00881BC8">
        <w:rPr>
          <w:noProof/>
        </w:rPr>
        <w:t xml:space="preserve"> </w:t>
      </w:r>
      <w:r w:rsidR="00A17D3D" w:rsidRPr="00881BC8">
        <w:rPr>
          <w:noProof/>
        </w:rPr>
        <w:t>T</w:t>
      </w:r>
      <w:r w:rsidRPr="00881BC8">
        <w:rPr>
          <w:noProof/>
        </w:rPr>
        <w:t>he French mediation service reach</w:t>
      </w:r>
      <w:r w:rsidR="00A17D3D" w:rsidRPr="00881BC8">
        <w:rPr>
          <w:noProof/>
        </w:rPr>
        <w:t>es</w:t>
      </w:r>
      <w:r w:rsidRPr="00881BC8">
        <w:rPr>
          <w:noProof/>
        </w:rPr>
        <w:t xml:space="preserve"> an amicable conclusion in 70% of cases. While court fees vary significantly among Member States, assuming a median court fee of EUR 550</w:t>
      </w:r>
      <w:r w:rsidRPr="00881BC8">
        <w:rPr>
          <w:rStyle w:val="FootnoteReference"/>
          <w:noProof/>
        </w:rPr>
        <w:footnoteReference w:id="124"/>
      </w:r>
      <w:r w:rsidRPr="00881BC8">
        <w:rPr>
          <w:noProof/>
        </w:rPr>
        <w:t xml:space="preserve"> this relatively modest number of enterprises supported may already lead to total </w:t>
      </w:r>
      <w:r w:rsidR="006E1A8D" w:rsidRPr="00881BC8">
        <w:rPr>
          <w:noProof/>
        </w:rPr>
        <w:t xml:space="preserve">enforcement </w:t>
      </w:r>
      <w:r w:rsidRPr="00881BC8">
        <w:rPr>
          <w:noProof/>
        </w:rPr>
        <w:t>cost savings of nearly EUR 27 million (taking into account the 70% success rate).</w:t>
      </w:r>
    </w:p>
    <w:p w14:paraId="42B6775F" w14:textId="0FAF5EF8" w:rsidR="0056450C" w:rsidRPr="00881BC8" w:rsidRDefault="0056450C" w:rsidP="004835F8">
      <w:pPr>
        <w:pStyle w:val="NormalPara"/>
        <w:rPr>
          <w:noProof/>
          <w:lang w:val="en-GB"/>
        </w:rPr>
      </w:pPr>
      <w:r w:rsidRPr="00881BC8">
        <w:rPr>
          <w:noProof/>
          <w:lang w:val="en-GB"/>
        </w:rPr>
        <w:t xml:space="preserve">Both measures </w:t>
      </w:r>
      <w:r w:rsidR="006F27D5" w:rsidRPr="00881BC8">
        <w:rPr>
          <w:noProof/>
          <w:lang w:val="en-GB"/>
        </w:rPr>
        <w:t>are equally supported</w:t>
      </w:r>
      <w:r w:rsidRPr="00881BC8">
        <w:rPr>
          <w:noProof/>
          <w:lang w:val="en-GB"/>
        </w:rPr>
        <w:t xml:space="preserve">. In the </w:t>
      </w:r>
      <w:r w:rsidR="006F27D5" w:rsidRPr="00881BC8">
        <w:rPr>
          <w:noProof/>
          <w:lang w:val="en-GB"/>
        </w:rPr>
        <w:t>PC</w:t>
      </w:r>
      <w:r w:rsidRPr="00881BC8">
        <w:rPr>
          <w:noProof/>
          <w:lang w:val="en-GB"/>
        </w:rPr>
        <w:t xml:space="preserve">, 65% of stakeholders are positive towards a national mediation system, while 65% of SMEs in panels found the </w:t>
      </w:r>
      <w:r w:rsidR="00722BF1" w:rsidRPr="00881BC8">
        <w:rPr>
          <w:noProof/>
          <w:lang w:val="en-GB"/>
        </w:rPr>
        <w:t xml:space="preserve">national payment envoy </w:t>
      </w:r>
      <w:r w:rsidRPr="00881BC8">
        <w:rPr>
          <w:noProof/>
          <w:lang w:val="en-GB"/>
        </w:rPr>
        <w:t>useful or very useful.</w:t>
      </w:r>
    </w:p>
    <w:p w14:paraId="6D0E5FBC" w14:textId="3BEF0A3B" w:rsidR="0056450C" w:rsidRPr="00881BC8" w:rsidRDefault="0056450C" w:rsidP="004835F8">
      <w:pPr>
        <w:pStyle w:val="NormalPara"/>
        <w:rPr>
          <w:noProof/>
          <w:lang w:val="en-GB"/>
        </w:rPr>
      </w:pPr>
      <w:r w:rsidRPr="00881BC8">
        <w:rPr>
          <w:noProof/>
          <w:lang w:val="en-GB"/>
        </w:rPr>
        <w:t xml:space="preserve">Apart from these measures focusing on avoiding court cases, </w:t>
      </w:r>
      <w:r w:rsidR="00722BF1" w:rsidRPr="00881BC8">
        <w:rPr>
          <w:noProof/>
          <w:lang w:val="en-GB"/>
        </w:rPr>
        <w:t>PO3</w:t>
      </w:r>
      <w:r w:rsidRPr="00881BC8">
        <w:rPr>
          <w:noProof/>
          <w:lang w:val="en-GB"/>
        </w:rPr>
        <w:t xml:space="preserve"> foresees stronger legal protections for the creditor if a case end</w:t>
      </w:r>
      <w:r w:rsidR="00722BF1" w:rsidRPr="00881BC8">
        <w:rPr>
          <w:noProof/>
          <w:lang w:val="en-GB"/>
        </w:rPr>
        <w:t>s</w:t>
      </w:r>
      <w:r w:rsidRPr="00881BC8">
        <w:rPr>
          <w:noProof/>
          <w:lang w:val="en-GB"/>
        </w:rPr>
        <w:t xml:space="preserve"> up in court. Currently, unfair payment practices are poorly defined and it is up to the creditor to prove that a clause or contract was unfair. </w:t>
      </w:r>
    </w:p>
    <w:p w14:paraId="5B7BA289" w14:textId="028721C2" w:rsidR="0056450C" w:rsidRPr="00881BC8" w:rsidRDefault="0056450C" w:rsidP="004835F8">
      <w:pPr>
        <w:pStyle w:val="NormalPara"/>
        <w:rPr>
          <w:noProof/>
          <w:lang w:val="en-GB"/>
        </w:rPr>
      </w:pPr>
      <w:r w:rsidRPr="00881BC8">
        <w:rPr>
          <w:noProof/>
          <w:lang w:val="en-GB"/>
        </w:rPr>
        <w:t>The proposals to request Member States to specifically address the question of unfair contractual terms and practices through their applicable national law would provide direct benefit for the creditor. The creditor would save on the time needed to prove that a clause or practice is unfair.</w:t>
      </w:r>
      <w:r w:rsidR="002C64CA" w:rsidRPr="00881BC8">
        <w:rPr>
          <w:noProof/>
          <w:lang w:val="en-GB"/>
        </w:rPr>
        <w:t xml:space="preserve"> T</w:t>
      </w:r>
      <w:r w:rsidRPr="00881BC8">
        <w:rPr>
          <w:noProof/>
          <w:lang w:val="en-GB"/>
        </w:rPr>
        <w:t>his time and cost saving for the creditor translates directly into a cost for the debtor who has to prove the clause or practice is not unfair. The idea would be to make it easier for a creditor to argue a case in court pursuant to the measures introduced by Member States. It is difficult to quantify this effect, as it relies mostly on transparency and the final measures to be adopted by Member States. A business will gain a better understanding of whether it is worth going to court if it can check on a list whether the payment practice they encountered is defined as unfair. This may also reduce</w:t>
      </w:r>
      <w:r w:rsidR="002C64CA" w:rsidRPr="00881BC8">
        <w:rPr>
          <w:noProof/>
          <w:lang w:val="en-GB"/>
        </w:rPr>
        <w:t xml:space="preserve"> the number of</w:t>
      </w:r>
      <w:r w:rsidRPr="00881BC8">
        <w:rPr>
          <w:noProof/>
          <w:lang w:val="en-GB"/>
        </w:rPr>
        <w:t xml:space="preserve"> court cases; if a payment practice is openly listed as unfair according to national law, the debtor has a stronger incentive to avoid going to court in the first place.</w:t>
      </w:r>
    </w:p>
    <w:p w14:paraId="65730907" w14:textId="6936C748" w:rsidR="0056450C" w:rsidRPr="00881BC8" w:rsidRDefault="00D14CB4" w:rsidP="004835F8">
      <w:pPr>
        <w:pStyle w:val="NormalPara"/>
        <w:rPr>
          <w:noProof/>
          <w:lang w:val="en-GB"/>
        </w:rPr>
      </w:pPr>
      <w:r w:rsidRPr="00881BC8">
        <w:rPr>
          <w:noProof/>
          <w:lang w:val="en-GB"/>
        </w:rPr>
        <w:t>PO3</w:t>
      </w:r>
      <w:r w:rsidR="0056450C" w:rsidRPr="00881BC8">
        <w:rPr>
          <w:noProof/>
          <w:lang w:val="en-GB"/>
        </w:rPr>
        <w:t xml:space="preserve"> will provide the smallest direct reduction of payment delays out of the three </w:t>
      </w:r>
      <w:r w:rsidRPr="00881BC8">
        <w:rPr>
          <w:noProof/>
          <w:lang w:val="en-GB"/>
        </w:rPr>
        <w:t xml:space="preserve">policy options </w:t>
      </w:r>
      <w:r w:rsidR="0056450C" w:rsidRPr="00881BC8">
        <w:rPr>
          <w:noProof/>
          <w:lang w:val="en-GB"/>
        </w:rPr>
        <w:t xml:space="preserve">proposed, as it targets only those payments that are already late and focuses on helping the creditors recover their debts. The SME </w:t>
      </w:r>
      <w:r w:rsidR="006F4454" w:rsidRPr="00881BC8">
        <w:rPr>
          <w:noProof/>
          <w:lang w:val="en-GB"/>
        </w:rPr>
        <w:t>p</w:t>
      </w:r>
      <w:r w:rsidR="0056450C" w:rsidRPr="00881BC8">
        <w:rPr>
          <w:noProof/>
          <w:lang w:val="en-GB"/>
        </w:rPr>
        <w:t xml:space="preserve">anel has shown that 24% of SMEs rarely use mediation services, and 13% use </w:t>
      </w:r>
      <w:r w:rsidR="006F4454" w:rsidRPr="00881BC8">
        <w:rPr>
          <w:noProof/>
          <w:lang w:val="en-GB"/>
        </w:rPr>
        <w:t>them</w:t>
      </w:r>
      <w:r w:rsidR="0056450C" w:rsidRPr="00881BC8">
        <w:rPr>
          <w:noProof/>
          <w:lang w:val="en-GB"/>
        </w:rPr>
        <w:t xml:space="preserve"> often. The measures presented above could, in a realistic scenario, aim to increase the share of companies </w:t>
      </w:r>
      <w:r w:rsidR="00A50C75" w:rsidRPr="00881BC8">
        <w:rPr>
          <w:noProof/>
          <w:lang w:val="en-GB"/>
        </w:rPr>
        <w:t xml:space="preserve">‘often’ </w:t>
      </w:r>
      <w:r w:rsidR="0056450C" w:rsidRPr="00881BC8">
        <w:rPr>
          <w:noProof/>
          <w:lang w:val="en-GB"/>
        </w:rPr>
        <w:t xml:space="preserve">using mediation to the share of those currently using it </w:t>
      </w:r>
      <w:r w:rsidR="00303DFA" w:rsidRPr="00881BC8">
        <w:rPr>
          <w:noProof/>
          <w:lang w:val="en-GB"/>
        </w:rPr>
        <w:t>‘</w:t>
      </w:r>
      <w:r w:rsidR="0056450C" w:rsidRPr="00881BC8">
        <w:rPr>
          <w:noProof/>
          <w:lang w:val="en-GB"/>
        </w:rPr>
        <w:t>rarely</w:t>
      </w:r>
      <w:r w:rsidR="00303DFA" w:rsidRPr="00881BC8">
        <w:rPr>
          <w:noProof/>
          <w:lang w:val="en-GB"/>
        </w:rPr>
        <w:t>’</w:t>
      </w:r>
      <w:r w:rsidR="006F4454" w:rsidRPr="00881BC8">
        <w:rPr>
          <w:noProof/>
          <w:lang w:val="en-GB"/>
        </w:rPr>
        <w:t>, i.e.</w:t>
      </w:r>
      <w:r w:rsidR="0056450C" w:rsidRPr="00881BC8">
        <w:rPr>
          <w:noProof/>
          <w:lang w:val="en-GB"/>
        </w:rPr>
        <w:t xml:space="preserve"> an increase of 11 percentage points. Assuming that the average payment delay when a company uses mediation service</w:t>
      </w:r>
      <w:r w:rsidR="00A50C75" w:rsidRPr="00881BC8">
        <w:rPr>
          <w:noProof/>
          <w:lang w:val="en-GB"/>
        </w:rPr>
        <w:t>s</w:t>
      </w:r>
      <w:r w:rsidR="0056450C" w:rsidRPr="00881BC8">
        <w:rPr>
          <w:noProof/>
          <w:lang w:val="en-GB"/>
        </w:rPr>
        <w:t xml:space="preserve"> is reduced by 50%, </w:t>
      </w:r>
      <w:r w:rsidR="00A50C75" w:rsidRPr="00881BC8">
        <w:rPr>
          <w:noProof/>
          <w:lang w:val="en-GB"/>
        </w:rPr>
        <w:t>PO3</w:t>
      </w:r>
      <w:r w:rsidR="0056450C" w:rsidRPr="00881BC8">
        <w:rPr>
          <w:noProof/>
          <w:lang w:val="en-GB"/>
        </w:rPr>
        <w:t xml:space="preserve"> might lead to a total reduction of payment delays by 5.5%.</w:t>
      </w:r>
    </w:p>
    <w:p w14:paraId="092E49CE" w14:textId="77777777" w:rsidR="0056450C" w:rsidRPr="00881BC8" w:rsidRDefault="0056450C" w:rsidP="004835F8">
      <w:pPr>
        <w:pStyle w:val="Heading5"/>
        <w:rPr>
          <w:noProof/>
        </w:rPr>
      </w:pPr>
      <w:r w:rsidRPr="00881BC8">
        <w:rPr>
          <w:noProof/>
        </w:rPr>
        <w:t>Costs</w:t>
      </w:r>
    </w:p>
    <w:p w14:paraId="3B5EE6B4" w14:textId="6C3DDF49" w:rsidR="004C12E2" w:rsidRPr="00881BC8" w:rsidRDefault="0056450C" w:rsidP="004835F8">
      <w:pPr>
        <w:pStyle w:val="NormalPara"/>
        <w:rPr>
          <w:noProof/>
          <w:lang w:val="en-GB"/>
        </w:rPr>
      </w:pPr>
      <w:r w:rsidRPr="00881BC8">
        <w:rPr>
          <w:noProof/>
          <w:lang w:val="en-GB"/>
        </w:rPr>
        <w:t xml:space="preserve">The costs to businesses under this option are relatively limited. All parties benefit from mediation services and clear </w:t>
      </w:r>
      <w:r w:rsidR="00AE08BD" w:rsidRPr="00881BC8">
        <w:rPr>
          <w:noProof/>
          <w:lang w:val="en-GB"/>
        </w:rPr>
        <w:t>national rules</w:t>
      </w:r>
      <w:r w:rsidRPr="00881BC8">
        <w:rPr>
          <w:noProof/>
          <w:lang w:val="en-GB"/>
        </w:rPr>
        <w:t xml:space="preserve"> </w:t>
      </w:r>
      <w:r w:rsidR="00AE08BD" w:rsidRPr="00881BC8">
        <w:rPr>
          <w:noProof/>
          <w:lang w:val="en-GB"/>
        </w:rPr>
        <w:t xml:space="preserve">on </w:t>
      </w:r>
      <w:r w:rsidRPr="00881BC8">
        <w:rPr>
          <w:noProof/>
          <w:lang w:val="en-GB"/>
        </w:rPr>
        <w:t>unfair practices; even debtors will have reduced costs if cases go to a mediation system rather than to court.</w:t>
      </w:r>
      <w:r w:rsidR="004C12E2" w:rsidRPr="00881BC8">
        <w:rPr>
          <w:noProof/>
          <w:lang w:val="en-GB"/>
        </w:rPr>
        <w:t xml:space="preserve"> Indirect effects could include a reduction in income for commercial providers of financial training or mediation.</w:t>
      </w:r>
    </w:p>
    <w:p w14:paraId="08EDBFE0" w14:textId="5EA47318" w:rsidR="00487641" w:rsidRPr="00881BC8" w:rsidRDefault="00487641" w:rsidP="004835F8">
      <w:pPr>
        <w:pStyle w:val="Heading4"/>
        <w:rPr>
          <w:noProof/>
        </w:rPr>
      </w:pPr>
      <w:bookmarkStart w:id="667" w:name="_Toc130889304"/>
      <w:bookmarkStart w:id="668" w:name="_Toc130911671"/>
      <w:bookmarkStart w:id="669" w:name="_Toc130889305"/>
      <w:bookmarkStart w:id="670" w:name="_Toc130911672"/>
      <w:bookmarkStart w:id="671" w:name="_Toc130889306"/>
      <w:bookmarkStart w:id="672" w:name="_Toc130911673"/>
      <w:bookmarkStart w:id="673" w:name="_Toc130889307"/>
      <w:bookmarkStart w:id="674" w:name="_Toc130911674"/>
      <w:bookmarkStart w:id="675" w:name="_Toc130889308"/>
      <w:bookmarkStart w:id="676" w:name="_Toc130911675"/>
      <w:bookmarkStart w:id="677" w:name="_Toc130889309"/>
      <w:bookmarkStart w:id="678" w:name="_Toc130911676"/>
      <w:bookmarkStart w:id="679" w:name="_Toc130889310"/>
      <w:bookmarkStart w:id="680" w:name="_Toc130911677"/>
      <w:bookmarkStart w:id="681" w:name="_Toc130889311"/>
      <w:bookmarkStart w:id="682" w:name="_Toc130911678"/>
      <w:bookmarkStart w:id="683" w:name="_Toc130889312"/>
      <w:bookmarkStart w:id="684" w:name="_Toc130911679"/>
      <w:bookmarkStart w:id="685" w:name="_Toc130889313"/>
      <w:bookmarkStart w:id="686" w:name="_Toc130911680"/>
      <w:bookmarkStart w:id="687" w:name="_Toc130889314"/>
      <w:bookmarkStart w:id="688" w:name="_Toc130911681"/>
      <w:bookmarkStart w:id="689" w:name="_Toc130889315"/>
      <w:bookmarkStart w:id="690" w:name="_Toc130911682"/>
      <w:bookmarkStart w:id="691" w:name="_Toc130889316"/>
      <w:bookmarkStart w:id="692" w:name="_Toc130911683"/>
      <w:bookmarkStart w:id="693" w:name="_Toc130502365"/>
      <w:bookmarkStart w:id="694" w:name="_Toc130502506"/>
      <w:bookmarkStart w:id="695" w:name="_Toc130502366"/>
      <w:bookmarkStart w:id="696" w:name="_Toc130502507"/>
      <w:bookmarkStart w:id="697" w:name="_Toc130502367"/>
      <w:bookmarkStart w:id="698" w:name="_Toc130502508"/>
      <w:bookmarkStart w:id="699" w:name="_Ref131309643"/>
      <w:bookmarkStart w:id="700" w:name="_Toc135237422"/>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r w:rsidRPr="00881BC8">
        <w:rPr>
          <w:noProof/>
        </w:rPr>
        <w:t>Impact on SMEs and competitiveness</w:t>
      </w:r>
      <w:bookmarkEnd w:id="699"/>
      <w:bookmarkEnd w:id="700"/>
    </w:p>
    <w:p w14:paraId="325E34C9" w14:textId="5F2E7152" w:rsidR="0056450C" w:rsidRPr="00881BC8" w:rsidRDefault="0056450C" w:rsidP="004835F8">
      <w:pPr>
        <w:pStyle w:val="NormalPara"/>
        <w:rPr>
          <w:noProof/>
          <w:lang w:val="en-GB"/>
        </w:rPr>
      </w:pPr>
      <w:r w:rsidRPr="00881BC8">
        <w:rPr>
          <w:noProof/>
          <w:lang w:val="en-GB"/>
        </w:rPr>
        <w:t xml:space="preserve">The measures under </w:t>
      </w:r>
      <w:r w:rsidR="007B332C" w:rsidRPr="00881BC8">
        <w:rPr>
          <w:noProof/>
          <w:lang w:val="en-GB"/>
        </w:rPr>
        <w:t>PO3</w:t>
      </w:r>
      <w:r w:rsidRPr="00881BC8">
        <w:rPr>
          <w:noProof/>
          <w:lang w:val="en-GB"/>
        </w:rPr>
        <w:t xml:space="preserve"> are targeted at SMEs. SMEs </w:t>
      </w:r>
      <w:r w:rsidR="007B332C" w:rsidRPr="00881BC8">
        <w:rPr>
          <w:noProof/>
          <w:lang w:val="en-GB"/>
        </w:rPr>
        <w:t xml:space="preserve">usually </w:t>
      </w:r>
      <w:r w:rsidRPr="00881BC8">
        <w:rPr>
          <w:noProof/>
          <w:lang w:val="en-GB"/>
        </w:rPr>
        <w:t>avoid going to court, for lack of financial means or fear of jeopardising business relationships, and SMEs are therefore most likely to benefit from mediation services or a national payment envoy.</w:t>
      </w:r>
    </w:p>
    <w:p w14:paraId="631BDE48" w14:textId="3EEA9174" w:rsidR="0056450C" w:rsidRPr="00881BC8" w:rsidRDefault="0056450C" w:rsidP="004835F8">
      <w:pPr>
        <w:pStyle w:val="NormalPara"/>
        <w:rPr>
          <w:noProof/>
          <w:lang w:val="en-GB"/>
        </w:rPr>
      </w:pPr>
      <w:r w:rsidRPr="00881BC8">
        <w:rPr>
          <w:noProof/>
          <w:lang w:val="en-GB"/>
        </w:rPr>
        <w:t>Currently, relatively few SMEs use mediation or arbitration services (in the SME Panel, only 7.4% of SMEs stated they used mediation the last time they were paid late, and only 3% used arbitration)</w:t>
      </w:r>
      <w:r w:rsidR="0075668B" w:rsidRPr="00881BC8">
        <w:rPr>
          <w:noProof/>
          <w:lang w:val="en-GB"/>
        </w:rPr>
        <w:t>. This</w:t>
      </w:r>
      <w:r w:rsidRPr="00881BC8">
        <w:rPr>
          <w:noProof/>
          <w:lang w:val="en-GB"/>
        </w:rPr>
        <w:t xml:space="preserve"> is largely due to the fact that mediation services are not widespread. A national system of mediation </w:t>
      </w:r>
      <w:r w:rsidR="0075668B" w:rsidRPr="00881BC8">
        <w:rPr>
          <w:noProof/>
          <w:lang w:val="en-GB"/>
        </w:rPr>
        <w:t>would</w:t>
      </w:r>
      <w:r w:rsidRPr="00881BC8">
        <w:rPr>
          <w:noProof/>
          <w:lang w:val="en-GB"/>
        </w:rPr>
        <w:t xml:space="preserve"> likely </w:t>
      </w:r>
      <w:r w:rsidR="0075668B" w:rsidRPr="00881BC8">
        <w:rPr>
          <w:noProof/>
          <w:lang w:val="en-GB"/>
        </w:rPr>
        <w:t xml:space="preserve">bring them closer </w:t>
      </w:r>
      <w:r w:rsidRPr="00881BC8">
        <w:rPr>
          <w:noProof/>
          <w:lang w:val="en-GB"/>
        </w:rPr>
        <w:t>to SMEs.</w:t>
      </w:r>
    </w:p>
    <w:p w14:paraId="3F2B5323" w14:textId="74371C86" w:rsidR="0056450C" w:rsidRPr="00881BC8" w:rsidRDefault="0056450C" w:rsidP="004835F8">
      <w:pPr>
        <w:pStyle w:val="NormalPara"/>
        <w:rPr>
          <w:noProof/>
          <w:lang w:val="en-GB"/>
        </w:rPr>
      </w:pPr>
      <w:r w:rsidRPr="00881BC8">
        <w:rPr>
          <w:noProof/>
          <w:lang w:val="en-GB"/>
        </w:rPr>
        <w:t xml:space="preserve">Competitiveness is overall expected to be enhanced. As in option PO1, reducing late payments will lead to an increase in aggregate cash flow, which will have a positive effect on price/cost competitiveness as well as innovation competitiveness. Both PO3a and PO3b are unlikely to have any effect on international </w:t>
      </w:r>
      <w:r w:rsidR="00D332CE" w:rsidRPr="00881BC8">
        <w:rPr>
          <w:noProof/>
          <w:lang w:val="en-GB"/>
        </w:rPr>
        <w:t>competitiveness because</w:t>
      </w:r>
      <w:r w:rsidRPr="00881BC8">
        <w:rPr>
          <w:noProof/>
          <w:lang w:val="en-GB"/>
        </w:rPr>
        <w:t xml:space="preserve"> they focus on providing alternative means of redress which companies are free to use or not.</w:t>
      </w:r>
    </w:p>
    <w:p w14:paraId="13EA2D0D" w14:textId="35E20E69" w:rsidR="00487641" w:rsidRPr="00881BC8" w:rsidRDefault="00487641" w:rsidP="004835F8">
      <w:pPr>
        <w:pStyle w:val="Heading4"/>
        <w:rPr>
          <w:noProof/>
        </w:rPr>
      </w:pPr>
      <w:bookmarkStart w:id="701" w:name="_Toc130889318"/>
      <w:bookmarkStart w:id="702" w:name="_Toc130911685"/>
      <w:bookmarkStart w:id="703" w:name="_Toc130889319"/>
      <w:bookmarkStart w:id="704" w:name="_Toc130911686"/>
      <w:bookmarkStart w:id="705" w:name="_Toc135237423"/>
      <w:bookmarkEnd w:id="701"/>
      <w:bookmarkEnd w:id="702"/>
      <w:bookmarkEnd w:id="703"/>
      <w:bookmarkEnd w:id="704"/>
      <w:r w:rsidRPr="00881BC8">
        <w:rPr>
          <w:noProof/>
        </w:rPr>
        <w:t>Impacts on public authorities</w:t>
      </w:r>
      <w:bookmarkEnd w:id="705"/>
    </w:p>
    <w:p w14:paraId="0E771D68" w14:textId="77777777" w:rsidR="0056450C" w:rsidRPr="00881BC8" w:rsidRDefault="0056450C" w:rsidP="004835F8">
      <w:pPr>
        <w:pStyle w:val="Heading5"/>
        <w:rPr>
          <w:noProof/>
        </w:rPr>
      </w:pPr>
      <w:r w:rsidRPr="00881BC8">
        <w:rPr>
          <w:noProof/>
        </w:rPr>
        <w:t>Benefits</w:t>
      </w:r>
    </w:p>
    <w:p w14:paraId="0AAFCDC4" w14:textId="4C6E7A50" w:rsidR="0056450C" w:rsidRPr="00881BC8" w:rsidRDefault="0056450C" w:rsidP="004835F8">
      <w:pPr>
        <w:pStyle w:val="NormalPara"/>
        <w:rPr>
          <w:noProof/>
          <w:lang w:val="en-GB"/>
        </w:rPr>
      </w:pPr>
      <w:r w:rsidRPr="00881BC8">
        <w:rPr>
          <w:noProof/>
          <w:lang w:val="en-GB"/>
        </w:rPr>
        <w:t>Public authorities are also likely to benefit if their own delayed payments are resolved through a mediation service</w:t>
      </w:r>
      <w:r w:rsidR="00F029E9" w:rsidRPr="00881BC8">
        <w:rPr>
          <w:noProof/>
          <w:lang w:val="en-GB"/>
        </w:rPr>
        <w:t xml:space="preserve"> rather</w:t>
      </w:r>
      <w:r w:rsidRPr="00881BC8">
        <w:rPr>
          <w:noProof/>
          <w:lang w:val="en-GB"/>
        </w:rPr>
        <w:t xml:space="preserve"> than through court action. The effect of this is estimated to be fairly limited</w:t>
      </w:r>
      <w:r w:rsidR="00F029E9" w:rsidRPr="00881BC8">
        <w:rPr>
          <w:noProof/>
          <w:lang w:val="en-GB"/>
        </w:rPr>
        <w:t>.</w:t>
      </w:r>
      <w:r w:rsidRPr="00881BC8">
        <w:rPr>
          <w:noProof/>
          <w:lang w:val="en-GB"/>
        </w:rPr>
        <w:t xml:space="preserve"> </w:t>
      </w:r>
      <w:r w:rsidR="00F029E9" w:rsidRPr="00881BC8">
        <w:rPr>
          <w:noProof/>
          <w:lang w:val="en-GB"/>
        </w:rPr>
        <w:t>T</w:t>
      </w:r>
      <w:r w:rsidRPr="00881BC8">
        <w:rPr>
          <w:noProof/>
          <w:lang w:val="en-GB"/>
        </w:rPr>
        <w:t xml:space="preserve">he UK’s Small Business Commissioner </w:t>
      </w:r>
      <w:r w:rsidR="004666A6" w:rsidRPr="00881BC8">
        <w:rPr>
          <w:noProof/>
          <w:lang w:val="en-GB"/>
        </w:rPr>
        <w:t>covers</w:t>
      </w:r>
      <w:r w:rsidRPr="00881BC8">
        <w:rPr>
          <w:noProof/>
          <w:lang w:val="en-GB"/>
        </w:rPr>
        <w:t xml:space="preserve"> </w:t>
      </w:r>
      <w:r w:rsidR="004666A6" w:rsidRPr="00881BC8">
        <w:rPr>
          <w:noProof/>
          <w:lang w:val="en-GB"/>
        </w:rPr>
        <w:t xml:space="preserve">only </w:t>
      </w:r>
      <w:r w:rsidRPr="00881BC8">
        <w:rPr>
          <w:noProof/>
          <w:lang w:val="en-GB"/>
        </w:rPr>
        <w:t>B2B disputes and not disputes with public authorities.</w:t>
      </w:r>
    </w:p>
    <w:p w14:paraId="15758769" w14:textId="1F6C1FEC" w:rsidR="0056450C" w:rsidRPr="00881BC8" w:rsidRDefault="0056450C" w:rsidP="004835F8">
      <w:pPr>
        <w:pStyle w:val="NormalPara"/>
        <w:rPr>
          <w:noProof/>
          <w:lang w:val="en-GB"/>
        </w:rPr>
      </w:pPr>
      <w:r w:rsidRPr="00881BC8">
        <w:rPr>
          <w:noProof/>
          <w:lang w:val="en-GB"/>
        </w:rPr>
        <w:t>In addition, public authorities will see a smaller burden on their judicial system if more cases end up solved in mediation services or avoid court cases.</w:t>
      </w:r>
    </w:p>
    <w:p w14:paraId="06631ABA" w14:textId="77777777" w:rsidR="0056450C" w:rsidRPr="00881BC8" w:rsidRDefault="0056450C" w:rsidP="004835F8">
      <w:pPr>
        <w:pStyle w:val="Heading5"/>
        <w:rPr>
          <w:noProof/>
        </w:rPr>
      </w:pPr>
      <w:r w:rsidRPr="00881BC8">
        <w:rPr>
          <w:noProof/>
        </w:rPr>
        <w:t>Costs</w:t>
      </w:r>
    </w:p>
    <w:p w14:paraId="23050A71" w14:textId="6EFF9841" w:rsidR="0056450C" w:rsidRPr="00881BC8" w:rsidRDefault="0056450C" w:rsidP="004835F8">
      <w:pPr>
        <w:pStyle w:val="NormalPara"/>
        <w:rPr>
          <w:noProof/>
          <w:lang w:val="en-GB"/>
        </w:rPr>
      </w:pPr>
      <w:r w:rsidRPr="00881BC8">
        <w:rPr>
          <w:noProof/>
          <w:lang w:val="en-GB"/>
        </w:rPr>
        <w:t xml:space="preserve">The costs on public authorities stem mainly from having to set up and run the office of the </w:t>
      </w:r>
      <w:r w:rsidR="004318E7" w:rsidRPr="00881BC8">
        <w:rPr>
          <w:noProof/>
          <w:lang w:val="en-GB"/>
        </w:rPr>
        <w:t xml:space="preserve">national payment envoy or </w:t>
      </w:r>
      <w:r w:rsidRPr="00881BC8">
        <w:rPr>
          <w:noProof/>
          <w:lang w:val="en-GB"/>
        </w:rPr>
        <w:t>the national mediation service. Based on similar existing bodies, the cost of the sub-options on Member States can be quantified as follows:</w:t>
      </w:r>
    </w:p>
    <w:p w14:paraId="136E65B9" w14:textId="104FB38C" w:rsidR="0056450C" w:rsidRPr="00881BC8" w:rsidRDefault="0056450C" w:rsidP="004835F8">
      <w:pPr>
        <w:pStyle w:val="Text2"/>
        <w:numPr>
          <w:ilvl w:val="0"/>
          <w:numId w:val="16"/>
        </w:numPr>
        <w:rPr>
          <w:noProof/>
        </w:rPr>
      </w:pPr>
      <w:r w:rsidRPr="00881BC8">
        <w:rPr>
          <w:noProof/>
        </w:rPr>
        <w:t>PO3a (</w:t>
      </w:r>
      <w:r w:rsidR="004318E7" w:rsidRPr="00881BC8">
        <w:rPr>
          <w:noProof/>
        </w:rPr>
        <w:t>national payment envoy</w:t>
      </w:r>
      <w:r w:rsidRPr="00881BC8">
        <w:rPr>
          <w:noProof/>
        </w:rPr>
        <w:t>): Extrapolating from the case of the UK’s Small Business Commissioner, such an office will pose a recurring cost on Member States of EUR 11.8 million per year.</w:t>
      </w:r>
    </w:p>
    <w:p w14:paraId="0D41276D" w14:textId="5A179A75" w:rsidR="0056450C" w:rsidRPr="00881BC8" w:rsidRDefault="0056450C" w:rsidP="004835F8">
      <w:pPr>
        <w:pStyle w:val="Text2"/>
        <w:numPr>
          <w:ilvl w:val="0"/>
          <w:numId w:val="16"/>
        </w:numPr>
        <w:rPr>
          <w:noProof/>
        </w:rPr>
      </w:pPr>
      <w:r w:rsidRPr="00881BC8">
        <w:rPr>
          <w:noProof/>
        </w:rPr>
        <w:t xml:space="preserve">PO3b (national mediation system): </w:t>
      </w:r>
      <w:r w:rsidR="00E123FE" w:rsidRPr="00881BC8">
        <w:rPr>
          <w:noProof/>
        </w:rPr>
        <w:t>t</w:t>
      </w:r>
      <w:r w:rsidR="00B67FEE" w:rsidRPr="00881BC8">
        <w:rPr>
          <w:noProof/>
        </w:rPr>
        <w:t>he Commission launched in 2023 a pilot project to design and implement mediation in the construction sector</w:t>
      </w:r>
      <w:r w:rsidR="00B67FEE" w:rsidRPr="00881BC8">
        <w:rPr>
          <w:rStyle w:val="FootnoteReference"/>
          <w:noProof/>
        </w:rPr>
        <w:footnoteReference w:id="125"/>
      </w:r>
      <w:r w:rsidR="00B67FEE" w:rsidRPr="00881BC8">
        <w:rPr>
          <w:noProof/>
        </w:rPr>
        <w:t xml:space="preserve"> </w:t>
      </w:r>
      <w:r w:rsidRPr="00881BC8">
        <w:rPr>
          <w:noProof/>
        </w:rPr>
        <w:t>in Belgium. Extrapolating from this pilot to all sectors and all EU Member States, we can estimate a recurring adjustment cost on Member States per year of between EUR</w:t>
      </w:r>
      <w:r w:rsidR="007106E0" w:rsidRPr="00881BC8">
        <w:rPr>
          <w:noProof/>
        </w:rPr>
        <w:t> </w:t>
      </w:r>
      <w:r w:rsidRPr="00881BC8">
        <w:rPr>
          <w:noProof/>
        </w:rPr>
        <w:t>10.8 million and EUR</w:t>
      </w:r>
      <w:r w:rsidR="007106E0" w:rsidRPr="00881BC8">
        <w:rPr>
          <w:noProof/>
        </w:rPr>
        <w:t> </w:t>
      </w:r>
      <w:r w:rsidRPr="00881BC8">
        <w:rPr>
          <w:noProof/>
        </w:rPr>
        <w:t xml:space="preserve">39.8 million. The difference mainly stems from whether companies’ access to mediation is </w:t>
      </w:r>
      <w:r w:rsidR="006F4B79" w:rsidRPr="00881BC8">
        <w:rPr>
          <w:noProof/>
        </w:rPr>
        <w:t xml:space="preserve">fully covered by the state </w:t>
      </w:r>
      <w:r w:rsidR="00E123FE" w:rsidRPr="00881BC8">
        <w:rPr>
          <w:noProof/>
        </w:rPr>
        <w:t>(in compliance with state aid rules)</w:t>
      </w:r>
      <w:r w:rsidRPr="00881BC8">
        <w:rPr>
          <w:noProof/>
        </w:rPr>
        <w:t xml:space="preserve"> or some cost would remain to be borne by the companies using </w:t>
      </w:r>
      <w:r w:rsidR="00EE50C6" w:rsidRPr="00881BC8">
        <w:rPr>
          <w:noProof/>
        </w:rPr>
        <w:t xml:space="preserve">the </w:t>
      </w:r>
      <w:r w:rsidRPr="00881BC8">
        <w:rPr>
          <w:noProof/>
        </w:rPr>
        <w:t>mediation service.</w:t>
      </w:r>
    </w:p>
    <w:p w14:paraId="3AEC3F85" w14:textId="6618C52C" w:rsidR="000F5152" w:rsidRPr="00881BC8" w:rsidRDefault="000F5152" w:rsidP="000F5152">
      <w:pPr>
        <w:pStyle w:val="NormalPara"/>
        <w:rPr>
          <w:noProof/>
          <w:lang w:val="en-GB"/>
        </w:rPr>
      </w:pPr>
      <w:r w:rsidRPr="00881BC8">
        <w:rPr>
          <w:noProof/>
          <w:lang w:val="en-GB"/>
        </w:rPr>
        <w:t>For both PO3a and PO3b, a few Member States already have such bodies or systems in place. However, as this is only the case for a few Member States, for the analysis of costs we stick to the maximum cost, so as to use a conservative estimate and rather overestimate than underestimate the true costs.</w:t>
      </w:r>
    </w:p>
    <w:p w14:paraId="17924370" w14:textId="6D91D476" w:rsidR="0056450C" w:rsidRPr="00881BC8" w:rsidRDefault="0056450C" w:rsidP="004835F8">
      <w:pPr>
        <w:pStyle w:val="NormalPara"/>
        <w:rPr>
          <w:noProof/>
          <w:lang w:val="en-GB"/>
        </w:rPr>
      </w:pPr>
      <w:r w:rsidRPr="00881BC8">
        <w:rPr>
          <w:noProof/>
          <w:lang w:val="en-GB"/>
        </w:rPr>
        <w:t xml:space="preserve">In addition, there are some one-off costs on public authorities in Member States to specifically address the question of unfair contractual terms and practices through their applicable national law. These one-off costs are estimated to be limited and can be covered by public authority staff under a </w:t>
      </w:r>
      <w:r w:rsidR="00303DFA" w:rsidRPr="00881BC8">
        <w:rPr>
          <w:noProof/>
          <w:lang w:val="en-GB"/>
        </w:rPr>
        <w:t>‘</w:t>
      </w:r>
      <w:r w:rsidRPr="00881BC8">
        <w:rPr>
          <w:noProof/>
          <w:lang w:val="en-GB"/>
        </w:rPr>
        <w:t>business as usual</w:t>
      </w:r>
      <w:r w:rsidR="00303DFA" w:rsidRPr="00881BC8">
        <w:rPr>
          <w:noProof/>
          <w:lang w:val="en-GB"/>
        </w:rPr>
        <w:t>’</w:t>
      </w:r>
      <w:r w:rsidRPr="00881BC8">
        <w:rPr>
          <w:noProof/>
          <w:lang w:val="en-GB"/>
        </w:rPr>
        <w:t xml:space="preserve"> scenario.</w:t>
      </w:r>
    </w:p>
    <w:p w14:paraId="3F6361F6" w14:textId="2E3A4CFF" w:rsidR="006B087E" w:rsidRPr="00881BC8" w:rsidRDefault="002B5568" w:rsidP="004835F8">
      <w:pPr>
        <w:pStyle w:val="Heading2"/>
        <w:rPr>
          <w:noProof/>
        </w:rPr>
      </w:pPr>
      <w:bookmarkStart w:id="706" w:name="_Toc130889321"/>
      <w:bookmarkStart w:id="707" w:name="_Toc130911688"/>
      <w:bookmarkStart w:id="708" w:name="_Toc130889322"/>
      <w:bookmarkStart w:id="709" w:name="_Toc130911689"/>
      <w:bookmarkStart w:id="710" w:name="_Toc130889323"/>
      <w:bookmarkStart w:id="711" w:name="_Toc130911690"/>
      <w:bookmarkStart w:id="712" w:name="_Toc130889324"/>
      <w:bookmarkStart w:id="713" w:name="_Toc130911691"/>
      <w:bookmarkStart w:id="714" w:name="_Toc130889325"/>
      <w:bookmarkStart w:id="715" w:name="_Toc130911692"/>
      <w:bookmarkStart w:id="716" w:name="_Toc130889326"/>
      <w:bookmarkStart w:id="717" w:name="_Toc130911693"/>
      <w:bookmarkStart w:id="718" w:name="_Toc130889327"/>
      <w:bookmarkStart w:id="719" w:name="_Toc130911694"/>
      <w:bookmarkStart w:id="720" w:name="_Toc130889328"/>
      <w:bookmarkStart w:id="721" w:name="_Toc130911695"/>
      <w:bookmarkStart w:id="722" w:name="_Toc130889329"/>
      <w:bookmarkStart w:id="723" w:name="_Toc130911696"/>
      <w:bookmarkStart w:id="724" w:name="_Toc130889330"/>
      <w:bookmarkStart w:id="725" w:name="_Toc130911697"/>
      <w:bookmarkStart w:id="726" w:name="_Toc130395767"/>
      <w:bookmarkStart w:id="727" w:name="_Toc130403685"/>
      <w:bookmarkStart w:id="728" w:name="_Toc130395768"/>
      <w:bookmarkStart w:id="729" w:name="_Toc130403686"/>
      <w:bookmarkStart w:id="730" w:name="_Toc130395769"/>
      <w:bookmarkStart w:id="731" w:name="_Toc130403687"/>
      <w:bookmarkStart w:id="732" w:name="_Toc130395770"/>
      <w:bookmarkStart w:id="733" w:name="_Toc130403688"/>
      <w:bookmarkStart w:id="734" w:name="_Toc130395771"/>
      <w:bookmarkStart w:id="735" w:name="_Toc130403689"/>
      <w:bookmarkStart w:id="736" w:name="_Toc130395772"/>
      <w:bookmarkStart w:id="737" w:name="_Toc130403690"/>
      <w:bookmarkStart w:id="738" w:name="_Toc130395773"/>
      <w:bookmarkStart w:id="739" w:name="_Toc130403691"/>
      <w:bookmarkStart w:id="740" w:name="_Toc130395774"/>
      <w:bookmarkStart w:id="741" w:name="_Toc130403692"/>
      <w:bookmarkStart w:id="742" w:name="_Toc130395775"/>
      <w:bookmarkStart w:id="743" w:name="_Toc130403693"/>
      <w:bookmarkStart w:id="744" w:name="_Toc130395776"/>
      <w:bookmarkStart w:id="745" w:name="_Toc130403694"/>
      <w:bookmarkStart w:id="746" w:name="_Toc130395777"/>
      <w:bookmarkStart w:id="747" w:name="_Toc130403695"/>
      <w:bookmarkStart w:id="748" w:name="_Toc130395778"/>
      <w:bookmarkStart w:id="749" w:name="_Toc130403696"/>
      <w:bookmarkStart w:id="750" w:name="_Toc130395779"/>
      <w:bookmarkStart w:id="751" w:name="_Toc130403697"/>
      <w:bookmarkStart w:id="752" w:name="_Toc130395780"/>
      <w:bookmarkStart w:id="753" w:name="_Toc130403698"/>
      <w:bookmarkStart w:id="754" w:name="_Toc130395781"/>
      <w:bookmarkStart w:id="755" w:name="_Toc130403699"/>
      <w:bookmarkStart w:id="756" w:name="_Toc130395782"/>
      <w:bookmarkStart w:id="757" w:name="_Toc130403700"/>
      <w:bookmarkStart w:id="758" w:name="_Toc130395783"/>
      <w:bookmarkStart w:id="759" w:name="_Toc130403701"/>
      <w:bookmarkStart w:id="760" w:name="_Toc130395784"/>
      <w:bookmarkStart w:id="761" w:name="_Toc130403702"/>
      <w:bookmarkStart w:id="762" w:name="_Toc130395785"/>
      <w:bookmarkStart w:id="763" w:name="_Toc130403703"/>
      <w:bookmarkStart w:id="764" w:name="_Toc130395786"/>
      <w:bookmarkStart w:id="765" w:name="_Toc130403704"/>
      <w:bookmarkStart w:id="766" w:name="_Toc130395787"/>
      <w:bookmarkStart w:id="767" w:name="_Toc130403705"/>
      <w:bookmarkStart w:id="768" w:name="_Toc130395788"/>
      <w:bookmarkStart w:id="769" w:name="_Toc130403706"/>
      <w:bookmarkStart w:id="770" w:name="_Toc130395789"/>
      <w:bookmarkStart w:id="771" w:name="_Toc130403707"/>
      <w:bookmarkStart w:id="772" w:name="_Toc130395790"/>
      <w:bookmarkStart w:id="773" w:name="_Toc130403708"/>
      <w:bookmarkStart w:id="774" w:name="_Toc130395791"/>
      <w:bookmarkStart w:id="775" w:name="_Toc130403709"/>
      <w:bookmarkStart w:id="776" w:name="_Toc130395792"/>
      <w:bookmarkStart w:id="777" w:name="_Toc130403710"/>
      <w:bookmarkStart w:id="778" w:name="_Toc129710199"/>
      <w:bookmarkStart w:id="779" w:name="_Toc129899904"/>
      <w:bookmarkStart w:id="780" w:name="_Toc135237424"/>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r w:rsidRPr="00881BC8">
        <w:rPr>
          <w:noProof/>
        </w:rPr>
        <w:t>Social impacts</w:t>
      </w:r>
      <w:bookmarkEnd w:id="778"/>
      <w:bookmarkEnd w:id="779"/>
      <w:bookmarkEnd w:id="780"/>
    </w:p>
    <w:p w14:paraId="49F2BED4" w14:textId="77777777" w:rsidR="0056450C" w:rsidRPr="00881BC8" w:rsidRDefault="0056450C" w:rsidP="004835F8">
      <w:pPr>
        <w:pStyle w:val="NormalPara"/>
        <w:rPr>
          <w:noProof/>
          <w:lang w:val="en-GB"/>
        </w:rPr>
      </w:pPr>
      <w:r w:rsidRPr="00881BC8">
        <w:rPr>
          <w:noProof/>
          <w:lang w:val="en-GB"/>
        </w:rPr>
        <w:t>All policy options will have a social impact, particularly on employment, fairness in business culture and wellbeing of entrepreneurs.</w:t>
      </w:r>
    </w:p>
    <w:p w14:paraId="008FA801" w14:textId="34771078" w:rsidR="0056450C" w:rsidRPr="00881BC8" w:rsidRDefault="0056450C" w:rsidP="004835F8">
      <w:pPr>
        <w:pStyle w:val="NormalPara"/>
        <w:rPr>
          <w:noProof/>
          <w:lang w:val="en-GB"/>
        </w:rPr>
      </w:pPr>
      <w:r w:rsidRPr="00881BC8">
        <w:rPr>
          <w:noProof/>
          <w:lang w:val="en-GB"/>
        </w:rPr>
        <w:t xml:space="preserve">A reduction in late payment as estimated under all </w:t>
      </w:r>
      <w:r w:rsidR="00D3037D" w:rsidRPr="00881BC8">
        <w:rPr>
          <w:noProof/>
          <w:lang w:val="en-GB"/>
        </w:rPr>
        <w:t xml:space="preserve">policy options </w:t>
      </w:r>
      <w:r w:rsidRPr="00881BC8">
        <w:rPr>
          <w:noProof/>
          <w:lang w:val="en-GB"/>
        </w:rPr>
        <w:t xml:space="preserve">above could lead to an increase in employment. The evidence for each day of reduced late payments is difficult to </w:t>
      </w:r>
      <w:r w:rsidR="00E43524" w:rsidRPr="00881BC8">
        <w:rPr>
          <w:noProof/>
          <w:lang w:val="en-GB"/>
        </w:rPr>
        <w:t xml:space="preserve">directly </w:t>
      </w:r>
      <w:r w:rsidRPr="00881BC8">
        <w:rPr>
          <w:noProof/>
          <w:lang w:val="en-GB"/>
        </w:rPr>
        <w:t xml:space="preserve">quantify. However, assuming the figure of 6 million jobs if all payments were made on time (see </w:t>
      </w:r>
      <w:r w:rsidR="00E43524" w:rsidRPr="00881BC8">
        <w:rPr>
          <w:noProof/>
          <w:lang w:val="en-GB"/>
        </w:rPr>
        <w:t xml:space="preserve">section </w:t>
      </w:r>
      <w:r w:rsidR="005851F4">
        <w:rPr>
          <w:noProof/>
          <w:lang w:val="en-GB"/>
        </w:rPr>
        <w:t>2</w:t>
      </w:r>
      <w:r w:rsidRPr="00881BC8">
        <w:rPr>
          <w:noProof/>
          <w:lang w:val="en-GB"/>
        </w:rPr>
        <w:t xml:space="preserve">), the estimated reduction of 23.4% under PO1a could lead to an increase in employment of nearly 1.5 million jobs, with the other </w:t>
      </w:r>
      <w:r w:rsidR="00F058DA" w:rsidRPr="00881BC8">
        <w:rPr>
          <w:noProof/>
          <w:lang w:val="en-GB"/>
        </w:rPr>
        <w:t xml:space="preserve">policy options </w:t>
      </w:r>
      <w:r w:rsidRPr="00881BC8">
        <w:rPr>
          <w:noProof/>
          <w:lang w:val="en-GB"/>
        </w:rPr>
        <w:t>leading to correspondingly smaller increases. However, as it is up to the company to decide how to make use of the increased cash flow, and as some jobs may be safeguarded from reduced risks of bankruptcy, it is not feasible to provide a precise number.</w:t>
      </w:r>
    </w:p>
    <w:p w14:paraId="222CF1CD" w14:textId="26D2289B" w:rsidR="0056450C" w:rsidRPr="00881BC8" w:rsidRDefault="0056450C" w:rsidP="004835F8">
      <w:pPr>
        <w:pStyle w:val="NormalPara"/>
        <w:rPr>
          <w:noProof/>
          <w:lang w:val="en-GB"/>
        </w:rPr>
      </w:pPr>
      <w:r w:rsidRPr="00881BC8">
        <w:rPr>
          <w:noProof/>
          <w:lang w:val="en-GB"/>
        </w:rPr>
        <w:t xml:space="preserve">Some social impacts are not possible to quantify. One of the main responses by entrepreneurs when asked about the impact of late payments is the effect it has on their wellbeing. For example, 92% of </w:t>
      </w:r>
      <w:r w:rsidR="003A055F" w:rsidRPr="00881BC8">
        <w:rPr>
          <w:noProof/>
          <w:lang w:val="en-GB"/>
        </w:rPr>
        <w:t>respondents</w:t>
      </w:r>
      <w:r w:rsidRPr="00881BC8">
        <w:rPr>
          <w:noProof/>
          <w:lang w:val="en-GB"/>
        </w:rPr>
        <w:t xml:space="preserve"> in the SME panel responded that late payments affect their well-being, generate stress and anxiety. Similarly, the report of the UK’s Small Business Commissioner raises the frequency with which mental health impacts were raised by businesses requesting their services.</w:t>
      </w:r>
    </w:p>
    <w:p w14:paraId="31450B3C" w14:textId="3081C9B3" w:rsidR="0056450C" w:rsidRPr="00881BC8" w:rsidRDefault="0056450C" w:rsidP="004835F8">
      <w:pPr>
        <w:pStyle w:val="NormalPara"/>
        <w:rPr>
          <w:noProof/>
          <w:lang w:val="en-GB"/>
        </w:rPr>
      </w:pPr>
      <w:r w:rsidRPr="00881BC8">
        <w:rPr>
          <w:noProof/>
          <w:lang w:val="en-GB"/>
        </w:rPr>
        <w:t>Late payments also have a direct, albeit non quantifiable effect on entrepreneurship. In as much as no specific data is collected for the impact of late payments, the fear of bankruptcy is one of the main barriers reported to start an entrepreneurial career and may be used as a proxy. For example, both in France and Germany over 40% of persons that see good opportunities would not start a business for fear it might fail</w:t>
      </w:r>
      <w:r w:rsidRPr="00881BC8">
        <w:rPr>
          <w:rStyle w:val="FootnoteReference"/>
          <w:noProof/>
          <w:lang w:val="en-GB"/>
        </w:rPr>
        <w:footnoteReference w:id="126"/>
      </w:r>
      <w:r w:rsidRPr="00881BC8">
        <w:rPr>
          <w:noProof/>
          <w:lang w:val="en-GB"/>
        </w:rPr>
        <w:t>.</w:t>
      </w:r>
      <w:r w:rsidR="005E655C" w:rsidRPr="00881BC8">
        <w:rPr>
          <w:noProof/>
          <w:lang w:val="en-GB"/>
        </w:rPr>
        <w:t xml:space="preserve"> </w:t>
      </w:r>
      <w:r w:rsidR="00527A19" w:rsidRPr="00881BC8">
        <w:rPr>
          <w:noProof/>
          <w:lang w:val="en-GB"/>
        </w:rPr>
        <w:t>80% of respondents to the SME panel confirmed that late payment heavily affects the survival of their business.</w:t>
      </w:r>
    </w:p>
    <w:p w14:paraId="13B39CC0" w14:textId="16113A18" w:rsidR="002B5568" w:rsidRPr="00881BC8" w:rsidRDefault="00A20CC5" w:rsidP="004835F8">
      <w:pPr>
        <w:pStyle w:val="Heading2"/>
        <w:rPr>
          <w:noProof/>
        </w:rPr>
      </w:pPr>
      <w:bookmarkStart w:id="781" w:name="_Toc130889332"/>
      <w:bookmarkStart w:id="782" w:name="_Toc130911699"/>
      <w:bookmarkStart w:id="783" w:name="_Toc130889333"/>
      <w:bookmarkStart w:id="784" w:name="_Toc130911700"/>
      <w:bookmarkStart w:id="785" w:name="_Toc130889334"/>
      <w:bookmarkStart w:id="786" w:name="_Toc130911701"/>
      <w:bookmarkStart w:id="787" w:name="_Toc130889335"/>
      <w:bookmarkStart w:id="788" w:name="_Toc130911702"/>
      <w:bookmarkStart w:id="789" w:name="_Toc130395794"/>
      <w:bookmarkStart w:id="790" w:name="_Toc130403712"/>
      <w:bookmarkStart w:id="791" w:name="_Toc130395795"/>
      <w:bookmarkStart w:id="792" w:name="_Toc130403713"/>
      <w:bookmarkStart w:id="793" w:name="_Toc130395796"/>
      <w:bookmarkStart w:id="794" w:name="_Toc130403714"/>
      <w:bookmarkStart w:id="795" w:name="_Toc130395797"/>
      <w:bookmarkStart w:id="796" w:name="_Toc130403715"/>
      <w:bookmarkStart w:id="797" w:name="_Toc129710200"/>
      <w:bookmarkStart w:id="798" w:name="_Toc129899905"/>
      <w:bookmarkStart w:id="799" w:name="_Toc135237425"/>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r w:rsidRPr="00881BC8">
        <w:rPr>
          <w:noProof/>
        </w:rPr>
        <w:t>Fundamental rights</w:t>
      </w:r>
      <w:bookmarkEnd w:id="797"/>
      <w:bookmarkEnd w:id="798"/>
      <w:bookmarkEnd w:id="799"/>
    </w:p>
    <w:p w14:paraId="7CBDDF5E" w14:textId="77777777" w:rsidR="0056450C" w:rsidRPr="00881BC8" w:rsidRDefault="0056450C" w:rsidP="004835F8">
      <w:pPr>
        <w:pStyle w:val="NormalPara"/>
        <w:rPr>
          <w:noProof/>
          <w:lang w:val="en-GB"/>
        </w:rPr>
      </w:pPr>
      <w:r w:rsidRPr="00881BC8">
        <w:rPr>
          <w:noProof/>
          <w:lang w:val="en-GB"/>
        </w:rPr>
        <w:t>None of the policy options proposed will infringe on EU fundamental rights.</w:t>
      </w:r>
    </w:p>
    <w:p w14:paraId="1B2F1F6C" w14:textId="4E9F0C93" w:rsidR="0056450C" w:rsidRPr="00881BC8" w:rsidRDefault="00B749C5" w:rsidP="004835F8">
      <w:pPr>
        <w:pStyle w:val="NormalPara"/>
        <w:rPr>
          <w:noProof/>
          <w:lang w:val="en-GB"/>
        </w:rPr>
      </w:pPr>
      <w:r w:rsidRPr="00881BC8">
        <w:rPr>
          <w:noProof/>
          <w:lang w:val="en-GB"/>
        </w:rPr>
        <w:t>PO</w:t>
      </w:r>
      <w:r w:rsidR="0056450C" w:rsidRPr="00881BC8">
        <w:rPr>
          <w:noProof/>
          <w:lang w:val="en-GB"/>
        </w:rPr>
        <w:t xml:space="preserve">1 will limit the freedom to conduct business by </w:t>
      </w:r>
      <w:r w:rsidRPr="00881BC8">
        <w:rPr>
          <w:noProof/>
          <w:lang w:val="en-GB"/>
        </w:rPr>
        <w:t>affecting</w:t>
      </w:r>
      <w:r w:rsidR="0056450C" w:rsidRPr="00881BC8">
        <w:rPr>
          <w:noProof/>
          <w:lang w:val="en-GB"/>
        </w:rPr>
        <w:t xml:space="preserve"> contractual freedom between businesses to set their own payment terms.</w:t>
      </w:r>
    </w:p>
    <w:p w14:paraId="18ACA3F8" w14:textId="77CA56C0" w:rsidR="002B5568" w:rsidRPr="00881BC8" w:rsidRDefault="00A20CC5" w:rsidP="004835F8">
      <w:pPr>
        <w:pStyle w:val="Heading2"/>
        <w:rPr>
          <w:noProof/>
        </w:rPr>
      </w:pPr>
      <w:bookmarkStart w:id="800" w:name="_Toc130889337"/>
      <w:bookmarkStart w:id="801" w:name="_Toc130911704"/>
      <w:bookmarkStart w:id="802" w:name="_Toc130889338"/>
      <w:bookmarkStart w:id="803" w:name="_Toc130911705"/>
      <w:bookmarkStart w:id="804" w:name="_Toc130395799"/>
      <w:bookmarkStart w:id="805" w:name="_Toc130403717"/>
      <w:bookmarkStart w:id="806" w:name="_Toc130395800"/>
      <w:bookmarkStart w:id="807" w:name="_Toc130403718"/>
      <w:bookmarkStart w:id="808" w:name="_Toc129710201"/>
      <w:bookmarkStart w:id="809" w:name="_Toc129899906"/>
      <w:bookmarkStart w:id="810" w:name="_Toc135237426"/>
      <w:bookmarkEnd w:id="800"/>
      <w:bookmarkEnd w:id="801"/>
      <w:bookmarkEnd w:id="802"/>
      <w:bookmarkEnd w:id="803"/>
      <w:bookmarkEnd w:id="804"/>
      <w:bookmarkEnd w:id="805"/>
      <w:bookmarkEnd w:id="806"/>
      <w:bookmarkEnd w:id="807"/>
      <w:r w:rsidRPr="00881BC8">
        <w:rPr>
          <w:noProof/>
        </w:rPr>
        <w:t>Environmental impacts</w:t>
      </w:r>
      <w:bookmarkEnd w:id="808"/>
      <w:bookmarkEnd w:id="809"/>
      <w:bookmarkEnd w:id="810"/>
    </w:p>
    <w:p w14:paraId="10BD1A28" w14:textId="73FB5D36" w:rsidR="0056450C" w:rsidRPr="00881BC8" w:rsidRDefault="0056450C" w:rsidP="004835F8">
      <w:pPr>
        <w:pStyle w:val="NormalPara"/>
        <w:rPr>
          <w:noProof/>
          <w:lang w:val="en-GB"/>
        </w:rPr>
      </w:pPr>
      <w:r w:rsidRPr="00881BC8">
        <w:rPr>
          <w:noProof/>
          <w:lang w:val="en-GB"/>
        </w:rPr>
        <w:t>None of the policy options will have a direct environmental impact. There might be some indirect effects, if prompt payments and the resulting higher cash flow allow companies to make investments in the green transition they would not otherwise have made. This effect is unquantifiable, however, as it depends on the company choice where to invest, which is not in the scope of the present initiative. To give some indication, in the SME panels, when asked whether late payments prevented their business from becoming more green, 28% of SMEs agreed, but 30% disagreed.</w:t>
      </w:r>
      <w:r w:rsidR="009264F3" w:rsidRPr="00881BC8">
        <w:rPr>
          <w:noProof/>
          <w:lang w:val="en-GB"/>
        </w:rPr>
        <w:t xml:space="preserve"> </w:t>
      </w:r>
      <w:r w:rsidR="00A2049F" w:rsidRPr="00881BC8">
        <w:rPr>
          <w:noProof/>
          <w:lang w:val="en-GB"/>
        </w:rPr>
        <w:t xml:space="preserve">Digital </w:t>
      </w:r>
      <w:r w:rsidR="004C1B7A" w:rsidRPr="00881BC8">
        <w:rPr>
          <w:noProof/>
          <w:lang w:val="en-GB"/>
        </w:rPr>
        <w:t xml:space="preserve">communication tools </w:t>
      </w:r>
      <w:r w:rsidR="0069019F" w:rsidRPr="00881BC8">
        <w:rPr>
          <w:noProof/>
          <w:lang w:val="en-GB"/>
        </w:rPr>
        <w:t xml:space="preserve">and certificates </w:t>
      </w:r>
      <w:r w:rsidR="00491412" w:rsidRPr="00881BC8">
        <w:rPr>
          <w:noProof/>
          <w:lang w:val="en-GB"/>
        </w:rPr>
        <w:t>can</w:t>
      </w:r>
      <w:r w:rsidR="004C1B7A" w:rsidRPr="00881BC8">
        <w:rPr>
          <w:noProof/>
          <w:lang w:val="en-GB"/>
        </w:rPr>
        <w:t xml:space="preserve"> help </w:t>
      </w:r>
      <w:r w:rsidR="0069019F" w:rsidRPr="00881BC8">
        <w:rPr>
          <w:noProof/>
          <w:lang w:val="en-GB"/>
        </w:rPr>
        <w:t xml:space="preserve">make deliveries of documents electronic and </w:t>
      </w:r>
      <w:r w:rsidR="004C1B7A" w:rsidRPr="00881BC8">
        <w:rPr>
          <w:noProof/>
          <w:lang w:val="en-GB"/>
        </w:rPr>
        <w:t xml:space="preserve">reduce the carbon footprint </w:t>
      </w:r>
      <w:r w:rsidR="00D05E2B" w:rsidRPr="00881BC8">
        <w:rPr>
          <w:noProof/>
          <w:lang w:val="en-GB"/>
        </w:rPr>
        <w:t>of mail deliver</w:t>
      </w:r>
      <w:r w:rsidR="0069019F" w:rsidRPr="00881BC8">
        <w:rPr>
          <w:noProof/>
          <w:lang w:val="en-GB"/>
        </w:rPr>
        <w:t>ies.</w:t>
      </w:r>
    </w:p>
    <w:p w14:paraId="41A126A1" w14:textId="77777777" w:rsidR="0056450C" w:rsidRPr="00881BC8" w:rsidRDefault="0056450C" w:rsidP="004835F8">
      <w:pPr>
        <w:pStyle w:val="NormalPara"/>
        <w:rPr>
          <w:noProof/>
          <w:lang w:val="en-GB"/>
        </w:rPr>
      </w:pPr>
      <w:r w:rsidRPr="00881BC8">
        <w:rPr>
          <w:noProof/>
          <w:lang w:val="en-GB"/>
        </w:rPr>
        <w:t>None of the policy options will cause any significant harm to the environment.</w:t>
      </w:r>
    </w:p>
    <w:p w14:paraId="3F6361F8" w14:textId="4310AE7D" w:rsidR="006B087E" w:rsidRPr="00881BC8" w:rsidRDefault="006B087E" w:rsidP="004835F8">
      <w:pPr>
        <w:pStyle w:val="Heading1"/>
        <w:rPr>
          <w:noProof/>
        </w:rPr>
      </w:pPr>
      <w:bookmarkStart w:id="811" w:name="_Toc130889340"/>
      <w:bookmarkStart w:id="812" w:name="_Toc130911707"/>
      <w:bookmarkStart w:id="813" w:name="_Toc130889341"/>
      <w:bookmarkStart w:id="814" w:name="_Toc130911708"/>
      <w:bookmarkStart w:id="815" w:name="_Toc130395802"/>
      <w:bookmarkStart w:id="816" w:name="_Toc130403720"/>
      <w:bookmarkStart w:id="817" w:name="_Toc130395803"/>
      <w:bookmarkStart w:id="818" w:name="_Toc130403721"/>
      <w:bookmarkStart w:id="819" w:name="_Toc128566540"/>
      <w:bookmarkStart w:id="820" w:name="_Toc128594950"/>
      <w:bookmarkStart w:id="821" w:name="_Toc128678905"/>
      <w:bookmarkStart w:id="822" w:name="_Toc128935106"/>
      <w:bookmarkStart w:id="823" w:name="_Toc129710202"/>
      <w:bookmarkStart w:id="824" w:name="_Toc129899907"/>
      <w:bookmarkStart w:id="825" w:name="_Ref131249004"/>
      <w:bookmarkStart w:id="826" w:name="_Ref135218445"/>
      <w:bookmarkStart w:id="827" w:name="_Ref135220618"/>
      <w:bookmarkStart w:id="828" w:name="_Ref135220639"/>
      <w:bookmarkStart w:id="829" w:name="_Toc135237427"/>
      <w:bookmarkEnd w:id="811"/>
      <w:bookmarkEnd w:id="812"/>
      <w:bookmarkEnd w:id="813"/>
      <w:bookmarkEnd w:id="814"/>
      <w:bookmarkEnd w:id="815"/>
      <w:bookmarkEnd w:id="816"/>
      <w:bookmarkEnd w:id="817"/>
      <w:bookmarkEnd w:id="818"/>
      <w:r w:rsidRPr="00881BC8">
        <w:rPr>
          <w:noProof/>
        </w:rPr>
        <w:t>How do the options compare?</w:t>
      </w:r>
      <w:bookmarkEnd w:id="819"/>
      <w:bookmarkEnd w:id="820"/>
      <w:bookmarkEnd w:id="821"/>
      <w:bookmarkEnd w:id="822"/>
      <w:bookmarkEnd w:id="823"/>
      <w:bookmarkEnd w:id="824"/>
      <w:bookmarkEnd w:id="825"/>
      <w:bookmarkEnd w:id="826"/>
      <w:bookmarkEnd w:id="827"/>
      <w:bookmarkEnd w:id="828"/>
      <w:bookmarkEnd w:id="829"/>
    </w:p>
    <w:p w14:paraId="2C867739" w14:textId="6DD553A5" w:rsidR="00E11E26" w:rsidRPr="00881BC8" w:rsidRDefault="00A76996" w:rsidP="004835F8">
      <w:pPr>
        <w:pStyle w:val="NormalPara"/>
        <w:rPr>
          <w:noProof/>
          <w:lang w:val="en-GB"/>
        </w:rPr>
      </w:pPr>
      <w:r w:rsidRPr="00881BC8">
        <w:rPr>
          <w:noProof/>
          <w:lang w:val="en-GB"/>
        </w:rPr>
        <w:t>T</w:t>
      </w:r>
      <w:r w:rsidR="00E11E26" w:rsidRPr="00881BC8">
        <w:rPr>
          <w:noProof/>
          <w:lang w:val="en-GB"/>
        </w:rPr>
        <w:t>h</w:t>
      </w:r>
      <w:r w:rsidR="007E2F9F" w:rsidRPr="00881BC8">
        <w:rPr>
          <w:noProof/>
          <w:lang w:val="en-GB"/>
        </w:rPr>
        <w:t>is</w:t>
      </w:r>
      <w:r w:rsidR="00E11E26" w:rsidRPr="00881BC8">
        <w:rPr>
          <w:noProof/>
          <w:lang w:val="en-GB"/>
        </w:rPr>
        <w:t xml:space="preserve"> section compare</w:t>
      </w:r>
      <w:r w:rsidRPr="00881BC8">
        <w:rPr>
          <w:noProof/>
          <w:lang w:val="en-GB"/>
        </w:rPr>
        <w:t>s</w:t>
      </w:r>
      <w:r w:rsidR="00E11E26" w:rsidRPr="00881BC8">
        <w:rPr>
          <w:noProof/>
          <w:lang w:val="en-GB"/>
        </w:rPr>
        <w:t xml:space="preserve"> the policy options against the impacts on the key stakeholders (enterprises and public authorities) as well as against relevant objectives in terms of their effectiveness, efficiency and proportionality. The baseline is represented as 0, with options compared to the baseline represented by </w:t>
      </w:r>
      <w:r w:rsidR="00303DFA" w:rsidRPr="00881BC8">
        <w:rPr>
          <w:noProof/>
          <w:lang w:val="en-GB"/>
        </w:rPr>
        <w:t>‘</w:t>
      </w:r>
      <w:r w:rsidR="00E11E26" w:rsidRPr="00881BC8">
        <w:rPr>
          <w:noProof/>
          <w:lang w:val="en-GB"/>
        </w:rPr>
        <w:t>+/++/+++</w:t>
      </w:r>
      <w:r w:rsidR="00303DFA" w:rsidRPr="00881BC8">
        <w:rPr>
          <w:noProof/>
          <w:lang w:val="en-GB"/>
        </w:rPr>
        <w:t>’</w:t>
      </w:r>
      <w:r w:rsidR="00E11E26" w:rsidRPr="00881BC8">
        <w:rPr>
          <w:noProof/>
          <w:lang w:val="en-GB"/>
        </w:rPr>
        <w:t xml:space="preserve"> or </w:t>
      </w:r>
      <w:r w:rsidR="00303DFA" w:rsidRPr="00881BC8">
        <w:rPr>
          <w:noProof/>
          <w:lang w:val="en-GB"/>
        </w:rPr>
        <w:t>‘</w:t>
      </w:r>
      <w:r w:rsidR="00E11E26" w:rsidRPr="00881BC8">
        <w:rPr>
          <w:noProof/>
          <w:lang w:val="en-GB"/>
        </w:rPr>
        <w:t>-/--/---</w:t>
      </w:r>
      <w:r w:rsidR="00303DFA" w:rsidRPr="00881BC8">
        <w:rPr>
          <w:noProof/>
          <w:lang w:val="en-GB"/>
        </w:rPr>
        <w:t>’</w:t>
      </w:r>
      <w:r w:rsidR="00E11E26" w:rsidRPr="00881BC8">
        <w:rPr>
          <w:noProof/>
          <w:lang w:val="en-GB"/>
        </w:rPr>
        <w:t xml:space="preserve"> to show net positive or negative impacts compared to the baseline option, respectively. The net impacts are assessed through a comparison between benefits and costs; </w:t>
      </w:r>
      <w:r w:rsidR="00303DFA" w:rsidRPr="00881BC8">
        <w:rPr>
          <w:noProof/>
          <w:lang w:val="en-GB"/>
        </w:rPr>
        <w:t>‘</w:t>
      </w:r>
      <w:r w:rsidR="00E11E26" w:rsidRPr="00881BC8">
        <w:rPr>
          <w:noProof/>
          <w:lang w:val="en-GB"/>
        </w:rPr>
        <w:t>+/++/+++</w:t>
      </w:r>
      <w:r w:rsidR="00303DFA" w:rsidRPr="00881BC8">
        <w:rPr>
          <w:noProof/>
          <w:lang w:val="en-GB"/>
        </w:rPr>
        <w:t>’</w:t>
      </w:r>
      <w:r w:rsidR="00E11E26" w:rsidRPr="00881BC8">
        <w:rPr>
          <w:noProof/>
          <w:lang w:val="en-GB"/>
        </w:rPr>
        <w:t xml:space="preserve"> therefore mean a net positive impact (i.e. higher benefits than costs), whereas </w:t>
      </w:r>
      <w:r w:rsidR="00303DFA" w:rsidRPr="00881BC8">
        <w:rPr>
          <w:noProof/>
          <w:lang w:val="en-GB"/>
        </w:rPr>
        <w:t>‘</w:t>
      </w:r>
      <w:r w:rsidR="00E11E26" w:rsidRPr="00881BC8">
        <w:rPr>
          <w:noProof/>
          <w:lang w:val="en-GB"/>
        </w:rPr>
        <w:t>-/--/---</w:t>
      </w:r>
      <w:r w:rsidR="00303DFA" w:rsidRPr="00881BC8">
        <w:rPr>
          <w:noProof/>
          <w:lang w:val="en-GB"/>
        </w:rPr>
        <w:t>’</w:t>
      </w:r>
      <w:r w:rsidR="00E11E26" w:rsidRPr="00881BC8">
        <w:rPr>
          <w:noProof/>
          <w:lang w:val="en-GB"/>
        </w:rPr>
        <w:t xml:space="preserve"> mean net negative impact (i.e. higher costs than benefits).</w:t>
      </w:r>
    </w:p>
    <w:p w14:paraId="1579F586" w14:textId="186FD28D" w:rsidR="003D3FFB" w:rsidRPr="00881BC8" w:rsidRDefault="003D3FFB" w:rsidP="004835F8">
      <w:pPr>
        <w:pStyle w:val="Heading2"/>
        <w:rPr>
          <w:noProof/>
        </w:rPr>
      </w:pPr>
      <w:bookmarkStart w:id="830" w:name="_Toc130889343"/>
      <w:bookmarkStart w:id="831" w:name="_Toc130911710"/>
      <w:bookmarkStart w:id="832" w:name="_Toc135237428"/>
      <w:bookmarkEnd w:id="830"/>
      <w:bookmarkEnd w:id="831"/>
      <w:r w:rsidRPr="00881BC8">
        <w:rPr>
          <w:noProof/>
        </w:rPr>
        <w:t>Comparison of options based on costs and benefits to enterprises and public authorities</w:t>
      </w:r>
      <w:bookmarkEnd w:id="832"/>
    </w:p>
    <w:p w14:paraId="16528767" w14:textId="23BC5D53" w:rsidR="00881BC8" w:rsidRPr="00881BC8" w:rsidRDefault="00881BC8" w:rsidP="00881BC8">
      <w:pPr>
        <w:pStyle w:val="Caption"/>
        <w:rPr>
          <w:noProof/>
          <w:lang w:val="en-GB"/>
        </w:rPr>
      </w:pPr>
      <w:r w:rsidRPr="00881BC8">
        <w:rPr>
          <w:noProof/>
          <w:lang w:val="en-GB"/>
        </w:rPr>
        <w:t xml:space="preserve">Table </w:t>
      </w:r>
      <w:r w:rsidR="005851F4">
        <w:rPr>
          <w:noProof/>
          <w:lang w:val="en-GB"/>
        </w:rPr>
        <w:t>4</w:t>
      </w:r>
      <w:r w:rsidRPr="00881BC8">
        <w:rPr>
          <w:noProof/>
          <w:lang w:val="en-GB"/>
        </w:rPr>
        <w:t>: Summary of costs and benefits including net benefit/cost estimates</w:t>
      </w:r>
    </w:p>
    <w:tbl>
      <w:tblPr>
        <w:tblStyle w:val="GridTable1Light-Accent1"/>
        <w:tblpPr w:leftFromText="181" w:rightFromText="181" w:bottomFromText="227" w:vertAnchor="text" w:tblpY="1"/>
        <w:tblOverlap w:val="never"/>
        <w:tblW w:w="9634" w:type="dxa"/>
        <w:tblLook w:val="04A0" w:firstRow="1" w:lastRow="0" w:firstColumn="1" w:lastColumn="0" w:noHBand="0" w:noVBand="1"/>
      </w:tblPr>
      <w:tblGrid>
        <w:gridCol w:w="1417"/>
        <w:gridCol w:w="2726"/>
        <w:gridCol w:w="3029"/>
        <w:gridCol w:w="2462"/>
      </w:tblGrid>
      <w:tr w:rsidR="00641938" w:rsidRPr="00881BC8" w14:paraId="28B494D1" w14:textId="40EBB731" w:rsidTr="00C43D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7" w:type="dxa"/>
          </w:tcPr>
          <w:p w14:paraId="5F6BA957" w14:textId="77777777" w:rsidR="00641938" w:rsidRPr="00881BC8" w:rsidRDefault="00641938" w:rsidP="00DF16D2">
            <w:pPr>
              <w:spacing w:after="120"/>
              <w:rPr>
                <w:noProof/>
              </w:rPr>
            </w:pPr>
          </w:p>
        </w:tc>
        <w:tc>
          <w:tcPr>
            <w:tcW w:w="2726" w:type="dxa"/>
          </w:tcPr>
          <w:p w14:paraId="404C5F73" w14:textId="5FCC49A8" w:rsidR="00641938" w:rsidRPr="00881BC8" w:rsidRDefault="00641938" w:rsidP="00DF16D2">
            <w:pPr>
              <w:spacing w:after="120"/>
              <w:cnfStyle w:val="100000000000" w:firstRow="1" w:lastRow="0" w:firstColumn="0" w:lastColumn="0" w:oddVBand="0" w:evenVBand="0" w:oddHBand="0" w:evenHBand="0" w:firstRowFirstColumn="0" w:firstRowLastColumn="0" w:lastRowFirstColumn="0" w:lastRowLastColumn="0"/>
              <w:rPr>
                <w:noProof/>
                <w:sz w:val="22"/>
                <w:szCs w:val="22"/>
              </w:rPr>
            </w:pPr>
            <w:r w:rsidRPr="00881BC8">
              <w:rPr>
                <w:noProof/>
                <w:sz w:val="22"/>
                <w:szCs w:val="22"/>
              </w:rPr>
              <w:t>Main benefits</w:t>
            </w:r>
          </w:p>
        </w:tc>
        <w:tc>
          <w:tcPr>
            <w:tcW w:w="3029" w:type="dxa"/>
          </w:tcPr>
          <w:p w14:paraId="4CF68762" w14:textId="4CC07F30" w:rsidR="00641938" w:rsidRPr="00881BC8" w:rsidRDefault="00641938" w:rsidP="00DF16D2">
            <w:pPr>
              <w:spacing w:after="120"/>
              <w:cnfStyle w:val="100000000000" w:firstRow="1" w:lastRow="0" w:firstColumn="0" w:lastColumn="0" w:oddVBand="0" w:evenVBand="0" w:oddHBand="0" w:evenHBand="0" w:firstRowFirstColumn="0" w:firstRowLastColumn="0" w:lastRowFirstColumn="0" w:lastRowLastColumn="0"/>
              <w:rPr>
                <w:noProof/>
                <w:sz w:val="22"/>
                <w:szCs w:val="22"/>
              </w:rPr>
            </w:pPr>
            <w:r w:rsidRPr="00881BC8">
              <w:rPr>
                <w:noProof/>
                <w:sz w:val="22"/>
                <w:szCs w:val="22"/>
              </w:rPr>
              <w:t>Main costs</w:t>
            </w:r>
          </w:p>
        </w:tc>
        <w:tc>
          <w:tcPr>
            <w:tcW w:w="2462" w:type="dxa"/>
          </w:tcPr>
          <w:p w14:paraId="2DDFA67F" w14:textId="4E437014" w:rsidR="00641938" w:rsidRPr="00881BC8" w:rsidRDefault="00641938" w:rsidP="00DF16D2">
            <w:pPr>
              <w:spacing w:after="120"/>
              <w:cnfStyle w:val="100000000000" w:firstRow="1" w:lastRow="0" w:firstColumn="0" w:lastColumn="0" w:oddVBand="0" w:evenVBand="0" w:oddHBand="0" w:evenHBand="0" w:firstRowFirstColumn="0" w:firstRowLastColumn="0" w:lastRowFirstColumn="0" w:lastRowLastColumn="0"/>
              <w:rPr>
                <w:noProof/>
                <w:sz w:val="22"/>
                <w:szCs w:val="22"/>
              </w:rPr>
            </w:pPr>
            <w:r w:rsidRPr="00881BC8">
              <w:rPr>
                <w:noProof/>
                <w:sz w:val="22"/>
                <w:szCs w:val="22"/>
              </w:rPr>
              <w:t>Net benefits/costs</w:t>
            </w:r>
            <w:r w:rsidR="00624EED">
              <w:rPr>
                <w:noProof/>
                <w:sz w:val="22"/>
                <w:szCs w:val="22"/>
              </w:rPr>
              <w:t xml:space="preserve"> (see also comparative summary in table 5)</w:t>
            </w:r>
          </w:p>
        </w:tc>
      </w:tr>
      <w:tr w:rsidR="00641938" w:rsidRPr="00881BC8" w14:paraId="2959AC27" w14:textId="78032BDA" w:rsidTr="00C43DCC">
        <w:tc>
          <w:tcPr>
            <w:cnfStyle w:val="001000000000" w:firstRow="0" w:lastRow="0" w:firstColumn="1" w:lastColumn="0" w:oddVBand="0" w:evenVBand="0" w:oddHBand="0" w:evenHBand="0" w:firstRowFirstColumn="0" w:firstRowLastColumn="0" w:lastRowFirstColumn="0" w:lastRowLastColumn="0"/>
            <w:tcW w:w="1417" w:type="dxa"/>
          </w:tcPr>
          <w:p w14:paraId="32BDE414" w14:textId="77777777" w:rsidR="00641938" w:rsidRPr="00881BC8" w:rsidRDefault="00641938" w:rsidP="00641938">
            <w:pPr>
              <w:spacing w:after="120"/>
              <w:rPr>
                <w:b w:val="0"/>
                <w:bCs w:val="0"/>
                <w:noProof/>
              </w:rPr>
            </w:pPr>
            <w:r w:rsidRPr="00881BC8">
              <w:rPr>
                <w:noProof/>
              </w:rPr>
              <w:t>PO 1a</w:t>
            </w:r>
          </w:p>
          <w:p w14:paraId="39E3980D" w14:textId="77777777" w:rsidR="00641938" w:rsidRPr="00881BC8" w:rsidRDefault="00641938" w:rsidP="00641938">
            <w:pPr>
              <w:spacing w:after="120"/>
              <w:rPr>
                <w:noProof/>
              </w:rPr>
            </w:pPr>
            <w:r w:rsidRPr="00881BC8">
              <w:rPr>
                <w:b w:val="0"/>
                <w:bCs w:val="0"/>
                <w:noProof/>
                <w:sz w:val="18"/>
                <w:szCs w:val="18"/>
              </w:rPr>
              <w:t>(30-day payment cap, 30-day verification cap,</w:t>
            </w:r>
            <w:r w:rsidRPr="00881BC8">
              <w:rPr>
                <w:noProof/>
                <w:sz w:val="18"/>
                <w:szCs w:val="18"/>
              </w:rPr>
              <w:t xml:space="preserve"> c</w:t>
            </w:r>
            <w:r w:rsidRPr="00881BC8">
              <w:rPr>
                <w:b w:val="0"/>
                <w:bCs w:val="0"/>
                <w:noProof/>
                <w:sz w:val="18"/>
                <w:szCs w:val="18"/>
              </w:rPr>
              <w:t>redit / digital training)</w:t>
            </w:r>
          </w:p>
        </w:tc>
        <w:tc>
          <w:tcPr>
            <w:tcW w:w="2726" w:type="dxa"/>
          </w:tcPr>
          <w:p w14:paraId="19CA11B4" w14:textId="15268F9B" w:rsidR="00641938" w:rsidRPr="00881BC8" w:rsidRDefault="00641938" w:rsidP="00641938">
            <w:pPr>
              <w:pStyle w:val="Text2"/>
              <w:ind w:left="0"/>
              <w:cnfStyle w:val="000000000000" w:firstRow="0" w:lastRow="0" w:firstColumn="0" w:lastColumn="0" w:oddVBand="0" w:evenVBand="0" w:oddHBand="0" w:evenHBand="0" w:firstRowFirstColumn="0" w:firstRowLastColumn="0" w:lastRowFirstColumn="0" w:lastRowLastColumn="0"/>
              <w:rPr>
                <w:noProof/>
                <w:sz w:val="20"/>
                <w:szCs w:val="16"/>
              </w:rPr>
            </w:pPr>
            <w:r w:rsidRPr="00881BC8">
              <w:rPr>
                <w:noProof/>
                <w:sz w:val="20"/>
                <w:szCs w:val="16"/>
              </w:rPr>
              <w:t>Reduction in payment delays of 23.4% for the average EU company, reduction in hassle costs of EUR 5.8 billion</w:t>
            </w:r>
            <w:r w:rsidR="00091065" w:rsidRPr="00881BC8">
              <w:rPr>
                <w:noProof/>
                <w:sz w:val="20"/>
                <w:szCs w:val="16"/>
              </w:rPr>
              <w:t>, improved cash flow</w:t>
            </w:r>
          </w:p>
          <w:p w14:paraId="4D1C402D" w14:textId="77777777" w:rsidR="00641938" w:rsidRPr="00881BC8" w:rsidRDefault="00641938" w:rsidP="00641938">
            <w:pPr>
              <w:pStyle w:val="Text2"/>
              <w:ind w:left="0"/>
              <w:cnfStyle w:val="000000000000" w:firstRow="0" w:lastRow="0" w:firstColumn="0" w:lastColumn="0" w:oddVBand="0" w:evenVBand="0" w:oddHBand="0" w:evenHBand="0" w:firstRowFirstColumn="0" w:firstRowLastColumn="0" w:lastRowFirstColumn="0" w:lastRowLastColumn="0"/>
              <w:rPr>
                <w:noProof/>
                <w:sz w:val="20"/>
                <w:szCs w:val="16"/>
              </w:rPr>
            </w:pPr>
            <w:r w:rsidRPr="00881BC8">
              <w:rPr>
                <w:noProof/>
                <w:sz w:val="20"/>
                <w:szCs w:val="16"/>
              </w:rPr>
              <w:t>Reduced negotiation times for around 33% of SMEs and access to financial literacy training worth EUR 200-1800 per SME</w:t>
            </w:r>
          </w:p>
          <w:p w14:paraId="6B4CFAD2" w14:textId="744636D1" w:rsidR="006E034C" w:rsidRPr="00881BC8" w:rsidRDefault="006E034C" w:rsidP="00452F62">
            <w:pPr>
              <w:pStyle w:val="Text2"/>
              <w:ind w:left="0"/>
              <w:cnfStyle w:val="000000000000" w:firstRow="0" w:lastRow="0" w:firstColumn="0" w:lastColumn="0" w:oddVBand="0" w:evenVBand="0" w:oddHBand="0" w:evenHBand="0" w:firstRowFirstColumn="0" w:firstRowLastColumn="0" w:lastRowFirstColumn="0" w:lastRowLastColumn="0"/>
              <w:rPr>
                <w:noProof/>
                <w:sz w:val="20"/>
                <w:szCs w:val="16"/>
              </w:rPr>
            </w:pPr>
            <w:r w:rsidRPr="00881BC8">
              <w:rPr>
                <w:noProof/>
                <w:sz w:val="20"/>
                <w:szCs w:val="16"/>
              </w:rPr>
              <w:t>Public authorities benefit from indirect effects of reduced late payments on bankruptcies and employment</w:t>
            </w:r>
          </w:p>
        </w:tc>
        <w:tc>
          <w:tcPr>
            <w:tcW w:w="3029" w:type="dxa"/>
          </w:tcPr>
          <w:p w14:paraId="567056CB" w14:textId="77777777" w:rsidR="00641938" w:rsidRPr="00881BC8" w:rsidRDefault="00641938" w:rsidP="00452F62">
            <w:pPr>
              <w:spacing w:after="120"/>
              <w:cnfStyle w:val="000000000000" w:firstRow="0" w:lastRow="0" w:firstColumn="0" w:lastColumn="0" w:oddVBand="0" w:evenVBand="0" w:oddHBand="0" w:evenHBand="0" w:firstRowFirstColumn="0" w:firstRowLastColumn="0" w:lastRowFirstColumn="0" w:lastRowLastColumn="0"/>
              <w:rPr>
                <w:noProof/>
                <w:sz w:val="20"/>
                <w:szCs w:val="16"/>
              </w:rPr>
            </w:pPr>
            <w:r w:rsidRPr="00881BC8">
              <w:rPr>
                <w:noProof/>
                <w:sz w:val="20"/>
                <w:szCs w:val="16"/>
              </w:rPr>
              <w:t>One-off adjustment cost of EUR 56.1 million</w:t>
            </w:r>
          </w:p>
          <w:p w14:paraId="18135ED0" w14:textId="56ED6047" w:rsidR="00641938" w:rsidRPr="00881BC8" w:rsidRDefault="00641938" w:rsidP="00641938">
            <w:pPr>
              <w:pStyle w:val="Text2"/>
              <w:ind w:left="0"/>
              <w:cnfStyle w:val="000000000000" w:firstRow="0" w:lastRow="0" w:firstColumn="0" w:lastColumn="0" w:oddVBand="0" w:evenVBand="0" w:oddHBand="0" w:evenHBand="0" w:firstRowFirstColumn="0" w:firstRowLastColumn="0" w:lastRowFirstColumn="0" w:lastRowLastColumn="0"/>
              <w:rPr>
                <w:noProof/>
                <w:sz w:val="20"/>
                <w:szCs w:val="16"/>
              </w:rPr>
            </w:pPr>
            <w:r w:rsidRPr="00881BC8">
              <w:rPr>
                <w:noProof/>
                <w:sz w:val="20"/>
                <w:szCs w:val="16"/>
              </w:rPr>
              <w:t>Negligible costs to public authorities as capped payment terms concern B2B transactions</w:t>
            </w:r>
          </w:p>
          <w:p w14:paraId="033F2ACD" w14:textId="4F704C6E" w:rsidR="00641938" w:rsidRPr="00881BC8" w:rsidRDefault="00641938" w:rsidP="00452F62">
            <w:pPr>
              <w:spacing w:after="120"/>
              <w:cnfStyle w:val="000000000000" w:firstRow="0" w:lastRow="0" w:firstColumn="0" w:lastColumn="0" w:oddVBand="0" w:evenVBand="0" w:oddHBand="0" w:evenHBand="0" w:firstRowFirstColumn="0" w:firstRowLastColumn="0" w:lastRowFirstColumn="0" w:lastRowLastColumn="0"/>
              <w:rPr>
                <w:noProof/>
                <w:sz w:val="20"/>
                <w:szCs w:val="16"/>
              </w:rPr>
            </w:pPr>
            <w:r w:rsidRPr="00881BC8">
              <w:rPr>
                <w:noProof/>
                <w:sz w:val="20"/>
                <w:szCs w:val="16"/>
              </w:rPr>
              <w:t>Some adjustment cost for public authorities to provide access to financial literacy and credit management training</w:t>
            </w:r>
          </w:p>
        </w:tc>
        <w:tc>
          <w:tcPr>
            <w:tcW w:w="2462" w:type="dxa"/>
          </w:tcPr>
          <w:p w14:paraId="5BD75F9A" w14:textId="5891C8E1" w:rsidR="006E034C" w:rsidRPr="00881BC8" w:rsidRDefault="006E034C" w:rsidP="00452F62">
            <w:pPr>
              <w:spacing w:after="120"/>
              <w:cnfStyle w:val="000000000000" w:firstRow="0" w:lastRow="0" w:firstColumn="0" w:lastColumn="0" w:oddVBand="0" w:evenVBand="0" w:oddHBand="0" w:evenHBand="0" w:firstRowFirstColumn="0" w:firstRowLastColumn="0" w:lastRowFirstColumn="0" w:lastRowLastColumn="0"/>
              <w:rPr>
                <w:noProof/>
                <w:sz w:val="20"/>
                <w:szCs w:val="16"/>
              </w:rPr>
            </w:pPr>
            <w:r w:rsidRPr="00881BC8">
              <w:rPr>
                <w:noProof/>
                <w:sz w:val="20"/>
                <w:szCs w:val="16"/>
              </w:rPr>
              <w:t>Businesses: one-off costs significantly outweighed by recurrent benefits in reduced payment delays and hassle costs</w:t>
            </w:r>
          </w:p>
          <w:p w14:paraId="2CB6429B" w14:textId="0D12A020" w:rsidR="006E034C" w:rsidRPr="00881BC8" w:rsidRDefault="006E034C" w:rsidP="00452F62">
            <w:pPr>
              <w:spacing w:after="120"/>
              <w:cnfStyle w:val="000000000000" w:firstRow="0" w:lastRow="0" w:firstColumn="0" w:lastColumn="0" w:oddVBand="0" w:evenVBand="0" w:oddHBand="0" w:evenHBand="0" w:firstRowFirstColumn="0" w:firstRowLastColumn="0" w:lastRowFirstColumn="0" w:lastRowLastColumn="0"/>
              <w:rPr>
                <w:noProof/>
                <w:sz w:val="20"/>
                <w:szCs w:val="16"/>
              </w:rPr>
            </w:pPr>
            <w:r w:rsidRPr="00881BC8">
              <w:rPr>
                <w:noProof/>
                <w:sz w:val="20"/>
                <w:szCs w:val="16"/>
              </w:rPr>
              <w:t>Public authorities: limited costs balanced by indirect benefits</w:t>
            </w:r>
          </w:p>
        </w:tc>
      </w:tr>
      <w:tr w:rsidR="00641938" w:rsidRPr="00881BC8" w14:paraId="1A385B78" w14:textId="67260A40" w:rsidTr="00C43DCC">
        <w:tc>
          <w:tcPr>
            <w:cnfStyle w:val="001000000000" w:firstRow="0" w:lastRow="0" w:firstColumn="1" w:lastColumn="0" w:oddVBand="0" w:evenVBand="0" w:oddHBand="0" w:evenHBand="0" w:firstRowFirstColumn="0" w:firstRowLastColumn="0" w:lastRowFirstColumn="0" w:lastRowLastColumn="0"/>
            <w:tcW w:w="1417" w:type="dxa"/>
          </w:tcPr>
          <w:p w14:paraId="702E180D" w14:textId="77777777" w:rsidR="00641938" w:rsidRPr="00881BC8" w:rsidRDefault="00641938" w:rsidP="00641938">
            <w:pPr>
              <w:spacing w:after="120"/>
              <w:rPr>
                <w:b w:val="0"/>
                <w:bCs w:val="0"/>
                <w:noProof/>
              </w:rPr>
            </w:pPr>
            <w:r w:rsidRPr="00881BC8">
              <w:rPr>
                <w:noProof/>
              </w:rPr>
              <w:t>PO 1b</w:t>
            </w:r>
          </w:p>
          <w:p w14:paraId="335DB14C" w14:textId="77777777" w:rsidR="00641938" w:rsidRPr="00881BC8" w:rsidRDefault="00641938" w:rsidP="00641938">
            <w:pPr>
              <w:spacing w:after="120"/>
              <w:rPr>
                <w:noProof/>
              </w:rPr>
            </w:pPr>
            <w:r w:rsidRPr="00881BC8">
              <w:rPr>
                <w:b w:val="0"/>
                <w:bCs w:val="0"/>
                <w:noProof/>
                <w:sz w:val="18"/>
                <w:szCs w:val="18"/>
              </w:rPr>
              <w:t>(60-day payment cap, 30-day verification cap,</w:t>
            </w:r>
            <w:r w:rsidRPr="00881BC8">
              <w:rPr>
                <w:noProof/>
                <w:sz w:val="18"/>
                <w:szCs w:val="18"/>
              </w:rPr>
              <w:t xml:space="preserve"> c</w:t>
            </w:r>
            <w:r w:rsidRPr="00881BC8">
              <w:rPr>
                <w:b w:val="0"/>
                <w:bCs w:val="0"/>
                <w:noProof/>
                <w:sz w:val="18"/>
                <w:szCs w:val="18"/>
              </w:rPr>
              <w:t>redit / digital training)</w:t>
            </w:r>
          </w:p>
        </w:tc>
        <w:tc>
          <w:tcPr>
            <w:tcW w:w="2726" w:type="dxa"/>
          </w:tcPr>
          <w:p w14:paraId="0DE55440" w14:textId="094B4F88" w:rsidR="00641938" w:rsidRPr="00881BC8" w:rsidRDefault="00641938" w:rsidP="00452F62">
            <w:pPr>
              <w:spacing w:after="120"/>
              <w:cnfStyle w:val="000000000000" w:firstRow="0" w:lastRow="0" w:firstColumn="0" w:lastColumn="0" w:oddVBand="0" w:evenVBand="0" w:oddHBand="0" w:evenHBand="0" w:firstRowFirstColumn="0" w:firstRowLastColumn="0" w:lastRowFirstColumn="0" w:lastRowLastColumn="0"/>
              <w:rPr>
                <w:noProof/>
                <w:sz w:val="20"/>
                <w:szCs w:val="16"/>
              </w:rPr>
            </w:pPr>
            <w:r w:rsidRPr="00881BC8">
              <w:rPr>
                <w:noProof/>
                <w:sz w:val="20"/>
                <w:szCs w:val="16"/>
              </w:rPr>
              <w:t>Reduction in payment delays for 14.4% of EU companies</w:t>
            </w:r>
            <w:r w:rsidR="00091065" w:rsidRPr="00881BC8">
              <w:rPr>
                <w:noProof/>
                <w:sz w:val="20"/>
                <w:szCs w:val="16"/>
              </w:rPr>
              <w:t>, improved cash flow</w:t>
            </w:r>
          </w:p>
          <w:p w14:paraId="3BC9529B" w14:textId="77777777" w:rsidR="00641938" w:rsidRPr="00881BC8" w:rsidRDefault="00641938" w:rsidP="00641938">
            <w:pPr>
              <w:spacing w:after="120"/>
              <w:cnfStyle w:val="000000000000" w:firstRow="0" w:lastRow="0" w:firstColumn="0" w:lastColumn="0" w:oddVBand="0" w:evenVBand="0" w:oddHBand="0" w:evenHBand="0" w:firstRowFirstColumn="0" w:firstRowLastColumn="0" w:lastRowFirstColumn="0" w:lastRowLastColumn="0"/>
              <w:rPr>
                <w:noProof/>
                <w:sz w:val="20"/>
                <w:szCs w:val="16"/>
              </w:rPr>
            </w:pPr>
            <w:r w:rsidRPr="00881BC8">
              <w:rPr>
                <w:noProof/>
                <w:sz w:val="20"/>
                <w:szCs w:val="16"/>
              </w:rPr>
              <w:t>Reduced negotiation times for around 5% of SMEs and access to financial literacy training worth EUR 200-1800 per SME</w:t>
            </w:r>
          </w:p>
          <w:p w14:paraId="2C676CC7" w14:textId="3572E544" w:rsidR="006E034C" w:rsidRPr="00881BC8" w:rsidRDefault="006E034C" w:rsidP="00452F62">
            <w:pPr>
              <w:spacing w:after="120"/>
              <w:cnfStyle w:val="000000000000" w:firstRow="0" w:lastRow="0" w:firstColumn="0" w:lastColumn="0" w:oddVBand="0" w:evenVBand="0" w:oddHBand="0" w:evenHBand="0" w:firstRowFirstColumn="0" w:firstRowLastColumn="0" w:lastRowFirstColumn="0" w:lastRowLastColumn="0"/>
              <w:rPr>
                <w:noProof/>
                <w:sz w:val="20"/>
                <w:szCs w:val="16"/>
              </w:rPr>
            </w:pPr>
            <w:r w:rsidRPr="00881BC8">
              <w:rPr>
                <w:noProof/>
                <w:sz w:val="20"/>
                <w:szCs w:val="16"/>
              </w:rPr>
              <w:t>Public authorities benefit from indirect effects of reduced late payments on bankruptcies and employment</w:t>
            </w:r>
          </w:p>
        </w:tc>
        <w:tc>
          <w:tcPr>
            <w:tcW w:w="3029" w:type="dxa"/>
          </w:tcPr>
          <w:p w14:paraId="34F04B79" w14:textId="77777777" w:rsidR="00641938" w:rsidRPr="00881BC8" w:rsidRDefault="00641938" w:rsidP="00452F62">
            <w:pPr>
              <w:spacing w:after="120"/>
              <w:cnfStyle w:val="000000000000" w:firstRow="0" w:lastRow="0" w:firstColumn="0" w:lastColumn="0" w:oddVBand="0" w:evenVBand="0" w:oddHBand="0" w:evenHBand="0" w:firstRowFirstColumn="0" w:firstRowLastColumn="0" w:lastRowFirstColumn="0" w:lastRowLastColumn="0"/>
              <w:rPr>
                <w:noProof/>
                <w:sz w:val="20"/>
                <w:szCs w:val="16"/>
              </w:rPr>
            </w:pPr>
            <w:r w:rsidRPr="00881BC8">
              <w:rPr>
                <w:noProof/>
                <w:sz w:val="20"/>
                <w:szCs w:val="16"/>
              </w:rPr>
              <w:t>One-off adjustment cost of EUR 35.0 million</w:t>
            </w:r>
          </w:p>
          <w:p w14:paraId="26043284" w14:textId="77777777" w:rsidR="006E034C" w:rsidRPr="00881BC8" w:rsidRDefault="006E034C" w:rsidP="006E034C">
            <w:pPr>
              <w:pStyle w:val="Text2"/>
              <w:ind w:left="0"/>
              <w:cnfStyle w:val="000000000000" w:firstRow="0" w:lastRow="0" w:firstColumn="0" w:lastColumn="0" w:oddVBand="0" w:evenVBand="0" w:oddHBand="0" w:evenHBand="0" w:firstRowFirstColumn="0" w:firstRowLastColumn="0" w:lastRowFirstColumn="0" w:lastRowLastColumn="0"/>
              <w:rPr>
                <w:noProof/>
                <w:sz w:val="20"/>
                <w:szCs w:val="16"/>
              </w:rPr>
            </w:pPr>
            <w:r w:rsidRPr="00881BC8">
              <w:rPr>
                <w:noProof/>
                <w:sz w:val="20"/>
                <w:szCs w:val="16"/>
              </w:rPr>
              <w:t>Negligible costs to public authorities as capped payment terms concern B2B transactions</w:t>
            </w:r>
          </w:p>
          <w:p w14:paraId="16C4E2AA" w14:textId="0A12A8CE" w:rsidR="006E034C" w:rsidRPr="00881BC8" w:rsidRDefault="006E034C" w:rsidP="00452F62">
            <w:pPr>
              <w:spacing w:after="120"/>
              <w:cnfStyle w:val="000000000000" w:firstRow="0" w:lastRow="0" w:firstColumn="0" w:lastColumn="0" w:oddVBand="0" w:evenVBand="0" w:oddHBand="0" w:evenHBand="0" w:firstRowFirstColumn="0" w:firstRowLastColumn="0" w:lastRowFirstColumn="0" w:lastRowLastColumn="0"/>
              <w:rPr>
                <w:noProof/>
                <w:sz w:val="20"/>
                <w:szCs w:val="16"/>
              </w:rPr>
            </w:pPr>
            <w:r w:rsidRPr="00881BC8">
              <w:rPr>
                <w:noProof/>
                <w:sz w:val="20"/>
                <w:szCs w:val="16"/>
              </w:rPr>
              <w:t>Some adjustment cost for public authorities to provide access to financial literacy and credit management training</w:t>
            </w:r>
          </w:p>
        </w:tc>
        <w:tc>
          <w:tcPr>
            <w:tcW w:w="2462" w:type="dxa"/>
          </w:tcPr>
          <w:p w14:paraId="0C0B63AA" w14:textId="77777777" w:rsidR="00641938" w:rsidRPr="00881BC8" w:rsidRDefault="006E034C" w:rsidP="00452F62">
            <w:pPr>
              <w:spacing w:after="120"/>
              <w:cnfStyle w:val="000000000000" w:firstRow="0" w:lastRow="0" w:firstColumn="0" w:lastColumn="0" w:oddVBand="0" w:evenVBand="0" w:oddHBand="0" w:evenHBand="0" w:firstRowFirstColumn="0" w:firstRowLastColumn="0" w:lastRowFirstColumn="0" w:lastRowLastColumn="0"/>
              <w:rPr>
                <w:noProof/>
                <w:sz w:val="20"/>
                <w:szCs w:val="16"/>
              </w:rPr>
            </w:pPr>
            <w:r w:rsidRPr="00881BC8">
              <w:rPr>
                <w:noProof/>
                <w:sz w:val="20"/>
                <w:szCs w:val="16"/>
              </w:rPr>
              <w:t>Businesses: one-off costs outweighed by recurrent benefits in reduced payment delays and hassle costs, but only affects a subset of companies</w:t>
            </w:r>
          </w:p>
          <w:p w14:paraId="39642034" w14:textId="4EE85411" w:rsidR="006E034C" w:rsidRPr="00881BC8" w:rsidRDefault="006E034C" w:rsidP="00452F62">
            <w:pPr>
              <w:spacing w:after="120"/>
              <w:cnfStyle w:val="000000000000" w:firstRow="0" w:lastRow="0" w:firstColumn="0" w:lastColumn="0" w:oddVBand="0" w:evenVBand="0" w:oddHBand="0" w:evenHBand="0" w:firstRowFirstColumn="0" w:firstRowLastColumn="0" w:lastRowFirstColumn="0" w:lastRowLastColumn="0"/>
              <w:rPr>
                <w:noProof/>
                <w:sz w:val="20"/>
                <w:szCs w:val="16"/>
              </w:rPr>
            </w:pPr>
            <w:r w:rsidRPr="00881BC8">
              <w:rPr>
                <w:noProof/>
                <w:sz w:val="20"/>
                <w:szCs w:val="16"/>
              </w:rPr>
              <w:t>Public authorities: limited costs balanced by indirect benefits</w:t>
            </w:r>
          </w:p>
        </w:tc>
      </w:tr>
      <w:tr w:rsidR="00641938" w:rsidRPr="00881BC8" w14:paraId="68AEF22E" w14:textId="51343465" w:rsidTr="00C43DCC">
        <w:tc>
          <w:tcPr>
            <w:cnfStyle w:val="001000000000" w:firstRow="0" w:lastRow="0" w:firstColumn="1" w:lastColumn="0" w:oddVBand="0" w:evenVBand="0" w:oddHBand="0" w:evenHBand="0" w:firstRowFirstColumn="0" w:firstRowLastColumn="0" w:lastRowFirstColumn="0" w:lastRowLastColumn="0"/>
            <w:tcW w:w="1417" w:type="dxa"/>
          </w:tcPr>
          <w:p w14:paraId="7F19B78C" w14:textId="77777777" w:rsidR="00641938" w:rsidRPr="00881BC8" w:rsidRDefault="00641938" w:rsidP="00641938">
            <w:pPr>
              <w:spacing w:after="120"/>
              <w:rPr>
                <w:b w:val="0"/>
                <w:bCs w:val="0"/>
                <w:noProof/>
              </w:rPr>
            </w:pPr>
            <w:r w:rsidRPr="00881BC8">
              <w:rPr>
                <w:noProof/>
              </w:rPr>
              <w:t>PO 1c</w:t>
            </w:r>
          </w:p>
          <w:p w14:paraId="18A37577" w14:textId="77777777" w:rsidR="00641938" w:rsidRPr="00881BC8" w:rsidRDefault="00641938" w:rsidP="00641938">
            <w:pPr>
              <w:spacing w:after="120"/>
              <w:rPr>
                <w:noProof/>
              </w:rPr>
            </w:pPr>
            <w:r w:rsidRPr="00881BC8">
              <w:rPr>
                <w:b w:val="0"/>
                <w:bCs w:val="0"/>
                <w:noProof/>
                <w:sz w:val="18"/>
                <w:szCs w:val="18"/>
              </w:rPr>
              <w:t>(60-day payment cap in transaction with SME creditors, 30-day verification cap,</w:t>
            </w:r>
            <w:r w:rsidRPr="00881BC8">
              <w:rPr>
                <w:noProof/>
                <w:sz w:val="18"/>
                <w:szCs w:val="18"/>
              </w:rPr>
              <w:t xml:space="preserve"> c</w:t>
            </w:r>
            <w:r w:rsidRPr="00881BC8">
              <w:rPr>
                <w:b w:val="0"/>
                <w:bCs w:val="0"/>
                <w:noProof/>
                <w:sz w:val="18"/>
                <w:szCs w:val="18"/>
              </w:rPr>
              <w:t>redit / digital training)</w:t>
            </w:r>
          </w:p>
        </w:tc>
        <w:tc>
          <w:tcPr>
            <w:tcW w:w="2726" w:type="dxa"/>
          </w:tcPr>
          <w:p w14:paraId="0986C4FE" w14:textId="06125906" w:rsidR="00641938" w:rsidRPr="00881BC8" w:rsidRDefault="00641938" w:rsidP="00452F62">
            <w:pPr>
              <w:spacing w:after="120"/>
              <w:cnfStyle w:val="000000000000" w:firstRow="0" w:lastRow="0" w:firstColumn="0" w:lastColumn="0" w:oddVBand="0" w:evenVBand="0" w:oddHBand="0" w:evenHBand="0" w:firstRowFirstColumn="0" w:firstRowLastColumn="0" w:lastRowFirstColumn="0" w:lastRowLastColumn="0"/>
              <w:rPr>
                <w:noProof/>
                <w:sz w:val="20"/>
                <w:szCs w:val="16"/>
              </w:rPr>
            </w:pPr>
            <w:r w:rsidRPr="00881BC8">
              <w:rPr>
                <w:noProof/>
                <w:sz w:val="20"/>
                <w:szCs w:val="16"/>
              </w:rPr>
              <w:t>Reduction in payment delays for 66% of invoices issued by 14.4% of companies</w:t>
            </w:r>
            <w:r w:rsidR="00091065" w:rsidRPr="00881BC8">
              <w:rPr>
                <w:noProof/>
                <w:sz w:val="20"/>
                <w:szCs w:val="16"/>
              </w:rPr>
              <w:t>, improved cash flow</w:t>
            </w:r>
          </w:p>
          <w:p w14:paraId="66941200" w14:textId="77777777" w:rsidR="00641938" w:rsidRPr="00881BC8" w:rsidRDefault="00641938" w:rsidP="00641938">
            <w:pPr>
              <w:spacing w:after="120"/>
              <w:cnfStyle w:val="000000000000" w:firstRow="0" w:lastRow="0" w:firstColumn="0" w:lastColumn="0" w:oddVBand="0" w:evenVBand="0" w:oddHBand="0" w:evenHBand="0" w:firstRowFirstColumn="0" w:firstRowLastColumn="0" w:lastRowFirstColumn="0" w:lastRowLastColumn="0"/>
              <w:rPr>
                <w:noProof/>
                <w:sz w:val="20"/>
                <w:szCs w:val="16"/>
              </w:rPr>
            </w:pPr>
            <w:r w:rsidRPr="00881BC8">
              <w:rPr>
                <w:noProof/>
                <w:sz w:val="20"/>
                <w:szCs w:val="16"/>
              </w:rPr>
              <w:t>Reduced negotiation times for around 5% of SMEs and access to financial literacy training worth EUR 200-1800 per SME</w:t>
            </w:r>
          </w:p>
          <w:p w14:paraId="51DE1698" w14:textId="59837D50" w:rsidR="006E034C" w:rsidRPr="00881BC8" w:rsidRDefault="006E034C" w:rsidP="00452F62">
            <w:pPr>
              <w:spacing w:after="120"/>
              <w:cnfStyle w:val="000000000000" w:firstRow="0" w:lastRow="0" w:firstColumn="0" w:lastColumn="0" w:oddVBand="0" w:evenVBand="0" w:oddHBand="0" w:evenHBand="0" w:firstRowFirstColumn="0" w:firstRowLastColumn="0" w:lastRowFirstColumn="0" w:lastRowLastColumn="0"/>
              <w:rPr>
                <w:noProof/>
                <w:sz w:val="20"/>
                <w:szCs w:val="16"/>
              </w:rPr>
            </w:pPr>
            <w:r w:rsidRPr="00881BC8">
              <w:rPr>
                <w:noProof/>
                <w:sz w:val="20"/>
                <w:szCs w:val="16"/>
              </w:rPr>
              <w:t>Public authorities benefit from indirect effects of reduced late payments on bankruptcies and employment</w:t>
            </w:r>
          </w:p>
        </w:tc>
        <w:tc>
          <w:tcPr>
            <w:tcW w:w="3029" w:type="dxa"/>
          </w:tcPr>
          <w:p w14:paraId="6FE93D94" w14:textId="77777777" w:rsidR="00641938" w:rsidRPr="00881BC8" w:rsidRDefault="00641938" w:rsidP="00452F62">
            <w:pPr>
              <w:spacing w:after="120"/>
              <w:cnfStyle w:val="000000000000" w:firstRow="0" w:lastRow="0" w:firstColumn="0" w:lastColumn="0" w:oddVBand="0" w:evenVBand="0" w:oddHBand="0" w:evenHBand="0" w:firstRowFirstColumn="0" w:firstRowLastColumn="0" w:lastRowFirstColumn="0" w:lastRowLastColumn="0"/>
              <w:rPr>
                <w:noProof/>
                <w:sz w:val="20"/>
                <w:szCs w:val="16"/>
              </w:rPr>
            </w:pPr>
            <w:r w:rsidRPr="00881BC8">
              <w:rPr>
                <w:noProof/>
                <w:sz w:val="20"/>
                <w:szCs w:val="16"/>
              </w:rPr>
              <w:t>One-off adjustment cost of EUR 23.1 million; cost of verifying SME status of EUR 384 million</w:t>
            </w:r>
          </w:p>
          <w:p w14:paraId="50BA1803" w14:textId="77777777" w:rsidR="006E034C" w:rsidRPr="00881BC8" w:rsidRDefault="006E034C" w:rsidP="006E034C">
            <w:pPr>
              <w:pStyle w:val="Text2"/>
              <w:ind w:left="0"/>
              <w:cnfStyle w:val="000000000000" w:firstRow="0" w:lastRow="0" w:firstColumn="0" w:lastColumn="0" w:oddVBand="0" w:evenVBand="0" w:oddHBand="0" w:evenHBand="0" w:firstRowFirstColumn="0" w:firstRowLastColumn="0" w:lastRowFirstColumn="0" w:lastRowLastColumn="0"/>
              <w:rPr>
                <w:noProof/>
                <w:sz w:val="20"/>
                <w:szCs w:val="16"/>
              </w:rPr>
            </w:pPr>
            <w:r w:rsidRPr="00881BC8">
              <w:rPr>
                <w:noProof/>
                <w:sz w:val="20"/>
                <w:szCs w:val="16"/>
              </w:rPr>
              <w:t>Negligible costs to public authorities as capped payment terms concern B2B transactions</w:t>
            </w:r>
          </w:p>
          <w:p w14:paraId="5015A02E" w14:textId="0E381844" w:rsidR="006E034C" w:rsidRPr="00881BC8" w:rsidRDefault="006E034C" w:rsidP="00452F62">
            <w:pPr>
              <w:spacing w:after="120"/>
              <w:cnfStyle w:val="000000000000" w:firstRow="0" w:lastRow="0" w:firstColumn="0" w:lastColumn="0" w:oddVBand="0" w:evenVBand="0" w:oddHBand="0" w:evenHBand="0" w:firstRowFirstColumn="0" w:firstRowLastColumn="0" w:lastRowFirstColumn="0" w:lastRowLastColumn="0"/>
              <w:rPr>
                <w:noProof/>
                <w:sz w:val="20"/>
                <w:szCs w:val="16"/>
              </w:rPr>
            </w:pPr>
            <w:r w:rsidRPr="00881BC8">
              <w:rPr>
                <w:noProof/>
                <w:sz w:val="20"/>
                <w:szCs w:val="16"/>
              </w:rPr>
              <w:t>Some adjustment cost for public authorities to provide access to financial literacy and credit management training</w:t>
            </w:r>
          </w:p>
        </w:tc>
        <w:tc>
          <w:tcPr>
            <w:tcW w:w="2462" w:type="dxa"/>
          </w:tcPr>
          <w:p w14:paraId="735455B7" w14:textId="571E8F68" w:rsidR="006E034C" w:rsidRPr="00881BC8" w:rsidRDefault="006E034C" w:rsidP="006E034C">
            <w:pPr>
              <w:spacing w:after="120"/>
              <w:cnfStyle w:val="000000000000" w:firstRow="0" w:lastRow="0" w:firstColumn="0" w:lastColumn="0" w:oddVBand="0" w:evenVBand="0" w:oddHBand="0" w:evenHBand="0" w:firstRowFirstColumn="0" w:firstRowLastColumn="0" w:lastRowFirstColumn="0" w:lastRowLastColumn="0"/>
              <w:rPr>
                <w:noProof/>
                <w:sz w:val="20"/>
                <w:szCs w:val="16"/>
              </w:rPr>
            </w:pPr>
            <w:r w:rsidRPr="00881BC8">
              <w:rPr>
                <w:noProof/>
                <w:sz w:val="20"/>
                <w:szCs w:val="16"/>
              </w:rPr>
              <w:t>Businesses: for a subset of companies, recurrent benefits in reduced payment delays and hassle costs, but significant costs due to requirement to prove SME status</w:t>
            </w:r>
          </w:p>
          <w:p w14:paraId="5ACAE7CC" w14:textId="056948D1" w:rsidR="00641938" w:rsidRPr="00881BC8" w:rsidRDefault="006E034C" w:rsidP="00452F62">
            <w:pPr>
              <w:spacing w:after="120"/>
              <w:cnfStyle w:val="000000000000" w:firstRow="0" w:lastRow="0" w:firstColumn="0" w:lastColumn="0" w:oddVBand="0" w:evenVBand="0" w:oddHBand="0" w:evenHBand="0" w:firstRowFirstColumn="0" w:firstRowLastColumn="0" w:lastRowFirstColumn="0" w:lastRowLastColumn="0"/>
              <w:rPr>
                <w:noProof/>
                <w:sz w:val="20"/>
                <w:szCs w:val="16"/>
              </w:rPr>
            </w:pPr>
            <w:r w:rsidRPr="00881BC8">
              <w:rPr>
                <w:noProof/>
                <w:sz w:val="20"/>
                <w:szCs w:val="16"/>
              </w:rPr>
              <w:t>Public authorities: limited costs balanced by indirect benefits</w:t>
            </w:r>
          </w:p>
        </w:tc>
      </w:tr>
      <w:tr w:rsidR="00091065" w:rsidRPr="00881BC8" w14:paraId="5C2E0307" w14:textId="352B6689" w:rsidTr="00C43DCC">
        <w:tc>
          <w:tcPr>
            <w:cnfStyle w:val="001000000000" w:firstRow="0" w:lastRow="0" w:firstColumn="1" w:lastColumn="0" w:oddVBand="0" w:evenVBand="0" w:oddHBand="0" w:evenHBand="0" w:firstRowFirstColumn="0" w:firstRowLastColumn="0" w:lastRowFirstColumn="0" w:lastRowLastColumn="0"/>
            <w:tcW w:w="1417" w:type="dxa"/>
          </w:tcPr>
          <w:p w14:paraId="1A8DB704" w14:textId="77777777" w:rsidR="00091065" w:rsidRPr="00881BC8" w:rsidRDefault="00091065" w:rsidP="00091065">
            <w:pPr>
              <w:spacing w:after="120"/>
              <w:rPr>
                <w:b w:val="0"/>
                <w:bCs w:val="0"/>
                <w:noProof/>
              </w:rPr>
            </w:pPr>
            <w:r w:rsidRPr="00881BC8">
              <w:rPr>
                <w:noProof/>
              </w:rPr>
              <w:t>PO 2a</w:t>
            </w:r>
          </w:p>
          <w:p w14:paraId="49B2C1EF" w14:textId="77777777" w:rsidR="00091065" w:rsidRPr="00881BC8" w:rsidRDefault="00091065" w:rsidP="00091065">
            <w:pPr>
              <w:spacing w:after="120"/>
              <w:rPr>
                <w:b w:val="0"/>
                <w:bCs w:val="0"/>
                <w:noProof/>
                <w:sz w:val="18"/>
                <w:szCs w:val="18"/>
              </w:rPr>
            </w:pPr>
            <w:r w:rsidRPr="00881BC8">
              <w:rPr>
                <w:b w:val="0"/>
                <w:bCs w:val="0"/>
                <w:noProof/>
                <w:sz w:val="18"/>
                <w:szCs w:val="18"/>
              </w:rPr>
              <w:t>(aut. payment of interest and flat fee compensation, flat fee compensation at EUR 50, designating strong enf. bodies, PP self-declaration of payment to subcontractors)</w:t>
            </w:r>
          </w:p>
        </w:tc>
        <w:tc>
          <w:tcPr>
            <w:tcW w:w="2726" w:type="dxa"/>
          </w:tcPr>
          <w:p w14:paraId="4E38E835" w14:textId="77777777" w:rsidR="00091065" w:rsidRPr="00881BC8" w:rsidRDefault="00091065" w:rsidP="00091065">
            <w:pPr>
              <w:pStyle w:val="Text2"/>
              <w:ind w:left="0"/>
              <w:cnfStyle w:val="000000000000" w:firstRow="0" w:lastRow="0" w:firstColumn="0" w:lastColumn="0" w:oddVBand="0" w:evenVBand="0" w:oddHBand="0" w:evenHBand="0" w:firstRowFirstColumn="0" w:firstRowLastColumn="0" w:lastRowFirstColumn="0" w:lastRowLastColumn="0"/>
              <w:rPr>
                <w:noProof/>
                <w:sz w:val="20"/>
                <w:szCs w:val="16"/>
              </w:rPr>
            </w:pPr>
            <w:r w:rsidRPr="00881BC8">
              <w:rPr>
                <w:noProof/>
                <w:sz w:val="20"/>
                <w:szCs w:val="16"/>
              </w:rPr>
              <w:t>Strong enforcement accompanied by sanctions and fines, estimated to reduce payment delays by 17.8%</w:t>
            </w:r>
          </w:p>
          <w:p w14:paraId="47F60C25" w14:textId="5191E722" w:rsidR="00091065" w:rsidRPr="00881BC8" w:rsidRDefault="00091065" w:rsidP="00091065">
            <w:pPr>
              <w:pStyle w:val="Text2"/>
              <w:ind w:left="0"/>
              <w:cnfStyle w:val="000000000000" w:firstRow="0" w:lastRow="0" w:firstColumn="0" w:lastColumn="0" w:oddVBand="0" w:evenVBand="0" w:oddHBand="0" w:evenHBand="0" w:firstRowFirstColumn="0" w:firstRowLastColumn="0" w:lastRowFirstColumn="0" w:lastRowLastColumn="0"/>
              <w:rPr>
                <w:noProof/>
                <w:sz w:val="20"/>
                <w:szCs w:val="16"/>
              </w:rPr>
            </w:pPr>
            <w:r w:rsidRPr="00881BC8">
              <w:rPr>
                <w:noProof/>
                <w:sz w:val="20"/>
                <w:szCs w:val="16"/>
              </w:rPr>
              <w:t>Automatic payment of interests (EUR 265.5 million) and compensation fees (EUR 3.75 billion)</w:t>
            </w:r>
          </w:p>
          <w:p w14:paraId="453CD2AA" w14:textId="1F5821CC" w:rsidR="00091065" w:rsidRPr="00881BC8" w:rsidRDefault="00091065" w:rsidP="00091065">
            <w:pPr>
              <w:pStyle w:val="Text2"/>
              <w:ind w:left="0"/>
              <w:cnfStyle w:val="000000000000" w:firstRow="0" w:lastRow="0" w:firstColumn="0" w:lastColumn="0" w:oddVBand="0" w:evenVBand="0" w:oddHBand="0" w:evenHBand="0" w:firstRowFirstColumn="0" w:firstRowLastColumn="0" w:lastRowFirstColumn="0" w:lastRowLastColumn="0"/>
              <w:rPr>
                <w:noProof/>
                <w:sz w:val="20"/>
                <w:szCs w:val="16"/>
              </w:rPr>
            </w:pPr>
            <w:r w:rsidRPr="00881BC8">
              <w:rPr>
                <w:noProof/>
                <w:sz w:val="20"/>
                <w:szCs w:val="16"/>
              </w:rPr>
              <w:t xml:space="preserve">Unblocking of payments to subcontractors (EUR 31 million per year) in public works contracts, and </w:t>
            </w:r>
            <w:r w:rsidRPr="00881BC8">
              <w:rPr>
                <w:noProof/>
                <w:sz w:val="20"/>
              </w:rPr>
              <w:t>improved execution of public work projects</w:t>
            </w:r>
          </w:p>
          <w:p w14:paraId="1080696C" w14:textId="43918797" w:rsidR="00091065" w:rsidRPr="00881BC8" w:rsidRDefault="00091065" w:rsidP="00091065">
            <w:pPr>
              <w:spacing w:after="120"/>
              <w:cnfStyle w:val="000000000000" w:firstRow="0" w:lastRow="0" w:firstColumn="0" w:lastColumn="0" w:oddVBand="0" w:evenVBand="0" w:oddHBand="0" w:evenHBand="0" w:firstRowFirstColumn="0" w:firstRowLastColumn="0" w:lastRowFirstColumn="0" w:lastRowLastColumn="0"/>
              <w:rPr>
                <w:noProof/>
                <w:sz w:val="20"/>
                <w:szCs w:val="16"/>
              </w:rPr>
            </w:pPr>
            <w:r w:rsidRPr="00881BC8">
              <w:rPr>
                <w:noProof/>
                <w:sz w:val="20"/>
                <w:szCs w:val="16"/>
              </w:rPr>
              <w:t>Reduced hassle costs associated with chasing late payments, improved cash flow</w:t>
            </w:r>
          </w:p>
          <w:p w14:paraId="69C6D17A" w14:textId="6E5514E0" w:rsidR="00091065" w:rsidRPr="00881BC8" w:rsidRDefault="00091065" w:rsidP="00452F62">
            <w:pPr>
              <w:spacing w:after="120"/>
              <w:cnfStyle w:val="000000000000" w:firstRow="0" w:lastRow="0" w:firstColumn="0" w:lastColumn="0" w:oddVBand="0" w:evenVBand="0" w:oddHBand="0" w:evenHBand="0" w:firstRowFirstColumn="0" w:firstRowLastColumn="0" w:lastRowFirstColumn="0" w:lastRowLastColumn="0"/>
              <w:rPr>
                <w:noProof/>
                <w:sz w:val="20"/>
                <w:szCs w:val="16"/>
              </w:rPr>
            </w:pPr>
            <w:r w:rsidRPr="00881BC8">
              <w:rPr>
                <w:noProof/>
                <w:sz w:val="20"/>
                <w:szCs w:val="20"/>
              </w:rPr>
              <w:t>Income to public purse from regulatory fines imposed on debtors (EUR 136.8 million per year for the EU-27)</w:t>
            </w:r>
          </w:p>
        </w:tc>
        <w:tc>
          <w:tcPr>
            <w:tcW w:w="3029" w:type="dxa"/>
          </w:tcPr>
          <w:p w14:paraId="22639380" w14:textId="77777777" w:rsidR="00091065" w:rsidRPr="00881BC8" w:rsidRDefault="00091065" w:rsidP="00452F62">
            <w:pPr>
              <w:spacing w:after="120"/>
              <w:cnfStyle w:val="000000000000" w:firstRow="0" w:lastRow="0" w:firstColumn="0" w:lastColumn="0" w:oddVBand="0" w:evenVBand="0" w:oddHBand="0" w:evenHBand="0" w:firstRowFirstColumn="0" w:firstRowLastColumn="0" w:lastRowFirstColumn="0" w:lastRowLastColumn="0"/>
              <w:rPr>
                <w:noProof/>
                <w:sz w:val="20"/>
                <w:szCs w:val="20"/>
              </w:rPr>
            </w:pPr>
            <w:r w:rsidRPr="00881BC8">
              <w:rPr>
                <w:noProof/>
                <w:sz w:val="20"/>
                <w:szCs w:val="20"/>
              </w:rPr>
              <w:t>Regulatory fines imposed on debtors of up to EUR 136.8 million per year for the EU-27</w:t>
            </w:r>
          </w:p>
          <w:p w14:paraId="00301301" w14:textId="77777777" w:rsidR="00091065" w:rsidRPr="00881BC8" w:rsidRDefault="00091065" w:rsidP="00452F62">
            <w:pPr>
              <w:spacing w:after="120"/>
              <w:cnfStyle w:val="000000000000" w:firstRow="0" w:lastRow="0" w:firstColumn="0" w:lastColumn="0" w:oddVBand="0" w:evenVBand="0" w:oddHBand="0" w:evenHBand="0" w:firstRowFirstColumn="0" w:firstRowLastColumn="0" w:lastRowFirstColumn="0" w:lastRowLastColumn="0"/>
              <w:rPr>
                <w:noProof/>
                <w:sz w:val="20"/>
                <w:szCs w:val="20"/>
              </w:rPr>
            </w:pPr>
            <w:r w:rsidRPr="00881BC8">
              <w:rPr>
                <w:noProof/>
                <w:sz w:val="20"/>
                <w:szCs w:val="20"/>
              </w:rPr>
              <w:t>One-off adjustment cost from updating standard payment terms of EUR 243 million</w:t>
            </w:r>
          </w:p>
          <w:p w14:paraId="24AEEDFE" w14:textId="16B3813B" w:rsidR="00091065" w:rsidRPr="00881BC8" w:rsidRDefault="00091065" w:rsidP="00452F62">
            <w:pPr>
              <w:spacing w:after="120"/>
              <w:cnfStyle w:val="000000000000" w:firstRow="0" w:lastRow="0" w:firstColumn="0" w:lastColumn="0" w:oddVBand="0" w:evenVBand="0" w:oddHBand="0" w:evenHBand="0" w:firstRowFirstColumn="0" w:firstRowLastColumn="0" w:lastRowFirstColumn="0" w:lastRowLastColumn="0"/>
              <w:rPr>
                <w:noProof/>
                <w:sz w:val="20"/>
                <w:szCs w:val="20"/>
              </w:rPr>
            </w:pPr>
            <w:r w:rsidRPr="00881BC8">
              <w:rPr>
                <w:noProof/>
                <w:sz w:val="20"/>
                <w:szCs w:val="20"/>
              </w:rPr>
              <w:t>Cost to the debtor of automatic interest and compensation fees (equivalent to benefit to the creditor)</w:t>
            </w:r>
          </w:p>
          <w:p w14:paraId="6D978037" w14:textId="77777777" w:rsidR="00091065" w:rsidRPr="00881BC8" w:rsidRDefault="00091065" w:rsidP="00091065">
            <w:pPr>
              <w:spacing w:after="120"/>
              <w:cnfStyle w:val="000000000000" w:firstRow="0" w:lastRow="0" w:firstColumn="0" w:lastColumn="0" w:oddVBand="0" w:evenVBand="0" w:oddHBand="0" w:evenHBand="0" w:firstRowFirstColumn="0" w:firstRowLastColumn="0" w:lastRowFirstColumn="0" w:lastRowLastColumn="0"/>
              <w:rPr>
                <w:noProof/>
                <w:sz w:val="20"/>
                <w:szCs w:val="20"/>
              </w:rPr>
            </w:pPr>
            <w:r w:rsidRPr="00881BC8">
              <w:rPr>
                <w:noProof/>
                <w:sz w:val="20"/>
                <w:szCs w:val="20"/>
              </w:rPr>
              <w:t>Cost to main contractors in public contracts from verifying their prompt payment to the public authority (EUR 2.2 million per year)</w:t>
            </w:r>
          </w:p>
          <w:p w14:paraId="2067F8AF" w14:textId="77777777" w:rsidR="00091065" w:rsidRPr="00881BC8" w:rsidRDefault="00091065" w:rsidP="00091065">
            <w:pPr>
              <w:spacing w:after="120"/>
              <w:cnfStyle w:val="000000000000" w:firstRow="0" w:lastRow="0" w:firstColumn="0" w:lastColumn="0" w:oddVBand="0" w:evenVBand="0" w:oddHBand="0" w:evenHBand="0" w:firstRowFirstColumn="0" w:firstRowLastColumn="0" w:lastRowFirstColumn="0" w:lastRowLastColumn="0"/>
              <w:rPr>
                <w:noProof/>
                <w:sz w:val="20"/>
                <w:szCs w:val="20"/>
              </w:rPr>
            </w:pPr>
            <w:r w:rsidRPr="00881BC8">
              <w:rPr>
                <w:noProof/>
                <w:sz w:val="20"/>
                <w:szCs w:val="20"/>
              </w:rPr>
              <w:t>Cost on</w:t>
            </w:r>
            <w:r w:rsidR="006A21F4" w:rsidRPr="00881BC8">
              <w:rPr>
                <w:noProof/>
                <w:sz w:val="20"/>
                <w:szCs w:val="20"/>
              </w:rPr>
              <w:t xml:space="preserve"> p</w:t>
            </w:r>
            <w:r w:rsidRPr="00881BC8">
              <w:rPr>
                <w:noProof/>
                <w:sz w:val="20"/>
                <w:szCs w:val="20"/>
              </w:rPr>
              <w:t xml:space="preserve">ublic authorities </w:t>
            </w:r>
            <w:r w:rsidR="006A21F4" w:rsidRPr="00881BC8">
              <w:rPr>
                <w:noProof/>
                <w:sz w:val="20"/>
                <w:szCs w:val="20"/>
              </w:rPr>
              <w:t xml:space="preserve">from </w:t>
            </w:r>
            <w:r w:rsidRPr="00881BC8">
              <w:rPr>
                <w:noProof/>
                <w:sz w:val="20"/>
                <w:szCs w:val="20"/>
              </w:rPr>
              <w:t>hav</w:t>
            </w:r>
            <w:r w:rsidR="006A21F4" w:rsidRPr="00881BC8">
              <w:rPr>
                <w:noProof/>
                <w:sz w:val="20"/>
                <w:szCs w:val="20"/>
              </w:rPr>
              <w:t>ing</w:t>
            </w:r>
            <w:r w:rsidRPr="00881BC8">
              <w:rPr>
                <w:noProof/>
                <w:sz w:val="20"/>
                <w:szCs w:val="20"/>
              </w:rPr>
              <w:t xml:space="preserve"> to pay interest and compensation fees to public contractors when paying late</w:t>
            </w:r>
          </w:p>
          <w:p w14:paraId="0B5F257E" w14:textId="24BE333B" w:rsidR="006A21F4" w:rsidRPr="00881BC8" w:rsidRDefault="006A21F4" w:rsidP="00452F62">
            <w:pPr>
              <w:spacing w:after="120"/>
              <w:cnfStyle w:val="000000000000" w:firstRow="0" w:lastRow="0" w:firstColumn="0" w:lastColumn="0" w:oddVBand="0" w:evenVBand="0" w:oddHBand="0" w:evenHBand="0" w:firstRowFirstColumn="0" w:firstRowLastColumn="0" w:lastRowFirstColumn="0" w:lastRowLastColumn="0"/>
              <w:rPr>
                <w:noProof/>
                <w:sz w:val="20"/>
                <w:szCs w:val="20"/>
              </w:rPr>
            </w:pPr>
            <w:r w:rsidRPr="00881BC8">
              <w:rPr>
                <w:noProof/>
                <w:sz w:val="20"/>
                <w:szCs w:val="20"/>
              </w:rPr>
              <w:t>Cost of designating national enforcement bodies, estimated at EUR 60-65 million per year for the whole EU-27</w:t>
            </w:r>
          </w:p>
        </w:tc>
        <w:tc>
          <w:tcPr>
            <w:tcW w:w="2462" w:type="dxa"/>
          </w:tcPr>
          <w:p w14:paraId="514217CE" w14:textId="77777777" w:rsidR="00091065" w:rsidRPr="00881BC8" w:rsidRDefault="006A21F4" w:rsidP="00452F62">
            <w:pPr>
              <w:spacing w:after="120"/>
              <w:cnfStyle w:val="000000000000" w:firstRow="0" w:lastRow="0" w:firstColumn="0" w:lastColumn="0" w:oddVBand="0" w:evenVBand="0" w:oddHBand="0" w:evenHBand="0" w:firstRowFirstColumn="0" w:firstRowLastColumn="0" w:lastRowFirstColumn="0" w:lastRowLastColumn="0"/>
              <w:rPr>
                <w:noProof/>
                <w:sz w:val="20"/>
                <w:szCs w:val="16"/>
              </w:rPr>
            </w:pPr>
            <w:r w:rsidRPr="00881BC8">
              <w:rPr>
                <w:noProof/>
                <w:sz w:val="20"/>
                <w:szCs w:val="16"/>
              </w:rPr>
              <w:t>Businesses: significant recurrent benefits to creditors from automatic interest/compensation flanked with strong enforcement, outweighing one-off adjustment costs</w:t>
            </w:r>
          </w:p>
          <w:p w14:paraId="5D095F0C" w14:textId="4C21AD13" w:rsidR="00DA78BE" w:rsidRPr="00881BC8" w:rsidRDefault="00DA78BE" w:rsidP="00452F62">
            <w:pPr>
              <w:spacing w:after="120"/>
              <w:cnfStyle w:val="000000000000" w:firstRow="0" w:lastRow="0" w:firstColumn="0" w:lastColumn="0" w:oddVBand="0" w:evenVBand="0" w:oddHBand="0" w:evenHBand="0" w:firstRowFirstColumn="0" w:firstRowLastColumn="0" w:lastRowFirstColumn="0" w:lastRowLastColumn="0"/>
              <w:rPr>
                <w:noProof/>
                <w:sz w:val="20"/>
                <w:szCs w:val="16"/>
              </w:rPr>
            </w:pPr>
            <w:r w:rsidRPr="00881BC8">
              <w:rPr>
                <w:noProof/>
                <w:sz w:val="20"/>
                <w:szCs w:val="16"/>
              </w:rPr>
              <w:t>Public authorities: cost to run enforcement bodies and to pay interest/compensation, but weighed up by improved execution of public works contracts and potential revenue from regulatory fines</w:t>
            </w:r>
          </w:p>
        </w:tc>
      </w:tr>
      <w:tr w:rsidR="00091065" w:rsidRPr="00881BC8" w14:paraId="336E550F" w14:textId="4B9041ED" w:rsidTr="00C43DCC">
        <w:tc>
          <w:tcPr>
            <w:cnfStyle w:val="001000000000" w:firstRow="0" w:lastRow="0" w:firstColumn="1" w:lastColumn="0" w:oddVBand="0" w:evenVBand="0" w:oddHBand="0" w:evenHBand="0" w:firstRowFirstColumn="0" w:firstRowLastColumn="0" w:lastRowFirstColumn="0" w:lastRowLastColumn="0"/>
            <w:tcW w:w="1417" w:type="dxa"/>
          </w:tcPr>
          <w:p w14:paraId="6C36FC7B" w14:textId="77777777" w:rsidR="00091065" w:rsidRPr="00881BC8" w:rsidRDefault="00091065" w:rsidP="00091065">
            <w:pPr>
              <w:spacing w:after="120"/>
              <w:rPr>
                <w:b w:val="0"/>
                <w:bCs w:val="0"/>
                <w:noProof/>
              </w:rPr>
            </w:pPr>
            <w:r w:rsidRPr="00881BC8">
              <w:rPr>
                <w:noProof/>
              </w:rPr>
              <w:t>PO 2b</w:t>
            </w:r>
          </w:p>
          <w:p w14:paraId="1480EBD4" w14:textId="77777777" w:rsidR="00091065" w:rsidRPr="00881BC8" w:rsidRDefault="00091065" w:rsidP="00091065">
            <w:pPr>
              <w:spacing w:after="120"/>
              <w:rPr>
                <w:noProof/>
              </w:rPr>
            </w:pPr>
            <w:r w:rsidRPr="00881BC8">
              <w:rPr>
                <w:b w:val="0"/>
                <w:bCs w:val="0"/>
                <w:noProof/>
                <w:sz w:val="18"/>
                <w:szCs w:val="18"/>
              </w:rPr>
              <w:t>(aut. payment of interest and flat fee compensation, staggered flat fee compensation, designating monitoring bodies, PP self-declaration of payment to subcontractors)</w:t>
            </w:r>
          </w:p>
        </w:tc>
        <w:tc>
          <w:tcPr>
            <w:tcW w:w="2726" w:type="dxa"/>
          </w:tcPr>
          <w:p w14:paraId="04157971" w14:textId="62B16A5A" w:rsidR="00091065" w:rsidRPr="00881BC8" w:rsidRDefault="00091065" w:rsidP="00091065">
            <w:pPr>
              <w:pStyle w:val="Text2"/>
              <w:ind w:left="0"/>
              <w:cnfStyle w:val="000000000000" w:firstRow="0" w:lastRow="0" w:firstColumn="0" w:lastColumn="0" w:oddVBand="0" w:evenVBand="0" w:oddHBand="0" w:evenHBand="0" w:firstRowFirstColumn="0" w:firstRowLastColumn="0" w:lastRowFirstColumn="0" w:lastRowLastColumn="0"/>
              <w:rPr>
                <w:noProof/>
                <w:sz w:val="20"/>
                <w:szCs w:val="16"/>
              </w:rPr>
            </w:pPr>
            <w:r w:rsidRPr="00881BC8">
              <w:rPr>
                <w:noProof/>
                <w:sz w:val="20"/>
                <w:szCs w:val="16"/>
              </w:rPr>
              <w:t>Automatic payment of interests (EUR 265.5 million) and compensation fees (EUR 3.0 – 7.5 billion)</w:t>
            </w:r>
          </w:p>
          <w:p w14:paraId="2018234B" w14:textId="590EACBE" w:rsidR="00091065" w:rsidRPr="00881BC8" w:rsidRDefault="00091065" w:rsidP="00091065">
            <w:pPr>
              <w:pStyle w:val="Text2"/>
              <w:ind w:left="0"/>
              <w:cnfStyle w:val="000000000000" w:firstRow="0" w:lastRow="0" w:firstColumn="0" w:lastColumn="0" w:oddVBand="0" w:evenVBand="0" w:oddHBand="0" w:evenHBand="0" w:firstRowFirstColumn="0" w:firstRowLastColumn="0" w:lastRowFirstColumn="0" w:lastRowLastColumn="0"/>
              <w:rPr>
                <w:noProof/>
                <w:sz w:val="20"/>
                <w:szCs w:val="16"/>
              </w:rPr>
            </w:pPr>
            <w:r w:rsidRPr="00881BC8">
              <w:rPr>
                <w:noProof/>
                <w:sz w:val="20"/>
                <w:szCs w:val="16"/>
              </w:rPr>
              <w:t>Deterrent from enforcement bodies</w:t>
            </w:r>
          </w:p>
          <w:p w14:paraId="60D9CC40" w14:textId="15774C02" w:rsidR="00091065" w:rsidRPr="00881BC8" w:rsidRDefault="00091065" w:rsidP="00091065">
            <w:pPr>
              <w:pStyle w:val="Text2"/>
              <w:ind w:left="0"/>
              <w:cnfStyle w:val="000000000000" w:firstRow="0" w:lastRow="0" w:firstColumn="0" w:lastColumn="0" w:oddVBand="0" w:evenVBand="0" w:oddHBand="0" w:evenHBand="0" w:firstRowFirstColumn="0" w:firstRowLastColumn="0" w:lastRowFirstColumn="0" w:lastRowLastColumn="0"/>
              <w:rPr>
                <w:noProof/>
                <w:sz w:val="20"/>
                <w:szCs w:val="16"/>
              </w:rPr>
            </w:pPr>
            <w:r w:rsidRPr="00881BC8">
              <w:rPr>
                <w:noProof/>
                <w:sz w:val="20"/>
                <w:szCs w:val="16"/>
              </w:rPr>
              <w:t xml:space="preserve">Unblocking of payments to subcontractors (EUR 31 million per year) in public works contracts, and </w:t>
            </w:r>
            <w:r w:rsidRPr="00881BC8">
              <w:rPr>
                <w:noProof/>
                <w:sz w:val="20"/>
              </w:rPr>
              <w:t>improved execution of public work projects</w:t>
            </w:r>
          </w:p>
          <w:p w14:paraId="30E3E248" w14:textId="50E8825E" w:rsidR="00091065" w:rsidRPr="00881BC8" w:rsidRDefault="00091065" w:rsidP="00452F62">
            <w:pPr>
              <w:spacing w:after="120"/>
              <w:cnfStyle w:val="000000000000" w:firstRow="0" w:lastRow="0" w:firstColumn="0" w:lastColumn="0" w:oddVBand="0" w:evenVBand="0" w:oddHBand="0" w:evenHBand="0" w:firstRowFirstColumn="0" w:firstRowLastColumn="0" w:lastRowFirstColumn="0" w:lastRowLastColumn="0"/>
              <w:rPr>
                <w:noProof/>
                <w:sz w:val="20"/>
                <w:szCs w:val="16"/>
              </w:rPr>
            </w:pPr>
            <w:r w:rsidRPr="00881BC8">
              <w:rPr>
                <w:noProof/>
                <w:sz w:val="20"/>
                <w:szCs w:val="16"/>
              </w:rPr>
              <w:t>Reduced hassle costs associated with chasing late payments, improved cash flow</w:t>
            </w:r>
          </w:p>
        </w:tc>
        <w:tc>
          <w:tcPr>
            <w:tcW w:w="3029" w:type="dxa"/>
          </w:tcPr>
          <w:p w14:paraId="4BFC5258" w14:textId="77777777" w:rsidR="00091065" w:rsidRPr="00881BC8" w:rsidRDefault="00091065" w:rsidP="00091065">
            <w:pPr>
              <w:spacing w:after="120"/>
              <w:cnfStyle w:val="000000000000" w:firstRow="0" w:lastRow="0" w:firstColumn="0" w:lastColumn="0" w:oddVBand="0" w:evenVBand="0" w:oddHBand="0" w:evenHBand="0" w:firstRowFirstColumn="0" w:firstRowLastColumn="0" w:lastRowFirstColumn="0" w:lastRowLastColumn="0"/>
              <w:rPr>
                <w:noProof/>
                <w:sz w:val="20"/>
                <w:szCs w:val="20"/>
              </w:rPr>
            </w:pPr>
            <w:r w:rsidRPr="00881BC8">
              <w:rPr>
                <w:noProof/>
                <w:sz w:val="20"/>
                <w:szCs w:val="20"/>
              </w:rPr>
              <w:t>One-off adjustment cost from updating standard payment terms of EUR 243 million</w:t>
            </w:r>
          </w:p>
          <w:p w14:paraId="29EFE98A" w14:textId="3D02E509" w:rsidR="00091065" w:rsidRPr="00881BC8" w:rsidRDefault="00091065" w:rsidP="00091065">
            <w:pPr>
              <w:spacing w:after="120"/>
              <w:cnfStyle w:val="000000000000" w:firstRow="0" w:lastRow="0" w:firstColumn="0" w:lastColumn="0" w:oddVBand="0" w:evenVBand="0" w:oddHBand="0" w:evenHBand="0" w:firstRowFirstColumn="0" w:firstRowLastColumn="0" w:lastRowFirstColumn="0" w:lastRowLastColumn="0"/>
              <w:rPr>
                <w:noProof/>
                <w:sz w:val="20"/>
                <w:szCs w:val="20"/>
              </w:rPr>
            </w:pPr>
            <w:r w:rsidRPr="00881BC8">
              <w:rPr>
                <w:noProof/>
                <w:sz w:val="20"/>
                <w:szCs w:val="20"/>
              </w:rPr>
              <w:t>Cost to the debtor of automatic interest and compensation fees (equivalent to benefit to the creditor)</w:t>
            </w:r>
          </w:p>
          <w:p w14:paraId="56BADDB0" w14:textId="77777777" w:rsidR="00091065" w:rsidRPr="00881BC8" w:rsidRDefault="00091065" w:rsidP="00091065">
            <w:pPr>
              <w:spacing w:after="120"/>
              <w:cnfStyle w:val="000000000000" w:firstRow="0" w:lastRow="0" w:firstColumn="0" w:lastColumn="0" w:oddVBand="0" w:evenVBand="0" w:oddHBand="0" w:evenHBand="0" w:firstRowFirstColumn="0" w:firstRowLastColumn="0" w:lastRowFirstColumn="0" w:lastRowLastColumn="0"/>
              <w:rPr>
                <w:noProof/>
                <w:sz w:val="20"/>
                <w:szCs w:val="20"/>
              </w:rPr>
            </w:pPr>
            <w:r w:rsidRPr="00881BC8">
              <w:rPr>
                <w:noProof/>
                <w:sz w:val="20"/>
                <w:szCs w:val="20"/>
              </w:rPr>
              <w:t>Cost to main contractors in public contracts from verifying their prompt payment to the public authority (EUR 2.2 million per year)</w:t>
            </w:r>
          </w:p>
          <w:p w14:paraId="5EE3689E" w14:textId="77777777" w:rsidR="006A21F4" w:rsidRPr="00881BC8" w:rsidRDefault="006A21F4" w:rsidP="00091065">
            <w:pPr>
              <w:spacing w:after="120"/>
              <w:cnfStyle w:val="000000000000" w:firstRow="0" w:lastRow="0" w:firstColumn="0" w:lastColumn="0" w:oddVBand="0" w:evenVBand="0" w:oddHBand="0" w:evenHBand="0" w:firstRowFirstColumn="0" w:firstRowLastColumn="0" w:lastRowFirstColumn="0" w:lastRowLastColumn="0"/>
              <w:rPr>
                <w:noProof/>
                <w:sz w:val="20"/>
                <w:szCs w:val="20"/>
              </w:rPr>
            </w:pPr>
            <w:r w:rsidRPr="00881BC8">
              <w:rPr>
                <w:noProof/>
                <w:sz w:val="20"/>
                <w:szCs w:val="20"/>
              </w:rPr>
              <w:t>Cost on public authorities from having to pay interest and compensation fees to public contractors when paying late</w:t>
            </w:r>
          </w:p>
          <w:p w14:paraId="316CBBD3" w14:textId="55315AA0" w:rsidR="006A21F4" w:rsidRPr="00881BC8" w:rsidRDefault="006A21F4" w:rsidP="00452F62">
            <w:pPr>
              <w:spacing w:after="120"/>
              <w:cnfStyle w:val="000000000000" w:firstRow="0" w:lastRow="0" w:firstColumn="0" w:lastColumn="0" w:oddVBand="0" w:evenVBand="0" w:oddHBand="0" w:evenHBand="0" w:firstRowFirstColumn="0" w:firstRowLastColumn="0" w:lastRowFirstColumn="0" w:lastRowLastColumn="0"/>
              <w:rPr>
                <w:noProof/>
                <w:sz w:val="20"/>
                <w:szCs w:val="20"/>
              </w:rPr>
            </w:pPr>
            <w:r w:rsidRPr="00881BC8">
              <w:rPr>
                <w:noProof/>
                <w:sz w:val="20"/>
                <w:szCs w:val="20"/>
              </w:rPr>
              <w:t>Cost of designating national enforcement bodies without sanctioning powers</w:t>
            </w:r>
          </w:p>
        </w:tc>
        <w:tc>
          <w:tcPr>
            <w:tcW w:w="2462" w:type="dxa"/>
          </w:tcPr>
          <w:p w14:paraId="6D445C6A" w14:textId="16064014" w:rsidR="00DA78BE" w:rsidRPr="00881BC8" w:rsidRDefault="00DA78BE" w:rsidP="00452F62">
            <w:pPr>
              <w:spacing w:after="120"/>
              <w:cnfStyle w:val="000000000000" w:firstRow="0" w:lastRow="0" w:firstColumn="0" w:lastColumn="0" w:oddVBand="0" w:evenVBand="0" w:oddHBand="0" w:evenHBand="0" w:firstRowFirstColumn="0" w:firstRowLastColumn="0" w:lastRowFirstColumn="0" w:lastRowLastColumn="0"/>
              <w:rPr>
                <w:noProof/>
                <w:sz w:val="20"/>
                <w:szCs w:val="16"/>
              </w:rPr>
            </w:pPr>
            <w:r w:rsidRPr="00881BC8">
              <w:rPr>
                <w:noProof/>
                <w:sz w:val="20"/>
                <w:szCs w:val="16"/>
              </w:rPr>
              <w:t>Businesses: significant recurrent benefits to creditors from automatic interest/compensation, outweighing one-off adjustment costs, but limited enforcement</w:t>
            </w:r>
          </w:p>
          <w:p w14:paraId="783DF085" w14:textId="76861BD3" w:rsidR="00091065" w:rsidRPr="00881BC8" w:rsidRDefault="00DA78BE" w:rsidP="00452F62">
            <w:pPr>
              <w:spacing w:after="120"/>
              <w:cnfStyle w:val="000000000000" w:firstRow="0" w:lastRow="0" w:firstColumn="0" w:lastColumn="0" w:oddVBand="0" w:evenVBand="0" w:oddHBand="0" w:evenHBand="0" w:firstRowFirstColumn="0" w:firstRowLastColumn="0" w:lastRowFirstColumn="0" w:lastRowLastColumn="0"/>
              <w:rPr>
                <w:noProof/>
                <w:sz w:val="20"/>
                <w:szCs w:val="16"/>
              </w:rPr>
            </w:pPr>
            <w:r w:rsidRPr="00881BC8">
              <w:rPr>
                <w:noProof/>
                <w:sz w:val="20"/>
                <w:szCs w:val="16"/>
              </w:rPr>
              <w:t>Public authorities: cost to run enforcement bodies and to pay interest/compensation, only partly weighed up by improved execution of public works contracts</w:t>
            </w:r>
          </w:p>
        </w:tc>
      </w:tr>
      <w:tr w:rsidR="00DA78BE" w:rsidRPr="00881BC8" w14:paraId="51F7C169" w14:textId="7B410CD5" w:rsidTr="00C43DCC">
        <w:tc>
          <w:tcPr>
            <w:cnfStyle w:val="001000000000" w:firstRow="0" w:lastRow="0" w:firstColumn="1" w:lastColumn="0" w:oddVBand="0" w:evenVBand="0" w:oddHBand="0" w:evenHBand="0" w:firstRowFirstColumn="0" w:firstRowLastColumn="0" w:lastRowFirstColumn="0" w:lastRowLastColumn="0"/>
            <w:tcW w:w="1417" w:type="dxa"/>
          </w:tcPr>
          <w:p w14:paraId="2AC1FE43" w14:textId="77777777" w:rsidR="00DA78BE" w:rsidRPr="00881BC8" w:rsidRDefault="00DA78BE" w:rsidP="00DA78BE">
            <w:pPr>
              <w:spacing w:after="120"/>
              <w:rPr>
                <w:b w:val="0"/>
                <w:bCs w:val="0"/>
                <w:noProof/>
              </w:rPr>
            </w:pPr>
            <w:r w:rsidRPr="00881BC8">
              <w:rPr>
                <w:noProof/>
              </w:rPr>
              <w:t>PO 3a</w:t>
            </w:r>
          </w:p>
          <w:p w14:paraId="6F4413B3" w14:textId="77777777" w:rsidR="00DA78BE" w:rsidRPr="00881BC8" w:rsidRDefault="00DA78BE" w:rsidP="00DA78BE">
            <w:pPr>
              <w:spacing w:after="120"/>
              <w:rPr>
                <w:b w:val="0"/>
                <w:bCs w:val="0"/>
                <w:noProof/>
              </w:rPr>
            </w:pPr>
            <w:r w:rsidRPr="00881BC8">
              <w:rPr>
                <w:b w:val="0"/>
                <w:bCs w:val="0"/>
                <w:noProof/>
                <w:sz w:val="18"/>
                <w:szCs w:val="18"/>
              </w:rPr>
              <w:t>(national payment envoy, MS to address unfair terms and practices)</w:t>
            </w:r>
          </w:p>
        </w:tc>
        <w:tc>
          <w:tcPr>
            <w:tcW w:w="2726" w:type="dxa"/>
          </w:tcPr>
          <w:p w14:paraId="792914A6" w14:textId="3C580A22" w:rsidR="00DA78BE" w:rsidRPr="00881BC8" w:rsidRDefault="00DA78BE" w:rsidP="00452F62">
            <w:pPr>
              <w:spacing w:after="120"/>
              <w:cnfStyle w:val="000000000000" w:firstRow="0" w:lastRow="0" w:firstColumn="0" w:lastColumn="0" w:oddVBand="0" w:evenVBand="0" w:oddHBand="0" w:evenHBand="0" w:firstRowFirstColumn="0" w:firstRowLastColumn="0" w:lastRowFirstColumn="0" w:lastRowLastColumn="0"/>
              <w:rPr>
                <w:noProof/>
                <w:sz w:val="20"/>
                <w:szCs w:val="20"/>
              </w:rPr>
            </w:pPr>
            <w:r w:rsidRPr="00881BC8">
              <w:rPr>
                <w:noProof/>
                <w:sz w:val="20"/>
                <w:szCs w:val="20"/>
              </w:rPr>
              <w:t>EUR 2.6 million per year in recovered debt across EU-27</w:t>
            </w:r>
          </w:p>
          <w:p w14:paraId="18897DF1" w14:textId="6DB133E1" w:rsidR="00DA78BE" w:rsidRPr="00881BC8" w:rsidRDefault="00DA78BE" w:rsidP="00452F62">
            <w:pPr>
              <w:spacing w:after="120"/>
              <w:cnfStyle w:val="000000000000" w:firstRow="0" w:lastRow="0" w:firstColumn="0" w:lastColumn="0" w:oddVBand="0" w:evenVBand="0" w:oddHBand="0" w:evenHBand="0" w:firstRowFirstColumn="0" w:firstRowLastColumn="0" w:lastRowFirstColumn="0" w:lastRowLastColumn="0"/>
              <w:rPr>
                <w:noProof/>
                <w:sz w:val="16"/>
                <w:szCs w:val="16"/>
              </w:rPr>
            </w:pPr>
            <w:r w:rsidRPr="00881BC8">
              <w:rPr>
                <w:noProof/>
                <w:sz w:val="20"/>
                <w:szCs w:val="20"/>
              </w:rPr>
              <w:t>Reduced burden on judicial system through avoided court cases</w:t>
            </w:r>
          </w:p>
          <w:p w14:paraId="21B49F2F" w14:textId="4FB1F5A2" w:rsidR="00DA78BE" w:rsidRPr="00881BC8" w:rsidRDefault="00DA78BE" w:rsidP="00452F62">
            <w:pPr>
              <w:spacing w:after="120"/>
              <w:cnfStyle w:val="000000000000" w:firstRow="0" w:lastRow="0" w:firstColumn="0" w:lastColumn="0" w:oddVBand="0" w:evenVBand="0" w:oddHBand="0" w:evenHBand="0" w:firstRowFirstColumn="0" w:firstRowLastColumn="0" w:lastRowFirstColumn="0" w:lastRowLastColumn="0"/>
              <w:rPr>
                <w:noProof/>
                <w:sz w:val="20"/>
                <w:szCs w:val="20"/>
              </w:rPr>
            </w:pPr>
          </w:p>
        </w:tc>
        <w:tc>
          <w:tcPr>
            <w:tcW w:w="3029" w:type="dxa"/>
          </w:tcPr>
          <w:p w14:paraId="0796DC41" w14:textId="15C9E50F" w:rsidR="00DA78BE" w:rsidRPr="00881BC8" w:rsidRDefault="00DA78BE" w:rsidP="00452F62">
            <w:pPr>
              <w:spacing w:after="120"/>
              <w:cnfStyle w:val="000000000000" w:firstRow="0" w:lastRow="0" w:firstColumn="0" w:lastColumn="0" w:oddVBand="0" w:evenVBand="0" w:oddHBand="0" w:evenHBand="0" w:firstRowFirstColumn="0" w:firstRowLastColumn="0" w:lastRowFirstColumn="0" w:lastRowLastColumn="0"/>
              <w:rPr>
                <w:noProof/>
                <w:sz w:val="20"/>
                <w:szCs w:val="20"/>
              </w:rPr>
            </w:pPr>
            <w:r w:rsidRPr="00881BC8">
              <w:rPr>
                <w:noProof/>
                <w:sz w:val="20"/>
                <w:szCs w:val="20"/>
              </w:rPr>
              <w:t>No additional cost to businesses</w:t>
            </w:r>
          </w:p>
          <w:p w14:paraId="294B89F2" w14:textId="41975EE0" w:rsidR="00DA78BE" w:rsidRPr="00881BC8" w:rsidRDefault="00DA78BE" w:rsidP="00452F62">
            <w:pPr>
              <w:spacing w:after="120"/>
              <w:cnfStyle w:val="000000000000" w:firstRow="0" w:lastRow="0" w:firstColumn="0" w:lastColumn="0" w:oddVBand="0" w:evenVBand="0" w:oddHBand="0" w:evenHBand="0" w:firstRowFirstColumn="0" w:firstRowLastColumn="0" w:lastRowFirstColumn="0" w:lastRowLastColumn="0"/>
              <w:rPr>
                <w:noProof/>
                <w:sz w:val="20"/>
                <w:szCs w:val="20"/>
              </w:rPr>
            </w:pPr>
            <w:r w:rsidRPr="00881BC8">
              <w:rPr>
                <w:noProof/>
                <w:sz w:val="20"/>
                <w:szCs w:val="20"/>
              </w:rPr>
              <w:t>Cost to public authorities of running national payment envoys, estimated at EUR 11.8 million per year for the whole EU-27</w:t>
            </w:r>
          </w:p>
        </w:tc>
        <w:tc>
          <w:tcPr>
            <w:tcW w:w="2462" w:type="dxa"/>
          </w:tcPr>
          <w:p w14:paraId="7656BCC1" w14:textId="278DAED4" w:rsidR="00DA78BE" w:rsidRPr="00881BC8" w:rsidRDefault="00DA78BE" w:rsidP="00DA78BE">
            <w:pPr>
              <w:spacing w:after="120"/>
              <w:cnfStyle w:val="000000000000" w:firstRow="0" w:lastRow="0" w:firstColumn="0" w:lastColumn="0" w:oddVBand="0" w:evenVBand="0" w:oddHBand="0" w:evenHBand="0" w:firstRowFirstColumn="0" w:firstRowLastColumn="0" w:lastRowFirstColumn="0" w:lastRowLastColumn="0"/>
              <w:rPr>
                <w:noProof/>
                <w:sz w:val="20"/>
                <w:szCs w:val="16"/>
              </w:rPr>
            </w:pPr>
            <w:r w:rsidRPr="00881BC8">
              <w:rPr>
                <w:noProof/>
                <w:sz w:val="20"/>
                <w:szCs w:val="16"/>
              </w:rPr>
              <w:t>Businesses: positive effect from payment envoys at no additional cost</w:t>
            </w:r>
          </w:p>
          <w:p w14:paraId="09964496" w14:textId="7C6EC389" w:rsidR="00DA78BE" w:rsidRPr="00881BC8" w:rsidRDefault="00DA78BE" w:rsidP="00452F62">
            <w:pPr>
              <w:spacing w:after="120"/>
              <w:cnfStyle w:val="000000000000" w:firstRow="0" w:lastRow="0" w:firstColumn="0" w:lastColumn="0" w:oddVBand="0" w:evenVBand="0" w:oddHBand="0" w:evenHBand="0" w:firstRowFirstColumn="0" w:firstRowLastColumn="0" w:lastRowFirstColumn="0" w:lastRowLastColumn="0"/>
              <w:rPr>
                <w:noProof/>
                <w:sz w:val="20"/>
                <w:szCs w:val="16"/>
              </w:rPr>
            </w:pPr>
            <w:r w:rsidRPr="00881BC8">
              <w:rPr>
                <w:noProof/>
                <w:sz w:val="20"/>
                <w:szCs w:val="16"/>
              </w:rPr>
              <w:t>Public authorities: cost to run payment envoys, only partly weighed up by reduced burden on judicial system</w:t>
            </w:r>
          </w:p>
        </w:tc>
      </w:tr>
      <w:tr w:rsidR="00DA78BE" w:rsidRPr="00881BC8" w14:paraId="10CD3030" w14:textId="64D1F60C" w:rsidTr="00C43DCC">
        <w:tc>
          <w:tcPr>
            <w:cnfStyle w:val="001000000000" w:firstRow="0" w:lastRow="0" w:firstColumn="1" w:lastColumn="0" w:oddVBand="0" w:evenVBand="0" w:oddHBand="0" w:evenHBand="0" w:firstRowFirstColumn="0" w:firstRowLastColumn="0" w:lastRowFirstColumn="0" w:lastRowLastColumn="0"/>
            <w:tcW w:w="1417" w:type="dxa"/>
          </w:tcPr>
          <w:p w14:paraId="28C3B156" w14:textId="77777777" w:rsidR="00DA78BE" w:rsidRPr="00881BC8" w:rsidRDefault="00DA78BE" w:rsidP="00DA78BE">
            <w:pPr>
              <w:spacing w:after="120"/>
              <w:rPr>
                <w:b w:val="0"/>
                <w:bCs w:val="0"/>
                <w:noProof/>
              </w:rPr>
            </w:pPr>
            <w:r w:rsidRPr="00881BC8">
              <w:rPr>
                <w:noProof/>
              </w:rPr>
              <w:t>PO 3b</w:t>
            </w:r>
          </w:p>
          <w:p w14:paraId="76770210" w14:textId="77777777" w:rsidR="00DA78BE" w:rsidRPr="00881BC8" w:rsidRDefault="00DA78BE" w:rsidP="00DA78BE">
            <w:pPr>
              <w:spacing w:after="120"/>
              <w:rPr>
                <w:noProof/>
              </w:rPr>
            </w:pPr>
            <w:r w:rsidRPr="00881BC8">
              <w:rPr>
                <w:b w:val="0"/>
                <w:bCs w:val="0"/>
                <w:noProof/>
                <w:sz w:val="18"/>
                <w:szCs w:val="18"/>
              </w:rPr>
              <w:t>(national system of mediation, MS to address unfair terms and practices)</w:t>
            </w:r>
          </w:p>
        </w:tc>
        <w:tc>
          <w:tcPr>
            <w:tcW w:w="2726" w:type="dxa"/>
          </w:tcPr>
          <w:p w14:paraId="25B0B214" w14:textId="68088806" w:rsidR="00DA78BE" w:rsidRPr="00881BC8" w:rsidRDefault="00DA78BE" w:rsidP="00DA78BE">
            <w:pPr>
              <w:pStyle w:val="Text2"/>
              <w:ind w:left="0"/>
              <w:cnfStyle w:val="000000000000" w:firstRow="0" w:lastRow="0" w:firstColumn="0" w:lastColumn="0" w:oddVBand="0" w:evenVBand="0" w:oddHBand="0" w:evenHBand="0" w:firstRowFirstColumn="0" w:firstRowLastColumn="0" w:lastRowFirstColumn="0" w:lastRowLastColumn="0"/>
              <w:rPr>
                <w:noProof/>
                <w:sz w:val="20"/>
              </w:rPr>
            </w:pPr>
            <w:r w:rsidRPr="00881BC8">
              <w:rPr>
                <w:noProof/>
                <w:sz w:val="20"/>
              </w:rPr>
              <w:t>Cost savings of EUR 27 million per year from avoided court cases</w:t>
            </w:r>
          </w:p>
          <w:p w14:paraId="4E2E8D8C" w14:textId="77777777" w:rsidR="00DA78BE" w:rsidRPr="00881BC8" w:rsidRDefault="00DA78BE" w:rsidP="00452F62">
            <w:pPr>
              <w:spacing w:after="120"/>
              <w:cnfStyle w:val="000000000000" w:firstRow="0" w:lastRow="0" w:firstColumn="0" w:lastColumn="0" w:oddVBand="0" w:evenVBand="0" w:oddHBand="0" w:evenHBand="0" w:firstRowFirstColumn="0" w:firstRowLastColumn="0" w:lastRowFirstColumn="0" w:lastRowLastColumn="0"/>
              <w:rPr>
                <w:noProof/>
                <w:sz w:val="20"/>
                <w:szCs w:val="20"/>
              </w:rPr>
            </w:pPr>
            <w:r w:rsidRPr="00881BC8">
              <w:rPr>
                <w:noProof/>
                <w:sz w:val="20"/>
                <w:szCs w:val="20"/>
              </w:rPr>
              <w:t>Reduction in payment delays of 5.5%</w:t>
            </w:r>
          </w:p>
          <w:p w14:paraId="6AF916D6" w14:textId="7FEF7305" w:rsidR="00DA78BE" w:rsidRPr="00881BC8" w:rsidRDefault="00DA78BE" w:rsidP="00452F62">
            <w:pPr>
              <w:spacing w:after="120"/>
              <w:cnfStyle w:val="000000000000" w:firstRow="0" w:lastRow="0" w:firstColumn="0" w:lastColumn="0" w:oddVBand="0" w:evenVBand="0" w:oddHBand="0" w:evenHBand="0" w:firstRowFirstColumn="0" w:firstRowLastColumn="0" w:lastRowFirstColumn="0" w:lastRowLastColumn="0"/>
              <w:rPr>
                <w:noProof/>
                <w:sz w:val="20"/>
                <w:szCs w:val="20"/>
              </w:rPr>
            </w:pPr>
            <w:r w:rsidRPr="00881BC8">
              <w:rPr>
                <w:noProof/>
                <w:sz w:val="20"/>
                <w:szCs w:val="20"/>
              </w:rPr>
              <w:t>Reduced burden on judicial system through avoided court cases</w:t>
            </w:r>
          </w:p>
          <w:p w14:paraId="201C8154" w14:textId="5C07F0F1" w:rsidR="00DA78BE" w:rsidRPr="00881BC8" w:rsidRDefault="00DA78BE" w:rsidP="00452F62">
            <w:pPr>
              <w:spacing w:after="120"/>
              <w:cnfStyle w:val="000000000000" w:firstRow="0" w:lastRow="0" w:firstColumn="0" w:lastColumn="0" w:oddVBand="0" w:evenVBand="0" w:oddHBand="0" w:evenHBand="0" w:firstRowFirstColumn="0" w:firstRowLastColumn="0" w:lastRowFirstColumn="0" w:lastRowLastColumn="0"/>
              <w:rPr>
                <w:noProof/>
                <w:sz w:val="20"/>
                <w:szCs w:val="20"/>
              </w:rPr>
            </w:pPr>
            <w:r w:rsidRPr="00881BC8">
              <w:rPr>
                <w:noProof/>
                <w:sz w:val="20"/>
                <w:szCs w:val="20"/>
              </w:rPr>
              <w:t>Public authorities can cheaper solve their own disputes through mediation services instead of being taken to court</w:t>
            </w:r>
          </w:p>
          <w:p w14:paraId="4E970723" w14:textId="6351A4DD" w:rsidR="00DA78BE" w:rsidRPr="00881BC8" w:rsidRDefault="00DA78BE" w:rsidP="00452F62">
            <w:pPr>
              <w:spacing w:after="120"/>
              <w:cnfStyle w:val="000000000000" w:firstRow="0" w:lastRow="0" w:firstColumn="0" w:lastColumn="0" w:oddVBand="0" w:evenVBand="0" w:oddHBand="0" w:evenHBand="0" w:firstRowFirstColumn="0" w:firstRowLastColumn="0" w:lastRowFirstColumn="0" w:lastRowLastColumn="0"/>
              <w:rPr>
                <w:noProof/>
                <w:sz w:val="20"/>
                <w:szCs w:val="20"/>
              </w:rPr>
            </w:pPr>
          </w:p>
        </w:tc>
        <w:tc>
          <w:tcPr>
            <w:tcW w:w="3029" w:type="dxa"/>
          </w:tcPr>
          <w:p w14:paraId="15F9F763" w14:textId="0F08FFE6" w:rsidR="00DA78BE" w:rsidRPr="00881BC8" w:rsidRDefault="00DA78BE" w:rsidP="00452F62">
            <w:pPr>
              <w:spacing w:after="120"/>
              <w:cnfStyle w:val="000000000000" w:firstRow="0" w:lastRow="0" w:firstColumn="0" w:lastColumn="0" w:oddVBand="0" w:evenVBand="0" w:oddHBand="0" w:evenHBand="0" w:firstRowFirstColumn="0" w:firstRowLastColumn="0" w:lastRowFirstColumn="0" w:lastRowLastColumn="0"/>
              <w:rPr>
                <w:noProof/>
                <w:sz w:val="20"/>
                <w:szCs w:val="20"/>
              </w:rPr>
            </w:pPr>
            <w:r w:rsidRPr="00881BC8">
              <w:rPr>
                <w:noProof/>
                <w:sz w:val="20"/>
                <w:szCs w:val="20"/>
              </w:rPr>
              <w:t>No additional cost to businesses</w:t>
            </w:r>
          </w:p>
          <w:p w14:paraId="12F9B624" w14:textId="09D33D61" w:rsidR="00DA78BE" w:rsidRPr="00881BC8" w:rsidRDefault="00DA78BE" w:rsidP="00452F62">
            <w:pPr>
              <w:spacing w:after="120"/>
              <w:cnfStyle w:val="000000000000" w:firstRow="0" w:lastRow="0" w:firstColumn="0" w:lastColumn="0" w:oddVBand="0" w:evenVBand="0" w:oddHBand="0" w:evenHBand="0" w:firstRowFirstColumn="0" w:firstRowLastColumn="0" w:lastRowFirstColumn="0" w:lastRowLastColumn="0"/>
              <w:rPr>
                <w:noProof/>
                <w:sz w:val="20"/>
                <w:szCs w:val="20"/>
              </w:rPr>
            </w:pPr>
            <w:r w:rsidRPr="00881BC8">
              <w:rPr>
                <w:noProof/>
                <w:sz w:val="20"/>
                <w:szCs w:val="20"/>
              </w:rPr>
              <w:t>Cost to public authorities of running mediation system, estimated at EUR 10.8-39.8 million per year for the whole EU-27</w:t>
            </w:r>
          </w:p>
        </w:tc>
        <w:tc>
          <w:tcPr>
            <w:tcW w:w="2462" w:type="dxa"/>
          </w:tcPr>
          <w:p w14:paraId="0AE9F841" w14:textId="55CDD1D3" w:rsidR="00DA78BE" w:rsidRPr="00881BC8" w:rsidRDefault="00DA78BE" w:rsidP="00DA78BE">
            <w:pPr>
              <w:spacing w:after="120"/>
              <w:cnfStyle w:val="000000000000" w:firstRow="0" w:lastRow="0" w:firstColumn="0" w:lastColumn="0" w:oddVBand="0" w:evenVBand="0" w:oddHBand="0" w:evenHBand="0" w:firstRowFirstColumn="0" w:firstRowLastColumn="0" w:lastRowFirstColumn="0" w:lastRowLastColumn="0"/>
              <w:rPr>
                <w:noProof/>
                <w:sz w:val="20"/>
                <w:szCs w:val="16"/>
              </w:rPr>
            </w:pPr>
            <w:r w:rsidRPr="00881BC8">
              <w:rPr>
                <w:noProof/>
                <w:sz w:val="20"/>
                <w:szCs w:val="16"/>
              </w:rPr>
              <w:t>Businesses: significant positive effect from mediation systems at no additional cost</w:t>
            </w:r>
          </w:p>
          <w:p w14:paraId="65D9161B" w14:textId="73FD321B" w:rsidR="00DA78BE" w:rsidRPr="00881BC8" w:rsidRDefault="00DA78BE" w:rsidP="00452F62">
            <w:pPr>
              <w:spacing w:after="120"/>
              <w:cnfStyle w:val="000000000000" w:firstRow="0" w:lastRow="0" w:firstColumn="0" w:lastColumn="0" w:oddVBand="0" w:evenVBand="0" w:oddHBand="0" w:evenHBand="0" w:firstRowFirstColumn="0" w:firstRowLastColumn="0" w:lastRowFirstColumn="0" w:lastRowLastColumn="0"/>
              <w:rPr>
                <w:noProof/>
                <w:sz w:val="20"/>
                <w:szCs w:val="16"/>
              </w:rPr>
            </w:pPr>
            <w:r w:rsidRPr="00881BC8">
              <w:rPr>
                <w:noProof/>
                <w:sz w:val="20"/>
                <w:szCs w:val="16"/>
              </w:rPr>
              <w:t>Public authorities: cost to run mediation systems, weighed up by reduced burden on judicial system and solving G2B disputes through mediation</w:t>
            </w:r>
          </w:p>
        </w:tc>
      </w:tr>
    </w:tbl>
    <w:p w14:paraId="0E5C703F" w14:textId="77777777" w:rsidR="00641938" w:rsidRPr="00881BC8" w:rsidRDefault="00641938" w:rsidP="00452F62">
      <w:pPr>
        <w:rPr>
          <w:noProof/>
        </w:rPr>
      </w:pPr>
    </w:p>
    <w:p w14:paraId="1133CDEC" w14:textId="320F2243" w:rsidR="00B34307" w:rsidRPr="00B34307" w:rsidRDefault="00B34307" w:rsidP="00B34307">
      <w:pPr>
        <w:pStyle w:val="Caption"/>
        <w:rPr>
          <w:noProof/>
          <w:lang w:val="en-GB"/>
        </w:rPr>
      </w:pPr>
      <w:r w:rsidRPr="00B34307">
        <w:rPr>
          <w:noProof/>
          <w:lang w:val="en-GB"/>
        </w:rPr>
        <w:t xml:space="preserve">Table </w:t>
      </w:r>
      <w:r w:rsidR="005851F4">
        <w:rPr>
          <w:noProof/>
          <w:lang w:val="en-GB"/>
        </w:rPr>
        <w:t>5</w:t>
      </w:r>
      <w:r w:rsidRPr="00B34307">
        <w:rPr>
          <w:noProof/>
          <w:lang w:val="en-GB"/>
        </w:rPr>
        <w:t>: Comparison of options based on net impacts (benefits minus costs) for enterprises and public authorities</w:t>
      </w:r>
    </w:p>
    <w:tbl>
      <w:tblPr>
        <w:tblStyle w:val="GridTable1Light-Accent1"/>
        <w:tblpPr w:leftFromText="181" w:rightFromText="181" w:bottomFromText="227" w:vertAnchor="text" w:tblpY="1"/>
        <w:tblOverlap w:val="never"/>
        <w:tblW w:w="8642" w:type="dxa"/>
        <w:tblLook w:val="04A0" w:firstRow="1" w:lastRow="0" w:firstColumn="1" w:lastColumn="0" w:noHBand="0" w:noVBand="1"/>
      </w:tblPr>
      <w:tblGrid>
        <w:gridCol w:w="5355"/>
        <w:gridCol w:w="1643"/>
        <w:gridCol w:w="1644"/>
      </w:tblGrid>
      <w:tr w:rsidR="005E573C" w:rsidRPr="00881BC8" w14:paraId="6BE6F3EC" w14:textId="77777777" w:rsidTr="001855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55" w:type="dxa"/>
          </w:tcPr>
          <w:p w14:paraId="6C03D98E" w14:textId="77777777" w:rsidR="005E573C" w:rsidRPr="00881BC8" w:rsidRDefault="005E573C" w:rsidP="00894848">
            <w:pPr>
              <w:spacing w:after="120"/>
              <w:rPr>
                <w:noProof/>
              </w:rPr>
            </w:pPr>
          </w:p>
        </w:tc>
        <w:tc>
          <w:tcPr>
            <w:tcW w:w="1643" w:type="dxa"/>
          </w:tcPr>
          <w:p w14:paraId="6ABDFCDE" w14:textId="77777777" w:rsidR="005E573C" w:rsidRPr="00881BC8" w:rsidRDefault="005E573C" w:rsidP="00894848">
            <w:pPr>
              <w:spacing w:after="120"/>
              <w:cnfStyle w:val="100000000000" w:firstRow="1" w:lastRow="0" w:firstColumn="0" w:lastColumn="0" w:oddVBand="0" w:evenVBand="0" w:oddHBand="0" w:evenHBand="0" w:firstRowFirstColumn="0" w:firstRowLastColumn="0" w:lastRowFirstColumn="0" w:lastRowLastColumn="0"/>
              <w:rPr>
                <w:noProof/>
                <w:sz w:val="22"/>
                <w:szCs w:val="22"/>
              </w:rPr>
            </w:pPr>
            <w:r w:rsidRPr="00881BC8">
              <w:rPr>
                <w:noProof/>
                <w:sz w:val="22"/>
                <w:szCs w:val="22"/>
              </w:rPr>
              <w:t>Net impacts on businesses</w:t>
            </w:r>
          </w:p>
        </w:tc>
        <w:tc>
          <w:tcPr>
            <w:tcW w:w="1644" w:type="dxa"/>
          </w:tcPr>
          <w:p w14:paraId="159ABA3A" w14:textId="77777777" w:rsidR="005E573C" w:rsidRPr="00881BC8" w:rsidRDefault="005E573C" w:rsidP="00894848">
            <w:pPr>
              <w:spacing w:after="120"/>
              <w:cnfStyle w:val="100000000000" w:firstRow="1" w:lastRow="0" w:firstColumn="0" w:lastColumn="0" w:oddVBand="0" w:evenVBand="0" w:oddHBand="0" w:evenHBand="0" w:firstRowFirstColumn="0" w:firstRowLastColumn="0" w:lastRowFirstColumn="0" w:lastRowLastColumn="0"/>
              <w:rPr>
                <w:noProof/>
                <w:sz w:val="22"/>
                <w:szCs w:val="22"/>
              </w:rPr>
            </w:pPr>
            <w:r w:rsidRPr="00881BC8">
              <w:rPr>
                <w:noProof/>
                <w:sz w:val="22"/>
                <w:szCs w:val="22"/>
              </w:rPr>
              <w:t>Net impacts on public authorities</w:t>
            </w:r>
          </w:p>
        </w:tc>
      </w:tr>
      <w:tr w:rsidR="005E573C" w:rsidRPr="00881BC8" w14:paraId="62DEE2F8" w14:textId="77777777" w:rsidTr="001855BA">
        <w:tc>
          <w:tcPr>
            <w:cnfStyle w:val="001000000000" w:firstRow="0" w:lastRow="0" w:firstColumn="1" w:lastColumn="0" w:oddVBand="0" w:evenVBand="0" w:oddHBand="0" w:evenHBand="0" w:firstRowFirstColumn="0" w:firstRowLastColumn="0" w:lastRowFirstColumn="0" w:lastRowLastColumn="0"/>
            <w:tcW w:w="5355" w:type="dxa"/>
          </w:tcPr>
          <w:p w14:paraId="182CFEC0" w14:textId="77777777" w:rsidR="005E573C" w:rsidRPr="00881BC8" w:rsidRDefault="005E573C" w:rsidP="00894848">
            <w:pPr>
              <w:spacing w:after="120"/>
              <w:rPr>
                <w:b w:val="0"/>
                <w:bCs w:val="0"/>
                <w:noProof/>
              </w:rPr>
            </w:pPr>
            <w:r w:rsidRPr="00881BC8">
              <w:rPr>
                <w:noProof/>
              </w:rPr>
              <w:t>PO 1a</w:t>
            </w:r>
          </w:p>
          <w:p w14:paraId="16288F0F" w14:textId="511D45BD" w:rsidR="00BB3F13" w:rsidRPr="00881BC8" w:rsidRDefault="001D7D6A" w:rsidP="001D7D6A">
            <w:pPr>
              <w:spacing w:after="120"/>
              <w:rPr>
                <w:noProof/>
              </w:rPr>
            </w:pPr>
            <w:r w:rsidRPr="00881BC8">
              <w:rPr>
                <w:b w:val="0"/>
                <w:bCs w:val="0"/>
                <w:noProof/>
                <w:sz w:val="18"/>
                <w:szCs w:val="18"/>
              </w:rPr>
              <w:t>(</w:t>
            </w:r>
            <w:r w:rsidR="00BB3F13" w:rsidRPr="00881BC8">
              <w:rPr>
                <w:b w:val="0"/>
                <w:bCs w:val="0"/>
                <w:noProof/>
                <w:sz w:val="18"/>
                <w:szCs w:val="18"/>
              </w:rPr>
              <w:t>30-day payment cap</w:t>
            </w:r>
            <w:r w:rsidRPr="00881BC8">
              <w:rPr>
                <w:b w:val="0"/>
                <w:bCs w:val="0"/>
                <w:noProof/>
                <w:sz w:val="18"/>
                <w:szCs w:val="18"/>
              </w:rPr>
              <w:t xml:space="preserve">, </w:t>
            </w:r>
            <w:r w:rsidR="00BB3F13" w:rsidRPr="00881BC8">
              <w:rPr>
                <w:b w:val="0"/>
                <w:bCs w:val="0"/>
                <w:noProof/>
                <w:sz w:val="18"/>
                <w:szCs w:val="18"/>
              </w:rPr>
              <w:t>30-day verification cap</w:t>
            </w:r>
            <w:r w:rsidRPr="00881BC8">
              <w:rPr>
                <w:b w:val="0"/>
                <w:bCs w:val="0"/>
                <w:noProof/>
                <w:sz w:val="18"/>
                <w:szCs w:val="18"/>
              </w:rPr>
              <w:t>,</w:t>
            </w:r>
            <w:r w:rsidRPr="00881BC8">
              <w:rPr>
                <w:noProof/>
                <w:sz w:val="18"/>
                <w:szCs w:val="18"/>
              </w:rPr>
              <w:t xml:space="preserve"> </w:t>
            </w:r>
            <w:r w:rsidR="001855BA" w:rsidRPr="00881BC8">
              <w:rPr>
                <w:noProof/>
                <w:sz w:val="18"/>
                <w:szCs w:val="18"/>
              </w:rPr>
              <w:t>c</w:t>
            </w:r>
            <w:r w:rsidR="008E4E6C" w:rsidRPr="00881BC8">
              <w:rPr>
                <w:b w:val="0"/>
                <w:bCs w:val="0"/>
                <w:noProof/>
                <w:sz w:val="18"/>
                <w:szCs w:val="18"/>
              </w:rPr>
              <w:t>redit</w:t>
            </w:r>
            <w:r w:rsidRPr="00881BC8">
              <w:rPr>
                <w:b w:val="0"/>
                <w:bCs w:val="0"/>
                <w:noProof/>
                <w:sz w:val="18"/>
                <w:szCs w:val="18"/>
              </w:rPr>
              <w:t xml:space="preserve"> </w:t>
            </w:r>
            <w:r w:rsidR="008E4E6C" w:rsidRPr="00881BC8">
              <w:rPr>
                <w:b w:val="0"/>
                <w:bCs w:val="0"/>
                <w:noProof/>
                <w:sz w:val="18"/>
                <w:szCs w:val="18"/>
              </w:rPr>
              <w:t>/</w:t>
            </w:r>
            <w:r w:rsidRPr="00881BC8">
              <w:rPr>
                <w:b w:val="0"/>
                <w:bCs w:val="0"/>
                <w:noProof/>
                <w:sz w:val="18"/>
                <w:szCs w:val="18"/>
              </w:rPr>
              <w:t xml:space="preserve"> </w:t>
            </w:r>
            <w:r w:rsidR="008E4E6C" w:rsidRPr="00881BC8">
              <w:rPr>
                <w:b w:val="0"/>
                <w:bCs w:val="0"/>
                <w:noProof/>
                <w:sz w:val="18"/>
                <w:szCs w:val="18"/>
              </w:rPr>
              <w:t>digital training</w:t>
            </w:r>
            <w:r w:rsidRPr="00881BC8">
              <w:rPr>
                <w:b w:val="0"/>
                <w:bCs w:val="0"/>
                <w:noProof/>
                <w:sz w:val="18"/>
                <w:szCs w:val="18"/>
              </w:rPr>
              <w:t>)</w:t>
            </w:r>
          </w:p>
        </w:tc>
        <w:tc>
          <w:tcPr>
            <w:tcW w:w="1643" w:type="dxa"/>
          </w:tcPr>
          <w:p w14:paraId="2D0502B3" w14:textId="77777777" w:rsidR="005E573C" w:rsidRPr="00881BC8" w:rsidRDefault="005E573C" w:rsidP="00894848">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c>
          <w:tcPr>
            <w:tcW w:w="1644" w:type="dxa"/>
          </w:tcPr>
          <w:p w14:paraId="3445551C" w14:textId="77777777" w:rsidR="005E573C" w:rsidRPr="00881BC8" w:rsidRDefault="005E573C" w:rsidP="00894848">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0</w:t>
            </w:r>
          </w:p>
        </w:tc>
      </w:tr>
      <w:tr w:rsidR="005E573C" w:rsidRPr="00881BC8" w14:paraId="7B5F47B3" w14:textId="77777777" w:rsidTr="001855BA">
        <w:tc>
          <w:tcPr>
            <w:cnfStyle w:val="001000000000" w:firstRow="0" w:lastRow="0" w:firstColumn="1" w:lastColumn="0" w:oddVBand="0" w:evenVBand="0" w:oddHBand="0" w:evenHBand="0" w:firstRowFirstColumn="0" w:firstRowLastColumn="0" w:lastRowFirstColumn="0" w:lastRowLastColumn="0"/>
            <w:tcW w:w="5355" w:type="dxa"/>
          </w:tcPr>
          <w:p w14:paraId="7EA47A69" w14:textId="77777777" w:rsidR="005E573C" w:rsidRPr="00881BC8" w:rsidRDefault="005E573C" w:rsidP="00894848">
            <w:pPr>
              <w:spacing w:after="120"/>
              <w:rPr>
                <w:b w:val="0"/>
                <w:bCs w:val="0"/>
                <w:noProof/>
              </w:rPr>
            </w:pPr>
            <w:r w:rsidRPr="00881BC8">
              <w:rPr>
                <w:noProof/>
              </w:rPr>
              <w:t>PO 1b</w:t>
            </w:r>
          </w:p>
          <w:p w14:paraId="1BB62F18" w14:textId="0CDDF4CF" w:rsidR="008E4E6C" w:rsidRPr="00881BC8" w:rsidRDefault="001D7D6A" w:rsidP="00894848">
            <w:pPr>
              <w:spacing w:after="120"/>
              <w:rPr>
                <w:noProof/>
              </w:rPr>
            </w:pPr>
            <w:r w:rsidRPr="00881BC8">
              <w:rPr>
                <w:b w:val="0"/>
                <w:bCs w:val="0"/>
                <w:noProof/>
                <w:sz w:val="18"/>
                <w:szCs w:val="18"/>
              </w:rPr>
              <w:t>(60-day payment cap, 30-day verification cap,</w:t>
            </w:r>
            <w:r w:rsidRPr="00881BC8">
              <w:rPr>
                <w:noProof/>
                <w:sz w:val="18"/>
                <w:szCs w:val="18"/>
              </w:rPr>
              <w:t xml:space="preserve"> </w:t>
            </w:r>
            <w:r w:rsidR="001855BA" w:rsidRPr="00881BC8">
              <w:rPr>
                <w:noProof/>
                <w:sz w:val="18"/>
                <w:szCs w:val="18"/>
              </w:rPr>
              <w:t>c</w:t>
            </w:r>
            <w:r w:rsidRPr="00881BC8">
              <w:rPr>
                <w:b w:val="0"/>
                <w:bCs w:val="0"/>
                <w:noProof/>
                <w:sz w:val="18"/>
                <w:szCs w:val="18"/>
              </w:rPr>
              <w:t>redit / digital training)</w:t>
            </w:r>
          </w:p>
        </w:tc>
        <w:tc>
          <w:tcPr>
            <w:tcW w:w="1643" w:type="dxa"/>
          </w:tcPr>
          <w:p w14:paraId="37396DE2" w14:textId="77777777" w:rsidR="005E573C" w:rsidRPr="00881BC8" w:rsidRDefault="005E573C" w:rsidP="00894848">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c>
          <w:tcPr>
            <w:tcW w:w="1644" w:type="dxa"/>
          </w:tcPr>
          <w:p w14:paraId="3139397D" w14:textId="77777777" w:rsidR="005E573C" w:rsidRPr="00881BC8" w:rsidRDefault="005E573C" w:rsidP="00894848">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0</w:t>
            </w:r>
          </w:p>
        </w:tc>
      </w:tr>
      <w:tr w:rsidR="005E573C" w:rsidRPr="00881BC8" w14:paraId="36A31267" w14:textId="77777777" w:rsidTr="001855BA">
        <w:tc>
          <w:tcPr>
            <w:cnfStyle w:val="001000000000" w:firstRow="0" w:lastRow="0" w:firstColumn="1" w:lastColumn="0" w:oddVBand="0" w:evenVBand="0" w:oddHBand="0" w:evenHBand="0" w:firstRowFirstColumn="0" w:firstRowLastColumn="0" w:lastRowFirstColumn="0" w:lastRowLastColumn="0"/>
            <w:tcW w:w="5355" w:type="dxa"/>
          </w:tcPr>
          <w:p w14:paraId="6503D4AC" w14:textId="77777777" w:rsidR="005E573C" w:rsidRPr="00881BC8" w:rsidRDefault="005E573C" w:rsidP="00894848">
            <w:pPr>
              <w:spacing w:after="120"/>
              <w:rPr>
                <w:b w:val="0"/>
                <w:bCs w:val="0"/>
                <w:noProof/>
              </w:rPr>
            </w:pPr>
            <w:r w:rsidRPr="00881BC8">
              <w:rPr>
                <w:noProof/>
              </w:rPr>
              <w:t>PO 1c</w:t>
            </w:r>
          </w:p>
          <w:p w14:paraId="114E8F52" w14:textId="65692DD8" w:rsidR="00623E26" w:rsidRPr="00881BC8" w:rsidRDefault="00623E26" w:rsidP="00894848">
            <w:pPr>
              <w:spacing w:after="120"/>
              <w:rPr>
                <w:noProof/>
              </w:rPr>
            </w:pPr>
            <w:r w:rsidRPr="00881BC8">
              <w:rPr>
                <w:b w:val="0"/>
                <w:bCs w:val="0"/>
                <w:noProof/>
                <w:sz w:val="18"/>
                <w:szCs w:val="18"/>
              </w:rPr>
              <w:t>(60-day payment cap in transaction with SME creditors, 30-day verification cap,</w:t>
            </w:r>
            <w:r w:rsidRPr="00881BC8">
              <w:rPr>
                <w:noProof/>
                <w:sz w:val="18"/>
                <w:szCs w:val="18"/>
              </w:rPr>
              <w:t xml:space="preserve"> </w:t>
            </w:r>
            <w:r w:rsidR="001855BA" w:rsidRPr="00881BC8">
              <w:rPr>
                <w:noProof/>
                <w:sz w:val="18"/>
                <w:szCs w:val="18"/>
              </w:rPr>
              <w:t>c</w:t>
            </w:r>
            <w:r w:rsidRPr="00881BC8">
              <w:rPr>
                <w:b w:val="0"/>
                <w:bCs w:val="0"/>
                <w:noProof/>
                <w:sz w:val="18"/>
                <w:szCs w:val="18"/>
              </w:rPr>
              <w:t>redit / digital training)</w:t>
            </w:r>
          </w:p>
        </w:tc>
        <w:tc>
          <w:tcPr>
            <w:tcW w:w="1643" w:type="dxa"/>
          </w:tcPr>
          <w:p w14:paraId="0DDD08D8" w14:textId="77777777" w:rsidR="005E573C" w:rsidRPr="00881BC8" w:rsidRDefault="005E573C" w:rsidP="00894848">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c>
          <w:tcPr>
            <w:tcW w:w="1644" w:type="dxa"/>
          </w:tcPr>
          <w:p w14:paraId="73A907F4" w14:textId="77777777" w:rsidR="005E573C" w:rsidRPr="00881BC8" w:rsidRDefault="005E573C" w:rsidP="00894848">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0</w:t>
            </w:r>
          </w:p>
        </w:tc>
      </w:tr>
      <w:tr w:rsidR="005E573C" w:rsidRPr="00881BC8" w14:paraId="42D441C0" w14:textId="77777777" w:rsidTr="001855BA">
        <w:tc>
          <w:tcPr>
            <w:cnfStyle w:val="001000000000" w:firstRow="0" w:lastRow="0" w:firstColumn="1" w:lastColumn="0" w:oddVBand="0" w:evenVBand="0" w:oddHBand="0" w:evenHBand="0" w:firstRowFirstColumn="0" w:firstRowLastColumn="0" w:lastRowFirstColumn="0" w:lastRowLastColumn="0"/>
            <w:tcW w:w="5355" w:type="dxa"/>
          </w:tcPr>
          <w:p w14:paraId="3CF27883" w14:textId="77777777" w:rsidR="005E573C" w:rsidRPr="00881BC8" w:rsidRDefault="005E573C" w:rsidP="00894848">
            <w:pPr>
              <w:spacing w:after="120"/>
              <w:rPr>
                <w:b w:val="0"/>
                <w:bCs w:val="0"/>
                <w:noProof/>
              </w:rPr>
            </w:pPr>
            <w:r w:rsidRPr="00881BC8">
              <w:rPr>
                <w:noProof/>
              </w:rPr>
              <w:t>PO 2a</w:t>
            </w:r>
          </w:p>
          <w:p w14:paraId="2905CF83" w14:textId="33048D1D" w:rsidR="00280D50" w:rsidRPr="00881BC8" w:rsidRDefault="00280D50" w:rsidP="00894848">
            <w:pPr>
              <w:spacing w:after="120"/>
              <w:rPr>
                <w:b w:val="0"/>
                <w:bCs w:val="0"/>
                <w:noProof/>
                <w:sz w:val="18"/>
                <w:szCs w:val="18"/>
              </w:rPr>
            </w:pPr>
            <w:r w:rsidRPr="00881BC8">
              <w:rPr>
                <w:b w:val="0"/>
                <w:bCs w:val="0"/>
                <w:noProof/>
                <w:sz w:val="18"/>
                <w:szCs w:val="18"/>
              </w:rPr>
              <w:t>(</w:t>
            </w:r>
            <w:r w:rsidR="0042356F" w:rsidRPr="00881BC8">
              <w:rPr>
                <w:b w:val="0"/>
                <w:bCs w:val="0"/>
                <w:noProof/>
                <w:sz w:val="18"/>
                <w:szCs w:val="18"/>
              </w:rPr>
              <w:t xml:space="preserve">aut. </w:t>
            </w:r>
            <w:r w:rsidRPr="00881BC8">
              <w:rPr>
                <w:b w:val="0"/>
                <w:bCs w:val="0"/>
                <w:noProof/>
                <w:sz w:val="18"/>
                <w:szCs w:val="18"/>
              </w:rPr>
              <w:t xml:space="preserve">payment of interest and flat fee compensation, flat fee compensation at EUR 50, designating </w:t>
            </w:r>
            <w:r w:rsidR="0042356F" w:rsidRPr="00881BC8">
              <w:rPr>
                <w:b w:val="0"/>
                <w:bCs w:val="0"/>
                <w:noProof/>
                <w:sz w:val="18"/>
                <w:szCs w:val="18"/>
              </w:rPr>
              <w:t xml:space="preserve">strong </w:t>
            </w:r>
            <w:r w:rsidRPr="00881BC8">
              <w:rPr>
                <w:b w:val="0"/>
                <w:bCs w:val="0"/>
                <w:noProof/>
                <w:sz w:val="18"/>
                <w:szCs w:val="18"/>
              </w:rPr>
              <w:t xml:space="preserve">enf. </w:t>
            </w:r>
            <w:r w:rsidR="0042356F" w:rsidRPr="00881BC8">
              <w:rPr>
                <w:b w:val="0"/>
                <w:bCs w:val="0"/>
                <w:noProof/>
                <w:sz w:val="18"/>
                <w:szCs w:val="18"/>
              </w:rPr>
              <w:t>b</w:t>
            </w:r>
            <w:r w:rsidRPr="00881BC8">
              <w:rPr>
                <w:b w:val="0"/>
                <w:bCs w:val="0"/>
                <w:noProof/>
                <w:sz w:val="18"/>
                <w:szCs w:val="18"/>
              </w:rPr>
              <w:t xml:space="preserve">odies, </w:t>
            </w:r>
            <w:r w:rsidR="00AE011E" w:rsidRPr="00881BC8">
              <w:rPr>
                <w:b w:val="0"/>
                <w:bCs w:val="0"/>
                <w:noProof/>
                <w:sz w:val="18"/>
                <w:szCs w:val="18"/>
              </w:rPr>
              <w:t>PP self-declaration of payment to subcontractors)</w:t>
            </w:r>
          </w:p>
        </w:tc>
        <w:tc>
          <w:tcPr>
            <w:tcW w:w="1643" w:type="dxa"/>
          </w:tcPr>
          <w:p w14:paraId="5EF6A31D" w14:textId="77777777" w:rsidR="005E573C" w:rsidRPr="00881BC8" w:rsidRDefault="005E573C" w:rsidP="00894848">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c>
          <w:tcPr>
            <w:tcW w:w="1644" w:type="dxa"/>
          </w:tcPr>
          <w:p w14:paraId="36DC7729" w14:textId="77777777" w:rsidR="005E573C" w:rsidRPr="00881BC8" w:rsidRDefault="005E573C" w:rsidP="00894848">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0</w:t>
            </w:r>
          </w:p>
        </w:tc>
      </w:tr>
      <w:tr w:rsidR="005E573C" w:rsidRPr="00881BC8" w14:paraId="0D8C19AB" w14:textId="77777777" w:rsidTr="001855BA">
        <w:tc>
          <w:tcPr>
            <w:cnfStyle w:val="001000000000" w:firstRow="0" w:lastRow="0" w:firstColumn="1" w:lastColumn="0" w:oddVBand="0" w:evenVBand="0" w:oddHBand="0" w:evenHBand="0" w:firstRowFirstColumn="0" w:firstRowLastColumn="0" w:lastRowFirstColumn="0" w:lastRowLastColumn="0"/>
            <w:tcW w:w="5355" w:type="dxa"/>
          </w:tcPr>
          <w:p w14:paraId="36C92784" w14:textId="77777777" w:rsidR="005E573C" w:rsidRPr="00881BC8" w:rsidRDefault="005E573C" w:rsidP="00894848">
            <w:pPr>
              <w:spacing w:after="120"/>
              <w:rPr>
                <w:b w:val="0"/>
                <w:bCs w:val="0"/>
                <w:noProof/>
              </w:rPr>
            </w:pPr>
            <w:r w:rsidRPr="00881BC8">
              <w:rPr>
                <w:noProof/>
              </w:rPr>
              <w:t>PO 2b</w:t>
            </w:r>
          </w:p>
          <w:p w14:paraId="63EB4521" w14:textId="1118F4D4" w:rsidR="0042356F" w:rsidRPr="00881BC8" w:rsidRDefault="0042356F" w:rsidP="00894848">
            <w:pPr>
              <w:spacing w:after="120"/>
              <w:rPr>
                <w:noProof/>
              </w:rPr>
            </w:pPr>
            <w:r w:rsidRPr="00881BC8">
              <w:rPr>
                <w:b w:val="0"/>
                <w:bCs w:val="0"/>
                <w:noProof/>
                <w:sz w:val="18"/>
                <w:szCs w:val="18"/>
              </w:rPr>
              <w:t>(aut. payment of interest and flat fee compensation, staggered flat fee compensation, designating monitoring bodies, PP self-declaration of payment to subcontractors)</w:t>
            </w:r>
          </w:p>
        </w:tc>
        <w:tc>
          <w:tcPr>
            <w:tcW w:w="1643" w:type="dxa"/>
          </w:tcPr>
          <w:p w14:paraId="53C7EFC9" w14:textId="77777777" w:rsidR="005E573C" w:rsidRPr="00881BC8" w:rsidRDefault="005E573C" w:rsidP="00894848">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c>
          <w:tcPr>
            <w:tcW w:w="1644" w:type="dxa"/>
          </w:tcPr>
          <w:p w14:paraId="3846C1F8" w14:textId="77777777" w:rsidR="005E573C" w:rsidRPr="00881BC8" w:rsidRDefault="005E573C" w:rsidP="00894848">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r>
      <w:tr w:rsidR="005E573C" w:rsidRPr="00881BC8" w14:paraId="0B69C008" w14:textId="77777777" w:rsidTr="001855BA">
        <w:tc>
          <w:tcPr>
            <w:cnfStyle w:val="001000000000" w:firstRow="0" w:lastRow="0" w:firstColumn="1" w:lastColumn="0" w:oddVBand="0" w:evenVBand="0" w:oddHBand="0" w:evenHBand="0" w:firstRowFirstColumn="0" w:firstRowLastColumn="0" w:lastRowFirstColumn="0" w:lastRowLastColumn="0"/>
            <w:tcW w:w="5355" w:type="dxa"/>
          </w:tcPr>
          <w:p w14:paraId="3FF7D89B" w14:textId="77777777" w:rsidR="005E573C" w:rsidRPr="00881BC8" w:rsidRDefault="005E573C" w:rsidP="00894848">
            <w:pPr>
              <w:spacing w:after="120"/>
              <w:rPr>
                <w:b w:val="0"/>
                <w:bCs w:val="0"/>
                <w:noProof/>
              </w:rPr>
            </w:pPr>
            <w:r w:rsidRPr="00881BC8">
              <w:rPr>
                <w:noProof/>
              </w:rPr>
              <w:t>PO 3a</w:t>
            </w:r>
          </w:p>
          <w:p w14:paraId="52C16F0A" w14:textId="6285ED9E" w:rsidR="00C402C5" w:rsidRPr="00881BC8" w:rsidRDefault="00C402C5" w:rsidP="00894848">
            <w:pPr>
              <w:spacing w:after="120"/>
              <w:rPr>
                <w:b w:val="0"/>
                <w:bCs w:val="0"/>
                <w:noProof/>
              </w:rPr>
            </w:pPr>
            <w:r w:rsidRPr="00881BC8">
              <w:rPr>
                <w:b w:val="0"/>
                <w:bCs w:val="0"/>
                <w:noProof/>
                <w:sz w:val="18"/>
                <w:szCs w:val="18"/>
              </w:rPr>
              <w:t>(national payment envoy, MS to address unfair terms and practices)</w:t>
            </w:r>
          </w:p>
        </w:tc>
        <w:tc>
          <w:tcPr>
            <w:tcW w:w="1643" w:type="dxa"/>
          </w:tcPr>
          <w:p w14:paraId="61CDBC21" w14:textId="77777777" w:rsidR="005E573C" w:rsidRPr="00881BC8" w:rsidRDefault="005E573C" w:rsidP="00894848">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c>
          <w:tcPr>
            <w:tcW w:w="1644" w:type="dxa"/>
          </w:tcPr>
          <w:p w14:paraId="2CB7349A" w14:textId="77777777" w:rsidR="005E573C" w:rsidRPr="00881BC8" w:rsidRDefault="005E573C" w:rsidP="00894848">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r>
      <w:tr w:rsidR="005E573C" w:rsidRPr="00881BC8" w14:paraId="57D91058" w14:textId="77777777" w:rsidTr="001855BA">
        <w:tc>
          <w:tcPr>
            <w:cnfStyle w:val="001000000000" w:firstRow="0" w:lastRow="0" w:firstColumn="1" w:lastColumn="0" w:oddVBand="0" w:evenVBand="0" w:oddHBand="0" w:evenHBand="0" w:firstRowFirstColumn="0" w:firstRowLastColumn="0" w:lastRowFirstColumn="0" w:lastRowLastColumn="0"/>
            <w:tcW w:w="5355" w:type="dxa"/>
          </w:tcPr>
          <w:p w14:paraId="57A715ED" w14:textId="77777777" w:rsidR="005E573C" w:rsidRPr="00881BC8" w:rsidRDefault="005E573C" w:rsidP="00894848">
            <w:pPr>
              <w:spacing w:after="120"/>
              <w:rPr>
                <w:b w:val="0"/>
                <w:bCs w:val="0"/>
                <w:noProof/>
              </w:rPr>
            </w:pPr>
            <w:r w:rsidRPr="00881BC8">
              <w:rPr>
                <w:noProof/>
              </w:rPr>
              <w:t>PO 3b</w:t>
            </w:r>
          </w:p>
          <w:p w14:paraId="72F89C57" w14:textId="3DBC78BC" w:rsidR="00C402C5" w:rsidRPr="00881BC8" w:rsidRDefault="00C402C5" w:rsidP="00894848">
            <w:pPr>
              <w:spacing w:after="120"/>
              <w:rPr>
                <w:noProof/>
              </w:rPr>
            </w:pPr>
            <w:r w:rsidRPr="00881BC8">
              <w:rPr>
                <w:b w:val="0"/>
                <w:bCs w:val="0"/>
                <w:noProof/>
                <w:sz w:val="18"/>
                <w:szCs w:val="18"/>
              </w:rPr>
              <w:t>(national system of mediation, MS to address unfair terms and practices)</w:t>
            </w:r>
          </w:p>
        </w:tc>
        <w:tc>
          <w:tcPr>
            <w:tcW w:w="1643" w:type="dxa"/>
          </w:tcPr>
          <w:p w14:paraId="4692A09A" w14:textId="77777777" w:rsidR="005E573C" w:rsidRPr="00881BC8" w:rsidRDefault="005E573C" w:rsidP="00894848">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c>
          <w:tcPr>
            <w:tcW w:w="1644" w:type="dxa"/>
          </w:tcPr>
          <w:p w14:paraId="02281C79" w14:textId="77777777" w:rsidR="005E573C" w:rsidRPr="00881BC8" w:rsidRDefault="005E573C" w:rsidP="00894848">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0</w:t>
            </w:r>
          </w:p>
        </w:tc>
      </w:tr>
    </w:tbl>
    <w:p w14:paraId="7713DAE2" w14:textId="56C5151F" w:rsidR="003D3FFB" w:rsidRPr="00881BC8" w:rsidRDefault="003D3FFB" w:rsidP="004835F8">
      <w:pPr>
        <w:pStyle w:val="Heading3"/>
        <w:rPr>
          <w:noProof/>
        </w:rPr>
      </w:pPr>
      <w:bookmarkStart w:id="833" w:name="_Toc135237429"/>
      <w:r w:rsidRPr="00881BC8">
        <w:rPr>
          <w:noProof/>
        </w:rPr>
        <w:t>Policy Option 1</w:t>
      </w:r>
      <w:bookmarkEnd w:id="833"/>
    </w:p>
    <w:p w14:paraId="62DACAFB" w14:textId="098AB616" w:rsidR="00DD6CD1" w:rsidRPr="00881BC8" w:rsidRDefault="00DD6CD1" w:rsidP="004835F8">
      <w:pPr>
        <w:pStyle w:val="NormalPara"/>
        <w:rPr>
          <w:noProof/>
          <w:lang w:val="en-GB"/>
        </w:rPr>
      </w:pPr>
      <w:r w:rsidRPr="00881BC8">
        <w:rPr>
          <w:noProof/>
          <w:lang w:val="en-GB"/>
        </w:rPr>
        <w:t xml:space="preserve">Looking </w:t>
      </w:r>
      <w:r w:rsidR="002C77F7" w:rsidRPr="00881BC8">
        <w:rPr>
          <w:noProof/>
          <w:lang w:val="en-GB"/>
        </w:rPr>
        <w:t xml:space="preserve">at </w:t>
      </w:r>
      <w:r w:rsidR="00F40D06" w:rsidRPr="00881BC8">
        <w:rPr>
          <w:noProof/>
          <w:lang w:val="en-GB"/>
        </w:rPr>
        <w:t>PO1</w:t>
      </w:r>
      <w:r w:rsidRPr="00881BC8">
        <w:rPr>
          <w:noProof/>
          <w:lang w:val="en-GB"/>
        </w:rPr>
        <w:t xml:space="preserve">, it becomes clear that PO1a will bring the largest benefits on businesses. PO1a with its cap of 30 days will affect most EU companies </w:t>
      </w:r>
      <w:r w:rsidR="00C9427A" w:rsidRPr="00881BC8">
        <w:rPr>
          <w:noProof/>
          <w:lang w:val="en-GB"/>
        </w:rPr>
        <w:t>because</w:t>
      </w:r>
      <w:r w:rsidRPr="00881BC8">
        <w:rPr>
          <w:noProof/>
          <w:lang w:val="en-GB"/>
        </w:rPr>
        <w:t xml:space="preserve"> currently average payment terms are above 30 days. PO1b will affect fewer companies than PO1a (</w:t>
      </w:r>
      <w:r w:rsidR="00C9427A" w:rsidRPr="00881BC8">
        <w:rPr>
          <w:noProof/>
          <w:lang w:val="en-GB"/>
        </w:rPr>
        <w:t xml:space="preserve">PO1b </w:t>
      </w:r>
      <w:r w:rsidRPr="00881BC8">
        <w:rPr>
          <w:noProof/>
          <w:lang w:val="en-GB"/>
        </w:rPr>
        <w:t>affects only those companies specifying payment terms above 60 days), and PO1c in turn affects fewer companies than PO1b (only those invoices where the creditor is an SME). Benefits to businesses are correspondingly lower in PO1b and lowest in PO1c, but each option will bring benefits for a smaller subset of companies compared to the baseline.</w:t>
      </w:r>
    </w:p>
    <w:p w14:paraId="7EA9E3A9" w14:textId="0FEFD3DF" w:rsidR="00DD6CD1" w:rsidRPr="00881BC8" w:rsidRDefault="00DD6CD1" w:rsidP="004835F8">
      <w:pPr>
        <w:pStyle w:val="NormalPara"/>
        <w:rPr>
          <w:noProof/>
          <w:lang w:val="en-GB"/>
        </w:rPr>
      </w:pPr>
      <w:r w:rsidRPr="00881BC8">
        <w:rPr>
          <w:noProof/>
          <w:lang w:val="en-GB"/>
        </w:rPr>
        <w:t>Initial adjustment costs to businesses are highest in PO1a, where most companies are affected. Although direct adjustment costs are slightly higher for PO1b than PO1c</w:t>
      </w:r>
      <w:r w:rsidR="00594315" w:rsidRPr="00881BC8">
        <w:rPr>
          <w:noProof/>
          <w:lang w:val="en-GB"/>
        </w:rPr>
        <w:t xml:space="preserve"> (see section </w:t>
      </w:r>
      <w:r w:rsidR="005851F4">
        <w:rPr>
          <w:noProof/>
          <w:lang w:val="en-GB"/>
        </w:rPr>
        <w:t>6</w:t>
      </w:r>
      <w:r w:rsidR="00594315" w:rsidRPr="00881BC8">
        <w:rPr>
          <w:noProof/>
          <w:lang w:val="en-GB"/>
        </w:rPr>
        <w:t>)</w:t>
      </w:r>
      <w:r w:rsidRPr="00881BC8">
        <w:rPr>
          <w:noProof/>
          <w:lang w:val="en-GB"/>
        </w:rPr>
        <w:t>, this relatively small difference is overshadowed by the cost resulting from the need for the creditor to verify that they are an SME. PO1c is therefore shown as the only one of the three options with a net negative impact.</w:t>
      </w:r>
    </w:p>
    <w:p w14:paraId="568FBA7C" w14:textId="128C8857" w:rsidR="00DD6CD1" w:rsidRPr="00881BC8" w:rsidRDefault="00DD6CD1" w:rsidP="004835F8">
      <w:pPr>
        <w:pStyle w:val="NormalPara"/>
        <w:rPr>
          <w:noProof/>
          <w:lang w:val="en-GB"/>
        </w:rPr>
      </w:pPr>
      <w:r w:rsidRPr="00881BC8">
        <w:rPr>
          <w:noProof/>
          <w:lang w:val="en-GB"/>
        </w:rPr>
        <w:t xml:space="preserve">For public authorities, </w:t>
      </w:r>
      <w:r w:rsidR="00AA3B10" w:rsidRPr="00881BC8">
        <w:rPr>
          <w:noProof/>
          <w:lang w:val="en-GB"/>
        </w:rPr>
        <w:t xml:space="preserve">there are no </w:t>
      </w:r>
      <w:r w:rsidRPr="00881BC8">
        <w:rPr>
          <w:noProof/>
          <w:lang w:val="en-GB"/>
        </w:rPr>
        <w:t>substantial differences</w:t>
      </w:r>
      <w:r w:rsidR="00AA3B10" w:rsidRPr="00881BC8">
        <w:rPr>
          <w:noProof/>
          <w:lang w:val="en-GB"/>
        </w:rPr>
        <w:t xml:space="preserve"> among PO1a, PO1b and PO1c</w:t>
      </w:r>
      <w:r w:rsidRPr="00881BC8">
        <w:rPr>
          <w:noProof/>
          <w:lang w:val="en-GB"/>
        </w:rPr>
        <w:t xml:space="preserve">. Benefits to public authorities under each option are expected to be limited, and the costs imposed relatively small, focusing mainly on publishing </w:t>
      </w:r>
      <w:r w:rsidR="00CD7796" w:rsidRPr="00881BC8">
        <w:rPr>
          <w:noProof/>
          <w:lang w:val="en-GB"/>
        </w:rPr>
        <w:t xml:space="preserve">their </w:t>
      </w:r>
      <w:r w:rsidRPr="00881BC8">
        <w:rPr>
          <w:noProof/>
          <w:lang w:val="en-GB"/>
        </w:rPr>
        <w:t>payment information.</w:t>
      </w:r>
    </w:p>
    <w:p w14:paraId="5E8EF0BF" w14:textId="04871226" w:rsidR="003D3FFB" w:rsidRPr="00881BC8" w:rsidRDefault="003D3FFB" w:rsidP="004835F8">
      <w:pPr>
        <w:pStyle w:val="Heading3"/>
        <w:rPr>
          <w:noProof/>
        </w:rPr>
      </w:pPr>
      <w:bookmarkStart w:id="834" w:name="_Toc130889346"/>
      <w:bookmarkStart w:id="835" w:name="_Toc130911713"/>
      <w:bookmarkStart w:id="836" w:name="_Toc130889347"/>
      <w:bookmarkStart w:id="837" w:name="_Toc130911714"/>
      <w:bookmarkStart w:id="838" w:name="_Toc130889348"/>
      <w:bookmarkStart w:id="839" w:name="_Toc130911715"/>
      <w:bookmarkStart w:id="840" w:name="_Toc135237430"/>
      <w:bookmarkEnd w:id="834"/>
      <w:bookmarkEnd w:id="835"/>
      <w:bookmarkEnd w:id="836"/>
      <w:bookmarkEnd w:id="837"/>
      <w:bookmarkEnd w:id="838"/>
      <w:bookmarkEnd w:id="839"/>
      <w:r w:rsidRPr="00881BC8">
        <w:rPr>
          <w:noProof/>
        </w:rPr>
        <w:t>Policy Option 2</w:t>
      </w:r>
      <w:bookmarkEnd w:id="840"/>
    </w:p>
    <w:p w14:paraId="32505BC3" w14:textId="3899EE65" w:rsidR="00DD6CD1" w:rsidRPr="00881BC8" w:rsidRDefault="00DD6CD1" w:rsidP="004835F8">
      <w:pPr>
        <w:pStyle w:val="NormalPara"/>
        <w:rPr>
          <w:noProof/>
          <w:lang w:val="en-GB"/>
        </w:rPr>
      </w:pPr>
      <w:r w:rsidRPr="00881BC8">
        <w:rPr>
          <w:noProof/>
          <w:lang w:val="en-GB"/>
        </w:rPr>
        <w:t xml:space="preserve">In </w:t>
      </w:r>
      <w:r w:rsidR="00AA3B10" w:rsidRPr="00881BC8">
        <w:rPr>
          <w:noProof/>
          <w:lang w:val="en-GB"/>
        </w:rPr>
        <w:t>PO</w:t>
      </w:r>
      <w:r w:rsidRPr="00881BC8">
        <w:rPr>
          <w:noProof/>
          <w:lang w:val="en-GB"/>
        </w:rPr>
        <w:t xml:space="preserve">2, the main benefits to businesses come from increased collection of interest and fees, as well as improved enforcement. Therefore, PO2a is judged </w:t>
      </w:r>
      <w:r w:rsidR="00123814" w:rsidRPr="00881BC8">
        <w:rPr>
          <w:noProof/>
          <w:lang w:val="en-GB"/>
        </w:rPr>
        <w:t xml:space="preserve">to </w:t>
      </w:r>
      <w:r w:rsidRPr="00881BC8">
        <w:rPr>
          <w:noProof/>
          <w:lang w:val="en-GB"/>
        </w:rPr>
        <w:t xml:space="preserve">bring more benefits than PO2b. Although the precise amounts of interest rates and compensation fees differ relatively little between the two options, the accompanying </w:t>
      </w:r>
      <w:r w:rsidR="00AA0337" w:rsidRPr="00881BC8">
        <w:rPr>
          <w:noProof/>
          <w:lang w:val="en-GB"/>
        </w:rPr>
        <w:t xml:space="preserve">measure </w:t>
      </w:r>
      <w:r w:rsidRPr="00881BC8">
        <w:rPr>
          <w:noProof/>
          <w:lang w:val="en-GB"/>
        </w:rPr>
        <w:t>of stronger enforcement including administrative fines in PO2a makes it more likely for companies to actually collect the compensation they are owed.</w:t>
      </w:r>
    </w:p>
    <w:p w14:paraId="4FDD2340" w14:textId="602D0E19" w:rsidR="00DD6CD1" w:rsidRPr="00881BC8" w:rsidRDefault="00206943" w:rsidP="004835F8">
      <w:pPr>
        <w:pStyle w:val="NormalPara"/>
        <w:rPr>
          <w:noProof/>
          <w:lang w:val="en-GB"/>
        </w:rPr>
      </w:pPr>
      <w:r w:rsidRPr="00881BC8">
        <w:rPr>
          <w:noProof/>
          <w:lang w:val="en-GB"/>
        </w:rPr>
        <w:t>U</w:t>
      </w:r>
      <w:r w:rsidR="00DD6CD1" w:rsidRPr="00881BC8">
        <w:rPr>
          <w:noProof/>
          <w:lang w:val="en-GB"/>
        </w:rPr>
        <w:t xml:space="preserve">nder </w:t>
      </w:r>
      <w:r w:rsidRPr="00881BC8">
        <w:rPr>
          <w:noProof/>
          <w:lang w:val="en-GB"/>
        </w:rPr>
        <w:t xml:space="preserve">PO2 </w:t>
      </w:r>
      <w:r w:rsidR="00DD6CD1" w:rsidRPr="00881BC8">
        <w:rPr>
          <w:noProof/>
          <w:lang w:val="en-GB"/>
        </w:rPr>
        <w:t xml:space="preserve">direct monetary benefits translate directly into direct costs to the debtor that has to pay the compensation. If </w:t>
      </w:r>
      <w:r w:rsidRPr="00881BC8">
        <w:rPr>
          <w:noProof/>
          <w:lang w:val="en-GB"/>
        </w:rPr>
        <w:t>less</w:t>
      </w:r>
      <w:r w:rsidR="00DD6CD1" w:rsidRPr="00881BC8">
        <w:rPr>
          <w:noProof/>
          <w:lang w:val="en-GB"/>
        </w:rPr>
        <w:t xml:space="preserve"> compensation is collected, the reduced benefits translate into reduced cost for the debtor. Nonetheless, benefits are higher than costs in </w:t>
      </w:r>
      <w:r w:rsidRPr="00881BC8">
        <w:rPr>
          <w:noProof/>
          <w:lang w:val="en-GB"/>
        </w:rPr>
        <w:t>both PO2a and PO2b</w:t>
      </w:r>
      <w:r w:rsidR="00DD6CD1" w:rsidRPr="00881BC8">
        <w:rPr>
          <w:noProof/>
          <w:lang w:val="en-GB"/>
        </w:rPr>
        <w:t>, as the costs on the debtor are entirely avoidable by paying on time, while the benefits to the creditor materialise regardless of whether the debtor pays interest or pays on time.</w:t>
      </w:r>
    </w:p>
    <w:p w14:paraId="719E3F2A" w14:textId="0A52DCC0" w:rsidR="00DD6CD1" w:rsidRPr="00881BC8" w:rsidRDefault="00DD6CD1" w:rsidP="004835F8">
      <w:pPr>
        <w:pStyle w:val="NormalPara"/>
        <w:rPr>
          <w:noProof/>
          <w:lang w:val="en-GB"/>
        </w:rPr>
      </w:pPr>
      <w:r w:rsidRPr="00881BC8">
        <w:rPr>
          <w:noProof/>
          <w:lang w:val="en-GB"/>
        </w:rPr>
        <w:t>Costs to public authorities are higher under PO2a as the enforcement bodies need more resources to impose administrative fines. PO2b will only impose a cost to designate the enforcement body.</w:t>
      </w:r>
    </w:p>
    <w:p w14:paraId="2BD3C26B" w14:textId="6821B3DF" w:rsidR="003D3FFB" w:rsidRPr="00881BC8" w:rsidRDefault="003D3FFB" w:rsidP="004835F8">
      <w:pPr>
        <w:pStyle w:val="Heading3"/>
        <w:rPr>
          <w:noProof/>
        </w:rPr>
      </w:pPr>
      <w:bookmarkStart w:id="841" w:name="_Toc130889350"/>
      <w:bookmarkStart w:id="842" w:name="_Toc130911717"/>
      <w:bookmarkStart w:id="843" w:name="_Toc130889351"/>
      <w:bookmarkStart w:id="844" w:name="_Toc130911718"/>
      <w:bookmarkStart w:id="845" w:name="_Toc130889352"/>
      <w:bookmarkStart w:id="846" w:name="_Toc130911719"/>
      <w:bookmarkStart w:id="847" w:name="_Toc135237431"/>
      <w:bookmarkEnd w:id="841"/>
      <w:bookmarkEnd w:id="842"/>
      <w:bookmarkEnd w:id="843"/>
      <w:bookmarkEnd w:id="844"/>
      <w:bookmarkEnd w:id="845"/>
      <w:bookmarkEnd w:id="846"/>
      <w:r w:rsidRPr="00881BC8">
        <w:rPr>
          <w:noProof/>
        </w:rPr>
        <w:t>Policy Option 3</w:t>
      </w:r>
      <w:bookmarkEnd w:id="847"/>
    </w:p>
    <w:p w14:paraId="6E22784D" w14:textId="3CD9DA3F" w:rsidR="00EA4679" w:rsidRPr="00881BC8" w:rsidRDefault="00EA4679" w:rsidP="004835F8">
      <w:pPr>
        <w:pStyle w:val="NormalPara"/>
        <w:rPr>
          <w:noProof/>
          <w:lang w:val="en-GB"/>
        </w:rPr>
      </w:pPr>
      <w:r w:rsidRPr="00881BC8">
        <w:rPr>
          <w:noProof/>
          <w:lang w:val="en-GB"/>
        </w:rPr>
        <w:t xml:space="preserve">Under </w:t>
      </w:r>
      <w:r w:rsidR="0061783E" w:rsidRPr="00881BC8">
        <w:rPr>
          <w:noProof/>
          <w:lang w:val="en-GB"/>
        </w:rPr>
        <w:t>PO</w:t>
      </w:r>
      <w:r w:rsidRPr="00881BC8">
        <w:rPr>
          <w:noProof/>
          <w:lang w:val="en-GB"/>
        </w:rPr>
        <w:t xml:space="preserve">3b, businesses will benefit more from a fully-fledged mediation system than a national payment envoy (PO3a). The costs to businesses are negligible in either scenario and can lead to cost savings </w:t>
      </w:r>
      <w:r w:rsidR="00E37E6F" w:rsidRPr="00881BC8">
        <w:rPr>
          <w:noProof/>
          <w:lang w:val="en-GB"/>
        </w:rPr>
        <w:t>for</w:t>
      </w:r>
      <w:r w:rsidRPr="00881BC8">
        <w:rPr>
          <w:noProof/>
          <w:lang w:val="en-GB"/>
        </w:rPr>
        <w:t xml:space="preserve"> both creditors and debtors</w:t>
      </w:r>
      <w:r w:rsidR="00E37E6F" w:rsidRPr="00881BC8">
        <w:rPr>
          <w:noProof/>
          <w:lang w:val="en-GB"/>
        </w:rPr>
        <w:t>, who</w:t>
      </w:r>
      <w:r w:rsidRPr="00881BC8">
        <w:rPr>
          <w:noProof/>
          <w:lang w:val="en-GB"/>
        </w:rPr>
        <w:t xml:space="preserve"> will avoid court costs.</w:t>
      </w:r>
    </w:p>
    <w:p w14:paraId="3B6E01BB" w14:textId="77777777" w:rsidR="00EA4679" w:rsidRPr="00881BC8" w:rsidRDefault="00EA4679" w:rsidP="004835F8">
      <w:pPr>
        <w:pStyle w:val="NormalPara"/>
        <w:rPr>
          <w:noProof/>
          <w:lang w:val="en-GB"/>
        </w:rPr>
      </w:pPr>
      <w:r w:rsidRPr="00881BC8">
        <w:rPr>
          <w:noProof/>
          <w:lang w:val="en-GB"/>
        </w:rPr>
        <w:t>For public authorities, the cost of PO3b is potentially higher than PO3a as the mediation system requires more resources. However, the benefits to public authorities are also higher under PO3b as a mediation system may also avoid court disputes where the public authority itself has paid late and aims to find an amicable resolution with its creditor. PO3b is therefore estimated to have a neutral effect on public authorities, whereas PO3a imposes a small budgetary negative impact.</w:t>
      </w:r>
    </w:p>
    <w:p w14:paraId="49B22214" w14:textId="67880E84" w:rsidR="003D3FFB" w:rsidRPr="00881BC8" w:rsidRDefault="003D3FFB" w:rsidP="004835F8">
      <w:pPr>
        <w:pStyle w:val="Heading2"/>
        <w:rPr>
          <w:noProof/>
        </w:rPr>
      </w:pPr>
      <w:bookmarkStart w:id="848" w:name="_Toc130889354"/>
      <w:bookmarkStart w:id="849" w:name="_Toc130911721"/>
      <w:bookmarkStart w:id="850" w:name="_Toc130889355"/>
      <w:bookmarkStart w:id="851" w:name="_Toc130911722"/>
      <w:bookmarkStart w:id="852" w:name="_Toc135237432"/>
      <w:bookmarkEnd w:id="848"/>
      <w:bookmarkEnd w:id="849"/>
      <w:bookmarkEnd w:id="850"/>
      <w:bookmarkEnd w:id="851"/>
      <w:r w:rsidRPr="00881BC8">
        <w:rPr>
          <w:noProof/>
        </w:rPr>
        <w:t>Comparison based on effectiveness, efficiency, proportionality</w:t>
      </w:r>
      <w:r w:rsidR="00A1368A" w:rsidRPr="00881BC8">
        <w:rPr>
          <w:noProof/>
        </w:rPr>
        <w:t>, coherence and subsidiarity</w:t>
      </w:r>
      <w:bookmarkEnd w:id="852"/>
    </w:p>
    <w:p w14:paraId="5070FAB4" w14:textId="1DF3248F" w:rsidR="00EC124A" w:rsidRPr="00881BC8" w:rsidRDefault="00EC124A" w:rsidP="00EC124A">
      <w:pPr>
        <w:pStyle w:val="NormalPara"/>
        <w:rPr>
          <w:noProof/>
          <w:lang w:val="en-GB"/>
        </w:rPr>
      </w:pPr>
      <w:r w:rsidRPr="00881BC8">
        <w:rPr>
          <w:noProof/>
          <w:lang w:val="en-GB"/>
        </w:rPr>
        <w:t xml:space="preserve">The table below reflects </w:t>
      </w:r>
      <w:r w:rsidR="00E947B5" w:rsidRPr="00881BC8">
        <w:rPr>
          <w:noProof/>
          <w:lang w:val="en-GB"/>
        </w:rPr>
        <w:t xml:space="preserve">a </w:t>
      </w:r>
      <w:r w:rsidRPr="00881BC8">
        <w:rPr>
          <w:noProof/>
          <w:lang w:val="en-GB"/>
        </w:rPr>
        <w:t xml:space="preserve">Commission </w:t>
      </w:r>
      <w:r w:rsidR="00E947B5" w:rsidRPr="00881BC8">
        <w:rPr>
          <w:noProof/>
          <w:lang w:val="en-GB"/>
        </w:rPr>
        <w:t xml:space="preserve">services’ assessment based on </w:t>
      </w:r>
      <w:r w:rsidR="004B31E0" w:rsidRPr="00881BC8">
        <w:rPr>
          <w:noProof/>
          <w:lang w:val="en-GB"/>
        </w:rPr>
        <w:t xml:space="preserve">the in-house expertise and </w:t>
      </w:r>
      <w:r w:rsidR="00E947B5" w:rsidRPr="00881BC8">
        <w:rPr>
          <w:noProof/>
          <w:lang w:val="en-GB"/>
        </w:rPr>
        <w:t xml:space="preserve">the </w:t>
      </w:r>
      <w:r w:rsidR="004B31E0" w:rsidRPr="00881BC8">
        <w:rPr>
          <w:noProof/>
          <w:lang w:val="en-GB"/>
        </w:rPr>
        <w:t xml:space="preserve">sources used to prepare </w:t>
      </w:r>
      <w:r w:rsidR="00E947B5" w:rsidRPr="00881BC8">
        <w:rPr>
          <w:noProof/>
          <w:lang w:val="en-GB"/>
        </w:rPr>
        <w:t>this impact assessment report.</w:t>
      </w:r>
    </w:p>
    <w:p w14:paraId="6F9B1C35" w14:textId="30D37567" w:rsidR="00192035" w:rsidRPr="00192035" w:rsidRDefault="00192035" w:rsidP="00192035">
      <w:pPr>
        <w:pStyle w:val="Caption"/>
        <w:rPr>
          <w:noProof/>
          <w:lang w:val="en-GB"/>
        </w:rPr>
      </w:pPr>
      <w:r w:rsidRPr="00192035">
        <w:rPr>
          <w:noProof/>
          <w:lang w:val="en-GB"/>
        </w:rPr>
        <w:t xml:space="preserve">Table </w:t>
      </w:r>
      <w:r w:rsidR="005851F4">
        <w:rPr>
          <w:noProof/>
          <w:lang w:val="en-GB"/>
        </w:rPr>
        <w:t>6</w:t>
      </w:r>
      <w:r w:rsidRPr="00192035">
        <w:rPr>
          <w:noProof/>
          <w:lang w:val="en-GB"/>
        </w:rPr>
        <w:t>: Comparison based on effectiveness, efficiency, proportionality, coherence and subsidiarity</w:t>
      </w:r>
    </w:p>
    <w:tbl>
      <w:tblPr>
        <w:tblStyle w:val="GridTable1Light-Accent1"/>
        <w:tblpPr w:leftFromText="181" w:rightFromText="181" w:bottomFromText="227" w:vertAnchor="text" w:tblpY="1"/>
        <w:tblOverlap w:val="never"/>
        <w:tblW w:w="8926" w:type="dxa"/>
        <w:tblLook w:val="04A0" w:firstRow="1" w:lastRow="0" w:firstColumn="1" w:lastColumn="0" w:noHBand="0" w:noVBand="1"/>
      </w:tblPr>
      <w:tblGrid>
        <w:gridCol w:w="882"/>
        <w:gridCol w:w="1549"/>
        <w:gridCol w:w="1402"/>
        <w:gridCol w:w="1941"/>
        <w:gridCol w:w="1682"/>
        <w:gridCol w:w="1470"/>
      </w:tblGrid>
      <w:tr w:rsidR="005406AE" w:rsidRPr="00881BC8" w14:paraId="6D57C91D" w14:textId="275A102E" w:rsidTr="001920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2" w:type="dxa"/>
          </w:tcPr>
          <w:p w14:paraId="2BE4F035" w14:textId="77777777" w:rsidR="005406AE" w:rsidRPr="00881BC8" w:rsidRDefault="005406AE" w:rsidP="005406AE">
            <w:pPr>
              <w:spacing w:after="120"/>
              <w:rPr>
                <w:noProof/>
              </w:rPr>
            </w:pPr>
          </w:p>
        </w:tc>
        <w:tc>
          <w:tcPr>
            <w:tcW w:w="1549" w:type="dxa"/>
          </w:tcPr>
          <w:p w14:paraId="08DFF181" w14:textId="77777777" w:rsidR="005406AE" w:rsidRPr="00881BC8" w:rsidRDefault="005406AE" w:rsidP="005406AE">
            <w:pPr>
              <w:spacing w:after="120"/>
              <w:cnfStyle w:val="100000000000" w:firstRow="1" w:lastRow="0" w:firstColumn="0" w:lastColumn="0" w:oddVBand="0" w:evenVBand="0" w:oddHBand="0" w:evenHBand="0" w:firstRowFirstColumn="0" w:firstRowLastColumn="0" w:lastRowFirstColumn="0" w:lastRowLastColumn="0"/>
              <w:rPr>
                <w:noProof/>
              </w:rPr>
            </w:pPr>
            <w:r w:rsidRPr="00881BC8">
              <w:rPr>
                <w:noProof/>
              </w:rPr>
              <w:t>Effectiveness</w:t>
            </w:r>
          </w:p>
        </w:tc>
        <w:tc>
          <w:tcPr>
            <w:tcW w:w="1402" w:type="dxa"/>
          </w:tcPr>
          <w:p w14:paraId="1240A9F3" w14:textId="77777777" w:rsidR="005406AE" w:rsidRPr="00881BC8" w:rsidRDefault="005406AE" w:rsidP="005406AE">
            <w:pPr>
              <w:spacing w:after="120"/>
              <w:cnfStyle w:val="100000000000" w:firstRow="1" w:lastRow="0" w:firstColumn="0" w:lastColumn="0" w:oddVBand="0" w:evenVBand="0" w:oddHBand="0" w:evenHBand="0" w:firstRowFirstColumn="0" w:firstRowLastColumn="0" w:lastRowFirstColumn="0" w:lastRowLastColumn="0"/>
              <w:rPr>
                <w:noProof/>
              </w:rPr>
            </w:pPr>
            <w:r w:rsidRPr="00881BC8">
              <w:rPr>
                <w:noProof/>
              </w:rPr>
              <w:t>Efficiency</w:t>
            </w:r>
          </w:p>
        </w:tc>
        <w:tc>
          <w:tcPr>
            <w:tcW w:w="1941" w:type="dxa"/>
          </w:tcPr>
          <w:p w14:paraId="55C478B6" w14:textId="77777777" w:rsidR="005406AE" w:rsidRPr="00881BC8" w:rsidRDefault="005406AE" w:rsidP="005406AE">
            <w:pPr>
              <w:spacing w:after="120"/>
              <w:cnfStyle w:val="100000000000" w:firstRow="1" w:lastRow="0" w:firstColumn="0" w:lastColumn="0" w:oddVBand="0" w:evenVBand="0" w:oddHBand="0" w:evenHBand="0" w:firstRowFirstColumn="0" w:firstRowLastColumn="0" w:lastRowFirstColumn="0" w:lastRowLastColumn="0"/>
              <w:rPr>
                <w:noProof/>
              </w:rPr>
            </w:pPr>
            <w:r w:rsidRPr="00881BC8">
              <w:rPr>
                <w:noProof/>
              </w:rPr>
              <w:t>Proportionality</w:t>
            </w:r>
          </w:p>
        </w:tc>
        <w:tc>
          <w:tcPr>
            <w:tcW w:w="1682" w:type="dxa"/>
          </w:tcPr>
          <w:p w14:paraId="3D61646F" w14:textId="33026596" w:rsidR="005406AE" w:rsidRPr="00881BC8" w:rsidRDefault="005406AE" w:rsidP="005406AE">
            <w:pPr>
              <w:spacing w:after="120"/>
              <w:cnfStyle w:val="100000000000" w:firstRow="1" w:lastRow="0" w:firstColumn="0" w:lastColumn="0" w:oddVBand="0" w:evenVBand="0" w:oddHBand="0" w:evenHBand="0" w:firstRowFirstColumn="0" w:firstRowLastColumn="0" w:lastRowFirstColumn="0" w:lastRowLastColumn="0"/>
              <w:rPr>
                <w:noProof/>
              </w:rPr>
            </w:pPr>
            <w:r w:rsidRPr="00881BC8">
              <w:rPr>
                <w:noProof/>
              </w:rPr>
              <w:t>Coherence</w:t>
            </w:r>
          </w:p>
        </w:tc>
        <w:tc>
          <w:tcPr>
            <w:tcW w:w="1470" w:type="dxa"/>
          </w:tcPr>
          <w:p w14:paraId="452B85EF" w14:textId="7E000D58" w:rsidR="005406AE" w:rsidRPr="00881BC8" w:rsidRDefault="005406AE" w:rsidP="005406AE">
            <w:pPr>
              <w:spacing w:after="120"/>
              <w:cnfStyle w:val="100000000000" w:firstRow="1" w:lastRow="0" w:firstColumn="0" w:lastColumn="0" w:oddVBand="0" w:evenVBand="0" w:oddHBand="0" w:evenHBand="0" w:firstRowFirstColumn="0" w:firstRowLastColumn="0" w:lastRowFirstColumn="0" w:lastRowLastColumn="0"/>
              <w:rPr>
                <w:noProof/>
              </w:rPr>
            </w:pPr>
            <w:r w:rsidRPr="00881BC8">
              <w:rPr>
                <w:noProof/>
              </w:rPr>
              <w:t>Subsidiarity</w:t>
            </w:r>
          </w:p>
        </w:tc>
      </w:tr>
      <w:tr w:rsidR="005406AE" w:rsidRPr="00881BC8" w14:paraId="06F5589A" w14:textId="31BDF7C5" w:rsidTr="00192035">
        <w:tc>
          <w:tcPr>
            <w:cnfStyle w:val="001000000000" w:firstRow="0" w:lastRow="0" w:firstColumn="1" w:lastColumn="0" w:oddVBand="0" w:evenVBand="0" w:oddHBand="0" w:evenHBand="0" w:firstRowFirstColumn="0" w:firstRowLastColumn="0" w:lastRowFirstColumn="0" w:lastRowLastColumn="0"/>
            <w:tcW w:w="882" w:type="dxa"/>
          </w:tcPr>
          <w:p w14:paraId="5BCB460F" w14:textId="77777777" w:rsidR="005406AE" w:rsidRPr="00881BC8" w:rsidRDefault="005406AE" w:rsidP="005406AE">
            <w:pPr>
              <w:spacing w:after="120"/>
              <w:rPr>
                <w:noProof/>
              </w:rPr>
            </w:pPr>
            <w:r w:rsidRPr="00881BC8">
              <w:rPr>
                <w:noProof/>
              </w:rPr>
              <w:t>PO1a</w:t>
            </w:r>
          </w:p>
        </w:tc>
        <w:tc>
          <w:tcPr>
            <w:tcW w:w="1549" w:type="dxa"/>
          </w:tcPr>
          <w:p w14:paraId="204B9647" w14:textId="77777777" w:rsidR="005406AE" w:rsidRPr="00881BC8" w:rsidRDefault="005406AE" w:rsidP="005406AE">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c>
          <w:tcPr>
            <w:tcW w:w="1402" w:type="dxa"/>
          </w:tcPr>
          <w:p w14:paraId="0ED0D9B1" w14:textId="77777777" w:rsidR="005406AE" w:rsidRPr="00881BC8" w:rsidRDefault="005406AE" w:rsidP="005406AE">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c>
          <w:tcPr>
            <w:tcW w:w="1941" w:type="dxa"/>
          </w:tcPr>
          <w:p w14:paraId="7D3C221B" w14:textId="77777777" w:rsidR="005406AE" w:rsidRPr="00881BC8" w:rsidRDefault="005406AE" w:rsidP="005406AE">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c>
          <w:tcPr>
            <w:tcW w:w="1682" w:type="dxa"/>
          </w:tcPr>
          <w:p w14:paraId="079F8267" w14:textId="630CF1B6" w:rsidR="005406AE" w:rsidRPr="00881BC8" w:rsidRDefault="005406AE" w:rsidP="005406AE">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c>
          <w:tcPr>
            <w:tcW w:w="1470" w:type="dxa"/>
          </w:tcPr>
          <w:p w14:paraId="5FD70127" w14:textId="02A1BFFE" w:rsidR="005406AE" w:rsidRPr="00881BC8" w:rsidRDefault="005406AE" w:rsidP="005406AE">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r>
      <w:tr w:rsidR="005406AE" w:rsidRPr="00881BC8" w14:paraId="7EFED187" w14:textId="56542509" w:rsidTr="00192035">
        <w:tc>
          <w:tcPr>
            <w:cnfStyle w:val="001000000000" w:firstRow="0" w:lastRow="0" w:firstColumn="1" w:lastColumn="0" w:oddVBand="0" w:evenVBand="0" w:oddHBand="0" w:evenHBand="0" w:firstRowFirstColumn="0" w:firstRowLastColumn="0" w:lastRowFirstColumn="0" w:lastRowLastColumn="0"/>
            <w:tcW w:w="882" w:type="dxa"/>
          </w:tcPr>
          <w:p w14:paraId="0D54C9EA" w14:textId="77777777" w:rsidR="005406AE" w:rsidRPr="00881BC8" w:rsidRDefault="005406AE" w:rsidP="005406AE">
            <w:pPr>
              <w:spacing w:after="120"/>
              <w:rPr>
                <w:noProof/>
              </w:rPr>
            </w:pPr>
            <w:r w:rsidRPr="00881BC8">
              <w:rPr>
                <w:noProof/>
              </w:rPr>
              <w:t>PO1b</w:t>
            </w:r>
          </w:p>
        </w:tc>
        <w:tc>
          <w:tcPr>
            <w:tcW w:w="1549" w:type="dxa"/>
          </w:tcPr>
          <w:p w14:paraId="08D2D1CE" w14:textId="77777777" w:rsidR="005406AE" w:rsidRPr="00881BC8" w:rsidRDefault="005406AE" w:rsidP="005406AE">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c>
          <w:tcPr>
            <w:tcW w:w="1402" w:type="dxa"/>
          </w:tcPr>
          <w:p w14:paraId="1AC77D5E" w14:textId="77777777" w:rsidR="005406AE" w:rsidRPr="00881BC8" w:rsidRDefault="005406AE" w:rsidP="005406AE">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c>
          <w:tcPr>
            <w:tcW w:w="1941" w:type="dxa"/>
          </w:tcPr>
          <w:p w14:paraId="72213518" w14:textId="77777777" w:rsidR="005406AE" w:rsidRPr="00881BC8" w:rsidRDefault="005406AE" w:rsidP="005406AE">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c>
          <w:tcPr>
            <w:tcW w:w="1682" w:type="dxa"/>
          </w:tcPr>
          <w:p w14:paraId="5DA21AC2" w14:textId="124F23D5" w:rsidR="005406AE" w:rsidRPr="00881BC8" w:rsidRDefault="005406AE" w:rsidP="005406AE">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c>
          <w:tcPr>
            <w:tcW w:w="1470" w:type="dxa"/>
          </w:tcPr>
          <w:p w14:paraId="751DAB60" w14:textId="011E4A79" w:rsidR="005406AE" w:rsidRPr="00881BC8" w:rsidRDefault="005406AE" w:rsidP="005406AE">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r>
      <w:tr w:rsidR="005406AE" w:rsidRPr="00881BC8" w14:paraId="7EECE689" w14:textId="0E446B4D" w:rsidTr="00192035">
        <w:tc>
          <w:tcPr>
            <w:cnfStyle w:val="001000000000" w:firstRow="0" w:lastRow="0" w:firstColumn="1" w:lastColumn="0" w:oddVBand="0" w:evenVBand="0" w:oddHBand="0" w:evenHBand="0" w:firstRowFirstColumn="0" w:firstRowLastColumn="0" w:lastRowFirstColumn="0" w:lastRowLastColumn="0"/>
            <w:tcW w:w="882" w:type="dxa"/>
          </w:tcPr>
          <w:p w14:paraId="10B912F8" w14:textId="77777777" w:rsidR="005406AE" w:rsidRPr="00881BC8" w:rsidRDefault="005406AE" w:rsidP="005406AE">
            <w:pPr>
              <w:spacing w:after="120"/>
              <w:rPr>
                <w:noProof/>
              </w:rPr>
            </w:pPr>
            <w:r w:rsidRPr="00881BC8">
              <w:rPr>
                <w:noProof/>
              </w:rPr>
              <w:t>PO1c</w:t>
            </w:r>
          </w:p>
        </w:tc>
        <w:tc>
          <w:tcPr>
            <w:tcW w:w="1549" w:type="dxa"/>
          </w:tcPr>
          <w:p w14:paraId="27196F5D" w14:textId="77777777" w:rsidR="005406AE" w:rsidRPr="00881BC8" w:rsidRDefault="005406AE" w:rsidP="005406AE">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c>
          <w:tcPr>
            <w:tcW w:w="1402" w:type="dxa"/>
          </w:tcPr>
          <w:p w14:paraId="15D21044" w14:textId="77777777" w:rsidR="005406AE" w:rsidRPr="00881BC8" w:rsidRDefault="005406AE" w:rsidP="005406AE">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c>
          <w:tcPr>
            <w:tcW w:w="1941" w:type="dxa"/>
          </w:tcPr>
          <w:p w14:paraId="36C6AD23" w14:textId="77777777" w:rsidR="005406AE" w:rsidRPr="00881BC8" w:rsidRDefault="005406AE" w:rsidP="005406AE">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c>
          <w:tcPr>
            <w:tcW w:w="1682" w:type="dxa"/>
          </w:tcPr>
          <w:p w14:paraId="4ED6216B" w14:textId="021BAEE5" w:rsidR="005406AE" w:rsidRPr="00881BC8" w:rsidRDefault="005406AE" w:rsidP="005406AE">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c>
          <w:tcPr>
            <w:tcW w:w="1470" w:type="dxa"/>
          </w:tcPr>
          <w:p w14:paraId="71D53253" w14:textId="7B113DBD" w:rsidR="005406AE" w:rsidRPr="00881BC8" w:rsidRDefault="005406AE" w:rsidP="005406AE">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r>
      <w:tr w:rsidR="005406AE" w:rsidRPr="00881BC8" w14:paraId="0D33C26D" w14:textId="1AF893B0" w:rsidTr="00192035">
        <w:tc>
          <w:tcPr>
            <w:cnfStyle w:val="001000000000" w:firstRow="0" w:lastRow="0" w:firstColumn="1" w:lastColumn="0" w:oddVBand="0" w:evenVBand="0" w:oddHBand="0" w:evenHBand="0" w:firstRowFirstColumn="0" w:firstRowLastColumn="0" w:lastRowFirstColumn="0" w:lastRowLastColumn="0"/>
            <w:tcW w:w="882" w:type="dxa"/>
          </w:tcPr>
          <w:p w14:paraId="61551944" w14:textId="77777777" w:rsidR="005406AE" w:rsidRPr="00881BC8" w:rsidRDefault="005406AE" w:rsidP="005406AE">
            <w:pPr>
              <w:spacing w:after="120"/>
              <w:rPr>
                <w:noProof/>
              </w:rPr>
            </w:pPr>
            <w:r w:rsidRPr="00881BC8">
              <w:rPr>
                <w:noProof/>
              </w:rPr>
              <w:t>PO2a</w:t>
            </w:r>
          </w:p>
        </w:tc>
        <w:tc>
          <w:tcPr>
            <w:tcW w:w="1549" w:type="dxa"/>
          </w:tcPr>
          <w:p w14:paraId="18B73D84" w14:textId="77777777" w:rsidR="005406AE" w:rsidRPr="00881BC8" w:rsidRDefault="005406AE" w:rsidP="005406AE">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c>
          <w:tcPr>
            <w:tcW w:w="1402" w:type="dxa"/>
          </w:tcPr>
          <w:p w14:paraId="48BFB570" w14:textId="77777777" w:rsidR="005406AE" w:rsidRPr="00881BC8" w:rsidRDefault="005406AE" w:rsidP="005406AE">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c>
          <w:tcPr>
            <w:tcW w:w="1941" w:type="dxa"/>
          </w:tcPr>
          <w:p w14:paraId="7DA06446" w14:textId="77777777" w:rsidR="005406AE" w:rsidRPr="00881BC8" w:rsidRDefault="005406AE" w:rsidP="005406AE">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c>
          <w:tcPr>
            <w:tcW w:w="1682" w:type="dxa"/>
          </w:tcPr>
          <w:p w14:paraId="5A22159D" w14:textId="5F7A69FD" w:rsidR="005406AE" w:rsidRPr="00881BC8" w:rsidRDefault="005406AE" w:rsidP="005406AE">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c>
          <w:tcPr>
            <w:tcW w:w="1470" w:type="dxa"/>
          </w:tcPr>
          <w:p w14:paraId="4D469264" w14:textId="7640F6D5" w:rsidR="005406AE" w:rsidRPr="00881BC8" w:rsidRDefault="005406AE" w:rsidP="005406AE">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r>
      <w:tr w:rsidR="005406AE" w:rsidRPr="00881BC8" w14:paraId="594CF1F9" w14:textId="276ADCCC" w:rsidTr="00192035">
        <w:tc>
          <w:tcPr>
            <w:cnfStyle w:val="001000000000" w:firstRow="0" w:lastRow="0" w:firstColumn="1" w:lastColumn="0" w:oddVBand="0" w:evenVBand="0" w:oddHBand="0" w:evenHBand="0" w:firstRowFirstColumn="0" w:firstRowLastColumn="0" w:lastRowFirstColumn="0" w:lastRowLastColumn="0"/>
            <w:tcW w:w="882" w:type="dxa"/>
          </w:tcPr>
          <w:p w14:paraId="15B67FC8" w14:textId="77777777" w:rsidR="005406AE" w:rsidRPr="00881BC8" w:rsidRDefault="005406AE" w:rsidP="005406AE">
            <w:pPr>
              <w:spacing w:after="120"/>
              <w:rPr>
                <w:noProof/>
              </w:rPr>
            </w:pPr>
            <w:r w:rsidRPr="00881BC8">
              <w:rPr>
                <w:noProof/>
              </w:rPr>
              <w:t>PO2b</w:t>
            </w:r>
          </w:p>
        </w:tc>
        <w:tc>
          <w:tcPr>
            <w:tcW w:w="1549" w:type="dxa"/>
          </w:tcPr>
          <w:p w14:paraId="1550C744" w14:textId="77777777" w:rsidR="005406AE" w:rsidRPr="00881BC8" w:rsidRDefault="005406AE" w:rsidP="005406AE">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c>
          <w:tcPr>
            <w:tcW w:w="1402" w:type="dxa"/>
          </w:tcPr>
          <w:p w14:paraId="56F94A9A" w14:textId="77777777" w:rsidR="005406AE" w:rsidRPr="00881BC8" w:rsidRDefault="005406AE" w:rsidP="005406AE">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c>
          <w:tcPr>
            <w:tcW w:w="1941" w:type="dxa"/>
          </w:tcPr>
          <w:p w14:paraId="34AFDA0D" w14:textId="77777777" w:rsidR="005406AE" w:rsidRPr="00881BC8" w:rsidRDefault="005406AE" w:rsidP="005406AE">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c>
          <w:tcPr>
            <w:tcW w:w="1682" w:type="dxa"/>
          </w:tcPr>
          <w:p w14:paraId="7AE25243" w14:textId="354A471C" w:rsidR="005406AE" w:rsidRPr="00881BC8" w:rsidRDefault="005406AE" w:rsidP="005406AE">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c>
          <w:tcPr>
            <w:tcW w:w="1470" w:type="dxa"/>
          </w:tcPr>
          <w:p w14:paraId="49A5491D" w14:textId="7D96CF37" w:rsidR="005406AE" w:rsidRPr="00881BC8" w:rsidRDefault="005406AE" w:rsidP="005406AE">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r>
      <w:tr w:rsidR="005406AE" w:rsidRPr="00881BC8" w14:paraId="159FE1EE" w14:textId="64F2B08E" w:rsidTr="00192035">
        <w:tc>
          <w:tcPr>
            <w:cnfStyle w:val="001000000000" w:firstRow="0" w:lastRow="0" w:firstColumn="1" w:lastColumn="0" w:oddVBand="0" w:evenVBand="0" w:oddHBand="0" w:evenHBand="0" w:firstRowFirstColumn="0" w:firstRowLastColumn="0" w:lastRowFirstColumn="0" w:lastRowLastColumn="0"/>
            <w:tcW w:w="882" w:type="dxa"/>
          </w:tcPr>
          <w:p w14:paraId="77EBC1B5" w14:textId="77777777" w:rsidR="005406AE" w:rsidRPr="00881BC8" w:rsidRDefault="005406AE" w:rsidP="005406AE">
            <w:pPr>
              <w:spacing w:after="120"/>
              <w:rPr>
                <w:noProof/>
              </w:rPr>
            </w:pPr>
            <w:r w:rsidRPr="00881BC8">
              <w:rPr>
                <w:noProof/>
              </w:rPr>
              <w:t>PO3a</w:t>
            </w:r>
          </w:p>
        </w:tc>
        <w:tc>
          <w:tcPr>
            <w:tcW w:w="1549" w:type="dxa"/>
          </w:tcPr>
          <w:p w14:paraId="2A733E4E" w14:textId="77777777" w:rsidR="005406AE" w:rsidRPr="00881BC8" w:rsidRDefault="005406AE" w:rsidP="005406AE">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c>
          <w:tcPr>
            <w:tcW w:w="1402" w:type="dxa"/>
          </w:tcPr>
          <w:p w14:paraId="222A126D" w14:textId="77777777" w:rsidR="005406AE" w:rsidRPr="00881BC8" w:rsidRDefault="005406AE" w:rsidP="005406AE">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0</w:t>
            </w:r>
          </w:p>
        </w:tc>
        <w:tc>
          <w:tcPr>
            <w:tcW w:w="1941" w:type="dxa"/>
          </w:tcPr>
          <w:p w14:paraId="43119C24" w14:textId="77777777" w:rsidR="005406AE" w:rsidRPr="00881BC8" w:rsidRDefault="005406AE" w:rsidP="005406AE">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c>
          <w:tcPr>
            <w:tcW w:w="1682" w:type="dxa"/>
          </w:tcPr>
          <w:p w14:paraId="1DFF2CD5" w14:textId="1D986D37" w:rsidR="005406AE" w:rsidRPr="00881BC8" w:rsidRDefault="005406AE" w:rsidP="005406AE">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c>
          <w:tcPr>
            <w:tcW w:w="1470" w:type="dxa"/>
          </w:tcPr>
          <w:p w14:paraId="4D6C1B51" w14:textId="7BA290BF" w:rsidR="005406AE" w:rsidRPr="00881BC8" w:rsidRDefault="005406AE" w:rsidP="005406AE">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r>
      <w:tr w:rsidR="005406AE" w:rsidRPr="00881BC8" w14:paraId="39B7A7CB" w14:textId="4760C333" w:rsidTr="00192035">
        <w:tc>
          <w:tcPr>
            <w:cnfStyle w:val="001000000000" w:firstRow="0" w:lastRow="0" w:firstColumn="1" w:lastColumn="0" w:oddVBand="0" w:evenVBand="0" w:oddHBand="0" w:evenHBand="0" w:firstRowFirstColumn="0" w:firstRowLastColumn="0" w:lastRowFirstColumn="0" w:lastRowLastColumn="0"/>
            <w:tcW w:w="882" w:type="dxa"/>
          </w:tcPr>
          <w:p w14:paraId="31AB1A90" w14:textId="77777777" w:rsidR="005406AE" w:rsidRPr="00881BC8" w:rsidRDefault="005406AE" w:rsidP="005406AE">
            <w:pPr>
              <w:spacing w:after="120"/>
              <w:rPr>
                <w:noProof/>
              </w:rPr>
            </w:pPr>
            <w:r w:rsidRPr="00881BC8">
              <w:rPr>
                <w:noProof/>
              </w:rPr>
              <w:t>PO3b</w:t>
            </w:r>
          </w:p>
        </w:tc>
        <w:tc>
          <w:tcPr>
            <w:tcW w:w="1549" w:type="dxa"/>
          </w:tcPr>
          <w:p w14:paraId="0C26DB82" w14:textId="77777777" w:rsidR="005406AE" w:rsidRPr="00881BC8" w:rsidRDefault="005406AE" w:rsidP="005406AE">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c>
          <w:tcPr>
            <w:tcW w:w="1402" w:type="dxa"/>
          </w:tcPr>
          <w:p w14:paraId="49BFD1DC" w14:textId="77777777" w:rsidR="005406AE" w:rsidRPr="00881BC8" w:rsidRDefault="005406AE" w:rsidP="005406AE">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c>
          <w:tcPr>
            <w:tcW w:w="1941" w:type="dxa"/>
          </w:tcPr>
          <w:p w14:paraId="5EE2B146" w14:textId="77777777" w:rsidR="005406AE" w:rsidRPr="00881BC8" w:rsidRDefault="005406AE" w:rsidP="005406AE">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c>
          <w:tcPr>
            <w:tcW w:w="1682" w:type="dxa"/>
          </w:tcPr>
          <w:p w14:paraId="60812026" w14:textId="2697F150" w:rsidR="005406AE" w:rsidRPr="00881BC8" w:rsidRDefault="005406AE" w:rsidP="005406AE">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c>
          <w:tcPr>
            <w:tcW w:w="1470" w:type="dxa"/>
          </w:tcPr>
          <w:p w14:paraId="662D4E05" w14:textId="2E1162B4" w:rsidR="005406AE" w:rsidRPr="00881BC8" w:rsidRDefault="005406AE" w:rsidP="005406AE">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r>
    </w:tbl>
    <w:p w14:paraId="5025A60D" w14:textId="3E4115A1" w:rsidR="003D3FFB" w:rsidRPr="00881BC8" w:rsidRDefault="003D3FFB" w:rsidP="004835F8">
      <w:pPr>
        <w:pStyle w:val="Heading3"/>
        <w:rPr>
          <w:noProof/>
        </w:rPr>
      </w:pPr>
      <w:bookmarkStart w:id="853" w:name="_Toc135237433"/>
      <w:r w:rsidRPr="00881BC8">
        <w:rPr>
          <w:noProof/>
        </w:rPr>
        <w:t>Effectiveness</w:t>
      </w:r>
      <w:bookmarkEnd w:id="853"/>
    </w:p>
    <w:p w14:paraId="4F6029C6" w14:textId="6231D354" w:rsidR="003D3FFB" w:rsidRPr="00881BC8" w:rsidRDefault="003D3FFB" w:rsidP="004835F8">
      <w:pPr>
        <w:pStyle w:val="NormalPara"/>
        <w:rPr>
          <w:noProof/>
          <w:lang w:val="en-GB"/>
        </w:rPr>
      </w:pPr>
      <w:r w:rsidRPr="00881BC8">
        <w:rPr>
          <w:noProof/>
          <w:lang w:val="en-GB"/>
        </w:rPr>
        <w:t xml:space="preserve">The most effective </w:t>
      </w:r>
      <w:r w:rsidR="00440A1F" w:rsidRPr="00881BC8">
        <w:rPr>
          <w:noProof/>
          <w:lang w:val="en-GB"/>
        </w:rPr>
        <w:t>policy options</w:t>
      </w:r>
      <w:r w:rsidR="00624EED">
        <w:rPr>
          <w:noProof/>
          <w:lang w:val="en-GB"/>
        </w:rPr>
        <w:t xml:space="preserve"> in terms of meeting policy objectives</w:t>
      </w:r>
      <w:r w:rsidR="00440A1F" w:rsidRPr="00881BC8">
        <w:rPr>
          <w:noProof/>
          <w:lang w:val="en-GB"/>
        </w:rPr>
        <w:t xml:space="preserve"> </w:t>
      </w:r>
      <w:r w:rsidRPr="00881BC8">
        <w:rPr>
          <w:noProof/>
          <w:lang w:val="en-GB"/>
        </w:rPr>
        <w:t xml:space="preserve">are PO1a and PO2a. They provide the most direct benefits to businesses and have the potential to reduce payment delays </w:t>
      </w:r>
      <w:r w:rsidR="00440A1F" w:rsidRPr="00881BC8">
        <w:rPr>
          <w:noProof/>
          <w:lang w:val="en-GB"/>
        </w:rPr>
        <w:t>the most</w:t>
      </w:r>
      <w:r w:rsidRPr="00881BC8">
        <w:rPr>
          <w:noProof/>
          <w:lang w:val="en-GB"/>
        </w:rPr>
        <w:t xml:space="preserve">. They are most effective in preventing late payments from occurring and making timely payments actually happen. PO1a, through reducing the average payment term for </w:t>
      </w:r>
      <w:r w:rsidR="00FC5961" w:rsidRPr="00881BC8">
        <w:rPr>
          <w:noProof/>
          <w:lang w:val="en-GB"/>
        </w:rPr>
        <w:t>most</w:t>
      </w:r>
      <w:r w:rsidRPr="00881BC8">
        <w:rPr>
          <w:noProof/>
          <w:lang w:val="en-GB"/>
        </w:rPr>
        <w:t xml:space="preserve"> EU companies, is likely to lead to a significant reduction in payment times. PO2a has the potential for a significant reduction in G2B payment delays and provides </w:t>
      </w:r>
      <w:r w:rsidR="00BE0BE9" w:rsidRPr="00881BC8">
        <w:rPr>
          <w:noProof/>
          <w:lang w:val="en-GB"/>
        </w:rPr>
        <w:t xml:space="preserve">compensation to </w:t>
      </w:r>
      <w:r w:rsidRPr="00881BC8">
        <w:rPr>
          <w:noProof/>
          <w:lang w:val="en-GB"/>
        </w:rPr>
        <w:t xml:space="preserve">creditors </w:t>
      </w:r>
      <w:r w:rsidR="00BE0BE9" w:rsidRPr="00881BC8">
        <w:rPr>
          <w:noProof/>
          <w:lang w:val="en-GB"/>
        </w:rPr>
        <w:t>when</w:t>
      </w:r>
      <w:r w:rsidRPr="00881BC8">
        <w:rPr>
          <w:noProof/>
          <w:lang w:val="en-GB"/>
        </w:rPr>
        <w:t xml:space="preserve"> payment terms are not respected, flanked by national enforcement systems.</w:t>
      </w:r>
    </w:p>
    <w:p w14:paraId="372F5DBB" w14:textId="68A67EC4" w:rsidR="003D3FFB" w:rsidRPr="00881BC8" w:rsidRDefault="003D3FFB" w:rsidP="004835F8">
      <w:pPr>
        <w:pStyle w:val="NormalPara"/>
        <w:rPr>
          <w:noProof/>
          <w:lang w:val="en-GB"/>
        </w:rPr>
      </w:pPr>
      <w:r w:rsidRPr="00881BC8">
        <w:rPr>
          <w:noProof/>
          <w:lang w:val="en-GB"/>
        </w:rPr>
        <w:t xml:space="preserve">However, both </w:t>
      </w:r>
      <w:r w:rsidR="00BE0BE9" w:rsidRPr="00881BC8">
        <w:rPr>
          <w:noProof/>
          <w:lang w:val="en-GB"/>
        </w:rPr>
        <w:t>policy options</w:t>
      </w:r>
      <w:r w:rsidRPr="00881BC8">
        <w:rPr>
          <w:noProof/>
          <w:lang w:val="en-GB"/>
        </w:rPr>
        <w:t>, when implemented as self-standing options, will pose some risks. PO1a, when implemented without strong enforcement bodies, poses the risk of companies not respecting the agreed-upon maximum payment terms and paying late. PO2a poses the converse risk: when implemented without capped payment terms, it provides businesses with an incentive to negotiate unfairly long payment terms to avoid having to pay interest, compensation or administrative fines.</w:t>
      </w:r>
    </w:p>
    <w:p w14:paraId="3647125E" w14:textId="2C852F1C" w:rsidR="00A7394E" w:rsidRDefault="00A7394E" w:rsidP="004835F8">
      <w:pPr>
        <w:pStyle w:val="NormalPara"/>
        <w:rPr>
          <w:noProof/>
          <w:lang w:val="en-GB"/>
        </w:rPr>
      </w:pPr>
      <w:r w:rsidRPr="00881BC8">
        <w:rPr>
          <w:noProof/>
          <w:lang w:val="en-GB"/>
        </w:rPr>
        <w:t xml:space="preserve">PO3b is the most effective </w:t>
      </w:r>
      <w:r w:rsidR="00EB7D53" w:rsidRPr="00881BC8">
        <w:rPr>
          <w:noProof/>
          <w:lang w:val="en-GB"/>
        </w:rPr>
        <w:t>choice under PO</w:t>
      </w:r>
      <w:r w:rsidRPr="00881BC8">
        <w:rPr>
          <w:noProof/>
          <w:lang w:val="en-GB"/>
        </w:rPr>
        <w:t xml:space="preserve">3. By offering a nationwide mediation system and requesting Member States to </w:t>
      </w:r>
      <w:r w:rsidRPr="00881BC8">
        <w:rPr>
          <w:rFonts w:eastAsia="Times New Roman"/>
          <w:noProof/>
          <w:color w:val="000000"/>
          <w:lang w:val="en-GB" w:eastAsia="en-IE"/>
        </w:rPr>
        <w:t>specifically address the question of unfair contractual terms and practices through their applicable national law</w:t>
      </w:r>
      <w:r w:rsidRPr="00881BC8">
        <w:rPr>
          <w:noProof/>
          <w:lang w:val="en-GB"/>
        </w:rPr>
        <w:t xml:space="preserve">, it allows companies to avoid going to court when chasing late payments and offers a clearer incentive to avoid a court case. However, as this </w:t>
      </w:r>
      <w:r w:rsidR="00EB7D53" w:rsidRPr="00881BC8">
        <w:rPr>
          <w:noProof/>
          <w:lang w:val="en-GB"/>
        </w:rPr>
        <w:t xml:space="preserve">option </w:t>
      </w:r>
      <w:r w:rsidRPr="00881BC8">
        <w:rPr>
          <w:noProof/>
          <w:lang w:val="en-GB"/>
        </w:rPr>
        <w:t>only targets those payments that are already delayed and supports companies in effectively chasing their debtors, the overall effectiveness in reducing payment delays is estimated to be significantly smaller than for PO1a and PO2a.</w:t>
      </w:r>
    </w:p>
    <w:p w14:paraId="0C6D06BD" w14:textId="31CDA61E" w:rsidR="00624EED" w:rsidRPr="00881BC8" w:rsidRDefault="00624EED" w:rsidP="004835F8">
      <w:pPr>
        <w:pStyle w:val="NormalPara"/>
        <w:rPr>
          <w:noProof/>
          <w:lang w:val="en-GB"/>
        </w:rPr>
      </w:pPr>
      <w:r>
        <w:rPr>
          <w:noProof/>
          <w:lang w:val="en-GB"/>
        </w:rPr>
        <w:t>With regard to meeting the specific policy objectives, each stand-alone policy option mostly addresses one of the specific objectives. PO1 (and its sub-options) is mostly focused on addressing the specific objective of preventing late payment from occurring, PO2 (and its sub-options) on facilitating timely payment, and PO3 (and its sub-options) on empowering SMEs and ensuring more fairness in commercial transactions.</w:t>
      </w:r>
    </w:p>
    <w:p w14:paraId="3A01D993" w14:textId="2B622910" w:rsidR="003D3FFB" w:rsidRPr="00881BC8" w:rsidRDefault="003D3FFB" w:rsidP="004835F8">
      <w:pPr>
        <w:pStyle w:val="Heading3"/>
        <w:rPr>
          <w:noProof/>
        </w:rPr>
      </w:pPr>
      <w:bookmarkStart w:id="854" w:name="_Toc130889358"/>
      <w:bookmarkStart w:id="855" w:name="_Toc130911725"/>
      <w:bookmarkStart w:id="856" w:name="_Toc135237434"/>
      <w:bookmarkEnd w:id="854"/>
      <w:bookmarkEnd w:id="855"/>
      <w:r w:rsidRPr="00881BC8">
        <w:rPr>
          <w:noProof/>
        </w:rPr>
        <w:t>Efficiency</w:t>
      </w:r>
      <w:bookmarkEnd w:id="856"/>
    </w:p>
    <w:p w14:paraId="7404B62A" w14:textId="76937807" w:rsidR="003D3FFB" w:rsidRPr="00881BC8" w:rsidRDefault="003D3FFB" w:rsidP="004835F8">
      <w:pPr>
        <w:pStyle w:val="NormalPara"/>
        <w:rPr>
          <w:noProof/>
          <w:lang w:val="en-GB"/>
        </w:rPr>
      </w:pPr>
      <w:r w:rsidRPr="00881BC8">
        <w:rPr>
          <w:noProof/>
          <w:lang w:val="en-GB"/>
        </w:rPr>
        <w:t xml:space="preserve">Almost all options achieve their goals relatively efficiently. The negative standouts in terms of efficiency are PO1c and PO3a. PO1c targets a relatively small subset of companies, only those that specify payment terms above 60 days and where the creditor is an SME but imposes disproportionately high cost </w:t>
      </w:r>
      <w:r w:rsidR="001759FF" w:rsidRPr="00881BC8">
        <w:rPr>
          <w:noProof/>
          <w:lang w:val="en-GB"/>
        </w:rPr>
        <w:t xml:space="preserve">(administrative burden) for </w:t>
      </w:r>
      <w:r w:rsidRPr="00881BC8">
        <w:rPr>
          <w:noProof/>
          <w:lang w:val="en-GB"/>
        </w:rPr>
        <w:t xml:space="preserve">the creditor having to prove </w:t>
      </w:r>
      <w:r w:rsidR="001759FF" w:rsidRPr="00881BC8">
        <w:rPr>
          <w:noProof/>
          <w:lang w:val="en-GB"/>
        </w:rPr>
        <w:t xml:space="preserve">that </w:t>
      </w:r>
      <w:r w:rsidRPr="00881BC8">
        <w:rPr>
          <w:noProof/>
          <w:lang w:val="en-GB"/>
        </w:rPr>
        <w:t>they are an SME. PO3a imposes very few costs on businesses, but the recurring costs on Member States to set up a national payment envoy are difficult to justify with the limited benefits this will bring to reduce late payments overall.</w:t>
      </w:r>
    </w:p>
    <w:p w14:paraId="4C3A4BFD" w14:textId="055C2E4F" w:rsidR="00A7394E" w:rsidRPr="00881BC8" w:rsidRDefault="00A7394E" w:rsidP="004835F8">
      <w:pPr>
        <w:pStyle w:val="NormalPara"/>
        <w:rPr>
          <w:noProof/>
          <w:lang w:val="en-GB"/>
        </w:rPr>
      </w:pPr>
      <w:r w:rsidRPr="00881BC8">
        <w:rPr>
          <w:noProof/>
          <w:lang w:val="en-GB"/>
        </w:rPr>
        <w:t xml:space="preserve">All other options are efficient, as they contribute to the objectives at appropriate cost. PO1a is judged to be more cost-effective than PO1b. While PO1a imposes a higher one-off cost, it will also bring recurring benefits to a larger group of enterprises and thus provide a stronger contribution to the objectives, whereas PO1b imposes a smaller one-off cost but will only bring benefits to a subset of companies. </w:t>
      </w:r>
      <w:r w:rsidR="00046F21" w:rsidRPr="00881BC8">
        <w:rPr>
          <w:noProof/>
          <w:lang w:val="en-GB"/>
        </w:rPr>
        <w:t>Juxtaposing</w:t>
      </w:r>
      <w:r w:rsidRPr="00881BC8">
        <w:rPr>
          <w:noProof/>
          <w:lang w:val="en-GB"/>
        </w:rPr>
        <w:t xml:space="preserve"> the one-off cost with recurring benefits</w:t>
      </w:r>
      <w:r w:rsidR="00046F21" w:rsidRPr="00881BC8">
        <w:rPr>
          <w:noProof/>
          <w:lang w:val="en-GB"/>
        </w:rPr>
        <w:t xml:space="preserve"> shows</w:t>
      </w:r>
      <w:r w:rsidRPr="00881BC8">
        <w:rPr>
          <w:noProof/>
          <w:lang w:val="en-GB"/>
        </w:rPr>
        <w:t xml:space="preserve"> PO1a </w:t>
      </w:r>
      <w:r w:rsidR="00046F21" w:rsidRPr="00881BC8">
        <w:rPr>
          <w:noProof/>
          <w:lang w:val="en-GB"/>
        </w:rPr>
        <w:t>as</w:t>
      </w:r>
      <w:r w:rsidRPr="00881BC8">
        <w:rPr>
          <w:noProof/>
          <w:lang w:val="en-GB"/>
        </w:rPr>
        <w:t xml:space="preserve"> more efficient.</w:t>
      </w:r>
    </w:p>
    <w:p w14:paraId="7382109C" w14:textId="001F612A" w:rsidR="00A7394E" w:rsidRPr="00881BC8" w:rsidRDefault="00A7394E" w:rsidP="004835F8">
      <w:pPr>
        <w:pStyle w:val="NormalPara"/>
        <w:rPr>
          <w:noProof/>
          <w:lang w:val="en-GB"/>
        </w:rPr>
      </w:pPr>
      <w:r w:rsidRPr="00881BC8">
        <w:rPr>
          <w:noProof/>
          <w:lang w:val="en-GB"/>
        </w:rPr>
        <w:t>PO2a and PO2b are judged to be similarly efficient, with PO2a posing higher recurring costs on public authorities in designating enforcement bodies with sanctioning powers; while PO2b poses lighter recurring costs on Member States through less powerful enforcement bodies, but at the trade-off of a reduced deterrent to businesses paying late.</w:t>
      </w:r>
    </w:p>
    <w:p w14:paraId="280EFFBD" w14:textId="77777777" w:rsidR="003D3FFB" w:rsidRPr="00881BC8" w:rsidRDefault="003D3FFB" w:rsidP="004835F8">
      <w:pPr>
        <w:pStyle w:val="NormalPara"/>
        <w:rPr>
          <w:noProof/>
          <w:lang w:val="en-GB"/>
        </w:rPr>
      </w:pPr>
      <w:r w:rsidRPr="00881BC8">
        <w:rPr>
          <w:noProof/>
          <w:lang w:val="en-GB"/>
        </w:rPr>
        <w:t>PO3b achieves its smaller effectiveness with a limited cost on businesses and public authorities.</w:t>
      </w:r>
    </w:p>
    <w:p w14:paraId="6275CA8D" w14:textId="4578917D" w:rsidR="003D3FFB" w:rsidRPr="00881BC8" w:rsidRDefault="003D3FFB" w:rsidP="004835F8">
      <w:pPr>
        <w:pStyle w:val="Heading3"/>
        <w:rPr>
          <w:noProof/>
        </w:rPr>
      </w:pPr>
      <w:bookmarkStart w:id="857" w:name="_Toc135237435"/>
      <w:r w:rsidRPr="00881BC8">
        <w:rPr>
          <w:noProof/>
        </w:rPr>
        <w:t>Proportionality</w:t>
      </w:r>
      <w:bookmarkEnd w:id="857"/>
    </w:p>
    <w:p w14:paraId="0A005001" w14:textId="54890648" w:rsidR="00955097" w:rsidRPr="00881BC8" w:rsidRDefault="00955097" w:rsidP="004835F8">
      <w:pPr>
        <w:pStyle w:val="NormalPara"/>
        <w:rPr>
          <w:noProof/>
          <w:lang w:val="en-GB"/>
        </w:rPr>
      </w:pPr>
      <w:r w:rsidRPr="00881BC8">
        <w:rPr>
          <w:noProof/>
          <w:lang w:val="en-GB"/>
        </w:rPr>
        <w:t xml:space="preserve">The initiative </w:t>
      </w:r>
      <w:r w:rsidR="008B10F8" w:rsidRPr="00881BC8">
        <w:rPr>
          <w:noProof/>
          <w:lang w:val="en-GB"/>
        </w:rPr>
        <w:t>will contribute to achieving</w:t>
      </w:r>
      <w:r w:rsidRPr="00881BC8">
        <w:rPr>
          <w:noProof/>
          <w:lang w:val="en-GB"/>
        </w:rPr>
        <w:t xml:space="preserve"> </w:t>
      </w:r>
      <w:r w:rsidR="008939C6" w:rsidRPr="00881BC8">
        <w:rPr>
          <w:noProof/>
          <w:lang w:val="en-GB"/>
        </w:rPr>
        <w:t>Commission’s</w:t>
      </w:r>
      <w:r w:rsidRPr="00881BC8">
        <w:rPr>
          <w:noProof/>
          <w:lang w:val="en-GB"/>
        </w:rPr>
        <w:t xml:space="preserve"> </w:t>
      </w:r>
      <w:r w:rsidR="008B10F8" w:rsidRPr="00881BC8">
        <w:rPr>
          <w:noProof/>
          <w:lang w:val="en-GB"/>
        </w:rPr>
        <w:t xml:space="preserve">priority </w:t>
      </w:r>
      <w:r w:rsidR="008939C6" w:rsidRPr="00881BC8">
        <w:rPr>
          <w:noProof/>
          <w:lang w:val="en-GB"/>
        </w:rPr>
        <w:t xml:space="preserve">to deliver </w:t>
      </w:r>
      <w:r w:rsidRPr="00881BC8">
        <w:rPr>
          <w:noProof/>
          <w:lang w:val="en-GB"/>
        </w:rPr>
        <w:t>‘economy that works for the people’</w:t>
      </w:r>
      <w:r w:rsidR="008B10F8" w:rsidRPr="00881BC8">
        <w:rPr>
          <w:noProof/>
          <w:lang w:val="en-GB"/>
        </w:rPr>
        <w:t xml:space="preserve">. It </w:t>
      </w:r>
      <w:r w:rsidRPr="00881BC8">
        <w:rPr>
          <w:noProof/>
          <w:lang w:val="en-GB"/>
        </w:rPr>
        <w:t>follows from the President’s 2022 SOTEU speech</w:t>
      </w:r>
      <w:r w:rsidR="008B10F8" w:rsidRPr="00881BC8">
        <w:rPr>
          <w:noProof/>
          <w:lang w:val="en-GB"/>
        </w:rPr>
        <w:t xml:space="preserve"> and will aim to </w:t>
      </w:r>
      <w:r w:rsidR="00907E1D" w:rsidRPr="00881BC8">
        <w:rPr>
          <w:noProof/>
          <w:lang w:val="en-GB"/>
        </w:rPr>
        <w:t xml:space="preserve">strengthen the </w:t>
      </w:r>
      <w:r w:rsidR="003B36B7" w:rsidRPr="00881BC8">
        <w:rPr>
          <w:noProof/>
          <w:lang w:val="en-GB"/>
        </w:rPr>
        <w:t>competitiveness of EU companies and a better functioning of the single market. I</w:t>
      </w:r>
      <w:r w:rsidRPr="00881BC8">
        <w:rPr>
          <w:noProof/>
          <w:lang w:val="en-GB"/>
        </w:rPr>
        <w:t xml:space="preserve">t </w:t>
      </w:r>
      <w:r w:rsidR="003B36B7" w:rsidRPr="00881BC8">
        <w:rPr>
          <w:noProof/>
          <w:lang w:val="en-GB"/>
        </w:rPr>
        <w:t>aims at increasing fairness in commercial relations along the supply chains. I</w:t>
      </w:r>
      <w:r w:rsidRPr="00881BC8">
        <w:rPr>
          <w:noProof/>
          <w:lang w:val="en-GB"/>
        </w:rPr>
        <w:t xml:space="preserve">t </w:t>
      </w:r>
      <w:r w:rsidR="003B36B7" w:rsidRPr="00881BC8">
        <w:rPr>
          <w:noProof/>
          <w:lang w:val="en-GB"/>
        </w:rPr>
        <w:t xml:space="preserve">will support the </w:t>
      </w:r>
      <w:r w:rsidRPr="00881BC8">
        <w:rPr>
          <w:noProof/>
          <w:lang w:val="en-GB"/>
        </w:rPr>
        <w:t>commitment to</w:t>
      </w:r>
      <w:r w:rsidR="003B36B7" w:rsidRPr="00881BC8">
        <w:rPr>
          <w:noProof/>
          <w:lang w:val="en-GB"/>
        </w:rPr>
        <w:t xml:space="preserve"> </w:t>
      </w:r>
      <w:r w:rsidRPr="00881BC8">
        <w:rPr>
          <w:noProof/>
          <w:lang w:val="en-GB"/>
        </w:rPr>
        <w:t>implement</w:t>
      </w:r>
      <w:r w:rsidR="003B36B7" w:rsidRPr="00881BC8">
        <w:rPr>
          <w:noProof/>
          <w:lang w:val="en-GB"/>
        </w:rPr>
        <w:t>ing</w:t>
      </w:r>
      <w:r w:rsidRPr="00881BC8">
        <w:rPr>
          <w:noProof/>
          <w:lang w:val="en-GB"/>
        </w:rPr>
        <w:t xml:space="preserve"> </w:t>
      </w:r>
      <w:r w:rsidR="003B36B7" w:rsidRPr="00881BC8">
        <w:rPr>
          <w:noProof/>
          <w:lang w:val="en-GB"/>
        </w:rPr>
        <w:t xml:space="preserve">four </w:t>
      </w:r>
      <w:r w:rsidRPr="00881BC8">
        <w:rPr>
          <w:noProof/>
          <w:lang w:val="en-GB"/>
        </w:rPr>
        <w:t>SDGs</w:t>
      </w:r>
      <w:r w:rsidR="003B36B7" w:rsidRPr="00881BC8">
        <w:rPr>
          <w:noProof/>
          <w:lang w:val="en-GB"/>
        </w:rPr>
        <w:t>.</w:t>
      </w:r>
      <w:r w:rsidRPr="00881BC8">
        <w:rPr>
          <w:noProof/>
          <w:lang w:val="en-GB"/>
        </w:rPr>
        <w:t xml:space="preserve"> </w:t>
      </w:r>
    </w:p>
    <w:p w14:paraId="5BE87BB5" w14:textId="2F76F4A1" w:rsidR="003D3FFB" w:rsidRPr="00881BC8" w:rsidRDefault="003D3FFB" w:rsidP="004835F8">
      <w:pPr>
        <w:pStyle w:val="NormalPara"/>
        <w:rPr>
          <w:noProof/>
          <w:lang w:val="en-GB"/>
        </w:rPr>
      </w:pPr>
      <w:r w:rsidRPr="00881BC8">
        <w:rPr>
          <w:noProof/>
          <w:lang w:val="en-GB"/>
        </w:rPr>
        <w:t>All options respect the principle of proportionality.</w:t>
      </w:r>
      <w:r w:rsidR="00022E82" w:rsidRPr="00881BC8">
        <w:rPr>
          <w:noProof/>
          <w:lang w:val="en-GB"/>
        </w:rPr>
        <w:t xml:space="preserve"> </w:t>
      </w:r>
      <w:r w:rsidRPr="00881BC8">
        <w:rPr>
          <w:noProof/>
          <w:lang w:val="en-GB"/>
        </w:rPr>
        <w:t xml:space="preserve">They impose only the cost on businesses that is necessary to achieve the </w:t>
      </w:r>
      <w:r w:rsidR="00907E1D" w:rsidRPr="00881BC8">
        <w:rPr>
          <w:noProof/>
          <w:lang w:val="en-GB"/>
        </w:rPr>
        <w:t>objectives and</w:t>
      </w:r>
      <w:r w:rsidRPr="00881BC8">
        <w:rPr>
          <w:noProof/>
          <w:lang w:val="en-GB"/>
        </w:rPr>
        <w:t xml:space="preserve"> leave room for discretion to Member States in how enforcement bodies are designated. The only exception to this is PO1c, where the verification that the creditor is an SME poses disproportionate cost for no clear benefit compared to PO1b.</w:t>
      </w:r>
      <w:r w:rsidR="0091653A" w:rsidRPr="00881BC8">
        <w:rPr>
          <w:noProof/>
          <w:lang w:val="en-GB"/>
        </w:rPr>
        <w:t xml:space="preserve"> </w:t>
      </w:r>
      <w:r w:rsidRPr="00881BC8">
        <w:rPr>
          <w:noProof/>
          <w:lang w:val="en-GB"/>
        </w:rPr>
        <w:t>PO3a and PO3b leave more room for interpretation to Member States in terms of how payment envoys or mediation systems are structured.</w:t>
      </w:r>
    </w:p>
    <w:p w14:paraId="58439A73" w14:textId="5B8D8CEF" w:rsidR="005406AE" w:rsidRPr="00881BC8" w:rsidRDefault="005406AE" w:rsidP="005406AE">
      <w:pPr>
        <w:pStyle w:val="Heading3"/>
        <w:rPr>
          <w:noProof/>
        </w:rPr>
      </w:pPr>
      <w:bookmarkStart w:id="858" w:name="_Toc135237436"/>
      <w:r w:rsidRPr="00881BC8">
        <w:rPr>
          <w:noProof/>
        </w:rPr>
        <w:t>Coherence</w:t>
      </w:r>
      <w:bookmarkEnd w:id="858"/>
    </w:p>
    <w:p w14:paraId="1132F86B" w14:textId="6C11CFD4" w:rsidR="005406AE" w:rsidRPr="00881BC8" w:rsidRDefault="005406AE" w:rsidP="005406AE">
      <w:pPr>
        <w:pStyle w:val="NormalPara"/>
        <w:rPr>
          <w:noProof/>
          <w:lang w:val="en-GB"/>
        </w:rPr>
      </w:pPr>
      <w:r w:rsidRPr="00881BC8">
        <w:rPr>
          <w:noProof/>
          <w:lang w:val="en-GB"/>
        </w:rPr>
        <w:t>All policy options are coherent with other EU legislation, and the differences between them in terms of coherence are not substantial. Where potential issues arise, the different sub-options (e.g. capping at 30 or 60 days) show no significant difference as to overall coherence.</w:t>
      </w:r>
    </w:p>
    <w:p w14:paraId="7FAAAC9E" w14:textId="545F2773" w:rsidR="00F77B7B" w:rsidRPr="00881BC8" w:rsidRDefault="005406AE" w:rsidP="00624EED">
      <w:pPr>
        <w:pStyle w:val="NormalPara"/>
        <w:rPr>
          <w:noProof/>
          <w:lang w:val="en-GB"/>
        </w:rPr>
      </w:pPr>
      <w:r w:rsidRPr="00881BC8">
        <w:rPr>
          <w:noProof/>
          <w:lang w:val="en-GB"/>
        </w:rPr>
        <w:t xml:space="preserve">PO1 </w:t>
      </w:r>
      <w:r w:rsidR="005262CF" w:rsidRPr="00881BC8">
        <w:rPr>
          <w:noProof/>
          <w:lang w:val="en-GB"/>
        </w:rPr>
        <w:t xml:space="preserve">and PO2 </w:t>
      </w:r>
      <w:r w:rsidRPr="00881BC8">
        <w:rPr>
          <w:noProof/>
          <w:lang w:val="en-GB"/>
        </w:rPr>
        <w:t xml:space="preserve">(and all its sub-options) </w:t>
      </w:r>
      <w:r w:rsidR="0043552B">
        <w:rPr>
          <w:noProof/>
          <w:lang w:val="en-GB"/>
        </w:rPr>
        <w:t xml:space="preserve">could </w:t>
      </w:r>
      <w:r w:rsidRPr="00881BC8">
        <w:rPr>
          <w:noProof/>
          <w:lang w:val="en-GB"/>
        </w:rPr>
        <w:t xml:space="preserve">pose some risks of inconsistencies with the UTP directive, where the general rule of maximum payment terms is established in the LPD whereas the exceptional rule of the UTP directive will be applicable in the agri-food sector as an exception. To avoid such </w:t>
      </w:r>
      <w:r w:rsidR="00943864" w:rsidRPr="00881BC8">
        <w:rPr>
          <w:noProof/>
          <w:lang w:val="en-GB"/>
        </w:rPr>
        <w:t>risks,</w:t>
      </w:r>
      <w:r w:rsidRPr="00881BC8">
        <w:rPr>
          <w:noProof/>
          <w:lang w:val="en-GB"/>
        </w:rPr>
        <w:t xml:space="preserve"> </w:t>
      </w:r>
      <w:r w:rsidR="0043552B">
        <w:rPr>
          <w:noProof/>
          <w:lang w:val="en-GB"/>
        </w:rPr>
        <w:t xml:space="preserve">as explained in paragraph 130 above, there are two options: a revision of the UTP Directive or , alternatively, and without prejudice to all relevant legal considerations, </w:t>
      </w:r>
      <w:r w:rsidR="00624EED" w:rsidRPr="00881BC8">
        <w:rPr>
          <w:noProof/>
          <w:lang w:val="en-GB"/>
        </w:rPr>
        <w:t xml:space="preserve">the proposal of </w:t>
      </w:r>
      <w:r w:rsidR="0021689D">
        <w:rPr>
          <w:noProof/>
          <w:lang w:val="en-GB"/>
        </w:rPr>
        <w:t xml:space="preserve">the </w:t>
      </w:r>
      <w:r w:rsidR="0021689D" w:rsidRPr="00881BC8">
        <w:rPr>
          <w:noProof/>
          <w:lang w:val="en-GB"/>
        </w:rPr>
        <w:t xml:space="preserve"> </w:t>
      </w:r>
      <w:r w:rsidR="00624EED" w:rsidRPr="00881BC8">
        <w:rPr>
          <w:noProof/>
          <w:lang w:val="en-GB"/>
        </w:rPr>
        <w:t xml:space="preserve">new legal instrument </w:t>
      </w:r>
      <w:r w:rsidR="0021689D">
        <w:rPr>
          <w:noProof/>
          <w:lang w:val="en-GB"/>
        </w:rPr>
        <w:t xml:space="preserve"> replacing the LPD </w:t>
      </w:r>
      <w:r w:rsidR="0043552B">
        <w:rPr>
          <w:noProof/>
          <w:lang w:val="en-GB"/>
        </w:rPr>
        <w:t xml:space="preserve">might </w:t>
      </w:r>
      <w:r w:rsidR="00624EED" w:rsidRPr="00881BC8">
        <w:rPr>
          <w:noProof/>
          <w:lang w:val="en-GB"/>
        </w:rPr>
        <w:t xml:space="preserve">clarify </w:t>
      </w:r>
      <w:r w:rsidR="0021689D">
        <w:rPr>
          <w:noProof/>
          <w:lang w:val="en-GB"/>
        </w:rPr>
        <w:t xml:space="preserve">the relationship UTP-LPD </w:t>
      </w:r>
      <w:r w:rsidR="00624EED" w:rsidRPr="00881BC8">
        <w:rPr>
          <w:noProof/>
          <w:lang w:val="en-GB"/>
        </w:rPr>
        <w:t>and align as closely as possible with the UTP directive</w:t>
      </w:r>
      <w:r w:rsidR="00624EED">
        <w:rPr>
          <w:noProof/>
          <w:lang w:val="en-GB"/>
        </w:rPr>
        <w:t xml:space="preserve"> (see section </w:t>
      </w:r>
      <w:r w:rsidR="005851F4">
        <w:rPr>
          <w:noProof/>
          <w:lang w:val="en-GB"/>
        </w:rPr>
        <w:t>5</w:t>
      </w:r>
      <w:r w:rsidR="00624EED">
        <w:rPr>
          <w:noProof/>
          <w:lang w:val="en-GB"/>
        </w:rPr>
        <w:t xml:space="preserve"> for more details)</w:t>
      </w:r>
      <w:r w:rsidR="00624EED" w:rsidRPr="00881BC8">
        <w:rPr>
          <w:noProof/>
          <w:lang w:val="en-GB"/>
        </w:rPr>
        <w:t>.</w:t>
      </w:r>
    </w:p>
    <w:p w14:paraId="348920F1" w14:textId="75CC149A" w:rsidR="005406AE" w:rsidRPr="00881BC8" w:rsidRDefault="005406AE" w:rsidP="005406AE">
      <w:pPr>
        <w:pStyle w:val="NormalPara"/>
        <w:rPr>
          <w:noProof/>
          <w:lang w:val="en-GB"/>
        </w:rPr>
      </w:pPr>
      <w:r w:rsidRPr="00881BC8">
        <w:rPr>
          <w:noProof/>
          <w:lang w:val="en-GB"/>
        </w:rPr>
        <w:t>PO2’s measure on main contractors having to pay their subcontractors on time implies some interplay with the Public Procurement Directives. The measures ha</w:t>
      </w:r>
      <w:r w:rsidR="005262CF" w:rsidRPr="00881BC8">
        <w:rPr>
          <w:noProof/>
          <w:lang w:val="en-GB"/>
        </w:rPr>
        <w:t>ve</w:t>
      </w:r>
      <w:r w:rsidRPr="00881BC8">
        <w:rPr>
          <w:noProof/>
          <w:lang w:val="en-GB"/>
        </w:rPr>
        <w:t xml:space="preserve"> been specifically drafted so as to be fully in line with the Public Procurement Directives.</w:t>
      </w:r>
    </w:p>
    <w:p w14:paraId="6D9976BC" w14:textId="7E8E4C9F" w:rsidR="005406AE" w:rsidRPr="00881BC8" w:rsidRDefault="005406AE" w:rsidP="005406AE">
      <w:pPr>
        <w:pStyle w:val="NormalPara"/>
        <w:rPr>
          <w:noProof/>
          <w:lang w:val="en-GB"/>
        </w:rPr>
      </w:pPr>
      <w:r w:rsidRPr="00881BC8">
        <w:rPr>
          <w:noProof/>
          <w:lang w:val="en-GB"/>
        </w:rPr>
        <w:t>PO3 is fully coherent with other EU legislation and recommendations in the field of mediation.</w:t>
      </w:r>
    </w:p>
    <w:p w14:paraId="3E4823AE" w14:textId="4BE3069C" w:rsidR="005406AE" w:rsidRPr="00881BC8" w:rsidRDefault="005406AE" w:rsidP="005406AE">
      <w:pPr>
        <w:pStyle w:val="Heading3"/>
        <w:rPr>
          <w:noProof/>
        </w:rPr>
      </w:pPr>
      <w:bookmarkStart w:id="859" w:name="_Toc135237437"/>
      <w:r w:rsidRPr="00881BC8">
        <w:rPr>
          <w:noProof/>
        </w:rPr>
        <w:t>Subsidiarity</w:t>
      </w:r>
      <w:bookmarkEnd w:id="859"/>
    </w:p>
    <w:p w14:paraId="7CB8570F" w14:textId="77777777" w:rsidR="005406AE" w:rsidRPr="00881BC8" w:rsidRDefault="005406AE" w:rsidP="005406AE">
      <w:pPr>
        <w:pStyle w:val="NormalPara"/>
        <w:rPr>
          <w:noProof/>
          <w:lang w:val="en-GB"/>
        </w:rPr>
      </w:pPr>
      <w:r w:rsidRPr="00881BC8">
        <w:rPr>
          <w:noProof/>
          <w:lang w:val="en-GB"/>
        </w:rPr>
        <w:t xml:space="preserve">The principle of subsidiarity is fully respected across all policy options. </w:t>
      </w:r>
      <w:r w:rsidRPr="00881BC8">
        <w:rPr>
          <w:rFonts w:eastAsia="Times New Roman"/>
          <w:noProof/>
          <w:lang w:val="en-GB"/>
        </w:rPr>
        <w:t>All options impose only the cost on Member States and businesses that is necessary to achieve the objectives and leave room for discretion to Member States wherever possible, e.g. in how enforcement bodies are designated.</w:t>
      </w:r>
    </w:p>
    <w:p w14:paraId="2CBC3A29" w14:textId="7838A2E8" w:rsidR="005406AE" w:rsidRPr="00881BC8" w:rsidRDefault="005406AE" w:rsidP="005406AE">
      <w:pPr>
        <w:pStyle w:val="NormalPara"/>
        <w:rPr>
          <w:noProof/>
          <w:lang w:val="en-GB"/>
        </w:rPr>
      </w:pPr>
      <w:r w:rsidRPr="00881BC8">
        <w:rPr>
          <w:rFonts w:eastAsia="Times New Roman"/>
          <w:noProof/>
          <w:lang w:val="en-GB"/>
        </w:rPr>
        <w:t>PO1 is ranked lower on subsidiarity as it leaves no discretion to Member States in terms of maximum payment terms to avoid different rules across the EU. However, PO1 leaves it up to Member States how precisely to facilitate SMEs’ access to financial literacy and credit management trainings.</w:t>
      </w:r>
    </w:p>
    <w:p w14:paraId="708DA58C" w14:textId="55E4ED6C" w:rsidR="005406AE" w:rsidRPr="00881BC8" w:rsidRDefault="005406AE" w:rsidP="005406AE">
      <w:pPr>
        <w:pStyle w:val="NormalPara"/>
        <w:rPr>
          <w:noProof/>
          <w:lang w:val="en-GB"/>
        </w:rPr>
      </w:pPr>
      <w:r w:rsidRPr="00881BC8">
        <w:rPr>
          <w:rFonts w:eastAsia="Times New Roman"/>
          <w:noProof/>
          <w:lang w:val="en-GB"/>
        </w:rPr>
        <w:t xml:space="preserve">PO2 sets overall levels of compensation and interest to ensure similar </w:t>
      </w:r>
      <w:r w:rsidR="00C32808" w:rsidRPr="00881BC8">
        <w:rPr>
          <w:rFonts w:eastAsia="Times New Roman"/>
          <w:noProof/>
          <w:lang w:val="en-GB"/>
        </w:rPr>
        <w:t xml:space="preserve">levels of compensation across the </w:t>
      </w:r>
      <w:r w:rsidR="005262CF" w:rsidRPr="00881BC8">
        <w:rPr>
          <w:rFonts w:eastAsia="Times New Roman"/>
          <w:noProof/>
          <w:lang w:val="en-GB"/>
        </w:rPr>
        <w:t>EU but</w:t>
      </w:r>
      <w:r w:rsidR="00C32808" w:rsidRPr="00881BC8">
        <w:rPr>
          <w:rFonts w:eastAsia="Times New Roman"/>
          <w:noProof/>
          <w:lang w:val="en-GB"/>
        </w:rPr>
        <w:t xml:space="preserve"> leaves it to the Member States to designate enforcement bodies and (for Member States not in the euro area) how precisely to implement the interest rates for delayed payments.</w:t>
      </w:r>
      <w:r w:rsidRPr="00881BC8">
        <w:rPr>
          <w:rFonts w:eastAsia="Times New Roman"/>
          <w:noProof/>
          <w:lang w:val="en-GB"/>
        </w:rPr>
        <w:t xml:space="preserve"> PO3 leaves the most room for interpretation to Member States, as they can decide how payment envoys or mediation systems are structured</w:t>
      </w:r>
      <w:r w:rsidR="00C32808" w:rsidRPr="00881BC8">
        <w:rPr>
          <w:rFonts w:eastAsia="Times New Roman"/>
          <w:noProof/>
          <w:lang w:val="en-GB"/>
        </w:rPr>
        <w:t>.</w:t>
      </w:r>
    </w:p>
    <w:p w14:paraId="01939A0F" w14:textId="77777777" w:rsidR="005406AE" w:rsidRPr="00881BC8" w:rsidRDefault="005406AE" w:rsidP="00E73F6E">
      <w:pPr>
        <w:pStyle w:val="NormalPara"/>
        <w:numPr>
          <w:ilvl w:val="0"/>
          <w:numId w:val="0"/>
        </w:numPr>
        <w:rPr>
          <w:noProof/>
          <w:lang w:val="en-GB"/>
        </w:rPr>
      </w:pPr>
    </w:p>
    <w:p w14:paraId="14C6CCEB" w14:textId="7FB45811" w:rsidR="00F23136" w:rsidRPr="00881BC8" w:rsidRDefault="006B087E" w:rsidP="004835F8">
      <w:pPr>
        <w:pStyle w:val="Heading1"/>
        <w:rPr>
          <w:noProof/>
        </w:rPr>
      </w:pPr>
      <w:bookmarkStart w:id="860" w:name="_Toc130395813"/>
      <w:bookmarkStart w:id="861" w:name="_Toc130403731"/>
      <w:bookmarkStart w:id="862" w:name="_Toc130395814"/>
      <w:bookmarkStart w:id="863" w:name="_Toc130403732"/>
      <w:bookmarkStart w:id="864" w:name="_Toc130395815"/>
      <w:bookmarkStart w:id="865" w:name="_Toc130403733"/>
      <w:bookmarkStart w:id="866" w:name="_Toc130395845"/>
      <w:bookmarkStart w:id="867" w:name="_Toc130403763"/>
      <w:bookmarkStart w:id="868" w:name="_Toc130395846"/>
      <w:bookmarkStart w:id="869" w:name="_Toc130403764"/>
      <w:bookmarkStart w:id="870" w:name="_Toc130395847"/>
      <w:bookmarkStart w:id="871" w:name="_Toc130403765"/>
      <w:bookmarkStart w:id="872" w:name="_Toc130395871"/>
      <w:bookmarkStart w:id="873" w:name="_Toc130403789"/>
      <w:bookmarkStart w:id="874" w:name="_Toc130395872"/>
      <w:bookmarkStart w:id="875" w:name="_Toc130403790"/>
      <w:bookmarkStart w:id="876" w:name="_Toc130395873"/>
      <w:bookmarkStart w:id="877" w:name="_Toc130403791"/>
      <w:bookmarkStart w:id="878" w:name="_Toc128566541"/>
      <w:bookmarkStart w:id="879" w:name="_Toc128594951"/>
      <w:bookmarkStart w:id="880" w:name="_Toc128678906"/>
      <w:bookmarkStart w:id="881" w:name="_Toc128935107"/>
      <w:bookmarkStart w:id="882" w:name="_Toc129710203"/>
      <w:bookmarkStart w:id="883" w:name="_Toc129899908"/>
      <w:bookmarkStart w:id="884" w:name="_Ref135218227"/>
      <w:bookmarkStart w:id="885" w:name="_Ref135218260"/>
      <w:bookmarkStart w:id="886" w:name="_Ref135218499"/>
      <w:bookmarkStart w:id="887" w:name="_Ref135218550"/>
      <w:bookmarkStart w:id="888" w:name="_Ref135220315"/>
      <w:bookmarkStart w:id="889" w:name="_Ref135220365"/>
      <w:bookmarkStart w:id="890" w:name="_Ref135220384"/>
      <w:bookmarkStart w:id="891" w:name="_Ref135220494"/>
      <w:bookmarkStart w:id="892" w:name="_Ref135220607"/>
      <w:bookmarkStart w:id="893" w:name="_Toc135237438"/>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r w:rsidRPr="00881BC8">
        <w:rPr>
          <w:noProof/>
        </w:rPr>
        <w:t>Preferred option</w:t>
      </w:r>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p>
    <w:p w14:paraId="704A1F7A" w14:textId="3CABC9E6" w:rsidR="00D22239" w:rsidRPr="00881BC8" w:rsidRDefault="006E4C6F" w:rsidP="004835F8">
      <w:pPr>
        <w:pStyle w:val="NormalPara"/>
        <w:rPr>
          <w:noProof/>
          <w:lang w:val="en-GB"/>
        </w:rPr>
      </w:pPr>
      <w:bookmarkStart w:id="894" w:name="_Toc128594952"/>
      <w:bookmarkStart w:id="895" w:name="_Toc128678907"/>
      <w:bookmarkStart w:id="896" w:name="_Toc128935108"/>
      <w:r w:rsidRPr="00881BC8">
        <w:rPr>
          <w:noProof/>
          <w:lang w:val="en-GB"/>
        </w:rPr>
        <w:t>The assessment of each policy option</w:t>
      </w:r>
      <w:r w:rsidR="008C3ED8" w:rsidRPr="00881BC8">
        <w:rPr>
          <w:noProof/>
          <w:lang w:val="en-GB"/>
        </w:rPr>
        <w:t xml:space="preserve"> reveals </w:t>
      </w:r>
      <w:r w:rsidRPr="00881BC8">
        <w:rPr>
          <w:noProof/>
          <w:lang w:val="en-GB"/>
        </w:rPr>
        <w:t xml:space="preserve">that </w:t>
      </w:r>
      <w:r w:rsidR="008C3ED8" w:rsidRPr="00881BC8">
        <w:rPr>
          <w:noProof/>
          <w:lang w:val="en-GB"/>
        </w:rPr>
        <w:t xml:space="preserve">each one has the potential for benefits but also poses some risks when implemented </w:t>
      </w:r>
      <w:r w:rsidRPr="00881BC8">
        <w:rPr>
          <w:noProof/>
          <w:lang w:val="en-GB"/>
        </w:rPr>
        <w:t xml:space="preserve">as </w:t>
      </w:r>
      <w:r w:rsidR="002F6682" w:rsidRPr="00881BC8">
        <w:rPr>
          <w:noProof/>
          <w:lang w:val="en-GB"/>
        </w:rPr>
        <w:t xml:space="preserve">a </w:t>
      </w:r>
      <w:r w:rsidRPr="00881BC8">
        <w:rPr>
          <w:noProof/>
          <w:lang w:val="en-GB"/>
        </w:rPr>
        <w:t>self-standing option.</w:t>
      </w:r>
      <w:r w:rsidR="002F6682" w:rsidRPr="00881BC8">
        <w:rPr>
          <w:noProof/>
          <w:lang w:val="en-GB"/>
        </w:rPr>
        <w:t xml:space="preserve"> </w:t>
      </w:r>
      <w:r w:rsidR="004A24B4" w:rsidRPr="00881BC8">
        <w:rPr>
          <w:noProof/>
          <w:lang w:val="en-GB"/>
        </w:rPr>
        <w:t xml:space="preserve">To </w:t>
      </w:r>
      <w:r w:rsidR="004B29C7" w:rsidRPr="00881BC8">
        <w:rPr>
          <w:noProof/>
          <w:lang w:val="en-GB"/>
        </w:rPr>
        <w:t>provide the most complete policy response to the general and specific objectives</w:t>
      </w:r>
      <w:r w:rsidRPr="00881BC8">
        <w:rPr>
          <w:noProof/>
          <w:lang w:val="en-GB"/>
        </w:rPr>
        <w:t xml:space="preserve">, </w:t>
      </w:r>
      <w:r w:rsidR="008C3ED8" w:rsidRPr="00881BC8">
        <w:rPr>
          <w:noProof/>
          <w:lang w:val="en-GB"/>
        </w:rPr>
        <w:t>the</w:t>
      </w:r>
      <w:r w:rsidRPr="00881BC8">
        <w:rPr>
          <w:noProof/>
          <w:lang w:val="en-GB"/>
        </w:rPr>
        <w:t xml:space="preserve"> preferred option is not any single </w:t>
      </w:r>
      <w:r w:rsidR="00447ED9" w:rsidRPr="00881BC8">
        <w:rPr>
          <w:noProof/>
          <w:lang w:val="en-GB"/>
        </w:rPr>
        <w:t>p</w:t>
      </w:r>
      <w:r w:rsidRPr="00881BC8">
        <w:rPr>
          <w:noProof/>
          <w:lang w:val="en-GB"/>
        </w:rPr>
        <w:t xml:space="preserve">olicy </w:t>
      </w:r>
      <w:r w:rsidR="00447ED9" w:rsidRPr="00881BC8">
        <w:rPr>
          <w:noProof/>
          <w:lang w:val="en-GB"/>
        </w:rPr>
        <w:t>o</w:t>
      </w:r>
      <w:r w:rsidRPr="00881BC8">
        <w:rPr>
          <w:noProof/>
          <w:lang w:val="en-GB"/>
        </w:rPr>
        <w:t xml:space="preserve">ption presented so far. </w:t>
      </w:r>
      <w:r w:rsidR="00377D9F" w:rsidRPr="00881BC8">
        <w:rPr>
          <w:noProof/>
          <w:lang w:val="en-GB"/>
        </w:rPr>
        <w:t>Based on our analysis</w:t>
      </w:r>
      <w:r w:rsidRPr="00881BC8">
        <w:rPr>
          <w:noProof/>
          <w:lang w:val="en-GB"/>
        </w:rPr>
        <w:t xml:space="preserve">, we propose a </w:t>
      </w:r>
      <w:r w:rsidR="00447ED9" w:rsidRPr="00881BC8">
        <w:rPr>
          <w:noProof/>
          <w:lang w:val="en-GB"/>
        </w:rPr>
        <w:t>p</w:t>
      </w:r>
      <w:r w:rsidRPr="00881BC8">
        <w:rPr>
          <w:noProof/>
          <w:lang w:val="en-GB"/>
        </w:rPr>
        <w:t>ackage</w:t>
      </w:r>
      <w:r w:rsidR="00377D9F" w:rsidRPr="00881BC8">
        <w:rPr>
          <w:noProof/>
          <w:lang w:val="en-GB"/>
        </w:rPr>
        <w:t xml:space="preserve"> of measures</w:t>
      </w:r>
      <w:r w:rsidRPr="00881BC8">
        <w:rPr>
          <w:noProof/>
          <w:lang w:val="en-GB"/>
        </w:rPr>
        <w:t xml:space="preserve">, bringing together the most effective </w:t>
      </w:r>
      <w:r w:rsidR="004B29C7" w:rsidRPr="00881BC8">
        <w:rPr>
          <w:noProof/>
          <w:lang w:val="en-GB"/>
        </w:rPr>
        <w:t xml:space="preserve">sub-options </w:t>
      </w:r>
      <w:r w:rsidRPr="00881BC8">
        <w:rPr>
          <w:noProof/>
          <w:lang w:val="en-GB"/>
        </w:rPr>
        <w:t xml:space="preserve">from </w:t>
      </w:r>
      <w:r w:rsidR="0099162B" w:rsidRPr="00881BC8">
        <w:rPr>
          <w:noProof/>
          <w:lang w:val="en-GB"/>
        </w:rPr>
        <w:t>PO1, PO2 and PO3</w:t>
      </w:r>
      <w:r w:rsidRPr="00881BC8">
        <w:rPr>
          <w:noProof/>
          <w:lang w:val="en-GB"/>
        </w:rPr>
        <w:t>.</w:t>
      </w:r>
      <w:r w:rsidR="003462B0" w:rsidRPr="00881BC8">
        <w:rPr>
          <w:noProof/>
          <w:lang w:val="en-GB"/>
        </w:rPr>
        <w:t xml:space="preserve"> </w:t>
      </w:r>
      <w:r w:rsidR="00394C1B" w:rsidRPr="00881BC8">
        <w:rPr>
          <w:noProof/>
          <w:lang w:val="en-GB"/>
        </w:rPr>
        <w:t>These sub-options</w:t>
      </w:r>
      <w:r w:rsidR="00CA1877" w:rsidRPr="00881BC8">
        <w:rPr>
          <w:noProof/>
          <w:lang w:val="en-GB"/>
        </w:rPr>
        <w:t xml:space="preserve"> fulfil the efficiency criterion both as standalone and in combination, because of lack of overlaps in the specific objectives they target. Combining them will allow to </w:t>
      </w:r>
      <w:r w:rsidR="00D643B4" w:rsidRPr="00881BC8">
        <w:rPr>
          <w:noProof/>
          <w:lang w:val="en-GB"/>
        </w:rPr>
        <w:t xml:space="preserve">ensure a single </w:t>
      </w:r>
      <w:r w:rsidR="00025388" w:rsidRPr="00881BC8">
        <w:rPr>
          <w:noProof/>
          <w:lang w:val="en-GB"/>
        </w:rPr>
        <w:t>efficient and proportionate</w:t>
      </w:r>
      <w:r w:rsidR="00D643B4" w:rsidRPr="00881BC8">
        <w:rPr>
          <w:noProof/>
          <w:lang w:val="en-GB"/>
        </w:rPr>
        <w:t xml:space="preserve"> revision of rules </w:t>
      </w:r>
      <w:r w:rsidR="00025388" w:rsidRPr="00881BC8">
        <w:rPr>
          <w:noProof/>
          <w:lang w:val="en-GB"/>
        </w:rPr>
        <w:t>on</w:t>
      </w:r>
      <w:r w:rsidR="00D643B4" w:rsidRPr="00881BC8">
        <w:rPr>
          <w:noProof/>
          <w:lang w:val="en-GB"/>
        </w:rPr>
        <w:t xml:space="preserve"> late payment. </w:t>
      </w:r>
    </w:p>
    <w:p w14:paraId="40E4839C" w14:textId="08330D8D" w:rsidR="006E4C6F" w:rsidRPr="00881BC8" w:rsidRDefault="0056726A" w:rsidP="004835F8">
      <w:pPr>
        <w:pStyle w:val="NormalPara"/>
        <w:rPr>
          <w:noProof/>
          <w:lang w:val="en-GB"/>
        </w:rPr>
      </w:pPr>
      <w:r w:rsidRPr="00881BC8">
        <w:rPr>
          <w:noProof/>
          <w:lang w:val="en-GB"/>
        </w:rPr>
        <w:t>The preferred pac</w:t>
      </w:r>
      <w:r w:rsidR="006E4C6F" w:rsidRPr="00881BC8">
        <w:rPr>
          <w:noProof/>
          <w:lang w:val="en-GB"/>
        </w:rPr>
        <w:t>kage</w:t>
      </w:r>
      <w:r w:rsidR="00025528" w:rsidRPr="00881BC8">
        <w:rPr>
          <w:noProof/>
          <w:lang w:val="en-GB"/>
        </w:rPr>
        <w:t xml:space="preserve"> (</w:t>
      </w:r>
      <w:r w:rsidR="00025528" w:rsidRPr="00881BC8">
        <w:rPr>
          <w:noProof/>
          <w:lang w:val="en-GB"/>
        </w:rPr>
        <w:fldChar w:fldCharType="begin"/>
      </w:r>
      <w:r w:rsidR="00025528" w:rsidRPr="00881BC8">
        <w:rPr>
          <w:noProof/>
          <w:lang w:val="en-GB"/>
        </w:rPr>
        <w:instrText xml:space="preserve"> REF _Ref130486067 \h </w:instrText>
      </w:r>
      <w:r w:rsidR="00025528" w:rsidRPr="00881BC8">
        <w:rPr>
          <w:noProof/>
          <w:lang w:val="en-GB"/>
        </w:rPr>
      </w:r>
      <w:r w:rsidR="00025528" w:rsidRPr="00881BC8">
        <w:rPr>
          <w:noProof/>
          <w:lang w:val="en-GB"/>
        </w:rPr>
        <w:fldChar w:fldCharType="separate"/>
      </w:r>
      <w:r w:rsidR="005851F4">
        <w:rPr>
          <w:b/>
          <w:bCs/>
          <w:noProof/>
          <w:lang w:val="en-US"/>
        </w:rPr>
        <w:t>Error! Reference source not found.</w:t>
      </w:r>
      <w:r w:rsidR="00025528" w:rsidRPr="00881BC8">
        <w:rPr>
          <w:noProof/>
          <w:lang w:val="en-GB"/>
        </w:rPr>
        <w:fldChar w:fldCharType="end"/>
      </w:r>
      <w:r w:rsidR="00025528" w:rsidRPr="00881BC8">
        <w:rPr>
          <w:noProof/>
          <w:lang w:val="en-GB"/>
        </w:rPr>
        <w:t>)</w:t>
      </w:r>
      <w:r w:rsidR="006E4C6F" w:rsidRPr="00881BC8">
        <w:rPr>
          <w:noProof/>
          <w:lang w:val="en-GB"/>
        </w:rPr>
        <w:t xml:space="preserve"> consist</w:t>
      </w:r>
      <w:r w:rsidRPr="00881BC8">
        <w:rPr>
          <w:noProof/>
          <w:lang w:val="en-GB"/>
        </w:rPr>
        <w:t>s</w:t>
      </w:r>
      <w:r w:rsidR="006E4C6F" w:rsidRPr="00881BC8">
        <w:rPr>
          <w:noProof/>
          <w:lang w:val="en-GB"/>
        </w:rPr>
        <w:t xml:space="preserve"> of the measures</w:t>
      </w:r>
      <w:r w:rsidR="006A39EF" w:rsidRPr="00881BC8">
        <w:rPr>
          <w:noProof/>
          <w:lang w:val="en-GB"/>
        </w:rPr>
        <w:t xml:space="preserve"> put forward under PO</w:t>
      </w:r>
      <w:r w:rsidR="006E4C6F" w:rsidRPr="00881BC8">
        <w:rPr>
          <w:noProof/>
          <w:lang w:val="en-GB"/>
        </w:rPr>
        <w:t>1a</w:t>
      </w:r>
      <w:r w:rsidR="006A39EF" w:rsidRPr="00881BC8">
        <w:rPr>
          <w:noProof/>
          <w:lang w:val="en-GB"/>
        </w:rPr>
        <w:t>, PO2a and PO</w:t>
      </w:r>
      <w:r w:rsidR="006E4C6F" w:rsidRPr="00881BC8">
        <w:rPr>
          <w:noProof/>
          <w:lang w:val="en-GB"/>
        </w:rPr>
        <w:t>3b</w:t>
      </w:r>
      <w:r w:rsidR="00426773" w:rsidRPr="00881BC8">
        <w:rPr>
          <w:noProof/>
          <w:lang w:val="en-GB"/>
        </w:rPr>
        <w:t>.</w:t>
      </w:r>
    </w:p>
    <w:p w14:paraId="72AF4BB1" w14:textId="60EF4D72" w:rsidR="00192035" w:rsidRPr="00192035" w:rsidRDefault="00192035" w:rsidP="00192035">
      <w:pPr>
        <w:pStyle w:val="Caption"/>
        <w:rPr>
          <w:noProof/>
          <w:lang w:val="en-GB"/>
        </w:rPr>
      </w:pPr>
      <w:r w:rsidRPr="00192035">
        <w:rPr>
          <w:noProof/>
          <w:lang w:val="en-GB"/>
        </w:rPr>
        <w:t xml:space="preserve">Table </w:t>
      </w:r>
      <w:r w:rsidR="005851F4">
        <w:rPr>
          <w:noProof/>
          <w:lang w:val="en-GB"/>
        </w:rPr>
        <w:t>7</w:t>
      </w:r>
      <w:r w:rsidRPr="00192035">
        <w:rPr>
          <w:noProof/>
          <w:lang w:val="en-GB"/>
        </w:rPr>
        <w:t>: Preferred policy package</w:t>
      </w:r>
    </w:p>
    <w:tbl>
      <w:tblPr>
        <w:tblpPr w:leftFromText="181" w:rightFromText="181" w:bottomFromText="142" w:vertAnchor="text" w:tblpY="1"/>
        <w:tblOverlap w:val="neve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2"/>
        <w:gridCol w:w="610"/>
      </w:tblGrid>
      <w:tr w:rsidR="003D19BA" w:rsidRPr="00881BC8" w14:paraId="6B311793" w14:textId="77777777" w:rsidTr="00E83577">
        <w:trPr>
          <w:tblHeader/>
        </w:trPr>
        <w:tc>
          <w:tcPr>
            <w:tcW w:w="8032" w:type="dxa"/>
            <w:shd w:val="clear" w:color="000000" w:fill="AEAAAA"/>
            <w:hideMark/>
          </w:tcPr>
          <w:p w14:paraId="08D57923" w14:textId="5A8B2177" w:rsidR="003D19BA" w:rsidRPr="00881BC8" w:rsidRDefault="001043ED" w:rsidP="00E83577">
            <w:pPr>
              <w:spacing w:after="0"/>
              <w:jc w:val="left"/>
              <w:rPr>
                <w:rFonts w:eastAsia="Times New Roman"/>
                <w:b/>
                <w:bCs/>
                <w:noProof/>
                <w:color w:val="000000"/>
                <w:sz w:val="18"/>
                <w:szCs w:val="18"/>
                <w:lang w:eastAsia="en-IE"/>
              </w:rPr>
            </w:pPr>
            <w:r w:rsidRPr="00881BC8">
              <w:rPr>
                <w:rFonts w:eastAsia="Times New Roman"/>
                <w:b/>
                <w:bCs/>
                <w:noProof/>
                <w:color w:val="000000"/>
                <w:sz w:val="18"/>
                <w:szCs w:val="18"/>
                <w:lang w:eastAsia="en-IE"/>
              </w:rPr>
              <w:t>Preferred policy package</w:t>
            </w:r>
          </w:p>
        </w:tc>
        <w:tc>
          <w:tcPr>
            <w:tcW w:w="610" w:type="dxa"/>
            <w:shd w:val="clear" w:color="000000" w:fill="AEAAAA"/>
            <w:vAlign w:val="center"/>
            <w:hideMark/>
          </w:tcPr>
          <w:p w14:paraId="0094E566" w14:textId="633DF7D6" w:rsidR="003D19BA" w:rsidRPr="00881BC8" w:rsidRDefault="00C85794" w:rsidP="00E83577">
            <w:pPr>
              <w:spacing w:after="0"/>
              <w:jc w:val="center"/>
              <w:rPr>
                <w:rFonts w:eastAsia="Times New Roman"/>
                <w:b/>
                <w:bCs/>
                <w:noProof/>
                <w:color w:val="000000"/>
                <w:sz w:val="18"/>
                <w:szCs w:val="18"/>
                <w:lang w:eastAsia="en-IE"/>
              </w:rPr>
            </w:pPr>
            <w:r w:rsidRPr="00881BC8">
              <w:rPr>
                <w:rFonts w:eastAsia="Times New Roman"/>
                <w:b/>
                <w:bCs/>
                <w:noProof/>
                <w:color w:val="000000"/>
                <w:sz w:val="18"/>
                <w:szCs w:val="18"/>
                <w:lang w:eastAsia="en-IE"/>
              </w:rPr>
              <w:t>PO</w:t>
            </w:r>
            <w:r w:rsidR="003D19BA" w:rsidRPr="00881BC8">
              <w:rPr>
                <w:rFonts w:eastAsia="Times New Roman"/>
                <w:b/>
                <w:bCs/>
                <w:noProof/>
                <w:color w:val="000000"/>
                <w:sz w:val="18"/>
                <w:szCs w:val="18"/>
                <w:lang w:eastAsia="en-IE"/>
              </w:rPr>
              <w:t> </w:t>
            </w:r>
          </w:p>
        </w:tc>
      </w:tr>
      <w:tr w:rsidR="003D19BA" w:rsidRPr="00881BC8" w14:paraId="5057D0AA" w14:textId="77777777" w:rsidTr="00E83577">
        <w:tc>
          <w:tcPr>
            <w:tcW w:w="8032" w:type="dxa"/>
            <w:shd w:val="clear" w:color="auto" w:fill="auto"/>
            <w:hideMark/>
          </w:tcPr>
          <w:p w14:paraId="37EF8E4E" w14:textId="14B14650" w:rsidR="003D19BA" w:rsidRPr="00881BC8" w:rsidRDefault="003D19BA" w:rsidP="00E83577">
            <w:pPr>
              <w:spacing w:after="0"/>
              <w:jc w:val="left"/>
              <w:rPr>
                <w:rFonts w:eastAsia="Times New Roman"/>
                <w:noProof/>
                <w:color w:val="000000"/>
                <w:sz w:val="18"/>
                <w:szCs w:val="18"/>
                <w:lang w:eastAsia="en-IE"/>
              </w:rPr>
            </w:pPr>
            <w:r w:rsidRPr="00881BC8">
              <w:rPr>
                <w:rFonts w:eastAsia="Times New Roman"/>
                <w:noProof/>
                <w:color w:val="000000"/>
                <w:sz w:val="18"/>
                <w:szCs w:val="18"/>
                <w:lang w:eastAsia="en-IE"/>
              </w:rPr>
              <w:t xml:space="preserve">Capping at 30 days in </w:t>
            </w:r>
            <w:r w:rsidR="00687B92" w:rsidRPr="00881BC8">
              <w:rPr>
                <w:rFonts w:eastAsia="Times New Roman"/>
                <w:noProof/>
                <w:color w:val="000000"/>
                <w:sz w:val="18"/>
                <w:szCs w:val="18"/>
                <w:lang w:eastAsia="en-IE"/>
              </w:rPr>
              <w:t>B2B</w:t>
            </w:r>
            <w:r w:rsidRPr="00881BC8">
              <w:rPr>
                <w:rFonts w:eastAsia="Times New Roman"/>
                <w:noProof/>
                <w:color w:val="000000"/>
                <w:sz w:val="18"/>
                <w:szCs w:val="18"/>
                <w:lang w:eastAsia="en-IE"/>
              </w:rPr>
              <w:t xml:space="preserve"> transactions </w:t>
            </w:r>
          </w:p>
        </w:tc>
        <w:tc>
          <w:tcPr>
            <w:tcW w:w="610" w:type="dxa"/>
            <w:shd w:val="clear" w:color="auto" w:fill="auto"/>
            <w:vAlign w:val="center"/>
            <w:hideMark/>
          </w:tcPr>
          <w:p w14:paraId="7C331FCC" w14:textId="77777777" w:rsidR="003D19BA" w:rsidRPr="00881BC8" w:rsidRDefault="003D19BA" w:rsidP="00E83577">
            <w:pPr>
              <w:spacing w:after="0"/>
              <w:jc w:val="center"/>
              <w:rPr>
                <w:rFonts w:eastAsia="Times New Roman"/>
                <w:noProof/>
                <w:color w:val="000000"/>
                <w:sz w:val="18"/>
                <w:szCs w:val="18"/>
                <w:lang w:eastAsia="en-IE"/>
              </w:rPr>
            </w:pPr>
            <w:r w:rsidRPr="00881BC8">
              <w:rPr>
                <w:rFonts w:eastAsia="Times New Roman"/>
                <w:noProof/>
                <w:color w:val="000000"/>
                <w:sz w:val="18"/>
                <w:szCs w:val="18"/>
                <w:lang w:eastAsia="en-IE"/>
              </w:rPr>
              <w:t>1a</w:t>
            </w:r>
          </w:p>
        </w:tc>
      </w:tr>
      <w:tr w:rsidR="003D19BA" w:rsidRPr="00881BC8" w14:paraId="4934CC56" w14:textId="77777777" w:rsidTr="00442FB4">
        <w:tc>
          <w:tcPr>
            <w:tcW w:w="8032" w:type="dxa"/>
            <w:shd w:val="clear" w:color="auto" w:fill="auto"/>
            <w:hideMark/>
          </w:tcPr>
          <w:p w14:paraId="44EC5356" w14:textId="58491ED6" w:rsidR="003D19BA" w:rsidRPr="00881BC8" w:rsidRDefault="003D19BA" w:rsidP="00E83577">
            <w:pPr>
              <w:spacing w:after="0"/>
              <w:jc w:val="left"/>
              <w:rPr>
                <w:rFonts w:eastAsia="Times New Roman"/>
                <w:noProof/>
                <w:color w:val="000000"/>
                <w:sz w:val="18"/>
                <w:szCs w:val="18"/>
                <w:lang w:eastAsia="en-IE"/>
              </w:rPr>
            </w:pPr>
            <w:r w:rsidRPr="00881BC8">
              <w:rPr>
                <w:rFonts w:eastAsia="Times New Roman"/>
                <w:noProof/>
                <w:color w:val="000000"/>
                <w:sz w:val="18"/>
                <w:szCs w:val="18"/>
                <w:lang w:eastAsia="en-IE"/>
              </w:rPr>
              <w:t>Verification or acceptance</w:t>
            </w:r>
            <w:r w:rsidR="0091653A" w:rsidRPr="00881BC8">
              <w:rPr>
                <w:rFonts w:eastAsia="Times New Roman"/>
                <w:noProof/>
                <w:color w:val="000000"/>
                <w:sz w:val="18"/>
                <w:szCs w:val="18"/>
                <w:lang w:eastAsia="en-IE"/>
              </w:rPr>
              <w:t xml:space="preserve"> </w:t>
            </w:r>
            <w:r w:rsidRPr="00881BC8">
              <w:rPr>
                <w:rFonts w:eastAsia="Times New Roman"/>
                <w:noProof/>
                <w:color w:val="000000"/>
                <w:sz w:val="18"/>
                <w:szCs w:val="18"/>
                <w:lang w:eastAsia="en-IE"/>
              </w:rPr>
              <w:t>procedure capped at 30 days (no derogation)</w:t>
            </w:r>
          </w:p>
        </w:tc>
        <w:tc>
          <w:tcPr>
            <w:tcW w:w="610" w:type="dxa"/>
            <w:shd w:val="clear" w:color="auto" w:fill="auto"/>
            <w:vAlign w:val="center"/>
            <w:hideMark/>
          </w:tcPr>
          <w:p w14:paraId="3945E37C" w14:textId="77777777" w:rsidR="003D19BA" w:rsidRPr="00881BC8" w:rsidRDefault="003D19BA" w:rsidP="00E83577">
            <w:pPr>
              <w:spacing w:after="0"/>
              <w:jc w:val="center"/>
              <w:rPr>
                <w:rFonts w:eastAsia="Times New Roman"/>
                <w:noProof/>
                <w:color w:val="000000"/>
                <w:sz w:val="18"/>
                <w:szCs w:val="18"/>
                <w:lang w:eastAsia="en-IE"/>
              </w:rPr>
            </w:pPr>
            <w:r w:rsidRPr="00881BC8">
              <w:rPr>
                <w:rFonts w:eastAsia="Times New Roman"/>
                <w:noProof/>
                <w:color w:val="000000"/>
                <w:sz w:val="18"/>
                <w:szCs w:val="18"/>
                <w:lang w:eastAsia="en-IE"/>
              </w:rPr>
              <w:t>1a</w:t>
            </w:r>
          </w:p>
        </w:tc>
      </w:tr>
      <w:tr w:rsidR="003D19BA" w:rsidRPr="00881BC8" w14:paraId="331C50C7" w14:textId="77777777" w:rsidTr="00E83577">
        <w:tc>
          <w:tcPr>
            <w:tcW w:w="8032" w:type="dxa"/>
            <w:shd w:val="clear" w:color="auto" w:fill="auto"/>
            <w:hideMark/>
          </w:tcPr>
          <w:p w14:paraId="244FA636" w14:textId="571B2DD0" w:rsidR="003D19BA" w:rsidRPr="00881BC8" w:rsidRDefault="003D19BA" w:rsidP="00E83577">
            <w:pPr>
              <w:spacing w:after="0"/>
              <w:jc w:val="left"/>
              <w:rPr>
                <w:rFonts w:eastAsia="Times New Roman"/>
                <w:noProof/>
                <w:color w:val="000000"/>
                <w:sz w:val="18"/>
                <w:szCs w:val="18"/>
                <w:lang w:eastAsia="en-IE"/>
              </w:rPr>
            </w:pPr>
            <w:r w:rsidRPr="00881BC8">
              <w:rPr>
                <w:rFonts w:eastAsia="Times New Roman"/>
                <w:noProof/>
                <w:color w:val="000000"/>
                <w:sz w:val="18"/>
                <w:szCs w:val="18"/>
                <w:lang w:eastAsia="en-IE"/>
              </w:rPr>
              <w:t>MS facilitate availability and access of SMEs to credit</w:t>
            </w:r>
            <w:r w:rsidR="0091653A" w:rsidRPr="00881BC8">
              <w:rPr>
                <w:rFonts w:eastAsia="Times New Roman"/>
                <w:noProof/>
                <w:color w:val="000000"/>
                <w:sz w:val="18"/>
                <w:szCs w:val="18"/>
                <w:lang w:eastAsia="en-IE"/>
              </w:rPr>
              <w:t xml:space="preserve"> </w:t>
            </w:r>
            <w:r w:rsidRPr="00881BC8">
              <w:rPr>
                <w:rFonts w:eastAsia="Times New Roman"/>
                <w:noProof/>
                <w:color w:val="000000"/>
                <w:sz w:val="18"/>
                <w:szCs w:val="18"/>
                <w:lang w:eastAsia="en-IE"/>
              </w:rPr>
              <w:t>management tools, financial</w:t>
            </w:r>
            <w:r w:rsidR="0091653A" w:rsidRPr="00881BC8">
              <w:rPr>
                <w:rFonts w:eastAsia="Times New Roman"/>
                <w:noProof/>
                <w:color w:val="000000"/>
                <w:sz w:val="18"/>
                <w:szCs w:val="18"/>
                <w:lang w:eastAsia="en-IE"/>
              </w:rPr>
              <w:t xml:space="preserve"> </w:t>
            </w:r>
            <w:r w:rsidRPr="00881BC8">
              <w:rPr>
                <w:rFonts w:eastAsia="Times New Roman"/>
                <w:noProof/>
                <w:color w:val="000000"/>
                <w:sz w:val="18"/>
                <w:szCs w:val="18"/>
                <w:lang w:eastAsia="en-IE"/>
              </w:rPr>
              <w:t>literacy training and foster the use by SMEs of digital tools for timely payments </w:t>
            </w:r>
          </w:p>
        </w:tc>
        <w:tc>
          <w:tcPr>
            <w:tcW w:w="610" w:type="dxa"/>
            <w:shd w:val="clear" w:color="auto" w:fill="auto"/>
            <w:vAlign w:val="center"/>
            <w:hideMark/>
          </w:tcPr>
          <w:p w14:paraId="1EA82190" w14:textId="77777777" w:rsidR="003D19BA" w:rsidRPr="00881BC8" w:rsidRDefault="003D19BA" w:rsidP="00E83577">
            <w:pPr>
              <w:spacing w:after="0"/>
              <w:jc w:val="center"/>
              <w:rPr>
                <w:rFonts w:eastAsia="Times New Roman"/>
                <w:noProof/>
                <w:color w:val="000000"/>
                <w:sz w:val="18"/>
                <w:szCs w:val="18"/>
                <w:lang w:eastAsia="en-IE"/>
              </w:rPr>
            </w:pPr>
            <w:r w:rsidRPr="00881BC8">
              <w:rPr>
                <w:rFonts w:eastAsia="Times New Roman"/>
                <w:noProof/>
                <w:color w:val="000000"/>
                <w:sz w:val="18"/>
                <w:szCs w:val="18"/>
                <w:lang w:eastAsia="en-IE"/>
              </w:rPr>
              <w:t>1a</w:t>
            </w:r>
          </w:p>
        </w:tc>
      </w:tr>
      <w:tr w:rsidR="00442FB4" w:rsidRPr="00881BC8" w14:paraId="0726171F" w14:textId="77777777" w:rsidTr="000467FA">
        <w:tc>
          <w:tcPr>
            <w:tcW w:w="8032" w:type="dxa"/>
            <w:shd w:val="clear" w:color="auto" w:fill="auto"/>
            <w:hideMark/>
          </w:tcPr>
          <w:p w14:paraId="4363F8AF" w14:textId="42ABFCAE" w:rsidR="00442FB4" w:rsidRPr="00881BC8" w:rsidRDefault="00442FB4" w:rsidP="00E83577">
            <w:pPr>
              <w:spacing w:after="0"/>
              <w:jc w:val="left"/>
              <w:rPr>
                <w:rFonts w:eastAsia="Times New Roman"/>
                <w:noProof/>
                <w:color w:val="000000"/>
                <w:sz w:val="18"/>
                <w:szCs w:val="18"/>
                <w:lang w:eastAsia="en-IE"/>
              </w:rPr>
            </w:pPr>
            <w:r w:rsidRPr="00881BC8">
              <w:rPr>
                <w:rFonts w:eastAsia="Times New Roman"/>
                <w:noProof/>
                <w:color w:val="000000"/>
                <w:sz w:val="18"/>
                <w:szCs w:val="18"/>
                <w:lang w:eastAsia="en-IE"/>
              </w:rPr>
              <w:t>Making payment of interests automatic (eliminate the concept of ‘entitlement’), clarify dies ad quem, making payment of the flat fee compensation automatic</w:t>
            </w:r>
          </w:p>
        </w:tc>
        <w:tc>
          <w:tcPr>
            <w:tcW w:w="610" w:type="dxa"/>
            <w:shd w:val="clear" w:color="auto" w:fill="auto"/>
            <w:vAlign w:val="center"/>
            <w:hideMark/>
          </w:tcPr>
          <w:p w14:paraId="6D483BAC" w14:textId="1797E0D3" w:rsidR="00442FB4" w:rsidRPr="00881BC8" w:rsidRDefault="00442FB4" w:rsidP="00E83577">
            <w:pPr>
              <w:spacing w:after="0"/>
              <w:jc w:val="center"/>
              <w:rPr>
                <w:rFonts w:eastAsia="Times New Roman"/>
                <w:noProof/>
                <w:color w:val="000000"/>
                <w:sz w:val="18"/>
                <w:szCs w:val="18"/>
                <w:lang w:eastAsia="en-IE"/>
              </w:rPr>
            </w:pPr>
            <w:r w:rsidRPr="00881BC8">
              <w:rPr>
                <w:rFonts w:eastAsia="Times New Roman"/>
                <w:noProof/>
                <w:color w:val="000000"/>
                <w:sz w:val="18"/>
                <w:szCs w:val="18"/>
                <w:lang w:eastAsia="en-IE"/>
              </w:rPr>
              <w:t>2a</w:t>
            </w:r>
          </w:p>
        </w:tc>
      </w:tr>
      <w:tr w:rsidR="00442FB4" w:rsidRPr="00881BC8" w14:paraId="57150509" w14:textId="77777777" w:rsidTr="00E83577">
        <w:tc>
          <w:tcPr>
            <w:tcW w:w="8032" w:type="dxa"/>
            <w:shd w:val="clear" w:color="auto" w:fill="auto"/>
            <w:hideMark/>
          </w:tcPr>
          <w:p w14:paraId="6691C08A" w14:textId="58494761" w:rsidR="00442FB4" w:rsidRPr="00881BC8" w:rsidRDefault="00442FB4" w:rsidP="00E83577">
            <w:pPr>
              <w:spacing w:after="0"/>
              <w:jc w:val="left"/>
              <w:rPr>
                <w:rFonts w:eastAsia="Times New Roman"/>
                <w:noProof/>
                <w:color w:val="000000"/>
                <w:sz w:val="18"/>
                <w:szCs w:val="18"/>
                <w:lang w:eastAsia="en-IE"/>
              </w:rPr>
            </w:pPr>
            <w:r w:rsidRPr="00881BC8">
              <w:rPr>
                <w:rFonts w:eastAsia="Times New Roman"/>
                <w:noProof/>
                <w:color w:val="000000"/>
                <w:sz w:val="18"/>
                <w:szCs w:val="18"/>
                <w:lang w:eastAsia="en-IE"/>
              </w:rPr>
              <w:t>Leave the rate of interests for late payment as such (ECB+8%) but adapt the flat fee compensation to inflation to EUR 50</w:t>
            </w:r>
          </w:p>
        </w:tc>
        <w:tc>
          <w:tcPr>
            <w:tcW w:w="610" w:type="dxa"/>
            <w:shd w:val="clear" w:color="auto" w:fill="auto"/>
            <w:vAlign w:val="center"/>
            <w:hideMark/>
          </w:tcPr>
          <w:p w14:paraId="00945F34" w14:textId="69C23A43" w:rsidR="00442FB4" w:rsidRPr="00881BC8" w:rsidRDefault="00442FB4" w:rsidP="00E83577">
            <w:pPr>
              <w:spacing w:after="0"/>
              <w:jc w:val="center"/>
              <w:rPr>
                <w:rFonts w:eastAsia="Times New Roman"/>
                <w:noProof/>
                <w:color w:val="000000"/>
                <w:sz w:val="18"/>
                <w:szCs w:val="18"/>
                <w:lang w:eastAsia="en-IE"/>
              </w:rPr>
            </w:pPr>
            <w:r w:rsidRPr="00881BC8">
              <w:rPr>
                <w:rFonts w:eastAsia="Times New Roman"/>
                <w:noProof/>
                <w:color w:val="000000"/>
                <w:sz w:val="18"/>
                <w:szCs w:val="18"/>
                <w:lang w:eastAsia="en-IE"/>
              </w:rPr>
              <w:t>2a</w:t>
            </w:r>
          </w:p>
        </w:tc>
      </w:tr>
      <w:tr w:rsidR="00442FB4" w:rsidRPr="00881BC8" w14:paraId="03A5C0CC" w14:textId="77777777" w:rsidTr="00442FB4">
        <w:tc>
          <w:tcPr>
            <w:tcW w:w="8032" w:type="dxa"/>
            <w:shd w:val="clear" w:color="auto" w:fill="auto"/>
            <w:hideMark/>
          </w:tcPr>
          <w:p w14:paraId="2DF155C9" w14:textId="0F3475DD" w:rsidR="00442FB4" w:rsidRPr="00881BC8" w:rsidRDefault="00442FB4" w:rsidP="00E83577">
            <w:pPr>
              <w:spacing w:after="0"/>
              <w:jc w:val="left"/>
              <w:rPr>
                <w:rFonts w:eastAsia="Times New Roman"/>
                <w:noProof/>
                <w:color w:val="000000"/>
                <w:sz w:val="18"/>
                <w:szCs w:val="18"/>
                <w:lang w:eastAsia="en-IE"/>
              </w:rPr>
            </w:pPr>
            <w:r w:rsidRPr="00881BC8">
              <w:rPr>
                <w:rFonts w:eastAsia="Times New Roman"/>
                <w:noProof/>
                <w:color w:val="000000"/>
                <w:sz w:val="18"/>
                <w:szCs w:val="18"/>
                <w:lang w:eastAsia="en-IE"/>
              </w:rPr>
              <w:t xml:space="preserve">MS to designate bodies responsible for the enforcement of the law, carrying out investigations ex officio, acting on complaints, and empowered to issue administrative sanctions and publish the name of offenders (‘name and shame’). Use of digital tools for more effective enforcement. </w:t>
            </w:r>
          </w:p>
        </w:tc>
        <w:tc>
          <w:tcPr>
            <w:tcW w:w="610" w:type="dxa"/>
            <w:shd w:val="clear" w:color="auto" w:fill="auto"/>
            <w:vAlign w:val="center"/>
            <w:hideMark/>
          </w:tcPr>
          <w:p w14:paraId="1E74D896" w14:textId="410EEA5A" w:rsidR="00442FB4" w:rsidRPr="00881BC8" w:rsidRDefault="00442FB4" w:rsidP="00E83577">
            <w:pPr>
              <w:spacing w:after="0"/>
              <w:jc w:val="center"/>
              <w:rPr>
                <w:rFonts w:eastAsia="Times New Roman"/>
                <w:noProof/>
                <w:color w:val="000000"/>
                <w:sz w:val="18"/>
                <w:szCs w:val="18"/>
                <w:lang w:eastAsia="en-IE"/>
              </w:rPr>
            </w:pPr>
            <w:r w:rsidRPr="00881BC8">
              <w:rPr>
                <w:rFonts w:eastAsia="Times New Roman"/>
                <w:noProof/>
                <w:color w:val="000000"/>
                <w:sz w:val="18"/>
                <w:szCs w:val="18"/>
                <w:lang w:eastAsia="en-IE"/>
              </w:rPr>
              <w:t>2a</w:t>
            </w:r>
          </w:p>
        </w:tc>
      </w:tr>
      <w:tr w:rsidR="00442FB4" w:rsidRPr="00881BC8" w14:paraId="5D674F5D" w14:textId="77777777" w:rsidTr="00E83577">
        <w:tc>
          <w:tcPr>
            <w:tcW w:w="8032" w:type="dxa"/>
            <w:shd w:val="clear" w:color="auto" w:fill="auto"/>
            <w:hideMark/>
          </w:tcPr>
          <w:p w14:paraId="16AFAC8F" w14:textId="70BA990A" w:rsidR="00442FB4" w:rsidRPr="00881BC8" w:rsidRDefault="00442FB4" w:rsidP="00E83577">
            <w:pPr>
              <w:spacing w:after="0"/>
              <w:jc w:val="left"/>
              <w:rPr>
                <w:rFonts w:eastAsia="Times New Roman"/>
                <w:noProof/>
                <w:color w:val="000000"/>
                <w:sz w:val="18"/>
                <w:szCs w:val="18"/>
                <w:lang w:eastAsia="en-IE"/>
              </w:rPr>
            </w:pPr>
            <w:r w:rsidRPr="00881BC8">
              <w:rPr>
                <w:rFonts w:eastAsia="Times New Roman"/>
                <w:noProof/>
                <w:color w:val="000000"/>
                <w:sz w:val="18"/>
                <w:szCs w:val="18"/>
                <w:lang w:eastAsia="en-IE"/>
              </w:rPr>
              <w:t xml:space="preserve">In public works contracts falling within the scope of the PP Directives*, </w:t>
            </w:r>
            <w:r w:rsidR="00AF7097">
              <w:rPr>
                <w:noProof/>
              </w:rPr>
              <w:t xml:space="preserve"> </w:t>
            </w:r>
            <w:r w:rsidR="00AF7097" w:rsidRPr="00AF7097">
              <w:rPr>
                <w:rFonts w:eastAsia="Times New Roman"/>
                <w:noProof/>
                <w:color w:val="000000"/>
                <w:sz w:val="18"/>
                <w:szCs w:val="18"/>
                <w:lang w:eastAsia="en-IE"/>
              </w:rPr>
              <w:t>contracting authorities shall verify that payment to the main contractor has been passed onto the subcontractors</w:t>
            </w:r>
          </w:p>
        </w:tc>
        <w:tc>
          <w:tcPr>
            <w:tcW w:w="610" w:type="dxa"/>
            <w:shd w:val="clear" w:color="auto" w:fill="auto"/>
            <w:vAlign w:val="center"/>
            <w:hideMark/>
          </w:tcPr>
          <w:p w14:paraId="6C7B9DF2" w14:textId="58CABAC6" w:rsidR="00442FB4" w:rsidRPr="00881BC8" w:rsidRDefault="00442FB4" w:rsidP="00E83577">
            <w:pPr>
              <w:spacing w:after="0"/>
              <w:jc w:val="center"/>
              <w:rPr>
                <w:rFonts w:eastAsia="Times New Roman"/>
                <w:noProof/>
                <w:color w:val="000000"/>
                <w:sz w:val="18"/>
                <w:szCs w:val="18"/>
                <w:lang w:eastAsia="en-IE"/>
              </w:rPr>
            </w:pPr>
            <w:r w:rsidRPr="00881BC8">
              <w:rPr>
                <w:rFonts w:eastAsia="Times New Roman"/>
                <w:noProof/>
                <w:color w:val="000000"/>
                <w:sz w:val="18"/>
                <w:szCs w:val="18"/>
                <w:lang w:eastAsia="en-IE"/>
              </w:rPr>
              <w:t>2a</w:t>
            </w:r>
          </w:p>
        </w:tc>
      </w:tr>
      <w:tr w:rsidR="00442FB4" w:rsidRPr="00881BC8" w14:paraId="3E96E38A" w14:textId="77777777" w:rsidTr="00E83577">
        <w:tc>
          <w:tcPr>
            <w:tcW w:w="8032" w:type="dxa"/>
            <w:shd w:val="clear" w:color="auto" w:fill="auto"/>
            <w:hideMark/>
          </w:tcPr>
          <w:p w14:paraId="7B848804" w14:textId="7131F9BD" w:rsidR="00442FB4" w:rsidRPr="00881BC8" w:rsidRDefault="00442FB4" w:rsidP="00E83577">
            <w:pPr>
              <w:spacing w:after="0"/>
              <w:jc w:val="left"/>
              <w:rPr>
                <w:rFonts w:eastAsia="Times New Roman"/>
                <w:noProof/>
                <w:color w:val="000000"/>
                <w:sz w:val="18"/>
                <w:szCs w:val="18"/>
                <w:lang w:eastAsia="en-IE"/>
              </w:rPr>
            </w:pPr>
            <w:r w:rsidRPr="00881BC8">
              <w:rPr>
                <w:rFonts w:eastAsia="Times New Roman"/>
                <w:noProof/>
                <w:color w:val="000000"/>
                <w:sz w:val="18"/>
                <w:szCs w:val="18"/>
                <w:lang w:eastAsia="en-IE"/>
              </w:rPr>
              <w:t>MS to set up a national system of mediation to solve payment disputes in commercial transactions</w:t>
            </w:r>
          </w:p>
        </w:tc>
        <w:tc>
          <w:tcPr>
            <w:tcW w:w="610" w:type="dxa"/>
            <w:shd w:val="clear" w:color="auto" w:fill="auto"/>
            <w:vAlign w:val="center"/>
            <w:hideMark/>
          </w:tcPr>
          <w:p w14:paraId="2662FD29" w14:textId="22F06EC4" w:rsidR="00442FB4" w:rsidRPr="00881BC8" w:rsidRDefault="00442FB4" w:rsidP="00E83577">
            <w:pPr>
              <w:spacing w:after="0"/>
              <w:jc w:val="center"/>
              <w:rPr>
                <w:rFonts w:eastAsia="Times New Roman"/>
                <w:noProof/>
                <w:color w:val="000000"/>
                <w:sz w:val="18"/>
                <w:szCs w:val="18"/>
                <w:lang w:eastAsia="en-IE"/>
              </w:rPr>
            </w:pPr>
            <w:r w:rsidRPr="00881BC8">
              <w:rPr>
                <w:rFonts w:eastAsia="Times New Roman"/>
                <w:noProof/>
                <w:color w:val="000000"/>
                <w:sz w:val="18"/>
                <w:szCs w:val="18"/>
                <w:lang w:eastAsia="en-IE"/>
              </w:rPr>
              <w:t>3b</w:t>
            </w:r>
          </w:p>
        </w:tc>
      </w:tr>
      <w:tr w:rsidR="00442FB4" w:rsidRPr="00881BC8" w14:paraId="73150684" w14:textId="77777777" w:rsidTr="005C7256">
        <w:tc>
          <w:tcPr>
            <w:tcW w:w="8032" w:type="dxa"/>
            <w:shd w:val="clear" w:color="auto" w:fill="auto"/>
            <w:hideMark/>
          </w:tcPr>
          <w:p w14:paraId="5543219B" w14:textId="3AE3E3B4" w:rsidR="00442FB4" w:rsidRPr="00881BC8" w:rsidRDefault="00442FB4" w:rsidP="00E83577">
            <w:pPr>
              <w:spacing w:after="0"/>
              <w:jc w:val="left"/>
              <w:rPr>
                <w:rFonts w:eastAsia="Times New Roman"/>
                <w:noProof/>
                <w:color w:val="000000"/>
                <w:sz w:val="18"/>
                <w:szCs w:val="18"/>
                <w:lang w:eastAsia="en-IE"/>
              </w:rPr>
            </w:pPr>
            <w:r w:rsidRPr="00881BC8">
              <w:rPr>
                <w:rFonts w:eastAsia="Times New Roman"/>
                <w:noProof/>
                <w:color w:val="000000"/>
                <w:sz w:val="18"/>
                <w:szCs w:val="18"/>
                <w:lang w:eastAsia="en-IE"/>
              </w:rPr>
              <w:t>Requesting Member States to specifically address the question of unfair contractual terms and practices through their applicable national law</w:t>
            </w:r>
          </w:p>
        </w:tc>
        <w:tc>
          <w:tcPr>
            <w:tcW w:w="610" w:type="dxa"/>
            <w:shd w:val="clear" w:color="auto" w:fill="auto"/>
            <w:vAlign w:val="center"/>
            <w:hideMark/>
          </w:tcPr>
          <w:p w14:paraId="0B6D16EC" w14:textId="36BA7544" w:rsidR="00442FB4" w:rsidRPr="00881BC8" w:rsidRDefault="00442FB4" w:rsidP="00E83577">
            <w:pPr>
              <w:spacing w:after="0"/>
              <w:jc w:val="center"/>
              <w:rPr>
                <w:rFonts w:eastAsia="Times New Roman"/>
                <w:noProof/>
                <w:color w:val="000000"/>
                <w:sz w:val="18"/>
                <w:szCs w:val="18"/>
                <w:lang w:eastAsia="en-IE"/>
              </w:rPr>
            </w:pPr>
            <w:r w:rsidRPr="00881BC8">
              <w:rPr>
                <w:rFonts w:eastAsia="Times New Roman"/>
                <w:noProof/>
                <w:color w:val="000000"/>
                <w:sz w:val="18"/>
                <w:szCs w:val="18"/>
                <w:lang w:eastAsia="en-IE"/>
              </w:rPr>
              <w:t>3b</w:t>
            </w:r>
          </w:p>
        </w:tc>
      </w:tr>
      <w:tr w:rsidR="00442FB4" w:rsidRPr="00881BC8" w14:paraId="7B0FB0C2" w14:textId="77777777" w:rsidTr="00E83577">
        <w:tc>
          <w:tcPr>
            <w:tcW w:w="8032" w:type="dxa"/>
            <w:shd w:val="clear" w:color="auto" w:fill="auto"/>
            <w:hideMark/>
          </w:tcPr>
          <w:p w14:paraId="2CFA611B" w14:textId="2A318BD8" w:rsidR="00442FB4" w:rsidRPr="00881BC8" w:rsidRDefault="00442FB4" w:rsidP="00E83577">
            <w:pPr>
              <w:spacing w:after="0"/>
              <w:jc w:val="left"/>
              <w:rPr>
                <w:rFonts w:eastAsia="Times New Roman"/>
                <w:noProof/>
                <w:color w:val="000000"/>
                <w:sz w:val="18"/>
                <w:szCs w:val="18"/>
                <w:lang w:eastAsia="en-IE"/>
              </w:rPr>
            </w:pPr>
          </w:p>
        </w:tc>
        <w:tc>
          <w:tcPr>
            <w:tcW w:w="610" w:type="dxa"/>
            <w:shd w:val="clear" w:color="auto" w:fill="auto"/>
            <w:vAlign w:val="center"/>
            <w:hideMark/>
          </w:tcPr>
          <w:p w14:paraId="1C6C1FE1" w14:textId="49CEA4A6" w:rsidR="00442FB4" w:rsidRPr="00881BC8" w:rsidRDefault="00442FB4" w:rsidP="00E83577">
            <w:pPr>
              <w:spacing w:after="0"/>
              <w:jc w:val="center"/>
              <w:rPr>
                <w:rFonts w:eastAsia="Times New Roman"/>
                <w:noProof/>
                <w:color w:val="000000"/>
                <w:sz w:val="18"/>
                <w:szCs w:val="18"/>
                <w:lang w:eastAsia="en-IE"/>
              </w:rPr>
            </w:pPr>
          </w:p>
        </w:tc>
      </w:tr>
    </w:tbl>
    <w:p w14:paraId="0409BC9F" w14:textId="763EAE3E" w:rsidR="00354DB5" w:rsidRPr="00881BC8" w:rsidRDefault="00354DB5" w:rsidP="004835F8">
      <w:pPr>
        <w:pStyle w:val="NormalPara"/>
        <w:rPr>
          <w:noProof/>
          <w:lang w:val="en-GB"/>
        </w:rPr>
      </w:pPr>
      <w:r w:rsidRPr="00881BC8">
        <w:rPr>
          <w:noProof/>
          <w:lang w:val="en-GB"/>
        </w:rPr>
        <w:t xml:space="preserve">The measures have been identified based on the </w:t>
      </w:r>
      <w:r w:rsidR="00CD066D" w:rsidRPr="00881BC8">
        <w:rPr>
          <w:noProof/>
          <w:lang w:val="en-GB"/>
        </w:rPr>
        <w:t>comparison of the sub-options under the three options with the</w:t>
      </w:r>
      <w:r w:rsidRPr="00881BC8">
        <w:rPr>
          <w:noProof/>
          <w:lang w:val="en-GB"/>
        </w:rPr>
        <w:t xml:space="preserve"> view to best addressing the general objective and the specific objectives while satisfying the criteria for effectiveness, efficiency and proportionality and having the overall best net impact on key affected stakeholders (enterprises and public authorities).</w:t>
      </w:r>
    </w:p>
    <w:p w14:paraId="5432C9A6" w14:textId="6577A28E" w:rsidR="00686BCB" w:rsidRPr="00881BC8" w:rsidRDefault="000B0BBD" w:rsidP="004835F8">
      <w:pPr>
        <w:pStyle w:val="NormalPara"/>
        <w:rPr>
          <w:noProof/>
          <w:lang w:val="en-GB"/>
        </w:rPr>
      </w:pPr>
      <w:r w:rsidRPr="00881BC8">
        <w:rPr>
          <w:noProof/>
          <w:lang w:val="en-GB"/>
        </w:rPr>
        <w:t>The</w:t>
      </w:r>
      <w:r w:rsidR="00686BCB" w:rsidRPr="00881BC8">
        <w:rPr>
          <w:noProof/>
          <w:lang w:val="en-GB"/>
        </w:rPr>
        <w:t xml:space="preserve"> </w:t>
      </w:r>
      <w:r w:rsidRPr="00881BC8">
        <w:rPr>
          <w:noProof/>
          <w:lang w:val="en-GB"/>
        </w:rPr>
        <w:t>p</w:t>
      </w:r>
      <w:r w:rsidR="00686BCB" w:rsidRPr="00881BC8">
        <w:rPr>
          <w:noProof/>
          <w:lang w:val="en-GB"/>
        </w:rPr>
        <w:t xml:space="preserve">ackage joins together the most effective </w:t>
      </w:r>
      <w:r w:rsidR="00852913" w:rsidRPr="00881BC8">
        <w:rPr>
          <w:noProof/>
          <w:lang w:val="en-GB"/>
        </w:rPr>
        <w:t>sub-</w:t>
      </w:r>
      <w:r w:rsidR="00686BCB" w:rsidRPr="00881BC8">
        <w:rPr>
          <w:noProof/>
          <w:lang w:val="en-GB"/>
        </w:rPr>
        <w:t xml:space="preserve">options from each </w:t>
      </w:r>
      <w:r w:rsidR="00CC4CB0" w:rsidRPr="00881BC8">
        <w:rPr>
          <w:noProof/>
          <w:lang w:val="en-GB"/>
        </w:rPr>
        <w:t>PO</w:t>
      </w:r>
      <w:r w:rsidR="00686BCB" w:rsidRPr="00881BC8">
        <w:rPr>
          <w:noProof/>
          <w:lang w:val="en-GB"/>
        </w:rPr>
        <w:t xml:space="preserve">, as assessed in Section </w:t>
      </w:r>
      <w:r w:rsidR="005851F4">
        <w:rPr>
          <w:noProof/>
          <w:lang w:val="en-GB"/>
        </w:rPr>
        <w:t>7</w:t>
      </w:r>
      <w:r w:rsidR="00686BCB" w:rsidRPr="00881BC8">
        <w:rPr>
          <w:noProof/>
          <w:lang w:val="en-GB"/>
        </w:rPr>
        <w:t xml:space="preserve">. </w:t>
      </w:r>
      <w:r w:rsidR="005B3384" w:rsidRPr="00881BC8">
        <w:rPr>
          <w:noProof/>
          <w:lang w:val="en-GB"/>
        </w:rPr>
        <w:t>Such</w:t>
      </w:r>
      <w:r w:rsidR="00686BCB" w:rsidRPr="00881BC8">
        <w:rPr>
          <w:noProof/>
          <w:lang w:val="en-GB"/>
        </w:rPr>
        <w:t xml:space="preserve"> combination of measures can </w:t>
      </w:r>
      <w:r w:rsidR="00AE6850" w:rsidRPr="00881BC8">
        <w:rPr>
          <w:noProof/>
          <w:lang w:val="en-GB"/>
        </w:rPr>
        <w:t xml:space="preserve">better </w:t>
      </w:r>
      <w:r w:rsidRPr="00881BC8">
        <w:rPr>
          <w:noProof/>
          <w:lang w:val="en-GB"/>
        </w:rPr>
        <w:t xml:space="preserve">support </w:t>
      </w:r>
      <w:r w:rsidR="00AE6850" w:rsidRPr="00881BC8">
        <w:rPr>
          <w:noProof/>
          <w:lang w:val="en-GB"/>
        </w:rPr>
        <w:t xml:space="preserve">the achievement of </w:t>
      </w:r>
      <w:r w:rsidRPr="00881BC8">
        <w:rPr>
          <w:noProof/>
          <w:lang w:val="en-GB"/>
        </w:rPr>
        <w:t xml:space="preserve">the </w:t>
      </w:r>
      <w:r w:rsidR="00AE6850" w:rsidRPr="00881BC8">
        <w:rPr>
          <w:noProof/>
          <w:lang w:val="en-GB"/>
        </w:rPr>
        <w:t xml:space="preserve">general and specific objectives, </w:t>
      </w:r>
      <w:r w:rsidR="00686BCB" w:rsidRPr="00881BC8">
        <w:rPr>
          <w:noProof/>
          <w:lang w:val="en-GB"/>
        </w:rPr>
        <w:t>reach</w:t>
      </w:r>
      <w:r w:rsidR="00AE6850" w:rsidRPr="00881BC8">
        <w:rPr>
          <w:noProof/>
          <w:lang w:val="en-GB"/>
        </w:rPr>
        <w:t>ing</w:t>
      </w:r>
      <w:r w:rsidR="00686BCB" w:rsidRPr="00881BC8">
        <w:rPr>
          <w:noProof/>
          <w:lang w:val="en-GB"/>
        </w:rPr>
        <w:t xml:space="preserve"> greater effectiveness</w:t>
      </w:r>
      <w:r w:rsidRPr="00881BC8">
        <w:rPr>
          <w:noProof/>
          <w:lang w:val="en-GB"/>
        </w:rPr>
        <w:t>,</w:t>
      </w:r>
      <w:r w:rsidR="00686BCB" w:rsidRPr="00881BC8">
        <w:rPr>
          <w:noProof/>
          <w:lang w:val="en-GB"/>
        </w:rPr>
        <w:t xml:space="preserve"> than </w:t>
      </w:r>
      <w:r w:rsidRPr="00881BC8">
        <w:rPr>
          <w:noProof/>
          <w:lang w:val="en-GB"/>
        </w:rPr>
        <w:t xml:space="preserve">each policy option </w:t>
      </w:r>
      <w:r w:rsidR="00686BCB" w:rsidRPr="00881BC8">
        <w:rPr>
          <w:noProof/>
          <w:lang w:val="en-GB"/>
        </w:rPr>
        <w:t>in isolation.</w:t>
      </w:r>
      <w:r w:rsidR="00E64F8C" w:rsidRPr="00881BC8">
        <w:rPr>
          <w:noProof/>
          <w:lang w:val="en-GB"/>
        </w:rPr>
        <w:t xml:space="preserve"> However, some benefits also partially overlap, as e.g. a company that is already reducing its payment times due to the maximum payment terms may not reduce it further by the additional threat of automatic interest. </w:t>
      </w:r>
      <w:r w:rsidR="005262CF" w:rsidRPr="00881BC8">
        <w:rPr>
          <w:noProof/>
          <w:lang w:val="en-GB"/>
        </w:rPr>
        <w:t>T</w:t>
      </w:r>
      <w:r w:rsidR="00E64F8C" w:rsidRPr="00881BC8">
        <w:rPr>
          <w:noProof/>
          <w:lang w:val="en-GB"/>
        </w:rPr>
        <w:t xml:space="preserve">he reduction across the three policy options has not been added up directly, but has been combined to arrive at 35%. </w:t>
      </w:r>
      <w:r w:rsidR="00F218C7" w:rsidRPr="00881BC8">
        <w:rPr>
          <w:noProof/>
          <w:lang w:val="en-GB"/>
        </w:rPr>
        <w:t xml:space="preserve"> We </w:t>
      </w:r>
      <w:r w:rsidR="00E64F8C" w:rsidRPr="00881BC8">
        <w:rPr>
          <w:noProof/>
          <w:lang w:val="en-GB"/>
        </w:rPr>
        <w:t xml:space="preserve">therefore </w:t>
      </w:r>
      <w:r w:rsidR="00F218C7" w:rsidRPr="00881BC8">
        <w:rPr>
          <w:noProof/>
          <w:lang w:val="en-GB"/>
        </w:rPr>
        <w:t xml:space="preserve">conservatively assume that a 35% reduction in late payment is realistic by consolidating the reductions </w:t>
      </w:r>
      <w:r w:rsidR="00A73A17" w:rsidRPr="00881BC8">
        <w:rPr>
          <w:noProof/>
          <w:lang w:val="en-GB"/>
        </w:rPr>
        <w:t xml:space="preserve">in payment delays </w:t>
      </w:r>
      <w:r w:rsidR="00F218C7" w:rsidRPr="00881BC8">
        <w:rPr>
          <w:noProof/>
          <w:lang w:val="en-GB"/>
        </w:rPr>
        <w:t xml:space="preserve">of 23.4% from PO1, 17.8% from PO2 and 5.5% from PO3 (see section </w:t>
      </w:r>
      <w:r w:rsidR="005851F4">
        <w:rPr>
          <w:noProof/>
          <w:lang w:val="en-GB"/>
        </w:rPr>
        <w:t>9</w:t>
      </w:r>
      <w:r w:rsidR="00F218C7" w:rsidRPr="00881BC8">
        <w:rPr>
          <w:noProof/>
          <w:lang w:val="en-GB"/>
        </w:rPr>
        <w:t>).</w:t>
      </w:r>
      <w:r w:rsidR="00E64F8C" w:rsidRPr="00881BC8">
        <w:rPr>
          <w:noProof/>
          <w:lang w:val="en-GB"/>
        </w:rPr>
        <w:t xml:space="preserve"> We arrive at this estimate by assuming the full effect of the 23.4% reduction, but only take 50% of the reduction from PO2 and PO3 as these would already be partially covered by the 23.4%. This estimate is conservative so as not to overestimate the benefits. The calculation is fully explained in </w:t>
      </w:r>
      <w:r w:rsidR="00A10661" w:rsidRPr="00881BC8">
        <w:rPr>
          <w:noProof/>
          <w:lang w:val="en-GB"/>
        </w:rPr>
        <w:fldChar w:fldCharType="begin"/>
      </w:r>
      <w:r w:rsidR="00A10661" w:rsidRPr="00881BC8">
        <w:rPr>
          <w:noProof/>
          <w:lang w:val="en-GB"/>
        </w:rPr>
        <w:instrText xml:space="preserve"> REF Annex04 \h </w:instrText>
      </w:r>
      <w:r w:rsidR="00A10661" w:rsidRPr="00881BC8">
        <w:rPr>
          <w:noProof/>
          <w:lang w:val="en-GB"/>
        </w:rPr>
      </w:r>
      <w:r w:rsidR="00A10661" w:rsidRPr="00881BC8">
        <w:rPr>
          <w:noProof/>
          <w:lang w:val="en-GB"/>
        </w:rPr>
        <w:fldChar w:fldCharType="separate"/>
      </w:r>
      <w:r w:rsidR="005851F4" w:rsidRPr="00881BC8">
        <w:rPr>
          <w:noProof/>
        </w:rPr>
        <w:t>Annex 4</w:t>
      </w:r>
      <w:r w:rsidR="00A10661" w:rsidRPr="00881BC8">
        <w:rPr>
          <w:noProof/>
          <w:lang w:val="en-GB"/>
        </w:rPr>
        <w:fldChar w:fldCharType="end"/>
      </w:r>
      <w:r w:rsidR="00E64F8C" w:rsidRPr="00881BC8">
        <w:rPr>
          <w:noProof/>
          <w:lang w:val="en-GB"/>
        </w:rPr>
        <w:t>.</w:t>
      </w:r>
    </w:p>
    <w:p w14:paraId="3B6ED639" w14:textId="22E84829" w:rsidR="00686BCB" w:rsidRPr="00881BC8" w:rsidRDefault="000B0BBD" w:rsidP="004835F8">
      <w:pPr>
        <w:pStyle w:val="NormalPara"/>
        <w:rPr>
          <w:noProof/>
          <w:lang w:val="en-GB"/>
        </w:rPr>
      </w:pPr>
      <w:r w:rsidRPr="00881BC8">
        <w:rPr>
          <w:noProof/>
          <w:lang w:val="en-GB"/>
        </w:rPr>
        <w:t>The p</w:t>
      </w:r>
      <w:r w:rsidR="00686BCB" w:rsidRPr="00881BC8">
        <w:rPr>
          <w:noProof/>
          <w:lang w:val="en-GB"/>
        </w:rPr>
        <w:t xml:space="preserve">ackage has several advantages </w:t>
      </w:r>
      <w:r w:rsidR="009C025D" w:rsidRPr="00881BC8">
        <w:rPr>
          <w:noProof/>
          <w:lang w:val="en-GB"/>
        </w:rPr>
        <w:t>compared to</w:t>
      </w:r>
      <w:r w:rsidR="00686BCB" w:rsidRPr="00881BC8">
        <w:rPr>
          <w:noProof/>
          <w:lang w:val="en-GB"/>
        </w:rPr>
        <w:t xml:space="preserve"> each policy option </w:t>
      </w:r>
      <w:r w:rsidR="009A0DED" w:rsidRPr="00881BC8">
        <w:rPr>
          <w:noProof/>
          <w:lang w:val="en-GB"/>
        </w:rPr>
        <w:t xml:space="preserve">considered </w:t>
      </w:r>
      <w:r w:rsidR="00686BCB" w:rsidRPr="00881BC8">
        <w:rPr>
          <w:noProof/>
          <w:lang w:val="en-GB"/>
        </w:rPr>
        <w:t xml:space="preserve">in isolation, and largely eliminates the risks inherent to each policy option. Capping payment terms as in PO1a is </w:t>
      </w:r>
      <w:r w:rsidR="009C025D" w:rsidRPr="00881BC8">
        <w:rPr>
          <w:noProof/>
          <w:lang w:val="en-GB"/>
        </w:rPr>
        <w:t xml:space="preserve">likely to be significantly more </w:t>
      </w:r>
      <w:r w:rsidR="00686BCB" w:rsidRPr="00881BC8">
        <w:rPr>
          <w:noProof/>
          <w:lang w:val="en-GB"/>
        </w:rPr>
        <w:t xml:space="preserve">effective when it is accompanied by strong enforcement measures and deterrents against paying late, as provided for in PO2a. </w:t>
      </w:r>
      <w:r w:rsidR="00CF0566" w:rsidRPr="00881BC8">
        <w:rPr>
          <w:noProof/>
          <w:lang w:val="en-GB"/>
        </w:rPr>
        <w:t>The dissuasive power of automatic payment of interest and compensation</w:t>
      </w:r>
      <w:r w:rsidR="00686BCB" w:rsidRPr="00881BC8">
        <w:rPr>
          <w:noProof/>
          <w:lang w:val="en-GB"/>
        </w:rPr>
        <w:t xml:space="preserve"> </w:t>
      </w:r>
      <w:r w:rsidR="00125EA3" w:rsidRPr="00881BC8">
        <w:rPr>
          <w:noProof/>
          <w:lang w:val="en-GB"/>
        </w:rPr>
        <w:t xml:space="preserve">will </w:t>
      </w:r>
      <w:r w:rsidR="00CF0566" w:rsidRPr="00881BC8">
        <w:rPr>
          <w:noProof/>
          <w:lang w:val="en-GB"/>
        </w:rPr>
        <w:t xml:space="preserve">increase </w:t>
      </w:r>
      <w:r w:rsidR="00125EA3" w:rsidRPr="00881BC8">
        <w:rPr>
          <w:noProof/>
          <w:lang w:val="en-GB"/>
        </w:rPr>
        <w:t xml:space="preserve">when </w:t>
      </w:r>
      <w:r w:rsidR="00686BCB" w:rsidRPr="00881BC8">
        <w:rPr>
          <w:noProof/>
          <w:lang w:val="en-GB"/>
        </w:rPr>
        <w:t>companies</w:t>
      </w:r>
      <w:r w:rsidR="00125EA3" w:rsidRPr="00881BC8">
        <w:rPr>
          <w:noProof/>
          <w:lang w:val="en-GB"/>
        </w:rPr>
        <w:t>’</w:t>
      </w:r>
      <w:r w:rsidR="00686BCB" w:rsidRPr="00881BC8">
        <w:rPr>
          <w:noProof/>
          <w:lang w:val="en-GB"/>
        </w:rPr>
        <w:t xml:space="preserve"> </w:t>
      </w:r>
      <w:r w:rsidR="00125EA3" w:rsidRPr="00881BC8">
        <w:rPr>
          <w:noProof/>
          <w:lang w:val="en-GB"/>
        </w:rPr>
        <w:t xml:space="preserve">ability to </w:t>
      </w:r>
      <w:r w:rsidR="00686BCB" w:rsidRPr="00881BC8">
        <w:rPr>
          <w:noProof/>
          <w:lang w:val="en-GB"/>
        </w:rPr>
        <w:t xml:space="preserve">circumvent </w:t>
      </w:r>
      <w:r w:rsidR="00125EA3" w:rsidRPr="00881BC8">
        <w:rPr>
          <w:noProof/>
          <w:lang w:val="en-GB"/>
        </w:rPr>
        <w:t xml:space="preserve">these </w:t>
      </w:r>
      <w:r w:rsidR="008C05AB" w:rsidRPr="00881BC8">
        <w:rPr>
          <w:noProof/>
          <w:lang w:val="en-GB"/>
        </w:rPr>
        <w:t xml:space="preserve">provisions </w:t>
      </w:r>
      <w:r w:rsidR="00686BCB" w:rsidRPr="00881BC8">
        <w:rPr>
          <w:noProof/>
          <w:lang w:val="en-GB"/>
        </w:rPr>
        <w:t>by negotiating unfairly long payment terms</w:t>
      </w:r>
      <w:r w:rsidR="00125EA3" w:rsidRPr="00881BC8">
        <w:rPr>
          <w:noProof/>
          <w:lang w:val="en-GB"/>
        </w:rPr>
        <w:t xml:space="preserve"> is restrained</w:t>
      </w:r>
      <w:r w:rsidR="00686BCB" w:rsidRPr="00881BC8">
        <w:rPr>
          <w:noProof/>
          <w:lang w:val="en-GB"/>
        </w:rPr>
        <w:t>. PO2a therefore gains in effectiveness when combined with PO1a.</w:t>
      </w:r>
    </w:p>
    <w:p w14:paraId="4FB2EF7A" w14:textId="77777777" w:rsidR="00B1577A" w:rsidRPr="00881BC8" w:rsidRDefault="007155BB" w:rsidP="004835F8">
      <w:pPr>
        <w:pStyle w:val="NormalPara"/>
        <w:rPr>
          <w:noProof/>
          <w:lang w:val="en-GB"/>
        </w:rPr>
      </w:pPr>
      <w:r w:rsidRPr="00881BC8">
        <w:rPr>
          <w:noProof/>
          <w:lang w:val="en-GB"/>
        </w:rPr>
        <w:t>M</w:t>
      </w:r>
      <w:r w:rsidR="00686BCB" w:rsidRPr="00881BC8">
        <w:rPr>
          <w:noProof/>
          <w:lang w:val="en-GB"/>
        </w:rPr>
        <w:t xml:space="preserve">easures </w:t>
      </w:r>
      <w:r w:rsidRPr="00881BC8">
        <w:rPr>
          <w:noProof/>
          <w:lang w:val="en-GB"/>
        </w:rPr>
        <w:t xml:space="preserve">considered </w:t>
      </w:r>
      <w:r w:rsidR="00686BCB" w:rsidRPr="00881BC8">
        <w:rPr>
          <w:noProof/>
          <w:lang w:val="en-GB"/>
        </w:rPr>
        <w:t xml:space="preserve">under PO3b will provide additional support to the package. </w:t>
      </w:r>
      <w:r w:rsidR="008C05AB" w:rsidRPr="00881BC8">
        <w:rPr>
          <w:noProof/>
          <w:lang w:val="en-GB"/>
        </w:rPr>
        <w:t>I</w:t>
      </w:r>
      <w:r w:rsidR="00686BCB" w:rsidRPr="00881BC8">
        <w:rPr>
          <w:noProof/>
          <w:lang w:val="en-GB"/>
        </w:rPr>
        <w:t>n isolation, PO3b shows low effectiveness compared to the other policy options</w:t>
      </w:r>
      <w:r w:rsidR="008C05AB" w:rsidRPr="00881BC8">
        <w:rPr>
          <w:noProof/>
          <w:lang w:val="en-GB"/>
        </w:rPr>
        <w:t>.</w:t>
      </w:r>
      <w:r w:rsidR="00686BCB" w:rsidRPr="00881BC8">
        <w:rPr>
          <w:noProof/>
          <w:lang w:val="en-GB"/>
        </w:rPr>
        <w:t xml:space="preserve"> </w:t>
      </w:r>
      <w:r w:rsidR="008C05AB" w:rsidRPr="00881BC8">
        <w:rPr>
          <w:noProof/>
          <w:lang w:val="en-GB"/>
        </w:rPr>
        <w:t>W</w:t>
      </w:r>
      <w:r w:rsidR="00686BCB" w:rsidRPr="00881BC8">
        <w:rPr>
          <w:noProof/>
          <w:lang w:val="en-GB"/>
        </w:rPr>
        <w:t xml:space="preserve">hen </w:t>
      </w:r>
      <w:r w:rsidR="008C05AB" w:rsidRPr="00881BC8">
        <w:rPr>
          <w:noProof/>
          <w:lang w:val="en-GB"/>
        </w:rPr>
        <w:t xml:space="preserve">considered </w:t>
      </w:r>
      <w:r w:rsidR="00686BCB" w:rsidRPr="00881BC8">
        <w:rPr>
          <w:noProof/>
          <w:lang w:val="en-GB"/>
        </w:rPr>
        <w:t xml:space="preserve">together </w:t>
      </w:r>
      <w:r w:rsidR="008C05AB" w:rsidRPr="00881BC8">
        <w:rPr>
          <w:noProof/>
          <w:lang w:val="en-GB"/>
        </w:rPr>
        <w:t>with other policy options</w:t>
      </w:r>
      <w:r w:rsidR="00686BCB" w:rsidRPr="00881BC8">
        <w:rPr>
          <w:noProof/>
          <w:lang w:val="en-GB"/>
        </w:rPr>
        <w:t xml:space="preserve">, PO3b provides useful flanking measures for those cases where </w:t>
      </w:r>
      <w:r w:rsidR="00203D2F" w:rsidRPr="00881BC8">
        <w:rPr>
          <w:noProof/>
          <w:lang w:val="en-GB"/>
        </w:rPr>
        <w:t xml:space="preserve">late payments occur </w:t>
      </w:r>
      <w:r w:rsidR="00686BCB" w:rsidRPr="00881BC8">
        <w:rPr>
          <w:noProof/>
          <w:lang w:val="en-GB"/>
        </w:rPr>
        <w:t xml:space="preserve">despite </w:t>
      </w:r>
      <w:r w:rsidR="00203D2F" w:rsidRPr="00881BC8">
        <w:rPr>
          <w:noProof/>
          <w:lang w:val="en-GB"/>
        </w:rPr>
        <w:t xml:space="preserve">measures put forward under policy options </w:t>
      </w:r>
      <w:r w:rsidR="00686BCB" w:rsidRPr="00881BC8">
        <w:rPr>
          <w:noProof/>
          <w:lang w:val="en-GB"/>
        </w:rPr>
        <w:t xml:space="preserve">PO1a and PO2a. </w:t>
      </w:r>
      <w:r w:rsidR="00DD5361" w:rsidRPr="00881BC8">
        <w:rPr>
          <w:noProof/>
          <w:lang w:val="en-GB"/>
        </w:rPr>
        <w:t>PO</w:t>
      </w:r>
      <w:r w:rsidR="00203D2F" w:rsidRPr="00881BC8">
        <w:rPr>
          <w:noProof/>
          <w:lang w:val="en-GB"/>
        </w:rPr>
        <w:t xml:space="preserve">3b </w:t>
      </w:r>
      <w:r w:rsidR="00686BCB" w:rsidRPr="00881BC8">
        <w:rPr>
          <w:noProof/>
          <w:lang w:val="en-GB"/>
        </w:rPr>
        <w:t>provides effective means of redress to the creditor for those cases.</w:t>
      </w:r>
      <w:r w:rsidR="00ED4531" w:rsidRPr="00881BC8">
        <w:rPr>
          <w:noProof/>
          <w:lang w:val="en-GB"/>
        </w:rPr>
        <w:t xml:space="preserve"> </w:t>
      </w:r>
    </w:p>
    <w:p w14:paraId="5938E128" w14:textId="669A6C1B" w:rsidR="00920BF0" w:rsidRPr="00881BC8" w:rsidRDefault="00686BCB" w:rsidP="004835F8">
      <w:pPr>
        <w:pStyle w:val="NormalPara"/>
        <w:rPr>
          <w:noProof/>
          <w:lang w:val="en-GB"/>
        </w:rPr>
      </w:pPr>
      <w:r w:rsidRPr="00881BC8">
        <w:rPr>
          <w:noProof/>
          <w:lang w:val="en-GB"/>
        </w:rPr>
        <w:t xml:space="preserve">The </w:t>
      </w:r>
      <w:r w:rsidR="00EB1D0F" w:rsidRPr="00881BC8">
        <w:rPr>
          <w:noProof/>
          <w:lang w:val="en-GB"/>
        </w:rPr>
        <w:t>consolidated</w:t>
      </w:r>
      <w:r w:rsidRPr="00881BC8">
        <w:rPr>
          <w:noProof/>
          <w:lang w:val="en-GB"/>
        </w:rPr>
        <w:t xml:space="preserve"> impact of this </w:t>
      </w:r>
      <w:r w:rsidR="000D6CCF" w:rsidRPr="00881BC8">
        <w:rPr>
          <w:noProof/>
          <w:lang w:val="en-GB"/>
        </w:rPr>
        <w:t>p</w:t>
      </w:r>
      <w:r w:rsidRPr="00881BC8">
        <w:rPr>
          <w:noProof/>
          <w:lang w:val="en-GB"/>
        </w:rPr>
        <w:t xml:space="preserve">ackage will build upon the impacts presented in </w:t>
      </w:r>
      <w:r w:rsidR="0058060D" w:rsidRPr="00881BC8">
        <w:rPr>
          <w:noProof/>
          <w:lang w:val="en-GB"/>
        </w:rPr>
        <w:t>s</w:t>
      </w:r>
      <w:r w:rsidRPr="00881BC8">
        <w:rPr>
          <w:noProof/>
          <w:lang w:val="en-GB"/>
        </w:rPr>
        <w:t xml:space="preserve">ection </w:t>
      </w:r>
      <w:r w:rsidR="005851F4">
        <w:rPr>
          <w:noProof/>
          <w:lang w:val="en-GB"/>
        </w:rPr>
        <w:t>6</w:t>
      </w:r>
      <w:r w:rsidRPr="00881BC8">
        <w:rPr>
          <w:noProof/>
          <w:lang w:val="en-GB"/>
        </w:rPr>
        <w:t xml:space="preserve"> but will achieve more</w:t>
      </w:r>
      <w:r w:rsidR="00920BF0" w:rsidRPr="00881BC8">
        <w:rPr>
          <w:noProof/>
          <w:lang w:val="en-GB"/>
        </w:rPr>
        <w:t xml:space="preserve"> synergies. No trade-offs related to combining policy options have been identified. The summary of costs</w:t>
      </w:r>
      <w:r w:rsidR="00EE2F67" w:rsidRPr="00881BC8">
        <w:rPr>
          <w:noProof/>
          <w:lang w:val="en-GB"/>
        </w:rPr>
        <w:t xml:space="preserve">, </w:t>
      </w:r>
      <w:r w:rsidR="00920BF0" w:rsidRPr="00881BC8">
        <w:rPr>
          <w:noProof/>
          <w:lang w:val="en-GB"/>
        </w:rPr>
        <w:t xml:space="preserve">benefits and impacts on stakeholders of the preferred combination of policy options is presented in </w:t>
      </w:r>
      <w:r w:rsidR="00EE2F67" w:rsidRPr="00881BC8">
        <w:rPr>
          <w:noProof/>
          <w:lang w:val="en-GB"/>
        </w:rPr>
        <w:fldChar w:fldCharType="begin"/>
      </w:r>
      <w:r w:rsidR="00EE2F67" w:rsidRPr="00881BC8">
        <w:rPr>
          <w:noProof/>
          <w:lang w:val="en-GB"/>
        </w:rPr>
        <w:instrText xml:space="preserve"> REF Annex03 \h  \* MERGEFORMAT </w:instrText>
      </w:r>
      <w:r w:rsidR="00EE2F67" w:rsidRPr="00881BC8">
        <w:rPr>
          <w:noProof/>
          <w:lang w:val="en-GB"/>
        </w:rPr>
      </w:r>
      <w:r w:rsidR="00EE2F67" w:rsidRPr="00881BC8">
        <w:rPr>
          <w:noProof/>
          <w:lang w:val="en-GB"/>
        </w:rPr>
        <w:fldChar w:fldCharType="separate"/>
      </w:r>
      <w:r w:rsidR="005851F4" w:rsidRPr="005851F4">
        <w:rPr>
          <w:noProof/>
          <w:lang w:val="en-GB"/>
        </w:rPr>
        <w:t>Annex 3</w:t>
      </w:r>
      <w:r w:rsidR="00EE2F67" w:rsidRPr="00881BC8">
        <w:rPr>
          <w:noProof/>
          <w:lang w:val="en-GB"/>
        </w:rPr>
        <w:fldChar w:fldCharType="end"/>
      </w:r>
      <w:r w:rsidR="00920BF0" w:rsidRPr="00881BC8">
        <w:rPr>
          <w:noProof/>
          <w:lang w:val="en-GB"/>
        </w:rPr>
        <w:t>.</w:t>
      </w:r>
    </w:p>
    <w:p w14:paraId="15E45195" w14:textId="1CD36ED5" w:rsidR="00ED6346" w:rsidRPr="00881BC8" w:rsidRDefault="00ED6346" w:rsidP="00ED6346">
      <w:pPr>
        <w:pStyle w:val="NormalPara"/>
        <w:rPr>
          <w:noProof/>
          <w:lang w:val="en-GB"/>
        </w:rPr>
      </w:pPr>
      <w:r w:rsidRPr="00881BC8">
        <w:rPr>
          <w:noProof/>
          <w:lang w:val="en-GB"/>
        </w:rPr>
        <w:t>This package option is built from the most efficient and effective sub-options</w:t>
      </w:r>
      <w:r w:rsidR="00733EF3" w:rsidRPr="00881BC8">
        <w:rPr>
          <w:noProof/>
          <w:lang w:val="en-GB"/>
        </w:rPr>
        <w:t xml:space="preserve"> as analysed in section </w:t>
      </w:r>
      <w:r w:rsidR="005851F4">
        <w:rPr>
          <w:noProof/>
          <w:lang w:val="en-GB"/>
        </w:rPr>
        <w:t>7</w:t>
      </w:r>
      <w:r w:rsidRPr="00881BC8">
        <w:rPr>
          <w:noProof/>
          <w:lang w:val="en-GB"/>
        </w:rPr>
        <w:t>. While another combination of measures would theoretically be possible, any other possible combination would be built from less effective and efficient sub-options. This is therefore the only package presented as the preferred option and it is not further compared to other possible combinations.</w:t>
      </w:r>
    </w:p>
    <w:p w14:paraId="55B0C868" w14:textId="58CCE47F" w:rsidR="00F949A3" w:rsidRPr="00881BC8" w:rsidRDefault="00F949A3" w:rsidP="00F949A3">
      <w:pPr>
        <w:pStyle w:val="NormalPara"/>
        <w:rPr>
          <w:noProof/>
          <w:lang w:val="en-GB"/>
        </w:rPr>
      </w:pPr>
      <w:r w:rsidRPr="00881BC8">
        <w:rPr>
          <w:noProof/>
          <w:lang w:val="en-GB"/>
        </w:rPr>
        <w:t xml:space="preserve">As outlined in this report and for the sake of ensuring legal coherence, the specific relationship between the existing UTP and the revised legal text on late payments </w:t>
      </w:r>
      <w:r w:rsidR="0021689D">
        <w:rPr>
          <w:noProof/>
          <w:lang w:val="en-GB"/>
        </w:rPr>
        <w:t xml:space="preserve">might need </w:t>
      </w:r>
      <w:r w:rsidRPr="00881BC8">
        <w:rPr>
          <w:noProof/>
          <w:lang w:val="en-GB"/>
        </w:rPr>
        <w:t xml:space="preserve"> to be clearly presented in the recitals and articles of the new proposal</w:t>
      </w:r>
      <w:r w:rsidR="0021689D">
        <w:rPr>
          <w:noProof/>
          <w:lang w:val="en-GB"/>
        </w:rPr>
        <w:t>, provided that this option is legally feasible, with regards to all relevant legal considerations, such as the use of the legal instrument identified and the relevant legal basis</w:t>
      </w:r>
      <w:r w:rsidRPr="00881BC8">
        <w:rPr>
          <w:noProof/>
          <w:lang w:val="en-GB"/>
        </w:rPr>
        <w:t xml:space="preserve">. </w:t>
      </w:r>
      <w:r w:rsidR="0021689D">
        <w:rPr>
          <w:noProof/>
          <w:lang w:val="en-GB"/>
        </w:rPr>
        <w:t>This is without prejudice to the option of providing such clarification in the context of a revision of the UTP. In case this clarification and alignment is legally feasible</w:t>
      </w:r>
      <w:r w:rsidRPr="00881BC8">
        <w:rPr>
          <w:noProof/>
          <w:lang w:val="en-GB"/>
        </w:rPr>
        <w:t xml:space="preserve"> the new legal instrument </w:t>
      </w:r>
      <w:r w:rsidR="0021689D">
        <w:rPr>
          <w:noProof/>
          <w:lang w:val="en-GB"/>
        </w:rPr>
        <w:t xml:space="preserve">might </w:t>
      </w:r>
      <w:r w:rsidRPr="00881BC8">
        <w:rPr>
          <w:noProof/>
          <w:lang w:val="en-GB"/>
        </w:rPr>
        <w:t>clarify the following:</w:t>
      </w:r>
    </w:p>
    <w:p w14:paraId="7A052076" w14:textId="77777777" w:rsidR="00F949A3" w:rsidRPr="00881BC8" w:rsidRDefault="00F949A3" w:rsidP="000F7594">
      <w:pPr>
        <w:pStyle w:val="NormalPara"/>
        <w:numPr>
          <w:ilvl w:val="1"/>
          <w:numId w:val="61"/>
        </w:numPr>
        <w:ind w:left="357" w:hanging="357"/>
        <w:rPr>
          <w:noProof/>
          <w:lang w:val="en-GB"/>
        </w:rPr>
      </w:pPr>
      <w:r w:rsidRPr="00881BC8">
        <w:rPr>
          <w:noProof/>
          <w:lang w:val="en-GB"/>
        </w:rPr>
        <w:t>The overall relationship between the UTP directive and the late payment new instrument;</w:t>
      </w:r>
    </w:p>
    <w:p w14:paraId="31BB482D" w14:textId="77777777" w:rsidR="00F949A3" w:rsidRPr="00881BC8" w:rsidRDefault="00F949A3" w:rsidP="000F7594">
      <w:pPr>
        <w:pStyle w:val="NormalPara"/>
        <w:numPr>
          <w:ilvl w:val="1"/>
          <w:numId w:val="61"/>
        </w:numPr>
        <w:ind w:left="357" w:hanging="357"/>
        <w:rPr>
          <w:noProof/>
          <w:lang w:val="en-GB"/>
        </w:rPr>
      </w:pPr>
      <w:r w:rsidRPr="00881BC8">
        <w:rPr>
          <w:noProof/>
          <w:lang w:val="en-GB"/>
        </w:rPr>
        <w:t>the introduction of the legal instrument would be without prejudice to the rule in the UTP directive allowing Member States to introduce shorter payment periods when transposing the blacklist of prohibited practices of the UTP directive in their national legislation;</w:t>
      </w:r>
    </w:p>
    <w:p w14:paraId="78CCC32E" w14:textId="77777777" w:rsidR="00F949A3" w:rsidRPr="00881BC8" w:rsidRDefault="00F949A3" w:rsidP="000F7594">
      <w:pPr>
        <w:pStyle w:val="NormalPara"/>
        <w:numPr>
          <w:ilvl w:val="1"/>
          <w:numId w:val="61"/>
        </w:numPr>
        <w:ind w:left="357" w:hanging="357"/>
        <w:rPr>
          <w:noProof/>
          <w:lang w:val="en-GB"/>
        </w:rPr>
      </w:pPr>
      <w:r w:rsidRPr="00881BC8">
        <w:rPr>
          <w:noProof/>
          <w:lang w:val="en-GB"/>
        </w:rPr>
        <w:t>the maximum cap period of 30 days would also be applicable to non-perishable food products (these food products are currently subject to a 60-days cap under the UTP directive);</w:t>
      </w:r>
    </w:p>
    <w:p w14:paraId="6268BDEF" w14:textId="77777777" w:rsidR="00F949A3" w:rsidRPr="00881BC8" w:rsidRDefault="00F949A3" w:rsidP="000F7594">
      <w:pPr>
        <w:pStyle w:val="NormalPara"/>
        <w:numPr>
          <w:ilvl w:val="1"/>
          <w:numId w:val="61"/>
        </w:numPr>
        <w:ind w:left="357" w:hanging="357"/>
        <w:rPr>
          <w:noProof/>
          <w:lang w:val="en-GB"/>
        </w:rPr>
      </w:pPr>
      <w:r w:rsidRPr="00881BC8">
        <w:rPr>
          <w:noProof/>
          <w:lang w:val="en-GB"/>
        </w:rPr>
        <w:t>the 30 days cap in the new late payment legal instrument would be without prejudice to the specific rules applicable in the agri-food sector to value sharing agreements, payments in the context of the school scheme, and to certain payments in the must and wine sector;</w:t>
      </w:r>
    </w:p>
    <w:p w14:paraId="027821AE" w14:textId="00E6FC67" w:rsidR="00F949A3" w:rsidRPr="00881BC8" w:rsidRDefault="00F949A3" w:rsidP="000F7594">
      <w:pPr>
        <w:pStyle w:val="NormalPara"/>
        <w:numPr>
          <w:ilvl w:val="1"/>
          <w:numId w:val="61"/>
        </w:numPr>
        <w:ind w:left="357" w:hanging="357"/>
        <w:rPr>
          <w:noProof/>
          <w:lang w:val="en-GB"/>
        </w:rPr>
      </w:pPr>
      <w:r w:rsidRPr="00881BC8">
        <w:rPr>
          <w:noProof/>
          <w:lang w:val="en-GB"/>
        </w:rPr>
        <w:t>the relationship between the enforcement authorities that would be established in the late payment new legal instrument and in the UTP directive; in particular, the new legal proposal would need to require that these enforcement authorities coordinate amongst each other, including through exchange of information obligations.</w:t>
      </w:r>
    </w:p>
    <w:p w14:paraId="43FB5DC6" w14:textId="67096418" w:rsidR="00686BCB" w:rsidRPr="00881BC8" w:rsidRDefault="00686BCB" w:rsidP="004835F8">
      <w:pPr>
        <w:pStyle w:val="Heading2"/>
        <w:rPr>
          <w:noProof/>
        </w:rPr>
      </w:pPr>
      <w:bookmarkStart w:id="897" w:name="_Toc135237439"/>
      <w:r w:rsidRPr="00881BC8">
        <w:rPr>
          <w:noProof/>
        </w:rPr>
        <w:t>Impact on businesses</w:t>
      </w:r>
      <w:bookmarkEnd w:id="897"/>
    </w:p>
    <w:p w14:paraId="62585A31" w14:textId="3BBC1872" w:rsidR="009E7FDD" w:rsidRPr="00881BC8" w:rsidRDefault="009E7FDD" w:rsidP="004835F8">
      <w:pPr>
        <w:pStyle w:val="Heading3"/>
        <w:rPr>
          <w:noProof/>
        </w:rPr>
      </w:pPr>
      <w:bookmarkStart w:id="898" w:name="_Toc135237440"/>
      <w:r w:rsidRPr="00881BC8">
        <w:rPr>
          <w:noProof/>
        </w:rPr>
        <w:t>Benefits</w:t>
      </w:r>
      <w:bookmarkEnd w:id="898"/>
    </w:p>
    <w:p w14:paraId="3D0A8F14" w14:textId="6A1EF86A" w:rsidR="005B5364" w:rsidRPr="00881BC8" w:rsidRDefault="00686BCB" w:rsidP="004835F8">
      <w:pPr>
        <w:pStyle w:val="NormalPara"/>
        <w:rPr>
          <w:noProof/>
          <w:lang w:val="en-GB"/>
        </w:rPr>
      </w:pPr>
      <w:r w:rsidRPr="00881BC8">
        <w:rPr>
          <w:noProof/>
          <w:lang w:val="en-GB"/>
        </w:rPr>
        <w:t xml:space="preserve">The benefits </w:t>
      </w:r>
      <w:r w:rsidR="007A3936" w:rsidRPr="00881BC8">
        <w:rPr>
          <w:noProof/>
          <w:lang w:val="en-GB"/>
        </w:rPr>
        <w:t>for</w:t>
      </w:r>
      <w:r w:rsidRPr="00881BC8">
        <w:rPr>
          <w:noProof/>
          <w:lang w:val="en-GB"/>
        </w:rPr>
        <w:t xml:space="preserve"> businesses, particularly those paid late, will </w:t>
      </w:r>
      <w:r w:rsidR="00DD7DAA" w:rsidRPr="00881BC8">
        <w:rPr>
          <w:noProof/>
          <w:lang w:val="en-GB"/>
        </w:rPr>
        <w:t>go beyond</w:t>
      </w:r>
      <w:r w:rsidRPr="00881BC8">
        <w:rPr>
          <w:noProof/>
          <w:lang w:val="en-GB"/>
        </w:rPr>
        <w:t xml:space="preserve"> those outlined in Section </w:t>
      </w:r>
      <w:r w:rsidR="005851F4">
        <w:rPr>
          <w:noProof/>
          <w:lang w:val="en-GB"/>
        </w:rPr>
        <w:t>6</w:t>
      </w:r>
      <w:r w:rsidR="00CB4A8D" w:rsidRPr="00881BC8">
        <w:rPr>
          <w:noProof/>
          <w:lang w:val="en-GB"/>
        </w:rPr>
        <w:t xml:space="preserve"> for each individual PO</w:t>
      </w:r>
      <w:r w:rsidRPr="00881BC8">
        <w:rPr>
          <w:noProof/>
          <w:lang w:val="en-GB"/>
        </w:rPr>
        <w:t xml:space="preserve">. The reduction in payment terms is likely to lead to </w:t>
      </w:r>
      <w:r w:rsidR="00141DF0" w:rsidRPr="00881BC8">
        <w:rPr>
          <w:noProof/>
          <w:lang w:val="en-GB"/>
        </w:rPr>
        <w:t xml:space="preserve">a </w:t>
      </w:r>
      <w:r w:rsidRPr="00881BC8">
        <w:rPr>
          <w:noProof/>
          <w:lang w:val="en-GB"/>
        </w:rPr>
        <w:t xml:space="preserve">reduction of payment times, </w:t>
      </w:r>
      <w:r w:rsidR="00CB670B" w:rsidRPr="00881BC8">
        <w:rPr>
          <w:noProof/>
          <w:lang w:val="en-GB"/>
        </w:rPr>
        <w:t xml:space="preserve">thanks to the introduction of </w:t>
      </w:r>
      <w:r w:rsidRPr="00881BC8">
        <w:rPr>
          <w:noProof/>
          <w:lang w:val="en-GB"/>
        </w:rPr>
        <w:t xml:space="preserve">strong enforcement mechanisms. Similarly, creditors will </w:t>
      </w:r>
      <w:r w:rsidR="00791DE9" w:rsidRPr="00881BC8">
        <w:rPr>
          <w:noProof/>
          <w:lang w:val="en-GB"/>
        </w:rPr>
        <w:t xml:space="preserve">obtain </w:t>
      </w:r>
      <w:r w:rsidRPr="00881BC8">
        <w:rPr>
          <w:noProof/>
          <w:lang w:val="en-GB"/>
        </w:rPr>
        <w:t xml:space="preserve">the same benefits as presented in </w:t>
      </w:r>
      <w:r w:rsidR="00141DF0" w:rsidRPr="00881BC8">
        <w:rPr>
          <w:noProof/>
          <w:lang w:val="en-GB"/>
        </w:rPr>
        <w:t>PO2</w:t>
      </w:r>
      <w:r w:rsidRPr="00881BC8">
        <w:rPr>
          <w:noProof/>
          <w:lang w:val="en-GB"/>
        </w:rPr>
        <w:t xml:space="preserve">, but without the drawbacks of larger market players imposing unfairly long payment terms on them. Creditors who get paid on time will have significantly reduced </w:t>
      </w:r>
      <w:r w:rsidR="007C37BE" w:rsidRPr="00881BC8">
        <w:rPr>
          <w:noProof/>
          <w:lang w:val="en-GB"/>
        </w:rPr>
        <w:t xml:space="preserve">enforcement </w:t>
      </w:r>
      <w:r w:rsidRPr="00881BC8">
        <w:rPr>
          <w:noProof/>
          <w:lang w:val="en-GB"/>
        </w:rPr>
        <w:t>costs from chasing debtors</w:t>
      </w:r>
      <w:r w:rsidR="00152B5F" w:rsidRPr="00881BC8">
        <w:rPr>
          <w:noProof/>
          <w:lang w:val="en-GB"/>
        </w:rPr>
        <w:t xml:space="preserve">: </w:t>
      </w:r>
      <w:r w:rsidR="00441130" w:rsidRPr="00881BC8">
        <w:rPr>
          <w:noProof/>
          <w:lang w:val="en-GB"/>
        </w:rPr>
        <w:t>5</w:t>
      </w:r>
      <w:r w:rsidR="00FE1B76" w:rsidRPr="00881BC8">
        <w:rPr>
          <w:noProof/>
          <w:lang w:val="en-GB"/>
        </w:rPr>
        <w:t xml:space="preserve"> man-days per company</w:t>
      </w:r>
      <w:r w:rsidR="00341B5E" w:rsidRPr="00881BC8">
        <w:rPr>
          <w:noProof/>
          <w:lang w:val="en-GB"/>
        </w:rPr>
        <w:t>,</w:t>
      </w:r>
      <w:r w:rsidR="00C952DA" w:rsidRPr="00881BC8">
        <w:rPr>
          <w:noProof/>
          <w:lang w:val="en-GB"/>
        </w:rPr>
        <w:t xml:space="preserve"> </w:t>
      </w:r>
      <w:r w:rsidR="00341B5E" w:rsidRPr="00881BC8">
        <w:rPr>
          <w:noProof/>
          <w:lang w:val="en-GB"/>
        </w:rPr>
        <w:t xml:space="preserve">for a </w:t>
      </w:r>
      <w:r w:rsidR="00FB6DB0" w:rsidRPr="00881BC8">
        <w:rPr>
          <w:noProof/>
          <w:lang w:val="en-GB"/>
        </w:rPr>
        <w:t xml:space="preserve">consolidated </w:t>
      </w:r>
      <w:r w:rsidR="00341B5E" w:rsidRPr="00881BC8">
        <w:rPr>
          <w:noProof/>
          <w:lang w:val="en-GB"/>
        </w:rPr>
        <w:t xml:space="preserve">35% reduction, </w:t>
      </w:r>
      <w:r w:rsidR="00C952DA" w:rsidRPr="00881BC8">
        <w:rPr>
          <w:noProof/>
          <w:lang w:val="en-GB"/>
        </w:rPr>
        <w:t>equal to 340.2 million</w:t>
      </w:r>
      <w:r w:rsidR="00CE034B" w:rsidRPr="00881BC8">
        <w:rPr>
          <w:noProof/>
          <w:lang w:val="en-GB"/>
        </w:rPr>
        <w:t xml:space="preserve"> man-hours, equal to EUR </w:t>
      </w:r>
      <w:r w:rsidR="00AA18D8" w:rsidRPr="00881BC8">
        <w:rPr>
          <w:noProof/>
          <w:lang w:val="en-GB"/>
        </w:rPr>
        <w:t xml:space="preserve">8.74 billion (see </w:t>
      </w:r>
      <w:r w:rsidR="00AA18D8" w:rsidRPr="00881BC8">
        <w:rPr>
          <w:noProof/>
          <w:lang w:val="en-GB"/>
        </w:rPr>
        <w:fldChar w:fldCharType="begin"/>
      </w:r>
      <w:r w:rsidR="00AA18D8" w:rsidRPr="00881BC8">
        <w:rPr>
          <w:noProof/>
          <w:lang w:val="en-GB"/>
        </w:rPr>
        <w:instrText xml:space="preserve"> REF Annex04 \h </w:instrText>
      </w:r>
      <w:r w:rsidR="00AA18D8" w:rsidRPr="00881BC8">
        <w:rPr>
          <w:noProof/>
          <w:lang w:val="en-GB"/>
        </w:rPr>
      </w:r>
      <w:r w:rsidR="00AA18D8" w:rsidRPr="00881BC8">
        <w:rPr>
          <w:noProof/>
          <w:lang w:val="en-GB"/>
        </w:rPr>
        <w:fldChar w:fldCharType="separate"/>
      </w:r>
      <w:r w:rsidR="005851F4" w:rsidRPr="00881BC8">
        <w:rPr>
          <w:noProof/>
        </w:rPr>
        <w:t>Annex 4</w:t>
      </w:r>
      <w:r w:rsidR="00AA18D8" w:rsidRPr="00881BC8">
        <w:rPr>
          <w:noProof/>
          <w:lang w:val="en-GB"/>
        </w:rPr>
        <w:fldChar w:fldCharType="end"/>
      </w:r>
      <w:r w:rsidR="00FE1B76" w:rsidRPr="00881BC8">
        <w:rPr>
          <w:noProof/>
          <w:lang w:val="en-GB"/>
        </w:rPr>
        <w:t xml:space="preserve">) </w:t>
      </w:r>
      <w:r w:rsidRPr="00881BC8">
        <w:rPr>
          <w:noProof/>
          <w:lang w:val="en-GB"/>
        </w:rPr>
        <w:t>and trying to negotiate short payment terms</w:t>
      </w:r>
      <w:r w:rsidR="00FE1B76" w:rsidRPr="00881BC8">
        <w:rPr>
          <w:noProof/>
          <w:lang w:val="en-GB"/>
        </w:rPr>
        <w:t xml:space="preserve"> (33% of SMEs</w:t>
      </w:r>
      <w:r w:rsidR="00292C4B" w:rsidRPr="00881BC8">
        <w:rPr>
          <w:noProof/>
          <w:lang w:val="en-GB"/>
        </w:rPr>
        <w:t>, not quantifiable</w:t>
      </w:r>
      <w:r w:rsidR="00FE1B76" w:rsidRPr="00881BC8">
        <w:rPr>
          <w:noProof/>
          <w:lang w:val="en-GB"/>
        </w:rPr>
        <w:t>)</w:t>
      </w:r>
      <w:r w:rsidRPr="00881BC8">
        <w:rPr>
          <w:noProof/>
          <w:lang w:val="en-GB"/>
        </w:rPr>
        <w:t xml:space="preserve">. </w:t>
      </w:r>
      <w:r w:rsidR="0048326E" w:rsidRPr="00881BC8">
        <w:rPr>
          <w:noProof/>
          <w:lang w:val="en-GB"/>
        </w:rPr>
        <w:t>The net benefit on the entire economy will be significant</w:t>
      </w:r>
      <w:r w:rsidR="00513899" w:rsidRPr="00881BC8">
        <w:rPr>
          <w:noProof/>
          <w:lang w:val="en-GB"/>
        </w:rPr>
        <w:t>.</w:t>
      </w:r>
      <w:r w:rsidR="0048326E" w:rsidRPr="00881BC8">
        <w:rPr>
          <w:noProof/>
          <w:lang w:val="en-GB"/>
        </w:rPr>
        <w:t xml:space="preserve"> </w:t>
      </w:r>
      <w:r w:rsidR="00513899" w:rsidRPr="00881BC8">
        <w:rPr>
          <w:noProof/>
          <w:lang w:val="en-GB"/>
        </w:rPr>
        <w:t>D</w:t>
      </w:r>
      <w:r w:rsidR="0048326E" w:rsidRPr="00881BC8">
        <w:rPr>
          <w:noProof/>
          <w:lang w:val="en-GB"/>
        </w:rPr>
        <w:t>espite imposing a cost on debtors</w:t>
      </w:r>
      <w:r w:rsidRPr="00881BC8">
        <w:rPr>
          <w:noProof/>
          <w:lang w:val="en-GB"/>
        </w:rPr>
        <w:t xml:space="preserve">, </w:t>
      </w:r>
      <w:r w:rsidR="00513899" w:rsidRPr="00881BC8">
        <w:rPr>
          <w:noProof/>
          <w:lang w:val="en-GB"/>
        </w:rPr>
        <w:t xml:space="preserve">by making </w:t>
      </w:r>
      <w:r w:rsidRPr="00881BC8">
        <w:rPr>
          <w:noProof/>
          <w:lang w:val="en-GB"/>
        </w:rPr>
        <w:t>them pay on time</w:t>
      </w:r>
      <w:r w:rsidR="00513899" w:rsidRPr="00881BC8">
        <w:rPr>
          <w:noProof/>
          <w:lang w:val="en-GB"/>
        </w:rPr>
        <w:t>,</w:t>
      </w:r>
      <w:r w:rsidRPr="00881BC8">
        <w:rPr>
          <w:noProof/>
          <w:lang w:val="en-GB"/>
        </w:rPr>
        <w:t xml:space="preserve"> </w:t>
      </w:r>
      <w:r w:rsidR="00513899" w:rsidRPr="00881BC8">
        <w:rPr>
          <w:noProof/>
          <w:lang w:val="en-GB"/>
        </w:rPr>
        <w:t>t</w:t>
      </w:r>
      <w:r w:rsidRPr="00881BC8">
        <w:rPr>
          <w:noProof/>
          <w:lang w:val="en-GB"/>
        </w:rPr>
        <w:t xml:space="preserve">he economic evidence shows that this is not a zero-sum game. </w:t>
      </w:r>
      <w:r w:rsidR="0006460D" w:rsidRPr="00881BC8">
        <w:rPr>
          <w:noProof/>
          <w:lang w:val="en-GB"/>
        </w:rPr>
        <w:t>The proposal aim</w:t>
      </w:r>
      <w:r w:rsidR="00024898" w:rsidRPr="00881BC8">
        <w:rPr>
          <w:noProof/>
          <w:lang w:val="en-GB"/>
        </w:rPr>
        <w:t xml:space="preserve">s to make </w:t>
      </w:r>
      <w:r w:rsidR="0006460D" w:rsidRPr="00881BC8">
        <w:rPr>
          <w:noProof/>
          <w:lang w:val="en-GB"/>
        </w:rPr>
        <w:t xml:space="preserve">sure that each company pays itself for </w:t>
      </w:r>
      <w:r w:rsidR="008F54B6" w:rsidRPr="00881BC8">
        <w:rPr>
          <w:noProof/>
          <w:lang w:val="en-GB"/>
        </w:rPr>
        <w:t>the</w:t>
      </w:r>
      <w:r w:rsidR="0006460D" w:rsidRPr="00881BC8">
        <w:rPr>
          <w:noProof/>
          <w:lang w:val="en-GB"/>
        </w:rPr>
        <w:t xml:space="preserve"> liquidity </w:t>
      </w:r>
      <w:r w:rsidR="008F54B6" w:rsidRPr="00881BC8">
        <w:rPr>
          <w:noProof/>
          <w:lang w:val="en-GB"/>
        </w:rPr>
        <w:t xml:space="preserve">it </w:t>
      </w:r>
      <w:r w:rsidR="0006460D" w:rsidRPr="00881BC8">
        <w:rPr>
          <w:noProof/>
          <w:lang w:val="en-GB"/>
        </w:rPr>
        <w:t>needs. Currently, weaker, smaller and riskier</w:t>
      </w:r>
      <w:r w:rsidR="00AA1D5A" w:rsidRPr="00881BC8">
        <w:rPr>
          <w:noProof/>
          <w:lang w:val="en-GB"/>
        </w:rPr>
        <w:t xml:space="preserve"> companies, which obtain funding at a cost that is proportionate to their level</w:t>
      </w:r>
      <w:r w:rsidR="009307BD" w:rsidRPr="00881BC8">
        <w:rPr>
          <w:noProof/>
          <w:lang w:val="en-GB"/>
        </w:rPr>
        <w:t>s</w:t>
      </w:r>
      <w:r w:rsidR="00AA1D5A" w:rsidRPr="00881BC8">
        <w:rPr>
          <w:noProof/>
          <w:lang w:val="en-GB"/>
        </w:rPr>
        <w:t xml:space="preserve"> of risk, fund companies with lower level of risk, </w:t>
      </w:r>
      <w:r w:rsidR="002F132F" w:rsidRPr="00881BC8">
        <w:rPr>
          <w:noProof/>
          <w:lang w:val="en-GB"/>
        </w:rPr>
        <w:t>for whom it is possible</w:t>
      </w:r>
      <w:r w:rsidR="008E6925" w:rsidRPr="00881BC8">
        <w:rPr>
          <w:noProof/>
          <w:lang w:val="en-GB"/>
        </w:rPr>
        <w:t xml:space="preserve"> to </w:t>
      </w:r>
      <w:r w:rsidR="00DB6870" w:rsidRPr="00881BC8">
        <w:rPr>
          <w:noProof/>
          <w:lang w:val="en-GB"/>
        </w:rPr>
        <w:t xml:space="preserve">obtain </w:t>
      </w:r>
      <w:r w:rsidR="00AA1D5A" w:rsidRPr="00881BC8">
        <w:rPr>
          <w:noProof/>
          <w:lang w:val="en-GB"/>
        </w:rPr>
        <w:t>financing</w:t>
      </w:r>
      <w:r w:rsidR="00DB6870" w:rsidRPr="00881BC8">
        <w:rPr>
          <w:noProof/>
          <w:lang w:val="en-GB"/>
        </w:rPr>
        <w:t xml:space="preserve"> at a lower price</w:t>
      </w:r>
      <w:r w:rsidR="00AA1D5A" w:rsidRPr="00881BC8">
        <w:rPr>
          <w:noProof/>
          <w:lang w:val="en-GB"/>
        </w:rPr>
        <w:t>.</w:t>
      </w:r>
      <w:r w:rsidR="006F7459" w:rsidRPr="00881BC8">
        <w:rPr>
          <w:noProof/>
          <w:lang w:val="en-GB"/>
        </w:rPr>
        <w:t xml:space="preserve"> Redistributing </w:t>
      </w:r>
      <w:r w:rsidR="002F132F" w:rsidRPr="00881BC8">
        <w:rPr>
          <w:noProof/>
          <w:lang w:val="en-GB"/>
        </w:rPr>
        <w:t xml:space="preserve">financing cost </w:t>
      </w:r>
      <w:r w:rsidR="00DB6870" w:rsidRPr="00881BC8">
        <w:rPr>
          <w:noProof/>
          <w:lang w:val="en-GB"/>
        </w:rPr>
        <w:t>on fair terms</w:t>
      </w:r>
      <w:r w:rsidR="002F132F" w:rsidRPr="00881BC8">
        <w:rPr>
          <w:noProof/>
          <w:lang w:val="en-GB"/>
        </w:rPr>
        <w:t>,</w:t>
      </w:r>
      <w:r w:rsidR="00DB6870" w:rsidRPr="00881BC8">
        <w:rPr>
          <w:noProof/>
          <w:lang w:val="en-GB"/>
        </w:rPr>
        <w:t xml:space="preserve"> </w:t>
      </w:r>
      <w:r w:rsidR="006F7459" w:rsidRPr="00881BC8">
        <w:rPr>
          <w:noProof/>
          <w:lang w:val="en-GB"/>
        </w:rPr>
        <w:t>to include stronger market players</w:t>
      </w:r>
      <w:r w:rsidR="002F132F" w:rsidRPr="00881BC8">
        <w:rPr>
          <w:noProof/>
          <w:lang w:val="en-GB"/>
        </w:rPr>
        <w:t>,</w:t>
      </w:r>
      <w:r w:rsidR="00AA1D5A" w:rsidRPr="00881BC8">
        <w:rPr>
          <w:noProof/>
          <w:lang w:val="en-GB"/>
        </w:rPr>
        <w:t xml:space="preserve"> </w:t>
      </w:r>
      <w:r w:rsidR="00DB6870" w:rsidRPr="00881BC8">
        <w:rPr>
          <w:noProof/>
          <w:lang w:val="en-GB"/>
        </w:rPr>
        <w:t>would not only strengthen the message that each company is paying for themselves</w:t>
      </w:r>
      <w:r w:rsidR="002F132F" w:rsidRPr="00881BC8">
        <w:rPr>
          <w:noProof/>
          <w:lang w:val="en-GB"/>
        </w:rPr>
        <w:t xml:space="preserve"> but also</w:t>
      </w:r>
      <w:r w:rsidR="00DB6870" w:rsidRPr="00881BC8">
        <w:rPr>
          <w:noProof/>
          <w:lang w:val="en-GB"/>
        </w:rPr>
        <w:t xml:space="preserve"> </w:t>
      </w:r>
      <w:r w:rsidR="002F132F" w:rsidRPr="00881BC8">
        <w:rPr>
          <w:noProof/>
          <w:lang w:val="en-GB"/>
        </w:rPr>
        <w:t>i</w:t>
      </w:r>
      <w:r w:rsidR="00DB6870" w:rsidRPr="00881BC8">
        <w:rPr>
          <w:noProof/>
          <w:lang w:val="en-GB"/>
        </w:rPr>
        <w:t xml:space="preserve">t </w:t>
      </w:r>
      <w:r w:rsidR="006F7459" w:rsidRPr="00881BC8">
        <w:rPr>
          <w:noProof/>
          <w:lang w:val="en-GB"/>
        </w:rPr>
        <w:t>would bring the overall cost of financing down</w:t>
      </w:r>
      <w:r w:rsidR="002F132F" w:rsidRPr="00881BC8">
        <w:rPr>
          <w:noProof/>
          <w:lang w:val="en-GB"/>
        </w:rPr>
        <w:t xml:space="preserve">. </w:t>
      </w:r>
      <w:r w:rsidR="00154BA2" w:rsidRPr="00881BC8">
        <w:rPr>
          <w:noProof/>
          <w:lang w:val="en-GB"/>
        </w:rPr>
        <w:t>This follow</w:t>
      </w:r>
      <w:r w:rsidR="00FF15DB" w:rsidRPr="00881BC8">
        <w:rPr>
          <w:noProof/>
          <w:lang w:val="en-GB"/>
        </w:rPr>
        <w:t>s</w:t>
      </w:r>
      <w:r w:rsidR="00154BA2" w:rsidRPr="00881BC8">
        <w:rPr>
          <w:noProof/>
          <w:lang w:val="en-GB"/>
        </w:rPr>
        <w:t xml:space="preserve"> from the fact that</w:t>
      </w:r>
      <w:r w:rsidR="00DB6870" w:rsidRPr="00881BC8">
        <w:rPr>
          <w:noProof/>
          <w:lang w:val="en-GB"/>
        </w:rPr>
        <w:t xml:space="preserve"> the funding granted to debtors</w:t>
      </w:r>
      <w:r w:rsidR="00154BA2" w:rsidRPr="00881BC8">
        <w:rPr>
          <w:noProof/>
          <w:lang w:val="en-GB"/>
        </w:rPr>
        <w:t xml:space="preserve"> </w:t>
      </w:r>
      <w:r w:rsidR="00DB6870" w:rsidRPr="00881BC8">
        <w:rPr>
          <w:noProof/>
          <w:lang w:val="en-GB"/>
        </w:rPr>
        <w:t xml:space="preserve">would </w:t>
      </w:r>
      <w:r w:rsidR="00154BA2" w:rsidRPr="00881BC8">
        <w:rPr>
          <w:noProof/>
          <w:lang w:val="en-GB"/>
        </w:rPr>
        <w:t xml:space="preserve">likely </w:t>
      </w:r>
      <w:r w:rsidR="00DB6870" w:rsidRPr="00881BC8">
        <w:rPr>
          <w:noProof/>
          <w:lang w:val="en-GB"/>
        </w:rPr>
        <w:t>be at lower prices than the one granted today to creditors</w:t>
      </w:r>
      <w:r w:rsidR="006F7459" w:rsidRPr="00881BC8">
        <w:rPr>
          <w:noProof/>
          <w:lang w:val="en-GB"/>
        </w:rPr>
        <w:t xml:space="preserve">. </w:t>
      </w:r>
      <w:r w:rsidR="0008060A" w:rsidRPr="00881BC8">
        <w:rPr>
          <w:noProof/>
          <w:lang w:val="en-GB"/>
        </w:rPr>
        <w:t xml:space="preserve">Debtors would also benefit from increased certainty and predictability of cash flows from their own </w:t>
      </w:r>
      <w:r w:rsidR="002F3782" w:rsidRPr="00881BC8">
        <w:rPr>
          <w:noProof/>
          <w:lang w:val="en-GB"/>
        </w:rPr>
        <w:t>debtors</w:t>
      </w:r>
      <w:r w:rsidR="0008060A" w:rsidRPr="00881BC8">
        <w:rPr>
          <w:noProof/>
          <w:lang w:val="en-GB"/>
        </w:rPr>
        <w:t>, being able to better match in time cash inflows and outflows</w:t>
      </w:r>
      <w:r w:rsidR="00792E5A" w:rsidRPr="00881BC8">
        <w:rPr>
          <w:noProof/>
          <w:lang w:val="en-GB"/>
        </w:rPr>
        <w:t>, and</w:t>
      </w:r>
      <w:r w:rsidR="002571B4" w:rsidRPr="00881BC8">
        <w:rPr>
          <w:noProof/>
          <w:lang w:val="en-GB"/>
        </w:rPr>
        <w:t xml:space="preserve"> from reduced negotiation times. </w:t>
      </w:r>
      <w:r w:rsidR="008B1430" w:rsidRPr="00881BC8">
        <w:rPr>
          <w:noProof/>
          <w:lang w:val="en-GB"/>
        </w:rPr>
        <w:t>The value of a</w:t>
      </w:r>
      <w:r w:rsidR="00441130" w:rsidRPr="00881BC8">
        <w:rPr>
          <w:noProof/>
          <w:lang w:val="en-GB"/>
        </w:rPr>
        <w:t xml:space="preserve"> company’s participation in financial</w:t>
      </w:r>
      <w:r w:rsidR="000D5456" w:rsidRPr="00881BC8">
        <w:rPr>
          <w:noProof/>
          <w:lang w:val="en-GB"/>
        </w:rPr>
        <w:t xml:space="preserve"> / digital</w:t>
      </w:r>
      <w:r w:rsidR="00441130" w:rsidRPr="00881BC8">
        <w:rPr>
          <w:noProof/>
          <w:lang w:val="en-GB"/>
        </w:rPr>
        <w:t xml:space="preserve"> literacy training is estimated between EUR 200 and EUR 1 800, </w:t>
      </w:r>
      <w:r w:rsidR="00002218" w:rsidRPr="00881BC8">
        <w:rPr>
          <w:noProof/>
          <w:lang w:val="en-GB"/>
        </w:rPr>
        <w:t xml:space="preserve">but the aggregate </w:t>
      </w:r>
      <w:r w:rsidR="00B0665C" w:rsidRPr="00881BC8">
        <w:rPr>
          <w:noProof/>
          <w:lang w:val="en-GB"/>
        </w:rPr>
        <w:t xml:space="preserve">EU-27 </w:t>
      </w:r>
      <w:r w:rsidR="00002218" w:rsidRPr="00881BC8">
        <w:rPr>
          <w:noProof/>
          <w:lang w:val="en-GB"/>
        </w:rPr>
        <w:t xml:space="preserve">benefit will </w:t>
      </w:r>
      <w:r w:rsidR="00441130" w:rsidRPr="00881BC8">
        <w:rPr>
          <w:noProof/>
          <w:lang w:val="en-GB"/>
        </w:rPr>
        <w:t xml:space="preserve">depend on </w:t>
      </w:r>
      <w:r w:rsidR="00002218" w:rsidRPr="00881BC8">
        <w:rPr>
          <w:noProof/>
          <w:lang w:val="en-GB"/>
        </w:rPr>
        <w:t>the choices made by</w:t>
      </w:r>
      <w:r w:rsidR="00441130" w:rsidRPr="00881BC8">
        <w:rPr>
          <w:noProof/>
          <w:lang w:val="en-GB"/>
        </w:rPr>
        <w:t xml:space="preserve"> </w:t>
      </w:r>
      <w:r w:rsidR="00002218" w:rsidRPr="00881BC8">
        <w:rPr>
          <w:noProof/>
          <w:lang w:val="en-GB"/>
        </w:rPr>
        <w:t>Member States’ public authorities.</w:t>
      </w:r>
      <w:r w:rsidR="008B1430" w:rsidRPr="00881BC8">
        <w:rPr>
          <w:noProof/>
          <w:lang w:val="en-GB"/>
        </w:rPr>
        <w:t xml:space="preserve"> Autom</w:t>
      </w:r>
      <w:r w:rsidR="00B0665C" w:rsidRPr="00881BC8">
        <w:rPr>
          <w:noProof/>
          <w:lang w:val="en-GB"/>
        </w:rPr>
        <w:t xml:space="preserve">atic payment of </w:t>
      </w:r>
      <w:r w:rsidR="00B83686" w:rsidRPr="00881BC8">
        <w:rPr>
          <w:noProof/>
          <w:lang w:val="en-GB"/>
        </w:rPr>
        <w:t xml:space="preserve">compensation </w:t>
      </w:r>
      <w:r w:rsidR="0088027A" w:rsidRPr="00881BC8">
        <w:rPr>
          <w:noProof/>
          <w:lang w:val="en-GB"/>
        </w:rPr>
        <w:t xml:space="preserve">(PO2) </w:t>
      </w:r>
      <w:r w:rsidR="00B0665C" w:rsidRPr="00881BC8">
        <w:rPr>
          <w:noProof/>
          <w:lang w:val="en-GB"/>
        </w:rPr>
        <w:t xml:space="preserve">represents </w:t>
      </w:r>
      <w:r w:rsidR="00B83686" w:rsidRPr="00881BC8">
        <w:rPr>
          <w:noProof/>
          <w:lang w:val="en-GB"/>
        </w:rPr>
        <w:t xml:space="preserve">benefits to creditors and </w:t>
      </w:r>
      <w:r w:rsidR="00C100EA" w:rsidRPr="00881BC8">
        <w:rPr>
          <w:noProof/>
          <w:lang w:val="en-GB"/>
        </w:rPr>
        <w:t>a cost to debtors</w:t>
      </w:r>
      <w:r w:rsidR="0088027A" w:rsidRPr="00881BC8">
        <w:rPr>
          <w:noProof/>
          <w:lang w:val="en-GB"/>
        </w:rPr>
        <w:t xml:space="preserve"> and strong enforcement </w:t>
      </w:r>
      <w:r w:rsidR="00883E6F" w:rsidRPr="00881BC8">
        <w:rPr>
          <w:noProof/>
          <w:lang w:val="en-GB"/>
        </w:rPr>
        <w:t xml:space="preserve">is estimated to reduce late payment delays by 17.8%. </w:t>
      </w:r>
      <w:r w:rsidR="001B78C1" w:rsidRPr="00881BC8">
        <w:rPr>
          <w:noProof/>
          <w:lang w:val="en-GB"/>
        </w:rPr>
        <w:t xml:space="preserve">Direct monetary benefits to the creditor that receives interest payment are estimated at </w:t>
      </w:r>
      <w:r w:rsidR="005C0B55" w:rsidRPr="00881BC8">
        <w:rPr>
          <w:noProof/>
          <w:lang w:val="en-GB"/>
        </w:rPr>
        <w:t>EUR 265.5 million</w:t>
      </w:r>
      <w:r w:rsidR="001B78C1" w:rsidRPr="00881BC8">
        <w:rPr>
          <w:noProof/>
          <w:lang w:val="en-GB"/>
        </w:rPr>
        <w:t xml:space="preserve"> (see Annex 4). </w:t>
      </w:r>
      <w:r w:rsidR="00784F22" w:rsidRPr="00881BC8">
        <w:rPr>
          <w:noProof/>
          <w:lang w:val="en-GB"/>
        </w:rPr>
        <w:t xml:space="preserve">Benefits for creditors from the revised compensation fee (to EUR 50) amount to EUR 3.75 billion and are a direct cost to debtors, which can be avoided by paying on time. </w:t>
      </w:r>
      <w:r w:rsidR="00C100EA" w:rsidRPr="00881BC8">
        <w:rPr>
          <w:noProof/>
          <w:lang w:val="en-GB"/>
        </w:rPr>
        <w:t xml:space="preserve">Prompt payments to subcontractors in public works contracts could </w:t>
      </w:r>
      <w:r w:rsidR="0088027A" w:rsidRPr="00881BC8">
        <w:rPr>
          <w:noProof/>
          <w:lang w:val="en-GB"/>
        </w:rPr>
        <w:t>unblock up to EUR 31 million of payments a year.</w:t>
      </w:r>
      <w:r w:rsidR="00883E6F" w:rsidRPr="00881BC8">
        <w:rPr>
          <w:noProof/>
          <w:lang w:val="en-GB"/>
        </w:rPr>
        <w:t xml:space="preserve"> </w:t>
      </w:r>
      <w:r w:rsidR="00A82298" w:rsidRPr="00881BC8">
        <w:rPr>
          <w:noProof/>
          <w:lang w:val="en-GB"/>
        </w:rPr>
        <w:t xml:space="preserve">Companies </w:t>
      </w:r>
      <w:r w:rsidR="00792E5A" w:rsidRPr="00881BC8">
        <w:rPr>
          <w:noProof/>
          <w:lang w:val="en-GB"/>
        </w:rPr>
        <w:t>are also likely to benefit from some of the provisions under PO3b</w:t>
      </w:r>
      <w:r w:rsidR="00BC23FA" w:rsidRPr="00881BC8">
        <w:rPr>
          <w:noProof/>
          <w:lang w:val="en-GB"/>
        </w:rPr>
        <w:t xml:space="preserve">, particularly </w:t>
      </w:r>
      <w:r w:rsidR="00792E5A" w:rsidRPr="00881BC8">
        <w:rPr>
          <w:noProof/>
          <w:lang w:val="en-GB"/>
        </w:rPr>
        <w:t xml:space="preserve">from having disputes resolved through mediation systems at a much lower cost than court proceedings. </w:t>
      </w:r>
      <w:r w:rsidR="00883E6F" w:rsidRPr="00881BC8">
        <w:rPr>
          <w:noProof/>
          <w:lang w:val="en-GB"/>
        </w:rPr>
        <w:t xml:space="preserve">PO3b would allow companies to save </w:t>
      </w:r>
      <w:r w:rsidR="00133C76" w:rsidRPr="00881BC8">
        <w:rPr>
          <w:noProof/>
          <w:lang w:val="en-GB"/>
        </w:rPr>
        <w:t>EUR 27 million in avoided court cases per year and would bring about a further 5.5% reduction in payment delays.</w:t>
      </w:r>
    </w:p>
    <w:p w14:paraId="26A6855A" w14:textId="6D8137FE" w:rsidR="005B5364" w:rsidRPr="00881BC8" w:rsidRDefault="005B5364" w:rsidP="004835F8">
      <w:pPr>
        <w:pStyle w:val="NormalPara"/>
        <w:rPr>
          <w:noProof/>
          <w:lang w:val="en-GB"/>
        </w:rPr>
      </w:pPr>
      <w:r w:rsidRPr="00881BC8">
        <w:rPr>
          <w:noProof/>
          <w:lang w:val="en-GB"/>
        </w:rPr>
        <w:t xml:space="preserve">Besides the purely monetary net value of costs and benefits, this option will contribute to increasing fairness in business relations. It will also strengthen the degree of certainty and predictability in the internal market. The costs for debtors mostly directly benefit creditors and are closer aligned with the flow of goods and/or services in commercial transactions. They contribute to a fairer market distribution, where each market player pays for the liquidity they use. Moreover, several non-monetary benefits will accrue to businesses. A reduction in late payments will have a positive effect on the </w:t>
      </w:r>
      <w:r w:rsidR="005808EB" w:rsidRPr="00881BC8">
        <w:rPr>
          <w:noProof/>
          <w:lang w:val="en-GB"/>
        </w:rPr>
        <w:t xml:space="preserve">well-being </w:t>
      </w:r>
      <w:r w:rsidRPr="00881BC8">
        <w:rPr>
          <w:noProof/>
          <w:lang w:val="en-GB"/>
        </w:rPr>
        <w:t>of entrepreneurs.</w:t>
      </w:r>
    </w:p>
    <w:p w14:paraId="014010C4" w14:textId="7FDD56BD" w:rsidR="00D427D7" w:rsidRPr="00881BC8" w:rsidRDefault="00D427D7" w:rsidP="004835F8">
      <w:pPr>
        <w:pStyle w:val="Heading3"/>
        <w:rPr>
          <w:noProof/>
        </w:rPr>
      </w:pPr>
      <w:bookmarkStart w:id="899" w:name="_Ref132121023"/>
      <w:bookmarkStart w:id="900" w:name="_Toc135237441"/>
      <w:r w:rsidRPr="00881BC8">
        <w:rPr>
          <w:noProof/>
        </w:rPr>
        <w:t>Costs</w:t>
      </w:r>
      <w:bookmarkEnd w:id="899"/>
      <w:bookmarkEnd w:id="900"/>
    </w:p>
    <w:p w14:paraId="22709572" w14:textId="77A06A74" w:rsidR="00686BCB" w:rsidRPr="00881BC8" w:rsidRDefault="002876E2" w:rsidP="004835F8">
      <w:pPr>
        <w:pStyle w:val="NormalPara"/>
        <w:rPr>
          <w:noProof/>
          <w:lang w:val="en-GB"/>
        </w:rPr>
      </w:pPr>
      <w:r w:rsidRPr="00881BC8">
        <w:rPr>
          <w:noProof/>
          <w:lang w:val="en-GB"/>
        </w:rPr>
        <w:t>T</w:t>
      </w:r>
      <w:r w:rsidR="00686BCB" w:rsidRPr="00881BC8">
        <w:rPr>
          <w:noProof/>
          <w:lang w:val="en-GB"/>
        </w:rPr>
        <w:t>h</w:t>
      </w:r>
      <w:r w:rsidRPr="00881BC8">
        <w:rPr>
          <w:noProof/>
          <w:lang w:val="en-GB"/>
        </w:rPr>
        <w:t>e</w:t>
      </w:r>
      <w:r w:rsidR="00686BCB" w:rsidRPr="00881BC8">
        <w:rPr>
          <w:noProof/>
          <w:lang w:val="en-GB"/>
        </w:rPr>
        <w:t xml:space="preserve"> </w:t>
      </w:r>
      <w:r w:rsidRPr="00881BC8">
        <w:rPr>
          <w:noProof/>
          <w:lang w:val="en-GB"/>
        </w:rPr>
        <w:t xml:space="preserve">preferred package </w:t>
      </w:r>
      <w:r w:rsidR="00686BCB" w:rsidRPr="00881BC8">
        <w:rPr>
          <w:noProof/>
          <w:lang w:val="en-GB"/>
        </w:rPr>
        <w:t>impose</w:t>
      </w:r>
      <w:r w:rsidR="00386F66" w:rsidRPr="00881BC8">
        <w:rPr>
          <w:noProof/>
          <w:lang w:val="en-GB"/>
        </w:rPr>
        <w:t>s</w:t>
      </w:r>
      <w:r w:rsidR="00686BCB" w:rsidRPr="00881BC8">
        <w:rPr>
          <w:noProof/>
          <w:lang w:val="en-GB"/>
        </w:rPr>
        <w:t xml:space="preserve"> costs on businesses. </w:t>
      </w:r>
      <w:r w:rsidR="00EE595E" w:rsidRPr="00881BC8">
        <w:rPr>
          <w:noProof/>
          <w:lang w:val="en-GB"/>
        </w:rPr>
        <w:t>Businesses will need to bear t</w:t>
      </w:r>
      <w:r w:rsidR="00686BCB" w:rsidRPr="00881BC8">
        <w:rPr>
          <w:noProof/>
          <w:lang w:val="en-GB"/>
        </w:rPr>
        <w:t xml:space="preserve">he one-off costs presented in Section 6, although </w:t>
      </w:r>
      <w:r w:rsidR="00EE595E" w:rsidRPr="00881BC8">
        <w:rPr>
          <w:noProof/>
          <w:lang w:val="en-GB"/>
        </w:rPr>
        <w:t xml:space="preserve">with </w:t>
      </w:r>
      <w:r w:rsidR="00686BCB" w:rsidRPr="00881BC8">
        <w:rPr>
          <w:noProof/>
          <w:lang w:val="en-GB"/>
        </w:rPr>
        <w:t>some synerg</w:t>
      </w:r>
      <w:r w:rsidR="00386F66" w:rsidRPr="00881BC8">
        <w:rPr>
          <w:noProof/>
          <w:lang w:val="en-GB"/>
        </w:rPr>
        <w:t>ies</w:t>
      </w:r>
      <w:r w:rsidR="00686BCB" w:rsidRPr="00881BC8">
        <w:rPr>
          <w:noProof/>
          <w:lang w:val="en-GB"/>
        </w:rPr>
        <w:t xml:space="preserve">: both PO1a and PO2a showed the one-off </w:t>
      </w:r>
      <w:r w:rsidR="007C088A" w:rsidRPr="00881BC8">
        <w:rPr>
          <w:noProof/>
          <w:lang w:val="en-GB"/>
        </w:rPr>
        <w:t xml:space="preserve">adjustment </w:t>
      </w:r>
      <w:r w:rsidR="00686BCB" w:rsidRPr="00881BC8">
        <w:rPr>
          <w:noProof/>
          <w:lang w:val="en-GB"/>
        </w:rPr>
        <w:t xml:space="preserve">costs of updating standard terms to reflect maximum payment terms </w:t>
      </w:r>
      <w:r w:rsidR="000B0561" w:rsidRPr="00881BC8">
        <w:rPr>
          <w:noProof/>
          <w:lang w:val="en-GB"/>
        </w:rPr>
        <w:t xml:space="preserve">(EUR 56.1 million) </w:t>
      </w:r>
      <w:r w:rsidR="00686BCB" w:rsidRPr="00881BC8">
        <w:rPr>
          <w:noProof/>
          <w:lang w:val="en-GB"/>
        </w:rPr>
        <w:t>and adjusted compensation fees</w:t>
      </w:r>
      <w:r w:rsidR="000B0561" w:rsidRPr="00881BC8">
        <w:rPr>
          <w:noProof/>
          <w:lang w:val="en-GB"/>
        </w:rPr>
        <w:t xml:space="preserve"> (EUR 243 million)</w:t>
      </w:r>
      <w:r w:rsidR="00686BCB" w:rsidRPr="00881BC8">
        <w:rPr>
          <w:noProof/>
          <w:lang w:val="en-GB"/>
        </w:rPr>
        <w:t xml:space="preserve">, but if both policy options are adopted together, both changes </w:t>
      </w:r>
      <w:r w:rsidR="007B738B" w:rsidRPr="00881BC8">
        <w:rPr>
          <w:noProof/>
          <w:lang w:val="en-GB"/>
        </w:rPr>
        <w:t xml:space="preserve">can be made with </w:t>
      </w:r>
      <w:r w:rsidR="00686BCB" w:rsidRPr="00881BC8">
        <w:rPr>
          <w:noProof/>
          <w:lang w:val="en-GB"/>
        </w:rPr>
        <w:t>one adjustment</w:t>
      </w:r>
      <w:r w:rsidR="00063F3C" w:rsidRPr="00881BC8">
        <w:rPr>
          <w:noProof/>
          <w:lang w:val="en-GB"/>
        </w:rPr>
        <w:t xml:space="preserve"> (</w:t>
      </w:r>
      <w:r w:rsidR="00952E76" w:rsidRPr="00881BC8">
        <w:rPr>
          <w:noProof/>
          <w:lang w:val="en-GB"/>
        </w:rPr>
        <w:t>EUR 243 million)</w:t>
      </w:r>
      <w:r w:rsidR="00686BCB" w:rsidRPr="00881BC8">
        <w:rPr>
          <w:noProof/>
          <w:lang w:val="en-GB"/>
        </w:rPr>
        <w:t xml:space="preserve">. Beyond the one-off costs, </w:t>
      </w:r>
      <w:r w:rsidR="00382BAB" w:rsidRPr="00881BC8">
        <w:rPr>
          <w:noProof/>
          <w:lang w:val="en-GB"/>
        </w:rPr>
        <w:t xml:space="preserve">this preferred package imposes on debtors </w:t>
      </w:r>
      <w:r w:rsidR="00686BCB" w:rsidRPr="00881BC8">
        <w:rPr>
          <w:noProof/>
          <w:lang w:val="en-GB"/>
        </w:rPr>
        <w:t xml:space="preserve">recurring </w:t>
      </w:r>
      <w:r w:rsidR="00711EB3" w:rsidRPr="00881BC8">
        <w:rPr>
          <w:noProof/>
          <w:lang w:val="en-GB"/>
        </w:rPr>
        <w:t>enforcement</w:t>
      </w:r>
      <w:r w:rsidR="007C088A" w:rsidRPr="00881BC8">
        <w:rPr>
          <w:noProof/>
          <w:lang w:val="en-GB"/>
        </w:rPr>
        <w:t xml:space="preserve"> </w:t>
      </w:r>
      <w:r w:rsidR="00686BCB" w:rsidRPr="00881BC8">
        <w:rPr>
          <w:noProof/>
          <w:lang w:val="en-GB"/>
        </w:rPr>
        <w:t>cost</w:t>
      </w:r>
      <w:r w:rsidR="00382BAB" w:rsidRPr="00881BC8">
        <w:rPr>
          <w:noProof/>
          <w:lang w:val="en-GB"/>
        </w:rPr>
        <w:t xml:space="preserve"> </w:t>
      </w:r>
      <w:r w:rsidR="00686BCB" w:rsidRPr="00881BC8">
        <w:rPr>
          <w:noProof/>
          <w:lang w:val="en-GB"/>
        </w:rPr>
        <w:t xml:space="preserve">of </w:t>
      </w:r>
      <w:r w:rsidR="006D0988" w:rsidRPr="00881BC8">
        <w:rPr>
          <w:noProof/>
          <w:lang w:val="en-GB"/>
        </w:rPr>
        <w:t>automatic</w:t>
      </w:r>
      <w:r w:rsidR="00686BCB" w:rsidRPr="00881BC8">
        <w:rPr>
          <w:noProof/>
          <w:lang w:val="en-GB"/>
        </w:rPr>
        <w:t xml:space="preserve"> payment of compensation</w:t>
      </w:r>
      <w:r w:rsidR="002A215B" w:rsidRPr="00881BC8">
        <w:rPr>
          <w:noProof/>
          <w:lang w:val="en-GB"/>
        </w:rPr>
        <w:t xml:space="preserve"> </w:t>
      </w:r>
      <w:r w:rsidR="00EA1266" w:rsidRPr="00881BC8">
        <w:rPr>
          <w:noProof/>
          <w:lang w:val="en-GB"/>
        </w:rPr>
        <w:t>(</w:t>
      </w:r>
      <w:r w:rsidR="002A215B" w:rsidRPr="00881BC8">
        <w:rPr>
          <w:noProof/>
          <w:lang w:val="en-GB"/>
        </w:rPr>
        <w:t>EUR 2</w:t>
      </w:r>
      <w:r w:rsidR="009B0C8B" w:rsidRPr="00881BC8">
        <w:rPr>
          <w:noProof/>
          <w:lang w:val="en-GB"/>
        </w:rPr>
        <w:t>28</w:t>
      </w:r>
      <w:r w:rsidR="002A215B" w:rsidRPr="00881BC8">
        <w:rPr>
          <w:noProof/>
          <w:lang w:val="en-GB"/>
        </w:rPr>
        <w:t>.</w:t>
      </w:r>
      <w:r w:rsidR="009B0C8B" w:rsidRPr="00881BC8">
        <w:rPr>
          <w:noProof/>
          <w:lang w:val="en-GB"/>
        </w:rPr>
        <w:t>3</w:t>
      </w:r>
      <w:r w:rsidR="002A215B" w:rsidRPr="00881BC8">
        <w:rPr>
          <w:noProof/>
          <w:lang w:val="en-GB"/>
        </w:rPr>
        <w:t xml:space="preserve"> million</w:t>
      </w:r>
      <w:r w:rsidR="005920CB" w:rsidRPr="00881BC8">
        <w:rPr>
          <w:noProof/>
          <w:lang w:val="en-GB"/>
        </w:rPr>
        <w:t xml:space="preserve"> interest</w:t>
      </w:r>
      <w:r w:rsidR="002A215B" w:rsidRPr="00881BC8">
        <w:rPr>
          <w:noProof/>
          <w:lang w:val="en-GB"/>
        </w:rPr>
        <w:t>, EUR 3.</w:t>
      </w:r>
      <w:r w:rsidR="009A5E1F" w:rsidRPr="00881BC8">
        <w:rPr>
          <w:noProof/>
          <w:lang w:val="en-GB"/>
        </w:rPr>
        <w:t>23</w:t>
      </w:r>
      <w:r w:rsidR="002A215B" w:rsidRPr="00881BC8">
        <w:rPr>
          <w:noProof/>
          <w:lang w:val="en-GB"/>
        </w:rPr>
        <w:t xml:space="preserve"> billion fees</w:t>
      </w:r>
      <w:r w:rsidR="00EA1266" w:rsidRPr="00881BC8">
        <w:rPr>
          <w:noProof/>
          <w:lang w:val="en-GB"/>
        </w:rPr>
        <w:t>)</w:t>
      </w:r>
      <w:r w:rsidR="00633ED7" w:rsidRPr="00881BC8">
        <w:rPr>
          <w:noProof/>
          <w:lang w:val="en-GB"/>
        </w:rPr>
        <w:t xml:space="preserve"> – a direct benefit </w:t>
      </w:r>
      <w:r w:rsidR="006B3BAF" w:rsidRPr="00881BC8">
        <w:rPr>
          <w:noProof/>
          <w:lang w:val="en-GB"/>
        </w:rPr>
        <w:t xml:space="preserve">for </w:t>
      </w:r>
      <w:r w:rsidR="00633ED7" w:rsidRPr="00881BC8">
        <w:rPr>
          <w:noProof/>
          <w:lang w:val="en-GB"/>
        </w:rPr>
        <w:t xml:space="preserve">creditors </w:t>
      </w:r>
      <w:r w:rsidR="006B3BAF" w:rsidRPr="00881BC8">
        <w:rPr>
          <w:noProof/>
          <w:lang w:val="en-GB"/>
        </w:rPr>
        <w:t xml:space="preserve">– </w:t>
      </w:r>
      <w:r w:rsidR="006D0988" w:rsidRPr="00881BC8">
        <w:rPr>
          <w:noProof/>
          <w:lang w:val="en-GB"/>
        </w:rPr>
        <w:t xml:space="preserve">and </w:t>
      </w:r>
      <w:r w:rsidR="006B3BAF" w:rsidRPr="00881BC8">
        <w:rPr>
          <w:noProof/>
          <w:lang w:val="en-GB"/>
        </w:rPr>
        <w:t xml:space="preserve">a recurring enforcement cost of </w:t>
      </w:r>
      <w:r w:rsidR="006C6189" w:rsidRPr="00881BC8">
        <w:rPr>
          <w:noProof/>
          <w:lang w:val="en-GB"/>
        </w:rPr>
        <w:t xml:space="preserve">direct regulatory </w:t>
      </w:r>
      <w:r w:rsidR="00686BCB" w:rsidRPr="00881BC8">
        <w:rPr>
          <w:noProof/>
          <w:lang w:val="en-GB"/>
        </w:rPr>
        <w:t>fines</w:t>
      </w:r>
      <w:r w:rsidR="0046569B" w:rsidRPr="00881BC8">
        <w:rPr>
          <w:noProof/>
          <w:lang w:val="en-GB"/>
        </w:rPr>
        <w:t xml:space="preserve"> (EUR 1</w:t>
      </w:r>
      <w:r w:rsidR="00CC53AC" w:rsidRPr="00881BC8">
        <w:rPr>
          <w:noProof/>
          <w:lang w:val="en-GB"/>
        </w:rPr>
        <w:t>36</w:t>
      </w:r>
      <w:r w:rsidR="006C67FC" w:rsidRPr="00881BC8">
        <w:rPr>
          <w:noProof/>
          <w:lang w:val="en-GB"/>
        </w:rPr>
        <w:t>.</w:t>
      </w:r>
      <w:r w:rsidR="00CC53AC" w:rsidRPr="00881BC8">
        <w:rPr>
          <w:noProof/>
          <w:lang w:val="en-GB"/>
        </w:rPr>
        <w:t>8</w:t>
      </w:r>
      <w:r w:rsidR="006C67FC" w:rsidRPr="00881BC8">
        <w:rPr>
          <w:noProof/>
          <w:lang w:val="en-GB"/>
        </w:rPr>
        <w:t xml:space="preserve"> million)</w:t>
      </w:r>
      <w:r w:rsidR="005920CB" w:rsidRPr="00881BC8">
        <w:rPr>
          <w:noProof/>
          <w:lang w:val="en-GB"/>
        </w:rPr>
        <w:t xml:space="preserve"> (see </w:t>
      </w:r>
      <w:r w:rsidR="005920CB" w:rsidRPr="00881BC8">
        <w:rPr>
          <w:noProof/>
          <w:lang w:val="en-GB"/>
        </w:rPr>
        <w:fldChar w:fldCharType="begin"/>
      </w:r>
      <w:r w:rsidR="005920CB" w:rsidRPr="00881BC8">
        <w:rPr>
          <w:noProof/>
          <w:lang w:val="en-GB"/>
        </w:rPr>
        <w:instrText xml:space="preserve"> REF Annex04 \h </w:instrText>
      </w:r>
      <w:r w:rsidR="005920CB" w:rsidRPr="00881BC8">
        <w:rPr>
          <w:noProof/>
          <w:lang w:val="en-GB"/>
        </w:rPr>
      </w:r>
      <w:r w:rsidR="005920CB" w:rsidRPr="00881BC8">
        <w:rPr>
          <w:noProof/>
          <w:lang w:val="en-GB"/>
        </w:rPr>
        <w:fldChar w:fldCharType="separate"/>
      </w:r>
      <w:r w:rsidR="005851F4" w:rsidRPr="00881BC8">
        <w:rPr>
          <w:noProof/>
        </w:rPr>
        <w:t>Annex 4</w:t>
      </w:r>
      <w:r w:rsidR="005920CB" w:rsidRPr="00881BC8">
        <w:rPr>
          <w:noProof/>
          <w:lang w:val="en-GB"/>
        </w:rPr>
        <w:fldChar w:fldCharType="end"/>
      </w:r>
      <w:r w:rsidR="005920CB" w:rsidRPr="00881BC8">
        <w:rPr>
          <w:noProof/>
          <w:lang w:val="en-GB"/>
        </w:rPr>
        <w:t>)</w:t>
      </w:r>
      <w:r w:rsidR="00C00DF9" w:rsidRPr="00881BC8">
        <w:rPr>
          <w:noProof/>
          <w:lang w:val="en-GB"/>
        </w:rPr>
        <w:t>. Debtors can avoid these costs by paying on time</w:t>
      </w:r>
      <w:r w:rsidR="00336339" w:rsidRPr="00881BC8">
        <w:rPr>
          <w:noProof/>
          <w:lang w:val="en-GB"/>
        </w:rPr>
        <w:t>. T</w:t>
      </w:r>
      <w:r w:rsidR="002C5651" w:rsidRPr="00881BC8">
        <w:rPr>
          <w:noProof/>
          <w:lang w:val="en-GB"/>
        </w:rPr>
        <w:t xml:space="preserve">hey </w:t>
      </w:r>
      <w:r w:rsidR="00336339" w:rsidRPr="00881BC8">
        <w:rPr>
          <w:noProof/>
          <w:lang w:val="en-GB"/>
        </w:rPr>
        <w:t xml:space="preserve">will incur one-off adjustment cost of negotiating funding with their bank and </w:t>
      </w:r>
      <w:r w:rsidR="00686BCB" w:rsidRPr="00881BC8">
        <w:rPr>
          <w:noProof/>
          <w:lang w:val="en-GB"/>
        </w:rPr>
        <w:t>los</w:t>
      </w:r>
      <w:r w:rsidR="00C00DF9" w:rsidRPr="00881BC8">
        <w:rPr>
          <w:noProof/>
          <w:lang w:val="en-GB"/>
        </w:rPr>
        <w:t>e</w:t>
      </w:r>
      <w:r w:rsidR="00686BCB" w:rsidRPr="00881BC8">
        <w:rPr>
          <w:noProof/>
          <w:lang w:val="en-GB"/>
        </w:rPr>
        <w:t xml:space="preserve"> </w:t>
      </w:r>
      <w:r w:rsidR="00B720E3" w:rsidRPr="00881BC8">
        <w:rPr>
          <w:noProof/>
          <w:lang w:val="en-GB"/>
        </w:rPr>
        <w:t>hassle-</w:t>
      </w:r>
      <w:r w:rsidR="00686BCB" w:rsidRPr="00881BC8">
        <w:rPr>
          <w:noProof/>
          <w:lang w:val="en-GB"/>
        </w:rPr>
        <w:t xml:space="preserve">free </w:t>
      </w:r>
      <w:r w:rsidR="00336339" w:rsidRPr="00881BC8">
        <w:rPr>
          <w:noProof/>
          <w:lang w:val="en-GB"/>
        </w:rPr>
        <w:t xml:space="preserve">supplier </w:t>
      </w:r>
      <w:r w:rsidR="00686BCB" w:rsidRPr="00881BC8">
        <w:rPr>
          <w:noProof/>
          <w:lang w:val="en-GB"/>
        </w:rPr>
        <w:t xml:space="preserve">credit. </w:t>
      </w:r>
      <w:r w:rsidR="00336339" w:rsidRPr="00881BC8">
        <w:rPr>
          <w:noProof/>
          <w:lang w:val="en-GB"/>
        </w:rPr>
        <w:t xml:space="preserve">The </w:t>
      </w:r>
      <w:r w:rsidR="00BD0954" w:rsidRPr="00881BC8">
        <w:rPr>
          <w:noProof/>
          <w:lang w:val="en-GB"/>
        </w:rPr>
        <w:t xml:space="preserve">one-off adjustment </w:t>
      </w:r>
      <w:r w:rsidR="00336339" w:rsidRPr="00881BC8">
        <w:rPr>
          <w:noProof/>
          <w:lang w:val="en-GB"/>
        </w:rPr>
        <w:t xml:space="preserve">cost is considered as business-as-usual in the context of their banking relationship. </w:t>
      </w:r>
      <w:r w:rsidR="00BD0954" w:rsidRPr="00881BC8">
        <w:rPr>
          <w:noProof/>
          <w:lang w:val="en-GB"/>
        </w:rPr>
        <w:t xml:space="preserve">Debtors </w:t>
      </w:r>
      <w:r w:rsidR="00AD66F9" w:rsidRPr="00881BC8">
        <w:rPr>
          <w:noProof/>
          <w:lang w:val="en-GB"/>
        </w:rPr>
        <w:t>w</w:t>
      </w:r>
      <w:r w:rsidR="00567301" w:rsidRPr="00881BC8">
        <w:rPr>
          <w:noProof/>
          <w:lang w:val="en-GB"/>
        </w:rPr>
        <w:t>ill</w:t>
      </w:r>
      <w:r w:rsidR="00AD66F9" w:rsidRPr="00881BC8">
        <w:rPr>
          <w:noProof/>
          <w:lang w:val="en-GB"/>
        </w:rPr>
        <w:t xml:space="preserve"> likely save on recurring interest expenses </w:t>
      </w:r>
      <w:r w:rsidR="00BD0954" w:rsidRPr="00881BC8">
        <w:rPr>
          <w:noProof/>
          <w:lang w:val="en-GB"/>
        </w:rPr>
        <w:t xml:space="preserve">which </w:t>
      </w:r>
      <w:r w:rsidR="000D4924" w:rsidRPr="00881BC8">
        <w:rPr>
          <w:noProof/>
          <w:lang w:val="en-GB"/>
        </w:rPr>
        <w:t>would decrease</w:t>
      </w:r>
      <w:r w:rsidR="00BD0954" w:rsidRPr="00881BC8">
        <w:rPr>
          <w:noProof/>
          <w:lang w:val="en-GB"/>
        </w:rPr>
        <w:t xml:space="preserve"> to reflect their credit rating</w:t>
      </w:r>
      <w:r w:rsidR="000D4924" w:rsidRPr="00881BC8">
        <w:rPr>
          <w:noProof/>
          <w:lang w:val="en-GB"/>
        </w:rPr>
        <w:t xml:space="preserve">, compared to the implicit interest </w:t>
      </w:r>
      <w:r w:rsidR="007F14EE" w:rsidRPr="00881BC8">
        <w:rPr>
          <w:noProof/>
          <w:lang w:val="en-GB"/>
        </w:rPr>
        <w:t xml:space="preserve">cost </w:t>
      </w:r>
      <w:r w:rsidR="000D4924" w:rsidRPr="00881BC8">
        <w:rPr>
          <w:noProof/>
          <w:lang w:val="en-GB"/>
        </w:rPr>
        <w:t>they bear indirectly through creditors</w:t>
      </w:r>
      <w:r w:rsidR="004738E4" w:rsidRPr="00881BC8">
        <w:rPr>
          <w:noProof/>
          <w:lang w:val="en-GB"/>
        </w:rPr>
        <w:t>, reflecting creditors’ credit rating</w:t>
      </w:r>
      <w:r w:rsidR="00BD0954" w:rsidRPr="00881BC8">
        <w:rPr>
          <w:noProof/>
          <w:lang w:val="en-GB"/>
        </w:rPr>
        <w:t>.</w:t>
      </w:r>
      <w:r w:rsidR="00567301" w:rsidRPr="00881BC8">
        <w:rPr>
          <w:noProof/>
          <w:lang w:val="en-GB"/>
        </w:rPr>
        <w:t xml:space="preserve"> </w:t>
      </w:r>
      <w:r w:rsidR="00BD0954" w:rsidRPr="00881BC8">
        <w:rPr>
          <w:noProof/>
          <w:lang w:val="en-GB"/>
        </w:rPr>
        <w:t>I</w:t>
      </w:r>
      <w:r w:rsidR="003623F0" w:rsidRPr="00881BC8">
        <w:rPr>
          <w:noProof/>
          <w:lang w:val="en-GB"/>
        </w:rPr>
        <w:t>t is not possible to reasonably estimate this impact</w:t>
      </w:r>
      <w:r w:rsidR="000D4924" w:rsidRPr="00881BC8">
        <w:rPr>
          <w:noProof/>
          <w:lang w:val="en-GB"/>
        </w:rPr>
        <w:t>.</w:t>
      </w:r>
      <w:r w:rsidR="002923FF" w:rsidRPr="00881BC8">
        <w:rPr>
          <w:noProof/>
          <w:lang w:val="en-GB"/>
        </w:rPr>
        <w:t xml:space="preserve"> </w:t>
      </w:r>
      <w:r w:rsidR="008358C1" w:rsidRPr="00881BC8">
        <w:rPr>
          <w:noProof/>
          <w:lang w:val="en-GB"/>
        </w:rPr>
        <w:t xml:space="preserve">Despite these costs on debtors, the overall net economic benefit will be positive because cash flows will become more predictable and easier to manage for companies. </w:t>
      </w:r>
      <w:r w:rsidR="00856341" w:rsidRPr="00881BC8">
        <w:rPr>
          <w:noProof/>
          <w:lang w:val="en-GB"/>
        </w:rPr>
        <w:t>Administrative cost on main contractors in public works contracts for providing proof of payment to subcontractors</w:t>
      </w:r>
      <w:r w:rsidR="003A4C0F" w:rsidRPr="00881BC8">
        <w:rPr>
          <w:noProof/>
          <w:lang w:val="en-GB"/>
        </w:rPr>
        <w:t xml:space="preserve"> </w:t>
      </w:r>
      <w:r w:rsidR="005B63FA" w:rsidRPr="00881BC8">
        <w:rPr>
          <w:noProof/>
          <w:lang w:val="en-GB"/>
        </w:rPr>
        <w:t>amount to EUR 2.2 million for the whole EU.</w:t>
      </w:r>
      <w:r w:rsidR="004716F5" w:rsidRPr="00881BC8">
        <w:rPr>
          <w:noProof/>
          <w:lang w:val="en-GB"/>
        </w:rPr>
        <w:t xml:space="preserve"> Indirect costs could include </w:t>
      </w:r>
      <w:r w:rsidR="00B708A0" w:rsidRPr="00881BC8">
        <w:rPr>
          <w:noProof/>
          <w:lang w:val="en-GB"/>
        </w:rPr>
        <w:t xml:space="preserve">reductions of </w:t>
      </w:r>
      <w:r w:rsidR="004716F5" w:rsidRPr="00881BC8">
        <w:rPr>
          <w:noProof/>
          <w:lang w:val="en-GB"/>
        </w:rPr>
        <w:t xml:space="preserve">income for commercial providers of </w:t>
      </w:r>
      <w:r w:rsidR="001E4BC8" w:rsidRPr="00881BC8">
        <w:rPr>
          <w:noProof/>
          <w:lang w:val="en-GB"/>
        </w:rPr>
        <w:t xml:space="preserve">financial training or </w:t>
      </w:r>
      <w:r w:rsidR="004716F5" w:rsidRPr="00881BC8">
        <w:rPr>
          <w:noProof/>
          <w:lang w:val="en-GB"/>
        </w:rPr>
        <w:t>mediation</w:t>
      </w:r>
      <w:r w:rsidR="001E4BC8" w:rsidRPr="00881BC8">
        <w:rPr>
          <w:noProof/>
          <w:lang w:val="en-GB"/>
        </w:rPr>
        <w:t>.</w:t>
      </w:r>
    </w:p>
    <w:p w14:paraId="337BCF31" w14:textId="4CA76268" w:rsidR="00F12441" w:rsidRPr="00881BC8" w:rsidRDefault="006749EA" w:rsidP="004835F8">
      <w:pPr>
        <w:pStyle w:val="NormalPara"/>
        <w:rPr>
          <w:noProof/>
          <w:lang w:val="en-GB"/>
        </w:rPr>
      </w:pPr>
      <w:r w:rsidRPr="00881BC8">
        <w:rPr>
          <w:noProof/>
          <w:lang w:val="en-GB"/>
        </w:rPr>
        <w:t xml:space="preserve">The analysis of </w:t>
      </w:r>
      <w:r w:rsidR="00B35B3A" w:rsidRPr="00881BC8">
        <w:rPr>
          <w:noProof/>
          <w:lang w:val="en-GB"/>
        </w:rPr>
        <w:t xml:space="preserve">impact on SMEs </w:t>
      </w:r>
      <w:r w:rsidRPr="00881BC8">
        <w:rPr>
          <w:noProof/>
          <w:lang w:val="en-GB"/>
        </w:rPr>
        <w:t xml:space="preserve">is in </w:t>
      </w:r>
      <w:r w:rsidR="00EA485C" w:rsidRPr="00881BC8">
        <w:rPr>
          <w:noProof/>
          <w:lang w:val="en-GB"/>
        </w:rPr>
        <w:fldChar w:fldCharType="begin"/>
      </w:r>
      <w:r w:rsidR="00EA485C" w:rsidRPr="00881BC8">
        <w:rPr>
          <w:noProof/>
          <w:lang w:val="en-GB"/>
        </w:rPr>
        <w:instrText xml:space="preserve"> REF Annex15 \h </w:instrText>
      </w:r>
      <w:r w:rsidR="0081322D" w:rsidRPr="00881BC8">
        <w:rPr>
          <w:noProof/>
          <w:lang w:val="en-GB"/>
        </w:rPr>
        <w:instrText xml:space="preserve"> \* MERGEFORMAT </w:instrText>
      </w:r>
      <w:r w:rsidR="00EA485C" w:rsidRPr="00881BC8">
        <w:rPr>
          <w:noProof/>
          <w:lang w:val="en-GB"/>
        </w:rPr>
      </w:r>
      <w:r w:rsidR="00EA485C" w:rsidRPr="00881BC8">
        <w:rPr>
          <w:noProof/>
          <w:lang w:val="en-GB"/>
        </w:rPr>
        <w:fldChar w:fldCharType="separate"/>
      </w:r>
      <w:r w:rsidR="005851F4" w:rsidRPr="005851F4">
        <w:rPr>
          <w:noProof/>
          <w:lang w:val="en-GB"/>
        </w:rPr>
        <w:t>Annex 15</w:t>
      </w:r>
      <w:r w:rsidR="00EA485C" w:rsidRPr="00881BC8">
        <w:rPr>
          <w:noProof/>
          <w:lang w:val="en-GB"/>
        </w:rPr>
        <w:fldChar w:fldCharType="end"/>
      </w:r>
      <w:r w:rsidR="000D4924" w:rsidRPr="00881BC8">
        <w:rPr>
          <w:noProof/>
          <w:lang w:val="en-GB"/>
        </w:rPr>
        <w:t xml:space="preserve"> and </w:t>
      </w:r>
      <w:r w:rsidR="00F12441" w:rsidRPr="00881BC8">
        <w:rPr>
          <w:noProof/>
          <w:lang w:val="en-GB"/>
        </w:rPr>
        <w:t>on competitiveness in</w:t>
      </w:r>
      <w:r w:rsidR="008514DC" w:rsidRPr="00881BC8">
        <w:rPr>
          <w:noProof/>
          <w:lang w:val="en-GB"/>
        </w:rPr>
        <w:t xml:space="preserve"> </w:t>
      </w:r>
      <w:r w:rsidR="008514DC" w:rsidRPr="00881BC8">
        <w:rPr>
          <w:noProof/>
          <w:lang w:val="en-GB"/>
        </w:rPr>
        <w:fldChar w:fldCharType="begin"/>
      </w:r>
      <w:r w:rsidR="008514DC" w:rsidRPr="00881BC8">
        <w:rPr>
          <w:noProof/>
          <w:lang w:val="en-GB"/>
        </w:rPr>
        <w:instrText xml:space="preserve"> REF Annex05 \h </w:instrText>
      </w:r>
      <w:r w:rsidR="008514DC" w:rsidRPr="00881BC8">
        <w:rPr>
          <w:noProof/>
          <w:lang w:val="en-GB"/>
        </w:rPr>
      </w:r>
      <w:r w:rsidR="008514DC" w:rsidRPr="00881BC8">
        <w:rPr>
          <w:noProof/>
          <w:lang w:val="en-GB"/>
        </w:rPr>
        <w:fldChar w:fldCharType="separate"/>
      </w:r>
      <w:r w:rsidR="005851F4" w:rsidRPr="00881BC8">
        <w:rPr>
          <w:noProof/>
        </w:rPr>
        <w:t>Annex 5</w:t>
      </w:r>
      <w:r w:rsidR="008514DC" w:rsidRPr="00881BC8">
        <w:rPr>
          <w:noProof/>
          <w:lang w:val="en-GB"/>
        </w:rPr>
        <w:fldChar w:fldCharType="end"/>
      </w:r>
      <w:r w:rsidR="00F12441" w:rsidRPr="00881BC8">
        <w:rPr>
          <w:noProof/>
          <w:lang w:val="en-GB"/>
        </w:rPr>
        <w:t>.</w:t>
      </w:r>
    </w:p>
    <w:p w14:paraId="355E52C2" w14:textId="77777777" w:rsidR="00686BCB" w:rsidRPr="00881BC8" w:rsidRDefault="00686BCB" w:rsidP="004835F8">
      <w:pPr>
        <w:pStyle w:val="Heading2"/>
        <w:rPr>
          <w:noProof/>
        </w:rPr>
      </w:pPr>
      <w:bookmarkStart w:id="901" w:name="_Toc135237442"/>
      <w:r w:rsidRPr="00881BC8">
        <w:rPr>
          <w:noProof/>
        </w:rPr>
        <w:t>Impacts on public authorities</w:t>
      </w:r>
      <w:bookmarkEnd w:id="901"/>
    </w:p>
    <w:p w14:paraId="7E99AC6C" w14:textId="5CC58C77" w:rsidR="00686BCB" w:rsidRPr="00881BC8" w:rsidRDefault="00983108" w:rsidP="004835F8">
      <w:pPr>
        <w:pStyle w:val="NormalPara"/>
        <w:rPr>
          <w:noProof/>
          <w:lang w:val="en-GB"/>
        </w:rPr>
      </w:pPr>
      <w:r w:rsidRPr="00881BC8">
        <w:rPr>
          <w:noProof/>
          <w:lang w:val="en-GB"/>
        </w:rPr>
        <w:t xml:space="preserve">The preferred option </w:t>
      </w:r>
      <w:r w:rsidR="00686BCB" w:rsidRPr="00881BC8">
        <w:rPr>
          <w:noProof/>
          <w:lang w:val="en-GB"/>
        </w:rPr>
        <w:t xml:space="preserve">will confer several benefits to public authorities. The main benefit stems from the overall expected reduction in late payments, which means fewer bankruptcies and associated costs to the public purse. </w:t>
      </w:r>
      <w:r w:rsidR="00CC5711" w:rsidRPr="00881BC8">
        <w:rPr>
          <w:noProof/>
          <w:lang w:val="en-GB"/>
        </w:rPr>
        <w:t>T</w:t>
      </w:r>
      <w:r w:rsidR="00686BCB" w:rsidRPr="00881BC8">
        <w:rPr>
          <w:noProof/>
          <w:lang w:val="en-GB"/>
        </w:rPr>
        <w:t>he administrative fines that national enforcement bodies may collect from companies paying late</w:t>
      </w:r>
      <w:r w:rsidR="00CC5711" w:rsidRPr="00881BC8">
        <w:rPr>
          <w:noProof/>
          <w:lang w:val="en-GB"/>
        </w:rPr>
        <w:t xml:space="preserve"> are</w:t>
      </w:r>
      <w:r w:rsidR="00693915" w:rsidRPr="00881BC8">
        <w:rPr>
          <w:noProof/>
          <w:lang w:val="en-GB"/>
        </w:rPr>
        <w:t xml:space="preserve"> estimated at up to EUR 136.8 million</w:t>
      </w:r>
      <w:r w:rsidR="00AB6C3A" w:rsidRPr="00881BC8">
        <w:rPr>
          <w:noProof/>
          <w:lang w:val="en-GB"/>
        </w:rPr>
        <w:t>.</w:t>
      </w:r>
      <w:r w:rsidR="00686BCB" w:rsidRPr="00881BC8">
        <w:rPr>
          <w:noProof/>
          <w:lang w:val="en-GB"/>
        </w:rPr>
        <w:t xml:space="preserve"> Moreover, public authorities </w:t>
      </w:r>
      <w:r w:rsidR="00086E40" w:rsidRPr="00881BC8">
        <w:rPr>
          <w:noProof/>
          <w:lang w:val="en-GB"/>
        </w:rPr>
        <w:t xml:space="preserve">should </w:t>
      </w:r>
      <w:r w:rsidR="00686BCB" w:rsidRPr="00881BC8">
        <w:rPr>
          <w:noProof/>
          <w:lang w:val="en-GB"/>
        </w:rPr>
        <w:t xml:space="preserve">benefit from the mediation systems provided in PO3b, both directly (if the public authority wishes to settle a dispute with a supplier) and indirectly (through </w:t>
      </w:r>
      <w:r w:rsidR="00116294" w:rsidRPr="00881BC8">
        <w:rPr>
          <w:noProof/>
          <w:lang w:val="en-GB"/>
        </w:rPr>
        <w:t>relief</w:t>
      </w:r>
      <w:r w:rsidR="00686BCB" w:rsidRPr="00881BC8">
        <w:rPr>
          <w:noProof/>
          <w:lang w:val="en-GB"/>
        </w:rPr>
        <w:t xml:space="preserve"> on the judicial system).</w:t>
      </w:r>
    </w:p>
    <w:p w14:paraId="3F6361FD" w14:textId="0FFBF31D" w:rsidR="006B087E" w:rsidRPr="00881BC8" w:rsidRDefault="00086E40" w:rsidP="004835F8">
      <w:pPr>
        <w:pStyle w:val="NormalPara"/>
        <w:rPr>
          <w:noProof/>
          <w:lang w:val="en-GB"/>
        </w:rPr>
      </w:pPr>
      <w:r w:rsidRPr="00881BC8">
        <w:rPr>
          <w:noProof/>
          <w:lang w:val="en-GB"/>
        </w:rPr>
        <w:t>P</w:t>
      </w:r>
      <w:r w:rsidR="00686BCB" w:rsidRPr="00881BC8">
        <w:rPr>
          <w:noProof/>
          <w:lang w:val="en-GB"/>
        </w:rPr>
        <w:t>ublic authorities will face some cost</w:t>
      </w:r>
      <w:r w:rsidRPr="00881BC8">
        <w:rPr>
          <w:noProof/>
          <w:lang w:val="en-GB"/>
        </w:rPr>
        <w:t>s</w:t>
      </w:r>
      <w:r w:rsidR="00686BCB" w:rsidRPr="00881BC8">
        <w:rPr>
          <w:noProof/>
          <w:lang w:val="en-GB"/>
        </w:rPr>
        <w:t xml:space="preserve">. </w:t>
      </w:r>
      <w:bookmarkStart w:id="902" w:name="_Hlk131269231"/>
      <w:r w:rsidR="00314F20" w:rsidRPr="00881BC8">
        <w:rPr>
          <w:noProof/>
          <w:lang w:val="en-GB"/>
        </w:rPr>
        <w:t xml:space="preserve">We consider that </w:t>
      </w:r>
      <w:r w:rsidR="00396D75" w:rsidRPr="00881BC8">
        <w:rPr>
          <w:noProof/>
          <w:lang w:val="en-GB"/>
        </w:rPr>
        <w:t xml:space="preserve">recurring enforcement </w:t>
      </w:r>
      <w:r w:rsidR="00A92415" w:rsidRPr="00881BC8">
        <w:rPr>
          <w:noProof/>
          <w:lang w:val="en-GB"/>
        </w:rPr>
        <w:t>costs of verifying all purchases within 30 days</w:t>
      </w:r>
      <w:r w:rsidR="009F15D4" w:rsidRPr="00881BC8">
        <w:rPr>
          <w:noProof/>
          <w:lang w:val="en-GB"/>
        </w:rPr>
        <w:t xml:space="preserve"> </w:t>
      </w:r>
      <w:r w:rsidR="00314F20" w:rsidRPr="00881BC8">
        <w:rPr>
          <w:noProof/>
          <w:lang w:val="en-GB"/>
        </w:rPr>
        <w:t xml:space="preserve">can be covered with existing resources </w:t>
      </w:r>
      <w:r w:rsidR="00396D75" w:rsidRPr="00881BC8">
        <w:rPr>
          <w:noProof/>
          <w:lang w:val="en-GB"/>
        </w:rPr>
        <w:t>(</w:t>
      </w:r>
      <w:r w:rsidR="009F15D4" w:rsidRPr="00881BC8">
        <w:rPr>
          <w:noProof/>
          <w:lang w:val="en-GB"/>
        </w:rPr>
        <w:t>business-as-usual</w:t>
      </w:r>
      <w:r w:rsidR="00396D75" w:rsidRPr="00881BC8">
        <w:rPr>
          <w:noProof/>
          <w:lang w:val="en-GB"/>
        </w:rPr>
        <w:t>)</w:t>
      </w:r>
      <w:r w:rsidR="00A92415" w:rsidRPr="00881BC8">
        <w:rPr>
          <w:noProof/>
          <w:lang w:val="en-GB"/>
        </w:rPr>
        <w:t>.</w:t>
      </w:r>
      <w:r w:rsidR="00763B67" w:rsidRPr="00881BC8">
        <w:rPr>
          <w:noProof/>
          <w:lang w:val="en-GB"/>
        </w:rPr>
        <w:t xml:space="preserve"> </w:t>
      </w:r>
      <w:r w:rsidR="0046460B" w:rsidRPr="00881BC8">
        <w:rPr>
          <w:noProof/>
          <w:lang w:val="en-GB"/>
        </w:rPr>
        <w:t>E</w:t>
      </w:r>
      <w:r w:rsidR="0086150F" w:rsidRPr="00881BC8">
        <w:rPr>
          <w:noProof/>
          <w:lang w:val="en-GB"/>
        </w:rPr>
        <w:t xml:space="preserve">nforcement costs for public authorities are </w:t>
      </w:r>
      <w:r w:rsidR="0046460B" w:rsidRPr="00881BC8">
        <w:rPr>
          <w:noProof/>
          <w:lang w:val="en-GB"/>
        </w:rPr>
        <w:t xml:space="preserve">mostly one-off and </w:t>
      </w:r>
      <w:r w:rsidR="0086150F" w:rsidRPr="00881BC8">
        <w:rPr>
          <w:noProof/>
          <w:lang w:val="en-GB"/>
        </w:rPr>
        <w:t xml:space="preserve">negligible (Ex post evaluation 2015). </w:t>
      </w:r>
      <w:r w:rsidR="00F723B0" w:rsidRPr="00881BC8">
        <w:rPr>
          <w:noProof/>
          <w:lang w:val="en-GB"/>
        </w:rPr>
        <w:t xml:space="preserve">Providing access to credit management and financial </w:t>
      </w:r>
      <w:r w:rsidR="009D11D4" w:rsidRPr="00881BC8">
        <w:rPr>
          <w:noProof/>
          <w:lang w:val="en-GB"/>
        </w:rPr>
        <w:t xml:space="preserve">/ digital </w:t>
      </w:r>
      <w:r w:rsidR="00F723B0" w:rsidRPr="00881BC8">
        <w:rPr>
          <w:noProof/>
          <w:lang w:val="en-GB"/>
        </w:rPr>
        <w:t xml:space="preserve">literacy training involves some adjustment cost which will depend on how Member States structure their support, which is why </w:t>
      </w:r>
      <w:r w:rsidR="00EB53A9" w:rsidRPr="00881BC8">
        <w:rPr>
          <w:noProof/>
          <w:lang w:val="en-GB"/>
        </w:rPr>
        <w:t>no</w:t>
      </w:r>
      <w:r w:rsidR="00F723B0" w:rsidRPr="00881BC8">
        <w:rPr>
          <w:noProof/>
          <w:lang w:val="en-GB"/>
        </w:rPr>
        <w:t xml:space="preserve"> reasonable estimate can be given.</w:t>
      </w:r>
      <w:r w:rsidR="00EB53A9" w:rsidRPr="00881BC8">
        <w:rPr>
          <w:noProof/>
          <w:lang w:val="en-GB"/>
        </w:rPr>
        <w:t xml:space="preserve"> </w:t>
      </w:r>
      <w:r w:rsidR="008B10F2" w:rsidRPr="00881BC8">
        <w:rPr>
          <w:noProof/>
          <w:lang w:val="en-GB"/>
        </w:rPr>
        <w:t>Recurring e</w:t>
      </w:r>
      <w:r w:rsidR="00313ECD" w:rsidRPr="00881BC8">
        <w:rPr>
          <w:noProof/>
          <w:lang w:val="en-GB"/>
        </w:rPr>
        <w:t xml:space="preserve">nforcement cost estimates for </w:t>
      </w:r>
      <w:r w:rsidR="00942FA0" w:rsidRPr="00881BC8">
        <w:rPr>
          <w:noProof/>
          <w:lang w:val="en-GB"/>
        </w:rPr>
        <w:t xml:space="preserve">automatic payment </w:t>
      </w:r>
      <w:r w:rsidR="0005633F" w:rsidRPr="00881BC8">
        <w:rPr>
          <w:noProof/>
          <w:lang w:val="en-GB"/>
        </w:rPr>
        <w:t xml:space="preserve">of </w:t>
      </w:r>
      <w:r w:rsidR="00313ECD" w:rsidRPr="00881BC8">
        <w:rPr>
          <w:noProof/>
          <w:lang w:val="en-GB"/>
        </w:rPr>
        <w:t xml:space="preserve">compensation interest and fees </w:t>
      </w:r>
      <w:r w:rsidR="000F73BB" w:rsidRPr="00881BC8">
        <w:rPr>
          <w:noProof/>
          <w:lang w:val="en-GB"/>
        </w:rPr>
        <w:t xml:space="preserve">in G2B transactions </w:t>
      </w:r>
      <w:r w:rsidR="00313ECD" w:rsidRPr="00881BC8">
        <w:rPr>
          <w:noProof/>
          <w:lang w:val="en-GB"/>
        </w:rPr>
        <w:t xml:space="preserve">equal respectively </w:t>
      </w:r>
      <w:r w:rsidR="00942FA0" w:rsidRPr="00881BC8">
        <w:rPr>
          <w:noProof/>
          <w:lang w:val="en-GB"/>
        </w:rPr>
        <w:t xml:space="preserve">EUR 37.2 million and EUR 0.53 billion </w:t>
      </w:r>
      <w:r w:rsidR="008B10F2" w:rsidRPr="00881BC8">
        <w:rPr>
          <w:noProof/>
          <w:lang w:val="en-GB"/>
        </w:rPr>
        <w:t xml:space="preserve">p.a. </w:t>
      </w:r>
      <w:r w:rsidR="006A4E8F" w:rsidRPr="00881BC8">
        <w:rPr>
          <w:noProof/>
          <w:lang w:val="en-GB"/>
        </w:rPr>
        <w:t xml:space="preserve">These costs can be avoided by paying on time. </w:t>
      </w:r>
      <w:r w:rsidR="000122B7" w:rsidRPr="00881BC8">
        <w:rPr>
          <w:noProof/>
          <w:lang w:val="en-GB"/>
        </w:rPr>
        <w:t xml:space="preserve">The revision of standard terms to include new compensation fees assumed EUR 10 per entity, as in PO2. </w:t>
      </w:r>
      <w:r w:rsidR="00686BCB" w:rsidRPr="00881BC8">
        <w:rPr>
          <w:noProof/>
          <w:lang w:val="en-GB"/>
        </w:rPr>
        <w:t xml:space="preserve">Those Member States that do not have enforcement bodies or mediation systems in place will have to designate and run them, </w:t>
      </w:r>
      <w:r w:rsidR="000F73BB" w:rsidRPr="00881BC8">
        <w:rPr>
          <w:noProof/>
          <w:lang w:val="en-GB"/>
        </w:rPr>
        <w:t>incurring</w:t>
      </w:r>
      <w:r w:rsidR="00686BCB" w:rsidRPr="00881BC8">
        <w:rPr>
          <w:noProof/>
          <w:lang w:val="en-GB"/>
        </w:rPr>
        <w:t xml:space="preserve"> one-off </w:t>
      </w:r>
      <w:r w:rsidR="006A4E8F" w:rsidRPr="00881BC8">
        <w:rPr>
          <w:noProof/>
          <w:lang w:val="en-GB"/>
        </w:rPr>
        <w:t xml:space="preserve">adjustment </w:t>
      </w:r>
      <w:r w:rsidR="00686BCB" w:rsidRPr="00881BC8">
        <w:rPr>
          <w:noProof/>
          <w:lang w:val="en-GB"/>
        </w:rPr>
        <w:t xml:space="preserve">and recurring </w:t>
      </w:r>
      <w:r w:rsidR="006A4E8F" w:rsidRPr="00881BC8">
        <w:rPr>
          <w:noProof/>
          <w:lang w:val="en-GB"/>
        </w:rPr>
        <w:t xml:space="preserve">enforcement </w:t>
      </w:r>
      <w:r w:rsidR="00686BCB" w:rsidRPr="00881BC8">
        <w:rPr>
          <w:noProof/>
          <w:lang w:val="en-GB"/>
        </w:rPr>
        <w:t xml:space="preserve">costs estimated </w:t>
      </w:r>
      <w:r w:rsidR="006A4E8F" w:rsidRPr="00881BC8">
        <w:rPr>
          <w:noProof/>
          <w:lang w:val="en-GB"/>
        </w:rPr>
        <w:t xml:space="preserve">at </w:t>
      </w:r>
      <w:r w:rsidR="00686BCB" w:rsidRPr="00881BC8">
        <w:rPr>
          <w:noProof/>
          <w:lang w:val="en-GB"/>
        </w:rPr>
        <w:t>EUR</w:t>
      </w:r>
      <w:r w:rsidR="008F0B7C" w:rsidRPr="00881BC8">
        <w:rPr>
          <w:noProof/>
          <w:lang w:val="en-GB"/>
        </w:rPr>
        <w:t> </w:t>
      </w:r>
      <w:r w:rsidR="006A4E8F" w:rsidRPr="00881BC8">
        <w:rPr>
          <w:noProof/>
          <w:lang w:val="en-GB"/>
        </w:rPr>
        <w:t>6</w:t>
      </w:r>
      <w:r w:rsidR="00686BCB" w:rsidRPr="00881BC8">
        <w:rPr>
          <w:noProof/>
          <w:lang w:val="en-GB"/>
        </w:rPr>
        <w:t>0-</w:t>
      </w:r>
      <w:r w:rsidR="006A4E8F" w:rsidRPr="00881BC8">
        <w:rPr>
          <w:noProof/>
          <w:lang w:val="en-GB"/>
        </w:rPr>
        <w:t>6</w:t>
      </w:r>
      <w:r w:rsidR="00686BCB" w:rsidRPr="00881BC8">
        <w:rPr>
          <w:noProof/>
          <w:lang w:val="en-GB"/>
        </w:rPr>
        <w:t xml:space="preserve">5 million </w:t>
      </w:r>
      <w:r w:rsidR="006A4E8F" w:rsidRPr="00881BC8">
        <w:rPr>
          <w:noProof/>
          <w:lang w:val="en-GB"/>
        </w:rPr>
        <w:t xml:space="preserve">p.a. </w:t>
      </w:r>
      <w:r w:rsidR="00AC682B" w:rsidRPr="00881BC8">
        <w:rPr>
          <w:noProof/>
          <w:lang w:val="en-GB"/>
        </w:rPr>
        <w:t>(enforcement bodies</w:t>
      </w:r>
      <w:r w:rsidR="006A4E8F" w:rsidRPr="00881BC8">
        <w:rPr>
          <w:noProof/>
          <w:lang w:val="en-GB"/>
        </w:rPr>
        <w:t>)</w:t>
      </w:r>
      <w:r w:rsidR="00AC682B" w:rsidRPr="00881BC8">
        <w:rPr>
          <w:noProof/>
          <w:lang w:val="en-GB"/>
        </w:rPr>
        <w:t xml:space="preserve"> and </w:t>
      </w:r>
      <w:r w:rsidR="006A4E8F" w:rsidRPr="00881BC8">
        <w:rPr>
          <w:noProof/>
          <w:lang w:val="en-GB"/>
        </w:rPr>
        <w:t>at EUR 10-40 million p.a. (</w:t>
      </w:r>
      <w:r w:rsidR="00AC682B" w:rsidRPr="00881BC8">
        <w:rPr>
          <w:noProof/>
          <w:lang w:val="en-GB"/>
        </w:rPr>
        <w:t>mediation services)</w:t>
      </w:r>
      <w:r w:rsidR="00686BCB" w:rsidRPr="00881BC8">
        <w:rPr>
          <w:noProof/>
          <w:lang w:val="en-GB"/>
        </w:rPr>
        <w:t>.</w:t>
      </w:r>
      <w:bookmarkEnd w:id="902"/>
      <w:r w:rsidR="00686BCB" w:rsidRPr="00881BC8">
        <w:rPr>
          <w:noProof/>
          <w:lang w:val="en-GB"/>
        </w:rPr>
        <w:t xml:space="preserve"> </w:t>
      </w:r>
      <w:r w:rsidR="00FA5E77" w:rsidRPr="00881BC8">
        <w:rPr>
          <w:noProof/>
          <w:lang w:val="en-GB"/>
        </w:rPr>
        <w:t>V</w:t>
      </w:r>
      <w:r w:rsidR="00686BCB" w:rsidRPr="00881BC8">
        <w:rPr>
          <w:noProof/>
          <w:lang w:val="en-GB"/>
        </w:rPr>
        <w:t>erify</w:t>
      </w:r>
      <w:r w:rsidR="00317BB8" w:rsidRPr="00881BC8">
        <w:rPr>
          <w:noProof/>
          <w:lang w:val="en-GB"/>
        </w:rPr>
        <w:t>ing</w:t>
      </w:r>
      <w:r w:rsidR="005F269B" w:rsidRPr="00881BC8">
        <w:rPr>
          <w:noProof/>
          <w:lang w:val="en-GB"/>
        </w:rPr>
        <w:t xml:space="preserve"> that</w:t>
      </w:r>
      <w:r w:rsidR="00686BCB" w:rsidRPr="00881BC8">
        <w:rPr>
          <w:noProof/>
          <w:lang w:val="en-GB"/>
        </w:rPr>
        <w:t xml:space="preserve"> subcontractors are paid on time in public works contracts under </w:t>
      </w:r>
      <w:r w:rsidR="0002614D" w:rsidRPr="00881BC8">
        <w:rPr>
          <w:noProof/>
          <w:lang w:val="en-GB"/>
        </w:rPr>
        <w:t xml:space="preserve">PP </w:t>
      </w:r>
      <w:r w:rsidR="00686BCB" w:rsidRPr="00881BC8">
        <w:rPr>
          <w:noProof/>
          <w:lang w:val="en-GB"/>
        </w:rPr>
        <w:t>directives</w:t>
      </w:r>
      <w:r w:rsidR="006733D2" w:rsidRPr="00881BC8">
        <w:rPr>
          <w:noProof/>
          <w:lang w:val="en-GB"/>
        </w:rPr>
        <w:t xml:space="preserve"> </w:t>
      </w:r>
      <w:r w:rsidR="00FA5E77" w:rsidRPr="00881BC8">
        <w:rPr>
          <w:noProof/>
          <w:lang w:val="en-GB"/>
        </w:rPr>
        <w:t xml:space="preserve">is left to Member States’ discretion, a possible recurring enforcement cost </w:t>
      </w:r>
      <w:r w:rsidR="006F4702" w:rsidRPr="00881BC8">
        <w:rPr>
          <w:noProof/>
          <w:lang w:val="en-GB"/>
        </w:rPr>
        <w:t>would not require additional resources</w:t>
      </w:r>
      <w:r w:rsidR="00686BCB" w:rsidRPr="00881BC8">
        <w:rPr>
          <w:noProof/>
          <w:lang w:val="en-GB"/>
        </w:rPr>
        <w:t>.</w:t>
      </w:r>
      <w:bookmarkEnd w:id="894"/>
      <w:bookmarkEnd w:id="895"/>
      <w:bookmarkEnd w:id="896"/>
      <w:r w:rsidR="00457190" w:rsidRPr="00881BC8">
        <w:rPr>
          <w:noProof/>
          <w:lang w:val="en-GB"/>
        </w:rPr>
        <w:t xml:space="preserve"> Finally, some </w:t>
      </w:r>
      <w:r w:rsidR="000646D3" w:rsidRPr="00881BC8">
        <w:rPr>
          <w:noProof/>
          <w:lang w:val="en-GB"/>
        </w:rPr>
        <w:t xml:space="preserve">adjustment </w:t>
      </w:r>
      <w:r w:rsidR="00457190" w:rsidRPr="00881BC8">
        <w:rPr>
          <w:noProof/>
          <w:lang w:val="en-GB"/>
        </w:rPr>
        <w:t xml:space="preserve">cost </w:t>
      </w:r>
      <w:r w:rsidR="006733D2" w:rsidRPr="00881BC8">
        <w:rPr>
          <w:noProof/>
          <w:lang w:val="en-GB"/>
        </w:rPr>
        <w:t xml:space="preserve">would be </w:t>
      </w:r>
      <w:r w:rsidR="00457190" w:rsidRPr="00881BC8">
        <w:rPr>
          <w:noProof/>
          <w:lang w:val="en-GB"/>
        </w:rPr>
        <w:t>incurred for address</w:t>
      </w:r>
      <w:r w:rsidR="00047BDA" w:rsidRPr="00881BC8">
        <w:rPr>
          <w:noProof/>
          <w:lang w:val="en-GB"/>
        </w:rPr>
        <w:t>ing</w:t>
      </w:r>
      <w:r w:rsidR="00457190" w:rsidRPr="00881BC8">
        <w:rPr>
          <w:noProof/>
          <w:lang w:val="en-GB"/>
        </w:rPr>
        <w:t xml:space="preserve"> the question of unfair contractual terms and practices through their applicable national law. This cost </w:t>
      </w:r>
      <w:r w:rsidR="00426431" w:rsidRPr="00881BC8">
        <w:rPr>
          <w:noProof/>
          <w:lang w:val="en-GB"/>
        </w:rPr>
        <w:t xml:space="preserve">depends on rule-setting mechanisms, which vary by Member State (e.g. federal or not) and </w:t>
      </w:r>
      <w:r w:rsidR="00457190" w:rsidRPr="00881BC8">
        <w:rPr>
          <w:noProof/>
          <w:lang w:val="en-GB"/>
        </w:rPr>
        <w:t xml:space="preserve">is </w:t>
      </w:r>
      <w:r w:rsidR="00426431" w:rsidRPr="00881BC8">
        <w:rPr>
          <w:noProof/>
          <w:lang w:val="en-GB"/>
        </w:rPr>
        <w:t xml:space="preserve">therefore </w:t>
      </w:r>
      <w:r w:rsidR="00457190" w:rsidRPr="00881BC8">
        <w:rPr>
          <w:noProof/>
          <w:lang w:val="en-GB"/>
        </w:rPr>
        <w:t>difficult to quantify.</w:t>
      </w:r>
    </w:p>
    <w:p w14:paraId="264D0E9E" w14:textId="28FC954D" w:rsidR="00873453" w:rsidRPr="00881BC8" w:rsidRDefault="00EC5351" w:rsidP="004835F8">
      <w:pPr>
        <w:pStyle w:val="Heading2"/>
        <w:rPr>
          <w:noProof/>
        </w:rPr>
      </w:pPr>
      <w:bookmarkStart w:id="903" w:name="_Toc135237443"/>
      <w:bookmarkStart w:id="904" w:name="_Toc128594953"/>
      <w:bookmarkStart w:id="905" w:name="_Toc128678908"/>
      <w:bookmarkStart w:id="906" w:name="_Toc128935109"/>
      <w:bookmarkStart w:id="907" w:name="_Toc129710205"/>
      <w:bookmarkStart w:id="908" w:name="_Toc129899910"/>
      <w:r>
        <w:rPr>
          <w:noProof/>
        </w:rPr>
        <w:t>P</w:t>
      </w:r>
      <w:r w:rsidR="00095784" w:rsidRPr="00881BC8">
        <w:rPr>
          <w:noProof/>
        </w:rPr>
        <w:t>olicy option</w:t>
      </w:r>
      <w:r>
        <w:rPr>
          <w:noProof/>
        </w:rPr>
        <w:t>s</w:t>
      </w:r>
      <w:r w:rsidR="00095784" w:rsidRPr="00881BC8">
        <w:rPr>
          <w:noProof/>
        </w:rPr>
        <w:t xml:space="preserve"> related to </w:t>
      </w:r>
      <w:bookmarkEnd w:id="903"/>
      <w:r>
        <w:rPr>
          <w:noProof/>
        </w:rPr>
        <w:t>the form of the legal act</w:t>
      </w:r>
    </w:p>
    <w:p w14:paraId="00485F29" w14:textId="7CF88183" w:rsidR="00873453" w:rsidRPr="00881BC8" w:rsidRDefault="00873453" w:rsidP="00873453">
      <w:pPr>
        <w:pStyle w:val="NormalPara"/>
        <w:rPr>
          <w:noProof/>
          <w:lang w:val="en-GB"/>
        </w:rPr>
      </w:pPr>
      <w:r w:rsidRPr="00881BC8">
        <w:rPr>
          <w:noProof/>
          <w:lang w:val="en-GB"/>
        </w:rPr>
        <w:t>The measures contained in the Preferred Option can be implemented by either a Regulation or a Directive. The different legal instruments both show certain advantages and certain disadvantages when applied to the measures of the Preferred Option.</w:t>
      </w:r>
    </w:p>
    <w:p w14:paraId="4A306C4D" w14:textId="315BAB02" w:rsidR="00873453" w:rsidRPr="00881BC8" w:rsidRDefault="00873453" w:rsidP="00E73F6E">
      <w:pPr>
        <w:pStyle w:val="Heading3"/>
        <w:rPr>
          <w:noProof/>
        </w:rPr>
      </w:pPr>
      <w:bookmarkStart w:id="909" w:name="_Toc135237444"/>
      <w:r w:rsidRPr="00881BC8">
        <w:rPr>
          <w:noProof/>
        </w:rPr>
        <w:t xml:space="preserve">Advantages and drawbacks of a </w:t>
      </w:r>
      <w:r w:rsidR="00867667" w:rsidRPr="00881BC8">
        <w:rPr>
          <w:noProof/>
        </w:rPr>
        <w:t>r</w:t>
      </w:r>
      <w:r w:rsidRPr="00881BC8">
        <w:rPr>
          <w:noProof/>
        </w:rPr>
        <w:t>egulation</w:t>
      </w:r>
      <w:bookmarkEnd w:id="909"/>
    </w:p>
    <w:p w14:paraId="1C8F39AF" w14:textId="068D30EF" w:rsidR="00472CD7" w:rsidRPr="00881BC8" w:rsidRDefault="00472CD7" w:rsidP="00472CD7">
      <w:pPr>
        <w:pStyle w:val="NormalPara"/>
        <w:rPr>
          <w:noProof/>
          <w:lang w:val="en-GB"/>
        </w:rPr>
      </w:pPr>
      <w:r w:rsidRPr="00881BC8">
        <w:rPr>
          <w:noProof/>
          <w:lang w:val="en-GB"/>
        </w:rPr>
        <w:t xml:space="preserve">A </w:t>
      </w:r>
      <w:r w:rsidR="007200CE" w:rsidRPr="00881BC8">
        <w:rPr>
          <w:noProof/>
          <w:lang w:val="en-GB"/>
        </w:rPr>
        <w:t>r</w:t>
      </w:r>
      <w:r w:rsidRPr="00881BC8">
        <w:rPr>
          <w:noProof/>
          <w:lang w:val="en-GB"/>
        </w:rPr>
        <w:t xml:space="preserve">egulation </w:t>
      </w:r>
      <w:r w:rsidR="007200CE" w:rsidRPr="00881BC8">
        <w:rPr>
          <w:noProof/>
          <w:lang w:val="en-GB"/>
        </w:rPr>
        <w:t xml:space="preserve">would </w:t>
      </w:r>
      <w:r w:rsidRPr="00881BC8">
        <w:rPr>
          <w:noProof/>
          <w:lang w:val="en-GB"/>
        </w:rPr>
        <w:t xml:space="preserve">contain directly applicable rules on establishing a maximum payment term of 30 days in B2B transactions and a maximum of 30 days for the verification procedure, as well as directly applicable rules that establish the interests and compensation are automatic and increase the compensation to 50 euros. It </w:t>
      </w:r>
      <w:r w:rsidR="007200CE" w:rsidRPr="00881BC8">
        <w:rPr>
          <w:noProof/>
          <w:lang w:val="en-GB"/>
        </w:rPr>
        <w:t xml:space="preserve">would </w:t>
      </w:r>
      <w:r w:rsidRPr="00881BC8">
        <w:rPr>
          <w:noProof/>
          <w:lang w:val="en-GB"/>
        </w:rPr>
        <w:t xml:space="preserve">also contain a directly applicable rule regarding </w:t>
      </w:r>
      <w:r w:rsidR="007200CE" w:rsidRPr="00881BC8">
        <w:rPr>
          <w:noProof/>
          <w:lang w:val="en-GB"/>
        </w:rPr>
        <w:t xml:space="preserve">the obligation of contractors to </w:t>
      </w:r>
      <w:r w:rsidRPr="00881BC8">
        <w:rPr>
          <w:noProof/>
          <w:lang w:val="en-GB"/>
        </w:rPr>
        <w:t>demonstrate to the contracting authorities that payment to their subcontractors has taken place or reasons why this has not happened.</w:t>
      </w:r>
    </w:p>
    <w:p w14:paraId="4C93C57F" w14:textId="3EC86494" w:rsidR="00472CD7" w:rsidRPr="00881BC8" w:rsidRDefault="00472CD7" w:rsidP="00CD1B9D">
      <w:pPr>
        <w:pStyle w:val="NormalPara"/>
        <w:rPr>
          <w:noProof/>
          <w:lang w:val="en-GB"/>
        </w:rPr>
      </w:pPr>
      <w:r w:rsidRPr="00881BC8">
        <w:rPr>
          <w:noProof/>
          <w:lang w:val="en-GB"/>
        </w:rPr>
        <w:t>The advantages of these directly applicable rules are that they would be directly applicable in all Member States since its entry into force. While national law would need to adjust to the EU regulation, there would be no need for a transposition, thereby facilitating enforcement. A regulation would be binding so the same rules would apply in all Member States, also facilitating legal certainty and control by the E</w:t>
      </w:r>
      <w:r w:rsidR="007200CE" w:rsidRPr="00881BC8">
        <w:rPr>
          <w:noProof/>
          <w:lang w:val="en-GB"/>
        </w:rPr>
        <w:t>uropean Court of Justice</w:t>
      </w:r>
      <w:r w:rsidRPr="00881BC8">
        <w:rPr>
          <w:noProof/>
          <w:lang w:val="en-GB"/>
        </w:rPr>
        <w:t xml:space="preserve">. This would deepen the single market and facilitate its management. </w:t>
      </w:r>
    </w:p>
    <w:p w14:paraId="204D3D36" w14:textId="3D13206B" w:rsidR="009F2377" w:rsidRPr="00881BC8" w:rsidRDefault="00472CD7" w:rsidP="009F2377">
      <w:pPr>
        <w:pStyle w:val="NormalPara"/>
        <w:rPr>
          <w:noProof/>
          <w:lang w:val="en-GB"/>
        </w:rPr>
      </w:pPr>
      <w:r w:rsidRPr="00881BC8">
        <w:rPr>
          <w:noProof/>
          <w:lang w:val="en-GB"/>
        </w:rPr>
        <w:t xml:space="preserve">On the other hand, a </w:t>
      </w:r>
      <w:r w:rsidR="007200CE" w:rsidRPr="00881BC8">
        <w:rPr>
          <w:noProof/>
          <w:lang w:val="en-GB"/>
        </w:rPr>
        <w:t>r</w:t>
      </w:r>
      <w:r w:rsidRPr="00881BC8">
        <w:rPr>
          <w:noProof/>
          <w:lang w:val="en-GB"/>
        </w:rPr>
        <w:t xml:space="preserve">egulation </w:t>
      </w:r>
      <w:r w:rsidR="007200CE" w:rsidRPr="00881BC8">
        <w:rPr>
          <w:noProof/>
          <w:lang w:val="en-GB"/>
        </w:rPr>
        <w:t xml:space="preserve">would in principle </w:t>
      </w:r>
      <w:r w:rsidRPr="00881BC8">
        <w:rPr>
          <w:noProof/>
          <w:lang w:val="en-GB"/>
        </w:rPr>
        <w:t xml:space="preserve">leave less space for Member States to implement specific national rules. That </w:t>
      </w:r>
      <w:r w:rsidR="007200CE" w:rsidRPr="00881BC8">
        <w:rPr>
          <w:noProof/>
          <w:lang w:val="en-GB"/>
        </w:rPr>
        <w:t xml:space="preserve">would </w:t>
      </w:r>
      <w:r w:rsidRPr="00881BC8">
        <w:rPr>
          <w:noProof/>
          <w:lang w:val="en-GB"/>
        </w:rPr>
        <w:t xml:space="preserve">mean that Member States </w:t>
      </w:r>
      <w:r w:rsidR="007200CE" w:rsidRPr="00881BC8">
        <w:rPr>
          <w:noProof/>
          <w:lang w:val="en-GB"/>
        </w:rPr>
        <w:t xml:space="preserve">could </w:t>
      </w:r>
      <w:r w:rsidRPr="00881BC8">
        <w:rPr>
          <w:noProof/>
          <w:lang w:val="en-GB"/>
        </w:rPr>
        <w:t>no longer establish shorter payment terms, sector-specific rules nor shorter delays for the verification procedure</w:t>
      </w:r>
      <w:r w:rsidR="007200CE" w:rsidRPr="00881BC8">
        <w:rPr>
          <w:noProof/>
          <w:lang w:val="en-GB"/>
        </w:rPr>
        <w:t>, if finally no possibility is given to Member States in these areas to adopt more stringent provisions</w:t>
      </w:r>
      <w:r w:rsidRPr="00881BC8">
        <w:rPr>
          <w:noProof/>
          <w:lang w:val="en-GB"/>
        </w:rPr>
        <w:t>. Furthermore</w:t>
      </w:r>
      <w:r w:rsidR="007200CE" w:rsidRPr="00881BC8">
        <w:rPr>
          <w:noProof/>
          <w:lang w:val="en-GB"/>
        </w:rPr>
        <w:t>,</w:t>
      </w:r>
      <w:r w:rsidRPr="00881BC8">
        <w:rPr>
          <w:noProof/>
          <w:lang w:val="en-GB"/>
        </w:rPr>
        <w:t xml:space="preserve"> with the directly applicable provisions of the </w:t>
      </w:r>
      <w:r w:rsidR="007200CE" w:rsidRPr="00881BC8">
        <w:rPr>
          <w:noProof/>
          <w:lang w:val="en-GB"/>
        </w:rPr>
        <w:t>r</w:t>
      </w:r>
      <w:r w:rsidRPr="00881BC8">
        <w:rPr>
          <w:noProof/>
          <w:lang w:val="en-GB"/>
        </w:rPr>
        <w:t xml:space="preserve">egulation, interest rates are calculated as ECB main refinancing rate +8% and Member States </w:t>
      </w:r>
      <w:r w:rsidR="007200CE" w:rsidRPr="00881BC8">
        <w:rPr>
          <w:noProof/>
          <w:lang w:val="en-GB"/>
        </w:rPr>
        <w:t xml:space="preserve">would </w:t>
      </w:r>
      <w:r w:rsidRPr="00881BC8">
        <w:rPr>
          <w:noProof/>
          <w:lang w:val="en-GB"/>
        </w:rPr>
        <w:t>no longer have freedom to establish higher interest rates.</w:t>
      </w:r>
      <w:r w:rsidR="009F2377" w:rsidRPr="00881BC8">
        <w:rPr>
          <w:noProof/>
          <w:lang w:val="en-GB"/>
        </w:rPr>
        <w:t xml:space="preserve"> This </w:t>
      </w:r>
      <w:r w:rsidR="007200CE" w:rsidRPr="00881BC8">
        <w:rPr>
          <w:noProof/>
          <w:lang w:val="en-GB"/>
        </w:rPr>
        <w:t xml:space="preserve">would </w:t>
      </w:r>
      <w:r w:rsidR="009F2377" w:rsidRPr="00881BC8">
        <w:rPr>
          <w:noProof/>
          <w:lang w:val="en-GB"/>
        </w:rPr>
        <w:t>also impl</w:t>
      </w:r>
      <w:r w:rsidR="007200CE" w:rsidRPr="00881BC8">
        <w:rPr>
          <w:noProof/>
          <w:lang w:val="en-GB"/>
        </w:rPr>
        <w:t>y</w:t>
      </w:r>
      <w:r w:rsidR="009F2377" w:rsidRPr="00881BC8">
        <w:rPr>
          <w:noProof/>
          <w:lang w:val="en-GB"/>
        </w:rPr>
        <w:t xml:space="preserve"> that existing national measures that go beyond the rules contained in the </w:t>
      </w:r>
      <w:r w:rsidR="007200CE" w:rsidRPr="00881BC8">
        <w:rPr>
          <w:noProof/>
          <w:lang w:val="en-GB"/>
        </w:rPr>
        <w:t>r</w:t>
      </w:r>
      <w:r w:rsidR="009F2377" w:rsidRPr="00881BC8">
        <w:rPr>
          <w:noProof/>
          <w:lang w:val="en-GB"/>
        </w:rPr>
        <w:t xml:space="preserve">egulation </w:t>
      </w:r>
      <w:r w:rsidR="007200CE" w:rsidRPr="00881BC8">
        <w:rPr>
          <w:noProof/>
          <w:lang w:val="en-GB"/>
        </w:rPr>
        <w:t xml:space="preserve">would </w:t>
      </w:r>
      <w:r w:rsidR="009F2377" w:rsidRPr="00881BC8">
        <w:rPr>
          <w:noProof/>
          <w:lang w:val="en-GB"/>
        </w:rPr>
        <w:t>have to be removed</w:t>
      </w:r>
      <w:r w:rsidR="007200CE" w:rsidRPr="00881BC8">
        <w:rPr>
          <w:noProof/>
          <w:lang w:val="en-GB"/>
        </w:rPr>
        <w:t xml:space="preserve"> unless such discretion is </w:t>
      </w:r>
      <w:r w:rsidR="00867667" w:rsidRPr="00881BC8">
        <w:rPr>
          <w:noProof/>
          <w:lang w:val="en-GB"/>
        </w:rPr>
        <w:t xml:space="preserve">finally </w:t>
      </w:r>
      <w:r w:rsidR="007200CE" w:rsidRPr="00881BC8">
        <w:rPr>
          <w:noProof/>
          <w:lang w:val="en-GB"/>
        </w:rPr>
        <w:t>given to Member States</w:t>
      </w:r>
      <w:r w:rsidR="009F2377" w:rsidRPr="00881BC8">
        <w:rPr>
          <w:noProof/>
          <w:lang w:val="en-GB"/>
        </w:rPr>
        <w:t xml:space="preserve">. </w:t>
      </w:r>
    </w:p>
    <w:p w14:paraId="115340A2" w14:textId="1DEF0D2E" w:rsidR="00873453" w:rsidRPr="00881BC8" w:rsidRDefault="007200CE" w:rsidP="00472CD7">
      <w:pPr>
        <w:pStyle w:val="NormalPara"/>
        <w:rPr>
          <w:noProof/>
          <w:lang w:val="en-GB"/>
        </w:rPr>
      </w:pPr>
      <w:r w:rsidRPr="00881BC8">
        <w:rPr>
          <w:noProof/>
          <w:lang w:val="en-GB"/>
        </w:rPr>
        <w:t>Possibly certain specific provisions could explicitly allow Member States to adopt more stringent provisions, where this is carefully calibrated so as to allow operators and national authorities to clearly know which provisions apply. In particular, t</w:t>
      </w:r>
      <w:r w:rsidR="00E73F6E" w:rsidRPr="00881BC8">
        <w:rPr>
          <w:noProof/>
          <w:lang w:val="en-GB"/>
        </w:rPr>
        <w:t xml:space="preserve">he </w:t>
      </w:r>
      <w:r w:rsidRPr="00881BC8">
        <w:rPr>
          <w:noProof/>
          <w:lang w:val="en-GB"/>
        </w:rPr>
        <w:t>r</w:t>
      </w:r>
      <w:r w:rsidR="00F77B7B" w:rsidRPr="00881BC8">
        <w:rPr>
          <w:noProof/>
          <w:lang w:val="en-GB"/>
        </w:rPr>
        <w:t xml:space="preserve">egulation </w:t>
      </w:r>
      <w:r w:rsidRPr="00881BC8">
        <w:rPr>
          <w:noProof/>
          <w:lang w:val="en-GB"/>
        </w:rPr>
        <w:t xml:space="preserve">would </w:t>
      </w:r>
      <w:r w:rsidR="00F77B7B" w:rsidRPr="00881BC8">
        <w:rPr>
          <w:noProof/>
          <w:lang w:val="en-GB"/>
        </w:rPr>
        <w:t xml:space="preserve">lay down </w:t>
      </w:r>
      <w:r w:rsidRPr="00881BC8">
        <w:rPr>
          <w:noProof/>
          <w:lang w:val="en-GB"/>
        </w:rPr>
        <w:t xml:space="preserve">such type of </w:t>
      </w:r>
      <w:r w:rsidR="00F77B7B" w:rsidRPr="00881BC8">
        <w:rPr>
          <w:noProof/>
          <w:lang w:val="en-GB"/>
        </w:rPr>
        <w:t>other new obligations</w:t>
      </w:r>
      <w:r w:rsidRPr="00881BC8">
        <w:rPr>
          <w:noProof/>
          <w:lang w:val="en-GB"/>
        </w:rPr>
        <w:t xml:space="preserve"> on Member States</w:t>
      </w:r>
      <w:r w:rsidR="00F77B7B" w:rsidRPr="00881BC8">
        <w:rPr>
          <w:noProof/>
          <w:lang w:val="en-GB"/>
        </w:rPr>
        <w:t>, namely the obligation to provide credit management and financial literacy training and facilitate SMEs access to them, the designation of enforcement bodies with the identification of their powers and competences, the obligation to set up mediation services to solve payment disputes, the effect of certain unfair payment clauses or practices.</w:t>
      </w:r>
      <w:r w:rsidRPr="00881BC8">
        <w:rPr>
          <w:noProof/>
          <w:lang w:val="en-GB"/>
        </w:rPr>
        <w:t xml:space="preserve"> A</w:t>
      </w:r>
      <w:r w:rsidR="00F77B7B" w:rsidRPr="00881BC8">
        <w:rPr>
          <w:noProof/>
          <w:lang w:val="en-GB"/>
        </w:rPr>
        <w:t xml:space="preserve">s these </w:t>
      </w:r>
      <w:r w:rsidRPr="00881BC8">
        <w:rPr>
          <w:noProof/>
          <w:lang w:val="en-GB"/>
        </w:rPr>
        <w:t xml:space="preserve">provisions </w:t>
      </w:r>
      <w:r w:rsidR="00F77B7B" w:rsidRPr="00881BC8">
        <w:rPr>
          <w:noProof/>
          <w:lang w:val="en-GB"/>
        </w:rPr>
        <w:t xml:space="preserve">are not directly applicable, it </w:t>
      </w:r>
      <w:r w:rsidRPr="00881BC8">
        <w:rPr>
          <w:noProof/>
          <w:lang w:val="en-GB"/>
        </w:rPr>
        <w:t xml:space="preserve">would </w:t>
      </w:r>
      <w:r w:rsidR="00F77B7B" w:rsidRPr="00881BC8">
        <w:rPr>
          <w:noProof/>
          <w:lang w:val="en-GB"/>
        </w:rPr>
        <w:t>be up to the Member States to further design them and implement them.</w:t>
      </w:r>
    </w:p>
    <w:p w14:paraId="6E9A5211" w14:textId="61DE1626" w:rsidR="00873453" w:rsidRPr="00881BC8" w:rsidRDefault="00873453" w:rsidP="00873453">
      <w:pPr>
        <w:pStyle w:val="Heading3"/>
        <w:rPr>
          <w:noProof/>
        </w:rPr>
      </w:pPr>
      <w:bookmarkStart w:id="910" w:name="_Toc135237445"/>
      <w:r w:rsidRPr="00881BC8">
        <w:rPr>
          <w:noProof/>
        </w:rPr>
        <w:t>Advantages and drawbacks of a Directive</w:t>
      </w:r>
      <w:bookmarkEnd w:id="910"/>
    </w:p>
    <w:p w14:paraId="4C8C975A" w14:textId="5142D11C" w:rsidR="001E4401" w:rsidRPr="00881BC8" w:rsidRDefault="001E4401" w:rsidP="00C647A9">
      <w:pPr>
        <w:pStyle w:val="NormalPara"/>
        <w:rPr>
          <w:noProof/>
          <w:lang w:val="en-GB"/>
        </w:rPr>
      </w:pPr>
      <w:r w:rsidRPr="00881BC8">
        <w:rPr>
          <w:noProof/>
          <w:lang w:val="en-GB"/>
        </w:rPr>
        <w:t xml:space="preserve">A </w:t>
      </w:r>
      <w:r w:rsidR="00867667" w:rsidRPr="00881BC8">
        <w:rPr>
          <w:noProof/>
          <w:lang w:val="en-GB"/>
        </w:rPr>
        <w:t>d</w:t>
      </w:r>
      <w:r w:rsidRPr="00881BC8">
        <w:rPr>
          <w:noProof/>
          <w:lang w:val="en-GB"/>
        </w:rPr>
        <w:t xml:space="preserve">irective </w:t>
      </w:r>
      <w:r w:rsidR="00867667" w:rsidRPr="00881BC8">
        <w:rPr>
          <w:noProof/>
          <w:lang w:val="en-GB"/>
        </w:rPr>
        <w:t xml:space="preserve">would </w:t>
      </w:r>
      <w:r w:rsidR="00F77B7B" w:rsidRPr="00881BC8">
        <w:rPr>
          <w:noProof/>
          <w:lang w:val="en-GB"/>
        </w:rPr>
        <w:t>amend</w:t>
      </w:r>
      <w:r w:rsidRPr="00881BC8">
        <w:rPr>
          <w:noProof/>
          <w:lang w:val="en-GB"/>
        </w:rPr>
        <w:t xml:space="preserve"> the existing </w:t>
      </w:r>
      <w:r w:rsidR="00867667" w:rsidRPr="00881BC8">
        <w:rPr>
          <w:noProof/>
          <w:lang w:val="en-GB"/>
        </w:rPr>
        <w:t>LPD</w:t>
      </w:r>
      <w:r w:rsidR="00E73F6E" w:rsidRPr="00881BC8">
        <w:rPr>
          <w:noProof/>
          <w:lang w:val="en-GB"/>
        </w:rPr>
        <w:t>,</w:t>
      </w:r>
      <w:r w:rsidRPr="00881BC8">
        <w:rPr>
          <w:noProof/>
          <w:lang w:val="en-GB"/>
        </w:rPr>
        <w:t xml:space="preserve"> </w:t>
      </w:r>
      <w:r w:rsidR="00E73F6E" w:rsidRPr="00881BC8">
        <w:rPr>
          <w:noProof/>
          <w:lang w:val="en-GB"/>
        </w:rPr>
        <w:t>limited</w:t>
      </w:r>
      <w:r w:rsidR="00867667" w:rsidRPr="00881BC8">
        <w:rPr>
          <w:noProof/>
          <w:lang w:val="en-GB"/>
        </w:rPr>
        <w:t xml:space="preserve"> to </w:t>
      </w:r>
      <w:r w:rsidRPr="00881BC8">
        <w:rPr>
          <w:noProof/>
          <w:lang w:val="en-GB"/>
        </w:rPr>
        <w:t xml:space="preserve">introducing the </w:t>
      </w:r>
      <w:r w:rsidR="00867667" w:rsidRPr="00881BC8">
        <w:rPr>
          <w:noProof/>
          <w:lang w:val="en-GB"/>
        </w:rPr>
        <w:t xml:space="preserve">specific proposals identified in the </w:t>
      </w:r>
      <w:r w:rsidRPr="00881BC8">
        <w:rPr>
          <w:noProof/>
          <w:lang w:val="en-GB"/>
        </w:rPr>
        <w:t>Preferred Option.</w:t>
      </w:r>
      <w:r w:rsidR="00867667" w:rsidRPr="00881BC8">
        <w:rPr>
          <w:noProof/>
          <w:lang w:val="en-GB"/>
        </w:rPr>
        <w:t xml:space="preserve"> I</w:t>
      </w:r>
      <w:r w:rsidRPr="00881BC8">
        <w:rPr>
          <w:noProof/>
          <w:lang w:val="en-GB"/>
        </w:rPr>
        <w:t xml:space="preserve">t </w:t>
      </w:r>
      <w:r w:rsidR="00867667" w:rsidRPr="00881BC8">
        <w:rPr>
          <w:noProof/>
          <w:lang w:val="en-GB"/>
        </w:rPr>
        <w:t xml:space="preserve">would </w:t>
      </w:r>
      <w:r w:rsidRPr="00881BC8">
        <w:rPr>
          <w:noProof/>
          <w:lang w:val="en-GB"/>
        </w:rPr>
        <w:t xml:space="preserve">leave margin of manoeuvre for Member States, namely, regarding the 30 days maximum payment term, </w:t>
      </w:r>
      <w:r w:rsidR="00867667" w:rsidRPr="00881BC8">
        <w:rPr>
          <w:noProof/>
          <w:lang w:val="en-GB"/>
        </w:rPr>
        <w:t xml:space="preserve">in which case </w:t>
      </w:r>
      <w:r w:rsidRPr="00881BC8">
        <w:rPr>
          <w:noProof/>
          <w:lang w:val="en-GB"/>
        </w:rPr>
        <w:t xml:space="preserve">Member States </w:t>
      </w:r>
      <w:r w:rsidR="00867667" w:rsidRPr="00881BC8">
        <w:rPr>
          <w:noProof/>
          <w:lang w:val="en-GB"/>
        </w:rPr>
        <w:t xml:space="preserve">would </w:t>
      </w:r>
      <w:r w:rsidRPr="00881BC8">
        <w:rPr>
          <w:noProof/>
          <w:lang w:val="en-GB"/>
        </w:rPr>
        <w:t>remain free to introduce stricter measures</w:t>
      </w:r>
      <w:r w:rsidR="00F77B7B" w:rsidRPr="00881BC8">
        <w:rPr>
          <w:noProof/>
          <w:lang w:val="en-GB"/>
        </w:rPr>
        <w:t>, more favourable to the creditor</w:t>
      </w:r>
      <w:r w:rsidRPr="00881BC8">
        <w:rPr>
          <w:noProof/>
          <w:lang w:val="en-GB"/>
        </w:rPr>
        <w:t xml:space="preserve">. </w:t>
      </w:r>
      <w:r w:rsidR="00F949A3" w:rsidRPr="00881BC8">
        <w:rPr>
          <w:noProof/>
          <w:lang w:val="en-GB"/>
        </w:rPr>
        <w:t>T</w:t>
      </w:r>
      <w:r w:rsidRPr="00881BC8">
        <w:rPr>
          <w:noProof/>
          <w:lang w:val="en-GB"/>
        </w:rPr>
        <w:t>he rules on interests and compensation will be automatic and the compensation</w:t>
      </w:r>
      <w:r w:rsidR="00F949A3" w:rsidRPr="00881BC8">
        <w:rPr>
          <w:noProof/>
          <w:lang w:val="en-GB"/>
        </w:rPr>
        <w:t xml:space="preserve"> will be</w:t>
      </w:r>
      <w:r w:rsidRPr="00881BC8">
        <w:rPr>
          <w:noProof/>
          <w:lang w:val="en-GB"/>
        </w:rPr>
        <w:t xml:space="preserve"> increased to 50 euros, as under the </w:t>
      </w:r>
      <w:r w:rsidR="00867667" w:rsidRPr="00881BC8">
        <w:rPr>
          <w:noProof/>
          <w:lang w:val="en-GB"/>
        </w:rPr>
        <w:t>option of the r</w:t>
      </w:r>
      <w:r w:rsidRPr="00881BC8">
        <w:rPr>
          <w:noProof/>
          <w:lang w:val="en-GB"/>
        </w:rPr>
        <w:t xml:space="preserve">egulation. However, with a Directive, Member States </w:t>
      </w:r>
      <w:r w:rsidR="00867667" w:rsidRPr="00881BC8">
        <w:rPr>
          <w:noProof/>
          <w:lang w:val="en-GB"/>
        </w:rPr>
        <w:t xml:space="preserve">would </w:t>
      </w:r>
      <w:r w:rsidRPr="00881BC8">
        <w:rPr>
          <w:noProof/>
          <w:lang w:val="en-GB"/>
        </w:rPr>
        <w:t>continue to remain free to apply higher interest rates as long as the formula ECB main rate + 8% is respected.</w:t>
      </w:r>
    </w:p>
    <w:p w14:paraId="03C847CC" w14:textId="09510521" w:rsidR="00F77B7B" w:rsidRPr="00881BC8" w:rsidRDefault="001E4401" w:rsidP="00F77B7B">
      <w:pPr>
        <w:pStyle w:val="NormalPara"/>
        <w:rPr>
          <w:noProof/>
          <w:lang w:val="en-GB"/>
        </w:rPr>
      </w:pPr>
      <w:r w:rsidRPr="00881BC8">
        <w:rPr>
          <w:noProof/>
          <w:lang w:val="en-GB"/>
        </w:rPr>
        <w:t xml:space="preserve">The advantage of a </w:t>
      </w:r>
      <w:r w:rsidR="00867667" w:rsidRPr="00881BC8">
        <w:rPr>
          <w:noProof/>
          <w:lang w:val="en-GB"/>
        </w:rPr>
        <w:t>d</w:t>
      </w:r>
      <w:r w:rsidRPr="00881BC8">
        <w:rPr>
          <w:noProof/>
          <w:lang w:val="en-GB"/>
        </w:rPr>
        <w:t xml:space="preserve">irective is that it </w:t>
      </w:r>
      <w:r w:rsidR="00867667" w:rsidRPr="00881BC8">
        <w:rPr>
          <w:noProof/>
          <w:lang w:val="en-GB"/>
        </w:rPr>
        <w:t xml:space="preserve">would </w:t>
      </w:r>
      <w:r w:rsidRPr="00881BC8">
        <w:rPr>
          <w:noProof/>
          <w:lang w:val="en-GB"/>
        </w:rPr>
        <w:t>g</w:t>
      </w:r>
      <w:r w:rsidR="00472CD7" w:rsidRPr="00881BC8">
        <w:rPr>
          <w:noProof/>
          <w:lang w:val="en-GB"/>
        </w:rPr>
        <w:t>ive additional flexibility to Member States to adopt stricter rules than the EU rules</w:t>
      </w:r>
      <w:r w:rsidRPr="00881BC8">
        <w:rPr>
          <w:noProof/>
          <w:lang w:val="en-GB"/>
        </w:rPr>
        <w:t xml:space="preserve"> or additional measures that are more beneficial for the creditor (e.g. shorter payment terms, or specific payment terms for identified sectors)</w:t>
      </w:r>
      <w:r w:rsidR="00472CD7" w:rsidRPr="00881BC8">
        <w:rPr>
          <w:noProof/>
          <w:lang w:val="en-GB"/>
        </w:rPr>
        <w:t xml:space="preserve">. Revising the rules with a directive would </w:t>
      </w:r>
      <w:r w:rsidRPr="00881BC8">
        <w:rPr>
          <w:noProof/>
          <w:lang w:val="en-GB"/>
        </w:rPr>
        <w:t xml:space="preserve">also </w:t>
      </w:r>
      <w:r w:rsidR="00472CD7" w:rsidRPr="00881BC8">
        <w:rPr>
          <w:noProof/>
          <w:lang w:val="en-GB"/>
        </w:rPr>
        <w:t>be simpler, as it would be based on the already existing directive.</w:t>
      </w:r>
      <w:r w:rsidR="00F77B7B" w:rsidRPr="00881BC8">
        <w:rPr>
          <w:noProof/>
          <w:lang w:val="en-GB"/>
        </w:rPr>
        <w:t xml:space="preserve"> Furthermore, existing national measures, that were adopted as part of the transpo</w:t>
      </w:r>
      <w:r w:rsidR="00A1368A" w:rsidRPr="00881BC8">
        <w:rPr>
          <w:noProof/>
          <w:lang w:val="en-GB"/>
        </w:rPr>
        <w:t>si</w:t>
      </w:r>
      <w:r w:rsidR="00F77B7B" w:rsidRPr="00881BC8">
        <w:rPr>
          <w:noProof/>
          <w:lang w:val="en-GB"/>
        </w:rPr>
        <w:t xml:space="preserve">tion of the LPD or as part of its implementation that do not exceed the caps and values laid down in the new identified options </w:t>
      </w:r>
      <w:r w:rsidR="00867667" w:rsidRPr="00881BC8">
        <w:rPr>
          <w:noProof/>
          <w:lang w:val="en-GB"/>
        </w:rPr>
        <w:t xml:space="preserve">could </w:t>
      </w:r>
      <w:r w:rsidR="00F77B7B" w:rsidRPr="00881BC8">
        <w:rPr>
          <w:noProof/>
          <w:lang w:val="en-GB"/>
        </w:rPr>
        <w:t>be maintained.</w:t>
      </w:r>
    </w:p>
    <w:p w14:paraId="394204D5" w14:textId="5C467F6F" w:rsidR="001E4401" w:rsidRPr="00881BC8" w:rsidRDefault="001E4401" w:rsidP="0033214D">
      <w:pPr>
        <w:pStyle w:val="NormalPara"/>
        <w:rPr>
          <w:noProof/>
          <w:lang w:val="en-GB"/>
        </w:rPr>
      </w:pPr>
      <w:r w:rsidRPr="00881BC8">
        <w:rPr>
          <w:noProof/>
          <w:lang w:val="en-GB"/>
        </w:rPr>
        <w:t xml:space="preserve">The disadvantages of a </w:t>
      </w:r>
      <w:r w:rsidR="00867667" w:rsidRPr="00881BC8">
        <w:rPr>
          <w:noProof/>
          <w:lang w:val="en-GB"/>
        </w:rPr>
        <w:t>d</w:t>
      </w:r>
      <w:r w:rsidRPr="00881BC8">
        <w:rPr>
          <w:noProof/>
          <w:lang w:val="en-GB"/>
        </w:rPr>
        <w:t xml:space="preserve">irective </w:t>
      </w:r>
      <w:r w:rsidR="009F2377" w:rsidRPr="00881BC8">
        <w:rPr>
          <w:noProof/>
          <w:lang w:val="en-GB"/>
        </w:rPr>
        <w:t xml:space="preserve">include the time needed to transpose the </w:t>
      </w:r>
      <w:r w:rsidR="00867667" w:rsidRPr="00881BC8">
        <w:rPr>
          <w:noProof/>
          <w:lang w:val="en-GB"/>
        </w:rPr>
        <w:t>d</w:t>
      </w:r>
      <w:r w:rsidR="009F2377" w:rsidRPr="00881BC8">
        <w:rPr>
          <w:noProof/>
          <w:lang w:val="en-GB"/>
        </w:rPr>
        <w:t xml:space="preserve">irective into national law. In addition, there is a risk of “gold-plating” as, for example, Member States </w:t>
      </w:r>
      <w:r w:rsidR="00867667" w:rsidRPr="00881BC8">
        <w:rPr>
          <w:noProof/>
          <w:lang w:val="en-GB"/>
        </w:rPr>
        <w:t xml:space="preserve">would </w:t>
      </w:r>
      <w:r w:rsidR="009F2377" w:rsidRPr="00881BC8">
        <w:rPr>
          <w:noProof/>
          <w:lang w:val="en-GB"/>
        </w:rPr>
        <w:t>remain free to introduce verification procedures for contracts even where these procedures might not be actually needed.</w:t>
      </w:r>
    </w:p>
    <w:p w14:paraId="1270F63C" w14:textId="4DB9CB22" w:rsidR="00A1368A" w:rsidRPr="00881BC8" w:rsidRDefault="00A1368A" w:rsidP="00A1368A">
      <w:pPr>
        <w:pStyle w:val="Heading3"/>
        <w:rPr>
          <w:noProof/>
        </w:rPr>
      </w:pPr>
      <w:bookmarkStart w:id="911" w:name="_Toc135237446"/>
      <w:r w:rsidRPr="00881BC8">
        <w:rPr>
          <w:noProof/>
        </w:rPr>
        <w:t>Assessment of the legal choice against effectiveness, efficiency, proportionality, coherence and subsidiarity</w:t>
      </w:r>
      <w:bookmarkEnd w:id="911"/>
    </w:p>
    <w:p w14:paraId="1881C6E4" w14:textId="250F6A8A" w:rsidR="00192035" w:rsidRPr="00192035" w:rsidRDefault="00192035" w:rsidP="00192035">
      <w:pPr>
        <w:pStyle w:val="Caption"/>
        <w:rPr>
          <w:noProof/>
          <w:lang w:val="en-GB"/>
        </w:rPr>
      </w:pPr>
      <w:r w:rsidRPr="00192035">
        <w:rPr>
          <w:noProof/>
          <w:lang w:val="en-GB"/>
        </w:rPr>
        <w:t xml:space="preserve">Table </w:t>
      </w:r>
      <w:r w:rsidR="005851F4">
        <w:rPr>
          <w:noProof/>
          <w:lang w:val="en-GB"/>
        </w:rPr>
        <w:t>8</w:t>
      </w:r>
      <w:r w:rsidRPr="00192035">
        <w:rPr>
          <w:noProof/>
          <w:lang w:val="en-GB"/>
        </w:rPr>
        <w:t>: Comparison based on effectiveness, efficiency, proportionality, coherence and subsidiarity</w:t>
      </w:r>
    </w:p>
    <w:tbl>
      <w:tblPr>
        <w:tblStyle w:val="GridTable1Light-Accent1"/>
        <w:tblpPr w:leftFromText="181" w:rightFromText="181" w:bottomFromText="227" w:vertAnchor="text" w:tblpY="1"/>
        <w:tblOverlap w:val="never"/>
        <w:tblW w:w="8926" w:type="dxa"/>
        <w:tblLook w:val="04A0" w:firstRow="1" w:lastRow="0" w:firstColumn="1" w:lastColumn="0" w:noHBand="0" w:noVBand="1"/>
      </w:tblPr>
      <w:tblGrid>
        <w:gridCol w:w="1337"/>
        <w:gridCol w:w="1549"/>
        <w:gridCol w:w="1294"/>
        <w:gridCol w:w="1847"/>
        <w:gridCol w:w="1429"/>
        <w:gridCol w:w="1470"/>
      </w:tblGrid>
      <w:tr w:rsidR="00A1368A" w:rsidRPr="00881BC8" w14:paraId="4B798B35" w14:textId="77777777" w:rsidTr="001920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37" w:type="dxa"/>
          </w:tcPr>
          <w:p w14:paraId="6A9E86A3" w14:textId="77777777" w:rsidR="00A1368A" w:rsidRPr="00881BC8" w:rsidRDefault="00A1368A" w:rsidP="003C5076">
            <w:pPr>
              <w:spacing w:after="120"/>
              <w:rPr>
                <w:noProof/>
              </w:rPr>
            </w:pPr>
          </w:p>
        </w:tc>
        <w:tc>
          <w:tcPr>
            <w:tcW w:w="1549" w:type="dxa"/>
          </w:tcPr>
          <w:p w14:paraId="5EA0174B" w14:textId="77777777" w:rsidR="00A1368A" w:rsidRPr="00881BC8" w:rsidRDefault="00A1368A" w:rsidP="003C5076">
            <w:pPr>
              <w:spacing w:after="120"/>
              <w:cnfStyle w:val="100000000000" w:firstRow="1" w:lastRow="0" w:firstColumn="0" w:lastColumn="0" w:oddVBand="0" w:evenVBand="0" w:oddHBand="0" w:evenHBand="0" w:firstRowFirstColumn="0" w:firstRowLastColumn="0" w:lastRowFirstColumn="0" w:lastRowLastColumn="0"/>
              <w:rPr>
                <w:noProof/>
              </w:rPr>
            </w:pPr>
            <w:r w:rsidRPr="00881BC8">
              <w:rPr>
                <w:noProof/>
              </w:rPr>
              <w:t>Effectiveness</w:t>
            </w:r>
          </w:p>
        </w:tc>
        <w:tc>
          <w:tcPr>
            <w:tcW w:w="1294" w:type="dxa"/>
          </w:tcPr>
          <w:p w14:paraId="3EAA90A8" w14:textId="77777777" w:rsidR="00A1368A" w:rsidRPr="00881BC8" w:rsidRDefault="00A1368A" w:rsidP="003C5076">
            <w:pPr>
              <w:spacing w:after="120"/>
              <w:cnfStyle w:val="100000000000" w:firstRow="1" w:lastRow="0" w:firstColumn="0" w:lastColumn="0" w:oddVBand="0" w:evenVBand="0" w:oddHBand="0" w:evenHBand="0" w:firstRowFirstColumn="0" w:firstRowLastColumn="0" w:lastRowFirstColumn="0" w:lastRowLastColumn="0"/>
              <w:rPr>
                <w:noProof/>
              </w:rPr>
            </w:pPr>
            <w:r w:rsidRPr="00881BC8">
              <w:rPr>
                <w:noProof/>
              </w:rPr>
              <w:t>Efficiency</w:t>
            </w:r>
          </w:p>
        </w:tc>
        <w:tc>
          <w:tcPr>
            <w:tcW w:w="1847" w:type="dxa"/>
          </w:tcPr>
          <w:p w14:paraId="307C52E6" w14:textId="77777777" w:rsidR="00A1368A" w:rsidRPr="00881BC8" w:rsidRDefault="00A1368A" w:rsidP="003C5076">
            <w:pPr>
              <w:spacing w:after="120"/>
              <w:cnfStyle w:val="100000000000" w:firstRow="1" w:lastRow="0" w:firstColumn="0" w:lastColumn="0" w:oddVBand="0" w:evenVBand="0" w:oddHBand="0" w:evenHBand="0" w:firstRowFirstColumn="0" w:firstRowLastColumn="0" w:lastRowFirstColumn="0" w:lastRowLastColumn="0"/>
              <w:rPr>
                <w:noProof/>
              </w:rPr>
            </w:pPr>
            <w:r w:rsidRPr="00881BC8">
              <w:rPr>
                <w:noProof/>
              </w:rPr>
              <w:t>Proportionality</w:t>
            </w:r>
          </w:p>
        </w:tc>
        <w:tc>
          <w:tcPr>
            <w:tcW w:w="1429" w:type="dxa"/>
          </w:tcPr>
          <w:p w14:paraId="2C85218A" w14:textId="77777777" w:rsidR="00A1368A" w:rsidRPr="00881BC8" w:rsidRDefault="00A1368A" w:rsidP="003C5076">
            <w:pPr>
              <w:spacing w:after="120"/>
              <w:cnfStyle w:val="100000000000" w:firstRow="1" w:lastRow="0" w:firstColumn="0" w:lastColumn="0" w:oddVBand="0" w:evenVBand="0" w:oddHBand="0" w:evenHBand="0" w:firstRowFirstColumn="0" w:firstRowLastColumn="0" w:lastRowFirstColumn="0" w:lastRowLastColumn="0"/>
              <w:rPr>
                <w:noProof/>
              </w:rPr>
            </w:pPr>
            <w:r w:rsidRPr="00881BC8">
              <w:rPr>
                <w:noProof/>
              </w:rPr>
              <w:t>Coherence</w:t>
            </w:r>
          </w:p>
        </w:tc>
        <w:tc>
          <w:tcPr>
            <w:tcW w:w="1470" w:type="dxa"/>
          </w:tcPr>
          <w:p w14:paraId="0A6478C3" w14:textId="77777777" w:rsidR="00A1368A" w:rsidRPr="00881BC8" w:rsidRDefault="00A1368A" w:rsidP="003C5076">
            <w:pPr>
              <w:spacing w:after="120"/>
              <w:cnfStyle w:val="100000000000" w:firstRow="1" w:lastRow="0" w:firstColumn="0" w:lastColumn="0" w:oddVBand="0" w:evenVBand="0" w:oddHBand="0" w:evenHBand="0" w:firstRowFirstColumn="0" w:firstRowLastColumn="0" w:lastRowFirstColumn="0" w:lastRowLastColumn="0"/>
              <w:rPr>
                <w:noProof/>
              </w:rPr>
            </w:pPr>
            <w:r w:rsidRPr="00881BC8">
              <w:rPr>
                <w:noProof/>
              </w:rPr>
              <w:t>Subsidiarity</w:t>
            </w:r>
          </w:p>
        </w:tc>
      </w:tr>
      <w:tr w:rsidR="00A1368A" w:rsidRPr="00881BC8" w14:paraId="25DF2C0D" w14:textId="77777777" w:rsidTr="00192035">
        <w:tc>
          <w:tcPr>
            <w:cnfStyle w:val="001000000000" w:firstRow="0" w:lastRow="0" w:firstColumn="1" w:lastColumn="0" w:oddVBand="0" w:evenVBand="0" w:oddHBand="0" w:evenHBand="0" w:firstRowFirstColumn="0" w:firstRowLastColumn="0" w:lastRowFirstColumn="0" w:lastRowLastColumn="0"/>
            <w:tcW w:w="1337" w:type="dxa"/>
          </w:tcPr>
          <w:p w14:paraId="10DE5D34" w14:textId="79C2A386" w:rsidR="00A1368A" w:rsidRPr="00881BC8" w:rsidRDefault="00A1368A" w:rsidP="003C5076">
            <w:pPr>
              <w:spacing w:after="120"/>
              <w:rPr>
                <w:noProof/>
              </w:rPr>
            </w:pPr>
            <w:r w:rsidRPr="00881BC8">
              <w:rPr>
                <w:noProof/>
              </w:rPr>
              <w:t>Regulation</w:t>
            </w:r>
          </w:p>
        </w:tc>
        <w:tc>
          <w:tcPr>
            <w:tcW w:w="1549" w:type="dxa"/>
          </w:tcPr>
          <w:p w14:paraId="3DAA4B6A" w14:textId="77777777" w:rsidR="00A1368A" w:rsidRPr="00881BC8" w:rsidRDefault="00A1368A" w:rsidP="003C5076">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c>
          <w:tcPr>
            <w:tcW w:w="1294" w:type="dxa"/>
          </w:tcPr>
          <w:p w14:paraId="491BEBD6" w14:textId="77777777" w:rsidR="00A1368A" w:rsidRPr="00881BC8" w:rsidRDefault="00A1368A" w:rsidP="003C5076">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c>
          <w:tcPr>
            <w:tcW w:w="1847" w:type="dxa"/>
          </w:tcPr>
          <w:p w14:paraId="4F3351C6" w14:textId="77777777" w:rsidR="00A1368A" w:rsidRPr="00881BC8" w:rsidRDefault="00A1368A" w:rsidP="003C5076">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c>
          <w:tcPr>
            <w:tcW w:w="1429" w:type="dxa"/>
          </w:tcPr>
          <w:p w14:paraId="7ED4FB62" w14:textId="77777777" w:rsidR="00A1368A" w:rsidRPr="00881BC8" w:rsidRDefault="00A1368A" w:rsidP="003C5076">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c>
          <w:tcPr>
            <w:tcW w:w="1470" w:type="dxa"/>
          </w:tcPr>
          <w:p w14:paraId="4BBCD25E" w14:textId="77777777" w:rsidR="00A1368A" w:rsidRPr="00881BC8" w:rsidRDefault="00A1368A" w:rsidP="003C5076">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r>
      <w:tr w:rsidR="00A1368A" w:rsidRPr="00881BC8" w14:paraId="5C2E917F" w14:textId="77777777" w:rsidTr="00192035">
        <w:tc>
          <w:tcPr>
            <w:cnfStyle w:val="001000000000" w:firstRow="0" w:lastRow="0" w:firstColumn="1" w:lastColumn="0" w:oddVBand="0" w:evenVBand="0" w:oddHBand="0" w:evenHBand="0" w:firstRowFirstColumn="0" w:firstRowLastColumn="0" w:lastRowFirstColumn="0" w:lastRowLastColumn="0"/>
            <w:tcW w:w="1337" w:type="dxa"/>
          </w:tcPr>
          <w:p w14:paraId="7DA9C8A2" w14:textId="53D498D9" w:rsidR="00A1368A" w:rsidRPr="00881BC8" w:rsidRDefault="00A1368A" w:rsidP="003C5076">
            <w:pPr>
              <w:spacing w:after="120"/>
              <w:rPr>
                <w:noProof/>
              </w:rPr>
            </w:pPr>
            <w:r w:rsidRPr="00881BC8">
              <w:rPr>
                <w:noProof/>
              </w:rPr>
              <w:t>Directive</w:t>
            </w:r>
          </w:p>
        </w:tc>
        <w:tc>
          <w:tcPr>
            <w:tcW w:w="1549" w:type="dxa"/>
          </w:tcPr>
          <w:p w14:paraId="7582EDDA" w14:textId="77777777" w:rsidR="00A1368A" w:rsidRPr="00881BC8" w:rsidRDefault="00A1368A" w:rsidP="003C5076">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c>
          <w:tcPr>
            <w:tcW w:w="1294" w:type="dxa"/>
          </w:tcPr>
          <w:p w14:paraId="3AEBBFE7" w14:textId="77777777" w:rsidR="00A1368A" w:rsidRPr="00881BC8" w:rsidRDefault="00A1368A" w:rsidP="003C5076">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c>
          <w:tcPr>
            <w:tcW w:w="1847" w:type="dxa"/>
          </w:tcPr>
          <w:p w14:paraId="012DD691" w14:textId="77777777" w:rsidR="00A1368A" w:rsidRPr="00881BC8" w:rsidRDefault="00A1368A" w:rsidP="003C5076">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c>
          <w:tcPr>
            <w:tcW w:w="1429" w:type="dxa"/>
          </w:tcPr>
          <w:p w14:paraId="568D1D64" w14:textId="06733798" w:rsidR="00A1368A" w:rsidRPr="00881BC8" w:rsidRDefault="00A1368A" w:rsidP="003C5076">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c>
          <w:tcPr>
            <w:tcW w:w="1470" w:type="dxa"/>
          </w:tcPr>
          <w:p w14:paraId="7EAD5F51" w14:textId="5AB159B7" w:rsidR="00A1368A" w:rsidRPr="00881BC8" w:rsidRDefault="00A1368A" w:rsidP="003C5076">
            <w:pPr>
              <w:spacing w:after="120"/>
              <w:jc w:val="center"/>
              <w:cnfStyle w:val="000000000000" w:firstRow="0" w:lastRow="0" w:firstColumn="0" w:lastColumn="0" w:oddVBand="0" w:evenVBand="0" w:oddHBand="0" w:evenHBand="0" w:firstRowFirstColumn="0" w:firstRowLastColumn="0" w:lastRowFirstColumn="0" w:lastRowLastColumn="0"/>
              <w:rPr>
                <w:noProof/>
              </w:rPr>
            </w:pPr>
            <w:r w:rsidRPr="00881BC8">
              <w:rPr>
                <w:noProof/>
              </w:rPr>
              <w:t>+</w:t>
            </w:r>
          </w:p>
        </w:tc>
      </w:tr>
    </w:tbl>
    <w:p w14:paraId="42383719" w14:textId="7A772757" w:rsidR="00A1368A" w:rsidRPr="00881BC8" w:rsidRDefault="00A1368A" w:rsidP="00A1368A">
      <w:pPr>
        <w:pStyle w:val="NormalPara"/>
        <w:rPr>
          <w:noProof/>
          <w:lang w:val="en-GB"/>
        </w:rPr>
      </w:pPr>
      <w:r w:rsidRPr="00881BC8">
        <w:rPr>
          <w:noProof/>
          <w:lang w:val="en-GB"/>
        </w:rPr>
        <w:t xml:space="preserve">Both a </w:t>
      </w:r>
      <w:r w:rsidR="00867667" w:rsidRPr="00881BC8">
        <w:rPr>
          <w:noProof/>
          <w:lang w:val="en-GB"/>
        </w:rPr>
        <w:t>r</w:t>
      </w:r>
      <w:r w:rsidRPr="00881BC8">
        <w:rPr>
          <w:noProof/>
          <w:lang w:val="en-GB"/>
        </w:rPr>
        <w:t xml:space="preserve">egulation and a </w:t>
      </w:r>
      <w:r w:rsidR="00867667" w:rsidRPr="00881BC8">
        <w:rPr>
          <w:noProof/>
          <w:lang w:val="en-GB"/>
        </w:rPr>
        <w:t>d</w:t>
      </w:r>
      <w:r w:rsidRPr="00881BC8">
        <w:rPr>
          <w:noProof/>
          <w:lang w:val="en-GB"/>
        </w:rPr>
        <w:t xml:space="preserve">irective are effective, efficient and coherent legal instruments to achieve the objectives of the above-stated policy measures. A </w:t>
      </w:r>
      <w:r w:rsidR="00867667" w:rsidRPr="00881BC8">
        <w:rPr>
          <w:noProof/>
          <w:lang w:val="en-GB"/>
        </w:rPr>
        <w:t>r</w:t>
      </w:r>
      <w:r w:rsidRPr="00881BC8">
        <w:rPr>
          <w:noProof/>
          <w:lang w:val="en-GB"/>
        </w:rPr>
        <w:t xml:space="preserve">egulation is judged to be more effective than a </w:t>
      </w:r>
      <w:r w:rsidR="00867667" w:rsidRPr="00881BC8">
        <w:rPr>
          <w:noProof/>
          <w:lang w:val="en-GB"/>
        </w:rPr>
        <w:t>d</w:t>
      </w:r>
      <w:r w:rsidRPr="00881BC8">
        <w:rPr>
          <w:noProof/>
          <w:lang w:val="en-GB"/>
        </w:rPr>
        <w:t>irective as it is directly applicable</w:t>
      </w:r>
      <w:r w:rsidR="00867667" w:rsidRPr="00881BC8">
        <w:rPr>
          <w:noProof/>
          <w:lang w:val="en-GB"/>
        </w:rPr>
        <w:t>;</w:t>
      </w:r>
      <w:r w:rsidRPr="00881BC8">
        <w:rPr>
          <w:noProof/>
          <w:lang w:val="en-GB"/>
        </w:rPr>
        <w:t xml:space="preserve"> enforcement against common rules across the EU would be simpler for businesses to understand. A </w:t>
      </w:r>
      <w:r w:rsidR="00867667" w:rsidRPr="00881BC8">
        <w:rPr>
          <w:noProof/>
          <w:lang w:val="en-GB"/>
        </w:rPr>
        <w:t>r</w:t>
      </w:r>
      <w:r w:rsidRPr="00881BC8">
        <w:rPr>
          <w:noProof/>
          <w:lang w:val="en-GB"/>
        </w:rPr>
        <w:t xml:space="preserve">egulation is also judged to be more efficient than a </w:t>
      </w:r>
      <w:r w:rsidR="00867667" w:rsidRPr="00881BC8">
        <w:rPr>
          <w:noProof/>
          <w:lang w:val="en-GB"/>
        </w:rPr>
        <w:t>d</w:t>
      </w:r>
      <w:r w:rsidRPr="00881BC8">
        <w:rPr>
          <w:noProof/>
          <w:lang w:val="en-GB"/>
        </w:rPr>
        <w:t>irective, as it would be applicable without having to wait for transposition into national law.</w:t>
      </w:r>
    </w:p>
    <w:p w14:paraId="4FDF2A4B" w14:textId="3DB9A277" w:rsidR="00A1368A" w:rsidRPr="00881BC8" w:rsidRDefault="00A1368A" w:rsidP="00A1368A">
      <w:pPr>
        <w:pStyle w:val="NormalPara"/>
        <w:rPr>
          <w:noProof/>
          <w:lang w:val="en-GB"/>
        </w:rPr>
      </w:pPr>
      <w:r w:rsidRPr="00881BC8">
        <w:rPr>
          <w:noProof/>
          <w:lang w:val="en-GB"/>
        </w:rPr>
        <w:t xml:space="preserve">A </w:t>
      </w:r>
      <w:r w:rsidR="00867667" w:rsidRPr="00881BC8">
        <w:rPr>
          <w:noProof/>
          <w:lang w:val="en-GB"/>
        </w:rPr>
        <w:t>d</w:t>
      </w:r>
      <w:r w:rsidRPr="00881BC8">
        <w:rPr>
          <w:noProof/>
          <w:lang w:val="en-GB"/>
        </w:rPr>
        <w:t xml:space="preserve">irective is assessed to be more coherent with other EU and national legislation than a </w:t>
      </w:r>
      <w:r w:rsidR="00867667" w:rsidRPr="00881BC8">
        <w:rPr>
          <w:noProof/>
          <w:lang w:val="en-GB"/>
        </w:rPr>
        <w:t>r</w:t>
      </w:r>
      <w:r w:rsidRPr="00881BC8">
        <w:rPr>
          <w:noProof/>
          <w:lang w:val="en-GB"/>
        </w:rPr>
        <w:t xml:space="preserve">egulation, as it </w:t>
      </w:r>
      <w:r w:rsidR="00867667" w:rsidRPr="00881BC8">
        <w:rPr>
          <w:noProof/>
          <w:lang w:val="en-GB"/>
        </w:rPr>
        <w:t xml:space="preserve">would, in principle, </w:t>
      </w:r>
      <w:r w:rsidRPr="00881BC8">
        <w:rPr>
          <w:noProof/>
          <w:lang w:val="en-GB"/>
        </w:rPr>
        <w:t xml:space="preserve">not require </w:t>
      </w:r>
      <w:r w:rsidR="00BA7A0C" w:rsidRPr="00881BC8">
        <w:rPr>
          <w:noProof/>
          <w:lang w:val="en-GB"/>
        </w:rPr>
        <w:t xml:space="preserve">the repeal of existing stricter national legislation. Similarly, a </w:t>
      </w:r>
      <w:r w:rsidR="00867667" w:rsidRPr="00881BC8">
        <w:rPr>
          <w:noProof/>
          <w:lang w:val="en-GB"/>
        </w:rPr>
        <w:t>d</w:t>
      </w:r>
      <w:r w:rsidR="00BA7A0C" w:rsidRPr="00881BC8">
        <w:rPr>
          <w:noProof/>
          <w:lang w:val="en-GB"/>
        </w:rPr>
        <w:t xml:space="preserve">irective is deemed to be more respectful of the principle of subsidiarity, as it </w:t>
      </w:r>
      <w:r w:rsidR="00867667" w:rsidRPr="00881BC8">
        <w:rPr>
          <w:noProof/>
          <w:lang w:val="en-GB"/>
        </w:rPr>
        <w:t xml:space="preserve">would </w:t>
      </w:r>
      <w:r w:rsidR="00BA7A0C" w:rsidRPr="00881BC8">
        <w:rPr>
          <w:noProof/>
          <w:lang w:val="en-GB"/>
        </w:rPr>
        <w:t xml:space="preserve">allow Member States the flexibility to adopt additional measures which are more beneficial to the creditor and </w:t>
      </w:r>
      <w:r w:rsidR="00867667" w:rsidRPr="00881BC8">
        <w:rPr>
          <w:noProof/>
          <w:lang w:val="en-GB"/>
        </w:rPr>
        <w:t xml:space="preserve">would </w:t>
      </w:r>
      <w:r w:rsidR="00BA7A0C" w:rsidRPr="00881BC8">
        <w:rPr>
          <w:noProof/>
          <w:lang w:val="en-GB"/>
        </w:rPr>
        <w:t xml:space="preserve">provide more freedom to Member States in </w:t>
      </w:r>
      <w:r w:rsidR="00867667" w:rsidRPr="00881BC8">
        <w:rPr>
          <w:noProof/>
          <w:lang w:val="en-GB"/>
        </w:rPr>
        <w:t xml:space="preserve">the </w:t>
      </w:r>
      <w:r w:rsidR="00BA7A0C" w:rsidRPr="00881BC8">
        <w:rPr>
          <w:noProof/>
          <w:lang w:val="en-GB"/>
        </w:rPr>
        <w:t>implementation.</w:t>
      </w:r>
    </w:p>
    <w:p w14:paraId="3E1DF966" w14:textId="01D29477" w:rsidR="00BA7A0C" w:rsidRPr="00881BC8" w:rsidRDefault="00BA7A0C" w:rsidP="00A1368A">
      <w:pPr>
        <w:pStyle w:val="NormalPara"/>
        <w:rPr>
          <w:noProof/>
          <w:lang w:val="en-GB"/>
        </w:rPr>
      </w:pPr>
      <w:r w:rsidRPr="00881BC8">
        <w:rPr>
          <w:noProof/>
          <w:lang w:val="en-GB"/>
        </w:rPr>
        <w:t xml:space="preserve">Overall, in light of the increased effectiveness and efficiency, the preferred form for the legal act is that of a </w:t>
      </w:r>
      <w:r w:rsidR="00867667" w:rsidRPr="00881BC8">
        <w:rPr>
          <w:noProof/>
          <w:lang w:val="en-GB"/>
        </w:rPr>
        <w:t>r</w:t>
      </w:r>
      <w:r w:rsidRPr="00881BC8">
        <w:rPr>
          <w:noProof/>
          <w:lang w:val="en-GB"/>
        </w:rPr>
        <w:t>egulation. It would take effect more quickly, be more easily enforceable and offer clear rules for businesses, applicable across the entire EU</w:t>
      </w:r>
      <w:r w:rsidR="00867667" w:rsidRPr="00881BC8">
        <w:rPr>
          <w:noProof/>
          <w:lang w:val="en-GB"/>
        </w:rPr>
        <w:t>; it would in essence offer quicker relief for SMEs</w:t>
      </w:r>
      <w:r w:rsidRPr="00881BC8">
        <w:rPr>
          <w:noProof/>
          <w:lang w:val="en-GB"/>
        </w:rPr>
        <w:t>.</w:t>
      </w:r>
    </w:p>
    <w:p w14:paraId="3F6361FE" w14:textId="0901D4CA" w:rsidR="006B087E" w:rsidRPr="00881BC8" w:rsidRDefault="0CE0488F" w:rsidP="004835F8">
      <w:pPr>
        <w:pStyle w:val="Heading2"/>
        <w:rPr>
          <w:noProof/>
        </w:rPr>
      </w:pPr>
      <w:bookmarkStart w:id="912" w:name="_Toc135237447"/>
      <w:r w:rsidRPr="00881BC8">
        <w:rPr>
          <w:noProof/>
        </w:rPr>
        <w:t>REFIT (simplification and improved efficiency)</w:t>
      </w:r>
      <w:bookmarkEnd w:id="904"/>
      <w:bookmarkEnd w:id="905"/>
      <w:bookmarkEnd w:id="906"/>
      <w:bookmarkEnd w:id="907"/>
      <w:bookmarkEnd w:id="908"/>
      <w:bookmarkEnd w:id="912"/>
    </w:p>
    <w:p w14:paraId="0CEEE5F8" w14:textId="7B9A6EF1" w:rsidR="006D36A3" w:rsidRPr="00881BC8" w:rsidRDefault="006D36A3" w:rsidP="004835F8">
      <w:pPr>
        <w:pStyle w:val="NormalPara"/>
        <w:rPr>
          <w:noProof/>
          <w:lang w:val="en-GB"/>
        </w:rPr>
      </w:pPr>
      <w:r w:rsidRPr="00881BC8">
        <w:rPr>
          <w:noProof/>
          <w:lang w:val="en-GB"/>
        </w:rPr>
        <w:t>Simplification and improvements should follow from the change of legal instrument</w:t>
      </w:r>
      <w:r w:rsidR="00664058" w:rsidRPr="00881BC8">
        <w:rPr>
          <w:noProof/>
          <w:lang w:val="en-GB"/>
        </w:rPr>
        <w:t xml:space="preserve"> to a regulation</w:t>
      </w:r>
      <w:r w:rsidRPr="00881BC8">
        <w:rPr>
          <w:noProof/>
          <w:lang w:val="en-GB"/>
        </w:rPr>
        <w:t>. A regulation would be directly applicable in all Member States</w:t>
      </w:r>
      <w:r w:rsidR="00430FDB" w:rsidRPr="00881BC8">
        <w:rPr>
          <w:noProof/>
          <w:lang w:val="en-GB"/>
        </w:rPr>
        <w:t xml:space="preserve"> and</w:t>
      </w:r>
      <w:r w:rsidRPr="00881BC8">
        <w:rPr>
          <w:noProof/>
          <w:lang w:val="en-GB"/>
        </w:rPr>
        <w:t xml:space="preserve"> would </w:t>
      </w:r>
      <w:r w:rsidR="00430FDB" w:rsidRPr="00881BC8">
        <w:rPr>
          <w:noProof/>
          <w:lang w:val="en-GB"/>
        </w:rPr>
        <w:t xml:space="preserve">facilitate enforcement by not requiring </w:t>
      </w:r>
      <w:r w:rsidRPr="00881BC8">
        <w:rPr>
          <w:noProof/>
          <w:lang w:val="en-GB"/>
        </w:rPr>
        <w:t>transposition checks</w:t>
      </w:r>
      <w:r w:rsidR="00430FDB" w:rsidRPr="00881BC8">
        <w:rPr>
          <w:noProof/>
          <w:lang w:val="en-GB"/>
        </w:rPr>
        <w:t xml:space="preserve"> and not entailing </w:t>
      </w:r>
      <w:r w:rsidRPr="00881BC8">
        <w:rPr>
          <w:noProof/>
          <w:lang w:val="en-GB"/>
        </w:rPr>
        <w:t>infringement</w:t>
      </w:r>
      <w:r w:rsidR="00430FDB" w:rsidRPr="00881BC8">
        <w:rPr>
          <w:noProof/>
          <w:lang w:val="en-GB"/>
        </w:rPr>
        <w:t xml:space="preserve"> proceedings</w:t>
      </w:r>
      <w:r w:rsidRPr="00881BC8">
        <w:rPr>
          <w:noProof/>
          <w:lang w:val="en-GB"/>
        </w:rPr>
        <w:t xml:space="preserve">. A regulation would be binding in its entirety so the same rules would apply in all Member States, also facilitating legal certainty and control by the European Court of Justice. This would deepen the single market and facilitate its </w:t>
      </w:r>
      <w:r w:rsidR="000C7995" w:rsidRPr="00881BC8">
        <w:rPr>
          <w:noProof/>
          <w:lang w:val="en-GB"/>
        </w:rPr>
        <w:t xml:space="preserve">functioning for companies and </w:t>
      </w:r>
      <w:r w:rsidRPr="00881BC8">
        <w:rPr>
          <w:noProof/>
          <w:lang w:val="en-GB"/>
        </w:rPr>
        <w:t>management</w:t>
      </w:r>
      <w:r w:rsidR="000C7995" w:rsidRPr="00881BC8">
        <w:rPr>
          <w:noProof/>
          <w:lang w:val="en-GB"/>
        </w:rPr>
        <w:t xml:space="preserve"> for the Commission and Member States’ public authorities</w:t>
      </w:r>
      <w:r w:rsidRPr="00881BC8">
        <w:rPr>
          <w:noProof/>
          <w:lang w:val="en-GB"/>
        </w:rPr>
        <w:t xml:space="preserve">. </w:t>
      </w:r>
    </w:p>
    <w:p w14:paraId="3F6361FF" w14:textId="36AA8E3B" w:rsidR="009409F1" w:rsidRPr="00881BC8" w:rsidRDefault="05CA1427" w:rsidP="004835F8">
      <w:pPr>
        <w:pStyle w:val="Heading2"/>
        <w:rPr>
          <w:noProof/>
        </w:rPr>
      </w:pPr>
      <w:bookmarkStart w:id="913" w:name="_Toc128594954"/>
      <w:bookmarkStart w:id="914" w:name="_Toc128678909"/>
      <w:bookmarkStart w:id="915" w:name="_Toc128935110"/>
      <w:bookmarkStart w:id="916" w:name="_Toc129710206"/>
      <w:bookmarkStart w:id="917" w:name="_Toc129899911"/>
      <w:bookmarkStart w:id="918" w:name="_Toc135237448"/>
      <w:r w:rsidRPr="00881BC8">
        <w:rPr>
          <w:noProof/>
        </w:rPr>
        <w:t>Application of the ‘one in, one out’ approach</w:t>
      </w:r>
      <w:bookmarkEnd w:id="913"/>
      <w:bookmarkEnd w:id="914"/>
      <w:bookmarkEnd w:id="915"/>
      <w:bookmarkEnd w:id="916"/>
      <w:bookmarkEnd w:id="917"/>
      <w:bookmarkEnd w:id="918"/>
    </w:p>
    <w:p w14:paraId="3F636200" w14:textId="2A82F389" w:rsidR="006B087E" w:rsidRPr="00881BC8" w:rsidRDefault="008230F9" w:rsidP="005E4FC0">
      <w:pPr>
        <w:pStyle w:val="NormalPara"/>
        <w:rPr>
          <w:noProof/>
          <w:lang w:val="en-GB"/>
        </w:rPr>
      </w:pPr>
      <w:r w:rsidRPr="00881BC8">
        <w:rPr>
          <w:noProof/>
          <w:lang w:val="en-GB"/>
        </w:rPr>
        <w:t>Businesses will need to bear the one-off adjustment cost of updating standard terms to reflect maximum payment terms and adjusted compensation fees (</w:t>
      </w:r>
      <w:r w:rsidR="00213566" w:rsidRPr="00881BC8">
        <w:rPr>
          <w:noProof/>
          <w:lang w:val="en-GB"/>
        </w:rPr>
        <w:t xml:space="preserve">estimated at </w:t>
      </w:r>
      <w:r w:rsidRPr="00881BC8">
        <w:rPr>
          <w:noProof/>
          <w:lang w:val="en-GB"/>
        </w:rPr>
        <w:t>EUR 243 million).</w:t>
      </w:r>
      <w:r w:rsidR="00C51301" w:rsidRPr="00881BC8">
        <w:rPr>
          <w:noProof/>
          <w:lang w:val="en-GB"/>
        </w:rPr>
        <w:t xml:space="preserve">The </w:t>
      </w:r>
      <w:r w:rsidRPr="00881BC8">
        <w:rPr>
          <w:noProof/>
          <w:lang w:val="en-GB"/>
        </w:rPr>
        <w:t xml:space="preserve">other </w:t>
      </w:r>
      <w:r w:rsidR="00FE2DF5" w:rsidRPr="00881BC8">
        <w:rPr>
          <w:noProof/>
          <w:lang w:val="en-GB"/>
        </w:rPr>
        <w:t>quantifiable administrative cost</w:t>
      </w:r>
      <w:r w:rsidR="00935FF2" w:rsidRPr="00881BC8">
        <w:rPr>
          <w:noProof/>
          <w:lang w:val="en-GB"/>
        </w:rPr>
        <w:t xml:space="preserve"> </w:t>
      </w:r>
      <w:r w:rsidR="00FE2DF5" w:rsidRPr="00881BC8">
        <w:rPr>
          <w:noProof/>
          <w:lang w:val="en-GB"/>
        </w:rPr>
        <w:t>related to one-in-one-out concern</w:t>
      </w:r>
      <w:r w:rsidRPr="00881BC8">
        <w:rPr>
          <w:noProof/>
          <w:lang w:val="en-GB"/>
        </w:rPr>
        <w:t xml:space="preserve">s </w:t>
      </w:r>
      <w:r w:rsidR="00FE2DF5" w:rsidRPr="00881BC8">
        <w:rPr>
          <w:noProof/>
          <w:lang w:val="en-GB"/>
        </w:rPr>
        <w:t xml:space="preserve">the measure related to verification </w:t>
      </w:r>
      <w:r w:rsidR="00935FF2" w:rsidRPr="00881BC8">
        <w:rPr>
          <w:noProof/>
          <w:lang w:val="en-GB"/>
        </w:rPr>
        <w:t xml:space="preserve">that payment to the main contractor has been passed onto the subcontractors </w:t>
      </w:r>
      <w:r w:rsidR="00310E45" w:rsidRPr="00881BC8">
        <w:rPr>
          <w:noProof/>
          <w:lang w:val="en-GB"/>
        </w:rPr>
        <w:t>in public works contracts.</w:t>
      </w:r>
      <w:r w:rsidR="00FE2DF5" w:rsidRPr="00881BC8">
        <w:rPr>
          <w:noProof/>
          <w:lang w:val="en-GB"/>
        </w:rPr>
        <w:t xml:space="preserve"> This recurring administrative cost </w:t>
      </w:r>
      <w:r w:rsidR="00213566" w:rsidRPr="00881BC8">
        <w:rPr>
          <w:noProof/>
          <w:lang w:val="en-GB"/>
        </w:rPr>
        <w:t xml:space="preserve">for businesses </w:t>
      </w:r>
      <w:r w:rsidR="00FE2DF5" w:rsidRPr="00881BC8">
        <w:rPr>
          <w:noProof/>
          <w:lang w:val="en-GB"/>
        </w:rPr>
        <w:t>has been estimated at EUR</w:t>
      </w:r>
      <w:r w:rsidR="00564D93" w:rsidRPr="00881BC8">
        <w:rPr>
          <w:noProof/>
          <w:lang w:val="en-GB"/>
        </w:rPr>
        <w:t> </w:t>
      </w:r>
      <w:r w:rsidR="00FE2DF5" w:rsidRPr="00881BC8">
        <w:rPr>
          <w:noProof/>
          <w:lang w:val="en-GB"/>
        </w:rPr>
        <w:t>2.2 million</w:t>
      </w:r>
      <w:r w:rsidR="007E62CA" w:rsidRPr="00881BC8">
        <w:rPr>
          <w:noProof/>
          <w:lang w:val="en-GB"/>
        </w:rPr>
        <w:t xml:space="preserve">. This will mostly affect large or mid-sized companies. The magnitude of impact </w:t>
      </w:r>
      <w:r w:rsidR="00FE2DF5" w:rsidRPr="00881BC8">
        <w:rPr>
          <w:noProof/>
          <w:lang w:val="en-GB"/>
        </w:rPr>
        <w:t>is considered insignificant</w:t>
      </w:r>
      <w:r w:rsidR="00B3388B" w:rsidRPr="00881BC8">
        <w:rPr>
          <w:noProof/>
          <w:lang w:val="en-GB"/>
        </w:rPr>
        <w:t xml:space="preserve"> (0.5 man-hour, per company, per year)</w:t>
      </w:r>
      <w:r w:rsidR="00FE2DF5" w:rsidRPr="00881BC8">
        <w:rPr>
          <w:noProof/>
          <w:lang w:val="en-GB"/>
        </w:rPr>
        <w:t xml:space="preserve">. </w:t>
      </w:r>
      <w:r w:rsidR="00747DEB" w:rsidRPr="00881BC8">
        <w:rPr>
          <w:noProof/>
          <w:lang w:val="en-GB"/>
        </w:rPr>
        <w:t>N</w:t>
      </w:r>
      <w:r w:rsidR="00FE2DF5" w:rsidRPr="00881BC8">
        <w:rPr>
          <w:noProof/>
          <w:lang w:val="en-GB"/>
        </w:rPr>
        <w:t xml:space="preserve">o quantifiable administrative cost savings </w:t>
      </w:r>
      <w:r w:rsidR="00747DEB" w:rsidRPr="00881BC8">
        <w:rPr>
          <w:noProof/>
          <w:lang w:val="en-GB"/>
        </w:rPr>
        <w:t xml:space="preserve">seem to </w:t>
      </w:r>
      <w:r w:rsidR="00935FF2" w:rsidRPr="00881BC8">
        <w:rPr>
          <w:noProof/>
          <w:lang w:val="en-GB"/>
        </w:rPr>
        <w:t>stem from the preferred policy option</w:t>
      </w:r>
      <w:r w:rsidR="002E28CC" w:rsidRPr="00881BC8">
        <w:rPr>
          <w:noProof/>
          <w:lang w:val="en-GB"/>
        </w:rPr>
        <w:t>.</w:t>
      </w:r>
    </w:p>
    <w:p w14:paraId="3F636201" w14:textId="3F8C3B13" w:rsidR="006B087E" w:rsidRPr="00881BC8" w:rsidRDefault="006B087E" w:rsidP="004835F8">
      <w:pPr>
        <w:pStyle w:val="Heading1"/>
        <w:rPr>
          <w:noProof/>
        </w:rPr>
      </w:pPr>
      <w:bookmarkStart w:id="919" w:name="_Toc128566542"/>
      <w:bookmarkStart w:id="920" w:name="_Toc128594955"/>
      <w:bookmarkStart w:id="921" w:name="_Toc128678910"/>
      <w:bookmarkStart w:id="922" w:name="_Toc128935111"/>
      <w:bookmarkStart w:id="923" w:name="_Toc129710207"/>
      <w:bookmarkStart w:id="924" w:name="_Toc129899912"/>
      <w:bookmarkStart w:id="925" w:name="_Ref130406852"/>
      <w:bookmarkStart w:id="926" w:name="_Ref130407378"/>
      <w:bookmarkStart w:id="927" w:name="_Ref131664172"/>
      <w:bookmarkStart w:id="928" w:name="_Toc135237449"/>
      <w:r w:rsidRPr="00881BC8">
        <w:rPr>
          <w:noProof/>
        </w:rPr>
        <w:t>How will actual impacts be monitored and evaluated?</w:t>
      </w:r>
      <w:bookmarkEnd w:id="919"/>
      <w:bookmarkEnd w:id="920"/>
      <w:bookmarkEnd w:id="921"/>
      <w:bookmarkEnd w:id="922"/>
      <w:bookmarkEnd w:id="923"/>
      <w:bookmarkEnd w:id="924"/>
      <w:bookmarkEnd w:id="925"/>
      <w:bookmarkEnd w:id="926"/>
      <w:bookmarkEnd w:id="927"/>
      <w:bookmarkEnd w:id="928"/>
    </w:p>
    <w:p w14:paraId="25BBC3DC" w14:textId="40390630" w:rsidR="0021192F" w:rsidRPr="00881BC8" w:rsidRDefault="0021192F" w:rsidP="004835F8">
      <w:pPr>
        <w:pStyle w:val="NormalPara"/>
        <w:rPr>
          <w:noProof/>
          <w:lang w:val="en-GB"/>
        </w:rPr>
      </w:pPr>
      <w:r w:rsidRPr="00881BC8">
        <w:rPr>
          <w:noProof/>
          <w:lang w:val="en-GB"/>
        </w:rPr>
        <w:t xml:space="preserve">The degree of success of the initiative will be measured according to the </w:t>
      </w:r>
      <w:r w:rsidR="009255AC" w:rsidRPr="00881BC8">
        <w:rPr>
          <w:noProof/>
          <w:lang w:val="en-GB"/>
        </w:rPr>
        <w:t>targets</w:t>
      </w:r>
      <w:r w:rsidRPr="00881BC8">
        <w:rPr>
          <w:noProof/>
          <w:lang w:val="en-GB"/>
        </w:rPr>
        <w:t xml:space="preserve"> set out </w:t>
      </w:r>
      <w:r w:rsidR="009255AC" w:rsidRPr="00881BC8">
        <w:rPr>
          <w:noProof/>
          <w:lang w:val="en-GB"/>
        </w:rPr>
        <w:t>below</w:t>
      </w:r>
      <w:r w:rsidRPr="00881BC8">
        <w:rPr>
          <w:noProof/>
          <w:lang w:val="en-GB"/>
        </w:rPr>
        <w:t xml:space="preserve">. </w:t>
      </w:r>
    </w:p>
    <w:p w14:paraId="49CAC44B" w14:textId="7FBDF306" w:rsidR="004D2831" w:rsidRPr="00881BC8" w:rsidRDefault="004D2831" w:rsidP="004D2831">
      <w:pPr>
        <w:pStyle w:val="Caption"/>
        <w:rPr>
          <w:noProof/>
          <w:lang w:val="en-GB"/>
        </w:rPr>
      </w:pPr>
      <w:r w:rsidRPr="00881BC8">
        <w:rPr>
          <w:noProof/>
          <w:lang w:val="en-GB"/>
        </w:rPr>
        <w:t xml:space="preserve">Table </w:t>
      </w:r>
      <w:r w:rsidR="005851F4">
        <w:rPr>
          <w:noProof/>
          <w:lang w:val="en-GB"/>
        </w:rPr>
        <w:t>9</w:t>
      </w:r>
      <w:r w:rsidRPr="00881BC8">
        <w:rPr>
          <w:noProof/>
          <w:lang w:val="en-GB"/>
        </w:rPr>
        <w:t>: The targets for future assessment</w:t>
      </w:r>
    </w:p>
    <w:tbl>
      <w:tblPr>
        <w:tblStyle w:val="TableGrid"/>
        <w:tblpPr w:leftFromText="181" w:rightFromText="181" w:bottomFromText="142" w:vertAnchor="text" w:tblpY="1"/>
        <w:tblOverlap w:val="never"/>
        <w:tblW w:w="0" w:type="auto"/>
        <w:tblLayout w:type="fixed"/>
        <w:tblLook w:val="04A0" w:firstRow="1" w:lastRow="0" w:firstColumn="1" w:lastColumn="0" w:noHBand="0" w:noVBand="1"/>
      </w:tblPr>
      <w:tblGrid>
        <w:gridCol w:w="6658"/>
        <w:gridCol w:w="975"/>
        <w:gridCol w:w="975"/>
      </w:tblGrid>
      <w:tr w:rsidR="00E47328" w:rsidRPr="00881BC8" w14:paraId="7D8CF1F3" w14:textId="77777777" w:rsidTr="004D2831">
        <w:trPr>
          <w:tblHeader/>
        </w:trPr>
        <w:tc>
          <w:tcPr>
            <w:tcW w:w="6658" w:type="dxa"/>
          </w:tcPr>
          <w:p w14:paraId="4B783A33" w14:textId="01FB2B81" w:rsidR="00E810E3" w:rsidRPr="00881BC8" w:rsidRDefault="00663A30" w:rsidP="00894848">
            <w:pPr>
              <w:spacing w:after="0" w:line="259" w:lineRule="auto"/>
              <w:rPr>
                <w:b/>
                <w:bCs/>
                <w:noProof/>
                <w:sz w:val="20"/>
                <w:szCs w:val="20"/>
              </w:rPr>
            </w:pPr>
            <w:bookmarkStart w:id="929" w:name="_Hlk131614179"/>
            <w:r w:rsidRPr="00881BC8">
              <w:rPr>
                <w:b/>
                <w:bCs/>
                <w:noProof/>
                <w:sz w:val="20"/>
                <w:szCs w:val="20"/>
              </w:rPr>
              <w:t>Indicator</w:t>
            </w:r>
          </w:p>
        </w:tc>
        <w:tc>
          <w:tcPr>
            <w:tcW w:w="975" w:type="dxa"/>
          </w:tcPr>
          <w:p w14:paraId="5E5D8487" w14:textId="1BC4413B" w:rsidR="00E810E3" w:rsidRPr="00881BC8" w:rsidRDefault="00E810E3" w:rsidP="00894848">
            <w:pPr>
              <w:spacing w:after="0" w:line="259" w:lineRule="auto"/>
              <w:rPr>
                <w:b/>
                <w:bCs/>
                <w:noProof/>
                <w:sz w:val="20"/>
                <w:szCs w:val="20"/>
              </w:rPr>
            </w:pPr>
            <w:r w:rsidRPr="00881BC8">
              <w:rPr>
                <w:b/>
                <w:bCs/>
                <w:noProof/>
                <w:sz w:val="20"/>
                <w:szCs w:val="20"/>
              </w:rPr>
              <w:t>Target</w:t>
            </w:r>
          </w:p>
        </w:tc>
        <w:tc>
          <w:tcPr>
            <w:tcW w:w="975" w:type="dxa"/>
          </w:tcPr>
          <w:p w14:paraId="44B20C41" w14:textId="316F3834" w:rsidR="00E810E3" w:rsidRPr="00881BC8" w:rsidRDefault="00E810E3" w:rsidP="00894848">
            <w:pPr>
              <w:spacing w:after="0" w:line="259" w:lineRule="auto"/>
              <w:rPr>
                <w:b/>
                <w:bCs/>
                <w:noProof/>
                <w:sz w:val="20"/>
                <w:szCs w:val="20"/>
              </w:rPr>
            </w:pPr>
            <w:r w:rsidRPr="00881BC8">
              <w:rPr>
                <w:b/>
                <w:bCs/>
                <w:noProof/>
                <w:sz w:val="20"/>
                <w:szCs w:val="20"/>
              </w:rPr>
              <w:t>Baseline</w:t>
            </w:r>
          </w:p>
        </w:tc>
      </w:tr>
      <w:tr w:rsidR="00E47328" w:rsidRPr="00881BC8" w14:paraId="36D6BCCE" w14:textId="77777777" w:rsidTr="00894848">
        <w:tc>
          <w:tcPr>
            <w:tcW w:w="6658" w:type="dxa"/>
          </w:tcPr>
          <w:p w14:paraId="232AFD67" w14:textId="2FA5A10A" w:rsidR="00E810E3" w:rsidRPr="00881BC8" w:rsidRDefault="00663A30" w:rsidP="00894848">
            <w:pPr>
              <w:spacing w:after="0" w:line="259" w:lineRule="auto"/>
              <w:rPr>
                <w:noProof/>
                <w:sz w:val="20"/>
                <w:szCs w:val="20"/>
              </w:rPr>
            </w:pPr>
            <w:r w:rsidRPr="00881BC8">
              <w:rPr>
                <w:noProof/>
                <w:sz w:val="20"/>
                <w:szCs w:val="20"/>
              </w:rPr>
              <w:t xml:space="preserve">Reduce </w:t>
            </w:r>
            <w:r w:rsidR="00F70160" w:rsidRPr="00881BC8">
              <w:rPr>
                <w:noProof/>
                <w:sz w:val="20"/>
                <w:szCs w:val="20"/>
              </w:rPr>
              <w:t xml:space="preserve">by 35% </w:t>
            </w:r>
            <w:r w:rsidRPr="00881BC8">
              <w:rPr>
                <w:noProof/>
                <w:sz w:val="20"/>
                <w:szCs w:val="20"/>
              </w:rPr>
              <w:t>the proportion of companies which report late payments as an issue; the progress will be measured against the benchmark value from the 2022 SAFE survey for all companies</w:t>
            </w:r>
          </w:p>
        </w:tc>
        <w:tc>
          <w:tcPr>
            <w:tcW w:w="975" w:type="dxa"/>
          </w:tcPr>
          <w:p w14:paraId="4348114A" w14:textId="2F161778" w:rsidR="00E810E3" w:rsidRPr="00881BC8" w:rsidRDefault="00357191" w:rsidP="00894848">
            <w:pPr>
              <w:spacing w:after="0" w:line="259" w:lineRule="auto"/>
              <w:rPr>
                <w:noProof/>
                <w:sz w:val="20"/>
                <w:szCs w:val="20"/>
              </w:rPr>
            </w:pPr>
            <w:r w:rsidRPr="00881BC8">
              <w:rPr>
                <w:noProof/>
                <w:sz w:val="20"/>
                <w:szCs w:val="20"/>
              </w:rPr>
              <w:t>28%</w:t>
            </w:r>
          </w:p>
        </w:tc>
        <w:tc>
          <w:tcPr>
            <w:tcW w:w="975" w:type="dxa"/>
          </w:tcPr>
          <w:p w14:paraId="3ECC188D" w14:textId="223B9795" w:rsidR="00E810E3" w:rsidRPr="00881BC8" w:rsidRDefault="0068428B" w:rsidP="00894848">
            <w:pPr>
              <w:spacing w:after="0" w:line="259" w:lineRule="auto"/>
              <w:rPr>
                <w:noProof/>
                <w:sz w:val="20"/>
                <w:szCs w:val="20"/>
              </w:rPr>
            </w:pPr>
            <w:r w:rsidRPr="00881BC8">
              <w:rPr>
                <w:noProof/>
                <w:sz w:val="20"/>
                <w:szCs w:val="20"/>
              </w:rPr>
              <w:t>43%</w:t>
            </w:r>
          </w:p>
        </w:tc>
      </w:tr>
      <w:tr w:rsidR="00E47328" w:rsidRPr="00881BC8" w14:paraId="0F554CBC" w14:textId="77777777" w:rsidTr="00894848">
        <w:tc>
          <w:tcPr>
            <w:tcW w:w="6658" w:type="dxa"/>
          </w:tcPr>
          <w:p w14:paraId="6715EDAB" w14:textId="1A1A671C" w:rsidR="00E810E3" w:rsidRPr="00881BC8" w:rsidRDefault="00663A30" w:rsidP="00894848">
            <w:pPr>
              <w:spacing w:after="0" w:line="259" w:lineRule="auto"/>
              <w:rPr>
                <w:noProof/>
                <w:sz w:val="20"/>
                <w:szCs w:val="20"/>
              </w:rPr>
            </w:pPr>
            <w:r w:rsidRPr="00881BC8">
              <w:rPr>
                <w:noProof/>
                <w:sz w:val="20"/>
                <w:szCs w:val="20"/>
              </w:rPr>
              <w:t xml:space="preserve">Reduce </w:t>
            </w:r>
            <w:r w:rsidR="00F70160" w:rsidRPr="00881BC8">
              <w:rPr>
                <w:noProof/>
                <w:sz w:val="20"/>
                <w:szCs w:val="20"/>
              </w:rPr>
              <w:t xml:space="preserve">by 35% </w:t>
            </w:r>
            <w:r w:rsidRPr="00881BC8">
              <w:rPr>
                <w:noProof/>
                <w:sz w:val="20"/>
                <w:szCs w:val="20"/>
              </w:rPr>
              <w:t>the proportion of companies from individual size classes, which report late payments as an issue; the progress will be measured against the benchmark values from the 2022 SAFE survey for size classes (in 2022 between 40% and 48% of companies from each size class reported regular or occasional occurrences of late payments</w:t>
            </w:r>
            <w:r w:rsidRPr="00881BC8">
              <w:rPr>
                <w:rStyle w:val="FootnoteReference"/>
                <w:noProof/>
                <w:sz w:val="20"/>
                <w:szCs w:val="20"/>
              </w:rPr>
              <w:footnoteReference w:id="127"/>
            </w:r>
            <w:r w:rsidRPr="00881BC8">
              <w:rPr>
                <w:noProof/>
                <w:sz w:val="20"/>
                <w:szCs w:val="20"/>
              </w:rPr>
              <w:t>);</w:t>
            </w:r>
          </w:p>
        </w:tc>
        <w:tc>
          <w:tcPr>
            <w:tcW w:w="975" w:type="dxa"/>
          </w:tcPr>
          <w:p w14:paraId="21FDA360" w14:textId="77777777" w:rsidR="00E810E3" w:rsidRPr="00881BC8" w:rsidRDefault="00357191" w:rsidP="00894848">
            <w:pPr>
              <w:spacing w:after="0" w:line="259" w:lineRule="auto"/>
              <w:rPr>
                <w:noProof/>
                <w:sz w:val="20"/>
                <w:szCs w:val="20"/>
              </w:rPr>
            </w:pPr>
            <w:r w:rsidRPr="00881BC8">
              <w:rPr>
                <w:noProof/>
                <w:sz w:val="20"/>
                <w:szCs w:val="20"/>
              </w:rPr>
              <w:t>m: 26%</w:t>
            </w:r>
          </w:p>
          <w:p w14:paraId="122A901B" w14:textId="77777777" w:rsidR="00357191" w:rsidRPr="00881BC8" w:rsidRDefault="00357191" w:rsidP="00894848">
            <w:pPr>
              <w:spacing w:after="0" w:line="259" w:lineRule="auto"/>
              <w:rPr>
                <w:noProof/>
                <w:sz w:val="20"/>
                <w:szCs w:val="20"/>
              </w:rPr>
            </w:pPr>
            <w:r w:rsidRPr="00881BC8">
              <w:rPr>
                <w:noProof/>
                <w:sz w:val="20"/>
                <w:szCs w:val="20"/>
              </w:rPr>
              <w:t>S: 29%</w:t>
            </w:r>
          </w:p>
          <w:p w14:paraId="272FBEF6" w14:textId="77777777" w:rsidR="00357191" w:rsidRPr="00881BC8" w:rsidRDefault="00357191" w:rsidP="00894848">
            <w:pPr>
              <w:spacing w:after="0" w:line="259" w:lineRule="auto"/>
              <w:rPr>
                <w:noProof/>
                <w:sz w:val="20"/>
                <w:szCs w:val="20"/>
              </w:rPr>
            </w:pPr>
            <w:r w:rsidRPr="00881BC8">
              <w:rPr>
                <w:noProof/>
                <w:sz w:val="20"/>
                <w:szCs w:val="20"/>
              </w:rPr>
              <w:t>M:</w:t>
            </w:r>
            <w:r w:rsidR="00F70160" w:rsidRPr="00881BC8">
              <w:rPr>
                <w:noProof/>
                <w:sz w:val="20"/>
                <w:szCs w:val="20"/>
              </w:rPr>
              <w:t xml:space="preserve"> 31%</w:t>
            </w:r>
          </w:p>
          <w:p w14:paraId="4F4BBA39" w14:textId="718D4258" w:rsidR="00F70160" w:rsidRPr="00881BC8" w:rsidRDefault="00F70160" w:rsidP="00894848">
            <w:pPr>
              <w:spacing w:after="0" w:line="259" w:lineRule="auto"/>
              <w:rPr>
                <w:noProof/>
                <w:sz w:val="20"/>
                <w:szCs w:val="20"/>
              </w:rPr>
            </w:pPr>
          </w:p>
        </w:tc>
        <w:tc>
          <w:tcPr>
            <w:tcW w:w="975" w:type="dxa"/>
          </w:tcPr>
          <w:p w14:paraId="03481206" w14:textId="78EC8721" w:rsidR="00E810E3" w:rsidRPr="00881BC8" w:rsidRDefault="0068428B" w:rsidP="00894848">
            <w:pPr>
              <w:spacing w:after="0" w:line="259" w:lineRule="auto"/>
              <w:rPr>
                <w:noProof/>
                <w:sz w:val="20"/>
                <w:szCs w:val="20"/>
              </w:rPr>
            </w:pPr>
            <w:r w:rsidRPr="00881BC8">
              <w:rPr>
                <w:noProof/>
                <w:sz w:val="20"/>
                <w:szCs w:val="20"/>
              </w:rPr>
              <w:t>m</w:t>
            </w:r>
            <w:r w:rsidR="0041461E" w:rsidRPr="00881BC8">
              <w:rPr>
                <w:noProof/>
                <w:sz w:val="20"/>
                <w:szCs w:val="20"/>
              </w:rPr>
              <w:t>: 40%</w:t>
            </w:r>
          </w:p>
          <w:p w14:paraId="66049F34" w14:textId="5F1B97F4" w:rsidR="0068428B" w:rsidRPr="00881BC8" w:rsidRDefault="0068428B" w:rsidP="00894848">
            <w:pPr>
              <w:spacing w:after="0" w:line="259" w:lineRule="auto"/>
              <w:rPr>
                <w:noProof/>
                <w:sz w:val="20"/>
                <w:szCs w:val="20"/>
              </w:rPr>
            </w:pPr>
            <w:r w:rsidRPr="00881BC8">
              <w:rPr>
                <w:noProof/>
                <w:sz w:val="20"/>
                <w:szCs w:val="20"/>
              </w:rPr>
              <w:t>S</w:t>
            </w:r>
            <w:r w:rsidR="0041461E" w:rsidRPr="00881BC8">
              <w:rPr>
                <w:noProof/>
                <w:sz w:val="20"/>
                <w:szCs w:val="20"/>
              </w:rPr>
              <w:t>: 44%</w:t>
            </w:r>
          </w:p>
          <w:p w14:paraId="61194026" w14:textId="5B03E153" w:rsidR="0068428B" w:rsidRPr="00881BC8" w:rsidRDefault="0068428B" w:rsidP="00894848">
            <w:pPr>
              <w:spacing w:after="0" w:line="259" w:lineRule="auto"/>
              <w:rPr>
                <w:noProof/>
                <w:sz w:val="20"/>
                <w:szCs w:val="20"/>
              </w:rPr>
            </w:pPr>
            <w:r w:rsidRPr="00881BC8">
              <w:rPr>
                <w:noProof/>
                <w:sz w:val="20"/>
                <w:szCs w:val="20"/>
              </w:rPr>
              <w:t>M</w:t>
            </w:r>
            <w:r w:rsidR="0041461E" w:rsidRPr="00881BC8">
              <w:rPr>
                <w:noProof/>
                <w:sz w:val="20"/>
                <w:szCs w:val="20"/>
              </w:rPr>
              <w:t>: 47%</w:t>
            </w:r>
          </w:p>
          <w:p w14:paraId="2733F546" w14:textId="533722C1" w:rsidR="0041461E" w:rsidRPr="00881BC8" w:rsidRDefault="0041461E" w:rsidP="00894848">
            <w:pPr>
              <w:spacing w:after="0" w:line="259" w:lineRule="auto"/>
              <w:rPr>
                <w:noProof/>
                <w:sz w:val="20"/>
                <w:szCs w:val="20"/>
              </w:rPr>
            </w:pPr>
          </w:p>
        </w:tc>
      </w:tr>
    </w:tbl>
    <w:bookmarkEnd w:id="929"/>
    <w:p w14:paraId="5D563A3E" w14:textId="29A786B7" w:rsidR="009F7A76" w:rsidRPr="00881BC8" w:rsidRDefault="5F2FDA20" w:rsidP="004835F8">
      <w:pPr>
        <w:pStyle w:val="NormalPara"/>
        <w:rPr>
          <w:rFonts w:eastAsia="Times New Roman"/>
          <w:noProof/>
          <w:lang w:val="en-GB"/>
        </w:rPr>
      </w:pPr>
      <w:r w:rsidRPr="00881BC8">
        <w:rPr>
          <w:noProof/>
          <w:lang w:val="en-GB"/>
        </w:rPr>
        <w:t xml:space="preserve">The Commission would monitor and evaluate the impacts of the proposed policy option on </w:t>
      </w:r>
      <w:r w:rsidR="6983FF4A" w:rsidRPr="00881BC8">
        <w:rPr>
          <w:noProof/>
          <w:lang w:val="en-GB"/>
        </w:rPr>
        <w:t>late payments</w:t>
      </w:r>
      <w:r w:rsidR="00830B0D" w:rsidRPr="00881BC8">
        <w:rPr>
          <w:noProof/>
          <w:lang w:val="en-GB"/>
        </w:rPr>
        <w:t xml:space="preserve"> after four years from its entry into force</w:t>
      </w:r>
      <w:r w:rsidR="66836660" w:rsidRPr="00881BC8">
        <w:rPr>
          <w:noProof/>
          <w:lang w:val="en-GB"/>
        </w:rPr>
        <w:t>.</w:t>
      </w:r>
      <w:r w:rsidRPr="00881BC8">
        <w:rPr>
          <w:noProof/>
          <w:lang w:val="en-GB"/>
        </w:rPr>
        <w:t xml:space="preserve"> </w:t>
      </w:r>
      <w:r w:rsidR="009F7A76" w:rsidRPr="00881BC8">
        <w:rPr>
          <w:rFonts w:eastAsia="Times New Roman"/>
          <w:noProof/>
          <w:lang w:val="en-GB"/>
        </w:rPr>
        <w:t xml:space="preserve">The application of the EU rules and their impact </w:t>
      </w:r>
      <w:r w:rsidR="00AA221C" w:rsidRPr="00881BC8">
        <w:rPr>
          <w:rFonts w:eastAsia="Times New Roman"/>
          <w:noProof/>
          <w:lang w:val="en-GB"/>
        </w:rPr>
        <w:t>c</w:t>
      </w:r>
      <w:r w:rsidR="009F7A76" w:rsidRPr="00881BC8">
        <w:rPr>
          <w:rFonts w:eastAsia="Times New Roman"/>
          <w:noProof/>
          <w:lang w:val="en-GB"/>
        </w:rPr>
        <w:t xml:space="preserve">ould be monitored based on annual reports </w:t>
      </w:r>
      <w:r w:rsidR="00995CF4" w:rsidRPr="00881BC8">
        <w:rPr>
          <w:rFonts w:eastAsia="Times New Roman"/>
          <w:noProof/>
          <w:lang w:val="en-GB"/>
        </w:rPr>
        <w:t>usually produced by Member States on their own initiative</w:t>
      </w:r>
      <w:r w:rsidR="00995CF4" w:rsidRPr="00881BC8">
        <w:rPr>
          <w:rStyle w:val="FootnoteReference"/>
          <w:rFonts w:eastAsia="Times New Roman"/>
          <w:noProof/>
          <w:lang w:val="en-GB"/>
        </w:rPr>
        <w:footnoteReference w:id="128"/>
      </w:r>
      <w:r w:rsidR="009F7A76" w:rsidRPr="00881BC8">
        <w:rPr>
          <w:rFonts w:eastAsia="Times New Roman"/>
          <w:noProof/>
          <w:lang w:val="en-GB"/>
        </w:rPr>
        <w:t xml:space="preserve">. Such reports </w:t>
      </w:r>
      <w:r w:rsidR="00DF715F" w:rsidRPr="00881BC8">
        <w:rPr>
          <w:rFonts w:eastAsia="Times New Roman"/>
          <w:noProof/>
          <w:lang w:val="en-GB"/>
        </w:rPr>
        <w:t xml:space="preserve">usually </w:t>
      </w:r>
      <w:r w:rsidR="009F7A76" w:rsidRPr="00881BC8">
        <w:rPr>
          <w:rFonts w:eastAsia="Times New Roman"/>
          <w:noProof/>
          <w:lang w:val="en-GB"/>
        </w:rPr>
        <w:t>include detail on the payment performance of B2B in Member States and the compliance with the rules set at EU level</w:t>
      </w:r>
      <w:r w:rsidR="001B0184" w:rsidRPr="00881BC8">
        <w:rPr>
          <w:rFonts w:eastAsia="Times New Roman"/>
          <w:noProof/>
          <w:lang w:val="en-GB"/>
        </w:rPr>
        <w:t>,</w:t>
      </w:r>
      <w:r w:rsidR="009F7A76" w:rsidRPr="00881BC8">
        <w:rPr>
          <w:rFonts w:eastAsia="Times New Roman"/>
          <w:noProof/>
          <w:lang w:val="en-GB"/>
        </w:rPr>
        <w:t xml:space="preserve"> as well as the activity of enforcement authorities in terms of e.g. the number of complaints received</w:t>
      </w:r>
      <w:r w:rsidR="002E1AAA" w:rsidRPr="00881BC8">
        <w:rPr>
          <w:rFonts w:eastAsia="Times New Roman"/>
          <w:noProof/>
          <w:lang w:val="en-GB"/>
        </w:rPr>
        <w:t xml:space="preserve"> and</w:t>
      </w:r>
      <w:r w:rsidR="009F7A76" w:rsidRPr="00881BC8">
        <w:rPr>
          <w:rFonts w:eastAsia="Times New Roman"/>
          <w:noProof/>
          <w:lang w:val="en-GB"/>
        </w:rPr>
        <w:t xml:space="preserve"> the number of investigations launched. The annual reports should be discussed by the Commission and the national competent authorities. </w:t>
      </w:r>
      <w:r w:rsidR="00DF715F" w:rsidRPr="00881BC8">
        <w:rPr>
          <w:rFonts w:eastAsia="Times New Roman"/>
          <w:noProof/>
          <w:lang w:val="en-GB"/>
        </w:rPr>
        <w:t xml:space="preserve">The </w:t>
      </w:r>
      <w:r w:rsidR="0096605E" w:rsidRPr="00881BC8">
        <w:rPr>
          <w:rFonts w:eastAsia="Times New Roman"/>
          <w:noProof/>
          <w:lang w:val="en-GB"/>
        </w:rPr>
        <w:t>current pilot EU payment observatory could also support with thematic reports where necessary.</w:t>
      </w:r>
    </w:p>
    <w:p w14:paraId="13B0BE40" w14:textId="47B867E6" w:rsidR="5F2FDA20" w:rsidRPr="00881BC8" w:rsidRDefault="00940948" w:rsidP="004835F8">
      <w:pPr>
        <w:pStyle w:val="NormalPara"/>
        <w:rPr>
          <w:noProof/>
          <w:lang w:val="en-GB"/>
        </w:rPr>
      </w:pPr>
      <w:r w:rsidRPr="00881BC8">
        <w:rPr>
          <w:noProof/>
          <w:lang w:val="en-GB"/>
        </w:rPr>
        <w:t>Further information including a</w:t>
      </w:r>
      <w:r w:rsidR="5F2FDA20" w:rsidRPr="00881BC8">
        <w:rPr>
          <w:noProof/>
          <w:lang w:val="en-GB"/>
        </w:rPr>
        <w:t xml:space="preserve"> non-exhaustive list of possible monitoring indicators is shown in</w:t>
      </w:r>
      <w:r w:rsidR="0014073A" w:rsidRPr="00881BC8">
        <w:rPr>
          <w:noProof/>
          <w:lang w:val="en-GB"/>
        </w:rPr>
        <w:t xml:space="preserve"> </w:t>
      </w:r>
      <w:r w:rsidR="00D278E0" w:rsidRPr="00881BC8">
        <w:rPr>
          <w:noProof/>
          <w:lang w:val="en-GB"/>
        </w:rPr>
        <w:fldChar w:fldCharType="begin"/>
      </w:r>
      <w:r w:rsidR="00D278E0" w:rsidRPr="00881BC8">
        <w:rPr>
          <w:noProof/>
          <w:lang w:val="en-GB"/>
        </w:rPr>
        <w:instrText xml:space="preserve"> REF Annex24 \h </w:instrText>
      </w:r>
      <w:r w:rsidR="00C252A3" w:rsidRPr="00881BC8">
        <w:rPr>
          <w:noProof/>
          <w:lang w:val="en-GB"/>
        </w:rPr>
        <w:instrText xml:space="preserve"> \* MERGEFORMAT </w:instrText>
      </w:r>
      <w:r w:rsidR="00D278E0" w:rsidRPr="00881BC8">
        <w:rPr>
          <w:noProof/>
          <w:lang w:val="en-GB"/>
        </w:rPr>
      </w:r>
      <w:r w:rsidR="00D278E0" w:rsidRPr="00881BC8">
        <w:rPr>
          <w:noProof/>
          <w:lang w:val="en-GB"/>
        </w:rPr>
        <w:fldChar w:fldCharType="separate"/>
      </w:r>
      <w:r w:rsidR="005851F4" w:rsidRPr="005851F4">
        <w:rPr>
          <w:noProof/>
          <w:lang w:val="en-GB"/>
        </w:rPr>
        <w:t>Annex 24</w:t>
      </w:r>
      <w:r w:rsidR="00D278E0" w:rsidRPr="00881BC8">
        <w:rPr>
          <w:noProof/>
          <w:lang w:val="en-GB"/>
        </w:rPr>
        <w:fldChar w:fldCharType="end"/>
      </w:r>
      <w:r w:rsidR="5F2FDA20" w:rsidRPr="00881BC8">
        <w:rPr>
          <w:noProof/>
          <w:lang w:val="en-GB"/>
        </w:rPr>
        <w:t>.</w:t>
      </w:r>
    </w:p>
    <w:p w14:paraId="3C5BF1B5" w14:textId="3E58770E" w:rsidR="358513D2" w:rsidRPr="00881BC8" w:rsidRDefault="358513D2" w:rsidP="358513D2">
      <w:pPr>
        <w:rPr>
          <w:noProof/>
        </w:rPr>
      </w:pPr>
    </w:p>
    <w:p w14:paraId="148374AE" w14:textId="77777777" w:rsidR="006260C3" w:rsidRPr="00881BC8" w:rsidRDefault="006260C3" w:rsidP="00CF7B35">
      <w:pPr>
        <w:pStyle w:val="NormalWeb"/>
        <w:spacing w:before="0" w:beforeAutospacing="0" w:after="120" w:afterAutospacing="0" w:line="259" w:lineRule="auto"/>
        <w:jc w:val="both"/>
        <w:rPr>
          <w:noProof/>
        </w:rPr>
        <w:sectPr w:rsidR="006260C3" w:rsidRPr="00881BC8" w:rsidSect="00442FB4">
          <w:headerReference w:type="even" r:id="rId51"/>
          <w:headerReference w:type="default" r:id="rId52"/>
          <w:footerReference w:type="even" r:id="rId53"/>
          <w:footerReference w:type="default" r:id="rId54"/>
          <w:headerReference w:type="first" r:id="rId55"/>
          <w:footerReference w:type="first" r:id="rId56"/>
          <w:pgSz w:w="11906" w:h="16838"/>
          <w:pgMar w:top="1020" w:right="1701" w:bottom="1020" w:left="1587" w:header="601" w:footer="1077" w:gutter="0"/>
          <w:pgNumType w:start="1"/>
          <w:cols w:space="720"/>
          <w:titlePg/>
          <w:docGrid w:linePitch="326"/>
        </w:sectPr>
      </w:pPr>
    </w:p>
    <w:p w14:paraId="2D610BDE" w14:textId="7138B050" w:rsidR="00DE0C07" w:rsidRPr="00881BC8" w:rsidRDefault="00CA4347" w:rsidP="00CF2B67">
      <w:pPr>
        <w:pStyle w:val="AnnexTitle"/>
        <w:rPr>
          <w:noProof/>
        </w:rPr>
      </w:pPr>
      <w:bookmarkStart w:id="930" w:name="Annex01"/>
      <w:bookmarkStart w:id="931" w:name="_Toc129710209"/>
      <w:bookmarkStart w:id="932" w:name="_Toc129899914"/>
      <w:bookmarkStart w:id="933" w:name="_Toc135237450"/>
      <w:bookmarkStart w:id="934" w:name="_Toc128566543"/>
      <w:bookmarkStart w:id="935" w:name="_Toc128594957"/>
      <w:bookmarkStart w:id="936" w:name="_Toc128678912"/>
      <w:bookmarkStart w:id="937" w:name="_Toc128935113"/>
      <w:bookmarkStart w:id="938" w:name="_Toc129706886"/>
      <w:r w:rsidRPr="00881BC8">
        <w:rPr>
          <w:noProof/>
        </w:rPr>
        <w:t xml:space="preserve">Annex </w:t>
      </w:r>
      <w:r w:rsidR="00DE0C07" w:rsidRPr="00881BC8">
        <w:rPr>
          <w:noProof/>
        </w:rPr>
        <w:t>1</w:t>
      </w:r>
      <w:bookmarkEnd w:id="930"/>
      <w:r w:rsidR="6C3C8B1F" w:rsidRPr="00881BC8">
        <w:rPr>
          <w:noProof/>
        </w:rPr>
        <w:t>:</w:t>
      </w:r>
      <w:r w:rsidR="00DE0C07" w:rsidRPr="00881BC8">
        <w:rPr>
          <w:noProof/>
        </w:rPr>
        <w:t xml:space="preserve"> </w:t>
      </w:r>
      <w:r w:rsidR="006A1DFC" w:rsidRPr="00881BC8">
        <w:rPr>
          <w:noProof/>
        </w:rPr>
        <w:t xml:space="preserve">Procedural </w:t>
      </w:r>
      <w:bookmarkEnd w:id="931"/>
      <w:r w:rsidR="006A1DFC" w:rsidRPr="00881BC8">
        <w:rPr>
          <w:noProof/>
        </w:rPr>
        <w:t>information</w:t>
      </w:r>
      <w:bookmarkEnd w:id="932"/>
      <w:bookmarkEnd w:id="933"/>
      <w:r w:rsidR="006A1DFC" w:rsidRPr="00881BC8">
        <w:rPr>
          <w:noProof/>
        </w:rPr>
        <w:t xml:space="preserve"> </w:t>
      </w:r>
    </w:p>
    <w:p w14:paraId="7F110761" w14:textId="77777777" w:rsidR="0046505B" w:rsidRPr="00881BC8" w:rsidRDefault="0046505B" w:rsidP="004835F8">
      <w:pPr>
        <w:pStyle w:val="AnnexLevel1"/>
        <w:tabs>
          <w:tab w:val="clear" w:pos="1200"/>
        </w:tabs>
        <w:ind w:left="709"/>
        <w:rPr>
          <w:noProof/>
          <w:lang w:val="en-GB"/>
        </w:rPr>
      </w:pPr>
      <w:bookmarkStart w:id="939" w:name="_Toc113904564"/>
      <w:bookmarkStart w:id="940" w:name="_Toc113915481"/>
      <w:bookmarkStart w:id="941" w:name="_Toc113915548"/>
      <w:bookmarkStart w:id="942" w:name="_Toc113915630"/>
      <w:bookmarkStart w:id="943" w:name="_Toc114045990"/>
      <w:bookmarkStart w:id="944" w:name="_Toc114046331"/>
      <w:bookmarkStart w:id="945" w:name="_Toc114137202"/>
      <w:bookmarkStart w:id="946" w:name="_Toc126870427"/>
      <w:bookmarkStart w:id="947" w:name="_Toc126873010"/>
      <w:bookmarkStart w:id="948" w:name="_Toc126916096"/>
      <w:bookmarkStart w:id="949" w:name="_Toc126916911"/>
      <w:bookmarkStart w:id="950" w:name="_Toc126919357"/>
      <w:bookmarkStart w:id="951" w:name="_Toc126919812"/>
      <w:bookmarkStart w:id="952" w:name="_Toc126928405"/>
      <w:bookmarkStart w:id="953" w:name="_Toc126930782"/>
      <w:bookmarkStart w:id="954" w:name="_Toc129899915"/>
      <w:bookmarkStart w:id="955" w:name="_Toc88562929"/>
      <w:bookmarkEnd w:id="934"/>
      <w:bookmarkEnd w:id="935"/>
      <w:bookmarkEnd w:id="936"/>
      <w:bookmarkEnd w:id="937"/>
      <w:bookmarkEnd w:id="938"/>
      <w:r w:rsidRPr="00881BC8">
        <w:rPr>
          <w:noProof/>
          <w:lang w:val="en-GB"/>
        </w:rPr>
        <w:t>Lead DG, Decide Planning/CWP references</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r w:rsidRPr="00881BC8">
        <w:rPr>
          <w:noProof/>
          <w:lang w:val="en-GB"/>
        </w:rPr>
        <w:t xml:space="preserve"> </w:t>
      </w:r>
    </w:p>
    <w:p w14:paraId="4B551C3C" w14:textId="03955027" w:rsidR="0046505B" w:rsidRPr="00881BC8" w:rsidRDefault="0046505B" w:rsidP="004835F8">
      <w:pPr>
        <w:pStyle w:val="NormalPara"/>
        <w:rPr>
          <w:noProof/>
          <w:lang w:val="en-GB"/>
        </w:rPr>
      </w:pPr>
      <w:r w:rsidRPr="00881BC8">
        <w:rPr>
          <w:noProof/>
          <w:lang w:val="en-GB"/>
        </w:rPr>
        <w:t>This Impact Assessment Report was prepared by DG Internal Market, Industry, Entrepreneurship and SMEs (DG GROW</w:t>
      </w:r>
      <w:r w:rsidR="008F5DED" w:rsidRPr="00881BC8">
        <w:rPr>
          <w:noProof/>
          <w:lang w:val="en-GB"/>
        </w:rPr>
        <w:t>.A.2 SME unit</w:t>
      </w:r>
      <w:r w:rsidRPr="00881BC8">
        <w:rPr>
          <w:noProof/>
          <w:lang w:val="en-GB"/>
        </w:rPr>
        <w:t xml:space="preserve">). </w:t>
      </w:r>
    </w:p>
    <w:p w14:paraId="1B28F75A" w14:textId="59A02049" w:rsidR="0046505B" w:rsidRPr="00881BC8" w:rsidDel="00321913" w:rsidRDefault="0046505B" w:rsidP="004835F8">
      <w:pPr>
        <w:pStyle w:val="NormalPara"/>
        <w:rPr>
          <w:noProof/>
          <w:lang w:val="en-GB"/>
        </w:rPr>
      </w:pPr>
      <w:r w:rsidRPr="00881BC8">
        <w:rPr>
          <w:noProof/>
          <w:lang w:val="en-GB"/>
        </w:rPr>
        <w:t xml:space="preserve">The DECIDE Planning reference of the initiative </w:t>
      </w:r>
      <w:r w:rsidR="00303DFA" w:rsidRPr="00881BC8">
        <w:rPr>
          <w:noProof/>
          <w:lang w:val="en-GB"/>
        </w:rPr>
        <w:t>‘</w:t>
      </w:r>
      <w:r w:rsidRPr="00881BC8">
        <w:rPr>
          <w:noProof/>
          <w:lang w:val="en-GB"/>
        </w:rPr>
        <w:t>Revision of EU rules on late payments (Late Payments Directive)</w:t>
      </w:r>
      <w:r w:rsidR="00303DFA" w:rsidRPr="00881BC8">
        <w:rPr>
          <w:noProof/>
          <w:lang w:val="en-GB"/>
        </w:rPr>
        <w:t>’</w:t>
      </w:r>
      <w:r w:rsidRPr="00881BC8">
        <w:rPr>
          <w:noProof/>
          <w:lang w:val="en-GB"/>
        </w:rPr>
        <w:t xml:space="preserve"> is PLAN/2022/1955. The initiative is in the 2023 Commission Work Programme under the heading ‘A Europe fit for the digital age – SME relief’.</w:t>
      </w:r>
    </w:p>
    <w:p w14:paraId="0DA5EB19" w14:textId="77777777" w:rsidR="00DE0C07" w:rsidRPr="00881BC8" w:rsidRDefault="00DE0C07" w:rsidP="004835F8">
      <w:pPr>
        <w:pStyle w:val="AnnexLevel1"/>
        <w:tabs>
          <w:tab w:val="clear" w:pos="1200"/>
        </w:tabs>
        <w:ind w:left="709"/>
        <w:rPr>
          <w:noProof/>
          <w:lang w:val="en-GB"/>
        </w:rPr>
      </w:pPr>
      <w:bookmarkStart w:id="956" w:name="_Toc113904565"/>
      <w:bookmarkStart w:id="957" w:name="_Toc113915482"/>
      <w:bookmarkStart w:id="958" w:name="_Toc113915549"/>
      <w:bookmarkStart w:id="959" w:name="_Toc113915631"/>
      <w:bookmarkStart w:id="960" w:name="_Toc114045991"/>
      <w:bookmarkStart w:id="961" w:name="_Toc114046332"/>
      <w:bookmarkStart w:id="962" w:name="_Toc114137203"/>
      <w:bookmarkStart w:id="963" w:name="_Toc126870428"/>
      <w:bookmarkStart w:id="964" w:name="_Toc126873011"/>
      <w:bookmarkStart w:id="965" w:name="_Toc126916097"/>
      <w:bookmarkStart w:id="966" w:name="_Toc126916912"/>
      <w:bookmarkStart w:id="967" w:name="_Toc126919358"/>
      <w:bookmarkStart w:id="968" w:name="_Toc126919813"/>
      <w:bookmarkStart w:id="969" w:name="_Toc126928406"/>
      <w:bookmarkStart w:id="970" w:name="_Toc126930783"/>
      <w:bookmarkStart w:id="971" w:name="_Toc129899916"/>
      <w:r w:rsidRPr="00881BC8">
        <w:rPr>
          <w:noProof/>
          <w:lang w:val="en-GB"/>
        </w:rPr>
        <w:t>Organisation and timing</w:t>
      </w:r>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r w:rsidRPr="00881BC8">
        <w:rPr>
          <w:noProof/>
          <w:lang w:val="en-GB"/>
        </w:rPr>
        <w:t xml:space="preserve"> </w:t>
      </w:r>
    </w:p>
    <w:p w14:paraId="3138E8C9" w14:textId="77777777" w:rsidR="0046505B" w:rsidRPr="00881BC8" w:rsidRDefault="0046505B" w:rsidP="004835F8">
      <w:pPr>
        <w:pStyle w:val="NormalPara"/>
        <w:rPr>
          <w:noProof/>
          <w:lang w:val="en-GB"/>
        </w:rPr>
      </w:pPr>
      <w:r w:rsidRPr="00881BC8">
        <w:rPr>
          <w:noProof/>
          <w:lang w:val="en-GB"/>
        </w:rPr>
        <w:t xml:space="preserve">Three Inter-Service Steering Group (ISSG) meetings, consisting of representatives from various Directorates-General of the Commission, were held in 2022 and 2023 during the preparation stage of this impact assessment. </w:t>
      </w:r>
    </w:p>
    <w:p w14:paraId="6F474487" w14:textId="77777777" w:rsidR="0046505B" w:rsidRPr="00881BC8" w:rsidRDefault="0046505B" w:rsidP="004835F8">
      <w:pPr>
        <w:pStyle w:val="NormalPara"/>
        <w:rPr>
          <w:noProof/>
          <w:lang w:val="en-GB"/>
        </w:rPr>
      </w:pPr>
      <w:r w:rsidRPr="00881BC8">
        <w:rPr>
          <w:noProof/>
          <w:lang w:val="en-GB"/>
        </w:rPr>
        <w:t>The first meeting took place on 24 November 2022, attended by the Secretariat General, the Legal Service, AGRI, EMPL, ENER, GROW and REFORM. Also JRC attended.</w:t>
      </w:r>
    </w:p>
    <w:p w14:paraId="1C1CE342" w14:textId="77777777" w:rsidR="0046505B" w:rsidRPr="00881BC8" w:rsidRDefault="0046505B" w:rsidP="004835F8">
      <w:pPr>
        <w:pStyle w:val="NormalPara"/>
        <w:rPr>
          <w:noProof/>
          <w:sz w:val="22"/>
          <w:szCs w:val="22"/>
          <w:lang w:val="en-GB"/>
        </w:rPr>
      </w:pPr>
      <w:r w:rsidRPr="00881BC8">
        <w:rPr>
          <w:noProof/>
          <w:lang w:val="en-GB"/>
        </w:rPr>
        <w:t>The second meeting was held on 9 March 2023, attended by the Secretariat General, AGRI, COMP, ECFIN, EISMEA, ENER, GROW, JUST, REFORM and TAXUD. The Legal Service was excused but sent comments by email prior to the meeting.</w:t>
      </w:r>
    </w:p>
    <w:p w14:paraId="1B472A54" w14:textId="16B28B1E" w:rsidR="0046505B" w:rsidRPr="00881BC8" w:rsidRDefault="0046505B" w:rsidP="004835F8">
      <w:pPr>
        <w:pStyle w:val="NormalPara"/>
        <w:rPr>
          <w:noProof/>
          <w:lang w:val="en-GB"/>
        </w:rPr>
      </w:pPr>
      <w:r w:rsidRPr="00881BC8">
        <w:rPr>
          <w:noProof/>
          <w:lang w:val="en-GB"/>
        </w:rPr>
        <w:t xml:space="preserve">The third meeting was held on 28 March 2023. Representatives from the Secretariat General, the Legal Service, </w:t>
      </w:r>
      <w:r w:rsidR="008301F9" w:rsidRPr="00881BC8">
        <w:rPr>
          <w:noProof/>
          <w:lang w:val="en-GB"/>
        </w:rPr>
        <w:t>AGRI, COMP, ECFIN, EISMEA, FISMA, JUST, TAXUD</w:t>
      </w:r>
      <w:r w:rsidRPr="00881BC8">
        <w:rPr>
          <w:noProof/>
          <w:lang w:val="en-GB"/>
        </w:rPr>
        <w:t xml:space="preserve">, </w:t>
      </w:r>
      <w:r w:rsidR="008301F9" w:rsidRPr="00881BC8">
        <w:rPr>
          <w:noProof/>
          <w:lang w:val="en-GB"/>
        </w:rPr>
        <w:t xml:space="preserve">and </w:t>
      </w:r>
      <w:r w:rsidRPr="00881BC8">
        <w:rPr>
          <w:noProof/>
          <w:lang w:val="en-GB"/>
        </w:rPr>
        <w:t>GROW were present.</w:t>
      </w:r>
    </w:p>
    <w:p w14:paraId="142F99B5" w14:textId="77777777" w:rsidR="0046505B" w:rsidRPr="00881BC8" w:rsidRDefault="0046505B" w:rsidP="004835F8">
      <w:pPr>
        <w:pStyle w:val="NormalPara"/>
        <w:rPr>
          <w:noProof/>
          <w:lang w:val="en-GB"/>
        </w:rPr>
      </w:pPr>
      <w:r w:rsidRPr="00881BC8">
        <w:rPr>
          <w:noProof/>
          <w:lang w:val="en-GB"/>
        </w:rPr>
        <w:t xml:space="preserve">All the meetings were chaired by DG GROW. </w:t>
      </w:r>
    </w:p>
    <w:p w14:paraId="01286948" w14:textId="77777777" w:rsidR="0046505B" w:rsidRPr="00881BC8" w:rsidRDefault="0046505B" w:rsidP="004835F8">
      <w:pPr>
        <w:pStyle w:val="NormalPara"/>
        <w:rPr>
          <w:noProof/>
          <w:lang w:val="en-GB"/>
        </w:rPr>
      </w:pPr>
      <w:r w:rsidRPr="00881BC8">
        <w:rPr>
          <w:noProof/>
          <w:lang w:val="en-GB"/>
        </w:rPr>
        <w:t xml:space="preserve">DG GROW has considered the comments made by DGs in the intermediate and final version of the IA. </w:t>
      </w:r>
    </w:p>
    <w:p w14:paraId="0660BCAC" w14:textId="2AD37C09" w:rsidR="0046505B" w:rsidRPr="00881BC8" w:rsidRDefault="0046505B" w:rsidP="004835F8">
      <w:pPr>
        <w:pStyle w:val="AnnexLevel1"/>
        <w:tabs>
          <w:tab w:val="clear" w:pos="1200"/>
        </w:tabs>
        <w:ind w:left="709"/>
        <w:rPr>
          <w:noProof/>
          <w:lang w:val="en-GB"/>
        </w:rPr>
      </w:pPr>
      <w:bookmarkStart w:id="972" w:name="_Toc113904566"/>
      <w:bookmarkStart w:id="973" w:name="_Toc113915483"/>
      <w:bookmarkStart w:id="974" w:name="_Toc113915550"/>
      <w:bookmarkStart w:id="975" w:name="_Toc113915632"/>
      <w:bookmarkStart w:id="976" w:name="_Toc114045992"/>
      <w:bookmarkStart w:id="977" w:name="_Toc114046333"/>
      <w:bookmarkStart w:id="978" w:name="_Toc114137204"/>
      <w:bookmarkStart w:id="979" w:name="_Toc126870429"/>
      <w:bookmarkStart w:id="980" w:name="_Toc126873012"/>
      <w:bookmarkStart w:id="981" w:name="_Toc126916098"/>
      <w:bookmarkStart w:id="982" w:name="_Toc126916913"/>
      <w:bookmarkStart w:id="983" w:name="_Toc126919359"/>
      <w:bookmarkStart w:id="984" w:name="_Toc126919814"/>
      <w:bookmarkStart w:id="985" w:name="_Toc126928407"/>
      <w:bookmarkStart w:id="986" w:name="_Toc126930784"/>
      <w:bookmarkStart w:id="987" w:name="_Toc129899917"/>
      <w:r w:rsidRPr="00881BC8">
        <w:rPr>
          <w:noProof/>
          <w:lang w:val="en-GB"/>
        </w:rPr>
        <w:t>Consultation of the R</w:t>
      </w:r>
      <w:r w:rsidR="008F5DED" w:rsidRPr="00881BC8">
        <w:rPr>
          <w:noProof/>
          <w:lang w:val="en-GB"/>
        </w:rPr>
        <w:t xml:space="preserve">egulatory </w:t>
      </w:r>
      <w:r w:rsidRPr="00881BC8">
        <w:rPr>
          <w:noProof/>
          <w:lang w:val="en-GB"/>
        </w:rPr>
        <w:t>S</w:t>
      </w:r>
      <w:r w:rsidR="008F5DED" w:rsidRPr="00881BC8">
        <w:rPr>
          <w:noProof/>
          <w:lang w:val="en-GB"/>
        </w:rPr>
        <w:t xml:space="preserve">crutiny </w:t>
      </w:r>
      <w:r w:rsidRPr="00881BC8">
        <w:rPr>
          <w:noProof/>
          <w:lang w:val="en-GB"/>
        </w:rPr>
        <w:t>B</w:t>
      </w:r>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r w:rsidR="008F5DED" w:rsidRPr="00881BC8">
        <w:rPr>
          <w:noProof/>
          <w:lang w:val="en-GB"/>
        </w:rPr>
        <w:t>oard</w:t>
      </w:r>
      <w:r w:rsidRPr="00881BC8">
        <w:rPr>
          <w:noProof/>
          <w:lang w:val="en-GB"/>
        </w:rPr>
        <w:t xml:space="preserve"> </w:t>
      </w:r>
    </w:p>
    <w:p w14:paraId="4832CB16" w14:textId="31655EE4" w:rsidR="0046505B" w:rsidRPr="00881BC8" w:rsidRDefault="0046505B" w:rsidP="004835F8">
      <w:pPr>
        <w:pStyle w:val="NormalPara"/>
        <w:rPr>
          <w:noProof/>
          <w:lang w:val="en-GB"/>
        </w:rPr>
      </w:pPr>
      <w:r w:rsidRPr="00881BC8">
        <w:rPr>
          <w:noProof/>
          <w:lang w:val="en-GB"/>
        </w:rPr>
        <w:t>An Upstream meeting with the Regulatory Scrutiny Board was held on 17 February 2023.</w:t>
      </w:r>
      <w:r w:rsidR="00304B30" w:rsidRPr="00881BC8">
        <w:rPr>
          <w:noProof/>
          <w:lang w:val="en-GB"/>
        </w:rPr>
        <w:t xml:space="preserve"> The impact assessment was submitted to the RSB on 12 April 2023. The impact assessment was discussed with the RSB on 10 May 2023, and the RSB issued a positive opinion with reservations on 12 May 2023. Based on the RSB recommendations, the impact assessment has been revised in accordance with the following points.</w:t>
      </w:r>
    </w:p>
    <w:tbl>
      <w:tblPr>
        <w:tblStyle w:val="TableGrid"/>
        <w:tblW w:w="0" w:type="auto"/>
        <w:tblLook w:val="04A0" w:firstRow="1" w:lastRow="0" w:firstColumn="1" w:lastColumn="0" w:noHBand="0" w:noVBand="1"/>
      </w:tblPr>
      <w:tblGrid>
        <w:gridCol w:w="4304"/>
        <w:gridCol w:w="4304"/>
      </w:tblGrid>
      <w:tr w:rsidR="00304B30" w:rsidRPr="00881BC8" w14:paraId="1B18BBFE" w14:textId="77777777" w:rsidTr="00304B30">
        <w:tc>
          <w:tcPr>
            <w:tcW w:w="4304" w:type="dxa"/>
          </w:tcPr>
          <w:p w14:paraId="6B8C254D" w14:textId="614B6A0A" w:rsidR="00304B30" w:rsidRPr="00881BC8" w:rsidRDefault="00304B30" w:rsidP="00304B30">
            <w:pPr>
              <w:pStyle w:val="NormalPara"/>
              <w:numPr>
                <w:ilvl w:val="0"/>
                <w:numId w:val="0"/>
              </w:numPr>
              <w:rPr>
                <w:b/>
                <w:bCs/>
                <w:noProof/>
                <w:lang w:val="en-GB"/>
              </w:rPr>
            </w:pPr>
            <w:r w:rsidRPr="00881BC8">
              <w:rPr>
                <w:b/>
                <w:bCs/>
                <w:noProof/>
                <w:lang w:val="en-GB"/>
              </w:rPr>
              <w:t>RSB Recommendations</w:t>
            </w:r>
          </w:p>
        </w:tc>
        <w:tc>
          <w:tcPr>
            <w:tcW w:w="4304" w:type="dxa"/>
          </w:tcPr>
          <w:p w14:paraId="7A7FFCF8" w14:textId="411941BE" w:rsidR="00304B30" w:rsidRPr="00881BC8" w:rsidRDefault="00304B30" w:rsidP="00304B30">
            <w:pPr>
              <w:pStyle w:val="NormalPara"/>
              <w:numPr>
                <w:ilvl w:val="0"/>
                <w:numId w:val="0"/>
              </w:numPr>
              <w:rPr>
                <w:b/>
                <w:bCs/>
                <w:noProof/>
                <w:lang w:val="en-GB"/>
              </w:rPr>
            </w:pPr>
            <w:r w:rsidRPr="00881BC8">
              <w:rPr>
                <w:b/>
                <w:bCs/>
                <w:noProof/>
                <w:lang w:val="en-GB"/>
              </w:rPr>
              <w:t>Revisions introduced</w:t>
            </w:r>
          </w:p>
        </w:tc>
      </w:tr>
      <w:tr w:rsidR="00304B30" w:rsidRPr="00881BC8" w14:paraId="65A66462" w14:textId="77777777" w:rsidTr="00304B30">
        <w:tc>
          <w:tcPr>
            <w:tcW w:w="4304" w:type="dxa"/>
          </w:tcPr>
          <w:p w14:paraId="1EF0C988" w14:textId="2F1B647C" w:rsidR="00304B30" w:rsidRPr="00881BC8" w:rsidRDefault="00EB3769" w:rsidP="00304B30">
            <w:pPr>
              <w:pStyle w:val="NormalPara"/>
              <w:numPr>
                <w:ilvl w:val="0"/>
                <w:numId w:val="0"/>
              </w:numPr>
              <w:rPr>
                <w:b/>
                <w:bCs/>
                <w:noProof/>
                <w:lang w:val="en-GB"/>
              </w:rPr>
            </w:pPr>
            <w:r w:rsidRPr="00881BC8">
              <w:rPr>
                <w:b/>
                <w:bCs/>
                <w:noProof/>
                <w:lang w:val="en-GB"/>
              </w:rPr>
              <w:t>(B) Summary of findings</w:t>
            </w:r>
          </w:p>
        </w:tc>
        <w:tc>
          <w:tcPr>
            <w:tcW w:w="4304" w:type="dxa"/>
          </w:tcPr>
          <w:p w14:paraId="16701A1C" w14:textId="77777777" w:rsidR="00304B30" w:rsidRPr="00881BC8" w:rsidRDefault="00304B30" w:rsidP="00304B30">
            <w:pPr>
              <w:pStyle w:val="NormalPara"/>
              <w:numPr>
                <w:ilvl w:val="0"/>
                <w:numId w:val="0"/>
              </w:numPr>
              <w:rPr>
                <w:b/>
                <w:bCs/>
                <w:noProof/>
                <w:lang w:val="en-GB"/>
              </w:rPr>
            </w:pPr>
          </w:p>
        </w:tc>
      </w:tr>
      <w:tr w:rsidR="00304B30" w:rsidRPr="00881BC8" w14:paraId="7D65E44F" w14:textId="77777777" w:rsidTr="00304B30">
        <w:tc>
          <w:tcPr>
            <w:tcW w:w="4304" w:type="dxa"/>
          </w:tcPr>
          <w:p w14:paraId="3B65F6FE" w14:textId="5690F93D" w:rsidR="00304B30" w:rsidRPr="00881BC8" w:rsidRDefault="00EB3769" w:rsidP="00F949A3">
            <w:pPr>
              <w:pStyle w:val="NormalPara"/>
              <w:numPr>
                <w:ilvl w:val="0"/>
                <w:numId w:val="0"/>
              </w:numPr>
              <w:rPr>
                <w:noProof/>
                <w:lang w:val="en-GB"/>
              </w:rPr>
            </w:pPr>
            <w:r w:rsidRPr="00881BC8">
              <w:rPr>
                <w:noProof/>
                <w:lang w:val="en-GB"/>
              </w:rPr>
              <w:t>(1) The report does not sufficiently explain the choice of a Regulation rather than a Directive as the preferred legal instrument to address the identified problems.</w:t>
            </w:r>
          </w:p>
        </w:tc>
        <w:tc>
          <w:tcPr>
            <w:tcW w:w="4304" w:type="dxa"/>
          </w:tcPr>
          <w:p w14:paraId="51C13D9F" w14:textId="3057E86D" w:rsidR="00304B30" w:rsidRPr="00881BC8" w:rsidRDefault="00E80FAD" w:rsidP="00304B30">
            <w:pPr>
              <w:pStyle w:val="NormalPara"/>
              <w:numPr>
                <w:ilvl w:val="0"/>
                <w:numId w:val="0"/>
              </w:numPr>
              <w:rPr>
                <w:noProof/>
                <w:lang w:val="en-GB"/>
              </w:rPr>
            </w:pPr>
            <w:r w:rsidRPr="00881BC8">
              <w:rPr>
                <w:noProof/>
                <w:lang w:val="en-GB"/>
              </w:rPr>
              <w:t xml:space="preserve">The report has been significantly revised to include the choice of a </w:t>
            </w:r>
            <w:r w:rsidR="00F005D6" w:rsidRPr="00881BC8">
              <w:rPr>
                <w:noProof/>
                <w:lang w:val="en-GB"/>
              </w:rPr>
              <w:t>r</w:t>
            </w:r>
            <w:r w:rsidRPr="00881BC8">
              <w:rPr>
                <w:noProof/>
                <w:lang w:val="en-GB"/>
              </w:rPr>
              <w:t xml:space="preserve">egulation vs. a </w:t>
            </w:r>
            <w:r w:rsidR="00F005D6" w:rsidRPr="00881BC8">
              <w:rPr>
                <w:noProof/>
                <w:lang w:val="en-GB"/>
              </w:rPr>
              <w:t>d</w:t>
            </w:r>
            <w:r w:rsidRPr="00881BC8">
              <w:rPr>
                <w:noProof/>
                <w:lang w:val="en-GB"/>
              </w:rPr>
              <w:t xml:space="preserve">irective as a fully assessed </w:t>
            </w:r>
            <w:r w:rsidR="00EC5351">
              <w:rPr>
                <w:noProof/>
                <w:lang w:val="en-GB"/>
              </w:rPr>
              <w:t xml:space="preserve">policy </w:t>
            </w:r>
            <w:r w:rsidRPr="00881BC8">
              <w:rPr>
                <w:noProof/>
                <w:lang w:val="en-GB"/>
              </w:rPr>
              <w:t xml:space="preserve">choice in section </w:t>
            </w:r>
            <w:r w:rsidR="005851F4">
              <w:rPr>
                <w:noProof/>
                <w:lang w:val="en-GB"/>
              </w:rPr>
              <w:t>8</w:t>
            </w:r>
            <w:r w:rsidRPr="00881BC8">
              <w:rPr>
                <w:noProof/>
                <w:lang w:val="en-GB"/>
              </w:rPr>
              <w:t xml:space="preserve">. Section </w:t>
            </w:r>
            <w:r w:rsidR="005851F4">
              <w:rPr>
                <w:noProof/>
                <w:lang w:val="en-GB"/>
              </w:rPr>
              <w:t>8</w:t>
            </w:r>
            <w:r w:rsidRPr="00881BC8">
              <w:rPr>
                <w:noProof/>
                <w:lang w:val="en-GB"/>
              </w:rPr>
              <w:t xml:space="preserve"> has been revised to show clearly how a Regulation or a Directive would apply to the policy measures contained in the Preferred Option. Furthermore, section </w:t>
            </w:r>
            <w:r w:rsidR="005851F4">
              <w:rPr>
                <w:noProof/>
                <w:lang w:val="en-GB"/>
              </w:rPr>
              <w:t>5.3</w:t>
            </w:r>
            <w:r w:rsidRPr="00881BC8">
              <w:rPr>
                <w:noProof/>
                <w:lang w:val="en-GB"/>
              </w:rPr>
              <w:t xml:space="preserve"> has been revised to explain clearly the differences between a Regulation and a Directive.</w:t>
            </w:r>
          </w:p>
        </w:tc>
      </w:tr>
      <w:tr w:rsidR="00EB3769" w:rsidRPr="00881BC8" w14:paraId="128C0B50" w14:textId="77777777" w:rsidTr="00304B30">
        <w:tc>
          <w:tcPr>
            <w:tcW w:w="4304" w:type="dxa"/>
          </w:tcPr>
          <w:p w14:paraId="6E63C1AE" w14:textId="05DEA033" w:rsidR="00EB3769" w:rsidRPr="00881BC8" w:rsidRDefault="00EB3769" w:rsidP="00EB3769">
            <w:pPr>
              <w:pStyle w:val="NormalPara"/>
              <w:rPr>
                <w:noProof/>
                <w:lang w:val="en-GB"/>
              </w:rPr>
            </w:pPr>
            <w:r w:rsidRPr="00881BC8">
              <w:rPr>
                <w:noProof/>
                <w:lang w:val="en-GB"/>
              </w:rPr>
              <w:t>(2) It does not sufficiently assess and compare the impacts of the options as a Regulation or as a Directive respectively.</w:t>
            </w:r>
          </w:p>
        </w:tc>
        <w:tc>
          <w:tcPr>
            <w:tcW w:w="4304" w:type="dxa"/>
          </w:tcPr>
          <w:p w14:paraId="040A19CA" w14:textId="3B750714" w:rsidR="00EB3769" w:rsidRPr="00881BC8" w:rsidRDefault="00E80FAD" w:rsidP="00304B30">
            <w:pPr>
              <w:pStyle w:val="NormalPara"/>
              <w:numPr>
                <w:ilvl w:val="0"/>
                <w:numId w:val="0"/>
              </w:numPr>
              <w:rPr>
                <w:noProof/>
                <w:lang w:val="en-GB"/>
              </w:rPr>
            </w:pPr>
            <w:r w:rsidRPr="00881BC8">
              <w:rPr>
                <w:noProof/>
                <w:lang w:val="en-GB"/>
              </w:rPr>
              <w:t xml:space="preserve">The two options for the legal form have been compared to each other against the criteria of effectiveness, efficiency, coherence, proportionality and subsidiarity in </w:t>
            </w:r>
            <w:r w:rsidR="00CF5CB6" w:rsidRPr="00881BC8">
              <w:rPr>
                <w:noProof/>
                <w:lang w:val="en-GB"/>
              </w:rPr>
              <w:t>s</w:t>
            </w:r>
            <w:r w:rsidRPr="00881BC8">
              <w:rPr>
                <w:noProof/>
                <w:lang w:val="en-GB"/>
              </w:rPr>
              <w:t xml:space="preserve">ection </w:t>
            </w:r>
            <w:r w:rsidR="005851F4">
              <w:rPr>
                <w:noProof/>
                <w:lang w:val="en-GB"/>
              </w:rPr>
              <w:t>8</w:t>
            </w:r>
            <w:r w:rsidRPr="00881BC8">
              <w:rPr>
                <w:noProof/>
                <w:lang w:val="en-GB"/>
              </w:rPr>
              <w:t>. Advantages and drawbacks for each choice have been explicitly added in order to allow for an informed political choice.</w:t>
            </w:r>
          </w:p>
        </w:tc>
      </w:tr>
      <w:tr w:rsidR="00EB3769" w:rsidRPr="00881BC8" w14:paraId="5D28C786" w14:textId="77777777" w:rsidTr="00304B30">
        <w:tc>
          <w:tcPr>
            <w:tcW w:w="4304" w:type="dxa"/>
          </w:tcPr>
          <w:p w14:paraId="11F4BCDE" w14:textId="402E33F6" w:rsidR="00EB3769" w:rsidRPr="00881BC8" w:rsidRDefault="00EB3769" w:rsidP="00EB3769">
            <w:pPr>
              <w:pStyle w:val="NormalPara"/>
              <w:rPr>
                <w:b/>
                <w:bCs/>
                <w:noProof/>
                <w:lang w:val="en-GB"/>
              </w:rPr>
            </w:pPr>
            <w:r w:rsidRPr="00881BC8">
              <w:rPr>
                <w:b/>
                <w:bCs/>
                <w:noProof/>
                <w:lang w:val="en-GB"/>
              </w:rPr>
              <w:t>(C) What to improve</w:t>
            </w:r>
          </w:p>
        </w:tc>
        <w:tc>
          <w:tcPr>
            <w:tcW w:w="4304" w:type="dxa"/>
          </w:tcPr>
          <w:p w14:paraId="74FE5C53" w14:textId="77777777" w:rsidR="00EB3769" w:rsidRPr="00881BC8" w:rsidRDefault="00EB3769" w:rsidP="00304B30">
            <w:pPr>
              <w:pStyle w:val="NormalPara"/>
              <w:numPr>
                <w:ilvl w:val="0"/>
                <w:numId w:val="0"/>
              </w:numPr>
              <w:rPr>
                <w:b/>
                <w:bCs/>
                <w:noProof/>
                <w:lang w:val="en-GB"/>
              </w:rPr>
            </w:pPr>
          </w:p>
        </w:tc>
      </w:tr>
      <w:tr w:rsidR="00EB3769" w:rsidRPr="00881BC8" w14:paraId="10BD57CD" w14:textId="77777777" w:rsidTr="00304B30">
        <w:tc>
          <w:tcPr>
            <w:tcW w:w="4304" w:type="dxa"/>
          </w:tcPr>
          <w:p w14:paraId="67495A94" w14:textId="11EAC738" w:rsidR="00EB3769" w:rsidRPr="00881BC8" w:rsidRDefault="00EB3769" w:rsidP="00EB3769">
            <w:pPr>
              <w:pStyle w:val="NormalPara"/>
              <w:rPr>
                <w:noProof/>
                <w:lang w:val="en-GB"/>
              </w:rPr>
            </w:pPr>
            <w:r w:rsidRPr="00881BC8">
              <w:rPr>
                <w:noProof/>
                <w:lang w:val="en-GB"/>
              </w:rPr>
              <w:t>(1) The report should clearly outline those provisions that would be directly applicable and those that leave discretion to Member States. It should clarify how these provisions fit best in one legal instrument or another (Regulation or Directive). In the case of the definition of ‘unfair practices’, it should explain how leaving this to Member States is compatible with the need for legal certainty.</w:t>
            </w:r>
          </w:p>
        </w:tc>
        <w:tc>
          <w:tcPr>
            <w:tcW w:w="4304" w:type="dxa"/>
          </w:tcPr>
          <w:p w14:paraId="0424BEEE" w14:textId="4C9DFF21" w:rsidR="00EB3769" w:rsidRPr="00881BC8" w:rsidRDefault="00E80FAD" w:rsidP="00304B30">
            <w:pPr>
              <w:pStyle w:val="NormalPara"/>
              <w:numPr>
                <w:ilvl w:val="0"/>
                <w:numId w:val="0"/>
              </w:numPr>
              <w:rPr>
                <w:noProof/>
                <w:lang w:val="en-GB"/>
              </w:rPr>
            </w:pPr>
            <w:r w:rsidRPr="00881BC8">
              <w:rPr>
                <w:noProof/>
                <w:lang w:val="en-GB"/>
              </w:rPr>
              <w:t xml:space="preserve">The possible legal instruments (Regulation and Directive) have been explicitly clarified and described in sections </w:t>
            </w:r>
            <w:r w:rsidR="005851F4">
              <w:rPr>
                <w:noProof/>
                <w:lang w:val="en-GB"/>
              </w:rPr>
              <w:t>5.3</w:t>
            </w:r>
            <w:r w:rsidRPr="00881BC8">
              <w:rPr>
                <w:noProof/>
                <w:lang w:val="en-GB"/>
              </w:rPr>
              <w:t xml:space="preserve"> and </w:t>
            </w:r>
            <w:r w:rsidR="005851F4">
              <w:rPr>
                <w:noProof/>
                <w:lang w:val="en-GB"/>
              </w:rPr>
              <w:t>8</w:t>
            </w:r>
            <w:r w:rsidRPr="00881BC8">
              <w:rPr>
                <w:noProof/>
                <w:lang w:val="en-GB"/>
              </w:rPr>
              <w:t>. Section</w:t>
            </w:r>
            <w:r w:rsidR="00862604" w:rsidRPr="00881BC8">
              <w:rPr>
                <w:noProof/>
                <w:lang w:val="en-GB"/>
              </w:rPr>
              <w:t xml:space="preserve"> </w:t>
            </w:r>
            <w:r w:rsidR="005851F4">
              <w:rPr>
                <w:noProof/>
                <w:lang w:val="en-GB"/>
              </w:rPr>
              <w:t>5.3</w:t>
            </w:r>
            <w:r w:rsidRPr="00881BC8">
              <w:rPr>
                <w:noProof/>
                <w:lang w:val="en-GB"/>
              </w:rPr>
              <w:t xml:space="preserve"> now clearly explains how a </w:t>
            </w:r>
            <w:r w:rsidR="00F005D6" w:rsidRPr="00881BC8">
              <w:rPr>
                <w:noProof/>
                <w:lang w:val="en-GB"/>
              </w:rPr>
              <w:t>r</w:t>
            </w:r>
            <w:r w:rsidRPr="00881BC8">
              <w:rPr>
                <w:noProof/>
                <w:lang w:val="en-GB"/>
              </w:rPr>
              <w:t xml:space="preserve">egulation would differ from a </w:t>
            </w:r>
            <w:r w:rsidR="00F005D6" w:rsidRPr="00881BC8">
              <w:rPr>
                <w:noProof/>
                <w:lang w:val="en-GB"/>
              </w:rPr>
              <w:t>d</w:t>
            </w:r>
            <w:r w:rsidRPr="00881BC8">
              <w:rPr>
                <w:noProof/>
                <w:lang w:val="en-GB"/>
              </w:rPr>
              <w:t xml:space="preserve">irective. Section 8 now explicitly describes how each policy measure would be applied both under a </w:t>
            </w:r>
            <w:r w:rsidR="00F005D6" w:rsidRPr="00881BC8">
              <w:rPr>
                <w:noProof/>
                <w:lang w:val="en-GB"/>
              </w:rPr>
              <w:t>r</w:t>
            </w:r>
            <w:r w:rsidRPr="00881BC8">
              <w:rPr>
                <w:noProof/>
                <w:lang w:val="en-GB"/>
              </w:rPr>
              <w:t xml:space="preserve">egulation and under a </w:t>
            </w:r>
            <w:r w:rsidR="00F005D6" w:rsidRPr="00881BC8">
              <w:rPr>
                <w:noProof/>
                <w:lang w:val="en-GB"/>
              </w:rPr>
              <w:t>d</w:t>
            </w:r>
            <w:r w:rsidRPr="00881BC8">
              <w:rPr>
                <w:noProof/>
                <w:lang w:val="en-GB"/>
              </w:rPr>
              <w:t xml:space="preserve">irective. </w:t>
            </w:r>
            <w:r w:rsidR="00C76F16" w:rsidRPr="00881BC8">
              <w:rPr>
                <w:noProof/>
                <w:lang w:val="en-GB"/>
              </w:rPr>
              <w:t xml:space="preserve">For the definition of unfair practices, the report has been revised to clarify how leaving this to Member States is compatible with a </w:t>
            </w:r>
            <w:r w:rsidR="00F005D6" w:rsidRPr="00881BC8">
              <w:rPr>
                <w:noProof/>
                <w:lang w:val="en-GB"/>
              </w:rPr>
              <w:t>r</w:t>
            </w:r>
            <w:r w:rsidR="00C76F16" w:rsidRPr="00881BC8">
              <w:rPr>
                <w:noProof/>
                <w:lang w:val="en-GB"/>
              </w:rPr>
              <w:t>egulation.</w:t>
            </w:r>
          </w:p>
        </w:tc>
      </w:tr>
      <w:tr w:rsidR="00EB3769" w:rsidRPr="00881BC8" w14:paraId="7F0A4FDE" w14:textId="77777777" w:rsidTr="00304B30">
        <w:tc>
          <w:tcPr>
            <w:tcW w:w="4304" w:type="dxa"/>
          </w:tcPr>
          <w:p w14:paraId="5503AFB7" w14:textId="66D5536B" w:rsidR="00EB3769" w:rsidRPr="00881BC8" w:rsidRDefault="00EB3769" w:rsidP="00EB3769">
            <w:pPr>
              <w:pStyle w:val="NormalPara"/>
              <w:rPr>
                <w:noProof/>
                <w:lang w:val="en-GB"/>
              </w:rPr>
            </w:pPr>
            <w:r w:rsidRPr="00881BC8">
              <w:rPr>
                <w:noProof/>
                <w:lang w:val="en-GB"/>
              </w:rPr>
              <w:t>(2) The report should assess the impacts related to the choice of legal delivery instrument and compare the options in terms of effectiveness, efficiency and coherence under each instrument. To inform better the policy choice, it should better describe the advantages and disadvantages of the preferred legal instrument.</w:t>
            </w:r>
          </w:p>
        </w:tc>
        <w:tc>
          <w:tcPr>
            <w:tcW w:w="4304" w:type="dxa"/>
          </w:tcPr>
          <w:p w14:paraId="0978EC34" w14:textId="67AFD052" w:rsidR="00EB3769" w:rsidRPr="00881BC8" w:rsidRDefault="00C76F16" w:rsidP="00304B30">
            <w:pPr>
              <w:pStyle w:val="NormalPara"/>
              <w:numPr>
                <w:ilvl w:val="0"/>
                <w:numId w:val="0"/>
              </w:numPr>
              <w:rPr>
                <w:noProof/>
                <w:lang w:val="en-GB"/>
              </w:rPr>
            </w:pPr>
            <w:r w:rsidRPr="00881BC8">
              <w:rPr>
                <w:noProof/>
                <w:lang w:val="en-GB"/>
              </w:rPr>
              <w:t xml:space="preserve">Section </w:t>
            </w:r>
            <w:r w:rsidR="005851F4">
              <w:rPr>
                <w:noProof/>
                <w:lang w:val="en-GB"/>
              </w:rPr>
              <w:t>8</w:t>
            </w:r>
            <w:r w:rsidRPr="00881BC8">
              <w:rPr>
                <w:noProof/>
                <w:lang w:val="en-GB"/>
              </w:rPr>
              <w:t xml:space="preserve"> has been substantially revised to include a full comparison of the choice of legal delivery instrument against the criteria of effectiveness, efficiency, coherence, proportionality and subsidiarity. Advantages and disadvantages of both legal instruments have been added to </w:t>
            </w:r>
            <w:r w:rsidR="00AB28B5" w:rsidRPr="00881BC8">
              <w:rPr>
                <w:noProof/>
                <w:lang w:val="en-GB"/>
              </w:rPr>
              <w:t>s</w:t>
            </w:r>
            <w:r w:rsidRPr="00881BC8">
              <w:rPr>
                <w:noProof/>
                <w:lang w:val="en-GB"/>
              </w:rPr>
              <w:t xml:space="preserve">ection </w:t>
            </w:r>
            <w:r w:rsidR="005851F4">
              <w:rPr>
                <w:noProof/>
                <w:lang w:val="en-GB"/>
              </w:rPr>
              <w:t>8</w:t>
            </w:r>
            <w:r w:rsidRPr="00881BC8">
              <w:rPr>
                <w:noProof/>
                <w:lang w:val="en-GB"/>
              </w:rPr>
              <w:t>. The preferred legal instrument now follows directly from the comparison above in order to fully inform the policy choice.</w:t>
            </w:r>
          </w:p>
        </w:tc>
      </w:tr>
      <w:tr w:rsidR="00EB3769" w:rsidRPr="00881BC8" w14:paraId="0B57D729" w14:textId="77777777" w:rsidTr="00304B30">
        <w:tc>
          <w:tcPr>
            <w:tcW w:w="4304" w:type="dxa"/>
          </w:tcPr>
          <w:p w14:paraId="13BC1057" w14:textId="31E7F832" w:rsidR="00EB3769" w:rsidRPr="00881BC8" w:rsidRDefault="00EB3769" w:rsidP="00EB3769">
            <w:pPr>
              <w:pStyle w:val="NormalPara"/>
              <w:rPr>
                <w:noProof/>
                <w:lang w:val="en-GB"/>
              </w:rPr>
            </w:pPr>
            <w:r w:rsidRPr="00881BC8">
              <w:rPr>
                <w:noProof/>
                <w:lang w:val="en-GB"/>
              </w:rPr>
              <w:t>(3) The coherence of the options with the Directive on unfair trading practices in the agricultural and food supply should be presented clearly.</w:t>
            </w:r>
          </w:p>
        </w:tc>
        <w:tc>
          <w:tcPr>
            <w:tcW w:w="4304" w:type="dxa"/>
          </w:tcPr>
          <w:p w14:paraId="30CB891C" w14:textId="651E8714" w:rsidR="00EB3769" w:rsidRPr="00881BC8" w:rsidRDefault="00EB3769" w:rsidP="00304B30">
            <w:pPr>
              <w:pStyle w:val="NormalPara"/>
              <w:numPr>
                <w:ilvl w:val="0"/>
                <w:numId w:val="0"/>
              </w:numPr>
              <w:rPr>
                <w:noProof/>
                <w:lang w:val="en-GB"/>
              </w:rPr>
            </w:pPr>
            <w:r w:rsidRPr="00881BC8">
              <w:rPr>
                <w:noProof/>
                <w:lang w:val="en-GB"/>
              </w:rPr>
              <w:t xml:space="preserve">The report now clearly outlines the interplay between </w:t>
            </w:r>
            <w:r w:rsidR="00F949A3" w:rsidRPr="00881BC8">
              <w:rPr>
                <w:noProof/>
                <w:lang w:val="en-GB"/>
              </w:rPr>
              <w:t xml:space="preserve">the proposed new </w:t>
            </w:r>
            <w:r w:rsidRPr="00881BC8">
              <w:rPr>
                <w:noProof/>
                <w:lang w:val="en-GB"/>
              </w:rPr>
              <w:t xml:space="preserve">late payments </w:t>
            </w:r>
            <w:r w:rsidR="00F949A3" w:rsidRPr="00881BC8">
              <w:rPr>
                <w:noProof/>
                <w:lang w:val="en-GB"/>
              </w:rPr>
              <w:t>instrument</w:t>
            </w:r>
            <w:r w:rsidRPr="00881BC8">
              <w:rPr>
                <w:noProof/>
                <w:lang w:val="en-GB"/>
              </w:rPr>
              <w:t xml:space="preserve"> and the UTP Directive in </w:t>
            </w:r>
            <w:r w:rsidR="0059657C" w:rsidRPr="00881BC8">
              <w:rPr>
                <w:noProof/>
                <w:lang w:val="en-GB"/>
              </w:rPr>
              <w:t>s</w:t>
            </w:r>
            <w:r w:rsidRPr="00881BC8">
              <w:rPr>
                <w:noProof/>
                <w:lang w:val="en-GB"/>
              </w:rPr>
              <w:t xml:space="preserve">ection </w:t>
            </w:r>
            <w:r w:rsidR="005851F4">
              <w:rPr>
                <w:noProof/>
                <w:lang w:val="en-GB"/>
              </w:rPr>
              <w:t>5</w:t>
            </w:r>
            <w:r w:rsidRPr="00881BC8">
              <w:rPr>
                <w:noProof/>
                <w:lang w:val="en-GB"/>
              </w:rPr>
              <w:t xml:space="preserve">. In addition, </w:t>
            </w:r>
            <w:r w:rsidR="00E065F8" w:rsidRPr="00881BC8">
              <w:rPr>
                <w:noProof/>
                <w:lang w:val="en-GB"/>
              </w:rPr>
              <w:t>s</w:t>
            </w:r>
            <w:r w:rsidRPr="00881BC8">
              <w:rPr>
                <w:noProof/>
                <w:lang w:val="en-GB"/>
              </w:rPr>
              <w:t xml:space="preserve">ection </w:t>
            </w:r>
            <w:r w:rsidR="005851F4">
              <w:rPr>
                <w:noProof/>
                <w:lang w:val="en-GB"/>
              </w:rPr>
              <w:t>7</w:t>
            </w:r>
            <w:r w:rsidRPr="00881BC8">
              <w:rPr>
                <w:noProof/>
                <w:lang w:val="en-GB"/>
              </w:rPr>
              <w:t xml:space="preserve"> now explains more clearly the coherence of the proposed policy options with other EU legislation, including with the UTP Directive.</w:t>
            </w:r>
          </w:p>
        </w:tc>
      </w:tr>
      <w:tr w:rsidR="00EB3769" w:rsidRPr="00881BC8" w14:paraId="59FE995B" w14:textId="77777777" w:rsidTr="00304B30">
        <w:tc>
          <w:tcPr>
            <w:tcW w:w="4304" w:type="dxa"/>
          </w:tcPr>
          <w:p w14:paraId="1DDEEA55" w14:textId="6ED26536" w:rsidR="00EB3769" w:rsidRPr="00881BC8" w:rsidRDefault="00EB3769" w:rsidP="00EB3769">
            <w:pPr>
              <w:pStyle w:val="NormalPara"/>
              <w:rPr>
                <w:noProof/>
                <w:lang w:val="en-GB"/>
              </w:rPr>
            </w:pPr>
            <w:r w:rsidRPr="00881BC8">
              <w:rPr>
                <w:noProof/>
                <w:lang w:val="en-GB"/>
              </w:rPr>
              <w:t>(4) The report should strengthen its subsidiarity analysis. It should provide evidence that Member States cannot address the identified problems on their own and show that there is an actual risk of market fragmentation in the absence of EU-level action.</w:t>
            </w:r>
          </w:p>
        </w:tc>
        <w:tc>
          <w:tcPr>
            <w:tcW w:w="4304" w:type="dxa"/>
          </w:tcPr>
          <w:p w14:paraId="0BD08803" w14:textId="76FB544E" w:rsidR="00EB3769" w:rsidRPr="00881BC8" w:rsidRDefault="00C76F16" w:rsidP="00304B30">
            <w:pPr>
              <w:pStyle w:val="NormalPara"/>
              <w:numPr>
                <w:ilvl w:val="0"/>
                <w:numId w:val="0"/>
              </w:numPr>
              <w:rPr>
                <w:noProof/>
                <w:lang w:val="en-GB"/>
              </w:rPr>
            </w:pPr>
            <w:r w:rsidRPr="00881BC8">
              <w:rPr>
                <w:noProof/>
                <w:lang w:val="en-GB"/>
              </w:rPr>
              <w:t xml:space="preserve">Section </w:t>
            </w:r>
            <w:r w:rsidR="005851F4">
              <w:rPr>
                <w:noProof/>
                <w:lang w:val="en-GB"/>
              </w:rPr>
              <w:t>7</w:t>
            </w:r>
            <w:r w:rsidRPr="00881BC8">
              <w:rPr>
                <w:noProof/>
                <w:lang w:val="en-GB"/>
              </w:rPr>
              <w:t xml:space="preserve"> has been revised to assess all policy options against subsidiarity. All policy options, including the choice of legal instrument, are now assessed as to how well they respect the principle of subsidiarity, and why the Preferred Option only addresses the issues that Member States cannot adequately address on their own.</w:t>
            </w:r>
          </w:p>
        </w:tc>
      </w:tr>
      <w:tr w:rsidR="00EB3769" w:rsidRPr="00881BC8" w14:paraId="411B2744" w14:textId="77777777" w:rsidTr="00304B30">
        <w:tc>
          <w:tcPr>
            <w:tcW w:w="4304" w:type="dxa"/>
          </w:tcPr>
          <w:p w14:paraId="06688422" w14:textId="658A00F8" w:rsidR="00EB3769" w:rsidRPr="00881BC8" w:rsidRDefault="00EB3769" w:rsidP="00EB3769">
            <w:pPr>
              <w:pStyle w:val="NormalPara"/>
              <w:rPr>
                <w:noProof/>
                <w:lang w:val="en-GB"/>
              </w:rPr>
            </w:pPr>
            <w:r w:rsidRPr="00881BC8">
              <w:rPr>
                <w:noProof/>
                <w:lang w:val="en-GB"/>
              </w:rPr>
              <w:t>(5) The report should provide a clear split between Business-to-Business and Government-to-Business transactions throughout the document, in particular for the problem definition and the problem drivers.</w:t>
            </w:r>
          </w:p>
        </w:tc>
        <w:tc>
          <w:tcPr>
            <w:tcW w:w="4304" w:type="dxa"/>
          </w:tcPr>
          <w:p w14:paraId="72A1B7F5" w14:textId="4297F830" w:rsidR="00EB3769" w:rsidRPr="00881BC8" w:rsidRDefault="00C76F16" w:rsidP="00304B30">
            <w:pPr>
              <w:pStyle w:val="NormalPara"/>
              <w:numPr>
                <w:ilvl w:val="0"/>
                <w:numId w:val="0"/>
              </w:numPr>
              <w:rPr>
                <w:noProof/>
                <w:lang w:val="en-GB"/>
              </w:rPr>
            </w:pPr>
            <w:r w:rsidRPr="00881BC8">
              <w:rPr>
                <w:noProof/>
                <w:lang w:val="en-GB"/>
              </w:rPr>
              <w:t xml:space="preserve">Section </w:t>
            </w:r>
            <w:r w:rsidR="005851F4">
              <w:rPr>
                <w:noProof/>
                <w:lang w:val="en-GB"/>
              </w:rPr>
              <w:t>2</w:t>
            </w:r>
            <w:r w:rsidRPr="00881BC8">
              <w:rPr>
                <w:noProof/>
                <w:lang w:val="en-GB"/>
              </w:rPr>
              <w:t xml:space="preserve"> has been revised to highlight more explicitly the differences between Business-to-Business and Government-to-Business transactions. Throughout the document, where relevant data is presented, it has been highlighted more clearly which data refers to B2B and G2B transactions.</w:t>
            </w:r>
          </w:p>
        </w:tc>
      </w:tr>
      <w:tr w:rsidR="00EB3769" w:rsidRPr="00881BC8" w14:paraId="42800AEE" w14:textId="77777777" w:rsidTr="00304B30">
        <w:tc>
          <w:tcPr>
            <w:tcW w:w="4304" w:type="dxa"/>
          </w:tcPr>
          <w:p w14:paraId="2703F268" w14:textId="1D704310" w:rsidR="00EB3769" w:rsidRPr="00881BC8" w:rsidRDefault="00EB3769" w:rsidP="00EB3769">
            <w:pPr>
              <w:pStyle w:val="NormalPara"/>
              <w:rPr>
                <w:noProof/>
                <w:lang w:val="en-GB"/>
              </w:rPr>
            </w:pPr>
            <w:r w:rsidRPr="00881BC8">
              <w:rPr>
                <w:noProof/>
                <w:lang w:val="en-GB"/>
              </w:rPr>
              <w:t>(6) The report should strengthen the impact analysis. It should further explain and justify the assumption of the expected reduction in late payments under the preferred combination of options. It should also provide a summary of the costs and benefits for all options, including net benefit/cost estimates and Benefit Cost Ratios.</w:t>
            </w:r>
          </w:p>
        </w:tc>
        <w:tc>
          <w:tcPr>
            <w:tcW w:w="4304" w:type="dxa"/>
          </w:tcPr>
          <w:p w14:paraId="5D773D85" w14:textId="6CCB3E13" w:rsidR="00EB3769" w:rsidRPr="00881BC8" w:rsidRDefault="00EB3769" w:rsidP="00304B30">
            <w:pPr>
              <w:pStyle w:val="NormalPara"/>
              <w:numPr>
                <w:ilvl w:val="0"/>
                <w:numId w:val="0"/>
              </w:numPr>
              <w:rPr>
                <w:noProof/>
                <w:lang w:val="en-GB"/>
              </w:rPr>
            </w:pPr>
            <w:r w:rsidRPr="00881BC8">
              <w:rPr>
                <w:noProof/>
                <w:lang w:val="en-GB"/>
              </w:rPr>
              <w:t>The impact analysis has been strengthened. The assumptions underlying the expected reduction under the preferred combination of options have been explicitly spelled out in Section 8 and the associated calculations have been introduced in Annex 4. A summary table of the costs and benefits for all options, including net benefit/cost estimates and benefit cost ratios has been introduced at the beginning of Section 7.</w:t>
            </w:r>
          </w:p>
        </w:tc>
      </w:tr>
      <w:tr w:rsidR="00EB3769" w:rsidRPr="00881BC8" w14:paraId="6A12C5B1" w14:textId="77777777" w:rsidTr="00304B30">
        <w:tc>
          <w:tcPr>
            <w:tcW w:w="4304" w:type="dxa"/>
          </w:tcPr>
          <w:p w14:paraId="4D7371E9" w14:textId="7EC32245" w:rsidR="00EB3769" w:rsidRPr="00881BC8" w:rsidRDefault="00EB3769" w:rsidP="00EB3769">
            <w:pPr>
              <w:pStyle w:val="NormalPara"/>
              <w:rPr>
                <w:noProof/>
                <w:lang w:val="en-GB"/>
              </w:rPr>
            </w:pPr>
            <w:r w:rsidRPr="00881BC8">
              <w:rPr>
                <w:noProof/>
                <w:lang w:val="en-GB"/>
              </w:rPr>
              <w:t>(7) The report should improve the comparison of options based on effectiveness, efficiency, coherence, and proportionality with a clearer justification of the scoring. Effectiveness of options should be assessed against their delivery on the specific objectives.</w:t>
            </w:r>
          </w:p>
        </w:tc>
        <w:tc>
          <w:tcPr>
            <w:tcW w:w="4304" w:type="dxa"/>
          </w:tcPr>
          <w:p w14:paraId="60E5C711" w14:textId="483EA986" w:rsidR="00EB3769" w:rsidRPr="00881BC8" w:rsidRDefault="00EB3769" w:rsidP="00304B30">
            <w:pPr>
              <w:pStyle w:val="NormalPara"/>
              <w:numPr>
                <w:ilvl w:val="0"/>
                <w:numId w:val="0"/>
              </w:numPr>
              <w:rPr>
                <w:noProof/>
                <w:lang w:val="en-GB"/>
              </w:rPr>
            </w:pPr>
            <w:r w:rsidRPr="00881BC8">
              <w:rPr>
                <w:noProof/>
                <w:lang w:val="en-GB"/>
              </w:rPr>
              <w:t>A full comparison of all options against coherence and subsidiarity has been added to section 7. The explanation of options and the summary table at the start of section 7 now more clearly explain the justification of the scoring.</w:t>
            </w:r>
          </w:p>
        </w:tc>
      </w:tr>
    </w:tbl>
    <w:p w14:paraId="18F6243A" w14:textId="77777777" w:rsidR="00304B30" w:rsidRPr="00881BC8" w:rsidRDefault="00304B30" w:rsidP="00F949A3">
      <w:pPr>
        <w:pStyle w:val="NormalPara"/>
        <w:numPr>
          <w:ilvl w:val="0"/>
          <w:numId w:val="0"/>
        </w:numPr>
        <w:rPr>
          <w:noProof/>
          <w:lang w:val="en-GB"/>
        </w:rPr>
      </w:pPr>
    </w:p>
    <w:p w14:paraId="554C2846" w14:textId="77777777" w:rsidR="0046505B" w:rsidRPr="00881BC8" w:rsidRDefault="0046505B" w:rsidP="004835F8">
      <w:pPr>
        <w:pStyle w:val="AnnexLevel1"/>
        <w:tabs>
          <w:tab w:val="clear" w:pos="1200"/>
        </w:tabs>
        <w:ind w:left="709"/>
        <w:rPr>
          <w:noProof/>
          <w:lang w:val="en-GB"/>
        </w:rPr>
      </w:pPr>
      <w:bookmarkStart w:id="988" w:name="_Toc113904567"/>
      <w:bookmarkStart w:id="989" w:name="_Toc113915484"/>
      <w:bookmarkStart w:id="990" w:name="_Toc113915551"/>
      <w:bookmarkStart w:id="991" w:name="_Toc113915633"/>
      <w:bookmarkStart w:id="992" w:name="_Toc114045993"/>
      <w:bookmarkStart w:id="993" w:name="_Toc114046334"/>
      <w:bookmarkStart w:id="994" w:name="_Toc114137205"/>
      <w:bookmarkStart w:id="995" w:name="_Toc126870430"/>
      <w:bookmarkStart w:id="996" w:name="_Toc126873013"/>
      <w:bookmarkStart w:id="997" w:name="_Toc126916099"/>
      <w:bookmarkStart w:id="998" w:name="_Toc126916914"/>
      <w:bookmarkStart w:id="999" w:name="_Toc126919360"/>
      <w:bookmarkStart w:id="1000" w:name="_Toc126919815"/>
      <w:bookmarkStart w:id="1001" w:name="_Toc126928408"/>
      <w:bookmarkStart w:id="1002" w:name="_Toc126930785"/>
      <w:bookmarkStart w:id="1003" w:name="_Toc129899918"/>
      <w:r w:rsidRPr="00881BC8">
        <w:rPr>
          <w:noProof/>
          <w:lang w:val="en-GB"/>
        </w:rPr>
        <w:t>Evidence, sources and quality</w:t>
      </w:r>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r w:rsidRPr="00881BC8">
        <w:rPr>
          <w:noProof/>
          <w:lang w:val="en-GB"/>
        </w:rPr>
        <w:t xml:space="preserve"> </w:t>
      </w:r>
    </w:p>
    <w:p w14:paraId="783FC1EC" w14:textId="77777777" w:rsidR="005371DA" w:rsidRPr="00881BC8" w:rsidRDefault="0046505B" w:rsidP="004835F8">
      <w:pPr>
        <w:pStyle w:val="NormalPara"/>
        <w:rPr>
          <w:noProof/>
          <w:lang w:val="en-GB"/>
        </w:rPr>
      </w:pPr>
      <w:r w:rsidRPr="00881BC8">
        <w:rPr>
          <w:noProof/>
          <w:lang w:val="en-GB"/>
        </w:rPr>
        <w:t xml:space="preserve">The impact assessment draws on an extensive amount of desk research, external studies, an evaluation carried out in 2015 and wide-ranging consultations described in detail in Annex 2. </w:t>
      </w:r>
      <w:bookmarkStart w:id="1004" w:name="_Hlk130489234"/>
      <w:bookmarkEnd w:id="955"/>
      <w:r w:rsidR="005371DA" w:rsidRPr="00881BC8">
        <w:rPr>
          <w:noProof/>
          <w:lang w:val="en-GB"/>
        </w:rPr>
        <w:t>The input from these consultations was collected and processed by the experts in the SME Unit of DG GROW (GROW A2).</w:t>
      </w:r>
    </w:p>
    <w:p w14:paraId="40FF7D09" w14:textId="0BAA7DED" w:rsidR="005371DA" w:rsidRPr="00881BC8" w:rsidRDefault="005371DA" w:rsidP="004835F8">
      <w:pPr>
        <w:pStyle w:val="NormalPara"/>
        <w:rPr>
          <w:noProof/>
          <w:lang w:val="en-GB"/>
        </w:rPr>
      </w:pPr>
      <w:r w:rsidRPr="00881BC8">
        <w:rPr>
          <w:noProof/>
          <w:lang w:val="en-GB"/>
        </w:rPr>
        <w:t>Data and information were collected, amongst others, from the following sources:</w:t>
      </w:r>
    </w:p>
    <w:p w14:paraId="5B76F7DC" w14:textId="541922E2" w:rsidR="001D64FC" w:rsidRPr="001D64FC" w:rsidRDefault="001D64FC" w:rsidP="001D64FC">
      <w:pPr>
        <w:pStyle w:val="Caption"/>
        <w:rPr>
          <w:noProof/>
          <w:lang w:val="en-GB"/>
        </w:rPr>
      </w:pPr>
      <w:r w:rsidRPr="001D64FC">
        <w:rPr>
          <w:noProof/>
          <w:lang w:val="en-GB"/>
        </w:rPr>
        <w:t xml:space="preserve">Table </w:t>
      </w:r>
      <w:r w:rsidR="005851F4">
        <w:rPr>
          <w:noProof/>
          <w:lang w:val="en-GB"/>
        </w:rPr>
        <w:t>10</w:t>
      </w:r>
      <w:r w:rsidRPr="001D64FC">
        <w:rPr>
          <w:noProof/>
          <w:lang w:val="en-GB"/>
        </w:rPr>
        <w:t>: Sources of information</w:t>
      </w:r>
    </w:p>
    <w:tbl>
      <w:tblPr>
        <w:tblW w:w="9322" w:type="dxa"/>
        <w:tblLayout w:type="fixed"/>
        <w:tblCellMar>
          <w:left w:w="0" w:type="dxa"/>
          <w:right w:w="0" w:type="dxa"/>
        </w:tblCellMar>
        <w:tblLook w:val="04A0" w:firstRow="1" w:lastRow="0" w:firstColumn="1" w:lastColumn="0" w:noHBand="0" w:noVBand="1"/>
      </w:tblPr>
      <w:tblGrid>
        <w:gridCol w:w="2943"/>
        <w:gridCol w:w="6379"/>
      </w:tblGrid>
      <w:tr w:rsidR="005371DA" w:rsidRPr="00881BC8" w14:paraId="11A551DC" w14:textId="77777777" w:rsidTr="008C764F">
        <w:trPr>
          <w:cantSplit/>
          <w:tblHeader/>
        </w:trPr>
        <w:tc>
          <w:tcPr>
            <w:tcW w:w="2943" w:type="dxa"/>
            <w:tcBorders>
              <w:top w:val="single" w:sz="8" w:space="0" w:color="auto"/>
              <w:left w:val="single" w:sz="8" w:space="0" w:color="auto"/>
              <w:bottom w:val="single" w:sz="8" w:space="0" w:color="auto"/>
              <w:right w:val="single" w:sz="8" w:space="0" w:color="auto"/>
            </w:tcBorders>
            <w:shd w:val="clear" w:color="auto" w:fill="5B9BD5"/>
            <w:tcMar>
              <w:top w:w="0" w:type="dxa"/>
              <w:left w:w="108" w:type="dxa"/>
              <w:bottom w:w="0" w:type="dxa"/>
              <w:right w:w="108" w:type="dxa"/>
            </w:tcMar>
            <w:hideMark/>
          </w:tcPr>
          <w:p w14:paraId="246C9751" w14:textId="77777777" w:rsidR="005371DA" w:rsidRPr="00881BC8" w:rsidRDefault="005371DA" w:rsidP="00040B36">
            <w:pPr>
              <w:rPr>
                <w:rFonts w:eastAsia="Calibri"/>
                <w:b/>
                <w:bCs/>
                <w:noProof/>
                <w:color w:val="FFFFFF"/>
                <w:sz w:val="20"/>
                <w:szCs w:val="20"/>
                <w:lang w:eastAsia="en-GB"/>
              </w:rPr>
            </w:pPr>
            <w:r w:rsidRPr="00881BC8">
              <w:rPr>
                <w:rFonts w:eastAsia="Calibri"/>
                <w:b/>
                <w:bCs/>
                <w:noProof/>
                <w:color w:val="FFFFFF"/>
                <w:sz w:val="20"/>
                <w:szCs w:val="20"/>
                <w:lang w:eastAsia="en-GB"/>
              </w:rPr>
              <w:t>Sources</w:t>
            </w:r>
          </w:p>
        </w:tc>
        <w:tc>
          <w:tcPr>
            <w:tcW w:w="6379" w:type="dxa"/>
            <w:tcBorders>
              <w:top w:val="single" w:sz="8" w:space="0" w:color="auto"/>
              <w:left w:val="nil"/>
              <w:bottom w:val="single" w:sz="8" w:space="0" w:color="auto"/>
              <w:right w:val="single" w:sz="8" w:space="0" w:color="auto"/>
            </w:tcBorders>
            <w:shd w:val="clear" w:color="auto" w:fill="5B9BD5"/>
            <w:tcMar>
              <w:top w:w="0" w:type="dxa"/>
              <w:left w:w="108" w:type="dxa"/>
              <w:bottom w:w="0" w:type="dxa"/>
              <w:right w:w="108" w:type="dxa"/>
            </w:tcMar>
            <w:hideMark/>
          </w:tcPr>
          <w:p w14:paraId="74F5B81E" w14:textId="77777777" w:rsidR="005371DA" w:rsidRPr="00881BC8" w:rsidRDefault="005371DA" w:rsidP="00040B36">
            <w:pPr>
              <w:rPr>
                <w:rFonts w:eastAsia="Calibri"/>
                <w:b/>
                <w:bCs/>
                <w:noProof/>
                <w:color w:val="FFFFFF"/>
                <w:sz w:val="20"/>
                <w:szCs w:val="20"/>
                <w:lang w:eastAsia="en-GB"/>
              </w:rPr>
            </w:pPr>
            <w:r w:rsidRPr="00881BC8">
              <w:rPr>
                <w:rFonts w:eastAsia="Calibri"/>
                <w:b/>
                <w:bCs/>
                <w:noProof/>
                <w:color w:val="FFFFFF"/>
                <w:sz w:val="20"/>
                <w:szCs w:val="20"/>
                <w:lang w:eastAsia="en-GB"/>
              </w:rPr>
              <w:t>Information/Summary</w:t>
            </w:r>
          </w:p>
        </w:tc>
      </w:tr>
      <w:tr w:rsidR="005371DA" w:rsidRPr="00881BC8" w14:paraId="21ED4D4D" w14:textId="77777777" w:rsidTr="008C764F">
        <w:trPr>
          <w:cantSplit/>
        </w:trPr>
        <w:tc>
          <w:tcPr>
            <w:tcW w:w="2943" w:type="dxa"/>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tcPr>
          <w:p w14:paraId="0E421B40" w14:textId="77777777" w:rsidR="005371DA" w:rsidRPr="00881BC8" w:rsidRDefault="005371DA" w:rsidP="00040B36">
            <w:pPr>
              <w:rPr>
                <w:rFonts w:eastAsia="Calibri"/>
                <w:b/>
                <w:bCs/>
                <w:noProof/>
                <w:sz w:val="20"/>
                <w:szCs w:val="20"/>
              </w:rPr>
            </w:pPr>
            <w:r w:rsidRPr="00881BC8">
              <w:rPr>
                <w:rFonts w:eastAsia="Calibri"/>
                <w:b/>
                <w:bCs/>
                <w:noProof/>
                <w:sz w:val="20"/>
                <w:szCs w:val="20"/>
              </w:rPr>
              <w:t>Formal evaluation of Directive</w:t>
            </w:r>
          </w:p>
        </w:tc>
        <w:tc>
          <w:tcPr>
            <w:tcW w:w="6379"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tcPr>
          <w:p w14:paraId="191C0DD1" w14:textId="0E82E015" w:rsidR="005371DA" w:rsidRPr="00881BC8" w:rsidRDefault="005371DA" w:rsidP="00040B36">
            <w:pPr>
              <w:spacing w:after="120"/>
              <w:rPr>
                <w:noProof/>
                <w:color w:val="0000FF" w:themeColor="hyperlink"/>
                <w:sz w:val="20"/>
                <w:szCs w:val="20"/>
                <w:u w:val="single"/>
              </w:rPr>
            </w:pPr>
            <w:r w:rsidRPr="00881BC8">
              <w:rPr>
                <w:i/>
                <w:noProof/>
                <w:sz w:val="20"/>
                <w:szCs w:val="20"/>
              </w:rPr>
              <w:t>Ex-post Evaluation of the Late Payment Directive</w:t>
            </w:r>
            <w:r w:rsidRPr="00881BC8">
              <w:rPr>
                <w:noProof/>
                <w:sz w:val="20"/>
                <w:szCs w:val="20"/>
              </w:rPr>
              <w:t xml:space="preserve"> </w:t>
            </w:r>
            <w:hyperlink r:id="rId57" w:history="1">
              <w:r w:rsidRPr="00881BC8">
                <w:rPr>
                  <w:noProof/>
                  <w:color w:val="0000FF" w:themeColor="hyperlink"/>
                  <w:sz w:val="20"/>
                  <w:szCs w:val="20"/>
                  <w:u w:val="single"/>
                </w:rPr>
                <w:t>https://publications.europa.eu/en/publication-detail/-/publication/400ecc74-9a54-11e5-b3b7-01aa75ed71a1</w:t>
              </w:r>
            </w:hyperlink>
          </w:p>
          <w:p w14:paraId="644ABACE" w14:textId="77777777" w:rsidR="005371DA" w:rsidRPr="00881BC8" w:rsidRDefault="005371DA" w:rsidP="00040B36">
            <w:pPr>
              <w:spacing w:after="120"/>
              <w:rPr>
                <w:i/>
                <w:noProof/>
                <w:sz w:val="20"/>
                <w:szCs w:val="20"/>
              </w:rPr>
            </w:pPr>
            <w:r w:rsidRPr="00881BC8">
              <w:rPr>
                <w:noProof/>
                <w:sz w:val="20"/>
                <w:szCs w:val="20"/>
              </w:rPr>
              <w:t>This is the final report of the evaluation of the Late Payment Directive 2011/7/EU – carried out by an external contractor in 2015. The study considered the following evaluation dimensions: relevance, effectiveness, efficiency, coherence and complementarity, and EU added value – shortly after the deadline for transposition (16/3/2013).</w:t>
            </w:r>
          </w:p>
        </w:tc>
      </w:tr>
      <w:tr w:rsidR="005371DA" w:rsidRPr="00881BC8" w14:paraId="183752DB" w14:textId="77777777" w:rsidTr="008C764F">
        <w:trPr>
          <w:cantSplit/>
        </w:trPr>
        <w:tc>
          <w:tcPr>
            <w:tcW w:w="2943" w:type="dxa"/>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hideMark/>
          </w:tcPr>
          <w:p w14:paraId="27BB3BFF" w14:textId="77777777" w:rsidR="005371DA" w:rsidRPr="00881BC8" w:rsidRDefault="005371DA" w:rsidP="00040B36">
            <w:pPr>
              <w:rPr>
                <w:rFonts w:eastAsia="Calibri"/>
                <w:b/>
                <w:bCs/>
                <w:noProof/>
                <w:color w:val="000000"/>
                <w:sz w:val="20"/>
                <w:szCs w:val="20"/>
                <w:lang w:eastAsia="en-GB"/>
              </w:rPr>
            </w:pPr>
            <w:r w:rsidRPr="00881BC8">
              <w:rPr>
                <w:rFonts w:eastAsia="Calibri"/>
                <w:b/>
                <w:bCs/>
                <w:noProof/>
                <w:sz w:val="20"/>
                <w:szCs w:val="20"/>
              </w:rPr>
              <w:t>Commission Report to the EP and the EC on the implementation (2016)</w:t>
            </w:r>
          </w:p>
        </w:tc>
        <w:tc>
          <w:tcPr>
            <w:tcW w:w="6379"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tcPr>
          <w:p w14:paraId="54F961E1" w14:textId="4DDB3F19" w:rsidR="005371DA" w:rsidRPr="00881BC8" w:rsidRDefault="005371DA" w:rsidP="00040B36">
            <w:pPr>
              <w:spacing w:after="120"/>
              <w:rPr>
                <w:noProof/>
                <w:color w:val="0000FF" w:themeColor="hyperlink"/>
                <w:sz w:val="20"/>
                <w:szCs w:val="20"/>
                <w:u w:val="single"/>
              </w:rPr>
            </w:pPr>
            <w:r w:rsidRPr="00881BC8">
              <w:rPr>
                <w:i/>
                <w:noProof/>
                <w:sz w:val="20"/>
                <w:szCs w:val="20"/>
              </w:rPr>
              <w:t>Commission Report to the European Parliament and to the Council on the implementation of the Late Payment Directive ( and supporting SWD):</w:t>
            </w:r>
            <w:r w:rsidRPr="00881BC8">
              <w:rPr>
                <w:noProof/>
                <w:color w:val="0000FF" w:themeColor="hyperlink"/>
                <w:sz w:val="20"/>
                <w:szCs w:val="20"/>
                <w:u w:val="single"/>
              </w:rPr>
              <w:t xml:space="preserve"> </w:t>
            </w:r>
            <w:hyperlink r:id="rId58" w:history="1">
              <w:r w:rsidRPr="00881BC8">
                <w:rPr>
                  <w:noProof/>
                  <w:color w:val="0000FF" w:themeColor="hyperlink"/>
                  <w:sz w:val="20"/>
                  <w:szCs w:val="20"/>
                  <w:u w:val="single"/>
                </w:rPr>
                <w:t>COM (2016) 534 final</w:t>
              </w:r>
            </w:hyperlink>
          </w:p>
          <w:p w14:paraId="7E2CD013" w14:textId="77777777" w:rsidR="005371DA" w:rsidRPr="00881BC8" w:rsidRDefault="005371DA" w:rsidP="00040B36">
            <w:pPr>
              <w:spacing w:after="120"/>
              <w:rPr>
                <w:rFonts w:eastAsia="Calibri"/>
                <w:noProof/>
                <w:color w:val="000000"/>
                <w:sz w:val="20"/>
                <w:szCs w:val="20"/>
                <w:lang w:eastAsia="en-GB"/>
              </w:rPr>
            </w:pPr>
            <w:r w:rsidRPr="00881BC8">
              <w:rPr>
                <w:noProof/>
                <w:sz w:val="20"/>
                <w:szCs w:val="20"/>
              </w:rPr>
              <w:t xml:space="preserve">This report was provided in response to the requirement established under Article 11 of Directive 2011/7/EU in order </w:t>
            </w:r>
            <w:r w:rsidRPr="00881BC8">
              <w:rPr>
                <w:bCs/>
                <w:noProof/>
                <w:sz w:val="20"/>
                <w:szCs w:val="20"/>
              </w:rPr>
              <w:t xml:space="preserve">to monitor progress on the implementation of the Directive and to ensure that </w:t>
            </w:r>
            <w:r w:rsidRPr="00881BC8">
              <w:rPr>
                <w:noProof/>
                <w:sz w:val="20"/>
                <w:szCs w:val="20"/>
              </w:rPr>
              <w:t>it is on track to deliver its expected benefits.</w:t>
            </w:r>
            <w:r w:rsidRPr="00881BC8">
              <w:rPr>
                <w:bCs/>
                <w:noProof/>
                <w:sz w:val="20"/>
                <w:szCs w:val="20"/>
              </w:rPr>
              <w:t xml:space="preserve"> </w:t>
            </w:r>
          </w:p>
        </w:tc>
      </w:tr>
      <w:tr w:rsidR="005371DA" w:rsidRPr="00881BC8" w14:paraId="3FB9BE8E" w14:textId="77777777" w:rsidTr="008C764F">
        <w:trPr>
          <w:cantSplit/>
        </w:trPr>
        <w:tc>
          <w:tcPr>
            <w:tcW w:w="2943" w:type="dxa"/>
            <w:tcBorders>
              <w:top w:val="nil"/>
              <w:left w:val="single" w:sz="8" w:space="0" w:color="9CC2E5"/>
              <w:bottom w:val="single" w:sz="8" w:space="0" w:color="9CC2E5"/>
              <w:right w:val="single" w:sz="8" w:space="0" w:color="9CC2E5"/>
            </w:tcBorders>
            <w:shd w:val="clear" w:color="auto" w:fill="FFFFFF" w:themeFill="background1"/>
            <w:tcMar>
              <w:top w:w="0" w:type="dxa"/>
              <w:left w:w="108" w:type="dxa"/>
              <w:bottom w:w="0" w:type="dxa"/>
              <w:right w:w="108" w:type="dxa"/>
            </w:tcMar>
          </w:tcPr>
          <w:p w14:paraId="1D72490B" w14:textId="28112920" w:rsidR="005371DA" w:rsidRPr="00881BC8" w:rsidRDefault="005371DA" w:rsidP="00040B36">
            <w:pPr>
              <w:rPr>
                <w:rFonts w:eastAsia="Calibri"/>
                <w:b/>
                <w:bCs/>
                <w:noProof/>
                <w:sz w:val="20"/>
                <w:szCs w:val="20"/>
              </w:rPr>
            </w:pPr>
            <w:r w:rsidRPr="00881BC8">
              <w:rPr>
                <w:rFonts w:eastAsia="Calibri"/>
                <w:b/>
                <w:bCs/>
                <w:noProof/>
                <w:sz w:val="20"/>
                <w:szCs w:val="20"/>
              </w:rPr>
              <w:t>Late Payments and Firms`: Evidence from the EU, JRC Study (201</w:t>
            </w:r>
            <w:r w:rsidR="00372E62" w:rsidRPr="00881BC8">
              <w:rPr>
                <w:rFonts w:eastAsia="Calibri"/>
                <w:b/>
                <w:bCs/>
                <w:noProof/>
                <w:sz w:val="20"/>
                <w:szCs w:val="20"/>
              </w:rPr>
              <w:t>8</w:t>
            </w:r>
            <w:r w:rsidRPr="00881BC8">
              <w:rPr>
                <w:rFonts w:eastAsia="Calibri"/>
                <w:b/>
                <w:bCs/>
                <w:noProof/>
                <w:sz w:val="20"/>
                <w:szCs w:val="20"/>
              </w:rPr>
              <w:t>)</w:t>
            </w:r>
          </w:p>
        </w:tc>
        <w:tc>
          <w:tcPr>
            <w:tcW w:w="6379" w:type="dxa"/>
            <w:tcBorders>
              <w:top w:val="nil"/>
              <w:left w:val="nil"/>
              <w:bottom w:val="single" w:sz="8" w:space="0" w:color="9CC2E5"/>
              <w:right w:val="single" w:sz="8" w:space="0" w:color="9CC2E5"/>
            </w:tcBorders>
            <w:shd w:val="clear" w:color="auto" w:fill="FFFFFF" w:themeFill="background1"/>
            <w:tcMar>
              <w:top w:w="0" w:type="dxa"/>
              <w:left w:w="108" w:type="dxa"/>
              <w:bottom w:w="0" w:type="dxa"/>
              <w:right w:w="108" w:type="dxa"/>
            </w:tcMar>
          </w:tcPr>
          <w:p w14:paraId="4468E84A" w14:textId="6F108822" w:rsidR="005371DA" w:rsidRPr="00881BC8" w:rsidRDefault="005371DA" w:rsidP="00040B36">
            <w:pPr>
              <w:spacing w:after="120"/>
              <w:rPr>
                <w:noProof/>
                <w:color w:val="0000FF" w:themeColor="hyperlink"/>
                <w:sz w:val="20"/>
                <w:szCs w:val="20"/>
                <w:u w:val="single"/>
              </w:rPr>
            </w:pPr>
            <w:r w:rsidRPr="00881BC8">
              <w:rPr>
                <w:i/>
                <w:noProof/>
                <w:sz w:val="20"/>
                <w:szCs w:val="20"/>
              </w:rPr>
              <w:t>Conti, M., Elia, L., Ferrara, A. and Ferraresi, M., Governments` Late Payments and Firms` Survival: Evidence from the European Union, JRC Study</w:t>
            </w:r>
            <w:r w:rsidR="0091653A" w:rsidRPr="00881BC8">
              <w:rPr>
                <w:i/>
                <w:noProof/>
                <w:sz w:val="20"/>
                <w:szCs w:val="20"/>
              </w:rPr>
              <w:t xml:space="preserve"> </w:t>
            </w:r>
            <w:hyperlink r:id="rId59" w:history="1">
              <w:r w:rsidRPr="00881BC8">
                <w:rPr>
                  <w:noProof/>
                  <w:color w:val="0000FF" w:themeColor="hyperlink"/>
                  <w:sz w:val="20"/>
                  <w:szCs w:val="20"/>
                  <w:u w:val="single"/>
                </w:rPr>
                <w:t>https://publications.jrc.ec.europa.eu/repository/handle/JRC121059</w:t>
              </w:r>
            </w:hyperlink>
          </w:p>
          <w:p w14:paraId="07A428B1" w14:textId="77777777" w:rsidR="005371DA" w:rsidRPr="00881BC8" w:rsidRDefault="005371DA" w:rsidP="00040B36">
            <w:pPr>
              <w:spacing w:after="120"/>
              <w:rPr>
                <w:rFonts w:eastAsia="Calibri"/>
                <w:noProof/>
                <w:color w:val="000000"/>
                <w:sz w:val="20"/>
                <w:szCs w:val="20"/>
                <w:lang w:eastAsia="en-GB"/>
              </w:rPr>
            </w:pPr>
            <w:r w:rsidRPr="00881BC8">
              <w:rPr>
                <w:rFonts w:eastAsia="Calibri"/>
                <w:noProof/>
                <w:color w:val="000000"/>
                <w:sz w:val="20"/>
                <w:szCs w:val="20"/>
                <w:lang w:eastAsia="en-GB"/>
              </w:rPr>
              <w:t>The study examined to what extent stricter regulations addressing payment backlogs, brought about by the EU directive on late payments, have affected firms’ performance. The focus is on government-to-business activities and on the firms’ responses to the introduction of these regulations.</w:t>
            </w:r>
          </w:p>
        </w:tc>
      </w:tr>
      <w:tr w:rsidR="005371DA" w:rsidRPr="00881BC8" w14:paraId="0B4E6660" w14:textId="77777777" w:rsidTr="008C764F">
        <w:trPr>
          <w:cantSplit/>
        </w:trPr>
        <w:tc>
          <w:tcPr>
            <w:tcW w:w="2943" w:type="dxa"/>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tcPr>
          <w:p w14:paraId="53D02686" w14:textId="77777777" w:rsidR="005371DA" w:rsidRPr="00881BC8" w:rsidRDefault="005371DA" w:rsidP="00040B36">
            <w:pPr>
              <w:rPr>
                <w:rFonts w:eastAsia="Calibri"/>
                <w:b/>
                <w:bCs/>
                <w:noProof/>
                <w:sz w:val="20"/>
                <w:szCs w:val="20"/>
              </w:rPr>
            </w:pPr>
            <w:r w:rsidRPr="00881BC8">
              <w:rPr>
                <w:rFonts w:eastAsia="Calibri"/>
                <w:b/>
                <w:bCs/>
                <w:noProof/>
                <w:sz w:val="20"/>
                <w:szCs w:val="20"/>
              </w:rPr>
              <w:t>B2B transactions: comparative analysis of legal vs. soft-law instruments for improving payment behaviour (2018)</w:t>
            </w:r>
          </w:p>
        </w:tc>
        <w:tc>
          <w:tcPr>
            <w:tcW w:w="6379"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tcPr>
          <w:p w14:paraId="7362D3D2" w14:textId="68436953" w:rsidR="005371DA" w:rsidRPr="00881BC8" w:rsidRDefault="005371DA" w:rsidP="00040B36">
            <w:pPr>
              <w:spacing w:after="120"/>
              <w:rPr>
                <w:rFonts w:eastAsiaTheme="minorEastAsia"/>
                <w:noProof/>
                <w:color w:val="0000FF" w:themeColor="hyperlink"/>
                <w:sz w:val="20"/>
                <w:szCs w:val="20"/>
                <w:u w:val="single"/>
              </w:rPr>
            </w:pPr>
            <w:r w:rsidRPr="00881BC8">
              <w:rPr>
                <w:rFonts w:eastAsiaTheme="minorEastAsia"/>
                <w:i/>
                <w:noProof/>
                <w:sz w:val="20"/>
                <w:szCs w:val="20"/>
              </w:rPr>
              <w:t>Business-to-business transactions: a comparative analysis of legal measures vs. soft-law instruments for improving payment behaviour</w:t>
            </w:r>
            <w:r w:rsidRPr="00881BC8">
              <w:rPr>
                <w:rFonts w:eastAsiaTheme="minorEastAsia"/>
                <w:noProof/>
                <w:sz w:val="20"/>
                <w:szCs w:val="20"/>
              </w:rPr>
              <w:t xml:space="preserve"> </w:t>
            </w:r>
            <w:hyperlink r:id="rId60" w:history="1">
              <w:r w:rsidRPr="00881BC8">
                <w:rPr>
                  <w:rFonts w:eastAsiaTheme="minorEastAsia"/>
                  <w:noProof/>
                  <w:color w:val="0000FF" w:themeColor="hyperlink"/>
                  <w:sz w:val="20"/>
                  <w:szCs w:val="20"/>
                  <w:u w:val="single"/>
                </w:rPr>
                <w:t>https://publications.europa.eu/en/publication-detail/-/publication/c8b7391b-9b80-11e8-a408-01aa75ed71a1/language-en/format-PDF/source-103408786</w:t>
              </w:r>
            </w:hyperlink>
            <w:r w:rsidRPr="00881BC8">
              <w:rPr>
                <w:rFonts w:eastAsiaTheme="minorEastAsia"/>
                <w:noProof/>
                <w:color w:val="0000FF" w:themeColor="hyperlink"/>
                <w:sz w:val="20"/>
                <w:szCs w:val="20"/>
                <w:u w:val="single"/>
              </w:rPr>
              <w:t xml:space="preserve"> </w:t>
            </w:r>
          </w:p>
          <w:p w14:paraId="316503C5" w14:textId="77777777" w:rsidR="005371DA" w:rsidRPr="00881BC8" w:rsidRDefault="005371DA" w:rsidP="00040B36">
            <w:pPr>
              <w:spacing w:after="120"/>
              <w:rPr>
                <w:rFonts w:eastAsia="Calibri"/>
                <w:noProof/>
                <w:color w:val="000000"/>
                <w:lang w:eastAsia="en-GB"/>
              </w:rPr>
            </w:pPr>
            <w:r w:rsidRPr="00881BC8">
              <w:rPr>
                <w:rFonts w:eastAsia="Calibri"/>
                <w:noProof/>
                <w:color w:val="000000"/>
                <w:sz w:val="20"/>
                <w:szCs w:val="20"/>
                <w:lang w:eastAsia="en-GB"/>
              </w:rPr>
              <w:t>The study made a mapping of measures (hard law and soft measures) implemented by Member States to support their national transposition of the Directives. The contractor extrapolated from them a set of recommendations indicating as to whether the provisions of the Directive, relevant to B2B transactions, are fit for purpose or whether other actions and policies, outside the scope of the Directive, can actively support the achievement of its objectives in the B2B environment.</w:t>
            </w:r>
          </w:p>
        </w:tc>
      </w:tr>
      <w:tr w:rsidR="005371DA" w:rsidRPr="00881BC8" w14:paraId="1123C03E" w14:textId="77777777" w:rsidTr="008C764F">
        <w:trPr>
          <w:cantSplit/>
        </w:trPr>
        <w:tc>
          <w:tcPr>
            <w:tcW w:w="2943" w:type="dxa"/>
            <w:tcBorders>
              <w:top w:val="nil"/>
              <w:left w:val="single" w:sz="8" w:space="0" w:color="9CC2E5"/>
              <w:bottom w:val="single" w:sz="8" w:space="0" w:color="9CC2E5"/>
              <w:right w:val="single" w:sz="8" w:space="0" w:color="9CC2E5"/>
            </w:tcBorders>
            <w:shd w:val="clear" w:color="auto" w:fill="FFFFFF" w:themeFill="background1"/>
            <w:tcMar>
              <w:top w:w="0" w:type="dxa"/>
              <w:left w:w="108" w:type="dxa"/>
              <w:bottom w:w="0" w:type="dxa"/>
              <w:right w:w="108" w:type="dxa"/>
            </w:tcMar>
          </w:tcPr>
          <w:p w14:paraId="59BA2121" w14:textId="77777777" w:rsidR="005371DA" w:rsidRPr="00881BC8" w:rsidRDefault="005371DA" w:rsidP="00040B36">
            <w:pPr>
              <w:spacing w:after="120"/>
              <w:rPr>
                <w:rFonts w:eastAsia="Calibri"/>
                <w:b/>
                <w:bCs/>
                <w:noProof/>
                <w:sz w:val="20"/>
                <w:szCs w:val="20"/>
              </w:rPr>
            </w:pPr>
            <w:r w:rsidRPr="00881BC8">
              <w:rPr>
                <w:rFonts w:eastAsia="Calibri"/>
                <w:b/>
                <w:bCs/>
                <w:noProof/>
                <w:sz w:val="20"/>
                <w:szCs w:val="20"/>
              </w:rPr>
              <w:t>EP Resolution on the implementation of the Late Payment Directive (adopted 2019)</w:t>
            </w:r>
          </w:p>
        </w:tc>
        <w:tc>
          <w:tcPr>
            <w:tcW w:w="6379" w:type="dxa"/>
            <w:tcBorders>
              <w:top w:val="nil"/>
              <w:left w:val="nil"/>
              <w:bottom w:val="single" w:sz="8" w:space="0" w:color="9CC2E5"/>
              <w:right w:val="single" w:sz="8" w:space="0" w:color="9CC2E5"/>
            </w:tcBorders>
            <w:shd w:val="clear" w:color="auto" w:fill="FFFFFF" w:themeFill="background1"/>
            <w:tcMar>
              <w:top w:w="0" w:type="dxa"/>
              <w:left w:w="108" w:type="dxa"/>
              <w:bottom w:w="0" w:type="dxa"/>
              <w:right w:w="108" w:type="dxa"/>
            </w:tcMar>
          </w:tcPr>
          <w:p w14:paraId="5495C7ED" w14:textId="7D2C816C" w:rsidR="005371DA" w:rsidRPr="00881BC8" w:rsidRDefault="005371DA" w:rsidP="00040B36">
            <w:pPr>
              <w:spacing w:after="120"/>
              <w:rPr>
                <w:rFonts w:eastAsia="Calibri"/>
                <w:noProof/>
                <w:color w:val="000000"/>
                <w:sz w:val="20"/>
                <w:szCs w:val="20"/>
                <w:lang w:eastAsia="en-GB"/>
              </w:rPr>
            </w:pPr>
            <w:r w:rsidRPr="00881BC8">
              <w:rPr>
                <w:i/>
                <w:noProof/>
                <w:sz w:val="20"/>
                <w:szCs w:val="20"/>
              </w:rPr>
              <w:t>European Parliament Resolution on the implementation of the Late Payment Directive</w:t>
            </w:r>
            <w:r w:rsidRPr="00881BC8">
              <w:rPr>
                <w:noProof/>
                <w:sz w:val="20"/>
                <w:szCs w:val="20"/>
              </w:rPr>
              <w:t xml:space="preserve"> </w:t>
            </w:r>
            <w:hyperlink r:id="rId61" w:history="1">
              <w:r w:rsidRPr="00881BC8">
                <w:rPr>
                  <w:noProof/>
                  <w:color w:val="0000FF" w:themeColor="hyperlink"/>
                  <w:sz w:val="20"/>
                  <w:szCs w:val="20"/>
                  <w:u w:val="single"/>
                </w:rPr>
                <w:t>https://www.europarl.europa.eu/doceo/document/TA-8-2019-0042_EN.html</w:t>
              </w:r>
            </w:hyperlink>
          </w:p>
        </w:tc>
      </w:tr>
      <w:tr w:rsidR="005371DA" w:rsidRPr="00881BC8" w14:paraId="0760775A" w14:textId="77777777" w:rsidTr="008C764F">
        <w:trPr>
          <w:cantSplit/>
        </w:trPr>
        <w:tc>
          <w:tcPr>
            <w:tcW w:w="2943" w:type="dxa"/>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tcPr>
          <w:p w14:paraId="2392C8A4" w14:textId="77777777" w:rsidR="005371DA" w:rsidRPr="00881BC8" w:rsidRDefault="005371DA" w:rsidP="00040B36">
            <w:pPr>
              <w:rPr>
                <w:rFonts w:eastAsia="Calibri"/>
                <w:b/>
                <w:bCs/>
                <w:noProof/>
                <w:sz w:val="20"/>
                <w:szCs w:val="20"/>
              </w:rPr>
            </w:pPr>
            <w:r w:rsidRPr="00881BC8">
              <w:rPr>
                <w:rFonts w:eastAsia="Calibri"/>
                <w:b/>
                <w:bCs/>
                <w:noProof/>
                <w:sz w:val="20"/>
                <w:szCs w:val="20"/>
              </w:rPr>
              <w:t>Opinion of the Fit for Future Platform on the Late Payment Directive (2021)</w:t>
            </w:r>
          </w:p>
        </w:tc>
        <w:tc>
          <w:tcPr>
            <w:tcW w:w="6379"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tcPr>
          <w:p w14:paraId="5128054F" w14:textId="2F6DF822" w:rsidR="005371DA" w:rsidRPr="00881BC8" w:rsidRDefault="005371DA" w:rsidP="00040B36">
            <w:pPr>
              <w:rPr>
                <w:rFonts w:eastAsia="Calibri"/>
                <w:noProof/>
                <w:color w:val="000000"/>
                <w:sz w:val="20"/>
                <w:szCs w:val="20"/>
                <w:lang w:eastAsia="en-GB"/>
              </w:rPr>
            </w:pPr>
            <w:r w:rsidRPr="00881BC8">
              <w:rPr>
                <w:rFonts w:eastAsia="Calibri"/>
                <w:noProof/>
                <w:color w:val="000000"/>
                <w:sz w:val="20"/>
                <w:szCs w:val="20"/>
                <w:lang w:eastAsia="en-GB"/>
              </w:rPr>
              <w:t xml:space="preserve">Opinion of the Fit for Future Platform on the Late Payment Directive </w:t>
            </w:r>
            <w:hyperlink r:id="rId62" w:history="1">
              <w:r w:rsidRPr="00881BC8">
                <w:rPr>
                  <w:rFonts w:eastAsia="Calibri"/>
                  <w:noProof/>
                  <w:color w:val="0000FF" w:themeColor="hyperlink"/>
                  <w:sz w:val="20"/>
                  <w:szCs w:val="20"/>
                  <w:u w:val="single"/>
                  <w:lang w:eastAsia="en-GB"/>
                </w:rPr>
                <w:t>https://ec.europa.eu/info/sites/default/files/final_opinion_2021_sbgr2_06_late_payments.pdf</w:t>
              </w:r>
            </w:hyperlink>
            <w:r w:rsidRPr="00881BC8">
              <w:rPr>
                <w:rFonts w:eastAsia="Calibri"/>
                <w:noProof/>
                <w:color w:val="000000"/>
                <w:sz w:val="20"/>
                <w:szCs w:val="20"/>
                <w:lang w:eastAsia="en-GB"/>
              </w:rPr>
              <w:t xml:space="preserve"> </w:t>
            </w:r>
          </w:p>
        </w:tc>
      </w:tr>
      <w:tr w:rsidR="005371DA" w:rsidRPr="00881BC8" w14:paraId="5B0A2C2D" w14:textId="77777777" w:rsidTr="008C764F">
        <w:trPr>
          <w:cantSplit/>
        </w:trPr>
        <w:tc>
          <w:tcPr>
            <w:tcW w:w="2943" w:type="dxa"/>
            <w:tcBorders>
              <w:top w:val="nil"/>
              <w:left w:val="single" w:sz="8" w:space="0" w:color="9CC2E5"/>
              <w:bottom w:val="single" w:sz="8" w:space="0" w:color="9CC2E5"/>
              <w:right w:val="single" w:sz="8" w:space="0" w:color="9CC2E5"/>
            </w:tcBorders>
            <w:shd w:val="clear" w:color="auto" w:fill="FFFFFF" w:themeFill="background1"/>
            <w:tcMar>
              <w:top w:w="0" w:type="dxa"/>
              <w:left w:w="108" w:type="dxa"/>
              <w:bottom w:w="0" w:type="dxa"/>
              <w:right w:w="108" w:type="dxa"/>
            </w:tcMar>
          </w:tcPr>
          <w:p w14:paraId="1ACF6E65" w14:textId="77777777" w:rsidR="005371DA" w:rsidRPr="00881BC8" w:rsidRDefault="005371DA" w:rsidP="00040B36">
            <w:pPr>
              <w:rPr>
                <w:rFonts w:eastAsia="Calibri"/>
                <w:b/>
                <w:bCs/>
                <w:noProof/>
                <w:sz w:val="20"/>
                <w:szCs w:val="20"/>
              </w:rPr>
            </w:pPr>
            <w:r w:rsidRPr="00881BC8">
              <w:rPr>
                <w:rFonts w:eastAsia="Calibri"/>
                <w:b/>
                <w:bCs/>
                <w:noProof/>
                <w:sz w:val="20"/>
                <w:szCs w:val="20"/>
              </w:rPr>
              <w:t>Building a responsible payment culture, EC study (2022)</w:t>
            </w:r>
          </w:p>
        </w:tc>
        <w:tc>
          <w:tcPr>
            <w:tcW w:w="6379" w:type="dxa"/>
            <w:tcBorders>
              <w:top w:val="nil"/>
              <w:left w:val="nil"/>
              <w:bottom w:val="single" w:sz="8" w:space="0" w:color="9CC2E5"/>
              <w:right w:val="single" w:sz="8" w:space="0" w:color="9CC2E5"/>
            </w:tcBorders>
            <w:shd w:val="clear" w:color="auto" w:fill="FFFFFF" w:themeFill="background1"/>
            <w:tcMar>
              <w:top w:w="0" w:type="dxa"/>
              <w:left w:w="108" w:type="dxa"/>
              <w:bottom w:w="0" w:type="dxa"/>
              <w:right w:w="108" w:type="dxa"/>
            </w:tcMar>
          </w:tcPr>
          <w:p w14:paraId="22CAE319" w14:textId="28D4F969" w:rsidR="005371DA" w:rsidRPr="00881BC8" w:rsidRDefault="005371DA" w:rsidP="00040B36">
            <w:pPr>
              <w:spacing w:after="120"/>
              <w:rPr>
                <w:noProof/>
                <w:color w:val="0000FF" w:themeColor="hyperlink"/>
                <w:sz w:val="20"/>
                <w:szCs w:val="20"/>
                <w:u w:val="single"/>
              </w:rPr>
            </w:pPr>
            <w:r w:rsidRPr="00881BC8">
              <w:rPr>
                <w:i/>
                <w:noProof/>
                <w:sz w:val="20"/>
                <w:szCs w:val="20"/>
              </w:rPr>
              <w:t>Building a responsible payment culture – improving the effectiveness of the Late Payment Directive.</w:t>
            </w:r>
            <w:hyperlink r:id="rId63" w:history="1">
              <w:r w:rsidRPr="00881BC8">
                <w:rPr>
                  <w:noProof/>
                  <w:color w:val="0000FF" w:themeColor="hyperlink"/>
                  <w:sz w:val="20"/>
                  <w:szCs w:val="20"/>
                  <w:u w:val="single"/>
                </w:rPr>
                <w:t>https://op.europa.eu/en/publication-detail/-/publication/cb4bc1bd-1467-11ed-8fa0-01aa75ed71a1/language-en/format-PDF/source-search</w:t>
              </w:r>
            </w:hyperlink>
          </w:p>
          <w:p w14:paraId="5C76F7B8" w14:textId="77777777" w:rsidR="005371DA" w:rsidRPr="00881BC8" w:rsidRDefault="005371DA" w:rsidP="00040B36">
            <w:pPr>
              <w:spacing w:after="120"/>
              <w:rPr>
                <w:rFonts w:eastAsia="Calibri"/>
                <w:noProof/>
                <w:color w:val="000000"/>
                <w:sz w:val="20"/>
                <w:szCs w:val="20"/>
                <w:lang w:eastAsia="en-GB"/>
              </w:rPr>
            </w:pPr>
            <w:r w:rsidRPr="00881BC8">
              <w:rPr>
                <w:rFonts w:eastAsia="Calibri"/>
                <w:noProof/>
                <w:color w:val="000000"/>
                <w:sz w:val="20"/>
                <w:szCs w:val="20"/>
                <w:lang w:eastAsia="en-GB"/>
              </w:rPr>
              <w:t>The study collected evidence and provided inputs on a series of possible actions aimed at fostering the effectiveness of the LPD. The work was articulated in 6 thematic areas, dealing respectively with: (i) identifying the conditions for the creation of an EU observatory on payment behaviour; (ii) facilitating the uptake of financial tools addressing the issues originated by poor payment behaviour and fostering the use of e-invoicing; (iii) facilitating access to credit information on prospective clients; (iv) implementing synergies between public procurement and prompt payment objectives; (v) fostering the use of Alternative Dispute Resolution tools to settle payment delays disputes; and (vi) enhancing SMEs’ credit management capabilities. The study relied on a combination of desk work and interactions with stakeholders, including: (i) the review of over 250 documentary sources and some 150 websites; (ii) interviews with representatives of more than 100 entities (Member States authorities, business associations &amp; professional groupings, enterprises, academicians, etc.); (iii) two targeted consultations with ADR professionals and public procurement authorities, and (iv) a consultation with some 700 SMEs, implemented through the Enterprise Europe Network.</w:t>
            </w:r>
          </w:p>
        </w:tc>
      </w:tr>
      <w:tr w:rsidR="005371DA" w:rsidRPr="00881BC8" w14:paraId="4CA897B5" w14:textId="77777777" w:rsidTr="008C764F">
        <w:trPr>
          <w:cantSplit/>
        </w:trPr>
        <w:tc>
          <w:tcPr>
            <w:tcW w:w="2943" w:type="dxa"/>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tcPr>
          <w:p w14:paraId="304DAE7D" w14:textId="77777777" w:rsidR="005371DA" w:rsidRPr="00881BC8" w:rsidRDefault="005371DA" w:rsidP="00040B36">
            <w:pPr>
              <w:rPr>
                <w:rFonts w:eastAsia="Calibri"/>
                <w:b/>
                <w:bCs/>
                <w:noProof/>
                <w:sz w:val="20"/>
                <w:szCs w:val="20"/>
              </w:rPr>
            </w:pPr>
            <w:r w:rsidRPr="00881BC8">
              <w:rPr>
                <w:rFonts w:eastAsia="Calibri"/>
                <w:b/>
                <w:bCs/>
                <w:noProof/>
                <w:sz w:val="20"/>
                <w:szCs w:val="20"/>
              </w:rPr>
              <w:t>Assessing the economic impact of faster payments in B2B transactions, JRC Study (2022)</w:t>
            </w:r>
          </w:p>
        </w:tc>
        <w:tc>
          <w:tcPr>
            <w:tcW w:w="6379"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tcPr>
          <w:p w14:paraId="2F2BB9B8" w14:textId="0D70E872" w:rsidR="005371DA" w:rsidRPr="00881BC8" w:rsidRDefault="005371DA" w:rsidP="00040B36">
            <w:pPr>
              <w:spacing w:after="120"/>
              <w:rPr>
                <w:rFonts w:eastAsiaTheme="minorEastAsia" w:cs="Calibri"/>
                <w:noProof/>
                <w:color w:val="0000FF" w:themeColor="hyperlink"/>
                <w:sz w:val="20"/>
                <w:szCs w:val="20"/>
                <w:u w:val="single"/>
              </w:rPr>
            </w:pPr>
            <w:r w:rsidRPr="00881BC8">
              <w:rPr>
                <w:rFonts w:eastAsiaTheme="minorEastAsia"/>
                <w:i/>
                <w:noProof/>
                <w:sz w:val="20"/>
                <w:szCs w:val="20"/>
              </w:rPr>
              <w:t>Ferrara A., Ferraresi M. (2022), Assessing the economic impact of faster payments in B2B commercial transactions. Final Report, JRC Study</w:t>
            </w:r>
            <w:r w:rsidR="0091653A" w:rsidRPr="00881BC8">
              <w:rPr>
                <w:rFonts w:eastAsiaTheme="minorEastAsia"/>
                <w:i/>
                <w:noProof/>
                <w:sz w:val="20"/>
                <w:szCs w:val="20"/>
              </w:rPr>
              <w:t xml:space="preserve"> </w:t>
            </w:r>
            <w:hyperlink r:id="rId64" w:history="1">
              <w:r w:rsidRPr="00881BC8">
                <w:rPr>
                  <w:rFonts w:eastAsiaTheme="minorEastAsia" w:cs="Calibri"/>
                  <w:noProof/>
                  <w:color w:val="0000FF" w:themeColor="hyperlink"/>
                  <w:sz w:val="20"/>
                  <w:szCs w:val="20"/>
                  <w:u w:val="single"/>
                </w:rPr>
                <w:t>https://publications.jrc.ec.europa.eu/repository/handle/JRC130205</w:t>
              </w:r>
            </w:hyperlink>
          </w:p>
          <w:p w14:paraId="3B80862F" w14:textId="77777777" w:rsidR="005371DA" w:rsidRPr="00881BC8" w:rsidRDefault="005371DA" w:rsidP="00040B36">
            <w:pPr>
              <w:spacing w:after="120"/>
              <w:rPr>
                <w:rFonts w:eastAsia="Calibri"/>
                <w:noProof/>
                <w:color w:val="000000"/>
                <w:sz w:val="20"/>
                <w:szCs w:val="20"/>
                <w:lang w:eastAsia="en-GB"/>
              </w:rPr>
            </w:pPr>
            <w:r w:rsidRPr="00881BC8">
              <w:rPr>
                <w:rFonts w:eastAsiaTheme="minorEastAsia"/>
                <w:noProof/>
                <w:sz w:val="20"/>
                <w:szCs w:val="20"/>
              </w:rPr>
              <w:t>The present study sets an empirical framework to estimate the economic impact of capping the payment term in B2B commercial transactions to 30 and 60 days, considering a panel of nine European countries. It implements the statistical technique known as difference-in-differences (DiD) to estimate the impact of the LPD-B2B, on firms’ performance. Results indicate that the LPD has been associated with higher cash flow in firms that were experiencing longer time to collect their credits in the past.</w:t>
            </w:r>
          </w:p>
        </w:tc>
      </w:tr>
      <w:tr w:rsidR="005371DA" w:rsidRPr="00881BC8" w14:paraId="73891D38" w14:textId="77777777" w:rsidTr="008C764F">
        <w:trPr>
          <w:cantSplit/>
        </w:trPr>
        <w:tc>
          <w:tcPr>
            <w:tcW w:w="2943" w:type="dxa"/>
            <w:tcBorders>
              <w:top w:val="nil"/>
              <w:left w:val="single" w:sz="8" w:space="0" w:color="9CC2E5"/>
              <w:bottom w:val="single" w:sz="8" w:space="0" w:color="9CC2E5"/>
              <w:right w:val="single" w:sz="8" w:space="0" w:color="9CC2E5"/>
            </w:tcBorders>
            <w:shd w:val="clear" w:color="auto" w:fill="FFFFFF"/>
            <w:tcMar>
              <w:top w:w="0" w:type="dxa"/>
              <w:left w:w="108" w:type="dxa"/>
              <w:bottom w:w="0" w:type="dxa"/>
              <w:right w:w="108" w:type="dxa"/>
            </w:tcMar>
          </w:tcPr>
          <w:p w14:paraId="7AD0E466" w14:textId="77777777" w:rsidR="005371DA" w:rsidRPr="00881BC8" w:rsidRDefault="005371DA" w:rsidP="00040B36">
            <w:pPr>
              <w:rPr>
                <w:rFonts w:eastAsia="Calibri"/>
                <w:b/>
                <w:noProof/>
                <w:sz w:val="20"/>
                <w:szCs w:val="20"/>
              </w:rPr>
            </w:pPr>
            <w:r w:rsidRPr="00881BC8">
              <w:rPr>
                <w:rFonts w:eastAsia="Calibri"/>
                <w:b/>
                <w:noProof/>
                <w:sz w:val="20"/>
                <w:szCs w:val="20"/>
              </w:rPr>
              <w:t>SME Performance review</w:t>
            </w:r>
          </w:p>
        </w:tc>
        <w:tc>
          <w:tcPr>
            <w:tcW w:w="6379" w:type="dxa"/>
            <w:tcBorders>
              <w:top w:val="nil"/>
              <w:left w:val="nil"/>
              <w:bottom w:val="single" w:sz="8" w:space="0" w:color="9CC2E5"/>
              <w:right w:val="single" w:sz="8" w:space="0" w:color="9CC2E5"/>
            </w:tcBorders>
            <w:shd w:val="clear" w:color="auto" w:fill="FFFFFF"/>
            <w:tcMar>
              <w:top w:w="0" w:type="dxa"/>
              <w:left w:w="108" w:type="dxa"/>
              <w:bottom w:w="0" w:type="dxa"/>
              <w:right w:w="108" w:type="dxa"/>
            </w:tcMar>
          </w:tcPr>
          <w:p w14:paraId="3AD7219A" w14:textId="3F9212D7" w:rsidR="005371DA" w:rsidRPr="00881BC8" w:rsidRDefault="00BC129D" w:rsidP="00040B36">
            <w:pPr>
              <w:spacing w:after="120"/>
              <w:rPr>
                <w:rFonts w:eastAsia="Calibri"/>
                <w:noProof/>
                <w:color w:val="0000FF"/>
                <w:sz w:val="20"/>
                <w:szCs w:val="20"/>
                <w:u w:val="single"/>
              </w:rPr>
            </w:pPr>
            <w:hyperlink r:id="rId65" w:history="1">
              <w:r w:rsidR="005371DA" w:rsidRPr="00881BC8">
                <w:rPr>
                  <w:rFonts w:eastAsia="Calibri"/>
                  <w:noProof/>
                  <w:color w:val="0000FF"/>
                  <w:sz w:val="20"/>
                  <w:szCs w:val="20"/>
                  <w:u w:val="single"/>
                </w:rPr>
                <w:t>SME Performance Review (europa.eu)</w:t>
              </w:r>
            </w:hyperlink>
          </w:p>
          <w:p w14:paraId="6A30F738" w14:textId="77777777" w:rsidR="005371DA" w:rsidRPr="00881BC8" w:rsidRDefault="005371DA" w:rsidP="00040B36">
            <w:pPr>
              <w:spacing w:after="120"/>
              <w:rPr>
                <w:rFonts w:eastAsia="Calibri"/>
                <w:noProof/>
                <w:sz w:val="20"/>
                <w:szCs w:val="20"/>
              </w:rPr>
            </w:pPr>
            <w:r w:rsidRPr="00881BC8">
              <w:rPr>
                <w:rFonts w:eastAsia="Calibri"/>
                <w:bCs/>
                <w:noProof/>
                <w:sz w:val="20"/>
                <w:szCs w:val="20"/>
              </w:rPr>
              <w:t>The SME performance review is one of the main tools the European Commission uses to monitor and assess countries' progress in implementing the SME strategy and the Small Business Act. With an emphasis on the priorities under the SME strategy and the SBA, the review brings comprehensive information on the performance of SMEs</w:t>
            </w:r>
            <w:r w:rsidRPr="00881BC8">
              <w:rPr>
                <w:rFonts w:eastAsia="Calibri"/>
                <w:bCs/>
                <w:noProof/>
                <w:color w:val="404040"/>
                <w:sz w:val="20"/>
                <w:szCs w:val="20"/>
              </w:rPr>
              <w:t xml:space="preserve">. </w:t>
            </w:r>
          </w:p>
        </w:tc>
      </w:tr>
      <w:tr w:rsidR="005371DA" w:rsidRPr="00881BC8" w14:paraId="17479952" w14:textId="77777777" w:rsidTr="008C764F">
        <w:trPr>
          <w:cantSplit/>
        </w:trPr>
        <w:tc>
          <w:tcPr>
            <w:tcW w:w="2943" w:type="dxa"/>
            <w:tcBorders>
              <w:top w:val="nil"/>
              <w:left w:val="single" w:sz="8" w:space="0" w:color="9CC2E5"/>
              <w:bottom w:val="single" w:sz="8" w:space="0" w:color="9CC2E5"/>
              <w:right w:val="single" w:sz="8" w:space="0" w:color="9CC2E5"/>
            </w:tcBorders>
            <w:tcMar>
              <w:top w:w="0" w:type="dxa"/>
              <w:left w:w="108" w:type="dxa"/>
              <w:bottom w:w="0" w:type="dxa"/>
              <w:right w:w="108" w:type="dxa"/>
            </w:tcMar>
            <w:hideMark/>
          </w:tcPr>
          <w:p w14:paraId="6E32F38A" w14:textId="77777777" w:rsidR="005371DA" w:rsidRPr="00881BC8" w:rsidRDefault="005371DA" w:rsidP="00040B36">
            <w:pPr>
              <w:rPr>
                <w:rFonts w:eastAsia="Calibri"/>
                <w:b/>
                <w:bCs/>
                <w:noProof/>
                <w:color w:val="000000"/>
                <w:sz w:val="20"/>
                <w:szCs w:val="20"/>
                <w:lang w:eastAsia="en-GB"/>
              </w:rPr>
            </w:pPr>
            <w:r w:rsidRPr="00881BC8">
              <w:rPr>
                <w:rFonts w:eastAsia="Calibri"/>
                <w:b/>
                <w:bCs/>
                <w:noProof/>
                <w:sz w:val="20"/>
                <w:szCs w:val="20"/>
              </w:rPr>
              <w:t>European Payment Report – INTRUM (different years)</w:t>
            </w:r>
          </w:p>
        </w:tc>
        <w:tc>
          <w:tcPr>
            <w:tcW w:w="6379" w:type="dxa"/>
            <w:tcBorders>
              <w:top w:val="nil"/>
              <w:left w:val="nil"/>
              <w:bottom w:val="single" w:sz="8" w:space="0" w:color="9CC2E5"/>
              <w:right w:val="single" w:sz="8" w:space="0" w:color="9CC2E5"/>
            </w:tcBorders>
            <w:tcMar>
              <w:top w:w="0" w:type="dxa"/>
              <w:left w:w="108" w:type="dxa"/>
              <w:bottom w:w="0" w:type="dxa"/>
              <w:right w:w="108" w:type="dxa"/>
            </w:tcMar>
            <w:hideMark/>
          </w:tcPr>
          <w:p w14:paraId="33B5DB43" w14:textId="77777777" w:rsidR="005371DA" w:rsidRPr="00881BC8" w:rsidRDefault="005371DA" w:rsidP="00040B36">
            <w:pPr>
              <w:spacing w:after="120"/>
              <w:rPr>
                <w:rFonts w:eastAsia="Calibri"/>
                <w:noProof/>
                <w:color w:val="0000FF"/>
                <w:sz w:val="20"/>
                <w:szCs w:val="20"/>
                <w:u w:val="single"/>
              </w:rPr>
            </w:pPr>
            <w:r w:rsidRPr="00881BC8">
              <w:rPr>
                <w:rFonts w:eastAsia="Calibri"/>
                <w:noProof/>
                <w:color w:val="0000FF"/>
                <w:sz w:val="20"/>
                <w:szCs w:val="20"/>
                <w:u w:val="single"/>
              </w:rPr>
              <w:t xml:space="preserve">https://www.intrum.com/publications/european-payment-report/ </w:t>
            </w:r>
          </w:p>
          <w:p w14:paraId="62A962FE" w14:textId="77777777" w:rsidR="005371DA" w:rsidRPr="00881BC8" w:rsidRDefault="005371DA" w:rsidP="00040B36">
            <w:pPr>
              <w:spacing w:after="120"/>
              <w:rPr>
                <w:rFonts w:eastAsia="Calibri"/>
                <w:noProof/>
                <w:color w:val="000000"/>
                <w:sz w:val="20"/>
                <w:szCs w:val="20"/>
                <w:lang w:eastAsia="en-GB"/>
              </w:rPr>
            </w:pPr>
            <w:r w:rsidRPr="00881BC8">
              <w:rPr>
                <w:rFonts w:eastAsia="Calibri"/>
                <w:noProof/>
                <w:color w:val="000000"/>
                <w:sz w:val="20"/>
                <w:szCs w:val="20"/>
                <w:lang w:eastAsia="en-GB"/>
              </w:rPr>
              <w:t>The European Payment Report (EPR) describes the impact late payments has on the development and growth among European businesses. The insights are based on a survey of more than 11,000 companies in 29 European countries. The survey is conducted annually, based on a set of fixed questions combined with a set of questions on a relevant topic.</w:t>
            </w:r>
          </w:p>
        </w:tc>
      </w:tr>
      <w:tr w:rsidR="005371DA" w:rsidRPr="00881BC8" w14:paraId="215B663F" w14:textId="77777777" w:rsidTr="008C764F">
        <w:trPr>
          <w:cantSplit/>
        </w:trPr>
        <w:tc>
          <w:tcPr>
            <w:tcW w:w="2943" w:type="dxa"/>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hideMark/>
          </w:tcPr>
          <w:p w14:paraId="30D1999C" w14:textId="77777777" w:rsidR="005371DA" w:rsidRPr="00881BC8" w:rsidRDefault="005371DA" w:rsidP="00040B36">
            <w:pPr>
              <w:rPr>
                <w:rFonts w:eastAsia="Calibri"/>
                <w:b/>
                <w:bCs/>
                <w:noProof/>
                <w:sz w:val="20"/>
                <w:szCs w:val="20"/>
              </w:rPr>
            </w:pPr>
            <w:r w:rsidRPr="00881BC8">
              <w:rPr>
                <w:rFonts w:eastAsia="Calibri"/>
                <w:b/>
                <w:bCs/>
                <w:noProof/>
                <w:sz w:val="20"/>
                <w:szCs w:val="20"/>
              </w:rPr>
              <w:t>SAFE survey – European Central Bank</w:t>
            </w:r>
          </w:p>
        </w:tc>
        <w:tc>
          <w:tcPr>
            <w:tcW w:w="6379"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hideMark/>
          </w:tcPr>
          <w:p w14:paraId="73FEBFB3" w14:textId="77777777" w:rsidR="005371DA" w:rsidRPr="00881BC8" w:rsidRDefault="005371DA" w:rsidP="00040B36">
            <w:pPr>
              <w:spacing w:after="120"/>
              <w:rPr>
                <w:rFonts w:eastAsia="Calibri"/>
                <w:noProof/>
                <w:color w:val="0000FF"/>
                <w:sz w:val="20"/>
                <w:szCs w:val="20"/>
                <w:u w:val="single"/>
              </w:rPr>
            </w:pPr>
            <w:r w:rsidRPr="00881BC8">
              <w:rPr>
                <w:rFonts w:eastAsia="Calibri"/>
                <w:noProof/>
                <w:color w:val="0000FF"/>
                <w:sz w:val="20"/>
                <w:szCs w:val="20"/>
                <w:u w:val="single"/>
              </w:rPr>
              <w:t xml:space="preserve">https://www.ecb.europa.eu/stats/ecb_surveys/safe/html/index.en.html </w:t>
            </w:r>
          </w:p>
          <w:p w14:paraId="0F0D218E" w14:textId="77777777" w:rsidR="005371DA" w:rsidRPr="00881BC8" w:rsidRDefault="005371DA" w:rsidP="00040B36">
            <w:pPr>
              <w:spacing w:after="120"/>
              <w:rPr>
                <w:rFonts w:eastAsia="Calibri"/>
                <w:noProof/>
                <w:sz w:val="20"/>
                <w:szCs w:val="20"/>
              </w:rPr>
            </w:pPr>
            <w:r w:rsidRPr="00881BC8">
              <w:rPr>
                <w:rFonts w:eastAsia="Calibri"/>
                <w:noProof/>
                <w:sz w:val="20"/>
                <w:szCs w:val="20"/>
              </w:rPr>
              <w:t>The survey on the access to finance of enterprises (SAFE) provides information on the latest developments in the financial situation of enterprises, and documents trends in the need for and availability of external financing. The survey results are broken down by firm size, branch of economic activity, country, firm age, financial autonomy and ownership.</w:t>
            </w:r>
          </w:p>
          <w:p w14:paraId="05CCEAE1" w14:textId="77777777" w:rsidR="005371DA" w:rsidRPr="00881BC8" w:rsidRDefault="005371DA" w:rsidP="00040B36">
            <w:pPr>
              <w:spacing w:after="120"/>
              <w:rPr>
                <w:rFonts w:eastAsia="Calibri"/>
                <w:noProof/>
                <w:sz w:val="20"/>
                <w:szCs w:val="20"/>
              </w:rPr>
            </w:pPr>
            <w:r w:rsidRPr="00881BC8">
              <w:rPr>
                <w:rFonts w:eastAsia="Calibri"/>
                <w:noProof/>
                <w:sz w:val="20"/>
                <w:szCs w:val="20"/>
              </w:rPr>
              <w:t>The survey is conducted twice a year.</w:t>
            </w:r>
          </w:p>
        </w:tc>
      </w:tr>
      <w:tr w:rsidR="005371DA" w:rsidRPr="00881BC8" w14:paraId="11869441" w14:textId="77777777" w:rsidTr="008C764F">
        <w:trPr>
          <w:cantSplit/>
        </w:trPr>
        <w:tc>
          <w:tcPr>
            <w:tcW w:w="2943" w:type="dxa"/>
            <w:tcBorders>
              <w:top w:val="nil"/>
              <w:left w:val="single" w:sz="8" w:space="0" w:color="9CC2E5"/>
              <w:bottom w:val="single" w:sz="8" w:space="0" w:color="9CC2E5"/>
              <w:right w:val="single" w:sz="8" w:space="0" w:color="9CC2E5"/>
            </w:tcBorders>
            <w:shd w:val="clear" w:color="auto" w:fill="FFFFFF"/>
            <w:tcMar>
              <w:top w:w="0" w:type="dxa"/>
              <w:left w:w="108" w:type="dxa"/>
              <w:bottom w:w="0" w:type="dxa"/>
              <w:right w:w="108" w:type="dxa"/>
            </w:tcMar>
          </w:tcPr>
          <w:p w14:paraId="4A6E54AE" w14:textId="77777777" w:rsidR="005371DA" w:rsidRPr="00881BC8" w:rsidRDefault="005371DA" w:rsidP="00040B36">
            <w:pPr>
              <w:spacing w:after="0"/>
              <w:rPr>
                <w:rFonts w:eastAsia="Times New Roman"/>
                <w:noProof/>
                <w:sz w:val="20"/>
                <w:szCs w:val="20"/>
              </w:rPr>
            </w:pPr>
            <w:r w:rsidRPr="00881BC8">
              <w:rPr>
                <w:rFonts w:eastAsia="Calibri"/>
                <w:b/>
                <w:noProof/>
                <w:sz w:val="20"/>
                <w:szCs w:val="20"/>
              </w:rPr>
              <w:t>Eurobarometer surveys</w:t>
            </w:r>
          </w:p>
          <w:p w14:paraId="05B3703B" w14:textId="77777777" w:rsidR="005371DA" w:rsidRPr="00881BC8" w:rsidRDefault="005371DA" w:rsidP="00040B36">
            <w:pPr>
              <w:rPr>
                <w:rFonts w:eastAsia="Calibri"/>
                <w:b/>
                <w:noProof/>
                <w:sz w:val="20"/>
                <w:szCs w:val="20"/>
              </w:rPr>
            </w:pPr>
          </w:p>
        </w:tc>
        <w:tc>
          <w:tcPr>
            <w:tcW w:w="6379" w:type="dxa"/>
            <w:tcBorders>
              <w:top w:val="nil"/>
              <w:left w:val="nil"/>
              <w:bottom w:val="single" w:sz="8" w:space="0" w:color="9CC2E5"/>
              <w:right w:val="single" w:sz="8" w:space="0" w:color="9CC2E5"/>
            </w:tcBorders>
            <w:shd w:val="clear" w:color="auto" w:fill="FFFFFF"/>
            <w:tcMar>
              <w:top w:w="0" w:type="dxa"/>
              <w:left w:w="108" w:type="dxa"/>
              <w:bottom w:w="0" w:type="dxa"/>
              <w:right w:w="108" w:type="dxa"/>
            </w:tcMar>
          </w:tcPr>
          <w:p w14:paraId="4FE532D1" w14:textId="61E98923" w:rsidR="005371DA" w:rsidRPr="00881BC8" w:rsidRDefault="00BC129D" w:rsidP="00040B36">
            <w:pPr>
              <w:spacing w:after="120"/>
              <w:rPr>
                <w:noProof/>
                <w:color w:val="0000FF" w:themeColor="hyperlink"/>
                <w:sz w:val="20"/>
                <w:szCs w:val="20"/>
                <w:u w:val="single"/>
              </w:rPr>
            </w:pPr>
            <w:hyperlink r:id="rId66" w:history="1">
              <w:r w:rsidR="005371DA" w:rsidRPr="00881BC8">
                <w:rPr>
                  <w:noProof/>
                  <w:color w:val="0000FF" w:themeColor="hyperlink"/>
                  <w:sz w:val="20"/>
                  <w:szCs w:val="20"/>
                  <w:u w:val="single"/>
                </w:rPr>
                <w:t>https://europa.eu/eurobarometer/surveys/detail/2244</w:t>
              </w:r>
            </w:hyperlink>
          </w:p>
          <w:p w14:paraId="26DB5C49" w14:textId="77777777" w:rsidR="005371DA" w:rsidRPr="00881BC8" w:rsidRDefault="005371DA" w:rsidP="00040B36">
            <w:pPr>
              <w:spacing w:after="120"/>
              <w:rPr>
                <w:rFonts w:eastAsia="Calibri"/>
                <w:noProof/>
                <w:sz w:val="20"/>
                <w:szCs w:val="20"/>
              </w:rPr>
            </w:pPr>
            <w:r w:rsidRPr="00881BC8">
              <w:rPr>
                <w:rFonts w:eastAsia="Calibri"/>
                <w:noProof/>
                <w:sz w:val="20"/>
                <w:szCs w:val="20"/>
              </w:rPr>
              <w:t xml:space="preserve">Eurobarometer is the polling instrument used by the European Commission, the European Parliament and other EU institutions and agencies to monitor regularly the state of public opinion in Europe on issues related to the European Union as well as attitudes on subjects of political or social nature. Eurobarometer provides quality and relevant data for experts in public opinion, researchers, media and the public. </w:t>
            </w:r>
          </w:p>
          <w:p w14:paraId="487026A0" w14:textId="77777777" w:rsidR="005371DA" w:rsidRPr="00881BC8" w:rsidRDefault="005371DA" w:rsidP="00040B36">
            <w:pPr>
              <w:spacing w:after="120"/>
              <w:rPr>
                <w:rFonts w:eastAsia="Calibri"/>
                <w:noProof/>
                <w:sz w:val="20"/>
                <w:szCs w:val="20"/>
              </w:rPr>
            </w:pPr>
            <w:r w:rsidRPr="00881BC8">
              <w:rPr>
                <w:rFonts w:eastAsia="Calibri"/>
                <w:noProof/>
                <w:sz w:val="20"/>
                <w:szCs w:val="20"/>
              </w:rPr>
              <w:t>For this impact assessment, we have consulted the survey on SMEs, start-ups, scale-ups and entrepreneurship – which also includes questions on payment behavior.</w:t>
            </w:r>
          </w:p>
        </w:tc>
      </w:tr>
      <w:tr w:rsidR="005371DA" w:rsidRPr="00881BC8" w14:paraId="3FD4B591" w14:textId="77777777" w:rsidTr="008C764F">
        <w:trPr>
          <w:cantSplit/>
        </w:trPr>
        <w:tc>
          <w:tcPr>
            <w:tcW w:w="2943" w:type="dxa"/>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tcPr>
          <w:p w14:paraId="72F24A11" w14:textId="77777777" w:rsidR="005371DA" w:rsidRPr="00881BC8" w:rsidRDefault="005371DA" w:rsidP="00040B36">
            <w:pPr>
              <w:rPr>
                <w:rFonts w:eastAsia="Calibri"/>
                <w:b/>
                <w:noProof/>
                <w:sz w:val="20"/>
                <w:szCs w:val="20"/>
                <w:highlight w:val="yellow"/>
              </w:rPr>
            </w:pPr>
            <w:r w:rsidRPr="00881BC8">
              <w:rPr>
                <w:b/>
                <w:noProof/>
                <w:sz w:val="20"/>
                <w:szCs w:val="20"/>
              </w:rPr>
              <w:t>D&amp;B payment survey 2022</w:t>
            </w:r>
          </w:p>
        </w:tc>
        <w:tc>
          <w:tcPr>
            <w:tcW w:w="6379"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tcPr>
          <w:p w14:paraId="541060D1" w14:textId="573EE50C" w:rsidR="005371DA" w:rsidRPr="00881BC8" w:rsidRDefault="00BC129D" w:rsidP="00040B36">
            <w:pPr>
              <w:spacing w:after="120"/>
              <w:rPr>
                <w:noProof/>
                <w:color w:val="0000FF" w:themeColor="hyperlink"/>
                <w:sz w:val="20"/>
                <w:szCs w:val="20"/>
                <w:u w:val="single"/>
              </w:rPr>
            </w:pPr>
            <w:hyperlink r:id="rId67" w:history="1">
              <w:r w:rsidR="005371DA" w:rsidRPr="00881BC8">
                <w:rPr>
                  <w:noProof/>
                  <w:color w:val="0000FF" w:themeColor="hyperlink"/>
                  <w:sz w:val="20"/>
                  <w:szCs w:val="20"/>
                  <w:u w:val="single"/>
                </w:rPr>
                <w:t>https://www.dnb.com/en-ch/knowledge/study/payment-study-2022-download/</w:t>
              </w:r>
            </w:hyperlink>
          </w:p>
          <w:p w14:paraId="135F0879" w14:textId="756A9629" w:rsidR="005371DA" w:rsidRPr="00881BC8" w:rsidRDefault="005371DA" w:rsidP="00040B36">
            <w:pPr>
              <w:spacing w:after="120"/>
              <w:rPr>
                <w:rFonts w:eastAsia="Calibri"/>
                <w:noProof/>
                <w:sz w:val="20"/>
                <w:szCs w:val="20"/>
                <w:highlight w:val="yellow"/>
              </w:rPr>
            </w:pPr>
            <w:r w:rsidRPr="00881BC8">
              <w:rPr>
                <w:rFonts w:eastAsia="Calibri"/>
                <w:bCs/>
                <w:noProof/>
                <w:sz w:val="20"/>
                <w:szCs w:val="20"/>
              </w:rPr>
              <w:t xml:space="preserve">Dun &amp; Bradstreet publishes annual reports outlining the international picture of payment practices. Data is collected from a large variety of countries and economic areas (e.g. Belgium, the Netherlands, Luxembourg, Germany, France, the UK, Spain, Portugal, Ireland, Slovenia, Poland, Finland, Russia, </w:t>
            </w:r>
            <w:r w:rsidR="00CC1DE0" w:rsidRPr="00881BC8">
              <w:rPr>
                <w:noProof/>
                <w:lang w:eastAsia="en-GB"/>
              </w:rPr>
              <w:t>Türkiye</w:t>
            </w:r>
            <w:r w:rsidRPr="00881BC8">
              <w:rPr>
                <w:rFonts w:eastAsia="Calibri"/>
                <w:bCs/>
                <w:noProof/>
                <w:sz w:val="20"/>
                <w:szCs w:val="20"/>
              </w:rPr>
              <w:t>, Greece, Bulgaria, Romania, Serbia, Croatia, Sweden, Hungary, Denmark, Czech Republic, Slovakia, Switzerland and Egypt, but also China Mainland, Taiwan Region, Hong Kong SAR, Philippines, Singapore, Thailand, India, Israel, UAE, Mexico, United States, Canada, Singapore). For each market the patterns of commercial transactions are analyzed in detail, paying attention to any changes compared with the previous years.</w:t>
            </w:r>
          </w:p>
        </w:tc>
      </w:tr>
      <w:tr w:rsidR="00BE46F5" w:rsidRPr="00881BC8" w14:paraId="35BFC80B" w14:textId="77777777" w:rsidTr="006F0A2A">
        <w:trPr>
          <w:cantSplit/>
        </w:trPr>
        <w:tc>
          <w:tcPr>
            <w:tcW w:w="2943" w:type="dxa"/>
            <w:tcBorders>
              <w:top w:val="nil"/>
              <w:left w:val="single" w:sz="8" w:space="0" w:color="9CC2E5"/>
              <w:bottom w:val="single" w:sz="8" w:space="0" w:color="9CC2E5"/>
              <w:right w:val="single" w:sz="8" w:space="0" w:color="9CC2E5"/>
            </w:tcBorders>
            <w:shd w:val="clear" w:color="auto" w:fill="FFFFFF"/>
            <w:tcMar>
              <w:top w:w="0" w:type="dxa"/>
              <w:left w:w="108" w:type="dxa"/>
              <w:bottom w:w="0" w:type="dxa"/>
              <w:right w:w="108" w:type="dxa"/>
            </w:tcMar>
          </w:tcPr>
          <w:p w14:paraId="66509C74" w14:textId="60EDEED2" w:rsidR="00BE46F5" w:rsidRPr="00881BC8" w:rsidRDefault="00BE46F5" w:rsidP="006F0A2A">
            <w:pPr>
              <w:spacing w:after="0"/>
              <w:rPr>
                <w:rFonts w:eastAsia="Times New Roman"/>
                <w:noProof/>
                <w:sz w:val="20"/>
                <w:szCs w:val="20"/>
              </w:rPr>
            </w:pPr>
            <w:r w:rsidRPr="00881BC8">
              <w:rPr>
                <w:rFonts w:eastAsia="Calibri"/>
                <w:b/>
                <w:noProof/>
                <w:sz w:val="20"/>
                <w:szCs w:val="20"/>
              </w:rPr>
              <w:t>The effect o</w:t>
            </w:r>
            <w:r w:rsidR="00A71EC7" w:rsidRPr="00881BC8">
              <w:rPr>
                <w:rFonts w:eastAsia="Calibri"/>
                <w:b/>
                <w:noProof/>
                <w:sz w:val="20"/>
                <w:szCs w:val="20"/>
              </w:rPr>
              <w:t>f</w:t>
            </w:r>
            <w:r w:rsidRPr="00881BC8">
              <w:rPr>
                <w:rFonts w:eastAsia="Calibri"/>
                <w:b/>
                <w:noProof/>
                <w:sz w:val="20"/>
                <w:szCs w:val="20"/>
              </w:rPr>
              <w:t xml:space="preserve"> inflation on late payments</w:t>
            </w:r>
            <w:r w:rsidR="00A71EC7" w:rsidRPr="00881BC8">
              <w:rPr>
                <w:rFonts w:eastAsia="Calibri"/>
                <w:b/>
                <w:noProof/>
                <w:sz w:val="20"/>
                <w:szCs w:val="20"/>
              </w:rPr>
              <w:t>, 2023, to be published (SPR)</w:t>
            </w:r>
          </w:p>
          <w:p w14:paraId="3D8EE8E1" w14:textId="77777777" w:rsidR="00BE46F5" w:rsidRPr="00881BC8" w:rsidRDefault="00BE46F5" w:rsidP="006F0A2A">
            <w:pPr>
              <w:rPr>
                <w:rFonts w:eastAsia="Calibri"/>
                <w:b/>
                <w:noProof/>
                <w:sz w:val="20"/>
                <w:szCs w:val="20"/>
              </w:rPr>
            </w:pPr>
          </w:p>
        </w:tc>
        <w:tc>
          <w:tcPr>
            <w:tcW w:w="6379" w:type="dxa"/>
            <w:tcBorders>
              <w:top w:val="nil"/>
              <w:left w:val="nil"/>
              <w:bottom w:val="single" w:sz="8" w:space="0" w:color="9CC2E5"/>
              <w:right w:val="single" w:sz="8" w:space="0" w:color="9CC2E5"/>
            </w:tcBorders>
            <w:shd w:val="clear" w:color="auto" w:fill="FFFFFF"/>
            <w:tcMar>
              <w:top w:w="0" w:type="dxa"/>
              <w:left w:w="108" w:type="dxa"/>
              <w:bottom w:w="0" w:type="dxa"/>
              <w:right w:w="108" w:type="dxa"/>
            </w:tcMar>
          </w:tcPr>
          <w:p w14:paraId="2E88D84E" w14:textId="1EAF8A34" w:rsidR="00BE46F5" w:rsidRPr="00881BC8" w:rsidRDefault="00A71EC7" w:rsidP="006F0A2A">
            <w:pPr>
              <w:spacing w:after="120"/>
              <w:rPr>
                <w:noProof/>
                <w:color w:val="0000FF" w:themeColor="hyperlink"/>
                <w:sz w:val="20"/>
                <w:szCs w:val="20"/>
                <w:u w:val="single"/>
              </w:rPr>
            </w:pPr>
            <w:r w:rsidRPr="00881BC8">
              <w:rPr>
                <w:noProof/>
                <w:color w:val="0000FF" w:themeColor="hyperlink"/>
                <w:sz w:val="20"/>
                <w:szCs w:val="20"/>
                <w:u w:val="single"/>
              </w:rPr>
              <w:t>https://single-market-economy.ec.europa.eu/smes/sme-strategy/sme-performance-review_en</w:t>
            </w:r>
          </w:p>
          <w:p w14:paraId="4EA89DEF" w14:textId="0B6EC6BC" w:rsidR="00BE46F5" w:rsidRPr="00881BC8" w:rsidRDefault="002C0AC8" w:rsidP="00D84350">
            <w:pPr>
              <w:spacing w:after="120"/>
              <w:rPr>
                <w:rFonts w:eastAsia="Calibri"/>
                <w:noProof/>
                <w:sz w:val="20"/>
                <w:szCs w:val="20"/>
              </w:rPr>
            </w:pPr>
            <w:r w:rsidRPr="00881BC8">
              <w:rPr>
                <w:rFonts w:eastAsia="Calibri"/>
                <w:noProof/>
                <w:sz w:val="20"/>
                <w:szCs w:val="20"/>
              </w:rPr>
              <w:t>The study present a granular analysis of the economic impact of a sustained high inflationary environment on the EUs’ 23 million SMEs. Based on this analysis, the study identifies SME groupings at particular risk and maps and proposes policy responses on the national as well as the EU level, on the level of the 14 industrial ecosystems, with a view to identify a set of good policy practices and recommendations for policy makers.</w:t>
            </w:r>
            <w:r w:rsidR="00D84350" w:rsidRPr="00881BC8">
              <w:rPr>
                <w:rFonts w:eastAsia="Calibri"/>
                <w:noProof/>
                <w:sz w:val="20"/>
                <w:szCs w:val="20"/>
              </w:rPr>
              <w:t xml:space="preserve"> </w:t>
            </w:r>
            <w:r w:rsidRPr="00881BC8">
              <w:rPr>
                <w:rFonts w:eastAsia="Calibri"/>
                <w:noProof/>
                <w:sz w:val="20"/>
                <w:szCs w:val="20"/>
              </w:rPr>
              <w:t>This study covers the EU Member States.</w:t>
            </w:r>
          </w:p>
        </w:tc>
      </w:tr>
      <w:tr w:rsidR="005371DA" w:rsidRPr="00881BC8" w14:paraId="4583C17A" w14:textId="77777777" w:rsidTr="00611F2B">
        <w:trPr>
          <w:cantSplit/>
        </w:trPr>
        <w:tc>
          <w:tcPr>
            <w:tcW w:w="2943" w:type="dxa"/>
            <w:tcBorders>
              <w:top w:val="nil"/>
              <w:left w:val="single" w:sz="8" w:space="0" w:color="9CC2E5"/>
              <w:bottom w:val="nil"/>
              <w:right w:val="single" w:sz="8" w:space="0" w:color="9CC2E5"/>
            </w:tcBorders>
            <w:shd w:val="clear" w:color="auto" w:fill="DEEAF6"/>
            <w:tcMar>
              <w:top w:w="0" w:type="dxa"/>
              <w:left w:w="108" w:type="dxa"/>
              <w:bottom w:w="0" w:type="dxa"/>
              <w:right w:w="108" w:type="dxa"/>
            </w:tcMar>
          </w:tcPr>
          <w:p w14:paraId="5E464A93" w14:textId="77777777" w:rsidR="005371DA" w:rsidRPr="00881BC8" w:rsidRDefault="005371DA" w:rsidP="00040B36">
            <w:pPr>
              <w:spacing w:after="160" w:line="259" w:lineRule="auto"/>
              <w:rPr>
                <w:rFonts w:eastAsia="Calibri"/>
                <w:b/>
                <w:noProof/>
                <w:sz w:val="20"/>
                <w:szCs w:val="20"/>
                <w:highlight w:val="yellow"/>
              </w:rPr>
            </w:pPr>
            <w:r w:rsidRPr="00881BC8">
              <w:rPr>
                <w:rFonts w:eastAsia="Calibri"/>
                <w:b/>
                <w:noProof/>
                <w:sz w:val="20"/>
                <w:szCs w:val="20"/>
              </w:rPr>
              <w:t>Atradius, Payment Practice Barometer, 2017</w:t>
            </w:r>
          </w:p>
        </w:tc>
        <w:tc>
          <w:tcPr>
            <w:tcW w:w="6379" w:type="dxa"/>
            <w:tcBorders>
              <w:top w:val="nil"/>
              <w:left w:val="nil"/>
              <w:bottom w:val="nil"/>
              <w:right w:val="single" w:sz="8" w:space="0" w:color="9CC2E5"/>
            </w:tcBorders>
            <w:shd w:val="clear" w:color="auto" w:fill="DEEAF6"/>
            <w:tcMar>
              <w:top w:w="0" w:type="dxa"/>
              <w:left w:w="108" w:type="dxa"/>
              <w:bottom w:w="0" w:type="dxa"/>
              <w:right w:w="108" w:type="dxa"/>
            </w:tcMar>
          </w:tcPr>
          <w:p w14:paraId="49A7CD82" w14:textId="500F1505" w:rsidR="005371DA" w:rsidRPr="00881BC8" w:rsidRDefault="005371DA" w:rsidP="00040B36">
            <w:pPr>
              <w:spacing w:after="160" w:line="259" w:lineRule="auto"/>
              <w:rPr>
                <w:rFonts w:eastAsia="Calibri"/>
                <w:noProof/>
                <w:sz w:val="20"/>
                <w:szCs w:val="20"/>
                <w:highlight w:val="yellow"/>
              </w:rPr>
            </w:pPr>
            <w:r w:rsidRPr="00881BC8">
              <w:rPr>
                <w:rFonts w:eastAsia="Calibri"/>
                <w:bCs/>
                <w:noProof/>
                <w:sz w:val="20"/>
                <w:szCs w:val="20"/>
              </w:rPr>
              <w:t xml:space="preserve">Atradius conducts annual reviews of international corporate payment practices through a survey called the </w:t>
            </w:r>
            <w:r w:rsidR="00303DFA" w:rsidRPr="00881BC8">
              <w:rPr>
                <w:rFonts w:eastAsia="Calibri"/>
                <w:bCs/>
                <w:noProof/>
                <w:sz w:val="20"/>
                <w:szCs w:val="20"/>
              </w:rPr>
              <w:t>‘</w:t>
            </w:r>
            <w:r w:rsidRPr="00881BC8">
              <w:rPr>
                <w:rFonts w:eastAsia="Calibri"/>
                <w:bCs/>
                <w:noProof/>
                <w:sz w:val="20"/>
                <w:szCs w:val="20"/>
              </w:rPr>
              <w:t>Atradius Payment Practices Barometer</w:t>
            </w:r>
            <w:r w:rsidR="00303DFA" w:rsidRPr="00881BC8">
              <w:rPr>
                <w:rFonts w:eastAsia="Calibri"/>
                <w:bCs/>
                <w:noProof/>
                <w:sz w:val="20"/>
                <w:szCs w:val="20"/>
              </w:rPr>
              <w:t>’</w:t>
            </w:r>
            <w:r w:rsidRPr="00881BC8">
              <w:rPr>
                <w:rFonts w:eastAsia="Calibri"/>
                <w:bCs/>
                <w:noProof/>
                <w:sz w:val="20"/>
                <w:szCs w:val="20"/>
              </w:rPr>
              <w:t>. Several regional (eg Western Europe, Eastern Europe, etc…) but also sectoral reports are published every year, surveying many aspects of companies’ behavior in relation to payments and the impact on business decisions.</w:t>
            </w:r>
          </w:p>
        </w:tc>
      </w:tr>
      <w:tr w:rsidR="00611F2B" w:rsidRPr="00881BC8" w14:paraId="2949D10B" w14:textId="77777777" w:rsidTr="008C764F">
        <w:trPr>
          <w:cantSplit/>
        </w:trPr>
        <w:tc>
          <w:tcPr>
            <w:tcW w:w="2943" w:type="dxa"/>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tcPr>
          <w:p w14:paraId="41A30562" w14:textId="77777777" w:rsidR="00611F2B" w:rsidRPr="00881BC8" w:rsidRDefault="00611F2B" w:rsidP="00040B36">
            <w:pPr>
              <w:spacing w:after="160" w:line="259" w:lineRule="auto"/>
              <w:rPr>
                <w:rFonts w:eastAsia="Calibri"/>
                <w:b/>
                <w:noProof/>
                <w:sz w:val="20"/>
                <w:szCs w:val="20"/>
              </w:rPr>
            </w:pPr>
          </w:p>
        </w:tc>
        <w:tc>
          <w:tcPr>
            <w:tcW w:w="6379"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tcPr>
          <w:p w14:paraId="26125B6B" w14:textId="77777777" w:rsidR="00611F2B" w:rsidRPr="00881BC8" w:rsidRDefault="00611F2B" w:rsidP="00040B36">
            <w:pPr>
              <w:spacing w:after="160" w:line="259" w:lineRule="auto"/>
              <w:rPr>
                <w:rFonts w:eastAsia="Calibri"/>
                <w:bCs/>
                <w:noProof/>
                <w:sz w:val="20"/>
                <w:szCs w:val="20"/>
              </w:rPr>
            </w:pPr>
          </w:p>
        </w:tc>
      </w:tr>
      <w:bookmarkEnd w:id="1004"/>
    </w:tbl>
    <w:p w14:paraId="6AA24992" w14:textId="77777777" w:rsidR="005371DA" w:rsidRPr="00881BC8" w:rsidRDefault="005371DA" w:rsidP="005371DA">
      <w:pPr>
        <w:rPr>
          <w:noProof/>
        </w:rPr>
      </w:pPr>
    </w:p>
    <w:p w14:paraId="3F63620E" w14:textId="6EED6796" w:rsidR="006B087E" w:rsidRPr="00881BC8" w:rsidRDefault="006B087E" w:rsidP="005371DA">
      <w:pPr>
        <w:spacing w:line="276" w:lineRule="auto"/>
        <w:rPr>
          <w:rFonts w:eastAsia="Times New Roman"/>
          <w:noProof/>
          <w:szCs w:val="20"/>
        </w:rPr>
      </w:pPr>
      <w:r w:rsidRPr="00881BC8">
        <w:rPr>
          <w:noProof/>
        </w:rPr>
        <w:br w:type="page"/>
      </w:r>
    </w:p>
    <w:p w14:paraId="3F63620F" w14:textId="7B3ED5C6" w:rsidR="006B087E" w:rsidRPr="00881BC8" w:rsidRDefault="006B087E" w:rsidP="00CF2B67">
      <w:pPr>
        <w:pStyle w:val="AnnexTitle"/>
        <w:rPr>
          <w:noProof/>
        </w:rPr>
      </w:pPr>
      <w:bookmarkStart w:id="1005" w:name="Annex02"/>
      <w:bookmarkStart w:id="1006" w:name="_Toc128566548"/>
      <w:bookmarkStart w:id="1007" w:name="_Toc128594962"/>
      <w:bookmarkStart w:id="1008" w:name="_Toc128678917"/>
      <w:bookmarkStart w:id="1009" w:name="_Toc128935118"/>
      <w:bookmarkStart w:id="1010" w:name="_Toc129710210"/>
      <w:bookmarkStart w:id="1011" w:name="_Toc129899919"/>
      <w:bookmarkStart w:id="1012" w:name="_Toc135237451"/>
      <w:r w:rsidRPr="00881BC8">
        <w:rPr>
          <w:noProof/>
        </w:rPr>
        <w:t>Annex 2</w:t>
      </w:r>
      <w:bookmarkEnd w:id="1005"/>
      <w:r w:rsidRPr="00881BC8">
        <w:rPr>
          <w:noProof/>
        </w:rPr>
        <w:t xml:space="preserve">: Stakeholder consultation </w:t>
      </w:r>
      <w:r w:rsidR="00A84A61" w:rsidRPr="00881BC8">
        <w:rPr>
          <w:noProof/>
        </w:rPr>
        <w:t>(Synopsis report)</w:t>
      </w:r>
      <w:bookmarkEnd w:id="1006"/>
      <w:bookmarkEnd w:id="1007"/>
      <w:bookmarkEnd w:id="1008"/>
      <w:bookmarkEnd w:id="1009"/>
      <w:bookmarkEnd w:id="1010"/>
      <w:bookmarkEnd w:id="1011"/>
      <w:bookmarkEnd w:id="1012"/>
    </w:p>
    <w:p w14:paraId="1F0134B2" w14:textId="77777777" w:rsidR="0008123E" w:rsidRPr="00881BC8" w:rsidRDefault="0008123E" w:rsidP="004835F8">
      <w:pPr>
        <w:pStyle w:val="NormalPara"/>
        <w:rPr>
          <w:noProof/>
          <w:lang w:val="en-GB"/>
        </w:rPr>
      </w:pPr>
      <w:bookmarkStart w:id="1013" w:name="_Toc88562934"/>
      <w:bookmarkStart w:id="1014" w:name="_Toc113656953"/>
      <w:r w:rsidRPr="00881BC8">
        <w:rPr>
          <w:noProof/>
          <w:lang w:val="en-GB"/>
        </w:rPr>
        <w:t xml:space="preserve">In accordance with the consultation strategy, the objective of the consultation activities was to gather data evidence and stakeholder views on a possible revision of the late payment directive. </w:t>
      </w:r>
    </w:p>
    <w:p w14:paraId="0C4F621D" w14:textId="77777777" w:rsidR="0008123E" w:rsidRPr="00881BC8" w:rsidRDefault="0008123E" w:rsidP="004835F8">
      <w:pPr>
        <w:pStyle w:val="NormalPara"/>
        <w:rPr>
          <w:noProof/>
          <w:lang w:val="en-GB"/>
        </w:rPr>
      </w:pPr>
      <w:r w:rsidRPr="00881BC8">
        <w:rPr>
          <w:noProof/>
          <w:lang w:val="en-GB"/>
        </w:rPr>
        <w:t>Feedback obtained from stakeholders via the different tools mentioned below will contribute to the analysis (triangulation of information) together with evidence from different sources including desk-research.</w:t>
      </w:r>
    </w:p>
    <w:p w14:paraId="5C73B705" w14:textId="77777777" w:rsidR="0008123E" w:rsidRPr="00881BC8" w:rsidRDefault="0008123E" w:rsidP="004835F8">
      <w:pPr>
        <w:pStyle w:val="NormalPara"/>
        <w:rPr>
          <w:noProof/>
          <w:lang w:val="en-GB"/>
        </w:rPr>
      </w:pPr>
      <w:r w:rsidRPr="00881BC8">
        <w:rPr>
          <w:noProof/>
          <w:lang w:val="en-GB"/>
        </w:rPr>
        <w:t>This annex is structured in two main chapters:</w:t>
      </w:r>
    </w:p>
    <w:p w14:paraId="5E411567" w14:textId="461D5B02" w:rsidR="0008123E" w:rsidRPr="00881BC8" w:rsidRDefault="0008123E" w:rsidP="004835F8">
      <w:pPr>
        <w:pStyle w:val="NormalPara"/>
        <w:rPr>
          <w:noProof/>
          <w:lang w:val="en-GB"/>
        </w:rPr>
      </w:pPr>
      <w:r w:rsidRPr="00881BC8">
        <w:rPr>
          <w:b/>
          <w:bCs/>
          <w:noProof/>
          <w:lang w:val="en-GB"/>
        </w:rPr>
        <w:t>Chapter I – Consultation activities and sources of information</w:t>
      </w:r>
      <w:r w:rsidRPr="00881BC8">
        <w:rPr>
          <w:noProof/>
          <w:lang w:val="en-GB"/>
        </w:rPr>
        <w:t xml:space="preserve"> presents the description of the methodology that the services of the Commission have used e.g. </w:t>
      </w:r>
      <w:r w:rsidR="00E4064B" w:rsidRPr="00881BC8">
        <w:rPr>
          <w:noProof/>
          <w:lang w:val="en-GB"/>
        </w:rPr>
        <w:t>PC</w:t>
      </w:r>
      <w:r w:rsidRPr="00881BC8">
        <w:rPr>
          <w:noProof/>
          <w:lang w:val="en-GB"/>
        </w:rPr>
        <w:t>, SME panel, consultations of Member States and expert groups, studies, interviews. It also provides information on the main stakeholders’ groups.</w:t>
      </w:r>
    </w:p>
    <w:p w14:paraId="01DF016A" w14:textId="77777777" w:rsidR="0008123E" w:rsidRPr="00881BC8" w:rsidRDefault="0008123E" w:rsidP="004835F8">
      <w:pPr>
        <w:pStyle w:val="NormalPara"/>
        <w:rPr>
          <w:noProof/>
          <w:lang w:val="en-GB"/>
        </w:rPr>
      </w:pPr>
      <w:r w:rsidRPr="00881BC8">
        <w:rPr>
          <w:b/>
          <w:bCs/>
          <w:noProof/>
          <w:lang w:val="en-GB"/>
        </w:rPr>
        <w:t>Chapter II – Result of the consultation activities</w:t>
      </w:r>
      <w:r w:rsidRPr="00881BC8">
        <w:rPr>
          <w:noProof/>
          <w:lang w:val="en-GB"/>
        </w:rPr>
        <w:t xml:space="preserve"> analyses the results of the consultation activities by the main dimensions of the policy options as presented in the impact assessment.</w:t>
      </w:r>
    </w:p>
    <w:p w14:paraId="6345EFAF" w14:textId="77777777" w:rsidR="0008123E" w:rsidRPr="00881BC8" w:rsidRDefault="0008123E" w:rsidP="006600B7">
      <w:pPr>
        <w:pStyle w:val="AnnexSubtitle"/>
        <w:rPr>
          <w:noProof/>
          <w:lang w:val="en-GB"/>
        </w:rPr>
      </w:pPr>
      <w:r w:rsidRPr="00881BC8">
        <w:rPr>
          <w:noProof/>
          <w:lang w:val="en-GB"/>
        </w:rPr>
        <w:t>CHAPTER I - CONSULTATION ACTIVITIES AND SOURCES OF INFORMATION</w:t>
      </w:r>
    </w:p>
    <w:p w14:paraId="0D0904EA" w14:textId="77777777" w:rsidR="0008123E" w:rsidRPr="00881BC8" w:rsidRDefault="0008123E" w:rsidP="004835F8">
      <w:pPr>
        <w:pStyle w:val="AnnexLevel1"/>
        <w:tabs>
          <w:tab w:val="clear" w:pos="1200"/>
        </w:tabs>
        <w:ind w:left="709"/>
        <w:rPr>
          <w:noProof/>
          <w:lang w:val="en-GB"/>
        </w:rPr>
      </w:pPr>
      <w:r w:rsidRPr="00881BC8">
        <w:rPr>
          <w:noProof/>
          <w:lang w:val="en-GB"/>
        </w:rPr>
        <w:t>Stakeholder groups relevant for the consultation activities</w:t>
      </w:r>
    </w:p>
    <w:p w14:paraId="2E0E448C" w14:textId="77777777" w:rsidR="0008123E" w:rsidRPr="00881BC8" w:rsidRDefault="0008123E" w:rsidP="0008123E">
      <w:pPr>
        <w:spacing w:after="0"/>
        <w:rPr>
          <w:noProof/>
        </w:rPr>
      </w:pPr>
    </w:p>
    <w:p w14:paraId="746889E5" w14:textId="77777777" w:rsidR="0008123E" w:rsidRPr="00881BC8" w:rsidRDefault="0008123E" w:rsidP="004835F8">
      <w:pPr>
        <w:pStyle w:val="NormalPara"/>
        <w:rPr>
          <w:noProof/>
          <w:lang w:val="en-GB"/>
        </w:rPr>
      </w:pPr>
      <w:r w:rsidRPr="00881BC8">
        <w:rPr>
          <w:noProof/>
          <w:lang w:val="en-GB"/>
        </w:rPr>
        <w:t>According with the consultation strategy, the relevant stakeholder groups are:</w:t>
      </w:r>
    </w:p>
    <w:p w14:paraId="697F0AA1" w14:textId="77777777" w:rsidR="0008123E" w:rsidRPr="00881BC8" w:rsidRDefault="0008123E" w:rsidP="0008123E">
      <w:pPr>
        <w:spacing w:after="0"/>
        <w:rPr>
          <w:noProof/>
        </w:rPr>
      </w:pPr>
    </w:p>
    <w:p w14:paraId="49C7A6D1" w14:textId="77777777" w:rsidR="0008123E" w:rsidRPr="00881BC8" w:rsidRDefault="0008123E" w:rsidP="004835F8">
      <w:pPr>
        <w:numPr>
          <w:ilvl w:val="0"/>
          <w:numId w:val="20"/>
        </w:numPr>
        <w:spacing w:after="0"/>
        <w:rPr>
          <w:noProof/>
        </w:rPr>
      </w:pPr>
      <w:r w:rsidRPr="00881BC8">
        <w:rPr>
          <w:b/>
          <w:noProof/>
        </w:rPr>
        <w:t xml:space="preserve">Authorities in Member States </w:t>
      </w:r>
      <w:r w:rsidRPr="00881BC8">
        <w:rPr>
          <w:bCs/>
          <w:noProof/>
        </w:rPr>
        <w:t>(national, regional, local authorities)</w:t>
      </w:r>
      <w:r w:rsidRPr="00881BC8">
        <w:rPr>
          <w:noProof/>
        </w:rPr>
        <w:t>;</w:t>
      </w:r>
    </w:p>
    <w:p w14:paraId="0B578216" w14:textId="77777777" w:rsidR="0008123E" w:rsidRPr="00881BC8" w:rsidRDefault="0008123E" w:rsidP="004835F8">
      <w:pPr>
        <w:numPr>
          <w:ilvl w:val="0"/>
          <w:numId w:val="20"/>
        </w:numPr>
        <w:spacing w:after="0"/>
        <w:rPr>
          <w:noProof/>
        </w:rPr>
      </w:pPr>
      <w:r w:rsidRPr="00881BC8">
        <w:rPr>
          <w:b/>
          <w:noProof/>
        </w:rPr>
        <w:t xml:space="preserve">Business associations and representatives, </w:t>
      </w:r>
      <w:r w:rsidRPr="00881BC8">
        <w:rPr>
          <w:bCs/>
          <w:noProof/>
        </w:rPr>
        <w:t>and in particular SME associations/organisations at the EU and national level, including from sectors where working capital requirements are high</w:t>
      </w:r>
      <w:r w:rsidRPr="00881BC8">
        <w:rPr>
          <w:noProof/>
        </w:rPr>
        <w:t>;</w:t>
      </w:r>
    </w:p>
    <w:p w14:paraId="37263785" w14:textId="7E9319E9" w:rsidR="0008123E" w:rsidRPr="00881BC8" w:rsidRDefault="0008123E" w:rsidP="004835F8">
      <w:pPr>
        <w:pStyle w:val="ListParagraph"/>
        <w:numPr>
          <w:ilvl w:val="0"/>
          <w:numId w:val="20"/>
        </w:numPr>
        <w:rPr>
          <w:bCs/>
          <w:noProof/>
        </w:rPr>
      </w:pPr>
      <w:r w:rsidRPr="00881BC8">
        <w:rPr>
          <w:b/>
          <w:noProof/>
        </w:rPr>
        <w:t xml:space="preserve">The Late Payment Expert group, </w:t>
      </w:r>
      <w:r w:rsidRPr="00881BC8">
        <w:rPr>
          <w:bCs/>
          <w:noProof/>
        </w:rPr>
        <w:t xml:space="preserve">composed of representatives of Member States, </w:t>
      </w:r>
      <w:r w:rsidR="002A3596" w:rsidRPr="00881BC8">
        <w:rPr>
          <w:bCs/>
          <w:noProof/>
        </w:rPr>
        <w:t>in charge of the implementation of the LPD</w:t>
      </w:r>
      <w:r w:rsidRPr="00881BC8">
        <w:rPr>
          <w:bCs/>
          <w:noProof/>
        </w:rPr>
        <w:t>;</w:t>
      </w:r>
    </w:p>
    <w:p w14:paraId="502CC5A1" w14:textId="77777777" w:rsidR="0008123E" w:rsidRPr="00881BC8" w:rsidRDefault="0008123E" w:rsidP="004835F8">
      <w:pPr>
        <w:pStyle w:val="ListParagraph"/>
        <w:numPr>
          <w:ilvl w:val="0"/>
          <w:numId w:val="20"/>
        </w:numPr>
        <w:rPr>
          <w:noProof/>
        </w:rPr>
      </w:pPr>
      <w:r w:rsidRPr="00881BC8">
        <w:rPr>
          <w:b/>
          <w:bCs/>
          <w:noProof/>
        </w:rPr>
        <w:t>The Industrial Forum</w:t>
      </w:r>
      <w:r w:rsidRPr="00881BC8">
        <w:rPr>
          <w:noProof/>
        </w:rPr>
        <w:t>, composed of representatives of national Ministries of Economy/Industry, sectoral organisations, SME organisations, civil society, NGOs, the EESC and the Committee of the Regions.</w:t>
      </w:r>
    </w:p>
    <w:p w14:paraId="60A682EF" w14:textId="77777777" w:rsidR="0008123E" w:rsidRPr="00881BC8" w:rsidRDefault="0008123E" w:rsidP="0008123E">
      <w:pPr>
        <w:spacing w:after="0"/>
        <w:rPr>
          <w:noProof/>
        </w:rPr>
      </w:pPr>
    </w:p>
    <w:p w14:paraId="6EF9F5AB" w14:textId="77777777" w:rsidR="0008123E" w:rsidRPr="00881BC8" w:rsidRDefault="0008123E" w:rsidP="004835F8">
      <w:pPr>
        <w:pStyle w:val="AnnexLevel1"/>
        <w:tabs>
          <w:tab w:val="clear" w:pos="1200"/>
        </w:tabs>
        <w:ind w:left="709"/>
        <w:rPr>
          <w:noProof/>
          <w:lang w:val="en-GB"/>
        </w:rPr>
      </w:pPr>
      <w:r w:rsidRPr="00881BC8">
        <w:rPr>
          <w:noProof/>
          <w:lang w:val="en-GB"/>
        </w:rPr>
        <w:t xml:space="preserve">Consultation activities and other information sources </w:t>
      </w:r>
    </w:p>
    <w:p w14:paraId="0652A214" w14:textId="77777777" w:rsidR="0008123E" w:rsidRPr="00881BC8" w:rsidRDefault="0008123E" w:rsidP="0008123E">
      <w:pPr>
        <w:pStyle w:val="Default"/>
        <w:jc w:val="both"/>
        <w:rPr>
          <w:rFonts w:ascii="Times New Roman" w:hAnsi="Times New Roman" w:cs="Times New Roman"/>
          <w:noProof/>
          <w:color w:val="auto"/>
        </w:rPr>
      </w:pPr>
    </w:p>
    <w:p w14:paraId="2B207D9C" w14:textId="77777777" w:rsidR="0008123E" w:rsidRPr="00881BC8" w:rsidRDefault="0008123E" w:rsidP="004835F8">
      <w:pPr>
        <w:pStyle w:val="NormalPara"/>
        <w:rPr>
          <w:noProof/>
          <w:lang w:val="en-GB"/>
        </w:rPr>
      </w:pPr>
      <w:r w:rsidRPr="00881BC8">
        <w:rPr>
          <w:noProof/>
          <w:lang w:val="en-GB"/>
        </w:rPr>
        <w:t xml:space="preserve">The services of the Commission have used a wide range of methodological tools for the consultation activities for this initiative. Consultations started in 2023. In particular the following activities were carried out: </w:t>
      </w:r>
      <w:r w:rsidRPr="00881BC8">
        <w:rPr>
          <w:noProof/>
          <w:szCs w:val="22"/>
          <w:lang w:val="en-GB"/>
        </w:rPr>
        <w:tab/>
      </w:r>
    </w:p>
    <w:p w14:paraId="187F80D2" w14:textId="77777777" w:rsidR="0008123E" w:rsidRPr="00881BC8" w:rsidRDefault="0008123E" w:rsidP="0008123E">
      <w:pPr>
        <w:pStyle w:val="Default"/>
        <w:jc w:val="both"/>
        <w:rPr>
          <w:rFonts w:ascii="Times New Roman" w:hAnsi="Times New Roman" w:cs="Times New Roman"/>
          <w:noProof/>
          <w:color w:val="auto"/>
          <w:szCs w:val="22"/>
        </w:rPr>
      </w:pPr>
    </w:p>
    <w:p w14:paraId="6E7DC623" w14:textId="77777777" w:rsidR="0008123E" w:rsidRPr="00881BC8" w:rsidRDefault="0008123E" w:rsidP="004835F8">
      <w:pPr>
        <w:pStyle w:val="AnnexLevel2"/>
        <w:tabs>
          <w:tab w:val="clear" w:pos="1920"/>
          <w:tab w:val="num" w:pos="1276"/>
        </w:tabs>
        <w:ind w:left="1417"/>
        <w:rPr>
          <w:noProof/>
          <w:lang w:val="en-GB"/>
        </w:rPr>
      </w:pPr>
      <w:r w:rsidRPr="00881BC8">
        <w:rPr>
          <w:noProof/>
          <w:lang w:val="en-GB"/>
        </w:rPr>
        <w:t xml:space="preserve">The Commission published a </w:t>
      </w:r>
      <w:r w:rsidRPr="00881BC8">
        <w:rPr>
          <w:b/>
          <w:noProof/>
          <w:lang w:val="en-GB"/>
        </w:rPr>
        <w:t>Call for Evidence</w:t>
      </w:r>
      <w:r w:rsidRPr="00881BC8">
        <w:rPr>
          <w:noProof/>
          <w:lang w:val="en-GB"/>
        </w:rPr>
        <w:t xml:space="preserve"> on the initiative. </w:t>
      </w:r>
    </w:p>
    <w:p w14:paraId="6A27225A" w14:textId="77777777" w:rsidR="0008123E" w:rsidRPr="00881BC8" w:rsidRDefault="0008123E" w:rsidP="0008123E">
      <w:pPr>
        <w:pStyle w:val="Default"/>
        <w:jc w:val="both"/>
        <w:rPr>
          <w:rFonts w:ascii="Times New Roman" w:hAnsi="Times New Roman" w:cs="Times New Roman"/>
          <w:noProof/>
          <w:color w:val="auto"/>
        </w:rPr>
      </w:pPr>
    </w:p>
    <w:p w14:paraId="7A5DB76D" w14:textId="4FFDE586" w:rsidR="0008123E" w:rsidRPr="00881BC8" w:rsidRDefault="0008123E" w:rsidP="004835F8">
      <w:pPr>
        <w:pStyle w:val="NormalPara"/>
        <w:rPr>
          <w:noProof/>
          <w:lang w:val="en-GB"/>
        </w:rPr>
      </w:pPr>
      <w:r w:rsidRPr="00881BC8">
        <w:rPr>
          <w:noProof/>
          <w:lang w:val="en-GB"/>
        </w:rPr>
        <w:t xml:space="preserve">The feedback period started 12 January 2023 with a deadline for </w:t>
      </w:r>
      <w:r w:rsidRPr="00881BC8">
        <w:rPr>
          <w:b/>
          <w:bCs/>
          <w:noProof/>
          <w:lang w:val="en-GB"/>
        </w:rPr>
        <w:t>feedback</w:t>
      </w:r>
      <w:r w:rsidRPr="00881BC8">
        <w:rPr>
          <w:noProof/>
          <w:lang w:val="en-GB"/>
        </w:rPr>
        <w:t xml:space="preserve"> </w:t>
      </w:r>
      <w:r w:rsidRPr="00881BC8">
        <w:rPr>
          <w:b/>
          <w:bCs/>
          <w:noProof/>
          <w:lang w:val="en-GB"/>
        </w:rPr>
        <w:t xml:space="preserve">from stakeholders </w:t>
      </w:r>
      <w:r w:rsidRPr="00881BC8">
        <w:rPr>
          <w:noProof/>
          <w:lang w:val="en-GB"/>
        </w:rPr>
        <w:t xml:space="preserve">by 17 March 2023. In total, 137 stakeholders provided feedback. Amongst the respondents there were business associations (42), companies (28), public authorities (26), citizen (24) and other organisations (17). They were from Italy (23), France (21), Spain (17), Belgium (17), Austria (10), Luxembourg (8) and Slovakia (7). There was a small number of contributions from 12 other Member States and few from non-EU countries. (Summary available in section </w:t>
      </w:r>
      <w:r w:rsidR="00FA473E" w:rsidRPr="00881BC8">
        <w:rPr>
          <w:noProof/>
          <w:lang w:val="en-GB"/>
        </w:rPr>
        <w:t>3 of this annex</w:t>
      </w:r>
      <w:r w:rsidRPr="00881BC8">
        <w:rPr>
          <w:noProof/>
          <w:lang w:val="en-GB"/>
        </w:rPr>
        <w:t>)</w:t>
      </w:r>
      <w:r w:rsidR="00FA473E" w:rsidRPr="00881BC8">
        <w:rPr>
          <w:noProof/>
          <w:lang w:val="en-GB"/>
        </w:rPr>
        <w:t>.</w:t>
      </w:r>
    </w:p>
    <w:p w14:paraId="7852BD8A" w14:textId="77777777" w:rsidR="0008123E" w:rsidRPr="00881BC8" w:rsidRDefault="0008123E" w:rsidP="0008123E">
      <w:pPr>
        <w:pStyle w:val="Default"/>
        <w:ind w:left="720"/>
        <w:jc w:val="both"/>
        <w:rPr>
          <w:rFonts w:ascii="Times New Roman" w:hAnsi="Times New Roman" w:cs="Times New Roman"/>
          <w:noProof/>
          <w:color w:val="auto"/>
        </w:rPr>
      </w:pPr>
    </w:p>
    <w:p w14:paraId="193E5B89" w14:textId="57D8F2A1" w:rsidR="0008123E" w:rsidRPr="00881BC8" w:rsidRDefault="0008123E" w:rsidP="004835F8">
      <w:pPr>
        <w:pStyle w:val="AnnexLevel2"/>
        <w:tabs>
          <w:tab w:val="clear" w:pos="1920"/>
          <w:tab w:val="num" w:pos="1276"/>
        </w:tabs>
        <w:ind w:left="1417"/>
        <w:rPr>
          <w:noProof/>
          <w:lang w:val="en-GB"/>
        </w:rPr>
      </w:pPr>
      <w:r w:rsidRPr="00881BC8">
        <w:rPr>
          <w:b/>
          <w:noProof/>
          <w:lang w:val="en-GB"/>
        </w:rPr>
        <w:t xml:space="preserve"> Public consultation </w:t>
      </w:r>
      <w:r w:rsidRPr="00881BC8">
        <w:rPr>
          <w:noProof/>
          <w:lang w:val="en-GB"/>
        </w:rPr>
        <w:t xml:space="preserve">(the Summary report </w:t>
      </w:r>
      <w:r w:rsidR="00584DFB" w:rsidRPr="00881BC8">
        <w:rPr>
          <w:noProof/>
          <w:lang w:val="en-GB"/>
        </w:rPr>
        <w:t xml:space="preserve">is </w:t>
      </w:r>
      <w:r w:rsidRPr="00881BC8">
        <w:rPr>
          <w:noProof/>
          <w:lang w:val="en-GB"/>
        </w:rPr>
        <w:t>available online</w:t>
      </w:r>
      <w:r w:rsidR="00584DFB" w:rsidRPr="00881BC8">
        <w:rPr>
          <w:rStyle w:val="FootnoteReference"/>
          <w:noProof/>
          <w:lang w:val="en-GB"/>
        </w:rPr>
        <w:footnoteReference w:id="129"/>
      </w:r>
      <w:r w:rsidRPr="00881BC8">
        <w:rPr>
          <w:noProof/>
          <w:lang w:val="en-GB"/>
        </w:rPr>
        <w:t>)</w:t>
      </w:r>
    </w:p>
    <w:p w14:paraId="084A48C0" w14:textId="77777777" w:rsidR="0008123E" w:rsidRPr="00881BC8" w:rsidRDefault="0008123E" w:rsidP="0008123E">
      <w:pPr>
        <w:pStyle w:val="Default"/>
        <w:jc w:val="both"/>
        <w:rPr>
          <w:rFonts w:ascii="Times New Roman" w:hAnsi="Times New Roman" w:cs="Times New Roman"/>
          <w:noProof/>
          <w:color w:val="auto"/>
        </w:rPr>
      </w:pPr>
    </w:p>
    <w:p w14:paraId="24D5A726" w14:textId="4624670D" w:rsidR="0008123E" w:rsidRPr="00881BC8" w:rsidRDefault="0008123E" w:rsidP="004835F8">
      <w:pPr>
        <w:pStyle w:val="NormalPara"/>
        <w:rPr>
          <w:noProof/>
          <w:lang w:val="en-GB"/>
        </w:rPr>
      </w:pPr>
      <w:r w:rsidRPr="00881BC8">
        <w:rPr>
          <w:noProof/>
          <w:lang w:val="en-GB"/>
        </w:rPr>
        <w:t>The consultation was published on 12 January 2023 and responses were accepted until 17 March 2023. 117 organisations and individuals responded to the consultation. Most responses came from Germany and Belgium (14,5%), followed by Italy (13,7%), France (12,8%) and the Spain (12%). There was a small number of replies from most other Member States. Few responses were also received from non-EU countries.</w:t>
      </w:r>
      <w:r w:rsidR="002E552C" w:rsidRPr="00881BC8">
        <w:rPr>
          <w:noProof/>
          <w:lang w:val="en-GB"/>
        </w:rPr>
        <w:t xml:space="preserve"> </w:t>
      </w:r>
    </w:p>
    <w:p w14:paraId="6D98A2C6" w14:textId="77777777" w:rsidR="0008123E" w:rsidRPr="00881BC8" w:rsidRDefault="0008123E" w:rsidP="004835F8">
      <w:pPr>
        <w:pStyle w:val="NormalPara"/>
        <w:rPr>
          <w:noProof/>
          <w:lang w:val="en-GB"/>
        </w:rPr>
      </w:pPr>
      <w:r w:rsidRPr="00881BC8">
        <w:rPr>
          <w:noProof/>
          <w:lang w:val="en-GB"/>
        </w:rPr>
        <w:t>18 public authorities from 7 Member States, Austria, Czechia, Estonia, Germany, Italy, Netherlands and Slovenia participated in this consultation. 22,2% of responses (26 out of 117) came from companies. 12 were large companies (250 or more employees),6 medium (50 to 249 employees), 3 small (10 to 49 employees) and 5 micro (1 to 9 employees). All responding companies were registered in a Member State (Austria, Bulgaria, Czechia, France, Germany, Greece, Malta, Poland, Romania, Spain and Sweden,) and one in Switzerland.</w:t>
      </w:r>
    </w:p>
    <w:p w14:paraId="667DBB46" w14:textId="77777777" w:rsidR="0008123E" w:rsidRPr="00881BC8" w:rsidRDefault="0008123E" w:rsidP="004835F8">
      <w:pPr>
        <w:pStyle w:val="NormalPara"/>
        <w:rPr>
          <w:noProof/>
          <w:lang w:val="en-GB"/>
        </w:rPr>
      </w:pPr>
      <w:r w:rsidRPr="00881BC8">
        <w:rPr>
          <w:noProof/>
          <w:lang w:val="en-GB"/>
        </w:rPr>
        <w:t>Some questions were targeted at companies. It was also possible to provide additional information through open questions. Respondents made use of these options and not all replied to all questions.</w:t>
      </w:r>
    </w:p>
    <w:p w14:paraId="3C7E9D01" w14:textId="77777777" w:rsidR="0008123E" w:rsidRPr="00881BC8" w:rsidRDefault="0008123E" w:rsidP="004835F8">
      <w:pPr>
        <w:pStyle w:val="AnnexLevel2"/>
        <w:tabs>
          <w:tab w:val="clear" w:pos="1920"/>
          <w:tab w:val="num" w:pos="1276"/>
        </w:tabs>
        <w:ind w:left="1417"/>
        <w:rPr>
          <w:noProof/>
          <w:lang w:val="en-GB"/>
        </w:rPr>
      </w:pPr>
      <w:r w:rsidRPr="00881BC8">
        <w:rPr>
          <w:noProof/>
          <w:lang w:val="en-GB"/>
        </w:rPr>
        <w:t>SME panel consultation</w:t>
      </w:r>
      <w:r w:rsidRPr="00881BC8">
        <w:rPr>
          <w:rStyle w:val="FootnoteReference"/>
          <w:noProof/>
          <w:lang w:val="en-GB"/>
        </w:rPr>
        <w:footnoteReference w:id="130"/>
      </w:r>
      <w:r w:rsidRPr="00881BC8">
        <w:rPr>
          <w:noProof/>
          <w:lang w:val="en-GB"/>
        </w:rPr>
        <w:t xml:space="preserve"> </w:t>
      </w:r>
    </w:p>
    <w:p w14:paraId="76E3E6C2" w14:textId="77777777" w:rsidR="0008123E" w:rsidRPr="00881BC8" w:rsidRDefault="0008123E" w:rsidP="004835F8">
      <w:pPr>
        <w:pStyle w:val="NormalPara"/>
        <w:rPr>
          <w:noProof/>
          <w:lang w:val="en-GB"/>
        </w:rPr>
      </w:pPr>
      <w:r w:rsidRPr="00881BC8">
        <w:rPr>
          <w:noProof/>
          <w:lang w:val="en-GB"/>
        </w:rPr>
        <w:t xml:space="preserve">This consultation took place between 26 January and 16 March 2023. In total, 939 SMEs replied to this consultation in the EU Survey webpage. Most responses came from Spain (457), Italy (182), Poland (110), followed by Romania (48), Portugal (43), France (27), Austria (19) and Hungary (10). There were a few replies from Belgium, Bulgaria, Czechia, Denmark, Germany, Greece, Latvia, Lithuania and Finland and a couple or individual responses from some other Member States and non-EU countries (Estonia, Ireland, and Norway). </w:t>
      </w:r>
    </w:p>
    <w:p w14:paraId="2018A6AD" w14:textId="77777777" w:rsidR="0008123E" w:rsidRPr="00881BC8" w:rsidRDefault="0008123E" w:rsidP="004835F8">
      <w:pPr>
        <w:pStyle w:val="NormalPara"/>
        <w:rPr>
          <w:noProof/>
          <w:lang w:val="en-GB"/>
        </w:rPr>
      </w:pPr>
      <w:r w:rsidRPr="00881BC8">
        <w:rPr>
          <w:noProof/>
          <w:lang w:val="en-GB"/>
        </w:rPr>
        <w:t>In terms of their size, 40,3% were micro companies with 1 to 9 employees (378 out of 939), 37% small companies with 10 to 49 employees (347), 13,6% medium companies with 50 to 249 employees (128) and 9,2% self-employed (86).</w:t>
      </w:r>
    </w:p>
    <w:p w14:paraId="6CBEFA9C" w14:textId="7C4DAABA" w:rsidR="0008123E" w:rsidRPr="00881BC8" w:rsidRDefault="0008123E" w:rsidP="004835F8">
      <w:pPr>
        <w:pStyle w:val="NormalPara"/>
        <w:rPr>
          <w:noProof/>
          <w:lang w:val="en-GB"/>
        </w:rPr>
      </w:pPr>
      <w:r w:rsidRPr="00881BC8">
        <w:rPr>
          <w:noProof/>
          <w:lang w:val="en-GB"/>
        </w:rPr>
        <w:t xml:space="preserve">The results of the SME panel are presented in a specific report, </w:t>
      </w:r>
      <w:r w:rsidR="00FA473E" w:rsidRPr="00881BC8">
        <w:rPr>
          <w:noProof/>
          <w:lang w:val="en-GB"/>
        </w:rPr>
        <w:fldChar w:fldCharType="begin"/>
      </w:r>
      <w:r w:rsidR="00FA473E" w:rsidRPr="00881BC8">
        <w:rPr>
          <w:noProof/>
          <w:lang w:val="en-GB"/>
        </w:rPr>
        <w:instrText xml:space="preserve"> REF Annex16 \h </w:instrText>
      </w:r>
      <w:r w:rsidR="00FA473E" w:rsidRPr="00881BC8">
        <w:rPr>
          <w:noProof/>
          <w:lang w:val="en-GB"/>
        </w:rPr>
      </w:r>
      <w:r w:rsidR="00FA473E" w:rsidRPr="00881BC8">
        <w:rPr>
          <w:noProof/>
          <w:lang w:val="en-GB"/>
        </w:rPr>
        <w:fldChar w:fldCharType="separate"/>
      </w:r>
      <w:r w:rsidR="005851F4" w:rsidRPr="00881BC8">
        <w:rPr>
          <w:noProof/>
        </w:rPr>
        <w:t>Annex 16</w:t>
      </w:r>
      <w:r w:rsidR="00FA473E" w:rsidRPr="00881BC8">
        <w:rPr>
          <w:noProof/>
          <w:lang w:val="en-GB"/>
        </w:rPr>
        <w:fldChar w:fldCharType="end"/>
      </w:r>
      <w:r w:rsidRPr="00881BC8">
        <w:rPr>
          <w:noProof/>
          <w:lang w:val="en-GB"/>
        </w:rPr>
        <w:t xml:space="preserve"> They were also used for the SME Test, </w:t>
      </w:r>
      <w:r w:rsidR="00FA473E" w:rsidRPr="00881BC8">
        <w:rPr>
          <w:noProof/>
          <w:lang w:val="en-GB"/>
        </w:rPr>
        <w:fldChar w:fldCharType="begin"/>
      </w:r>
      <w:r w:rsidR="00FA473E" w:rsidRPr="00881BC8">
        <w:rPr>
          <w:noProof/>
          <w:lang w:val="en-GB"/>
        </w:rPr>
        <w:instrText xml:space="preserve"> REF Annex15 \h </w:instrText>
      </w:r>
      <w:r w:rsidR="00FA473E" w:rsidRPr="00881BC8">
        <w:rPr>
          <w:noProof/>
          <w:lang w:val="en-GB"/>
        </w:rPr>
      </w:r>
      <w:r w:rsidR="00FA473E" w:rsidRPr="00881BC8">
        <w:rPr>
          <w:noProof/>
          <w:lang w:val="en-GB"/>
        </w:rPr>
        <w:fldChar w:fldCharType="separate"/>
      </w:r>
      <w:r w:rsidR="005851F4" w:rsidRPr="00881BC8">
        <w:rPr>
          <w:noProof/>
        </w:rPr>
        <w:t>Annex 15</w:t>
      </w:r>
      <w:r w:rsidR="00FA473E" w:rsidRPr="00881BC8">
        <w:rPr>
          <w:noProof/>
          <w:lang w:val="en-GB"/>
        </w:rPr>
        <w:fldChar w:fldCharType="end"/>
      </w:r>
      <w:r w:rsidRPr="00881BC8">
        <w:rPr>
          <w:noProof/>
          <w:lang w:val="en-GB"/>
        </w:rPr>
        <w:t>.</w:t>
      </w:r>
    </w:p>
    <w:p w14:paraId="75A1229D" w14:textId="25DCBA0E" w:rsidR="0008123E" w:rsidRPr="00881BC8" w:rsidRDefault="007A034A" w:rsidP="004835F8">
      <w:pPr>
        <w:pStyle w:val="AnnexLevel2"/>
        <w:tabs>
          <w:tab w:val="clear" w:pos="1920"/>
          <w:tab w:val="num" w:pos="1276"/>
        </w:tabs>
        <w:ind w:left="1417"/>
        <w:rPr>
          <w:noProof/>
          <w:lang w:val="en-GB"/>
        </w:rPr>
      </w:pPr>
      <w:r w:rsidRPr="00881BC8">
        <w:rPr>
          <w:noProof/>
          <w:lang w:val="en-GB"/>
        </w:rPr>
        <w:t>Meetings</w:t>
      </w:r>
    </w:p>
    <w:p w14:paraId="41B9C943" w14:textId="77777777" w:rsidR="0008123E" w:rsidRPr="00881BC8" w:rsidRDefault="0008123E" w:rsidP="004835F8">
      <w:pPr>
        <w:pStyle w:val="NormalPara"/>
        <w:rPr>
          <w:noProof/>
          <w:lang w:val="en-GB"/>
        </w:rPr>
      </w:pPr>
      <w:r w:rsidRPr="00881BC8">
        <w:rPr>
          <w:noProof/>
          <w:lang w:val="en-GB"/>
        </w:rPr>
        <w:t>In line with the consultation strategy, a large number of meetings took place, either bilateral with individual stakeholders or with designated groups of experts:</w:t>
      </w:r>
    </w:p>
    <w:p w14:paraId="0F6ADC4B" w14:textId="77777777" w:rsidR="0008123E" w:rsidRPr="00881BC8" w:rsidRDefault="0008123E" w:rsidP="004835F8">
      <w:pPr>
        <w:pStyle w:val="Default"/>
        <w:numPr>
          <w:ilvl w:val="0"/>
          <w:numId w:val="21"/>
        </w:numPr>
        <w:jc w:val="both"/>
        <w:rPr>
          <w:rFonts w:ascii="Times New Roman" w:hAnsi="Times New Roman" w:cs="Times New Roman"/>
          <w:noProof/>
          <w:color w:val="auto"/>
        </w:rPr>
      </w:pPr>
      <w:r w:rsidRPr="00881BC8">
        <w:rPr>
          <w:rFonts w:ascii="Times New Roman" w:hAnsi="Times New Roman" w:cs="Times New Roman"/>
          <w:noProof/>
          <w:color w:val="auto"/>
        </w:rPr>
        <w:t>European business associations representing companies and in particular SME such as SMEunited, BusinessEurope, Eurocommerce, Eurochambres, Cooperatives Europe, Family Business Europe, European Builders Confederation</w:t>
      </w:r>
    </w:p>
    <w:p w14:paraId="1191F1A1" w14:textId="77777777" w:rsidR="0008123E" w:rsidRPr="000F7594" w:rsidRDefault="0008123E" w:rsidP="004835F8">
      <w:pPr>
        <w:pStyle w:val="Default"/>
        <w:numPr>
          <w:ilvl w:val="0"/>
          <w:numId w:val="21"/>
        </w:numPr>
        <w:jc w:val="both"/>
        <w:rPr>
          <w:rFonts w:ascii="Times New Roman" w:hAnsi="Times New Roman" w:cs="Times New Roman"/>
          <w:noProof/>
          <w:color w:val="auto"/>
          <w:lang w:val="fr-BE"/>
        </w:rPr>
      </w:pPr>
      <w:r w:rsidRPr="000F7594">
        <w:rPr>
          <w:rFonts w:ascii="Times New Roman" w:hAnsi="Times New Roman" w:cs="Times New Roman"/>
          <w:noProof/>
          <w:color w:val="auto"/>
          <w:lang w:val="fr-BE"/>
        </w:rPr>
        <w:t>National business organisations such as CEPYME (Spain), Confcommercio (Italy), IAPMEI (Portugal), Association Française des Credit Managers &amp; Conseils, Dutch Royal Metaalunie</w:t>
      </w:r>
    </w:p>
    <w:p w14:paraId="26EF72CC" w14:textId="77777777" w:rsidR="0008123E" w:rsidRPr="00881BC8" w:rsidRDefault="0008123E" w:rsidP="004835F8">
      <w:pPr>
        <w:pStyle w:val="Default"/>
        <w:numPr>
          <w:ilvl w:val="0"/>
          <w:numId w:val="21"/>
        </w:numPr>
        <w:jc w:val="both"/>
        <w:rPr>
          <w:rFonts w:ascii="Times New Roman" w:hAnsi="Times New Roman" w:cs="Times New Roman"/>
          <w:noProof/>
          <w:color w:val="auto"/>
        </w:rPr>
      </w:pPr>
      <w:r w:rsidRPr="00881BC8">
        <w:rPr>
          <w:rFonts w:ascii="Times New Roman" w:hAnsi="Times New Roman" w:cs="Times New Roman"/>
          <w:noProof/>
          <w:color w:val="auto"/>
        </w:rPr>
        <w:t xml:space="preserve">Members of other EU institutions such as EP members (Renew group), EESC (employers group) or national institutions such as the Assemblée Nationale (France). </w:t>
      </w:r>
    </w:p>
    <w:p w14:paraId="4B13D69F" w14:textId="77777777" w:rsidR="0008123E" w:rsidRPr="00881BC8" w:rsidRDefault="0008123E" w:rsidP="004835F8">
      <w:pPr>
        <w:pStyle w:val="Default"/>
        <w:numPr>
          <w:ilvl w:val="0"/>
          <w:numId w:val="21"/>
        </w:numPr>
        <w:jc w:val="both"/>
        <w:rPr>
          <w:rFonts w:ascii="Times New Roman" w:hAnsi="Times New Roman" w:cs="Times New Roman"/>
          <w:noProof/>
          <w:color w:val="auto"/>
        </w:rPr>
      </w:pPr>
      <w:r w:rsidRPr="00881BC8">
        <w:rPr>
          <w:rFonts w:ascii="Times New Roman" w:hAnsi="Times New Roman" w:cs="Times New Roman"/>
          <w:noProof/>
          <w:color w:val="auto"/>
        </w:rPr>
        <w:t>Specialised groups such as the Industrial Forum or the SME Envoys Network</w:t>
      </w:r>
    </w:p>
    <w:p w14:paraId="3D00F949" w14:textId="77777777" w:rsidR="00FC29AE" w:rsidRPr="00881BC8" w:rsidRDefault="00FC29AE" w:rsidP="004835F8">
      <w:pPr>
        <w:pStyle w:val="Default"/>
        <w:numPr>
          <w:ilvl w:val="0"/>
          <w:numId w:val="21"/>
        </w:numPr>
        <w:jc w:val="both"/>
        <w:rPr>
          <w:rFonts w:ascii="Times New Roman" w:hAnsi="Times New Roman" w:cs="Times New Roman"/>
          <w:noProof/>
          <w:color w:val="auto"/>
        </w:rPr>
      </w:pPr>
      <w:r w:rsidRPr="00881BC8">
        <w:rPr>
          <w:rFonts w:ascii="Times New Roman" w:hAnsi="Times New Roman" w:cs="Times New Roman"/>
          <w:noProof/>
          <w:color w:val="auto"/>
        </w:rPr>
        <w:t xml:space="preserve">2 hybrid meetings were held with the Commission </w:t>
      </w:r>
      <w:r w:rsidRPr="00881BC8">
        <w:rPr>
          <w:rFonts w:ascii="Times New Roman" w:hAnsi="Times New Roman" w:cs="Times New Roman"/>
          <w:b/>
          <w:noProof/>
          <w:color w:val="auto"/>
        </w:rPr>
        <w:t>Late Payment Expert group</w:t>
      </w:r>
      <w:r w:rsidRPr="00881BC8">
        <w:rPr>
          <w:rFonts w:ascii="Times New Roman" w:hAnsi="Times New Roman" w:cs="Times New Roman"/>
          <w:noProof/>
          <w:color w:val="auto"/>
        </w:rPr>
        <w:t xml:space="preserve"> (E02710)</w:t>
      </w:r>
      <w:r w:rsidRPr="00881BC8">
        <w:rPr>
          <w:rFonts w:ascii="Times New Roman" w:hAnsi="Times New Roman" w:cs="Times New Roman"/>
          <w:noProof/>
        </w:rPr>
        <w:t xml:space="preserve"> bringing together Member State representatives from Ministries responsible for company law issues</w:t>
      </w:r>
      <w:r w:rsidRPr="00881BC8">
        <w:rPr>
          <w:rFonts w:ascii="Times New Roman" w:hAnsi="Times New Roman" w:cs="Times New Roman"/>
          <w:noProof/>
          <w:color w:val="auto"/>
        </w:rPr>
        <w:t xml:space="preserve"> on 10 October 2022 and 13 January 2023</w:t>
      </w:r>
      <w:r w:rsidRPr="00881BC8">
        <w:rPr>
          <w:rStyle w:val="FootnoteReference"/>
          <w:noProof/>
        </w:rPr>
        <w:footnoteReference w:id="131"/>
      </w:r>
      <w:r w:rsidRPr="00881BC8">
        <w:rPr>
          <w:rFonts w:ascii="Times New Roman" w:hAnsi="Times New Roman" w:cs="Times New Roman"/>
          <w:noProof/>
          <w:color w:val="auto"/>
        </w:rPr>
        <w:t>.</w:t>
      </w:r>
    </w:p>
    <w:p w14:paraId="531D7BC9" w14:textId="77777777" w:rsidR="0008123E" w:rsidRPr="00881BC8" w:rsidRDefault="0008123E" w:rsidP="0008123E">
      <w:pPr>
        <w:pStyle w:val="Default"/>
        <w:ind w:left="2160"/>
        <w:jc w:val="both"/>
        <w:rPr>
          <w:rFonts w:ascii="Times New Roman" w:hAnsi="Times New Roman" w:cs="Times New Roman"/>
          <w:noProof/>
          <w:color w:val="auto"/>
        </w:rPr>
      </w:pPr>
    </w:p>
    <w:p w14:paraId="2D22A8AF" w14:textId="526F8CEB" w:rsidR="0008123E" w:rsidRPr="00881BC8" w:rsidRDefault="0008123E" w:rsidP="004835F8">
      <w:pPr>
        <w:pStyle w:val="NormalPara"/>
        <w:rPr>
          <w:noProof/>
          <w:lang w:val="en-GB"/>
        </w:rPr>
      </w:pPr>
      <w:r w:rsidRPr="00881BC8">
        <w:rPr>
          <w:noProof/>
          <w:lang w:val="en-GB"/>
        </w:rPr>
        <w:t xml:space="preserve">The list of bilateral meetings is included in </w:t>
      </w:r>
      <w:r w:rsidR="00FA473E" w:rsidRPr="00881BC8">
        <w:rPr>
          <w:noProof/>
          <w:highlight w:val="yellow"/>
          <w:lang w:val="en-GB"/>
        </w:rPr>
        <w:fldChar w:fldCharType="begin"/>
      </w:r>
      <w:r w:rsidR="00FA473E" w:rsidRPr="00881BC8">
        <w:rPr>
          <w:noProof/>
          <w:lang w:val="en-GB"/>
        </w:rPr>
        <w:instrText xml:space="preserve"> REF Annex21 \h </w:instrText>
      </w:r>
      <w:r w:rsidR="00FA473E" w:rsidRPr="00881BC8">
        <w:rPr>
          <w:noProof/>
          <w:highlight w:val="yellow"/>
          <w:lang w:val="en-GB"/>
        </w:rPr>
      </w:r>
      <w:r w:rsidR="00FA473E" w:rsidRPr="00881BC8">
        <w:rPr>
          <w:noProof/>
          <w:highlight w:val="yellow"/>
          <w:lang w:val="en-GB"/>
        </w:rPr>
        <w:fldChar w:fldCharType="separate"/>
      </w:r>
      <w:r w:rsidR="005851F4" w:rsidRPr="00881BC8">
        <w:rPr>
          <w:noProof/>
        </w:rPr>
        <w:t>Annex 21</w:t>
      </w:r>
      <w:r w:rsidR="00FA473E" w:rsidRPr="00881BC8">
        <w:rPr>
          <w:noProof/>
          <w:highlight w:val="yellow"/>
          <w:lang w:val="en-GB"/>
        </w:rPr>
        <w:fldChar w:fldCharType="end"/>
      </w:r>
      <w:r w:rsidRPr="00881BC8">
        <w:rPr>
          <w:noProof/>
          <w:lang w:val="en-GB"/>
        </w:rPr>
        <w:t>.</w:t>
      </w:r>
    </w:p>
    <w:p w14:paraId="29A3CBA6" w14:textId="77777777" w:rsidR="0008123E" w:rsidRPr="00881BC8" w:rsidRDefault="0008123E" w:rsidP="006600B7">
      <w:pPr>
        <w:pStyle w:val="AnnexSubtitle"/>
        <w:rPr>
          <w:noProof/>
          <w:lang w:val="en-GB"/>
        </w:rPr>
      </w:pPr>
      <w:r w:rsidRPr="00881BC8">
        <w:rPr>
          <w:noProof/>
          <w:lang w:val="en-GB"/>
        </w:rPr>
        <w:t>CHAPTER II – RESULT OF THE CONSULTATION ACTIVITIES</w:t>
      </w:r>
    </w:p>
    <w:p w14:paraId="0BC86E6F" w14:textId="77777777" w:rsidR="0008123E" w:rsidRPr="00881BC8" w:rsidRDefault="0008123E" w:rsidP="004835F8">
      <w:pPr>
        <w:pStyle w:val="NormalPara"/>
        <w:rPr>
          <w:noProof/>
          <w:lang w:val="en-GB"/>
        </w:rPr>
      </w:pPr>
      <w:r w:rsidRPr="00881BC8">
        <w:rPr>
          <w:noProof/>
          <w:lang w:val="en-GB"/>
        </w:rPr>
        <w:t>The first section of this chapter analyses the results of the consultation activities. Where the views of different stakeholder groups on the same topic were substantially different, they are analysed and presented separately.</w:t>
      </w:r>
    </w:p>
    <w:p w14:paraId="19F1D590" w14:textId="77777777" w:rsidR="0008123E" w:rsidRPr="00881BC8" w:rsidRDefault="0008123E" w:rsidP="004835F8">
      <w:pPr>
        <w:pStyle w:val="NormalPara"/>
        <w:rPr>
          <w:noProof/>
          <w:lang w:val="en-GB"/>
        </w:rPr>
      </w:pPr>
      <w:r w:rsidRPr="00881BC8">
        <w:rPr>
          <w:noProof/>
          <w:lang w:val="en-GB"/>
        </w:rPr>
        <w:t xml:space="preserve">The second section presents a summary of the feedback received by stakeholders on the call for evidence. </w:t>
      </w:r>
    </w:p>
    <w:p w14:paraId="49F1E8A3" w14:textId="5BFA80B9" w:rsidR="0008123E" w:rsidRPr="00881BC8" w:rsidRDefault="0008123E" w:rsidP="004835F8">
      <w:pPr>
        <w:pStyle w:val="AnnexLevel1"/>
        <w:tabs>
          <w:tab w:val="clear" w:pos="1200"/>
        </w:tabs>
        <w:ind w:left="709"/>
        <w:rPr>
          <w:noProof/>
          <w:lang w:val="en-GB"/>
        </w:rPr>
      </w:pPr>
      <w:r w:rsidRPr="00881BC8">
        <w:rPr>
          <w:noProof/>
          <w:lang w:val="en-GB"/>
        </w:rPr>
        <w:t>Section 1: Analysis of results</w:t>
      </w:r>
    </w:p>
    <w:p w14:paraId="607696C5" w14:textId="77777777" w:rsidR="0008123E" w:rsidRPr="00881BC8" w:rsidRDefault="0008123E" w:rsidP="004835F8">
      <w:pPr>
        <w:pStyle w:val="NormalPara"/>
        <w:rPr>
          <w:noProof/>
          <w:lang w:val="en-GB"/>
        </w:rPr>
      </w:pPr>
      <w:r w:rsidRPr="00881BC8">
        <w:rPr>
          <w:noProof/>
          <w:lang w:val="en-GB"/>
        </w:rPr>
        <w:t>For ease of presentation, the results are regrouped under the policy options of the impact assessment.</w:t>
      </w:r>
    </w:p>
    <w:p w14:paraId="4082F070" w14:textId="77777777" w:rsidR="0008123E" w:rsidRPr="00881BC8" w:rsidRDefault="0008123E" w:rsidP="004835F8">
      <w:pPr>
        <w:pStyle w:val="AnnexLevel2"/>
        <w:tabs>
          <w:tab w:val="clear" w:pos="1920"/>
          <w:tab w:val="num" w:pos="1276"/>
        </w:tabs>
        <w:ind w:left="1417"/>
        <w:rPr>
          <w:noProof/>
          <w:lang w:val="en-GB"/>
        </w:rPr>
      </w:pPr>
      <w:r w:rsidRPr="00881BC8">
        <w:rPr>
          <w:noProof/>
          <w:lang w:val="en-GB"/>
        </w:rPr>
        <w:t xml:space="preserve">Introduction – Size of the problem </w:t>
      </w:r>
    </w:p>
    <w:p w14:paraId="7A4ECF9A" w14:textId="77777777" w:rsidR="0008123E" w:rsidRPr="00881BC8" w:rsidRDefault="0008123E" w:rsidP="004835F8">
      <w:pPr>
        <w:pStyle w:val="NormalPara"/>
        <w:rPr>
          <w:noProof/>
          <w:lang w:val="en-GB"/>
        </w:rPr>
      </w:pPr>
      <w:r w:rsidRPr="00881BC8">
        <w:rPr>
          <w:noProof/>
          <w:lang w:val="en-GB"/>
        </w:rPr>
        <w:t xml:space="preserve">Late payments heavily affect businesses and in particular SMEs. </w:t>
      </w:r>
    </w:p>
    <w:p w14:paraId="3C7F3BC2" w14:textId="77777777" w:rsidR="0008123E" w:rsidRPr="00881BC8" w:rsidRDefault="0008123E" w:rsidP="004835F8">
      <w:pPr>
        <w:pStyle w:val="NormalPara"/>
        <w:rPr>
          <w:noProof/>
          <w:lang w:val="en-GB"/>
        </w:rPr>
      </w:pPr>
      <w:r w:rsidRPr="00881BC8">
        <w:rPr>
          <w:noProof/>
          <w:lang w:val="en-GB"/>
        </w:rPr>
        <w:t xml:space="preserve">According to the result of the SME Panel, the number of invoices sent to the clients which are paid late is quite significant as only 3,4% of the respondents (32 out of 939) stated that no invoices were paid late. The majority (45,3% or 425) declared that between 1 and 10% of their invoices are paid late, 272 (29%) replied that between 10 and 25% of the invoices are paid late, 120 (12,8%) declared between 25% and 50% and 66 (7%° reported that more than 50% of their invoices are not paid on time. This is reflected by the replies concerning the turnover. Only 3,3% of the respondents (31 out of 939) stated that their business turnover was not affected by the late payment of the invoices. 395 (42,1%) respondents replied that 1 to 10% of the turnover was affected, 255 (27,2%) between 10 and 25%, 145 (15,4%) between 25% and 50% and 84 (8,9%) more than 50%. </w:t>
      </w:r>
    </w:p>
    <w:p w14:paraId="78246235" w14:textId="77777777" w:rsidR="0008123E" w:rsidRPr="00881BC8" w:rsidRDefault="0008123E" w:rsidP="004835F8">
      <w:pPr>
        <w:pStyle w:val="NormalPara"/>
        <w:rPr>
          <w:noProof/>
          <w:lang w:val="en-GB"/>
        </w:rPr>
      </w:pPr>
      <w:r w:rsidRPr="00881BC8">
        <w:rPr>
          <w:noProof/>
          <w:lang w:val="en-GB"/>
        </w:rPr>
        <w:t>A very large majority of the respondents strongly agreed or agreed that late payments affect their wellbeing and generate stress and anxiety (91,7% or 861), affect the survival of their business (80,3% or 754) and affect their trust in the market (78,5% or 737).</w:t>
      </w:r>
    </w:p>
    <w:p w14:paraId="59881A90" w14:textId="77777777" w:rsidR="0008123E" w:rsidRPr="00881BC8" w:rsidRDefault="0008123E" w:rsidP="004835F8">
      <w:pPr>
        <w:pStyle w:val="AnnexLevel2"/>
        <w:tabs>
          <w:tab w:val="clear" w:pos="1920"/>
          <w:tab w:val="num" w:pos="1276"/>
        </w:tabs>
        <w:ind w:left="1417"/>
        <w:rPr>
          <w:noProof/>
          <w:lang w:val="en-GB"/>
        </w:rPr>
      </w:pPr>
      <w:r w:rsidRPr="00881BC8">
        <w:rPr>
          <w:noProof/>
          <w:lang w:val="en-GB"/>
        </w:rPr>
        <w:t>Policy option 1: Prevent late payments</w:t>
      </w:r>
    </w:p>
    <w:p w14:paraId="3FBAAC8E" w14:textId="6E9B1346" w:rsidR="0008123E" w:rsidRPr="00881BC8" w:rsidRDefault="0008123E" w:rsidP="004835F8">
      <w:pPr>
        <w:pStyle w:val="NormalPara"/>
        <w:rPr>
          <w:noProof/>
          <w:lang w:val="en-GB"/>
        </w:rPr>
      </w:pPr>
      <w:r w:rsidRPr="00881BC8">
        <w:rPr>
          <w:noProof/>
          <w:lang w:val="en-GB"/>
        </w:rPr>
        <w:t>The respondents to the SME Panel largely supported the proposal to setting a limit for the maximum number of days for payment terms in B2B (82,7%, 777 out of</w:t>
      </w:r>
      <w:r w:rsidR="002E552C" w:rsidRPr="00881BC8">
        <w:rPr>
          <w:noProof/>
          <w:lang w:val="en-GB"/>
        </w:rPr>
        <w:t xml:space="preserve"> </w:t>
      </w:r>
      <w:r w:rsidRPr="00881BC8">
        <w:rPr>
          <w:noProof/>
          <w:lang w:val="en-GB"/>
        </w:rPr>
        <w:t xml:space="preserve">939 respondents considered it very useful/useful). </w:t>
      </w:r>
    </w:p>
    <w:p w14:paraId="58CF56A0" w14:textId="3B054371" w:rsidR="000A4B2F" w:rsidRPr="00881BC8" w:rsidRDefault="000A4B2F" w:rsidP="004835F8">
      <w:pPr>
        <w:pStyle w:val="NormalPara"/>
        <w:rPr>
          <w:noProof/>
          <w:lang w:val="en-GB"/>
        </w:rPr>
      </w:pPr>
      <w:r w:rsidRPr="00881BC8">
        <w:rPr>
          <w:noProof/>
          <w:lang w:val="en-GB"/>
        </w:rPr>
        <w:t>There is a preference for capping the payments terms at 30 days or at 60 days in B2B transactions. 36,4 % (341 out of 939) participants to the SME Panel preferred 30 days as maximum payment term, in particular the ones active in professional, scientific and technical activities (49% of them selected it), other services activities (41%), construction sector (39%) and wholesale and retail (38%).</w:t>
      </w:r>
      <w:r w:rsidR="002E552C" w:rsidRPr="00881BC8">
        <w:rPr>
          <w:noProof/>
          <w:lang w:val="en-GB"/>
        </w:rPr>
        <w:t xml:space="preserve"> </w:t>
      </w:r>
      <w:r w:rsidRPr="00881BC8">
        <w:rPr>
          <w:noProof/>
          <w:lang w:val="en-GB"/>
        </w:rPr>
        <w:t>27,8% (261) of the SMEs indicated 60 days, in particular the ones active in mining and quarrying (42%) and manufacturing (35%). Only 7,5% (70) of respondents did not agree with setting a maximum payment term.</w:t>
      </w:r>
      <w:r w:rsidR="002E552C" w:rsidRPr="00881BC8">
        <w:rPr>
          <w:noProof/>
          <w:lang w:val="en-GB"/>
        </w:rPr>
        <w:t xml:space="preserve"> </w:t>
      </w:r>
    </w:p>
    <w:p w14:paraId="375D801B" w14:textId="77777777" w:rsidR="0008123E" w:rsidRPr="00881BC8" w:rsidRDefault="0008123E" w:rsidP="004835F8">
      <w:pPr>
        <w:pStyle w:val="NormalPara"/>
        <w:rPr>
          <w:noProof/>
          <w:lang w:val="en-GB"/>
        </w:rPr>
      </w:pPr>
      <w:r w:rsidRPr="00881BC8">
        <w:rPr>
          <w:noProof/>
          <w:lang w:val="en-GB"/>
        </w:rPr>
        <w:t>In fact, this is also the current normal practice reported by the respondents to the Panel. In general, they ask for payments within 30 days of the date of the invoice (43,8% of respondents or 411 out of 939) or within 30 to 60 days (41,7% or 392).</w:t>
      </w:r>
    </w:p>
    <w:p w14:paraId="2A10C24D" w14:textId="15C25117" w:rsidR="000A4B2F" w:rsidRPr="00881BC8" w:rsidRDefault="000A4B2F" w:rsidP="004835F8">
      <w:pPr>
        <w:pStyle w:val="NormalPara"/>
        <w:rPr>
          <w:noProof/>
          <w:lang w:val="en-GB"/>
        </w:rPr>
      </w:pPr>
      <w:r w:rsidRPr="00881BC8">
        <w:rPr>
          <w:noProof/>
          <w:lang w:val="en-GB"/>
        </w:rPr>
        <w:t>On their side, the results of the PC show that 36,7% (43) of the 117 respondents think that the payments terms should be capped for all B2B transactions without exceptions, and more specifically at 30 days (27,3% or 32) or 60 days (9,4% or 11). There are</w:t>
      </w:r>
      <w:r w:rsidR="002E552C" w:rsidRPr="00881BC8">
        <w:rPr>
          <w:noProof/>
          <w:lang w:val="en-GB"/>
        </w:rPr>
        <w:t xml:space="preserve"> </w:t>
      </w:r>
      <w:r w:rsidRPr="00881BC8">
        <w:rPr>
          <w:noProof/>
          <w:lang w:val="en-GB"/>
        </w:rPr>
        <w:t xml:space="preserve">significant differences among companies (58% of them are in favour of 30 or 60 days capping), public authorities (33% in favour) and business organisations (24% in favour). 29% of the respondents, a little bit more business association (35%) and companies (31%) than public authorities (28%), think that the payments terms should remain unchanged. Only 8,6% (10, business associations only) think that they should be capped at 30 (6%) or 60 days (2,6%) for payments from large companies to SMEs only. </w:t>
      </w:r>
    </w:p>
    <w:p w14:paraId="6FAC7FF1" w14:textId="53565F7A" w:rsidR="0008123E" w:rsidRPr="00881BC8" w:rsidRDefault="0008123E" w:rsidP="004835F8">
      <w:pPr>
        <w:pStyle w:val="NormalPara"/>
        <w:rPr>
          <w:noProof/>
          <w:lang w:val="en-GB"/>
        </w:rPr>
      </w:pPr>
      <w:r w:rsidRPr="00881BC8">
        <w:rPr>
          <w:noProof/>
          <w:lang w:val="en-GB"/>
        </w:rPr>
        <w:t xml:space="preserve">The results of the </w:t>
      </w:r>
      <w:r w:rsidR="00E4064B" w:rsidRPr="00881BC8">
        <w:rPr>
          <w:noProof/>
          <w:lang w:val="en-GB"/>
        </w:rPr>
        <w:t xml:space="preserve">PC </w:t>
      </w:r>
      <w:r w:rsidRPr="00881BC8">
        <w:rPr>
          <w:noProof/>
          <w:lang w:val="en-GB"/>
        </w:rPr>
        <w:t>also show a wide support to the proposal to provide training on credit management and financial literacy (73,5%</w:t>
      </w:r>
      <w:r w:rsidR="002E552C" w:rsidRPr="00881BC8">
        <w:rPr>
          <w:noProof/>
          <w:lang w:val="en-GB"/>
        </w:rPr>
        <w:t xml:space="preserve"> </w:t>
      </w:r>
      <w:r w:rsidRPr="00881BC8">
        <w:rPr>
          <w:noProof/>
          <w:lang w:val="en-GB"/>
        </w:rPr>
        <w:t>or 86 out of 117 of respondents think that this could have very positive or positive impact) and to improve availability of measures dedicated to foster digital skills in particular in SME (71,8%, 84 out of 117). 46,1% (54 out of 117) of the respondents supported the setting up of a permanent European Observatory of payments managed by the Commission to monitor payment performance and trends in payments.</w:t>
      </w:r>
    </w:p>
    <w:p w14:paraId="47B542B3" w14:textId="33E34991" w:rsidR="0008123E" w:rsidRPr="00881BC8" w:rsidRDefault="0008123E" w:rsidP="004835F8">
      <w:pPr>
        <w:pStyle w:val="NormalPara"/>
        <w:rPr>
          <w:noProof/>
          <w:lang w:val="en-GB"/>
        </w:rPr>
      </w:pPr>
      <w:r w:rsidRPr="00881BC8">
        <w:rPr>
          <w:noProof/>
          <w:lang w:val="en-GB"/>
        </w:rPr>
        <w:t>The other consultation activities (feedback to the call for evidence, position papers and bilateral meetings) showed that there is a significant majority</w:t>
      </w:r>
      <w:r w:rsidR="002E552C" w:rsidRPr="00881BC8">
        <w:rPr>
          <w:noProof/>
          <w:lang w:val="en-GB"/>
        </w:rPr>
        <w:t xml:space="preserve"> </w:t>
      </w:r>
      <w:r w:rsidRPr="00881BC8">
        <w:rPr>
          <w:noProof/>
          <w:lang w:val="en-GB"/>
        </w:rPr>
        <w:t>supporting the capping. They were mostly business associations representing in particular SMEs (for example SMEunited</w:t>
      </w:r>
      <w:r w:rsidR="000A4B2F" w:rsidRPr="00881BC8">
        <w:rPr>
          <w:noProof/>
          <w:lang w:val="en-GB"/>
        </w:rPr>
        <w:t>, European Builders Confederation</w:t>
      </w:r>
      <w:r w:rsidRPr="00881BC8">
        <w:rPr>
          <w:noProof/>
          <w:lang w:val="en-GB"/>
        </w:rPr>
        <w:t xml:space="preserve"> and ESBA) and companies (especially SMEs) but also some public authorities and citizens.</w:t>
      </w:r>
      <w:r w:rsidR="002E552C" w:rsidRPr="00881BC8">
        <w:rPr>
          <w:noProof/>
          <w:lang w:val="en-GB"/>
        </w:rPr>
        <w:t xml:space="preserve"> </w:t>
      </w:r>
      <w:r w:rsidRPr="00881BC8">
        <w:rPr>
          <w:noProof/>
          <w:lang w:val="en-GB"/>
        </w:rPr>
        <w:t xml:space="preserve">Generally, they support a limit of 30 days or less for payment terms B2B transactions. Some stakeholders despite favouring a general capping also favour certain level of flexibility when it comes to certain specific sectors or to allow an agreement between the creditor and the debtor under certain conditions. Most of them agree for an extra 30 days (60 days total), although some push for more days by claiming for respect to the </w:t>
      </w:r>
      <w:r w:rsidR="00303DFA" w:rsidRPr="00881BC8">
        <w:rPr>
          <w:noProof/>
          <w:lang w:val="en-GB"/>
        </w:rPr>
        <w:t>‘</w:t>
      </w:r>
      <w:r w:rsidRPr="00881BC8">
        <w:rPr>
          <w:noProof/>
          <w:lang w:val="en-GB"/>
        </w:rPr>
        <w:t>freedom of contract</w:t>
      </w:r>
      <w:r w:rsidR="00303DFA" w:rsidRPr="00881BC8">
        <w:rPr>
          <w:noProof/>
          <w:lang w:val="en-GB"/>
        </w:rPr>
        <w:t>’</w:t>
      </w:r>
      <w:r w:rsidRPr="00881BC8">
        <w:rPr>
          <w:noProof/>
          <w:lang w:val="en-GB"/>
        </w:rPr>
        <w:t xml:space="preserve"> principle between its participants. Only few are against establishing limits to payments of invoices. Most of them claim for respect to the principles of </w:t>
      </w:r>
      <w:r w:rsidR="00303DFA" w:rsidRPr="00881BC8">
        <w:rPr>
          <w:noProof/>
          <w:lang w:val="en-GB"/>
        </w:rPr>
        <w:t>‘</w:t>
      </w:r>
      <w:r w:rsidRPr="00881BC8">
        <w:rPr>
          <w:noProof/>
          <w:lang w:val="en-GB"/>
        </w:rPr>
        <w:t>freedom of contract</w:t>
      </w:r>
      <w:r w:rsidR="00303DFA" w:rsidRPr="00881BC8">
        <w:rPr>
          <w:noProof/>
          <w:lang w:val="en-GB"/>
        </w:rPr>
        <w:t>’</w:t>
      </w:r>
      <w:r w:rsidRPr="00881BC8">
        <w:rPr>
          <w:noProof/>
          <w:lang w:val="en-GB"/>
        </w:rPr>
        <w:t xml:space="preserve"> and </w:t>
      </w:r>
      <w:r w:rsidR="00303DFA" w:rsidRPr="00881BC8">
        <w:rPr>
          <w:noProof/>
          <w:lang w:val="en-GB"/>
        </w:rPr>
        <w:t>‘</w:t>
      </w:r>
      <w:r w:rsidRPr="00881BC8">
        <w:rPr>
          <w:noProof/>
          <w:lang w:val="en-GB"/>
        </w:rPr>
        <w:t>private autonomy</w:t>
      </w:r>
      <w:r w:rsidR="00303DFA" w:rsidRPr="00881BC8">
        <w:rPr>
          <w:noProof/>
          <w:lang w:val="en-GB"/>
        </w:rPr>
        <w:t>’</w:t>
      </w:r>
      <w:r w:rsidRPr="00881BC8">
        <w:rPr>
          <w:noProof/>
          <w:lang w:val="en-GB"/>
        </w:rPr>
        <w:t xml:space="preserve"> to sustain their arguments. They are in general national business associations or similar bodies (for example, AT and DK chambers, Confcommercio from IT) and a couple of citizens and public administrations (national and local PA from IT, DE, MT, FI). On the concept of </w:t>
      </w:r>
      <w:r w:rsidR="00303DFA" w:rsidRPr="00881BC8">
        <w:rPr>
          <w:noProof/>
          <w:lang w:val="en-GB"/>
        </w:rPr>
        <w:t>‘</w:t>
      </w:r>
      <w:r w:rsidRPr="00881BC8">
        <w:rPr>
          <w:noProof/>
          <w:lang w:val="en-GB"/>
        </w:rPr>
        <w:t>Gross unfairness</w:t>
      </w:r>
      <w:r w:rsidR="00303DFA" w:rsidRPr="00881BC8">
        <w:rPr>
          <w:noProof/>
          <w:lang w:val="en-GB"/>
        </w:rPr>
        <w:t>’</w:t>
      </w:r>
      <w:r w:rsidRPr="00881BC8">
        <w:rPr>
          <w:noProof/>
          <w:lang w:val="en-GB"/>
        </w:rPr>
        <w:t>, the positions in favour of capping payment terms, also favour its abolition from the directive; while does against capping are also against of any clarification or guidance on this concept.</w:t>
      </w:r>
    </w:p>
    <w:p w14:paraId="3C1B8270" w14:textId="77777777" w:rsidR="0008123E" w:rsidRPr="00881BC8" w:rsidRDefault="0008123E" w:rsidP="004835F8">
      <w:pPr>
        <w:pStyle w:val="NormalPara"/>
        <w:rPr>
          <w:noProof/>
          <w:lang w:val="en-GB"/>
        </w:rPr>
      </w:pPr>
      <w:r w:rsidRPr="00881BC8">
        <w:rPr>
          <w:noProof/>
          <w:lang w:val="en-GB"/>
        </w:rPr>
        <w:t xml:space="preserve">Overall, the stakeholders support the proposal to provide training on credit management and financial literacy. They were mostly business associations (for example CECOP and DK chamber of commerce). They propose the sourcing of better education to inform best practice, and to build this into all small business training and support. Also, they propose facilitating availability and access to credit management training and financial literacy (digital as well) for SMEs. Nevertheless, one stakeholder (AT federal economic chamber of commerce) positioned against it. They fear that it is only a small step from ‘promoting the use of digital payment instruments to their mandatory use’ so such measures could have a negative impact on SMEs, as they may not yet rely on fully digital systems and lead to high technical retrofitting costs’. </w:t>
      </w:r>
    </w:p>
    <w:p w14:paraId="0667D689" w14:textId="77777777" w:rsidR="0008123E" w:rsidRPr="00881BC8" w:rsidRDefault="0008123E" w:rsidP="004835F8">
      <w:pPr>
        <w:pStyle w:val="NormalPara"/>
        <w:rPr>
          <w:noProof/>
          <w:lang w:val="en-GB"/>
        </w:rPr>
      </w:pPr>
      <w:r w:rsidRPr="00881BC8">
        <w:rPr>
          <w:noProof/>
          <w:lang w:val="en-GB"/>
        </w:rPr>
        <w:t>The European Observatory of payments was also supported by the majority of stakeholders, mostly business association (for example CEPYME and EUF) and public authorities (for example from BE and NL). They argue that the collection and publication of data on average payment periods and payment performance will help to monitor and enhance compliance and to improve the liquidity position of SMEs. However, there are also some (mostly citizens) that oppose, as they argue that it would induce additional cost and unnecessary funding.</w:t>
      </w:r>
    </w:p>
    <w:p w14:paraId="40E8469E" w14:textId="77777777" w:rsidR="0008123E" w:rsidRPr="00881BC8" w:rsidRDefault="0008123E" w:rsidP="004835F8">
      <w:pPr>
        <w:pStyle w:val="AnnexLevel2"/>
        <w:tabs>
          <w:tab w:val="clear" w:pos="1920"/>
          <w:tab w:val="num" w:pos="1276"/>
        </w:tabs>
        <w:ind w:left="1417"/>
        <w:rPr>
          <w:noProof/>
          <w:lang w:val="en-GB"/>
        </w:rPr>
      </w:pPr>
      <w:r w:rsidRPr="00881BC8">
        <w:rPr>
          <w:noProof/>
          <w:lang w:val="en-GB"/>
        </w:rPr>
        <w:t>Policy option 2: Foster timely payments</w:t>
      </w:r>
    </w:p>
    <w:p w14:paraId="0EF65C65" w14:textId="0B93A285" w:rsidR="0008123E" w:rsidRPr="00881BC8" w:rsidRDefault="0008123E" w:rsidP="004835F8">
      <w:pPr>
        <w:pStyle w:val="NormalPara"/>
        <w:rPr>
          <w:noProof/>
          <w:lang w:val="en-GB"/>
        </w:rPr>
      </w:pPr>
      <w:r w:rsidRPr="00881BC8">
        <w:rPr>
          <w:noProof/>
          <w:lang w:val="en-GB"/>
        </w:rPr>
        <w:t xml:space="preserve">The interests and the compensation are rarely paid. 80,3% (754 out of 939) respondents to the SME Panel stated that the </w:t>
      </w:r>
      <w:r w:rsidR="00B14EAD" w:rsidRPr="00881BC8">
        <w:rPr>
          <w:noProof/>
          <w:lang w:val="en-GB"/>
        </w:rPr>
        <w:t>EUR </w:t>
      </w:r>
      <w:r w:rsidRPr="00881BC8">
        <w:rPr>
          <w:noProof/>
          <w:lang w:val="en-GB"/>
        </w:rPr>
        <w:t xml:space="preserve">40 compensation and interests are never paid automatically by their clients in case of late payments. </w:t>
      </w:r>
    </w:p>
    <w:p w14:paraId="1C435979" w14:textId="3CAEE828" w:rsidR="0008123E" w:rsidRPr="00881BC8" w:rsidRDefault="0008123E" w:rsidP="004835F8">
      <w:pPr>
        <w:pStyle w:val="NormalPara"/>
        <w:rPr>
          <w:noProof/>
          <w:lang w:val="en-GB"/>
        </w:rPr>
      </w:pPr>
      <w:r w:rsidRPr="00881BC8">
        <w:rPr>
          <w:noProof/>
          <w:lang w:val="en-GB"/>
        </w:rPr>
        <w:t xml:space="preserve">This is confirmed by the results of the </w:t>
      </w:r>
      <w:r w:rsidR="00E4064B" w:rsidRPr="00881BC8">
        <w:rPr>
          <w:noProof/>
          <w:lang w:val="en-GB"/>
        </w:rPr>
        <w:t>PC</w:t>
      </w:r>
      <w:r w:rsidRPr="00881BC8">
        <w:rPr>
          <w:noProof/>
          <w:lang w:val="en-GB"/>
        </w:rPr>
        <w:t>. Only a minority of the</w:t>
      </w:r>
      <w:r w:rsidR="002E552C" w:rsidRPr="00881BC8">
        <w:rPr>
          <w:noProof/>
          <w:lang w:val="en-GB"/>
        </w:rPr>
        <w:t xml:space="preserve"> </w:t>
      </w:r>
      <w:r w:rsidRPr="00881BC8">
        <w:rPr>
          <w:noProof/>
          <w:lang w:val="en-GB"/>
        </w:rPr>
        <w:t>companies participating to the consultations (25%, 7 out of 28) claims regularly interests on late payment: 7,1% always does it, another 7,1% does it very often and 10,7% does it frequently. Normally the interests are rarely (39,3%, 11 out of 28) or even never (35,7%, 10 out of 28) requested. The situation is even worst for the flat fee compensation. Only 10,7% (3 out of 28) claims it frequently while 25% (7 out of 28)</w:t>
      </w:r>
      <w:r w:rsidR="002E552C" w:rsidRPr="00881BC8">
        <w:rPr>
          <w:noProof/>
          <w:lang w:val="en-GB"/>
        </w:rPr>
        <w:t xml:space="preserve"> </w:t>
      </w:r>
      <w:r w:rsidRPr="00881BC8">
        <w:rPr>
          <w:noProof/>
          <w:lang w:val="en-GB"/>
        </w:rPr>
        <w:t>rarely do it and the majority (57,1%, 16 out of 28) never do it. None replied always or very often. In both cases the main reason to not claim interests/compensation was the fear to lose the customer (mentioned 12 times).</w:t>
      </w:r>
    </w:p>
    <w:p w14:paraId="5ECC3512" w14:textId="03D5A5DC" w:rsidR="0008123E" w:rsidRPr="00881BC8" w:rsidRDefault="0008123E" w:rsidP="004835F8">
      <w:pPr>
        <w:pStyle w:val="NormalPara"/>
        <w:rPr>
          <w:noProof/>
          <w:lang w:val="en-GB"/>
        </w:rPr>
      </w:pPr>
      <w:r w:rsidRPr="00881BC8">
        <w:rPr>
          <w:noProof/>
          <w:lang w:val="en-GB"/>
        </w:rPr>
        <w:t xml:space="preserve">The companies participating to the </w:t>
      </w:r>
      <w:r w:rsidR="00E4064B" w:rsidRPr="00881BC8">
        <w:rPr>
          <w:noProof/>
          <w:lang w:val="en-GB"/>
        </w:rPr>
        <w:t xml:space="preserve">PC </w:t>
      </w:r>
      <w:r w:rsidRPr="00881BC8">
        <w:rPr>
          <w:noProof/>
          <w:lang w:val="en-GB"/>
        </w:rPr>
        <w:t>have mixed opinions on the adequacy of the interests and the compensation: 28,6% (8 out of 28) think they are adequate while 32,1% (9) would like to increase both of them to reflect the inflation and/or increase their effectiveness as deterrents against late payment delays. Only 14,3% (4) would prefer to increase only the compensation and 7,1% (2) only the interests. The large majority (60,7% or 17 out of 28) agrees that the interest on late payment and the flat fee compensation of a minimum of EUR 40 per invoice should be applied automatically, as soon as the debtor is late with the payment. Only 17,9% (5) is against and another 21,4% (6) don’t know.</w:t>
      </w:r>
    </w:p>
    <w:p w14:paraId="5B1CE3A1" w14:textId="2DB75B51" w:rsidR="0008123E" w:rsidRPr="00881BC8" w:rsidRDefault="0008123E" w:rsidP="004835F8">
      <w:pPr>
        <w:pStyle w:val="NormalPara"/>
        <w:rPr>
          <w:noProof/>
          <w:lang w:val="en-GB"/>
        </w:rPr>
      </w:pPr>
      <w:r w:rsidRPr="00881BC8">
        <w:rPr>
          <w:noProof/>
          <w:lang w:val="en-GB"/>
        </w:rPr>
        <w:t>In the public</w:t>
      </w:r>
      <w:r w:rsidR="00FC6F5C" w:rsidRPr="00881BC8">
        <w:rPr>
          <w:noProof/>
          <w:lang w:val="en-GB"/>
        </w:rPr>
        <w:t xml:space="preserve"> </w:t>
      </w:r>
      <w:r w:rsidRPr="00881BC8">
        <w:rPr>
          <w:noProof/>
          <w:lang w:val="en-GB"/>
        </w:rPr>
        <w:t xml:space="preserve">consultation 67 respondents out of 117 </w:t>
      </w:r>
      <w:r w:rsidR="00FC6F5C" w:rsidRPr="00881BC8">
        <w:rPr>
          <w:noProof/>
          <w:lang w:val="en-GB"/>
        </w:rPr>
        <w:t>(</w:t>
      </w:r>
      <w:r w:rsidRPr="00881BC8">
        <w:rPr>
          <w:noProof/>
          <w:lang w:val="en-GB"/>
        </w:rPr>
        <w:t>no differences between business organisations and companies) agreed on the proposal that public authorities should put in place mechanisms to verify that main contractors are complying with the rules on prompt payment when paying subcontractors, in particular when a subcontractor is an SME.</w:t>
      </w:r>
    </w:p>
    <w:p w14:paraId="7E558D7F" w14:textId="1A3B3E39" w:rsidR="0008123E" w:rsidRPr="00881BC8" w:rsidRDefault="0008123E" w:rsidP="004835F8">
      <w:pPr>
        <w:pStyle w:val="NormalPara"/>
        <w:rPr>
          <w:noProof/>
          <w:lang w:val="en-GB"/>
        </w:rPr>
      </w:pPr>
      <w:r w:rsidRPr="00881BC8">
        <w:rPr>
          <w:noProof/>
          <w:lang w:val="en-GB"/>
        </w:rPr>
        <w:t>The large majority of stakeholders participating to the other consultation activities supported the proposal to make the payment of interests automatic. They were mostly businees associations (for example APORMED from PT and the European Builders Confederation), companies (especialy SMEs which strongly support this proposal) and some public authorities. They support a system of penalties (for exemple CEPYME), agree on adapting the flat fee compensation and that Member States should set up enforcement bodies (for example ES region). Finally they think that contracting autorities should ensure that subcontractors in public tenders are paid on time. This is supported in particual by some Spanish business organisations and ESBA. ESBA proposes that ‘it should become a standard clause in public tendered contracts that the company that is awarded the public contract</w:t>
      </w:r>
      <w:r w:rsidR="002E552C" w:rsidRPr="00881BC8">
        <w:rPr>
          <w:noProof/>
          <w:lang w:val="en-GB"/>
        </w:rPr>
        <w:t xml:space="preserve"> </w:t>
      </w:r>
      <w:r w:rsidRPr="00881BC8">
        <w:rPr>
          <w:noProof/>
          <w:lang w:val="en-GB"/>
        </w:rPr>
        <w:t xml:space="preserve">must pay their sub-contractors on the same terms that they are to be paid under the contract or penalties will apply’. </w:t>
      </w:r>
    </w:p>
    <w:p w14:paraId="33224490" w14:textId="4AD5EB35" w:rsidR="0008123E" w:rsidRPr="00881BC8" w:rsidRDefault="0008123E" w:rsidP="004835F8">
      <w:pPr>
        <w:pStyle w:val="NormalPara"/>
        <w:rPr>
          <w:noProof/>
          <w:lang w:val="en-GB"/>
        </w:rPr>
      </w:pPr>
      <w:r w:rsidRPr="00881BC8">
        <w:rPr>
          <w:noProof/>
          <w:lang w:val="en-GB"/>
        </w:rPr>
        <w:t xml:space="preserve">Only few are against these proposals and they are mainly local public authorities (for </w:t>
      </w:r>
      <w:r w:rsidR="00FC6F5C" w:rsidRPr="00881BC8">
        <w:rPr>
          <w:noProof/>
          <w:lang w:val="en-GB"/>
        </w:rPr>
        <w:t xml:space="preserve">example </w:t>
      </w:r>
      <w:r w:rsidRPr="00881BC8">
        <w:rPr>
          <w:noProof/>
          <w:lang w:val="en-GB"/>
        </w:rPr>
        <w:t>IT cities) and a couple of business organisation (</w:t>
      </w:r>
      <w:r w:rsidR="00FC6F5C" w:rsidRPr="00881BC8">
        <w:rPr>
          <w:noProof/>
          <w:lang w:val="en-GB"/>
        </w:rPr>
        <w:t xml:space="preserve">example </w:t>
      </w:r>
      <w:r w:rsidRPr="00881BC8">
        <w:rPr>
          <w:noProof/>
          <w:lang w:val="en-GB"/>
        </w:rPr>
        <w:t>the AT federal economic chamber) as they think that they could be additional burdens on the economy and the creation of monitoring bodies at EU or national level should be ‘rejected in view of the already efficient enforcement possibilities of ordinary legal remedies or other redress instruments’.</w:t>
      </w:r>
    </w:p>
    <w:p w14:paraId="3EB99E39" w14:textId="77777777" w:rsidR="0008123E" w:rsidRPr="00881BC8" w:rsidRDefault="0008123E" w:rsidP="004835F8">
      <w:pPr>
        <w:pStyle w:val="AnnexLevel2"/>
        <w:tabs>
          <w:tab w:val="clear" w:pos="1920"/>
          <w:tab w:val="num" w:pos="1276"/>
        </w:tabs>
        <w:ind w:left="1417"/>
        <w:rPr>
          <w:noProof/>
          <w:lang w:val="en-GB"/>
        </w:rPr>
      </w:pPr>
      <w:r w:rsidRPr="00881BC8">
        <w:rPr>
          <w:noProof/>
          <w:lang w:val="en-GB"/>
        </w:rPr>
        <w:t>Policy option 3: Better balance between large and small operators, to ensure fair payment conditions and empower SMEs</w:t>
      </w:r>
    </w:p>
    <w:p w14:paraId="499274FF" w14:textId="77777777" w:rsidR="0008123E" w:rsidRPr="00881BC8" w:rsidRDefault="0008123E" w:rsidP="004835F8">
      <w:pPr>
        <w:pStyle w:val="NormalPara"/>
        <w:rPr>
          <w:noProof/>
          <w:lang w:val="en-GB"/>
        </w:rPr>
      </w:pPr>
      <w:r w:rsidRPr="00881BC8">
        <w:rPr>
          <w:noProof/>
          <w:lang w:val="en-GB"/>
        </w:rPr>
        <w:t>These proposals are largely supported by the results of the consultation activities.</w:t>
      </w:r>
    </w:p>
    <w:p w14:paraId="129F4244" w14:textId="77777777" w:rsidR="0008123E" w:rsidRPr="00881BC8" w:rsidRDefault="0008123E" w:rsidP="004835F8">
      <w:pPr>
        <w:pStyle w:val="NormalPara"/>
        <w:rPr>
          <w:noProof/>
          <w:lang w:val="en-GB"/>
        </w:rPr>
      </w:pPr>
      <w:r w:rsidRPr="00881BC8">
        <w:rPr>
          <w:noProof/>
          <w:lang w:val="en-GB"/>
        </w:rPr>
        <w:t xml:space="preserve">84% (789 out of 939) of the respondents to the SME Panel consider very useful/useful that EU countries set up enforcement bodies with the power to investigate and receive complaints, and to issue administrative fines for repeated bad payment behaviour. 65,2% (612) found very useful/useful that EU countries appoint a national ombudsperson for SMEs (or similar body) to bring the issue of late payments to political attention and liaise with businesses and governmental bodies. </w:t>
      </w:r>
    </w:p>
    <w:p w14:paraId="02BDE633" w14:textId="77777777" w:rsidR="0008123E" w:rsidRPr="00881BC8" w:rsidRDefault="0008123E" w:rsidP="004835F8">
      <w:pPr>
        <w:pStyle w:val="NormalPara"/>
        <w:rPr>
          <w:noProof/>
          <w:lang w:val="en-GB"/>
        </w:rPr>
      </w:pPr>
      <w:r w:rsidRPr="00881BC8">
        <w:rPr>
          <w:noProof/>
          <w:lang w:val="en-GB"/>
        </w:rPr>
        <w:t xml:space="preserve">According to the SME panel, the mediation was never used to solve disputes on late payment by 51,9% (487 out of 939) of the respondents.. </w:t>
      </w:r>
    </w:p>
    <w:p w14:paraId="4A34EE8B" w14:textId="77777777" w:rsidR="0008123E" w:rsidRPr="00881BC8" w:rsidRDefault="0008123E" w:rsidP="004835F8">
      <w:pPr>
        <w:pStyle w:val="NormalPara"/>
        <w:rPr>
          <w:noProof/>
          <w:lang w:val="en-GB"/>
        </w:rPr>
      </w:pPr>
      <w:r w:rsidRPr="00881BC8">
        <w:rPr>
          <w:noProof/>
          <w:lang w:val="en-GB"/>
        </w:rPr>
        <w:t xml:space="preserve">The SME Panel gives also an overview of unfair payment practices used to circumvent the agreed payment deadlines. The most used is to modify retroactively key contractual provisions (e.g., on price, quantity or quality of goods/services, delivery times, etc.) in order to postpone the payment as 68,1% of respondents (640 out of 939) experienced it at least once and only 23,4% (220) never experienced it. Other used unfair practices are to deliberately delay the acceptance of services provided and/or of goods delivered (66,3% of respondent, 622, encountered it at least once) and deliberately contest the invoice (58,2%, 547). A less used practice is pay with financial products as only 45,4% (426) of respondents incurred in this at least once. </w:t>
      </w:r>
    </w:p>
    <w:p w14:paraId="6BB0374B" w14:textId="7452488D" w:rsidR="0008123E" w:rsidRPr="00881BC8" w:rsidRDefault="0008123E" w:rsidP="004835F8">
      <w:pPr>
        <w:pStyle w:val="NormalPara"/>
        <w:rPr>
          <w:noProof/>
          <w:lang w:val="en-GB"/>
        </w:rPr>
      </w:pPr>
      <w:r w:rsidRPr="00881BC8">
        <w:rPr>
          <w:noProof/>
          <w:lang w:val="en-GB"/>
        </w:rPr>
        <w:t xml:space="preserve"> 92,9% (26 out of 28) of the companies participating</w:t>
      </w:r>
      <w:r w:rsidR="002E552C" w:rsidRPr="00881BC8">
        <w:rPr>
          <w:noProof/>
          <w:lang w:val="en-GB"/>
        </w:rPr>
        <w:t xml:space="preserve"> </w:t>
      </w:r>
      <w:r w:rsidRPr="00881BC8">
        <w:rPr>
          <w:noProof/>
          <w:lang w:val="en-GB"/>
        </w:rPr>
        <w:t xml:space="preserve">to the PC consider very useful/useful the proposal that prompt payment should be an additional criterion when awarding public funding and 89,3% (25) that public procurement procedures should include timely payment of suppliers as a criterion. 71,4% (20) consider very useful/useful that the European Commission lay down minimum common criteria on prompt payment codes. </w:t>
      </w:r>
    </w:p>
    <w:p w14:paraId="62461F32" w14:textId="20163674" w:rsidR="0008123E" w:rsidRPr="00881BC8" w:rsidRDefault="0008123E" w:rsidP="004835F8">
      <w:pPr>
        <w:pStyle w:val="NormalPara"/>
        <w:rPr>
          <w:noProof/>
          <w:lang w:val="en-GB"/>
        </w:rPr>
      </w:pPr>
      <w:r w:rsidRPr="00881BC8">
        <w:rPr>
          <w:noProof/>
          <w:lang w:val="en-GB"/>
        </w:rPr>
        <w:t>All the proposals of this option are in general supported by the stakeholders participating to the other consultation acitivites, in particular by business associations. They think that Member States should appoint a responsible authority to monitor compliance and intervene at the request of small businesses or their organisations and, if necessary, impose sanctions for non-compliance (SMEunited). They also think that prompt payments should be an award criterion in public tenders (for example Sinf from SE, CEPYME from ES, CECOP). The proposal to set-up a National Payment Envoy</w:t>
      </w:r>
      <w:r w:rsidR="007D4F4B" w:rsidRPr="00881BC8">
        <w:rPr>
          <w:noProof/>
          <w:lang w:val="en-GB"/>
        </w:rPr>
        <w:t xml:space="preserve"> is </w:t>
      </w:r>
      <w:r w:rsidRPr="00881BC8">
        <w:rPr>
          <w:noProof/>
          <w:lang w:val="en-GB"/>
        </w:rPr>
        <w:t xml:space="preserve">also supported. The idea to introduce a national mediation system received positive opinions as it is seen as a quick way to solve disputes (ES chambers of commerce) and because ‘alternative dispute resolution mechanisms to solve payment disputes must be encouraged’ (Eurocommerce). Finally, stakeholders (mostly SMEs) provided examples of unfair payment practices aimed at artificially extending the payment deadline. They think that these practices should be discouraged. </w:t>
      </w:r>
    </w:p>
    <w:p w14:paraId="3727B12F" w14:textId="77777777" w:rsidR="0008123E" w:rsidRPr="00881BC8" w:rsidRDefault="0008123E" w:rsidP="004835F8">
      <w:pPr>
        <w:pStyle w:val="NormalPara"/>
        <w:rPr>
          <w:bCs/>
          <w:noProof/>
          <w:lang w:val="en-GB"/>
        </w:rPr>
      </w:pPr>
      <w:r w:rsidRPr="00881BC8">
        <w:rPr>
          <w:noProof/>
          <w:lang w:val="en-GB"/>
        </w:rPr>
        <w:t>Only in a couple of cases (Confcommercio from IT and AT federal economic chamber) negative opions were provided.</w:t>
      </w:r>
    </w:p>
    <w:p w14:paraId="08C520C2" w14:textId="77777777" w:rsidR="0008123E" w:rsidRPr="00881BC8" w:rsidRDefault="0008123E" w:rsidP="0008123E">
      <w:pPr>
        <w:rPr>
          <w:noProof/>
        </w:rPr>
      </w:pPr>
    </w:p>
    <w:p w14:paraId="0D866D4C" w14:textId="77777777" w:rsidR="0008123E" w:rsidRPr="00881BC8" w:rsidRDefault="0008123E" w:rsidP="004835F8">
      <w:pPr>
        <w:pStyle w:val="AnnexLevel1"/>
        <w:tabs>
          <w:tab w:val="clear" w:pos="1200"/>
        </w:tabs>
        <w:ind w:left="709"/>
        <w:rPr>
          <w:noProof/>
          <w:lang w:val="en-GB"/>
        </w:rPr>
      </w:pPr>
      <w:r w:rsidRPr="00881BC8">
        <w:rPr>
          <w:noProof/>
          <w:lang w:val="en-GB"/>
        </w:rPr>
        <w:t>Section 2: Feedback on the Call for evidence</w:t>
      </w:r>
    </w:p>
    <w:p w14:paraId="791BC6A3" w14:textId="77777777" w:rsidR="0008123E" w:rsidRPr="00881BC8" w:rsidRDefault="0008123E" w:rsidP="0008123E">
      <w:pPr>
        <w:pStyle w:val="Default"/>
        <w:keepNext/>
        <w:rPr>
          <w:rFonts w:ascii="Times New Roman" w:hAnsi="Times New Roman" w:cs="Times New Roman"/>
          <w:b/>
          <w:bCs/>
          <w:noProof/>
          <w:color w:val="auto"/>
          <w:highlight w:val="yellow"/>
        </w:rPr>
      </w:pPr>
    </w:p>
    <w:p w14:paraId="39A046BD" w14:textId="77777777" w:rsidR="0008123E" w:rsidRPr="00881BC8" w:rsidRDefault="0008123E" w:rsidP="004835F8">
      <w:pPr>
        <w:pStyle w:val="NormalPara"/>
        <w:rPr>
          <w:noProof/>
          <w:lang w:val="en-GB"/>
        </w:rPr>
      </w:pPr>
      <w:r w:rsidRPr="00881BC8">
        <w:rPr>
          <w:noProof/>
          <w:lang w:val="en-GB"/>
        </w:rPr>
        <w:t>Stakeholders who provided feedback to the inception impact assessment expressed in general support for the revision of the late payment directive. They in general agreed with the problem definition and confirmed the need to tackle the identified issues.</w:t>
      </w:r>
    </w:p>
    <w:p w14:paraId="54C68D50" w14:textId="77777777" w:rsidR="0008123E" w:rsidRPr="00881BC8" w:rsidRDefault="0008123E" w:rsidP="004835F8">
      <w:pPr>
        <w:pStyle w:val="NormalPara"/>
        <w:rPr>
          <w:noProof/>
          <w:lang w:val="en-GB"/>
        </w:rPr>
      </w:pPr>
      <w:r w:rsidRPr="00881BC8">
        <w:rPr>
          <w:noProof/>
          <w:lang w:val="en-GB"/>
        </w:rPr>
        <w:t xml:space="preserve">They mostly supported the proposal to capping the payments terms at 30 days in B2B transactions, in particular the business organisation representing SMEs and the companies (again especially SMEs). Only few the stakeholders were against the capping, in particular some national business associations and some public administrations. </w:t>
      </w:r>
    </w:p>
    <w:p w14:paraId="602808EE" w14:textId="77777777" w:rsidR="0008123E" w:rsidRPr="00881BC8" w:rsidRDefault="0008123E" w:rsidP="004835F8">
      <w:pPr>
        <w:pStyle w:val="NormalPara"/>
        <w:rPr>
          <w:noProof/>
          <w:lang w:val="en-GB"/>
        </w:rPr>
      </w:pPr>
      <w:r w:rsidRPr="00881BC8">
        <w:rPr>
          <w:noProof/>
          <w:lang w:val="en-GB"/>
        </w:rPr>
        <w:t>The stakeholders, mostly business associations and public authorities, also supported the proposals to provide training on credit management and financial literacy and to set-up the European Observatory of payment. Only few were against these initiatives, mostly citizens and a couple of business associations.</w:t>
      </w:r>
    </w:p>
    <w:p w14:paraId="7AEB8E9D" w14:textId="77777777" w:rsidR="0008123E" w:rsidRPr="00881BC8" w:rsidRDefault="0008123E" w:rsidP="004835F8">
      <w:pPr>
        <w:pStyle w:val="NormalPara"/>
        <w:rPr>
          <w:noProof/>
          <w:lang w:val="en-GB"/>
        </w:rPr>
      </w:pPr>
      <w:r w:rsidRPr="00881BC8">
        <w:rPr>
          <w:noProof/>
          <w:lang w:val="en-GB"/>
        </w:rPr>
        <w:t>The large majority of stakeholders, especially bsuiness associations, supported the proposal to make the payment of interests automatic and to introduce a system of penalties They also agree on adapting the flat fee compensation and that Member States should set up enforcement bodies. Finally they think that contracting authorities should ensure that subcontractors in public tenders are paid on time. Only few, in particular local public authorities, are against these proposals.</w:t>
      </w:r>
    </w:p>
    <w:p w14:paraId="5671F0FE" w14:textId="07B559B3" w:rsidR="0008123E" w:rsidRPr="00881BC8" w:rsidRDefault="0008123E" w:rsidP="004835F8">
      <w:pPr>
        <w:pStyle w:val="NormalPara"/>
        <w:rPr>
          <w:noProof/>
          <w:lang w:val="en-GB"/>
        </w:rPr>
      </w:pPr>
      <w:r w:rsidRPr="00881BC8">
        <w:rPr>
          <w:noProof/>
          <w:lang w:val="en-GB"/>
        </w:rPr>
        <w:t>They think, especially business organisations and company (SMEs), that Member States should appoint a responsible authority to monitor compliance and that prompt payments should be an award criterion in public tenders. The proposal</w:t>
      </w:r>
      <w:r w:rsidR="009167A5" w:rsidRPr="00881BC8">
        <w:rPr>
          <w:noProof/>
          <w:lang w:val="en-GB"/>
        </w:rPr>
        <w:t xml:space="preserve"> </w:t>
      </w:r>
      <w:r w:rsidRPr="00881BC8">
        <w:rPr>
          <w:noProof/>
          <w:lang w:val="en-GB"/>
        </w:rPr>
        <w:t>to set-up a National Payment Envoy</w:t>
      </w:r>
      <w:r w:rsidR="009167A5" w:rsidRPr="00881BC8">
        <w:rPr>
          <w:noProof/>
          <w:lang w:val="en-GB"/>
        </w:rPr>
        <w:t xml:space="preserve"> is</w:t>
      </w:r>
      <w:r w:rsidRPr="00881BC8">
        <w:rPr>
          <w:noProof/>
          <w:lang w:val="en-GB"/>
        </w:rPr>
        <w:t xml:space="preserve"> also supported. The idea to introduce a national mediation system received positive opinions. Finally, they think that unfair practices to deliberately extend the payments deadlines should be discouraged. Only in a couple of case negative opinions were provided.</w:t>
      </w:r>
    </w:p>
    <w:p w14:paraId="1930D95D" w14:textId="77777777" w:rsidR="0008123E" w:rsidRPr="00881BC8" w:rsidRDefault="0008123E">
      <w:pPr>
        <w:spacing w:after="200" w:line="276" w:lineRule="auto"/>
        <w:jc w:val="left"/>
        <w:rPr>
          <w:rFonts w:eastAsia="Times New Roman"/>
          <w:noProof/>
          <w:szCs w:val="20"/>
        </w:rPr>
      </w:pPr>
      <w:r w:rsidRPr="00881BC8">
        <w:rPr>
          <w:noProof/>
        </w:rPr>
        <w:br w:type="page"/>
      </w:r>
    </w:p>
    <w:p w14:paraId="39CB1C6A" w14:textId="6C371BC2" w:rsidR="0008123E" w:rsidRPr="00881BC8" w:rsidRDefault="0008123E" w:rsidP="0008123E">
      <w:pPr>
        <w:pStyle w:val="Text1"/>
        <w:ind w:left="0"/>
        <w:rPr>
          <w:noProof/>
        </w:rPr>
      </w:pPr>
      <w:r w:rsidRPr="00881BC8">
        <w:rPr>
          <w:noProof/>
        </w:rPr>
        <w:t xml:space="preserve"> </w:t>
      </w:r>
    </w:p>
    <w:bookmarkEnd w:id="1013"/>
    <w:bookmarkEnd w:id="1014"/>
    <w:p w14:paraId="6F5C3EFB" w14:textId="77777777" w:rsidR="006B087E" w:rsidRPr="00881BC8" w:rsidRDefault="006B087E" w:rsidP="000E3086">
      <w:pPr>
        <w:rPr>
          <w:noProof/>
        </w:rPr>
      </w:pPr>
    </w:p>
    <w:p w14:paraId="3F636211" w14:textId="42F7F491" w:rsidR="006B087E" w:rsidRPr="00881BC8" w:rsidRDefault="006B087E" w:rsidP="00CF2B67">
      <w:pPr>
        <w:pStyle w:val="AnnexTitle"/>
        <w:rPr>
          <w:noProof/>
        </w:rPr>
      </w:pPr>
      <w:bookmarkStart w:id="1015" w:name="Annex03"/>
      <w:bookmarkStart w:id="1016" w:name="_Toc128566549"/>
      <w:bookmarkStart w:id="1017" w:name="_Toc128594963"/>
      <w:bookmarkStart w:id="1018" w:name="_Toc128678918"/>
      <w:bookmarkStart w:id="1019" w:name="_Toc128935119"/>
      <w:bookmarkStart w:id="1020" w:name="_Toc129710211"/>
      <w:bookmarkStart w:id="1021" w:name="_Toc129899920"/>
      <w:bookmarkStart w:id="1022" w:name="_Toc135237452"/>
      <w:r w:rsidRPr="00881BC8">
        <w:rPr>
          <w:noProof/>
        </w:rPr>
        <w:t>Annex 3</w:t>
      </w:r>
      <w:bookmarkEnd w:id="1015"/>
      <w:r w:rsidRPr="00881BC8">
        <w:rPr>
          <w:noProof/>
        </w:rPr>
        <w:t>: Who is affected and how?</w:t>
      </w:r>
      <w:bookmarkEnd w:id="1016"/>
      <w:bookmarkEnd w:id="1017"/>
      <w:bookmarkEnd w:id="1018"/>
      <w:bookmarkEnd w:id="1019"/>
      <w:bookmarkEnd w:id="1020"/>
      <w:bookmarkEnd w:id="1021"/>
      <w:bookmarkEnd w:id="1022"/>
    </w:p>
    <w:p w14:paraId="2F05957C" w14:textId="45917414" w:rsidR="005A45DC" w:rsidRPr="00881BC8" w:rsidRDefault="005A45DC" w:rsidP="004835F8">
      <w:pPr>
        <w:pStyle w:val="AnnexLevel1"/>
        <w:tabs>
          <w:tab w:val="clear" w:pos="1200"/>
        </w:tabs>
        <w:ind w:left="709"/>
        <w:rPr>
          <w:noProof/>
          <w:lang w:val="en-GB"/>
        </w:rPr>
      </w:pPr>
      <w:bookmarkStart w:id="1023" w:name="_Toc128566550"/>
      <w:bookmarkStart w:id="1024" w:name="_Toc128594964"/>
      <w:bookmarkStart w:id="1025" w:name="_Toc128678919"/>
      <w:bookmarkStart w:id="1026" w:name="_Toc128935120"/>
      <w:bookmarkStart w:id="1027" w:name="_Toc129710212"/>
      <w:bookmarkStart w:id="1028" w:name="_Toc129899921"/>
      <w:r w:rsidRPr="00881BC8">
        <w:rPr>
          <w:noProof/>
          <w:lang w:val="en-GB"/>
        </w:rPr>
        <w:t>Practical implications of the initiative</w:t>
      </w:r>
    </w:p>
    <w:p w14:paraId="04448613" w14:textId="6BAADEF6" w:rsidR="005A45DC" w:rsidRPr="00881BC8" w:rsidRDefault="005A45DC" w:rsidP="004835F8">
      <w:pPr>
        <w:pStyle w:val="NormalPara"/>
        <w:rPr>
          <w:noProof/>
          <w:lang w:val="en-GB"/>
        </w:rPr>
      </w:pPr>
      <w:r w:rsidRPr="00881BC8">
        <w:rPr>
          <w:b/>
          <w:noProof/>
          <w:lang w:val="en-GB"/>
        </w:rPr>
        <w:t xml:space="preserve">Businesses </w:t>
      </w:r>
      <w:r w:rsidRPr="00881BC8">
        <w:rPr>
          <w:noProof/>
          <w:lang w:val="en-GB"/>
        </w:rPr>
        <w:t xml:space="preserve">would, on an aggregate level, be positively affected by this initiative. Reduced payment times, estimated at </w:t>
      </w:r>
      <w:r w:rsidR="004D41A3" w:rsidRPr="00881BC8">
        <w:rPr>
          <w:noProof/>
          <w:lang w:val="en-GB"/>
        </w:rPr>
        <w:t>35</w:t>
      </w:r>
      <w:r w:rsidRPr="00881BC8">
        <w:rPr>
          <w:noProof/>
          <w:lang w:val="en-GB"/>
        </w:rPr>
        <w:t xml:space="preserve">%, will liberate cash flow and provide companies with liquidity. Smaller market players will be less likely to be forced into unfair payment </w:t>
      </w:r>
      <w:r w:rsidR="009F5CC4" w:rsidRPr="00881BC8">
        <w:rPr>
          <w:noProof/>
          <w:lang w:val="en-GB"/>
        </w:rPr>
        <w:t>terms and</w:t>
      </w:r>
      <w:r w:rsidRPr="00881BC8">
        <w:rPr>
          <w:noProof/>
          <w:lang w:val="en-GB"/>
        </w:rPr>
        <w:t xml:space="preserve"> will have effective means of redress when they are paid late. Creditors who get paid on time will have significantly reduced administrative costs from chasing debtors and trying to negotiate short payment terms. </w:t>
      </w:r>
    </w:p>
    <w:p w14:paraId="53D83A14" w14:textId="5C0D9BED" w:rsidR="005A45DC" w:rsidRPr="00881BC8" w:rsidRDefault="005A45DC" w:rsidP="004835F8">
      <w:pPr>
        <w:pStyle w:val="NormalPara"/>
        <w:rPr>
          <w:noProof/>
          <w:lang w:val="en-GB"/>
        </w:rPr>
      </w:pPr>
      <w:r w:rsidRPr="00881BC8">
        <w:rPr>
          <w:noProof/>
          <w:lang w:val="en-GB"/>
        </w:rPr>
        <w:t xml:space="preserve">This initiative imposes some costs on businesses. Most costs affecting all businesses are one-off, such as updating standard invoices to reflect new payment terms and adjusted compensation fees. Recurring costs are mainly borne by debtors that currently pay late. They are liable for increased payment of compensation and interest, potential administrative fines, and the loss of </w:t>
      </w:r>
      <w:r w:rsidR="004352CE" w:rsidRPr="00881BC8">
        <w:rPr>
          <w:noProof/>
          <w:lang w:val="en-GB"/>
        </w:rPr>
        <w:t>hassle-</w:t>
      </w:r>
      <w:r w:rsidRPr="00881BC8">
        <w:rPr>
          <w:noProof/>
          <w:lang w:val="en-GB"/>
        </w:rPr>
        <w:t xml:space="preserve">free credit when forced to pay on time. </w:t>
      </w:r>
      <w:r w:rsidR="009F5CC4" w:rsidRPr="00881BC8">
        <w:rPr>
          <w:noProof/>
          <w:lang w:val="en-GB"/>
        </w:rPr>
        <w:t>I</w:t>
      </w:r>
      <w:r w:rsidRPr="00881BC8">
        <w:rPr>
          <w:noProof/>
          <w:lang w:val="en-GB"/>
        </w:rPr>
        <w:t xml:space="preserve">t is important to note that </w:t>
      </w:r>
      <w:r w:rsidR="009F5CC4" w:rsidRPr="00881BC8">
        <w:rPr>
          <w:noProof/>
          <w:lang w:val="en-GB"/>
        </w:rPr>
        <w:t xml:space="preserve">debtors can avoid </w:t>
      </w:r>
      <w:r w:rsidRPr="00881BC8">
        <w:rPr>
          <w:noProof/>
          <w:lang w:val="en-GB"/>
        </w:rPr>
        <w:t xml:space="preserve">most of these costs </w:t>
      </w:r>
      <w:r w:rsidR="009F5CC4" w:rsidRPr="00881BC8">
        <w:rPr>
          <w:noProof/>
          <w:lang w:val="en-GB"/>
        </w:rPr>
        <w:t xml:space="preserve">by </w:t>
      </w:r>
      <w:r w:rsidRPr="00881BC8">
        <w:rPr>
          <w:noProof/>
          <w:lang w:val="en-GB"/>
        </w:rPr>
        <w:t>paying on time.</w:t>
      </w:r>
    </w:p>
    <w:p w14:paraId="2938ED6E" w14:textId="7909E68F" w:rsidR="005A45DC" w:rsidRPr="00881BC8" w:rsidRDefault="005A45DC" w:rsidP="004835F8">
      <w:pPr>
        <w:pStyle w:val="NormalPara"/>
        <w:rPr>
          <w:noProof/>
          <w:lang w:val="en-GB"/>
        </w:rPr>
      </w:pPr>
      <w:r w:rsidRPr="00881BC8">
        <w:rPr>
          <w:noProof/>
          <w:lang w:val="en-GB"/>
        </w:rPr>
        <w:t xml:space="preserve">Beyond purely that this option will contribute </w:t>
      </w:r>
      <w:r w:rsidR="009D199D" w:rsidRPr="00881BC8">
        <w:rPr>
          <w:noProof/>
          <w:lang w:val="en-GB"/>
        </w:rPr>
        <w:t xml:space="preserve">monetary weighing up of costs and benefits, it should be underlined </w:t>
      </w:r>
      <w:r w:rsidRPr="00881BC8">
        <w:rPr>
          <w:noProof/>
          <w:lang w:val="en-GB"/>
        </w:rPr>
        <w:t xml:space="preserve">to fairness in business relations. </w:t>
      </w:r>
      <w:r w:rsidR="00614CF3" w:rsidRPr="00881BC8">
        <w:rPr>
          <w:noProof/>
          <w:lang w:val="en-GB"/>
        </w:rPr>
        <w:t xml:space="preserve">This initiative seeks to ensure that each party of a commercial transaction is paying for the liquidity they use. </w:t>
      </w:r>
      <w:r w:rsidRPr="00881BC8">
        <w:rPr>
          <w:noProof/>
          <w:lang w:val="en-GB"/>
        </w:rPr>
        <w:t>Even if debtors face some costs</w:t>
      </w:r>
      <w:r w:rsidR="0003151B" w:rsidRPr="00881BC8">
        <w:rPr>
          <w:noProof/>
          <w:lang w:val="en-GB"/>
        </w:rPr>
        <w:t xml:space="preserve"> of late payment</w:t>
      </w:r>
      <w:r w:rsidRPr="00881BC8">
        <w:rPr>
          <w:noProof/>
          <w:lang w:val="en-GB"/>
        </w:rPr>
        <w:t xml:space="preserve">, these are mostly directly benefitting the creditor, thus contributing to a fairer market distribution. Moreover, several non-monetary benefits will accrue to businesses. A reduction in late payments will have a positive effect on the </w:t>
      </w:r>
      <w:r w:rsidR="005808EB" w:rsidRPr="00881BC8">
        <w:rPr>
          <w:noProof/>
          <w:lang w:val="en-GB"/>
        </w:rPr>
        <w:t xml:space="preserve">well-being </w:t>
      </w:r>
      <w:r w:rsidRPr="00881BC8">
        <w:rPr>
          <w:noProof/>
          <w:lang w:val="en-GB"/>
        </w:rPr>
        <w:t>of entrepreneurs.</w:t>
      </w:r>
    </w:p>
    <w:p w14:paraId="07F9587A" w14:textId="434AEEA4" w:rsidR="005A45DC" w:rsidRPr="00881BC8" w:rsidRDefault="005A45DC" w:rsidP="004835F8">
      <w:pPr>
        <w:pStyle w:val="NormalPara"/>
        <w:rPr>
          <w:noProof/>
          <w:lang w:val="en-GB"/>
        </w:rPr>
      </w:pPr>
      <w:r w:rsidRPr="00881BC8">
        <w:rPr>
          <w:b/>
          <w:noProof/>
          <w:lang w:val="en-GB"/>
        </w:rPr>
        <w:t xml:space="preserve">Public authorities </w:t>
      </w:r>
      <w:r w:rsidRPr="00881BC8">
        <w:rPr>
          <w:noProof/>
          <w:lang w:val="en-GB"/>
        </w:rPr>
        <w:t>would face some costs to designate and run the enforcement and mediation bodies foreseen in this initiative, estimated at EUR 70-105 million per year for the EU-27</w:t>
      </w:r>
      <w:r w:rsidR="002851DF" w:rsidRPr="00881BC8">
        <w:rPr>
          <w:noProof/>
          <w:lang w:val="en-GB"/>
        </w:rPr>
        <w:t xml:space="preserve"> (EUR 60-65 million for enforcement bodies and EUR 10-40 million for mediation services)</w:t>
      </w:r>
      <w:r w:rsidRPr="00881BC8">
        <w:rPr>
          <w:noProof/>
          <w:lang w:val="en-GB"/>
        </w:rPr>
        <w:t>. Moreover, public authorities benefit from mediation systems, both directly (if the public authority wishes to settle a dispute with a supplier) and indirectly (through reduced burden on the judicial system). An indirect benefit stems from the overall expected reduction in late payments, which means fewer bankruptcies and associated costs to the public purse. Public authorities would hav</w:t>
      </w:r>
      <w:r w:rsidR="0009384D" w:rsidRPr="00881BC8">
        <w:rPr>
          <w:noProof/>
          <w:lang w:val="en-GB"/>
        </w:rPr>
        <w:t>e</w:t>
      </w:r>
      <w:r w:rsidRPr="00881BC8">
        <w:rPr>
          <w:noProof/>
          <w:lang w:val="en-GB"/>
        </w:rPr>
        <w:t xml:space="preserve"> to verify all invoices within 30 days and </w:t>
      </w:r>
      <w:r w:rsidR="0009384D" w:rsidRPr="00881BC8">
        <w:rPr>
          <w:noProof/>
          <w:lang w:val="en-GB"/>
        </w:rPr>
        <w:t xml:space="preserve">obtain assurance that </w:t>
      </w:r>
      <w:r w:rsidRPr="00881BC8">
        <w:rPr>
          <w:noProof/>
          <w:lang w:val="en-GB"/>
        </w:rPr>
        <w:t>subcontractors are paid on time in public works contracts falling under the scope of the public procurement directives.</w:t>
      </w:r>
    </w:p>
    <w:p w14:paraId="03C3E6B0" w14:textId="3FC93729" w:rsidR="005A45DC" w:rsidRPr="00881BC8" w:rsidRDefault="005A45DC" w:rsidP="004835F8">
      <w:pPr>
        <w:pStyle w:val="NormalPara"/>
        <w:rPr>
          <w:noProof/>
          <w:lang w:val="en-GB"/>
        </w:rPr>
      </w:pPr>
      <w:r w:rsidRPr="00881BC8">
        <w:rPr>
          <w:b/>
          <w:noProof/>
          <w:lang w:val="en-GB"/>
        </w:rPr>
        <w:t>Citizens/consumers</w:t>
      </w:r>
      <w:r w:rsidRPr="00881BC8">
        <w:rPr>
          <w:noProof/>
          <w:lang w:val="en-GB"/>
        </w:rPr>
        <w:t xml:space="preserve"> are not directly affected by this initiative. They may be indirectly affected if the increased cash flow for companies and increased competitiveness lead to </w:t>
      </w:r>
      <w:r w:rsidR="008C36F3" w:rsidRPr="00881BC8">
        <w:rPr>
          <w:noProof/>
          <w:lang w:val="en-GB"/>
        </w:rPr>
        <w:t xml:space="preserve">better choice and </w:t>
      </w:r>
      <w:r w:rsidRPr="00881BC8">
        <w:rPr>
          <w:noProof/>
          <w:lang w:val="en-GB"/>
        </w:rPr>
        <w:t>lower prices</w:t>
      </w:r>
      <w:r w:rsidR="008C36F3" w:rsidRPr="00881BC8">
        <w:rPr>
          <w:noProof/>
          <w:lang w:val="en-GB"/>
        </w:rPr>
        <w:t xml:space="preserve"> for </w:t>
      </w:r>
      <w:r w:rsidR="0009384D" w:rsidRPr="00881BC8">
        <w:rPr>
          <w:noProof/>
          <w:lang w:val="en-GB"/>
        </w:rPr>
        <w:t>consumers</w:t>
      </w:r>
      <w:r w:rsidRPr="00881BC8">
        <w:rPr>
          <w:noProof/>
          <w:lang w:val="en-GB"/>
        </w:rPr>
        <w:t xml:space="preserve"> but this is not a direct focus of this initiative.</w:t>
      </w:r>
    </w:p>
    <w:p w14:paraId="0D75A16B" w14:textId="77777777" w:rsidR="005A45DC" w:rsidRPr="00881BC8" w:rsidRDefault="005A45DC" w:rsidP="004835F8">
      <w:pPr>
        <w:pStyle w:val="AnnexLevel1"/>
        <w:tabs>
          <w:tab w:val="clear" w:pos="1200"/>
        </w:tabs>
        <w:ind w:left="709"/>
        <w:rPr>
          <w:noProof/>
          <w:lang w:val="en-GB"/>
        </w:rPr>
      </w:pPr>
      <w:r w:rsidRPr="00881BC8">
        <w:rPr>
          <w:noProof/>
          <w:lang w:val="en-GB"/>
        </w:rPr>
        <w:t>Summary of costs and benefits</w:t>
      </w:r>
    </w:p>
    <w:tbl>
      <w:tblPr>
        <w:tblStyle w:val="CV121"/>
        <w:tblW w:w="10206" w:type="dxa"/>
        <w:tblInd w:w="-51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512"/>
        <w:gridCol w:w="4043"/>
        <w:gridCol w:w="3651"/>
      </w:tblGrid>
      <w:tr w:rsidR="005A45DC" w:rsidRPr="00881BC8" w14:paraId="3F718B1A" w14:textId="77777777" w:rsidTr="006C696B">
        <w:trPr>
          <w:cantSplit/>
          <w:tblHeader/>
        </w:trPr>
        <w:tc>
          <w:tcPr>
            <w:tcW w:w="10206" w:type="dxa"/>
            <w:gridSpan w:val="3"/>
            <w:tcBorders>
              <w:top w:val="double" w:sz="4" w:space="0" w:color="auto"/>
              <w:bottom w:val="single" w:sz="4" w:space="0" w:color="auto"/>
            </w:tcBorders>
            <w:shd w:val="clear" w:color="auto" w:fill="D5DCE4"/>
          </w:tcPr>
          <w:p w14:paraId="74BE312D" w14:textId="77777777" w:rsidR="005A45DC" w:rsidRPr="00881BC8" w:rsidRDefault="005A45DC" w:rsidP="00040B36">
            <w:pPr>
              <w:spacing w:after="0"/>
              <w:jc w:val="left"/>
              <w:rPr>
                <w:b/>
                <w:noProof/>
                <w:sz w:val="20"/>
                <w:szCs w:val="20"/>
              </w:rPr>
            </w:pPr>
            <w:bookmarkStart w:id="1029" w:name="_Hlk129357123"/>
            <w:r w:rsidRPr="00881BC8">
              <w:rPr>
                <w:b/>
                <w:noProof/>
                <w:sz w:val="20"/>
                <w:szCs w:val="20"/>
              </w:rPr>
              <w:t>I. Overview of Benefits (total for all provisions) – Preferred Option</w:t>
            </w:r>
          </w:p>
        </w:tc>
      </w:tr>
      <w:tr w:rsidR="005A45DC" w:rsidRPr="00881BC8" w14:paraId="66D452CD" w14:textId="77777777" w:rsidTr="006C696B">
        <w:trPr>
          <w:cantSplit/>
          <w:tblHeader/>
        </w:trPr>
        <w:tc>
          <w:tcPr>
            <w:tcW w:w="2512" w:type="dxa"/>
            <w:tcBorders>
              <w:top w:val="single" w:sz="4" w:space="0" w:color="auto"/>
            </w:tcBorders>
            <w:shd w:val="clear" w:color="auto" w:fill="D5DCE4"/>
          </w:tcPr>
          <w:p w14:paraId="01F232C0" w14:textId="77777777" w:rsidR="005A45DC" w:rsidRPr="00881BC8" w:rsidRDefault="005A45DC" w:rsidP="00040B36">
            <w:pPr>
              <w:spacing w:after="0"/>
              <w:jc w:val="center"/>
              <w:rPr>
                <w:b/>
                <w:i/>
                <w:noProof/>
                <w:sz w:val="20"/>
                <w:szCs w:val="20"/>
              </w:rPr>
            </w:pPr>
            <w:r w:rsidRPr="00881BC8">
              <w:rPr>
                <w:b/>
                <w:i/>
                <w:noProof/>
                <w:sz w:val="20"/>
                <w:szCs w:val="20"/>
              </w:rPr>
              <w:t>Description</w:t>
            </w:r>
          </w:p>
        </w:tc>
        <w:tc>
          <w:tcPr>
            <w:tcW w:w="4043" w:type="dxa"/>
            <w:tcBorders>
              <w:top w:val="single" w:sz="4" w:space="0" w:color="auto"/>
            </w:tcBorders>
            <w:shd w:val="clear" w:color="auto" w:fill="D5DCE4"/>
          </w:tcPr>
          <w:p w14:paraId="43919C1C" w14:textId="77777777" w:rsidR="005A45DC" w:rsidRPr="00881BC8" w:rsidRDefault="005A45DC" w:rsidP="00040B36">
            <w:pPr>
              <w:spacing w:after="0"/>
              <w:jc w:val="center"/>
              <w:rPr>
                <w:b/>
                <w:i/>
                <w:noProof/>
                <w:sz w:val="20"/>
                <w:szCs w:val="20"/>
              </w:rPr>
            </w:pPr>
            <w:r w:rsidRPr="00881BC8">
              <w:rPr>
                <w:b/>
                <w:i/>
                <w:noProof/>
                <w:sz w:val="20"/>
                <w:szCs w:val="20"/>
              </w:rPr>
              <w:t>Amount</w:t>
            </w:r>
          </w:p>
        </w:tc>
        <w:tc>
          <w:tcPr>
            <w:tcW w:w="3651" w:type="dxa"/>
            <w:tcBorders>
              <w:top w:val="single" w:sz="4" w:space="0" w:color="auto"/>
            </w:tcBorders>
            <w:shd w:val="clear" w:color="auto" w:fill="D5DCE4"/>
            <w:tcMar>
              <w:top w:w="57" w:type="dxa"/>
              <w:left w:w="57" w:type="dxa"/>
              <w:bottom w:w="57" w:type="dxa"/>
              <w:right w:w="57" w:type="dxa"/>
            </w:tcMar>
          </w:tcPr>
          <w:p w14:paraId="441EA608" w14:textId="77777777" w:rsidR="005A45DC" w:rsidRPr="00881BC8" w:rsidRDefault="005A45DC" w:rsidP="00040B36">
            <w:pPr>
              <w:spacing w:after="0"/>
              <w:jc w:val="center"/>
              <w:rPr>
                <w:b/>
                <w:i/>
                <w:noProof/>
                <w:sz w:val="20"/>
                <w:szCs w:val="20"/>
              </w:rPr>
            </w:pPr>
            <w:r w:rsidRPr="00881BC8">
              <w:rPr>
                <w:b/>
                <w:i/>
                <w:noProof/>
                <w:sz w:val="20"/>
                <w:szCs w:val="20"/>
              </w:rPr>
              <w:t>Comments</w:t>
            </w:r>
          </w:p>
        </w:tc>
      </w:tr>
      <w:tr w:rsidR="005A45DC" w:rsidRPr="00881BC8" w14:paraId="1FE7F76E" w14:textId="77777777" w:rsidTr="006C696B">
        <w:trPr>
          <w:cantSplit/>
        </w:trPr>
        <w:tc>
          <w:tcPr>
            <w:tcW w:w="10206" w:type="dxa"/>
            <w:gridSpan w:val="3"/>
            <w:tcBorders>
              <w:top w:val="double" w:sz="4" w:space="0" w:color="auto"/>
            </w:tcBorders>
            <w:shd w:val="clear" w:color="auto" w:fill="F2F2F2"/>
          </w:tcPr>
          <w:p w14:paraId="7A7970C4" w14:textId="77777777" w:rsidR="005A45DC" w:rsidRPr="00881BC8" w:rsidRDefault="005A45DC" w:rsidP="00040B36">
            <w:pPr>
              <w:spacing w:after="0"/>
              <w:jc w:val="center"/>
              <w:rPr>
                <w:b/>
                <w:i/>
                <w:noProof/>
                <w:sz w:val="20"/>
                <w:szCs w:val="20"/>
              </w:rPr>
            </w:pPr>
            <w:r w:rsidRPr="00881BC8">
              <w:rPr>
                <w:b/>
                <w:i/>
                <w:noProof/>
                <w:sz w:val="20"/>
                <w:szCs w:val="20"/>
              </w:rPr>
              <w:t>Direct benefits</w:t>
            </w:r>
          </w:p>
        </w:tc>
      </w:tr>
      <w:tr w:rsidR="005A45DC" w:rsidRPr="00881BC8" w14:paraId="263AD4BB" w14:textId="77777777" w:rsidTr="006C696B">
        <w:trPr>
          <w:cantSplit/>
        </w:trPr>
        <w:tc>
          <w:tcPr>
            <w:tcW w:w="2512" w:type="dxa"/>
            <w:tcBorders>
              <w:top w:val="double" w:sz="4" w:space="0" w:color="auto"/>
            </w:tcBorders>
          </w:tcPr>
          <w:p w14:paraId="210C03EA" w14:textId="0504A842" w:rsidR="005A45DC" w:rsidRPr="00881BC8" w:rsidRDefault="005A45DC" w:rsidP="00040B36">
            <w:pPr>
              <w:spacing w:after="0"/>
              <w:jc w:val="left"/>
              <w:rPr>
                <w:noProof/>
                <w:sz w:val="20"/>
                <w:szCs w:val="20"/>
              </w:rPr>
            </w:pPr>
            <w:r w:rsidRPr="00881BC8">
              <w:rPr>
                <w:noProof/>
                <w:sz w:val="20"/>
                <w:szCs w:val="20"/>
              </w:rPr>
              <w:t xml:space="preserve">Capping at 30 days in </w:t>
            </w:r>
            <w:r w:rsidR="00687B92" w:rsidRPr="00881BC8">
              <w:rPr>
                <w:noProof/>
                <w:sz w:val="20"/>
                <w:szCs w:val="20"/>
              </w:rPr>
              <w:t>B2B</w:t>
            </w:r>
            <w:r w:rsidRPr="00881BC8">
              <w:rPr>
                <w:noProof/>
                <w:sz w:val="20"/>
                <w:szCs w:val="20"/>
              </w:rPr>
              <w:t xml:space="preserve"> transactions Verification or acceptance</w:t>
            </w:r>
            <w:r w:rsidR="002E552C" w:rsidRPr="00881BC8">
              <w:rPr>
                <w:noProof/>
                <w:sz w:val="20"/>
                <w:szCs w:val="20"/>
              </w:rPr>
              <w:t xml:space="preserve"> </w:t>
            </w:r>
            <w:r w:rsidRPr="00881BC8">
              <w:rPr>
                <w:noProof/>
                <w:sz w:val="20"/>
                <w:szCs w:val="20"/>
              </w:rPr>
              <w:t>procedure capped at 30 days (no derogation)</w:t>
            </w:r>
          </w:p>
        </w:tc>
        <w:tc>
          <w:tcPr>
            <w:tcW w:w="4043" w:type="dxa"/>
            <w:tcBorders>
              <w:top w:val="double" w:sz="4" w:space="0" w:color="auto"/>
            </w:tcBorders>
            <w:tcMar>
              <w:top w:w="57" w:type="dxa"/>
              <w:left w:w="57" w:type="dxa"/>
              <w:bottom w:w="57" w:type="dxa"/>
              <w:right w:w="57" w:type="dxa"/>
            </w:tcMar>
          </w:tcPr>
          <w:p w14:paraId="64FEF063" w14:textId="5CD73EDE" w:rsidR="00725674" w:rsidRPr="00881BC8" w:rsidRDefault="005A45DC" w:rsidP="00040B36">
            <w:pPr>
              <w:spacing w:after="0"/>
              <w:jc w:val="left"/>
              <w:rPr>
                <w:noProof/>
                <w:sz w:val="20"/>
                <w:szCs w:val="20"/>
              </w:rPr>
            </w:pPr>
            <w:r w:rsidRPr="00881BC8">
              <w:rPr>
                <w:noProof/>
                <w:sz w:val="20"/>
                <w:szCs w:val="20"/>
              </w:rPr>
              <w:t xml:space="preserve">Capping payment terms reduces the cost to a company of negotiating payment terms </w:t>
            </w:r>
            <w:r w:rsidR="008615FB" w:rsidRPr="00881BC8">
              <w:rPr>
                <w:noProof/>
                <w:sz w:val="20"/>
                <w:szCs w:val="20"/>
              </w:rPr>
              <w:t xml:space="preserve">(estimated 33% of companies) </w:t>
            </w:r>
            <w:r w:rsidRPr="00881BC8">
              <w:rPr>
                <w:noProof/>
                <w:sz w:val="20"/>
                <w:szCs w:val="20"/>
              </w:rPr>
              <w:t>and/or being forced to accept longer payment terms than they are comfortable with. It will also lead to a</w:t>
            </w:r>
            <w:r w:rsidR="002A1539" w:rsidRPr="00881BC8">
              <w:rPr>
                <w:noProof/>
                <w:sz w:val="20"/>
                <w:szCs w:val="20"/>
              </w:rPr>
              <w:t>n</w:t>
            </w:r>
            <w:r w:rsidRPr="00881BC8">
              <w:rPr>
                <w:noProof/>
                <w:sz w:val="20"/>
                <w:szCs w:val="20"/>
              </w:rPr>
              <w:t xml:space="preserve"> </w:t>
            </w:r>
            <w:r w:rsidR="002A1539" w:rsidRPr="00881BC8">
              <w:rPr>
                <w:noProof/>
                <w:sz w:val="20"/>
                <w:szCs w:val="20"/>
              </w:rPr>
              <w:t xml:space="preserve">estimated 35% </w:t>
            </w:r>
            <w:r w:rsidRPr="00881BC8">
              <w:rPr>
                <w:noProof/>
                <w:sz w:val="20"/>
                <w:szCs w:val="20"/>
              </w:rPr>
              <w:t>reduction in actual payment times when combined with enforcement and sanctions</w:t>
            </w:r>
            <w:r w:rsidR="002A1539" w:rsidRPr="00881BC8">
              <w:rPr>
                <w:noProof/>
                <w:sz w:val="20"/>
                <w:szCs w:val="20"/>
              </w:rPr>
              <w:t xml:space="preserve">, leading to an </w:t>
            </w:r>
            <w:r w:rsidR="00A121A7" w:rsidRPr="00881BC8">
              <w:rPr>
                <w:noProof/>
                <w:sz w:val="20"/>
                <w:szCs w:val="20"/>
              </w:rPr>
              <w:t>EUR </w:t>
            </w:r>
            <w:r w:rsidR="00663E73" w:rsidRPr="00881BC8">
              <w:rPr>
                <w:noProof/>
                <w:sz w:val="20"/>
                <w:szCs w:val="20"/>
              </w:rPr>
              <w:t>8.74</w:t>
            </w:r>
            <w:r w:rsidR="00A121A7" w:rsidRPr="00881BC8">
              <w:rPr>
                <w:noProof/>
                <w:sz w:val="20"/>
                <w:szCs w:val="20"/>
              </w:rPr>
              <w:t xml:space="preserve"> </w:t>
            </w:r>
            <w:r w:rsidR="00663E73" w:rsidRPr="00881BC8">
              <w:rPr>
                <w:noProof/>
                <w:sz w:val="20"/>
                <w:szCs w:val="20"/>
              </w:rPr>
              <w:t>b</w:t>
            </w:r>
            <w:r w:rsidR="00A121A7" w:rsidRPr="00881BC8">
              <w:rPr>
                <w:noProof/>
                <w:sz w:val="20"/>
                <w:szCs w:val="20"/>
              </w:rPr>
              <w:t xml:space="preserve">illion </w:t>
            </w:r>
            <w:r w:rsidR="002A1539" w:rsidRPr="00881BC8">
              <w:rPr>
                <w:noProof/>
                <w:sz w:val="20"/>
                <w:szCs w:val="20"/>
              </w:rPr>
              <w:t xml:space="preserve">cost saving on hassle-costs </w:t>
            </w:r>
            <w:r w:rsidR="00A121A7" w:rsidRPr="00881BC8">
              <w:rPr>
                <w:noProof/>
                <w:sz w:val="20"/>
                <w:szCs w:val="20"/>
              </w:rPr>
              <w:t>for creditors.</w:t>
            </w:r>
            <w:r w:rsidR="00BC31A0" w:rsidRPr="00881BC8">
              <w:rPr>
                <w:noProof/>
                <w:sz w:val="20"/>
                <w:szCs w:val="20"/>
              </w:rPr>
              <w:t xml:space="preserve"> The evidence </w:t>
            </w:r>
            <w:r w:rsidR="002A1539" w:rsidRPr="00881BC8">
              <w:rPr>
                <w:noProof/>
                <w:sz w:val="20"/>
                <w:szCs w:val="20"/>
              </w:rPr>
              <w:t xml:space="preserve">also </w:t>
            </w:r>
            <w:r w:rsidR="00BC31A0" w:rsidRPr="00881BC8">
              <w:rPr>
                <w:noProof/>
                <w:sz w:val="20"/>
                <w:szCs w:val="20"/>
              </w:rPr>
              <w:t>shows that the economic benefits exceed the direct cost for debtors</w:t>
            </w:r>
            <w:r w:rsidR="00B427A7" w:rsidRPr="00881BC8">
              <w:rPr>
                <w:noProof/>
                <w:sz w:val="20"/>
                <w:szCs w:val="20"/>
              </w:rPr>
              <w:t>,</w:t>
            </w:r>
            <w:r w:rsidR="00BC31A0" w:rsidRPr="00881BC8">
              <w:rPr>
                <w:noProof/>
                <w:sz w:val="20"/>
                <w:szCs w:val="20"/>
              </w:rPr>
              <w:t xml:space="preserve"> bringing the overall cost of financing down</w:t>
            </w:r>
            <w:r w:rsidR="00F46313" w:rsidRPr="00881BC8">
              <w:rPr>
                <w:noProof/>
                <w:sz w:val="20"/>
                <w:szCs w:val="20"/>
              </w:rPr>
              <w:t xml:space="preserve"> and better predictability of cash flows.</w:t>
            </w:r>
          </w:p>
        </w:tc>
        <w:tc>
          <w:tcPr>
            <w:tcW w:w="3651" w:type="dxa"/>
            <w:tcBorders>
              <w:top w:val="double" w:sz="4" w:space="0" w:color="auto"/>
            </w:tcBorders>
            <w:tcMar>
              <w:top w:w="57" w:type="dxa"/>
              <w:left w:w="57" w:type="dxa"/>
              <w:bottom w:w="57" w:type="dxa"/>
              <w:right w:w="57" w:type="dxa"/>
            </w:tcMar>
          </w:tcPr>
          <w:p w14:paraId="15832103" w14:textId="77777777" w:rsidR="00725674" w:rsidRPr="00881BC8" w:rsidRDefault="00725674" w:rsidP="00725674">
            <w:pPr>
              <w:spacing w:after="0"/>
              <w:jc w:val="left"/>
              <w:rPr>
                <w:noProof/>
                <w:sz w:val="20"/>
                <w:szCs w:val="20"/>
              </w:rPr>
            </w:pPr>
            <w:r w:rsidRPr="00881BC8">
              <w:rPr>
                <w:noProof/>
                <w:sz w:val="20"/>
                <w:szCs w:val="20"/>
              </w:rPr>
              <w:t>We conservatively assume that a 35% reduction in late payment is realistic by consolidating the reductions in payment delays of 23.4% from PO1, 17.8% from PO2 and 5.5% from PO3.</w:t>
            </w:r>
          </w:p>
          <w:p w14:paraId="3C6D8AC0" w14:textId="77777777" w:rsidR="00B922BF" w:rsidRPr="00881BC8" w:rsidRDefault="00B922BF" w:rsidP="00725674">
            <w:pPr>
              <w:spacing w:after="0"/>
              <w:jc w:val="left"/>
              <w:rPr>
                <w:noProof/>
                <w:sz w:val="20"/>
                <w:szCs w:val="20"/>
              </w:rPr>
            </w:pPr>
          </w:p>
          <w:p w14:paraId="2358F1A4" w14:textId="7DF4BEDC" w:rsidR="00B922BF" w:rsidRPr="00881BC8" w:rsidRDefault="00B922BF" w:rsidP="00725674">
            <w:pPr>
              <w:spacing w:after="0"/>
              <w:jc w:val="left"/>
              <w:rPr>
                <w:noProof/>
                <w:sz w:val="20"/>
                <w:szCs w:val="20"/>
              </w:rPr>
            </w:pPr>
            <w:r w:rsidRPr="00881BC8">
              <w:rPr>
                <w:noProof/>
                <w:sz w:val="20"/>
                <w:szCs w:val="20"/>
              </w:rPr>
              <w:t>The preferred option would lead to an overall expected reduction in late payments with fewer associated costs to the public purse.</w:t>
            </w:r>
          </w:p>
        </w:tc>
      </w:tr>
      <w:tr w:rsidR="005A45DC" w:rsidRPr="00881BC8" w14:paraId="4E945FCA" w14:textId="77777777" w:rsidTr="006C696B">
        <w:trPr>
          <w:cantSplit/>
        </w:trPr>
        <w:tc>
          <w:tcPr>
            <w:tcW w:w="2512" w:type="dxa"/>
            <w:tcBorders>
              <w:bottom w:val="double" w:sz="4" w:space="0" w:color="auto"/>
            </w:tcBorders>
          </w:tcPr>
          <w:p w14:paraId="30A8E820" w14:textId="3A82D2A1" w:rsidR="005A45DC" w:rsidRPr="00881BC8" w:rsidRDefault="005A45DC" w:rsidP="00040B36">
            <w:pPr>
              <w:tabs>
                <w:tab w:val="left" w:pos="170"/>
              </w:tabs>
              <w:spacing w:after="0"/>
              <w:jc w:val="left"/>
              <w:rPr>
                <w:noProof/>
                <w:sz w:val="20"/>
                <w:szCs w:val="20"/>
              </w:rPr>
            </w:pPr>
            <w:r w:rsidRPr="00881BC8">
              <w:rPr>
                <w:noProof/>
                <w:sz w:val="20"/>
                <w:szCs w:val="20"/>
              </w:rPr>
              <w:t xml:space="preserve">MS facilitate availability and access of SMEs to credit management and financial </w:t>
            </w:r>
            <w:r w:rsidR="000D5456" w:rsidRPr="00881BC8">
              <w:rPr>
                <w:noProof/>
                <w:sz w:val="20"/>
                <w:szCs w:val="20"/>
              </w:rPr>
              <w:t xml:space="preserve">/ digital </w:t>
            </w:r>
            <w:r w:rsidRPr="00881BC8">
              <w:rPr>
                <w:noProof/>
                <w:sz w:val="20"/>
                <w:szCs w:val="20"/>
              </w:rPr>
              <w:t>literacy training</w:t>
            </w:r>
          </w:p>
          <w:p w14:paraId="5ADDDF00" w14:textId="77777777" w:rsidR="005A45DC" w:rsidRPr="00881BC8" w:rsidRDefault="005A45DC" w:rsidP="00040B36">
            <w:pPr>
              <w:spacing w:after="0"/>
              <w:jc w:val="left"/>
              <w:rPr>
                <w:noProof/>
                <w:sz w:val="20"/>
                <w:szCs w:val="20"/>
              </w:rPr>
            </w:pPr>
          </w:p>
        </w:tc>
        <w:tc>
          <w:tcPr>
            <w:tcW w:w="4043" w:type="dxa"/>
            <w:tcBorders>
              <w:bottom w:val="double" w:sz="4" w:space="0" w:color="auto"/>
            </w:tcBorders>
            <w:tcMar>
              <w:top w:w="57" w:type="dxa"/>
              <w:left w:w="57" w:type="dxa"/>
              <w:bottom w:w="57" w:type="dxa"/>
              <w:right w:w="57" w:type="dxa"/>
            </w:tcMar>
          </w:tcPr>
          <w:p w14:paraId="0CC0F8DE" w14:textId="49049E16" w:rsidR="005A45DC" w:rsidRPr="00881BC8" w:rsidRDefault="005A45DC" w:rsidP="00040B36">
            <w:pPr>
              <w:spacing w:after="0"/>
              <w:jc w:val="left"/>
              <w:rPr>
                <w:noProof/>
                <w:sz w:val="20"/>
                <w:szCs w:val="20"/>
              </w:rPr>
            </w:pPr>
            <w:r w:rsidRPr="00881BC8">
              <w:rPr>
                <w:noProof/>
                <w:sz w:val="20"/>
                <w:szCs w:val="20"/>
              </w:rPr>
              <w:t>Easier access for SMEs to credit management and financial literacy training</w:t>
            </w:r>
            <w:r w:rsidR="00EC6E00" w:rsidRPr="00881BC8">
              <w:rPr>
                <w:noProof/>
                <w:sz w:val="20"/>
                <w:szCs w:val="20"/>
              </w:rPr>
              <w:t>.</w:t>
            </w:r>
            <w:r w:rsidR="00B939FA" w:rsidRPr="00881BC8">
              <w:rPr>
                <w:rFonts w:eastAsiaTheme="minorHAnsi"/>
                <w:noProof/>
                <w:lang w:eastAsia="en-US"/>
              </w:rPr>
              <w:t xml:space="preserve"> </w:t>
            </w:r>
            <w:r w:rsidR="00B939FA" w:rsidRPr="00881BC8">
              <w:rPr>
                <w:noProof/>
                <w:sz w:val="20"/>
                <w:szCs w:val="20"/>
              </w:rPr>
              <w:t>The value of a company’s participation in financial literacy training is estimated between EUR 200 and EUR 1 800, but the aggregate EU-27 benefit will depend on the choices made by Member States’ public authorities.</w:t>
            </w:r>
          </w:p>
        </w:tc>
        <w:tc>
          <w:tcPr>
            <w:tcW w:w="3651" w:type="dxa"/>
            <w:tcBorders>
              <w:bottom w:val="double" w:sz="4" w:space="0" w:color="auto"/>
            </w:tcBorders>
            <w:tcMar>
              <w:top w:w="57" w:type="dxa"/>
              <w:left w:w="57" w:type="dxa"/>
              <w:bottom w:w="57" w:type="dxa"/>
              <w:right w:w="57" w:type="dxa"/>
            </w:tcMar>
          </w:tcPr>
          <w:p w14:paraId="62180568" w14:textId="77777777" w:rsidR="005A45DC" w:rsidRPr="00881BC8" w:rsidRDefault="005A45DC" w:rsidP="00040B36">
            <w:pPr>
              <w:spacing w:after="0"/>
              <w:jc w:val="left"/>
              <w:rPr>
                <w:noProof/>
                <w:sz w:val="20"/>
                <w:szCs w:val="20"/>
              </w:rPr>
            </w:pPr>
          </w:p>
        </w:tc>
      </w:tr>
      <w:tr w:rsidR="005A45DC" w:rsidRPr="00881BC8" w14:paraId="6D4F4548" w14:textId="77777777" w:rsidTr="006C696B">
        <w:trPr>
          <w:cantSplit/>
        </w:trPr>
        <w:tc>
          <w:tcPr>
            <w:tcW w:w="2512" w:type="dxa"/>
            <w:tcBorders>
              <w:bottom w:val="double" w:sz="4" w:space="0" w:color="auto"/>
            </w:tcBorders>
          </w:tcPr>
          <w:p w14:paraId="2D2BAFA3" w14:textId="010EC20A" w:rsidR="005A45DC" w:rsidRPr="00881BC8" w:rsidRDefault="005A45DC" w:rsidP="00040B36">
            <w:pPr>
              <w:tabs>
                <w:tab w:val="left" w:pos="170"/>
              </w:tabs>
              <w:spacing w:after="0"/>
              <w:jc w:val="left"/>
              <w:rPr>
                <w:b/>
                <w:bCs/>
                <w:noProof/>
                <w:sz w:val="20"/>
                <w:szCs w:val="20"/>
              </w:rPr>
            </w:pPr>
            <w:r w:rsidRPr="00881BC8">
              <w:rPr>
                <w:noProof/>
                <w:sz w:val="20"/>
                <w:szCs w:val="20"/>
              </w:rPr>
              <w:t xml:space="preserve">Making payment of interests </w:t>
            </w:r>
            <w:r w:rsidR="00933F92" w:rsidRPr="00881BC8">
              <w:rPr>
                <w:noProof/>
                <w:sz w:val="20"/>
                <w:szCs w:val="20"/>
              </w:rPr>
              <w:t xml:space="preserve">legally </w:t>
            </w:r>
            <w:r w:rsidRPr="00881BC8">
              <w:rPr>
                <w:noProof/>
                <w:sz w:val="20"/>
                <w:szCs w:val="20"/>
              </w:rPr>
              <w:t>automatic</w:t>
            </w:r>
            <w:r w:rsidRPr="00881BC8">
              <w:rPr>
                <w:b/>
                <w:bCs/>
                <w:noProof/>
                <w:sz w:val="20"/>
                <w:szCs w:val="20"/>
              </w:rPr>
              <w:t xml:space="preserve"> </w:t>
            </w:r>
            <w:r w:rsidRPr="00881BC8">
              <w:rPr>
                <w:noProof/>
                <w:sz w:val="20"/>
                <w:szCs w:val="20"/>
              </w:rPr>
              <w:t xml:space="preserve">(eliminate the concept of </w:t>
            </w:r>
            <w:r w:rsidR="00303DFA" w:rsidRPr="00881BC8">
              <w:rPr>
                <w:noProof/>
                <w:sz w:val="20"/>
                <w:szCs w:val="20"/>
              </w:rPr>
              <w:t>‘</w:t>
            </w:r>
            <w:r w:rsidRPr="00881BC8">
              <w:rPr>
                <w:noProof/>
                <w:sz w:val="20"/>
                <w:szCs w:val="20"/>
              </w:rPr>
              <w:t>entitlement</w:t>
            </w:r>
            <w:r w:rsidR="00303DFA" w:rsidRPr="00881BC8">
              <w:rPr>
                <w:noProof/>
                <w:sz w:val="20"/>
                <w:szCs w:val="20"/>
              </w:rPr>
              <w:t>’</w:t>
            </w:r>
            <w:r w:rsidRPr="00881BC8">
              <w:rPr>
                <w:noProof/>
                <w:sz w:val="20"/>
                <w:szCs w:val="20"/>
              </w:rPr>
              <w:t>)</w:t>
            </w:r>
            <w:r w:rsidR="00933F92" w:rsidRPr="00881BC8">
              <w:rPr>
                <w:b/>
                <w:bCs/>
                <w:noProof/>
                <w:sz w:val="20"/>
                <w:szCs w:val="20"/>
              </w:rPr>
              <w:t>;</w:t>
            </w:r>
          </w:p>
          <w:p w14:paraId="5C121C07" w14:textId="77777777" w:rsidR="00933F92" w:rsidRPr="00881BC8" w:rsidRDefault="00933F92" w:rsidP="00040B36">
            <w:pPr>
              <w:spacing w:after="0"/>
              <w:jc w:val="left"/>
              <w:rPr>
                <w:noProof/>
                <w:sz w:val="20"/>
                <w:szCs w:val="20"/>
              </w:rPr>
            </w:pPr>
          </w:p>
          <w:p w14:paraId="7FFDBF3A" w14:textId="13847891" w:rsidR="005A45DC" w:rsidRPr="00881BC8" w:rsidRDefault="00933F92" w:rsidP="00040B36">
            <w:pPr>
              <w:spacing w:after="0"/>
              <w:jc w:val="left"/>
              <w:rPr>
                <w:noProof/>
                <w:sz w:val="20"/>
                <w:szCs w:val="20"/>
              </w:rPr>
            </w:pPr>
            <w:r w:rsidRPr="00881BC8">
              <w:rPr>
                <w:noProof/>
                <w:sz w:val="20"/>
                <w:szCs w:val="20"/>
              </w:rPr>
              <w:t>Leave the rate of interests for late payment as such (ECB+8%)</w:t>
            </w:r>
          </w:p>
        </w:tc>
        <w:tc>
          <w:tcPr>
            <w:tcW w:w="4043" w:type="dxa"/>
            <w:tcBorders>
              <w:bottom w:val="double" w:sz="4" w:space="0" w:color="auto"/>
            </w:tcBorders>
            <w:tcMar>
              <w:top w:w="57" w:type="dxa"/>
              <w:left w:w="57" w:type="dxa"/>
              <w:bottom w:w="57" w:type="dxa"/>
              <w:right w:w="57" w:type="dxa"/>
            </w:tcMar>
          </w:tcPr>
          <w:p w14:paraId="449E0B0E" w14:textId="4EA02575" w:rsidR="005A45DC" w:rsidRPr="00881BC8" w:rsidRDefault="005A45DC" w:rsidP="00040B36">
            <w:pPr>
              <w:spacing w:after="0"/>
              <w:jc w:val="left"/>
              <w:rPr>
                <w:noProof/>
                <w:sz w:val="20"/>
                <w:szCs w:val="20"/>
              </w:rPr>
            </w:pPr>
            <w:r w:rsidRPr="00881BC8">
              <w:rPr>
                <w:noProof/>
                <w:sz w:val="20"/>
                <w:szCs w:val="20"/>
              </w:rPr>
              <w:t>Increased deterrent to paying late. Reduced costs for companies being paid late by avoiding them having to negotiate on interest. Direct monetary benefits to the creditor that receives interest payment</w:t>
            </w:r>
            <w:r w:rsidR="001A4858" w:rsidRPr="00881BC8">
              <w:rPr>
                <w:noProof/>
                <w:sz w:val="20"/>
                <w:szCs w:val="20"/>
              </w:rPr>
              <w:t xml:space="preserve"> estimated at </w:t>
            </w:r>
            <w:r w:rsidR="005C0B55" w:rsidRPr="00881BC8">
              <w:rPr>
                <w:noProof/>
                <w:sz w:val="20"/>
                <w:szCs w:val="20"/>
              </w:rPr>
              <w:t xml:space="preserve">EUR 265.5 million </w:t>
            </w:r>
            <w:r w:rsidR="003955CD" w:rsidRPr="00881BC8">
              <w:rPr>
                <w:noProof/>
                <w:sz w:val="20"/>
                <w:szCs w:val="20"/>
              </w:rPr>
              <w:t xml:space="preserve">– assumptions in Annex 4 - </w:t>
            </w:r>
            <w:r w:rsidR="005C0B55" w:rsidRPr="00881BC8">
              <w:rPr>
                <w:noProof/>
                <w:sz w:val="20"/>
                <w:szCs w:val="20"/>
              </w:rPr>
              <w:t>reflecting a direct cost to debtors</w:t>
            </w:r>
            <w:r w:rsidR="008A72B4" w:rsidRPr="00881BC8">
              <w:rPr>
                <w:noProof/>
                <w:sz w:val="20"/>
                <w:szCs w:val="20"/>
              </w:rPr>
              <w:t xml:space="preserve"> (redistributive effect between companies in B2B transactions, transfers from public authorities to companies under G2B transactions).</w:t>
            </w:r>
          </w:p>
        </w:tc>
        <w:tc>
          <w:tcPr>
            <w:tcW w:w="3651" w:type="dxa"/>
            <w:tcBorders>
              <w:bottom w:val="double" w:sz="4" w:space="0" w:color="auto"/>
            </w:tcBorders>
            <w:tcMar>
              <w:top w:w="57" w:type="dxa"/>
              <w:left w:w="57" w:type="dxa"/>
              <w:bottom w:w="57" w:type="dxa"/>
              <w:right w:w="57" w:type="dxa"/>
            </w:tcMar>
          </w:tcPr>
          <w:p w14:paraId="7E1B0301" w14:textId="641F2AC5" w:rsidR="005A45DC" w:rsidRPr="00881BC8" w:rsidRDefault="00933F92" w:rsidP="00040B36">
            <w:pPr>
              <w:spacing w:after="0"/>
              <w:jc w:val="left"/>
              <w:rPr>
                <w:noProof/>
                <w:sz w:val="20"/>
                <w:szCs w:val="20"/>
              </w:rPr>
            </w:pPr>
            <w:r w:rsidRPr="00881BC8">
              <w:rPr>
                <w:noProof/>
                <w:sz w:val="20"/>
                <w:szCs w:val="20"/>
              </w:rPr>
              <w:t>Legally a</w:t>
            </w:r>
            <w:r w:rsidR="00BC5F84" w:rsidRPr="00881BC8">
              <w:rPr>
                <w:noProof/>
                <w:sz w:val="20"/>
                <w:szCs w:val="20"/>
              </w:rPr>
              <w:t xml:space="preserve">utomatic payment of </w:t>
            </w:r>
            <w:r w:rsidR="003955CD" w:rsidRPr="00881BC8">
              <w:rPr>
                <w:noProof/>
                <w:sz w:val="20"/>
                <w:szCs w:val="20"/>
              </w:rPr>
              <w:t xml:space="preserve">interest </w:t>
            </w:r>
            <w:r w:rsidR="00BC5F84" w:rsidRPr="00881BC8">
              <w:rPr>
                <w:noProof/>
                <w:sz w:val="20"/>
                <w:szCs w:val="20"/>
              </w:rPr>
              <w:t>compensation represents benefits to creditors and a cost to debtors</w:t>
            </w:r>
            <w:r w:rsidR="007955A9" w:rsidRPr="00881BC8">
              <w:rPr>
                <w:noProof/>
                <w:sz w:val="20"/>
                <w:szCs w:val="20"/>
              </w:rPr>
              <w:t xml:space="preserve"> if invoices are not paid on time.</w:t>
            </w:r>
          </w:p>
        </w:tc>
      </w:tr>
      <w:tr w:rsidR="005A45DC" w:rsidRPr="00881BC8" w14:paraId="72009A60" w14:textId="77777777" w:rsidTr="006C696B">
        <w:trPr>
          <w:cantSplit/>
        </w:trPr>
        <w:tc>
          <w:tcPr>
            <w:tcW w:w="2512" w:type="dxa"/>
            <w:tcBorders>
              <w:bottom w:val="double" w:sz="4" w:space="0" w:color="auto"/>
            </w:tcBorders>
          </w:tcPr>
          <w:p w14:paraId="1521C82E" w14:textId="3E35835C" w:rsidR="005A45DC" w:rsidRPr="00881BC8" w:rsidRDefault="00933F92" w:rsidP="00040B36">
            <w:pPr>
              <w:spacing w:after="0"/>
              <w:jc w:val="left"/>
              <w:rPr>
                <w:noProof/>
                <w:sz w:val="20"/>
                <w:szCs w:val="20"/>
              </w:rPr>
            </w:pPr>
            <w:r w:rsidRPr="00881BC8">
              <w:rPr>
                <w:noProof/>
                <w:sz w:val="20"/>
                <w:szCs w:val="20"/>
              </w:rPr>
              <w:t>A</w:t>
            </w:r>
            <w:r w:rsidR="005A45DC" w:rsidRPr="00881BC8">
              <w:rPr>
                <w:noProof/>
                <w:sz w:val="20"/>
                <w:szCs w:val="20"/>
              </w:rPr>
              <w:t xml:space="preserve">dapt the flat fee compensation to </w:t>
            </w:r>
            <w:r w:rsidR="00EA2306" w:rsidRPr="00881BC8">
              <w:rPr>
                <w:noProof/>
                <w:sz w:val="20"/>
                <w:szCs w:val="20"/>
              </w:rPr>
              <w:t xml:space="preserve">reflect past </w:t>
            </w:r>
            <w:r w:rsidR="005A45DC" w:rsidRPr="00881BC8">
              <w:rPr>
                <w:noProof/>
                <w:sz w:val="20"/>
                <w:szCs w:val="20"/>
              </w:rPr>
              <w:t>inflation</w:t>
            </w:r>
            <w:r w:rsidR="00EA2306" w:rsidRPr="00881BC8">
              <w:rPr>
                <w:noProof/>
                <w:sz w:val="20"/>
                <w:szCs w:val="20"/>
              </w:rPr>
              <w:t xml:space="preserve"> (to the level of EUR 50),</w:t>
            </w:r>
            <w:r w:rsidRPr="00881BC8">
              <w:rPr>
                <w:noProof/>
                <w:sz w:val="20"/>
                <w:szCs w:val="20"/>
              </w:rPr>
              <w:t xml:space="preserve"> and make its payment legally automatic</w:t>
            </w:r>
          </w:p>
        </w:tc>
        <w:tc>
          <w:tcPr>
            <w:tcW w:w="4043" w:type="dxa"/>
            <w:tcBorders>
              <w:bottom w:val="double" w:sz="4" w:space="0" w:color="auto"/>
            </w:tcBorders>
            <w:tcMar>
              <w:top w:w="57" w:type="dxa"/>
              <w:left w:w="57" w:type="dxa"/>
              <w:bottom w:w="57" w:type="dxa"/>
              <w:right w:w="57" w:type="dxa"/>
            </w:tcMar>
          </w:tcPr>
          <w:p w14:paraId="4C094B47" w14:textId="4BF37BF2" w:rsidR="005A45DC" w:rsidRPr="00881BC8" w:rsidRDefault="005A45DC" w:rsidP="00040B36">
            <w:pPr>
              <w:spacing w:after="0"/>
              <w:jc w:val="left"/>
              <w:rPr>
                <w:noProof/>
                <w:sz w:val="20"/>
                <w:szCs w:val="20"/>
              </w:rPr>
            </w:pPr>
            <w:r w:rsidRPr="00881BC8">
              <w:rPr>
                <w:noProof/>
                <w:sz w:val="20"/>
                <w:szCs w:val="20"/>
              </w:rPr>
              <w:t>Increased deterrent to paying late. Direct monetary benefits to the creditor that receives compensation payment</w:t>
            </w:r>
            <w:r w:rsidR="00767C05" w:rsidRPr="00881BC8">
              <w:rPr>
                <w:noProof/>
                <w:sz w:val="20"/>
                <w:szCs w:val="20"/>
              </w:rPr>
              <w:t xml:space="preserve"> estimated at EUR 3.75 billion, reflecting a direct cost to debtors (redistributive effect between companies in B2B transactions, transfers from public authorities to companies under G2B transactions).</w:t>
            </w:r>
          </w:p>
        </w:tc>
        <w:tc>
          <w:tcPr>
            <w:tcW w:w="3651" w:type="dxa"/>
            <w:tcBorders>
              <w:bottom w:val="double" w:sz="4" w:space="0" w:color="auto"/>
            </w:tcBorders>
            <w:tcMar>
              <w:top w:w="57" w:type="dxa"/>
              <w:left w:w="57" w:type="dxa"/>
              <w:bottom w:w="57" w:type="dxa"/>
              <w:right w:w="57" w:type="dxa"/>
            </w:tcMar>
          </w:tcPr>
          <w:p w14:paraId="1B99AFF9" w14:textId="2D8A8B32" w:rsidR="005A45DC" w:rsidRPr="00881BC8" w:rsidRDefault="00933F92" w:rsidP="00040B36">
            <w:pPr>
              <w:spacing w:after="0"/>
              <w:jc w:val="left"/>
              <w:rPr>
                <w:noProof/>
                <w:sz w:val="20"/>
                <w:szCs w:val="20"/>
              </w:rPr>
            </w:pPr>
            <w:r w:rsidRPr="00881BC8">
              <w:rPr>
                <w:noProof/>
                <w:sz w:val="20"/>
                <w:szCs w:val="20"/>
              </w:rPr>
              <w:t>Legally a</w:t>
            </w:r>
            <w:r w:rsidR="00767C05" w:rsidRPr="00881BC8">
              <w:rPr>
                <w:noProof/>
                <w:sz w:val="20"/>
                <w:szCs w:val="20"/>
              </w:rPr>
              <w:t xml:space="preserve">utomatic payment of compensation </w:t>
            </w:r>
            <w:r w:rsidR="003955CD" w:rsidRPr="00881BC8">
              <w:rPr>
                <w:noProof/>
                <w:sz w:val="20"/>
                <w:szCs w:val="20"/>
              </w:rPr>
              <w:t>fee</w:t>
            </w:r>
            <w:r w:rsidR="00F74221" w:rsidRPr="00881BC8">
              <w:rPr>
                <w:noProof/>
                <w:sz w:val="20"/>
                <w:szCs w:val="20"/>
              </w:rPr>
              <w:t>s</w:t>
            </w:r>
            <w:r w:rsidR="003955CD" w:rsidRPr="00881BC8">
              <w:rPr>
                <w:noProof/>
                <w:sz w:val="20"/>
                <w:szCs w:val="20"/>
              </w:rPr>
              <w:t xml:space="preserve"> </w:t>
            </w:r>
            <w:r w:rsidR="00767C05" w:rsidRPr="00881BC8">
              <w:rPr>
                <w:noProof/>
                <w:sz w:val="20"/>
                <w:szCs w:val="20"/>
              </w:rPr>
              <w:t>represents benefits to creditors and a cost to debtors.</w:t>
            </w:r>
          </w:p>
        </w:tc>
      </w:tr>
      <w:tr w:rsidR="005A45DC" w:rsidRPr="00881BC8" w14:paraId="1E9139F7" w14:textId="77777777" w:rsidTr="006C696B">
        <w:trPr>
          <w:cantSplit/>
        </w:trPr>
        <w:tc>
          <w:tcPr>
            <w:tcW w:w="2512" w:type="dxa"/>
            <w:tcBorders>
              <w:bottom w:val="double" w:sz="4" w:space="0" w:color="auto"/>
            </w:tcBorders>
          </w:tcPr>
          <w:p w14:paraId="1C2F5A8D" w14:textId="03B52A9A" w:rsidR="005A45DC" w:rsidRPr="00881BC8" w:rsidRDefault="005A45DC" w:rsidP="00040B36">
            <w:pPr>
              <w:spacing w:after="0"/>
              <w:jc w:val="left"/>
              <w:rPr>
                <w:noProof/>
                <w:sz w:val="20"/>
                <w:szCs w:val="20"/>
              </w:rPr>
            </w:pPr>
            <w:r w:rsidRPr="00881BC8">
              <w:rPr>
                <w:noProof/>
                <w:sz w:val="20"/>
                <w:szCs w:val="20"/>
              </w:rPr>
              <w:t xml:space="preserve">MS to </w:t>
            </w:r>
            <w:r w:rsidR="000028B1" w:rsidRPr="00881BC8">
              <w:rPr>
                <w:noProof/>
                <w:sz w:val="20"/>
                <w:szCs w:val="20"/>
              </w:rPr>
              <w:t xml:space="preserve">designate </w:t>
            </w:r>
            <w:r w:rsidRPr="00881BC8">
              <w:rPr>
                <w:noProof/>
                <w:sz w:val="20"/>
                <w:szCs w:val="20"/>
              </w:rPr>
              <w:t>bodies responsible for the enforcement of the Directive, carrying out investigations ex officio , acting on complaints, and empowered to issue administrative sanctions and publish the name of offenders (</w:t>
            </w:r>
            <w:r w:rsidR="00303DFA" w:rsidRPr="00881BC8">
              <w:rPr>
                <w:noProof/>
                <w:sz w:val="20"/>
                <w:szCs w:val="20"/>
              </w:rPr>
              <w:t>‘</w:t>
            </w:r>
            <w:r w:rsidRPr="00881BC8">
              <w:rPr>
                <w:noProof/>
                <w:sz w:val="20"/>
                <w:szCs w:val="20"/>
              </w:rPr>
              <w:t>name and shame</w:t>
            </w:r>
            <w:r w:rsidR="00303DFA" w:rsidRPr="00881BC8">
              <w:rPr>
                <w:noProof/>
                <w:sz w:val="20"/>
                <w:szCs w:val="20"/>
              </w:rPr>
              <w:t>’</w:t>
            </w:r>
            <w:r w:rsidRPr="00881BC8">
              <w:rPr>
                <w:noProof/>
                <w:sz w:val="20"/>
                <w:szCs w:val="20"/>
              </w:rPr>
              <w:t>)</w:t>
            </w:r>
            <w:r w:rsidR="002E552C" w:rsidRPr="00881BC8">
              <w:rPr>
                <w:noProof/>
                <w:sz w:val="20"/>
                <w:szCs w:val="20"/>
              </w:rPr>
              <w:t xml:space="preserve"> </w:t>
            </w:r>
          </w:p>
          <w:p w14:paraId="5FB1887F" w14:textId="77777777" w:rsidR="005A45DC" w:rsidRPr="00881BC8" w:rsidRDefault="005A45DC" w:rsidP="00040B36">
            <w:pPr>
              <w:spacing w:after="0"/>
              <w:jc w:val="left"/>
              <w:rPr>
                <w:noProof/>
                <w:sz w:val="20"/>
                <w:szCs w:val="20"/>
              </w:rPr>
            </w:pPr>
          </w:p>
        </w:tc>
        <w:tc>
          <w:tcPr>
            <w:tcW w:w="4043" w:type="dxa"/>
            <w:tcBorders>
              <w:bottom w:val="double" w:sz="4" w:space="0" w:color="auto"/>
            </w:tcBorders>
            <w:tcMar>
              <w:top w:w="57" w:type="dxa"/>
              <w:left w:w="57" w:type="dxa"/>
              <w:bottom w:w="57" w:type="dxa"/>
              <w:right w:w="57" w:type="dxa"/>
            </w:tcMar>
          </w:tcPr>
          <w:p w14:paraId="38CE4F99" w14:textId="7EA8ED97" w:rsidR="005A45DC" w:rsidRPr="00881BC8" w:rsidRDefault="005A45DC" w:rsidP="00040B36">
            <w:pPr>
              <w:spacing w:after="0"/>
              <w:jc w:val="left"/>
              <w:rPr>
                <w:noProof/>
                <w:sz w:val="20"/>
                <w:szCs w:val="20"/>
              </w:rPr>
            </w:pPr>
            <w:r w:rsidRPr="00881BC8">
              <w:rPr>
                <w:noProof/>
                <w:sz w:val="20"/>
                <w:szCs w:val="20"/>
              </w:rPr>
              <w:t>Businesses that are paid late have an official body to turn to and to enforce their claim.</w:t>
            </w:r>
            <w:r w:rsidR="00F42661" w:rsidRPr="00881BC8">
              <w:rPr>
                <w:noProof/>
                <w:sz w:val="20"/>
                <w:szCs w:val="20"/>
              </w:rPr>
              <w:t xml:space="preserve"> Strong enforcement is estimated to reduce late payment delays by 17.8%</w:t>
            </w:r>
            <w:r w:rsidR="00F74221" w:rsidRPr="00881BC8">
              <w:rPr>
                <w:noProof/>
                <w:sz w:val="20"/>
                <w:szCs w:val="20"/>
              </w:rPr>
              <w:t xml:space="preserve"> (which is accounted for under the consolidated 35% reduction referred to in line 1 (30-day capping) of this table.</w:t>
            </w:r>
          </w:p>
        </w:tc>
        <w:tc>
          <w:tcPr>
            <w:tcW w:w="3651" w:type="dxa"/>
            <w:tcBorders>
              <w:bottom w:val="double" w:sz="4" w:space="0" w:color="auto"/>
            </w:tcBorders>
            <w:tcMar>
              <w:top w:w="57" w:type="dxa"/>
              <w:left w:w="57" w:type="dxa"/>
              <w:bottom w:w="57" w:type="dxa"/>
              <w:right w:w="57" w:type="dxa"/>
            </w:tcMar>
          </w:tcPr>
          <w:p w14:paraId="5DD063CB" w14:textId="621DB08F" w:rsidR="005A45DC" w:rsidRPr="00881BC8" w:rsidRDefault="002E2960" w:rsidP="00040B36">
            <w:pPr>
              <w:spacing w:after="0"/>
              <w:jc w:val="left"/>
              <w:rPr>
                <w:noProof/>
                <w:sz w:val="20"/>
                <w:szCs w:val="20"/>
              </w:rPr>
            </w:pPr>
            <w:r w:rsidRPr="00881BC8">
              <w:rPr>
                <w:noProof/>
                <w:sz w:val="20"/>
                <w:szCs w:val="20"/>
              </w:rPr>
              <w:t>The administrative fines are estimated at EUR 136.8 million per year</w:t>
            </w:r>
          </w:p>
        </w:tc>
      </w:tr>
      <w:tr w:rsidR="005A45DC" w:rsidRPr="00881BC8" w14:paraId="0A09AD3F" w14:textId="77777777" w:rsidTr="006C696B">
        <w:trPr>
          <w:cantSplit/>
        </w:trPr>
        <w:tc>
          <w:tcPr>
            <w:tcW w:w="2512" w:type="dxa"/>
            <w:tcBorders>
              <w:bottom w:val="double" w:sz="4" w:space="0" w:color="auto"/>
            </w:tcBorders>
          </w:tcPr>
          <w:p w14:paraId="44697CB1" w14:textId="77777777" w:rsidR="005A45DC" w:rsidRPr="00881BC8" w:rsidRDefault="005A45DC" w:rsidP="00040B36">
            <w:pPr>
              <w:spacing w:after="0"/>
              <w:jc w:val="left"/>
              <w:rPr>
                <w:noProof/>
                <w:sz w:val="20"/>
                <w:szCs w:val="20"/>
              </w:rPr>
            </w:pPr>
            <w:r w:rsidRPr="00881BC8">
              <w:rPr>
                <w:noProof/>
                <w:sz w:val="20"/>
                <w:szCs w:val="20"/>
              </w:rPr>
              <w:t xml:space="preserve">Contracting authorities in PP ensure that subcontractors are paid for all </w:t>
            </w:r>
            <w:r w:rsidRPr="00881BC8">
              <w:rPr>
                <w:i/>
                <w:iCs/>
                <w:noProof/>
                <w:sz w:val="20"/>
                <w:szCs w:val="20"/>
              </w:rPr>
              <w:t>public work contracts</w:t>
            </w:r>
          </w:p>
        </w:tc>
        <w:tc>
          <w:tcPr>
            <w:tcW w:w="4043" w:type="dxa"/>
            <w:tcBorders>
              <w:bottom w:val="double" w:sz="4" w:space="0" w:color="auto"/>
            </w:tcBorders>
            <w:tcMar>
              <w:top w:w="57" w:type="dxa"/>
              <w:left w:w="57" w:type="dxa"/>
              <w:bottom w:w="57" w:type="dxa"/>
              <w:right w:w="57" w:type="dxa"/>
            </w:tcMar>
          </w:tcPr>
          <w:p w14:paraId="1DE1627A" w14:textId="5AFF9E2E" w:rsidR="005A45DC" w:rsidRPr="00881BC8" w:rsidRDefault="005A45DC" w:rsidP="00040B36">
            <w:pPr>
              <w:spacing w:after="0"/>
              <w:jc w:val="left"/>
              <w:rPr>
                <w:noProof/>
                <w:sz w:val="20"/>
                <w:szCs w:val="20"/>
              </w:rPr>
            </w:pPr>
            <w:r w:rsidRPr="00881BC8">
              <w:rPr>
                <w:noProof/>
                <w:sz w:val="20"/>
                <w:szCs w:val="20"/>
              </w:rPr>
              <w:t xml:space="preserve">Public </w:t>
            </w:r>
            <w:r w:rsidR="00BE747E" w:rsidRPr="00881BC8">
              <w:rPr>
                <w:noProof/>
                <w:sz w:val="20"/>
                <w:szCs w:val="20"/>
              </w:rPr>
              <w:t xml:space="preserve">authorities procuring goods or services through public </w:t>
            </w:r>
            <w:r w:rsidRPr="00881BC8">
              <w:rPr>
                <w:noProof/>
                <w:sz w:val="20"/>
                <w:szCs w:val="20"/>
              </w:rPr>
              <w:t>work contracts lead by example</w:t>
            </w:r>
            <w:r w:rsidR="0067154A" w:rsidRPr="00881BC8">
              <w:rPr>
                <w:noProof/>
                <w:sz w:val="20"/>
                <w:szCs w:val="20"/>
              </w:rPr>
              <w:t xml:space="preserve"> and </w:t>
            </w:r>
            <w:r w:rsidR="00AF7097">
              <w:rPr>
                <w:noProof/>
                <w:sz w:val="20"/>
                <w:szCs w:val="20"/>
              </w:rPr>
              <w:t>verify that payment to the main contractor has been passed onto the subcontractors</w:t>
            </w:r>
            <w:r w:rsidR="0067154A" w:rsidRPr="00881BC8">
              <w:rPr>
                <w:noProof/>
                <w:sz w:val="20"/>
                <w:szCs w:val="20"/>
              </w:rPr>
              <w:t xml:space="preserve">. </w:t>
            </w:r>
            <w:r w:rsidRPr="00881BC8">
              <w:rPr>
                <w:noProof/>
                <w:sz w:val="20"/>
                <w:szCs w:val="20"/>
              </w:rPr>
              <w:t xml:space="preserve">Companies working for public work contractors on subcontracts </w:t>
            </w:r>
            <w:r w:rsidR="0094480F" w:rsidRPr="00881BC8">
              <w:rPr>
                <w:noProof/>
                <w:sz w:val="20"/>
                <w:szCs w:val="20"/>
              </w:rPr>
              <w:t xml:space="preserve">(Tier 2 subcontractors) </w:t>
            </w:r>
            <w:r w:rsidRPr="00881BC8">
              <w:rPr>
                <w:noProof/>
                <w:sz w:val="20"/>
                <w:szCs w:val="20"/>
              </w:rPr>
              <w:t>have additional guarantees to be paid on time.</w:t>
            </w:r>
            <w:r w:rsidR="00F42661" w:rsidRPr="00881BC8">
              <w:rPr>
                <w:noProof/>
                <w:sz w:val="20"/>
                <w:szCs w:val="20"/>
              </w:rPr>
              <w:t xml:space="preserve"> Prompt payments to subcontractors in public works contracts could unblock up to EUR 31 million of payments a year.</w:t>
            </w:r>
          </w:p>
        </w:tc>
        <w:tc>
          <w:tcPr>
            <w:tcW w:w="3651" w:type="dxa"/>
            <w:tcBorders>
              <w:bottom w:val="double" w:sz="4" w:space="0" w:color="auto"/>
            </w:tcBorders>
            <w:tcMar>
              <w:top w:w="57" w:type="dxa"/>
              <w:left w:w="57" w:type="dxa"/>
              <w:bottom w:w="57" w:type="dxa"/>
              <w:right w:w="57" w:type="dxa"/>
            </w:tcMar>
          </w:tcPr>
          <w:p w14:paraId="6A8BA36E" w14:textId="20ABC4DC" w:rsidR="005A45DC" w:rsidRPr="00881BC8" w:rsidRDefault="005A45DC" w:rsidP="00040B36">
            <w:pPr>
              <w:spacing w:after="0"/>
              <w:jc w:val="left"/>
              <w:rPr>
                <w:noProof/>
                <w:sz w:val="20"/>
                <w:szCs w:val="20"/>
              </w:rPr>
            </w:pPr>
          </w:p>
        </w:tc>
      </w:tr>
      <w:tr w:rsidR="005A45DC" w:rsidRPr="00881BC8" w14:paraId="7DC62D93" w14:textId="77777777" w:rsidTr="006C696B">
        <w:trPr>
          <w:cantSplit/>
        </w:trPr>
        <w:tc>
          <w:tcPr>
            <w:tcW w:w="2512" w:type="dxa"/>
            <w:tcBorders>
              <w:bottom w:val="double" w:sz="4" w:space="0" w:color="auto"/>
            </w:tcBorders>
          </w:tcPr>
          <w:p w14:paraId="19C25B26" w14:textId="77777777" w:rsidR="005A45DC" w:rsidRPr="00881BC8" w:rsidRDefault="005A45DC" w:rsidP="00040B36">
            <w:pPr>
              <w:tabs>
                <w:tab w:val="left" w:pos="170"/>
              </w:tabs>
              <w:spacing w:after="0"/>
              <w:jc w:val="left"/>
              <w:rPr>
                <w:noProof/>
                <w:sz w:val="20"/>
                <w:szCs w:val="20"/>
              </w:rPr>
            </w:pPr>
            <w:r w:rsidRPr="00881BC8">
              <w:rPr>
                <w:noProof/>
                <w:sz w:val="20"/>
                <w:szCs w:val="20"/>
              </w:rPr>
              <w:t xml:space="preserve">MS to set up a national system of mediation </w:t>
            </w:r>
          </w:p>
          <w:p w14:paraId="502F78ED" w14:textId="77777777" w:rsidR="005A45DC" w:rsidRPr="00881BC8" w:rsidRDefault="005A45DC" w:rsidP="00040B36">
            <w:pPr>
              <w:spacing w:after="0"/>
              <w:jc w:val="left"/>
              <w:rPr>
                <w:noProof/>
                <w:sz w:val="20"/>
                <w:szCs w:val="20"/>
              </w:rPr>
            </w:pPr>
          </w:p>
        </w:tc>
        <w:tc>
          <w:tcPr>
            <w:tcW w:w="4043" w:type="dxa"/>
            <w:tcBorders>
              <w:bottom w:val="double" w:sz="4" w:space="0" w:color="auto"/>
            </w:tcBorders>
            <w:tcMar>
              <w:top w:w="57" w:type="dxa"/>
              <w:left w:w="57" w:type="dxa"/>
              <w:bottom w:w="57" w:type="dxa"/>
              <w:right w:w="57" w:type="dxa"/>
            </w:tcMar>
          </w:tcPr>
          <w:p w14:paraId="483EF7CF" w14:textId="0486FC45" w:rsidR="005A45DC" w:rsidRPr="00881BC8" w:rsidRDefault="005A45DC" w:rsidP="00040B36">
            <w:pPr>
              <w:spacing w:after="0"/>
              <w:jc w:val="left"/>
              <w:rPr>
                <w:noProof/>
                <w:sz w:val="20"/>
                <w:szCs w:val="20"/>
              </w:rPr>
            </w:pPr>
            <w:r w:rsidRPr="00881BC8">
              <w:rPr>
                <w:noProof/>
                <w:sz w:val="20"/>
                <w:szCs w:val="20"/>
              </w:rPr>
              <w:t xml:space="preserve">Reduced hassle and litigation costs on the </w:t>
            </w:r>
            <w:r w:rsidR="00E8445C" w:rsidRPr="00881BC8">
              <w:rPr>
                <w:noProof/>
                <w:sz w:val="20"/>
                <w:szCs w:val="20"/>
              </w:rPr>
              <w:t xml:space="preserve">creditor </w:t>
            </w:r>
            <w:r w:rsidRPr="00881BC8">
              <w:rPr>
                <w:noProof/>
                <w:sz w:val="20"/>
                <w:szCs w:val="20"/>
              </w:rPr>
              <w:t>when enforcing the payment and associated fees and interests. Avoided court cases</w:t>
            </w:r>
            <w:r w:rsidR="003D7B49" w:rsidRPr="00881BC8">
              <w:rPr>
                <w:noProof/>
                <w:sz w:val="20"/>
                <w:szCs w:val="20"/>
              </w:rPr>
              <w:t xml:space="preserve"> and relief on the judicial system.</w:t>
            </w:r>
            <w:r w:rsidR="00E8445C" w:rsidRPr="00881BC8">
              <w:rPr>
                <w:noProof/>
                <w:sz w:val="20"/>
                <w:szCs w:val="20"/>
              </w:rPr>
              <w:t xml:space="preserve"> Benefit </w:t>
            </w:r>
            <w:r w:rsidR="003D7B49" w:rsidRPr="00881BC8">
              <w:rPr>
                <w:noProof/>
                <w:sz w:val="20"/>
                <w:szCs w:val="20"/>
              </w:rPr>
              <w:t xml:space="preserve">is </w:t>
            </w:r>
            <w:r w:rsidR="00E8445C" w:rsidRPr="00881BC8">
              <w:rPr>
                <w:noProof/>
                <w:sz w:val="20"/>
                <w:szCs w:val="20"/>
              </w:rPr>
              <w:t>estimated as EUR 27 million</w:t>
            </w:r>
            <w:r w:rsidR="002E08A6" w:rsidRPr="00881BC8">
              <w:rPr>
                <w:noProof/>
                <w:sz w:val="20"/>
                <w:szCs w:val="20"/>
              </w:rPr>
              <w:t xml:space="preserve"> </w:t>
            </w:r>
            <w:r w:rsidR="00386EEE" w:rsidRPr="00881BC8">
              <w:rPr>
                <w:noProof/>
                <w:sz w:val="20"/>
                <w:szCs w:val="20"/>
              </w:rPr>
              <w:t xml:space="preserve">in avoided court cases </w:t>
            </w:r>
            <w:r w:rsidR="002E08A6" w:rsidRPr="00881BC8">
              <w:rPr>
                <w:noProof/>
                <w:sz w:val="20"/>
                <w:szCs w:val="20"/>
              </w:rPr>
              <w:t xml:space="preserve">and a 5.5% reduction in payment delays contributing to the consolidated reduction of 35%, referred to in line 1 (30-day capping) of this table. </w:t>
            </w:r>
            <w:r w:rsidR="00297F61" w:rsidRPr="00881BC8">
              <w:rPr>
                <w:noProof/>
                <w:sz w:val="20"/>
                <w:szCs w:val="20"/>
              </w:rPr>
              <w:t>Public authorities would also benefit, both directly and indirectly</w:t>
            </w:r>
            <w:r w:rsidR="00B922BF" w:rsidRPr="00881BC8">
              <w:rPr>
                <w:noProof/>
                <w:sz w:val="20"/>
                <w:szCs w:val="20"/>
              </w:rPr>
              <w:t xml:space="preserve"> (see below)</w:t>
            </w:r>
            <w:r w:rsidR="00297F61" w:rsidRPr="00881BC8">
              <w:rPr>
                <w:noProof/>
                <w:sz w:val="20"/>
                <w:szCs w:val="20"/>
              </w:rPr>
              <w:t>.</w:t>
            </w:r>
          </w:p>
        </w:tc>
        <w:tc>
          <w:tcPr>
            <w:tcW w:w="3651" w:type="dxa"/>
            <w:tcBorders>
              <w:bottom w:val="double" w:sz="4" w:space="0" w:color="auto"/>
            </w:tcBorders>
            <w:tcMar>
              <w:top w:w="57" w:type="dxa"/>
              <w:left w:w="57" w:type="dxa"/>
              <w:bottom w:w="57" w:type="dxa"/>
              <w:right w:w="57" w:type="dxa"/>
            </w:tcMar>
          </w:tcPr>
          <w:p w14:paraId="32B5A6A1" w14:textId="77777777" w:rsidR="005A45DC" w:rsidRPr="00881BC8" w:rsidRDefault="005A45DC" w:rsidP="00040B36">
            <w:pPr>
              <w:spacing w:after="0"/>
              <w:jc w:val="left"/>
              <w:rPr>
                <w:noProof/>
                <w:sz w:val="20"/>
                <w:szCs w:val="20"/>
              </w:rPr>
            </w:pPr>
          </w:p>
        </w:tc>
      </w:tr>
      <w:tr w:rsidR="005A45DC" w:rsidRPr="00881BC8" w14:paraId="151025BC" w14:textId="77777777" w:rsidTr="006C696B">
        <w:trPr>
          <w:cantSplit/>
        </w:trPr>
        <w:tc>
          <w:tcPr>
            <w:tcW w:w="10206" w:type="dxa"/>
            <w:gridSpan w:val="3"/>
            <w:shd w:val="clear" w:color="auto" w:fill="F2F2F2"/>
          </w:tcPr>
          <w:p w14:paraId="754938AC" w14:textId="77777777" w:rsidR="005A45DC" w:rsidRPr="00881BC8" w:rsidRDefault="005A45DC" w:rsidP="00040B36">
            <w:pPr>
              <w:spacing w:after="0"/>
              <w:jc w:val="center"/>
              <w:rPr>
                <w:b/>
                <w:i/>
                <w:noProof/>
                <w:sz w:val="20"/>
                <w:szCs w:val="20"/>
              </w:rPr>
            </w:pPr>
            <w:r w:rsidRPr="00881BC8">
              <w:rPr>
                <w:b/>
                <w:i/>
                <w:noProof/>
                <w:sz w:val="20"/>
                <w:szCs w:val="20"/>
              </w:rPr>
              <w:t>Indirect benefits</w:t>
            </w:r>
          </w:p>
        </w:tc>
      </w:tr>
      <w:tr w:rsidR="005A45DC" w:rsidRPr="00881BC8" w14:paraId="6F319145" w14:textId="77777777" w:rsidTr="006C696B">
        <w:trPr>
          <w:cantSplit/>
        </w:trPr>
        <w:tc>
          <w:tcPr>
            <w:tcW w:w="2512" w:type="dxa"/>
            <w:tcBorders>
              <w:top w:val="double" w:sz="4" w:space="0" w:color="auto"/>
            </w:tcBorders>
          </w:tcPr>
          <w:p w14:paraId="5DBBC493" w14:textId="11AAC176" w:rsidR="006612D5" w:rsidRPr="00881BC8" w:rsidRDefault="006612D5" w:rsidP="006612D5">
            <w:pPr>
              <w:spacing w:after="0"/>
              <w:jc w:val="left"/>
              <w:rPr>
                <w:noProof/>
                <w:sz w:val="20"/>
                <w:szCs w:val="20"/>
              </w:rPr>
            </w:pPr>
            <w:r w:rsidRPr="00881BC8">
              <w:rPr>
                <w:noProof/>
                <w:sz w:val="20"/>
                <w:szCs w:val="20"/>
              </w:rPr>
              <w:t xml:space="preserve">MS to </w:t>
            </w:r>
            <w:r w:rsidR="000028B1" w:rsidRPr="00881BC8">
              <w:rPr>
                <w:noProof/>
                <w:sz w:val="20"/>
                <w:szCs w:val="20"/>
              </w:rPr>
              <w:t>designate</w:t>
            </w:r>
            <w:r w:rsidRPr="00881BC8">
              <w:rPr>
                <w:noProof/>
                <w:sz w:val="20"/>
                <w:szCs w:val="20"/>
              </w:rPr>
              <w:t xml:space="preserve"> bodies responsible for the enforcement of the Directive, carrying out investigations ex officio, acting on complaints, and empowered to issue administrative sanctions and publish the name of offenders (‘name and shame’)</w:t>
            </w:r>
            <w:r w:rsidR="000B34B4" w:rsidRPr="00881BC8">
              <w:rPr>
                <w:noProof/>
                <w:sz w:val="20"/>
                <w:szCs w:val="20"/>
              </w:rPr>
              <w:t>.</w:t>
            </w:r>
          </w:p>
          <w:p w14:paraId="27844B88" w14:textId="77777777" w:rsidR="005A45DC" w:rsidRPr="00881BC8" w:rsidRDefault="005A45DC" w:rsidP="00040B36">
            <w:pPr>
              <w:spacing w:after="0"/>
              <w:jc w:val="left"/>
              <w:rPr>
                <w:noProof/>
                <w:sz w:val="20"/>
                <w:szCs w:val="20"/>
              </w:rPr>
            </w:pPr>
          </w:p>
        </w:tc>
        <w:tc>
          <w:tcPr>
            <w:tcW w:w="4043" w:type="dxa"/>
            <w:tcBorders>
              <w:top w:val="double" w:sz="4" w:space="0" w:color="auto"/>
            </w:tcBorders>
            <w:tcMar>
              <w:top w:w="57" w:type="dxa"/>
              <w:left w:w="57" w:type="dxa"/>
              <w:bottom w:w="57" w:type="dxa"/>
              <w:right w:w="57" w:type="dxa"/>
            </w:tcMar>
          </w:tcPr>
          <w:p w14:paraId="195256A8" w14:textId="2E8078E5" w:rsidR="005A45DC" w:rsidRPr="00881BC8" w:rsidRDefault="006612D5" w:rsidP="00040B36">
            <w:pPr>
              <w:spacing w:after="0"/>
              <w:jc w:val="left"/>
              <w:rPr>
                <w:noProof/>
                <w:sz w:val="20"/>
                <w:szCs w:val="20"/>
              </w:rPr>
            </w:pPr>
            <w:r w:rsidRPr="00881BC8">
              <w:rPr>
                <w:noProof/>
                <w:sz w:val="20"/>
                <w:szCs w:val="20"/>
              </w:rPr>
              <w:t xml:space="preserve">An indirect benefit stems from the overall </w:t>
            </w:r>
            <w:r w:rsidR="00EF66A2" w:rsidRPr="00881BC8">
              <w:rPr>
                <w:noProof/>
                <w:sz w:val="20"/>
                <w:szCs w:val="20"/>
              </w:rPr>
              <w:t>increased fairness of business relations and strengthened sustainable competitiveness</w:t>
            </w:r>
            <w:r w:rsidR="00092A4C" w:rsidRPr="00881BC8">
              <w:rPr>
                <w:noProof/>
                <w:sz w:val="20"/>
                <w:szCs w:val="20"/>
              </w:rPr>
              <w:t>,</w:t>
            </w:r>
            <w:r w:rsidR="00EF66A2" w:rsidRPr="00881BC8">
              <w:rPr>
                <w:noProof/>
                <w:sz w:val="20"/>
                <w:szCs w:val="20"/>
              </w:rPr>
              <w:t xml:space="preserve"> achieved thanks to </w:t>
            </w:r>
            <w:r w:rsidRPr="00881BC8">
              <w:rPr>
                <w:noProof/>
                <w:sz w:val="20"/>
                <w:szCs w:val="20"/>
              </w:rPr>
              <w:t xml:space="preserve">expected </w:t>
            </w:r>
            <w:r w:rsidR="00092A4C" w:rsidRPr="00881BC8">
              <w:rPr>
                <w:noProof/>
                <w:sz w:val="20"/>
                <w:szCs w:val="20"/>
              </w:rPr>
              <w:t xml:space="preserve">35% </w:t>
            </w:r>
            <w:r w:rsidRPr="00881BC8">
              <w:rPr>
                <w:noProof/>
                <w:sz w:val="20"/>
                <w:szCs w:val="20"/>
              </w:rPr>
              <w:t>reduction in late payments, which means fewer bankruptcies, lay-offs and associated costs to the public purse.</w:t>
            </w:r>
          </w:p>
        </w:tc>
        <w:tc>
          <w:tcPr>
            <w:tcW w:w="3651" w:type="dxa"/>
            <w:tcBorders>
              <w:top w:val="double" w:sz="4" w:space="0" w:color="auto"/>
            </w:tcBorders>
            <w:tcMar>
              <w:top w:w="57" w:type="dxa"/>
              <w:left w:w="57" w:type="dxa"/>
              <w:bottom w:w="57" w:type="dxa"/>
              <w:right w:w="57" w:type="dxa"/>
            </w:tcMar>
          </w:tcPr>
          <w:p w14:paraId="06D331FE" w14:textId="77777777" w:rsidR="005A45DC" w:rsidRPr="00881BC8" w:rsidRDefault="005A45DC" w:rsidP="00040B36">
            <w:pPr>
              <w:spacing w:after="0"/>
              <w:jc w:val="left"/>
              <w:rPr>
                <w:noProof/>
                <w:sz w:val="20"/>
                <w:szCs w:val="20"/>
              </w:rPr>
            </w:pPr>
          </w:p>
        </w:tc>
      </w:tr>
      <w:tr w:rsidR="005A45DC" w:rsidRPr="00881BC8" w14:paraId="6E63ED2A" w14:textId="77777777" w:rsidTr="006C696B">
        <w:trPr>
          <w:cantSplit/>
        </w:trPr>
        <w:tc>
          <w:tcPr>
            <w:tcW w:w="10206" w:type="dxa"/>
            <w:gridSpan w:val="3"/>
            <w:tcBorders>
              <w:top w:val="double" w:sz="4" w:space="0" w:color="auto"/>
              <w:bottom w:val="double" w:sz="4" w:space="0" w:color="auto"/>
            </w:tcBorders>
            <w:shd w:val="clear" w:color="auto" w:fill="F2F2F2"/>
          </w:tcPr>
          <w:p w14:paraId="3C2EE715" w14:textId="77777777" w:rsidR="005A45DC" w:rsidRPr="00881BC8" w:rsidRDefault="005A45DC" w:rsidP="00040B36">
            <w:pPr>
              <w:spacing w:after="0"/>
              <w:jc w:val="center"/>
              <w:rPr>
                <w:b/>
                <w:i/>
                <w:noProof/>
                <w:sz w:val="20"/>
                <w:szCs w:val="20"/>
              </w:rPr>
            </w:pPr>
            <w:r w:rsidRPr="00881BC8">
              <w:rPr>
                <w:b/>
                <w:i/>
                <w:noProof/>
                <w:sz w:val="20"/>
                <w:szCs w:val="20"/>
              </w:rPr>
              <w:t>Administrative cost savings related to the ‘one in, one out’ approach*</w:t>
            </w:r>
          </w:p>
        </w:tc>
      </w:tr>
      <w:tr w:rsidR="005A45DC" w:rsidRPr="00881BC8" w14:paraId="09681FBC" w14:textId="77777777" w:rsidTr="006C696B">
        <w:trPr>
          <w:cantSplit/>
        </w:trPr>
        <w:tc>
          <w:tcPr>
            <w:tcW w:w="2512" w:type="dxa"/>
            <w:tcBorders>
              <w:top w:val="double" w:sz="4" w:space="0" w:color="auto"/>
            </w:tcBorders>
          </w:tcPr>
          <w:p w14:paraId="0A8E4A9D" w14:textId="77777777" w:rsidR="005A45DC" w:rsidRPr="00881BC8" w:rsidRDefault="005A45DC" w:rsidP="00040B36">
            <w:pPr>
              <w:spacing w:after="0"/>
              <w:jc w:val="left"/>
              <w:rPr>
                <w:noProof/>
                <w:sz w:val="20"/>
                <w:szCs w:val="20"/>
              </w:rPr>
            </w:pPr>
            <w:r w:rsidRPr="00881BC8">
              <w:rPr>
                <w:noProof/>
                <w:sz w:val="20"/>
                <w:szCs w:val="20"/>
              </w:rPr>
              <w:t>(direct/indirect)</w:t>
            </w:r>
          </w:p>
        </w:tc>
        <w:tc>
          <w:tcPr>
            <w:tcW w:w="4043" w:type="dxa"/>
            <w:tcBorders>
              <w:top w:val="double" w:sz="4" w:space="0" w:color="auto"/>
            </w:tcBorders>
            <w:tcMar>
              <w:top w:w="57" w:type="dxa"/>
              <w:left w:w="57" w:type="dxa"/>
              <w:bottom w:w="57" w:type="dxa"/>
              <w:right w:w="57" w:type="dxa"/>
            </w:tcMar>
          </w:tcPr>
          <w:p w14:paraId="0FD1214F" w14:textId="77777777" w:rsidR="005A45DC" w:rsidRPr="00881BC8" w:rsidRDefault="005A45DC" w:rsidP="00040B36">
            <w:pPr>
              <w:spacing w:after="0"/>
              <w:jc w:val="left"/>
              <w:rPr>
                <w:noProof/>
                <w:sz w:val="20"/>
                <w:szCs w:val="20"/>
              </w:rPr>
            </w:pPr>
          </w:p>
        </w:tc>
        <w:tc>
          <w:tcPr>
            <w:tcW w:w="3651" w:type="dxa"/>
            <w:tcBorders>
              <w:top w:val="double" w:sz="4" w:space="0" w:color="auto"/>
            </w:tcBorders>
            <w:tcMar>
              <w:top w:w="57" w:type="dxa"/>
              <w:left w:w="57" w:type="dxa"/>
              <w:bottom w:w="57" w:type="dxa"/>
              <w:right w:w="57" w:type="dxa"/>
            </w:tcMar>
          </w:tcPr>
          <w:p w14:paraId="64F796FC" w14:textId="77777777" w:rsidR="005A45DC" w:rsidRPr="00881BC8" w:rsidRDefault="005A45DC" w:rsidP="00040B36">
            <w:pPr>
              <w:spacing w:after="0"/>
              <w:jc w:val="left"/>
              <w:rPr>
                <w:noProof/>
                <w:sz w:val="20"/>
                <w:szCs w:val="20"/>
              </w:rPr>
            </w:pPr>
          </w:p>
        </w:tc>
      </w:tr>
      <w:bookmarkEnd w:id="1029"/>
    </w:tbl>
    <w:p w14:paraId="3BFED2A7" w14:textId="77777777" w:rsidR="005A45DC" w:rsidRPr="00881BC8" w:rsidRDefault="005A45DC" w:rsidP="005A45DC">
      <w:pPr>
        <w:pStyle w:val="Text1"/>
        <w:ind w:left="0"/>
        <w:rPr>
          <w:noProof/>
        </w:rPr>
      </w:pPr>
    </w:p>
    <w:p w14:paraId="7E4E70C7" w14:textId="77777777" w:rsidR="005A45DC" w:rsidRPr="00881BC8" w:rsidRDefault="005A45DC" w:rsidP="005A45DC">
      <w:pPr>
        <w:rPr>
          <w:i/>
          <w:noProof/>
          <w:sz w:val="20"/>
        </w:rPr>
      </w:pPr>
      <w:r w:rsidRPr="00881BC8">
        <w:rPr>
          <w:i/>
          <w:noProof/>
          <w:sz w:val="20"/>
        </w:rPr>
        <w:t xml:space="preserve">(1) Estimates are gross values relative to the baseline for the preferred option as a whole (i.e. the impact of individual actions/obligations of the </w:t>
      </w:r>
      <w:r w:rsidRPr="00881BC8">
        <w:rPr>
          <w:i/>
          <w:noProof/>
          <w:sz w:val="20"/>
          <w:u w:val="single"/>
        </w:rPr>
        <w:t>preferred</w:t>
      </w:r>
      <w:r w:rsidRPr="00881BC8">
        <w:rPr>
          <w:i/>
          <w:noProof/>
          <w:sz w:val="20"/>
        </w:rPr>
        <w:t xml:space="preserve"> option are aggregated together); (2) Please indicate which stakeholder group is the main recipient of the benefit in the comment section;(3) For reductions in regulatory costs, please describe details as to how the saving arises (e.g. reductions in adjustment costs, administrative costs, regulatory charges, enforcement costs, etc.;); (4) Cost savings related to the ’one in, one out’ approach are detailed in Tool #58 and #59 of the ‘better regulation’ toolbox. * if relevant</w:t>
      </w:r>
    </w:p>
    <w:tbl>
      <w:tblPr>
        <w:tblStyle w:val="CV111"/>
        <w:tblW w:w="10206" w:type="dxa"/>
        <w:tblInd w:w="-51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204"/>
        <w:gridCol w:w="1343"/>
        <w:gridCol w:w="925"/>
        <w:gridCol w:w="851"/>
        <w:gridCol w:w="1417"/>
        <w:gridCol w:w="1559"/>
        <w:gridCol w:w="1418"/>
        <w:gridCol w:w="1489"/>
      </w:tblGrid>
      <w:tr w:rsidR="005A45DC" w:rsidRPr="00881BC8" w14:paraId="79E38B16" w14:textId="77777777" w:rsidTr="006C696B">
        <w:trPr>
          <w:cantSplit/>
          <w:tblHeader/>
        </w:trPr>
        <w:tc>
          <w:tcPr>
            <w:tcW w:w="10206" w:type="dxa"/>
            <w:gridSpan w:val="8"/>
            <w:shd w:val="clear" w:color="auto" w:fill="D5DCE4"/>
            <w:tcMar>
              <w:top w:w="57" w:type="dxa"/>
              <w:left w:w="57" w:type="dxa"/>
              <w:bottom w:w="57" w:type="dxa"/>
              <w:right w:w="57" w:type="dxa"/>
            </w:tcMar>
          </w:tcPr>
          <w:p w14:paraId="22498798" w14:textId="77777777" w:rsidR="005A45DC" w:rsidRPr="00881BC8" w:rsidRDefault="005A45DC" w:rsidP="00040B36">
            <w:pPr>
              <w:spacing w:after="0"/>
              <w:jc w:val="left"/>
              <w:rPr>
                <w:b/>
                <w:noProof/>
                <w:sz w:val="20"/>
                <w:szCs w:val="20"/>
              </w:rPr>
            </w:pPr>
            <w:r w:rsidRPr="00881BC8">
              <w:rPr>
                <w:b/>
                <w:noProof/>
                <w:sz w:val="20"/>
                <w:szCs w:val="20"/>
              </w:rPr>
              <w:t>II. Overview of costs – Preferred option</w:t>
            </w:r>
          </w:p>
        </w:tc>
      </w:tr>
      <w:tr w:rsidR="005A45DC" w:rsidRPr="00881BC8" w14:paraId="3F84E48A" w14:textId="77777777" w:rsidTr="006C696B">
        <w:trPr>
          <w:cantSplit/>
          <w:tblHeader/>
        </w:trPr>
        <w:tc>
          <w:tcPr>
            <w:tcW w:w="2547" w:type="dxa"/>
            <w:gridSpan w:val="2"/>
            <w:vMerge w:val="restart"/>
            <w:tcBorders>
              <w:top w:val="double" w:sz="4" w:space="0" w:color="auto"/>
              <w:right w:val="double" w:sz="4" w:space="0" w:color="auto"/>
              <w:tl2br w:val="double" w:sz="4" w:space="0" w:color="auto"/>
            </w:tcBorders>
            <w:tcMar>
              <w:top w:w="57" w:type="dxa"/>
              <w:left w:w="57" w:type="dxa"/>
              <w:bottom w:w="57" w:type="dxa"/>
              <w:right w:w="57" w:type="dxa"/>
            </w:tcMar>
          </w:tcPr>
          <w:p w14:paraId="295BC607" w14:textId="77777777" w:rsidR="005A45DC" w:rsidRPr="00881BC8" w:rsidRDefault="005A45DC" w:rsidP="00040B36">
            <w:pPr>
              <w:spacing w:after="0"/>
              <w:jc w:val="left"/>
              <w:rPr>
                <w:b/>
                <w:noProof/>
                <w:sz w:val="20"/>
                <w:szCs w:val="20"/>
              </w:rPr>
            </w:pPr>
          </w:p>
        </w:tc>
        <w:tc>
          <w:tcPr>
            <w:tcW w:w="1776" w:type="dxa"/>
            <w:gridSpan w:val="2"/>
            <w:tcBorders>
              <w:left w:val="double" w:sz="4" w:space="0" w:color="auto"/>
            </w:tcBorders>
            <w:tcMar>
              <w:top w:w="57" w:type="dxa"/>
              <w:left w:w="57" w:type="dxa"/>
              <w:bottom w:w="57" w:type="dxa"/>
              <w:right w:w="57" w:type="dxa"/>
            </w:tcMar>
          </w:tcPr>
          <w:p w14:paraId="40C8B7E9" w14:textId="77777777" w:rsidR="005A45DC" w:rsidRPr="00881BC8" w:rsidRDefault="005A45DC" w:rsidP="00040B36">
            <w:pPr>
              <w:spacing w:after="0"/>
              <w:jc w:val="center"/>
              <w:rPr>
                <w:b/>
                <w:noProof/>
                <w:sz w:val="20"/>
                <w:szCs w:val="20"/>
              </w:rPr>
            </w:pPr>
            <w:r w:rsidRPr="00881BC8">
              <w:rPr>
                <w:b/>
                <w:noProof/>
                <w:sz w:val="20"/>
                <w:szCs w:val="20"/>
              </w:rPr>
              <w:t>Citizens/Consumers</w:t>
            </w:r>
          </w:p>
        </w:tc>
        <w:tc>
          <w:tcPr>
            <w:tcW w:w="2976" w:type="dxa"/>
            <w:gridSpan w:val="2"/>
            <w:tcMar>
              <w:top w:w="57" w:type="dxa"/>
              <w:left w:w="57" w:type="dxa"/>
              <w:bottom w:w="57" w:type="dxa"/>
              <w:right w:w="57" w:type="dxa"/>
            </w:tcMar>
          </w:tcPr>
          <w:p w14:paraId="6F44366A" w14:textId="77777777" w:rsidR="005A45DC" w:rsidRPr="00881BC8" w:rsidRDefault="005A45DC" w:rsidP="00040B36">
            <w:pPr>
              <w:spacing w:after="0"/>
              <w:jc w:val="center"/>
              <w:rPr>
                <w:b/>
                <w:noProof/>
                <w:sz w:val="20"/>
                <w:szCs w:val="20"/>
              </w:rPr>
            </w:pPr>
            <w:r w:rsidRPr="00881BC8">
              <w:rPr>
                <w:b/>
                <w:noProof/>
                <w:sz w:val="20"/>
                <w:szCs w:val="20"/>
              </w:rPr>
              <w:t>Businesses</w:t>
            </w:r>
          </w:p>
        </w:tc>
        <w:tc>
          <w:tcPr>
            <w:tcW w:w="2907" w:type="dxa"/>
            <w:gridSpan w:val="2"/>
            <w:tcMar>
              <w:top w:w="57" w:type="dxa"/>
              <w:left w:w="57" w:type="dxa"/>
              <w:bottom w:w="57" w:type="dxa"/>
              <w:right w:w="57" w:type="dxa"/>
            </w:tcMar>
          </w:tcPr>
          <w:p w14:paraId="26E8795E" w14:textId="77777777" w:rsidR="005A45DC" w:rsidRPr="00881BC8" w:rsidRDefault="005A45DC" w:rsidP="00040B36">
            <w:pPr>
              <w:spacing w:after="0"/>
              <w:jc w:val="center"/>
              <w:rPr>
                <w:b/>
                <w:noProof/>
                <w:sz w:val="20"/>
                <w:szCs w:val="20"/>
              </w:rPr>
            </w:pPr>
            <w:r w:rsidRPr="00881BC8">
              <w:rPr>
                <w:b/>
                <w:noProof/>
                <w:sz w:val="20"/>
                <w:szCs w:val="20"/>
              </w:rPr>
              <w:t>Administrations</w:t>
            </w:r>
          </w:p>
        </w:tc>
      </w:tr>
      <w:tr w:rsidR="005A45DC" w:rsidRPr="00881BC8" w14:paraId="31E82CF4" w14:textId="77777777" w:rsidTr="006C696B">
        <w:trPr>
          <w:cantSplit/>
          <w:tblHeader/>
        </w:trPr>
        <w:tc>
          <w:tcPr>
            <w:tcW w:w="2547" w:type="dxa"/>
            <w:gridSpan w:val="2"/>
            <w:vMerge/>
            <w:tcBorders>
              <w:bottom w:val="double" w:sz="4" w:space="0" w:color="auto"/>
              <w:right w:val="double" w:sz="4" w:space="0" w:color="auto"/>
              <w:tl2br w:val="double" w:sz="4" w:space="0" w:color="auto"/>
            </w:tcBorders>
            <w:tcMar>
              <w:top w:w="57" w:type="dxa"/>
              <w:left w:w="57" w:type="dxa"/>
              <w:bottom w:w="57" w:type="dxa"/>
              <w:right w:w="57" w:type="dxa"/>
            </w:tcMar>
          </w:tcPr>
          <w:p w14:paraId="6840505B" w14:textId="77777777" w:rsidR="005A45DC" w:rsidRPr="00881BC8" w:rsidRDefault="005A45DC" w:rsidP="00040B36">
            <w:pPr>
              <w:spacing w:after="0"/>
              <w:jc w:val="left"/>
              <w:rPr>
                <w:b/>
                <w:noProof/>
                <w:sz w:val="20"/>
                <w:szCs w:val="20"/>
              </w:rPr>
            </w:pPr>
          </w:p>
        </w:tc>
        <w:tc>
          <w:tcPr>
            <w:tcW w:w="925" w:type="dxa"/>
            <w:tcBorders>
              <w:left w:val="double" w:sz="4" w:space="0" w:color="auto"/>
              <w:bottom w:val="double" w:sz="4" w:space="0" w:color="auto"/>
            </w:tcBorders>
            <w:tcMar>
              <w:top w:w="57" w:type="dxa"/>
              <w:left w:w="57" w:type="dxa"/>
              <w:bottom w:w="57" w:type="dxa"/>
              <w:right w:w="57" w:type="dxa"/>
            </w:tcMar>
          </w:tcPr>
          <w:p w14:paraId="0657A52E" w14:textId="77777777" w:rsidR="005A45DC" w:rsidRPr="00881BC8" w:rsidRDefault="005A45DC" w:rsidP="00040B36">
            <w:pPr>
              <w:spacing w:after="0"/>
              <w:jc w:val="center"/>
              <w:rPr>
                <w:b/>
                <w:noProof/>
                <w:sz w:val="20"/>
                <w:szCs w:val="20"/>
              </w:rPr>
            </w:pPr>
            <w:r w:rsidRPr="00881BC8">
              <w:rPr>
                <w:b/>
                <w:noProof/>
                <w:sz w:val="20"/>
                <w:szCs w:val="20"/>
              </w:rPr>
              <w:t>One-off</w:t>
            </w:r>
          </w:p>
        </w:tc>
        <w:tc>
          <w:tcPr>
            <w:tcW w:w="851" w:type="dxa"/>
            <w:tcBorders>
              <w:bottom w:val="double" w:sz="4" w:space="0" w:color="auto"/>
            </w:tcBorders>
            <w:tcMar>
              <w:top w:w="57" w:type="dxa"/>
              <w:left w:w="57" w:type="dxa"/>
              <w:bottom w:w="57" w:type="dxa"/>
              <w:right w:w="57" w:type="dxa"/>
            </w:tcMar>
          </w:tcPr>
          <w:p w14:paraId="6B687B53" w14:textId="77777777" w:rsidR="005A45DC" w:rsidRPr="00881BC8" w:rsidRDefault="005A45DC" w:rsidP="00040B36">
            <w:pPr>
              <w:spacing w:after="0"/>
              <w:jc w:val="center"/>
              <w:rPr>
                <w:b/>
                <w:noProof/>
                <w:sz w:val="20"/>
                <w:szCs w:val="20"/>
              </w:rPr>
            </w:pPr>
            <w:r w:rsidRPr="00881BC8">
              <w:rPr>
                <w:b/>
                <w:noProof/>
                <w:sz w:val="20"/>
                <w:szCs w:val="20"/>
              </w:rPr>
              <w:t>Recurrent</w:t>
            </w:r>
          </w:p>
        </w:tc>
        <w:tc>
          <w:tcPr>
            <w:tcW w:w="1417" w:type="dxa"/>
            <w:tcBorders>
              <w:bottom w:val="double" w:sz="4" w:space="0" w:color="auto"/>
            </w:tcBorders>
            <w:tcMar>
              <w:top w:w="57" w:type="dxa"/>
              <w:left w:w="57" w:type="dxa"/>
              <w:bottom w:w="57" w:type="dxa"/>
              <w:right w:w="57" w:type="dxa"/>
            </w:tcMar>
          </w:tcPr>
          <w:p w14:paraId="22500009" w14:textId="77777777" w:rsidR="005A45DC" w:rsidRPr="00881BC8" w:rsidRDefault="005A45DC" w:rsidP="00040B36">
            <w:pPr>
              <w:spacing w:after="0"/>
              <w:jc w:val="center"/>
              <w:rPr>
                <w:b/>
                <w:noProof/>
                <w:sz w:val="20"/>
                <w:szCs w:val="20"/>
              </w:rPr>
            </w:pPr>
            <w:r w:rsidRPr="00881BC8">
              <w:rPr>
                <w:b/>
                <w:noProof/>
                <w:sz w:val="20"/>
                <w:szCs w:val="20"/>
              </w:rPr>
              <w:t>One-off</w:t>
            </w:r>
          </w:p>
        </w:tc>
        <w:tc>
          <w:tcPr>
            <w:tcW w:w="1559" w:type="dxa"/>
            <w:tcBorders>
              <w:bottom w:val="double" w:sz="4" w:space="0" w:color="auto"/>
            </w:tcBorders>
            <w:tcMar>
              <w:top w:w="57" w:type="dxa"/>
              <w:left w:w="57" w:type="dxa"/>
              <w:bottom w:w="57" w:type="dxa"/>
              <w:right w:w="57" w:type="dxa"/>
            </w:tcMar>
          </w:tcPr>
          <w:p w14:paraId="721E2DDC" w14:textId="77777777" w:rsidR="005A45DC" w:rsidRPr="00881BC8" w:rsidRDefault="005A45DC" w:rsidP="00040B36">
            <w:pPr>
              <w:spacing w:after="0"/>
              <w:jc w:val="center"/>
              <w:rPr>
                <w:b/>
                <w:noProof/>
                <w:sz w:val="20"/>
                <w:szCs w:val="20"/>
              </w:rPr>
            </w:pPr>
            <w:r w:rsidRPr="00881BC8">
              <w:rPr>
                <w:b/>
                <w:noProof/>
                <w:sz w:val="20"/>
                <w:szCs w:val="20"/>
              </w:rPr>
              <w:t>Recurrent</w:t>
            </w:r>
          </w:p>
        </w:tc>
        <w:tc>
          <w:tcPr>
            <w:tcW w:w="1418" w:type="dxa"/>
            <w:tcBorders>
              <w:bottom w:val="double" w:sz="4" w:space="0" w:color="auto"/>
            </w:tcBorders>
            <w:tcMar>
              <w:top w:w="57" w:type="dxa"/>
              <w:left w:w="57" w:type="dxa"/>
              <w:bottom w:w="57" w:type="dxa"/>
              <w:right w:w="57" w:type="dxa"/>
            </w:tcMar>
          </w:tcPr>
          <w:p w14:paraId="0AD253E6" w14:textId="77777777" w:rsidR="005A45DC" w:rsidRPr="00881BC8" w:rsidRDefault="005A45DC" w:rsidP="00040B36">
            <w:pPr>
              <w:spacing w:after="0"/>
              <w:jc w:val="center"/>
              <w:rPr>
                <w:b/>
                <w:noProof/>
                <w:sz w:val="20"/>
                <w:szCs w:val="20"/>
              </w:rPr>
            </w:pPr>
            <w:r w:rsidRPr="00881BC8">
              <w:rPr>
                <w:b/>
                <w:noProof/>
                <w:sz w:val="20"/>
                <w:szCs w:val="20"/>
              </w:rPr>
              <w:t>One-off</w:t>
            </w:r>
          </w:p>
        </w:tc>
        <w:tc>
          <w:tcPr>
            <w:tcW w:w="1489" w:type="dxa"/>
            <w:tcBorders>
              <w:bottom w:val="double" w:sz="4" w:space="0" w:color="auto"/>
            </w:tcBorders>
            <w:tcMar>
              <w:top w:w="57" w:type="dxa"/>
              <w:left w:w="57" w:type="dxa"/>
              <w:bottom w:w="57" w:type="dxa"/>
              <w:right w:w="57" w:type="dxa"/>
            </w:tcMar>
          </w:tcPr>
          <w:p w14:paraId="41E96583" w14:textId="77777777" w:rsidR="005A45DC" w:rsidRPr="00881BC8" w:rsidRDefault="005A45DC" w:rsidP="00040B36">
            <w:pPr>
              <w:spacing w:after="0"/>
              <w:jc w:val="center"/>
              <w:rPr>
                <w:b/>
                <w:noProof/>
                <w:sz w:val="20"/>
                <w:szCs w:val="20"/>
              </w:rPr>
            </w:pPr>
            <w:r w:rsidRPr="00881BC8">
              <w:rPr>
                <w:b/>
                <w:noProof/>
                <w:sz w:val="20"/>
                <w:szCs w:val="20"/>
              </w:rPr>
              <w:t>Recurrent</w:t>
            </w:r>
          </w:p>
        </w:tc>
      </w:tr>
      <w:tr w:rsidR="0077542C" w:rsidRPr="00881BC8" w14:paraId="1B19EDDE" w14:textId="77777777" w:rsidTr="006C696B">
        <w:trPr>
          <w:cantSplit/>
          <w:trHeight w:val="307"/>
        </w:trPr>
        <w:tc>
          <w:tcPr>
            <w:tcW w:w="1204" w:type="dxa"/>
            <w:vMerge w:val="restart"/>
            <w:tcMar>
              <w:top w:w="57" w:type="dxa"/>
              <w:left w:w="57" w:type="dxa"/>
              <w:bottom w:w="57" w:type="dxa"/>
              <w:right w:w="57" w:type="dxa"/>
            </w:tcMar>
            <w:vAlign w:val="center"/>
          </w:tcPr>
          <w:p w14:paraId="331168BB" w14:textId="485609D8" w:rsidR="0077542C" w:rsidRPr="00881BC8" w:rsidRDefault="0077542C" w:rsidP="0077542C">
            <w:pPr>
              <w:spacing w:after="0"/>
              <w:jc w:val="left"/>
              <w:rPr>
                <w:noProof/>
                <w:sz w:val="20"/>
                <w:szCs w:val="20"/>
              </w:rPr>
            </w:pPr>
            <w:r w:rsidRPr="00881BC8">
              <w:rPr>
                <w:noProof/>
                <w:sz w:val="20"/>
                <w:szCs w:val="20"/>
              </w:rPr>
              <w:t>Capping at 30 days in B2B transactions Verification or acceptance</w:t>
            </w:r>
            <w:r w:rsidR="002E552C" w:rsidRPr="00881BC8">
              <w:rPr>
                <w:noProof/>
                <w:sz w:val="20"/>
                <w:szCs w:val="20"/>
              </w:rPr>
              <w:t xml:space="preserve"> </w:t>
            </w:r>
            <w:r w:rsidRPr="00881BC8">
              <w:rPr>
                <w:noProof/>
                <w:sz w:val="20"/>
                <w:szCs w:val="20"/>
              </w:rPr>
              <w:t>procedure capped at 30 days (no derogation)</w:t>
            </w:r>
          </w:p>
        </w:tc>
        <w:tc>
          <w:tcPr>
            <w:tcW w:w="1343" w:type="dxa"/>
            <w:tcBorders>
              <w:right w:val="double" w:sz="4" w:space="0" w:color="auto"/>
            </w:tcBorders>
            <w:tcMar>
              <w:top w:w="57" w:type="dxa"/>
              <w:left w:w="57" w:type="dxa"/>
              <w:bottom w:w="57" w:type="dxa"/>
              <w:right w:w="57" w:type="dxa"/>
            </w:tcMar>
            <w:vAlign w:val="center"/>
          </w:tcPr>
          <w:p w14:paraId="3DEB8A7A" w14:textId="77777777" w:rsidR="0077542C" w:rsidRPr="00881BC8" w:rsidRDefault="0077542C" w:rsidP="0077542C">
            <w:pPr>
              <w:spacing w:after="0"/>
              <w:jc w:val="left"/>
              <w:rPr>
                <w:noProof/>
                <w:sz w:val="20"/>
                <w:szCs w:val="20"/>
              </w:rPr>
            </w:pPr>
            <w:r w:rsidRPr="00881BC8">
              <w:rPr>
                <w:noProof/>
                <w:sz w:val="20"/>
                <w:szCs w:val="20"/>
              </w:rPr>
              <w:t>Direct adjustment costs</w:t>
            </w:r>
          </w:p>
        </w:tc>
        <w:tc>
          <w:tcPr>
            <w:tcW w:w="925" w:type="dxa"/>
            <w:tcBorders>
              <w:left w:val="double" w:sz="4" w:space="0" w:color="auto"/>
            </w:tcBorders>
            <w:tcMar>
              <w:top w:w="57" w:type="dxa"/>
              <w:left w:w="57" w:type="dxa"/>
              <w:bottom w:w="57" w:type="dxa"/>
              <w:right w:w="57" w:type="dxa"/>
            </w:tcMar>
            <w:vAlign w:val="center"/>
          </w:tcPr>
          <w:p w14:paraId="102C3B2C" w14:textId="77777777" w:rsidR="0077542C" w:rsidRPr="00881BC8" w:rsidRDefault="0077542C" w:rsidP="0077542C">
            <w:pPr>
              <w:spacing w:after="0"/>
              <w:jc w:val="left"/>
              <w:rPr>
                <w:noProof/>
                <w:sz w:val="20"/>
                <w:szCs w:val="20"/>
              </w:rPr>
            </w:pPr>
          </w:p>
        </w:tc>
        <w:tc>
          <w:tcPr>
            <w:tcW w:w="851" w:type="dxa"/>
            <w:tcMar>
              <w:top w:w="57" w:type="dxa"/>
              <w:left w:w="57" w:type="dxa"/>
              <w:bottom w:w="57" w:type="dxa"/>
              <w:right w:w="57" w:type="dxa"/>
            </w:tcMar>
            <w:vAlign w:val="center"/>
          </w:tcPr>
          <w:p w14:paraId="0BE6BA17" w14:textId="77777777" w:rsidR="0077542C" w:rsidRPr="00881BC8" w:rsidRDefault="0077542C" w:rsidP="0077542C">
            <w:pPr>
              <w:spacing w:after="0"/>
              <w:jc w:val="left"/>
              <w:rPr>
                <w:noProof/>
                <w:sz w:val="20"/>
                <w:szCs w:val="20"/>
              </w:rPr>
            </w:pPr>
          </w:p>
        </w:tc>
        <w:tc>
          <w:tcPr>
            <w:tcW w:w="1417" w:type="dxa"/>
            <w:tcMar>
              <w:top w:w="57" w:type="dxa"/>
              <w:left w:w="57" w:type="dxa"/>
              <w:bottom w:w="57" w:type="dxa"/>
              <w:right w:w="57" w:type="dxa"/>
            </w:tcMar>
          </w:tcPr>
          <w:p w14:paraId="2D7DB330" w14:textId="41D793C0" w:rsidR="0077542C" w:rsidRPr="00881BC8" w:rsidRDefault="0077542C" w:rsidP="0077542C">
            <w:pPr>
              <w:spacing w:after="0"/>
              <w:jc w:val="left"/>
              <w:rPr>
                <w:noProof/>
                <w:sz w:val="20"/>
                <w:szCs w:val="20"/>
              </w:rPr>
            </w:pPr>
            <w:r w:rsidRPr="00881BC8">
              <w:rPr>
                <w:noProof/>
                <w:sz w:val="20"/>
                <w:szCs w:val="20"/>
              </w:rPr>
              <w:t xml:space="preserve">Adjustment </w:t>
            </w:r>
            <w:r w:rsidR="009A3245" w:rsidRPr="00881BC8">
              <w:rPr>
                <w:noProof/>
                <w:sz w:val="20"/>
                <w:szCs w:val="20"/>
              </w:rPr>
              <w:t xml:space="preserve">cost </w:t>
            </w:r>
            <w:r w:rsidRPr="00881BC8">
              <w:rPr>
                <w:noProof/>
                <w:sz w:val="20"/>
                <w:szCs w:val="20"/>
              </w:rPr>
              <w:t>of updating general payment terms</w:t>
            </w:r>
            <w:r w:rsidR="009A3245" w:rsidRPr="00881BC8">
              <w:rPr>
                <w:noProof/>
                <w:sz w:val="20"/>
                <w:szCs w:val="20"/>
              </w:rPr>
              <w:t xml:space="preserve"> and </w:t>
            </w:r>
            <w:r w:rsidRPr="00881BC8">
              <w:rPr>
                <w:noProof/>
                <w:sz w:val="20"/>
                <w:szCs w:val="20"/>
              </w:rPr>
              <w:t xml:space="preserve">invoices </w:t>
            </w:r>
            <w:r w:rsidR="00253C6D" w:rsidRPr="00881BC8">
              <w:rPr>
                <w:noProof/>
                <w:sz w:val="20"/>
                <w:szCs w:val="20"/>
              </w:rPr>
              <w:t>because of</w:t>
            </w:r>
            <w:r w:rsidRPr="00881BC8">
              <w:rPr>
                <w:noProof/>
                <w:sz w:val="20"/>
                <w:szCs w:val="20"/>
              </w:rPr>
              <w:t xml:space="preserve"> capping payment terms in B2B transactions at 30 days</w:t>
            </w:r>
            <w:r w:rsidR="00307D34" w:rsidRPr="00881BC8">
              <w:rPr>
                <w:noProof/>
                <w:sz w:val="20"/>
                <w:szCs w:val="20"/>
              </w:rPr>
              <w:t>:</w:t>
            </w:r>
            <w:r w:rsidR="009A3245" w:rsidRPr="00881BC8">
              <w:rPr>
                <w:noProof/>
                <w:sz w:val="20"/>
                <w:szCs w:val="20"/>
              </w:rPr>
              <w:t xml:space="preserve"> EUR 56.1 </w:t>
            </w:r>
            <w:r w:rsidR="00FE15F0" w:rsidRPr="00881BC8">
              <w:rPr>
                <w:noProof/>
                <w:sz w:val="20"/>
                <w:szCs w:val="20"/>
              </w:rPr>
              <w:t>million</w:t>
            </w:r>
            <w:r w:rsidR="00307D34" w:rsidRPr="00881BC8">
              <w:rPr>
                <w:noProof/>
                <w:sz w:val="20"/>
                <w:szCs w:val="20"/>
              </w:rPr>
              <w:t>. The amount</w:t>
            </w:r>
            <w:r w:rsidR="00FE15F0" w:rsidRPr="00881BC8">
              <w:rPr>
                <w:noProof/>
                <w:sz w:val="20"/>
                <w:szCs w:val="20"/>
              </w:rPr>
              <w:t xml:space="preserve"> is included in the </w:t>
            </w:r>
            <w:r w:rsidR="00253C6D" w:rsidRPr="00881BC8">
              <w:rPr>
                <w:noProof/>
                <w:sz w:val="20"/>
                <w:szCs w:val="20"/>
              </w:rPr>
              <w:t xml:space="preserve">cost of </w:t>
            </w:r>
            <w:r w:rsidR="00FE15F0" w:rsidRPr="00881BC8">
              <w:rPr>
                <w:noProof/>
                <w:sz w:val="20"/>
                <w:szCs w:val="20"/>
              </w:rPr>
              <w:t xml:space="preserve">revision of standard payment terms required for </w:t>
            </w:r>
            <w:r w:rsidR="00B92DE1" w:rsidRPr="00881BC8">
              <w:rPr>
                <w:noProof/>
                <w:sz w:val="20"/>
                <w:szCs w:val="20"/>
              </w:rPr>
              <w:t>adapting the</w:t>
            </w:r>
            <w:r w:rsidR="00FE15F0" w:rsidRPr="00881BC8">
              <w:rPr>
                <w:noProof/>
                <w:sz w:val="20"/>
                <w:szCs w:val="20"/>
              </w:rPr>
              <w:t xml:space="preserve"> compensation fee</w:t>
            </w:r>
            <w:r w:rsidR="00B92DE1" w:rsidRPr="00881BC8">
              <w:rPr>
                <w:noProof/>
                <w:sz w:val="20"/>
                <w:szCs w:val="20"/>
              </w:rPr>
              <w:t xml:space="preserve"> to inflation (EUR 243 million)</w:t>
            </w:r>
            <w:r w:rsidR="00307D34" w:rsidRPr="00881BC8">
              <w:rPr>
                <w:noProof/>
                <w:sz w:val="20"/>
                <w:szCs w:val="20"/>
              </w:rPr>
              <w:t xml:space="preserve"> </w:t>
            </w:r>
            <w:r w:rsidR="005B140F" w:rsidRPr="00881BC8">
              <w:rPr>
                <w:noProof/>
                <w:sz w:val="20"/>
                <w:szCs w:val="20"/>
              </w:rPr>
              <w:t>representing</w:t>
            </w:r>
            <w:r w:rsidR="00253C6D" w:rsidRPr="00881BC8">
              <w:rPr>
                <w:noProof/>
                <w:sz w:val="20"/>
                <w:szCs w:val="20"/>
              </w:rPr>
              <w:t xml:space="preserve"> </w:t>
            </w:r>
            <w:r w:rsidR="00307D34" w:rsidRPr="00881BC8">
              <w:rPr>
                <w:noProof/>
                <w:sz w:val="20"/>
                <w:szCs w:val="20"/>
              </w:rPr>
              <w:t>synergies from a single revision.</w:t>
            </w:r>
          </w:p>
        </w:tc>
        <w:tc>
          <w:tcPr>
            <w:tcW w:w="1559" w:type="dxa"/>
            <w:tcMar>
              <w:top w:w="57" w:type="dxa"/>
              <w:left w:w="57" w:type="dxa"/>
              <w:bottom w:w="57" w:type="dxa"/>
              <w:right w:w="57" w:type="dxa"/>
            </w:tcMar>
            <w:vAlign w:val="center"/>
          </w:tcPr>
          <w:p w14:paraId="4A500012" w14:textId="77777777" w:rsidR="0077542C" w:rsidRPr="00881BC8" w:rsidRDefault="0077542C" w:rsidP="0077542C">
            <w:pPr>
              <w:spacing w:after="0"/>
              <w:jc w:val="left"/>
              <w:rPr>
                <w:noProof/>
                <w:sz w:val="20"/>
                <w:szCs w:val="20"/>
              </w:rPr>
            </w:pPr>
          </w:p>
        </w:tc>
        <w:tc>
          <w:tcPr>
            <w:tcW w:w="1418" w:type="dxa"/>
            <w:tcMar>
              <w:top w:w="57" w:type="dxa"/>
              <w:left w:w="57" w:type="dxa"/>
              <w:bottom w:w="57" w:type="dxa"/>
              <w:right w:w="57" w:type="dxa"/>
            </w:tcMar>
            <w:vAlign w:val="center"/>
          </w:tcPr>
          <w:p w14:paraId="7A1F7EE3" w14:textId="77777777" w:rsidR="0077542C" w:rsidRPr="00881BC8" w:rsidRDefault="0077542C" w:rsidP="0077542C">
            <w:pPr>
              <w:spacing w:after="0"/>
              <w:jc w:val="left"/>
              <w:rPr>
                <w:noProof/>
                <w:sz w:val="20"/>
                <w:szCs w:val="20"/>
              </w:rPr>
            </w:pPr>
          </w:p>
        </w:tc>
        <w:tc>
          <w:tcPr>
            <w:tcW w:w="1489" w:type="dxa"/>
            <w:tcMar>
              <w:top w:w="57" w:type="dxa"/>
              <w:left w:w="57" w:type="dxa"/>
              <w:bottom w:w="57" w:type="dxa"/>
              <w:right w:w="57" w:type="dxa"/>
            </w:tcMar>
            <w:vAlign w:val="center"/>
          </w:tcPr>
          <w:p w14:paraId="2553CE31" w14:textId="5FA62736" w:rsidR="0077542C" w:rsidRPr="00881BC8" w:rsidRDefault="0077542C" w:rsidP="0077542C">
            <w:pPr>
              <w:spacing w:after="0"/>
              <w:jc w:val="left"/>
              <w:rPr>
                <w:noProof/>
                <w:sz w:val="20"/>
                <w:szCs w:val="20"/>
              </w:rPr>
            </w:pPr>
          </w:p>
        </w:tc>
      </w:tr>
      <w:tr w:rsidR="0077542C" w:rsidRPr="00881BC8" w14:paraId="48A74C9E" w14:textId="77777777" w:rsidTr="006C696B">
        <w:trPr>
          <w:cantSplit/>
          <w:trHeight w:val="307"/>
        </w:trPr>
        <w:tc>
          <w:tcPr>
            <w:tcW w:w="1204" w:type="dxa"/>
            <w:vMerge/>
            <w:tcMar>
              <w:top w:w="57" w:type="dxa"/>
              <w:left w:w="57" w:type="dxa"/>
              <w:bottom w:w="57" w:type="dxa"/>
              <w:right w:w="57" w:type="dxa"/>
            </w:tcMar>
            <w:vAlign w:val="center"/>
          </w:tcPr>
          <w:p w14:paraId="4CC71CBD" w14:textId="77777777" w:rsidR="0077542C" w:rsidRPr="00881BC8" w:rsidRDefault="0077542C" w:rsidP="0077542C">
            <w:pPr>
              <w:spacing w:after="0"/>
              <w:jc w:val="left"/>
              <w:rPr>
                <w:noProof/>
                <w:sz w:val="20"/>
                <w:szCs w:val="20"/>
              </w:rPr>
            </w:pPr>
          </w:p>
        </w:tc>
        <w:tc>
          <w:tcPr>
            <w:tcW w:w="1343" w:type="dxa"/>
            <w:tcBorders>
              <w:right w:val="double" w:sz="4" w:space="0" w:color="auto"/>
            </w:tcBorders>
            <w:tcMar>
              <w:top w:w="57" w:type="dxa"/>
              <w:left w:w="57" w:type="dxa"/>
              <w:bottom w:w="57" w:type="dxa"/>
              <w:right w:w="57" w:type="dxa"/>
            </w:tcMar>
            <w:vAlign w:val="center"/>
          </w:tcPr>
          <w:p w14:paraId="0DA65641" w14:textId="77777777" w:rsidR="0077542C" w:rsidRPr="00881BC8" w:rsidRDefault="0077542C" w:rsidP="0077542C">
            <w:pPr>
              <w:spacing w:after="0"/>
              <w:jc w:val="left"/>
              <w:rPr>
                <w:noProof/>
                <w:sz w:val="20"/>
                <w:szCs w:val="20"/>
              </w:rPr>
            </w:pPr>
            <w:r w:rsidRPr="00881BC8">
              <w:rPr>
                <w:noProof/>
                <w:sz w:val="20"/>
                <w:szCs w:val="20"/>
              </w:rPr>
              <w:t>Direct administrative costs</w:t>
            </w:r>
          </w:p>
        </w:tc>
        <w:tc>
          <w:tcPr>
            <w:tcW w:w="925" w:type="dxa"/>
            <w:tcBorders>
              <w:left w:val="double" w:sz="4" w:space="0" w:color="auto"/>
            </w:tcBorders>
            <w:tcMar>
              <w:top w:w="57" w:type="dxa"/>
              <w:left w:w="57" w:type="dxa"/>
              <w:bottom w:w="57" w:type="dxa"/>
              <w:right w:w="57" w:type="dxa"/>
            </w:tcMar>
            <w:vAlign w:val="center"/>
          </w:tcPr>
          <w:p w14:paraId="4147BC0D" w14:textId="77777777" w:rsidR="0077542C" w:rsidRPr="00881BC8" w:rsidRDefault="0077542C" w:rsidP="0077542C">
            <w:pPr>
              <w:spacing w:after="0"/>
              <w:jc w:val="left"/>
              <w:rPr>
                <w:noProof/>
                <w:sz w:val="20"/>
                <w:szCs w:val="20"/>
              </w:rPr>
            </w:pPr>
          </w:p>
        </w:tc>
        <w:tc>
          <w:tcPr>
            <w:tcW w:w="851" w:type="dxa"/>
            <w:tcMar>
              <w:top w:w="57" w:type="dxa"/>
              <w:left w:w="57" w:type="dxa"/>
              <w:bottom w:w="57" w:type="dxa"/>
              <w:right w:w="57" w:type="dxa"/>
            </w:tcMar>
            <w:vAlign w:val="center"/>
          </w:tcPr>
          <w:p w14:paraId="780620A7" w14:textId="77777777" w:rsidR="0077542C" w:rsidRPr="00881BC8" w:rsidRDefault="0077542C" w:rsidP="0077542C">
            <w:pPr>
              <w:spacing w:after="0"/>
              <w:jc w:val="left"/>
              <w:rPr>
                <w:noProof/>
                <w:sz w:val="20"/>
                <w:szCs w:val="20"/>
              </w:rPr>
            </w:pPr>
          </w:p>
        </w:tc>
        <w:tc>
          <w:tcPr>
            <w:tcW w:w="1417" w:type="dxa"/>
            <w:tcMar>
              <w:top w:w="57" w:type="dxa"/>
              <w:left w:w="57" w:type="dxa"/>
              <w:bottom w:w="57" w:type="dxa"/>
              <w:right w:w="57" w:type="dxa"/>
            </w:tcMar>
            <w:vAlign w:val="center"/>
          </w:tcPr>
          <w:p w14:paraId="1E1F9005" w14:textId="77777777" w:rsidR="0077542C" w:rsidRPr="00881BC8" w:rsidRDefault="0077542C" w:rsidP="0077542C">
            <w:pPr>
              <w:spacing w:after="0"/>
              <w:jc w:val="left"/>
              <w:rPr>
                <w:noProof/>
                <w:sz w:val="20"/>
                <w:szCs w:val="20"/>
              </w:rPr>
            </w:pPr>
          </w:p>
        </w:tc>
        <w:tc>
          <w:tcPr>
            <w:tcW w:w="1559" w:type="dxa"/>
            <w:tcMar>
              <w:top w:w="57" w:type="dxa"/>
              <w:left w:w="57" w:type="dxa"/>
              <w:bottom w:w="57" w:type="dxa"/>
              <w:right w:w="57" w:type="dxa"/>
            </w:tcMar>
            <w:vAlign w:val="center"/>
          </w:tcPr>
          <w:p w14:paraId="3BE4D247" w14:textId="77777777" w:rsidR="0077542C" w:rsidRPr="00881BC8" w:rsidRDefault="0077542C" w:rsidP="0077542C">
            <w:pPr>
              <w:spacing w:after="0"/>
              <w:jc w:val="left"/>
              <w:rPr>
                <w:noProof/>
                <w:sz w:val="20"/>
                <w:szCs w:val="20"/>
              </w:rPr>
            </w:pPr>
          </w:p>
        </w:tc>
        <w:tc>
          <w:tcPr>
            <w:tcW w:w="1418" w:type="dxa"/>
            <w:tcMar>
              <w:top w:w="57" w:type="dxa"/>
              <w:left w:w="57" w:type="dxa"/>
              <w:bottom w:w="57" w:type="dxa"/>
              <w:right w:w="57" w:type="dxa"/>
            </w:tcMar>
            <w:vAlign w:val="center"/>
          </w:tcPr>
          <w:p w14:paraId="5463CC0D" w14:textId="77777777" w:rsidR="0077542C" w:rsidRPr="00881BC8" w:rsidRDefault="0077542C" w:rsidP="0077542C">
            <w:pPr>
              <w:spacing w:after="0"/>
              <w:jc w:val="left"/>
              <w:rPr>
                <w:noProof/>
                <w:sz w:val="20"/>
                <w:szCs w:val="20"/>
              </w:rPr>
            </w:pPr>
          </w:p>
        </w:tc>
        <w:tc>
          <w:tcPr>
            <w:tcW w:w="1489" w:type="dxa"/>
            <w:tcMar>
              <w:top w:w="57" w:type="dxa"/>
              <w:left w:w="57" w:type="dxa"/>
              <w:bottom w:w="57" w:type="dxa"/>
              <w:right w:w="57" w:type="dxa"/>
            </w:tcMar>
            <w:vAlign w:val="center"/>
          </w:tcPr>
          <w:p w14:paraId="1397FBE5" w14:textId="77777777" w:rsidR="0077542C" w:rsidRPr="00881BC8" w:rsidRDefault="0077542C" w:rsidP="0077542C">
            <w:pPr>
              <w:spacing w:after="0"/>
              <w:jc w:val="left"/>
              <w:rPr>
                <w:noProof/>
                <w:sz w:val="20"/>
                <w:szCs w:val="20"/>
              </w:rPr>
            </w:pPr>
          </w:p>
        </w:tc>
      </w:tr>
      <w:tr w:rsidR="0077542C" w:rsidRPr="00881BC8" w14:paraId="1EF2117C" w14:textId="77777777" w:rsidTr="006C696B">
        <w:trPr>
          <w:cantSplit/>
          <w:trHeight w:val="307"/>
        </w:trPr>
        <w:tc>
          <w:tcPr>
            <w:tcW w:w="1204" w:type="dxa"/>
            <w:vMerge/>
            <w:tcMar>
              <w:top w:w="57" w:type="dxa"/>
              <w:left w:w="57" w:type="dxa"/>
              <w:bottom w:w="57" w:type="dxa"/>
              <w:right w:w="57" w:type="dxa"/>
            </w:tcMar>
            <w:vAlign w:val="center"/>
          </w:tcPr>
          <w:p w14:paraId="55332DBA" w14:textId="77777777" w:rsidR="0077542C" w:rsidRPr="00881BC8" w:rsidRDefault="0077542C" w:rsidP="0077542C">
            <w:pPr>
              <w:spacing w:after="0"/>
              <w:jc w:val="left"/>
              <w:rPr>
                <w:noProof/>
                <w:sz w:val="20"/>
                <w:szCs w:val="20"/>
              </w:rPr>
            </w:pPr>
          </w:p>
        </w:tc>
        <w:tc>
          <w:tcPr>
            <w:tcW w:w="1343" w:type="dxa"/>
            <w:tcBorders>
              <w:right w:val="double" w:sz="4" w:space="0" w:color="auto"/>
            </w:tcBorders>
            <w:tcMar>
              <w:top w:w="57" w:type="dxa"/>
              <w:left w:w="57" w:type="dxa"/>
              <w:bottom w:w="57" w:type="dxa"/>
              <w:right w:w="57" w:type="dxa"/>
            </w:tcMar>
            <w:vAlign w:val="center"/>
          </w:tcPr>
          <w:p w14:paraId="276E1ABA" w14:textId="77777777" w:rsidR="0077542C" w:rsidRPr="00881BC8" w:rsidRDefault="0077542C" w:rsidP="0077542C">
            <w:pPr>
              <w:spacing w:after="0"/>
              <w:jc w:val="left"/>
              <w:rPr>
                <w:noProof/>
                <w:sz w:val="20"/>
                <w:szCs w:val="20"/>
              </w:rPr>
            </w:pPr>
            <w:r w:rsidRPr="00881BC8">
              <w:rPr>
                <w:noProof/>
                <w:sz w:val="20"/>
                <w:szCs w:val="20"/>
              </w:rPr>
              <w:t>Direct regulatory fees and charges</w:t>
            </w:r>
          </w:p>
        </w:tc>
        <w:tc>
          <w:tcPr>
            <w:tcW w:w="925" w:type="dxa"/>
            <w:tcBorders>
              <w:left w:val="double" w:sz="4" w:space="0" w:color="auto"/>
            </w:tcBorders>
            <w:tcMar>
              <w:top w:w="57" w:type="dxa"/>
              <w:left w:w="57" w:type="dxa"/>
              <w:bottom w:w="57" w:type="dxa"/>
              <w:right w:w="57" w:type="dxa"/>
            </w:tcMar>
            <w:vAlign w:val="center"/>
          </w:tcPr>
          <w:p w14:paraId="46042976" w14:textId="77777777" w:rsidR="0077542C" w:rsidRPr="00881BC8" w:rsidRDefault="0077542C" w:rsidP="0077542C">
            <w:pPr>
              <w:spacing w:after="0"/>
              <w:jc w:val="left"/>
              <w:rPr>
                <w:noProof/>
                <w:sz w:val="20"/>
                <w:szCs w:val="20"/>
              </w:rPr>
            </w:pPr>
          </w:p>
        </w:tc>
        <w:tc>
          <w:tcPr>
            <w:tcW w:w="851" w:type="dxa"/>
            <w:tcMar>
              <w:top w:w="57" w:type="dxa"/>
              <w:left w:w="57" w:type="dxa"/>
              <w:bottom w:w="57" w:type="dxa"/>
              <w:right w:w="57" w:type="dxa"/>
            </w:tcMar>
            <w:vAlign w:val="center"/>
          </w:tcPr>
          <w:p w14:paraId="28B7702E" w14:textId="77777777" w:rsidR="0077542C" w:rsidRPr="00881BC8" w:rsidRDefault="0077542C" w:rsidP="0077542C">
            <w:pPr>
              <w:spacing w:after="0"/>
              <w:jc w:val="left"/>
              <w:rPr>
                <w:noProof/>
                <w:sz w:val="20"/>
                <w:szCs w:val="20"/>
              </w:rPr>
            </w:pPr>
          </w:p>
        </w:tc>
        <w:tc>
          <w:tcPr>
            <w:tcW w:w="1417" w:type="dxa"/>
            <w:tcMar>
              <w:top w:w="57" w:type="dxa"/>
              <w:left w:w="57" w:type="dxa"/>
              <w:bottom w:w="57" w:type="dxa"/>
              <w:right w:w="57" w:type="dxa"/>
            </w:tcMar>
            <w:vAlign w:val="center"/>
          </w:tcPr>
          <w:p w14:paraId="20576629" w14:textId="77777777" w:rsidR="0077542C" w:rsidRPr="00881BC8" w:rsidRDefault="0077542C" w:rsidP="0077542C">
            <w:pPr>
              <w:spacing w:after="0"/>
              <w:jc w:val="left"/>
              <w:rPr>
                <w:noProof/>
                <w:sz w:val="20"/>
                <w:szCs w:val="20"/>
              </w:rPr>
            </w:pPr>
          </w:p>
        </w:tc>
        <w:tc>
          <w:tcPr>
            <w:tcW w:w="1559" w:type="dxa"/>
            <w:tcMar>
              <w:top w:w="57" w:type="dxa"/>
              <w:left w:w="57" w:type="dxa"/>
              <w:bottom w:w="57" w:type="dxa"/>
              <w:right w:w="57" w:type="dxa"/>
            </w:tcMar>
            <w:vAlign w:val="center"/>
          </w:tcPr>
          <w:p w14:paraId="53F6F761" w14:textId="77777777" w:rsidR="0077542C" w:rsidRPr="00881BC8" w:rsidRDefault="0077542C" w:rsidP="0077542C">
            <w:pPr>
              <w:spacing w:after="0"/>
              <w:jc w:val="left"/>
              <w:rPr>
                <w:noProof/>
                <w:sz w:val="20"/>
                <w:szCs w:val="20"/>
              </w:rPr>
            </w:pPr>
          </w:p>
        </w:tc>
        <w:tc>
          <w:tcPr>
            <w:tcW w:w="1418" w:type="dxa"/>
            <w:tcMar>
              <w:top w:w="57" w:type="dxa"/>
              <w:left w:w="57" w:type="dxa"/>
              <w:bottom w:w="57" w:type="dxa"/>
              <w:right w:w="57" w:type="dxa"/>
            </w:tcMar>
            <w:vAlign w:val="center"/>
          </w:tcPr>
          <w:p w14:paraId="447D1ED4" w14:textId="77777777" w:rsidR="0077542C" w:rsidRPr="00881BC8" w:rsidRDefault="0077542C" w:rsidP="0077542C">
            <w:pPr>
              <w:spacing w:after="0"/>
              <w:jc w:val="left"/>
              <w:rPr>
                <w:noProof/>
                <w:sz w:val="20"/>
                <w:szCs w:val="20"/>
              </w:rPr>
            </w:pPr>
          </w:p>
        </w:tc>
        <w:tc>
          <w:tcPr>
            <w:tcW w:w="1489" w:type="dxa"/>
            <w:tcMar>
              <w:top w:w="57" w:type="dxa"/>
              <w:left w:w="57" w:type="dxa"/>
              <w:bottom w:w="57" w:type="dxa"/>
              <w:right w:w="57" w:type="dxa"/>
            </w:tcMar>
            <w:vAlign w:val="center"/>
          </w:tcPr>
          <w:p w14:paraId="0F1475A6" w14:textId="77777777" w:rsidR="0077542C" w:rsidRPr="00881BC8" w:rsidRDefault="0077542C" w:rsidP="0077542C">
            <w:pPr>
              <w:spacing w:after="0"/>
              <w:jc w:val="left"/>
              <w:rPr>
                <w:noProof/>
                <w:sz w:val="20"/>
                <w:szCs w:val="20"/>
              </w:rPr>
            </w:pPr>
          </w:p>
        </w:tc>
      </w:tr>
      <w:tr w:rsidR="0046460B" w:rsidRPr="00881BC8" w14:paraId="58160470" w14:textId="77777777" w:rsidTr="006C696B">
        <w:trPr>
          <w:cantSplit/>
          <w:trHeight w:val="307"/>
        </w:trPr>
        <w:tc>
          <w:tcPr>
            <w:tcW w:w="1204" w:type="dxa"/>
            <w:vMerge/>
            <w:tcMar>
              <w:top w:w="57" w:type="dxa"/>
              <w:left w:w="57" w:type="dxa"/>
              <w:bottom w:w="57" w:type="dxa"/>
              <w:right w:w="57" w:type="dxa"/>
            </w:tcMar>
            <w:vAlign w:val="center"/>
          </w:tcPr>
          <w:p w14:paraId="47959405" w14:textId="77777777" w:rsidR="0046460B" w:rsidRPr="00881BC8" w:rsidRDefault="0046460B" w:rsidP="0046460B">
            <w:pPr>
              <w:spacing w:after="0"/>
              <w:jc w:val="left"/>
              <w:rPr>
                <w:noProof/>
                <w:sz w:val="20"/>
                <w:szCs w:val="20"/>
              </w:rPr>
            </w:pPr>
          </w:p>
        </w:tc>
        <w:tc>
          <w:tcPr>
            <w:tcW w:w="1343" w:type="dxa"/>
            <w:tcBorders>
              <w:right w:val="double" w:sz="4" w:space="0" w:color="auto"/>
            </w:tcBorders>
            <w:tcMar>
              <w:top w:w="57" w:type="dxa"/>
              <w:left w:w="57" w:type="dxa"/>
              <w:bottom w:w="57" w:type="dxa"/>
              <w:right w:w="57" w:type="dxa"/>
            </w:tcMar>
            <w:vAlign w:val="center"/>
          </w:tcPr>
          <w:p w14:paraId="505C52B7" w14:textId="77777777" w:rsidR="0046460B" w:rsidRPr="00881BC8" w:rsidRDefault="0046460B" w:rsidP="0046460B">
            <w:pPr>
              <w:spacing w:after="0"/>
              <w:jc w:val="left"/>
              <w:rPr>
                <w:noProof/>
                <w:sz w:val="20"/>
                <w:szCs w:val="20"/>
              </w:rPr>
            </w:pPr>
            <w:r w:rsidRPr="00881BC8">
              <w:rPr>
                <w:noProof/>
                <w:sz w:val="20"/>
                <w:szCs w:val="20"/>
              </w:rPr>
              <w:t>Direct enforcement costs</w:t>
            </w:r>
          </w:p>
        </w:tc>
        <w:tc>
          <w:tcPr>
            <w:tcW w:w="925" w:type="dxa"/>
            <w:tcBorders>
              <w:left w:val="double" w:sz="4" w:space="0" w:color="auto"/>
            </w:tcBorders>
            <w:tcMar>
              <w:top w:w="57" w:type="dxa"/>
              <w:left w:w="57" w:type="dxa"/>
              <w:bottom w:w="57" w:type="dxa"/>
              <w:right w:w="57" w:type="dxa"/>
            </w:tcMar>
            <w:vAlign w:val="center"/>
          </w:tcPr>
          <w:p w14:paraId="00DE1A97" w14:textId="77777777" w:rsidR="0046460B" w:rsidRPr="00881BC8" w:rsidRDefault="0046460B" w:rsidP="0046460B">
            <w:pPr>
              <w:spacing w:after="0"/>
              <w:jc w:val="left"/>
              <w:rPr>
                <w:noProof/>
                <w:sz w:val="20"/>
                <w:szCs w:val="20"/>
              </w:rPr>
            </w:pPr>
          </w:p>
        </w:tc>
        <w:tc>
          <w:tcPr>
            <w:tcW w:w="851" w:type="dxa"/>
            <w:tcMar>
              <w:top w:w="57" w:type="dxa"/>
              <w:left w:w="57" w:type="dxa"/>
              <w:bottom w:w="57" w:type="dxa"/>
              <w:right w:w="57" w:type="dxa"/>
            </w:tcMar>
            <w:vAlign w:val="center"/>
          </w:tcPr>
          <w:p w14:paraId="63AEB9BE" w14:textId="77777777" w:rsidR="0046460B" w:rsidRPr="00881BC8" w:rsidRDefault="0046460B" w:rsidP="0046460B">
            <w:pPr>
              <w:spacing w:after="0"/>
              <w:jc w:val="left"/>
              <w:rPr>
                <w:noProof/>
                <w:sz w:val="20"/>
                <w:szCs w:val="20"/>
              </w:rPr>
            </w:pPr>
          </w:p>
        </w:tc>
        <w:tc>
          <w:tcPr>
            <w:tcW w:w="1417" w:type="dxa"/>
            <w:tcMar>
              <w:top w:w="57" w:type="dxa"/>
              <w:left w:w="57" w:type="dxa"/>
              <w:bottom w:w="57" w:type="dxa"/>
              <w:right w:w="57" w:type="dxa"/>
            </w:tcMar>
            <w:vAlign w:val="center"/>
          </w:tcPr>
          <w:p w14:paraId="41189247" w14:textId="77777777" w:rsidR="0046460B" w:rsidRPr="00881BC8" w:rsidRDefault="0046460B" w:rsidP="0046460B">
            <w:pPr>
              <w:spacing w:after="0"/>
              <w:jc w:val="left"/>
              <w:rPr>
                <w:noProof/>
                <w:sz w:val="20"/>
                <w:szCs w:val="20"/>
              </w:rPr>
            </w:pPr>
          </w:p>
        </w:tc>
        <w:tc>
          <w:tcPr>
            <w:tcW w:w="1559" w:type="dxa"/>
            <w:tcMar>
              <w:top w:w="57" w:type="dxa"/>
              <w:left w:w="57" w:type="dxa"/>
              <w:bottom w:w="57" w:type="dxa"/>
              <w:right w:w="57" w:type="dxa"/>
            </w:tcMar>
            <w:vAlign w:val="center"/>
          </w:tcPr>
          <w:p w14:paraId="66B09471" w14:textId="7E999F6C" w:rsidR="0046460B" w:rsidRPr="00881BC8" w:rsidRDefault="0046460B" w:rsidP="0046460B">
            <w:pPr>
              <w:spacing w:after="0"/>
              <w:jc w:val="left"/>
              <w:rPr>
                <w:noProof/>
                <w:sz w:val="20"/>
                <w:szCs w:val="20"/>
              </w:rPr>
            </w:pPr>
          </w:p>
        </w:tc>
        <w:tc>
          <w:tcPr>
            <w:tcW w:w="1418" w:type="dxa"/>
            <w:tcMar>
              <w:top w:w="57" w:type="dxa"/>
              <w:left w:w="57" w:type="dxa"/>
              <w:bottom w:w="57" w:type="dxa"/>
              <w:right w:w="57" w:type="dxa"/>
            </w:tcMar>
            <w:vAlign w:val="center"/>
          </w:tcPr>
          <w:p w14:paraId="1F3BAD69" w14:textId="5A5BC128" w:rsidR="0046460B" w:rsidRPr="00881BC8" w:rsidRDefault="0046460B" w:rsidP="0046460B">
            <w:pPr>
              <w:spacing w:after="0"/>
              <w:jc w:val="left"/>
              <w:rPr>
                <w:noProof/>
                <w:sz w:val="20"/>
                <w:szCs w:val="20"/>
              </w:rPr>
            </w:pPr>
            <w:r w:rsidRPr="00881BC8">
              <w:rPr>
                <w:noProof/>
                <w:sz w:val="20"/>
                <w:szCs w:val="20"/>
              </w:rPr>
              <w:t xml:space="preserve">Negligible cost </w:t>
            </w:r>
            <w:r w:rsidR="00EB6FD0" w:rsidRPr="00881BC8">
              <w:rPr>
                <w:noProof/>
                <w:sz w:val="20"/>
                <w:szCs w:val="20"/>
              </w:rPr>
              <w:t>assumed based on</w:t>
            </w:r>
            <w:r w:rsidR="005B140F" w:rsidRPr="00881BC8">
              <w:rPr>
                <w:noProof/>
                <w:sz w:val="20"/>
                <w:szCs w:val="20"/>
              </w:rPr>
              <w:t xml:space="preserve"> input from public authorities into</w:t>
            </w:r>
            <w:r w:rsidRPr="00881BC8">
              <w:rPr>
                <w:noProof/>
                <w:sz w:val="20"/>
                <w:szCs w:val="20"/>
              </w:rPr>
              <w:t xml:space="preserve"> </w:t>
            </w:r>
            <w:r w:rsidR="00EB6FD0" w:rsidRPr="00881BC8">
              <w:rPr>
                <w:noProof/>
                <w:sz w:val="20"/>
                <w:szCs w:val="20"/>
              </w:rPr>
              <w:t xml:space="preserve">the </w:t>
            </w:r>
            <w:r w:rsidRPr="00881BC8">
              <w:rPr>
                <w:noProof/>
                <w:sz w:val="20"/>
                <w:szCs w:val="20"/>
              </w:rPr>
              <w:t>Evaluation study 2015.</w:t>
            </w:r>
          </w:p>
        </w:tc>
        <w:tc>
          <w:tcPr>
            <w:tcW w:w="1489" w:type="dxa"/>
            <w:tcMar>
              <w:top w:w="57" w:type="dxa"/>
              <w:left w:w="57" w:type="dxa"/>
              <w:bottom w:w="57" w:type="dxa"/>
              <w:right w:w="57" w:type="dxa"/>
            </w:tcMar>
            <w:vAlign w:val="center"/>
          </w:tcPr>
          <w:p w14:paraId="4F78605F" w14:textId="043B28E6" w:rsidR="0046460B" w:rsidRPr="00881BC8" w:rsidRDefault="0065322F" w:rsidP="0046460B">
            <w:pPr>
              <w:spacing w:after="0"/>
              <w:jc w:val="left"/>
              <w:rPr>
                <w:noProof/>
                <w:sz w:val="20"/>
                <w:szCs w:val="20"/>
              </w:rPr>
            </w:pPr>
            <w:r w:rsidRPr="00881BC8">
              <w:rPr>
                <w:noProof/>
                <w:sz w:val="20"/>
                <w:szCs w:val="20"/>
              </w:rPr>
              <w:t>Verification of purchases withing 30 days can be covered with existing resources – no additional cost under business-as-usual scenario.</w:t>
            </w:r>
          </w:p>
        </w:tc>
      </w:tr>
      <w:tr w:rsidR="0046460B" w:rsidRPr="00881BC8" w14:paraId="759D0435" w14:textId="77777777" w:rsidTr="006C696B">
        <w:trPr>
          <w:cantSplit/>
        </w:trPr>
        <w:tc>
          <w:tcPr>
            <w:tcW w:w="1204" w:type="dxa"/>
            <w:vMerge/>
            <w:tcBorders>
              <w:bottom w:val="double" w:sz="4" w:space="0" w:color="auto"/>
            </w:tcBorders>
            <w:tcMar>
              <w:top w:w="57" w:type="dxa"/>
              <w:left w:w="57" w:type="dxa"/>
              <w:bottom w:w="57" w:type="dxa"/>
              <w:right w:w="57" w:type="dxa"/>
            </w:tcMar>
          </w:tcPr>
          <w:p w14:paraId="5FB5140D" w14:textId="77777777" w:rsidR="0046460B" w:rsidRPr="00881BC8" w:rsidRDefault="0046460B" w:rsidP="0046460B">
            <w:pPr>
              <w:spacing w:after="0"/>
              <w:jc w:val="left"/>
              <w:rPr>
                <w:noProof/>
                <w:sz w:val="20"/>
                <w:szCs w:val="20"/>
              </w:rPr>
            </w:pPr>
          </w:p>
        </w:tc>
        <w:tc>
          <w:tcPr>
            <w:tcW w:w="1343" w:type="dxa"/>
            <w:tcBorders>
              <w:bottom w:val="double" w:sz="4" w:space="0" w:color="auto"/>
              <w:right w:val="double" w:sz="4" w:space="0" w:color="auto"/>
            </w:tcBorders>
            <w:tcMar>
              <w:top w:w="57" w:type="dxa"/>
              <w:left w:w="57" w:type="dxa"/>
              <w:bottom w:w="57" w:type="dxa"/>
              <w:right w:w="57" w:type="dxa"/>
            </w:tcMar>
          </w:tcPr>
          <w:p w14:paraId="40CF2EFC" w14:textId="77777777" w:rsidR="0046460B" w:rsidRPr="00881BC8" w:rsidRDefault="0046460B" w:rsidP="0046460B">
            <w:pPr>
              <w:spacing w:after="0"/>
              <w:jc w:val="left"/>
              <w:rPr>
                <w:noProof/>
                <w:sz w:val="20"/>
                <w:szCs w:val="20"/>
              </w:rPr>
            </w:pPr>
            <w:r w:rsidRPr="00881BC8">
              <w:rPr>
                <w:noProof/>
                <w:sz w:val="20"/>
                <w:szCs w:val="20"/>
              </w:rPr>
              <w:t>Indirect costs</w:t>
            </w:r>
          </w:p>
        </w:tc>
        <w:tc>
          <w:tcPr>
            <w:tcW w:w="925" w:type="dxa"/>
            <w:tcBorders>
              <w:left w:val="double" w:sz="4" w:space="0" w:color="auto"/>
              <w:bottom w:val="double" w:sz="4" w:space="0" w:color="auto"/>
            </w:tcBorders>
            <w:tcMar>
              <w:top w:w="57" w:type="dxa"/>
              <w:left w:w="57" w:type="dxa"/>
              <w:bottom w:w="57" w:type="dxa"/>
              <w:right w:w="57" w:type="dxa"/>
            </w:tcMar>
          </w:tcPr>
          <w:p w14:paraId="674A417A" w14:textId="77777777" w:rsidR="0046460B" w:rsidRPr="00881BC8" w:rsidRDefault="0046460B" w:rsidP="0046460B">
            <w:pPr>
              <w:spacing w:after="0"/>
              <w:jc w:val="left"/>
              <w:rPr>
                <w:noProof/>
                <w:sz w:val="20"/>
                <w:szCs w:val="20"/>
              </w:rPr>
            </w:pPr>
          </w:p>
        </w:tc>
        <w:tc>
          <w:tcPr>
            <w:tcW w:w="851" w:type="dxa"/>
            <w:tcBorders>
              <w:bottom w:val="double" w:sz="4" w:space="0" w:color="auto"/>
            </w:tcBorders>
            <w:tcMar>
              <w:top w:w="57" w:type="dxa"/>
              <w:left w:w="57" w:type="dxa"/>
              <w:bottom w:w="57" w:type="dxa"/>
              <w:right w:w="57" w:type="dxa"/>
            </w:tcMar>
          </w:tcPr>
          <w:p w14:paraId="26BECD8C" w14:textId="77777777" w:rsidR="0046460B" w:rsidRPr="00881BC8" w:rsidRDefault="0046460B" w:rsidP="0046460B">
            <w:pPr>
              <w:spacing w:after="0"/>
              <w:jc w:val="left"/>
              <w:rPr>
                <w:noProof/>
                <w:sz w:val="20"/>
                <w:szCs w:val="20"/>
              </w:rPr>
            </w:pPr>
          </w:p>
        </w:tc>
        <w:tc>
          <w:tcPr>
            <w:tcW w:w="1417" w:type="dxa"/>
            <w:tcBorders>
              <w:bottom w:val="double" w:sz="4" w:space="0" w:color="auto"/>
            </w:tcBorders>
            <w:tcMar>
              <w:top w:w="57" w:type="dxa"/>
              <w:left w:w="57" w:type="dxa"/>
              <w:bottom w:w="57" w:type="dxa"/>
              <w:right w:w="57" w:type="dxa"/>
            </w:tcMar>
          </w:tcPr>
          <w:p w14:paraId="00E040BD" w14:textId="77777777" w:rsidR="0046460B" w:rsidRPr="00881BC8" w:rsidRDefault="0046460B" w:rsidP="0046460B">
            <w:pPr>
              <w:spacing w:after="0"/>
              <w:jc w:val="left"/>
              <w:rPr>
                <w:noProof/>
                <w:sz w:val="20"/>
                <w:szCs w:val="20"/>
              </w:rPr>
            </w:pPr>
          </w:p>
        </w:tc>
        <w:tc>
          <w:tcPr>
            <w:tcW w:w="1559" w:type="dxa"/>
            <w:tcBorders>
              <w:bottom w:val="double" w:sz="4" w:space="0" w:color="auto"/>
            </w:tcBorders>
            <w:tcMar>
              <w:top w:w="57" w:type="dxa"/>
              <w:left w:w="57" w:type="dxa"/>
              <w:bottom w:w="57" w:type="dxa"/>
              <w:right w:w="57" w:type="dxa"/>
            </w:tcMar>
          </w:tcPr>
          <w:p w14:paraId="36205413" w14:textId="77777777" w:rsidR="0046460B" w:rsidRPr="00881BC8" w:rsidRDefault="0046460B" w:rsidP="0046460B">
            <w:pPr>
              <w:spacing w:after="0"/>
              <w:jc w:val="left"/>
              <w:rPr>
                <w:noProof/>
                <w:sz w:val="20"/>
                <w:szCs w:val="20"/>
              </w:rPr>
            </w:pPr>
          </w:p>
        </w:tc>
        <w:tc>
          <w:tcPr>
            <w:tcW w:w="1418" w:type="dxa"/>
            <w:tcBorders>
              <w:bottom w:val="double" w:sz="4" w:space="0" w:color="auto"/>
            </w:tcBorders>
            <w:tcMar>
              <w:top w:w="57" w:type="dxa"/>
              <w:left w:w="57" w:type="dxa"/>
              <w:bottom w:w="57" w:type="dxa"/>
              <w:right w:w="57" w:type="dxa"/>
            </w:tcMar>
          </w:tcPr>
          <w:p w14:paraId="11462656" w14:textId="77777777" w:rsidR="0046460B" w:rsidRPr="00881BC8" w:rsidRDefault="0046460B" w:rsidP="0046460B">
            <w:pPr>
              <w:spacing w:after="0"/>
              <w:jc w:val="left"/>
              <w:rPr>
                <w:noProof/>
                <w:sz w:val="20"/>
                <w:szCs w:val="20"/>
              </w:rPr>
            </w:pPr>
          </w:p>
        </w:tc>
        <w:tc>
          <w:tcPr>
            <w:tcW w:w="1489" w:type="dxa"/>
            <w:tcBorders>
              <w:bottom w:val="double" w:sz="4" w:space="0" w:color="auto"/>
            </w:tcBorders>
            <w:tcMar>
              <w:top w:w="57" w:type="dxa"/>
              <w:left w:w="57" w:type="dxa"/>
              <w:bottom w:w="57" w:type="dxa"/>
              <w:right w:w="57" w:type="dxa"/>
            </w:tcMar>
          </w:tcPr>
          <w:p w14:paraId="4B39707B" w14:textId="77777777" w:rsidR="0046460B" w:rsidRPr="00881BC8" w:rsidRDefault="0046460B" w:rsidP="0046460B">
            <w:pPr>
              <w:spacing w:after="0"/>
              <w:jc w:val="left"/>
              <w:rPr>
                <w:noProof/>
                <w:sz w:val="20"/>
                <w:szCs w:val="20"/>
              </w:rPr>
            </w:pPr>
          </w:p>
        </w:tc>
      </w:tr>
      <w:tr w:rsidR="0046460B" w:rsidRPr="00881BC8" w14:paraId="5F015173" w14:textId="77777777" w:rsidTr="006C696B">
        <w:trPr>
          <w:cantSplit/>
        </w:trPr>
        <w:tc>
          <w:tcPr>
            <w:tcW w:w="1204" w:type="dxa"/>
            <w:tcBorders>
              <w:bottom w:val="double" w:sz="4" w:space="0" w:color="auto"/>
            </w:tcBorders>
            <w:tcMar>
              <w:top w:w="57" w:type="dxa"/>
              <w:left w:w="57" w:type="dxa"/>
              <w:bottom w:w="57" w:type="dxa"/>
              <w:right w:w="57" w:type="dxa"/>
            </w:tcMar>
          </w:tcPr>
          <w:p w14:paraId="586DEF4B" w14:textId="7AD6B4AF" w:rsidR="0046460B" w:rsidRPr="00881BC8" w:rsidRDefault="0046460B" w:rsidP="0046460B">
            <w:pPr>
              <w:tabs>
                <w:tab w:val="left" w:pos="170"/>
              </w:tabs>
              <w:spacing w:after="0"/>
              <w:jc w:val="left"/>
              <w:rPr>
                <w:noProof/>
                <w:sz w:val="20"/>
                <w:szCs w:val="20"/>
              </w:rPr>
            </w:pPr>
            <w:r w:rsidRPr="00881BC8">
              <w:rPr>
                <w:noProof/>
                <w:sz w:val="20"/>
                <w:szCs w:val="20"/>
              </w:rPr>
              <w:t>MS facilitate availability and access of SMEs to credit</w:t>
            </w:r>
            <w:r w:rsidR="002E552C" w:rsidRPr="00881BC8">
              <w:rPr>
                <w:noProof/>
                <w:sz w:val="20"/>
                <w:szCs w:val="20"/>
              </w:rPr>
              <w:t xml:space="preserve"> </w:t>
            </w:r>
            <w:r w:rsidRPr="00881BC8">
              <w:rPr>
                <w:noProof/>
                <w:sz w:val="20"/>
                <w:szCs w:val="20"/>
              </w:rPr>
              <w:t>management and financial</w:t>
            </w:r>
            <w:r w:rsidR="009D11D4" w:rsidRPr="00881BC8">
              <w:rPr>
                <w:noProof/>
                <w:sz w:val="20"/>
                <w:szCs w:val="20"/>
              </w:rPr>
              <w:t xml:space="preserve"> / digital</w:t>
            </w:r>
            <w:r w:rsidRPr="00881BC8">
              <w:rPr>
                <w:noProof/>
                <w:sz w:val="20"/>
                <w:szCs w:val="20"/>
              </w:rPr>
              <w:t xml:space="preserve"> literacy training</w:t>
            </w:r>
          </w:p>
          <w:p w14:paraId="0C81FB66" w14:textId="77777777" w:rsidR="0046460B" w:rsidRPr="00881BC8" w:rsidRDefault="0046460B" w:rsidP="0046460B">
            <w:pPr>
              <w:spacing w:after="0"/>
              <w:jc w:val="left"/>
              <w:rPr>
                <w:noProof/>
                <w:sz w:val="20"/>
                <w:szCs w:val="20"/>
              </w:rPr>
            </w:pPr>
          </w:p>
        </w:tc>
        <w:tc>
          <w:tcPr>
            <w:tcW w:w="1343" w:type="dxa"/>
            <w:tcBorders>
              <w:bottom w:val="double" w:sz="4" w:space="0" w:color="auto"/>
              <w:right w:val="double" w:sz="4" w:space="0" w:color="auto"/>
            </w:tcBorders>
            <w:tcMar>
              <w:top w:w="57" w:type="dxa"/>
              <w:left w:w="57" w:type="dxa"/>
              <w:bottom w:w="57" w:type="dxa"/>
              <w:right w:w="57" w:type="dxa"/>
            </w:tcMar>
            <w:vAlign w:val="center"/>
          </w:tcPr>
          <w:p w14:paraId="719621C9" w14:textId="77777777" w:rsidR="0046460B" w:rsidRPr="00881BC8" w:rsidRDefault="0046460B" w:rsidP="0046460B">
            <w:pPr>
              <w:spacing w:after="0"/>
              <w:jc w:val="left"/>
              <w:rPr>
                <w:noProof/>
                <w:sz w:val="20"/>
                <w:szCs w:val="20"/>
              </w:rPr>
            </w:pPr>
            <w:r w:rsidRPr="00881BC8">
              <w:rPr>
                <w:noProof/>
                <w:sz w:val="20"/>
                <w:szCs w:val="20"/>
              </w:rPr>
              <w:t>Direct adjustment costs</w:t>
            </w:r>
          </w:p>
        </w:tc>
        <w:tc>
          <w:tcPr>
            <w:tcW w:w="925" w:type="dxa"/>
            <w:tcBorders>
              <w:left w:val="double" w:sz="4" w:space="0" w:color="auto"/>
              <w:bottom w:val="double" w:sz="4" w:space="0" w:color="auto"/>
            </w:tcBorders>
            <w:tcMar>
              <w:top w:w="57" w:type="dxa"/>
              <w:left w:w="57" w:type="dxa"/>
              <w:bottom w:w="57" w:type="dxa"/>
              <w:right w:w="57" w:type="dxa"/>
            </w:tcMar>
          </w:tcPr>
          <w:p w14:paraId="279B22E4" w14:textId="77777777" w:rsidR="0046460B" w:rsidRPr="00881BC8" w:rsidRDefault="0046460B" w:rsidP="0046460B">
            <w:pPr>
              <w:spacing w:after="0"/>
              <w:jc w:val="left"/>
              <w:rPr>
                <w:noProof/>
                <w:sz w:val="20"/>
                <w:szCs w:val="20"/>
              </w:rPr>
            </w:pPr>
          </w:p>
        </w:tc>
        <w:tc>
          <w:tcPr>
            <w:tcW w:w="851" w:type="dxa"/>
            <w:tcBorders>
              <w:bottom w:val="double" w:sz="4" w:space="0" w:color="auto"/>
            </w:tcBorders>
            <w:tcMar>
              <w:top w:w="57" w:type="dxa"/>
              <w:left w:w="57" w:type="dxa"/>
              <w:bottom w:w="57" w:type="dxa"/>
              <w:right w:w="57" w:type="dxa"/>
            </w:tcMar>
          </w:tcPr>
          <w:p w14:paraId="05965CDF" w14:textId="77777777" w:rsidR="0046460B" w:rsidRPr="00881BC8" w:rsidRDefault="0046460B" w:rsidP="0046460B">
            <w:pPr>
              <w:spacing w:after="0"/>
              <w:jc w:val="left"/>
              <w:rPr>
                <w:noProof/>
                <w:sz w:val="20"/>
                <w:szCs w:val="20"/>
              </w:rPr>
            </w:pPr>
          </w:p>
        </w:tc>
        <w:tc>
          <w:tcPr>
            <w:tcW w:w="1417" w:type="dxa"/>
            <w:tcBorders>
              <w:bottom w:val="double" w:sz="4" w:space="0" w:color="auto"/>
            </w:tcBorders>
            <w:tcMar>
              <w:top w:w="57" w:type="dxa"/>
              <w:left w:w="57" w:type="dxa"/>
              <w:bottom w:w="57" w:type="dxa"/>
              <w:right w:w="57" w:type="dxa"/>
            </w:tcMar>
          </w:tcPr>
          <w:p w14:paraId="74759AE5" w14:textId="77777777" w:rsidR="0046460B" w:rsidRPr="00881BC8" w:rsidRDefault="0046460B" w:rsidP="0046460B">
            <w:pPr>
              <w:spacing w:after="0"/>
              <w:jc w:val="left"/>
              <w:rPr>
                <w:noProof/>
                <w:sz w:val="20"/>
                <w:szCs w:val="20"/>
              </w:rPr>
            </w:pPr>
          </w:p>
        </w:tc>
        <w:tc>
          <w:tcPr>
            <w:tcW w:w="1559" w:type="dxa"/>
            <w:tcBorders>
              <w:bottom w:val="double" w:sz="4" w:space="0" w:color="auto"/>
            </w:tcBorders>
            <w:tcMar>
              <w:top w:w="57" w:type="dxa"/>
              <w:left w:w="57" w:type="dxa"/>
              <w:bottom w:w="57" w:type="dxa"/>
              <w:right w:w="57" w:type="dxa"/>
            </w:tcMar>
          </w:tcPr>
          <w:p w14:paraId="5EC432C2" w14:textId="77777777" w:rsidR="0046460B" w:rsidRPr="00881BC8" w:rsidRDefault="0046460B" w:rsidP="0046460B">
            <w:pPr>
              <w:spacing w:after="0"/>
              <w:jc w:val="left"/>
              <w:rPr>
                <w:noProof/>
                <w:sz w:val="20"/>
                <w:szCs w:val="20"/>
              </w:rPr>
            </w:pPr>
          </w:p>
        </w:tc>
        <w:tc>
          <w:tcPr>
            <w:tcW w:w="1418" w:type="dxa"/>
            <w:tcBorders>
              <w:bottom w:val="double" w:sz="4" w:space="0" w:color="auto"/>
            </w:tcBorders>
            <w:tcMar>
              <w:top w:w="57" w:type="dxa"/>
              <w:left w:w="57" w:type="dxa"/>
              <w:bottom w:w="57" w:type="dxa"/>
              <w:right w:w="57" w:type="dxa"/>
            </w:tcMar>
          </w:tcPr>
          <w:p w14:paraId="27DC2826" w14:textId="5A3EE62F" w:rsidR="0046460B" w:rsidRPr="00881BC8" w:rsidRDefault="0046460B" w:rsidP="0046460B">
            <w:pPr>
              <w:spacing w:after="0"/>
              <w:jc w:val="left"/>
              <w:rPr>
                <w:noProof/>
                <w:sz w:val="20"/>
                <w:szCs w:val="20"/>
              </w:rPr>
            </w:pPr>
          </w:p>
        </w:tc>
        <w:tc>
          <w:tcPr>
            <w:tcW w:w="1489" w:type="dxa"/>
            <w:tcBorders>
              <w:bottom w:val="double" w:sz="4" w:space="0" w:color="auto"/>
            </w:tcBorders>
            <w:tcMar>
              <w:top w:w="57" w:type="dxa"/>
              <w:left w:w="57" w:type="dxa"/>
              <w:bottom w:w="57" w:type="dxa"/>
              <w:right w:w="57" w:type="dxa"/>
            </w:tcMar>
          </w:tcPr>
          <w:p w14:paraId="43FD1451" w14:textId="44C87BB7" w:rsidR="0046460B" w:rsidRPr="00881BC8" w:rsidRDefault="0046460B" w:rsidP="0046460B">
            <w:pPr>
              <w:spacing w:after="0"/>
              <w:jc w:val="left"/>
              <w:rPr>
                <w:noProof/>
                <w:sz w:val="20"/>
                <w:szCs w:val="20"/>
              </w:rPr>
            </w:pPr>
            <w:r w:rsidRPr="00881BC8">
              <w:rPr>
                <w:noProof/>
                <w:sz w:val="20"/>
                <w:szCs w:val="20"/>
              </w:rPr>
              <w:t>Cost to run training programmes and information campaigns. These costs are not quantified because they will depend on choices and arrangements made by Member States</w:t>
            </w:r>
            <w:r w:rsidR="003F318B" w:rsidRPr="00881BC8">
              <w:rPr>
                <w:noProof/>
                <w:sz w:val="20"/>
                <w:szCs w:val="20"/>
              </w:rPr>
              <w:t>.</w:t>
            </w:r>
          </w:p>
        </w:tc>
      </w:tr>
      <w:tr w:rsidR="0046460B" w:rsidRPr="00881BC8" w14:paraId="6F0FAB07" w14:textId="77777777" w:rsidTr="006C696B">
        <w:trPr>
          <w:cantSplit/>
        </w:trPr>
        <w:tc>
          <w:tcPr>
            <w:tcW w:w="1204" w:type="dxa"/>
            <w:tcBorders>
              <w:bottom w:val="double" w:sz="4" w:space="0" w:color="auto"/>
            </w:tcBorders>
            <w:tcMar>
              <w:top w:w="57" w:type="dxa"/>
              <w:left w:w="57" w:type="dxa"/>
              <w:bottom w:w="57" w:type="dxa"/>
              <w:right w:w="57" w:type="dxa"/>
            </w:tcMar>
          </w:tcPr>
          <w:p w14:paraId="509E8371" w14:textId="77777777" w:rsidR="0046460B" w:rsidRPr="00881BC8" w:rsidRDefault="0046460B" w:rsidP="0046460B">
            <w:pPr>
              <w:spacing w:after="0"/>
              <w:jc w:val="left"/>
              <w:rPr>
                <w:noProof/>
                <w:sz w:val="20"/>
                <w:szCs w:val="20"/>
              </w:rPr>
            </w:pPr>
          </w:p>
        </w:tc>
        <w:tc>
          <w:tcPr>
            <w:tcW w:w="1343" w:type="dxa"/>
            <w:tcBorders>
              <w:bottom w:val="double" w:sz="4" w:space="0" w:color="auto"/>
              <w:right w:val="double" w:sz="4" w:space="0" w:color="auto"/>
            </w:tcBorders>
            <w:tcMar>
              <w:top w:w="57" w:type="dxa"/>
              <w:left w:w="57" w:type="dxa"/>
              <w:bottom w:w="57" w:type="dxa"/>
              <w:right w:w="57" w:type="dxa"/>
            </w:tcMar>
            <w:vAlign w:val="center"/>
          </w:tcPr>
          <w:p w14:paraId="6C2557A5" w14:textId="77777777" w:rsidR="0046460B" w:rsidRPr="00881BC8" w:rsidRDefault="0046460B" w:rsidP="0046460B">
            <w:pPr>
              <w:spacing w:after="0"/>
              <w:jc w:val="left"/>
              <w:rPr>
                <w:noProof/>
                <w:sz w:val="20"/>
                <w:szCs w:val="20"/>
              </w:rPr>
            </w:pPr>
            <w:r w:rsidRPr="00881BC8">
              <w:rPr>
                <w:noProof/>
                <w:sz w:val="20"/>
                <w:szCs w:val="20"/>
              </w:rPr>
              <w:t>Direct administrative costs</w:t>
            </w:r>
          </w:p>
        </w:tc>
        <w:tc>
          <w:tcPr>
            <w:tcW w:w="925" w:type="dxa"/>
            <w:tcBorders>
              <w:left w:val="double" w:sz="4" w:space="0" w:color="auto"/>
              <w:bottom w:val="double" w:sz="4" w:space="0" w:color="auto"/>
            </w:tcBorders>
            <w:tcMar>
              <w:top w:w="57" w:type="dxa"/>
              <w:left w:w="57" w:type="dxa"/>
              <w:bottom w:w="57" w:type="dxa"/>
              <w:right w:w="57" w:type="dxa"/>
            </w:tcMar>
          </w:tcPr>
          <w:p w14:paraId="6FA04DB9" w14:textId="77777777" w:rsidR="0046460B" w:rsidRPr="00881BC8" w:rsidRDefault="0046460B" w:rsidP="0046460B">
            <w:pPr>
              <w:spacing w:after="0"/>
              <w:jc w:val="left"/>
              <w:rPr>
                <w:noProof/>
                <w:sz w:val="20"/>
                <w:szCs w:val="20"/>
              </w:rPr>
            </w:pPr>
          </w:p>
        </w:tc>
        <w:tc>
          <w:tcPr>
            <w:tcW w:w="851" w:type="dxa"/>
            <w:tcBorders>
              <w:bottom w:val="double" w:sz="4" w:space="0" w:color="auto"/>
            </w:tcBorders>
            <w:tcMar>
              <w:top w:w="57" w:type="dxa"/>
              <w:left w:w="57" w:type="dxa"/>
              <w:bottom w:w="57" w:type="dxa"/>
              <w:right w:w="57" w:type="dxa"/>
            </w:tcMar>
          </w:tcPr>
          <w:p w14:paraId="73D2AAEA" w14:textId="77777777" w:rsidR="0046460B" w:rsidRPr="00881BC8" w:rsidRDefault="0046460B" w:rsidP="0046460B">
            <w:pPr>
              <w:spacing w:after="0"/>
              <w:jc w:val="left"/>
              <w:rPr>
                <w:noProof/>
                <w:sz w:val="20"/>
                <w:szCs w:val="20"/>
              </w:rPr>
            </w:pPr>
          </w:p>
        </w:tc>
        <w:tc>
          <w:tcPr>
            <w:tcW w:w="1417" w:type="dxa"/>
            <w:tcBorders>
              <w:bottom w:val="double" w:sz="4" w:space="0" w:color="auto"/>
            </w:tcBorders>
            <w:tcMar>
              <w:top w:w="57" w:type="dxa"/>
              <w:left w:w="57" w:type="dxa"/>
              <w:bottom w:w="57" w:type="dxa"/>
              <w:right w:w="57" w:type="dxa"/>
            </w:tcMar>
          </w:tcPr>
          <w:p w14:paraId="73F3C4D2" w14:textId="77777777" w:rsidR="0046460B" w:rsidRPr="00881BC8" w:rsidRDefault="0046460B" w:rsidP="0046460B">
            <w:pPr>
              <w:spacing w:after="0"/>
              <w:jc w:val="left"/>
              <w:rPr>
                <w:noProof/>
                <w:sz w:val="20"/>
                <w:szCs w:val="20"/>
              </w:rPr>
            </w:pPr>
          </w:p>
        </w:tc>
        <w:tc>
          <w:tcPr>
            <w:tcW w:w="1559" w:type="dxa"/>
            <w:tcBorders>
              <w:bottom w:val="double" w:sz="4" w:space="0" w:color="auto"/>
            </w:tcBorders>
            <w:tcMar>
              <w:top w:w="57" w:type="dxa"/>
              <w:left w:w="57" w:type="dxa"/>
              <w:bottom w:w="57" w:type="dxa"/>
              <w:right w:w="57" w:type="dxa"/>
            </w:tcMar>
          </w:tcPr>
          <w:p w14:paraId="69D2A931" w14:textId="77777777" w:rsidR="0046460B" w:rsidRPr="00881BC8" w:rsidRDefault="0046460B" w:rsidP="0046460B">
            <w:pPr>
              <w:spacing w:after="0"/>
              <w:jc w:val="left"/>
              <w:rPr>
                <w:noProof/>
                <w:sz w:val="20"/>
                <w:szCs w:val="20"/>
              </w:rPr>
            </w:pPr>
          </w:p>
        </w:tc>
        <w:tc>
          <w:tcPr>
            <w:tcW w:w="1418" w:type="dxa"/>
            <w:tcBorders>
              <w:bottom w:val="double" w:sz="4" w:space="0" w:color="auto"/>
            </w:tcBorders>
            <w:tcMar>
              <w:top w:w="57" w:type="dxa"/>
              <w:left w:w="57" w:type="dxa"/>
              <w:bottom w:w="57" w:type="dxa"/>
              <w:right w:w="57" w:type="dxa"/>
            </w:tcMar>
          </w:tcPr>
          <w:p w14:paraId="51B1B536" w14:textId="77777777" w:rsidR="0046460B" w:rsidRPr="00881BC8" w:rsidRDefault="0046460B" w:rsidP="0046460B">
            <w:pPr>
              <w:spacing w:after="0"/>
              <w:jc w:val="left"/>
              <w:rPr>
                <w:noProof/>
                <w:sz w:val="20"/>
                <w:szCs w:val="20"/>
              </w:rPr>
            </w:pPr>
          </w:p>
        </w:tc>
        <w:tc>
          <w:tcPr>
            <w:tcW w:w="1489" w:type="dxa"/>
            <w:tcBorders>
              <w:bottom w:val="double" w:sz="4" w:space="0" w:color="auto"/>
            </w:tcBorders>
            <w:tcMar>
              <w:top w:w="57" w:type="dxa"/>
              <w:left w:w="57" w:type="dxa"/>
              <w:bottom w:w="57" w:type="dxa"/>
              <w:right w:w="57" w:type="dxa"/>
            </w:tcMar>
          </w:tcPr>
          <w:p w14:paraId="2981AE7D" w14:textId="62A11CF8" w:rsidR="0046460B" w:rsidRPr="00881BC8" w:rsidRDefault="0046460B" w:rsidP="0046460B">
            <w:pPr>
              <w:spacing w:after="0"/>
              <w:jc w:val="left"/>
              <w:rPr>
                <w:noProof/>
                <w:sz w:val="20"/>
                <w:szCs w:val="20"/>
              </w:rPr>
            </w:pPr>
          </w:p>
        </w:tc>
      </w:tr>
      <w:tr w:rsidR="0046460B" w:rsidRPr="00881BC8" w14:paraId="7A111E7F" w14:textId="77777777" w:rsidTr="006C696B">
        <w:trPr>
          <w:cantSplit/>
        </w:trPr>
        <w:tc>
          <w:tcPr>
            <w:tcW w:w="1204" w:type="dxa"/>
            <w:tcBorders>
              <w:bottom w:val="double" w:sz="4" w:space="0" w:color="auto"/>
            </w:tcBorders>
            <w:tcMar>
              <w:top w:w="57" w:type="dxa"/>
              <w:left w:w="57" w:type="dxa"/>
              <w:bottom w:w="57" w:type="dxa"/>
              <w:right w:w="57" w:type="dxa"/>
            </w:tcMar>
          </w:tcPr>
          <w:p w14:paraId="47211F88" w14:textId="77777777" w:rsidR="0046460B" w:rsidRPr="00881BC8" w:rsidRDefault="0046460B" w:rsidP="0046460B">
            <w:pPr>
              <w:spacing w:after="0"/>
              <w:jc w:val="left"/>
              <w:rPr>
                <w:noProof/>
                <w:sz w:val="20"/>
                <w:szCs w:val="20"/>
              </w:rPr>
            </w:pPr>
          </w:p>
        </w:tc>
        <w:tc>
          <w:tcPr>
            <w:tcW w:w="1343" w:type="dxa"/>
            <w:tcBorders>
              <w:bottom w:val="double" w:sz="4" w:space="0" w:color="auto"/>
              <w:right w:val="double" w:sz="4" w:space="0" w:color="auto"/>
            </w:tcBorders>
            <w:tcMar>
              <w:top w:w="57" w:type="dxa"/>
              <w:left w:w="57" w:type="dxa"/>
              <w:bottom w:w="57" w:type="dxa"/>
              <w:right w:w="57" w:type="dxa"/>
            </w:tcMar>
            <w:vAlign w:val="center"/>
          </w:tcPr>
          <w:p w14:paraId="5CC38523" w14:textId="77777777" w:rsidR="0046460B" w:rsidRPr="00881BC8" w:rsidRDefault="0046460B" w:rsidP="0046460B">
            <w:pPr>
              <w:spacing w:after="0"/>
              <w:jc w:val="left"/>
              <w:rPr>
                <w:noProof/>
                <w:sz w:val="20"/>
                <w:szCs w:val="20"/>
              </w:rPr>
            </w:pPr>
            <w:r w:rsidRPr="00881BC8">
              <w:rPr>
                <w:noProof/>
                <w:sz w:val="20"/>
                <w:szCs w:val="20"/>
              </w:rPr>
              <w:t>Direct regulatory fees and charges</w:t>
            </w:r>
          </w:p>
        </w:tc>
        <w:tc>
          <w:tcPr>
            <w:tcW w:w="925" w:type="dxa"/>
            <w:tcBorders>
              <w:left w:val="double" w:sz="4" w:space="0" w:color="auto"/>
              <w:bottom w:val="double" w:sz="4" w:space="0" w:color="auto"/>
            </w:tcBorders>
            <w:tcMar>
              <w:top w:w="57" w:type="dxa"/>
              <w:left w:w="57" w:type="dxa"/>
              <w:bottom w:w="57" w:type="dxa"/>
              <w:right w:w="57" w:type="dxa"/>
            </w:tcMar>
          </w:tcPr>
          <w:p w14:paraId="53D77CA9" w14:textId="77777777" w:rsidR="0046460B" w:rsidRPr="00881BC8" w:rsidRDefault="0046460B" w:rsidP="0046460B">
            <w:pPr>
              <w:spacing w:after="0"/>
              <w:jc w:val="left"/>
              <w:rPr>
                <w:noProof/>
                <w:sz w:val="20"/>
                <w:szCs w:val="20"/>
              </w:rPr>
            </w:pPr>
          </w:p>
        </w:tc>
        <w:tc>
          <w:tcPr>
            <w:tcW w:w="851" w:type="dxa"/>
            <w:tcBorders>
              <w:bottom w:val="double" w:sz="4" w:space="0" w:color="auto"/>
            </w:tcBorders>
            <w:tcMar>
              <w:top w:w="57" w:type="dxa"/>
              <w:left w:w="57" w:type="dxa"/>
              <w:bottom w:w="57" w:type="dxa"/>
              <w:right w:w="57" w:type="dxa"/>
            </w:tcMar>
          </w:tcPr>
          <w:p w14:paraId="0CD63D48" w14:textId="77777777" w:rsidR="0046460B" w:rsidRPr="00881BC8" w:rsidRDefault="0046460B" w:rsidP="0046460B">
            <w:pPr>
              <w:spacing w:after="0"/>
              <w:jc w:val="left"/>
              <w:rPr>
                <w:noProof/>
                <w:sz w:val="20"/>
                <w:szCs w:val="20"/>
              </w:rPr>
            </w:pPr>
          </w:p>
        </w:tc>
        <w:tc>
          <w:tcPr>
            <w:tcW w:w="1417" w:type="dxa"/>
            <w:tcBorders>
              <w:bottom w:val="double" w:sz="4" w:space="0" w:color="auto"/>
            </w:tcBorders>
            <w:tcMar>
              <w:top w:w="57" w:type="dxa"/>
              <w:left w:w="57" w:type="dxa"/>
              <w:bottom w:w="57" w:type="dxa"/>
              <w:right w:w="57" w:type="dxa"/>
            </w:tcMar>
          </w:tcPr>
          <w:p w14:paraId="11F9BD7D" w14:textId="77777777" w:rsidR="0046460B" w:rsidRPr="00881BC8" w:rsidRDefault="0046460B" w:rsidP="0046460B">
            <w:pPr>
              <w:spacing w:after="0"/>
              <w:jc w:val="left"/>
              <w:rPr>
                <w:noProof/>
                <w:sz w:val="20"/>
                <w:szCs w:val="20"/>
              </w:rPr>
            </w:pPr>
          </w:p>
        </w:tc>
        <w:tc>
          <w:tcPr>
            <w:tcW w:w="1559" w:type="dxa"/>
            <w:tcBorders>
              <w:bottom w:val="double" w:sz="4" w:space="0" w:color="auto"/>
            </w:tcBorders>
            <w:tcMar>
              <w:top w:w="57" w:type="dxa"/>
              <w:left w:w="57" w:type="dxa"/>
              <w:bottom w:w="57" w:type="dxa"/>
              <w:right w:w="57" w:type="dxa"/>
            </w:tcMar>
          </w:tcPr>
          <w:p w14:paraId="34E71F14" w14:textId="77777777" w:rsidR="0046460B" w:rsidRPr="00881BC8" w:rsidRDefault="0046460B" w:rsidP="0046460B">
            <w:pPr>
              <w:spacing w:after="0"/>
              <w:jc w:val="left"/>
              <w:rPr>
                <w:noProof/>
                <w:sz w:val="20"/>
                <w:szCs w:val="20"/>
              </w:rPr>
            </w:pPr>
          </w:p>
        </w:tc>
        <w:tc>
          <w:tcPr>
            <w:tcW w:w="1418" w:type="dxa"/>
            <w:tcBorders>
              <w:bottom w:val="double" w:sz="4" w:space="0" w:color="auto"/>
            </w:tcBorders>
            <w:tcMar>
              <w:top w:w="57" w:type="dxa"/>
              <w:left w:w="57" w:type="dxa"/>
              <w:bottom w:w="57" w:type="dxa"/>
              <w:right w:w="57" w:type="dxa"/>
            </w:tcMar>
          </w:tcPr>
          <w:p w14:paraId="21A024B9" w14:textId="77777777" w:rsidR="0046460B" w:rsidRPr="00881BC8" w:rsidRDefault="0046460B" w:rsidP="0046460B">
            <w:pPr>
              <w:spacing w:after="0"/>
              <w:jc w:val="left"/>
              <w:rPr>
                <w:noProof/>
                <w:sz w:val="20"/>
                <w:szCs w:val="20"/>
              </w:rPr>
            </w:pPr>
          </w:p>
        </w:tc>
        <w:tc>
          <w:tcPr>
            <w:tcW w:w="1489" w:type="dxa"/>
            <w:tcBorders>
              <w:bottom w:val="double" w:sz="4" w:space="0" w:color="auto"/>
            </w:tcBorders>
            <w:tcMar>
              <w:top w:w="57" w:type="dxa"/>
              <w:left w:w="57" w:type="dxa"/>
              <w:bottom w:w="57" w:type="dxa"/>
              <w:right w:w="57" w:type="dxa"/>
            </w:tcMar>
          </w:tcPr>
          <w:p w14:paraId="17AD9A9C" w14:textId="77777777" w:rsidR="0046460B" w:rsidRPr="00881BC8" w:rsidRDefault="0046460B" w:rsidP="0046460B">
            <w:pPr>
              <w:spacing w:after="0"/>
              <w:jc w:val="left"/>
              <w:rPr>
                <w:noProof/>
                <w:sz w:val="20"/>
                <w:szCs w:val="20"/>
              </w:rPr>
            </w:pPr>
          </w:p>
        </w:tc>
      </w:tr>
      <w:tr w:rsidR="0046460B" w:rsidRPr="00881BC8" w14:paraId="0665E8D2" w14:textId="77777777" w:rsidTr="006C696B">
        <w:trPr>
          <w:cantSplit/>
        </w:trPr>
        <w:tc>
          <w:tcPr>
            <w:tcW w:w="1204" w:type="dxa"/>
            <w:tcBorders>
              <w:bottom w:val="double" w:sz="4" w:space="0" w:color="auto"/>
            </w:tcBorders>
            <w:tcMar>
              <w:top w:w="57" w:type="dxa"/>
              <w:left w:w="57" w:type="dxa"/>
              <w:bottom w:w="57" w:type="dxa"/>
              <w:right w:w="57" w:type="dxa"/>
            </w:tcMar>
          </w:tcPr>
          <w:p w14:paraId="7DCBE771" w14:textId="77777777" w:rsidR="0046460B" w:rsidRPr="00881BC8" w:rsidRDefault="0046460B" w:rsidP="0046460B">
            <w:pPr>
              <w:spacing w:after="0"/>
              <w:jc w:val="left"/>
              <w:rPr>
                <w:noProof/>
                <w:sz w:val="20"/>
                <w:szCs w:val="20"/>
              </w:rPr>
            </w:pPr>
          </w:p>
        </w:tc>
        <w:tc>
          <w:tcPr>
            <w:tcW w:w="1343" w:type="dxa"/>
            <w:tcBorders>
              <w:bottom w:val="double" w:sz="4" w:space="0" w:color="auto"/>
              <w:right w:val="double" w:sz="4" w:space="0" w:color="auto"/>
            </w:tcBorders>
            <w:tcMar>
              <w:top w:w="57" w:type="dxa"/>
              <w:left w:w="57" w:type="dxa"/>
              <w:bottom w:w="57" w:type="dxa"/>
              <w:right w:w="57" w:type="dxa"/>
            </w:tcMar>
            <w:vAlign w:val="center"/>
          </w:tcPr>
          <w:p w14:paraId="127ADD41" w14:textId="77777777" w:rsidR="0046460B" w:rsidRPr="00881BC8" w:rsidRDefault="0046460B" w:rsidP="0046460B">
            <w:pPr>
              <w:spacing w:after="0"/>
              <w:jc w:val="left"/>
              <w:rPr>
                <w:noProof/>
                <w:sz w:val="20"/>
                <w:szCs w:val="20"/>
              </w:rPr>
            </w:pPr>
            <w:r w:rsidRPr="00881BC8">
              <w:rPr>
                <w:noProof/>
                <w:sz w:val="20"/>
                <w:szCs w:val="20"/>
              </w:rPr>
              <w:t>Direct enforcement costs</w:t>
            </w:r>
          </w:p>
        </w:tc>
        <w:tc>
          <w:tcPr>
            <w:tcW w:w="925" w:type="dxa"/>
            <w:tcBorders>
              <w:left w:val="double" w:sz="4" w:space="0" w:color="auto"/>
              <w:bottom w:val="double" w:sz="4" w:space="0" w:color="auto"/>
            </w:tcBorders>
            <w:tcMar>
              <w:top w:w="57" w:type="dxa"/>
              <w:left w:w="57" w:type="dxa"/>
              <w:bottom w:w="57" w:type="dxa"/>
              <w:right w:w="57" w:type="dxa"/>
            </w:tcMar>
          </w:tcPr>
          <w:p w14:paraId="0E86BC31" w14:textId="77777777" w:rsidR="0046460B" w:rsidRPr="00881BC8" w:rsidRDefault="0046460B" w:rsidP="0046460B">
            <w:pPr>
              <w:spacing w:after="0"/>
              <w:jc w:val="left"/>
              <w:rPr>
                <w:noProof/>
                <w:sz w:val="20"/>
                <w:szCs w:val="20"/>
              </w:rPr>
            </w:pPr>
          </w:p>
        </w:tc>
        <w:tc>
          <w:tcPr>
            <w:tcW w:w="851" w:type="dxa"/>
            <w:tcBorders>
              <w:bottom w:val="double" w:sz="4" w:space="0" w:color="auto"/>
            </w:tcBorders>
            <w:tcMar>
              <w:top w:w="57" w:type="dxa"/>
              <w:left w:w="57" w:type="dxa"/>
              <w:bottom w:w="57" w:type="dxa"/>
              <w:right w:w="57" w:type="dxa"/>
            </w:tcMar>
          </w:tcPr>
          <w:p w14:paraId="61EE5268" w14:textId="77777777" w:rsidR="0046460B" w:rsidRPr="00881BC8" w:rsidRDefault="0046460B" w:rsidP="0046460B">
            <w:pPr>
              <w:spacing w:after="0"/>
              <w:jc w:val="left"/>
              <w:rPr>
                <w:noProof/>
                <w:sz w:val="20"/>
                <w:szCs w:val="20"/>
              </w:rPr>
            </w:pPr>
          </w:p>
        </w:tc>
        <w:tc>
          <w:tcPr>
            <w:tcW w:w="1417" w:type="dxa"/>
            <w:tcBorders>
              <w:bottom w:val="double" w:sz="4" w:space="0" w:color="auto"/>
            </w:tcBorders>
            <w:tcMar>
              <w:top w:w="57" w:type="dxa"/>
              <w:left w:w="57" w:type="dxa"/>
              <w:bottom w:w="57" w:type="dxa"/>
              <w:right w:w="57" w:type="dxa"/>
            </w:tcMar>
          </w:tcPr>
          <w:p w14:paraId="0EDC38E0" w14:textId="77777777" w:rsidR="0046460B" w:rsidRPr="00881BC8" w:rsidRDefault="0046460B" w:rsidP="0046460B">
            <w:pPr>
              <w:spacing w:after="0"/>
              <w:jc w:val="left"/>
              <w:rPr>
                <w:noProof/>
                <w:sz w:val="20"/>
                <w:szCs w:val="20"/>
              </w:rPr>
            </w:pPr>
          </w:p>
        </w:tc>
        <w:tc>
          <w:tcPr>
            <w:tcW w:w="1559" w:type="dxa"/>
            <w:tcBorders>
              <w:bottom w:val="double" w:sz="4" w:space="0" w:color="auto"/>
            </w:tcBorders>
            <w:tcMar>
              <w:top w:w="57" w:type="dxa"/>
              <w:left w:w="57" w:type="dxa"/>
              <w:bottom w:w="57" w:type="dxa"/>
              <w:right w:w="57" w:type="dxa"/>
            </w:tcMar>
          </w:tcPr>
          <w:p w14:paraId="317E9BBA" w14:textId="77777777" w:rsidR="0046460B" w:rsidRPr="00881BC8" w:rsidRDefault="0046460B" w:rsidP="0046460B">
            <w:pPr>
              <w:spacing w:after="0"/>
              <w:jc w:val="left"/>
              <w:rPr>
                <w:noProof/>
                <w:sz w:val="20"/>
                <w:szCs w:val="20"/>
              </w:rPr>
            </w:pPr>
          </w:p>
        </w:tc>
        <w:tc>
          <w:tcPr>
            <w:tcW w:w="1418" w:type="dxa"/>
            <w:tcBorders>
              <w:bottom w:val="double" w:sz="4" w:space="0" w:color="auto"/>
            </w:tcBorders>
            <w:tcMar>
              <w:top w:w="57" w:type="dxa"/>
              <w:left w:w="57" w:type="dxa"/>
              <w:bottom w:w="57" w:type="dxa"/>
              <w:right w:w="57" w:type="dxa"/>
            </w:tcMar>
          </w:tcPr>
          <w:p w14:paraId="61290ACE" w14:textId="77777777" w:rsidR="0046460B" w:rsidRPr="00881BC8" w:rsidRDefault="0046460B" w:rsidP="0046460B">
            <w:pPr>
              <w:spacing w:after="0"/>
              <w:jc w:val="left"/>
              <w:rPr>
                <w:noProof/>
                <w:sz w:val="20"/>
                <w:szCs w:val="20"/>
              </w:rPr>
            </w:pPr>
          </w:p>
        </w:tc>
        <w:tc>
          <w:tcPr>
            <w:tcW w:w="1489" w:type="dxa"/>
            <w:tcBorders>
              <w:bottom w:val="double" w:sz="4" w:space="0" w:color="auto"/>
            </w:tcBorders>
            <w:tcMar>
              <w:top w:w="57" w:type="dxa"/>
              <w:left w:w="57" w:type="dxa"/>
              <w:bottom w:w="57" w:type="dxa"/>
              <w:right w:w="57" w:type="dxa"/>
            </w:tcMar>
          </w:tcPr>
          <w:p w14:paraId="7E9071AD" w14:textId="77777777" w:rsidR="0046460B" w:rsidRPr="00881BC8" w:rsidRDefault="0046460B" w:rsidP="0046460B">
            <w:pPr>
              <w:spacing w:after="0"/>
              <w:jc w:val="left"/>
              <w:rPr>
                <w:noProof/>
                <w:sz w:val="20"/>
                <w:szCs w:val="20"/>
              </w:rPr>
            </w:pPr>
          </w:p>
        </w:tc>
      </w:tr>
      <w:tr w:rsidR="0046460B" w:rsidRPr="00881BC8" w14:paraId="6BDFA5C1" w14:textId="77777777" w:rsidTr="006C696B">
        <w:trPr>
          <w:cantSplit/>
        </w:trPr>
        <w:tc>
          <w:tcPr>
            <w:tcW w:w="1204" w:type="dxa"/>
            <w:tcBorders>
              <w:bottom w:val="double" w:sz="4" w:space="0" w:color="auto"/>
            </w:tcBorders>
            <w:tcMar>
              <w:top w:w="57" w:type="dxa"/>
              <w:left w:w="57" w:type="dxa"/>
              <w:bottom w:w="57" w:type="dxa"/>
              <w:right w:w="57" w:type="dxa"/>
            </w:tcMar>
          </w:tcPr>
          <w:p w14:paraId="0EA17438" w14:textId="77777777" w:rsidR="0046460B" w:rsidRPr="00881BC8" w:rsidRDefault="0046460B" w:rsidP="0046460B">
            <w:pPr>
              <w:spacing w:after="0"/>
              <w:jc w:val="left"/>
              <w:rPr>
                <w:noProof/>
                <w:sz w:val="20"/>
                <w:szCs w:val="20"/>
              </w:rPr>
            </w:pPr>
          </w:p>
        </w:tc>
        <w:tc>
          <w:tcPr>
            <w:tcW w:w="1343" w:type="dxa"/>
            <w:tcBorders>
              <w:bottom w:val="double" w:sz="4" w:space="0" w:color="auto"/>
              <w:right w:val="double" w:sz="4" w:space="0" w:color="auto"/>
            </w:tcBorders>
            <w:tcMar>
              <w:top w:w="57" w:type="dxa"/>
              <w:left w:w="57" w:type="dxa"/>
              <w:bottom w:w="57" w:type="dxa"/>
              <w:right w:w="57" w:type="dxa"/>
            </w:tcMar>
          </w:tcPr>
          <w:p w14:paraId="62F43719" w14:textId="77777777" w:rsidR="0046460B" w:rsidRPr="00881BC8" w:rsidRDefault="0046460B" w:rsidP="0046460B">
            <w:pPr>
              <w:spacing w:after="0"/>
              <w:jc w:val="left"/>
              <w:rPr>
                <w:noProof/>
                <w:sz w:val="20"/>
                <w:szCs w:val="20"/>
              </w:rPr>
            </w:pPr>
            <w:r w:rsidRPr="00881BC8">
              <w:rPr>
                <w:noProof/>
                <w:sz w:val="20"/>
                <w:szCs w:val="20"/>
              </w:rPr>
              <w:t>Indirect costs</w:t>
            </w:r>
          </w:p>
        </w:tc>
        <w:tc>
          <w:tcPr>
            <w:tcW w:w="925" w:type="dxa"/>
            <w:tcBorders>
              <w:left w:val="double" w:sz="4" w:space="0" w:color="auto"/>
              <w:bottom w:val="double" w:sz="4" w:space="0" w:color="auto"/>
            </w:tcBorders>
            <w:tcMar>
              <w:top w:w="57" w:type="dxa"/>
              <w:left w:w="57" w:type="dxa"/>
              <w:bottom w:w="57" w:type="dxa"/>
              <w:right w:w="57" w:type="dxa"/>
            </w:tcMar>
          </w:tcPr>
          <w:p w14:paraId="4DF2A11C" w14:textId="77777777" w:rsidR="0046460B" w:rsidRPr="00881BC8" w:rsidRDefault="0046460B" w:rsidP="0046460B">
            <w:pPr>
              <w:spacing w:after="0"/>
              <w:jc w:val="left"/>
              <w:rPr>
                <w:noProof/>
                <w:sz w:val="20"/>
                <w:szCs w:val="20"/>
              </w:rPr>
            </w:pPr>
          </w:p>
        </w:tc>
        <w:tc>
          <w:tcPr>
            <w:tcW w:w="851" w:type="dxa"/>
            <w:tcBorders>
              <w:bottom w:val="double" w:sz="4" w:space="0" w:color="auto"/>
            </w:tcBorders>
            <w:tcMar>
              <w:top w:w="57" w:type="dxa"/>
              <w:left w:w="57" w:type="dxa"/>
              <w:bottom w:w="57" w:type="dxa"/>
              <w:right w:w="57" w:type="dxa"/>
            </w:tcMar>
          </w:tcPr>
          <w:p w14:paraId="701B7FA4" w14:textId="77777777" w:rsidR="0046460B" w:rsidRPr="00881BC8" w:rsidRDefault="0046460B" w:rsidP="0046460B">
            <w:pPr>
              <w:spacing w:after="0"/>
              <w:jc w:val="left"/>
              <w:rPr>
                <w:noProof/>
                <w:sz w:val="20"/>
                <w:szCs w:val="20"/>
              </w:rPr>
            </w:pPr>
          </w:p>
        </w:tc>
        <w:tc>
          <w:tcPr>
            <w:tcW w:w="1417" w:type="dxa"/>
            <w:tcBorders>
              <w:bottom w:val="double" w:sz="4" w:space="0" w:color="auto"/>
            </w:tcBorders>
            <w:tcMar>
              <w:top w:w="57" w:type="dxa"/>
              <w:left w:w="57" w:type="dxa"/>
              <w:bottom w:w="57" w:type="dxa"/>
              <w:right w:w="57" w:type="dxa"/>
            </w:tcMar>
          </w:tcPr>
          <w:p w14:paraId="69FCB9ED" w14:textId="77777777" w:rsidR="0046460B" w:rsidRPr="00881BC8" w:rsidRDefault="0046460B" w:rsidP="0046460B">
            <w:pPr>
              <w:spacing w:after="0"/>
              <w:jc w:val="left"/>
              <w:rPr>
                <w:noProof/>
                <w:sz w:val="20"/>
                <w:szCs w:val="20"/>
              </w:rPr>
            </w:pPr>
          </w:p>
        </w:tc>
        <w:tc>
          <w:tcPr>
            <w:tcW w:w="1559" w:type="dxa"/>
            <w:tcBorders>
              <w:bottom w:val="double" w:sz="4" w:space="0" w:color="auto"/>
            </w:tcBorders>
            <w:tcMar>
              <w:top w:w="57" w:type="dxa"/>
              <w:left w:w="57" w:type="dxa"/>
              <w:bottom w:w="57" w:type="dxa"/>
              <w:right w:w="57" w:type="dxa"/>
            </w:tcMar>
          </w:tcPr>
          <w:p w14:paraId="1F75A2F9" w14:textId="222C2589" w:rsidR="0046460B" w:rsidRPr="00881BC8" w:rsidRDefault="002B54BE" w:rsidP="0046460B">
            <w:pPr>
              <w:spacing w:after="0"/>
              <w:jc w:val="left"/>
              <w:rPr>
                <w:noProof/>
                <w:sz w:val="20"/>
                <w:szCs w:val="20"/>
              </w:rPr>
            </w:pPr>
            <w:r w:rsidRPr="00881BC8">
              <w:rPr>
                <w:noProof/>
                <w:sz w:val="20"/>
                <w:szCs w:val="20"/>
              </w:rPr>
              <w:t xml:space="preserve">Possible </w:t>
            </w:r>
            <w:r w:rsidR="005600D8" w:rsidRPr="00881BC8">
              <w:rPr>
                <w:noProof/>
                <w:sz w:val="20"/>
                <w:szCs w:val="20"/>
              </w:rPr>
              <w:t xml:space="preserve">adverse effect </w:t>
            </w:r>
            <w:r w:rsidRPr="00881BC8">
              <w:rPr>
                <w:noProof/>
                <w:sz w:val="20"/>
                <w:szCs w:val="20"/>
              </w:rPr>
              <w:t>on</w:t>
            </w:r>
            <w:r w:rsidR="005600D8" w:rsidRPr="00881BC8">
              <w:rPr>
                <w:noProof/>
                <w:sz w:val="20"/>
                <w:szCs w:val="20"/>
              </w:rPr>
              <w:t xml:space="preserve"> the</w:t>
            </w:r>
            <w:r w:rsidRPr="00881BC8">
              <w:rPr>
                <w:noProof/>
                <w:sz w:val="20"/>
                <w:szCs w:val="20"/>
              </w:rPr>
              <w:t xml:space="preserve"> </w:t>
            </w:r>
            <w:r w:rsidR="00E122C4" w:rsidRPr="00881BC8">
              <w:rPr>
                <w:noProof/>
                <w:sz w:val="20"/>
                <w:szCs w:val="20"/>
              </w:rPr>
              <w:t>income</w:t>
            </w:r>
            <w:r w:rsidRPr="00881BC8">
              <w:rPr>
                <w:noProof/>
                <w:sz w:val="20"/>
                <w:szCs w:val="20"/>
              </w:rPr>
              <w:t xml:space="preserve"> </w:t>
            </w:r>
            <w:r w:rsidR="00E122C4" w:rsidRPr="00881BC8">
              <w:rPr>
                <w:noProof/>
                <w:sz w:val="20"/>
                <w:szCs w:val="20"/>
              </w:rPr>
              <w:t xml:space="preserve">of </w:t>
            </w:r>
            <w:r w:rsidRPr="00881BC8">
              <w:rPr>
                <w:noProof/>
                <w:sz w:val="20"/>
                <w:szCs w:val="20"/>
              </w:rPr>
              <w:t xml:space="preserve">commercial providers of </w:t>
            </w:r>
            <w:r w:rsidR="005600D8" w:rsidRPr="00881BC8">
              <w:rPr>
                <w:noProof/>
                <w:sz w:val="20"/>
                <w:szCs w:val="20"/>
              </w:rPr>
              <w:t xml:space="preserve">financial </w:t>
            </w:r>
            <w:r w:rsidRPr="00881BC8">
              <w:rPr>
                <w:noProof/>
                <w:sz w:val="20"/>
                <w:szCs w:val="20"/>
              </w:rPr>
              <w:t>training.</w:t>
            </w:r>
          </w:p>
        </w:tc>
        <w:tc>
          <w:tcPr>
            <w:tcW w:w="1418" w:type="dxa"/>
            <w:tcBorders>
              <w:bottom w:val="double" w:sz="4" w:space="0" w:color="auto"/>
            </w:tcBorders>
            <w:tcMar>
              <w:top w:w="57" w:type="dxa"/>
              <w:left w:w="57" w:type="dxa"/>
              <w:bottom w:w="57" w:type="dxa"/>
              <w:right w:w="57" w:type="dxa"/>
            </w:tcMar>
          </w:tcPr>
          <w:p w14:paraId="7EF9F72E" w14:textId="77777777" w:rsidR="0046460B" w:rsidRPr="00881BC8" w:rsidRDefault="0046460B" w:rsidP="0046460B">
            <w:pPr>
              <w:spacing w:after="0"/>
              <w:jc w:val="left"/>
              <w:rPr>
                <w:noProof/>
                <w:sz w:val="20"/>
                <w:szCs w:val="20"/>
              </w:rPr>
            </w:pPr>
          </w:p>
        </w:tc>
        <w:tc>
          <w:tcPr>
            <w:tcW w:w="1489" w:type="dxa"/>
            <w:tcBorders>
              <w:bottom w:val="double" w:sz="4" w:space="0" w:color="auto"/>
            </w:tcBorders>
            <w:tcMar>
              <w:top w:w="57" w:type="dxa"/>
              <w:left w:w="57" w:type="dxa"/>
              <w:bottom w:w="57" w:type="dxa"/>
              <w:right w:w="57" w:type="dxa"/>
            </w:tcMar>
          </w:tcPr>
          <w:p w14:paraId="568C9FEA" w14:textId="77777777" w:rsidR="0046460B" w:rsidRPr="00881BC8" w:rsidRDefault="0046460B" w:rsidP="0046460B">
            <w:pPr>
              <w:spacing w:after="0"/>
              <w:jc w:val="left"/>
              <w:rPr>
                <w:noProof/>
                <w:sz w:val="20"/>
                <w:szCs w:val="20"/>
              </w:rPr>
            </w:pPr>
          </w:p>
        </w:tc>
      </w:tr>
      <w:tr w:rsidR="00F11395" w:rsidRPr="00881BC8" w14:paraId="375E7FB2" w14:textId="77777777" w:rsidTr="00571B0F">
        <w:trPr>
          <w:cantSplit/>
        </w:trPr>
        <w:tc>
          <w:tcPr>
            <w:tcW w:w="1204" w:type="dxa"/>
            <w:vMerge w:val="restart"/>
            <w:tcMar>
              <w:top w:w="57" w:type="dxa"/>
              <w:left w:w="57" w:type="dxa"/>
              <w:bottom w:w="57" w:type="dxa"/>
              <w:right w:w="57" w:type="dxa"/>
            </w:tcMar>
          </w:tcPr>
          <w:p w14:paraId="17FF9537" w14:textId="0267001C" w:rsidR="00F11395" w:rsidRPr="00881BC8" w:rsidRDefault="00F11395" w:rsidP="005600D8">
            <w:pPr>
              <w:tabs>
                <w:tab w:val="left" w:pos="170"/>
              </w:tabs>
              <w:spacing w:after="0"/>
              <w:jc w:val="left"/>
              <w:rPr>
                <w:noProof/>
                <w:sz w:val="20"/>
                <w:szCs w:val="20"/>
              </w:rPr>
            </w:pPr>
            <w:r w:rsidRPr="00881BC8">
              <w:rPr>
                <w:noProof/>
                <w:sz w:val="20"/>
                <w:szCs w:val="20"/>
              </w:rPr>
              <w:t xml:space="preserve">Making payment of interests automatic (eliminate the concept of ‘entitlement’) and clarify </w:t>
            </w:r>
            <w:r w:rsidRPr="00881BC8">
              <w:rPr>
                <w:i/>
                <w:iCs/>
                <w:noProof/>
                <w:sz w:val="20"/>
                <w:szCs w:val="20"/>
              </w:rPr>
              <w:t>dies ad quem</w:t>
            </w:r>
          </w:p>
        </w:tc>
        <w:tc>
          <w:tcPr>
            <w:tcW w:w="1343" w:type="dxa"/>
            <w:tcBorders>
              <w:bottom w:val="double" w:sz="4" w:space="0" w:color="auto"/>
              <w:right w:val="double" w:sz="4" w:space="0" w:color="auto"/>
            </w:tcBorders>
            <w:tcMar>
              <w:top w:w="57" w:type="dxa"/>
              <w:left w:w="57" w:type="dxa"/>
              <w:bottom w:w="57" w:type="dxa"/>
              <w:right w:w="57" w:type="dxa"/>
            </w:tcMar>
            <w:vAlign w:val="center"/>
          </w:tcPr>
          <w:p w14:paraId="430C12C2" w14:textId="77777777" w:rsidR="00F11395" w:rsidRPr="00881BC8" w:rsidRDefault="00F11395" w:rsidP="0046460B">
            <w:pPr>
              <w:spacing w:after="0"/>
              <w:jc w:val="left"/>
              <w:rPr>
                <w:noProof/>
                <w:sz w:val="20"/>
                <w:szCs w:val="20"/>
              </w:rPr>
            </w:pPr>
            <w:r w:rsidRPr="00881BC8">
              <w:rPr>
                <w:noProof/>
                <w:sz w:val="20"/>
                <w:szCs w:val="20"/>
              </w:rPr>
              <w:t>Direct adjustment costs</w:t>
            </w:r>
          </w:p>
        </w:tc>
        <w:tc>
          <w:tcPr>
            <w:tcW w:w="925" w:type="dxa"/>
            <w:tcBorders>
              <w:left w:val="double" w:sz="4" w:space="0" w:color="auto"/>
              <w:bottom w:val="double" w:sz="4" w:space="0" w:color="auto"/>
            </w:tcBorders>
            <w:tcMar>
              <w:top w:w="57" w:type="dxa"/>
              <w:left w:w="57" w:type="dxa"/>
              <w:bottom w:w="57" w:type="dxa"/>
              <w:right w:w="57" w:type="dxa"/>
            </w:tcMar>
          </w:tcPr>
          <w:p w14:paraId="413863A9" w14:textId="77777777" w:rsidR="00F11395" w:rsidRPr="00881BC8" w:rsidRDefault="00F11395" w:rsidP="0046460B">
            <w:pPr>
              <w:spacing w:after="0"/>
              <w:jc w:val="left"/>
              <w:rPr>
                <w:noProof/>
                <w:sz w:val="20"/>
                <w:szCs w:val="20"/>
              </w:rPr>
            </w:pPr>
          </w:p>
        </w:tc>
        <w:tc>
          <w:tcPr>
            <w:tcW w:w="851" w:type="dxa"/>
            <w:tcBorders>
              <w:bottom w:val="double" w:sz="4" w:space="0" w:color="auto"/>
            </w:tcBorders>
            <w:tcMar>
              <w:top w:w="57" w:type="dxa"/>
              <w:left w:w="57" w:type="dxa"/>
              <w:bottom w:w="57" w:type="dxa"/>
              <w:right w:w="57" w:type="dxa"/>
            </w:tcMar>
          </w:tcPr>
          <w:p w14:paraId="2B54134D" w14:textId="77777777" w:rsidR="00F11395" w:rsidRPr="00881BC8" w:rsidRDefault="00F11395" w:rsidP="0046460B">
            <w:pPr>
              <w:spacing w:after="0"/>
              <w:jc w:val="left"/>
              <w:rPr>
                <w:noProof/>
                <w:sz w:val="20"/>
                <w:szCs w:val="20"/>
              </w:rPr>
            </w:pPr>
          </w:p>
        </w:tc>
        <w:tc>
          <w:tcPr>
            <w:tcW w:w="1417" w:type="dxa"/>
            <w:tcBorders>
              <w:bottom w:val="double" w:sz="4" w:space="0" w:color="auto"/>
            </w:tcBorders>
            <w:tcMar>
              <w:top w:w="57" w:type="dxa"/>
              <w:left w:w="57" w:type="dxa"/>
              <w:bottom w:w="57" w:type="dxa"/>
              <w:right w:w="57" w:type="dxa"/>
            </w:tcMar>
          </w:tcPr>
          <w:p w14:paraId="537540B2" w14:textId="77777777" w:rsidR="00F11395" w:rsidRPr="00881BC8" w:rsidRDefault="00F11395" w:rsidP="0046460B">
            <w:pPr>
              <w:spacing w:after="0"/>
              <w:jc w:val="left"/>
              <w:rPr>
                <w:noProof/>
                <w:sz w:val="20"/>
                <w:szCs w:val="20"/>
              </w:rPr>
            </w:pPr>
          </w:p>
        </w:tc>
        <w:tc>
          <w:tcPr>
            <w:tcW w:w="1559" w:type="dxa"/>
            <w:tcBorders>
              <w:bottom w:val="double" w:sz="4" w:space="0" w:color="auto"/>
            </w:tcBorders>
            <w:tcMar>
              <w:top w:w="57" w:type="dxa"/>
              <w:left w:w="57" w:type="dxa"/>
              <w:bottom w:w="57" w:type="dxa"/>
              <w:right w:w="57" w:type="dxa"/>
            </w:tcMar>
          </w:tcPr>
          <w:p w14:paraId="543FD0B1" w14:textId="39EA63CF" w:rsidR="00F11395" w:rsidRPr="00881BC8" w:rsidRDefault="00F11395" w:rsidP="00186CAC">
            <w:pPr>
              <w:spacing w:after="0"/>
              <w:jc w:val="left"/>
              <w:rPr>
                <w:noProof/>
                <w:sz w:val="20"/>
                <w:szCs w:val="20"/>
              </w:rPr>
            </w:pPr>
            <w:r w:rsidRPr="00881BC8">
              <w:rPr>
                <w:noProof/>
                <w:sz w:val="20"/>
                <w:szCs w:val="20"/>
              </w:rPr>
              <w:t xml:space="preserve"> </w:t>
            </w:r>
          </w:p>
        </w:tc>
        <w:tc>
          <w:tcPr>
            <w:tcW w:w="1418" w:type="dxa"/>
            <w:tcBorders>
              <w:bottom w:val="double" w:sz="4" w:space="0" w:color="auto"/>
            </w:tcBorders>
            <w:tcMar>
              <w:top w:w="57" w:type="dxa"/>
              <w:left w:w="57" w:type="dxa"/>
              <w:bottom w:w="57" w:type="dxa"/>
              <w:right w:w="57" w:type="dxa"/>
            </w:tcMar>
          </w:tcPr>
          <w:p w14:paraId="2F3602F3" w14:textId="77777777" w:rsidR="00F11395" w:rsidRPr="00881BC8" w:rsidRDefault="00F11395" w:rsidP="0046460B">
            <w:pPr>
              <w:spacing w:after="0"/>
              <w:jc w:val="left"/>
              <w:rPr>
                <w:noProof/>
                <w:sz w:val="20"/>
                <w:szCs w:val="20"/>
              </w:rPr>
            </w:pPr>
          </w:p>
        </w:tc>
        <w:tc>
          <w:tcPr>
            <w:tcW w:w="1489" w:type="dxa"/>
            <w:tcBorders>
              <w:bottom w:val="double" w:sz="4" w:space="0" w:color="auto"/>
            </w:tcBorders>
            <w:tcMar>
              <w:top w:w="57" w:type="dxa"/>
              <w:left w:w="57" w:type="dxa"/>
              <w:bottom w:w="57" w:type="dxa"/>
              <w:right w:w="57" w:type="dxa"/>
            </w:tcMar>
          </w:tcPr>
          <w:p w14:paraId="461BE64A" w14:textId="48C4B0C8" w:rsidR="00F11395" w:rsidRPr="00881BC8" w:rsidRDefault="00F11395" w:rsidP="00186CAC">
            <w:pPr>
              <w:spacing w:after="0"/>
              <w:jc w:val="left"/>
              <w:rPr>
                <w:noProof/>
                <w:sz w:val="20"/>
                <w:szCs w:val="20"/>
              </w:rPr>
            </w:pPr>
          </w:p>
        </w:tc>
      </w:tr>
      <w:tr w:rsidR="00F11395" w:rsidRPr="00881BC8" w14:paraId="525C6F30" w14:textId="77777777" w:rsidTr="00571B0F">
        <w:trPr>
          <w:cantSplit/>
        </w:trPr>
        <w:tc>
          <w:tcPr>
            <w:tcW w:w="1204" w:type="dxa"/>
            <w:vMerge/>
            <w:tcMar>
              <w:top w:w="57" w:type="dxa"/>
              <w:left w:w="57" w:type="dxa"/>
              <w:bottom w:w="57" w:type="dxa"/>
              <w:right w:w="57" w:type="dxa"/>
            </w:tcMar>
          </w:tcPr>
          <w:p w14:paraId="3F55AF33" w14:textId="77777777" w:rsidR="00F11395" w:rsidRPr="00881BC8" w:rsidRDefault="00F11395" w:rsidP="0046460B">
            <w:pPr>
              <w:spacing w:after="0"/>
              <w:jc w:val="left"/>
              <w:rPr>
                <w:noProof/>
                <w:sz w:val="20"/>
                <w:szCs w:val="20"/>
              </w:rPr>
            </w:pPr>
          </w:p>
        </w:tc>
        <w:tc>
          <w:tcPr>
            <w:tcW w:w="1343" w:type="dxa"/>
            <w:tcBorders>
              <w:bottom w:val="double" w:sz="4" w:space="0" w:color="auto"/>
              <w:right w:val="double" w:sz="4" w:space="0" w:color="auto"/>
            </w:tcBorders>
            <w:tcMar>
              <w:top w:w="57" w:type="dxa"/>
              <w:left w:w="57" w:type="dxa"/>
              <w:bottom w:w="57" w:type="dxa"/>
              <w:right w:w="57" w:type="dxa"/>
            </w:tcMar>
            <w:vAlign w:val="center"/>
          </w:tcPr>
          <w:p w14:paraId="552F01B5" w14:textId="77777777" w:rsidR="00F11395" w:rsidRPr="00881BC8" w:rsidRDefault="00F11395" w:rsidP="0046460B">
            <w:pPr>
              <w:spacing w:after="0"/>
              <w:jc w:val="left"/>
              <w:rPr>
                <w:noProof/>
                <w:sz w:val="20"/>
                <w:szCs w:val="20"/>
              </w:rPr>
            </w:pPr>
            <w:r w:rsidRPr="00881BC8">
              <w:rPr>
                <w:noProof/>
                <w:sz w:val="20"/>
                <w:szCs w:val="20"/>
              </w:rPr>
              <w:t>Direct administrative costs</w:t>
            </w:r>
          </w:p>
        </w:tc>
        <w:tc>
          <w:tcPr>
            <w:tcW w:w="925" w:type="dxa"/>
            <w:tcBorders>
              <w:left w:val="double" w:sz="4" w:space="0" w:color="auto"/>
              <w:bottom w:val="double" w:sz="4" w:space="0" w:color="auto"/>
            </w:tcBorders>
            <w:tcMar>
              <w:top w:w="57" w:type="dxa"/>
              <w:left w:w="57" w:type="dxa"/>
              <w:bottom w:w="57" w:type="dxa"/>
              <w:right w:w="57" w:type="dxa"/>
            </w:tcMar>
          </w:tcPr>
          <w:p w14:paraId="07614FDA" w14:textId="77777777" w:rsidR="00F11395" w:rsidRPr="00881BC8" w:rsidRDefault="00F11395" w:rsidP="0046460B">
            <w:pPr>
              <w:spacing w:after="0"/>
              <w:jc w:val="left"/>
              <w:rPr>
                <w:noProof/>
                <w:sz w:val="20"/>
                <w:szCs w:val="20"/>
              </w:rPr>
            </w:pPr>
          </w:p>
        </w:tc>
        <w:tc>
          <w:tcPr>
            <w:tcW w:w="851" w:type="dxa"/>
            <w:tcBorders>
              <w:bottom w:val="double" w:sz="4" w:space="0" w:color="auto"/>
            </w:tcBorders>
            <w:tcMar>
              <w:top w:w="57" w:type="dxa"/>
              <w:left w:w="57" w:type="dxa"/>
              <w:bottom w:w="57" w:type="dxa"/>
              <w:right w:w="57" w:type="dxa"/>
            </w:tcMar>
          </w:tcPr>
          <w:p w14:paraId="3B412288" w14:textId="77777777" w:rsidR="00F11395" w:rsidRPr="00881BC8" w:rsidRDefault="00F11395" w:rsidP="0046460B">
            <w:pPr>
              <w:spacing w:after="0"/>
              <w:jc w:val="left"/>
              <w:rPr>
                <w:noProof/>
                <w:sz w:val="20"/>
                <w:szCs w:val="20"/>
              </w:rPr>
            </w:pPr>
          </w:p>
        </w:tc>
        <w:tc>
          <w:tcPr>
            <w:tcW w:w="1417" w:type="dxa"/>
            <w:tcBorders>
              <w:bottom w:val="double" w:sz="4" w:space="0" w:color="auto"/>
            </w:tcBorders>
            <w:tcMar>
              <w:top w:w="57" w:type="dxa"/>
              <w:left w:w="57" w:type="dxa"/>
              <w:bottom w:w="57" w:type="dxa"/>
              <w:right w:w="57" w:type="dxa"/>
            </w:tcMar>
          </w:tcPr>
          <w:p w14:paraId="4CD6880F" w14:textId="77777777" w:rsidR="00F11395" w:rsidRPr="00881BC8" w:rsidRDefault="00F11395" w:rsidP="0046460B">
            <w:pPr>
              <w:spacing w:after="0"/>
              <w:jc w:val="left"/>
              <w:rPr>
                <w:noProof/>
                <w:sz w:val="20"/>
                <w:szCs w:val="20"/>
              </w:rPr>
            </w:pPr>
          </w:p>
        </w:tc>
        <w:tc>
          <w:tcPr>
            <w:tcW w:w="1559" w:type="dxa"/>
            <w:tcBorders>
              <w:bottom w:val="double" w:sz="4" w:space="0" w:color="auto"/>
            </w:tcBorders>
            <w:tcMar>
              <w:top w:w="57" w:type="dxa"/>
              <w:left w:w="57" w:type="dxa"/>
              <w:bottom w:w="57" w:type="dxa"/>
              <w:right w:w="57" w:type="dxa"/>
            </w:tcMar>
          </w:tcPr>
          <w:p w14:paraId="5D2E7A52" w14:textId="77777777" w:rsidR="00F11395" w:rsidRPr="00881BC8" w:rsidRDefault="00F11395" w:rsidP="0046460B">
            <w:pPr>
              <w:spacing w:after="0"/>
              <w:jc w:val="left"/>
              <w:rPr>
                <w:noProof/>
                <w:sz w:val="20"/>
                <w:szCs w:val="20"/>
              </w:rPr>
            </w:pPr>
          </w:p>
        </w:tc>
        <w:tc>
          <w:tcPr>
            <w:tcW w:w="1418" w:type="dxa"/>
            <w:tcBorders>
              <w:bottom w:val="double" w:sz="4" w:space="0" w:color="auto"/>
            </w:tcBorders>
            <w:tcMar>
              <w:top w:w="57" w:type="dxa"/>
              <w:left w:w="57" w:type="dxa"/>
              <w:bottom w:w="57" w:type="dxa"/>
              <w:right w:w="57" w:type="dxa"/>
            </w:tcMar>
          </w:tcPr>
          <w:p w14:paraId="5B177195" w14:textId="77777777" w:rsidR="00F11395" w:rsidRPr="00881BC8" w:rsidRDefault="00F11395" w:rsidP="0046460B">
            <w:pPr>
              <w:spacing w:after="0"/>
              <w:jc w:val="left"/>
              <w:rPr>
                <w:noProof/>
                <w:sz w:val="20"/>
                <w:szCs w:val="20"/>
              </w:rPr>
            </w:pPr>
          </w:p>
        </w:tc>
        <w:tc>
          <w:tcPr>
            <w:tcW w:w="1489" w:type="dxa"/>
            <w:tcBorders>
              <w:bottom w:val="double" w:sz="4" w:space="0" w:color="auto"/>
            </w:tcBorders>
            <w:tcMar>
              <w:top w:w="57" w:type="dxa"/>
              <w:left w:w="57" w:type="dxa"/>
              <w:bottom w:w="57" w:type="dxa"/>
              <w:right w:w="57" w:type="dxa"/>
            </w:tcMar>
          </w:tcPr>
          <w:p w14:paraId="2D6D3A25" w14:textId="77777777" w:rsidR="00F11395" w:rsidRPr="00881BC8" w:rsidRDefault="00F11395" w:rsidP="0046460B">
            <w:pPr>
              <w:spacing w:after="0"/>
              <w:jc w:val="left"/>
              <w:rPr>
                <w:noProof/>
                <w:sz w:val="20"/>
                <w:szCs w:val="20"/>
              </w:rPr>
            </w:pPr>
          </w:p>
        </w:tc>
      </w:tr>
      <w:tr w:rsidR="00F11395" w:rsidRPr="00881BC8" w14:paraId="5015E6DB" w14:textId="77777777" w:rsidTr="00A62EB1">
        <w:trPr>
          <w:cantSplit/>
        </w:trPr>
        <w:tc>
          <w:tcPr>
            <w:tcW w:w="1204" w:type="dxa"/>
            <w:vMerge/>
            <w:tcMar>
              <w:top w:w="57" w:type="dxa"/>
              <w:left w:w="57" w:type="dxa"/>
              <w:bottom w:w="57" w:type="dxa"/>
              <w:right w:w="57" w:type="dxa"/>
            </w:tcMar>
          </w:tcPr>
          <w:p w14:paraId="3F2264CC" w14:textId="77777777" w:rsidR="00F11395" w:rsidRPr="00881BC8" w:rsidRDefault="00F11395" w:rsidP="0046460B">
            <w:pPr>
              <w:spacing w:after="0"/>
              <w:jc w:val="left"/>
              <w:rPr>
                <w:noProof/>
                <w:sz w:val="20"/>
                <w:szCs w:val="20"/>
              </w:rPr>
            </w:pPr>
          </w:p>
        </w:tc>
        <w:tc>
          <w:tcPr>
            <w:tcW w:w="1343" w:type="dxa"/>
            <w:tcBorders>
              <w:bottom w:val="double" w:sz="4" w:space="0" w:color="auto"/>
              <w:right w:val="double" w:sz="4" w:space="0" w:color="auto"/>
            </w:tcBorders>
            <w:tcMar>
              <w:top w:w="57" w:type="dxa"/>
              <w:left w:w="57" w:type="dxa"/>
              <w:bottom w:w="57" w:type="dxa"/>
              <w:right w:w="57" w:type="dxa"/>
            </w:tcMar>
            <w:vAlign w:val="center"/>
          </w:tcPr>
          <w:p w14:paraId="2581B037" w14:textId="77777777" w:rsidR="00F11395" w:rsidRPr="00881BC8" w:rsidRDefault="00F11395" w:rsidP="0046460B">
            <w:pPr>
              <w:spacing w:after="0"/>
              <w:jc w:val="left"/>
              <w:rPr>
                <w:noProof/>
                <w:sz w:val="20"/>
                <w:szCs w:val="20"/>
              </w:rPr>
            </w:pPr>
            <w:r w:rsidRPr="00881BC8">
              <w:rPr>
                <w:noProof/>
                <w:sz w:val="20"/>
                <w:szCs w:val="20"/>
              </w:rPr>
              <w:t>Direct regulatory fees and charges</w:t>
            </w:r>
          </w:p>
        </w:tc>
        <w:tc>
          <w:tcPr>
            <w:tcW w:w="925" w:type="dxa"/>
            <w:tcBorders>
              <w:left w:val="double" w:sz="4" w:space="0" w:color="auto"/>
              <w:bottom w:val="double" w:sz="4" w:space="0" w:color="auto"/>
            </w:tcBorders>
            <w:tcMar>
              <w:top w:w="57" w:type="dxa"/>
              <w:left w:w="57" w:type="dxa"/>
              <w:bottom w:w="57" w:type="dxa"/>
              <w:right w:w="57" w:type="dxa"/>
            </w:tcMar>
          </w:tcPr>
          <w:p w14:paraId="7B51FA1B" w14:textId="77777777" w:rsidR="00F11395" w:rsidRPr="00881BC8" w:rsidRDefault="00F11395" w:rsidP="0046460B">
            <w:pPr>
              <w:spacing w:after="0"/>
              <w:jc w:val="left"/>
              <w:rPr>
                <w:noProof/>
                <w:sz w:val="20"/>
                <w:szCs w:val="20"/>
              </w:rPr>
            </w:pPr>
          </w:p>
        </w:tc>
        <w:tc>
          <w:tcPr>
            <w:tcW w:w="851" w:type="dxa"/>
            <w:tcBorders>
              <w:bottom w:val="double" w:sz="4" w:space="0" w:color="auto"/>
            </w:tcBorders>
            <w:tcMar>
              <w:top w:w="57" w:type="dxa"/>
              <w:left w:w="57" w:type="dxa"/>
              <w:bottom w:w="57" w:type="dxa"/>
              <w:right w:w="57" w:type="dxa"/>
            </w:tcMar>
          </w:tcPr>
          <w:p w14:paraId="12F4CCA1" w14:textId="77777777" w:rsidR="00F11395" w:rsidRPr="00881BC8" w:rsidRDefault="00F11395" w:rsidP="0046460B">
            <w:pPr>
              <w:spacing w:after="0"/>
              <w:jc w:val="left"/>
              <w:rPr>
                <w:noProof/>
                <w:sz w:val="20"/>
                <w:szCs w:val="20"/>
              </w:rPr>
            </w:pPr>
          </w:p>
        </w:tc>
        <w:tc>
          <w:tcPr>
            <w:tcW w:w="1417" w:type="dxa"/>
            <w:tcBorders>
              <w:bottom w:val="double" w:sz="4" w:space="0" w:color="auto"/>
            </w:tcBorders>
            <w:tcMar>
              <w:top w:w="57" w:type="dxa"/>
              <w:left w:w="57" w:type="dxa"/>
              <w:bottom w:w="57" w:type="dxa"/>
              <w:right w:w="57" w:type="dxa"/>
            </w:tcMar>
          </w:tcPr>
          <w:p w14:paraId="545B08D7" w14:textId="77777777" w:rsidR="00F11395" w:rsidRPr="00881BC8" w:rsidRDefault="00F11395" w:rsidP="0046460B">
            <w:pPr>
              <w:spacing w:after="0"/>
              <w:jc w:val="left"/>
              <w:rPr>
                <w:noProof/>
                <w:sz w:val="20"/>
                <w:szCs w:val="20"/>
              </w:rPr>
            </w:pPr>
          </w:p>
        </w:tc>
        <w:tc>
          <w:tcPr>
            <w:tcW w:w="1559" w:type="dxa"/>
            <w:tcBorders>
              <w:bottom w:val="double" w:sz="4" w:space="0" w:color="auto"/>
            </w:tcBorders>
            <w:tcMar>
              <w:top w:w="57" w:type="dxa"/>
              <w:left w:w="57" w:type="dxa"/>
              <w:bottom w:w="57" w:type="dxa"/>
              <w:right w:w="57" w:type="dxa"/>
            </w:tcMar>
          </w:tcPr>
          <w:p w14:paraId="436EFD77" w14:textId="78D8E4B4" w:rsidR="00F11395" w:rsidRPr="00881BC8" w:rsidRDefault="00F11395" w:rsidP="0046460B">
            <w:pPr>
              <w:spacing w:after="0"/>
              <w:jc w:val="left"/>
              <w:rPr>
                <w:noProof/>
                <w:sz w:val="20"/>
                <w:szCs w:val="20"/>
              </w:rPr>
            </w:pPr>
          </w:p>
        </w:tc>
        <w:tc>
          <w:tcPr>
            <w:tcW w:w="1418" w:type="dxa"/>
            <w:tcBorders>
              <w:bottom w:val="double" w:sz="4" w:space="0" w:color="auto"/>
            </w:tcBorders>
            <w:tcMar>
              <w:top w:w="57" w:type="dxa"/>
              <w:left w:w="57" w:type="dxa"/>
              <w:bottom w:w="57" w:type="dxa"/>
              <w:right w:w="57" w:type="dxa"/>
            </w:tcMar>
          </w:tcPr>
          <w:p w14:paraId="13FEA483" w14:textId="77777777" w:rsidR="00F11395" w:rsidRPr="00881BC8" w:rsidRDefault="00F11395" w:rsidP="0046460B">
            <w:pPr>
              <w:spacing w:after="0"/>
              <w:jc w:val="left"/>
              <w:rPr>
                <w:noProof/>
                <w:sz w:val="20"/>
                <w:szCs w:val="20"/>
              </w:rPr>
            </w:pPr>
          </w:p>
        </w:tc>
        <w:tc>
          <w:tcPr>
            <w:tcW w:w="1489" w:type="dxa"/>
            <w:tcBorders>
              <w:bottom w:val="double" w:sz="4" w:space="0" w:color="auto"/>
            </w:tcBorders>
            <w:tcMar>
              <w:top w:w="57" w:type="dxa"/>
              <w:left w:w="57" w:type="dxa"/>
              <w:bottom w:w="57" w:type="dxa"/>
              <w:right w:w="57" w:type="dxa"/>
            </w:tcMar>
          </w:tcPr>
          <w:p w14:paraId="2AF9E6BF" w14:textId="55CD137C" w:rsidR="00F11395" w:rsidRPr="00881BC8" w:rsidRDefault="00F11395" w:rsidP="0046460B">
            <w:pPr>
              <w:spacing w:after="0"/>
              <w:jc w:val="left"/>
              <w:rPr>
                <w:noProof/>
                <w:sz w:val="20"/>
                <w:szCs w:val="20"/>
              </w:rPr>
            </w:pPr>
          </w:p>
        </w:tc>
      </w:tr>
      <w:tr w:rsidR="00F11395" w:rsidRPr="00881BC8" w14:paraId="7A53FEC5" w14:textId="77777777" w:rsidTr="006C696B">
        <w:trPr>
          <w:cantSplit/>
        </w:trPr>
        <w:tc>
          <w:tcPr>
            <w:tcW w:w="1204" w:type="dxa"/>
            <w:vMerge/>
            <w:tcBorders>
              <w:bottom w:val="double" w:sz="4" w:space="0" w:color="auto"/>
            </w:tcBorders>
            <w:tcMar>
              <w:top w:w="57" w:type="dxa"/>
              <w:left w:w="57" w:type="dxa"/>
              <w:bottom w:w="57" w:type="dxa"/>
              <w:right w:w="57" w:type="dxa"/>
            </w:tcMar>
          </w:tcPr>
          <w:p w14:paraId="7346459C" w14:textId="77777777" w:rsidR="00F11395" w:rsidRPr="00881BC8" w:rsidRDefault="00F11395" w:rsidP="0046460B">
            <w:pPr>
              <w:spacing w:after="0"/>
              <w:jc w:val="left"/>
              <w:rPr>
                <w:noProof/>
                <w:sz w:val="20"/>
                <w:szCs w:val="20"/>
              </w:rPr>
            </w:pPr>
          </w:p>
        </w:tc>
        <w:tc>
          <w:tcPr>
            <w:tcW w:w="1343" w:type="dxa"/>
            <w:tcBorders>
              <w:bottom w:val="double" w:sz="4" w:space="0" w:color="auto"/>
              <w:right w:val="double" w:sz="4" w:space="0" w:color="auto"/>
            </w:tcBorders>
            <w:tcMar>
              <w:top w:w="57" w:type="dxa"/>
              <w:left w:w="57" w:type="dxa"/>
              <w:bottom w:w="57" w:type="dxa"/>
              <w:right w:w="57" w:type="dxa"/>
            </w:tcMar>
            <w:vAlign w:val="center"/>
          </w:tcPr>
          <w:p w14:paraId="69E95AA5" w14:textId="77777777" w:rsidR="00F11395" w:rsidRPr="00881BC8" w:rsidRDefault="00F11395" w:rsidP="0046460B">
            <w:pPr>
              <w:spacing w:after="0"/>
              <w:jc w:val="left"/>
              <w:rPr>
                <w:noProof/>
                <w:sz w:val="20"/>
                <w:szCs w:val="20"/>
              </w:rPr>
            </w:pPr>
            <w:r w:rsidRPr="00881BC8">
              <w:rPr>
                <w:noProof/>
                <w:sz w:val="20"/>
                <w:szCs w:val="20"/>
              </w:rPr>
              <w:t>Direct enforcement costs</w:t>
            </w:r>
          </w:p>
        </w:tc>
        <w:tc>
          <w:tcPr>
            <w:tcW w:w="925" w:type="dxa"/>
            <w:tcBorders>
              <w:left w:val="double" w:sz="4" w:space="0" w:color="auto"/>
              <w:bottom w:val="double" w:sz="4" w:space="0" w:color="auto"/>
            </w:tcBorders>
            <w:tcMar>
              <w:top w:w="57" w:type="dxa"/>
              <w:left w:w="57" w:type="dxa"/>
              <w:bottom w:w="57" w:type="dxa"/>
              <w:right w:w="57" w:type="dxa"/>
            </w:tcMar>
          </w:tcPr>
          <w:p w14:paraId="38475837" w14:textId="77777777" w:rsidR="00F11395" w:rsidRPr="00881BC8" w:rsidRDefault="00F11395" w:rsidP="0046460B">
            <w:pPr>
              <w:spacing w:after="0"/>
              <w:jc w:val="left"/>
              <w:rPr>
                <w:noProof/>
                <w:sz w:val="20"/>
                <w:szCs w:val="20"/>
              </w:rPr>
            </w:pPr>
          </w:p>
        </w:tc>
        <w:tc>
          <w:tcPr>
            <w:tcW w:w="851" w:type="dxa"/>
            <w:tcBorders>
              <w:bottom w:val="double" w:sz="4" w:space="0" w:color="auto"/>
            </w:tcBorders>
            <w:tcMar>
              <w:top w:w="57" w:type="dxa"/>
              <w:left w:w="57" w:type="dxa"/>
              <w:bottom w:w="57" w:type="dxa"/>
              <w:right w:w="57" w:type="dxa"/>
            </w:tcMar>
          </w:tcPr>
          <w:p w14:paraId="240FFB84" w14:textId="77777777" w:rsidR="00F11395" w:rsidRPr="00881BC8" w:rsidRDefault="00F11395" w:rsidP="0046460B">
            <w:pPr>
              <w:spacing w:after="0"/>
              <w:jc w:val="left"/>
              <w:rPr>
                <w:noProof/>
                <w:sz w:val="20"/>
                <w:szCs w:val="20"/>
              </w:rPr>
            </w:pPr>
          </w:p>
        </w:tc>
        <w:tc>
          <w:tcPr>
            <w:tcW w:w="1417" w:type="dxa"/>
            <w:tcBorders>
              <w:bottom w:val="double" w:sz="4" w:space="0" w:color="auto"/>
            </w:tcBorders>
            <w:tcMar>
              <w:top w:w="57" w:type="dxa"/>
              <w:left w:w="57" w:type="dxa"/>
              <w:bottom w:w="57" w:type="dxa"/>
              <w:right w:w="57" w:type="dxa"/>
            </w:tcMar>
          </w:tcPr>
          <w:p w14:paraId="1430C003" w14:textId="77777777" w:rsidR="00F11395" w:rsidRPr="00881BC8" w:rsidRDefault="00F11395" w:rsidP="0046460B">
            <w:pPr>
              <w:spacing w:after="0"/>
              <w:jc w:val="left"/>
              <w:rPr>
                <w:noProof/>
                <w:sz w:val="20"/>
                <w:szCs w:val="20"/>
              </w:rPr>
            </w:pPr>
          </w:p>
        </w:tc>
        <w:tc>
          <w:tcPr>
            <w:tcW w:w="1559" w:type="dxa"/>
            <w:tcBorders>
              <w:bottom w:val="double" w:sz="4" w:space="0" w:color="auto"/>
            </w:tcBorders>
            <w:tcMar>
              <w:top w:w="57" w:type="dxa"/>
              <w:left w:w="57" w:type="dxa"/>
              <w:bottom w:w="57" w:type="dxa"/>
              <w:right w:w="57" w:type="dxa"/>
            </w:tcMar>
          </w:tcPr>
          <w:p w14:paraId="31275F09" w14:textId="77777777" w:rsidR="00F11395" w:rsidRPr="00881BC8" w:rsidRDefault="00F11395" w:rsidP="00C458EA">
            <w:pPr>
              <w:spacing w:after="0"/>
              <w:jc w:val="left"/>
              <w:rPr>
                <w:noProof/>
                <w:sz w:val="20"/>
                <w:szCs w:val="20"/>
              </w:rPr>
            </w:pPr>
            <w:r w:rsidRPr="00881BC8">
              <w:rPr>
                <w:noProof/>
                <w:sz w:val="20"/>
                <w:szCs w:val="20"/>
              </w:rPr>
              <w:t xml:space="preserve">Cost on debtors who pay late. Debtors can avoid these costs by paying on time. Costs of automatic payment of interest compensation: EUR 228.3 million. </w:t>
            </w:r>
          </w:p>
          <w:p w14:paraId="1476663E" w14:textId="77777777" w:rsidR="00F11395" w:rsidRPr="00881BC8" w:rsidRDefault="00F11395" w:rsidP="00C458EA">
            <w:pPr>
              <w:spacing w:after="0"/>
              <w:jc w:val="left"/>
              <w:rPr>
                <w:noProof/>
                <w:sz w:val="20"/>
                <w:szCs w:val="20"/>
              </w:rPr>
            </w:pPr>
          </w:p>
          <w:p w14:paraId="7003C554" w14:textId="4E75B38F" w:rsidR="00F11395" w:rsidRPr="00881BC8" w:rsidRDefault="00F11395" w:rsidP="00C458EA">
            <w:pPr>
              <w:spacing w:after="0"/>
              <w:jc w:val="left"/>
              <w:rPr>
                <w:noProof/>
                <w:sz w:val="20"/>
                <w:szCs w:val="20"/>
              </w:rPr>
            </w:pPr>
            <w:r w:rsidRPr="00881BC8">
              <w:rPr>
                <w:noProof/>
                <w:sz w:val="20"/>
                <w:szCs w:val="20"/>
              </w:rPr>
              <w:t>These costs for B2B are based on the 14% / 86% allocation keys between public procurement’s and private sector’s share of GDP.</w:t>
            </w:r>
          </w:p>
          <w:p w14:paraId="5BB60C25" w14:textId="0644FD42" w:rsidR="00F11395" w:rsidRPr="00881BC8" w:rsidRDefault="00F11395" w:rsidP="00C458EA">
            <w:pPr>
              <w:spacing w:after="0"/>
              <w:jc w:val="left"/>
              <w:rPr>
                <w:noProof/>
                <w:sz w:val="20"/>
                <w:szCs w:val="20"/>
              </w:rPr>
            </w:pPr>
            <w:r w:rsidRPr="00881BC8">
              <w:rPr>
                <w:noProof/>
                <w:sz w:val="20"/>
                <w:szCs w:val="20"/>
              </w:rPr>
              <w:t>These costs for business are also a benefit for business (redistributed from businesses to businesses).</w:t>
            </w:r>
          </w:p>
          <w:p w14:paraId="2D42EA63" w14:textId="71FCBF2E" w:rsidR="00F11395" w:rsidRPr="00881BC8" w:rsidRDefault="00F11395" w:rsidP="00C458EA">
            <w:pPr>
              <w:spacing w:after="0"/>
              <w:jc w:val="left"/>
              <w:rPr>
                <w:noProof/>
                <w:sz w:val="20"/>
                <w:szCs w:val="20"/>
              </w:rPr>
            </w:pPr>
            <w:r w:rsidRPr="00881BC8">
              <w:rPr>
                <w:noProof/>
                <w:sz w:val="20"/>
                <w:szCs w:val="20"/>
              </w:rPr>
              <w:t>Assumptions and calculation in Annex 4.</w:t>
            </w:r>
          </w:p>
        </w:tc>
        <w:tc>
          <w:tcPr>
            <w:tcW w:w="1418" w:type="dxa"/>
            <w:tcBorders>
              <w:bottom w:val="double" w:sz="4" w:space="0" w:color="auto"/>
            </w:tcBorders>
            <w:tcMar>
              <w:top w:w="57" w:type="dxa"/>
              <w:left w:w="57" w:type="dxa"/>
              <w:bottom w:w="57" w:type="dxa"/>
              <w:right w:w="57" w:type="dxa"/>
            </w:tcMar>
          </w:tcPr>
          <w:p w14:paraId="7B26B3C0" w14:textId="77777777" w:rsidR="00F11395" w:rsidRPr="00881BC8" w:rsidRDefault="00F11395" w:rsidP="0046460B">
            <w:pPr>
              <w:spacing w:after="0"/>
              <w:jc w:val="left"/>
              <w:rPr>
                <w:noProof/>
                <w:sz w:val="20"/>
                <w:szCs w:val="20"/>
              </w:rPr>
            </w:pPr>
          </w:p>
        </w:tc>
        <w:tc>
          <w:tcPr>
            <w:tcW w:w="1489" w:type="dxa"/>
            <w:tcBorders>
              <w:bottom w:val="double" w:sz="4" w:space="0" w:color="auto"/>
            </w:tcBorders>
            <w:tcMar>
              <w:top w:w="57" w:type="dxa"/>
              <w:left w:w="57" w:type="dxa"/>
              <w:bottom w:w="57" w:type="dxa"/>
              <w:right w:w="57" w:type="dxa"/>
            </w:tcMar>
          </w:tcPr>
          <w:p w14:paraId="539AE0F8" w14:textId="77777777" w:rsidR="00F11395" w:rsidRPr="00881BC8" w:rsidRDefault="00F11395" w:rsidP="00C458EA">
            <w:pPr>
              <w:spacing w:after="0"/>
              <w:jc w:val="left"/>
              <w:rPr>
                <w:noProof/>
                <w:sz w:val="20"/>
                <w:szCs w:val="20"/>
              </w:rPr>
            </w:pPr>
            <w:r w:rsidRPr="00881BC8">
              <w:rPr>
                <w:noProof/>
                <w:sz w:val="20"/>
                <w:szCs w:val="20"/>
              </w:rPr>
              <w:t xml:space="preserve">Cost on debtors who pay late. Debtors can avoid these costs by paying on time. Costs of automatic payment of interest compensation: EUR 37.2 million. </w:t>
            </w:r>
          </w:p>
          <w:p w14:paraId="03F00333" w14:textId="77777777" w:rsidR="00F11395" w:rsidRPr="00881BC8" w:rsidRDefault="00F11395" w:rsidP="00C458EA">
            <w:pPr>
              <w:spacing w:after="0"/>
              <w:jc w:val="left"/>
              <w:rPr>
                <w:noProof/>
                <w:sz w:val="20"/>
                <w:szCs w:val="20"/>
              </w:rPr>
            </w:pPr>
          </w:p>
          <w:p w14:paraId="3CBED4EE" w14:textId="77B55E4F" w:rsidR="00F11395" w:rsidRPr="00881BC8" w:rsidRDefault="00F11395" w:rsidP="00C458EA">
            <w:pPr>
              <w:spacing w:after="0"/>
              <w:jc w:val="left"/>
              <w:rPr>
                <w:noProof/>
                <w:sz w:val="20"/>
                <w:szCs w:val="20"/>
              </w:rPr>
            </w:pPr>
            <w:r w:rsidRPr="00881BC8">
              <w:rPr>
                <w:noProof/>
                <w:sz w:val="20"/>
                <w:szCs w:val="20"/>
              </w:rPr>
              <w:t>These costs for G2B are based on the 14% / 86% allocation keys between public procurement’s and private sector’s share of GDP.</w:t>
            </w:r>
          </w:p>
          <w:p w14:paraId="16CABA26" w14:textId="22FB5C68" w:rsidR="00F11395" w:rsidRPr="00881BC8" w:rsidRDefault="00F11395" w:rsidP="00C458EA">
            <w:pPr>
              <w:spacing w:after="0"/>
              <w:jc w:val="left"/>
              <w:rPr>
                <w:noProof/>
                <w:sz w:val="20"/>
                <w:szCs w:val="20"/>
              </w:rPr>
            </w:pPr>
            <w:r w:rsidRPr="00881BC8">
              <w:rPr>
                <w:noProof/>
                <w:sz w:val="20"/>
                <w:szCs w:val="20"/>
              </w:rPr>
              <w:t>These costs are transferred from public debtors to business creditors. Assumptions and calculation in Annex 4.</w:t>
            </w:r>
          </w:p>
        </w:tc>
      </w:tr>
      <w:tr w:rsidR="0046460B" w:rsidRPr="00881BC8" w14:paraId="684A761C" w14:textId="77777777" w:rsidTr="006C696B">
        <w:trPr>
          <w:cantSplit/>
        </w:trPr>
        <w:tc>
          <w:tcPr>
            <w:tcW w:w="1204" w:type="dxa"/>
            <w:tcBorders>
              <w:bottom w:val="double" w:sz="4" w:space="0" w:color="auto"/>
            </w:tcBorders>
            <w:tcMar>
              <w:top w:w="57" w:type="dxa"/>
              <w:left w:w="57" w:type="dxa"/>
              <w:bottom w:w="57" w:type="dxa"/>
              <w:right w:w="57" w:type="dxa"/>
            </w:tcMar>
          </w:tcPr>
          <w:p w14:paraId="0361C9E6" w14:textId="77777777" w:rsidR="0046460B" w:rsidRPr="00881BC8" w:rsidRDefault="0046460B" w:rsidP="0046460B">
            <w:pPr>
              <w:spacing w:after="0"/>
              <w:jc w:val="left"/>
              <w:rPr>
                <w:noProof/>
                <w:sz w:val="20"/>
                <w:szCs w:val="20"/>
              </w:rPr>
            </w:pPr>
          </w:p>
        </w:tc>
        <w:tc>
          <w:tcPr>
            <w:tcW w:w="1343" w:type="dxa"/>
            <w:tcBorders>
              <w:bottom w:val="double" w:sz="4" w:space="0" w:color="auto"/>
              <w:right w:val="double" w:sz="4" w:space="0" w:color="auto"/>
            </w:tcBorders>
            <w:tcMar>
              <w:top w:w="57" w:type="dxa"/>
              <w:left w:w="57" w:type="dxa"/>
              <w:bottom w:w="57" w:type="dxa"/>
              <w:right w:w="57" w:type="dxa"/>
            </w:tcMar>
          </w:tcPr>
          <w:p w14:paraId="598B399F" w14:textId="77777777" w:rsidR="0046460B" w:rsidRPr="00881BC8" w:rsidRDefault="0046460B" w:rsidP="0046460B">
            <w:pPr>
              <w:spacing w:after="0"/>
              <w:jc w:val="left"/>
              <w:rPr>
                <w:noProof/>
                <w:sz w:val="20"/>
                <w:szCs w:val="20"/>
              </w:rPr>
            </w:pPr>
            <w:r w:rsidRPr="00881BC8">
              <w:rPr>
                <w:noProof/>
                <w:sz w:val="20"/>
                <w:szCs w:val="20"/>
              </w:rPr>
              <w:t>Indirect costs</w:t>
            </w:r>
          </w:p>
        </w:tc>
        <w:tc>
          <w:tcPr>
            <w:tcW w:w="925" w:type="dxa"/>
            <w:tcBorders>
              <w:left w:val="double" w:sz="4" w:space="0" w:color="auto"/>
              <w:bottom w:val="double" w:sz="4" w:space="0" w:color="auto"/>
            </w:tcBorders>
            <w:tcMar>
              <w:top w:w="57" w:type="dxa"/>
              <w:left w:w="57" w:type="dxa"/>
              <w:bottom w:w="57" w:type="dxa"/>
              <w:right w:w="57" w:type="dxa"/>
            </w:tcMar>
          </w:tcPr>
          <w:p w14:paraId="4D2E6406" w14:textId="77777777" w:rsidR="0046460B" w:rsidRPr="00881BC8" w:rsidRDefault="0046460B" w:rsidP="0046460B">
            <w:pPr>
              <w:spacing w:after="0"/>
              <w:jc w:val="left"/>
              <w:rPr>
                <w:noProof/>
                <w:sz w:val="20"/>
                <w:szCs w:val="20"/>
              </w:rPr>
            </w:pPr>
          </w:p>
        </w:tc>
        <w:tc>
          <w:tcPr>
            <w:tcW w:w="851" w:type="dxa"/>
            <w:tcBorders>
              <w:bottom w:val="double" w:sz="4" w:space="0" w:color="auto"/>
            </w:tcBorders>
            <w:tcMar>
              <w:top w:w="57" w:type="dxa"/>
              <w:left w:w="57" w:type="dxa"/>
              <w:bottom w:w="57" w:type="dxa"/>
              <w:right w:w="57" w:type="dxa"/>
            </w:tcMar>
          </w:tcPr>
          <w:p w14:paraId="07C01D2A" w14:textId="77777777" w:rsidR="0046460B" w:rsidRPr="00881BC8" w:rsidRDefault="0046460B" w:rsidP="0046460B">
            <w:pPr>
              <w:spacing w:after="0"/>
              <w:jc w:val="left"/>
              <w:rPr>
                <w:noProof/>
                <w:sz w:val="20"/>
                <w:szCs w:val="20"/>
              </w:rPr>
            </w:pPr>
          </w:p>
        </w:tc>
        <w:tc>
          <w:tcPr>
            <w:tcW w:w="1417" w:type="dxa"/>
            <w:tcBorders>
              <w:bottom w:val="double" w:sz="4" w:space="0" w:color="auto"/>
            </w:tcBorders>
            <w:tcMar>
              <w:top w:w="57" w:type="dxa"/>
              <w:left w:w="57" w:type="dxa"/>
              <w:bottom w:w="57" w:type="dxa"/>
              <w:right w:w="57" w:type="dxa"/>
            </w:tcMar>
          </w:tcPr>
          <w:p w14:paraId="702B85B5" w14:textId="77777777" w:rsidR="0046460B" w:rsidRPr="00881BC8" w:rsidRDefault="0046460B" w:rsidP="0046460B">
            <w:pPr>
              <w:spacing w:after="0"/>
              <w:jc w:val="left"/>
              <w:rPr>
                <w:noProof/>
                <w:sz w:val="20"/>
                <w:szCs w:val="20"/>
              </w:rPr>
            </w:pPr>
          </w:p>
        </w:tc>
        <w:tc>
          <w:tcPr>
            <w:tcW w:w="1559" w:type="dxa"/>
            <w:tcBorders>
              <w:bottom w:val="double" w:sz="4" w:space="0" w:color="auto"/>
            </w:tcBorders>
            <w:tcMar>
              <w:top w:w="57" w:type="dxa"/>
              <w:left w:w="57" w:type="dxa"/>
              <w:bottom w:w="57" w:type="dxa"/>
              <w:right w:w="57" w:type="dxa"/>
            </w:tcMar>
          </w:tcPr>
          <w:p w14:paraId="50B56C76" w14:textId="77777777" w:rsidR="0046460B" w:rsidRPr="00881BC8" w:rsidRDefault="0046460B" w:rsidP="0046460B">
            <w:pPr>
              <w:spacing w:after="0"/>
              <w:jc w:val="left"/>
              <w:rPr>
                <w:noProof/>
                <w:sz w:val="20"/>
                <w:szCs w:val="20"/>
              </w:rPr>
            </w:pPr>
          </w:p>
        </w:tc>
        <w:tc>
          <w:tcPr>
            <w:tcW w:w="1418" w:type="dxa"/>
            <w:tcBorders>
              <w:bottom w:val="double" w:sz="4" w:space="0" w:color="auto"/>
            </w:tcBorders>
            <w:tcMar>
              <w:top w:w="57" w:type="dxa"/>
              <w:left w:w="57" w:type="dxa"/>
              <w:bottom w:w="57" w:type="dxa"/>
              <w:right w:w="57" w:type="dxa"/>
            </w:tcMar>
          </w:tcPr>
          <w:p w14:paraId="5B0EC082" w14:textId="77777777" w:rsidR="0046460B" w:rsidRPr="00881BC8" w:rsidRDefault="0046460B" w:rsidP="0046460B">
            <w:pPr>
              <w:spacing w:after="0"/>
              <w:jc w:val="left"/>
              <w:rPr>
                <w:noProof/>
                <w:sz w:val="20"/>
                <w:szCs w:val="20"/>
              </w:rPr>
            </w:pPr>
          </w:p>
        </w:tc>
        <w:tc>
          <w:tcPr>
            <w:tcW w:w="1489" w:type="dxa"/>
            <w:tcBorders>
              <w:bottom w:val="double" w:sz="4" w:space="0" w:color="auto"/>
            </w:tcBorders>
            <w:tcMar>
              <w:top w:w="57" w:type="dxa"/>
              <w:left w:w="57" w:type="dxa"/>
              <w:bottom w:w="57" w:type="dxa"/>
              <w:right w:w="57" w:type="dxa"/>
            </w:tcMar>
          </w:tcPr>
          <w:p w14:paraId="5FFC2CAB" w14:textId="77777777" w:rsidR="0046460B" w:rsidRPr="00881BC8" w:rsidRDefault="0046460B" w:rsidP="0046460B">
            <w:pPr>
              <w:spacing w:after="0"/>
              <w:jc w:val="left"/>
              <w:rPr>
                <w:noProof/>
                <w:sz w:val="20"/>
                <w:szCs w:val="20"/>
              </w:rPr>
            </w:pPr>
          </w:p>
        </w:tc>
      </w:tr>
      <w:tr w:rsidR="00F11395" w:rsidRPr="00881BC8" w14:paraId="684D96BE" w14:textId="77777777" w:rsidTr="00193BD4">
        <w:trPr>
          <w:cantSplit/>
        </w:trPr>
        <w:tc>
          <w:tcPr>
            <w:tcW w:w="1204" w:type="dxa"/>
            <w:vMerge w:val="restart"/>
            <w:tcMar>
              <w:top w:w="57" w:type="dxa"/>
              <w:left w:w="57" w:type="dxa"/>
              <w:bottom w:w="57" w:type="dxa"/>
              <w:right w:w="57" w:type="dxa"/>
            </w:tcMar>
          </w:tcPr>
          <w:p w14:paraId="0BA1EFC9" w14:textId="77777777" w:rsidR="00F11395" w:rsidRPr="00881BC8" w:rsidRDefault="00F11395" w:rsidP="0046460B">
            <w:pPr>
              <w:spacing w:after="0"/>
              <w:jc w:val="left"/>
              <w:rPr>
                <w:noProof/>
                <w:sz w:val="20"/>
                <w:szCs w:val="20"/>
              </w:rPr>
            </w:pPr>
            <w:r w:rsidRPr="00881BC8">
              <w:rPr>
                <w:noProof/>
                <w:sz w:val="20"/>
                <w:szCs w:val="20"/>
              </w:rPr>
              <w:t xml:space="preserve">Leave the rate of interests for late payment as such (ECB+8%) but adapt the flat fee compensation to inflation </w:t>
            </w:r>
          </w:p>
        </w:tc>
        <w:tc>
          <w:tcPr>
            <w:tcW w:w="1343" w:type="dxa"/>
            <w:tcBorders>
              <w:bottom w:val="double" w:sz="4" w:space="0" w:color="auto"/>
              <w:right w:val="double" w:sz="4" w:space="0" w:color="auto"/>
            </w:tcBorders>
            <w:tcMar>
              <w:top w:w="57" w:type="dxa"/>
              <w:left w:w="57" w:type="dxa"/>
              <w:bottom w:w="57" w:type="dxa"/>
              <w:right w:w="57" w:type="dxa"/>
            </w:tcMar>
            <w:vAlign w:val="center"/>
          </w:tcPr>
          <w:p w14:paraId="5E789CCD" w14:textId="77777777" w:rsidR="00F11395" w:rsidRPr="00881BC8" w:rsidRDefault="00F11395" w:rsidP="0046460B">
            <w:pPr>
              <w:spacing w:after="0"/>
              <w:jc w:val="left"/>
              <w:rPr>
                <w:noProof/>
                <w:sz w:val="20"/>
                <w:szCs w:val="20"/>
              </w:rPr>
            </w:pPr>
            <w:r w:rsidRPr="00881BC8">
              <w:rPr>
                <w:noProof/>
                <w:sz w:val="20"/>
                <w:szCs w:val="20"/>
              </w:rPr>
              <w:t>Direct adjustment costs</w:t>
            </w:r>
          </w:p>
        </w:tc>
        <w:tc>
          <w:tcPr>
            <w:tcW w:w="925" w:type="dxa"/>
            <w:tcBorders>
              <w:left w:val="double" w:sz="4" w:space="0" w:color="auto"/>
              <w:bottom w:val="double" w:sz="4" w:space="0" w:color="auto"/>
            </w:tcBorders>
            <w:tcMar>
              <w:top w:w="57" w:type="dxa"/>
              <w:left w:w="57" w:type="dxa"/>
              <w:bottom w:w="57" w:type="dxa"/>
              <w:right w:w="57" w:type="dxa"/>
            </w:tcMar>
          </w:tcPr>
          <w:p w14:paraId="542459CF" w14:textId="77777777" w:rsidR="00F11395" w:rsidRPr="00881BC8" w:rsidRDefault="00F11395" w:rsidP="0046460B">
            <w:pPr>
              <w:spacing w:after="0"/>
              <w:jc w:val="left"/>
              <w:rPr>
                <w:noProof/>
                <w:sz w:val="20"/>
                <w:szCs w:val="20"/>
              </w:rPr>
            </w:pPr>
          </w:p>
        </w:tc>
        <w:tc>
          <w:tcPr>
            <w:tcW w:w="851" w:type="dxa"/>
            <w:tcBorders>
              <w:bottom w:val="double" w:sz="4" w:space="0" w:color="auto"/>
            </w:tcBorders>
            <w:tcMar>
              <w:top w:w="57" w:type="dxa"/>
              <w:left w:w="57" w:type="dxa"/>
              <w:bottom w:w="57" w:type="dxa"/>
              <w:right w:w="57" w:type="dxa"/>
            </w:tcMar>
          </w:tcPr>
          <w:p w14:paraId="11964546" w14:textId="77777777" w:rsidR="00F11395" w:rsidRPr="00881BC8" w:rsidRDefault="00F11395" w:rsidP="0046460B">
            <w:pPr>
              <w:spacing w:after="0"/>
              <w:jc w:val="left"/>
              <w:rPr>
                <w:noProof/>
                <w:sz w:val="20"/>
                <w:szCs w:val="20"/>
              </w:rPr>
            </w:pPr>
          </w:p>
        </w:tc>
        <w:tc>
          <w:tcPr>
            <w:tcW w:w="1417" w:type="dxa"/>
            <w:tcBorders>
              <w:bottom w:val="double" w:sz="4" w:space="0" w:color="auto"/>
            </w:tcBorders>
            <w:tcMar>
              <w:top w:w="57" w:type="dxa"/>
              <w:left w:w="57" w:type="dxa"/>
              <w:bottom w:w="57" w:type="dxa"/>
              <w:right w:w="57" w:type="dxa"/>
            </w:tcMar>
          </w:tcPr>
          <w:p w14:paraId="70CB6372" w14:textId="77777777" w:rsidR="003F38D7" w:rsidRPr="00881BC8" w:rsidRDefault="00F11395" w:rsidP="0046460B">
            <w:pPr>
              <w:spacing w:after="0"/>
              <w:jc w:val="left"/>
              <w:rPr>
                <w:noProof/>
                <w:sz w:val="20"/>
                <w:szCs w:val="20"/>
              </w:rPr>
            </w:pPr>
            <w:r w:rsidRPr="00881BC8">
              <w:rPr>
                <w:noProof/>
                <w:sz w:val="20"/>
                <w:szCs w:val="20"/>
              </w:rPr>
              <w:t>Adjustment of invoices and terms, the cost of updating general payment terms/invoices: EUR 243 million</w:t>
            </w:r>
            <w:r w:rsidR="003F38D7" w:rsidRPr="00881BC8">
              <w:rPr>
                <w:noProof/>
                <w:sz w:val="20"/>
                <w:szCs w:val="20"/>
              </w:rPr>
              <w:t>.</w:t>
            </w:r>
            <w:r w:rsidRPr="00881BC8">
              <w:rPr>
                <w:noProof/>
                <w:sz w:val="20"/>
                <w:szCs w:val="20"/>
              </w:rPr>
              <w:t xml:space="preserve"> </w:t>
            </w:r>
          </w:p>
          <w:p w14:paraId="7D320698" w14:textId="77777777" w:rsidR="003F38D7" w:rsidRPr="00881BC8" w:rsidRDefault="003F38D7" w:rsidP="0046460B">
            <w:pPr>
              <w:spacing w:after="0"/>
              <w:jc w:val="left"/>
              <w:rPr>
                <w:noProof/>
                <w:sz w:val="20"/>
                <w:szCs w:val="20"/>
              </w:rPr>
            </w:pPr>
          </w:p>
          <w:p w14:paraId="4CEC578F" w14:textId="0333FF8A" w:rsidR="00F11395" w:rsidRPr="00881BC8" w:rsidRDefault="003F38D7" w:rsidP="0046460B">
            <w:pPr>
              <w:spacing w:after="0"/>
              <w:jc w:val="left"/>
              <w:rPr>
                <w:noProof/>
                <w:sz w:val="20"/>
                <w:szCs w:val="20"/>
              </w:rPr>
            </w:pPr>
            <w:r w:rsidRPr="00881BC8">
              <w:rPr>
                <w:noProof/>
                <w:sz w:val="20"/>
                <w:szCs w:val="20"/>
              </w:rPr>
              <w:t>T</w:t>
            </w:r>
            <w:r w:rsidR="00F11395" w:rsidRPr="00881BC8">
              <w:rPr>
                <w:noProof/>
                <w:sz w:val="20"/>
                <w:szCs w:val="20"/>
              </w:rPr>
              <w:t>his amount includes the EUR 56.1 million cost for adaptations of standard terms doe to the introduction of the 30-day cap</w:t>
            </w:r>
            <w:r w:rsidRPr="00881BC8">
              <w:rPr>
                <w:noProof/>
                <w:sz w:val="20"/>
                <w:szCs w:val="20"/>
              </w:rPr>
              <w:t>.</w:t>
            </w:r>
          </w:p>
        </w:tc>
        <w:tc>
          <w:tcPr>
            <w:tcW w:w="1559" w:type="dxa"/>
            <w:tcBorders>
              <w:bottom w:val="double" w:sz="4" w:space="0" w:color="auto"/>
            </w:tcBorders>
            <w:tcMar>
              <w:top w:w="57" w:type="dxa"/>
              <w:left w:w="57" w:type="dxa"/>
              <w:bottom w:w="57" w:type="dxa"/>
              <w:right w:w="57" w:type="dxa"/>
            </w:tcMar>
          </w:tcPr>
          <w:p w14:paraId="21E7ED94" w14:textId="77777777" w:rsidR="00F11395" w:rsidRPr="00881BC8" w:rsidRDefault="00F11395" w:rsidP="0046460B">
            <w:pPr>
              <w:spacing w:after="0"/>
              <w:jc w:val="left"/>
              <w:rPr>
                <w:noProof/>
                <w:sz w:val="20"/>
                <w:szCs w:val="20"/>
              </w:rPr>
            </w:pPr>
          </w:p>
        </w:tc>
        <w:tc>
          <w:tcPr>
            <w:tcW w:w="1418" w:type="dxa"/>
            <w:tcBorders>
              <w:bottom w:val="double" w:sz="4" w:space="0" w:color="auto"/>
            </w:tcBorders>
            <w:tcMar>
              <w:top w:w="57" w:type="dxa"/>
              <w:left w:w="57" w:type="dxa"/>
              <w:bottom w:w="57" w:type="dxa"/>
              <w:right w:w="57" w:type="dxa"/>
            </w:tcMar>
          </w:tcPr>
          <w:p w14:paraId="59921E6E" w14:textId="6049DAAD" w:rsidR="00F11395" w:rsidRPr="00881BC8" w:rsidRDefault="00F11395" w:rsidP="0046460B">
            <w:pPr>
              <w:spacing w:after="0"/>
              <w:jc w:val="left"/>
              <w:rPr>
                <w:noProof/>
                <w:sz w:val="20"/>
                <w:szCs w:val="20"/>
              </w:rPr>
            </w:pPr>
            <w:r w:rsidRPr="00881BC8">
              <w:rPr>
                <w:noProof/>
                <w:sz w:val="20"/>
                <w:szCs w:val="20"/>
              </w:rPr>
              <w:t>Adjustment of invoices and terms: EUR 10 per public entity.</w:t>
            </w:r>
          </w:p>
        </w:tc>
        <w:tc>
          <w:tcPr>
            <w:tcW w:w="1489" w:type="dxa"/>
            <w:tcBorders>
              <w:bottom w:val="double" w:sz="4" w:space="0" w:color="auto"/>
            </w:tcBorders>
            <w:tcMar>
              <w:top w:w="57" w:type="dxa"/>
              <w:left w:w="57" w:type="dxa"/>
              <w:bottom w:w="57" w:type="dxa"/>
              <w:right w:w="57" w:type="dxa"/>
            </w:tcMar>
          </w:tcPr>
          <w:p w14:paraId="55A64FBB" w14:textId="77777777" w:rsidR="00F11395" w:rsidRPr="00881BC8" w:rsidRDefault="00F11395" w:rsidP="0046460B">
            <w:pPr>
              <w:spacing w:after="0"/>
              <w:jc w:val="left"/>
              <w:rPr>
                <w:noProof/>
                <w:sz w:val="20"/>
                <w:szCs w:val="20"/>
              </w:rPr>
            </w:pPr>
          </w:p>
        </w:tc>
      </w:tr>
      <w:tr w:rsidR="00F11395" w:rsidRPr="00881BC8" w14:paraId="10A7E48E" w14:textId="77777777" w:rsidTr="00193BD4">
        <w:trPr>
          <w:cantSplit/>
        </w:trPr>
        <w:tc>
          <w:tcPr>
            <w:tcW w:w="1204" w:type="dxa"/>
            <w:vMerge/>
            <w:tcMar>
              <w:top w:w="57" w:type="dxa"/>
              <w:left w:w="57" w:type="dxa"/>
              <w:bottom w:w="57" w:type="dxa"/>
              <w:right w:w="57" w:type="dxa"/>
            </w:tcMar>
          </w:tcPr>
          <w:p w14:paraId="039CE0C0" w14:textId="77777777" w:rsidR="00F11395" w:rsidRPr="00881BC8" w:rsidRDefault="00F11395" w:rsidP="0046460B">
            <w:pPr>
              <w:spacing w:after="0"/>
              <w:jc w:val="left"/>
              <w:rPr>
                <w:noProof/>
                <w:sz w:val="20"/>
                <w:szCs w:val="20"/>
              </w:rPr>
            </w:pPr>
          </w:p>
        </w:tc>
        <w:tc>
          <w:tcPr>
            <w:tcW w:w="1343" w:type="dxa"/>
            <w:tcBorders>
              <w:bottom w:val="double" w:sz="4" w:space="0" w:color="auto"/>
              <w:right w:val="double" w:sz="4" w:space="0" w:color="auto"/>
            </w:tcBorders>
            <w:tcMar>
              <w:top w:w="57" w:type="dxa"/>
              <w:left w:w="57" w:type="dxa"/>
              <w:bottom w:w="57" w:type="dxa"/>
              <w:right w:w="57" w:type="dxa"/>
            </w:tcMar>
            <w:vAlign w:val="center"/>
          </w:tcPr>
          <w:p w14:paraId="3466E48A" w14:textId="77777777" w:rsidR="00F11395" w:rsidRPr="00881BC8" w:rsidRDefault="00F11395" w:rsidP="0046460B">
            <w:pPr>
              <w:spacing w:after="0"/>
              <w:jc w:val="left"/>
              <w:rPr>
                <w:noProof/>
                <w:sz w:val="20"/>
                <w:szCs w:val="20"/>
              </w:rPr>
            </w:pPr>
            <w:r w:rsidRPr="00881BC8">
              <w:rPr>
                <w:noProof/>
                <w:sz w:val="20"/>
                <w:szCs w:val="20"/>
              </w:rPr>
              <w:t>Direct administrative costs</w:t>
            </w:r>
          </w:p>
        </w:tc>
        <w:tc>
          <w:tcPr>
            <w:tcW w:w="925" w:type="dxa"/>
            <w:tcBorders>
              <w:left w:val="double" w:sz="4" w:space="0" w:color="auto"/>
              <w:bottom w:val="double" w:sz="4" w:space="0" w:color="auto"/>
            </w:tcBorders>
            <w:tcMar>
              <w:top w:w="57" w:type="dxa"/>
              <w:left w:w="57" w:type="dxa"/>
              <w:bottom w:w="57" w:type="dxa"/>
              <w:right w:w="57" w:type="dxa"/>
            </w:tcMar>
          </w:tcPr>
          <w:p w14:paraId="6A5A6436" w14:textId="77777777" w:rsidR="00F11395" w:rsidRPr="00881BC8" w:rsidRDefault="00F11395" w:rsidP="0046460B">
            <w:pPr>
              <w:spacing w:after="0"/>
              <w:jc w:val="left"/>
              <w:rPr>
                <w:noProof/>
                <w:sz w:val="20"/>
                <w:szCs w:val="20"/>
              </w:rPr>
            </w:pPr>
          </w:p>
        </w:tc>
        <w:tc>
          <w:tcPr>
            <w:tcW w:w="851" w:type="dxa"/>
            <w:tcBorders>
              <w:bottom w:val="double" w:sz="4" w:space="0" w:color="auto"/>
            </w:tcBorders>
            <w:tcMar>
              <w:top w:w="57" w:type="dxa"/>
              <w:left w:w="57" w:type="dxa"/>
              <w:bottom w:w="57" w:type="dxa"/>
              <w:right w:w="57" w:type="dxa"/>
            </w:tcMar>
          </w:tcPr>
          <w:p w14:paraId="28C362E8" w14:textId="77777777" w:rsidR="00F11395" w:rsidRPr="00881BC8" w:rsidRDefault="00F11395" w:rsidP="0046460B">
            <w:pPr>
              <w:spacing w:after="0"/>
              <w:jc w:val="left"/>
              <w:rPr>
                <w:noProof/>
                <w:sz w:val="20"/>
                <w:szCs w:val="20"/>
              </w:rPr>
            </w:pPr>
          </w:p>
        </w:tc>
        <w:tc>
          <w:tcPr>
            <w:tcW w:w="1417" w:type="dxa"/>
            <w:tcBorders>
              <w:bottom w:val="double" w:sz="4" w:space="0" w:color="auto"/>
            </w:tcBorders>
            <w:tcMar>
              <w:top w:w="57" w:type="dxa"/>
              <w:left w:w="57" w:type="dxa"/>
              <w:bottom w:w="57" w:type="dxa"/>
              <w:right w:w="57" w:type="dxa"/>
            </w:tcMar>
          </w:tcPr>
          <w:p w14:paraId="6AB61859" w14:textId="77777777" w:rsidR="00F11395" w:rsidRPr="00881BC8" w:rsidRDefault="00F11395" w:rsidP="0046460B">
            <w:pPr>
              <w:spacing w:after="0"/>
              <w:jc w:val="left"/>
              <w:rPr>
                <w:noProof/>
                <w:sz w:val="20"/>
                <w:szCs w:val="20"/>
              </w:rPr>
            </w:pPr>
          </w:p>
        </w:tc>
        <w:tc>
          <w:tcPr>
            <w:tcW w:w="1559" w:type="dxa"/>
            <w:tcBorders>
              <w:bottom w:val="double" w:sz="4" w:space="0" w:color="auto"/>
            </w:tcBorders>
            <w:tcMar>
              <w:top w:w="57" w:type="dxa"/>
              <w:left w:w="57" w:type="dxa"/>
              <w:bottom w:w="57" w:type="dxa"/>
              <w:right w:w="57" w:type="dxa"/>
            </w:tcMar>
          </w:tcPr>
          <w:p w14:paraId="66D105C4" w14:textId="77777777" w:rsidR="00F11395" w:rsidRPr="00881BC8" w:rsidRDefault="00F11395" w:rsidP="0046460B">
            <w:pPr>
              <w:spacing w:after="0"/>
              <w:jc w:val="left"/>
              <w:rPr>
                <w:noProof/>
                <w:sz w:val="20"/>
                <w:szCs w:val="20"/>
              </w:rPr>
            </w:pPr>
          </w:p>
        </w:tc>
        <w:tc>
          <w:tcPr>
            <w:tcW w:w="1418" w:type="dxa"/>
            <w:tcBorders>
              <w:bottom w:val="double" w:sz="4" w:space="0" w:color="auto"/>
            </w:tcBorders>
            <w:tcMar>
              <w:top w:w="57" w:type="dxa"/>
              <w:left w:w="57" w:type="dxa"/>
              <w:bottom w:w="57" w:type="dxa"/>
              <w:right w:w="57" w:type="dxa"/>
            </w:tcMar>
          </w:tcPr>
          <w:p w14:paraId="7BD71E92" w14:textId="77777777" w:rsidR="00F11395" w:rsidRPr="00881BC8" w:rsidRDefault="00F11395" w:rsidP="0046460B">
            <w:pPr>
              <w:spacing w:after="0"/>
              <w:jc w:val="left"/>
              <w:rPr>
                <w:noProof/>
                <w:sz w:val="20"/>
                <w:szCs w:val="20"/>
              </w:rPr>
            </w:pPr>
          </w:p>
        </w:tc>
        <w:tc>
          <w:tcPr>
            <w:tcW w:w="1489" w:type="dxa"/>
            <w:tcBorders>
              <w:bottom w:val="double" w:sz="4" w:space="0" w:color="auto"/>
            </w:tcBorders>
            <w:tcMar>
              <w:top w:w="57" w:type="dxa"/>
              <w:left w:w="57" w:type="dxa"/>
              <w:bottom w:w="57" w:type="dxa"/>
              <w:right w:w="57" w:type="dxa"/>
            </w:tcMar>
          </w:tcPr>
          <w:p w14:paraId="06BCB63D" w14:textId="77777777" w:rsidR="00F11395" w:rsidRPr="00881BC8" w:rsidRDefault="00F11395" w:rsidP="0046460B">
            <w:pPr>
              <w:spacing w:after="0"/>
              <w:jc w:val="left"/>
              <w:rPr>
                <w:noProof/>
                <w:sz w:val="20"/>
                <w:szCs w:val="20"/>
              </w:rPr>
            </w:pPr>
          </w:p>
        </w:tc>
      </w:tr>
      <w:tr w:rsidR="00F11395" w:rsidRPr="00881BC8" w14:paraId="1BBF5AC4" w14:textId="77777777" w:rsidTr="006C696B">
        <w:trPr>
          <w:cantSplit/>
        </w:trPr>
        <w:tc>
          <w:tcPr>
            <w:tcW w:w="1204" w:type="dxa"/>
            <w:vMerge/>
            <w:tcBorders>
              <w:bottom w:val="double" w:sz="4" w:space="0" w:color="auto"/>
            </w:tcBorders>
            <w:tcMar>
              <w:top w:w="57" w:type="dxa"/>
              <w:left w:w="57" w:type="dxa"/>
              <w:bottom w:w="57" w:type="dxa"/>
              <w:right w:w="57" w:type="dxa"/>
            </w:tcMar>
          </w:tcPr>
          <w:p w14:paraId="13F7DD60" w14:textId="77777777" w:rsidR="00F11395" w:rsidRPr="00881BC8" w:rsidRDefault="00F11395" w:rsidP="0046460B">
            <w:pPr>
              <w:spacing w:after="0"/>
              <w:jc w:val="left"/>
              <w:rPr>
                <w:noProof/>
                <w:sz w:val="20"/>
                <w:szCs w:val="20"/>
              </w:rPr>
            </w:pPr>
          </w:p>
        </w:tc>
        <w:tc>
          <w:tcPr>
            <w:tcW w:w="1343" w:type="dxa"/>
            <w:tcBorders>
              <w:bottom w:val="double" w:sz="4" w:space="0" w:color="auto"/>
              <w:right w:val="double" w:sz="4" w:space="0" w:color="auto"/>
            </w:tcBorders>
            <w:tcMar>
              <w:top w:w="57" w:type="dxa"/>
              <w:left w:w="57" w:type="dxa"/>
              <w:bottom w:w="57" w:type="dxa"/>
              <w:right w:w="57" w:type="dxa"/>
            </w:tcMar>
            <w:vAlign w:val="center"/>
          </w:tcPr>
          <w:p w14:paraId="26F471C9" w14:textId="77777777" w:rsidR="00F11395" w:rsidRPr="00881BC8" w:rsidRDefault="00F11395" w:rsidP="0046460B">
            <w:pPr>
              <w:spacing w:after="0"/>
              <w:jc w:val="left"/>
              <w:rPr>
                <w:noProof/>
                <w:sz w:val="20"/>
                <w:szCs w:val="20"/>
              </w:rPr>
            </w:pPr>
            <w:r w:rsidRPr="00881BC8">
              <w:rPr>
                <w:noProof/>
                <w:sz w:val="20"/>
                <w:szCs w:val="20"/>
              </w:rPr>
              <w:t>Direct regulatory fees and charges</w:t>
            </w:r>
          </w:p>
        </w:tc>
        <w:tc>
          <w:tcPr>
            <w:tcW w:w="925" w:type="dxa"/>
            <w:tcBorders>
              <w:left w:val="double" w:sz="4" w:space="0" w:color="auto"/>
              <w:bottom w:val="double" w:sz="4" w:space="0" w:color="auto"/>
            </w:tcBorders>
            <w:tcMar>
              <w:top w:w="57" w:type="dxa"/>
              <w:left w:w="57" w:type="dxa"/>
              <w:bottom w:w="57" w:type="dxa"/>
              <w:right w:w="57" w:type="dxa"/>
            </w:tcMar>
          </w:tcPr>
          <w:p w14:paraId="0ABDF18E" w14:textId="77777777" w:rsidR="00F11395" w:rsidRPr="00881BC8" w:rsidRDefault="00F11395" w:rsidP="0046460B">
            <w:pPr>
              <w:spacing w:after="0"/>
              <w:jc w:val="left"/>
              <w:rPr>
                <w:noProof/>
                <w:sz w:val="20"/>
                <w:szCs w:val="20"/>
              </w:rPr>
            </w:pPr>
          </w:p>
        </w:tc>
        <w:tc>
          <w:tcPr>
            <w:tcW w:w="851" w:type="dxa"/>
            <w:tcBorders>
              <w:bottom w:val="double" w:sz="4" w:space="0" w:color="auto"/>
            </w:tcBorders>
            <w:tcMar>
              <w:top w:w="57" w:type="dxa"/>
              <w:left w:w="57" w:type="dxa"/>
              <w:bottom w:w="57" w:type="dxa"/>
              <w:right w:w="57" w:type="dxa"/>
            </w:tcMar>
          </w:tcPr>
          <w:p w14:paraId="33E89DA4" w14:textId="77777777" w:rsidR="00F11395" w:rsidRPr="00881BC8" w:rsidRDefault="00F11395" w:rsidP="0046460B">
            <w:pPr>
              <w:spacing w:after="0"/>
              <w:jc w:val="left"/>
              <w:rPr>
                <w:noProof/>
                <w:sz w:val="20"/>
                <w:szCs w:val="20"/>
              </w:rPr>
            </w:pPr>
          </w:p>
        </w:tc>
        <w:tc>
          <w:tcPr>
            <w:tcW w:w="1417" w:type="dxa"/>
            <w:tcBorders>
              <w:bottom w:val="double" w:sz="4" w:space="0" w:color="auto"/>
            </w:tcBorders>
            <w:tcMar>
              <w:top w:w="57" w:type="dxa"/>
              <w:left w:w="57" w:type="dxa"/>
              <w:bottom w:w="57" w:type="dxa"/>
              <w:right w:w="57" w:type="dxa"/>
            </w:tcMar>
          </w:tcPr>
          <w:p w14:paraId="7DF47A3C" w14:textId="77777777" w:rsidR="00F11395" w:rsidRPr="00881BC8" w:rsidRDefault="00F11395" w:rsidP="0046460B">
            <w:pPr>
              <w:spacing w:after="0"/>
              <w:jc w:val="left"/>
              <w:rPr>
                <w:noProof/>
                <w:sz w:val="20"/>
                <w:szCs w:val="20"/>
              </w:rPr>
            </w:pPr>
          </w:p>
        </w:tc>
        <w:tc>
          <w:tcPr>
            <w:tcW w:w="1559" w:type="dxa"/>
            <w:tcBorders>
              <w:bottom w:val="double" w:sz="4" w:space="0" w:color="auto"/>
            </w:tcBorders>
            <w:tcMar>
              <w:top w:w="57" w:type="dxa"/>
              <w:left w:w="57" w:type="dxa"/>
              <w:bottom w:w="57" w:type="dxa"/>
              <w:right w:w="57" w:type="dxa"/>
            </w:tcMar>
          </w:tcPr>
          <w:p w14:paraId="270251F3" w14:textId="77777777" w:rsidR="00F11395" w:rsidRPr="00881BC8" w:rsidRDefault="00F11395" w:rsidP="0046460B">
            <w:pPr>
              <w:spacing w:after="0"/>
              <w:jc w:val="left"/>
              <w:rPr>
                <w:noProof/>
                <w:sz w:val="20"/>
                <w:szCs w:val="20"/>
              </w:rPr>
            </w:pPr>
          </w:p>
        </w:tc>
        <w:tc>
          <w:tcPr>
            <w:tcW w:w="1418" w:type="dxa"/>
            <w:tcBorders>
              <w:bottom w:val="double" w:sz="4" w:space="0" w:color="auto"/>
            </w:tcBorders>
            <w:tcMar>
              <w:top w:w="57" w:type="dxa"/>
              <w:left w:w="57" w:type="dxa"/>
              <w:bottom w:w="57" w:type="dxa"/>
              <w:right w:w="57" w:type="dxa"/>
            </w:tcMar>
          </w:tcPr>
          <w:p w14:paraId="1F0E9E63" w14:textId="77777777" w:rsidR="00F11395" w:rsidRPr="00881BC8" w:rsidRDefault="00F11395" w:rsidP="0046460B">
            <w:pPr>
              <w:spacing w:after="0"/>
              <w:jc w:val="left"/>
              <w:rPr>
                <w:noProof/>
                <w:sz w:val="20"/>
                <w:szCs w:val="20"/>
              </w:rPr>
            </w:pPr>
          </w:p>
        </w:tc>
        <w:tc>
          <w:tcPr>
            <w:tcW w:w="1489" w:type="dxa"/>
            <w:tcBorders>
              <w:bottom w:val="double" w:sz="4" w:space="0" w:color="auto"/>
            </w:tcBorders>
            <w:tcMar>
              <w:top w:w="57" w:type="dxa"/>
              <w:left w:w="57" w:type="dxa"/>
              <w:bottom w:w="57" w:type="dxa"/>
              <w:right w:w="57" w:type="dxa"/>
            </w:tcMar>
          </w:tcPr>
          <w:p w14:paraId="0EDEFDE8" w14:textId="77777777" w:rsidR="00F11395" w:rsidRPr="00881BC8" w:rsidRDefault="00F11395" w:rsidP="0046460B">
            <w:pPr>
              <w:spacing w:after="0"/>
              <w:jc w:val="left"/>
              <w:rPr>
                <w:noProof/>
                <w:sz w:val="20"/>
                <w:szCs w:val="20"/>
              </w:rPr>
            </w:pPr>
          </w:p>
        </w:tc>
      </w:tr>
      <w:tr w:rsidR="00F11395" w:rsidRPr="00881BC8" w14:paraId="01704744" w14:textId="77777777" w:rsidTr="006C696B">
        <w:trPr>
          <w:cantSplit/>
        </w:trPr>
        <w:tc>
          <w:tcPr>
            <w:tcW w:w="1204" w:type="dxa"/>
            <w:tcBorders>
              <w:bottom w:val="double" w:sz="4" w:space="0" w:color="auto"/>
            </w:tcBorders>
            <w:tcMar>
              <w:top w:w="57" w:type="dxa"/>
              <w:left w:w="57" w:type="dxa"/>
              <w:bottom w:w="57" w:type="dxa"/>
              <w:right w:w="57" w:type="dxa"/>
            </w:tcMar>
          </w:tcPr>
          <w:p w14:paraId="1709CE7F" w14:textId="39A233A9" w:rsidR="00F11395" w:rsidRPr="00881BC8" w:rsidRDefault="00F11395" w:rsidP="00F11395">
            <w:pPr>
              <w:spacing w:after="0"/>
              <w:jc w:val="left"/>
              <w:rPr>
                <w:noProof/>
                <w:sz w:val="20"/>
                <w:szCs w:val="20"/>
              </w:rPr>
            </w:pPr>
            <w:r w:rsidRPr="00881BC8">
              <w:rPr>
                <w:noProof/>
                <w:sz w:val="20"/>
                <w:szCs w:val="20"/>
              </w:rPr>
              <w:t xml:space="preserve">Leave the rate of interests for late payment as such (ECB+8%) but adapt the flat fee compensation to inflation </w:t>
            </w:r>
          </w:p>
        </w:tc>
        <w:tc>
          <w:tcPr>
            <w:tcW w:w="1343" w:type="dxa"/>
            <w:tcBorders>
              <w:bottom w:val="double" w:sz="4" w:space="0" w:color="auto"/>
              <w:right w:val="double" w:sz="4" w:space="0" w:color="auto"/>
            </w:tcBorders>
            <w:tcMar>
              <w:top w:w="57" w:type="dxa"/>
              <w:left w:w="57" w:type="dxa"/>
              <w:bottom w:w="57" w:type="dxa"/>
              <w:right w:w="57" w:type="dxa"/>
            </w:tcMar>
            <w:vAlign w:val="center"/>
          </w:tcPr>
          <w:p w14:paraId="6E43A7F0" w14:textId="77777777" w:rsidR="00F11395" w:rsidRPr="00881BC8" w:rsidRDefault="00F11395" w:rsidP="00F11395">
            <w:pPr>
              <w:spacing w:after="0"/>
              <w:jc w:val="left"/>
              <w:rPr>
                <w:noProof/>
                <w:sz w:val="20"/>
                <w:szCs w:val="20"/>
              </w:rPr>
            </w:pPr>
            <w:r w:rsidRPr="00881BC8">
              <w:rPr>
                <w:noProof/>
                <w:sz w:val="20"/>
                <w:szCs w:val="20"/>
              </w:rPr>
              <w:t>Direct enforcement costs</w:t>
            </w:r>
          </w:p>
        </w:tc>
        <w:tc>
          <w:tcPr>
            <w:tcW w:w="925" w:type="dxa"/>
            <w:tcBorders>
              <w:left w:val="double" w:sz="4" w:space="0" w:color="auto"/>
              <w:bottom w:val="double" w:sz="4" w:space="0" w:color="auto"/>
            </w:tcBorders>
            <w:tcMar>
              <w:top w:w="57" w:type="dxa"/>
              <w:left w:w="57" w:type="dxa"/>
              <w:bottom w:w="57" w:type="dxa"/>
              <w:right w:w="57" w:type="dxa"/>
            </w:tcMar>
          </w:tcPr>
          <w:p w14:paraId="348E9F2B" w14:textId="77777777" w:rsidR="00F11395" w:rsidRPr="00881BC8" w:rsidRDefault="00F11395" w:rsidP="00F11395">
            <w:pPr>
              <w:spacing w:after="0"/>
              <w:jc w:val="left"/>
              <w:rPr>
                <w:noProof/>
                <w:sz w:val="20"/>
                <w:szCs w:val="20"/>
              </w:rPr>
            </w:pPr>
          </w:p>
        </w:tc>
        <w:tc>
          <w:tcPr>
            <w:tcW w:w="851" w:type="dxa"/>
            <w:tcBorders>
              <w:bottom w:val="double" w:sz="4" w:space="0" w:color="auto"/>
            </w:tcBorders>
            <w:tcMar>
              <w:top w:w="57" w:type="dxa"/>
              <w:left w:w="57" w:type="dxa"/>
              <w:bottom w:w="57" w:type="dxa"/>
              <w:right w:w="57" w:type="dxa"/>
            </w:tcMar>
          </w:tcPr>
          <w:p w14:paraId="5E7D0D8F" w14:textId="77777777" w:rsidR="00F11395" w:rsidRPr="00881BC8" w:rsidRDefault="00F11395" w:rsidP="00F11395">
            <w:pPr>
              <w:spacing w:after="0"/>
              <w:jc w:val="left"/>
              <w:rPr>
                <w:noProof/>
                <w:sz w:val="20"/>
                <w:szCs w:val="20"/>
              </w:rPr>
            </w:pPr>
          </w:p>
        </w:tc>
        <w:tc>
          <w:tcPr>
            <w:tcW w:w="1417" w:type="dxa"/>
            <w:tcBorders>
              <w:bottom w:val="double" w:sz="4" w:space="0" w:color="auto"/>
            </w:tcBorders>
            <w:tcMar>
              <w:top w:w="57" w:type="dxa"/>
              <w:left w:w="57" w:type="dxa"/>
              <w:bottom w:w="57" w:type="dxa"/>
              <w:right w:w="57" w:type="dxa"/>
            </w:tcMar>
          </w:tcPr>
          <w:p w14:paraId="7E7E1816" w14:textId="77777777" w:rsidR="00F11395" w:rsidRPr="00881BC8" w:rsidRDefault="00F11395" w:rsidP="00F11395">
            <w:pPr>
              <w:spacing w:after="0"/>
              <w:jc w:val="left"/>
              <w:rPr>
                <w:noProof/>
                <w:sz w:val="20"/>
                <w:szCs w:val="20"/>
              </w:rPr>
            </w:pPr>
          </w:p>
        </w:tc>
        <w:tc>
          <w:tcPr>
            <w:tcW w:w="1559" w:type="dxa"/>
            <w:tcBorders>
              <w:bottom w:val="double" w:sz="4" w:space="0" w:color="auto"/>
            </w:tcBorders>
            <w:tcMar>
              <w:top w:w="57" w:type="dxa"/>
              <w:left w:w="57" w:type="dxa"/>
              <w:bottom w:w="57" w:type="dxa"/>
              <w:right w:w="57" w:type="dxa"/>
            </w:tcMar>
          </w:tcPr>
          <w:p w14:paraId="02D912C0" w14:textId="77777777" w:rsidR="00FB16CE" w:rsidRPr="00881BC8" w:rsidRDefault="00F11395" w:rsidP="00F11395">
            <w:pPr>
              <w:spacing w:after="0"/>
              <w:jc w:val="left"/>
              <w:rPr>
                <w:noProof/>
                <w:sz w:val="20"/>
                <w:szCs w:val="20"/>
              </w:rPr>
            </w:pPr>
            <w:r w:rsidRPr="00881BC8">
              <w:rPr>
                <w:noProof/>
                <w:sz w:val="20"/>
                <w:szCs w:val="20"/>
              </w:rPr>
              <w:t xml:space="preserve">Cost on debtors who pay late. </w:t>
            </w:r>
          </w:p>
          <w:p w14:paraId="0EB5CFA9" w14:textId="77777777" w:rsidR="00FB16CE" w:rsidRPr="00881BC8" w:rsidRDefault="00FB16CE" w:rsidP="00F11395">
            <w:pPr>
              <w:spacing w:after="0"/>
              <w:jc w:val="left"/>
              <w:rPr>
                <w:noProof/>
                <w:sz w:val="20"/>
                <w:szCs w:val="20"/>
              </w:rPr>
            </w:pPr>
          </w:p>
          <w:p w14:paraId="55A883D8" w14:textId="77777777" w:rsidR="00FB16CE" w:rsidRPr="00881BC8" w:rsidRDefault="00F11395" w:rsidP="00F11395">
            <w:pPr>
              <w:spacing w:after="0"/>
              <w:jc w:val="left"/>
              <w:rPr>
                <w:noProof/>
                <w:sz w:val="20"/>
                <w:szCs w:val="20"/>
              </w:rPr>
            </w:pPr>
            <w:r w:rsidRPr="00881BC8">
              <w:rPr>
                <w:noProof/>
                <w:sz w:val="20"/>
                <w:szCs w:val="20"/>
              </w:rPr>
              <w:t xml:space="preserve">Debtors can avoid these costs by paying on time. </w:t>
            </w:r>
          </w:p>
          <w:p w14:paraId="1AB5FA86" w14:textId="77777777" w:rsidR="00FB16CE" w:rsidRPr="00881BC8" w:rsidRDefault="00FB16CE" w:rsidP="00F11395">
            <w:pPr>
              <w:spacing w:after="0"/>
              <w:jc w:val="left"/>
              <w:rPr>
                <w:noProof/>
                <w:sz w:val="20"/>
                <w:szCs w:val="20"/>
              </w:rPr>
            </w:pPr>
          </w:p>
          <w:p w14:paraId="7C35119B" w14:textId="3CD6E257" w:rsidR="00F11395" w:rsidRPr="00881BC8" w:rsidRDefault="00F11395" w:rsidP="00F11395">
            <w:pPr>
              <w:spacing w:after="0"/>
              <w:jc w:val="left"/>
              <w:rPr>
                <w:noProof/>
                <w:sz w:val="20"/>
                <w:szCs w:val="20"/>
              </w:rPr>
            </w:pPr>
            <w:r w:rsidRPr="00881BC8">
              <w:rPr>
                <w:noProof/>
                <w:sz w:val="20"/>
                <w:szCs w:val="20"/>
              </w:rPr>
              <w:t xml:space="preserve">Costs of automatic payment of compensation fees: EUR 3.23 billion. </w:t>
            </w:r>
          </w:p>
          <w:p w14:paraId="3898CFB9" w14:textId="77777777" w:rsidR="00F11395" w:rsidRPr="00881BC8" w:rsidRDefault="00F11395" w:rsidP="00F11395">
            <w:pPr>
              <w:spacing w:after="0"/>
              <w:jc w:val="left"/>
              <w:rPr>
                <w:noProof/>
                <w:sz w:val="20"/>
                <w:szCs w:val="20"/>
              </w:rPr>
            </w:pPr>
          </w:p>
          <w:p w14:paraId="5DC403ED" w14:textId="1AF15D66" w:rsidR="00F11395" w:rsidRPr="00881BC8" w:rsidRDefault="00F11395" w:rsidP="00F11395">
            <w:pPr>
              <w:spacing w:after="0"/>
              <w:jc w:val="left"/>
              <w:rPr>
                <w:noProof/>
                <w:sz w:val="20"/>
                <w:szCs w:val="20"/>
              </w:rPr>
            </w:pPr>
            <w:r w:rsidRPr="00881BC8">
              <w:rPr>
                <w:noProof/>
                <w:sz w:val="20"/>
                <w:szCs w:val="20"/>
              </w:rPr>
              <w:t>These costs for B2B are based on the 14% / 86% allocation keys between public procurement’s and private sector’s share of GDP.</w:t>
            </w:r>
          </w:p>
          <w:p w14:paraId="43D7960E" w14:textId="5814BAB5" w:rsidR="00F11395" w:rsidRPr="00881BC8" w:rsidRDefault="00F11395" w:rsidP="00F11395">
            <w:pPr>
              <w:spacing w:after="0"/>
              <w:jc w:val="left"/>
              <w:rPr>
                <w:noProof/>
                <w:sz w:val="20"/>
                <w:szCs w:val="20"/>
              </w:rPr>
            </w:pPr>
            <w:r w:rsidRPr="00881BC8">
              <w:rPr>
                <w:noProof/>
                <w:sz w:val="20"/>
                <w:szCs w:val="20"/>
              </w:rPr>
              <w:t>These costs for business are also a benefit for business (redistributed from businesses to businesses).</w:t>
            </w:r>
          </w:p>
          <w:p w14:paraId="466F0ED6" w14:textId="40A473B3" w:rsidR="00F11395" w:rsidRPr="00881BC8" w:rsidRDefault="00F11395" w:rsidP="00F11395">
            <w:pPr>
              <w:spacing w:after="0"/>
              <w:jc w:val="left"/>
              <w:rPr>
                <w:noProof/>
                <w:sz w:val="20"/>
                <w:szCs w:val="20"/>
              </w:rPr>
            </w:pPr>
            <w:r w:rsidRPr="00881BC8">
              <w:rPr>
                <w:noProof/>
                <w:sz w:val="20"/>
                <w:szCs w:val="20"/>
              </w:rPr>
              <w:t>Assumptions and calculation in Annex 4.</w:t>
            </w:r>
          </w:p>
        </w:tc>
        <w:tc>
          <w:tcPr>
            <w:tcW w:w="1418" w:type="dxa"/>
            <w:tcBorders>
              <w:bottom w:val="double" w:sz="4" w:space="0" w:color="auto"/>
            </w:tcBorders>
            <w:tcMar>
              <w:top w:w="57" w:type="dxa"/>
              <w:left w:w="57" w:type="dxa"/>
              <w:bottom w:w="57" w:type="dxa"/>
              <w:right w:w="57" w:type="dxa"/>
            </w:tcMar>
          </w:tcPr>
          <w:p w14:paraId="2D98F18C" w14:textId="77777777" w:rsidR="00F11395" w:rsidRPr="00881BC8" w:rsidRDefault="00F11395" w:rsidP="00F11395">
            <w:pPr>
              <w:spacing w:after="0"/>
              <w:jc w:val="left"/>
              <w:rPr>
                <w:noProof/>
                <w:sz w:val="20"/>
                <w:szCs w:val="20"/>
              </w:rPr>
            </w:pPr>
          </w:p>
        </w:tc>
        <w:tc>
          <w:tcPr>
            <w:tcW w:w="1489" w:type="dxa"/>
            <w:tcBorders>
              <w:bottom w:val="double" w:sz="4" w:space="0" w:color="auto"/>
            </w:tcBorders>
            <w:tcMar>
              <w:top w:w="57" w:type="dxa"/>
              <w:left w:w="57" w:type="dxa"/>
              <w:bottom w:w="57" w:type="dxa"/>
              <w:right w:w="57" w:type="dxa"/>
            </w:tcMar>
          </w:tcPr>
          <w:p w14:paraId="302993A6" w14:textId="77777777" w:rsidR="00FB16CE" w:rsidRPr="00881BC8" w:rsidRDefault="00F11395" w:rsidP="00F11395">
            <w:pPr>
              <w:spacing w:after="0"/>
              <w:jc w:val="left"/>
              <w:rPr>
                <w:noProof/>
                <w:sz w:val="20"/>
                <w:szCs w:val="20"/>
              </w:rPr>
            </w:pPr>
            <w:r w:rsidRPr="00881BC8">
              <w:rPr>
                <w:noProof/>
                <w:sz w:val="20"/>
                <w:szCs w:val="20"/>
              </w:rPr>
              <w:t>Cost on debtors who pay late.</w:t>
            </w:r>
          </w:p>
          <w:p w14:paraId="3CA04761" w14:textId="77777777" w:rsidR="00FB16CE" w:rsidRPr="00881BC8" w:rsidRDefault="00FB16CE" w:rsidP="00F11395">
            <w:pPr>
              <w:spacing w:after="0"/>
              <w:jc w:val="left"/>
              <w:rPr>
                <w:noProof/>
                <w:sz w:val="20"/>
                <w:szCs w:val="20"/>
              </w:rPr>
            </w:pPr>
          </w:p>
          <w:p w14:paraId="3FB0CDE8" w14:textId="77777777" w:rsidR="00FB16CE" w:rsidRPr="00881BC8" w:rsidRDefault="00F11395" w:rsidP="00F11395">
            <w:pPr>
              <w:spacing w:after="0"/>
              <w:jc w:val="left"/>
              <w:rPr>
                <w:noProof/>
                <w:sz w:val="20"/>
                <w:szCs w:val="20"/>
              </w:rPr>
            </w:pPr>
            <w:r w:rsidRPr="00881BC8">
              <w:rPr>
                <w:noProof/>
                <w:sz w:val="20"/>
                <w:szCs w:val="20"/>
              </w:rPr>
              <w:t>Debtors can avoid these costs by paying on time.</w:t>
            </w:r>
          </w:p>
          <w:p w14:paraId="185185D7" w14:textId="77777777" w:rsidR="00FB16CE" w:rsidRPr="00881BC8" w:rsidRDefault="00FB16CE" w:rsidP="00F11395">
            <w:pPr>
              <w:spacing w:after="0"/>
              <w:jc w:val="left"/>
              <w:rPr>
                <w:noProof/>
                <w:sz w:val="20"/>
                <w:szCs w:val="20"/>
              </w:rPr>
            </w:pPr>
          </w:p>
          <w:p w14:paraId="735B6997" w14:textId="08ED7295" w:rsidR="00F11395" w:rsidRPr="00881BC8" w:rsidRDefault="00F11395" w:rsidP="00F11395">
            <w:pPr>
              <w:spacing w:after="0"/>
              <w:jc w:val="left"/>
              <w:rPr>
                <w:noProof/>
                <w:sz w:val="20"/>
                <w:szCs w:val="20"/>
              </w:rPr>
            </w:pPr>
            <w:r w:rsidRPr="00881BC8">
              <w:rPr>
                <w:noProof/>
                <w:sz w:val="20"/>
                <w:szCs w:val="20"/>
              </w:rPr>
              <w:t xml:space="preserve">Costs of automatic payment of compensation fees: EUR 0.53 billion. </w:t>
            </w:r>
          </w:p>
          <w:p w14:paraId="24DB1A19" w14:textId="77777777" w:rsidR="00F11395" w:rsidRPr="00881BC8" w:rsidRDefault="00F11395" w:rsidP="00F11395">
            <w:pPr>
              <w:spacing w:after="0"/>
              <w:jc w:val="left"/>
              <w:rPr>
                <w:noProof/>
                <w:sz w:val="20"/>
                <w:szCs w:val="20"/>
              </w:rPr>
            </w:pPr>
          </w:p>
          <w:p w14:paraId="3AFB2FE2" w14:textId="14EEB67A" w:rsidR="00F11395" w:rsidRPr="00881BC8" w:rsidRDefault="00F11395" w:rsidP="00F11395">
            <w:pPr>
              <w:spacing w:after="0"/>
              <w:jc w:val="left"/>
              <w:rPr>
                <w:noProof/>
                <w:sz w:val="20"/>
                <w:szCs w:val="20"/>
              </w:rPr>
            </w:pPr>
            <w:r w:rsidRPr="00881BC8">
              <w:rPr>
                <w:noProof/>
                <w:sz w:val="20"/>
                <w:szCs w:val="20"/>
              </w:rPr>
              <w:t>These costs for G2B are based on the 14% / 86% allocation keys between public procurement’s and private sector’s share of GDP.</w:t>
            </w:r>
          </w:p>
          <w:p w14:paraId="5F775E7A" w14:textId="148C91A8" w:rsidR="00F11395" w:rsidRPr="00881BC8" w:rsidRDefault="00F11395" w:rsidP="00F11395">
            <w:pPr>
              <w:spacing w:after="0"/>
              <w:jc w:val="left"/>
              <w:rPr>
                <w:noProof/>
                <w:sz w:val="20"/>
                <w:szCs w:val="20"/>
              </w:rPr>
            </w:pPr>
            <w:r w:rsidRPr="00881BC8">
              <w:rPr>
                <w:noProof/>
                <w:sz w:val="20"/>
                <w:szCs w:val="20"/>
              </w:rPr>
              <w:t>These costs are transferred from public debtors to creditor businesses. Assumptions and calculation in Annex 4</w:t>
            </w:r>
            <w:r w:rsidR="003F38D7" w:rsidRPr="00881BC8">
              <w:rPr>
                <w:noProof/>
                <w:sz w:val="20"/>
                <w:szCs w:val="20"/>
              </w:rPr>
              <w:t>.</w:t>
            </w:r>
          </w:p>
        </w:tc>
      </w:tr>
      <w:tr w:rsidR="00F11395" w:rsidRPr="00881BC8" w14:paraId="47662A9F" w14:textId="77777777" w:rsidTr="006C696B">
        <w:trPr>
          <w:cantSplit/>
        </w:trPr>
        <w:tc>
          <w:tcPr>
            <w:tcW w:w="1204" w:type="dxa"/>
            <w:tcBorders>
              <w:bottom w:val="double" w:sz="4" w:space="0" w:color="auto"/>
            </w:tcBorders>
            <w:tcMar>
              <w:top w:w="57" w:type="dxa"/>
              <w:left w:w="57" w:type="dxa"/>
              <w:bottom w:w="57" w:type="dxa"/>
              <w:right w:w="57" w:type="dxa"/>
            </w:tcMar>
          </w:tcPr>
          <w:p w14:paraId="4B6AA01E" w14:textId="77777777" w:rsidR="00F11395" w:rsidRPr="00881BC8" w:rsidRDefault="00F11395" w:rsidP="00F11395">
            <w:pPr>
              <w:spacing w:after="0"/>
              <w:jc w:val="left"/>
              <w:rPr>
                <w:noProof/>
                <w:sz w:val="20"/>
                <w:szCs w:val="20"/>
              </w:rPr>
            </w:pPr>
          </w:p>
        </w:tc>
        <w:tc>
          <w:tcPr>
            <w:tcW w:w="1343" w:type="dxa"/>
            <w:tcBorders>
              <w:bottom w:val="double" w:sz="4" w:space="0" w:color="auto"/>
              <w:right w:val="double" w:sz="4" w:space="0" w:color="auto"/>
            </w:tcBorders>
            <w:tcMar>
              <w:top w:w="57" w:type="dxa"/>
              <w:left w:w="57" w:type="dxa"/>
              <w:bottom w:w="57" w:type="dxa"/>
              <w:right w:w="57" w:type="dxa"/>
            </w:tcMar>
          </w:tcPr>
          <w:p w14:paraId="548D8361" w14:textId="77777777" w:rsidR="00F11395" w:rsidRPr="00881BC8" w:rsidRDefault="00F11395" w:rsidP="00F11395">
            <w:pPr>
              <w:spacing w:after="0"/>
              <w:jc w:val="left"/>
              <w:rPr>
                <w:noProof/>
                <w:sz w:val="20"/>
                <w:szCs w:val="20"/>
              </w:rPr>
            </w:pPr>
            <w:r w:rsidRPr="00881BC8">
              <w:rPr>
                <w:noProof/>
                <w:sz w:val="20"/>
                <w:szCs w:val="20"/>
              </w:rPr>
              <w:t>Indirect costs</w:t>
            </w:r>
          </w:p>
        </w:tc>
        <w:tc>
          <w:tcPr>
            <w:tcW w:w="925" w:type="dxa"/>
            <w:tcBorders>
              <w:left w:val="double" w:sz="4" w:space="0" w:color="auto"/>
              <w:bottom w:val="double" w:sz="4" w:space="0" w:color="auto"/>
            </w:tcBorders>
            <w:tcMar>
              <w:top w:w="57" w:type="dxa"/>
              <w:left w:w="57" w:type="dxa"/>
              <w:bottom w:w="57" w:type="dxa"/>
              <w:right w:w="57" w:type="dxa"/>
            </w:tcMar>
          </w:tcPr>
          <w:p w14:paraId="53F5F56E" w14:textId="77777777" w:rsidR="00F11395" w:rsidRPr="00881BC8" w:rsidRDefault="00F11395" w:rsidP="00F11395">
            <w:pPr>
              <w:spacing w:after="0"/>
              <w:jc w:val="left"/>
              <w:rPr>
                <w:noProof/>
                <w:sz w:val="20"/>
                <w:szCs w:val="20"/>
              </w:rPr>
            </w:pPr>
          </w:p>
        </w:tc>
        <w:tc>
          <w:tcPr>
            <w:tcW w:w="851" w:type="dxa"/>
            <w:tcBorders>
              <w:bottom w:val="double" w:sz="4" w:space="0" w:color="auto"/>
            </w:tcBorders>
            <w:tcMar>
              <w:top w:w="57" w:type="dxa"/>
              <w:left w:w="57" w:type="dxa"/>
              <w:bottom w:w="57" w:type="dxa"/>
              <w:right w:w="57" w:type="dxa"/>
            </w:tcMar>
          </w:tcPr>
          <w:p w14:paraId="1DD56AF5" w14:textId="77777777" w:rsidR="00F11395" w:rsidRPr="00881BC8" w:rsidRDefault="00F11395" w:rsidP="00F11395">
            <w:pPr>
              <w:spacing w:after="0"/>
              <w:jc w:val="left"/>
              <w:rPr>
                <w:noProof/>
                <w:sz w:val="20"/>
                <w:szCs w:val="20"/>
              </w:rPr>
            </w:pPr>
          </w:p>
        </w:tc>
        <w:tc>
          <w:tcPr>
            <w:tcW w:w="1417" w:type="dxa"/>
            <w:tcBorders>
              <w:bottom w:val="double" w:sz="4" w:space="0" w:color="auto"/>
            </w:tcBorders>
            <w:tcMar>
              <w:top w:w="57" w:type="dxa"/>
              <w:left w:w="57" w:type="dxa"/>
              <w:bottom w:w="57" w:type="dxa"/>
              <w:right w:w="57" w:type="dxa"/>
            </w:tcMar>
          </w:tcPr>
          <w:p w14:paraId="1F75055C" w14:textId="77777777" w:rsidR="00F11395" w:rsidRPr="00881BC8" w:rsidRDefault="00F11395" w:rsidP="00F11395">
            <w:pPr>
              <w:spacing w:after="0"/>
              <w:jc w:val="left"/>
              <w:rPr>
                <w:noProof/>
                <w:sz w:val="20"/>
                <w:szCs w:val="20"/>
              </w:rPr>
            </w:pPr>
          </w:p>
        </w:tc>
        <w:tc>
          <w:tcPr>
            <w:tcW w:w="1559" w:type="dxa"/>
            <w:tcBorders>
              <w:bottom w:val="double" w:sz="4" w:space="0" w:color="auto"/>
            </w:tcBorders>
            <w:tcMar>
              <w:top w:w="57" w:type="dxa"/>
              <w:left w:w="57" w:type="dxa"/>
              <w:bottom w:w="57" w:type="dxa"/>
              <w:right w:w="57" w:type="dxa"/>
            </w:tcMar>
          </w:tcPr>
          <w:p w14:paraId="675B516B" w14:textId="77777777" w:rsidR="00F11395" w:rsidRPr="00881BC8" w:rsidRDefault="00F11395" w:rsidP="00F11395">
            <w:pPr>
              <w:spacing w:after="0"/>
              <w:jc w:val="left"/>
              <w:rPr>
                <w:noProof/>
                <w:sz w:val="20"/>
                <w:szCs w:val="20"/>
              </w:rPr>
            </w:pPr>
          </w:p>
        </w:tc>
        <w:tc>
          <w:tcPr>
            <w:tcW w:w="1418" w:type="dxa"/>
            <w:tcBorders>
              <w:bottom w:val="double" w:sz="4" w:space="0" w:color="auto"/>
            </w:tcBorders>
            <w:tcMar>
              <w:top w:w="57" w:type="dxa"/>
              <w:left w:w="57" w:type="dxa"/>
              <w:bottom w:w="57" w:type="dxa"/>
              <w:right w:w="57" w:type="dxa"/>
            </w:tcMar>
          </w:tcPr>
          <w:p w14:paraId="354F5C26" w14:textId="77777777" w:rsidR="00F11395" w:rsidRPr="00881BC8" w:rsidRDefault="00F11395" w:rsidP="00F11395">
            <w:pPr>
              <w:spacing w:after="0"/>
              <w:jc w:val="left"/>
              <w:rPr>
                <w:noProof/>
                <w:sz w:val="20"/>
                <w:szCs w:val="20"/>
              </w:rPr>
            </w:pPr>
          </w:p>
        </w:tc>
        <w:tc>
          <w:tcPr>
            <w:tcW w:w="1489" w:type="dxa"/>
            <w:tcBorders>
              <w:bottom w:val="double" w:sz="4" w:space="0" w:color="auto"/>
            </w:tcBorders>
            <w:tcMar>
              <w:top w:w="57" w:type="dxa"/>
              <w:left w:w="57" w:type="dxa"/>
              <w:bottom w:w="57" w:type="dxa"/>
              <w:right w:w="57" w:type="dxa"/>
            </w:tcMar>
          </w:tcPr>
          <w:p w14:paraId="408EF552" w14:textId="77777777" w:rsidR="00F11395" w:rsidRPr="00881BC8" w:rsidRDefault="00F11395" w:rsidP="00F11395">
            <w:pPr>
              <w:spacing w:after="0"/>
              <w:jc w:val="left"/>
              <w:rPr>
                <w:noProof/>
                <w:sz w:val="20"/>
                <w:szCs w:val="20"/>
              </w:rPr>
            </w:pPr>
          </w:p>
        </w:tc>
      </w:tr>
      <w:tr w:rsidR="00F11395" w:rsidRPr="00881BC8" w14:paraId="30F0F45D" w14:textId="77777777" w:rsidTr="006C696B">
        <w:trPr>
          <w:cantSplit/>
          <w:trHeight w:val="307"/>
        </w:trPr>
        <w:tc>
          <w:tcPr>
            <w:tcW w:w="1204" w:type="dxa"/>
            <w:vMerge w:val="restart"/>
            <w:tcMar>
              <w:top w:w="57" w:type="dxa"/>
              <w:left w:w="57" w:type="dxa"/>
              <w:bottom w:w="57" w:type="dxa"/>
              <w:right w:w="57" w:type="dxa"/>
            </w:tcMar>
            <w:vAlign w:val="center"/>
          </w:tcPr>
          <w:p w14:paraId="357DFBD1" w14:textId="0B12DBBB" w:rsidR="00F11395" w:rsidRPr="00881BC8" w:rsidRDefault="00F11395" w:rsidP="00F11395">
            <w:pPr>
              <w:spacing w:after="0"/>
              <w:jc w:val="left"/>
              <w:rPr>
                <w:noProof/>
                <w:sz w:val="20"/>
                <w:szCs w:val="20"/>
              </w:rPr>
            </w:pPr>
            <w:r w:rsidRPr="00881BC8">
              <w:rPr>
                <w:noProof/>
                <w:sz w:val="20"/>
                <w:szCs w:val="20"/>
              </w:rPr>
              <w:t>MS to designate bodies responsible for the enforcement of the Directive, carrying out investigations ex officio, acting on complaints, and empowered to issue administrative sanctions and publish the name of offenders (‘name and shame’)</w:t>
            </w:r>
            <w:r w:rsidR="002E552C" w:rsidRPr="00881BC8">
              <w:rPr>
                <w:noProof/>
                <w:sz w:val="20"/>
                <w:szCs w:val="20"/>
              </w:rPr>
              <w:t xml:space="preserve"> </w:t>
            </w:r>
          </w:p>
          <w:p w14:paraId="3D32438A" w14:textId="77777777" w:rsidR="00F11395" w:rsidRPr="00881BC8" w:rsidRDefault="00F11395" w:rsidP="00F11395">
            <w:pPr>
              <w:spacing w:after="0"/>
              <w:jc w:val="left"/>
              <w:rPr>
                <w:noProof/>
                <w:sz w:val="20"/>
                <w:szCs w:val="20"/>
              </w:rPr>
            </w:pPr>
          </w:p>
        </w:tc>
        <w:tc>
          <w:tcPr>
            <w:tcW w:w="1343" w:type="dxa"/>
            <w:tcBorders>
              <w:right w:val="double" w:sz="4" w:space="0" w:color="auto"/>
            </w:tcBorders>
            <w:tcMar>
              <w:top w:w="57" w:type="dxa"/>
              <w:left w:w="57" w:type="dxa"/>
              <w:bottom w:w="57" w:type="dxa"/>
              <w:right w:w="57" w:type="dxa"/>
            </w:tcMar>
            <w:vAlign w:val="center"/>
          </w:tcPr>
          <w:p w14:paraId="4C55CAF7" w14:textId="77777777" w:rsidR="00F11395" w:rsidRPr="00881BC8" w:rsidRDefault="00F11395" w:rsidP="00F11395">
            <w:pPr>
              <w:spacing w:after="0"/>
              <w:jc w:val="left"/>
              <w:rPr>
                <w:noProof/>
                <w:sz w:val="20"/>
                <w:szCs w:val="20"/>
              </w:rPr>
            </w:pPr>
            <w:r w:rsidRPr="00881BC8">
              <w:rPr>
                <w:noProof/>
                <w:sz w:val="20"/>
                <w:szCs w:val="20"/>
              </w:rPr>
              <w:t>Direct adjustment costs</w:t>
            </w:r>
          </w:p>
        </w:tc>
        <w:tc>
          <w:tcPr>
            <w:tcW w:w="925" w:type="dxa"/>
            <w:tcBorders>
              <w:left w:val="double" w:sz="4" w:space="0" w:color="auto"/>
            </w:tcBorders>
            <w:tcMar>
              <w:top w:w="57" w:type="dxa"/>
              <w:left w:w="57" w:type="dxa"/>
              <w:bottom w:w="57" w:type="dxa"/>
              <w:right w:w="57" w:type="dxa"/>
            </w:tcMar>
            <w:vAlign w:val="center"/>
          </w:tcPr>
          <w:p w14:paraId="12584AA9" w14:textId="77777777" w:rsidR="00F11395" w:rsidRPr="00881BC8" w:rsidRDefault="00F11395" w:rsidP="00F11395">
            <w:pPr>
              <w:spacing w:after="0"/>
              <w:jc w:val="left"/>
              <w:rPr>
                <w:noProof/>
                <w:sz w:val="20"/>
                <w:szCs w:val="20"/>
              </w:rPr>
            </w:pPr>
          </w:p>
        </w:tc>
        <w:tc>
          <w:tcPr>
            <w:tcW w:w="851" w:type="dxa"/>
            <w:tcMar>
              <w:top w:w="57" w:type="dxa"/>
              <w:left w:w="57" w:type="dxa"/>
              <w:bottom w:w="57" w:type="dxa"/>
              <w:right w:w="57" w:type="dxa"/>
            </w:tcMar>
            <w:vAlign w:val="center"/>
          </w:tcPr>
          <w:p w14:paraId="60350292" w14:textId="77777777" w:rsidR="00F11395" w:rsidRPr="00881BC8" w:rsidRDefault="00F11395" w:rsidP="00F11395">
            <w:pPr>
              <w:spacing w:after="0"/>
              <w:jc w:val="left"/>
              <w:rPr>
                <w:noProof/>
                <w:sz w:val="20"/>
                <w:szCs w:val="20"/>
              </w:rPr>
            </w:pPr>
          </w:p>
        </w:tc>
        <w:tc>
          <w:tcPr>
            <w:tcW w:w="1417" w:type="dxa"/>
            <w:tcMar>
              <w:top w:w="57" w:type="dxa"/>
              <w:left w:w="57" w:type="dxa"/>
              <w:bottom w:w="57" w:type="dxa"/>
              <w:right w:w="57" w:type="dxa"/>
            </w:tcMar>
            <w:vAlign w:val="center"/>
          </w:tcPr>
          <w:p w14:paraId="6CB07853" w14:textId="77777777" w:rsidR="00F11395" w:rsidRPr="00881BC8" w:rsidRDefault="00F11395" w:rsidP="00F11395">
            <w:pPr>
              <w:spacing w:after="0"/>
              <w:jc w:val="left"/>
              <w:rPr>
                <w:noProof/>
                <w:sz w:val="20"/>
                <w:szCs w:val="20"/>
              </w:rPr>
            </w:pPr>
          </w:p>
        </w:tc>
        <w:tc>
          <w:tcPr>
            <w:tcW w:w="1559" w:type="dxa"/>
            <w:tcMar>
              <w:top w:w="57" w:type="dxa"/>
              <w:left w:w="57" w:type="dxa"/>
              <w:bottom w:w="57" w:type="dxa"/>
              <w:right w:w="57" w:type="dxa"/>
            </w:tcMar>
          </w:tcPr>
          <w:p w14:paraId="4904E776" w14:textId="77777777" w:rsidR="00F11395" w:rsidRPr="00881BC8" w:rsidRDefault="00F11395" w:rsidP="00F11395">
            <w:pPr>
              <w:spacing w:after="0"/>
              <w:jc w:val="left"/>
              <w:rPr>
                <w:noProof/>
                <w:sz w:val="20"/>
                <w:szCs w:val="20"/>
              </w:rPr>
            </w:pPr>
          </w:p>
        </w:tc>
        <w:tc>
          <w:tcPr>
            <w:tcW w:w="1418" w:type="dxa"/>
            <w:tcMar>
              <w:top w:w="57" w:type="dxa"/>
              <w:left w:w="57" w:type="dxa"/>
              <w:bottom w:w="57" w:type="dxa"/>
              <w:right w:w="57" w:type="dxa"/>
            </w:tcMar>
          </w:tcPr>
          <w:p w14:paraId="5C307581" w14:textId="747E03B3" w:rsidR="00F11395" w:rsidRPr="00881BC8" w:rsidRDefault="00F11395" w:rsidP="00F11395">
            <w:pPr>
              <w:spacing w:after="0"/>
              <w:jc w:val="left"/>
              <w:rPr>
                <w:noProof/>
                <w:sz w:val="20"/>
                <w:szCs w:val="20"/>
              </w:rPr>
            </w:pPr>
            <w:r w:rsidRPr="00881BC8">
              <w:rPr>
                <w:noProof/>
                <w:sz w:val="20"/>
                <w:szCs w:val="20"/>
              </w:rPr>
              <w:t>Cost for designating the enforcement body. Estimate included in the annual recurrent cost.</w:t>
            </w:r>
          </w:p>
        </w:tc>
        <w:tc>
          <w:tcPr>
            <w:tcW w:w="1489" w:type="dxa"/>
            <w:tcMar>
              <w:top w:w="57" w:type="dxa"/>
              <w:left w:w="57" w:type="dxa"/>
              <w:bottom w:w="57" w:type="dxa"/>
              <w:right w:w="57" w:type="dxa"/>
            </w:tcMar>
          </w:tcPr>
          <w:p w14:paraId="4A18B552" w14:textId="77777777" w:rsidR="00F11395" w:rsidRPr="00881BC8" w:rsidRDefault="00F11395" w:rsidP="00F11395">
            <w:pPr>
              <w:spacing w:after="0"/>
              <w:jc w:val="left"/>
              <w:rPr>
                <w:noProof/>
                <w:sz w:val="20"/>
                <w:szCs w:val="20"/>
              </w:rPr>
            </w:pPr>
          </w:p>
        </w:tc>
      </w:tr>
      <w:tr w:rsidR="00F11395" w:rsidRPr="00881BC8" w14:paraId="2A764B20" w14:textId="77777777" w:rsidTr="006C696B">
        <w:trPr>
          <w:cantSplit/>
          <w:trHeight w:val="307"/>
        </w:trPr>
        <w:tc>
          <w:tcPr>
            <w:tcW w:w="1204" w:type="dxa"/>
            <w:vMerge/>
            <w:tcMar>
              <w:top w:w="57" w:type="dxa"/>
              <w:left w:w="57" w:type="dxa"/>
              <w:bottom w:w="57" w:type="dxa"/>
              <w:right w:w="57" w:type="dxa"/>
            </w:tcMar>
            <w:vAlign w:val="center"/>
          </w:tcPr>
          <w:p w14:paraId="26DB6B01" w14:textId="77777777" w:rsidR="00F11395" w:rsidRPr="00881BC8" w:rsidRDefault="00F11395" w:rsidP="00F11395">
            <w:pPr>
              <w:spacing w:after="0"/>
              <w:jc w:val="left"/>
              <w:rPr>
                <w:noProof/>
                <w:sz w:val="20"/>
                <w:szCs w:val="20"/>
              </w:rPr>
            </w:pPr>
          </w:p>
        </w:tc>
        <w:tc>
          <w:tcPr>
            <w:tcW w:w="1343" w:type="dxa"/>
            <w:tcBorders>
              <w:right w:val="double" w:sz="4" w:space="0" w:color="auto"/>
            </w:tcBorders>
            <w:tcMar>
              <w:top w:w="57" w:type="dxa"/>
              <w:left w:w="57" w:type="dxa"/>
              <w:bottom w:w="57" w:type="dxa"/>
              <w:right w:w="57" w:type="dxa"/>
            </w:tcMar>
            <w:vAlign w:val="center"/>
          </w:tcPr>
          <w:p w14:paraId="4AA4C953" w14:textId="77777777" w:rsidR="00F11395" w:rsidRPr="00881BC8" w:rsidRDefault="00F11395" w:rsidP="00F11395">
            <w:pPr>
              <w:spacing w:after="0"/>
              <w:jc w:val="left"/>
              <w:rPr>
                <w:noProof/>
                <w:sz w:val="20"/>
                <w:szCs w:val="20"/>
              </w:rPr>
            </w:pPr>
            <w:r w:rsidRPr="00881BC8">
              <w:rPr>
                <w:noProof/>
                <w:sz w:val="20"/>
                <w:szCs w:val="20"/>
              </w:rPr>
              <w:t>Direct administrative costs</w:t>
            </w:r>
          </w:p>
        </w:tc>
        <w:tc>
          <w:tcPr>
            <w:tcW w:w="925" w:type="dxa"/>
            <w:tcBorders>
              <w:left w:val="double" w:sz="4" w:space="0" w:color="auto"/>
            </w:tcBorders>
            <w:tcMar>
              <w:top w:w="57" w:type="dxa"/>
              <w:left w:w="57" w:type="dxa"/>
              <w:bottom w:w="57" w:type="dxa"/>
              <w:right w:w="57" w:type="dxa"/>
            </w:tcMar>
            <w:vAlign w:val="center"/>
          </w:tcPr>
          <w:p w14:paraId="2ECC4554" w14:textId="77777777" w:rsidR="00F11395" w:rsidRPr="00881BC8" w:rsidRDefault="00F11395" w:rsidP="00F11395">
            <w:pPr>
              <w:spacing w:after="0"/>
              <w:jc w:val="left"/>
              <w:rPr>
                <w:noProof/>
                <w:sz w:val="20"/>
                <w:szCs w:val="20"/>
              </w:rPr>
            </w:pPr>
          </w:p>
        </w:tc>
        <w:tc>
          <w:tcPr>
            <w:tcW w:w="851" w:type="dxa"/>
            <w:tcMar>
              <w:top w:w="57" w:type="dxa"/>
              <w:left w:w="57" w:type="dxa"/>
              <w:bottom w:w="57" w:type="dxa"/>
              <w:right w:w="57" w:type="dxa"/>
            </w:tcMar>
            <w:vAlign w:val="center"/>
          </w:tcPr>
          <w:p w14:paraId="6D8C68A0" w14:textId="77777777" w:rsidR="00F11395" w:rsidRPr="00881BC8" w:rsidRDefault="00F11395" w:rsidP="00F11395">
            <w:pPr>
              <w:spacing w:after="0"/>
              <w:jc w:val="left"/>
              <w:rPr>
                <w:noProof/>
                <w:sz w:val="20"/>
                <w:szCs w:val="20"/>
              </w:rPr>
            </w:pPr>
          </w:p>
        </w:tc>
        <w:tc>
          <w:tcPr>
            <w:tcW w:w="1417" w:type="dxa"/>
            <w:tcMar>
              <w:top w:w="57" w:type="dxa"/>
              <w:left w:w="57" w:type="dxa"/>
              <w:bottom w:w="57" w:type="dxa"/>
              <w:right w:w="57" w:type="dxa"/>
            </w:tcMar>
            <w:vAlign w:val="center"/>
          </w:tcPr>
          <w:p w14:paraId="3E96BC69" w14:textId="77777777" w:rsidR="00F11395" w:rsidRPr="00881BC8" w:rsidRDefault="00F11395" w:rsidP="00F11395">
            <w:pPr>
              <w:spacing w:after="0"/>
              <w:jc w:val="left"/>
              <w:rPr>
                <w:noProof/>
                <w:sz w:val="20"/>
                <w:szCs w:val="20"/>
              </w:rPr>
            </w:pPr>
          </w:p>
        </w:tc>
        <w:tc>
          <w:tcPr>
            <w:tcW w:w="1559" w:type="dxa"/>
            <w:tcMar>
              <w:top w:w="57" w:type="dxa"/>
              <w:left w:w="57" w:type="dxa"/>
              <w:bottom w:w="57" w:type="dxa"/>
              <w:right w:w="57" w:type="dxa"/>
            </w:tcMar>
          </w:tcPr>
          <w:p w14:paraId="37C6CC68" w14:textId="77777777" w:rsidR="00F11395" w:rsidRPr="00881BC8" w:rsidRDefault="00F11395" w:rsidP="00F11395">
            <w:pPr>
              <w:spacing w:after="0"/>
              <w:jc w:val="left"/>
              <w:rPr>
                <w:noProof/>
                <w:sz w:val="20"/>
                <w:szCs w:val="20"/>
              </w:rPr>
            </w:pPr>
          </w:p>
        </w:tc>
        <w:tc>
          <w:tcPr>
            <w:tcW w:w="1418" w:type="dxa"/>
            <w:tcMar>
              <w:top w:w="57" w:type="dxa"/>
              <w:left w:w="57" w:type="dxa"/>
              <w:bottom w:w="57" w:type="dxa"/>
              <w:right w:w="57" w:type="dxa"/>
            </w:tcMar>
          </w:tcPr>
          <w:p w14:paraId="609C7777" w14:textId="77777777" w:rsidR="00F11395" w:rsidRPr="00881BC8" w:rsidRDefault="00F11395" w:rsidP="00F11395">
            <w:pPr>
              <w:spacing w:after="0"/>
              <w:jc w:val="left"/>
              <w:rPr>
                <w:noProof/>
                <w:sz w:val="20"/>
                <w:szCs w:val="20"/>
              </w:rPr>
            </w:pPr>
          </w:p>
        </w:tc>
        <w:tc>
          <w:tcPr>
            <w:tcW w:w="1489" w:type="dxa"/>
            <w:tcMar>
              <w:top w:w="57" w:type="dxa"/>
              <w:left w:w="57" w:type="dxa"/>
              <w:bottom w:w="57" w:type="dxa"/>
              <w:right w:w="57" w:type="dxa"/>
            </w:tcMar>
          </w:tcPr>
          <w:p w14:paraId="6D9FE738" w14:textId="77777777" w:rsidR="00F11395" w:rsidRPr="00881BC8" w:rsidRDefault="00F11395" w:rsidP="00F11395">
            <w:pPr>
              <w:spacing w:after="0"/>
              <w:jc w:val="left"/>
              <w:rPr>
                <w:noProof/>
                <w:sz w:val="20"/>
                <w:szCs w:val="20"/>
              </w:rPr>
            </w:pPr>
          </w:p>
        </w:tc>
      </w:tr>
      <w:tr w:rsidR="00F11395" w:rsidRPr="00881BC8" w14:paraId="0209DFA4" w14:textId="77777777" w:rsidTr="006C696B">
        <w:trPr>
          <w:cantSplit/>
          <w:trHeight w:val="307"/>
        </w:trPr>
        <w:tc>
          <w:tcPr>
            <w:tcW w:w="1204" w:type="dxa"/>
            <w:vMerge/>
            <w:tcMar>
              <w:top w:w="57" w:type="dxa"/>
              <w:left w:w="57" w:type="dxa"/>
              <w:bottom w:w="57" w:type="dxa"/>
              <w:right w:w="57" w:type="dxa"/>
            </w:tcMar>
            <w:vAlign w:val="center"/>
          </w:tcPr>
          <w:p w14:paraId="172CE72A" w14:textId="77777777" w:rsidR="00F11395" w:rsidRPr="00881BC8" w:rsidRDefault="00F11395" w:rsidP="00F11395">
            <w:pPr>
              <w:spacing w:after="0"/>
              <w:jc w:val="left"/>
              <w:rPr>
                <w:noProof/>
                <w:sz w:val="20"/>
                <w:szCs w:val="20"/>
              </w:rPr>
            </w:pPr>
          </w:p>
        </w:tc>
        <w:tc>
          <w:tcPr>
            <w:tcW w:w="1343" w:type="dxa"/>
            <w:tcBorders>
              <w:right w:val="double" w:sz="4" w:space="0" w:color="auto"/>
            </w:tcBorders>
            <w:tcMar>
              <w:top w:w="57" w:type="dxa"/>
              <w:left w:w="57" w:type="dxa"/>
              <w:bottom w:w="57" w:type="dxa"/>
              <w:right w:w="57" w:type="dxa"/>
            </w:tcMar>
            <w:vAlign w:val="center"/>
          </w:tcPr>
          <w:p w14:paraId="30ACF63F" w14:textId="77777777" w:rsidR="00F11395" w:rsidRPr="00881BC8" w:rsidRDefault="00F11395" w:rsidP="00F11395">
            <w:pPr>
              <w:spacing w:after="0"/>
              <w:jc w:val="left"/>
              <w:rPr>
                <w:noProof/>
                <w:sz w:val="20"/>
                <w:szCs w:val="20"/>
              </w:rPr>
            </w:pPr>
            <w:r w:rsidRPr="00881BC8">
              <w:rPr>
                <w:noProof/>
                <w:sz w:val="20"/>
                <w:szCs w:val="20"/>
              </w:rPr>
              <w:t>Direct regulatory fees and charges</w:t>
            </w:r>
          </w:p>
        </w:tc>
        <w:tc>
          <w:tcPr>
            <w:tcW w:w="925" w:type="dxa"/>
            <w:tcBorders>
              <w:left w:val="double" w:sz="4" w:space="0" w:color="auto"/>
            </w:tcBorders>
            <w:tcMar>
              <w:top w:w="57" w:type="dxa"/>
              <w:left w:w="57" w:type="dxa"/>
              <w:bottom w:w="57" w:type="dxa"/>
              <w:right w:w="57" w:type="dxa"/>
            </w:tcMar>
            <w:vAlign w:val="center"/>
          </w:tcPr>
          <w:p w14:paraId="766FAD5E" w14:textId="77777777" w:rsidR="00F11395" w:rsidRPr="00881BC8" w:rsidRDefault="00F11395" w:rsidP="00F11395">
            <w:pPr>
              <w:spacing w:after="0"/>
              <w:jc w:val="left"/>
              <w:rPr>
                <w:noProof/>
                <w:sz w:val="20"/>
                <w:szCs w:val="20"/>
              </w:rPr>
            </w:pPr>
          </w:p>
        </w:tc>
        <w:tc>
          <w:tcPr>
            <w:tcW w:w="851" w:type="dxa"/>
            <w:tcMar>
              <w:top w:w="57" w:type="dxa"/>
              <w:left w:w="57" w:type="dxa"/>
              <w:bottom w:w="57" w:type="dxa"/>
              <w:right w:w="57" w:type="dxa"/>
            </w:tcMar>
            <w:vAlign w:val="center"/>
          </w:tcPr>
          <w:p w14:paraId="355AF13A" w14:textId="77777777" w:rsidR="00F11395" w:rsidRPr="00881BC8" w:rsidRDefault="00F11395" w:rsidP="00F11395">
            <w:pPr>
              <w:spacing w:after="0"/>
              <w:jc w:val="left"/>
              <w:rPr>
                <w:noProof/>
                <w:sz w:val="20"/>
                <w:szCs w:val="20"/>
              </w:rPr>
            </w:pPr>
          </w:p>
        </w:tc>
        <w:tc>
          <w:tcPr>
            <w:tcW w:w="1417" w:type="dxa"/>
            <w:tcMar>
              <w:top w:w="57" w:type="dxa"/>
              <w:left w:w="57" w:type="dxa"/>
              <w:bottom w:w="57" w:type="dxa"/>
              <w:right w:w="57" w:type="dxa"/>
            </w:tcMar>
            <w:vAlign w:val="center"/>
          </w:tcPr>
          <w:p w14:paraId="7CE4FE21" w14:textId="77777777" w:rsidR="00F11395" w:rsidRPr="00881BC8" w:rsidRDefault="00F11395" w:rsidP="00F11395">
            <w:pPr>
              <w:spacing w:after="0"/>
              <w:jc w:val="left"/>
              <w:rPr>
                <w:noProof/>
                <w:sz w:val="20"/>
                <w:szCs w:val="20"/>
              </w:rPr>
            </w:pPr>
          </w:p>
        </w:tc>
        <w:tc>
          <w:tcPr>
            <w:tcW w:w="1559" w:type="dxa"/>
            <w:tcMar>
              <w:top w:w="57" w:type="dxa"/>
              <w:left w:w="57" w:type="dxa"/>
              <w:bottom w:w="57" w:type="dxa"/>
              <w:right w:w="57" w:type="dxa"/>
            </w:tcMar>
          </w:tcPr>
          <w:p w14:paraId="117EBA17" w14:textId="2664771C" w:rsidR="00FB16CE" w:rsidRPr="00881BC8" w:rsidRDefault="00F11395" w:rsidP="00F11395">
            <w:pPr>
              <w:spacing w:after="0"/>
              <w:jc w:val="left"/>
              <w:rPr>
                <w:noProof/>
                <w:sz w:val="20"/>
                <w:szCs w:val="20"/>
              </w:rPr>
            </w:pPr>
            <w:r w:rsidRPr="00881BC8">
              <w:rPr>
                <w:noProof/>
                <w:sz w:val="20"/>
                <w:szCs w:val="20"/>
              </w:rPr>
              <w:t>Cost of regulatory fines for business debtors, estimated at EUR 1</w:t>
            </w:r>
            <w:r w:rsidR="00CC342C" w:rsidRPr="00881BC8">
              <w:rPr>
                <w:noProof/>
                <w:sz w:val="20"/>
                <w:szCs w:val="20"/>
              </w:rPr>
              <w:t>36</w:t>
            </w:r>
            <w:r w:rsidRPr="00881BC8">
              <w:rPr>
                <w:noProof/>
                <w:sz w:val="20"/>
                <w:szCs w:val="20"/>
              </w:rPr>
              <w:t>.</w:t>
            </w:r>
            <w:r w:rsidR="00CC342C" w:rsidRPr="00881BC8">
              <w:rPr>
                <w:noProof/>
                <w:sz w:val="20"/>
                <w:szCs w:val="20"/>
              </w:rPr>
              <w:t>8</w:t>
            </w:r>
            <w:r w:rsidRPr="00881BC8">
              <w:rPr>
                <w:noProof/>
                <w:sz w:val="20"/>
                <w:szCs w:val="20"/>
              </w:rPr>
              <w:t xml:space="preserve"> million (Annex 4). </w:t>
            </w:r>
          </w:p>
          <w:p w14:paraId="66FB5C51" w14:textId="77777777" w:rsidR="00FB16CE" w:rsidRPr="00881BC8" w:rsidRDefault="00FB16CE" w:rsidP="00F11395">
            <w:pPr>
              <w:spacing w:after="0"/>
              <w:jc w:val="left"/>
              <w:rPr>
                <w:noProof/>
                <w:sz w:val="20"/>
                <w:szCs w:val="20"/>
              </w:rPr>
            </w:pPr>
          </w:p>
          <w:p w14:paraId="77F643CD" w14:textId="45B5B55C" w:rsidR="00F11395" w:rsidRPr="00881BC8" w:rsidRDefault="00F11395" w:rsidP="00F11395">
            <w:pPr>
              <w:spacing w:after="0"/>
              <w:jc w:val="left"/>
              <w:rPr>
                <w:noProof/>
                <w:sz w:val="20"/>
                <w:szCs w:val="20"/>
              </w:rPr>
            </w:pPr>
            <w:r w:rsidRPr="00881BC8">
              <w:rPr>
                <w:noProof/>
                <w:sz w:val="20"/>
                <w:szCs w:val="20"/>
              </w:rPr>
              <w:t>Debtors can avoid these costs by paying on time.</w:t>
            </w:r>
          </w:p>
        </w:tc>
        <w:tc>
          <w:tcPr>
            <w:tcW w:w="1418" w:type="dxa"/>
            <w:tcMar>
              <w:top w:w="57" w:type="dxa"/>
              <w:left w:w="57" w:type="dxa"/>
              <w:bottom w:w="57" w:type="dxa"/>
              <w:right w:w="57" w:type="dxa"/>
            </w:tcMar>
          </w:tcPr>
          <w:p w14:paraId="3D940D94" w14:textId="77777777" w:rsidR="00F11395" w:rsidRPr="00881BC8" w:rsidRDefault="00F11395" w:rsidP="00F11395">
            <w:pPr>
              <w:spacing w:after="0"/>
              <w:jc w:val="left"/>
              <w:rPr>
                <w:noProof/>
                <w:sz w:val="20"/>
                <w:szCs w:val="20"/>
              </w:rPr>
            </w:pPr>
          </w:p>
        </w:tc>
        <w:tc>
          <w:tcPr>
            <w:tcW w:w="1489" w:type="dxa"/>
            <w:tcMar>
              <w:top w:w="57" w:type="dxa"/>
              <w:left w:w="57" w:type="dxa"/>
              <w:bottom w:w="57" w:type="dxa"/>
              <w:right w:w="57" w:type="dxa"/>
            </w:tcMar>
          </w:tcPr>
          <w:p w14:paraId="73D9B536" w14:textId="33F84361" w:rsidR="00F11395" w:rsidRPr="00881BC8" w:rsidRDefault="00F11395" w:rsidP="00F11395">
            <w:pPr>
              <w:spacing w:after="0"/>
              <w:jc w:val="left"/>
              <w:rPr>
                <w:noProof/>
                <w:sz w:val="20"/>
                <w:szCs w:val="20"/>
              </w:rPr>
            </w:pPr>
          </w:p>
        </w:tc>
      </w:tr>
      <w:tr w:rsidR="00F11395" w:rsidRPr="00881BC8" w14:paraId="3FEDCD7E" w14:textId="77777777" w:rsidTr="006C696B">
        <w:trPr>
          <w:cantSplit/>
          <w:trHeight w:val="307"/>
        </w:trPr>
        <w:tc>
          <w:tcPr>
            <w:tcW w:w="1204" w:type="dxa"/>
            <w:vMerge/>
            <w:tcMar>
              <w:top w:w="57" w:type="dxa"/>
              <w:left w:w="57" w:type="dxa"/>
              <w:bottom w:w="57" w:type="dxa"/>
              <w:right w:w="57" w:type="dxa"/>
            </w:tcMar>
            <w:vAlign w:val="center"/>
          </w:tcPr>
          <w:p w14:paraId="4FD55657" w14:textId="77777777" w:rsidR="00F11395" w:rsidRPr="00881BC8" w:rsidRDefault="00F11395" w:rsidP="00F11395">
            <w:pPr>
              <w:spacing w:after="0"/>
              <w:jc w:val="left"/>
              <w:rPr>
                <w:noProof/>
                <w:sz w:val="20"/>
                <w:szCs w:val="20"/>
              </w:rPr>
            </w:pPr>
          </w:p>
        </w:tc>
        <w:tc>
          <w:tcPr>
            <w:tcW w:w="1343" w:type="dxa"/>
            <w:tcBorders>
              <w:right w:val="double" w:sz="4" w:space="0" w:color="auto"/>
            </w:tcBorders>
            <w:tcMar>
              <w:top w:w="57" w:type="dxa"/>
              <w:left w:w="57" w:type="dxa"/>
              <w:bottom w:w="57" w:type="dxa"/>
              <w:right w:w="57" w:type="dxa"/>
            </w:tcMar>
            <w:vAlign w:val="center"/>
          </w:tcPr>
          <w:p w14:paraId="465E378D" w14:textId="77777777" w:rsidR="00F11395" w:rsidRPr="00881BC8" w:rsidRDefault="00F11395" w:rsidP="00F11395">
            <w:pPr>
              <w:spacing w:after="0"/>
              <w:jc w:val="left"/>
              <w:rPr>
                <w:noProof/>
                <w:sz w:val="20"/>
                <w:szCs w:val="20"/>
              </w:rPr>
            </w:pPr>
            <w:r w:rsidRPr="00881BC8">
              <w:rPr>
                <w:noProof/>
                <w:sz w:val="20"/>
                <w:szCs w:val="20"/>
              </w:rPr>
              <w:t>Direct enforcement costs</w:t>
            </w:r>
          </w:p>
        </w:tc>
        <w:tc>
          <w:tcPr>
            <w:tcW w:w="925" w:type="dxa"/>
            <w:tcBorders>
              <w:left w:val="double" w:sz="4" w:space="0" w:color="auto"/>
            </w:tcBorders>
            <w:tcMar>
              <w:top w:w="57" w:type="dxa"/>
              <w:left w:w="57" w:type="dxa"/>
              <w:bottom w:w="57" w:type="dxa"/>
              <w:right w:w="57" w:type="dxa"/>
            </w:tcMar>
            <w:vAlign w:val="center"/>
          </w:tcPr>
          <w:p w14:paraId="2785F4F1" w14:textId="77777777" w:rsidR="00F11395" w:rsidRPr="00881BC8" w:rsidRDefault="00F11395" w:rsidP="00F11395">
            <w:pPr>
              <w:spacing w:after="0"/>
              <w:jc w:val="left"/>
              <w:rPr>
                <w:noProof/>
                <w:sz w:val="20"/>
                <w:szCs w:val="20"/>
              </w:rPr>
            </w:pPr>
          </w:p>
        </w:tc>
        <w:tc>
          <w:tcPr>
            <w:tcW w:w="851" w:type="dxa"/>
            <w:tcMar>
              <w:top w:w="57" w:type="dxa"/>
              <w:left w:w="57" w:type="dxa"/>
              <w:bottom w:w="57" w:type="dxa"/>
              <w:right w:w="57" w:type="dxa"/>
            </w:tcMar>
            <w:vAlign w:val="center"/>
          </w:tcPr>
          <w:p w14:paraId="5912776C" w14:textId="77777777" w:rsidR="00F11395" w:rsidRPr="00881BC8" w:rsidRDefault="00F11395" w:rsidP="00F11395">
            <w:pPr>
              <w:spacing w:after="0"/>
              <w:jc w:val="left"/>
              <w:rPr>
                <w:noProof/>
                <w:sz w:val="20"/>
                <w:szCs w:val="20"/>
              </w:rPr>
            </w:pPr>
          </w:p>
        </w:tc>
        <w:tc>
          <w:tcPr>
            <w:tcW w:w="1417" w:type="dxa"/>
            <w:tcMar>
              <w:top w:w="57" w:type="dxa"/>
              <w:left w:w="57" w:type="dxa"/>
              <w:bottom w:w="57" w:type="dxa"/>
              <w:right w:w="57" w:type="dxa"/>
            </w:tcMar>
            <w:vAlign w:val="center"/>
          </w:tcPr>
          <w:p w14:paraId="347C5B14" w14:textId="77777777" w:rsidR="00F11395" w:rsidRPr="00881BC8" w:rsidRDefault="00F11395" w:rsidP="00F11395">
            <w:pPr>
              <w:spacing w:after="0"/>
              <w:jc w:val="left"/>
              <w:rPr>
                <w:noProof/>
                <w:sz w:val="20"/>
                <w:szCs w:val="20"/>
              </w:rPr>
            </w:pPr>
          </w:p>
        </w:tc>
        <w:tc>
          <w:tcPr>
            <w:tcW w:w="1559" w:type="dxa"/>
            <w:tcMar>
              <w:top w:w="57" w:type="dxa"/>
              <w:left w:w="57" w:type="dxa"/>
              <w:bottom w:w="57" w:type="dxa"/>
              <w:right w:w="57" w:type="dxa"/>
            </w:tcMar>
          </w:tcPr>
          <w:p w14:paraId="21BED6E0" w14:textId="77777777" w:rsidR="00F11395" w:rsidRPr="00881BC8" w:rsidRDefault="00F11395" w:rsidP="00F11395">
            <w:pPr>
              <w:spacing w:after="0"/>
              <w:jc w:val="left"/>
              <w:rPr>
                <w:noProof/>
                <w:sz w:val="20"/>
                <w:szCs w:val="20"/>
              </w:rPr>
            </w:pPr>
          </w:p>
        </w:tc>
        <w:tc>
          <w:tcPr>
            <w:tcW w:w="1418" w:type="dxa"/>
            <w:tcMar>
              <w:top w:w="57" w:type="dxa"/>
              <w:left w:w="57" w:type="dxa"/>
              <w:bottom w:w="57" w:type="dxa"/>
              <w:right w:w="57" w:type="dxa"/>
            </w:tcMar>
          </w:tcPr>
          <w:p w14:paraId="3146033A" w14:textId="77777777" w:rsidR="00F11395" w:rsidRPr="00881BC8" w:rsidRDefault="00F11395" w:rsidP="00F11395">
            <w:pPr>
              <w:spacing w:after="0"/>
              <w:jc w:val="left"/>
              <w:rPr>
                <w:noProof/>
                <w:sz w:val="20"/>
                <w:szCs w:val="20"/>
              </w:rPr>
            </w:pPr>
          </w:p>
        </w:tc>
        <w:tc>
          <w:tcPr>
            <w:tcW w:w="1489" w:type="dxa"/>
            <w:tcMar>
              <w:top w:w="57" w:type="dxa"/>
              <w:left w:w="57" w:type="dxa"/>
              <w:bottom w:w="57" w:type="dxa"/>
              <w:right w:w="57" w:type="dxa"/>
            </w:tcMar>
          </w:tcPr>
          <w:p w14:paraId="65F69638" w14:textId="27E40AAB" w:rsidR="00F11395" w:rsidRPr="00881BC8" w:rsidRDefault="00F11395" w:rsidP="00F11395">
            <w:pPr>
              <w:spacing w:after="0"/>
              <w:jc w:val="left"/>
              <w:rPr>
                <w:noProof/>
                <w:sz w:val="20"/>
                <w:szCs w:val="20"/>
              </w:rPr>
            </w:pPr>
            <w:r w:rsidRPr="00881BC8">
              <w:rPr>
                <w:noProof/>
                <w:sz w:val="20"/>
                <w:szCs w:val="20"/>
              </w:rPr>
              <w:t>Cost of running the enforcement body, estimated at EUR 60-65 million p.a. for all EU-27.</w:t>
            </w:r>
          </w:p>
        </w:tc>
      </w:tr>
      <w:tr w:rsidR="00F11395" w:rsidRPr="00881BC8" w14:paraId="1BD5F1A6" w14:textId="77777777" w:rsidTr="006C696B">
        <w:trPr>
          <w:cantSplit/>
        </w:trPr>
        <w:tc>
          <w:tcPr>
            <w:tcW w:w="1204" w:type="dxa"/>
            <w:vMerge/>
            <w:tcBorders>
              <w:bottom w:val="double" w:sz="4" w:space="0" w:color="auto"/>
            </w:tcBorders>
            <w:tcMar>
              <w:top w:w="57" w:type="dxa"/>
              <w:left w:w="57" w:type="dxa"/>
              <w:bottom w:w="57" w:type="dxa"/>
              <w:right w:w="57" w:type="dxa"/>
            </w:tcMar>
          </w:tcPr>
          <w:p w14:paraId="20F12AE0" w14:textId="77777777" w:rsidR="00F11395" w:rsidRPr="00881BC8" w:rsidRDefault="00F11395" w:rsidP="00F11395">
            <w:pPr>
              <w:spacing w:after="0"/>
              <w:jc w:val="left"/>
              <w:rPr>
                <w:noProof/>
                <w:sz w:val="20"/>
                <w:szCs w:val="20"/>
              </w:rPr>
            </w:pPr>
          </w:p>
        </w:tc>
        <w:tc>
          <w:tcPr>
            <w:tcW w:w="1343" w:type="dxa"/>
            <w:tcBorders>
              <w:bottom w:val="double" w:sz="4" w:space="0" w:color="auto"/>
              <w:right w:val="double" w:sz="4" w:space="0" w:color="auto"/>
            </w:tcBorders>
            <w:tcMar>
              <w:top w:w="57" w:type="dxa"/>
              <w:left w:w="57" w:type="dxa"/>
              <w:bottom w:w="57" w:type="dxa"/>
              <w:right w:w="57" w:type="dxa"/>
            </w:tcMar>
          </w:tcPr>
          <w:p w14:paraId="5F068D85" w14:textId="77777777" w:rsidR="00F11395" w:rsidRPr="00881BC8" w:rsidRDefault="00F11395" w:rsidP="00F11395">
            <w:pPr>
              <w:spacing w:after="0"/>
              <w:jc w:val="left"/>
              <w:rPr>
                <w:noProof/>
                <w:sz w:val="20"/>
                <w:szCs w:val="20"/>
              </w:rPr>
            </w:pPr>
            <w:r w:rsidRPr="00881BC8">
              <w:rPr>
                <w:noProof/>
                <w:sz w:val="20"/>
                <w:szCs w:val="20"/>
              </w:rPr>
              <w:t>Indirect costs</w:t>
            </w:r>
          </w:p>
        </w:tc>
        <w:tc>
          <w:tcPr>
            <w:tcW w:w="925" w:type="dxa"/>
            <w:tcBorders>
              <w:left w:val="double" w:sz="4" w:space="0" w:color="auto"/>
              <w:bottom w:val="double" w:sz="4" w:space="0" w:color="auto"/>
            </w:tcBorders>
            <w:tcMar>
              <w:top w:w="57" w:type="dxa"/>
              <w:left w:w="57" w:type="dxa"/>
              <w:bottom w:w="57" w:type="dxa"/>
              <w:right w:w="57" w:type="dxa"/>
            </w:tcMar>
          </w:tcPr>
          <w:p w14:paraId="196FFF5C" w14:textId="77777777" w:rsidR="00F11395" w:rsidRPr="00881BC8" w:rsidRDefault="00F11395" w:rsidP="00F11395">
            <w:pPr>
              <w:spacing w:after="0"/>
              <w:jc w:val="left"/>
              <w:rPr>
                <w:noProof/>
                <w:sz w:val="20"/>
                <w:szCs w:val="20"/>
              </w:rPr>
            </w:pPr>
          </w:p>
        </w:tc>
        <w:tc>
          <w:tcPr>
            <w:tcW w:w="851" w:type="dxa"/>
            <w:tcBorders>
              <w:bottom w:val="double" w:sz="4" w:space="0" w:color="auto"/>
            </w:tcBorders>
            <w:tcMar>
              <w:top w:w="57" w:type="dxa"/>
              <w:left w:w="57" w:type="dxa"/>
              <w:bottom w:w="57" w:type="dxa"/>
              <w:right w:w="57" w:type="dxa"/>
            </w:tcMar>
          </w:tcPr>
          <w:p w14:paraId="78A4304E" w14:textId="77777777" w:rsidR="00F11395" w:rsidRPr="00881BC8" w:rsidRDefault="00F11395" w:rsidP="00F11395">
            <w:pPr>
              <w:spacing w:after="0"/>
              <w:jc w:val="left"/>
              <w:rPr>
                <w:noProof/>
                <w:sz w:val="20"/>
                <w:szCs w:val="20"/>
              </w:rPr>
            </w:pPr>
          </w:p>
        </w:tc>
        <w:tc>
          <w:tcPr>
            <w:tcW w:w="1417" w:type="dxa"/>
            <w:tcBorders>
              <w:bottom w:val="double" w:sz="4" w:space="0" w:color="auto"/>
            </w:tcBorders>
            <w:tcMar>
              <w:top w:w="57" w:type="dxa"/>
              <w:left w:w="57" w:type="dxa"/>
              <w:bottom w:w="57" w:type="dxa"/>
              <w:right w:w="57" w:type="dxa"/>
            </w:tcMar>
          </w:tcPr>
          <w:p w14:paraId="4DDE0FE7" w14:textId="77777777" w:rsidR="00F11395" w:rsidRPr="00881BC8" w:rsidRDefault="00F11395" w:rsidP="00F11395">
            <w:pPr>
              <w:spacing w:after="0"/>
              <w:jc w:val="left"/>
              <w:rPr>
                <w:noProof/>
                <w:sz w:val="20"/>
                <w:szCs w:val="20"/>
              </w:rPr>
            </w:pPr>
          </w:p>
        </w:tc>
        <w:tc>
          <w:tcPr>
            <w:tcW w:w="1559" w:type="dxa"/>
            <w:tcBorders>
              <w:bottom w:val="double" w:sz="4" w:space="0" w:color="auto"/>
            </w:tcBorders>
            <w:tcMar>
              <w:top w:w="57" w:type="dxa"/>
              <w:left w:w="57" w:type="dxa"/>
              <w:bottom w:w="57" w:type="dxa"/>
              <w:right w:w="57" w:type="dxa"/>
            </w:tcMar>
          </w:tcPr>
          <w:p w14:paraId="5B14FC97" w14:textId="52F715FC" w:rsidR="00F11395" w:rsidRPr="00881BC8" w:rsidRDefault="00F11395" w:rsidP="00F11395">
            <w:pPr>
              <w:spacing w:after="0"/>
              <w:jc w:val="left"/>
              <w:rPr>
                <w:noProof/>
                <w:sz w:val="20"/>
                <w:szCs w:val="20"/>
              </w:rPr>
            </w:pPr>
          </w:p>
        </w:tc>
        <w:tc>
          <w:tcPr>
            <w:tcW w:w="1418" w:type="dxa"/>
            <w:tcBorders>
              <w:bottom w:val="double" w:sz="4" w:space="0" w:color="auto"/>
            </w:tcBorders>
            <w:tcMar>
              <w:top w:w="57" w:type="dxa"/>
              <w:left w:w="57" w:type="dxa"/>
              <w:bottom w:w="57" w:type="dxa"/>
              <w:right w:w="57" w:type="dxa"/>
            </w:tcMar>
          </w:tcPr>
          <w:p w14:paraId="4F2B075E" w14:textId="77777777" w:rsidR="00F11395" w:rsidRPr="00881BC8" w:rsidRDefault="00F11395" w:rsidP="00F11395">
            <w:pPr>
              <w:spacing w:after="0"/>
              <w:jc w:val="left"/>
              <w:rPr>
                <w:noProof/>
                <w:sz w:val="20"/>
                <w:szCs w:val="20"/>
              </w:rPr>
            </w:pPr>
          </w:p>
        </w:tc>
        <w:tc>
          <w:tcPr>
            <w:tcW w:w="1489" w:type="dxa"/>
            <w:tcBorders>
              <w:bottom w:val="double" w:sz="4" w:space="0" w:color="auto"/>
            </w:tcBorders>
            <w:tcMar>
              <w:top w:w="57" w:type="dxa"/>
              <w:left w:w="57" w:type="dxa"/>
              <w:bottom w:w="57" w:type="dxa"/>
              <w:right w:w="57" w:type="dxa"/>
            </w:tcMar>
          </w:tcPr>
          <w:p w14:paraId="40C68B2C" w14:textId="77777777" w:rsidR="00F11395" w:rsidRPr="00881BC8" w:rsidRDefault="00F11395" w:rsidP="00F11395">
            <w:pPr>
              <w:spacing w:after="0"/>
              <w:jc w:val="left"/>
              <w:rPr>
                <w:noProof/>
                <w:sz w:val="20"/>
                <w:szCs w:val="20"/>
              </w:rPr>
            </w:pPr>
          </w:p>
        </w:tc>
      </w:tr>
      <w:tr w:rsidR="00F11395" w:rsidRPr="00881BC8" w14:paraId="07C5F95F" w14:textId="77777777" w:rsidTr="006C696B">
        <w:trPr>
          <w:cantSplit/>
          <w:trHeight w:val="307"/>
        </w:trPr>
        <w:tc>
          <w:tcPr>
            <w:tcW w:w="1204" w:type="dxa"/>
            <w:vMerge w:val="restart"/>
            <w:tcMar>
              <w:top w:w="57" w:type="dxa"/>
              <w:left w:w="57" w:type="dxa"/>
              <w:bottom w:w="57" w:type="dxa"/>
              <w:right w:w="57" w:type="dxa"/>
            </w:tcMar>
          </w:tcPr>
          <w:p w14:paraId="79A43EE6" w14:textId="77777777" w:rsidR="00F11395" w:rsidRPr="00881BC8" w:rsidRDefault="00F11395" w:rsidP="00F11395">
            <w:pPr>
              <w:spacing w:after="0"/>
              <w:jc w:val="left"/>
              <w:rPr>
                <w:noProof/>
                <w:sz w:val="20"/>
                <w:szCs w:val="20"/>
              </w:rPr>
            </w:pPr>
            <w:r w:rsidRPr="00881BC8">
              <w:rPr>
                <w:noProof/>
                <w:sz w:val="20"/>
                <w:szCs w:val="20"/>
              </w:rPr>
              <w:t xml:space="preserve">Contracting authorities in PP ensure that subcontractors are paid for all </w:t>
            </w:r>
            <w:r w:rsidRPr="00881BC8">
              <w:rPr>
                <w:i/>
                <w:iCs/>
                <w:noProof/>
                <w:sz w:val="20"/>
                <w:szCs w:val="20"/>
              </w:rPr>
              <w:t>public work contracts</w:t>
            </w:r>
          </w:p>
        </w:tc>
        <w:tc>
          <w:tcPr>
            <w:tcW w:w="1343" w:type="dxa"/>
            <w:tcBorders>
              <w:right w:val="double" w:sz="4" w:space="0" w:color="auto"/>
            </w:tcBorders>
            <w:tcMar>
              <w:top w:w="57" w:type="dxa"/>
              <w:left w:w="57" w:type="dxa"/>
              <w:bottom w:w="57" w:type="dxa"/>
              <w:right w:w="57" w:type="dxa"/>
            </w:tcMar>
            <w:vAlign w:val="center"/>
          </w:tcPr>
          <w:p w14:paraId="2D0DF657" w14:textId="77777777" w:rsidR="00F11395" w:rsidRPr="00881BC8" w:rsidRDefault="00F11395" w:rsidP="00F11395">
            <w:pPr>
              <w:spacing w:after="0"/>
              <w:jc w:val="left"/>
              <w:rPr>
                <w:noProof/>
                <w:sz w:val="20"/>
                <w:szCs w:val="20"/>
              </w:rPr>
            </w:pPr>
            <w:r w:rsidRPr="00881BC8">
              <w:rPr>
                <w:noProof/>
                <w:sz w:val="20"/>
                <w:szCs w:val="20"/>
              </w:rPr>
              <w:t>Direct adjustment costs</w:t>
            </w:r>
          </w:p>
        </w:tc>
        <w:tc>
          <w:tcPr>
            <w:tcW w:w="925" w:type="dxa"/>
            <w:tcBorders>
              <w:left w:val="double" w:sz="4" w:space="0" w:color="auto"/>
            </w:tcBorders>
            <w:tcMar>
              <w:top w:w="57" w:type="dxa"/>
              <w:left w:w="57" w:type="dxa"/>
              <w:bottom w:w="57" w:type="dxa"/>
              <w:right w:w="57" w:type="dxa"/>
            </w:tcMar>
            <w:vAlign w:val="center"/>
          </w:tcPr>
          <w:p w14:paraId="0BB039F5" w14:textId="77777777" w:rsidR="00F11395" w:rsidRPr="00881BC8" w:rsidRDefault="00F11395" w:rsidP="00F11395">
            <w:pPr>
              <w:spacing w:after="0"/>
              <w:jc w:val="left"/>
              <w:rPr>
                <w:noProof/>
                <w:sz w:val="20"/>
                <w:szCs w:val="20"/>
              </w:rPr>
            </w:pPr>
          </w:p>
        </w:tc>
        <w:tc>
          <w:tcPr>
            <w:tcW w:w="851" w:type="dxa"/>
            <w:tcMar>
              <w:top w:w="57" w:type="dxa"/>
              <w:left w:w="57" w:type="dxa"/>
              <w:bottom w:w="57" w:type="dxa"/>
              <w:right w:w="57" w:type="dxa"/>
            </w:tcMar>
            <w:vAlign w:val="center"/>
          </w:tcPr>
          <w:p w14:paraId="02AC1106" w14:textId="77777777" w:rsidR="00F11395" w:rsidRPr="00881BC8" w:rsidRDefault="00F11395" w:rsidP="00F11395">
            <w:pPr>
              <w:spacing w:after="0"/>
              <w:jc w:val="left"/>
              <w:rPr>
                <w:noProof/>
                <w:sz w:val="20"/>
                <w:szCs w:val="20"/>
              </w:rPr>
            </w:pPr>
          </w:p>
        </w:tc>
        <w:tc>
          <w:tcPr>
            <w:tcW w:w="1417" w:type="dxa"/>
            <w:tcMar>
              <w:top w:w="57" w:type="dxa"/>
              <w:left w:w="57" w:type="dxa"/>
              <w:bottom w:w="57" w:type="dxa"/>
              <w:right w:w="57" w:type="dxa"/>
            </w:tcMar>
            <w:vAlign w:val="center"/>
          </w:tcPr>
          <w:p w14:paraId="1E15BC51" w14:textId="77777777" w:rsidR="00F11395" w:rsidRPr="00881BC8" w:rsidRDefault="00F11395" w:rsidP="00F11395">
            <w:pPr>
              <w:spacing w:after="0"/>
              <w:jc w:val="left"/>
              <w:rPr>
                <w:noProof/>
                <w:sz w:val="20"/>
                <w:szCs w:val="20"/>
              </w:rPr>
            </w:pPr>
          </w:p>
        </w:tc>
        <w:tc>
          <w:tcPr>
            <w:tcW w:w="1559" w:type="dxa"/>
            <w:tcMar>
              <w:top w:w="57" w:type="dxa"/>
              <w:left w:w="57" w:type="dxa"/>
              <w:bottom w:w="57" w:type="dxa"/>
              <w:right w:w="57" w:type="dxa"/>
            </w:tcMar>
            <w:vAlign w:val="center"/>
          </w:tcPr>
          <w:p w14:paraId="42E63E8D" w14:textId="77777777" w:rsidR="00F11395" w:rsidRPr="00881BC8" w:rsidRDefault="00F11395" w:rsidP="00F11395">
            <w:pPr>
              <w:spacing w:after="0"/>
              <w:jc w:val="left"/>
              <w:rPr>
                <w:noProof/>
                <w:sz w:val="20"/>
                <w:szCs w:val="20"/>
              </w:rPr>
            </w:pPr>
          </w:p>
        </w:tc>
        <w:tc>
          <w:tcPr>
            <w:tcW w:w="1418" w:type="dxa"/>
            <w:tcMar>
              <w:top w:w="57" w:type="dxa"/>
              <w:left w:w="57" w:type="dxa"/>
              <w:bottom w:w="57" w:type="dxa"/>
              <w:right w:w="57" w:type="dxa"/>
            </w:tcMar>
            <w:vAlign w:val="center"/>
          </w:tcPr>
          <w:p w14:paraId="15FA90E0" w14:textId="77777777" w:rsidR="00F11395" w:rsidRPr="00881BC8" w:rsidRDefault="00F11395" w:rsidP="00F11395">
            <w:pPr>
              <w:spacing w:after="0"/>
              <w:jc w:val="left"/>
              <w:rPr>
                <w:noProof/>
                <w:sz w:val="20"/>
                <w:szCs w:val="20"/>
              </w:rPr>
            </w:pPr>
          </w:p>
        </w:tc>
        <w:tc>
          <w:tcPr>
            <w:tcW w:w="1489" w:type="dxa"/>
            <w:tcMar>
              <w:top w:w="57" w:type="dxa"/>
              <w:left w:w="57" w:type="dxa"/>
              <w:bottom w:w="57" w:type="dxa"/>
              <w:right w:w="57" w:type="dxa"/>
            </w:tcMar>
            <w:vAlign w:val="center"/>
          </w:tcPr>
          <w:p w14:paraId="48949932" w14:textId="77777777" w:rsidR="00F11395" w:rsidRPr="00881BC8" w:rsidRDefault="00F11395" w:rsidP="00F11395">
            <w:pPr>
              <w:spacing w:after="0"/>
              <w:jc w:val="left"/>
              <w:rPr>
                <w:noProof/>
                <w:sz w:val="20"/>
                <w:szCs w:val="20"/>
              </w:rPr>
            </w:pPr>
          </w:p>
        </w:tc>
      </w:tr>
      <w:tr w:rsidR="00F11395" w:rsidRPr="00881BC8" w14:paraId="7AA0FD45" w14:textId="77777777" w:rsidTr="006C696B">
        <w:trPr>
          <w:cantSplit/>
          <w:trHeight w:val="307"/>
        </w:trPr>
        <w:tc>
          <w:tcPr>
            <w:tcW w:w="1204" w:type="dxa"/>
            <w:vMerge/>
            <w:tcMar>
              <w:top w:w="57" w:type="dxa"/>
              <w:left w:w="57" w:type="dxa"/>
              <w:bottom w:w="57" w:type="dxa"/>
              <w:right w:w="57" w:type="dxa"/>
            </w:tcMar>
            <w:vAlign w:val="center"/>
          </w:tcPr>
          <w:p w14:paraId="50FC5BB2" w14:textId="77777777" w:rsidR="00F11395" w:rsidRPr="00881BC8" w:rsidRDefault="00F11395" w:rsidP="00F11395">
            <w:pPr>
              <w:spacing w:after="0"/>
              <w:jc w:val="left"/>
              <w:rPr>
                <w:noProof/>
                <w:sz w:val="20"/>
                <w:szCs w:val="20"/>
              </w:rPr>
            </w:pPr>
          </w:p>
        </w:tc>
        <w:tc>
          <w:tcPr>
            <w:tcW w:w="1343" w:type="dxa"/>
            <w:tcBorders>
              <w:right w:val="double" w:sz="4" w:space="0" w:color="auto"/>
            </w:tcBorders>
            <w:tcMar>
              <w:top w:w="57" w:type="dxa"/>
              <w:left w:w="57" w:type="dxa"/>
              <w:bottom w:w="57" w:type="dxa"/>
              <w:right w:w="57" w:type="dxa"/>
            </w:tcMar>
            <w:vAlign w:val="center"/>
          </w:tcPr>
          <w:p w14:paraId="7C569F9D" w14:textId="77777777" w:rsidR="00F11395" w:rsidRPr="00881BC8" w:rsidRDefault="00F11395" w:rsidP="00F11395">
            <w:pPr>
              <w:spacing w:after="0"/>
              <w:jc w:val="left"/>
              <w:rPr>
                <w:noProof/>
                <w:sz w:val="20"/>
                <w:szCs w:val="20"/>
              </w:rPr>
            </w:pPr>
            <w:r w:rsidRPr="00881BC8">
              <w:rPr>
                <w:noProof/>
                <w:sz w:val="20"/>
                <w:szCs w:val="20"/>
              </w:rPr>
              <w:t>Direct administrative costs</w:t>
            </w:r>
          </w:p>
        </w:tc>
        <w:tc>
          <w:tcPr>
            <w:tcW w:w="925" w:type="dxa"/>
            <w:tcBorders>
              <w:left w:val="double" w:sz="4" w:space="0" w:color="auto"/>
            </w:tcBorders>
            <w:tcMar>
              <w:top w:w="57" w:type="dxa"/>
              <w:left w:w="57" w:type="dxa"/>
              <w:bottom w:w="57" w:type="dxa"/>
              <w:right w:w="57" w:type="dxa"/>
            </w:tcMar>
            <w:vAlign w:val="center"/>
          </w:tcPr>
          <w:p w14:paraId="22365614" w14:textId="77777777" w:rsidR="00F11395" w:rsidRPr="00881BC8" w:rsidRDefault="00F11395" w:rsidP="00F11395">
            <w:pPr>
              <w:spacing w:after="0"/>
              <w:jc w:val="left"/>
              <w:rPr>
                <w:noProof/>
                <w:sz w:val="20"/>
                <w:szCs w:val="20"/>
              </w:rPr>
            </w:pPr>
          </w:p>
        </w:tc>
        <w:tc>
          <w:tcPr>
            <w:tcW w:w="851" w:type="dxa"/>
            <w:tcMar>
              <w:top w:w="57" w:type="dxa"/>
              <w:left w:w="57" w:type="dxa"/>
              <w:bottom w:w="57" w:type="dxa"/>
              <w:right w:w="57" w:type="dxa"/>
            </w:tcMar>
            <w:vAlign w:val="center"/>
          </w:tcPr>
          <w:p w14:paraId="1991037A" w14:textId="77777777" w:rsidR="00F11395" w:rsidRPr="00881BC8" w:rsidRDefault="00F11395" w:rsidP="00F11395">
            <w:pPr>
              <w:spacing w:after="0"/>
              <w:jc w:val="left"/>
              <w:rPr>
                <w:noProof/>
                <w:sz w:val="20"/>
                <w:szCs w:val="20"/>
              </w:rPr>
            </w:pPr>
          </w:p>
        </w:tc>
        <w:tc>
          <w:tcPr>
            <w:tcW w:w="1417" w:type="dxa"/>
            <w:tcMar>
              <w:top w:w="57" w:type="dxa"/>
              <w:left w:w="57" w:type="dxa"/>
              <w:bottom w:w="57" w:type="dxa"/>
              <w:right w:w="57" w:type="dxa"/>
            </w:tcMar>
            <w:vAlign w:val="center"/>
          </w:tcPr>
          <w:p w14:paraId="6B3F1A5D" w14:textId="77777777" w:rsidR="00F11395" w:rsidRPr="00881BC8" w:rsidRDefault="00F11395" w:rsidP="00F11395">
            <w:pPr>
              <w:spacing w:after="0"/>
              <w:jc w:val="left"/>
              <w:rPr>
                <w:noProof/>
                <w:sz w:val="20"/>
                <w:szCs w:val="20"/>
              </w:rPr>
            </w:pPr>
          </w:p>
        </w:tc>
        <w:tc>
          <w:tcPr>
            <w:tcW w:w="1559" w:type="dxa"/>
            <w:tcMar>
              <w:top w:w="57" w:type="dxa"/>
              <w:left w:w="57" w:type="dxa"/>
              <w:bottom w:w="57" w:type="dxa"/>
              <w:right w:w="57" w:type="dxa"/>
            </w:tcMar>
            <w:vAlign w:val="center"/>
          </w:tcPr>
          <w:p w14:paraId="6EE340B7" w14:textId="28F1194E" w:rsidR="00F11395" w:rsidRPr="00881BC8" w:rsidRDefault="00F11395" w:rsidP="00F11395">
            <w:pPr>
              <w:spacing w:after="0"/>
              <w:jc w:val="left"/>
              <w:rPr>
                <w:noProof/>
                <w:sz w:val="20"/>
                <w:szCs w:val="20"/>
              </w:rPr>
            </w:pPr>
            <w:r w:rsidRPr="00881BC8">
              <w:rPr>
                <w:noProof/>
                <w:sz w:val="20"/>
                <w:szCs w:val="20"/>
              </w:rPr>
              <w:t>Contractors to disclose payment information; EUR 2.2 million p.a. for EU-27.</w:t>
            </w:r>
          </w:p>
        </w:tc>
        <w:tc>
          <w:tcPr>
            <w:tcW w:w="1418" w:type="dxa"/>
            <w:tcMar>
              <w:top w:w="57" w:type="dxa"/>
              <w:left w:w="57" w:type="dxa"/>
              <w:bottom w:w="57" w:type="dxa"/>
              <w:right w:w="57" w:type="dxa"/>
            </w:tcMar>
            <w:vAlign w:val="center"/>
          </w:tcPr>
          <w:p w14:paraId="1F36B214" w14:textId="77777777" w:rsidR="00F11395" w:rsidRPr="00881BC8" w:rsidRDefault="00F11395" w:rsidP="00F11395">
            <w:pPr>
              <w:spacing w:after="0"/>
              <w:jc w:val="left"/>
              <w:rPr>
                <w:noProof/>
                <w:sz w:val="20"/>
                <w:szCs w:val="20"/>
              </w:rPr>
            </w:pPr>
          </w:p>
        </w:tc>
        <w:tc>
          <w:tcPr>
            <w:tcW w:w="1489" w:type="dxa"/>
            <w:tcMar>
              <w:top w:w="57" w:type="dxa"/>
              <w:left w:w="57" w:type="dxa"/>
              <w:bottom w:w="57" w:type="dxa"/>
              <w:right w:w="57" w:type="dxa"/>
            </w:tcMar>
            <w:vAlign w:val="center"/>
          </w:tcPr>
          <w:p w14:paraId="105A7E03" w14:textId="44647EBB" w:rsidR="00F11395" w:rsidRPr="00881BC8" w:rsidRDefault="00F11395" w:rsidP="00F11395">
            <w:pPr>
              <w:spacing w:after="0"/>
              <w:jc w:val="left"/>
              <w:rPr>
                <w:noProof/>
                <w:sz w:val="20"/>
                <w:szCs w:val="20"/>
              </w:rPr>
            </w:pPr>
          </w:p>
        </w:tc>
      </w:tr>
      <w:tr w:rsidR="00F11395" w:rsidRPr="00881BC8" w14:paraId="02A9BA6C" w14:textId="77777777" w:rsidTr="006C696B">
        <w:trPr>
          <w:cantSplit/>
          <w:trHeight w:val="307"/>
        </w:trPr>
        <w:tc>
          <w:tcPr>
            <w:tcW w:w="1204" w:type="dxa"/>
            <w:vMerge/>
            <w:tcMar>
              <w:top w:w="57" w:type="dxa"/>
              <w:left w:w="57" w:type="dxa"/>
              <w:bottom w:w="57" w:type="dxa"/>
              <w:right w:w="57" w:type="dxa"/>
            </w:tcMar>
            <w:vAlign w:val="center"/>
          </w:tcPr>
          <w:p w14:paraId="0D214B83" w14:textId="77777777" w:rsidR="00F11395" w:rsidRPr="00881BC8" w:rsidRDefault="00F11395" w:rsidP="00F11395">
            <w:pPr>
              <w:spacing w:after="0"/>
              <w:jc w:val="left"/>
              <w:rPr>
                <w:noProof/>
                <w:sz w:val="20"/>
                <w:szCs w:val="20"/>
              </w:rPr>
            </w:pPr>
          </w:p>
        </w:tc>
        <w:tc>
          <w:tcPr>
            <w:tcW w:w="1343" w:type="dxa"/>
            <w:tcBorders>
              <w:right w:val="double" w:sz="4" w:space="0" w:color="auto"/>
            </w:tcBorders>
            <w:tcMar>
              <w:top w:w="57" w:type="dxa"/>
              <w:left w:w="57" w:type="dxa"/>
              <w:bottom w:w="57" w:type="dxa"/>
              <w:right w:w="57" w:type="dxa"/>
            </w:tcMar>
            <w:vAlign w:val="center"/>
          </w:tcPr>
          <w:p w14:paraId="515A956A" w14:textId="77777777" w:rsidR="00F11395" w:rsidRPr="00881BC8" w:rsidRDefault="00F11395" w:rsidP="00F11395">
            <w:pPr>
              <w:spacing w:after="0"/>
              <w:jc w:val="left"/>
              <w:rPr>
                <w:noProof/>
                <w:sz w:val="20"/>
                <w:szCs w:val="20"/>
              </w:rPr>
            </w:pPr>
            <w:r w:rsidRPr="00881BC8">
              <w:rPr>
                <w:noProof/>
                <w:sz w:val="20"/>
                <w:szCs w:val="20"/>
              </w:rPr>
              <w:t>Direct regulatory fees and charges</w:t>
            </w:r>
          </w:p>
        </w:tc>
        <w:tc>
          <w:tcPr>
            <w:tcW w:w="925" w:type="dxa"/>
            <w:tcBorders>
              <w:left w:val="double" w:sz="4" w:space="0" w:color="auto"/>
            </w:tcBorders>
            <w:tcMar>
              <w:top w:w="57" w:type="dxa"/>
              <w:left w:w="57" w:type="dxa"/>
              <w:bottom w:w="57" w:type="dxa"/>
              <w:right w:w="57" w:type="dxa"/>
            </w:tcMar>
            <w:vAlign w:val="center"/>
          </w:tcPr>
          <w:p w14:paraId="1B22DF86" w14:textId="77777777" w:rsidR="00F11395" w:rsidRPr="00881BC8" w:rsidRDefault="00F11395" w:rsidP="00F11395">
            <w:pPr>
              <w:spacing w:after="0"/>
              <w:jc w:val="left"/>
              <w:rPr>
                <w:noProof/>
                <w:sz w:val="20"/>
                <w:szCs w:val="20"/>
              </w:rPr>
            </w:pPr>
          </w:p>
        </w:tc>
        <w:tc>
          <w:tcPr>
            <w:tcW w:w="851" w:type="dxa"/>
            <w:tcMar>
              <w:top w:w="57" w:type="dxa"/>
              <w:left w:w="57" w:type="dxa"/>
              <w:bottom w:w="57" w:type="dxa"/>
              <w:right w:w="57" w:type="dxa"/>
            </w:tcMar>
            <w:vAlign w:val="center"/>
          </w:tcPr>
          <w:p w14:paraId="23E5CD41" w14:textId="77777777" w:rsidR="00F11395" w:rsidRPr="00881BC8" w:rsidRDefault="00F11395" w:rsidP="00F11395">
            <w:pPr>
              <w:spacing w:after="0"/>
              <w:jc w:val="left"/>
              <w:rPr>
                <w:noProof/>
                <w:sz w:val="20"/>
                <w:szCs w:val="20"/>
              </w:rPr>
            </w:pPr>
          </w:p>
        </w:tc>
        <w:tc>
          <w:tcPr>
            <w:tcW w:w="1417" w:type="dxa"/>
            <w:tcMar>
              <w:top w:w="57" w:type="dxa"/>
              <w:left w:w="57" w:type="dxa"/>
              <w:bottom w:w="57" w:type="dxa"/>
              <w:right w:w="57" w:type="dxa"/>
            </w:tcMar>
            <w:vAlign w:val="center"/>
          </w:tcPr>
          <w:p w14:paraId="42000B95" w14:textId="77777777" w:rsidR="00F11395" w:rsidRPr="00881BC8" w:rsidRDefault="00F11395" w:rsidP="00F11395">
            <w:pPr>
              <w:spacing w:after="0"/>
              <w:jc w:val="left"/>
              <w:rPr>
                <w:noProof/>
                <w:sz w:val="20"/>
                <w:szCs w:val="20"/>
              </w:rPr>
            </w:pPr>
          </w:p>
        </w:tc>
        <w:tc>
          <w:tcPr>
            <w:tcW w:w="1559" w:type="dxa"/>
            <w:tcMar>
              <w:top w:w="57" w:type="dxa"/>
              <w:left w:w="57" w:type="dxa"/>
              <w:bottom w:w="57" w:type="dxa"/>
              <w:right w:w="57" w:type="dxa"/>
            </w:tcMar>
            <w:vAlign w:val="center"/>
          </w:tcPr>
          <w:p w14:paraId="16C92C39" w14:textId="77777777" w:rsidR="00F11395" w:rsidRPr="00881BC8" w:rsidRDefault="00F11395" w:rsidP="00F11395">
            <w:pPr>
              <w:spacing w:after="0"/>
              <w:jc w:val="left"/>
              <w:rPr>
                <w:noProof/>
                <w:sz w:val="20"/>
                <w:szCs w:val="20"/>
              </w:rPr>
            </w:pPr>
          </w:p>
        </w:tc>
        <w:tc>
          <w:tcPr>
            <w:tcW w:w="1418" w:type="dxa"/>
            <w:tcMar>
              <w:top w:w="57" w:type="dxa"/>
              <w:left w:w="57" w:type="dxa"/>
              <w:bottom w:w="57" w:type="dxa"/>
              <w:right w:w="57" w:type="dxa"/>
            </w:tcMar>
            <w:vAlign w:val="center"/>
          </w:tcPr>
          <w:p w14:paraId="3EB2390F" w14:textId="77777777" w:rsidR="00F11395" w:rsidRPr="00881BC8" w:rsidRDefault="00F11395" w:rsidP="00F11395">
            <w:pPr>
              <w:spacing w:after="0"/>
              <w:jc w:val="left"/>
              <w:rPr>
                <w:noProof/>
                <w:sz w:val="20"/>
                <w:szCs w:val="20"/>
              </w:rPr>
            </w:pPr>
          </w:p>
        </w:tc>
        <w:tc>
          <w:tcPr>
            <w:tcW w:w="1489" w:type="dxa"/>
            <w:tcMar>
              <w:top w:w="57" w:type="dxa"/>
              <w:left w:w="57" w:type="dxa"/>
              <w:bottom w:w="57" w:type="dxa"/>
              <w:right w:w="57" w:type="dxa"/>
            </w:tcMar>
            <w:vAlign w:val="center"/>
          </w:tcPr>
          <w:p w14:paraId="5643D0AF" w14:textId="77777777" w:rsidR="00F11395" w:rsidRPr="00881BC8" w:rsidRDefault="00F11395" w:rsidP="00F11395">
            <w:pPr>
              <w:spacing w:after="0"/>
              <w:jc w:val="left"/>
              <w:rPr>
                <w:noProof/>
                <w:sz w:val="20"/>
                <w:szCs w:val="20"/>
              </w:rPr>
            </w:pPr>
          </w:p>
        </w:tc>
      </w:tr>
      <w:tr w:rsidR="00F11395" w:rsidRPr="00881BC8" w14:paraId="6BC71EB1" w14:textId="77777777" w:rsidTr="006C696B">
        <w:trPr>
          <w:cantSplit/>
          <w:trHeight w:val="307"/>
        </w:trPr>
        <w:tc>
          <w:tcPr>
            <w:tcW w:w="1204" w:type="dxa"/>
            <w:vMerge/>
            <w:tcMar>
              <w:top w:w="57" w:type="dxa"/>
              <w:left w:w="57" w:type="dxa"/>
              <w:bottom w:w="57" w:type="dxa"/>
              <w:right w:w="57" w:type="dxa"/>
            </w:tcMar>
            <w:vAlign w:val="center"/>
          </w:tcPr>
          <w:p w14:paraId="4461637A" w14:textId="77777777" w:rsidR="00F11395" w:rsidRPr="00881BC8" w:rsidRDefault="00F11395" w:rsidP="00F11395">
            <w:pPr>
              <w:spacing w:after="0"/>
              <w:jc w:val="left"/>
              <w:rPr>
                <w:noProof/>
                <w:sz w:val="20"/>
                <w:szCs w:val="20"/>
              </w:rPr>
            </w:pPr>
          </w:p>
        </w:tc>
        <w:tc>
          <w:tcPr>
            <w:tcW w:w="1343" w:type="dxa"/>
            <w:tcBorders>
              <w:right w:val="double" w:sz="4" w:space="0" w:color="auto"/>
            </w:tcBorders>
            <w:tcMar>
              <w:top w:w="57" w:type="dxa"/>
              <w:left w:w="57" w:type="dxa"/>
              <w:bottom w:w="57" w:type="dxa"/>
              <w:right w:w="57" w:type="dxa"/>
            </w:tcMar>
            <w:vAlign w:val="center"/>
          </w:tcPr>
          <w:p w14:paraId="67321989" w14:textId="77777777" w:rsidR="00F11395" w:rsidRPr="00881BC8" w:rsidRDefault="00F11395" w:rsidP="00F11395">
            <w:pPr>
              <w:spacing w:after="0"/>
              <w:jc w:val="left"/>
              <w:rPr>
                <w:noProof/>
                <w:sz w:val="20"/>
                <w:szCs w:val="20"/>
              </w:rPr>
            </w:pPr>
            <w:r w:rsidRPr="00881BC8">
              <w:rPr>
                <w:noProof/>
                <w:sz w:val="20"/>
                <w:szCs w:val="20"/>
              </w:rPr>
              <w:t>Direct enforcement costs</w:t>
            </w:r>
          </w:p>
        </w:tc>
        <w:tc>
          <w:tcPr>
            <w:tcW w:w="925" w:type="dxa"/>
            <w:tcBorders>
              <w:left w:val="double" w:sz="4" w:space="0" w:color="auto"/>
            </w:tcBorders>
            <w:tcMar>
              <w:top w:w="57" w:type="dxa"/>
              <w:left w:w="57" w:type="dxa"/>
              <w:bottom w:w="57" w:type="dxa"/>
              <w:right w:w="57" w:type="dxa"/>
            </w:tcMar>
            <w:vAlign w:val="center"/>
          </w:tcPr>
          <w:p w14:paraId="080A81ED" w14:textId="77777777" w:rsidR="00F11395" w:rsidRPr="00881BC8" w:rsidRDefault="00F11395" w:rsidP="00F11395">
            <w:pPr>
              <w:spacing w:after="0"/>
              <w:jc w:val="left"/>
              <w:rPr>
                <w:noProof/>
                <w:sz w:val="20"/>
                <w:szCs w:val="20"/>
              </w:rPr>
            </w:pPr>
          </w:p>
        </w:tc>
        <w:tc>
          <w:tcPr>
            <w:tcW w:w="851" w:type="dxa"/>
            <w:tcMar>
              <w:top w:w="57" w:type="dxa"/>
              <w:left w:w="57" w:type="dxa"/>
              <w:bottom w:w="57" w:type="dxa"/>
              <w:right w:w="57" w:type="dxa"/>
            </w:tcMar>
            <w:vAlign w:val="center"/>
          </w:tcPr>
          <w:p w14:paraId="16271CD2" w14:textId="77777777" w:rsidR="00F11395" w:rsidRPr="00881BC8" w:rsidRDefault="00F11395" w:rsidP="00F11395">
            <w:pPr>
              <w:spacing w:after="0"/>
              <w:jc w:val="left"/>
              <w:rPr>
                <w:noProof/>
                <w:sz w:val="20"/>
                <w:szCs w:val="20"/>
              </w:rPr>
            </w:pPr>
          </w:p>
        </w:tc>
        <w:tc>
          <w:tcPr>
            <w:tcW w:w="1417" w:type="dxa"/>
            <w:tcMar>
              <w:top w:w="57" w:type="dxa"/>
              <w:left w:w="57" w:type="dxa"/>
              <w:bottom w:w="57" w:type="dxa"/>
              <w:right w:w="57" w:type="dxa"/>
            </w:tcMar>
            <w:vAlign w:val="center"/>
          </w:tcPr>
          <w:p w14:paraId="75894ED8" w14:textId="77777777" w:rsidR="00F11395" w:rsidRPr="00881BC8" w:rsidRDefault="00F11395" w:rsidP="00F11395">
            <w:pPr>
              <w:spacing w:after="0"/>
              <w:jc w:val="left"/>
              <w:rPr>
                <w:noProof/>
                <w:sz w:val="20"/>
                <w:szCs w:val="20"/>
              </w:rPr>
            </w:pPr>
          </w:p>
        </w:tc>
        <w:tc>
          <w:tcPr>
            <w:tcW w:w="1559" w:type="dxa"/>
            <w:tcMar>
              <w:top w:w="57" w:type="dxa"/>
              <w:left w:w="57" w:type="dxa"/>
              <w:bottom w:w="57" w:type="dxa"/>
              <w:right w:w="57" w:type="dxa"/>
            </w:tcMar>
            <w:vAlign w:val="center"/>
          </w:tcPr>
          <w:p w14:paraId="2FA2BB44" w14:textId="77777777" w:rsidR="00F11395" w:rsidRPr="00881BC8" w:rsidRDefault="00F11395" w:rsidP="00F11395">
            <w:pPr>
              <w:spacing w:after="0"/>
              <w:jc w:val="left"/>
              <w:rPr>
                <w:noProof/>
                <w:sz w:val="20"/>
                <w:szCs w:val="20"/>
              </w:rPr>
            </w:pPr>
          </w:p>
        </w:tc>
        <w:tc>
          <w:tcPr>
            <w:tcW w:w="1418" w:type="dxa"/>
            <w:tcMar>
              <w:top w:w="57" w:type="dxa"/>
              <w:left w:w="57" w:type="dxa"/>
              <w:bottom w:w="57" w:type="dxa"/>
              <w:right w:w="57" w:type="dxa"/>
            </w:tcMar>
            <w:vAlign w:val="center"/>
          </w:tcPr>
          <w:p w14:paraId="10F6F0DB" w14:textId="77777777" w:rsidR="00F11395" w:rsidRPr="00881BC8" w:rsidRDefault="00F11395" w:rsidP="00F11395">
            <w:pPr>
              <w:spacing w:after="0"/>
              <w:jc w:val="left"/>
              <w:rPr>
                <w:noProof/>
                <w:sz w:val="20"/>
                <w:szCs w:val="20"/>
              </w:rPr>
            </w:pPr>
          </w:p>
        </w:tc>
        <w:tc>
          <w:tcPr>
            <w:tcW w:w="1489" w:type="dxa"/>
            <w:tcMar>
              <w:top w:w="57" w:type="dxa"/>
              <w:left w:w="57" w:type="dxa"/>
              <w:bottom w:w="57" w:type="dxa"/>
              <w:right w:w="57" w:type="dxa"/>
            </w:tcMar>
            <w:vAlign w:val="center"/>
          </w:tcPr>
          <w:p w14:paraId="6C82AA2B" w14:textId="77777777" w:rsidR="00F11395" w:rsidRPr="00881BC8" w:rsidRDefault="00F11395" w:rsidP="00F11395">
            <w:pPr>
              <w:spacing w:after="0"/>
              <w:jc w:val="left"/>
              <w:rPr>
                <w:noProof/>
                <w:sz w:val="20"/>
                <w:szCs w:val="20"/>
              </w:rPr>
            </w:pPr>
          </w:p>
        </w:tc>
      </w:tr>
      <w:tr w:rsidR="00F11395" w:rsidRPr="00881BC8" w14:paraId="126716BB" w14:textId="77777777" w:rsidTr="006C696B">
        <w:trPr>
          <w:cantSplit/>
        </w:trPr>
        <w:tc>
          <w:tcPr>
            <w:tcW w:w="1204" w:type="dxa"/>
            <w:vMerge/>
            <w:tcBorders>
              <w:bottom w:val="double" w:sz="4" w:space="0" w:color="auto"/>
            </w:tcBorders>
            <w:tcMar>
              <w:top w:w="57" w:type="dxa"/>
              <w:left w:w="57" w:type="dxa"/>
              <w:bottom w:w="57" w:type="dxa"/>
              <w:right w:w="57" w:type="dxa"/>
            </w:tcMar>
          </w:tcPr>
          <w:p w14:paraId="50F15BDE" w14:textId="77777777" w:rsidR="00F11395" w:rsidRPr="00881BC8" w:rsidRDefault="00F11395" w:rsidP="00F11395">
            <w:pPr>
              <w:spacing w:after="0"/>
              <w:jc w:val="left"/>
              <w:rPr>
                <w:noProof/>
                <w:sz w:val="20"/>
                <w:szCs w:val="20"/>
              </w:rPr>
            </w:pPr>
          </w:p>
        </w:tc>
        <w:tc>
          <w:tcPr>
            <w:tcW w:w="1343" w:type="dxa"/>
            <w:tcBorders>
              <w:bottom w:val="double" w:sz="4" w:space="0" w:color="auto"/>
              <w:right w:val="double" w:sz="4" w:space="0" w:color="auto"/>
            </w:tcBorders>
            <w:tcMar>
              <w:top w:w="57" w:type="dxa"/>
              <w:left w:w="57" w:type="dxa"/>
              <w:bottom w:w="57" w:type="dxa"/>
              <w:right w:w="57" w:type="dxa"/>
            </w:tcMar>
          </w:tcPr>
          <w:p w14:paraId="565E3F52" w14:textId="77777777" w:rsidR="00F11395" w:rsidRPr="00881BC8" w:rsidRDefault="00F11395" w:rsidP="00F11395">
            <w:pPr>
              <w:spacing w:after="0"/>
              <w:jc w:val="left"/>
              <w:rPr>
                <w:noProof/>
                <w:sz w:val="20"/>
                <w:szCs w:val="20"/>
              </w:rPr>
            </w:pPr>
            <w:r w:rsidRPr="00881BC8">
              <w:rPr>
                <w:noProof/>
                <w:sz w:val="20"/>
                <w:szCs w:val="20"/>
              </w:rPr>
              <w:t>Indirect costs</w:t>
            </w:r>
          </w:p>
        </w:tc>
        <w:tc>
          <w:tcPr>
            <w:tcW w:w="925" w:type="dxa"/>
            <w:tcBorders>
              <w:left w:val="double" w:sz="4" w:space="0" w:color="auto"/>
              <w:bottom w:val="double" w:sz="4" w:space="0" w:color="auto"/>
            </w:tcBorders>
            <w:tcMar>
              <w:top w:w="57" w:type="dxa"/>
              <w:left w:w="57" w:type="dxa"/>
              <w:bottom w:w="57" w:type="dxa"/>
              <w:right w:w="57" w:type="dxa"/>
            </w:tcMar>
          </w:tcPr>
          <w:p w14:paraId="78B0074D" w14:textId="77777777" w:rsidR="00F11395" w:rsidRPr="00881BC8" w:rsidRDefault="00F11395" w:rsidP="00F11395">
            <w:pPr>
              <w:spacing w:after="0"/>
              <w:jc w:val="left"/>
              <w:rPr>
                <w:noProof/>
                <w:sz w:val="20"/>
                <w:szCs w:val="20"/>
              </w:rPr>
            </w:pPr>
          </w:p>
        </w:tc>
        <w:tc>
          <w:tcPr>
            <w:tcW w:w="851" w:type="dxa"/>
            <w:tcBorders>
              <w:bottom w:val="double" w:sz="4" w:space="0" w:color="auto"/>
            </w:tcBorders>
            <w:tcMar>
              <w:top w:w="57" w:type="dxa"/>
              <w:left w:w="57" w:type="dxa"/>
              <w:bottom w:w="57" w:type="dxa"/>
              <w:right w:w="57" w:type="dxa"/>
            </w:tcMar>
          </w:tcPr>
          <w:p w14:paraId="1414FF00" w14:textId="77777777" w:rsidR="00F11395" w:rsidRPr="00881BC8" w:rsidRDefault="00F11395" w:rsidP="00F11395">
            <w:pPr>
              <w:spacing w:after="0"/>
              <w:jc w:val="left"/>
              <w:rPr>
                <w:noProof/>
                <w:sz w:val="20"/>
                <w:szCs w:val="20"/>
              </w:rPr>
            </w:pPr>
          </w:p>
        </w:tc>
        <w:tc>
          <w:tcPr>
            <w:tcW w:w="1417" w:type="dxa"/>
            <w:tcBorders>
              <w:bottom w:val="double" w:sz="4" w:space="0" w:color="auto"/>
            </w:tcBorders>
            <w:tcMar>
              <w:top w:w="57" w:type="dxa"/>
              <w:left w:w="57" w:type="dxa"/>
              <w:bottom w:w="57" w:type="dxa"/>
              <w:right w:w="57" w:type="dxa"/>
            </w:tcMar>
          </w:tcPr>
          <w:p w14:paraId="04875761" w14:textId="77777777" w:rsidR="00F11395" w:rsidRPr="00881BC8" w:rsidRDefault="00F11395" w:rsidP="00F11395">
            <w:pPr>
              <w:spacing w:after="0"/>
              <w:jc w:val="left"/>
              <w:rPr>
                <w:noProof/>
                <w:sz w:val="20"/>
                <w:szCs w:val="20"/>
              </w:rPr>
            </w:pPr>
          </w:p>
        </w:tc>
        <w:tc>
          <w:tcPr>
            <w:tcW w:w="1559" w:type="dxa"/>
            <w:tcBorders>
              <w:bottom w:val="double" w:sz="4" w:space="0" w:color="auto"/>
            </w:tcBorders>
            <w:tcMar>
              <w:top w:w="57" w:type="dxa"/>
              <w:left w:w="57" w:type="dxa"/>
              <w:bottom w:w="57" w:type="dxa"/>
              <w:right w:w="57" w:type="dxa"/>
            </w:tcMar>
          </w:tcPr>
          <w:p w14:paraId="572FD670" w14:textId="77777777" w:rsidR="00F11395" w:rsidRPr="00881BC8" w:rsidRDefault="00F11395" w:rsidP="00F11395">
            <w:pPr>
              <w:spacing w:after="0"/>
              <w:jc w:val="left"/>
              <w:rPr>
                <w:noProof/>
                <w:sz w:val="20"/>
                <w:szCs w:val="20"/>
              </w:rPr>
            </w:pPr>
          </w:p>
        </w:tc>
        <w:tc>
          <w:tcPr>
            <w:tcW w:w="1418" w:type="dxa"/>
            <w:tcBorders>
              <w:bottom w:val="double" w:sz="4" w:space="0" w:color="auto"/>
            </w:tcBorders>
            <w:tcMar>
              <w:top w:w="57" w:type="dxa"/>
              <w:left w:w="57" w:type="dxa"/>
              <w:bottom w:w="57" w:type="dxa"/>
              <w:right w:w="57" w:type="dxa"/>
            </w:tcMar>
          </w:tcPr>
          <w:p w14:paraId="61427B59" w14:textId="77777777" w:rsidR="00F11395" w:rsidRPr="00881BC8" w:rsidRDefault="00F11395" w:rsidP="00F11395">
            <w:pPr>
              <w:spacing w:after="0"/>
              <w:jc w:val="left"/>
              <w:rPr>
                <w:noProof/>
                <w:sz w:val="20"/>
                <w:szCs w:val="20"/>
              </w:rPr>
            </w:pPr>
          </w:p>
        </w:tc>
        <w:tc>
          <w:tcPr>
            <w:tcW w:w="1489" w:type="dxa"/>
            <w:tcBorders>
              <w:bottom w:val="double" w:sz="4" w:space="0" w:color="auto"/>
            </w:tcBorders>
            <w:tcMar>
              <w:top w:w="57" w:type="dxa"/>
              <w:left w:w="57" w:type="dxa"/>
              <w:bottom w:w="57" w:type="dxa"/>
              <w:right w:w="57" w:type="dxa"/>
            </w:tcMar>
          </w:tcPr>
          <w:p w14:paraId="4E82FE6A" w14:textId="77777777" w:rsidR="00F11395" w:rsidRPr="00881BC8" w:rsidRDefault="00F11395" w:rsidP="00F11395">
            <w:pPr>
              <w:spacing w:after="0"/>
              <w:jc w:val="left"/>
              <w:rPr>
                <w:noProof/>
                <w:sz w:val="20"/>
                <w:szCs w:val="20"/>
              </w:rPr>
            </w:pPr>
          </w:p>
        </w:tc>
      </w:tr>
      <w:tr w:rsidR="00F11395" w:rsidRPr="00881BC8" w14:paraId="6327472B" w14:textId="77777777" w:rsidTr="006C696B">
        <w:trPr>
          <w:cantSplit/>
          <w:trHeight w:val="307"/>
        </w:trPr>
        <w:tc>
          <w:tcPr>
            <w:tcW w:w="1204" w:type="dxa"/>
            <w:vMerge w:val="restart"/>
            <w:tcMar>
              <w:top w:w="57" w:type="dxa"/>
              <w:left w:w="57" w:type="dxa"/>
              <w:bottom w:w="57" w:type="dxa"/>
              <w:right w:w="57" w:type="dxa"/>
            </w:tcMar>
            <w:vAlign w:val="center"/>
          </w:tcPr>
          <w:p w14:paraId="1FA627D5" w14:textId="77777777" w:rsidR="00F11395" w:rsidRPr="00881BC8" w:rsidRDefault="00F11395" w:rsidP="00F11395">
            <w:pPr>
              <w:tabs>
                <w:tab w:val="left" w:pos="170"/>
              </w:tabs>
              <w:spacing w:after="0"/>
              <w:jc w:val="left"/>
              <w:rPr>
                <w:noProof/>
                <w:sz w:val="20"/>
                <w:szCs w:val="20"/>
              </w:rPr>
            </w:pPr>
            <w:r w:rsidRPr="00881BC8">
              <w:rPr>
                <w:noProof/>
                <w:sz w:val="20"/>
                <w:szCs w:val="20"/>
              </w:rPr>
              <w:t xml:space="preserve">MS to set up a national system of mediation </w:t>
            </w:r>
          </w:p>
          <w:p w14:paraId="4452D731" w14:textId="77777777" w:rsidR="00F11395" w:rsidRPr="00881BC8" w:rsidRDefault="00F11395" w:rsidP="00F11395">
            <w:pPr>
              <w:spacing w:after="0"/>
              <w:jc w:val="left"/>
              <w:rPr>
                <w:noProof/>
                <w:sz w:val="20"/>
                <w:szCs w:val="20"/>
              </w:rPr>
            </w:pPr>
          </w:p>
        </w:tc>
        <w:tc>
          <w:tcPr>
            <w:tcW w:w="1343" w:type="dxa"/>
            <w:tcBorders>
              <w:right w:val="double" w:sz="4" w:space="0" w:color="auto"/>
            </w:tcBorders>
            <w:tcMar>
              <w:top w:w="57" w:type="dxa"/>
              <w:left w:w="57" w:type="dxa"/>
              <w:bottom w:w="57" w:type="dxa"/>
              <w:right w:w="57" w:type="dxa"/>
            </w:tcMar>
            <w:vAlign w:val="center"/>
          </w:tcPr>
          <w:p w14:paraId="39165136" w14:textId="77777777" w:rsidR="00F11395" w:rsidRPr="00881BC8" w:rsidRDefault="00F11395" w:rsidP="00F11395">
            <w:pPr>
              <w:spacing w:after="0"/>
              <w:jc w:val="left"/>
              <w:rPr>
                <w:noProof/>
                <w:sz w:val="20"/>
                <w:szCs w:val="20"/>
              </w:rPr>
            </w:pPr>
            <w:r w:rsidRPr="00881BC8">
              <w:rPr>
                <w:noProof/>
                <w:sz w:val="20"/>
                <w:szCs w:val="20"/>
              </w:rPr>
              <w:t>Direct adjustment costs</w:t>
            </w:r>
          </w:p>
        </w:tc>
        <w:tc>
          <w:tcPr>
            <w:tcW w:w="925" w:type="dxa"/>
            <w:tcBorders>
              <w:left w:val="double" w:sz="4" w:space="0" w:color="auto"/>
            </w:tcBorders>
            <w:tcMar>
              <w:top w:w="57" w:type="dxa"/>
              <w:left w:w="57" w:type="dxa"/>
              <w:bottom w:w="57" w:type="dxa"/>
              <w:right w:w="57" w:type="dxa"/>
            </w:tcMar>
            <w:vAlign w:val="center"/>
          </w:tcPr>
          <w:p w14:paraId="2836595D" w14:textId="77777777" w:rsidR="00F11395" w:rsidRPr="00881BC8" w:rsidRDefault="00F11395" w:rsidP="00F11395">
            <w:pPr>
              <w:spacing w:after="0"/>
              <w:jc w:val="left"/>
              <w:rPr>
                <w:noProof/>
                <w:sz w:val="20"/>
                <w:szCs w:val="20"/>
              </w:rPr>
            </w:pPr>
          </w:p>
        </w:tc>
        <w:tc>
          <w:tcPr>
            <w:tcW w:w="851" w:type="dxa"/>
            <w:tcMar>
              <w:top w:w="57" w:type="dxa"/>
              <w:left w:w="57" w:type="dxa"/>
              <w:bottom w:w="57" w:type="dxa"/>
              <w:right w:w="57" w:type="dxa"/>
            </w:tcMar>
            <w:vAlign w:val="center"/>
          </w:tcPr>
          <w:p w14:paraId="480F08F8" w14:textId="77777777" w:rsidR="00F11395" w:rsidRPr="00881BC8" w:rsidRDefault="00F11395" w:rsidP="00F11395">
            <w:pPr>
              <w:spacing w:after="0"/>
              <w:jc w:val="left"/>
              <w:rPr>
                <w:noProof/>
                <w:sz w:val="20"/>
                <w:szCs w:val="20"/>
              </w:rPr>
            </w:pPr>
          </w:p>
        </w:tc>
        <w:tc>
          <w:tcPr>
            <w:tcW w:w="1417" w:type="dxa"/>
            <w:tcMar>
              <w:top w:w="57" w:type="dxa"/>
              <w:left w:w="57" w:type="dxa"/>
              <w:bottom w:w="57" w:type="dxa"/>
              <w:right w:w="57" w:type="dxa"/>
            </w:tcMar>
            <w:vAlign w:val="center"/>
          </w:tcPr>
          <w:p w14:paraId="03D7F72D" w14:textId="77777777" w:rsidR="00F11395" w:rsidRPr="00881BC8" w:rsidRDefault="00F11395" w:rsidP="00F11395">
            <w:pPr>
              <w:spacing w:after="0"/>
              <w:jc w:val="left"/>
              <w:rPr>
                <w:noProof/>
                <w:sz w:val="20"/>
                <w:szCs w:val="20"/>
              </w:rPr>
            </w:pPr>
          </w:p>
        </w:tc>
        <w:tc>
          <w:tcPr>
            <w:tcW w:w="1559" w:type="dxa"/>
            <w:tcMar>
              <w:top w:w="57" w:type="dxa"/>
              <w:left w:w="57" w:type="dxa"/>
              <w:bottom w:w="57" w:type="dxa"/>
              <w:right w:w="57" w:type="dxa"/>
            </w:tcMar>
            <w:vAlign w:val="center"/>
          </w:tcPr>
          <w:p w14:paraId="0F322E1A" w14:textId="77777777" w:rsidR="00F11395" w:rsidRPr="00881BC8" w:rsidRDefault="00F11395" w:rsidP="00F11395">
            <w:pPr>
              <w:spacing w:after="0"/>
              <w:jc w:val="left"/>
              <w:rPr>
                <w:noProof/>
                <w:sz w:val="20"/>
                <w:szCs w:val="20"/>
              </w:rPr>
            </w:pPr>
          </w:p>
        </w:tc>
        <w:tc>
          <w:tcPr>
            <w:tcW w:w="1418" w:type="dxa"/>
            <w:tcMar>
              <w:top w:w="57" w:type="dxa"/>
              <w:left w:w="57" w:type="dxa"/>
              <w:bottom w:w="57" w:type="dxa"/>
              <w:right w:w="57" w:type="dxa"/>
            </w:tcMar>
            <w:vAlign w:val="center"/>
          </w:tcPr>
          <w:p w14:paraId="131F4A21" w14:textId="5E8A6A4B" w:rsidR="00F11395" w:rsidRPr="00881BC8" w:rsidRDefault="00F11395" w:rsidP="00F11395">
            <w:pPr>
              <w:spacing w:after="0"/>
              <w:jc w:val="left"/>
              <w:rPr>
                <w:noProof/>
                <w:sz w:val="20"/>
                <w:szCs w:val="20"/>
              </w:rPr>
            </w:pPr>
            <w:r w:rsidRPr="00881BC8">
              <w:rPr>
                <w:noProof/>
                <w:sz w:val="20"/>
                <w:szCs w:val="20"/>
              </w:rPr>
              <w:t>Cost to set up or designate mediation system.</w:t>
            </w:r>
          </w:p>
        </w:tc>
        <w:tc>
          <w:tcPr>
            <w:tcW w:w="1489" w:type="dxa"/>
            <w:tcMar>
              <w:top w:w="57" w:type="dxa"/>
              <w:left w:w="57" w:type="dxa"/>
              <w:bottom w:w="57" w:type="dxa"/>
              <w:right w:w="57" w:type="dxa"/>
            </w:tcMar>
            <w:vAlign w:val="center"/>
          </w:tcPr>
          <w:p w14:paraId="326B8DAF" w14:textId="0673820C" w:rsidR="00F11395" w:rsidRPr="00881BC8" w:rsidRDefault="00F11395" w:rsidP="00F11395">
            <w:pPr>
              <w:spacing w:after="0"/>
              <w:jc w:val="left"/>
              <w:rPr>
                <w:noProof/>
                <w:sz w:val="20"/>
                <w:szCs w:val="20"/>
              </w:rPr>
            </w:pPr>
          </w:p>
        </w:tc>
      </w:tr>
      <w:tr w:rsidR="00F11395" w:rsidRPr="00881BC8" w14:paraId="4E6E3786" w14:textId="77777777" w:rsidTr="006C696B">
        <w:trPr>
          <w:cantSplit/>
          <w:trHeight w:val="307"/>
        </w:trPr>
        <w:tc>
          <w:tcPr>
            <w:tcW w:w="1204" w:type="dxa"/>
            <w:vMerge/>
            <w:tcMar>
              <w:top w:w="57" w:type="dxa"/>
              <w:left w:w="57" w:type="dxa"/>
              <w:bottom w:w="57" w:type="dxa"/>
              <w:right w:w="57" w:type="dxa"/>
            </w:tcMar>
            <w:vAlign w:val="center"/>
          </w:tcPr>
          <w:p w14:paraId="74E2193B" w14:textId="77777777" w:rsidR="00F11395" w:rsidRPr="00881BC8" w:rsidRDefault="00F11395" w:rsidP="00F11395">
            <w:pPr>
              <w:spacing w:after="0"/>
              <w:jc w:val="left"/>
              <w:rPr>
                <w:noProof/>
                <w:sz w:val="20"/>
                <w:szCs w:val="20"/>
              </w:rPr>
            </w:pPr>
          </w:p>
        </w:tc>
        <w:tc>
          <w:tcPr>
            <w:tcW w:w="1343" w:type="dxa"/>
            <w:tcBorders>
              <w:right w:val="double" w:sz="4" w:space="0" w:color="auto"/>
            </w:tcBorders>
            <w:tcMar>
              <w:top w:w="57" w:type="dxa"/>
              <w:left w:w="57" w:type="dxa"/>
              <w:bottom w:w="57" w:type="dxa"/>
              <w:right w:w="57" w:type="dxa"/>
            </w:tcMar>
            <w:vAlign w:val="center"/>
          </w:tcPr>
          <w:p w14:paraId="20EED9C2" w14:textId="77777777" w:rsidR="00F11395" w:rsidRPr="00881BC8" w:rsidRDefault="00F11395" w:rsidP="00F11395">
            <w:pPr>
              <w:spacing w:after="0"/>
              <w:jc w:val="left"/>
              <w:rPr>
                <w:noProof/>
                <w:sz w:val="20"/>
                <w:szCs w:val="20"/>
              </w:rPr>
            </w:pPr>
            <w:r w:rsidRPr="00881BC8">
              <w:rPr>
                <w:noProof/>
                <w:sz w:val="20"/>
                <w:szCs w:val="20"/>
              </w:rPr>
              <w:t>Direct administrative costs</w:t>
            </w:r>
          </w:p>
        </w:tc>
        <w:tc>
          <w:tcPr>
            <w:tcW w:w="925" w:type="dxa"/>
            <w:tcBorders>
              <w:left w:val="double" w:sz="4" w:space="0" w:color="auto"/>
            </w:tcBorders>
            <w:tcMar>
              <w:top w:w="57" w:type="dxa"/>
              <w:left w:w="57" w:type="dxa"/>
              <w:bottom w:w="57" w:type="dxa"/>
              <w:right w:w="57" w:type="dxa"/>
            </w:tcMar>
            <w:vAlign w:val="center"/>
          </w:tcPr>
          <w:p w14:paraId="06249B8E" w14:textId="77777777" w:rsidR="00F11395" w:rsidRPr="00881BC8" w:rsidRDefault="00F11395" w:rsidP="00F11395">
            <w:pPr>
              <w:spacing w:after="0"/>
              <w:jc w:val="left"/>
              <w:rPr>
                <w:noProof/>
                <w:sz w:val="20"/>
                <w:szCs w:val="20"/>
              </w:rPr>
            </w:pPr>
          </w:p>
        </w:tc>
        <w:tc>
          <w:tcPr>
            <w:tcW w:w="851" w:type="dxa"/>
            <w:tcMar>
              <w:top w:w="57" w:type="dxa"/>
              <w:left w:w="57" w:type="dxa"/>
              <w:bottom w:w="57" w:type="dxa"/>
              <w:right w:w="57" w:type="dxa"/>
            </w:tcMar>
            <w:vAlign w:val="center"/>
          </w:tcPr>
          <w:p w14:paraId="45705347" w14:textId="77777777" w:rsidR="00F11395" w:rsidRPr="00881BC8" w:rsidRDefault="00F11395" w:rsidP="00F11395">
            <w:pPr>
              <w:spacing w:after="0"/>
              <w:jc w:val="left"/>
              <w:rPr>
                <w:noProof/>
                <w:sz w:val="20"/>
                <w:szCs w:val="20"/>
              </w:rPr>
            </w:pPr>
          </w:p>
        </w:tc>
        <w:tc>
          <w:tcPr>
            <w:tcW w:w="1417" w:type="dxa"/>
            <w:tcMar>
              <w:top w:w="57" w:type="dxa"/>
              <w:left w:w="57" w:type="dxa"/>
              <w:bottom w:w="57" w:type="dxa"/>
              <w:right w:w="57" w:type="dxa"/>
            </w:tcMar>
            <w:vAlign w:val="center"/>
          </w:tcPr>
          <w:p w14:paraId="0137A995" w14:textId="77777777" w:rsidR="00F11395" w:rsidRPr="00881BC8" w:rsidRDefault="00F11395" w:rsidP="00F11395">
            <w:pPr>
              <w:spacing w:after="0"/>
              <w:jc w:val="left"/>
              <w:rPr>
                <w:noProof/>
                <w:sz w:val="20"/>
                <w:szCs w:val="20"/>
              </w:rPr>
            </w:pPr>
          </w:p>
        </w:tc>
        <w:tc>
          <w:tcPr>
            <w:tcW w:w="1559" w:type="dxa"/>
            <w:tcMar>
              <w:top w:w="57" w:type="dxa"/>
              <w:left w:w="57" w:type="dxa"/>
              <w:bottom w:w="57" w:type="dxa"/>
              <w:right w:w="57" w:type="dxa"/>
            </w:tcMar>
            <w:vAlign w:val="center"/>
          </w:tcPr>
          <w:p w14:paraId="4F7163FD" w14:textId="77777777" w:rsidR="00F11395" w:rsidRPr="00881BC8" w:rsidRDefault="00F11395" w:rsidP="00F11395">
            <w:pPr>
              <w:spacing w:after="0"/>
              <w:jc w:val="left"/>
              <w:rPr>
                <w:noProof/>
                <w:sz w:val="20"/>
                <w:szCs w:val="20"/>
              </w:rPr>
            </w:pPr>
          </w:p>
        </w:tc>
        <w:tc>
          <w:tcPr>
            <w:tcW w:w="1418" w:type="dxa"/>
            <w:tcMar>
              <w:top w:w="57" w:type="dxa"/>
              <w:left w:w="57" w:type="dxa"/>
              <w:bottom w:w="57" w:type="dxa"/>
              <w:right w:w="57" w:type="dxa"/>
            </w:tcMar>
            <w:vAlign w:val="center"/>
          </w:tcPr>
          <w:p w14:paraId="4C15B6DB" w14:textId="77777777" w:rsidR="00F11395" w:rsidRPr="00881BC8" w:rsidRDefault="00F11395" w:rsidP="00F11395">
            <w:pPr>
              <w:spacing w:after="0"/>
              <w:jc w:val="left"/>
              <w:rPr>
                <w:noProof/>
                <w:sz w:val="20"/>
                <w:szCs w:val="20"/>
              </w:rPr>
            </w:pPr>
          </w:p>
        </w:tc>
        <w:tc>
          <w:tcPr>
            <w:tcW w:w="1489" w:type="dxa"/>
            <w:tcMar>
              <w:top w:w="57" w:type="dxa"/>
              <w:left w:w="57" w:type="dxa"/>
              <w:bottom w:w="57" w:type="dxa"/>
              <w:right w:w="57" w:type="dxa"/>
            </w:tcMar>
            <w:vAlign w:val="center"/>
          </w:tcPr>
          <w:p w14:paraId="7814BB9C" w14:textId="77777777" w:rsidR="00F11395" w:rsidRPr="00881BC8" w:rsidRDefault="00F11395" w:rsidP="00F11395">
            <w:pPr>
              <w:spacing w:after="0"/>
              <w:jc w:val="left"/>
              <w:rPr>
                <w:noProof/>
                <w:sz w:val="20"/>
                <w:szCs w:val="20"/>
              </w:rPr>
            </w:pPr>
          </w:p>
        </w:tc>
      </w:tr>
      <w:tr w:rsidR="00F11395" w:rsidRPr="00881BC8" w14:paraId="50E10A72" w14:textId="77777777" w:rsidTr="006C696B">
        <w:trPr>
          <w:cantSplit/>
          <w:trHeight w:val="307"/>
        </w:trPr>
        <w:tc>
          <w:tcPr>
            <w:tcW w:w="1204" w:type="dxa"/>
            <w:vMerge/>
            <w:tcMar>
              <w:top w:w="57" w:type="dxa"/>
              <w:left w:w="57" w:type="dxa"/>
              <w:bottom w:w="57" w:type="dxa"/>
              <w:right w:w="57" w:type="dxa"/>
            </w:tcMar>
            <w:vAlign w:val="center"/>
          </w:tcPr>
          <w:p w14:paraId="7554E03A" w14:textId="77777777" w:rsidR="00F11395" w:rsidRPr="00881BC8" w:rsidRDefault="00F11395" w:rsidP="00F11395">
            <w:pPr>
              <w:spacing w:after="0"/>
              <w:jc w:val="left"/>
              <w:rPr>
                <w:noProof/>
                <w:sz w:val="20"/>
                <w:szCs w:val="20"/>
              </w:rPr>
            </w:pPr>
          </w:p>
        </w:tc>
        <w:tc>
          <w:tcPr>
            <w:tcW w:w="1343" w:type="dxa"/>
            <w:tcBorders>
              <w:right w:val="double" w:sz="4" w:space="0" w:color="auto"/>
            </w:tcBorders>
            <w:tcMar>
              <w:top w:w="57" w:type="dxa"/>
              <w:left w:w="57" w:type="dxa"/>
              <w:bottom w:w="57" w:type="dxa"/>
              <w:right w:w="57" w:type="dxa"/>
            </w:tcMar>
            <w:vAlign w:val="center"/>
          </w:tcPr>
          <w:p w14:paraId="542AF506" w14:textId="77777777" w:rsidR="00F11395" w:rsidRPr="00881BC8" w:rsidRDefault="00F11395" w:rsidP="00F11395">
            <w:pPr>
              <w:spacing w:after="0"/>
              <w:jc w:val="left"/>
              <w:rPr>
                <w:noProof/>
                <w:sz w:val="20"/>
                <w:szCs w:val="20"/>
              </w:rPr>
            </w:pPr>
            <w:r w:rsidRPr="00881BC8">
              <w:rPr>
                <w:noProof/>
                <w:sz w:val="20"/>
                <w:szCs w:val="20"/>
              </w:rPr>
              <w:t>Direct regulatory fees and charges</w:t>
            </w:r>
          </w:p>
        </w:tc>
        <w:tc>
          <w:tcPr>
            <w:tcW w:w="925" w:type="dxa"/>
            <w:tcBorders>
              <w:left w:val="double" w:sz="4" w:space="0" w:color="auto"/>
            </w:tcBorders>
            <w:tcMar>
              <w:top w:w="57" w:type="dxa"/>
              <w:left w:w="57" w:type="dxa"/>
              <w:bottom w:w="57" w:type="dxa"/>
              <w:right w:w="57" w:type="dxa"/>
            </w:tcMar>
            <w:vAlign w:val="center"/>
          </w:tcPr>
          <w:p w14:paraId="0F06CD03" w14:textId="77777777" w:rsidR="00F11395" w:rsidRPr="00881BC8" w:rsidRDefault="00F11395" w:rsidP="00F11395">
            <w:pPr>
              <w:spacing w:after="0"/>
              <w:jc w:val="left"/>
              <w:rPr>
                <w:noProof/>
                <w:sz w:val="20"/>
                <w:szCs w:val="20"/>
              </w:rPr>
            </w:pPr>
          </w:p>
        </w:tc>
        <w:tc>
          <w:tcPr>
            <w:tcW w:w="851" w:type="dxa"/>
            <w:tcMar>
              <w:top w:w="57" w:type="dxa"/>
              <w:left w:w="57" w:type="dxa"/>
              <w:bottom w:w="57" w:type="dxa"/>
              <w:right w:w="57" w:type="dxa"/>
            </w:tcMar>
            <w:vAlign w:val="center"/>
          </w:tcPr>
          <w:p w14:paraId="12F399CD" w14:textId="77777777" w:rsidR="00F11395" w:rsidRPr="00881BC8" w:rsidRDefault="00F11395" w:rsidP="00F11395">
            <w:pPr>
              <w:spacing w:after="0"/>
              <w:jc w:val="left"/>
              <w:rPr>
                <w:noProof/>
                <w:sz w:val="20"/>
                <w:szCs w:val="20"/>
              </w:rPr>
            </w:pPr>
          </w:p>
        </w:tc>
        <w:tc>
          <w:tcPr>
            <w:tcW w:w="1417" w:type="dxa"/>
            <w:tcMar>
              <w:top w:w="57" w:type="dxa"/>
              <w:left w:w="57" w:type="dxa"/>
              <w:bottom w:w="57" w:type="dxa"/>
              <w:right w:w="57" w:type="dxa"/>
            </w:tcMar>
            <w:vAlign w:val="center"/>
          </w:tcPr>
          <w:p w14:paraId="265FF94F" w14:textId="77777777" w:rsidR="00F11395" w:rsidRPr="00881BC8" w:rsidRDefault="00F11395" w:rsidP="00F11395">
            <w:pPr>
              <w:spacing w:after="0"/>
              <w:jc w:val="left"/>
              <w:rPr>
                <w:noProof/>
                <w:sz w:val="20"/>
                <w:szCs w:val="20"/>
              </w:rPr>
            </w:pPr>
          </w:p>
        </w:tc>
        <w:tc>
          <w:tcPr>
            <w:tcW w:w="1559" w:type="dxa"/>
            <w:tcMar>
              <w:top w:w="57" w:type="dxa"/>
              <w:left w:w="57" w:type="dxa"/>
              <w:bottom w:w="57" w:type="dxa"/>
              <w:right w:w="57" w:type="dxa"/>
            </w:tcMar>
            <w:vAlign w:val="center"/>
          </w:tcPr>
          <w:p w14:paraId="4AEC0924" w14:textId="77777777" w:rsidR="00F11395" w:rsidRPr="00881BC8" w:rsidRDefault="00F11395" w:rsidP="00F11395">
            <w:pPr>
              <w:spacing w:after="0"/>
              <w:jc w:val="left"/>
              <w:rPr>
                <w:noProof/>
                <w:sz w:val="20"/>
                <w:szCs w:val="20"/>
              </w:rPr>
            </w:pPr>
          </w:p>
        </w:tc>
        <w:tc>
          <w:tcPr>
            <w:tcW w:w="1418" w:type="dxa"/>
            <w:tcMar>
              <w:top w:w="57" w:type="dxa"/>
              <w:left w:w="57" w:type="dxa"/>
              <w:bottom w:w="57" w:type="dxa"/>
              <w:right w:w="57" w:type="dxa"/>
            </w:tcMar>
            <w:vAlign w:val="center"/>
          </w:tcPr>
          <w:p w14:paraId="5C2781D1" w14:textId="77777777" w:rsidR="00F11395" w:rsidRPr="00881BC8" w:rsidRDefault="00F11395" w:rsidP="00F11395">
            <w:pPr>
              <w:spacing w:after="0"/>
              <w:jc w:val="left"/>
              <w:rPr>
                <w:noProof/>
                <w:sz w:val="20"/>
                <w:szCs w:val="20"/>
              </w:rPr>
            </w:pPr>
          </w:p>
        </w:tc>
        <w:tc>
          <w:tcPr>
            <w:tcW w:w="1489" w:type="dxa"/>
            <w:tcMar>
              <w:top w:w="57" w:type="dxa"/>
              <w:left w:w="57" w:type="dxa"/>
              <w:bottom w:w="57" w:type="dxa"/>
              <w:right w:w="57" w:type="dxa"/>
            </w:tcMar>
            <w:vAlign w:val="center"/>
          </w:tcPr>
          <w:p w14:paraId="72AC23A9" w14:textId="77777777" w:rsidR="00F11395" w:rsidRPr="00881BC8" w:rsidRDefault="00F11395" w:rsidP="00F11395">
            <w:pPr>
              <w:spacing w:after="0"/>
              <w:jc w:val="left"/>
              <w:rPr>
                <w:noProof/>
                <w:sz w:val="20"/>
                <w:szCs w:val="20"/>
              </w:rPr>
            </w:pPr>
          </w:p>
        </w:tc>
      </w:tr>
      <w:tr w:rsidR="00F11395" w:rsidRPr="00881BC8" w14:paraId="1343A63C" w14:textId="77777777" w:rsidTr="006C696B">
        <w:trPr>
          <w:cantSplit/>
          <w:trHeight w:val="307"/>
        </w:trPr>
        <w:tc>
          <w:tcPr>
            <w:tcW w:w="1204" w:type="dxa"/>
            <w:vMerge/>
            <w:tcMar>
              <w:top w:w="57" w:type="dxa"/>
              <w:left w:w="57" w:type="dxa"/>
              <w:bottom w:w="57" w:type="dxa"/>
              <w:right w:w="57" w:type="dxa"/>
            </w:tcMar>
            <w:vAlign w:val="center"/>
          </w:tcPr>
          <w:p w14:paraId="645AA196" w14:textId="77777777" w:rsidR="00F11395" w:rsidRPr="00881BC8" w:rsidRDefault="00F11395" w:rsidP="00F11395">
            <w:pPr>
              <w:spacing w:after="0"/>
              <w:jc w:val="left"/>
              <w:rPr>
                <w:noProof/>
                <w:sz w:val="20"/>
                <w:szCs w:val="20"/>
              </w:rPr>
            </w:pPr>
          </w:p>
        </w:tc>
        <w:tc>
          <w:tcPr>
            <w:tcW w:w="1343" w:type="dxa"/>
            <w:tcBorders>
              <w:right w:val="double" w:sz="4" w:space="0" w:color="auto"/>
            </w:tcBorders>
            <w:tcMar>
              <w:top w:w="57" w:type="dxa"/>
              <w:left w:w="57" w:type="dxa"/>
              <w:bottom w:w="57" w:type="dxa"/>
              <w:right w:w="57" w:type="dxa"/>
            </w:tcMar>
            <w:vAlign w:val="center"/>
          </w:tcPr>
          <w:p w14:paraId="03F5E019" w14:textId="77777777" w:rsidR="00F11395" w:rsidRPr="00881BC8" w:rsidRDefault="00F11395" w:rsidP="00F11395">
            <w:pPr>
              <w:spacing w:after="0"/>
              <w:jc w:val="left"/>
              <w:rPr>
                <w:noProof/>
                <w:sz w:val="20"/>
                <w:szCs w:val="20"/>
              </w:rPr>
            </w:pPr>
            <w:r w:rsidRPr="00881BC8">
              <w:rPr>
                <w:noProof/>
                <w:sz w:val="20"/>
                <w:szCs w:val="20"/>
              </w:rPr>
              <w:t>Direct enforcement costs</w:t>
            </w:r>
          </w:p>
        </w:tc>
        <w:tc>
          <w:tcPr>
            <w:tcW w:w="925" w:type="dxa"/>
            <w:tcBorders>
              <w:left w:val="double" w:sz="4" w:space="0" w:color="auto"/>
            </w:tcBorders>
            <w:tcMar>
              <w:top w:w="57" w:type="dxa"/>
              <w:left w:w="57" w:type="dxa"/>
              <w:bottom w:w="57" w:type="dxa"/>
              <w:right w:w="57" w:type="dxa"/>
            </w:tcMar>
            <w:vAlign w:val="center"/>
          </w:tcPr>
          <w:p w14:paraId="0AA2C214" w14:textId="77777777" w:rsidR="00F11395" w:rsidRPr="00881BC8" w:rsidRDefault="00F11395" w:rsidP="00F11395">
            <w:pPr>
              <w:spacing w:after="0"/>
              <w:jc w:val="left"/>
              <w:rPr>
                <w:noProof/>
                <w:sz w:val="20"/>
                <w:szCs w:val="20"/>
              </w:rPr>
            </w:pPr>
          </w:p>
        </w:tc>
        <w:tc>
          <w:tcPr>
            <w:tcW w:w="851" w:type="dxa"/>
            <w:tcMar>
              <w:top w:w="57" w:type="dxa"/>
              <w:left w:w="57" w:type="dxa"/>
              <w:bottom w:w="57" w:type="dxa"/>
              <w:right w:w="57" w:type="dxa"/>
            </w:tcMar>
            <w:vAlign w:val="center"/>
          </w:tcPr>
          <w:p w14:paraId="20FC2613" w14:textId="77777777" w:rsidR="00F11395" w:rsidRPr="00881BC8" w:rsidRDefault="00F11395" w:rsidP="00F11395">
            <w:pPr>
              <w:spacing w:after="0"/>
              <w:jc w:val="left"/>
              <w:rPr>
                <w:noProof/>
                <w:sz w:val="20"/>
                <w:szCs w:val="20"/>
              </w:rPr>
            </w:pPr>
          </w:p>
        </w:tc>
        <w:tc>
          <w:tcPr>
            <w:tcW w:w="1417" w:type="dxa"/>
            <w:tcMar>
              <w:top w:w="57" w:type="dxa"/>
              <w:left w:w="57" w:type="dxa"/>
              <w:bottom w:w="57" w:type="dxa"/>
              <w:right w:w="57" w:type="dxa"/>
            </w:tcMar>
            <w:vAlign w:val="center"/>
          </w:tcPr>
          <w:p w14:paraId="044D7236" w14:textId="77777777" w:rsidR="00F11395" w:rsidRPr="00881BC8" w:rsidRDefault="00F11395" w:rsidP="00F11395">
            <w:pPr>
              <w:spacing w:after="0"/>
              <w:jc w:val="left"/>
              <w:rPr>
                <w:noProof/>
                <w:sz w:val="20"/>
                <w:szCs w:val="20"/>
              </w:rPr>
            </w:pPr>
          </w:p>
        </w:tc>
        <w:tc>
          <w:tcPr>
            <w:tcW w:w="1559" w:type="dxa"/>
            <w:tcMar>
              <w:top w:w="57" w:type="dxa"/>
              <w:left w:w="57" w:type="dxa"/>
              <w:bottom w:w="57" w:type="dxa"/>
              <w:right w:w="57" w:type="dxa"/>
            </w:tcMar>
            <w:vAlign w:val="center"/>
          </w:tcPr>
          <w:p w14:paraId="2A2323C9" w14:textId="77777777" w:rsidR="00F11395" w:rsidRPr="00881BC8" w:rsidRDefault="00F11395" w:rsidP="00F11395">
            <w:pPr>
              <w:spacing w:after="0"/>
              <w:jc w:val="left"/>
              <w:rPr>
                <w:noProof/>
                <w:sz w:val="20"/>
                <w:szCs w:val="20"/>
              </w:rPr>
            </w:pPr>
          </w:p>
        </w:tc>
        <w:tc>
          <w:tcPr>
            <w:tcW w:w="1418" w:type="dxa"/>
            <w:tcMar>
              <w:top w:w="57" w:type="dxa"/>
              <w:left w:w="57" w:type="dxa"/>
              <w:bottom w:w="57" w:type="dxa"/>
              <w:right w:w="57" w:type="dxa"/>
            </w:tcMar>
            <w:vAlign w:val="center"/>
          </w:tcPr>
          <w:p w14:paraId="2120A944" w14:textId="77777777" w:rsidR="00F11395" w:rsidRPr="00881BC8" w:rsidRDefault="00F11395" w:rsidP="00F11395">
            <w:pPr>
              <w:spacing w:after="0"/>
              <w:jc w:val="left"/>
              <w:rPr>
                <w:noProof/>
                <w:sz w:val="20"/>
                <w:szCs w:val="20"/>
              </w:rPr>
            </w:pPr>
          </w:p>
        </w:tc>
        <w:tc>
          <w:tcPr>
            <w:tcW w:w="1489" w:type="dxa"/>
            <w:tcMar>
              <w:top w:w="57" w:type="dxa"/>
              <w:left w:w="57" w:type="dxa"/>
              <w:bottom w:w="57" w:type="dxa"/>
              <w:right w:w="57" w:type="dxa"/>
            </w:tcMar>
            <w:vAlign w:val="center"/>
          </w:tcPr>
          <w:p w14:paraId="1850BA36" w14:textId="73F7F8C3" w:rsidR="006C0182" w:rsidRPr="00881BC8" w:rsidRDefault="006C0182" w:rsidP="006C0182">
            <w:pPr>
              <w:spacing w:after="0"/>
              <w:jc w:val="left"/>
              <w:rPr>
                <w:noProof/>
                <w:sz w:val="20"/>
                <w:szCs w:val="20"/>
              </w:rPr>
            </w:pPr>
            <w:r w:rsidRPr="00881BC8">
              <w:rPr>
                <w:noProof/>
                <w:sz w:val="20"/>
                <w:szCs w:val="20"/>
              </w:rPr>
              <w:t xml:space="preserve">Cost to run mediation system, estimated at EUR 10-40 million p.a. </w:t>
            </w:r>
          </w:p>
          <w:p w14:paraId="7D0A67F9" w14:textId="3BF9C6B9" w:rsidR="00F11395" w:rsidRPr="00881BC8" w:rsidRDefault="00F11395" w:rsidP="006C0182">
            <w:pPr>
              <w:spacing w:after="0"/>
              <w:jc w:val="left"/>
              <w:rPr>
                <w:noProof/>
                <w:sz w:val="20"/>
                <w:szCs w:val="20"/>
              </w:rPr>
            </w:pPr>
          </w:p>
        </w:tc>
      </w:tr>
      <w:tr w:rsidR="00F11395" w:rsidRPr="00881BC8" w14:paraId="53B072C3" w14:textId="77777777" w:rsidTr="006C696B">
        <w:trPr>
          <w:cantSplit/>
        </w:trPr>
        <w:tc>
          <w:tcPr>
            <w:tcW w:w="1204" w:type="dxa"/>
            <w:vMerge/>
            <w:tcBorders>
              <w:bottom w:val="double" w:sz="4" w:space="0" w:color="auto"/>
            </w:tcBorders>
            <w:tcMar>
              <w:top w:w="57" w:type="dxa"/>
              <w:left w:w="57" w:type="dxa"/>
              <w:bottom w:w="57" w:type="dxa"/>
              <w:right w:w="57" w:type="dxa"/>
            </w:tcMar>
          </w:tcPr>
          <w:p w14:paraId="254CF921" w14:textId="77777777" w:rsidR="00F11395" w:rsidRPr="00881BC8" w:rsidRDefault="00F11395" w:rsidP="00F11395">
            <w:pPr>
              <w:spacing w:after="0"/>
              <w:jc w:val="left"/>
              <w:rPr>
                <w:noProof/>
                <w:sz w:val="20"/>
                <w:szCs w:val="20"/>
              </w:rPr>
            </w:pPr>
          </w:p>
        </w:tc>
        <w:tc>
          <w:tcPr>
            <w:tcW w:w="1343" w:type="dxa"/>
            <w:tcBorders>
              <w:bottom w:val="double" w:sz="4" w:space="0" w:color="auto"/>
              <w:right w:val="double" w:sz="4" w:space="0" w:color="auto"/>
            </w:tcBorders>
            <w:tcMar>
              <w:top w:w="57" w:type="dxa"/>
              <w:left w:w="57" w:type="dxa"/>
              <w:bottom w:w="57" w:type="dxa"/>
              <w:right w:w="57" w:type="dxa"/>
            </w:tcMar>
          </w:tcPr>
          <w:p w14:paraId="14FE3CB6" w14:textId="77777777" w:rsidR="00F11395" w:rsidRPr="00881BC8" w:rsidRDefault="00F11395" w:rsidP="00F11395">
            <w:pPr>
              <w:spacing w:after="0"/>
              <w:jc w:val="left"/>
              <w:rPr>
                <w:noProof/>
                <w:sz w:val="20"/>
                <w:szCs w:val="20"/>
              </w:rPr>
            </w:pPr>
            <w:r w:rsidRPr="00881BC8">
              <w:rPr>
                <w:noProof/>
                <w:sz w:val="20"/>
                <w:szCs w:val="20"/>
              </w:rPr>
              <w:t>Indirect costs</w:t>
            </w:r>
          </w:p>
        </w:tc>
        <w:tc>
          <w:tcPr>
            <w:tcW w:w="925" w:type="dxa"/>
            <w:tcBorders>
              <w:left w:val="double" w:sz="4" w:space="0" w:color="auto"/>
              <w:bottom w:val="double" w:sz="4" w:space="0" w:color="auto"/>
            </w:tcBorders>
            <w:tcMar>
              <w:top w:w="57" w:type="dxa"/>
              <w:left w:w="57" w:type="dxa"/>
              <w:bottom w:w="57" w:type="dxa"/>
              <w:right w:w="57" w:type="dxa"/>
            </w:tcMar>
          </w:tcPr>
          <w:p w14:paraId="786BBDCC" w14:textId="77777777" w:rsidR="00F11395" w:rsidRPr="00881BC8" w:rsidRDefault="00F11395" w:rsidP="00F11395">
            <w:pPr>
              <w:spacing w:after="0"/>
              <w:jc w:val="left"/>
              <w:rPr>
                <w:noProof/>
                <w:sz w:val="20"/>
                <w:szCs w:val="20"/>
              </w:rPr>
            </w:pPr>
          </w:p>
        </w:tc>
        <w:tc>
          <w:tcPr>
            <w:tcW w:w="851" w:type="dxa"/>
            <w:tcBorders>
              <w:bottom w:val="double" w:sz="4" w:space="0" w:color="auto"/>
            </w:tcBorders>
            <w:tcMar>
              <w:top w:w="57" w:type="dxa"/>
              <w:left w:w="57" w:type="dxa"/>
              <w:bottom w:w="57" w:type="dxa"/>
              <w:right w:w="57" w:type="dxa"/>
            </w:tcMar>
          </w:tcPr>
          <w:p w14:paraId="585D3757" w14:textId="77777777" w:rsidR="00F11395" w:rsidRPr="00881BC8" w:rsidRDefault="00F11395" w:rsidP="00F11395">
            <w:pPr>
              <w:spacing w:after="0"/>
              <w:jc w:val="left"/>
              <w:rPr>
                <w:noProof/>
                <w:sz w:val="20"/>
                <w:szCs w:val="20"/>
              </w:rPr>
            </w:pPr>
          </w:p>
        </w:tc>
        <w:tc>
          <w:tcPr>
            <w:tcW w:w="1417" w:type="dxa"/>
            <w:tcBorders>
              <w:bottom w:val="double" w:sz="4" w:space="0" w:color="auto"/>
            </w:tcBorders>
            <w:tcMar>
              <w:top w:w="57" w:type="dxa"/>
              <w:left w:w="57" w:type="dxa"/>
              <w:bottom w:w="57" w:type="dxa"/>
              <w:right w:w="57" w:type="dxa"/>
            </w:tcMar>
          </w:tcPr>
          <w:p w14:paraId="0B20E4BE" w14:textId="77777777" w:rsidR="00F11395" w:rsidRPr="00881BC8" w:rsidRDefault="00F11395" w:rsidP="00F11395">
            <w:pPr>
              <w:spacing w:after="0"/>
              <w:jc w:val="left"/>
              <w:rPr>
                <w:noProof/>
                <w:sz w:val="20"/>
                <w:szCs w:val="20"/>
              </w:rPr>
            </w:pPr>
          </w:p>
        </w:tc>
        <w:tc>
          <w:tcPr>
            <w:tcW w:w="1559" w:type="dxa"/>
            <w:tcBorders>
              <w:bottom w:val="double" w:sz="4" w:space="0" w:color="auto"/>
            </w:tcBorders>
            <w:tcMar>
              <w:top w:w="57" w:type="dxa"/>
              <w:left w:w="57" w:type="dxa"/>
              <w:bottom w:w="57" w:type="dxa"/>
              <w:right w:w="57" w:type="dxa"/>
            </w:tcMar>
          </w:tcPr>
          <w:p w14:paraId="07F4023A" w14:textId="378FE433" w:rsidR="00F11395" w:rsidRPr="00881BC8" w:rsidRDefault="00561188" w:rsidP="00F11395">
            <w:pPr>
              <w:spacing w:after="0"/>
              <w:jc w:val="left"/>
              <w:rPr>
                <w:noProof/>
                <w:sz w:val="20"/>
                <w:szCs w:val="20"/>
              </w:rPr>
            </w:pPr>
            <w:r w:rsidRPr="00881BC8">
              <w:rPr>
                <w:noProof/>
                <w:sz w:val="20"/>
                <w:szCs w:val="20"/>
              </w:rPr>
              <w:t>Possible adverse effect on the income of commercial providers of mediation services.</w:t>
            </w:r>
          </w:p>
        </w:tc>
        <w:tc>
          <w:tcPr>
            <w:tcW w:w="1418" w:type="dxa"/>
            <w:tcBorders>
              <w:bottom w:val="double" w:sz="4" w:space="0" w:color="auto"/>
            </w:tcBorders>
            <w:tcMar>
              <w:top w:w="57" w:type="dxa"/>
              <w:left w:w="57" w:type="dxa"/>
              <w:bottom w:w="57" w:type="dxa"/>
              <w:right w:w="57" w:type="dxa"/>
            </w:tcMar>
          </w:tcPr>
          <w:p w14:paraId="37061D33" w14:textId="77777777" w:rsidR="00F11395" w:rsidRPr="00881BC8" w:rsidRDefault="00F11395" w:rsidP="00F11395">
            <w:pPr>
              <w:spacing w:after="0"/>
              <w:jc w:val="left"/>
              <w:rPr>
                <w:noProof/>
                <w:sz w:val="20"/>
                <w:szCs w:val="20"/>
              </w:rPr>
            </w:pPr>
          </w:p>
        </w:tc>
        <w:tc>
          <w:tcPr>
            <w:tcW w:w="1489" w:type="dxa"/>
            <w:tcBorders>
              <w:bottom w:val="double" w:sz="4" w:space="0" w:color="auto"/>
            </w:tcBorders>
            <w:tcMar>
              <w:top w:w="57" w:type="dxa"/>
              <w:left w:w="57" w:type="dxa"/>
              <w:bottom w:w="57" w:type="dxa"/>
              <w:right w:w="57" w:type="dxa"/>
            </w:tcMar>
          </w:tcPr>
          <w:p w14:paraId="009AF4DD" w14:textId="77777777" w:rsidR="00F11395" w:rsidRPr="00881BC8" w:rsidRDefault="00F11395" w:rsidP="00F11395">
            <w:pPr>
              <w:spacing w:after="0"/>
              <w:jc w:val="left"/>
              <w:rPr>
                <w:noProof/>
                <w:sz w:val="20"/>
                <w:szCs w:val="20"/>
              </w:rPr>
            </w:pPr>
          </w:p>
        </w:tc>
      </w:tr>
      <w:tr w:rsidR="00C7538D" w:rsidRPr="00881BC8" w14:paraId="7D201271" w14:textId="77777777" w:rsidTr="006F0A2A">
        <w:trPr>
          <w:cantSplit/>
          <w:trHeight w:val="307"/>
        </w:trPr>
        <w:tc>
          <w:tcPr>
            <w:tcW w:w="1204" w:type="dxa"/>
            <w:vMerge w:val="restart"/>
            <w:tcMar>
              <w:top w:w="57" w:type="dxa"/>
              <w:left w:w="57" w:type="dxa"/>
              <w:bottom w:w="57" w:type="dxa"/>
              <w:right w:w="57" w:type="dxa"/>
            </w:tcMar>
            <w:vAlign w:val="center"/>
          </w:tcPr>
          <w:p w14:paraId="64183B84" w14:textId="673AC4F1" w:rsidR="00C7538D" w:rsidRPr="00881BC8" w:rsidRDefault="0089685A" w:rsidP="00C7538D">
            <w:pPr>
              <w:spacing w:after="0"/>
              <w:jc w:val="left"/>
              <w:rPr>
                <w:noProof/>
                <w:sz w:val="20"/>
                <w:szCs w:val="20"/>
              </w:rPr>
            </w:pPr>
            <w:r w:rsidRPr="00881BC8">
              <w:rPr>
                <w:noProof/>
                <w:sz w:val="20"/>
                <w:szCs w:val="20"/>
              </w:rPr>
              <w:t>Requirement for MS to address the question of unfair payment terms and practices</w:t>
            </w:r>
          </w:p>
        </w:tc>
        <w:tc>
          <w:tcPr>
            <w:tcW w:w="1343" w:type="dxa"/>
            <w:tcBorders>
              <w:right w:val="double" w:sz="4" w:space="0" w:color="auto"/>
            </w:tcBorders>
            <w:tcMar>
              <w:top w:w="57" w:type="dxa"/>
              <w:left w:w="57" w:type="dxa"/>
              <w:bottom w:w="57" w:type="dxa"/>
              <w:right w:w="57" w:type="dxa"/>
            </w:tcMar>
            <w:vAlign w:val="center"/>
          </w:tcPr>
          <w:p w14:paraId="10B01837" w14:textId="77777777" w:rsidR="00C7538D" w:rsidRPr="00881BC8" w:rsidRDefault="00C7538D" w:rsidP="006F0A2A">
            <w:pPr>
              <w:spacing w:after="0"/>
              <w:jc w:val="left"/>
              <w:rPr>
                <w:noProof/>
                <w:sz w:val="20"/>
                <w:szCs w:val="20"/>
              </w:rPr>
            </w:pPr>
            <w:r w:rsidRPr="00881BC8">
              <w:rPr>
                <w:noProof/>
                <w:sz w:val="20"/>
                <w:szCs w:val="20"/>
              </w:rPr>
              <w:t>Direct adjustment costs</w:t>
            </w:r>
          </w:p>
        </w:tc>
        <w:tc>
          <w:tcPr>
            <w:tcW w:w="925" w:type="dxa"/>
            <w:tcBorders>
              <w:left w:val="double" w:sz="4" w:space="0" w:color="auto"/>
            </w:tcBorders>
            <w:tcMar>
              <w:top w:w="57" w:type="dxa"/>
              <w:left w:w="57" w:type="dxa"/>
              <w:bottom w:w="57" w:type="dxa"/>
              <w:right w:w="57" w:type="dxa"/>
            </w:tcMar>
            <w:vAlign w:val="center"/>
          </w:tcPr>
          <w:p w14:paraId="4E9DA09D" w14:textId="77777777" w:rsidR="00C7538D" w:rsidRPr="00881BC8" w:rsidRDefault="00C7538D" w:rsidP="006F0A2A">
            <w:pPr>
              <w:spacing w:after="0"/>
              <w:jc w:val="left"/>
              <w:rPr>
                <w:noProof/>
                <w:sz w:val="20"/>
                <w:szCs w:val="20"/>
              </w:rPr>
            </w:pPr>
          </w:p>
        </w:tc>
        <w:tc>
          <w:tcPr>
            <w:tcW w:w="851" w:type="dxa"/>
            <w:tcMar>
              <w:top w:w="57" w:type="dxa"/>
              <w:left w:w="57" w:type="dxa"/>
              <w:bottom w:w="57" w:type="dxa"/>
              <w:right w:w="57" w:type="dxa"/>
            </w:tcMar>
            <w:vAlign w:val="center"/>
          </w:tcPr>
          <w:p w14:paraId="10278E70" w14:textId="77777777" w:rsidR="00C7538D" w:rsidRPr="00881BC8" w:rsidRDefault="00C7538D" w:rsidP="006F0A2A">
            <w:pPr>
              <w:spacing w:after="0"/>
              <w:jc w:val="left"/>
              <w:rPr>
                <w:noProof/>
                <w:sz w:val="20"/>
                <w:szCs w:val="20"/>
              </w:rPr>
            </w:pPr>
          </w:p>
        </w:tc>
        <w:tc>
          <w:tcPr>
            <w:tcW w:w="1417" w:type="dxa"/>
            <w:tcMar>
              <w:top w:w="57" w:type="dxa"/>
              <w:left w:w="57" w:type="dxa"/>
              <w:bottom w:w="57" w:type="dxa"/>
              <w:right w:w="57" w:type="dxa"/>
            </w:tcMar>
            <w:vAlign w:val="center"/>
          </w:tcPr>
          <w:p w14:paraId="58902BA3" w14:textId="77777777" w:rsidR="00C7538D" w:rsidRPr="00881BC8" w:rsidRDefault="00C7538D" w:rsidP="006F0A2A">
            <w:pPr>
              <w:spacing w:after="0"/>
              <w:jc w:val="left"/>
              <w:rPr>
                <w:noProof/>
                <w:sz w:val="20"/>
                <w:szCs w:val="20"/>
              </w:rPr>
            </w:pPr>
          </w:p>
        </w:tc>
        <w:tc>
          <w:tcPr>
            <w:tcW w:w="1559" w:type="dxa"/>
            <w:tcMar>
              <w:top w:w="57" w:type="dxa"/>
              <w:left w:w="57" w:type="dxa"/>
              <w:bottom w:w="57" w:type="dxa"/>
              <w:right w:w="57" w:type="dxa"/>
            </w:tcMar>
          </w:tcPr>
          <w:p w14:paraId="2DE6FAF6" w14:textId="77777777" w:rsidR="00C7538D" w:rsidRPr="00881BC8" w:rsidRDefault="00C7538D" w:rsidP="006F0A2A">
            <w:pPr>
              <w:spacing w:after="0"/>
              <w:jc w:val="left"/>
              <w:rPr>
                <w:noProof/>
                <w:sz w:val="20"/>
                <w:szCs w:val="20"/>
              </w:rPr>
            </w:pPr>
          </w:p>
        </w:tc>
        <w:tc>
          <w:tcPr>
            <w:tcW w:w="1418" w:type="dxa"/>
            <w:tcMar>
              <w:top w:w="57" w:type="dxa"/>
              <w:left w:w="57" w:type="dxa"/>
              <w:bottom w:w="57" w:type="dxa"/>
              <w:right w:w="57" w:type="dxa"/>
            </w:tcMar>
          </w:tcPr>
          <w:p w14:paraId="113674AE" w14:textId="40ED59C5" w:rsidR="00C7538D" w:rsidRPr="00881BC8" w:rsidRDefault="00B12E25" w:rsidP="006F0A2A">
            <w:pPr>
              <w:spacing w:after="0"/>
              <w:jc w:val="left"/>
              <w:rPr>
                <w:noProof/>
                <w:sz w:val="20"/>
                <w:szCs w:val="20"/>
              </w:rPr>
            </w:pPr>
            <w:r w:rsidRPr="00881BC8">
              <w:rPr>
                <w:noProof/>
                <w:sz w:val="20"/>
                <w:szCs w:val="20"/>
              </w:rPr>
              <w:t xml:space="preserve">MS would bear some cost related to setting the rules and actions on </w:t>
            </w:r>
            <w:r w:rsidR="00423EFE" w:rsidRPr="00881BC8">
              <w:rPr>
                <w:noProof/>
                <w:sz w:val="20"/>
                <w:szCs w:val="20"/>
              </w:rPr>
              <w:t>unfair payment terms and practices</w:t>
            </w:r>
          </w:p>
        </w:tc>
        <w:tc>
          <w:tcPr>
            <w:tcW w:w="1489" w:type="dxa"/>
            <w:tcMar>
              <w:top w:w="57" w:type="dxa"/>
              <w:left w:w="57" w:type="dxa"/>
              <w:bottom w:w="57" w:type="dxa"/>
              <w:right w:w="57" w:type="dxa"/>
            </w:tcMar>
          </w:tcPr>
          <w:p w14:paraId="7126EB5C" w14:textId="77777777" w:rsidR="00C7538D" w:rsidRPr="00881BC8" w:rsidRDefault="00C7538D" w:rsidP="006F0A2A">
            <w:pPr>
              <w:spacing w:after="0"/>
              <w:jc w:val="left"/>
              <w:rPr>
                <w:noProof/>
                <w:sz w:val="20"/>
                <w:szCs w:val="20"/>
              </w:rPr>
            </w:pPr>
          </w:p>
        </w:tc>
      </w:tr>
      <w:tr w:rsidR="00C7538D" w:rsidRPr="00881BC8" w14:paraId="1BB53FFA" w14:textId="77777777" w:rsidTr="006F0A2A">
        <w:trPr>
          <w:cantSplit/>
          <w:trHeight w:val="307"/>
        </w:trPr>
        <w:tc>
          <w:tcPr>
            <w:tcW w:w="1204" w:type="dxa"/>
            <w:vMerge/>
            <w:tcMar>
              <w:top w:w="57" w:type="dxa"/>
              <w:left w:w="57" w:type="dxa"/>
              <w:bottom w:w="57" w:type="dxa"/>
              <w:right w:w="57" w:type="dxa"/>
            </w:tcMar>
            <w:vAlign w:val="center"/>
          </w:tcPr>
          <w:p w14:paraId="52707A27" w14:textId="77777777" w:rsidR="00C7538D" w:rsidRPr="00881BC8" w:rsidRDefault="00C7538D" w:rsidP="006F0A2A">
            <w:pPr>
              <w:spacing w:after="0"/>
              <w:jc w:val="left"/>
              <w:rPr>
                <w:noProof/>
                <w:sz w:val="20"/>
                <w:szCs w:val="20"/>
              </w:rPr>
            </w:pPr>
          </w:p>
        </w:tc>
        <w:tc>
          <w:tcPr>
            <w:tcW w:w="1343" w:type="dxa"/>
            <w:tcBorders>
              <w:right w:val="double" w:sz="4" w:space="0" w:color="auto"/>
            </w:tcBorders>
            <w:tcMar>
              <w:top w:w="57" w:type="dxa"/>
              <w:left w:w="57" w:type="dxa"/>
              <w:bottom w:w="57" w:type="dxa"/>
              <w:right w:w="57" w:type="dxa"/>
            </w:tcMar>
            <w:vAlign w:val="center"/>
          </w:tcPr>
          <w:p w14:paraId="400B02CF" w14:textId="77777777" w:rsidR="00C7538D" w:rsidRPr="00881BC8" w:rsidRDefault="00C7538D" w:rsidP="006F0A2A">
            <w:pPr>
              <w:spacing w:after="0"/>
              <w:jc w:val="left"/>
              <w:rPr>
                <w:noProof/>
                <w:sz w:val="20"/>
                <w:szCs w:val="20"/>
              </w:rPr>
            </w:pPr>
            <w:r w:rsidRPr="00881BC8">
              <w:rPr>
                <w:noProof/>
                <w:sz w:val="20"/>
                <w:szCs w:val="20"/>
              </w:rPr>
              <w:t>Direct administrative costs</w:t>
            </w:r>
          </w:p>
        </w:tc>
        <w:tc>
          <w:tcPr>
            <w:tcW w:w="925" w:type="dxa"/>
            <w:tcBorders>
              <w:left w:val="double" w:sz="4" w:space="0" w:color="auto"/>
            </w:tcBorders>
            <w:tcMar>
              <w:top w:w="57" w:type="dxa"/>
              <w:left w:w="57" w:type="dxa"/>
              <w:bottom w:w="57" w:type="dxa"/>
              <w:right w:w="57" w:type="dxa"/>
            </w:tcMar>
            <w:vAlign w:val="center"/>
          </w:tcPr>
          <w:p w14:paraId="01779479" w14:textId="77777777" w:rsidR="00C7538D" w:rsidRPr="00881BC8" w:rsidRDefault="00C7538D" w:rsidP="006F0A2A">
            <w:pPr>
              <w:spacing w:after="0"/>
              <w:jc w:val="left"/>
              <w:rPr>
                <w:noProof/>
                <w:sz w:val="20"/>
                <w:szCs w:val="20"/>
              </w:rPr>
            </w:pPr>
          </w:p>
        </w:tc>
        <w:tc>
          <w:tcPr>
            <w:tcW w:w="851" w:type="dxa"/>
            <w:tcMar>
              <w:top w:w="57" w:type="dxa"/>
              <w:left w:w="57" w:type="dxa"/>
              <w:bottom w:w="57" w:type="dxa"/>
              <w:right w:w="57" w:type="dxa"/>
            </w:tcMar>
            <w:vAlign w:val="center"/>
          </w:tcPr>
          <w:p w14:paraId="63878E31" w14:textId="77777777" w:rsidR="00C7538D" w:rsidRPr="00881BC8" w:rsidRDefault="00C7538D" w:rsidP="006F0A2A">
            <w:pPr>
              <w:spacing w:after="0"/>
              <w:jc w:val="left"/>
              <w:rPr>
                <w:noProof/>
                <w:sz w:val="20"/>
                <w:szCs w:val="20"/>
              </w:rPr>
            </w:pPr>
          </w:p>
        </w:tc>
        <w:tc>
          <w:tcPr>
            <w:tcW w:w="1417" w:type="dxa"/>
            <w:tcMar>
              <w:top w:w="57" w:type="dxa"/>
              <w:left w:w="57" w:type="dxa"/>
              <w:bottom w:w="57" w:type="dxa"/>
              <w:right w:w="57" w:type="dxa"/>
            </w:tcMar>
            <w:vAlign w:val="center"/>
          </w:tcPr>
          <w:p w14:paraId="6266DC65" w14:textId="77777777" w:rsidR="00C7538D" w:rsidRPr="00881BC8" w:rsidRDefault="00C7538D" w:rsidP="006F0A2A">
            <w:pPr>
              <w:spacing w:after="0"/>
              <w:jc w:val="left"/>
              <w:rPr>
                <w:noProof/>
                <w:sz w:val="20"/>
                <w:szCs w:val="20"/>
              </w:rPr>
            </w:pPr>
          </w:p>
        </w:tc>
        <w:tc>
          <w:tcPr>
            <w:tcW w:w="1559" w:type="dxa"/>
            <w:tcMar>
              <w:top w:w="57" w:type="dxa"/>
              <w:left w:w="57" w:type="dxa"/>
              <w:bottom w:w="57" w:type="dxa"/>
              <w:right w:w="57" w:type="dxa"/>
            </w:tcMar>
          </w:tcPr>
          <w:p w14:paraId="1F21F7E5" w14:textId="77777777" w:rsidR="00C7538D" w:rsidRPr="00881BC8" w:rsidRDefault="00C7538D" w:rsidP="006F0A2A">
            <w:pPr>
              <w:spacing w:after="0"/>
              <w:jc w:val="left"/>
              <w:rPr>
                <w:noProof/>
                <w:sz w:val="20"/>
                <w:szCs w:val="20"/>
              </w:rPr>
            </w:pPr>
          </w:p>
        </w:tc>
        <w:tc>
          <w:tcPr>
            <w:tcW w:w="1418" w:type="dxa"/>
            <w:tcMar>
              <w:top w:w="57" w:type="dxa"/>
              <w:left w:w="57" w:type="dxa"/>
              <w:bottom w:w="57" w:type="dxa"/>
              <w:right w:w="57" w:type="dxa"/>
            </w:tcMar>
          </w:tcPr>
          <w:p w14:paraId="752FC090" w14:textId="77777777" w:rsidR="00C7538D" w:rsidRPr="00881BC8" w:rsidRDefault="00C7538D" w:rsidP="006F0A2A">
            <w:pPr>
              <w:spacing w:after="0"/>
              <w:jc w:val="left"/>
              <w:rPr>
                <w:noProof/>
                <w:sz w:val="20"/>
                <w:szCs w:val="20"/>
              </w:rPr>
            </w:pPr>
          </w:p>
        </w:tc>
        <w:tc>
          <w:tcPr>
            <w:tcW w:w="1489" w:type="dxa"/>
            <w:tcMar>
              <w:top w:w="57" w:type="dxa"/>
              <w:left w:w="57" w:type="dxa"/>
              <w:bottom w:w="57" w:type="dxa"/>
              <w:right w:w="57" w:type="dxa"/>
            </w:tcMar>
          </w:tcPr>
          <w:p w14:paraId="43FB533E" w14:textId="77777777" w:rsidR="00C7538D" w:rsidRPr="00881BC8" w:rsidRDefault="00C7538D" w:rsidP="006F0A2A">
            <w:pPr>
              <w:spacing w:after="0"/>
              <w:jc w:val="left"/>
              <w:rPr>
                <w:noProof/>
                <w:sz w:val="20"/>
                <w:szCs w:val="20"/>
              </w:rPr>
            </w:pPr>
          </w:p>
        </w:tc>
      </w:tr>
      <w:tr w:rsidR="00C7538D" w:rsidRPr="00881BC8" w14:paraId="78DFD566" w14:textId="77777777" w:rsidTr="006F0A2A">
        <w:trPr>
          <w:cantSplit/>
          <w:trHeight w:val="307"/>
        </w:trPr>
        <w:tc>
          <w:tcPr>
            <w:tcW w:w="1204" w:type="dxa"/>
            <w:vMerge/>
            <w:tcMar>
              <w:top w:w="57" w:type="dxa"/>
              <w:left w:w="57" w:type="dxa"/>
              <w:bottom w:w="57" w:type="dxa"/>
              <w:right w:w="57" w:type="dxa"/>
            </w:tcMar>
            <w:vAlign w:val="center"/>
          </w:tcPr>
          <w:p w14:paraId="1364141E" w14:textId="77777777" w:rsidR="00C7538D" w:rsidRPr="00881BC8" w:rsidRDefault="00C7538D" w:rsidP="006F0A2A">
            <w:pPr>
              <w:spacing w:after="0"/>
              <w:jc w:val="left"/>
              <w:rPr>
                <w:noProof/>
                <w:sz w:val="20"/>
                <w:szCs w:val="20"/>
              </w:rPr>
            </w:pPr>
          </w:p>
        </w:tc>
        <w:tc>
          <w:tcPr>
            <w:tcW w:w="1343" w:type="dxa"/>
            <w:tcBorders>
              <w:right w:val="double" w:sz="4" w:space="0" w:color="auto"/>
            </w:tcBorders>
            <w:tcMar>
              <w:top w:w="57" w:type="dxa"/>
              <w:left w:w="57" w:type="dxa"/>
              <w:bottom w:w="57" w:type="dxa"/>
              <w:right w:w="57" w:type="dxa"/>
            </w:tcMar>
            <w:vAlign w:val="center"/>
          </w:tcPr>
          <w:p w14:paraId="01648284" w14:textId="77777777" w:rsidR="00C7538D" w:rsidRPr="00881BC8" w:rsidRDefault="00C7538D" w:rsidP="006F0A2A">
            <w:pPr>
              <w:spacing w:after="0"/>
              <w:jc w:val="left"/>
              <w:rPr>
                <w:noProof/>
                <w:sz w:val="20"/>
                <w:szCs w:val="20"/>
              </w:rPr>
            </w:pPr>
            <w:r w:rsidRPr="00881BC8">
              <w:rPr>
                <w:noProof/>
                <w:sz w:val="20"/>
                <w:szCs w:val="20"/>
              </w:rPr>
              <w:t>Direct regulatory fees and charges</w:t>
            </w:r>
          </w:p>
        </w:tc>
        <w:tc>
          <w:tcPr>
            <w:tcW w:w="925" w:type="dxa"/>
            <w:tcBorders>
              <w:left w:val="double" w:sz="4" w:space="0" w:color="auto"/>
            </w:tcBorders>
            <w:tcMar>
              <w:top w:w="57" w:type="dxa"/>
              <w:left w:w="57" w:type="dxa"/>
              <w:bottom w:w="57" w:type="dxa"/>
              <w:right w:w="57" w:type="dxa"/>
            </w:tcMar>
            <w:vAlign w:val="center"/>
          </w:tcPr>
          <w:p w14:paraId="07EFBD9A" w14:textId="77777777" w:rsidR="00C7538D" w:rsidRPr="00881BC8" w:rsidRDefault="00C7538D" w:rsidP="006F0A2A">
            <w:pPr>
              <w:spacing w:after="0"/>
              <w:jc w:val="left"/>
              <w:rPr>
                <w:noProof/>
                <w:sz w:val="20"/>
                <w:szCs w:val="20"/>
              </w:rPr>
            </w:pPr>
          </w:p>
        </w:tc>
        <w:tc>
          <w:tcPr>
            <w:tcW w:w="851" w:type="dxa"/>
            <w:tcMar>
              <w:top w:w="57" w:type="dxa"/>
              <w:left w:w="57" w:type="dxa"/>
              <w:bottom w:w="57" w:type="dxa"/>
              <w:right w:w="57" w:type="dxa"/>
            </w:tcMar>
            <w:vAlign w:val="center"/>
          </w:tcPr>
          <w:p w14:paraId="1349608A" w14:textId="77777777" w:rsidR="00C7538D" w:rsidRPr="00881BC8" w:rsidRDefault="00C7538D" w:rsidP="006F0A2A">
            <w:pPr>
              <w:spacing w:after="0"/>
              <w:jc w:val="left"/>
              <w:rPr>
                <w:noProof/>
                <w:sz w:val="20"/>
                <w:szCs w:val="20"/>
              </w:rPr>
            </w:pPr>
          </w:p>
        </w:tc>
        <w:tc>
          <w:tcPr>
            <w:tcW w:w="1417" w:type="dxa"/>
            <w:tcMar>
              <w:top w:w="57" w:type="dxa"/>
              <w:left w:w="57" w:type="dxa"/>
              <w:bottom w:w="57" w:type="dxa"/>
              <w:right w:w="57" w:type="dxa"/>
            </w:tcMar>
            <w:vAlign w:val="center"/>
          </w:tcPr>
          <w:p w14:paraId="010957D4" w14:textId="77777777" w:rsidR="00C7538D" w:rsidRPr="00881BC8" w:rsidRDefault="00C7538D" w:rsidP="006F0A2A">
            <w:pPr>
              <w:spacing w:after="0"/>
              <w:jc w:val="left"/>
              <w:rPr>
                <w:noProof/>
                <w:sz w:val="20"/>
                <w:szCs w:val="20"/>
              </w:rPr>
            </w:pPr>
          </w:p>
        </w:tc>
        <w:tc>
          <w:tcPr>
            <w:tcW w:w="1559" w:type="dxa"/>
            <w:tcMar>
              <w:top w:w="57" w:type="dxa"/>
              <w:left w:w="57" w:type="dxa"/>
              <w:bottom w:w="57" w:type="dxa"/>
              <w:right w:w="57" w:type="dxa"/>
            </w:tcMar>
          </w:tcPr>
          <w:p w14:paraId="0C145346" w14:textId="2DD16295" w:rsidR="00C7538D" w:rsidRPr="00881BC8" w:rsidRDefault="00C7538D" w:rsidP="006F0A2A">
            <w:pPr>
              <w:spacing w:after="0"/>
              <w:jc w:val="left"/>
              <w:rPr>
                <w:noProof/>
                <w:sz w:val="20"/>
                <w:szCs w:val="20"/>
              </w:rPr>
            </w:pPr>
          </w:p>
        </w:tc>
        <w:tc>
          <w:tcPr>
            <w:tcW w:w="1418" w:type="dxa"/>
            <w:tcMar>
              <w:top w:w="57" w:type="dxa"/>
              <w:left w:w="57" w:type="dxa"/>
              <w:bottom w:w="57" w:type="dxa"/>
              <w:right w:w="57" w:type="dxa"/>
            </w:tcMar>
          </w:tcPr>
          <w:p w14:paraId="02CB501E" w14:textId="77777777" w:rsidR="00C7538D" w:rsidRPr="00881BC8" w:rsidRDefault="00C7538D" w:rsidP="006F0A2A">
            <w:pPr>
              <w:spacing w:after="0"/>
              <w:jc w:val="left"/>
              <w:rPr>
                <w:noProof/>
                <w:sz w:val="20"/>
                <w:szCs w:val="20"/>
              </w:rPr>
            </w:pPr>
          </w:p>
        </w:tc>
        <w:tc>
          <w:tcPr>
            <w:tcW w:w="1489" w:type="dxa"/>
            <w:tcMar>
              <w:top w:w="57" w:type="dxa"/>
              <w:left w:w="57" w:type="dxa"/>
              <w:bottom w:w="57" w:type="dxa"/>
              <w:right w:w="57" w:type="dxa"/>
            </w:tcMar>
          </w:tcPr>
          <w:p w14:paraId="4CCD3E67" w14:textId="77777777" w:rsidR="00C7538D" w:rsidRPr="00881BC8" w:rsidRDefault="00C7538D" w:rsidP="006F0A2A">
            <w:pPr>
              <w:spacing w:after="0"/>
              <w:jc w:val="left"/>
              <w:rPr>
                <w:noProof/>
                <w:sz w:val="20"/>
                <w:szCs w:val="20"/>
              </w:rPr>
            </w:pPr>
          </w:p>
        </w:tc>
      </w:tr>
      <w:tr w:rsidR="00C7538D" w:rsidRPr="00881BC8" w14:paraId="20AA77D2" w14:textId="77777777" w:rsidTr="006F0A2A">
        <w:trPr>
          <w:cantSplit/>
          <w:trHeight w:val="307"/>
        </w:trPr>
        <w:tc>
          <w:tcPr>
            <w:tcW w:w="1204" w:type="dxa"/>
            <w:vMerge/>
            <w:tcMar>
              <w:top w:w="57" w:type="dxa"/>
              <w:left w:w="57" w:type="dxa"/>
              <w:bottom w:w="57" w:type="dxa"/>
              <w:right w:w="57" w:type="dxa"/>
            </w:tcMar>
            <w:vAlign w:val="center"/>
          </w:tcPr>
          <w:p w14:paraId="3E0AB50C" w14:textId="77777777" w:rsidR="00C7538D" w:rsidRPr="00881BC8" w:rsidRDefault="00C7538D" w:rsidP="006F0A2A">
            <w:pPr>
              <w:spacing w:after="0"/>
              <w:jc w:val="left"/>
              <w:rPr>
                <w:noProof/>
                <w:sz w:val="20"/>
                <w:szCs w:val="20"/>
              </w:rPr>
            </w:pPr>
          </w:p>
        </w:tc>
        <w:tc>
          <w:tcPr>
            <w:tcW w:w="1343" w:type="dxa"/>
            <w:tcBorders>
              <w:right w:val="double" w:sz="4" w:space="0" w:color="auto"/>
            </w:tcBorders>
            <w:tcMar>
              <w:top w:w="57" w:type="dxa"/>
              <w:left w:w="57" w:type="dxa"/>
              <w:bottom w:w="57" w:type="dxa"/>
              <w:right w:w="57" w:type="dxa"/>
            </w:tcMar>
            <w:vAlign w:val="center"/>
          </w:tcPr>
          <w:p w14:paraId="3BD0651A" w14:textId="77777777" w:rsidR="00C7538D" w:rsidRPr="00881BC8" w:rsidRDefault="00C7538D" w:rsidP="006F0A2A">
            <w:pPr>
              <w:spacing w:after="0"/>
              <w:jc w:val="left"/>
              <w:rPr>
                <w:noProof/>
                <w:sz w:val="20"/>
                <w:szCs w:val="20"/>
              </w:rPr>
            </w:pPr>
            <w:r w:rsidRPr="00881BC8">
              <w:rPr>
                <w:noProof/>
                <w:sz w:val="20"/>
                <w:szCs w:val="20"/>
              </w:rPr>
              <w:t>Direct enforcement costs</w:t>
            </w:r>
          </w:p>
        </w:tc>
        <w:tc>
          <w:tcPr>
            <w:tcW w:w="925" w:type="dxa"/>
            <w:tcBorders>
              <w:left w:val="double" w:sz="4" w:space="0" w:color="auto"/>
            </w:tcBorders>
            <w:tcMar>
              <w:top w:w="57" w:type="dxa"/>
              <w:left w:w="57" w:type="dxa"/>
              <w:bottom w:w="57" w:type="dxa"/>
              <w:right w:w="57" w:type="dxa"/>
            </w:tcMar>
            <w:vAlign w:val="center"/>
          </w:tcPr>
          <w:p w14:paraId="44C364D2" w14:textId="77777777" w:rsidR="00C7538D" w:rsidRPr="00881BC8" w:rsidRDefault="00C7538D" w:rsidP="006F0A2A">
            <w:pPr>
              <w:spacing w:after="0"/>
              <w:jc w:val="left"/>
              <w:rPr>
                <w:noProof/>
                <w:sz w:val="20"/>
                <w:szCs w:val="20"/>
              </w:rPr>
            </w:pPr>
          </w:p>
        </w:tc>
        <w:tc>
          <w:tcPr>
            <w:tcW w:w="851" w:type="dxa"/>
            <w:tcMar>
              <w:top w:w="57" w:type="dxa"/>
              <w:left w:w="57" w:type="dxa"/>
              <w:bottom w:w="57" w:type="dxa"/>
              <w:right w:w="57" w:type="dxa"/>
            </w:tcMar>
            <w:vAlign w:val="center"/>
          </w:tcPr>
          <w:p w14:paraId="16FFA5FB" w14:textId="77777777" w:rsidR="00C7538D" w:rsidRPr="00881BC8" w:rsidRDefault="00C7538D" w:rsidP="006F0A2A">
            <w:pPr>
              <w:spacing w:after="0"/>
              <w:jc w:val="left"/>
              <w:rPr>
                <w:noProof/>
                <w:sz w:val="20"/>
                <w:szCs w:val="20"/>
              </w:rPr>
            </w:pPr>
          </w:p>
        </w:tc>
        <w:tc>
          <w:tcPr>
            <w:tcW w:w="1417" w:type="dxa"/>
            <w:tcMar>
              <w:top w:w="57" w:type="dxa"/>
              <w:left w:w="57" w:type="dxa"/>
              <w:bottom w:w="57" w:type="dxa"/>
              <w:right w:w="57" w:type="dxa"/>
            </w:tcMar>
            <w:vAlign w:val="center"/>
          </w:tcPr>
          <w:p w14:paraId="688F51EB" w14:textId="77777777" w:rsidR="00C7538D" w:rsidRPr="00881BC8" w:rsidRDefault="00C7538D" w:rsidP="006F0A2A">
            <w:pPr>
              <w:spacing w:after="0"/>
              <w:jc w:val="left"/>
              <w:rPr>
                <w:noProof/>
                <w:sz w:val="20"/>
                <w:szCs w:val="20"/>
              </w:rPr>
            </w:pPr>
          </w:p>
        </w:tc>
        <w:tc>
          <w:tcPr>
            <w:tcW w:w="1559" w:type="dxa"/>
            <w:tcMar>
              <w:top w:w="57" w:type="dxa"/>
              <w:left w:w="57" w:type="dxa"/>
              <w:bottom w:w="57" w:type="dxa"/>
              <w:right w:w="57" w:type="dxa"/>
            </w:tcMar>
          </w:tcPr>
          <w:p w14:paraId="5D468600" w14:textId="77777777" w:rsidR="00C7538D" w:rsidRPr="00881BC8" w:rsidRDefault="00C7538D" w:rsidP="006F0A2A">
            <w:pPr>
              <w:spacing w:after="0"/>
              <w:jc w:val="left"/>
              <w:rPr>
                <w:noProof/>
                <w:sz w:val="20"/>
                <w:szCs w:val="20"/>
              </w:rPr>
            </w:pPr>
          </w:p>
        </w:tc>
        <w:tc>
          <w:tcPr>
            <w:tcW w:w="1418" w:type="dxa"/>
            <w:tcMar>
              <w:top w:w="57" w:type="dxa"/>
              <w:left w:w="57" w:type="dxa"/>
              <w:bottom w:w="57" w:type="dxa"/>
              <w:right w:w="57" w:type="dxa"/>
            </w:tcMar>
          </w:tcPr>
          <w:p w14:paraId="758FA1D6" w14:textId="77777777" w:rsidR="00C7538D" w:rsidRPr="00881BC8" w:rsidRDefault="00C7538D" w:rsidP="006F0A2A">
            <w:pPr>
              <w:spacing w:after="0"/>
              <w:jc w:val="left"/>
              <w:rPr>
                <w:noProof/>
                <w:sz w:val="20"/>
                <w:szCs w:val="20"/>
              </w:rPr>
            </w:pPr>
          </w:p>
        </w:tc>
        <w:tc>
          <w:tcPr>
            <w:tcW w:w="1489" w:type="dxa"/>
            <w:tcMar>
              <w:top w:w="57" w:type="dxa"/>
              <w:left w:w="57" w:type="dxa"/>
              <w:bottom w:w="57" w:type="dxa"/>
              <w:right w:w="57" w:type="dxa"/>
            </w:tcMar>
          </w:tcPr>
          <w:p w14:paraId="224087E7" w14:textId="5C7E45BB" w:rsidR="00C7538D" w:rsidRPr="00881BC8" w:rsidRDefault="00C7538D" w:rsidP="006F0A2A">
            <w:pPr>
              <w:spacing w:after="0"/>
              <w:jc w:val="left"/>
              <w:rPr>
                <w:noProof/>
                <w:sz w:val="20"/>
                <w:szCs w:val="20"/>
              </w:rPr>
            </w:pPr>
          </w:p>
        </w:tc>
      </w:tr>
      <w:tr w:rsidR="00C7538D" w:rsidRPr="00881BC8" w14:paraId="4D7EBFFE" w14:textId="77777777" w:rsidTr="006F0A2A">
        <w:trPr>
          <w:cantSplit/>
        </w:trPr>
        <w:tc>
          <w:tcPr>
            <w:tcW w:w="1204" w:type="dxa"/>
            <w:vMerge/>
            <w:tcBorders>
              <w:bottom w:val="double" w:sz="4" w:space="0" w:color="auto"/>
            </w:tcBorders>
            <w:tcMar>
              <w:top w:w="57" w:type="dxa"/>
              <w:left w:w="57" w:type="dxa"/>
              <w:bottom w:w="57" w:type="dxa"/>
              <w:right w:w="57" w:type="dxa"/>
            </w:tcMar>
          </w:tcPr>
          <w:p w14:paraId="46C37108" w14:textId="77777777" w:rsidR="00C7538D" w:rsidRPr="00881BC8" w:rsidRDefault="00C7538D" w:rsidP="006F0A2A">
            <w:pPr>
              <w:spacing w:after="0"/>
              <w:jc w:val="left"/>
              <w:rPr>
                <w:noProof/>
                <w:sz w:val="20"/>
                <w:szCs w:val="20"/>
              </w:rPr>
            </w:pPr>
          </w:p>
        </w:tc>
        <w:tc>
          <w:tcPr>
            <w:tcW w:w="1343" w:type="dxa"/>
            <w:tcBorders>
              <w:bottom w:val="double" w:sz="4" w:space="0" w:color="auto"/>
              <w:right w:val="double" w:sz="4" w:space="0" w:color="auto"/>
            </w:tcBorders>
            <w:tcMar>
              <w:top w:w="57" w:type="dxa"/>
              <w:left w:w="57" w:type="dxa"/>
              <w:bottom w:w="57" w:type="dxa"/>
              <w:right w:w="57" w:type="dxa"/>
            </w:tcMar>
          </w:tcPr>
          <w:p w14:paraId="52D40D28" w14:textId="77777777" w:rsidR="00C7538D" w:rsidRPr="00881BC8" w:rsidRDefault="00C7538D" w:rsidP="006F0A2A">
            <w:pPr>
              <w:spacing w:after="0"/>
              <w:jc w:val="left"/>
              <w:rPr>
                <w:noProof/>
                <w:sz w:val="20"/>
                <w:szCs w:val="20"/>
              </w:rPr>
            </w:pPr>
            <w:r w:rsidRPr="00881BC8">
              <w:rPr>
                <w:noProof/>
                <w:sz w:val="20"/>
                <w:szCs w:val="20"/>
              </w:rPr>
              <w:t>Indirect costs</w:t>
            </w:r>
          </w:p>
        </w:tc>
        <w:tc>
          <w:tcPr>
            <w:tcW w:w="925" w:type="dxa"/>
            <w:tcBorders>
              <w:left w:val="double" w:sz="4" w:space="0" w:color="auto"/>
              <w:bottom w:val="double" w:sz="4" w:space="0" w:color="auto"/>
            </w:tcBorders>
            <w:tcMar>
              <w:top w:w="57" w:type="dxa"/>
              <w:left w:w="57" w:type="dxa"/>
              <w:bottom w:w="57" w:type="dxa"/>
              <w:right w:w="57" w:type="dxa"/>
            </w:tcMar>
          </w:tcPr>
          <w:p w14:paraId="2C099BC9" w14:textId="77777777" w:rsidR="00C7538D" w:rsidRPr="00881BC8" w:rsidRDefault="00C7538D" w:rsidP="006F0A2A">
            <w:pPr>
              <w:spacing w:after="0"/>
              <w:jc w:val="left"/>
              <w:rPr>
                <w:noProof/>
                <w:sz w:val="20"/>
                <w:szCs w:val="20"/>
              </w:rPr>
            </w:pPr>
          </w:p>
        </w:tc>
        <w:tc>
          <w:tcPr>
            <w:tcW w:w="851" w:type="dxa"/>
            <w:tcBorders>
              <w:bottom w:val="double" w:sz="4" w:space="0" w:color="auto"/>
            </w:tcBorders>
            <w:tcMar>
              <w:top w:w="57" w:type="dxa"/>
              <w:left w:w="57" w:type="dxa"/>
              <w:bottom w:w="57" w:type="dxa"/>
              <w:right w:w="57" w:type="dxa"/>
            </w:tcMar>
          </w:tcPr>
          <w:p w14:paraId="07AA4936" w14:textId="77777777" w:rsidR="00C7538D" w:rsidRPr="00881BC8" w:rsidRDefault="00C7538D" w:rsidP="006F0A2A">
            <w:pPr>
              <w:spacing w:after="0"/>
              <w:jc w:val="left"/>
              <w:rPr>
                <w:noProof/>
                <w:sz w:val="20"/>
                <w:szCs w:val="20"/>
              </w:rPr>
            </w:pPr>
          </w:p>
        </w:tc>
        <w:tc>
          <w:tcPr>
            <w:tcW w:w="1417" w:type="dxa"/>
            <w:tcBorders>
              <w:bottom w:val="double" w:sz="4" w:space="0" w:color="auto"/>
            </w:tcBorders>
            <w:tcMar>
              <w:top w:w="57" w:type="dxa"/>
              <w:left w:w="57" w:type="dxa"/>
              <w:bottom w:w="57" w:type="dxa"/>
              <w:right w:w="57" w:type="dxa"/>
            </w:tcMar>
          </w:tcPr>
          <w:p w14:paraId="2AC75244" w14:textId="77777777" w:rsidR="00C7538D" w:rsidRPr="00881BC8" w:rsidRDefault="00C7538D" w:rsidP="006F0A2A">
            <w:pPr>
              <w:spacing w:after="0"/>
              <w:jc w:val="left"/>
              <w:rPr>
                <w:noProof/>
                <w:sz w:val="20"/>
                <w:szCs w:val="20"/>
              </w:rPr>
            </w:pPr>
          </w:p>
        </w:tc>
        <w:tc>
          <w:tcPr>
            <w:tcW w:w="1559" w:type="dxa"/>
            <w:tcBorders>
              <w:bottom w:val="double" w:sz="4" w:space="0" w:color="auto"/>
            </w:tcBorders>
            <w:tcMar>
              <w:top w:w="57" w:type="dxa"/>
              <w:left w:w="57" w:type="dxa"/>
              <w:bottom w:w="57" w:type="dxa"/>
              <w:right w:w="57" w:type="dxa"/>
            </w:tcMar>
          </w:tcPr>
          <w:p w14:paraId="3BABD6A4" w14:textId="77777777" w:rsidR="00C7538D" w:rsidRPr="00881BC8" w:rsidRDefault="00C7538D" w:rsidP="006F0A2A">
            <w:pPr>
              <w:spacing w:after="0"/>
              <w:jc w:val="left"/>
              <w:rPr>
                <w:noProof/>
                <w:sz w:val="20"/>
                <w:szCs w:val="20"/>
              </w:rPr>
            </w:pPr>
          </w:p>
        </w:tc>
        <w:tc>
          <w:tcPr>
            <w:tcW w:w="1418" w:type="dxa"/>
            <w:tcBorders>
              <w:bottom w:val="double" w:sz="4" w:space="0" w:color="auto"/>
            </w:tcBorders>
            <w:tcMar>
              <w:top w:w="57" w:type="dxa"/>
              <w:left w:w="57" w:type="dxa"/>
              <w:bottom w:w="57" w:type="dxa"/>
              <w:right w:w="57" w:type="dxa"/>
            </w:tcMar>
          </w:tcPr>
          <w:p w14:paraId="4A56268C" w14:textId="77777777" w:rsidR="00C7538D" w:rsidRPr="00881BC8" w:rsidRDefault="00C7538D" w:rsidP="006F0A2A">
            <w:pPr>
              <w:spacing w:after="0"/>
              <w:jc w:val="left"/>
              <w:rPr>
                <w:noProof/>
                <w:sz w:val="20"/>
                <w:szCs w:val="20"/>
              </w:rPr>
            </w:pPr>
          </w:p>
        </w:tc>
        <w:tc>
          <w:tcPr>
            <w:tcW w:w="1489" w:type="dxa"/>
            <w:tcBorders>
              <w:bottom w:val="double" w:sz="4" w:space="0" w:color="auto"/>
            </w:tcBorders>
            <w:tcMar>
              <w:top w:w="57" w:type="dxa"/>
              <w:left w:w="57" w:type="dxa"/>
              <w:bottom w:w="57" w:type="dxa"/>
              <w:right w:w="57" w:type="dxa"/>
            </w:tcMar>
          </w:tcPr>
          <w:p w14:paraId="6611A1F2" w14:textId="77777777" w:rsidR="00C7538D" w:rsidRPr="00881BC8" w:rsidRDefault="00C7538D" w:rsidP="006F0A2A">
            <w:pPr>
              <w:spacing w:after="0"/>
              <w:jc w:val="left"/>
              <w:rPr>
                <w:noProof/>
                <w:sz w:val="20"/>
                <w:szCs w:val="20"/>
              </w:rPr>
            </w:pPr>
          </w:p>
        </w:tc>
      </w:tr>
      <w:tr w:rsidR="00F11395" w:rsidRPr="00881BC8" w14:paraId="6582F285" w14:textId="77777777" w:rsidTr="006C696B">
        <w:trPr>
          <w:cantSplit/>
        </w:trPr>
        <w:tc>
          <w:tcPr>
            <w:tcW w:w="10206" w:type="dxa"/>
            <w:gridSpan w:val="8"/>
            <w:shd w:val="clear" w:color="auto" w:fill="D5DCE4"/>
            <w:tcMar>
              <w:top w:w="57" w:type="dxa"/>
              <w:left w:w="57" w:type="dxa"/>
              <w:bottom w:w="57" w:type="dxa"/>
              <w:right w:w="57" w:type="dxa"/>
            </w:tcMar>
          </w:tcPr>
          <w:p w14:paraId="54DE0C19" w14:textId="77777777" w:rsidR="00F11395" w:rsidRPr="00881BC8" w:rsidRDefault="00F11395" w:rsidP="00F11395">
            <w:pPr>
              <w:spacing w:after="0"/>
              <w:jc w:val="center"/>
              <w:rPr>
                <w:b/>
                <w:i/>
                <w:noProof/>
                <w:sz w:val="20"/>
                <w:szCs w:val="20"/>
              </w:rPr>
            </w:pPr>
            <w:r w:rsidRPr="00881BC8">
              <w:rPr>
                <w:b/>
                <w:i/>
                <w:noProof/>
                <w:sz w:val="20"/>
                <w:szCs w:val="20"/>
              </w:rPr>
              <w:t>Costs related to the ‘one in, one out’ approach</w:t>
            </w:r>
          </w:p>
        </w:tc>
      </w:tr>
      <w:tr w:rsidR="00F11395" w:rsidRPr="00881BC8" w14:paraId="433E1CCC" w14:textId="77777777" w:rsidTr="006C696B">
        <w:trPr>
          <w:cantSplit/>
          <w:trHeight w:val="637"/>
        </w:trPr>
        <w:tc>
          <w:tcPr>
            <w:tcW w:w="1204" w:type="dxa"/>
            <w:vMerge w:val="restart"/>
            <w:tcBorders>
              <w:top w:val="double" w:sz="4" w:space="0" w:color="auto"/>
            </w:tcBorders>
            <w:tcMar>
              <w:top w:w="57" w:type="dxa"/>
              <w:left w:w="57" w:type="dxa"/>
              <w:bottom w:w="57" w:type="dxa"/>
              <w:right w:w="57" w:type="dxa"/>
            </w:tcMar>
            <w:vAlign w:val="center"/>
          </w:tcPr>
          <w:p w14:paraId="6B9ED78B" w14:textId="09AC355C" w:rsidR="00F11395" w:rsidRPr="00881BC8" w:rsidRDefault="00F11395" w:rsidP="00F11395">
            <w:pPr>
              <w:spacing w:after="0"/>
              <w:jc w:val="left"/>
              <w:rPr>
                <w:b/>
                <w:noProof/>
                <w:sz w:val="20"/>
                <w:szCs w:val="20"/>
              </w:rPr>
            </w:pPr>
            <w:r w:rsidRPr="00881BC8">
              <w:rPr>
                <w:b/>
                <w:noProof/>
                <w:sz w:val="20"/>
                <w:szCs w:val="20"/>
              </w:rPr>
              <w:t>Total</w:t>
            </w:r>
            <w:r w:rsidR="002E552C" w:rsidRPr="00881BC8">
              <w:rPr>
                <w:b/>
                <w:noProof/>
                <w:sz w:val="20"/>
                <w:szCs w:val="20"/>
              </w:rPr>
              <w:t xml:space="preserve"> </w:t>
            </w:r>
          </w:p>
        </w:tc>
        <w:tc>
          <w:tcPr>
            <w:tcW w:w="1343" w:type="dxa"/>
            <w:tcBorders>
              <w:top w:val="double" w:sz="4" w:space="0" w:color="auto"/>
              <w:right w:val="double" w:sz="4" w:space="0" w:color="auto"/>
            </w:tcBorders>
            <w:tcMar>
              <w:top w:w="57" w:type="dxa"/>
              <w:left w:w="57" w:type="dxa"/>
              <w:bottom w:w="57" w:type="dxa"/>
              <w:right w:w="57" w:type="dxa"/>
            </w:tcMar>
            <w:vAlign w:val="center"/>
          </w:tcPr>
          <w:p w14:paraId="47BFD9AB" w14:textId="77777777" w:rsidR="00F11395" w:rsidRPr="00881BC8" w:rsidRDefault="00F11395" w:rsidP="00F11395">
            <w:pPr>
              <w:spacing w:after="0"/>
              <w:jc w:val="left"/>
              <w:rPr>
                <w:noProof/>
                <w:sz w:val="20"/>
                <w:szCs w:val="20"/>
              </w:rPr>
            </w:pPr>
            <w:r w:rsidRPr="00881BC8">
              <w:rPr>
                <w:noProof/>
                <w:sz w:val="20"/>
                <w:szCs w:val="20"/>
              </w:rPr>
              <w:t xml:space="preserve">Direct adjustment costs </w:t>
            </w:r>
          </w:p>
        </w:tc>
        <w:tc>
          <w:tcPr>
            <w:tcW w:w="925" w:type="dxa"/>
            <w:tcBorders>
              <w:top w:val="double" w:sz="4" w:space="0" w:color="auto"/>
              <w:left w:val="double" w:sz="4" w:space="0" w:color="auto"/>
            </w:tcBorders>
            <w:tcMar>
              <w:top w:w="57" w:type="dxa"/>
              <w:left w:w="57" w:type="dxa"/>
              <w:bottom w:w="57" w:type="dxa"/>
              <w:right w:w="57" w:type="dxa"/>
            </w:tcMar>
          </w:tcPr>
          <w:p w14:paraId="260E5DCC" w14:textId="77777777" w:rsidR="00F11395" w:rsidRPr="00881BC8" w:rsidRDefault="00F11395" w:rsidP="00F11395">
            <w:pPr>
              <w:spacing w:after="0"/>
              <w:jc w:val="left"/>
              <w:rPr>
                <w:noProof/>
                <w:sz w:val="20"/>
                <w:szCs w:val="20"/>
              </w:rPr>
            </w:pPr>
          </w:p>
        </w:tc>
        <w:tc>
          <w:tcPr>
            <w:tcW w:w="851" w:type="dxa"/>
            <w:tcBorders>
              <w:top w:val="double" w:sz="4" w:space="0" w:color="auto"/>
            </w:tcBorders>
            <w:tcMar>
              <w:top w:w="57" w:type="dxa"/>
              <w:left w:w="57" w:type="dxa"/>
              <w:bottom w:w="57" w:type="dxa"/>
              <w:right w:w="57" w:type="dxa"/>
            </w:tcMar>
          </w:tcPr>
          <w:p w14:paraId="10312B70" w14:textId="77777777" w:rsidR="00F11395" w:rsidRPr="00881BC8" w:rsidRDefault="00F11395" w:rsidP="00F11395">
            <w:pPr>
              <w:spacing w:after="0"/>
              <w:jc w:val="left"/>
              <w:rPr>
                <w:noProof/>
                <w:sz w:val="20"/>
                <w:szCs w:val="20"/>
              </w:rPr>
            </w:pPr>
          </w:p>
        </w:tc>
        <w:tc>
          <w:tcPr>
            <w:tcW w:w="1417" w:type="dxa"/>
            <w:tcBorders>
              <w:top w:val="double" w:sz="4" w:space="0" w:color="auto"/>
            </w:tcBorders>
            <w:tcMar>
              <w:top w:w="57" w:type="dxa"/>
              <w:left w:w="57" w:type="dxa"/>
              <w:bottom w:w="57" w:type="dxa"/>
              <w:right w:w="57" w:type="dxa"/>
            </w:tcMar>
          </w:tcPr>
          <w:p w14:paraId="495C1060" w14:textId="19CFAA93" w:rsidR="00F11395" w:rsidRPr="00881BC8" w:rsidRDefault="00F11395" w:rsidP="00F11395">
            <w:pPr>
              <w:spacing w:after="0"/>
              <w:jc w:val="left"/>
              <w:rPr>
                <w:noProof/>
                <w:sz w:val="20"/>
                <w:szCs w:val="20"/>
              </w:rPr>
            </w:pPr>
            <w:r w:rsidRPr="00881BC8">
              <w:rPr>
                <w:noProof/>
                <w:sz w:val="20"/>
                <w:szCs w:val="20"/>
              </w:rPr>
              <w:t>EUR</w:t>
            </w:r>
            <w:r w:rsidR="0086342D" w:rsidRPr="00881BC8">
              <w:rPr>
                <w:noProof/>
                <w:sz w:val="20"/>
                <w:szCs w:val="20"/>
              </w:rPr>
              <w:t xml:space="preserve"> 243 </w:t>
            </w:r>
            <w:r w:rsidRPr="00881BC8">
              <w:rPr>
                <w:noProof/>
                <w:sz w:val="20"/>
                <w:szCs w:val="20"/>
              </w:rPr>
              <w:t>million, related to updating standard payment terms/invoices</w:t>
            </w:r>
            <w:r w:rsidR="0086342D" w:rsidRPr="00881BC8">
              <w:rPr>
                <w:noProof/>
                <w:sz w:val="20"/>
                <w:szCs w:val="20"/>
              </w:rPr>
              <w:t xml:space="preserve"> to reflect the capping at 30 days and the adaptation of compensation fee</w:t>
            </w:r>
            <w:r w:rsidR="00BA74D0" w:rsidRPr="00881BC8">
              <w:rPr>
                <w:noProof/>
                <w:sz w:val="20"/>
                <w:szCs w:val="20"/>
              </w:rPr>
              <w:t>s</w:t>
            </w:r>
            <w:r w:rsidR="0086342D" w:rsidRPr="00881BC8">
              <w:rPr>
                <w:noProof/>
                <w:sz w:val="20"/>
                <w:szCs w:val="20"/>
              </w:rPr>
              <w:t>.</w:t>
            </w:r>
          </w:p>
        </w:tc>
        <w:tc>
          <w:tcPr>
            <w:tcW w:w="1559" w:type="dxa"/>
            <w:tcBorders>
              <w:top w:val="double" w:sz="4" w:space="0" w:color="auto"/>
            </w:tcBorders>
            <w:tcMar>
              <w:top w:w="57" w:type="dxa"/>
              <w:left w:w="57" w:type="dxa"/>
              <w:bottom w:w="57" w:type="dxa"/>
              <w:right w:w="57" w:type="dxa"/>
            </w:tcMar>
          </w:tcPr>
          <w:p w14:paraId="6BECFE8D" w14:textId="77777777" w:rsidR="00F11395" w:rsidRPr="00881BC8" w:rsidRDefault="00F11395" w:rsidP="00F11395">
            <w:pPr>
              <w:spacing w:after="0"/>
              <w:jc w:val="left"/>
              <w:rPr>
                <w:noProof/>
                <w:sz w:val="20"/>
                <w:szCs w:val="20"/>
              </w:rPr>
            </w:pPr>
          </w:p>
        </w:tc>
        <w:tc>
          <w:tcPr>
            <w:tcW w:w="1418" w:type="dxa"/>
            <w:tcBorders>
              <w:top w:val="double" w:sz="4" w:space="0" w:color="auto"/>
              <w:bottom w:val="double" w:sz="4" w:space="0" w:color="auto"/>
              <w:tl2br w:val="double" w:sz="4" w:space="0" w:color="auto"/>
            </w:tcBorders>
            <w:tcMar>
              <w:top w:w="57" w:type="dxa"/>
              <w:left w:w="57" w:type="dxa"/>
              <w:bottom w:w="57" w:type="dxa"/>
              <w:right w:w="57" w:type="dxa"/>
            </w:tcMar>
          </w:tcPr>
          <w:p w14:paraId="7DEE5297" w14:textId="77777777" w:rsidR="00F11395" w:rsidRPr="00881BC8" w:rsidRDefault="00F11395" w:rsidP="00F11395">
            <w:pPr>
              <w:spacing w:after="0"/>
              <w:jc w:val="left"/>
              <w:rPr>
                <w:noProof/>
                <w:sz w:val="20"/>
                <w:szCs w:val="20"/>
              </w:rPr>
            </w:pPr>
          </w:p>
        </w:tc>
        <w:tc>
          <w:tcPr>
            <w:tcW w:w="1489" w:type="dxa"/>
            <w:tcBorders>
              <w:top w:val="double" w:sz="4" w:space="0" w:color="auto"/>
              <w:bottom w:val="double" w:sz="4" w:space="0" w:color="auto"/>
              <w:tl2br w:val="double" w:sz="4" w:space="0" w:color="auto"/>
            </w:tcBorders>
            <w:tcMar>
              <w:top w:w="57" w:type="dxa"/>
              <w:left w:w="57" w:type="dxa"/>
              <w:bottom w:w="57" w:type="dxa"/>
              <w:right w:w="57" w:type="dxa"/>
            </w:tcMar>
          </w:tcPr>
          <w:p w14:paraId="3AE3764C" w14:textId="77777777" w:rsidR="00F11395" w:rsidRPr="00881BC8" w:rsidRDefault="00F11395" w:rsidP="00F11395">
            <w:pPr>
              <w:spacing w:after="0"/>
              <w:jc w:val="left"/>
              <w:rPr>
                <w:noProof/>
                <w:sz w:val="20"/>
                <w:szCs w:val="20"/>
              </w:rPr>
            </w:pPr>
          </w:p>
        </w:tc>
      </w:tr>
      <w:tr w:rsidR="00F11395" w:rsidRPr="00881BC8" w14:paraId="5FD0C191" w14:textId="77777777" w:rsidTr="006C696B">
        <w:trPr>
          <w:cantSplit/>
          <w:trHeight w:val="544"/>
        </w:trPr>
        <w:tc>
          <w:tcPr>
            <w:tcW w:w="1204" w:type="dxa"/>
            <w:vMerge/>
            <w:tcMar>
              <w:top w:w="57" w:type="dxa"/>
              <w:left w:w="57" w:type="dxa"/>
              <w:bottom w:w="57" w:type="dxa"/>
              <w:right w:w="57" w:type="dxa"/>
            </w:tcMar>
          </w:tcPr>
          <w:p w14:paraId="40E39A1F" w14:textId="77777777" w:rsidR="00F11395" w:rsidRPr="00881BC8" w:rsidRDefault="00F11395" w:rsidP="00F11395">
            <w:pPr>
              <w:spacing w:after="0"/>
              <w:jc w:val="left"/>
              <w:rPr>
                <w:noProof/>
                <w:sz w:val="20"/>
                <w:szCs w:val="20"/>
              </w:rPr>
            </w:pPr>
          </w:p>
        </w:tc>
        <w:tc>
          <w:tcPr>
            <w:tcW w:w="1343" w:type="dxa"/>
            <w:tcBorders>
              <w:right w:val="double" w:sz="4" w:space="0" w:color="auto"/>
            </w:tcBorders>
            <w:tcMar>
              <w:top w:w="57" w:type="dxa"/>
              <w:left w:w="57" w:type="dxa"/>
              <w:bottom w:w="57" w:type="dxa"/>
              <w:right w:w="57" w:type="dxa"/>
            </w:tcMar>
          </w:tcPr>
          <w:p w14:paraId="769C7332" w14:textId="77777777" w:rsidR="00F11395" w:rsidRPr="00881BC8" w:rsidRDefault="00F11395" w:rsidP="00F11395">
            <w:pPr>
              <w:spacing w:after="0"/>
              <w:jc w:val="left"/>
              <w:rPr>
                <w:noProof/>
                <w:sz w:val="20"/>
                <w:szCs w:val="20"/>
              </w:rPr>
            </w:pPr>
            <w:r w:rsidRPr="00881BC8">
              <w:rPr>
                <w:noProof/>
                <w:sz w:val="20"/>
                <w:szCs w:val="20"/>
              </w:rPr>
              <w:t>Indirect adjustment costs</w:t>
            </w:r>
          </w:p>
        </w:tc>
        <w:tc>
          <w:tcPr>
            <w:tcW w:w="925" w:type="dxa"/>
            <w:tcBorders>
              <w:left w:val="double" w:sz="4" w:space="0" w:color="auto"/>
            </w:tcBorders>
            <w:tcMar>
              <w:top w:w="57" w:type="dxa"/>
              <w:left w:w="57" w:type="dxa"/>
              <w:bottom w:w="57" w:type="dxa"/>
              <w:right w:w="57" w:type="dxa"/>
            </w:tcMar>
          </w:tcPr>
          <w:p w14:paraId="6AFC407E" w14:textId="77777777" w:rsidR="00F11395" w:rsidRPr="00881BC8" w:rsidRDefault="00F11395" w:rsidP="00F11395">
            <w:pPr>
              <w:spacing w:after="0"/>
              <w:jc w:val="left"/>
              <w:rPr>
                <w:noProof/>
                <w:sz w:val="20"/>
                <w:szCs w:val="20"/>
              </w:rPr>
            </w:pPr>
          </w:p>
        </w:tc>
        <w:tc>
          <w:tcPr>
            <w:tcW w:w="851" w:type="dxa"/>
            <w:tcMar>
              <w:top w:w="57" w:type="dxa"/>
              <w:left w:w="57" w:type="dxa"/>
              <w:bottom w:w="57" w:type="dxa"/>
              <w:right w:w="57" w:type="dxa"/>
            </w:tcMar>
          </w:tcPr>
          <w:p w14:paraId="6A432160" w14:textId="77777777" w:rsidR="00F11395" w:rsidRPr="00881BC8" w:rsidRDefault="00F11395" w:rsidP="00F11395">
            <w:pPr>
              <w:spacing w:after="0"/>
              <w:jc w:val="left"/>
              <w:rPr>
                <w:noProof/>
                <w:sz w:val="20"/>
                <w:szCs w:val="20"/>
              </w:rPr>
            </w:pPr>
          </w:p>
        </w:tc>
        <w:tc>
          <w:tcPr>
            <w:tcW w:w="1417" w:type="dxa"/>
            <w:tcMar>
              <w:top w:w="57" w:type="dxa"/>
              <w:left w:w="57" w:type="dxa"/>
              <w:bottom w:w="57" w:type="dxa"/>
              <w:right w:w="57" w:type="dxa"/>
            </w:tcMar>
          </w:tcPr>
          <w:p w14:paraId="2C64469A" w14:textId="77777777" w:rsidR="00F11395" w:rsidRPr="00881BC8" w:rsidRDefault="00F11395" w:rsidP="00F11395">
            <w:pPr>
              <w:spacing w:after="0"/>
              <w:jc w:val="left"/>
              <w:rPr>
                <w:noProof/>
                <w:sz w:val="20"/>
                <w:szCs w:val="20"/>
              </w:rPr>
            </w:pPr>
          </w:p>
        </w:tc>
        <w:tc>
          <w:tcPr>
            <w:tcW w:w="1559" w:type="dxa"/>
            <w:tcMar>
              <w:top w:w="57" w:type="dxa"/>
              <w:left w:w="57" w:type="dxa"/>
              <w:bottom w:w="57" w:type="dxa"/>
              <w:right w:w="57" w:type="dxa"/>
            </w:tcMar>
          </w:tcPr>
          <w:p w14:paraId="1DF55CE9" w14:textId="0EE65F94" w:rsidR="00F11395" w:rsidRPr="00881BC8" w:rsidRDefault="00B830B4" w:rsidP="00F11395">
            <w:pPr>
              <w:spacing w:after="0"/>
              <w:jc w:val="left"/>
              <w:rPr>
                <w:noProof/>
                <w:sz w:val="20"/>
                <w:szCs w:val="20"/>
              </w:rPr>
            </w:pPr>
            <w:r w:rsidRPr="00881BC8">
              <w:rPr>
                <w:noProof/>
                <w:sz w:val="20"/>
                <w:szCs w:val="20"/>
              </w:rPr>
              <w:t xml:space="preserve">Possible adverse effect on the income of commercial providers of financial </w:t>
            </w:r>
            <w:r w:rsidR="002E4476" w:rsidRPr="00881BC8">
              <w:rPr>
                <w:noProof/>
                <w:sz w:val="20"/>
                <w:szCs w:val="20"/>
              </w:rPr>
              <w:t xml:space="preserve">/ digital </w:t>
            </w:r>
            <w:r w:rsidRPr="00881BC8">
              <w:rPr>
                <w:noProof/>
                <w:sz w:val="20"/>
                <w:szCs w:val="20"/>
              </w:rPr>
              <w:t>training and mediation services.</w:t>
            </w:r>
          </w:p>
        </w:tc>
        <w:tc>
          <w:tcPr>
            <w:tcW w:w="1418" w:type="dxa"/>
            <w:tcBorders>
              <w:top w:val="double" w:sz="4" w:space="0" w:color="auto"/>
              <w:bottom w:val="double" w:sz="4" w:space="0" w:color="auto"/>
              <w:tl2br w:val="double" w:sz="4" w:space="0" w:color="auto"/>
            </w:tcBorders>
            <w:tcMar>
              <w:top w:w="57" w:type="dxa"/>
              <w:left w:w="57" w:type="dxa"/>
              <w:bottom w:w="57" w:type="dxa"/>
              <w:right w:w="57" w:type="dxa"/>
            </w:tcMar>
          </w:tcPr>
          <w:p w14:paraId="68FA1DC0" w14:textId="77777777" w:rsidR="00F11395" w:rsidRPr="00881BC8" w:rsidRDefault="00F11395" w:rsidP="00F11395">
            <w:pPr>
              <w:spacing w:after="0"/>
              <w:jc w:val="left"/>
              <w:rPr>
                <w:noProof/>
                <w:sz w:val="20"/>
                <w:szCs w:val="20"/>
              </w:rPr>
            </w:pPr>
          </w:p>
        </w:tc>
        <w:tc>
          <w:tcPr>
            <w:tcW w:w="1489" w:type="dxa"/>
            <w:tcBorders>
              <w:top w:val="double" w:sz="4" w:space="0" w:color="auto"/>
              <w:bottom w:val="double" w:sz="4" w:space="0" w:color="auto"/>
              <w:tl2br w:val="double" w:sz="4" w:space="0" w:color="auto"/>
            </w:tcBorders>
            <w:tcMar>
              <w:top w:w="57" w:type="dxa"/>
              <w:left w:w="57" w:type="dxa"/>
              <w:bottom w:w="57" w:type="dxa"/>
              <w:right w:w="57" w:type="dxa"/>
            </w:tcMar>
          </w:tcPr>
          <w:p w14:paraId="5E54370C" w14:textId="77777777" w:rsidR="00F11395" w:rsidRPr="00881BC8" w:rsidRDefault="00F11395" w:rsidP="00F11395">
            <w:pPr>
              <w:spacing w:after="0"/>
              <w:jc w:val="left"/>
              <w:rPr>
                <w:noProof/>
                <w:sz w:val="20"/>
                <w:szCs w:val="20"/>
              </w:rPr>
            </w:pPr>
          </w:p>
        </w:tc>
      </w:tr>
      <w:tr w:rsidR="00F11395" w:rsidRPr="00881BC8" w14:paraId="467E5C64" w14:textId="77777777" w:rsidTr="006C696B">
        <w:trPr>
          <w:cantSplit/>
        </w:trPr>
        <w:tc>
          <w:tcPr>
            <w:tcW w:w="1204" w:type="dxa"/>
            <w:vMerge/>
            <w:tcMar>
              <w:top w:w="57" w:type="dxa"/>
              <w:left w:w="57" w:type="dxa"/>
              <w:bottom w:w="57" w:type="dxa"/>
              <w:right w:w="57" w:type="dxa"/>
            </w:tcMar>
          </w:tcPr>
          <w:p w14:paraId="669EBB54" w14:textId="77777777" w:rsidR="00F11395" w:rsidRPr="00881BC8" w:rsidRDefault="00F11395" w:rsidP="00F11395">
            <w:pPr>
              <w:spacing w:after="0"/>
              <w:jc w:val="left"/>
              <w:rPr>
                <w:noProof/>
                <w:sz w:val="20"/>
                <w:szCs w:val="20"/>
              </w:rPr>
            </w:pPr>
          </w:p>
        </w:tc>
        <w:tc>
          <w:tcPr>
            <w:tcW w:w="1343" w:type="dxa"/>
            <w:tcBorders>
              <w:right w:val="double" w:sz="4" w:space="0" w:color="auto"/>
            </w:tcBorders>
            <w:tcMar>
              <w:top w:w="57" w:type="dxa"/>
              <w:left w:w="57" w:type="dxa"/>
              <w:bottom w:w="57" w:type="dxa"/>
              <w:right w:w="57" w:type="dxa"/>
            </w:tcMar>
          </w:tcPr>
          <w:p w14:paraId="728575AE" w14:textId="77777777" w:rsidR="00F11395" w:rsidRPr="00881BC8" w:rsidRDefault="00F11395" w:rsidP="00F11395">
            <w:pPr>
              <w:spacing w:after="0"/>
              <w:jc w:val="left"/>
              <w:rPr>
                <w:noProof/>
                <w:sz w:val="20"/>
                <w:szCs w:val="20"/>
              </w:rPr>
            </w:pPr>
            <w:r w:rsidRPr="00881BC8">
              <w:rPr>
                <w:noProof/>
                <w:sz w:val="20"/>
                <w:szCs w:val="20"/>
              </w:rPr>
              <w:t>Administrative costs (for offsetting)</w:t>
            </w:r>
          </w:p>
        </w:tc>
        <w:tc>
          <w:tcPr>
            <w:tcW w:w="925" w:type="dxa"/>
            <w:tcBorders>
              <w:left w:val="double" w:sz="4" w:space="0" w:color="auto"/>
            </w:tcBorders>
            <w:tcMar>
              <w:top w:w="57" w:type="dxa"/>
              <w:left w:w="57" w:type="dxa"/>
              <w:bottom w:w="57" w:type="dxa"/>
              <w:right w:w="57" w:type="dxa"/>
            </w:tcMar>
          </w:tcPr>
          <w:p w14:paraId="05009132" w14:textId="77777777" w:rsidR="00F11395" w:rsidRPr="00881BC8" w:rsidRDefault="00F11395" w:rsidP="00F11395">
            <w:pPr>
              <w:spacing w:after="0"/>
              <w:jc w:val="left"/>
              <w:rPr>
                <w:noProof/>
                <w:sz w:val="20"/>
                <w:szCs w:val="20"/>
              </w:rPr>
            </w:pPr>
          </w:p>
        </w:tc>
        <w:tc>
          <w:tcPr>
            <w:tcW w:w="851" w:type="dxa"/>
            <w:tcMar>
              <w:top w:w="57" w:type="dxa"/>
              <w:left w:w="57" w:type="dxa"/>
              <w:bottom w:w="57" w:type="dxa"/>
              <w:right w:w="57" w:type="dxa"/>
            </w:tcMar>
          </w:tcPr>
          <w:p w14:paraId="01CEDDBF" w14:textId="77777777" w:rsidR="00F11395" w:rsidRPr="00881BC8" w:rsidRDefault="00F11395" w:rsidP="00F11395">
            <w:pPr>
              <w:spacing w:after="0"/>
              <w:jc w:val="left"/>
              <w:rPr>
                <w:noProof/>
                <w:sz w:val="20"/>
                <w:szCs w:val="20"/>
              </w:rPr>
            </w:pPr>
          </w:p>
        </w:tc>
        <w:tc>
          <w:tcPr>
            <w:tcW w:w="1417" w:type="dxa"/>
            <w:tcMar>
              <w:top w:w="57" w:type="dxa"/>
              <w:left w:w="57" w:type="dxa"/>
              <w:bottom w:w="57" w:type="dxa"/>
              <w:right w:w="57" w:type="dxa"/>
            </w:tcMar>
          </w:tcPr>
          <w:p w14:paraId="781D8CCC" w14:textId="77777777" w:rsidR="00F11395" w:rsidRPr="00881BC8" w:rsidRDefault="00F11395" w:rsidP="00F11395">
            <w:pPr>
              <w:spacing w:after="0"/>
              <w:jc w:val="left"/>
              <w:rPr>
                <w:noProof/>
                <w:sz w:val="20"/>
                <w:szCs w:val="20"/>
              </w:rPr>
            </w:pPr>
          </w:p>
        </w:tc>
        <w:tc>
          <w:tcPr>
            <w:tcW w:w="1559" w:type="dxa"/>
            <w:tcMar>
              <w:top w:w="57" w:type="dxa"/>
              <w:left w:w="57" w:type="dxa"/>
              <w:bottom w:w="57" w:type="dxa"/>
              <w:right w:w="57" w:type="dxa"/>
            </w:tcMar>
          </w:tcPr>
          <w:p w14:paraId="20AF78F5" w14:textId="5792F28E" w:rsidR="00F11395" w:rsidRPr="00881BC8" w:rsidRDefault="00F11395" w:rsidP="00F11395">
            <w:pPr>
              <w:spacing w:after="0"/>
              <w:jc w:val="left"/>
              <w:rPr>
                <w:noProof/>
                <w:sz w:val="20"/>
                <w:szCs w:val="20"/>
              </w:rPr>
            </w:pPr>
            <w:r w:rsidRPr="00881BC8">
              <w:rPr>
                <w:noProof/>
                <w:sz w:val="20"/>
                <w:szCs w:val="20"/>
              </w:rPr>
              <w:t>EUR 2.2 million</w:t>
            </w:r>
          </w:p>
        </w:tc>
        <w:tc>
          <w:tcPr>
            <w:tcW w:w="1418" w:type="dxa"/>
            <w:tcBorders>
              <w:top w:val="single" w:sz="4" w:space="0" w:color="auto"/>
              <w:bottom w:val="double" w:sz="4" w:space="0" w:color="auto"/>
              <w:tl2br w:val="double" w:sz="4" w:space="0" w:color="auto"/>
            </w:tcBorders>
            <w:tcMar>
              <w:top w:w="57" w:type="dxa"/>
              <w:left w:w="57" w:type="dxa"/>
              <w:bottom w:w="57" w:type="dxa"/>
              <w:right w:w="57" w:type="dxa"/>
            </w:tcMar>
          </w:tcPr>
          <w:p w14:paraId="06C00960" w14:textId="77777777" w:rsidR="00F11395" w:rsidRPr="00881BC8" w:rsidRDefault="00F11395" w:rsidP="00F11395">
            <w:pPr>
              <w:spacing w:after="0"/>
              <w:jc w:val="left"/>
              <w:rPr>
                <w:noProof/>
                <w:sz w:val="20"/>
                <w:szCs w:val="20"/>
              </w:rPr>
            </w:pPr>
          </w:p>
        </w:tc>
        <w:tc>
          <w:tcPr>
            <w:tcW w:w="1489" w:type="dxa"/>
            <w:tcBorders>
              <w:top w:val="single" w:sz="4" w:space="0" w:color="auto"/>
              <w:bottom w:val="double" w:sz="4" w:space="0" w:color="auto"/>
              <w:tl2br w:val="double" w:sz="4" w:space="0" w:color="auto"/>
            </w:tcBorders>
            <w:tcMar>
              <w:top w:w="57" w:type="dxa"/>
              <w:left w:w="57" w:type="dxa"/>
              <w:bottom w:w="57" w:type="dxa"/>
              <w:right w:w="57" w:type="dxa"/>
            </w:tcMar>
          </w:tcPr>
          <w:p w14:paraId="10346E76" w14:textId="77777777" w:rsidR="00F11395" w:rsidRPr="00881BC8" w:rsidRDefault="00F11395" w:rsidP="00F11395">
            <w:pPr>
              <w:spacing w:after="0"/>
              <w:jc w:val="left"/>
              <w:rPr>
                <w:noProof/>
                <w:sz w:val="20"/>
                <w:szCs w:val="20"/>
              </w:rPr>
            </w:pPr>
          </w:p>
        </w:tc>
      </w:tr>
    </w:tbl>
    <w:p w14:paraId="35560162" w14:textId="77777777" w:rsidR="005A45DC" w:rsidRPr="00881BC8" w:rsidRDefault="005A45DC" w:rsidP="005A45DC">
      <w:pPr>
        <w:rPr>
          <w:noProof/>
        </w:rPr>
      </w:pPr>
    </w:p>
    <w:p w14:paraId="3F7FE5D8" w14:textId="77777777" w:rsidR="005A45DC" w:rsidRPr="00881BC8" w:rsidRDefault="005A45DC" w:rsidP="005A45DC">
      <w:pPr>
        <w:rPr>
          <w:i/>
          <w:noProof/>
          <w:sz w:val="20"/>
        </w:rPr>
      </w:pPr>
      <w:r w:rsidRPr="00881BC8">
        <w:rPr>
          <w:i/>
          <w:noProof/>
          <w:sz w:val="20"/>
        </w:rPr>
        <w:t xml:space="preserve">(1) Estimates (gross values) to be provided with respect to the baseline; (2) costs are provided for each identifiable action/obligation of the </w:t>
      </w:r>
      <w:r w:rsidRPr="00881BC8">
        <w:rPr>
          <w:i/>
          <w:noProof/>
          <w:sz w:val="20"/>
          <w:u w:val="single"/>
        </w:rPr>
        <w:t>preferred</w:t>
      </w:r>
      <w:r w:rsidRPr="00881BC8">
        <w:rPr>
          <w:i/>
          <w:noProof/>
          <w:sz w:val="20"/>
        </w:rPr>
        <w:t xml:space="preserve"> option otherwise for all retained options when no preferred option is specified; (3) If relevant and available, please present information on costs according to the standard typology of costs (adjustment costs, administrative costs, regulatory charges, enforcement costs, indirect costs;). (4) Administrative costs for offsetting as explained in Tool #58 and #59 of the ‘better regulation’ toolbox. The total adjustment costs should equal the sum of the adjustment costs presented in the upper part of the table (whenever they are quantifiable and/or can be monetised). Measures taken with a view to compensate adjustment costs to the greatest extent possible are presented in the section of the impact assessment report presenting the preferred option.</w:t>
      </w:r>
    </w:p>
    <w:p w14:paraId="28A15B43" w14:textId="77777777" w:rsidR="005A45DC" w:rsidRPr="00881BC8" w:rsidRDefault="005A45DC" w:rsidP="004835F8">
      <w:pPr>
        <w:pStyle w:val="AnnexLevel1"/>
        <w:tabs>
          <w:tab w:val="clear" w:pos="1200"/>
        </w:tabs>
        <w:ind w:left="709"/>
        <w:rPr>
          <w:noProof/>
          <w:lang w:val="en-GB"/>
        </w:rPr>
      </w:pPr>
      <w:r w:rsidRPr="00881BC8">
        <w:rPr>
          <w:noProof/>
          <w:lang w:val="en-GB"/>
        </w:rPr>
        <w:t>Relevant sustainable development goals</w:t>
      </w:r>
    </w:p>
    <w:tbl>
      <w:tblPr>
        <w:tblStyle w:val="CV11"/>
        <w:tblW w:w="10377" w:type="dxa"/>
        <w:tblInd w:w="-45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552"/>
        <w:gridCol w:w="4111"/>
        <w:gridCol w:w="3714"/>
      </w:tblGrid>
      <w:tr w:rsidR="005A45DC" w:rsidRPr="00881BC8" w14:paraId="5A2F0F2E" w14:textId="77777777" w:rsidTr="006600B7">
        <w:trPr>
          <w:tblHeader/>
        </w:trPr>
        <w:tc>
          <w:tcPr>
            <w:tcW w:w="10377" w:type="dxa"/>
            <w:gridSpan w:val="3"/>
            <w:tcBorders>
              <w:top w:val="double" w:sz="4" w:space="0" w:color="auto"/>
              <w:bottom w:val="single" w:sz="4" w:space="0" w:color="auto"/>
            </w:tcBorders>
            <w:shd w:val="clear" w:color="auto" w:fill="C6D9F1" w:themeFill="text2" w:themeFillTint="33"/>
          </w:tcPr>
          <w:p w14:paraId="3FAC9078" w14:textId="77777777" w:rsidR="005A45DC" w:rsidRPr="00881BC8" w:rsidRDefault="005A45DC" w:rsidP="00040B36">
            <w:pPr>
              <w:spacing w:after="0"/>
              <w:rPr>
                <w:b/>
                <w:noProof/>
                <w:sz w:val="20"/>
              </w:rPr>
            </w:pPr>
            <w:r w:rsidRPr="00881BC8">
              <w:rPr>
                <w:b/>
                <w:noProof/>
                <w:sz w:val="20"/>
              </w:rPr>
              <w:t>III. Overview of relevant Sustainable Development Goals – Preferred Option(s)</w:t>
            </w:r>
          </w:p>
        </w:tc>
      </w:tr>
      <w:tr w:rsidR="005A45DC" w:rsidRPr="00881BC8" w14:paraId="55A7AABA" w14:textId="77777777" w:rsidTr="006600B7">
        <w:trPr>
          <w:tblHeader/>
        </w:trPr>
        <w:tc>
          <w:tcPr>
            <w:tcW w:w="2552" w:type="dxa"/>
            <w:tcBorders>
              <w:top w:val="single" w:sz="4" w:space="0" w:color="auto"/>
            </w:tcBorders>
            <w:shd w:val="clear" w:color="auto" w:fill="C6D9F1" w:themeFill="text2" w:themeFillTint="33"/>
          </w:tcPr>
          <w:p w14:paraId="5A662B68" w14:textId="77777777" w:rsidR="005A45DC" w:rsidRPr="00881BC8" w:rsidRDefault="005A45DC" w:rsidP="00040B36">
            <w:pPr>
              <w:spacing w:after="0"/>
              <w:rPr>
                <w:b/>
                <w:noProof/>
                <w:sz w:val="20"/>
              </w:rPr>
            </w:pPr>
            <w:r w:rsidRPr="00881BC8">
              <w:rPr>
                <w:b/>
                <w:noProof/>
                <w:sz w:val="20"/>
              </w:rPr>
              <w:t>Relevant SDG</w:t>
            </w:r>
          </w:p>
        </w:tc>
        <w:tc>
          <w:tcPr>
            <w:tcW w:w="4111" w:type="dxa"/>
            <w:tcBorders>
              <w:top w:val="single" w:sz="4" w:space="0" w:color="auto"/>
            </w:tcBorders>
            <w:shd w:val="clear" w:color="auto" w:fill="C6D9F1" w:themeFill="text2" w:themeFillTint="33"/>
          </w:tcPr>
          <w:p w14:paraId="1C9C0A80" w14:textId="77777777" w:rsidR="005A45DC" w:rsidRPr="00881BC8" w:rsidRDefault="005A45DC" w:rsidP="00040B36">
            <w:pPr>
              <w:spacing w:after="0"/>
              <w:rPr>
                <w:b/>
                <w:noProof/>
                <w:sz w:val="20"/>
              </w:rPr>
            </w:pPr>
            <w:r w:rsidRPr="00881BC8">
              <w:rPr>
                <w:b/>
                <w:noProof/>
                <w:sz w:val="20"/>
              </w:rPr>
              <w:t>Expected progress towards the Goal</w:t>
            </w:r>
          </w:p>
        </w:tc>
        <w:tc>
          <w:tcPr>
            <w:tcW w:w="3714" w:type="dxa"/>
            <w:tcBorders>
              <w:top w:val="single" w:sz="4" w:space="0" w:color="auto"/>
            </w:tcBorders>
            <w:shd w:val="clear" w:color="auto" w:fill="C6D9F1" w:themeFill="text2" w:themeFillTint="33"/>
            <w:tcMar>
              <w:top w:w="57" w:type="dxa"/>
              <w:left w:w="57" w:type="dxa"/>
              <w:bottom w:w="57" w:type="dxa"/>
              <w:right w:w="57" w:type="dxa"/>
            </w:tcMar>
          </w:tcPr>
          <w:p w14:paraId="294BA28C" w14:textId="77777777" w:rsidR="005A45DC" w:rsidRPr="00881BC8" w:rsidRDefault="005A45DC" w:rsidP="00040B36">
            <w:pPr>
              <w:spacing w:after="0"/>
              <w:rPr>
                <w:b/>
                <w:noProof/>
                <w:sz w:val="20"/>
              </w:rPr>
            </w:pPr>
            <w:r w:rsidRPr="00881BC8">
              <w:rPr>
                <w:b/>
                <w:noProof/>
                <w:sz w:val="20"/>
              </w:rPr>
              <w:t>Comments</w:t>
            </w:r>
          </w:p>
        </w:tc>
      </w:tr>
      <w:tr w:rsidR="005A45DC" w:rsidRPr="00881BC8" w14:paraId="1E175D48" w14:textId="77777777" w:rsidTr="00040B36">
        <w:tc>
          <w:tcPr>
            <w:tcW w:w="2552" w:type="dxa"/>
            <w:tcBorders>
              <w:top w:val="double" w:sz="4" w:space="0" w:color="auto"/>
              <w:bottom w:val="double" w:sz="4" w:space="0" w:color="auto"/>
            </w:tcBorders>
          </w:tcPr>
          <w:p w14:paraId="1C4D818E" w14:textId="77777777" w:rsidR="005A45DC" w:rsidRPr="00881BC8" w:rsidRDefault="005A45DC" w:rsidP="00040B36">
            <w:pPr>
              <w:spacing w:after="0"/>
              <w:rPr>
                <w:noProof/>
                <w:sz w:val="20"/>
              </w:rPr>
            </w:pPr>
            <w:r w:rsidRPr="00881BC8">
              <w:rPr>
                <w:noProof/>
                <w:sz w:val="20"/>
              </w:rPr>
              <w:t>SDG8 decent work and economic growth</w:t>
            </w:r>
          </w:p>
        </w:tc>
        <w:tc>
          <w:tcPr>
            <w:tcW w:w="4111" w:type="dxa"/>
            <w:tcBorders>
              <w:top w:val="double" w:sz="4" w:space="0" w:color="auto"/>
              <w:bottom w:val="double" w:sz="4" w:space="0" w:color="auto"/>
            </w:tcBorders>
            <w:tcMar>
              <w:top w:w="57" w:type="dxa"/>
              <w:left w:w="57" w:type="dxa"/>
              <w:bottom w:w="57" w:type="dxa"/>
              <w:right w:w="57" w:type="dxa"/>
            </w:tcMar>
          </w:tcPr>
          <w:p w14:paraId="646FF236" w14:textId="77777777" w:rsidR="005A45DC" w:rsidRPr="00881BC8" w:rsidRDefault="005A45DC" w:rsidP="00040B36">
            <w:pPr>
              <w:spacing w:after="0"/>
              <w:rPr>
                <w:noProof/>
                <w:sz w:val="20"/>
              </w:rPr>
            </w:pPr>
            <w:r w:rsidRPr="00881BC8">
              <w:rPr>
                <w:noProof/>
                <w:sz w:val="20"/>
              </w:rPr>
              <w:t>This initiative will contribute indirectly to economic growth as it will enhance the business environment in the Single Market</w:t>
            </w:r>
          </w:p>
        </w:tc>
        <w:tc>
          <w:tcPr>
            <w:tcW w:w="3714" w:type="dxa"/>
            <w:tcBorders>
              <w:top w:val="double" w:sz="4" w:space="0" w:color="auto"/>
              <w:bottom w:val="double" w:sz="4" w:space="0" w:color="auto"/>
            </w:tcBorders>
            <w:tcMar>
              <w:top w:w="57" w:type="dxa"/>
              <w:left w:w="57" w:type="dxa"/>
              <w:bottom w:w="57" w:type="dxa"/>
              <w:right w:w="57" w:type="dxa"/>
            </w:tcMar>
          </w:tcPr>
          <w:p w14:paraId="19DD020B" w14:textId="77777777" w:rsidR="0057054B" w:rsidRPr="00881BC8" w:rsidRDefault="0057054B" w:rsidP="000B0C0A">
            <w:pPr>
              <w:spacing w:after="0"/>
              <w:rPr>
                <w:noProof/>
                <w:sz w:val="20"/>
              </w:rPr>
            </w:pPr>
            <w:r w:rsidRPr="00881BC8">
              <w:rPr>
                <w:noProof/>
                <w:sz w:val="20"/>
              </w:rPr>
              <w:t>Target 8.3: Promote development-oriented policies that support productive activities, decent job creation, entrepreneurship, creativity and innovation, and encourage the formalization and growth of micro-, small- and medium-sized enterprises, including through access to financial services.</w:t>
            </w:r>
          </w:p>
          <w:p w14:paraId="35ABE25A" w14:textId="77777777" w:rsidR="005A45DC" w:rsidRPr="00881BC8" w:rsidRDefault="005A45DC" w:rsidP="00040B36">
            <w:pPr>
              <w:spacing w:after="0"/>
              <w:rPr>
                <w:noProof/>
                <w:sz w:val="20"/>
              </w:rPr>
            </w:pPr>
          </w:p>
        </w:tc>
      </w:tr>
      <w:tr w:rsidR="005A45DC" w:rsidRPr="00881BC8" w14:paraId="08E1D109" w14:textId="77777777" w:rsidTr="006600B7">
        <w:tc>
          <w:tcPr>
            <w:tcW w:w="2552" w:type="dxa"/>
            <w:tcBorders>
              <w:top w:val="double" w:sz="4" w:space="0" w:color="auto"/>
              <w:bottom w:val="double" w:sz="4" w:space="0" w:color="auto"/>
            </w:tcBorders>
          </w:tcPr>
          <w:p w14:paraId="01624AAF" w14:textId="77777777" w:rsidR="005A45DC" w:rsidRPr="00881BC8" w:rsidRDefault="005A45DC" w:rsidP="00040B36">
            <w:pPr>
              <w:spacing w:after="0"/>
              <w:rPr>
                <w:noProof/>
                <w:sz w:val="20"/>
              </w:rPr>
            </w:pPr>
            <w:r w:rsidRPr="00881BC8">
              <w:rPr>
                <w:noProof/>
                <w:sz w:val="20"/>
              </w:rPr>
              <w:t xml:space="preserve">SDG3 Ensure healthy lives and promote well-being for all at all ages </w:t>
            </w:r>
          </w:p>
          <w:p w14:paraId="32D7BF8A" w14:textId="77777777" w:rsidR="005A45DC" w:rsidRPr="00881BC8" w:rsidRDefault="005A45DC" w:rsidP="00040B36">
            <w:pPr>
              <w:spacing w:after="0"/>
              <w:rPr>
                <w:noProof/>
                <w:sz w:val="20"/>
              </w:rPr>
            </w:pPr>
          </w:p>
        </w:tc>
        <w:tc>
          <w:tcPr>
            <w:tcW w:w="4111" w:type="dxa"/>
            <w:tcBorders>
              <w:top w:val="double" w:sz="4" w:space="0" w:color="auto"/>
              <w:bottom w:val="double" w:sz="4" w:space="0" w:color="auto"/>
            </w:tcBorders>
            <w:tcMar>
              <w:top w:w="57" w:type="dxa"/>
              <w:left w:w="57" w:type="dxa"/>
              <w:bottom w:w="57" w:type="dxa"/>
              <w:right w:w="57" w:type="dxa"/>
            </w:tcMar>
          </w:tcPr>
          <w:p w14:paraId="19DBF22B" w14:textId="77777777" w:rsidR="005A45DC" w:rsidRPr="00881BC8" w:rsidRDefault="005A45DC" w:rsidP="00040B36">
            <w:pPr>
              <w:spacing w:after="0"/>
              <w:rPr>
                <w:noProof/>
                <w:sz w:val="20"/>
              </w:rPr>
            </w:pPr>
            <w:r w:rsidRPr="00881BC8">
              <w:rPr>
                <w:noProof/>
                <w:sz w:val="20"/>
              </w:rPr>
              <w:t>The initiative has the potential to contribute directly to the well-being of entrepreneurs. From the stakeholder consultation (SME panel) it is obvious that late payment (uncertainty of income flow and ultimately potential bankruptcy) impacts a large % of the respondents.</w:t>
            </w:r>
          </w:p>
        </w:tc>
        <w:tc>
          <w:tcPr>
            <w:tcW w:w="3714" w:type="dxa"/>
            <w:tcBorders>
              <w:top w:val="double" w:sz="4" w:space="0" w:color="auto"/>
              <w:bottom w:val="double" w:sz="4" w:space="0" w:color="auto"/>
            </w:tcBorders>
            <w:tcMar>
              <w:top w:w="57" w:type="dxa"/>
              <w:left w:w="57" w:type="dxa"/>
              <w:bottom w:w="57" w:type="dxa"/>
              <w:right w:w="57" w:type="dxa"/>
            </w:tcMar>
          </w:tcPr>
          <w:p w14:paraId="31C3BA15" w14:textId="77777777" w:rsidR="0057054B" w:rsidRPr="00881BC8" w:rsidRDefault="0057054B" w:rsidP="000B0C0A">
            <w:pPr>
              <w:spacing w:after="0"/>
              <w:rPr>
                <w:noProof/>
                <w:sz w:val="20"/>
              </w:rPr>
            </w:pPr>
            <w:r w:rsidRPr="00881BC8">
              <w:rPr>
                <w:noProof/>
                <w:sz w:val="20"/>
              </w:rPr>
              <w:t>Target 3.4: By 2030, reduce by one third premature mortality from non- communicable diseases through prevention and treatment and promote mental health and well-being.</w:t>
            </w:r>
          </w:p>
          <w:p w14:paraId="25E62338" w14:textId="77777777" w:rsidR="005A45DC" w:rsidRPr="00881BC8" w:rsidRDefault="005A45DC" w:rsidP="00040B36">
            <w:pPr>
              <w:spacing w:after="0"/>
              <w:rPr>
                <w:noProof/>
                <w:sz w:val="20"/>
              </w:rPr>
            </w:pPr>
          </w:p>
        </w:tc>
      </w:tr>
      <w:tr w:rsidR="001E508A" w:rsidRPr="00881BC8" w14:paraId="4ABFC3C5" w14:textId="77777777" w:rsidTr="006600B7">
        <w:tc>
          <w:tcPr>
            <w:tcW w:w="2552" w:type="dxa"/>
            <w:tcBorders>
              <w:top w:val="double" w:sz="4" w:space="0" w:color="auto"/>
              <w:bottom w:val="double" w:sz="4" w:space="0" w:color="auto"/>
            </w:tcBorders>
          </w:tcPr>
          <w:p w14:paraId="0D93DA92" w14:textId="77A64C51" w:rsidR="001E508A" w:rsidRPr="00881BC8" w:rsidRDefault="001E508A" w:rsidP="00040B36">
            <w:pPr>
              <w:spacing w:after="0"/>
              <w:rPr>
                <w:noProof/>
                <w:sz w:val="20"/>
              </w:rPr>
            </w:pPr>
            <w:r w:rsidRPr="00881BC8">
              <w:rPr>
                <w:noProof/>
                <w:sz w:val="20"/>
              </w:rPr>
              <w:t>SDG 4</w:t>
            </w:r>
            <w:r w:rsidR="001E0C9D" w:rsidRPr="00881BC8">
              <w:rPr>
                <w:noProof/>
                <w:sz w:val="20"/>
              </w:rPr>
              <w:t xml:space="preserve"> Quality education</w:t>
            </w:r>
          </w:p>
        </w:tc>
        <w:tc>
          <w:tcPr>
            <w:tcW w:w="4111" w:type="dxa"/>
            <w:tcBorders>
              <w:top w:val="double" w:sz="4" w:space="0" w:color="auto"/>
              <w:bottom w:val="double" w:sz="4" w:space="0" w:color="auto"/>
            </w:tcBorders>
            <w:tcMar>
              <w:top w:w="57" w:type="dxa"/>
              <w:left w:w="57" w:type="dxa"/>
              <w:bottom w:w="57" w:type="dxa"/>
              <w:right w:w="57" w:type="dxa"/>
            </w:tcMar>
          </w:tcPr>
          <w:p w14:paraId="7C34D785" w14:textId="1036A976" w:rsidR="001E508A" w:rsidRPr="00881BC8" w:rsidRDefault="001E508A" w:rsidP="00040B36">
            <w:pPr>
              <w:spacing w:after="0"/>
              <w:rPr>
                <w:noProof/>
                <w:sz w:val="20"/>
              </w:rPr>
            </w:pPr>
            <w:r w:rsidRPr="00881BC8">
              <w:rPr>
                <w:noProof/>
                <w:sz w:val="20"/>
              </w:rPr>
              <w:t xml:space="preserve">The initiative will support ensuring equal access for all women and men to </w:t>
            </w:r>
            <w:r w:rsidR="009C377B" w:rsidRPr="00881BC8">
              <w:rPr>
                <w:noProof/>
                <w:sz w:val="20"/>
              </w:rPr>
              <w:t>credit management and financial literacy training</w:t>
            </w:r>
            <w:r w:rsidRPr="00881BC8">
              <w:rPr>
                <w:noProof/>
                <w:sz w:val="20"/>
              </w:rPr>
              <w:t>.</w:t>
            </w:r>
          </w:p>
        </w:tc>
        <w:tc>
          <w:tcPr>
            <w:tcW w:w="3714" w:type="dxa"/>
            <w:tcBorders>
              <w:top w:val="double" w:sz="4" w:space="0" w:color="auto"/>
              <w:bottom w:val="double" w:sz="4" w:space="0" w:color="auto"/>
            </w:tcBorders>
            <w:tcMar>
              <w:top w:w="57" w:type="dxa"/>
              <w:left w:w="57" w:type="dxa"/>
              <w:bottom w:w="57" w:type="dxa"/>
              <w:right w:w="57" w:type="dxa"/>
            </w:tcMar>
          </w:tcPr>
          <w:p w14:paraId="53FA5030" w14:textId="342AB094" w:rsidR="0057054B" w:rsidRPr="00881BC8" w:rsidRDefault="0057054B" w:rsidP="000B0C0A">
            <w:pPr>
              <w:spacing w:after="0"/>
              <w:rPr>
                <w:noProof/>
                <w:sz w:val="20"/>
              </w:rPr>
            </w:pPr>
            <w:r w:rsidRPr="00881BC8">
              <w:rPr>
                <w:noProof/>
                <w:sz w:val="20"/>
              </w:rPr>
              <w:t>Target 4.3: By 2030, ensure equal access for all women and men to affordable and quality technical, vocational and tertiary education, including university.</w:t>
            </w:r>
          </w:p>
          <w:p w14:paraId="123D0A45" w14:textId="77777777" w:rsidR="001E508A" w:rsidRPr="00881BC8" w:rsidRDefault="001E508A" w:rsidP="00040B36">
            <w:pPr>
              <w:spacing w:after="0"/>
              <w:rPr>
                <w:noProof/>
                <w:sz w:val="20"/>
              </w:rPr>
            </w:pPr>
          </w:p>
        </w:tc>
      </w:tr>
      <w:tr w:rsidR="001E508A" w:rsidRPr="00881BC8" w14:paraId="0F639FF9" w14:textId="77777777" w:rsidTr="00040B36">
        <w:tc>
          <w:tcPr>
            <w:tcW w:w="2552" w:type="dxa"/>
            <w:tcBorders>
              <w:top w:val="double" w:sz="4" w:space="0" w:color="auto"/>
              <w:bottom w:val="single" w:sz="4" w:space="0" w:color="auto"/>
            </w:tcBorders>
          </w:tcPr>
          <w:p w14:paraId="2AE0E592" w14:textId="308F84EE" w:rsidR="001E508A" w:rsidRPr="00881BC8" w:rsidRDefault="001E508A" w:rsidP="00040B36">
            <w:pPr>
              <w:spacing w:after="0"/>
              <w:rPr>
                <w:noProof/>
                <w:sz w:val="20"/>
              </w:rPr>
            </w:pPr>
            <w:r w:rsidRPr="00881BC8">
              <w:rPr>
                <w:noProof/>
                <w:sz w:val="20"/>
              </w:rPr>
              <w:t>SDG 9</w:t>
            </w:r>
            <w:r w:rsidR="001E0C9D" w:rsidRPr="00881BC8">
              <w:rPr>
                <w:noProof/>
                <w:sz w:val="20"/>
              </w:rPr>
              <w:t xml:space="preserve"> Industry, innovation and infrastructure</w:t>
            </w:r>
          </w:p>
        </w:tc>
        <w:tc>
          <w:tcPr>
            <w:tcW w:w="4111" w:type="dxa"/>
            <w:tcBorders>
              <w:top w:val="double" w:sz="4" w:space="0" w:color="auto"/>
              <w:bottom w:val="single" w:sz="4" w:space="0" w:color="auto"/>
            </w:tcBorders>
            <w:tcMar>
              <w:top w:w="57" w:type="dxa"/>
              <w:left w:w="57" w:type="dxa"/>
              <w:bottom w:w="57" w:type="dxa"/>
              <w:right w:w="57" w:type="dxa"/>
            </w:tcMar>
          </w:tcPr>
          <w:p w14:paraId="10D3CAB0" w14:textId="2A2D6DEE" w:rsidR="001E508A" w:rsidRPr="00881BC8" w:rsidRDefault="001E508A" w:rsidP="00040B36">
            <w:pPr>
              <w:spacing w:after="0"/>
              <w:rPr>
                <w:noProof/>
                <w:sz w:val="20"/>
              </w:rPr>
            </w:pPr>
            <w:r w:rsidRPr="00881BC8">
              <w:rPr>
                <w:noProof/>
                <w:sz w:val="20"/>
              </w:rPr>
              <w:t xml:space="preserve">The initiative is planned to </w:t>
            </w:r>
            <w:r w:rsidR="009A5232" w:rsidRPr="00881BC8">
              <w:rPr>
                <w:noProof/>
                <w:sz w:val="20"/>
              </w:rPr>
              <w:t xml:space="preserve">boost fairness by increasing SME access </w:t>
            </w:r>
            <w:r w:rsidRPr="00881BC8">
              <w:rPr>
                <w:noProof/>
                <w:sz w:val="20"/>
              </w:rPr>
              <w:t>to financial services, including affordable credit, and their integration into value chains and markets.</w:t>
            </w:r>
          </w:p>
        </w:tc>
        <w:tc>
          <w:tcPr>
            <w:tcW w:w="3714" w:type="dxa"/>
            <w:tcBorders>
              <w:top w:val="double" w:sz="4" w:space="0" w:color="auto"/>
              <w:bottom w:val="single" w:sz="4" w:space="0" w:color="auto"/>
            </w:tcBorders>
            <w:tcMar>
              <w:top w:w="57" w:type="dxa"/>
              <w:left w:w="57" w:type="dxa"/>
              <w:bottom w:w="57" w:type="dxa"/>
              <w:right w:w="57" w:type="dxa"/>
            </w:tcMar>
          </w:tcPr>
          <w:p w14:paraId="55A60316" w14:textId="77777777" w:rsidR="0057054B" w:rsidRPr="00881BC8" w:rsidRDefault="0057054B" w:rsidP="000B0C0A">
            <w:pPr>
              <w:spacing w:after="0"/>
              <w:rPr>
                <w:noProof/>
                <w:sz w:val="20"/>
              </w:rPr>
            </w:pPr>
            <w:r w:rsidRPr="00881BC8">
              <w:rPr>
                <w:noProof/>
                <w:sz w:val="20"/>
              </w:rPr>
              <w:t>Target: 9.3 Increase the access of small-scale industrial and other enterprises, in particular in developing countries, to financial services, including affordable credit, and their integration into value chains and markets.</w:t>
            </w:r>
          </w:p>
          <w:p w14:paraId="281381B4" w14:textId="77777777" w:rsidR="001E508A" w:rsidRPr="00881BC8" w:rsidRDefault="001E508A" w:rsidP="00040B36">
            <w:pPr>
              <w:spacing w:after="0"/>
              <w:rPr>
                <w:noProof/>
                <w:sz w:val="20"/>
              </w:rPr>
            </w:pPr>
          </w:p>
        </w:tc>
      </w:tr>
      <w:bookmarkEnd w:id="1023"/>
      <w:bookmarkEnd w:id="1024"/>
      <w:bookmarkEnd w:id="1025"/>
      <w:bookmarkEnd w:id="1026"/>
      <w:bookmarkEnd w:id="1027"/>
      <w:bookmarkEnd w:id="1028"/>
    </w:tbl>
    <w:p w14:paraId="3F636243" w14:textId="5E9B3DFD" w:rsidR="00801268" w:rsidRPr="00881BC8" w:rsidRDefault="00801268" w:rsidP="000E3086">
      <w:pPr>
        <w:rPr>
          <w:noProof/>
        </w:rPr>
      </w:pPr>
    </w:p>
    <w:p w14:paraId="04A60794" w14:textId="77777777" w:rsidR="0057054B" w:rsidRPr="00881BC8" w:rsidRDefault="0057054B" w:rsidP="000E3086">
      <w:pPr>
        <w:rPr>
          <w:noProof/>
        </w:rPr>
      </w:pPr>
    </w:p>
    <w:p w14:paraId="13FF79DA" w14:textId="77777777" w:rsidR="007852BB" w:rsidRPr="00881BC8" w:rsidRDefault="007852BB">
      <w:pPr>
        <w:spacing w:after="200" w:line="276" w:lineRule="auto"/>
        <w:jc w:val="left"/>
        <w:rPr>
          <w:rFonts w:eastAsia="Times New Roman"/>
          <w:b/>
          <w:smallCaps/>
          <w:noProof/>
          <w:sz w:val="32"/>
          <w:szCs w:val="20"/>
        </w:rPr>
      </w:pPr>
      <w:bookmarkStart w:id="1030" w:name="_Toc128566553"/>
      <w:bookmarkStart w:id="1031" w:name="_Toc128594967"/>
      <w:bookmarkStart w:id="1032" w:name="_Toc128678922"/>
      <w:bookmarkStart w:id="1033" w:name="_Toc128935123"/>
      <w:bookmarkStart w:id="1034" w:name="_Toc129710215"/>
      <w:bookmarkStart w:id="1035" w:name="_Toc129899924"/>
      <w:r w:rsidRPr="00881BC8">
        <w:rPr>
          <w:noProof/>
        </w:rPr>
        <w:br w:type="page"/>
      </w:r>
    </w:p>
    <w:p w14:paraId="3F6362BD" w14:textId="77B5B073" w:rsidR="006B087E" w:rsidRPr="00881BC8" w:rsidRDefault="006B087E" w:rsidP="00CF2B67">
      <w:pPr>
        <w:pStyle w:val="AnnexTitle"/>
        <w:rPr>
          <w:noProof/>
        </w:rPr>
      </w:pPr>
      <w:bookmarkStart w:id="1036" w:name="Annex04"/>
      <w:bookmarkStart w:id="1037" w:name="_Toc135237453"/>
      <w:r w:rsidRPr="00881BC8">
        <w:rPr>
          <w:noProof/>
        </w:rPr>
        <w:t>Annex 4</w:t>
      </w:r>
      <w:bookmarkEnd w:id="1036"/>
      <w:r w:rsidRPr="00881BC8">
        <w:rPr>
          <w:noProof/>
        </w:rPr>
        <w:t>: Analytical methods</w:t>
      </w:r>
      <w:bookmarkEnd w:id="1030"/>
      <w:bookmarkEnd w:id="1031"/>
      <w:bookmarkEnd w:id="1032"/>
      <w:bookmarkEnd w:id="1033"/>
      <w:bookmarkEnd w:id="1034"/>
      <w:bookmarkEnd w:id="1035"/>
      <w:bookmarkEnd w:id="1037"/>
    </w:p>
    <w:p w14:paraId="44FCF96E" w14:textId="76187BBF" w:rsidR="009E1FA9" w:rsidRPr="00881BC8" w:rsidRDefault="009E1FA9" w:rsidP="004835F8">
      <w:pPr>
        <w:pStyle w:val="NormalPara"/>
        <w:rPr>
          <w:noProof/>
          <w:lang w:val="en-GB"/>
        </w:rPr>
      </w:pPr>
      <w:bookmarkStart w:id="1038" w:name="_Toc129710216"/>
      <w:r w:rsidRPr="00881BC8">
        <w:rPr>
          <w:noProof/>
          <w:lang w:val="en-GB"/>
        </w:rPr>
        <w:t>This Annex explains in detail the methodology underpinning the calculations of the impact of the different policy options.</w:t>
      </w:r>
    </w:p>
    <w:p w14:paraId="37F9D1B2" w14:textId="77777777" w:rsidR="009E1FA9" w:rsidRPr="00881BC8" w:rsidRDefault="009E1FA9" w:rsidP="004835F8">
      <w:pPr>
        <w:pStyle w:val="NormalPara"/>
        <w:rPr>
          <w:noProof/>
          <w:lang w:val="en-GB"/>
        </w:rPr>
      </w:pPr>
      <w:r w:rsidRPr="00881BC8">
        <w:rPr>
          <w:noProof/>
          <w:lang w:val="en-GB"/>
        </w:rPr>
        <w:t>The calculations are based on a wide variety of sources, including survey data (e.g. Intrum, SAFE), actual payment data (e.g. ECB, D&amp;B), and in-depth thematic studies (e.g. JRC) to maximise robustness. Nonetheless, all calculations rely to some degree on estimation as to the number of companies affected. Shares of companies reported in surveys, in particular, can be prone to limited sample sizes and a certain self-selection effect. To minimise these risks, wherever possible different survey results were compared to each other and the results from the SME Panels.</w:t>
      </w:r>
    </w:p>
    <w:p w14:paraId="05EE6040" w14:textId="77777777" w:rsidR="009E1FA9" w:rsidRPr="00881BC8" w:rsidRDefault="009E1FA9" w:rsidP="004835F8">
      <w:pPr>
        <w:pStyle w:val="NormalPara"/>
        <w:rPr>
          <w:noProof/>
          <w:lang w:val="en-GB"/>
        </w:rPr>
      </w:pPr>
      <w:r w:rsidRPr="00881BC8">
        <w:rPr>
          <w:noProof/>
          <w:lang w:val="en-GB"/>
        </w:rPr>
        <w:t>The total number of companies, including companies per size class, is based on JRC nowcasts done in the context of the SME Performance Review, based on Eurostat Structural Business Statistics 2008-2020 and the National Accounts Database 2021-2022.</w:t>
      </w:r>
    </w:p>
    <w:p w14:paraId="24EF2EC6" w14:textId="57829386" w:rsidR="009E1FA9" w:rsidRPr="00881BC8" w:rsidRDefault="009E1FA9" w:rsidP="004835F8">
      <w:pPr>
        <w:pStyle w:val="NormalPara"/>
        <w:rPr>
          <w:noProof/>
          <w:lang w:val="en-GB"/>
        </w:rPr>
      </w:pPr>
      <w:r w:rsidRPr="00881BC8">
        <w:rPr>
          <w:noProof/>
          <w:lang w:val="en-GB"/>
        </w:rPr>
        <w:t xml:space="preserve">The economic effects of late payments have been based on a number of economic studies. The JRC study </w:t>
      </w:r>
      <w:r w:rsidR="00303DFA" w:rsidRPr="00881BC8">
        <w:rPr>
          <w:noProof/>
          <w:lang w:val="en-GB"/>
        </w:rPr>
        <w:t>‘</w:t>
      </w:r>
      <w:r w:rsidRPr="00881BC8">
        <w:rPr>
          <w:noProof/>
          <w:lang w:val="en-GB"/>
        </w:rPr>
        <w:t>Assessing the economic impact of faster payments in B2B commercial transactions</w:t>
      </w:r>
      <w:r w:rsidR="00303DFA" w:rsidRPr="00881BC8">
        <w:rPr>
          <w:noProof/>
          <w:lang w:val="en-GB"/>
        </w:rPr>
        <w:t>’</w:t>
      </w:r>
      <w:r w:rsidRPr="00881BC8">
        <w:rPr>
          <w:rStyle w:val="FootnoteReference"/>
          <w:noProof/>
          <w:lang w:val="en-GB"/>
        </w:rPr>
        <w:footnoteReference w:id="132"/>
      </w:r>
      <w:r w:rsidRPr="00881BC8">
        <w:rPr>
          <w:noProof/>
          <w:lang w:val="en-GB"/>
        </w:rPr>
        <w:t xml:space="preserve"> finds that, on average, reducing late payments yields an increase in aggregate cash flow of approximately 3.69 million euro, roughly a 0.9% increase, for each day of reduction of payment duration. It arrives at this conclusion by studying a large number (1 255 000) of companies and comparing those highly exposed to the 2011 LPD with those less exposed to quantify the effect the EU LPD had on companies. It finds that aggregate cash flow in the set of exposed companies has increased by 66% thanks to the introduction of the LPD (EUR 332 million compared to EUR 200 million in the estimation sample). The analysis indicates that the effects could potentially be more significant for small (10 to 50 employees) sized companies but he effects of payment term reductions can be considered general to all sectors and countries but with a larger impact on those where payment terms are longer. The 0.9% increase in cash flow per day of reduced payment ties is to be taken as a general average for all company sizes, countries and sectors.</w:t>
      </w:r>
    </w:p>
    <w:p w14:paraId="02D10FB0" w14:textId="79BFCECD" w:rsidR="00ED6346" w:rsidRPr="00881BC8" w:rsidRDefault="00ED6346" w:rsidP="00ED6346">
      <w:pPr>
        <w:pStyle w:val="NormalPara"/>
        <w:rPr>
          <w:noProof/>
          <w:lang w:val="en-GB"/>
        </w:rPr>
      </w:pPr>
      <w:r w:rsidRPr="00881BC8">
        <w:rPr>
          <w:noProof/>
          <w:lang w:val="en-GB"/>
        </w:rPr>
        <w:t>In certain instances, particularly when estimating the costs and effectiveness of mediation services or ombudsmen, the impact assessment had to rely on the few examples of Member States or non-EU countries which have already set up such systems (e.g. the UK, France). On the basis of such individual countries, data on costs and benefits was then extrapolated to the EU economy, based on the numbers of enterprises.</w:t>
      </w:r>
    </w:p>
    <w:p w14:paraId="2953758E" w14:textId="77777777" w:rsidR="00ED6346" w:rsidRPr="00881BC8" w:rsidRDefault="00ED6346" w:rsidP="00ED6346">
      <w:pPr>
        <w:pStyle w:val="NormalPara"/>
        <w:rPr>
          <w:noProof/>
          <w:lang w:val="en-GB"/>
        </w:rPr>
      </w:pPr>
      <w:r w:rsidRPr="00881BC8">
        <w:rPr>
          <w:noProof/>
          <w:lang w:val="en-GB"/>
        </w:rPr>
        <w:t>Extrapolating from only a few Member States to the whole EU economy brings some limitations, as it assumes similar payment situations and compliance behaviour across the whole EU. The impact assessment recognises these limitations and, when extrapolating, avoids giving exact cost numbers and rather gives a range of costs to reflect the uncertainties regarding extrapolations.</w:t>
      </w:r>
    </w:p>
    <w:p w14:paraId="47626088" w14:textId="07F439BE" w:rsidR="00ED6346" w:rsidRPr="00881BC8" w:rsidRDefault="00ED6346" w:rsidP="00ED6346">
      <w:pPr>
        <w:pStyle w:val="NormalPara"/>
        <w:rPr>
          <w:noProof/>
          <w:lang w:val="en-GB"/>
        </w:rPr>
      </w:pPr>
      <w:r w:rsidRPr="00881BC8">
        <w:rPr>
          <w:noProof/>
          <w:lang w:val="en-GB"/>
        </w:rPr>
        <w:t>In order to maximise robustness of extrapolations, comparisons to other sources have been made wherever possible. For example, when assessing the cost of enforcement bodies, the estimates made by France and Finland have been extrapolated to the EU economy independently (based on the cost estimate provided by these two Member States and extrapolated taking into account number of companies in different Member States), and both extrapolations lead to roughly similar results. In other cases, e.g. when assessing the effectiveness of mediation services, experiences from the UK have been complemented by results from the SME Panel and other surveys to estimate how many SMEs may be affected.</w:t>
      </w:r>
    </w:p>
    <w:p w14:paraId="06E22C43" w14:textId="61D5FCD1" w:rsidR="009E1FA9" w:rsidRPr="00881BC8" w:rsidRDefault="009E1FA9" w:rsidP="004835F8">
      <w:pPr>
        <w:pStyle w:val="NormalPara"/>
        <w:rPr>
          <w:noProof/>
          <w:lang w:val="en-GB"/>
        </w:rPr>
      </w:pPr>
      <w:r w:rsidRPr="00881BC8">
        <w:rPr>
          <w:noProof/>
          <w:lang w:val="en-GB"/>
        </w:rPr>
        <w:t>The Impact Assessment for the 2011 LPD</w:t>
      </w:r>
      <w:r w:rsidRPr="00881BC8">
        <w:rPr>
          <w:rStyle w:val="FootnoteReference"/>
          <w:noProof/>
          <w:lang w:val="en-GB"/>
        </w:rPr>
        <w:footnoteReference w:id="133"/>
      </w:r>
      <w:r w:rsidRPr="00881BC8">
        <w:rPr>
          <w:noProof/>
          <w:lang w:val="en-GB"/>
        </w:rPr>
        <w:t xml:space="preserve"> estimated that each day of reduction in late payment that the Directive delivers, saves European companies EUR 158 million in finance costs that they would otherwise have incurred. This figure is arrived at through estimating a total of 1 864 billion in unpaid turnover (based on a survey of companies asking them to estimate their total value of unpaid turnover), and assumes that each day of late payments has to be financed through the overdraft facilities offered by their financial institution. It assumes the interest rate given by the ECB for </w:t>
      </w:r>
      <w:r w:rsidR="00303DFA" w:rsidRPr="00881BC8">
        <w:rPr>
          <w:noProof/>
          <w:lang w:val="en-GB"/>
        </w:rPr>
        <w:t>‘</w:t>
      </w:r>
      <w:r w:rsidRPr="00881BC8">
        <w:rPr>
          <w:noProof/>
          <w:lang w:val="en-GB"/>
        </w:rPr>
        <w:t>revolving loans and overdrafts, convenience and extended credit card credit</w:t>
      </w:r>
      <w:r w:rsidR="00303DFA" w:rsidRPr="00881BC8">
        <w:rPr>
          <w:noProof/>
          <w:lang w:val="en-GB"/>
        </w:rPr>
        <w:t>’</w:t>
      </w:r>
      <w:r w:rsidRPr="00881BC8">
        <w:rPr>
          <w:rStyle w:val="FootnoteReference"/>
          <w:noProof/>
          <w:lang w:val="en-GB"/>
        </w:rPr>
        <w:footnoteReference w:id="134"/>
      </w:r>
      <w:r w:rsidRPr="00881BC8">
        <w:rPr>
          <w:noProof/>
          <w:lang w:val="en-GB"/>
        </w:rPr>
        <w:t>. As this estimate is based on a large number of assumptions, the results need to be interpreted with caution and should only be seen as an indication of the order of magnitude of costs related to late payments rather than a precise figure.</w:t>
      </w:r>
    </w:p>
    <w:p w14:paraId="7A32C33B" w14:textId="77777777" w:rsidR="002343A1" w:rsidRPr="00881BC8" w:rsidRDefault="002343A1" w:rsidP="004835F8">
      <w:pPr>
        <w:pStyle w:val="NormalPara"/>
        <w:rPr>
          <w:b/>
          <w:noProof/>
          <w:lang w:val="en-GB"/>
        </w:rPr>
      </w:pPr>
      <w:r w:rsidRPr="00881BC8">
        <w:rPr>
          <w:noProof/>
          <w:lang w:val="en-GB"/>
        </w:rPr>
        <w:t>Several studies aim to estimate the relation between late payments and bankruptcies. Some studies have indicated that in Belgium and France, 25% of bankruptcies are linked to late payments</w:t>
      </w:r>
      <w:r w:rsidRPr="00881BC8">
        <w:rPr>
          <w:rStyle w:val="FootnoteReference"/>
          <w:noProof/>
          <w:lang w:val="en-GB"/>
        </w:rPr>
        <w:footnoteReference w:id="135"/>
      </w:r>
      <w:r w:rsidRPr="00881BC8">
        <w:rPr>
          <w:noProof/>
          <w:lang w:val="en-GB"/>
        </w:rPr>
        <w:t>. Similarly, a study by the Banque de France has indicated that late payments increase the risk of bankruptcy by 25-40%</w:t>
      </w:r>
      <w:r w:rsidRPr="00881BC8">
        <w:rPr>
          <w:rStyle w:val="FootnoteReference"/>
          <w:noProof/>
          <w:lang w:val="en-GB"/>
        </w:rPr>
        <w:footnoteReference w:id="136"/>
      </w:r>
      <w:r w:rsidRPr="00881BC8">
        <w:rPr>
          <w:noProof/>
          <w:lang w:val="en-GB"/>
        </w:rPr>
        <w:t>. In the construction industry, late payments have been identified as one of the main causes of bankruptcy</w:t>
      </w:r>
      <w:r w:rsidRPr="00881BC8">
        <w:rPr>
          <w:rStyle w:val="FootnoteReference"/>
          <w:noProof/>
          <w:lang w:val="en-GB"/>
        </w:rPr>
        <w:footnoteReference w:id="137"/>
      </w:r>
      <w:r w:rsidRPr="00881BC8">
        <w:rPr>
          <w:noProof/>
          <w:lang w:val="en-GB"/>
        </w:rPr>
        <w:t>. While the exact figures vary between studies and the methodology varies between surveys and analyses of balance sheets, the overall trend linking late payments to bankruptcies is clear.</w:t>
      </w:r>
    </w:p>
    <w:p w14:paraId="09A14C30" w14:textId="6444C193" w:rsidR="009E1FA9" w:rsidRPr="00881BC8" w:rsidRDefault="009E1FA9" w:rsidP="004835F8">
      <w:pPr>
        <w:pStyle w:val="NormalPara"/>
        <w:rPr>
          <w:noProof/>
          <w:lang w:val="en-GB"/>
        </w:rPr>
      </w:pPr>
      <w:r w:rsidRPr="00881BC8">
        <w:rPr>
          <w:noProof/>
          <w:lang w:val="en-GB"/>
        </w:rPr>
        <w:t>The total number of B2B and G</w:t>
      </w:r>
      <w:r w:rsidR="00B663BB" w:rsidRPr="00881BC8">
        <w:rPr>
          <w:noProof/>
          <w:lang w:val="en-GB"/>
        </w:rPr>
        <w:t>2B</w:t>
      </w:r>
      <w:r w:rsidRPr="00881BC8">
        <w:rPr>
          <w:noProof/>
          <w:lang w:val="en-GB"/>
        </w:rPr>
        <w:t xml:space="preserve"> invoices has been estimated based on several studies. The Study on the evaluation of invoicing rules of Directive 2006/112/EC</w:t>
      </w:r>
      <w:r w:rsidRPr="00881BC8">
        <w:rPr>
          <w:rStyle w:val="FootnoteReference"/>
          <w:noProof/>
          <w:lang w:val="en-GB"/>
        </w:rPr>
        <w:footnoteReference w:id="138"/>
      </w:r>
      <w:r w:rsidRPr="00881BC8">
        <w:rPr>
          <w:noProof/>
          <w:lang w:val="en-GB"/>
        </w:rPr>
        <w:t xml:space="preserve"> estimates that about 18.4 billion invoices were issued each year by EU enterprises. This figure includes the UK; a corresponding number for the EU-27 was calculated by excluding the UK on the basis of its approximate share of GDP of 15%. This calculation leads to an estimation of about 15 billion invoices per year.</w:t>
      </w:r>
    </w:p>
    <w:p w14:paraId="1CBB4E65" w14:textId="2A3526C1" w:rsidR="0020692C" w:rsidRPr="00881BC8" w:rsidRDefault="0020692C" w:rsidP="004835F8">
      <w:pPr>
        <w:pStyle w:val="NormalPara"/>
        <w:rPr>
          <w:noProof/>
          <w:lang w:val="en-GB"/>
        </w:rPr>
      </w:pPr>
      <w:r w:rsidRPr="00881BC8">
        <w:rPr>
          <w:noProof/>
          <w:lang w:val="en-GB"/>
        </w:rPr>
        <w:t>This is complemented by the 2016 ECB report</w:t>
      </w:r>
      <w:r w:rsidRPr="00881BC8">
        <w:rPr>
          <w:rStyle w:val="FootnoteReference"/>
          <w:noProof/>
          <w:lang w:val="en-GB"/>
        </w:rPr>
        <w:footnoteReference w:id="139"/>
      </w:r>
      <w:r w:rsidRPr="00881BC8">
        <w:rPr>
          <w:noProof/>
          <w:lang w:val="en-GB"/>
        </w:rPr>
        <w:t xml:space="preserve"> (also including the UK) E-invoicing: bringing the payment process fully into the digital age: In Europe, according to research, the annual invoice volume is estimated to reach 36 billion invoices in 2016. Approximately half of this number are invoices to consumers; the other half to businesses and the public sector. As above, these figures confirm an estimate of about 18 billion invoices in B2B and G</w:t>
      </w:r>
      <w:r w:rsidR="000F152A" w:rsidRPr="00881BC8">
        <w:rPr>
          <w:noProof/>
          <w:lang w:val="en-GB"/>
        </w:rPr>
        <w:t>2B</w:t>
      </w:r>
      <w:r w:rsidRPr="00881BC8">
        <w:rPr>
          <w:noProof/>
          <w:lang w:val="en-GB"/>
        </w:rPr>
        <w:t>, and excluding the UK as above confirms the estimate of about 15 billion.</w:t>
      </w:r>
    </w:p>
    <w:p w14:paraId="58BB486A" w14:textId="116F95F8" w:rsidR="0020692C" w:rsidRPr="00881BC8" w:rsidRDefault="0020692C" w:rsidP="004835F8">
      <w:pPr>
        <w:pStyle w:val="NormalPara"/>
        <w:rPr>
          <w:noProof/>
          <w:lang w:val="en-GB"/>
        </w:rPr>
      </w:pPr>
      <w:r w:rsidRPr="00881BC8">
        <w:rPr>
          <w:noProof/>
          <w:lang w:val="en-GB"/>
        </w:rPr>
        <w:t>The</w:t>
      </w:r>
      <w:r w:rsidRPr="00881BC8">
        <w:rPr>
          <w:b/>
          <w:bCs/>
          <w:noProof/>
          <w:lang w:val="en-GB"/>
        </w:rPr>
        <w:t xml:space="preserve"> Study on the evaluation of invoicing rules of Directive 2006/112/EC</w:t>
      </w:r>
      <w:r w:rsidRPr="00881BC8">
        <w:rPr>
          <w:rStyle w:val="FootnoteReference"/>
          <w:b/>
          <w:bCs/>
          <w:noProof/>
          <w:lang w:val="en-GB"/>
        </w:rPr>
        <w:footnoteReference w:id="140"/>
      </w:r>
      <w:r w:rsidRPr="00881BC8">
        <w:rPr>
          <w:noProof/>
          <w:lang w:val="en-GB"/>
        </w:rPr>
        <w:t xml:space="preserve"> also calculates the number of invoices per size class. </w:t>
      </w:r>
      <w:r w:rsidR="002A4C8D">
        <w:rPr>
          <w:noProof/>
          <w:lang w:val="en-GB"/>
        </w:rPr>
        <w:fldChar w:fldCharType="begin"/>
      </w:r>
      <w:r w:rsidR="002A4C8D">
        <w:rPr>
          <w:noProof/>
          <w:lang w:val="en-GB"/>
        </w:rPr>
        <w:instrText xml:space="preserve"> REF _Ref135233758 \h </w:instrText>
      </w:r>
      <w:r w:rsidR="002A4C8D">
        <w:rPr>
          <w:noProof/>
          <w:lang w:val="en-GB"/>
        </w:rPr>
      </w:r>
      <w:r w:rsidR="002A4C8D">
        <w:rPr>
          <w:noProof/>
          <w:lang w:val="en-GB"/>
        </w:rPr>
        <w:fldChar w:fldCharType="separate"/>
      </w:r>
      <w:r w:rsidR="005851F4" w:rsidRPr="000F7594">
        <w:rPr>
          <w:noProof/>
        </w:rPr>
        <w:t xml:space="preserve">Table </w:t>
      </w:r>
      <w:r w:rsidR="005851F4">
        <w:rPr>
          <w:noProof/>
        </w:rPr>
        <w:t>11</w:t>
      </w:r>
      <w:r w:rsidR="002A4C8D">
        <w:rPr>
          <w:noProof/>
          <w:lang w:val="en-GB"/>
        </w:rPr>
        <w:fldChar w:fldCharType="end"/>
      </w:r>
      <w:r w:rsidR="002A4C8D">
        <w:rPr>
          <w:noProof/>
          <w:lang w:val="en-GB"/>
        </w:rPr>
        <w:t xml:space="preserve"> </w:t>
      </w:r>
      <w:r w:rsidRPr="00881BC8">
        <w:rPr>
          <w:noProof/>
          <w:lang w:val="en-GB"/>
        </w:rPr>
        <w:t>below shows the estimated average volume of invoices per year by size class. These figures, together with the JRC figures on total number of companies above, were used to estimate the total number of invoices per size class.</w:t>
      </w:r>
    </w:p>
    <w:p w14:paraId="29C93519" w14:textId="5FA76B05" w:rsidR="00523923" w:rsidRPr="000F7594" w:rsidRDefault="002A4C8D" w:rsidP="00523923">
      <w:pPr>
        <w:pStyle w:val="Caption"/>
        <w:rPr>
          <w:noProof/>
          <w:lang w:val="en-IE"/>
        </w:rPr>
      </w:pPr>
      <w:bookmarkStart w:id="1039" w:name="_Ref135233758"/>
      <w:r>
        <w:rPr>
          <w:noProof/>
          <w:lang w:val="en-GB" w:eastAsia="en-GB"/>
        </w:rPr>
        <mc:AlternateContent>
          <mc:Choice Requires="wps">
            <w:drawing>
              <wp:anchor distT="0" distB="0" distL="114300" distR="114300" simplePos="0" relativeHeight="251660288" behindDoc="0" locked="0" layoutInCell="1" allowOverlap="1" wp14:anchorId="068B6BF0" wp14:editId="760FDA6E">
                <wp:simplePos x="0" y="0"/>
                <wp:positionH relativeFrom="column">
                  <wp:posOffset>-163879</wp:posOffset>
                </wp:positionH>
                <wp:positionV relativeFrom="paragraph">
                  <wp:posOffset>218440</wp:posOffset>
                </wp:positionV>
                <wp:extent cx="857885" cy="147320"/>
                <wp:effectExtent l="0" t="0" r="0" b="5080"/>
                <wp:wrapNone/>
                <wp:docPr id="18" name="Rectangle 18"/>
                <wp:cNvGraphicFramePr/>
                <a:graphic xmlns:a="http://schemas.openxmlformats.org/drawingml/2006/main">
                  <a:graphicData uri="http://schemas.microsoft.com/office/word/2010/wordprocessingShape">
                    <wps:wsp>
                      <wps:cNvSpPr/>
                      <wps:spPr>
                        <a:xfrm>
                          <a:off x="0" y="0"/>
                          <a:ext cx="857885" cy="1473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63294" id="Rectangle 18" o:spid="_x0000_s1026" style="position:absolute;margin-left:-12.9pt;margin-top:17.2pt;width:67.55pt;height:1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" fillcolor="white [3212]" stroked="f" strokeweight="2pt"/>
            </w:pict>
          </mc:Fallback>
        </mc:AlternateContent>
      </w:r>
      <w:r w:rsidR="00523923" w:rsidRPr="000F7594">
        <w:rPr>
          <w:noProof/>
          <w:lang w:val="en-IE"/>
        </w:rPr>
        <w:t xml:space="preserve">Table </w:t>
      </w:r>
      <w:r w:rsidR="005851F4">
        <w:rPr>
          <w:noProof/>
          <w:lang w:val="en-IE"/>
        </w:rPr>
        <w:t>11</w:t>
      </w:r>
      <w:bookmarkEnd w:id="1039"/>
      <w:r w:rsidR="00523923" w:rsidRPr="000F7594">
        <w:rPr>
          <w:noProof/>
          <w:lang w:val="en-IE"/>
        </w:rPr>
        <w:t>: Volume of invoices issued and received by EU firms (annual average, 2017)</w:t>
      </w:r>
    </w:p>
    <w:p w14:paraId="4E7826E8" w14:textId="2E9FD50F" w:rsidR="004A78F5" w:rsidRPr="00881BC8" w:rsidRDefault="004A78F5" w:rsidP="004A78F5">
      <w:pPr>
        <w:pStyle w:val="NormalPara"/>
        <w:numPr>
          <w:ilvl w:val="0"/>
          <w:numId w:val="0"/>
        </w:numPr>
        <w:rPr>
          <w:noProof/>
          <w:lang w:val="en-GB"/>
        </w:rPr>
      </w:pPr>
      <w:r w:rsidRPr="00881BC8">
        <w:rPr>
          <w:noProof/>
          <w:lang w:val="en-GB" w:eastAsia="en-GB"/>
        </w:rPr>
        <w:drawing>
          <wp:inline distT="0" distB="0" distL="0" distR="0" wp14:anchorId="0CDF81C3" wp14:editId="34D6C712">
            <wp:extent cx="5639435" cy="11156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39435" cy="1115695"/>
                    </a:xfrm>
                    <a:prstGeom prst="rect">
                      <a:avLst/>
                    </a:prstGeom>
                    <a:noFill/>
                  </pic:spPr>
                </pic:pic>
              </a:graphicData>
            </a:graphic>
          </wp:inline>
        </w:drawing>
      </w:r>
    </w:p>
    <w:p w14:paraId="612CEA6A" w14:textId="6200A99F" w:rsidR="0020692C" w:rsidRPr="00881BC8" w:rsidRDefault="0020692C" w:rsidP="004835F8">
      <w:pPr>
        <w:pStyle w:val="NormalPara"/>
        <w:rPr>
          <w:noProof/>
          <w:lang w:val="en-GB"/>
        </w:rPr>
      </w:pPr>
      <w:r w:rsidRPr="00881BC8">
        <w:rPr>
          <w:noProof/>
          <w:lang w:val="en-GB"/>
        </w:rPr>
        <w:t>Neither EUROSTAT nor the ECB report on payment terms or payment delays so, in order to build the comparisons on actual payment duration, this Impact Assessment replies on external sources. There are several organisations that collect consistent and regular information on payment delays at European level: Atradius</w:t>
      </w:r>
      <w:r w:rsidRPr="00881BC8">
        <w:rPr>
          <w:rStyle w:val="FootnoteReference"/>
          <w:noProof/>
          <w:lang w:val="en-GB"/>
        </w:rPr>
        <w:footnoteReference w:id="141"/>
      </w:r>
      <w:r w:rsidRPr="00881BC8">
        <w:rPr>
          <w:noProof/>
          <w:lang w:val="en-GB"/>
        </w:rPr>
        <w:t>, Dun and Bradstreet</w:t>
      </w:r>
      <w:r w:rsidRPr="00881BC8">
        <w:rPr>
          <w:rStyle w:val="FootnoteReference"/>
          <w:noProof/>
          <w:lang w:val="en-GB"/>
        </w:rPr>
        <w:footnoteReference w:id="142"/>
      </w:r>
      <w:r w:rsidRPr="00881BC8">
        <w:rPr>
          <w:noProof/>
          <w:lang w:val="en-GB"/>
        </w:rPr>
        <w:t xml:space="preserve"> and Intrum</w:t>
      </w:r>
      <w:r w:rsidRPr="00881BC8">
        <w:rPr>
          <w:rStyle w:val="FootnoteReference"/>
          <w:noProof/>
          <w:lang w:val="en-GB"/>
        </w:rPr>
        <w:footnoteReference w:id="143"/>
      </w:r>
      <w:r w:rsidRPr="00881BC8">
        <w:rPr>
          <w:noProof/>
          <w:lang w:val="en-GB"/>
        </w:rPr>
        <w:t xml:space="preserve"> are the most widely cited and used. The European Commission’s SAFE (Survey on the access to finance of enterprises)</w:t>
      </w:r>
      <w:r w:rsidRPr="00881BC8">
        <w:rPr>
          <w:rStyle w:val="FootnoteReference"/>
          <w:noProof/>
          <w:lang w:val="en-GB"/>
        </w:rPr>
        <w:footnoteReference w:id="144"/>
      </w:r>
      <w:r w:rsidRPr="00881BC8">
        <w:rPr>
          <w:noProof/>
          <w:lang w:val="en-GB"/>
        </w:rPr>
        <w:t xml:space="preserve"> also collects some information on late payments. </w:t>
      </w:r>
    </w:p>
    <w:p w14:paraId="1329CCE3" w14:textId="11686578" w:rsidR="0020692C" w:rsidRPr="00881BC8" w:rsidRDefault="0020692C" w:rsidP="004835F8">
      <w:pPr>
        <w:pStyle w:val="NormalPara"/>
        <w:rPr>
          <w:noProof/>
          <w:lang w:val="en-GB"/>
        </w:rPr>
      </w:pPr>
      <w:r w:rsidRPr="00881BC8">
        <w:rPr>
          <w:noProof/>
          <w:lang w:val="en-GB"/>
        </w:rPr>
        <w:t>All of them are based on information collected from surveys or extractions of data from their customers databases. It is important also to note that most sources refer to payment delays as those beyond the agreed terms between parties – irrespective of the terms agreed.</w:t>
      </w:r>
    </w:p>
    <w:p w14:paraId="6D097366" w14:textId="1FF339BE" w:rsidR="00672D7D" w:rsidRPr="00881BC8" w:rsidRDefault="00672D7D" w:rsidP="004835F8">
      <w:pPr>
        <w:pStyle w:val="NormalPara"/>
        <w:rPr>
          <w:noProof/>
          <w:lang w:val="en-GB"/>
        </w:rPr>
      </w:pPr>
      <w:r w:rsidRPr="00881BC8">
        <w:rPr>
          <w:noProof/>
          <w:lang w:val="en-GB"/>
        </w:rPr>
        <w:t>In as much as it is survey based, a substantial part of the numerical analysis in this section and this study is based on the reports of Intrum which is the source that unequivocally collects total payment duration.</w:t>
      </w:r>
    </w:p>
    <w:p w14:paraId="05779A5F" w14:textId="129006EB" w:rsidR="002C7CBA" w:rsidRPr="00881BC8" w:rsidRDefault="002C7CBA" w:rsidP="004835F8">
      <w:pPr>
        <w:pStyle w:val="AnnexLevel1"/>
        <w:tabs>
          <w:tab w:val="clear" w:pos="1200"/>
        </w:tabs>
        <w:ind w:left="709"/>
        <w:rPr>
          <w:noProof/>
          <w:lang w:val="en-GB"/>
        </w:rPr>
      </w:pPr>
      <w:r w:rsidRPr="00881BC8">
        <w:rPr>
          <w:noProof/>
          <w:lang w:val="en-GB"/>
        </w:rPr>
        <w:t>Policy Option 1</w:t>
      </w:r>
    </w:p>
    <w:p w14:paraId="51785C20" w14:textId="77777777" w:rsidR="00672D7D" w:rsidRPr="00881BC8" w:rsidRDefault="00672D7D" w:rsidP="004835F8">
      <w:pPr>
        <w:pStyle w:val="NormalPara"/>
        <w:rPr>
          <w:noProof/>
          <w:lang w:val="en-GB"/>
        </w:rPr>
      </w:pPr>
      <w:r w:rsidRPr="00881BC8">
        <w:rPr>
          <w:noProof/>
          <w:lang w:val="en-GB"/>
        </w:rPr>
        <w:t>The costs and benefits of capping payment terms at different maximum terms have been estimated as follows.</w:t>
      </w:r>
    </w:p>
    <w:p w14:paraId="11731E34" w14:textId="77777777" w:rsidR="00672D7D" w:rsidRPr="00881BC8" w:rsidRDefault="00672D7D" w:rsidP="004835F8">
      <w:pPr>
        <w:pStyle w:val="NormalPara"/>
        <w:rPr>
          <w:noProof/>
          <w:lang w:val="en-GB"/>
        </w:rPr>
      </w:pPr>
      <w:r w:rsidRPr="00881BC8">
        <w:rPr>
          <w:noProof/>
          <w:lang w:val="en-GB"/>
        </w:rPr>
        <w:t>Current average payment terms in B2B transactions are at 39.3 days; actual payment times are 52.6 days</w:t>
      </w:r>
      <w:r w:rsidRPr="00881BC8">
        <w:rPr>
          <w:rStyle w:val="FootnoteReference"/>
          <w:noProof/>
          <w:lang w:val="en-GB"/>
        </w:rPr>
        <w:footnoteReference w:id="145"/>
      </w:r>
      <w:r w:rsidRPr="00881BC8">
        <w:rPr>
          <w:noProof/>
          <w:lang w:val="en-GB"/>
        </w:rPr>
        <w:t>. To simulate a proportionate reduction of actual payment times to a new maximum payment term of 30 days (under PO1a), the simple proportion of 30 divided by 39.3 days has been applied to actual payment duration of 52.6 days:</w:t>
      </w:r>
    </w:p>
    <w:p w14:paraId="085A7DEC" w14:textId="77777777" w:rsidR="00672D7D" w:rsidRPr="00881BC8" w:rsidRDefault="00672D7D" w:rsidP="00152B84">
      <w:pPr>
        <w:rPr>
          <w:noProof/>
        </w:rPr>
      </w:pPr>
      <w:r w:rsidRPr="00881BC8">
        <w:rPr>
          <w:noProof/>
        </w:rPr>
        <w:t>(30 / 39.3) * 52.6 = 40.2</w:t>
      </w:r>
    </w:p>
    <w:p w14:paraId="129D6FB9" w14:textId="77777777" w:rsidR="00672D7D" w:rsidRPr="00881BC8" w:rsidRDefault="00672D7D" w:rsidP="004835F8">
      <w:pPr>
        <w:pStyle w:val="NormalPara"/>
        <w:rPr>
          <w:noProof/>
          <w:lang w:val="en-GB"/>
        </w:rPr>
      </w:pPr>
      <w:r w:rsidRPr="00881BC8">
        <w:rPr>
          <w:noProof/>
          <w:lang w:val="en-GB"/>
        </w:rPr>
        <w:t>To estimate the share of companies specifying payment terms of more than 60 days, Intrum’s European Payment Report</w:t>
      </w:r>
      <w:r w:rsidRPr="00881BC8">
        <w:rPr>
          <w:rStyle w:val="FootnoteReference"/>
          <w:noProof/>
          <w:lang w:val="en-GB"/>
        </w:rPr>
        <w:footnoteReference w:id="146"/>
      </w:r>
      <w:r w:rsidRPr="00881BC8">
        <w:rPr>
          <w:noProof/>
          <w:lang w:val="en-GB"/>
        </w:rPr>
        <w:t xml:space="preserve"> was used. As this report only asks for a band of payment terms specified (51-75 days, above 75 days, etc.), a precise estimate of how many companies are specifying payment terms above 60 days was not possible. We therefore looked at all companies paying in more than 50 days (24%) and assumed these companies were equally distributed in the 51-75 band, with 40% of the 24% specifying payment terms of 51-60 days, and 60% of the 24% specifying payment terms above 60 days. This assumption leads to a result of 14.4% of all companies specifying payment terms above 60 days (impacted by PO1b). This assumption is confirmed by the results of the SME Panel, where 14.5% of companies responded they specify payment terms of 60 days and above.</w:t>
      </w:r>
    </w:p>
    <w:p w14:paraId="3CD3CD65" w14:textId="77777777" w:rsidR="00672D7D" w:rsidRPr="00881BC8" w:rsidRDefault="00672D7D" w:rsidP="004835F8">
      <w:pPr>
        <w:pStyle w:val="NormalPara"/>
        <w:rPr>
          <w:noProof/>
          <w:lang w:val="en-GB"/>
        </w:rPr>
      </w:pPr>
      <w:r w:rsidRPr="00881BC8">
        <w:rPr>
          <w:noProof/>
          <w:lang w:val="en-GB"/>
        </w:rPr>
        <w:t>To calculate the share of invoices where the creditor is an SME and impacted by PO1c, the above-mentioned figures on invoices per size class and number of companies per size class were used, leading to the following table:</w:t>
      </w:r>
    </w:p>
    <w:p w14:paraId="07ADED89" w14:textId="01468847" w:rsidR="00D34779" w:rsidRPr="00D34779" w:rsidRDefault="00D34779" w:rsidP="00D34779">
      <w:pPr>
        <w:pStyle w:val="Caption"/>
        <w:rPr>
          <w:noProof/>
          <w:lang w:val="en-GB"/>
        </w:rPr>
      </w:pPr>
      <w:r w:rsidRPr="00D34779">
        <w:rPr>
          <w:noProof/>
          <w:lang w:val="en-GB"/>
        </w:rPr>
        <w:t xml:space="preserve">Table </w:t>
      </w:r>
      <w:r w:rsidR="005851F4">
        <w:rPr>
          <w:noProof/>
          <w:lang w:val="en-GB"/>
        </w:rPr>
        <w:t>12</w:t>
      </w:r>
      <w:r w:rsidRPr="00D34779">
        <w:rPr>
          <w:noProof/>
          <w:lang w:val="en-GB"/>
        </w:rPr>
        <w:t>: Calculation of share of invoices where the creditor is an SME and affected by PO1c</w:t>
      </w:r>
    </w:p>
    <w:tbl>
      <w:tblPr>
        <w:tblStyle w:val="GridTable3-Accent1"/>
        <w:tblW w:w="9288" w:type="dxa"/>
        <w:tblLayout w:type="fixed"/>
        <w:tblLook w:val="04A0" w:firstRow="1" w:lastRow="0" w:firstColumn="1" w:lastColumn="0" w:noHBand="0" w:noVBand="1"/>
      </w:tblPr>
      <w:tblGrid>
        <w:gridCol w:w="1413"/>
        <w:gridCol w:w="1968"/>
        <w:gridCol w:w="1969"/>
        <w:gridCol w:w="1969"/>
        <w:gridCol w:w="1969"/>
      </w:tblGrid>
      <w:tr w:rsidR="002C7CBA" w:rsidRPr="00881BC8" w14:paraId="376D689E" w14:textId="77777777" w:rsidTr="009D61A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413" w:type="dxa"/>
            <w:tcBorders>
              <w:top w:val="single" w:sz="4" w:space="0" w:color="95B3D7" w:themeColor="accent1" w:themeTint="99"/>
              <w:left w:val="single" w:sz="4" w:space="0" w:color="95B3D7" w:themeColor="accent1" w:themeTint="99"/>
              <w:right w:val="single" w:sz="4" w:space="0" w:color="95B3D7" w:themeColor="accent1" w:themeTint="99"/>
            </w:tcBorders>
            <w:noWrap/>
            <w:hideMark/>
          </w:tcPr>
          <w:p w14:paraId="3B4EFBC5" w14:textId="77777777" w:rsidR="002C7CBA" w:rsidRPr="00881BC8" w:rsidRDefault="002C7CBA" w:rsidP="00BC52A0">
            <w:pPr>
              <w:rPr>
                <w:noProof/>
                <w:color w:val="000000"/>
                <w:sz w:val="20"/>
                <w:szCs w:val="20"/>
                <w:lang w:eastAsia="en-IE"/>
              </w:rPr>
            </w:pPr>
            <w:r w:rsidRPr="00881BC8">
              <w:rPr>
                <w:noProof/>
                <w:color w:val="000000"/>
                <w:sz w:val="20"/>
                <w:szCs w:val="20"/>
                <w:lang w:eastAsia="en-IE"/>
              </w:rPr>
              <w:t>size class (employees)</w:t>
            </w:r>
          </w:p>
        </w:tc>
        <w:tc>
          <w:tcPr>
            <w:tcW w:w="1968" w:type="dxa"/>
            <w:tcBorders>
              <w:top w:val="single" w:sz="4" w:space="0" w:color="95B3D7" w:themeColor="accent1" w:themeTint="99"/>
              <w:left w:val="single" w:sz="4" w:space="0" w:color="95B3D7" w:themeColor="accent1" w:themeTint="99"/>
              <w:right w:val="single" w:sz="4" w:space="0" w:color="95B3D7" w:themeColor="accent1" w:themeTint="99"/>
            </w:tcBorders>
            <w:noWrap/>
            <w:hideMark/>
          </w:tcPr>
          <w:p w14:paraId="601D7B86" w14:textId="77777777" w:rsidR="002C7CBA" w:rsidRPr="00881BC8" w:rsidRDefault="002C7CBA" w:rsidP="00BC52A0">
            <w:pPr>
              <w:jc w:val="right"/>
              <w:cnfStyle w:val="100000000000" w:firstRow="1" w:lastRow="0" w:firstColumn="0" w:lastColumn="0" w:oddVBand="0" w:evenVBand="0" w:oddHBand="0" w:evenHBand="0" w:firstRowFirstColumn="0" w:firstRowLastColumn="0" w:lastRowFirstColumn="0" w:lastRowLastColumn="0"/>
              <w:rPr>
                <w:noProof/>
                <w:color w:val="000000"/>
                <w:sz w:val="20"/>
                <w:szCs w:val="20"/>
                <w:lang w:eastAsia="en-IE"/>
              </w:rPr>
            </w:pPr>
            <w:r w:rsidRPr="00881BC8">
              <w:rPr>
                <w:noProof/>
                <w:color w:val="000000"/>
                <w:sz w:val="20"/>
                <w:szCs w:val="20"/>
                <w:lang w:eastAsia="en-IE"/>
              </w:rPr>
              <w:t>Number of companies</w:t>
            </w:r>
          </w:p>
        </w:tc>
        <w:tc>
          <w:tcPr>
            <w:tcW w:w="1969" w:type="dxa"/>
            <w:tcBorders>
              <w:top w:val="single" w:sz="4" w:space="0" w:color="95B3D7" w:themeColor="accent1" w:themeTint="99"/>
              <w:left w:val="single" w:sz="4" w:space="0" w:color="95B3D7" w:themeColor="accent1" w:themeTint="99"/>
              <w:right w:val="single" w:sz="4" w:space="0" w:color="95B3D7" w:themeColor="accent1" w:themeTint="99"/>
            </w:tcBorders>
            <w:noWrap/>
            <w:hideMark/>
          </w:tcPr>
          <w:p w14:paraId="66189E0B" w14:textId="77777777" w:rsidR="002C7CBA" w:rsidRPr="00881BC8" w:rsidRDefault="002C7CBA" w:rsidP="00BC52A0">
            <w:pPr>
              <w:cnfStyle w:val="100000000000" w:firstRow="1" w:lastRow="0" w:firstColumn="0" w:lastColumn="0" w:oddVBand="0" w:evenVBand="0" w:oddHBand="0" w:evenHBand="0" w:firstRowFirstColumn="0" w:firstRowLastColumn="0" w:lastRowFirstColumn="0" w:lastRowLastColumn="0"/>
              <w:rPr>
                <w:noProof/>
                <w:color w:val="000000"/>
                <w:sz w:val="20"/>
                <w:szCs w:val="20"/>
                <w:lang w:eastAsia="en-IE"/>
              </w:rPr>
            </w:pPr>
            <w:r w:rsidRPr="00881BC8">
              <w:rPr>
                <w:noProof/>
                <w:color w:val="000000"/>
                <w:sz w:val="20"/>
                <w:szCs w:val="20"/>
                <w:lang w:eastAsia="en-IE"/>
              </w:rPr>
              <w:t>Invoices issued per company per year</w:t>
            </w:r>
          </w:p>
        </w:tc>
        <w:tc>
          <w:tcPr>
            <w:tcW w:w="1969" w:type="dxa"/>
            <w:tcBorders>
              <w:top w:val="single" w:sz="4" w:space="0" w:color="95B3D7" w:themeColor="accent1" w:themeTint="99"/>
              <w:left w:val="single" w:sz="4" w:space="0" w:color="95B3D7" w:themeColor="accent1" w:themeTint="99"/>
              <w:right w:val="single" w:sz="4" w:space="0" w:color="95B3D7" w:themeColor="accent1" w:themeTint="99"/>
            </w:tcBorders>
            <w:noWrap/>
            <w:hideMark/>
          </w:tcPr>
          <w:p w14:paraId="5973E815" w14:textId="77777777" w:rsidR="002C7CBA" w:rsidRPr="00881BC8" w:rsidRDefault="002C7CBA" w:rsidP="00BC52A0">
            <w:pPr>
              <w:cnfStyle w:val="100000000000" w:firstRow="1" w:lastRow="0" w:firstColumn="0" w:lastColumn="0" w:oddVBand="0" w:evenVBand="0" w:oddHBand="0" w:evenHBand="0" w:firstRowFirstColumn="0" w:firstRowLastColumn="0" w:lastRowFirstColumn="0" w:lastRowLastColumn="0"/>
              <w:rPr>
                <w:noProof/>
                <w:color w:val="000000"/>
                <w:sz w:val="20"/>
                <w:szCs w:val="20"/>
                <w:lang w:eastAsia="en-IE"/>
              </w:rPr>
            </w:pPr>
            <w:r w:rsidRPr="00881BC8">
              <w:rPr>
                <w:noProof/>
                <w:color w:val="000000"/>
                <w:sz w:val="20"/>
                <w:szCs w:val="20"/>
                <w:lang w:eastAsia="en-IE"/>
              </w:rPr>
              <w:t>Total invoices</w:t>
            </w:r>
          </w:p>
        </w:tc>
        <w:tc>
          <w:tcPr>
            <w:tcW w:w="1969" w:type="dxa"/>
            <w:tcBorders>
              <w:top w:val="single" w:sz="4" w:space="0" w:color="95B3D7" w:themeColor="accent1" w:themeTint="99"/>
              <w:left w:val="single" w:sz="4" w:space="0" w:color="95B3D7" w:themeColor="accent1" w:themeTint="99"/>
              <w:right w:val="single" w:sz="4" w:space="0" w:color="95B3D7" w:themeColor="accent1" w:themeTint="99"/>
            </w:tcBorders>
          </w:tcPr>
          <w:p w14:paraId="4E9B5089" w14:textId="77777777" w:rsidR="002C7CBA" w:rsidRPr="00881BC8" w:rsidRDefault="002C7CBA" w:rsidP="00BC52A0">
            <w:pPr>
              <w:cnfStyle w:val="100000000000" w:firstRow="1" w:lastRow="0" w:firstColumn="0" w:lastColumn="0" w:oddVBand="0" w:evenVBand="0" w:oddHBand="0" w:evenHBand="0" w:firstRowFirstColumn="0" w:firstRowLastColumn="0" w:lastRowFirstColumn="0" w:lastRowLastColumn="0"/>
              <w:rPr>
                <w:noProof/>
                <w:color w:val="000000"/>
                <w:sz w:val="20"/>
                <w:szCs w:val="20"/>
                <w:lang w:eastAsia="en-IE"/>
              </w:rPr>
            </w:pPr>
            <w:r w:rsidRPr="00881BC8">
              <w:rPr>
                <w:noProof/>
                <w:color w:val="000000"/>
                <w:sz w:val="20"/>
                <w:szCs w:val="20"/>
                <w:lang w:eastAsia="en-IE"/>
              </w:rPr>
              <w:t>Percentage share</w:t>
            </w:r>
          </w:p>
        </w:tc>
      </w:tr>
      <w:tr w:rsidR="002C7CBA" w:rsidRPr="00881BC8" w14:paraId="29701E39" w14:textId="77777777" w:rsidTr="009D61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95B3D7" w:themeColor="accent1" w:themeTint="99"/>
              <w:left w:val="single" w:sz="4" w:space="0" w:color="95B3D7" w:themeColor="accent1" w:themeTint="99"/>
              <w:bottom w:val="single" w:sz="4" w:space="0" w:color="95B3D7" w:themeColor="accent1" w:themeTint="99"/>
            </w:tcBorders>
            <w:noWrap/>
            <w:hideMark/>
          </w:tcPr>
          <w:p w14:paraId="7B534EDC" w14:textId="77777777" w:rsidR="002C7CBA" w:rsidRPr="00881BC8" w:rsidRDefault="002C7CBA" w:rsidP="00BC52A0">
            <w:pPr>
              <w:rPr>
                <w:rFonts w:asciiTheme="minorHAnsi" w:hAnsiTheme="minorHAnsi" w:cstheme="minorHAnsi"/>
                <w:noProof/>
                <w:sz w:val="20"/>
                <w:szCs w:val="20"/>
                <w:lang w:eastAsia="en-IE"/>
              </w:rPr>
            </w:pPr>
            <w:bookmarkStart w:id="1040" w:name="_Hlk130846487"/>
            <w:r w:rsidRPr="00881BC8">
              <w:rPr>
                <w:rFonts w:asciiTheme="minorHAnsi" w:hAnsiTheme="minorHAnsi" w:cstheme="minorHAnsi"/>
                <w:noProof/>
                <w:sz w:val="20"/>
                <w:szCs w:val="20"/>
                <w:lang w:eastAsia="en-IE"/>
              </w:rPr>
              <w:t>0 - 9</w:t>
            </w:r>
          </w:p>
        </w:tc>
        <w:tc>
          <w:tcPr>
            <w:tcW w:w="1968" w:type="dxa"/>
            <w:noWrap/>
            <w:hideMark/>
          </w:tcPr>
          <w:p w14:paraId="4605497B" w14:textId="281CA1DD" w:rsidR="002C7CBA" w:rsidRPr="00881BC8" w:rsidRDefault="00E06C25" w:rsidP="00567238">
            <w:pPr>
              <w:ind w:left="-115"/>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lang w:eastAsia="en-IE"/>
              </w:rPr>
            </w:pPr>
            <w:r w:rsidRPr="00881BC8">
              <w:rPr>
                <w:rFonts w:asciiTheme="minorHAnsi" w:hAnsiTheme="minorHAnsi" w:cstheme="minorHAnsi"/>
                <w:noProof/>
                <w:sz w:val="20"/>
                <w:szCs w:val="20"/>
                <w:lang w:eastAsia="en-IE"/>
              </w:rPr>
              <w:tab/>
            </w:r>
            <w:r w:rsidRPr="00881BC8">
              <w:rPr>
                <w:rFonts w:asciiTheme="minorHAnsi" w:hAnsiTheme="minorHAnsi" w:cstheme="minorHAnsi"/>
                <w:noProof/>
                <w:sz w:val="20"/>
                <w:szCs w:val="20"/>
                <w:lang w:eastAsia="en-IE"/>
              </w:rPr>
              <w:tab/>
            </w:r>
            <w:r w:rsidR="002C7CBA" w:rsidRPr="00881BC8">
              <w:rPr>
                <w:rFonts w:asciiTheme="minorHAnsi" w:hAnsiTheme="minorHAnsi" w:cstheme="minorHAnsi"/>
                <w:noProof/>
                <w:sz w:val="20"/>
                <w:szCs w:val="20"/>
                <w:lang w:eastAsia="en-IE"/>
              </w:rPr>
              <w:t>22 744</w:t>
            </w:r>
            <w:r w:rsidR="009D61A6" w:rsidRPr="00881BC8">
              <w:rPr>
                <w:rFonts w:asciiTheme="minorHAnsi" w:hAnsiTheme="minorHAnsi" w:cstheme="minorHAnsi"/>
                <w:noProof/>
                <w:sz w:val="20"/>
                <w:szCs w:val="20"/>
                <w:lang w:eastAsia="en-IE"/>
              </w:rPr>
              <w:t xml:space="preserve"> </w:t>
            </w:r>
            <w:r w:rsidR="002C7CBA" w:rsidRPr="00881BC8">
              <w:rPr>
                <w:rFonts w:asciiTheme="minorHAnsi" w:hAnsiTheme="minorHAnsi" w:cstheme="minorHAnsi"/>
                <w:noProof/>
                <w:sz w:val="20"/>
                <w:szCs w:val="20"/>
                <w:lang w:eastAsia="en-IE"/>
              </w:rPr>
              <w:t>173</w:t>
            </w:r>
          </w:p>
        </w:tc>
        <w:tc>
          <w:tcPr>
            <w:tcW w:w="1969" w:type="dxa"/>
            <w:noWrap/>
            <w:hideMark/>
          </w:tcPr>
          <w:p w14:paraId="53E0BB64" w14:textId="77777777" w:rsidR="002C7CBA" w:rsidRPr="00881BC8" w:rsidRDefault="002C7CBA" w:rsidP="00BC52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sz w:val="20"/>
                <w:szCs w:val="20"/>
                <w:lang w:eastAsia="en-IE"/>
              </w:rPr>
            </w:pPr>
            <w:r w:rsidRPr="00881BC8">
              <w:rPr>
                <w:rFonts w:asciiTheme="minorHAnsi" w:hAnsiTheme="minorHAnsi" w:cstheme="minorHAnsi"/>
                <w:noProof/>
                <w:color w:val="000000"/>
                <w:sz w:val="20"/>
                <w:szCs w:val="20"/>
                <w:lang w:eastAsia="en-IE"/>
              </w:rPr>
              <w:t>343</w:t>
            </w:r>
          </w:p>
        </w:tc>
        <w:tc>
          <w:tcPr>
            <w:tcW w:w="1969" w:type="dxa"/>
            <w:noWrap/>
            <w:hideMark/>
          </w:tcPr>
          <w:p w14:paraId="6F81BEA5" w14:textId="77777777" w:rsidR="002C7CBA" w:rsidRPr="00881BC8" w:rsidRDefault="002C7CBA" w:rsidP="00BC52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sz w:val="20"/>
                <w:szCs w:val="20"/>
                <w:lang w:eastAsia="en-IE"/>
              </w:rPr>
            </w:pPr>
            <w:r w:rsidRPr="00881BC8">
              <w:rPr>
                <w:rFonts w:asciiTheme="minorHAnsi" w:hAnsiTheme="minorHAnsi" w:cstheme="minorHAnsi"/>
                <w:noProof/>
                <w:color w:val="000000"/>
                <w:sz w:val="20"/>
                <w:szCs w:val="20"/>
                <w:lang w:eastAsia="en-IE"/>
              </w:rPr>
              <w:t>7 801 251 339</w:t>
            </w:r>
          </w:p>
        </w:tc>
        <w:tc>
          <w:tcPr>
            <w:tcW w:w="1969" w:type="dxa"/>
            <w:vAlign w:val="bottom"/>
          </w:tcPr>
          <w:p w14:paraId="5F7BBF8B" w14:textId="77777777" w:rsidR="002C7CBA" w:rsidRPr="00881BC8" w:rsidRDefault="002C7CBA" w:rsidP="00BC52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sz w:val="20"/>
                <w:szCs w:val="20"/>
                <w:lang w:eastAsia="en-IE"/>
              </w:rPr>
            </w:pPr>
            <w:r w:rsidRPr="00881BC8">
              <w:rPr>
                <w:rFonts w:ascii="Calibri" w:hAnsi="Calibri" w:cs="Calibri"/>
                <w:noProof/>
                <w:color w:val="000000"/>
                <w:sz w:val="20"/>
                <w:szCs w:val="20"/>
              </w:rPr>
              <w:t>43,07%</w:t>
            </w:r>
          </w:p>
        </w:tc>
      </w:tr>
      <w:tr w:rsidR="002C7CBA" w:rsidRPr="00881BC8" w14:paraId="0179B437" w14:textId="77777777" w:rsidTr="009D61A6">
        <w:trPr>
          <w:trHeight w:val="29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95B3D7" w:themeColor="accent1" w:themeTint="99"/>
              <w:left w:val="single" w:sz="4" w:space="0" w:color="95B3D7" w:themeColor="accent1" w:themeTint="99"/>
              <w:bottom w:val="single" w:sz="4" w:space="0" w:color="95B3D7" w:themeColor="accent1" w:themeTint="99"/>
            </w:tcBorders>
            <w:noWrap/>
            <w:hideMark/>
          </w:tcPr>
          <w:p w14:paraId="4D444BAB" w14:textId="77777777" w:rsidR="002C7CBA" w:rsidRPr="00881BC8" w:rsidRDefault="002C7CBA" w:rsidP="00BC52A0">
            <w:pPr>
              <w:rPr>
                <w:rFonts w:asciiTheme="minorHAnsi" w:hAnsiTheme="minorHAnsi" w:cstheme="minorHAnsi"/>
                <w:noProof/>
                <w:sz w:val="20"/>
                <w:szCs w:val="20"/>
                <w:lang w:eastAsia="en-IE"/>
              </w:rPr>
            </w:pPr>
            <w:r w:rsidRPr="00881BC8">
              <w:rPr>
                <w:rFonts w:asciiTheme="minorHAnsi" w:hAnsiTheme="minorHAnsi" w:cstheme="minorHAnsi"/>
                <w:noProof/>
                <w:sz w:val="20"/>
                <w:szCs w:val="20"/>
                <w:lang w:eastAsia="en-IE"/>
              </w:rPr>
              <w:t>10 - 49</w:t>
            </w:r>
          </w:p>
        </w:tc>
        <w:tc>
          <w:tcPr>
            <w:tcW w:w="1968" w:type="dxa"/>
            <w:noWrap/>
            <w:hideMark/>
          </w:tcPr>
          <w:p w14:paraId="5017CC97" w14:textId="77777777" w:rsidR="002C7CBA" w:rsidRPr="00881BC8" w:rsidRDefault="002C7CBA" w:rsidP="00BC52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0"/>
                <w:szCs w:val="20"/>
                <w:lang w:eastAsia="en-IE"/>
              </w:rPr>
            </w:pPr>
            <w:r w:rsidRPr="00881BC8">
              <w:rPr>
                <w:rFonts w:asciiTheme="minorHAnsi" w:hAnsiTheme="minorHAnsi" w:cstheme="minorHAnsi"/>
                <w:noProof/>
                <w:sz w:val="20"/>
                <w:szCs w:val="20"/>
                <w:lang w:eastAsia="en-IE"/>
              </w:rPr>
              <w:t>1 332 200</w:t>
            </w:r>
          </w:p>
        </w:tc>
        <w:tc>
          <w:tcPr>
            <w:tcW w:w="1969" w:type="dxa"/>
            <w:noWrap/>
            <w:hideMark/>
          </w:tcPr>
          <w:p w14:paraId="3C10A528" w14:textId="37F1C8E5" w:rsidR="002C7CBA" w:rsidRPr="00881BC8" w:rsidRDefault="002C7CBA" w:rsidP="00BC52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color w:val="000000"/>
                <w:sz w:val="20"/>
                <w:szCs w:val="20"/>
                <w:lang w:eastAsia="en-IE"/>
              </w:rPr>
            </w:pPr>
            <w:r w:rsidRPr="00881BC8">
              <w:rPr>
                <w:rFonts w:asciiTheme="minorHAnsi" w:hAnsiTheme="minorHAnsi" w:cstheme="minorHAnsi"/>
                <w:noProof/>
                <w:color w:val="000000"/>
                <w:sz w:val="20"/>
                <w:szCs w:val="20"/>
                <w:lang w:eastAsia="en-IE"/>
              </w:rPr>
              <w:t>1</w:t>
            </w:r>
            <w:r w:rsidR="005F772C" w:rsidRPr="00881BC8">
              <w:rPr>
                <w:rFonts w:asciiTheme="minorHAnsi" w:hAnsiTheme="minorHAnsi" w:cstheme="minorHAnsi"/>
                <w:noProof/>
                <w:color w:val="000000"/>
                <w:sz w:val="20"/>
                <w:szCs w:val="20"/>
                <w:lang w:eastAsia="en-IE"/>
              </w:rPr>
              <w:t> </w:t>
            </w:r>
            <w:r w:rsidRPr="00881BC8">
              <w:rPr>
                <w:rFonts w:asciiTheme="minorHAnsi" w:hAnsiTheme="minorHAnsi" w:cstheme="minorHAnsi"/>
                <w:noProof/>
                <w:color w:val="000000"/>
                <w:sz w:val="20"/>
                <w:szCs w:val="20"/>
                <w:lang w:eastAsia="en-IE"/>
              </w:rPr>
              <w:t>783</w:t>
            </w:r>
          </w:p>
        </w:tc>
        <w:tc>
          <w:tcPr>
            <w:tcW w:w="1969" w:type="dxa"/>
            <w:noWrap/>
            <w:hideMark/>
          </w:tcPr>
          <w:p w14:paraId="659CC360" w14:textId="77777777" w:rsidR="002C7CBA" w:rsidRPr="00881BC8" w:rsidRDefault="002C7CBA" w:rsidP="00BC52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color w:val="000000"/>
                <w:sz w:val="20"/>
                <w:szCs w:val="20"/>
                <w:lang w:eastAsia="en-IE"/>
              </w:rPr>
            </w:pPr>
            <w:r w:rsidRPr="00881BC8">
              <w:rPr>
                <w:rFonts w:asciiTheme="minorHAnsi" w:hAnsiTheme="minorHAnsi" w:cstheme="minorHAnsi"/>
                <w:noProof/>
                <w:color w:val="000000"/>
                <w:sz w:val="20"/>
                <w:szCs w:val="20"/>
                <w:lang w:eastAsia="en-IE"/>
              </w:rPr>
              <w:t>2 375 312 600</w:t>
            </w:r>
          </w:p>
        </w:tc>
        <w:tc>
          <w:tcPr>
            <w:tcW w:w="1969" w:type="dxa"/>
            <w:vAlign w:val="bottom"/>
          </w:tcPr>
          <w:p w14:paraId="4A001D88" w14:textId="77777777" w:rsidR="002C7CBA" w:rsidRPr="00881BC8" w:rsidRDefault="002C7CBA" w:rsidP="00BC52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color w:val="000000"/>
                <w:sz w:val="20"/>
                <w:szCs w:val="20"/>
                <w:lang w:eastAsia="en-IE"/>
              </w:rPr>
            </w:pPr>
            <w:r w:rsidRPr="00881BC8">
              <w:rPr>
                <w:rFonts w:ascii="Calibri" w:hAnsi="Calibri" w:cs="Calibri"/>
                <w:noProof/>
                <w:color w:val="000000"/>
                <w:sz w:val="20"/>
                <w:szCs w:val="20"/>
              </w:rPr>
              <w:t>13,12%</w:t>
            </w:r>
          </w:p>
        </w:tc>
      </w:tr>
      <w:tr w:rsidR="002C7CBA" w:rsidRPr="00881BC8" w14:paraId="08ABA387" w14:textId="77777777" w:rsidTr="009D61A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95B3D7" w:themeColor="accent1" w:themeTint="99"/>
              <w:left w:val="single" w:sz="4" w:space="0" w:color="95B3D7" w:themeColor="accent1" w:themeTint="99"/>
              <w:bottom w:val="single" w:sz="4" w:space="0" w:color="95B3D7" w:themeColor="accent1" w:themeTint="99"/>
            </w:tcBorders>
            <w:noWrap/>
            <w:hideMark/>
          </w:tcPr>
          <w:p w14:paraId="3503523C" w14:textId="77777777" w:rsidR="002C7CBA" w:rsidRPr="00881BC8" w:rsidRDefault="002C7CBA" w:rsidP="00BC52A0">
            <w:pPr>
              <w:rPr>
                <w:rFonts w:asciiTheme="minorHAnsi" w:hAnsiTheme="minorHAnsi" w:cstheme="minorHAnsi"/>
                <w:noProof/>
                <w:sz w:val="20"/>
                <w:szCs w:val="20"/>
                <w:lang w:eastAsia="en-IE"/>
              </w:rPr>
            </w:pPr>
            <w:r w:rsidRPr="00881BC8">
              <w:rPr>
                <w:rFonts w:asciiTheme="minorHAnsi" w:hAnsiTheme="minorHAnsi" w:cstheme="minorHAnsi"/>
                <w:noProof/>
                <w:sz w:val="20"/>
                <w:szCs w:val="20"/>
                <w:lang w:eastAsia="en-IE"/>
              </w:rPr>
              <w:t>50 - 249</w:t>
            </w:r>
          </w:p>
        </w:tc>
        <w:tc>
          <w:tcPr>
            <w:tcW w:w="1968" w:type="dxa"/>
            <w:noWrap/>
            <w:hideMark/>
          </w:tcPr>
          <w:p w14:paraId="5B76A0BD" w14:textId="77777777" w:rsidR="002C7CBA" w:rsidRPr="00881BC8" w:rsidRDefault="002C7CBA" w:rsidP="00BC52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lang w:eastAsia="en-IE"/>
              </w:rPr>
            </w:pPr>
            <w:r w:rsidRPr="00881BC8">
              <w:rPr>
                <w:rFonts w:asciiTheme="minorHAnsi" w:hAnsiTheme="minorHAnsi" w:cstheme="minorHAnsi"/>
                <w:noProof/>
                <w:sz w:val="20"/>
                <w:szCs w:val="20"/>
                <w:lang w:eastAsia="en-IE"/>
              </w:rPr>
              <w:t>204 786</w:t>
            </w:r>
          </w:p>
        </w:tc>
        <w:tc>
          <w:tcPr>
            <w:tcW w:w="1969" w:type="dxa"/>
            <w:noWrap/>
            <w:hideMark/>
          </w:tcPr>
          <w:p w14:paraId="710148F0" w14:textId="51B4CD56" w:rsidR="002C7CBA" w:rsidRPr="00881BC8" w:rsidRDefault="002C7CBA" w:rsidP="00BC52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sz w:val="20"/>
                <w:szCs w:val="20"/>
                <w:lang w:eastAsia="en-IE"/>
              </w:rPr>
            </w:pPr>
            <w:r w:rsidRPr="00881BC8">
              <w:rPr>
                <w:rFonts w:asciiTheme="minorHAnsi" w:hAnsiTheme="minorHAnsi" w:cstheme="minorHAnsi"/>
                <w:noProof/>
                <w:color w:val="000000"/>
                <w:sz w:val="20"/>
                <w:szCs w:val="20"/>
                <w:lang w:eastAsia="en-IE"/>
              </w:rPr>
              <w:t>8</w:t>
            </w:r>
            <w:r w:rsidR="005F772C" w:rsidRPr="00881BC8">
              <w:rPr>
                <w:rFonts w:asciiTheme="minorHAnsi" w:hAnsiTheme="minorHAnsi" w:cstheme="minorHAnsi"/>
                <w:noProof/>
                <w:color w:val="000000"/>
                <w:sz w:val="20"/>
                <w:szCs w:val="20"/>
                <w:lang w:eastAsia="en-IE"/>
              </w:rPr>
              <w:t> </w:t>
            </w:r>
            <w:r w:rsidRPr="00881BC8">
              <w:rPr>
                <w:rFonts w:asciiTheme="minorHAnsi" w:hAnsiTheme="minorHAnsi" w:cstheme="minorHAnsi"/>
                <w:noProof/>
                <w:color w:val="000000"/>
                <w:sz w:val="20"/>
                <w:szCs w:val="20"/>
                <w:lang w:eastAsia="en-IE"/>
              </w:rPr>
              <w:t>699</w:t>
            </w:r>
          </w:p>
        </w:tc>
        <w:tc>
          <w:tcPr>
            <w:tcW w:w="1969" w:type="dxa"/>
            <w:noWrap/>
            <w:hideMark/>
          </w:tcPr>
          <w:p w14:paraId="59581247" w14:textId="77777777" w:rsidR="002C7CBA" w:rsidRPr="00881BC8" w:rsidRDefault="002C7CBA" w:rsidP="00BC52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sz w:val="20"/>
                <w:szCs w:val="20"/>
                <w:lang w:eastAsia="en-IE"/>
              </w:rPr>
            </w:pPr>
            <w:r w:rsidRPr="00881BC8">
              <w:rPr>
                <w:rFonts w:asciiTheme="minorHAnsi" w:hAnsiTheme="minorHAnsi" w:cstheme="minorHAnsi"/>
                <w:noProof/>
                <w:color w:val="000000"/>
                <w:sz w:val="20"/>
                <w:szCs w:val="20"/>
                <w:lang w:eastAsia="en-IE"/>
              </w:rPr>
              <w:t>1 781 433 414</w:t>
            </w:r>
          </w:p>
        </w:tc>
        <w:tc>
          <w:tcPr>
            <w:tcW w:w="1969" w:type="dxa"/>
            <w:vAlign w:val="bottom"/>
          </w:tcPr>
          <w:p w14:paraId="22C207A2" w14:textId="77777777" w:rsidR="002C7CBA" w:rsidRPr="00881BC8" w:rsidRDefault="002C7CBA" w:rsidP="00BC52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sz w:val="20"/>
                <w:szCs w:val="20"/>
                <w:lang w:eastAsia="en-IE"/>
              </w:rPr>
            </w:pPr>
            <w:r w:rsidRPr="00881BC8">
              <w:rPr>
                <w:rFonts w:ascii="Calibri" w:hAnsi="Calibri" w:cs="Calibri"/>
                <w:noProof/>
                <w:color w:val="000000"/>
                <w:sz w:val="20"/>
                <w:szCs w:val="20"/>
              </w:rPr>
              <w:t>9,84%</w:t>
            </w:r>
          </w:p>
        </w:tc>
      </w:tr>
      <w:tr w:rsidR="002C7CBA" w:rsidRPr="00881BC8" w14:paraId="457C3596" w14:textId="77777777" w:rsidTr="009D61A6">
        <w:trPr>
          <w:trHeight w:val="29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95B3D7" w:themeColor="accent1" w:themeTint="99"/>
              <w:left w:val="single" w:sz="4" w:space="0" w:color="95B3D7" w:themeColor="accent1" w:themeTint="99"/>
              <w:bottom w:val="single" w:sz="4" w:space="0" w:color="95B3D7" w:themeColor="accent1" w:themeTint="99"/>
            </w:tcBorders>
            <w:noWrap/>
            <w:hideMark/>
          </w:tcPr>
          <w:p w14:paraId="3BAD2512" w14:textId="77777777" w:rsidR="002C7CBA" w:rsidRPr="00881BC8" w:rsidRDefault="002C7CBA" w:rsidP="00BC52A0">
            <w:pPr>
              <w:rPr>
                <w:rFonts w:asciiTheme="minorHAnsi" w:hAnsiTheme="minorHAnsi" w:cstheme="minorHAnsi"/>
                <w:noProof/>
                <w:sz w:val="20"/>
                <w:szCs w:val="20"/>
                <w:lang w:eastAsia="en-IE"/>
              </w:rPr>
            </w:pPr>
            <w:r w:rsidRPr="00881BC8">
              <w:rPr>
                <w:rFonts w:asciiTheme="minorHAnsi" w:hAnsiTheme="minorHAnsi" w:cstheme="minorHAnsi"/>
                <w:noProof/>
                <w:sz w:val="20"/>
                <w:szCs w:val="20"/>
                <w:lang w:eastAsia="en-IE"/>
              </w:rPr>
              <w:t>250 +</w:t>
            </w:r>
          </w:p>
        </w:tc>
        <w:tc>
          <w:tcPr>
            <w:tcW w:w="1968" w:type="dxa"/>
            <w:noWrap/>
            <w:hideMark/>
          </w:tcPr>
          <w:p w14:paraId="7C73F1C3" w14:textId="77777777" w:rsidR="002C7CBA" w:rsidRPr="00881BC8" w:rsidRDefault="002C7CBA" w:rsidP="00BC52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0"/>
                <w:szCs w:val="20"/>
                <w:lang w:eastAsia="en-IE"/>
              </w:rPr>
            </w:pPr>
            <w:r w:rsidRPr="00881BC8">
              <w:rPr>
                <w:rFonts w:asciiTheme="minorHAnsi" w:hAnsiTheme="minorHAnsi" w:cstheme="minorHAnsi"/>
                <w:noProof/>
                <w:sz w:val="20"/>
                <w:szCs w:val="20"/>
                <w:lang w:eastAsia="en-IE"/>
              </w:rPr>
              <w:t>43 112</w:t>
            </w:r>
          </w:p>
        </w:tc>
        <w:tc>
          <w:tcPr>
            <w:tcW w:w="1969" w:type="dxa"/>
            <w:noWrap/>
            <w:hideMark/>
          </w:tcPr>
          <w:p w14:paraId="070EB7F6" w14:textId="20363569" w:rsidR="002C7CBA" w:rsidRPr="00881BC8" w:rsidRDefault="002C7CBA" w:rsidP="00BC52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color w:val="000000"/>
                <w:sz w:val="20"/>
                <w:szCs w:val="20"/>
                <w:lang w:eastAsia="en-IE"/>
              </w:rPr>
            </w:pPr>
            <w:r w:rsidRPr="00881BC8">
              <w:rPr>
                <w:rFonts w:asciiTheme="minorHAnsi" w:hAnsiTheme="minorHAnsi" w:cstheme="minorHAnsi"/>
                <w:noProof/>
                <w:color w:val="000000"/>
                <w:sz w:val="20"/>
                <w:szCs w:val="20"/>
                <w:lang w:eastAsia="en-IE"/>
              </w:rPr>
              <w:t>142</w:t>
            </w:r>
            <w:r w:rsidR="005F772C" w:rsidRPr="00881BC8">
              <w:rPr>
                <w:rFonts w:asciiTheme="minorHAnsi" w:hAnsiTheme="minorHAnsi" w:cstheme="minorHAnsi"/>
                <w:noProof/>
                <w:color w:val="000000"/>
                <w:sz w:val="20"/>
                <w:szCs w:val="20"/>
                <w:lang w:eastAsia="en-IE"/>
              </w:rPr>
              <w:t> </w:t>
            </w:r>
            <w:r w:rsidRPr="00881BC8">
              <w:rPr>
                <w:rFonts w:asciiTheme="minorHAnsi" w:hAnsiTheme="minorHAnsi" w:cstheme="minorHAnsi"/>
                <w:noProof/>
                <w:color w:val="000000"/>
                <w:sz w:val="20"/>
                <w:szCs w:val="20"/>
                <w:lang w:eastAsia="en-IE"/>
              </w:rPr>
              <w:t>726</w:t>
            </w:r>
          </w:p>
        </w:tc>
        <w:tc>
          <w:tcPr>
            <w:tcW w:w="1969" w:type="dxa"/>
            <w:noWrap/>
            <w:hideMark/>
          </w:tcPr>
          <w:p w14:paraId="5AB3FE0E" w14:textId="77777777" w:rsidR="002C7CBA" w:rsidRPr="00881BC8" w:rsidRDefault="002C7CBA" w:rsidP="00BC52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color w:val="000000"/>
                <w:sz w:val="20"/>
                <w:szCs w:val="20"/>
                <w:lang w:eastAsia="en-IE"/>
              </w:rPr>
            </w:pPr>
            <w:r w:rsidRPr="00881BC8">
              <w:rPr>
                <w:rFonts w:asciiTheme="minorHAnsi" w:hAnsiTheme="minorHAnsi" w:cstheme="minorHAnsi"/>
                <w:noProof/>
                <w:color w:val="000000"/>
                <w:sz w:val="20"/>
                <w:szCs w:val="20"/>
                <w:lang w:eastAsia="en-IE"/>
              </w:rPr>
              <w:t>6 153 203 312</w:t>
            </w:r>
          </w:p>
        </w:tc>
        <w:tc>
          <w:tcPr>
            <w:tcW w:w="1969" w:type="dxa"/>
            <w:vAlign w:val="bottom"/>
          </w:tcPr>
          <w:p w14:paraId="462646F0" w14:textId="77777777" w:rsidR="002C7CBA" w:rsidRPr="00881BC8" w:rsidRDefault="002C7CBA" w:rsidP="00BC52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color w:val="000000"/>
                <w:sz w:val="20"/>
                <w:szCs w:val="20"/>
                <w:lang w:eastAsia="en-IE"/>
              </w:rPr>
            </w:pPr>
            <w:r w:rsidRPr="00881BC8">
              <w:rPr>
                <w:rFonts w:ascii="Calibri" w:hAnsi="Calibri" w:cs="Calibri"/>
                <w:noProof/>
                <w:color w:val="000000"/>
                <w:sz w:val="20"/>
                <w:szCs w:val="20"/>
              </w:rPr>
              <w:t>33,97%</w:t>
            </w:r>
          </w:p>
        </w:tc>
      </w:tr>
      <w:tr w:rsidR="002C7CBA" w:rsidRPr="00881BC8" w14:paraId="284F18AF" w14:textId="77777777" w:rsidTr="009D61A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95B3D7" w:themeColor="accent1" w:themeTint="99"/>
              <w:left w:val="single" w:sz="4" w:space="0" w:color="95B3D7" w:themeColor="accent1" w:themeTint="99"/>
              <w:bottom w:val="single" w:sz="4" w:space="0" w:color="95B3D7" w:themeColor="accent1" w:themeTint="99"/>
            </w:tcBorders>
            <w:noWrap/>
            <w:hideMark/>
          </w:tcPr>
          <w:p w14:paraId="49209182" w14:textId="77777777" w:rsidR="002C7CBA" w:rsidRPr="00881BC8" w:rsidRDefault="002C7CBA" w:rsidP="00BC52A0">
            <w:pPr>
              <w:rPr>
                <w:rFonts w:asciiTheme="minorHAnsi" w:hAnsiTheme="minorHAnsi" w:cstheme="minorHAnsi"/>
                <w:noProof/>
                <w:sz w:val="20"/>
                <w:szCs w:val="20"/>
                <w:lang w:eastAsia="en-IE"/>
              </w:rPr>
            </w:pPr>
            <w:r w:rsidRPr="00881BC8">
              <w:rPr>
                <w:rFonts w:asciiTheme="minorHAnsi" w:hAnsiTheme="minorHAnsi" w:cstheme="minorHAnsi"/>
                <w:noProof/>
                <w:sz w:val="20"/>
                <w:szCs w:val="20"/>
                <w:lang w:eastAsia="en-IE"/>
              </w:rPr>
              <w:t>Total</w:t>
            </w:r>
          </w:p>
        </w:tc>
        <w:tc>
          <w:tcPr>
            <w:tcW w:w="1968" w:type="dxa"/>
            <w:noWrap/>
            <w:hideMark/>
          </w:tcPr>
          <w:p w14:paraId="017B1627" w14:textId="77777777" w:rsidR="002C7CBA" w:rsidRPr="00881BC8" w:rsidRDefault="002C7CBA" w:rsidP="00BC52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lang w:eastAsia="en-IE"/>
              </w:rPr>
            </w:pPr>
            <w:r w:rsidRPr="00881BC8">
              <w:rPr>
                <w:rFonts w:asciiTheme="minorHAnsi" w:hAnsiTheme="minorHAnsi" w:cstheme="minorHAnsi"/>
                <w:noProof/>
                <w:sz w:val="20"/>
                <w:szCs w:val="20"/>
                <w:lang w:eastAsia="en-IE"/>
              </w:rPr>
              <w:t>24 324 271</w:t>
            </w:r>
          </w:p>
        </w:tc>
        <w:tc>
          <w:tcPr>
            <w:tcW w:w="1969" w:type="dxa"/>
            <w:noWrap/>
            <w:hideMark/>
          </w:tcPr>
          <w:p w14:paraId="6A0D7530" w14:textId="77777777" w:rsidR="002C7CBA" w:rsidRPr="00881BC8" w:rsidRDefault="002C7CBA" w:rsidP="00BC52A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lang w:eastAsia="en-IE"/>
              </w:rPr>
            </w:pPr>
          </w:p>
        </w:tc>
        <w:tc>
          <w:tcPr>
            <w:tcW w:w="1969" w:type="dxa"/>
            <w:noWrap/>
            <w:hideMark/>
          </w:tcPr>
          <w:p w14:paraId="215593EC" w14:textId="77777777" w:rsidR="002C7CBA" w:rsidRPr="00881BC8" w:rsidRDefault="002C7CBA" w:rsidP="00BC52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sz w:val="20"/>
                <w:szCs w:val="20"/>
                <w:lang w:eastAsia="en-IE"/>
              </w:rPr>
            </w:pPr>
            <w:r w:rsidRPr="00881BC8">
              <w:rPr>
                <w:rFonts w:asciiTheme="minorHAnsi" w:hAnsiTheme="minorHAnsi" w:cstheme="minorHAnsi"/>
                <w:noProof/>
                <w:color w:val="000000"/>
                <w:sz w:val="20"/>
                <w:szCs w:val="20"/>
                <w:lang w:eastAsia="en-IE"/>
              </w:rPr>
              <w:t>18 111 200 665</w:t>
            </w:r>
          </w:p>
        </w:tc>
        <w:tc>
          <w:tcPr>
            <w:tcW w:w="1969" w:type="dxa"/>
            <w:vAlign w:val="bottom"/>
          </w:tcPr>
          <w:p w14:paraId="6B188FBC" w14:textId="77777777" w:rsidR="002C7CBA" w:rsidRPr="00881BC8" w:rsidRDefault="002C7CBA" w:rsidP="00BC52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sz w:val="20"/>
                <w:szCs w:val="20"/>
                <w:lang w:eastAsia="en-IE"/>
              </w:rPr>
            </w:pPr>
            <w:r w:rsidRPr="00881BC8">
              <w:rPr>
                <w:rFonts w:ascii="Calibri" w:hAnsi="Calibri" w:cs="Calibri"/>
                <w:noProof/>
                <w:color w:val="000000"/>
                <w:sz w:val="20"/>
                <w:szCs w:val="20"/>
              </w:rPr>
              <w:t>100,00%</w:t>
            </w:r>
          </w:p>
        </w:tc>
      </w:tr>
      <w:tr w:rsidR="002C7CBA" w:rsidRPr="00881BC8" w14:paraId="08DD6E19" w14:textId="77777777" w:rsidTr="009D61A6">
        <w:trPr>
          <w:trHeight w:val="29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95B3D7" w:themeColor="accent1" w:themeTint="99"/>
              <w:left w:val="single" w:sz="4" w:space="0" w:color="95B3D7" w:themeColor="accent1" w:themeTint="99"/>
              <w:bottom w:val="single" w:sz="4" w:space="0" w:color="95B3D7" w:themeColor="accent1" w:themeTint="99"/>
            </w:tcBorders>
            <w:noWrap/>
            <w:hideMark/>
          </w:tcPr>
          <w:p w14:paraId="7D72AEF0" w14:textId="77777777" w:rsidR="002C7CBA" w:rsidRPr="00881BC8" w:rsidRDefault="002C7CBA" w:rsidP="00BC52A0">
            <w:pPr>
              <w:rPr>
                <w:rFonts w:asciiTheme="minorHAnsi" w:hAnsiTheme="minorHAnsi" w:cstheme="minorHAnsi"/>
                <w:noProof/>
                <w:sz w:val="20"/>
                <w:szCs w:val="20"/>
                <w:lang w:eastAsia="en-IE"/>
              </w:rPr>
            </w:pPr>
            <w:r w:rsidRPr="00881BC8">
              <w:rPr>
                <w:rFonts w:asciiTheme="minorHAnsi" w:hAnsiTheme="minorHAnsi" w:cstheme="minorHAnsi"/>
                <w:noProof/>
                <w:sz w:val="20"/>
                <w:szCs w:val="20"/>
                <w:lang w:eastAsia="en-IE"/>
              </w:rPr>
              <w:t>All SMEs</w:t>
            </w:r>
          </w:p>
        </w:tc>
        <w:tc>
          <w:tcPr>
            <w:tcW w:w="1968" w:type="dxa"/>
            <w:noWrap/>
            <w:hideMark/>
          </w:tcPr>
          <w:p w14:paraId="33AE2453" w14:textId="77777777" w:rsidR="002C7CBA" w:rsidRPr="00881BC8" w:rsidRDefault="002C7CBA" w:rsidP="00BC52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0"/>
                <w:szCs w:val="20"/>
                <w:lang w:eastAsia="en-IE"/>
              </w:rPr>
            </w:pPr>
            <w:r w:rsidRPr="00881BC8">
              <w:rPr>
                <w:rFonts w:asciiTheme="minorHAnsi" w:hAnsiTheme="minorHAnsi" w:cstheme="minorHAnsi"/>
                <w:noProof/>
                <w:sz w:val="20"/>
                <w:szCs w:val="20"/>
                <w:lang w:eastAsia="en-IE"/>
              </w:rPr>
              <w:t>24 281 159</w:t>
            </w:r>
          </w:p>
        </w:tc>
        <w:tc>
          <w:tcPr>
            <w:tcW w:w="1969" w:type="dxa"/>
            <w:noWrap/>
            <w:hideMark/>
          </w:tcPr>
          <w:p w14:paraId="3AB456CD" w14:textId="77777777" w:rsidR="002C7CBA" w:rsidRPr="00881BC8" w:rsidRDefault="002C7CBA" w:rsidP="00BC52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0"/>
                <w:szCs w:val="20"/>
                <w:lang w:eastAsia="en-IE"/>
              </w:rPr>
            </w:pPr>
          </w:p>
        </w:tc>
        <w:tc>
          <w:tcPr>
            <w:tcW w:w="1969" w:type="dxa"/>
            <w:noWrap/>
            <w:hideMark/>
          </w:tcPr>
          <w:p w14:paraId="3372B75D" w14:textId="77777777" w:rsidR="002C7CBA" w:rsidRPr="00881BC8" w:rsidRDefault="002C7CBA" w:rsidP="00BC52A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sz w:val="20"/>
                <w:szCs w:val="20"/>
                <w:lang w:eastAsia="en-IE"/>
              </w:rPr>
            </w:pPr>
            <w:r w:rsidRPr="00881BC8">
              <w:rPr>
                <w:rFonts w:asciiTheme="minorHAnsi" w:eastAsia="Times New Roman" w:hAnsiTheme="minorHAnsi" w:cstheme="minorHAnsi"/>
                <w:noProof/>
                <w:sz w:val="20"/>
                <w:szCs w:val="20"/>
                <w:lang w:eastAsia="en-IE"/>
              </w:rPr>
              <w:t>11 957 997 353</w:t>
            </w:r>
          </w:p>
        </w:tc>
        <w:tc>
          <w:tcPr>
            <w:tcW w:w="1969" w:type="dxa"/>
            <w:vAlign w:val="bottom"/>
          </w:tcPr>
          <w:p w14:paraId="52F129CD" w14:textId="77777777" w:rsidR="002C7CBA" w:rsidRPr="00881BC8" w:rsidRDefault="002C7CBA" w:rsidP="00BC52A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sz w:val="20"/>
                <w:szCs w:val="20"/>
                <w:lang w:eastAsia="en-IE"/>
              </w:rPr>
            </w:pPr>
            <w:r w:rsidRPr="00881BC8">
              <w:rPr>
                <w:rFonts w:ascii="Calibri" w:hAnsi="Calibri" w:cs="Calibri"/>
                <w:noProof/>
                <w:color w:val="000000"/>
                <w:sz w:val="20"/>
                <w:szCs w:val="20"/>
              </w:rPr>
              <w:t>66,03%</w:t>
            </w:r>
          </w:p>
        </w:tc>
      </w:tr>
      <w:bookmarkEnd w:id="1040"/>
    </w:tbl>
    <w:p w14:paraId="175F7832" w14:textId="77777777" w:rsidR="009779C5" w:rsidRPr="00881BC8" w:rsidRDefault="009779C5" w:rsidP="00773DEB">
      <w:pPr>
        <w:pStyle w:val="NormalPara"/>
        <w:numPr>
          <w:ilvl w:val="0"/>
          <w:numId w:val="0"/>
        </w:numPr>
        <w:rPr>
          <w:noProof/>
          <w:lang w:val="en-GB"/>
        </w:rPr>
      </w:pPr>
    </w:p>
    <w:p w14:paraId="431B6162" w14:textId="617737DC" w:rsidR="001C4FFB" w:rsidRPr="00881BC8" w:rsidRDefault="001C4FFB" w:rsidP="004835F8">
      <w:pPr>
        <w:pStyle w:val="NormalPara"/>
        <w:rPr>
          <w:noProof/>
          <w:lang w:val="en-GB"/>
        </w:rPr>
      </w:pPr>
      <w:r w:rsidRPr="00881BC8">
        <w:rPr>
          <w:noProof/>
          <w:lang w:val="en-GB"/>
        </w:rPr>
        <w:t xml:space="preserve">To estimate the reduction in hassle costs, estimates from the study </w:t>
      </w:r>
      <w:r w:rsidR="00303DFA" w:rsidRPr="00881BC8">
        <w:rPr>
          <w:noProof/>
          <w:lang w:val="en-GB"/>
        </w:rPr>
        <w:t>‘</w:t>
      </w:r>
      <w:r w:rsidRPr="00881BC8">
        <w:rPr>
          <w:noProof/>
          <w:lang w:val="en-GB"/>
        </w:rPr>
        <w:t>The Domino Effect: the impact of late payments</w:t>
      </w:r>
      <w:r w:rsidR="00303DFA" w:rsidRPr="00881BC8">
        <w:rPr>
          <w:noProof/>
          <w:lang w:val="en-GB"/>
        </w:rPr>
        <w:t>’</w:t>
      </w:r>
      <w:r w:rsidRPr="00881BC8">
        <w:rPr>
          <w:rStyle w:val="FootnoteReference"/>
          <w:noProof/>
          <w:lang w:val="en-GB"/>
        </w:rPr>
        <w:footnoteReference w:id="147"/>
      </w:r>
      <w:r w:rsidRPr="00881BC8">
        <w:rPr>
          <w:noProof/>
          <w:lang w:val="en-GB"/>
        </w:rPr>
        <w:t xml:space="preserve"> were used. The study estimates the average number of man days needed by SMEs to chase up late payments. Although it covers only few EU countries, among the EU countries present the values range from just over 5 days for Germany to nearly 18 days in Spain. For a conservative estimate, we used the 5 days for Germany for the calculation and multiplied this figure by the total number of enterprises in the EU-27 (24.3 million), arriving at 121.5 million person-days currently spent chasing late payments. The reduction of 23.4% in late payments as calculated above was proportionally applied to this share of person-days, leading to an estimate of 28 million </w:t>
      </w:r>
      <w:r w:rsidR="007A2EDB" w:rsidRPr="00881BC8">
        <w:rPr>
          <w:noProof/>
          <w:lang w:val="en-GB"/>
        </w:rPr>
        <w:t>man</w:t>
      </w:r>
      <w:r w:rsidRPr="00881BC8">
        <w:rPr>
          <w:noProof/>
          <w:lang w:val="en-GB"/>
        </w:rPr>
        <w:t>-days saved per year.</w:t>
      </w:r>
    </w:p>
    <w:p w14:paraId="0C73C35F" w14:textId="77777777" w:rsidR="001C4FFB" w:rsidRPr="00881BC8" w:rsidRDefault="001C4FFB" w:rsidP="004835F8">
      <w:pPr>
        <w:pStyle w:val="NormalPara"/>
        <w:rPr>
          <w:noProof/>
          <w:lang w:val="en-GB"/>
        </w:rPr>
      </w:pPr>
      <w:r w:rsidRPr="00881BC8">
        <w:rPr>
          <w:noProof/>
          <w:lang w:val="en-GB"/>
        </w:rPr>
        <w:t>For estimating the share of SMEs currently negotiating their payment terms, information from the SME Panel was used. Two cases were distinguished:</w:t>
      </w:r>
    </w:p>
    <w:p w14:paraId="501AD406" w14:textId="77777777" w:rsidR="001C4FFB" w:rsidRPr="00881BC8" w:rsidRDefault="001C4FFB" w:rsidP="004835F8">
      <w:pPr>
        <w:pStyle w:val="ListParagraph"/>
        <w:numPr>
          <w:ilvl w:val="0"/>
          <w:numId w:val="19"/>
        </w:numPr>
        <w:rPr>
          <w:noProof/>
        </w:rPr>
      </w:pPr>
      <w:r w:rsidRPr="00881BC8">
        <w:rPr>
          <w:noProof/>
        </w:rPr>
        <w:t>SMEs that already have payment terms shorter than 30 days (but may have to negotiate to achieve them): We multiplied the share of SMEs currently paid within 30 days (44%) with the share of those SMEs currently negotiating on a case-by-case basis (35%), and assumed conservatively that 50% of their negotiation would cease to be necessary because of the cap in place, i.e. 44% * 35% * 50% = 7.7% of all SMEs.</w:t>
      </w:r>
    </w:p>
    <w:p w14:paraId="3044D315" w14:textId="77777777" w:rsidR="001C4FFB" w:rsidRPr="00881BC8" w:rsidRDefault="001C4FFB" w:rsidP="004835F8">
      <w:pPr>
        <w:pStyle w:val="ListParagraph"/>
        <w:numPr>
          <w:ilvl w:val="0"/>
          <w:numId w:val="19"/>
        </w:numPr>
        <w:rPr>
          <w:noProof/>
        </w:rPr>
      </w:pPr>
      <w:r w:rsidRPr="00881BC8">
        <w:rPr>
          <w:noProof/>
        </w:rPr>
        <w:t>SMEs that have payment terms above 30 days: 100% of their negotiation would cease. This applies to the 56% of SMEs currently paid beyond 30 days and the share of those SMEs negotiating on a case-by-case basis (45%), i.e. 25.2% of all SMEs.</w:t>
      </w:r>
    </w:p>
    <w:p w14:paraId="5B628B7E" w14:textId="77777777" w:rsidR="001C4FFB" w:rsidRPr="00881BC8" w:rsidRDefault="001C4FFB" w:rsidP="004835F8">
      <w:pPr>
        <w:pStyle w:val="NormalPara"/>
        <w:rPr>
          <w:noProof/>
          <w:lang w:val="en-GB"/>
        </w:rPr>
      </w:pPr>
      <w:r w:rsidRPr="00881BC8">
        <w:rPr>
          <w:noProof/>
          <w:lang w:val="en-GB"/>
        </w:rPr>
        <w:t>The shares of SMEs negotiating on a case-by-case basis are different in each of the cases: 35% of those SMEs specifying payment terms below 30 days negotiate, whereas 45% of those SMEs specifying terms above 30 days negotiate.</w:t>
      </w:r>
    </w:p>
    <w:p w14:paraId="6E8E49D2" w14:textId="6F4B5A38" w:rsidR="001C4FFB" w:rsidRPr="00881BC8" w:rsidRDefault="001C4FFB" w:rsidP="004835F8">
      <w:pPr>
        <w:pStyle w:val="NormalPara"/>
        <w:rPr>
          <w:noProof/>
          <w:lang w:val="en-GB"/>
        </w:rPr>
      </w:pPr>
      <w:r w:rsidRPr="00881BC8">
        <w:rPr>
          <w:noProof/>
          <w:lang w:val="en-GB"/>
        </w:rPr>
        <w:t>Taking these two cases together leads to an estimate of 32.9% of all SMEs benefitting from reduced negotiation times.</w:t>
      </w:r>
    </w:p>
    <w:p w14:paraId="38D0FE32" w14:textId="6EC73645" w:rsidR="00F867B4" w:rsidRPr="00881BC8" w:rsidRDefault="00F867B4" w:rsidP="004835F8">
      <w:pPr>
        <w:pStyle w:val="NormalPara"/>
        <w:rPr>
          <w:noProof/>
          <w:lang w:val="en-GB"/>
        </w:rPr>
      </w:pPr>
      <w:r w:rsidRPr="00881BC8">
        <w:rPr>
          <w:noProof/>
          <w:lang w:val="en-GB"/>
        </w:rPr>
        <w:t xml:space="preserve">Companies will continue to be free to negotiate terms below the maximum cap. Negotiation times </w:t>
      </w:r>
      <w:r w:rsidR="005406AE" w:rsidRPr="00881BC8">
        <w:rPr>
          <w:noProof/>
          <w:lang w:val="en-GB"/>
        </w:rPr>
        <w:t>are</w:t>
      </w:r>
      <w:r w:rsidRPr="00881BC8">
        <w:rPr>
          <w:noProof/>
          <w:lang w:val="en-GB"/>
        </w:rPr>
        <w:t xml:space="preserve"> therefore </w:t>
      </w:r>
      <w:r w:rsidR="005406AE" w:rsidRPr="00881BC8">
        <w:rPr>
          <w:noProof/>
          <w:lang w:val="en-GB"/>
        </w:rPr>
        <w:t xml:space="preserve">conservatively estimated to </w:t>
      </w:r>
      <w:r w:rsidRPr="00881BC8">
        <w:rPr>
          <w:noProof/>
          <w:lang w:val="en-GB"/>
        </w:rPr>
        <w:t xml:space="preserve">remain the same for the </w:t>
      </w:r>
      <w:r w:rsidR="005406AE" w:rsidRPr="00881BC8">
        <w:rPr>
          <w:noProof/>
          <w:lang w:val="en-GB"/>
        </w:rPr>
        <w:t>companies not specified under the above paragraphs.</w:t>
      </w:r>
    </w:p>
    <w:p w14:paraId="63B2F074" w14:textId="77777777" w:rsidR="001C4FFB" w:rsidRPr="00881BC8" w:rsidRDefault="001C4FFB" w:rsidP="004835F8">
      <w:pPr>
        <w:pStyle w:val="NormalPara"/>
        <w:rPr>
          <w:noProof/>
          <w:lang w:val="en-GB"/>
        </w:rPr>
      </w:pPr>
      <w:r w:rsidRPr="00881BC8">
        <w:rPr>
          <w:noProof/>
          <w:lang w:val="en-GB"/>
        </w:rPr>
        <w:t>To estimate the one-off adjustment costs for companies from adjusting their standard template, we relied on ECB data for the costs of processing a paper invoice and applied this to estimate the cost of adjusting a standard template. We used the high end given by the ECB range (EUR 2.50-10.00)</w:t>
      </w:r>
      <w:r w:rsidRPr="00881BC8">
        <w:rPr>
          <w:rStyle w:val="FootnoteReference"/>
          <w:noProof/>
          <w:lang w:val="en-GB"/>
        </w:rPr>
        <w:footnoteReference w:id="148"/>
      </w:r>
      <w:r w:rsidRPr="00881BC8">
        <w:rPr>
          <w:noProof/>
          <w:lang w:val="en-GB"/>
        </w:rPr>
        <w:t>. For each sub-option, we multiplied this cost by the number of companies affected (23% in PO1a, 14.4% in PO1b, and 66% of 14.4% = 9.5% for PO1c).</w:t>
      </w:r>
    </w:p>
    <w:p w14:paraId="62BF7305" w14:textId="714A682C" w:rsidR="001C4FFB" w:rsidRPr="00881BC8" w:rsidRDefault="001C4FFB" w:rsidP="004835F8">
      <w:pPr>
        <w:pStyle w:val="NormalPara"/>
        <w:rPr>
          <w:noProof/>
          <w:lang w:val="en-GB"/>
        </w:rPr>
      </w:pPr>
      <w:r w:rsidRPr="00881BC8">
        <w:rPr>
          <w:noProof/>
          <w:lang w:val="en-GB"/>
        </w:rPr>
        <w:t>To estimate the cost of proving SME status in PO1c, we relied on the number of companies affected (9.5% of 24.3 million = 2.3 million) and multiplied it with the 6.5 person-hours estimated in the SME Definition</w:t>
      </w:r>
      <w:r w:rsidRPr="00881BC8">
        <w:rPr>
          <w:rStyle w:val="FootnoteReference"/>
          <w:noProof/>
          <w:lang w:val="en-GB"/>
        </w:rPr>
        <w:footnoteReference w:id="149"/>
      </w:r>
      <w:r w:rsidRPr="00881BC8">
        <w:rPr>
          <w:noProof/>
          <w:lang w:val="en-GB"/>
        </w:rPr>
        <w:t xml:space="preserve"> to reach a total of 14.95 million person-hours. This was multiplied by the average EU hourly labour cost (EUR 2</w:t>
      </w:r>
      <w:r w:rsidR="005F0907" w:rsidRPr="00881BC8">
        <w:rPr>
          <w:noProof/>
          <w:lang w:val="en-GB"/>
        </w:rPr>
        <w:t>5</w:t>
      </w:r>
      <w:r w:rsidRPr="00881BC8">
        <w:rPr>
          <w:noProof/>
          <w:lang w:val="en-GB"/>
        </w:rPr>
        <w:t>.</w:t>
      </w:r>
      <w:r w:rsidR="005F0907" w:rsidRPr="00881BC8">
        <w:rPr>
          <w:noProof/>
          <w:lang w:val="en-GB"/>
        </w:rPr>
        <w:t>7</w:t>
      </w:r>
      <w:r w:rsidRPr="00881BC8">
        <w:rPr>
          <w:noProof/>
          <w:lang w:val="en-GB"/>
        </w:rPr>
        <w:t>0)</w:t>
      </w:r>
      <w:r w:rsidRPr="00881BC8">
        <w:rPr>
          <w:rStyle w:val="FootnoteReference"/>
          <w:noProof/>
          <w:lang w:val="en-GB"/>
        </w:rPr>
        <w:footnoteReference w:id="150"/>
      </w:r>
      <w:r w:rsidRPr="00881BC8">
        <w:rPr>
          <w:noProof/>
          <w:lang w:val="en-GB"/>
        </w:rPr>
        <w:t xml:space="preserve"> to estimate a monetary value.</w:t>
      </w:r>
    </w:p>
    <w:p w14:paraId="65AC81B2" w14:textId="77777777" w:rsidR="001C4FFB" w:rsidRPr="00881BC8" w:rsidRDefault="001C4FFB" w:rsidP="004835F8">
      <w:pPr>
        <w:pStyle w:val="NormalPara"/>
        <w:rPr>
          <w:noProof/>
          <w:lang w:val="en-GB"/>
        </w:rPr>
      </w:pPr>
      <w:r w:rsidRPr="00881BC8">
        <w:rPr>
          <w:noProof/>
          <w:lang w:val="en-GB"/>
        </w:rPr>
        <w:t>To extrapolate from the Australian impact assessment</w:t>
      </w:r>
      <w:r w:rsidRPr="00881BC8">
        <w:rPr>
          <w:rStyle w:val="FootnoteReference"/>
          <w:noProof/>
          <w:lang w:val="en-GB"/>
        </w:rPr>
        <w:footnoteReference w:id="151"/>
      </w:r>
      <w:r w:rsidRPr="00881BC8">
        <w:rPr>
          <w:noProof/>
          <w:lang w:val="en-GB"/>
        </w:rPr>
        <w:t>, a $AUD to EUR exchange rate of 1:0.62 was used, as well as a number of 2.57 million businesses active in Australia</w:t>
      </w:r>
      <w:r w:rsidRPr="00881BC8">
        <w:rPr>
          <w:rStyle w:val="FootnoteReference"/>
          <w:noProof/>
          <w:lang w:val="en-GB"/>
        </w:rPr>
        <w:footnoteReference w:id="152"/>
      </w:r>
      <w:r w:rsidRPr="00881BC8">
        <w:rPr>
          <w:noProof/>
          <w:lang w:val="en-GB"/>
        </w:rPr>
        <w:t xml:space="preserve"> (i.e. 10.6% of the number of EU companies).</w:t>
      </w:r>
    </w:p>
    <w:p w14:paraId="65A86A22" w14:textId="77777777" w:rsidR="002C7CBA" w:rsidRPr="00881BC8" w:rsidRDefault="002C7CBA" w:rsidP="004835F8">
      <w:pPr>
        <w:pStyle w:val="AnnexLevel1"/>
        <w:tabs>
          <w:tab w:val="clear" w:pos="1200"/>
        </w:tabs>
        <w:ind w:left="709"/>
        <w:rPr>
          <w:noProof/>
          <w:lang w:val="en-GB"/>
        </w:rPr>
      </w:pPr>
      <w:r w:rsidRPr="00881BC8">
        <w:rPr>
          <w:noProof/>
          <w:lang w:val="en-GB"/>
        </w:rPr>
        <w:t>Policy Option 2</w:t>
      </w:r>
    </w:p>
    <w:p w14:paraId="08FC873A" w14:textId="77777777" w:rsidR="002C7CBA" w:rsidRPr="00881BC8" w:rsidRDefault="002C7CBA" w:rsidP="004835F8">
      <w:pPr>
        <w:pStyle w:val="NormalPara"/>
        <w:rPr>
          <w:noProof/>
          <w:lang w:val="en-GB"/>
        </w:rPr>
      </w:pPr>
      <w:r w:rsidRPr="00881BC8">
        <w:rPr>
          <w:noProof/>
          <w:lang w:val="en-GB"/>
        </w:rPr>
        <w:t>To arrive at the value of interest rate payments, we conservatively assumed an interest rate of 8% and a total value of unpaid turnover of 1 864 billion euros</w:t>
      </w:r>
      <w:r w:rsidRPr="00881BC8">
        <w:rPr>
          <w:rStyle w:val="FootnoteReference"/>
          <w:noProof/>
          <w:lang w:val="en-GB"/>
        </w:rPr>
        <w:footnoteReference w:id="153"/>
      </w:r>
      <w:r w:rsidRPr="00881BC8">
        <w:rPr>
          <w:noProof/>
          <w:lang w:val="en-GB"/>
        </w:rPr>
        <w:t>. We applied the 8% interest to this total turnover, assuming a late payment of 13 days (average from the Intrum European Payment Report), leading to the following calculation:</w:t>
      </w:r>
    </w:p>
    <w:p w14:paraId="5ADC6C9F" w14:textId="44695A63" w:rsidR="002C7CBA" w:rsidRPr="00881BC8" w:rsidRDefault="002C7CBA" w:rsidP="00152B84">
      <w:pPr>
        <w:rPr>
          <w:noProof/>
        </w:rPr>
      </w:pPr>
      <w:r w:rsidRPr="00881BC8">
        <w:rPr>
          <w:noProof/>
        </w:rPr>
        <w:t>1</w:t>
      </w:r>
      <w:r w:rsidR="006C6D31" w:rsidRPr="00881BC8">
        <w:rPr>
          <w:noProof/>
        </w:rPr>
        <w:t> </w:t>
      </w:r>
      <w:r w:rsidRPr="00881BC8">
        <w:rPr>
          <w:noProof/>
        </w:rPr>
        <w:t>864 * 10</w:t>
      </w:r>
      <w:r w:rsidRPr="00881BC8">
        <w:rPr>
          <w:noProof/>
          <w:vertAlign w:val="superscript"/>
        </w:rPr>
        <w:t>9</w:t>
      </w:r>
      <w:r w:rsidRPr="00881BC8">
        <w:rPr>
          <w:noProof/>
        </w:rPr>
        <w:t xml:space="preserve"> * 0.08 * (13 / 365) = 5.31 * 10</w:t>
      </w:r>
      <w:r w:rsidRPr="00881BC8">
        <w:rPr>
          <w:noProof/>
          <w:vertAlign w:val="superscript"/>
        </w:rPr>
        <w:t>9</w:t>
      </w:r>
    </w:p>
    <w:p w14:paraId="10B373F6" w14:textId="77777777" w:rsidR="00371620" w:rsidRPr="00881BC8" w:rsidRDefault="000639AA" w:rsidP="004835F8">
      <w:pPr>
        <w:pStyle w:val="NormalPara"/>
        <w:rPr>
          <w:noProof/>
          <w:lang w:val="en-GB"/>
        </w:rPr>
      </w:pPr>
      <w:r w:rsidRPr="00881BC8">
        <w:rPr>
          <w:noProof/>
          <w:lang w:val="en-GB"/>
        </w:rPr>
        <w:t>To estimate the effect of only an additional 5% of companies receiving the automatic interest payments, we therefore multiplied the above figure with 0.05 to arrive at 265.5 million.</w:t>
      </w:r>
      <w:r w:rsidR="0072229F" w:rsidRPr="00881BC8">
        <w:rPr>
          <w:noProof/>
          <w:lang w:val="en-GB"/>
        </w:rPr>
        <w:t xml:space="preserve"> </w:t>
      </w:r>
    </w:p>
    <w:p w14:paraId="01747EFC" w14:textId="201CC5FA" w:rsidR="000639AA" w:rsidRPr="00881BC8" w:rsidRDefault="0072229F" w:rsidP="004835F8">
      <w:pPr>
        <w:pStyle w:val="NormalPara"/>
        <w:rPr>
          <w:noProof/>
          <w:lang w:val="en-GB"/>
        </w:rPr>
      </w:pPr>
      <w:r w:rsidRPr="00881BC8">
        <w:rPr>
          <w:noProof/>
          <w:lang w:val="en-GB"/>
        </w:rPr>
        <w:t xml:space="preserve">The corresponding cost of these </w:t>
      </w:r>
      <w:r w:rsidR="00371620" w:rsidRPr="00881BC8">
        <w:rPr>
          <w:noProof/>
          <w:lang w:val="en-GB"/>
        </w:rPr>
        <w:t xml:space="preserve">EUR 265.5 million </w:t>
      </w:r>
      <w:r w:rsidRPr="00881BC8">
        <w:rPr>
          <w:noProof/>
          <w:lang w:val="en-GB"/>
        </w:rPr>
        <w:t xml:space="preserve">automatic interest payments is divided between businesses and public authorities based on allocation keys, </w:t>
      </w:r>
      <w:r w:rsidR="007542FB" w:rsidRPr="00881BC8">
        <w:rPr>
          <w:noProof/>
          <w:lang w:val="en-GB"/>
        </w:rPr>
        <w:t>reflecting the contribution of public procurement (14%) and business sector (remaining 86%) to GDP.</w:t>
      </w:r>
    </w:p>
    <w:p w14:paraId="14614859" w14:textId="77777777" w:rsidR="00E974E5" w:rsidRPr="00881BC8" w:rsidRDefault="00E974E5" w:rsidP="00152B84">
      <w:pPr>
        <w:rPr>
          <w:noProof/>
        </w:rPr>
      </w:pPr>
      <w:r w:rsidRPr="00881BC8">
        <w:rPr>
          <w:noProof/>
        </w:rPr>
        <w:t>EUR 37.2 million=EUR 265 million*0.14 – cost in G2B transactions</w:t>
      </w:r>
    </w:p>
    <w:p w14:paraId="711A4324" w14:textId="475B77C5" w:rsidR="00371620" w:rsidRPr="00881BC8" w:rsidRDefault="00371620" w:rsidP="00152B84">
      <w:pPr>
        <w:rPr>
          <w:noProof/>
        </w:rPr>
      </w:pPr>
      <w:r w:rsidRPr="00881BC8">
        <w:rPr>
          <w:noProof/>
        </w:rPr>
        <w:t>EUR 228.3 million=EUR 265 million*0.86 – cost in B2B transactions</w:t>
      </w:r>
    </w:p>
    <w:p w14:paraId="55400493" w14:textId="62414C5D" w:rsidR="002C7CBA" w:rsidRPr="00881BC8" w:rsidRDefault="002C7CBA" w:rsidP="004835F8">
      <w:pPr>
        <w:pStyle w:val="NormalPara"/>
        <w:rPr>
          <w:noProof/>
          <w:lang w:val="en-GB"/>
        </w:rPr>
      </w:pPr>
      <w:r w:rsidRPr="00881BC8">
        <w:rPr>
          <w:noProof/>
          <w:lang w:val="en-GB"/>
        </w:rPr>
        <w:t>To arrive at the inflation-adjusted value of the EUR 40 flat fee, we based ourselves on Eurostat’s annual Harmonised Index of Consumer Prices</w:t>
      </w:r>
      <w:r w:rsidRPr="00881BC8">
        <w:rPr>
          <w:rStyle w:val="FootnoteReference"/>
          <w:noProof/>
          <w:lang w:val="en-GB"/>
        </w:rPr>
        <w:footnoteReference w:id="154"/>
      </w:r>
      <w:r w:rsidRPr="00881BC8">
        <w:rPr>
          <w:noProof/>
          <w:lang w:val="en-GB"/>
        </w:rPr>
        <w:t>, comparing the EU-27 2022 value to the 2011 value (year of adoption of the current LPD) and multiplying the 40 euros with the inflation rate from 2011-2022:</w:t>
      </w:r>
    </w:p>
    <w:p w14:paraId="13FC5C10" w14:textId="77777777" w:rsidR="002C7CBA" w:rsidRPr="00881BC8" w:rsidRDefault="002C7CBA" w:rsidP="00152B84">
      <w:pPr>
        <w:rPr>
          <w:noProof/>
        </w:rPr>
      </w:pPr>
      <w:r w:rsidRPr="00881BC8">
        <w:rPr>
          <w:noProof/>
        </w:rPr>
        <w:t>40 * (118.82 / 95.69) = 49.67</w:t>
      </w:r>
    </w:p>
    <w:p w14:paraId="5364916D" w14:textId="77777777" w:rsidR="002C7CBA" w:rsidRPr="00881BC8" w:rsidRDefault="002C7CBA" w:rsidP="004835F8">
      <w:pPr>
        <w:pStyle w:val="NormalPara"/>
        <w:rPr>
          <w:noProof/>
          <w:lang w:val="en-GB"/>
        </w:rPr>
      </w:pPr>
      <w:r w:rsidRPr="00881BC8">
        <w:rPr>
          <w:noProof/>
          <w:lang w:val="en-GB"/>
        </w:rPr>
        <w:t>This value was rounded up to 50 euros.</w:t>
      </w:r>
    </w:p>
    <w:p w14:paraId="542BE49A" w14:textId="298122C8" w:rsidR="002C7CBA" w:rsidRPr="00881BC8" w:rsidRDefault="002C7CBA" w:rsidP="004835F8">
      <w:pPr>
        <w:pStyle w:val="NormalPara"/>
        <w:rPr>
          <w:noProof/>
          <w:lang w:val="en-GB"/>
        </w:rPr>
      </w:pPr>
      <w:r w:rsidRPr="00881BC8">
        <w:rPr>
          <w:noProof/>
          <w:lang w:val="en-GB"/>
        </w:rPr>
        <w:t>For the total value of compensation fees, we assumed the above-mentioned 15 billion invoices and 10% of invoices being paid late</w:t>
      </w:r>
      <w:r w:rsidRPr="00881BC8">
        <w:rPr>
          <w:rStyle w:val="FootnoteReference"/>
          <w:noProof/>
          <w:lang w:val="en-GB"/>
        </w:rPr>
        <w:footnoteReference w:id="155"/>
      </w:r>
      <w:r w:rsidRPr="00881BC8">
        <w:rPr>
          <w:noProof/>
          <w:lang w:val="en-GB"/>
        </w:rPr>
        <w:t xml:space="preserve">. We multiplied the resulting 1.5 billion invoices with the proposed flat fee (40/70/100 euros or 50 euros, respectively) to arrive at 60, 105 and 150 billion or 75 billion, respectively. We then </w:t>
      </w:r>
      <w:r w:rsidR="00156699" w:rsidRPr="00881BC8">
        <w:rPr>
          <w:noProof/>
          <w:lang w:val="en-GB"/>
        </w:rPr>
        <w:t>calculated 5% of these shares to reflect the conservative assumption that an additional 5% of companies would receive the compensation fees</w:t>
      </w:r>
      <w:r w:rsidRPr="00881BC8">
        <w:rPr>
          <w:noProof/>
          <w:lang w:val="en-GB"/>
        </w:rPr>
        <w:t>.</w:t>
      </w:r>
    </w:p>
    <w:p w14:paraId="1F1FC855" w14:textId="6A57DB14" w:rsidR="000639AA" w:rsidRPr="00881BC8" w:rsidRDefault="000639AA" w:rsidP="004835F8">
      <w:pPr>
        <w:pStyle w:val="ListParagraph"/>
        <w:numPr>
          <w:ilvl w:val="0"/>
          <w:numId w:val="18"/>
        </w:numPr>
        <w:rPr>
          <w:noProof/>
        </w:rPr>
      </w:pPr>
      <w:r w:rsidRPr="00881BC8">
        <w:rPr>
          <w:noProof/>
        </w:rPr>
        <w:t xml:space="preserve">PO2a (adjusting flat fee to inflation, i.e. new </w:t>
      </w:r>
      <w:r w:rsidR="00B14EAD" w:rsidRPr="00881BC8">
        <w:rPr>
          <w:noProof/>
        </w:rPr>
        <w:t>EUR </w:t>
      </w:r>
      <w:r w:rsidRPr="00881BC8">
        <w:rPr>
          <w:noProof/>
        </w:rPr>
        <w:t>50 flat fee): 1.5 * 10</w:t>
      </w:r>
      <w:r w:rsidRPr="00881BC8">
        <w:rPr>
          <w:noProof/>
          <w:vertAlign w:val="superscript"/>
        </w:rPr>
        <w:t>9</w:t>
      </w:r>
      <w:r w:rsidRPr="00881BC8">
        <w:rPr>
          <w:noProof/>
        </w:rPr>
        <w:t xml:space="preserve"> * 50 * 5% = 3.75 * 10</w:t>
      </w:r>
      <w:r w:rsidRPr="00881BC8">
        <w:rPr>
          <w:noProof/>
          <w:vertAlign w:val="superscript"/>
        </w:rPr>
        <w:t>9</w:t>
      </w:r>
      <w:r w:rsidRPr="00881BC8">
        <w:rPr>
          <w:noProof/>
        </w:rPr>
        <w:t>.</w:t>
      </w:r>
    </w:p>
    <w:p w14:paraId="21552EC3" w14:textId="5BA07F7C" w:rsidR="000639AA" w:rsidRPr="00881BC8" w:rsidRDefault="000639AA" w:rsidP="004835F8">
      <w:pPr>
        <w:pStyle w:val="ListParagraph"/>
        <w:numPr>
          <w:ilvl w:val="0"/>
          <w:numId w:val="18"/>
        </w:numPr>
        <w:rPr>
          <w:noProof/>
        </w:rPr>
      </w:pPr>
      <w:r w:rsidRPr="00881BC8">
        <w:rPr>
          <w:noProof/>
        </w:rPr>
        <w:t>PO2b (</w:t>
      </w:r>
      <w:r w:rsidR="00B14EAD" w:rsidRPr="00881BC8">
        <w:rPr>
          <w:noProof/>
        </w:rPr>
        <w:t>EUR </w:t>
      </w:r>
      <w:r w:rsidRPr="00881BC8">
        <w:rPr>
          <w:noProof/>
        </w:rPr>
        <w:t>40/70/100 staggered fee): lower end 1.5 * 10</w:t>
      </w:r>
      <w:r w:rsidRPr="00881BC8">
        <w:rPr>
          <w:noProof/>
          <w:vertAlign w:val="superscript"/>
        </w:rPr>
        <w:t>9</w:t>
      </w:r>
      <w:r w:rsidRPr="00881BC8">
        <w:rPr>
          <w:noProof/>
        </w:rPr>
        <w:t xml:space="preserve"> * 40 * 5% = 3 * 10</w:t>
      </w:r>
      <w:r w:rsidRPr="00881BC8">
        <w:rPr>
          <w:noProof/>
          <w:vertAlign w:val="superscript"/>
        </w:rPr>
        <w:t>9</w:t>
      </w:r>
      <w:r w:rsidRPr="00881BC8">
        <w:rPr>
          <w:noProof/>
        </w:rPr>
        <w:t>; higher end 1.5 * 10</w:t>
      </w:r>
      <w:r w:rsidRPr="00881BC8">
        <w:rPr>
          <w:noProof/>
          <w:vertAlign w:val="superscript"/>
        </w:rPr>
        <w:t>9</w:t>
      </w:r>
      <w:r w:rsidRPr="00881BC8">
        <w:rPr>
          <w:noProof/>
        </w:rPr>
        <w:t xml:space="preserve"> * 100 * 5% = 7.5 * 10</w:t>
      </w:r>
      <w:r w:rsidRPr="00881BC8">
        <w:rPr>
          <w:noProof/>
          <w:vertAlign w:val="superscript"/>
        </w:rPr>
        <w:t>9</w:t>
      </w:r>
      <w:r w:rsidRPr="00881BC8">
        <w:rPr>
          <w:noProof/>
        </w:rPr>
        <w:t>.</w:t>
      </w:r>
    </w:p>
    <w:p w14:paraId="50E25698" w14:textId="52D22189" w:rsidR="0038431F" w:rsidRPr="00881BC8" w:rsidRDefault="0038431F" w:rsidP="004835F8">
      <w:pPr>
        <w:pStyle w:val="NormalPara"/>
        <w:rPr>
          <w:noProof/>
          <w:lang w:val="en-GB"/>
        </w:rPr>
      </w:pPr>
      <w:r w:rsidRPr="00881BC8">
        <w:rPr>
          <w:noProof/>
          <w:lang w:val="en-GB"/>
        </w:rPr>
        <w:t>The corresponding cost of these EUR 3.75 million automatic compensation fee payments is divided between businesses and public authorities based on allocation keys, reflecting the contribution of public procurement (14%) and business sector (remaining 86%) to GDP.</w:t>
      </w:r>
    </w:p>
    <w:p w14:paraId="2EE0BBF7" w14:textId="535BCEC6" w:rsidR="00E974E5" w:rsidRPr="00881BC8" w:rsidRDefault="00E974E5" w:rsidP="00152B84">
      <w:pPr>
        <w:rPr>
          <w:noProof/>
        </w:rPr>
      </w:pPr>
      <w:r w:rsidRPr="00881BC8">
        <w:rPr>
          <w:noProof/>
        </w:rPr>
        <w:t>EUR 0.53 billion</w:t>
      </w:r>
      <w:r w:rsidR="00CB038A" w:rsidRPr="00881BC8">
        <w:rPr>
          <w:noProof/>
        </w:rPr>
        <w:t xml:space="preserve"> </w:t>
      </w:r>
      <w:r w:rsidRPr="00881BC8">
        <w:rPr>
          <w:noProof/>
        </w:rPr>
        <w:t>=</w:t>
      </w:r>
      <w:r w:rsidR="00CB038A" w:rsidRPr="00881BC8">
        <w:rPr>
          <w:noProof/>
        </w:rPr>
        <w:t xml:space="preserve"> </w:t>
      </w:r>
      <w:r w:rsidRPr="00881BC8">
        <w:rPr>
          <w:noProof/>
        </w:rPr>
        <w:t>EUR 3.75 billion</w:t>
      </w:r>
      <w:r w:rsidR="00CB038A" w:rsidRPr="00881BC8">
        <w:rPr>
          <w:noProof/>
        </w:rPr>
        <w:t xml:space="preserve"> </w:t>
      </w:r>
      <w:r w:rsidRPr="00881BC8">
        <w:rPr>
          <w:noProof/>
        </w:rPr>
        <w:t>*</w:t>
      </w:r>
      <w:r w:rsidR="00CB038A" w:rsidRPr="00881BC8">
        <w:rPr>
          <w:noProof/>
        </w:rPr>
        <w:t xml:space="preserve"> </w:t>
      </w:r>
      <w:r w:rsidRPr="00881BC8">
        <w:rPr>
          <w:noProof/>
        </w:rPr>
        <w:t>0.14 – cost in G2B transactions</w:t>
      </w:r>
    </w:p>
    <w:p w14:paraId="797A4712" w14:textId="377C6F9B" w:rsidR="0038431F" w:rsidRPr="00881BC8" w:rsidRDefault="00E974E5" w:rsidP="00152B84">
      <w:pPr>
        <w:rPr>
          <w:noProof/>
        </w:rPr>
      </w:pPr>
      <w:r w:rsidRPr="00881BC8">
        <w:rPr>
          <w:noProof/>
        </w:rPr>
        <w:t>EUR 3.22 billion</w:t>
      </w:r>
      <w:r w:rsidR="00CB038A" w:rsidRPr="00881BC8">
        <w:rPr>
          <w:noProof/>
        </w:rPr>
        <w:t xml:space="preserve"> </w:t>
      </w:r>
      <w:r w:rsidRPr="00881BC8">
        <w:rPr>
          <w:noProof/>
        </w:rPr>
        <w:t>=</w:t>
      </w:r>
      <w:r w:rsidR="00CB038A" w:rsidRPr="00881BC8">
        <w:rPr>
          <w:noProof/>
        </w:rPr>
        <w:t xml:space="preserve"> </w:t>
      </w:r>
      <w:r w:rsidRPr="00881BC8">
        <w:rPr>
          <w:noProof/>
        </w:rPr>
        <w:t>EUR 3.75 billion</w:t>
      </w:r>
      <w:r w:rsidR="00CB038A" w:rsidRPr="00881BC8">
        <w:rPr>
          <w:noProof/>
        </w:rPr>
        <w:t xml:space="preserve"> </w:t>
      </w:r>
      <w:r w:rsidRPr="00881BC8">
        <w:rPr>
          <w:noProof/>
        </w:rPr>
        <w:t>*</w:t>
      </w:r>
      <w:r w:rsidR="00CB038A" w:rsidRPr="00881BC8">
        <w:rPr>
          <w:noProof/>
        </w:rPr>
        <w:t xml:space="preserve"> </w:t>
      </w:r>
      <w:r w:rsidRPr="00881BC8">
        <w:rPr>
          <w:noProof/>
        </w:rPr>
        <w:t>0.86 – cost in B2B transactions</w:t>
      </w:r>
    </w:p>
    <w:p w14:paraId="32EDD844" w14:textId="44CCA247" w:rsidR="002C7CBA" w:rsidRPr="00881BC8" w:rsidRDefault="002C7CBA" w:rsidP="004835F8">
      <w:pPr>
        <w:pStyle w:val="NormalPara"/>
        <w:rPr>
          <w:noProof/>
          <w:lang w:val="en-GB"/>
        </w:rPr>
      </w:pPr>
      <w:r w:rsidRPr="00881BC8">
        <w:rPr>
          <w:noProof/>
          <w:lang w:val="en-GB"/>
        </w:rPr>
        <w:t>For the cost of enforcement bodies, we extrapolated from the two submissions to the Call for Evidence by France and Finland, estimating their cost for running a late payment enforcement body. France estimated a yearly cost of EUR 8.41 million, while Finland estimated a cost of EUR</w:t>
      </w:r>
      <w:r w:rsidR="00B14EAD" w:rsidRPr="00881BC8">
        <w:rPr>
          <w:noProof/>
          <w:lang w:val="en-GB"/>
        </w:rPr>
        <w:t> </w:t>
      </w:r>
      <w:r w:rsidRPr="00881BC8">
        <w:rPr>
          <w:noProof/>
          <w:lang w:val="en-GB"/>
        </w:rPr>
        <w:t>680 000 per year.</w:t>
      </w:r>
    </w:p>
    <w:p w14:paraId="698E66E4" w14:textId="77777777" w:rsidR="002C7CBA" w:rsidRPr="00881BC8" w:rsidRDefault="002C7CBA" w:rsidP="004835F8">
      <w:pPr>
        <w:pStyle w:val="NormalPara"/>
        <w:rPr>
          <w:noProof/>
          <w:lang w:val="en-GB"/>
        </w:rPr>
      </w:pPr>
      <w:r w:rsidRPr="00881BC8">
        <w:rPr>
          <w:noProof/>
          <w:lang w:val="en-GB"/>
        </w:rPr>
        <w:t>Extrapolating from either of these figures gives a very similar estimate for the total cost to all EU-27 Member States. As France accounts for about 13.3% of all EU enterprises, extrapolating the cost given by the French authorities to the whole EU gives a cost estimate of EUR 63.0 million; extrapolating from Finland, which accounts for 1.0% of all EU enterprises, leads to an EU figure of EUR 65.4 million.</w:t>
      </w:r>
    </w:p>
    <w:p w14:paraId="170E2FE4" w14:textId="6D2D7536" w:rsidR="002C7CBA" w:rsidRPr="00881BC8" w:rsidRDefault="002C7CBA" w:rsidP="004835F8">
      <w:pPr>
        <w:pStyle w:val="NormalPara"/>
        <w:rPr>
          <w:noProof/>
          <w:lang w:val="en-GB"/>
        </w:rPr>
      </w:pPr>
      <w:r w:rsidRPr="00881BC8">
        <w:rPr>
          <w:noProof/>
          <w:lang w:val="en-GB"/>
        </w:rPr>
        <w:t>The potential administrative fines to companies were estimated in the same way, extrapolating from France’s submission of EUR 18.2 million fines collected per year, to arrive at EUR 136.8 million per year for the EU-27.</w:t>
      </w:r>
    </w:p>
    <w:p w14:paraId="1650095C" w14:textId="77777777" w:rsidR="002C7CBA" w:rsidRPr="00881BC8" w:rsidRDefault="002C7CBA" w:rsidP="004835F8">
      <w:pPr>
        <w:pStyle w:val="NormalPara"/>
        <w:rPr>
          <w:noProof/>
          <w:lang w:val="en-GB"/>
        </w:rPr>
      </w:pPr>
      <w:r w:rsidRPr="00881BC8">
        <w:rPr>
          <w:noProof/>
          <w:lang w:val="en-GB"/>
        </w:rPr>
        <w:t>France also estimated the reduction of late payments due to its enforcement body, estimating that since introduction of the enforcement body, average payment delays have gone down from 13.6 days to 11.2 days</w:t>
      </w:r>
      <w:r w:rsidRPr="00881BC8">
        <w:rPr>
          <w:rStyle w:val="FootnoteReference"/>
          <w:noProof/>
          <w:lang w:val="en-GB"/>
        </w:rPr>
        <w:footnoteReference w:id="156"/>
      </w:r>
      <w:r w:rsidRPr="00881BC8">
        <w:rPr>
          <w:noProof/>
          <w:lang w:val="en-GB"/>
        </w:rPr>
        <w:t>.</w:t>
      </w:r>
    </w:p>
    <w:p w14:paraId="1783C57F" w14:textId="036555D3" w:rsidR="002C7CBA" w:rsidRPr="000F7594" w:rsidRDefault="004B4B49" w:rsidP="004B4B49">
      <w:pPr>
        <w:rPr>
          <w:noProof/>
          <w:lang w:val="fr-BE"/>
        </w:rPr>
      </w:pPr>
      <w:r w:rsidRPr="000F7594">
        <w:rPr>
          <w:noProof/>
          <w:lang w:val="fr-BE"/>
        </w:rPr>
        <w:t>‘</w:t>
      </w:r>
      <w:r w:rsidR="002C7CBA" w:rsidRPr="000F7594">
        <w:rPr>
          <w:noProof/>
          <w:lang w:val="fr-BE"/>
        </w:rPr>
        <w:t>Selon les chiffres du rapport de l'année 2017 de l'Observatoire des délais de paiement, l'entrée en vigueur de la loi du 17 mars 2014 précitée et du régime de sanctions administratives en matière de délais de paiement interentreprises, ainsi que la pression de contrôle soutenue exercée par la DGCCRF en la matière, ont entraîné une nette amélioration du délai de paiement moyen. En effet, selon ces chiffres, la situation des délais de paiement s'est globalement améliorée de manière continue depuis le 2ème trimestre 2015. Entre cette période et le 3ème trimestre 2017, le retard moyen de paiement est passé de 13,6 jours à 11,2 jours toutes catégories confondues (acheteurs publics et privés), soit un niveau inférieur à la moyenne européenne, établie à 13,1 jours. En outre, depuis le 1er trimestre 2015, la part des paiements sans retard est passée de 36,8 % à 43,6 % et la part des retards supérieurs à quinze jours, de 31,3 % à 26,9 %</w:t>
      </w:r>
      <w:r w:rsidRPr="000F7594">
        <w:rPr>
          <w:noProof/>
          <w:lang w:val="fr-BE"/>
        </w:rPr>
        <w:t>’</w:t>
      </w:r>
      <w:r w:rsidR="002C7CBA" w:rsidRPr="000F7594">
        <w:rPr>
          <w:noProof/>
          <w:lang w:val="fr-BE"/>
        </w:rPr>
        <w:t>.</w:t>
      </w:r>
    </w:p>
    <w:p w14:paraId="048CB47F" w14:textId="77777777" w:rsidR="000639AA" w:rsidRPr="00881BC8" w:rsidRDefault="000639AA" w:rsidP="004835F8">
      <w:pPr>
        <w:pStyle w:val="NormalPara"/>
        <w:rPr>
          <w:noProof/>
          <w:lang w:val="en-GB"/>
        </w:rPr>
      </w:pPr>
      <w:r w:rsidRPr="00881BC8">
        <w:rPr>
          <w:noProof/>
          <w:lang w:val="en-GB"/>
        </w:rPr>
        <w:t>For the extrapolation to the EU-27 of the UK’s Prompt Payment Policy to subcontractors, we based ourselves on the UK government figures showing that between 2015-2018, GBP 7.5 million in payments were unblocked</w:t>
      </w:r>
      <w:r w:rsidRPr="00881BC8">
        <w:rPr>
          <w:rStyle w:val="FootnoteReference"/>
          <w:noProof/>
          <w:lang w:val="en-GB"/>
        </w:rPr>
        <w:footnoteReference w:id="157"/>
      </w:r>
      <w:r w:rsidRPr="00881BC8">
        <w:rPr>
          <w:noProof/>
          <w:lang w:val="en-GB"/>
        </w:rPr>
        <w:t>. Converting this into euros (exchange rate of 1.13) and extrapolating to the EU-27 on the basis of number of companies (the UK’s number of enterprises is 9.1% that of the EU-27) leads to a figure of 93 million, which we divided by three to arrive at a figure per year.</w:t>
      </w:r>
    </w:p>
    <w:p w14:paraId="22432E64" w14:textId="77777777" w:rsidR="009358B6" w:rsidRPr="00881BC8" w:rsidRDefault="009358B6" w:rsidP="004835F8">
      <w:pPr>
        <w:pStyle w:val="NormalPara"/>
        <w:rPr>
          <w:noProof/>
          <w:lang w:val="en-GB"/>
        </w:rPr>
      </w:pPr>
      <w:r w:rsidRPr="00881BC8">
        <w:rPr>
          <w:noProof/>
          <w:lang w:val="en-GB"/>
        </w:rPr>
        <w:t>To estimate the number of main contractors in public contracts, we multiplied the total number of companies in the construction sector (3.7 million) with the share of construction companies in public contracts (18%) to arrive at 666 000 companies. Of these, we took the share of companies that are main contractors (26%)</w:t>
      </w:r>
      <w:r w:rsidRPr="00881BC8">
        <w:rPr>
          <w:rStyle w:val="FootnoteReference"/>
          <w:noProof/>
          <w:lang w:val="en-GB"/>
        </w:rPr>
        <w:footnoteReference w:id="158"/>
      </w:r>
      <w:r w:rsidRPr="00881BC8">
        <w:rPr>
          <w:noProof/>
          <w:lang w:val="en-GB"/>
        </w:rPr>
        <w:t xml:space="preserve"> to arrive at a final number of 173 000 companies directly affected by having to pay their subcontractors on time.</w:t>
      </w:r>
    </w:p>
    <w:p w14:paraId="1AB3F362" w14:textId="154D1B7E" w:rsidR="000639AA" w:rsidRPr="00881BC8" w:rsidRDefault="009358B6" w:rsidP="004835F8">
      <w:pPr>
        <w:pStyle w:val="NormalPara"/>
        <w:rPr>
          <w:noProof/>
          <w:lang w:val="en-GB"/>
        </w:rPr>
      </w:pPr>
      <w:r w:rsidRPr="00881BC8">
        <w:rPr>
          <w:noProof/>
          <w:lang w:val="en-GB"/>
        </w:rPr>
        <w:t>To estimate the adjustment cost to reflect the update to standard terms to include new compensation fees, we assumed the same EUR 10 as in PO1 and applied it to all 24.3 million companies.</w:t>
      </w:r>
    </w:p>
    <w:p w14:paraId="353C6005" w14:textId="2CE2FA95" w:rsidR="002C7CBA" w:rsidRPr="00881BC8" w:rsidRDefault="002C7CBA" w:rsidP="004835F8">
      <w:pPr>
        <w:pStyle w:val="AnnexLevel1"/>
        <w:tabs>
          <w:tab w:val="clear" w:pos="1200"/>
        </w:tabs>
        <w:ind w:left="709"/>
        <w:rPr>
          <w:noProof/>
          <w:lang w:val="en-GB"/>
        </w:rPr>
      </w:pPr>
      <w:r w:rsidRPr="00881BC8">
        <w:rPr>
          <w:noProof/>
          <w:lang w:val="en-GB"/>
        </w:rPr>
        <w:t>Policy Option 3</w:t>
      </w:r>
    </w:p>
    <w:p w14:paraId="683C7336" w14:textId="77777777" w:rsidR="002C7CBA" w:rsidRPr="00881BC8" w:rsidRDefault="002C7CBA" w:rsidP="004835F8">
      <w:pPr>
        <w:pStyle w:val="NormalPara"/>
        <w:rPr>
          <w:noProof/>
          <w:lang w:val="en-GB"/>
        </w:rPr>
      </w:pPr>
      <w:r w:rsidRPr="00881BC8">
        <w:rPr>
          <w:noProof/>
          <w:lang w:val="en-GB"/>
        </w:rPr>
        <w:t>To compare costs and effectiveness of National Payment Envoys and a national mediation system, we used the examples of the UK’s Office of the Small Business Commissioner and France’s Médiateur des entreprises and extrapolating from these examples. The extrapolation was based on the number of companies in each country compared to the EU-27 (13.3% for France, 9.1% for the UK).</w:t>
      </w:r>
    </w:p>
    <w:p w14:paraId="721CBED3" w14:textId="4E0E8E72" w:rsidR="002C7CBA" w:rsidRPr="00881BC8" w:rsidRDefault="002C7CBA" w:rsidP="004835F8">
      <w:pPr>
        <w:pStyle w:val="NormalPara"/>
        <w:rPr>
          <w:noProof/>
          <w:lang w:val="en-GB"/>
        </w:rPr>
      </w:pPr>
      <w:r w:rsidRPr="00881BC8">
        <w:rPr>
          <w:noProof/>
          <w:lang w:val="en-GB"/>
        </w:rPr>
        <w:t>For the costs of the UK Small Business Commissioner, we used its 2021-2022 annual operating grant of £946,298</w:t>
      </w:r>
      <w:r w:rsidRPr="00881BC8">
        <w:rPr>
          <w:rStyle w:val="FootnoteReference"/>
          <w:noProof/>
          <w:lang w:val="en-GB"/>
        </w:rPr>
        <w:footnoteReference w:id="159"/>
      </w:r>
      <w:r w:rsidRPr="00881BC8">
        <w:rPr>
          <w:noProof/>
          <w:lang w:val="en-GB"/>
        </w:rPr>
        <w:t xml:space="preserve">, converted into euros. For the benefits of this office, we based ourselves on the same Annual Report highlighting that </w:t>
      </w:r>
      <w:r w:rsidR="00303DFA" w:rsidRPr="00881BC8">
        <w:rPr>
          <w:noProof/>
          <w:lang w:val="en-GB"/>
        </w:rPr>
        <w:t>‘</w:t>
      </w:r>
      <w:r w:rsidRPr="00881BC8">
        <w:rPr>
          <w:noProof/>
          <w:lang w:val="en-GB"/>
        </w:rPr>
        <w:t>As a result of our direct intervention, £205,775.80 was paid to small businesses</w:t>
      </w:r>
      <w:r w:rsidR="00303DFA" w:rsidRPr="00881BC8">
        <w:rPr>
          <w:noProof/>
          <w:lang w:val="en-GB"/>
        </w:rPr>
        <w:t>’</w:t>
      </w:r>
      <w:r w:rsidRPr="00881BC8">
        <w:rPr>
          <w:noProof/>
          <w:lang w:val="en-GB"/>
        </w:rPr>
        <w:t>.</w:t>
      </w:r>
    </w:p>
    <w:p w14:paraId="53D1872F" w14:textId="77777777" w:rsidR="002C7CBA" w:rsidRPr="00881BC8" w:rsidRDefault="002C7CBA" w:rsidP="004835F8">
      <w:pPr>
        <w:pStyle w:val="NormalPara"/>
        <w:rPr>
          <w:noProof/>
          <w:lang w:val="en-GB"/>
        </w:rPr>
      </w:pPr>
      <w:r w:rsidRPr="00881BC8">
        <w:rPr>
          <w:noProof/>
          <w:lang w:val="en-GB"/>
        </w:rPr>
        <w:t>For the benefits of the French médiateur des entreprises, its annual report for 2021 was used as well as the number of companies supported in 2020</w:t>
      </w:r>
      <w:r w:rsidRPr="00881BC8">
        <w:rPr>
          <w:rStyle w:val="FootnoteReference"/>
          <w:noProof/>
          <w:lang w:val="en-GB"/>
        </w:rPr>
        <w:footnoteReference w:id="160"/>
      </w:r>
      <w:r w:rsidRPr="00881BC8">
        <w:rPr>
          <w:noProof/>
          <w:lang w:val="en-GB"/>
        </w:rPr>
        <w:t>. To estimate the potential savings from avoiding court action, we based ourselves on the median figure for the court fee to start judicial proceedings in a specific commercial case from the 2021 EU Justice Scoreboard</w:t>
      </w:r>
      <w:r w:rsidRPr="00881BC8">
        <w:rPr>
          <w:rStyle w:val="FootnoteReference"/>
          <w:noProof/>
          <w:lang w:val="en-GB"/>
        </w:rPr>
        <w:footnoteReference w:id="161"/>
      </w:r>
      <w:r w:rsidRPr="00881BC8">
        <w:rPr>
          <w:noProof/>
          <w:lang w:val="en-GB"/>
        </w:rPr>
        <w:t>. This cost figure was multiplied by the total number of enterprises potentially supported, as well as with the 70% success rate given by the médiateur des entreprises.</w:t>
      </w:r>
    </w:p>
    <w:p w14:paraId="283BEA85" w14:textId="126A6757" w:rsidR="002C7CBA" w:rsidRPr="00881BC8" w:rsidRDefault="002C7CBA" w:rsidP="004835F8">
      <w:pPr>
        <w:pStyle w:val="NormalPara"/>
        <w:rPr>
          <w:noProof/>
          <w:lang w:val="en-GB"/>
        </w:rPr>
      </w:pPr>
      <w:r w:rsidRPr="00881BC8">
        <w:rPr>
          <w:noProof/>
          <w:lang w:val="en-GB"/>
        </w:rPr>
        <w:t xml:space="preserve">To estimate the cost of a mediation system, the proposition for a pilot project </w:t>
      </w:r>
      <w:r w:rsidR="00303DFA" w:rsidRPr="00881BC8">
        <w:rPr>
          <w:noProof/>
          <w:lang w:val="en-GB"/>
        </w:rPr>
        <w:t>‘</w:t>
      </w:r>
      <w:r w:rsidRPr="00881BC8">
        <w:rPr>
          <w:noProof/>
          <w:lang w:val="en-GB"/>
        </w:rPr>
        <w:t>ADR Tools in B2B Payment Disputes</w:t>
      </w:r>
      <w:r w:rsidR="00303DFA" w:rsidRPr="00881BC8">
        <w:rPr>
          <w:noProof/>
          <w:lang w:val="en-GB"/>
        </w:rPr>
        <w:t>’</w:t>
      </w:r>
      <w:r w:rsidRPr="00881BC8">
        <w:rPr>
          <w:noProof/>
          <w:lang w:val="en-GB"/>
        </w:rPr>
        <w:t xml:space="preserve"> was used as reference. In this project, a pilot mediation system for the construction sector in Belgium was proposed. The cost of such a pilot for three years is estimated at between 175,650 EUR and 648,150 EUR. In Belgium, 18.5% of all companies are active in the construction sector, and Belgium accounts for 2.9% of all EU companies. Extrapolating from the pilot and calculating a final figure per year rather than for three years therefore gives an EU-wide cost of 10.8 million – 39.8 million EUR.</w:t>
      </w:r>
    </w:p>
    <w:p w14:paraId="170B3A84" w14:textId="6727C6BD" w:rsidR="00FD2110" w:rsidRPr="00881BC8" w:rsidRDefault="00FD2110" w:rsidP="004835F8">
      <w:pPr>
        <w:pStyle w:val="AnnexLevel1"/>
        <w:rPr>
          <w:noProof/>
          <w:lang w:val="en-GB"/>
        </w:rPr>
      </w:pPr>
      <w:r w:rsidRPr="00881BC8">
        <w:rPr>
          <w:noProof/>
          <w:lang w:val="en-GB"/>
        </w:rPr>
        <w:t>Preferred policy option</w:t>
      </w:r>
    </w:p>
    <w:p w14:paraId="4F4555C0" w14:textId="0F7338F7" w:rsidR="00E64F8C" w:rsidRPr="00881BC8" w:rsidRDefault="00E64F8C" w:rsidP="00E64F8C">
      <w:pPr>
        <w:pStyle w:val="NormalPara"/>
        <w:rPr>
          <w:noProof/>
          <w:lang w:val="en-GB"/>
        </w:rPr>
      </w:pPr>
      <w:r w:rsidRPr="00881BC8">
        <w:rPr>
          <w:noProof/>
          <w:lang w:val="en-GB"/>
        </w:rPr>
        <w:t xml:space="preserve">To calculate the combined reduction of late payments in the Preferred Option, we assume some overlap in the benefits of each policy option. </w:t>
      </w:r>
      <w:r w:rsidR="00E3286B" w:rsidRPr="00881BC8">
        <w:rPr>
          <w:noProof/>
          <w:lang w:val="en-GB"/>
        </w:rPr>
        <w:t>A company might be induced independently to pay on time by payment terms below 30 days, or by automatic compensation, if only one of the measures was adopted, but will not reduce its payment times twice as much if both measures are adopted.</w:t>
      </w:r>
      <w:r w:rsidRPr="00881BC8">
        <w:rPr>
          <w:noProof/>
          <w:lang w:val="en-GB"/>
        </w:rPr>
        <w:t xml:space="preserve"> We therefore assumed the full effect of the largest reduction (PO1, 23.4%), but only take 50% of the two smaller reductions (PO2, 17.8% and PO3, 5.5%), as these would already be partially covered under the 23.4%. This leads us to a calculation of 23.4 + 0.5 * 17.8 + 0.5 * 5.5 = 35.05.</w:t>
      </w:r>
    </w:p>
    <w:p w14:paraId="706EDA04" w14:textId="1A4B2133" w:rsidR="00003701" w:rsidRPr="00881BC8" w:rsidRDefault="005D7397" w:rsidP="004835F8">
      <w:pPr>
        <w:pStyle w:val="NormalPara"/>
        <w:rPr>
          <w:noProof/>
          <w:lang w:val="en-GB"/>
        </w:rPr>
      </w:pPr>
      <w:r w:rsidRPr="00881BC8">
        <w:rPr>
          <w:noProof/>
          <w:lang w:val="en-GB"/>
        </w:rPr>
        <w:t xml:space="preserve">To arrive at the </w:t>
      </w:r>
      <w:r w:rsidR="00340B2F" w:rsidRPr="00881BC8">
        <w:rPr>
          <w:noProof/>
          <w:lang w:val="en-GB"/>
        </w:rPr>
        <w:t xml:space="preserve">monetary amount reflecting a </w:t>
      </w:r>
      <w:r w:rsidRPr="00881BC8">
        <w:rPr>
          <w:noProof/>
          <w:lang w:val="en-GB"/>
        </w:rPr>
        <w:t>consolidated 35% reduction</w:t>
      </w:r>
      <w:r w:rsidR="00340B2F" w:rsidRPr="00881BC8">
        <w:rPr>
          <w:noProof/>
          <w:lang w:val="en-GB"/>
        </w:rPr>
        <w:t xml:space="preserve"> in payment delays</w:t>
      </w:r>
      <w:r w:rsidRPr="00881BC8">
        <w:rPr>
          <w:noProof/>
          <w:lang w:val="en-GB"/>
        </w:rPr>
        <w:t>, equal to EUR 340.2 million</w:t>
      </w:r>
      <w:r w:rsidR="00340B2F" w:rsidRPr="00881BC8">
        <w:rPr>
          <w:noProof/>
          <w:lang w:val="en-GB"/>
        </w:rPr>
        <w:t>,</w:t>
      </w:r>
      <w:r w:rsidRPr="00881BC8">
        <w:rPr>
          <w:noProof/>
          <w:lang w:val="en-GB"/>
        </w:rPr>
        <w:t xml:space="preserve"> </w:t>
      </w:r>
      <w:r w:rsidR="00982D21" w:rsidRPr="00881BC8">
        <w:rPr>
          <w:noProof/>
          <w:lang w:val="en-GB"/>
        </w:rPr>
        <w:t xml:space="preserve">we follow the same reasoning as for </w:t>
      </w:r>
      <w:r w:rsidR="00340B2F" w:rsidRPr="00881BC8">
        <w:rPr>
          <w:noProof/>
          <w:lang w:val="en-GB"/>
        </w:rPr>
        <w:t xml:space="preserve">the 23.4% reduction described in this Annex under PO1. </w:t>
      </w:r>
    </w:p>
    <w:p w14:paraId="0DBDE945" w14:textId="77777777" w:rsidR="001C49AF" w:rsidRPr="00881BC8" w:rsidRDefault="00003701" w:rsidP="004835F8">
      <w:pPr>
        <w:pStyle w:val="NormalPara"/>
        <w:rPr>
          <w:noProof/>
          <w:lang w:val="en-GB"/>
        </w:rPr>
      </w:pPr>
      <w:r w:rsidRPr="00881BC8">
        <w:rPr>
          <w:noProof/>
          <w:lang w:val="en-GB"/>
        </w:rPr>
        <w:t>To estimate the reduction in hassle costs, estimates from the study ‘The Domino Effect: the impact of late payments’</w:t>
      </w:r>
      <w:r w:rsidRPr="00881BC8">
        <w:rPr>
          <w:rStyle w:val="FootnoteReference"/>
          <w:noProof/>
          <w:lang w:val="en-GB"/>
        </w:rPr>
        <w:footnoteReference w:id="162"/>
      </w:r>
      <w:r w:rsidRPr="00881BC8">
        <w:rPr>
          <w:noProof/>
          <w:lang w:val="en-GB"/>
        </w:rPr>
        <w:t xml:space="preserve"> were used. The study estimates the average number of man days needed by SMEs to chase up late payments. Although it covers only few EU countries, among the EU countries present the values range from just over 5 days for Germany to nearly 18 days in Spain. For a conservative estimate, we used the 5 days for Germany for the calculation and multiplied this figure by the total number of enterprises in the EU-27 (24.3 million), arriving at 121.5 million </w:t>
      </w:r>
      <w:r w:rsidR="001C49AF" w:rsidRPr="00881BC8">
        <w:rPr>
          <w:noProof/>
          <w:lang w:val="en-GB"/>
        </w:rPr>
        <w:t>man</w:t>
      </w:r>
      <w:r w:rsidRPr="00881BC8">
        <w:rPr>
          <w:noProof/>
          <w:lang w:val="en-GB"/>
        </w:rPr>
        <w:t>-days currently spent chasing late payments. The reduction of 3</w:t>
      </w:r>
      <w:r w:rsidR="001C49AF" w:rsidRPr="00881BC8">
        <w:rPr>
          <w:noProof/>
          <w:lang w:val="en-GB"/>
        </w:rPr>
        <w:t>5</w:t>
      </w:r>
      <w:r w:rsidRPr="00881BC8">
        <w:rPr>
          <w:noProof/>
          <w:lang w:val="en-GB"/>
        </w:rPr>
        <w:t xml:space="preserve">% in late payments </w:t>
      </w:r>
      <w:r w:rsidR="001C49AF" w:rsidRPr="00881BC8">
        <w:rPr>
          <w:noProof/>
          <w:lang w:val="en-GB"/>
        </w:rPr>
        <w:t xml:space="preserve">is </w:t>
      </w:r>
      <w:r w:rsidRPr="00881BC8">
        <w:rPr>
          <w:noProof/>
          <w:lang w:val="en-GB"/>
        </w:rPr>
        <w:t>calculated</w:t>
      </w:r>
      <w:r w:rsidR="001C49AF" w:rsidRPr="00881BC8">
        <w:rPr>
          <w:noProof/>
          <w:lang w:val="en-GB"/>
        </w:rPr>
        <w:t xml:space="preserve"> as follows:</w:t>
      </w:r>
    </w:p>
    <w:p w14:paraId="67AEC92E" w14:textId="42194908" w:rsidR="00003701" w:rsidRPr="00881BC8" w:rsidRDefault="001C49AF" w:rsidP="00152B84">
      <w:pPr>
        <w:rPr>
          <w:noProof/>
        </w:rPr>
      </w:pPr>
      <w:r w:rsidRPr="00881BC8">
        <w:rPr>
          <w:noProof/>
        </w:rPr>
        <w:t xml:space="preserve">5 days * 8 hours * </w:t>
      </w:r>
      <w:r w:rsidR="00847E5E" w:rsidRPr="00881BC8">
        <w:rPr>
          <w:noProof/>
        </w:rPr>
        <w:t xml:space="preserve">24 300 000 companies * 0.35 reduction = 340.2 million </w:t>
      </w:r>
      <w:r w:rsidR="00803286" w:rsidRPr="00881BC8">
        <w:rPr>
          <w:noProof/>
        </w:rPr>
        <w:t>man-hours</w:t>
      </w:r>
    </w:p>
    <w:p w14:paraId="5F1386CE" w14:textId="3D5286FC" w:rsidR="00803286" w:rsidRPr="00881BC8" w:rsidRDefault="00803286" w:rsidP="00152B84">
      <w:pPr>
        <w:rPr>
          <w:noProof/>
        </w:rPr>
      </w:pPr>
      <w:r w:rsidRPr="00881BC8">
        <w:rPr>
          <w:noProof/>
        </w:rPr>
        <w:t xml:space="preserve">340.2 million man-hours * EUR 25.70 average hourly labour rate (OIOO approach) = </w:t>
      </w:r>
      <w:r w:rsidR="00C706A0" w:rsidRPr="00881BC8">
        <w:rPr>
          <w:noProof/>
        </w:rPr>
        <w:t>EUR 8 743 million</w:t>
      </w:r>
    </w:p>
    <w:p w14:paraId="7C00401C" w14:textId="324C9366" w:rsidR="00FD2110" w:rsidRPr="00881BC8" w:rsidRDefault="00FD2110" w:rsidP="00152B84">
      <w:pPr>
        <w:rPr>
          <w:noProof/>
        </w:rPr>
      </w:pPr>
    </w:p>
    <w:p w14:paraId="46E1A621" w14:textId="77777777" w:rsidR="005C0005" w:rsidRPr="00881BC8" w:rsidRDefault="005C0005" w:rsidP="00152B84">
      <w:pPr>
        <w:rPr>
          <w:rFonts w:eastAsia="Times New Roman"/>
          <w:noProof/>
          <w:sz w:val="32"/>
          <w:szCs w:val="20"/>
        </w:rPr>
      </w:pPr>
      <w:r w:rsidRPr="00881BC8">
        <w:rPr>
          <w:noProof/>
        </w:rPr>
        <w:br w:type="page"/>
      </w:r>
      <w:bookmarkEnd w:id="1038"/>
    </w:p>
    <w:p w14:paraId="15043F3B" w14:textId="38B3536B" w:rsidR="006B087E" w:rsidRPr="00881BC8" w:rsidRDefault="00B444A8" w:rsidP="00CF2B67">
      <w:pPr>
        <w:pStyle w:val="AnnexTitle"/>
        <w:rPr>
          <w:noProof/>
        </w:rPr>
      </w:pPr>
      <w:bookmarkStart w:id="1041" w:name="Annex05"/>
      <w:bookmarkStart w:id="1042" w:name="_Toc129899925"/>
      <w:bookmarkStart w:id="1043" w:name="_Toc135237454"/>
      <w:r w:rsidRPr="00881BC8">
        <w:rPr>
          <w:noProof/>
        </w:rPr>
        <w:t xml:space="preserve">Annex </w:t>
      </w:r>
      <w:r w:rsidR="005C0005" w:rsidRPr="00881BC8">
        <w:rPr>
          <w:noProof/>
        </w:rPr>
        <w:t>5</w:t>
      </w:r>
      <w:bookmarkEnd w:id="1041"/>
      <w:r w:rsidR="096A997E" w:rsidRPr="00881BC8">
        <w:rPr>
          <w:noProof/>
        </w:rPr>
        <w:t>:</w:t>
      </w:r>
      <w:r w:rsidR="005C0005" w:rsidRPr="00881BC8">
        <w:rPr>
          <w:noProof/>
        </w:rPr>
        <w:t xml:space="preserve"> Competitiveness </w:t>
      </w:r>
      <w:r w:rsidR="000A7EFC" w:rsidRPr="00881BC8">
        <w:rPr>
          <w:noProof/>
        </w:rPr>
        <w:t>c</w:t>
      </w:r>
      <w:r w:rsidR="005C0005" w:rsidRPr="00881BC8">
        <w:rPr>
          <w:noProof/>
        </w:rPr>
        <w:t>heck</w:t>
      </w:r>
      <w:bookmarkEnd w:id="1042"/>
      <w:bookmarkEnd w:id="1043"/>
      <w:r w:rsidR="005C0005" w:rsidRPr="00881BC8">
        <w:rPr>
          <w:noProof/>
        </w:rPr>
        <w:t xml:space="preserve"> </w:t>
      </w:r>
    </w:p>
    <w:p w14:paraId="45A1CFEB" w14:textId="77777777" w:rsidR="0048145F" w:rsidRPr="00881BC8" w:rsidRDefault="0048145F" w:rsidP="004835F8">
      <w:pPr>
        <w:pStyle w:val="AnnexLevel1"/>
        <w:rPr>
          <w:noProof/>
          <w:lang w:val="en-GB"/>
        </w:rPr>
      </w:pPr>
      <w:bookmarkStart w:id="1044" w:name="_Toc126566169"/>
      <w:r w:rsidRPr="00881BC8">
        <w:rPr>
          <w:noProof/>
          <w:lang w:val="en-GB"/>
        </w:rPr>
        <w:t>Overview of impacts on competitiveness</w:t>
      </w:r>
      <w:bookmarkEnd w:id="1044"/>
      <w:r w:rsidRPr="00881BC8">
        <w:rPr>
          <w:noProof/>
          <w:lang w:val="en-GB"/>
        </w:rPr>
        <w:t xml:space="preserve"> </w:t>
      </w:r>
    </w:p>
    <w:tbl>
      <w:tblPr>
        <w:tblStyle w:val="TableGrid"/>
        <w:tblW w:w="9889" w:type="dxa"/>
        <w:tblLook w:val="04A0" w:firstRow="1" w:lastRow="0" w:firstColumn="1" w:lastColumn="0" w:noHBand="0" w:noVBand="1"/>
      </w:tblPr>
      <w:tblGrid>
        <w:gridCol w:w="3281"/>
        <w:gridCol w:w="2639"/>
        <w:gridCol w:w="3969"/>
      </w:tblGrid>
      <w:tr w:rsidR="0048145F" w:rsidRPr="00881BC8" w14:paraId="0698C0B8" w14:textId="77777777" w:rsidTr="00B80D52">
        <w:tc>
          <w:tcPr>
            <w:tcW w:w="3281" w:type="dxa"/>
            <w:vAlign w:val="center"/>
          </w:tcPr>
          <w:p w14:paraId="6BB23BE4" w14:textId="77777777" w:rsidR="0048145F" w:rsidRPr="00881BC8" w:rsidRDefault="0048145F" w:rsidP="00B80D52">
            <w:pPr>
              <w:spacing w:before="60" w:after="60"/>
              <w:jc w:val="center"/>
              <w:rPr>
                <w:b/>
                <w:noProof/>
              </w:rPr>
            </w:pPr>
            <w:r w:rsidRPr="00881BC8">
              <w:rPr>
                <w:b/>
                <w:noProof/>
              </w:rPr>
              <w:t>Dimensions of Competitiveness</w:t>
            </w:r>
          </w:p>
        </w:tc>
        <w:tc>
          <w:tcPr>
            <w:tcW w:w="2639" w:type="dxa"/>
            <w:vAlign w:val="center"/>
          </w:tcPr>
          <w:p w14:paraId="2FB08BA5" w14:textId="77777777" w:rsidR="0048145F" w:rsidRPr="00881BC8" w:rsidRDefault="0048145F" w:rsidP="00B80D52">
            <w:pPr>
              <w:spacing w:before="60" w:after="60"/>
              <w:jc w:val="center"/>
              <w:rPr>
                <w:b/>
                <w:noProof/>
              </w:rPr>
            </w:pPr>
            <w:r w:rsidRPr="00881BC8">
              <w:rPr>
                <w:b/>
                <w:noProof/>
              </w:rPr>
              <w:t>Impact of the initiative</w:t>
            </w:r>
          </w:p>
          <w:p w14:paraId="22EA0F7C" w14:textId="77777777" w:rsidR="0048145F" w:rsidRPr="00881BC8" w:rsidRDefault="0048145F" w:rsidP="00B80D52">
            <w:pPr>
              <w:spacing w:before="60" w:after="60"/>
              <w:jc w:val="center"/>
              <w:rPr>
                <w:b/>
                <w:noProof/>
              </w:rPr>
            </w:pPr>
            <w:r w:rsidRPr="00881BC8">
              <w:rPr>
                <w:b/>
                <w:noProof/>
              </w:rPr>
              <w:t>(++ / + / 0 / - / -- / n.a.)</w:t>
            </w:r>
          </w:p>
        </w:tc>
        <w:tc>
          <w:tcPr>
            <w:tcW w:w="3969" w:type="dxa"/>
            <w:vAlign w:val="center"/>
          </w:tcPr>
          <w:p w14:paraId="0860DA06" w14:textId="77777777" w:rsidR="0048145F" w:rsidRPr="00881BC8" w:rsidRDefault="0048145F" w:rsidP="00B80D52">
            <w:pPr>
              <w:spacing w:before="60" w:after="60"/>
              <w:jc w:val="center"/>
              <w:rPr>
                <w:b/>
                <w:noProof/>
              </w:rPr>
            </w:pPr>
            <w:r w:rsidRPr="00881BC8">
              <w:rPr>
                <w:b/>
                <w:noProof/>
              </w:rPr>
              <w:t>References to sub-sections of the main report or annexes</w:t>
            </w:r>
          </w:p>
        </w:tc>
      </w:tr>
      <w:tr w:rsidR="0048145F" w:rsidRPr="00881BC8" w14:paraId="3E4856FB" w14:textId="77777777" w:rsidTr="00B80D52">
        <w:tc>
          <w:tcPr>
            <w:tcW w:w="3281" w:type="dxa"/>
            <w:vAlign w:val="center"/>
          </w:tcPr>
          <w:p w14:paraId="2D261096" w14:textId="77777777" w:rsidR="0048145F" w:rsidRPr="00881BC8" w:rsidRDefault="0048145F" w:rsidP="00B80D52">
            <w:pPr>
              <w:spacing w:before="60" w:after="60"/>
              <w:rPr>
                <w:noProof/>
              </w:rPr>
            </w:pPr>
            <w:r w:rsidRPr="00881BC8">
              <w:rPr>
                <w:noProof/>
              </w:rPr>
              <w:t>Cost and price competitiveness</w:t>
            </w:r>
          </w:p>
        </w:tc>
        <w:tc>
          <w:tcPr>
            <w:tcW w:w="2639" w:type="dxa"/>
            <w:vAlign w:val="center"/>
          </w:tcPr>
          <w:p w14:paraId="285717BF" w14:textId="0C34C051" w:rsidR="0048145F" w:rsidRPr="00881BC8" w:rsidRDefault="002D37D5" w:rsidP="00B80D52">
            <w:pPr>
              <w:spacing w:before="60" w:after="60"/>
              <w:rPr>
                <w:noProof/>
              </w:rPr>
            </w:pPr>
            <w:r w:rsidRPr="00881BC8">
              <w:rPr>
                <w:noProof/>
              </w:rPr>
              <w:t>+</w:t>
            </w:r>
          </w:p>
        </w:tc>
        <w:tc>
          <w:tcPr>
            <w:tcW w:w="3969" w:type="dxa"/>
            <w:vAlign w:val="center"/>
          </w:tcPr>
          <w:p w14:paraId="3036B847" w14:textId="4C1D0B09" w:rsidR="0048145F" w:rsidRPr="00881BC8" w:rsidRDefault="00136632" w:rsidP="00B80D52">
            <w:pPr>
              <w:spacing w:before="60" w:after="60"/>
              <w:rPr>
                <w:noProof/>
              </w:rPr>
            </w:pPr>
            <w:r w:rsidRPr="00881BC8">
              <w:rPr>
                <w:noProof/>
              </w:rPr>
              <w:t>Section</w:t>
            </w:r>
            <w:r w:rsidR="0059000A" w:rsidRPr="00881BC8">
              <w:rPr>
                <w:noProof/>
              </w:rPr>
              <w:t xml:space="preserve">s </w:t>
            </w:r>
            <w:r w:rsidR="005851F4">
              <w:rPr>
                <w:noProof/>
              </w:rPr>
              <w:t>6.1.1.2</w:t>
            </w:r>
            <w:r w:rsidR="0059000A" w:rsidRPr="00881BC8">
              <w:rPr>
                <w:noProof/>
              </w:rPr>
              <w:t xml:space="preserve">, </w:t>
            </w:r>
            <w:r w:rsidR="005851F4">
              <w:rPr>
                <w:noProof/>
              </w:rPr>
              <w:t>6.1.2.2</w:t>
            </w:r>
            <w:r w:rsidR="0059000A" w:rsidRPr="00881BC8">
              <w:rPr>
                <w:noProof/>
              </w:rPr>
              <w:t xml:space="preserve">, </w:t>
            </w:r>
            <w:r w:rsidR="005851F4">
              <w:rPr>
                <w:noProof/>
              </w:rPr>
              <w:t>6.1.3.2</w:t>
            </w:r>
            <w:r w:rsidR="0059000A" w:rsidRPr="00881BC8">
              <w:rPr>
                <w:noProof/>
              </w:rPr>
              <w:t>, and</w:t>
            </w:r>
          </w:p>
        </w:tc>
      </w:tr>
      <w:tr w:rsidR="00790722" w:rsidRPr="00881BC8" w14:paraId="40686A8B" w14:textId="77777777" w:rsidTr="00B80D52">
        <w:tc>
          <w:tcPr>
            <w:tcW w:w="3281" w:type="dxa"/>
            <w:vAlign w:val="center"/>
          </w:tcPr>
          <w:p w14:paraId="783DB731" w14:textId="48F678E4" w:rsidR="00790722" w:rsidRPr="00881BC8" w:rsidRDefault="00790722" w:rsidP="00790722">
            <w:pPr>
              <w:spacing w:before="60" w:after="60"/>
              <w:rPr>
                <w:noProof/>
              </w:rPr>
            </w:pPr>
            <w:r w:rsidRPr="00881BC8">
              <w:rPr>
                <w:noProof/>
              </w:rPr>
              <w:t>Capacity to innovate</w:t>
            </w:r>
          </w:p>
        </w:tc>
        <w:tc>
          <w:tcPr>
            <w:tcW w:w="2639" w:type="dxa"/>
            <w:vAlign w:val="center"/>
          </w:tcPr>
          <w:p w14:paraId="72A9D519" w14:textId="5EC2A01E" w:rsidR="00790722" w:rsidRPr="00881BC8" w:rsidRDefault="002D37D5" w:rsidP="00790722">
            <w:pPr>
              <w:spacing w:before="60" w:after="60"/>
              <w:rPr>
                <w:noProof/>
              </w:rPr>
            </w:pPr>
            <w:r w:rsidRPr="00881BC8">
              <w:rPr>
                <w:noProof/>
              </w:rPr>
              <w:t>+</w:t>
            </w:r>
          </w:p>
        </w:tc>
        <w:tc>
          <w:tcPr>
            <w:tcW w:w="3969" w:type="dxa"/>
            <w:vAlign w:val="center"/>
          </w:tcPr>
          <w:p w14:paraId="78611B7C" w14:textId="6BA167B2" w:rsidR="00790722" w:rsidRPr="00881BC8" w:rsidRDefault="00790722" w:rsidP="00790722">
            <w:pPr>
              <w:spacing w:before="60" w:after="60"/>
              <w:rPr>
                <w:noProof/>
              </w:rPr>
            </w:pPr>
            <w:r w:rsidRPr="00881BC8">
              <w:rPr>
                <w:noProof/>
              </w:rPr>
              <w:t xml:space="preserve">Sections </w:t>
            </w:r>
            <w:r w:rsidR="005851F4">
              <w:rPr>
                <w:noProof/>
              </w:rPr>
              <w:t>6.1.1.2</w:t>
            </w:r>
            <w:r w:rsidRPr="00881BC8">
              <w:rPr>
                <w:noProof/>
              </w:rPr>
              <w:t xml:space="preserve">, </w:t>
            </w:r>
            <w:r w:rsidR="005851F4">
              <w:rPr>
                <w:noProof/>
              </w:rPr>
              <w:t>6.1.2.2</w:t>
            </w:r>
            <w:r w:rsidRPr="00881BC8">
              <w:rPr>
                <w:noProof/>
              </w:rPr>
              <w:t xml:space="preserve">, </w:t>
            </w:r>
            <w:r w:rsidR="005851F4">
              <w:rPr>
                <w:noProof/>
              </w:rPr>
              <w:t>6.1.3.2</w:t>
            </w:r>
            <w:r w:rsidRPr="00881BC8">
              <w:rPr>
                <w:noProof/>
              </w:rPr>
              <w:t>, and</w:t>
            </w:r>
          </w:p>
        </w:tc>
      </w:tr>
      <w:tr w:rsidR="00790722" w:rsidRPr="00881BC8" w14:paraId="0DF6EDA7" w14:textId="77777777" w:rsidTr="00B80D52">
        <w:tc>
          <w:tcPr>
            <w:tcW w:w="3281" w:type="dxa"/>
            <w:vAlign w:val="center"/>
          </w:tcPr>
          <w:p w14:paraId="00CC3223" w14:textId="6B994BCD" w:rsidR="00790722" w:rsidRPr="00881BC8" w:rsidRDefault="00790722" w:rsidP="00790722">
            <w:pPr>
              <w:spacing w:before="60" w:after="60"/>
              <w:rPr>
                <w:noProof/>
              </w:rPr>
            </w:pPr>
            <w:r w:rsidRPr="00881BC8">
              <w:rPr>
                <w:noProof/>
              </w:rPr>
              <w:t xml:space="preserve">International competitiveness </w:t>
            </w:r>
          </w:p>
        </w:tc>
        <w:tc>
          <w:tcPr>
            <w:tcW w:w="2639" w:type="dxa"/>
            <w:vAlign w:val="center"/>
          </w:tcPr>
          <w:p w14:paraId="34AC21D0" w14:textId="0B8D3F34" w:rsidR="00790722" w:rsidRPr="00881BC8" w:rsidRDefault="00F97A0E" w:rsidP="00790722">
            <w:pPr>
              <w:spacing w:before="60" w:after="60"/>
              <w:rPr>
                <w:noProof/>
              </w:rPr>
            </w:pPr>
            <w:r w:rsidRPr="00881BC8">
              <w:rPr>
                <w:noProof/>
              </w:rPr>
              <w:t>0</w:t>
            </w:r>
          </w:p>
        </w:tc>
        <w:tc>
          <w:tcPr>
            <w:tcW w:w="3969" w:type="dxa"/>
            <w:vAlign w:val="center"/>
          </w:tcPr>
          <w:p w14:paraId="4A99EBC6" w14:textId="190D1C7C" w:rsidR="00790722" w:rsidRPr="00881BC8" w:rsidRDefault="00790722" w:rsidP="00790722">
            <w:pPr>
              <w:spacing w:before="60" w:after="60"/>
              <w:rPr>
                <w:noProof/>
              </w:rPr>
            </w:pPr>
            <w:r w:rsidRPr="00881BC8">
              <w:rPr>
                <w:noProof/>
              </w:rPr>
              <w:t xml:space="preserve">Sections </w:t>
            </w:r>
            <w:r w:rsidR="005851F4">
              <w:rPr>
                <w:noProof/>
              </w:rPr>
              <w:t>6.1.1.2</w:t>
            </w:r>
            <w:r w:rsidRPr="00881BC8">
              <w:rPr>
                <w:noProof/>
              </w:rPr>
              <w:t xml:space="preserve">, </w:t>
            </w:r>
            <w:r w:rsidR="005851F4">
              <w:rPr>
                <w:noProof/>
              </w:rPr>
              <w:t>6.1.2.2</w:t>
            </w:r>
            <w:r w:rsidRPr="00881BC8">
              <w:rPr>
                <w:noProof/>
              </w:rPr>
              <w:t xml:space="preserve">, </w:t>
            </w:r>
            <w:r w:rsidR="005851F4">
              <w:rPr>
                <w:noProof/>
              </w:rPr>
              <w:t>6.1.3.2</w:t>
            </w:r>
            <w:r w:rsidRPr="00881BC8">
              <w:rPr>
                <w:noProof/>
              </w:rPr>
              <w:t>, and</w:t>
            </w:r>
          </w:p>
        </w:tc>
      </w:tr>
      <w:tr w:rsidR="00790722" w:rsidRPr="00881BC8" w14:paraId="1FDDDFA8" w14:textId="77777777" w:rsidTr="00B80D52">
        <w:tc>
          <w:tcPr>
            <w:tcW w:w="3281" w:type="dxa"/>
            <w:vAlign w:val="center"/>
          </w:tcPr>
          <w:p w14:paraId="5507CBE0" w14:textId="77777777" w:rsidR="00790722" w:rsidRPr="00881BC8" w:rsidRDefault="00790722" w:rsidP="00790722">
            <w:pPr>
              <w:spacing w:before="60" w:after="60"/>
              <w:rPr>
                <w:noProof/>
              </w:rPr>
            </w:pPr>
            <w:r w:rsidRPr="00881BC8">
              <w:rPr>
                <w:noProof/>
              </w:rPr>
              <w:t>SME competitiveness</w:t>
            </w:r>
          </w:p>
        </w:tc>
        <w:tc>
          <w:tcPr>
            <w:tcW w:w="2639" w:type="dxa"/>
            <w:vAlign w:val="center"/>
          </w:tcPr>
          <w:p w14:paraId="272530A9" w14:textId="44BE6184" w:rsidR="00790722" w:rsidRPr="00881BC8" w:rsidRDefault="009C7662" w:rsidP="00790722">
            <w:pPr>
              <w:spacing w:before="60" w:after="60"/>
              <w:rPr>
                <w:noProof/>
              </w:rPr>
            </w:pPr>
            <w:r w:rsidRPr="00881BC8">
              <w:rPr>
                <w:noProof/>
              </w:rPr>
              <w:t>+</w:t>
            </w:r>
          </w:p>
        </w:tc>
        <w:tc>
          <w:tcPr>
            <w:tcW w:w="3969" w:type="dxa"/>
            <w:vAlign w:val="center"/>
          </w:tcPr>
          <w:p w14:paraId="58C88687" w14:textId="64585BDC" w:rsidR="00790722" w:rsidRPr="00881BC8" w:rsidRDefault="00002C7F" w:rsidP="00790722">
            <w:pPr>
              <w:spacing w:before="60" w:after="60"/>
              <w:rPr>
                <w:noProof/>
              </w:rPr>
            </w:pPr>
            <w:r w:rsidRPr="00881BC8">
              <w:rPr>
                <w:noProof/>
              </w:rPr>
              <w:fldChar w:fldCharType="begin"/>
            </w:r>
            <w:r w:rsidRPr="00881BC8">
              <w:rPr>
                <w:noProof/>
              </w:rPr>
              <w:instrText xml:space="preserve"> REF Annex15 \h </w:instrText>
            </w:r>
            <w:r w:rsidRPr="00881BC8">
              <w:rPr>
                <w:noProof/>
              </w:rPr>
            </w:r>
            <w:r w:rsidRPr="00881BC8">
              <w:rPr>
                <w:noProof/>
              </w:rPr>
              <w:fldChar w:fldCharType="separate"/>
            </w:r>
            <w:r w:rsidR="005851F4" w:rsidRPr="00881BC8">
              <w:rPr>
                <w:noProof/>
              </w:rPr>
              <w:t>Annex 15</w:t>
            </w:r>
            <w:r w:rsidRPr="00881BC8">
              <w:rPr>
                <w:noProof/>
              </w:rPr>
              <w:fldChar w:fldCharType="end"/>
            </w:r>
            <w:r w:rsidRPr="00881BC8">
              <w:rPr>
                <w:noProof/>
              </w:rPr>
              <w:t xml:space="preserve"> and </w:t>
            </w:r>
            <w:r w:rsidRPr="00881BC8">
              <w:rPr>
                <w:noProof/>
              </w:rPr>
              <w:fldChar w:fldCharType="begin"/>
            </w:r>
            <w:r w:rsidRPr="00881BC8">
              <w:rPr>
                <w:noProof/>
              </w:rPr>
              <w:instrText xml:space="preserve"> REF Annex16 \h </w:instrText>
            </w:r>
            <w:r w:rsidRPr="00881BC8">
              <w:rPr>
                <w:noProof/>
              </w:rPr>
            </w:r>
            <w:r w:rsidRPr="00881BC8">
              <w:rPr>
                <w:noProof/>
              </w:rPr>
              <w:fldChar w:fldCharType="separate"/>
            </w:r>
            <w:r w:rsidR="005851F4" w:rsidRPr="00881BC8">
              <w:rPr>
                <w:noProof/>
              </w:rPr>
              <w:t>Annex 16</w:t>
            </w:r>
            <w:r w:rsidRPr="00881BC8">
              <w:rPr>
                <w:noProof/>
              </w:rPr>
              <w:fldChar w:fldCharType="end"/>
            </w:r>
          </w:p>
        </w:tc>
      </w:tr>
    </w:tbl>
    <w:p w14:paraId="1DD9F81D" w14:textId="77777777" w:rsidR="0048145F" w:rsidRPr="00881BC8" w:rsidRDefault="0048145F" w:rsidP="0048145F">
      <w:pPr>
        <w:rPr>
          <w:b/>
          <w:bCs/>
          <w:noProof/>
          <w:u w:val="single"/>
        </w:rPr>
      </w:pPr>
    </w:p>
    <w:p w14:paraId="4E104055" w14:textId="77777777" w:rsidR="0048145F" w:rsidRPr="00881BC8" w:rsidRDefault="0048145F" w:rsidP="004835F8">
      <w:pPr>
        <w:pStyle w:val="AnnexLevel1"/>
        <w:rPr>
          <w:noProof/>
          <w:lang w:val="en-GB"/>
        </w:rPr>
      </w:pPr>
      <w:bookmarkStart w:id="1045" w:name="_Toc126566170"/>
      <w:r w:rsidRPr="00881BC8">
        <w:rPr>
          <w:noProof/>
          <w:lang w:val="en-GB"/>
        </w:rPr>
        <w:t>Synthetic assessment</w:t>
      </w:r>
      <w:bookmarkEnd w:id="1045"/>
      <w:r w:rsidRPr="00881BC8">
        <w:rPr>
          <w:noProof/>
          <w:lang w:val="en-GB"/>
        </w:rPr>
        <w:t xml:space="preserve"> </w:t>
      </w:r>
    </w:p>
    <w:p w14:paraId="339FA29D" w14:textId="66815F5F" w:rsidR="00EB57BC" w:rsidRPr="00881BC8" w:rsidRDefault="00F04708" w:rsidP="004835F8">
      <w:pPr>
        <w:pStyle w:val="NormalPara"/>
        <w:rPr>
          <w:noProof/>
          <w:lang w:val="en-GB"/>
        </w:rPr>
      </w:pPr>
      <w:r w:rsidRPr="00881BC8">
        <w:rPr>
          <w:noProof/>
          <w:lang w:val="en-GB"/>
        </w:rPr>
        <w:t xml:space="preserve">The effect </w:t>
      </w:r>
      <w:r w:rsidR="002D37D5" w:rsidRPr="00881BC8">
        <w:rPr>
          <w:noProof/>
          <w:lang w:val="en-GB"/>
        </w:rPr>
        <w:t xml:space="preserve">of the preferred option </w:t>
      </w:r>
      <w:r w:rsidRPr="00881BC8">
        <w:rPr>
          <w:noProof/>
          <w:lang w:val="en-GB"/>
        </w:rPr>
        <w:t>on price/cost competitiveness and innovation competitiveness is expected to be positive. With an increased aggregate cash flow in the economy, enterprises have more liquidity to invest in innovation or to pass cost reductions to consumers.</w:t>
      </w:r>
      <w:r w:rsidR="00AE2E20" w:rsidRPr="00881BC8">
        <w:rPr>
          <w:noProof/>
          <w:lang w:val="en-GB"/>
        </w:rPr>
        <w:t xml:space="preserve"> </w:t>
      </w:r>
    </w:p>
    <w:p w14:paraId="1D444980" w14:textId="1B7768FB" w:rsidR="00F04708" w:rsidRPr="00881BC8" w:rsidRDefault="00B71059" w:rsidP="004835F8">
      <w:pPr>
        <w:pStyle w:val="NormalPara"/>
        <w:rPr>
          <w:noProof/>
          <w:lang w:val="en-GB"/>
        </w:rPr>
      </w:pPr>
      <w:r w:rsidRPr="00881BC8">
        <w:rPr>
          <w:noProof/>
          <w:lang w:val="en-GB"/>
        </w:rPr>
        <w:t xml:space="preserve">Cost competitiveness is expected to improve. </w:t>
      </w:r>
      <w:r w:rsidR="00AE2E20" w:rsidRPr="00881BC8">
        <w:rPr>
          <w:noProof/>
          <w:lang w:val="en-GB"/>
        </w:rPr>
        <w:t>The redistribution of the liquidity in the economy</w:t>
      </w:r>
      <w:r w:rsidR="00F04708" w:rsidRPr="00881BC8">
        <w:rPr>
          <w:noProof/>
          <w:lang w:val="en-GB"/>
        </w:rPr>
        <w:t xml:space="preserve"> </w:t>
      </w:r>
      <w:r w:rsidR="00AE2E20" w:rsidRPr="00881BC8">
        <w:rPr>
          <w:noProof/>
          <w:lang w:val="en-GB"/>
        </w:rPr>
        <w:t xml:space="preserve">is </w:t>
      </w:r>
      <w:r w:rsidR="00F04708" w:rsidRPr="00881BC8">
        <w:rPr>
          <w:noProof/>
          <w:lang w:val="en-GB"/>
        </w:rPr>
        <w:t>fairer</w:t>
      </w:r>
      <w:r w:rsidR="00AE2E20" w:rsidRPr="00881BC8">
        <w:rPr>
          <w:noProof/>
          <w:lang w:val="en-GB"/>
        </w:rPr>
        <w:t xml:space="preserve"> because </w:t>
      </w:r>
      <w:r w:rsidR="00F04708" w:rsidRPr="00881BC8">
        <w:rPr>
          <w:noProof/>
          <w:lang w:val="en-GB"/>
        </w:rPr>
        <w:t xml:space="preserve">every business </w:t>
      </w:r>
      <w:r w:rsidR="00AE2E20" w:rsidRPr="00881BC8">
        <w:rPr>
          <w:noProof/>
          <w:lang w:val="en-GB"/>
        </w:rPr>
        <w:t xml:space="preserve">is </w:t>
      </w:r>
      <w:r w:rsidR="00F04708" w:rsidRPr="00881BC8">
        <w:rPr>
          <w:noProof/>
          <w:lang w:val="en-GB"/>
        </w:rPr>
        <w:t xml:space="preserve">paying for the liquidity they need and use. </w:t>
      </w:r>
      <w:r w:rsidR="006B00FF" w:rsidRPr="00881BC8">
        <w:rPr>
          <w:noProof/>
          <w:lang w:val="en-GB"/>
        </w:rPr>
        <w:t xml:space="preserve">Financial liquidity goes to the end-user and is </w:t>
      </w:r>
      <w:r w:rsidR="00A156DB" w:rsidRPr="00881BC8">
        <w:rPr>
          <w:noProof/>
          <w:lang w:val="en-GB"/>
        </w:rPr>
        <w:t>neither</w:t>
      </w:r>
      <w:r w:rsidR="006B00FF" w:rsidRPr="00881BC8">
        <w:rPr>
          <w:noProof/>
          <w:lang w:val="en-GB"/>
        </w:rPr>
        <w:t xml:space="preserve"> lent not borrowed along the supply chain. </w:t>
      </w:r>
      <w:r w:rsidR="00F04708" w:rsidRPr="00881BC8">
        <w:rPr>
          <w:noProof/>
          <w:lang w:val="en-GB"/>
        </w:rPr>
        <w:t xml:space="preserve">Cost of funding goes down, because banks directly fund the risks of their clients, which they understand well, rather than indirectly finance the unknown risk carried by their </w:t>
      </w:r>
      <w:r w:rsidR="00A156DB" w:rsidRPr="00881BC8">
        <w:rPr>
          <w:noProof/>
          <w:lang w:val="en-GB"/>
        </w:rPr>
        <w:t xml:space="preserve">clients’ </w:t>
      </w:r>
      <w:r w:rsidR="00F04708" w:rsidRPr="00881BC8">
        <w:rPr>
          <w:noProof/>
          <w:lang w:val="en-GB"/>
        </w:rPr>
        <w:t>customers.</w:t>
      </w:r>
      <w:r w:rsidR="00BC0044" w:rsidRPr="00881BC8">
        <w:rPr>
          <w:noProof/>
          <w:lang w:val="en-GB"/>
        </w:rPr>
        <w:t xml:space="preserve"> </w:t>
      </w:r>
      <w:r w:rsidR="00A453A2" w:rsidRPr="00881BC8">
        <w:rPr>
          <w:noProof/>
          <w:lang w:val="en-GB"/>
        </w:rPr>
        <w:t xml:space="preserve">Assuming debtor’s stronger bargaining power (in a relationship in which they impose late payment on creditors), </w:t>
      </w:r>
      <w:r w:rsidR="00D11C69" w:rsidRPr="00881BC8">
        <w:rPr>
          <w:noProof/>
          <w:lang w:val="en-GB"/>
        </w:rPr>
        <w:t xml:space="preserve">it should be cheaper for </w:t>
      </w:r>
      <w:r w:rsidR="00AC6FB7" w:rsidRPr="00881BC8">
        <w:rPr>
          <w:noProof/>
          <w:lang w:val="en-GB"/>
        </w:rPr>
        <w:t>debtors</w:t>
      </w:r>
      <w:r w:rsidR="00A453A2" w:rsidRPr="00881BC8">
        <w:rPr>
          <w:noProof/>
          <w:lang w:val="en-GB"/>
        </w:rPr>
        <w:t xml:space="preserve"> </w:t>
      </w:r>
      <w:r w:rsidR="00D11C69" w:rsidRPr="00881BC8">
        <w:rPr>
          <w:noProof/>
          <w:lang w:val="en-GB"/>
        </w:rPr>
        <w:t xml:space="preserve">to </w:t>
      </w:r>
      <w:r w:rsidR="00A453A2" w:rsidRPr="00881BC8">
        <w:rPr>
          <w:noProof/>
          <w:lang w:val="en-GB"/>
        </w:rPr>
        <w:t xml:space="preserve">borrow </w:t>
      </w:r>
      <w:r w:rsidR="00D11C69" w:rsidRPr="00881BC8">
        <w:rPr>
          <w:noProof/>
          <w:lang w:val="en-GB"/>
        </w:rPr>
        <w:t xml:space="preserve">money </w:t>
      </w:r>
      <w:r w:rsidR="00A453A2" w:rsidRPr="00881BC8">
        <w:rPr>
          <w:noProof/>
          <w:lang w:val="en-GB"/>
        </w:rPr>
        <w:t xml:space="preserve">than </w:t>
      </w:r>
      <w:r w:rsidR="00D11C69" w:rsidRPr="00881BC8">
        <w:rPr>
          <w:noProof/>
          <w:lang w:val="en-GB"/>
        </w:rPr>
        <w:t xml:space="preserve">it is for their </w:t>
      </w:r>
      <w:r w:rsidR="00A453A2" w:rsidRPr="00881BC8">
        <w:rPr>
          <w:noProof/>
          <w:lang w:val="en-GB"/>
        </w:rPr>
        <w:t xml:space="preserve">creditors. </w:t>
      </w:r>
      <w:r w:rsidR="002F3B48" w:rsidRPr="00881BC8">
        <w:rPr>
          <w:noProof/>
          <w:lang w:val="en-GB"/>
        </w:rPr>
        <w:t xml:space="preserve">Debtors </w:t>
      </w:r>
      <w:r w:rsidR="00D11C69" w:rsidRPr="00881BC8">
        <w:rPr>
          <w:noProof/>
          <w:lang w:val="en-GB"/>
        </w:rPr>
        <w:t xml:space="preserve">would </w:t>
      </w:r>
      <w:r w:rsidR="00E96983" w:rsidRPr="00881BC8">
        <w:rPr>
          <w:noProof/>
          <w:lang w:val="en-GB"/>
        </w:rPr>
        <w:t>obtain financing for a</w:t>
      </w:r>
      <w:r w:rsidR="002F3B48" w:rsidRPr="00881BC8">
        <w:rPr>
          <w:noProof/>
          <w:lang w:val="en-GB"/>
        </w:rPr>
        <w:t xml:space="preserve"> market price </w:t>
      </w:r>
      <w:r w:rsidR="00E96983" w:rsidRPr="00881BC8">
        <w:rPr>
          <w:noProof/>
          <w:lang w:val="en-GB"/>
        </w:rPr>
        <w:t xml:space="preserve">reflecting their </w:t>
      </w:r>
      <w:r w:rsidR="001D7E9D" w:rsidRPr="00881BC8">
        <w:rPr>
          <w:noProof/>
          <w:lang w:val="en-GB"/>
        </w:rPr>
        <w:t xml:space="preserve">credit rating, </w:t>
      </w:r>
      <w:r w:rsidR="00E96983" w:rsidRPr="00881BC8">
        <w:rPr>
          <w:noProof/>
          <w:lang w:val="en-GB"/>
        </w:rPr>
        <w:t xml:space="preserve">rather than </w:t>
      </w:r>
      <w:r w:rsidR="001D7E9D" w:rsidRPr="00881BC8">
        <w:rPr>
          <w:noProof/>
          <w:lang w:val="en-GB"/>
        </w:rPr>
        <w:t xml:space="preserve">a hidden, implicit interest rate paid by their creditors and </w:t>
      </w:r>
      <w:r w:rsidR="00E87379" w:rsidRPr="00881BC8">
        <w:rPr>
          <w:noProof/>
          <w:lang w:val="en-GB"/>
        </w:rPr>
        <w:t>passed on to the debtors</w:t>
      </w:r>
      <w:r w:rsidR="001D7E9D" w:rsidRPr="00881BC8">
        <w:rPr>
          <w:noProof/>
          <w:lang w:val="en-GB"/>
        </w:rPr>
        <w:t xml:space="preserve"> in the price</w:t>
      </w:r>
      <w:r w:rsidR="002F3B48" w:rsidRPr="00881BC8">
        <w:rPr>
          <w:noProof/>
          <w:lang w:val="en-GB"/>
        </w:rPr>
        <w:t xml:space="preserve">. </w:t>
      </w:r>
      <w:r w:rsidR="002D37D5" w:rsidRPr="00881BC8">
        <w:rPr>
          <w:noProof/>
          <w:lang w:val="en-GB"/>
        </w:rPr>
        <w:t>M</w:t>
      </w:r>
      <w:r w:rsidR="000F2A96" w:rsidRPr="00881BC8">
        <w:rPr>
          <w:noProof/>
          <w:lang w:val="en-GB"/>
        </w:rPr>
        <w:t xml:space="preserve">inor </w:t>
      </w:r>
      <w:r w:rsidR="00E87379" w:rsidRPr="00881BC8">
        <w:rPr>
          <w:noProof/>
          <w:lang w:val="en-GB"/>
        </w:rPr>
        <w:t>adjustment cost for debtors to apply and obtain the right amount of finance for their activities</w:t>
      </w:r>
      <w:r w:rsidR="002D37D5" w:rsidRPr="00881BC8">
        <w:rPr>
          <w:noProof/>
          <w:lang w:val="en-GB"/>
        </w:rPr>
        <w:t xml:space="preserve"> is considered business-as-usual</w:t>
      </w:r>
      <w:r w:rsidR="00E87379" w:rsidRPr="00881BC8">
        <w:rPr>
          <w:noProof/>
          <w:lang w:val="en-GB"/>
        </w:rPr>
        <w:t xml:space="preserve">. </w:t>
      </w:r>
      <w:r w:rsidR="004D3821" w:rsidRPr="00881BC8">
        <w:rPr>
          <w:noProof/>
          <w:lang w:val="en-GB"/>
        </w:rPr>
        <w:t xml:space="preserve">Economy-wide, </w:t>
      </w:r>
      <w:r w:rsidR="00213860" w:rsidRPr="00881BC8">
        <w:rPr>
          <w:noProof/>
          <w:lang w:val="en-GB"/>
        </w:rPr>
        <w:t xml:space="preserve">the cost of funding should go down by the spread between the cost of creditors’ and debtors’ </w:t>
      </w:r>
      <w:r w:rsidR="00A453A2" w:rsidRPr="00881BC8">
        <w:rPr>
          <w:noProof/>
          <w:lang w:val="en-GB"/>
        </w:rPr>
        <w:t xml:space="preserve">financing. </w:t>
      </w:r>
      <w:r w:rsidR="00BC0044" w:rsidRPr="00881BC8">
        <w:rPr>
          <w:noProof/>
          <w:lang w:val="en-GB"/>
        </w:rPr>
        <w:t xml:space="preserve">Conditions for doing business </w:t>
      </w:r>
      <w:r w:rsidR="00EB57BC" w:rsidRPr="00881BC8">
        <w:rPr>
          <w:noProof/>
          <w:lang w:val="en-GB"/>
        </w:rPr>
        <w:t>would be</w:t>
      </w:r>
      <w:r w:rsidR="00BC0044" w:rsidRPr="00881BC8">
        <w:rPr>
          <w:noProof/>
          <w:lang w:val="en-GB"/>
        </w:rPr>
        <w:t xml:space="preserve"> more predictable, resulting in a more favourable business environment.</w:t>
      </w:r>
    </w:p>
    <w:p w14:paraId="0FAF8C17" w14:textId="033106EE" w:rsidR="00790722" w:rsidRPr="00881BC8" w:rsidRDefault="000F2A96" w:rsidP="004835F8">
      <w:pPr>
        <w:pStyle w:val="NormalPara"/>
        <w:rPr>
          <w:noProof/>
          <w:lang w:val="en-GB"/>
        </w:rPr>
      </w:pPr>
      <w:r w:rsidRPr="00881BC8">
        <w:rPr>
          <w:noProof/>
          <w:lang w:val="en-GB"/>
        </w:rPr>
        <w:t xml:space="preserve">Capacity to innovate in a more stable and predictable doing business conditions would improve. </w:t>
      </w:r>
      <w:r w:rsidR="009114B8" w:rsidRPr="00881BC8">
        <w:rPr>
          <w:noProof/>
          <w:lang w:val="en-GB"/>
        </w:rPr>
        <w:t>Companies’ long-term business plans would not need to account for the risk of late payment</w:t>
      </w:r>
      <w:r w:rsidR="008557D2" w:rsidRPr="00881BC8">
        <w:rPr>
          <w:noProof/>
          <w:lang w:val="en-GB"/>
        </w:rPr>
        <w:t>, and the associated increased risk of bankruptcy,</w:t>
      </w:r>
      <w:r w:rsidR="009114B8" w:rsidRPr="00881BC8">
        <w:rPr>
          <w:noProof/>
          <w:lang w:val="en-GB"/>
        </w:rPr>
        <w:t xml:space="preserve"> to the extent to which they do now.</w:t>
      </w:r>
      <w:r w:rsidR="00EA7AC3" w:rsidRPr="00881BC8">
        <w:rPr>
          <w:noProof/>
          <w:lang w:val="en-GB"/>
        </w:rPr>
        <w:t xml:space="preserve"> </w:t>
      </w:r>
      <w:r w:rsidR="008557D2" w:rsidRPr="00881BC8">
        <w:rPr>
          <w:noProof/>
          <w:lang w:val="en-GB"/>
        </w:rPr>
        <w:t xml:space="preserve">This would make it possible for companies to better plan in the long-term, making investments and innovation easier. </w:t>
      </w:r>
    </w:p>
    <w:p w14:paraId="471B6790" w14:textId="29324D62" w:rsidR="009448C4" w:rsidRPr="00881BC8" w:rsidRDefault="00F04708" w:rsidP="004835F8">
      <w:pPr>
        <w:pStyle w:val="NormalPara"/>
        <w:rPr>
          <w:noProof/>
          <w:lang w:val="en-GB"/>
        </w:rPr>
      </w:pPr>
      <w:r w:rsidRPr="00881BC8">
        <w:rPr>
          <w:noProof/>
          <w:lang w:val="en-GB"/>
        </w:rPr>
        <w:t xml:space="preserve">On international competitiveness, </w:t>
      </w:r>
      <w:r w:rsidR="00B755B6" w:rsidRPr="00881BC8">
        <w:rPr>
          <w:noProof/>
          <w:lang w:val="en-GB"/>
        </w:rPr>
        <w:t xml:space="preserve">companies carrying out import or export transactions are bound to face mismatches in the length of payment terms (between their accounts payable and receivable). </w:t>
      </w:r>
      <w:r w:rsidR="00FF55DF" w:rsidRPr="00881BC8">
        <w:rPr>
          <w:noProof/>
          <w:lang w:val="en-GB"/>
        </w:rPr>
        <w:t>Companies will need to manage the risks stemming from the payment terms mismatches, e.g. by agreeing with their international partners on the law applicable to the contract, which will define which party is assuming those risks. It is then left to the party to find an appropriate solution to funding that mismatch. We are assuming that these risks, including the risk of not being paid</w:t>
      </w:r>
      <w:r w:rsidR="0097710C" w:rsidRPr="00881BC8">
        <w:rPr>
          <w:noProof/>
          <w:lang w:val="en-GB"/>
        </w:rPr>
        <w:t>, are addressed under market conditions by providers of trade finance (cash-in-advance, letter of credit, documentary collections, open account and consignment</w:t>
      </w:r>
      <w:r w:rsidR="0097710C" w:rsidRPr="00881BC8">
        <w:rPr>
          <w:rStyle w:val="FootnoteReference"/>
          <w:noProof/>
          <w:lang w:val="en-GB"/>
        </w:rPr>
        <w:footnoteReference w:id="163"/>
      </w:r>
      <w:r w:rsidR="0097710C" w:rsidRPr="00881BC8">
        <w:rPr>
          <w:noProof/>
          <w:lang w:val="en-GB"/>
        </w:rPr>
        <w:t xml:space="preserve">). </w:t>
      </w:r>
      <w:r w:rsidR="00164F21" w:rsidRPr="00881BC8">
        <w:rPr>
          <w:noProof/>
          <w:lang w:val="en-GB"/>
        </w:rPr>
        <w:t xml:space="preserve">These trade finance solutions </w:t>
      </w:r>
      <w:r w:rsidR="00627549" w:rsidRPr="00881BC8">
        <w:rPr>
          <w:noProof/>
          <w:lang w:val="en-GB"/>
        </w:rPr>
        <w:t xml:space="preserve">limit substantially </w:t>
      </w:r>
      <w:r w:rsidR="00164F21" w:rsidRPr="00881BC8">
        <w:rPr>
          <w:noProof/>
          <w:lang w:val="en-GB"/>
        </w:rPr>
        <w:t xml:space="preserve">the </w:t>
      </w:r>
      <w:r w:rsidR="00627549" w:rsidRPr="00881BC8">
        <w:rPr>
          <w:noProof/>
          <w:lang w:val="en-GB"/>
        </w:rPr>
        <w:t xml:space="preserve">impact of the </w:t>
      </w:r>
      <w:r w:rsidR="00164F21" w:rsidRPr="00881BC8">
        <w:rPr>
          <w:noProof/>
          <w:lang w:val="en-GB"/>
        </w:rPr>
        <w:t xml:space="preserve">introduction of a mandatory cap on payment terms. </w:t>
      </w:r>
    </w:p>
    <w:p w14:paraId="78D87223" w14:textId="047CE2E8" w:rsidR="005952A0" w:rsidRPr="00881BC8" w:rsidRDefault="00A30A64" w:rsidP="004835F8">
      <w:pPr>
        <w:pStyle w:val="NormalPara"/>
        <w:rPr>
          <w:noProof/>
          <w:lang w:val="en-GB" w:eastAsia="en-GB"/>
        </w:rPr>
      </w:pPr>
      <w:r w:rsidRPr="00881BC8">
        <w:rPr>
          <w:noProof/>
          <w:lang w:val="en-GB"/>
        </w:rPr>
        <w:t xml:space="preserve">In addition, </w:t>
      </w:r>
      <w:r w:rsidR="005E0EB3" w:rsidRPr="00881BC8">
        <w:rPr>
          <w:noProof/>
          <w:lang w:val="en-GB"/>
        </w:rPr>
        <w:t xml:space="preserve">there is </w:t>
      </w:r>
      <w:r w:rsidR="002A454F" w:rsidRPr="00881BC8">
        <w:rPr>
          <w:noProof/>
          <w:lang w:val="en-GB"/>
        </w:rPr>
        <w:t xml:space="preserve">a </w:t>
      </w:r>
      <w:r w:rsidR="00F04708" w:rsidRPr="00881BC8">
        <w:rPr>
          <w:noProof/>
          <w:lang w:val="en-GB"/>
        </w:rPr>
        <w:t xml:space="preserve">risk that non-EU companies that are not bound by maximum payment terms </w:t>
      </w:r>
      <w:r w:rsidR="00DA6D1A" w:rsidRPr="00881BC8">
        <w:rPr>
          <w:noProof/>
          <w:lang w:val="en-GB"/>
        </w:rPr>
        <w:t>can</w:t>
      </w:r>
      <w:r w:rsidR="00F04708" w:rsidRPr="00881BC8">
        <w:rPr>
          <w:noProof/>
          <w:lang w:val="en-GB"/>
        </w:rPr>
        <w:t xml:space="preserve"> undercut EU companies by offering long payment terms</w:t>
      </w:r>
      <w:r w:rsidRPr="00881BC8">
        <w:rPr>
          <w:noProof/>
          <w:lang w:val="en-GB"/>
        </w:rPr>
        <w:t xml:space="preserve"> in a non-EU market</w:t>
      </w:r>
      <w:r w:rsidR="00F04708" w:rsidRPr="00881BC8">
        <w:rPr>
          <w:noProof/>
          <w:lang w:val="en-GB"/>
        </w:rPr>
        <w:t xml:space="preserve">. However, the effect of this is </w:t>
      </w:r>
      <w:r w:rsidRPr="00881BC8">
        <w:rPr>
          <w:noProof/>
          <w:lang w:val="en-GB"/>
        </w:rPr>
        <w:t xml:space="preserve">also </w:t>
      </w:r>
      <w:r w:rsidR="00F04708" w:rsidRPr="00881BC8">
        <w:rPr>
          <w:noProof/>
          <w:lang w:val="en-GB"/>
        </w:rPr>
        <w:t xml:space="preserve">estimated to be </w:t>
      </w:r>
      <w:r w:rsidR="002A454F" w:rsidRPr="00881BC8">
        <w:rPr>
          <w:noProof/>
          <w:lang w:val="en-GB"/>
        </w:rPr>
        <w:t xml:space="preserve">further </w:t>
      </w:r>
      <w:r w:rsidR="00F04708" w:rsidRPr="00881BC8">
        <w:rPr>
          <w:noProof/>
          <w:lang w:val="en-GB"/>
        </w:rPr>
        <w:t>limited.</w:t>
      </w:r>
      <w:r w:rsidR="002136AB" w:rsidRPr="00881BC8">
        <w:rPr>
          <w:noProof/>
          <w:lang w:val="en-GB"/>
        </w:rPr>
        <w:t xml:space="preserve"> </w:t>
      </w:r>
      <w:r w:rsidR="002A454F" w:rsidRPr="00881BC8">
        <w:rPr>
          <w:noProof/>
          <w:lang w:val="en-GB"/>
        </w:rPr>
        <w:t>M</w:t>
      </w:r>
      <w:r w:rsidR="00F04708" w:rsidRPr="00881BC8">
        <w:rPr>
          <w:noProof/>
          <w:lang w:val="en-GB"/>
        </w:rPr>
        <w:t xml:space="preserve">any </w:t>
      </w:r>
      <w:r w:rsidR="004D0FF9" w:rsidRPr="00881BC8">
        <w:rPr>
          <w:noProof/>
          <w:lang w:val="en-GB"/>
        </w:rPr>
        <w:t xml:space="preserve">EU partner countries, </w:t>
      </w:r>
      <w:r w:rsidR="00F04708" w:rsidRPr="00881BC8">
        <w:rPr>
          <w:noProof/>
          <w:lang w:val="en-GB"/>
        </w:rPr>
        <w:t xml:space="preserve">such as Canada, the US, </w:t>
      </w:r>
      <w:r w:rsidR="00CC1DE0" w:rsidRPr="00881BC8">
        <w:rPr>
          <w:noProof/>
          <w:lang w:val="en-GB" w:eastAsia="en-GB"/>
        </w:rPr>
        <w:t>Türkiye</w:t>
      </w:r>
      <w:r w:rsidR="00F04708" w:rsidRPr="00881BC8">
        <w:rPr>
          <w:noProof/>
          <w:lang w:val="en-GB"/>
        </w:rPr>
        <w:t xml:space="preserve"> and the UK already impose legislation on late payments as well. </w:t>
      </w:r>
      <w:r w:rsidR="002A454F" w:rsidRPr="00881BC8">
        <w:rPr>
          <w:noProof/>
          <w:lang w:val="en-GB"/>
        </w:rPr>
        <w:t>Finally</w:t>
      </w:r>
      <w:r w:rsidR="00F04708" w:rsidRPr="00881BC8">
        <w:rPr>
          <w:noProof/>
          <w:lang w:val="en-GB"/>
        </w:rPr>
        <w:t xml:space="preserve">, this effect has not really been visible within the EU, where some countries such as the Netherlands have imposed stricter legislation on payments than others. </w:t>
      </w:r>
      <w:r w:rsidR="0099152F" w:rsidRPr="00881BC8">
        <w:rPr>
          <w:noProof/>
          <w:lang w:val="en-GB"/>
        </w:rPr>
        <w:t>It is also possible</w:t>
      </w:r>
      <w:r w:rsidR="00543FFD" w:rsidRPr="00881BC8">
        <w:rPr>
          <w:noProof/>
          <w:lang w:val="en-GB"/>
        </w:rPr>
        <w:t xml:space="preserve"> that EU companies </w:t>
      </w:r>
      <w:r w:rsidR="000F2C22" w:rsidRPr="00881BC8">
        <w:rPr>
          <w:noProof/>
          <w:lang w:val="en-GB"/>
        </w:rPr>
        <w:t>selling</w:t>
      </w:r>
      <w:r w:rsidR="00543FFD" w:rsidRPr="00881BC8">
        <w:rPr>
          <w:noProof/>
          <w:lang w:val="en-GB"/>
        </w:rPr>
        <w:t xml:space="preserve"> internationally will refuse to claim the interest rates and compensation fees</w:t>
      </w:r>
      <w:r w:rsidR="00844D44" w:rsidRPr="00881BC8">
        <w:rPr>
          <w:noProof/>
          <w:lang w:val="en-GB"/>
        </w:rPr>
        <w:t xml:space="preserve">. </w:t>
      </w:r>
      <w:r w:rsidR="005952A0" w:rsidRPr="00881BC8">
        <w:rPr>
          <w:noProof/>
          <w:lang w:val="en-GB" w:eastAsia="en-GB"/>
        </w:rPr>
        <w:t xml:space="preserve">SMEs in </w:t>
      </w:r>
      <w:r w:rsidR="00CC1DE0" w:rsidRPr="00881BC8">
        <w:rPr>
          <w:noProof/>
          <w:lang w:val="en-GB" w:eastAsia="en-GB"/>
        </w:rPr>
        <w:t>Türkiye</w:t>
      </w:r>
      <w:r w:rsidR="00386218" w:rsidRPr="00881BC8">
        <w:rPr>
          <w:noProof/>
          <w:lang w:val="en-GB" w:eastAsia="en-GB"/>
        </w:rPr>
        <w:t xml:space="preserve"> </w:t>
      </w:r>
      <w:r w:rsidR="005952A0" w:rsidRPr="00881BC8">
        <w:rPr>
          <w:noProof/>
          <w:lang w:val="en-GB" w:eastAsia="en-GB"/>
        </w:rPr>
        <w:t>(52%) are those more likely to find payment delays as a challenge. SMEs in the EU (35%) are more likely than SMEs in the US (29%), Canada (24%) or Japan (8%) to say that payment delays are among the biggest problems their enterprise faces</w:t>
      </w:r>
      <w:r w:rsidR="005952A0" w:rsidRPr="00881BC8">
        <w:rPr>
          <w:rStyle w:val="FootnoteReference"/>
          <w:noProof/>
          <w:lang w:val="en-GB" w:eastAsia="en-GB"/>
        </w:rPr>
        <w:footnoteReference w:id="164"/>
      </w:r>
      <w:r w:rsidR="005952A0" w:rsidRPr="00881BC8">
        <w:rPr>
          <w:noProof/>
          <w:lang w:val="en-GB" w:eastAsia="en-GB"/>
        </w:rPr>
        <w:t>.</w:t>
      </w:r>
      <w:r w:rsidR="005952A0" w:rsidRPr="00881BC8">
        <w:rPr>
          <w:rStyle w:val="FootnoteReference"/>
          <w:noProof/>
          <w:lang w:val="en-GB" w:eastAsia="en-GB"/>
        </w:rPr>
        <w:t xml:space="preserve"> </w:t>
      </w:r>
    </w:p>
    <w:p w14:paraId="1388946E" w14:textId="321A60AC" w:rsidR="00160F0F" w:rsidRPr="00881BC8" w:rsidRDefault="00160F0F" w:rsidP="004835F8">
      <w:pPr>
        <w:pStyle w:val="NormalPara"/>
        <w:rPr>
          <w:noProof/>
          <w:lang w:val="en-GB"/>
        </w:rPr>
      </w:pPr>
      <w:r w:rsidRPr="00881BC8">
        <w:rPr>
          <w:noProof/>
          <w:lang w:val="en-GB"/>
        </w:rPr>
        <w:t>In terms of ‘late payments’, there does not seem to be a relevant trade dimension nor a conflict with WTO or international rules as the contracting party</w:t>
      </w:r>
      <w:r w:rsidR="00E554F1" w:rsidRPr="00881BC8">
        <w:rPr>
          <w:noProof/>
          <w:lang w:val="en-GB"/>
        </w:rPr>
        <w:t xml:space="preserve">, as referred to above, </w:t>
      </w:r>
      <w:r w:rsidRPr="00881BC8">
        <w:rPr>
          <w:noProof/>
          <w:lang w:val="en-GB"/>
        </w:rPr>
        <w:t>should agree in the contract which legislation appl</w:t>
      </w:r>
      <w:r w:rsidR="00E554F1" w:rsidRPr="00881BC8">
        <w:rPr>
          <w:noProof/>
          <w:lang w:val="en-GB"/>
        </w:rPr>
        <w:t>ies</w:t>
      </w:r>
      <w:r w:rsidRPr="00881BC8">
        <w:rPr>
          <w:noProof/>
          <w:lang w:val="en-GB"/>
        </w:rPr>
        <w:t xml:space="preserve">. The intention to review the </w:t>
      </w:r>
      <w:r w:rsidR="00E554F1" w:rsidRPr="00881BC8">
        <w:rPr>
          <w:noProof/>
          <w:lang w:val="en-GB"/>
        </w:rPr>
        <w:t xml:space="preserve">LPD </w:t>
      </w:r>
      <w:r w:rsidR="00056DD3" w:rsidRPr="00881BC8">
        <w:rPr>
          <w:noProof/>
          <w:lang w:val="en-GB"/>
        </w:rPr>
        <w:t xml:space="preserve">notably to introduce the proposed changes </w:t>
      </w:r>
      <w:r w:rsidRPr="00881BC8">
        <w:rPr>
          <w:noProof/>
          <w:lang w:val="en-GB"/>
        </w:rPr>
        <w:t>would therefore not have a</w:t>
      </w:r>
      <w:r w:rsidR="00056DD3" w:rsidRPr="00881BC8">
        <w:rPr>
          <w:noProof/>
          <w:lang w:val="en-GB"/>
        </w:rPr>
        <w:t xml:space="preserve"> significant</w:t>
      </w:r>
      <w:r w:rsidRPr="00881BC8">
        <w:rPr>
          <w:noProof/>
          <w:lang w:val="en-GB"/>
        </w:rPr>
        <w:t xml:space="preserve"> impact. </w:t>
      </w:r>
      <w:r w:rsidR="00056DD3" w:rsidRPr="00881BC8">
        <w:rPr>
          <w:noProof/>
          <w:lang w:val="en-GB"/>
        </w:rPr>
        <w:t>This analysis is also conf</w:t>
      </w:r>
      <w:r w:rsidR="00DF024E" w:rsidRPr="00881BC8">
        <w:rPr>
          <w:noProof/>
          <w:lang w:val="en-GB"/>
        </w:rPr>
        <w:t xml:space="preserve">irmed pursuant to the scrutiny of </w:t>
      </w:r>
      <w:r w:rsidRPr="00881BC8">
        <w:rPr>
          <w:noProof/>
          <w:lang w:val="en-GB"/>
        </w:rPr>
        <w:t xml:space="preserve">bilateral FTA agreements </w:t>
      </w:r>
      <w:r w:rsidR="00DF024E" w:rsidRPr="00881BC8">
        <w:rPr>
          <w:noProof/>
          <w:lang w:val="en-GB"/>
        </w:rPr>
        <w:t xml:space="preserve">that </w:t>
      </w:r>
      <w:r w:rsidRPr="00881BC8">
        <w:rPr>
          <w:noProof/>
          <w:lang w:val="en-GB"/>
        </w:rPr>
        <w:t xml:space="preserve">the EU has signed </w:t>
      </w:r>
      <w:r w:rsidR="00DF024E" w:rsidRPr="00881BC8">
        <w:rPr>
          <w:noProof/>
          <w:lang w:val="en-GB"/>
        </w:rPr>
        <w:t xml:space="preserve">- </w:t>
      </w:r>
      <w:r w:rsidRPr="00881BC8">
        <w:rPr>
          <w:noProof/>
          <w:lang w:val="en-GB"/>
        </w:rPr>
        <w:t xml:space="preserve">there </w:t>
      </w:r>
      <w:r w:rsidR="00DF024E" w:rsidRPr="00881BC8">
        <w:rPr>
          <w:noProof/>
          <w:lang w:val="en-GB"/>
        </w:rPr>
        <w:t xml:space="preserve">are </w:t>
      </w:r>
      <w:r w:rsidRPr="00881BC8">
        <w:rPr>
          <w:noProof/>
          <w:lang w:val="en-GB"/>
        </w:rPr>
        <w:t xml:space="preserve">no specific </w:t>
      </w:r>
      <w:r w:rsidR="00DF024E" w:rsidRPr="00881BC8">
        <w:rPr>
          <w:noProof/>
          <w:lang w:val="en-GB"/>
        </w:rPr>
        <w:t xml:space="preserve">mentions to </w:t>
      </w:r>
      <w:r w:rsidRPr="00881BC8">
        <w:rPr>
          <w:noProof/>
          <w:lang w:val="en-GB"/>
        </w:rPr>
        <w:t xml:space="preserve">late payments which could have resulted in additional commitments. In fact, the </w:t>
      </w:r>
      <w:r w:rsidR="00DF024E" w:rsidRPr="00881BC8">
        <w:rPr>
          <w:noProof/>
          <w:lang w:val="en-GB"/>
        </w:rPr>
        <w:t xml:space="preserve">LPD </w:t>
      </w:r>
      <w:r w:rsidRPr="00881BC8">
        <w:rPr>
          <w:noProof/>
          <w:lang w:val="en-GB"/>
        </w:rPr>
        <w:t xml:space="preserve">states that </w:t>
      </w:r>
      <w:r w:rsidR="00DF024E" w:rsidRPr="00881BC8">
        <w:rPr>
          <w:noProof/>
          <w:lang w:val="en-GB"/>
        </w:rPr>
        <w:t xml:space="preserve">its </w:t>
      </w:r>
      <w:r w:rsidRPr="00881BC8">
        <w:rPr>
          <w:noProof/>
          <w:lang w:val="en-GB"/>
        </w:rPr>
        <w:t xml:space="preserve">provisions can be applied to a commercial transaction between the EU and non-EU based buyer/seller. The provisions of the </w:t>
      </w:r>
      <w:r w:rsidR="00DF024E" w:rsidRPr="00881BC8">
        <w:rPr>
          <w:noProof/>
          <w:lang w:val="en-GB"/>
        </w:rPr>
        <w:t xml:space="preserve">LPD </w:t>
      </w:r>
      <w:r w:rsidRPr="00881BC8">
        <w:rPr>
          <w:noProof/>
          <w:lang w:val="en-GB"/>
        </w:rPr>
        <w:t>could apply in this case and it depends on which agreement was made when setting up the contract</w:t>
      </w:r>
      <w:r w:rsidR="00546054" w:rsidRPr="00881BC8">
        <w:rPr>
          <w:noProof/>
          <w:lang w:val="en-GB"/>
        </w:rPr>
        <w:t xml:space="preserve"> with regards to </w:t>
      </w:r>
      <w:r w:rsidRPr="00881BC8">
        <w:rPr>
          <w:noProof/>
          <w:lang w:val="en-GB"/>
        </w:rPr>
        <w:t xml:space="preserve">which legislation applies to the transaction in case of </w:t>
      </w:r>
      <w:r w:rsidR="00546054" w:rsidRPr="00881BC8">
        <w:rPr>
          <w:noProof/>
          <w:lang w:val="en-GB"/>
        </w:rPr>
        <w:t xml:space="preserve">a </w:t>
      </w:r>
      <w:r w:rsidRPr="00881BC8">
        <w:rPr>
          <w:noProof/>
          <w:lang w:val="en-GB"/>
        </w:rPr>
        <w:t xml:space="preserve">dispute – national law transposing the </w:t>
      </w:r>
      <w:r w:rsidR="00546054" w:rsidRPr="00881BC8">
        <w:rPr>
          <w:noProof/>
          <w:lang w:val="en-GB"/>
        </w:rPr>
        <w:t xml:space="preserve">LPD </w:t>
      </w:r>
      <w:r w:rsidRPr="00881BC8">
        <w:rPr>
          <w:noProof/>
          <w:lang w:val="en-GB"/>
        </w:rPr>
        <w:t xml:space="preserve">or the legislation of the other country. </w:t>
      </w:r>
    </w:p>
    <w:p w14:paraId="5FC472F6" w14:textId="0857BA70" w:rsidR="00F04708" w:rsidRPr="00881BC8" w:rsidRDefault="00C52989" w:rsidP="004835F8">
      <w:pPr>
        <w:pStyle w:val="NormalPara"/>
        <w:rPr>
          <w:noProof/>
          <w:color w:val="000000" w:themeColor="text1"/>
          <w:lang w:val="en-GB"/>
        </w:rPr>
      </w:pPr>
      <w:r w:rsidRPr="00881BC8">
        <w:rPr>
          <w:noProof/>
          <w:lang w:val="en-GB"/>
        </w:rPr>
        <w:t xml:space="preserve">The impact on </w:t>
      </w:r>
      <w:r w:rsidR="00F04708" w:rsidRPr="00881BC8">
        <w:rPr>
          <w:noProof/>
          <w:lang w:val="en-GB"/>
        </w:rPr>
        <w:t xml:space="preserve">SME competitiveness </w:t>
      </w:r>
      <w:r w:rsidRPr="00881BC8">
        <w:rPr>
          <w:noProof/>
          <w:lang w:val="en-GB"/>
        </w:rPr>
        <w:t xml:space="preserve">is </w:t>
      </w:r>
      <w:r w:rsidR="00F04708" w:rsidRPr="00881BC8">
        <w:rPr>
          <w:noProof/>
          <w:lang w:val="en-GB"/>
        </w:rPr>
        <w:t>positive</w:t>
      </w:r>
      <w:r w:rsidRPr="00881BC8">
        <w:rPr>
          <w:noProof/>
          <w:lang w:val="en-GB"/>
        </w:rPr>
        <w:t>. The initiative is expected to benefit all market players</w:t>
      </w:r>
      <w:r w:rsidR="00DC41B2" w:rsidRPr="00881BC8">
        <w:rPr>
          <w:noProof/>
          <w:lang w:val="en-GB"/>
        </w:rPr>
        <w:t xml:space="preserve">, but a more positive impact on SMEs </w:t>
      </w:r>
      <w:r w:rsidR="00F04708" w:rsidRPr="00881BC8">
        <w:rPr>
          <w:noProof/>
          <w:lang w:val="en-GB"/>
        </w:rPr>
        <w:t>than for large enterprises</w:t>
      </w:r>
      <w:r w:rsidR="00DC41B2" w:rsidRPr="00881BC8">
        <w:rPr>
          <w:noProof/>
          <w:lang w:val="en-GB"/>
        </w:rPr>
        <w:t xml:space="preserve"> is expected</w:t>
      </w:r>
      <w:r w:rsidR="00F04708" w:rsidRPr="00881BC8">
        <w:rPr>
          <w:noProof/>
          <w:lang w:val="en-GB"/>
        </w:rPr>
        <w:t xml:space="preserve">. </w:t>
      </w:r>
      <w:r w:rsidRPr="00881BC8">
        <w:rPr>
          <w:noProof/>
          <w:lang w:val="en-GB"/>
        </w:rPr>
        <w:t xml:space="preserve">Since </w:t>
      </w:r>
      <w:r w:rsidR="00F04708" w:rsidRPr="00881BC8">
        <w:rPr>
          <w:noProof/>
          <w:lang w:val="en-GB"/>
        </w:rPr>
        <w:t>large enterprises are more likely than SMEs to pay late</w:t>
      </w:r>
      <w:r w:rsidRPr="00881BC8">
        <w:rPr>
          <w:noProof/>
          <w:lang w:val="en-GB"/>
        </w:rPr>
        <w:t xml:space="preserve">, they </w:t>
      </w:r>
      <w:r w:rsidR="00F04708" w:rsidRPr="00881BC8">
        <w:rPr>
          <w:noProof/>
          <w:lang w:val="en-GB"/>
        </w:rPr>
        <w:t xml:space="preserve">are therefore somewhat more likely to bear </w:t>
      </w:r>
      <w:r w:rsidRPr="00881BC8">
        <w:rPr>
          <w:noProof/>
          <w:lang w:val="en-GB"/>
        </w:rPr>
        <w:t>some</w:t>
      </w:r>
      <w:r w:rsidR="00F04708" w:rsidRPr="00881BC8">
        <w:rPr>
          <w:noProof/>
          <w:lang w:val="en-GB"/>
        </w:rPr>
        <w:t xml:space="preserve"> costs identified in </w:t>
      </w:r>
      <w:r w:rsidRPr="00881BC8">
        <w:rPr>
          <w:noProof/>
          <w:color w:val="000000" w:themeColor="text1"/>
          <w:lang w:val="en-GB"/>
        </w:rPr>
        <w:t xml:space="preserve">the preferred policy </w:t>
      </w:r>
      <w:r w:rsidR="00F04708" w:rsidRPr="00881BC8">
        <w:rPr>
          <w:noProof/>
          <w:color w:val="000000" w:themeColor="text1"/>
          <w:lang w:val="en-GB"/>
        </w:rPr>
        <w:t xml:space="preserve">option. </w:t>
      </w:r>
    </w:p>
    <w:p w14:paraId="08A39620" w14:textId="152CD441" w:rsidR="00002C7F" w:rsidRPr="00881BC8" w:rsidRDefault="00B96899" w:rsidP="004835F8">
      <w:pPr>
        <w:pStyle w:val="NormalPara"/>
        <w:rPr>
          <w:noProof/>
          <w:lang w:val="en-GB"/>
        </w:rPr>
      </w:pPr>
      <w:r w:rsidRPr="00881BC8">
        <w:rPr>
          <w:noProof/>
          <w:lang w:val="en-GB"/>
        </w:rPr>
        <w:t xml:space="preserve">See </w:t>
      </w:r>
      <w:r w:rsidRPr="00881BC8">
        <w:rPr>
          <w:noProof/>
          <w:lang w:val="en-GB"/>
        </w:rPr>
        <w:fldChar w:fldCharType="begin"/>
      </w:r>
      <w:r w:rsidRPr="00881BC8">
        <w:rPr>
          <w:noProof/>
          <w:lang w:val="en-GB"/>
        </w:rPr>
        <w:instrText xml:space="preserve"> REF Annex15 \h </w:instrText>
      </w:r>
      <w:r w:rsidR="00861431" w:rsidRPr="00881BC8">
        <w:rPr>
          <w:noProof/>
          <w:lang w:val="en-GB"/>
        </w:rPr>
        <w:instrText xml:space="preserve"> \* MERGEFORMAT </w:instrText>
      </w:r>
      <w:r w:rsidRPr="00881BC8">
        <w:rPr>
          <w:noProof/>
          <w:lang w:val="en-GB"/>
        </w:rPr>
      </w:r>
      <w:r w:rsidRPr="00881BC8">
        <w:rPr>
          <w:noProof/>
          <w:lang w:val="en-GB"/>
        </w:rPr>
        <w:fldChar w:fldCharType="separate"/>
      </w:r>
      <w:r w:rsidR="005851F4" w:rsidRPr="005851F4">
        <w:rPr>
          <w:noProof/>
          <w:lang w:val="en-GB"/>
        </w:rPr>
        <w:t>Annex 15</w:t>
      </w:r>
      <w:r w:rsidRPr="00881BC8">
        <w:rPr>
          <w:noProof/>
          <w:lang w:val="en-GB"/>
        </w:rPr>
        <w:fldChar w:fldCharType="end"/>
      </w:r>
      <w:r w:rsidRPr="00881BC8">
        <w:rPr>
          <w:noProof/>
          <w:lang w:val="en-GB"/>
        </w:rPr>
        <w:t xml:space="preserve"> and </w:t>
      </w:r>
      <w:r w:rsidRPr="00881BC8">
        <w:rPr>
          <w:noProof/>
          <w:lang w:val="en-GB"/>
        </w:rPr>
        <w:fldChar w:fldCharType="begin"/>
      </w:r>
      <w:r w:rsidRPr="00881BC8">
        <w:rPr>
          <w:noProof/>
          <w:lang w:val="en-GB"/>
        </w:rPr>
        <w:instrText xml:space="preserve"> REF Annex16 \h </w:instrText>
      </w:r>
      <w:r w:rsidR="00861431" w:rsidRPr="00881BC8">
        <w:rPr>
          <w:noProof/>
          <w:lang w:val="en-GB"/>
        </w:rPr>
        <w:instrText xml:space="preserve"> \* MERGEFORMAT </w:instrText>
      </w:r>
      <w:r w:rsidRPr="00881BC8">
        <w:rPr>
          <w:noProof/>
          <w:lang w:val="en-GB"/>
        </w:rPr>
      </w:r>
      <w:r w:rsidRPr="00881BC8">
        <w:rPr>
          <w:noProof/>
          <w:lang w:val="en-GB"/>
        </w:rPr>
        <w:fldChar w:fldCharType="separate"/>
      </w:r>
      <w:r w:rsidR="005851F4" w:rsidRPr="005851F4">
        <w:rPr>
          <w:noProof/>
          <w:lang w:val="en-GB"/>
        </w:rPr>
        <w:t>Annex 16</w:t>
      </w:r>
      <w:r w:rsidRPr="00881BC8">
        <w:rPr>
          <w:noProof/>
          <w:lang w:val="en-GB"/>
        </w:rPr>
        <w:fldChar w:fldCharType="end"/>
      </w:r>
      <w:r w:rsidRPr="00881BC8">
        <w:rPr>
          <w:noProof/>
          <w:lang w:val="en-GB"/>
        </w:rPr>
        <w:t xml:space="preserve"> for a detailed analysis of impact on SMEs.</w:t>
      </w:r>
    </w:p>
    <w:p w14:paraId="0A3EAFC6" w14:textId="60497A79" w:rsidR="005C0005" w:rsidRPr="00881BC8" w:rsidRDefault="005C0005">
      <w:pPr>
        <w:spacing w:after="200" w:line="276" w:lineRule="auto"/>
        <w:jc w:val="left"/>
        <w:rPr>
          <w:noProof/>
        </w:rPr>
      </w:pPr>
      <w:r w:rsidRPr="00881BC8">
        <w:rPr>
          <w:noProof/>
        </w:rPr>
        <w:br w:type="page"/>
      </w:r>
    </w:p>
    <w:p w14:paraId="2DBFC060" w14:textId="4587048B" w:rsidR="00841D52" w:rsidRPr="00881BC8" w:rsidRDefault="00841D52" w:rsidP="00CF2B67">
      <w:pPr>
        <w:pStyle w:val="AnnexTitle"/>
        <w:rPr>
          <w:noProof/>
        </w:rPr>
      </w:pPr>
      <w:bookmarkStart w:id="1046" w:name="Annex06"/>
      <w:bookmarkStart w:id="1047" w:name="_Toc129899926"/>
      <w:bookmarkStart w:id="1048" w:name="_Toc135237455"/>
      <w:r w:rsidRPr="00881BC8">
        <w:rPr>
          <w:noProof/>
        </w:rPr>
        <w:t xml:space="preserve">Annex </w:t>
      </w:r>
      <w:r w:rsidR="005C0005" w:rsidRPr="00881BC8">
        <w:rPr>
          <w:noProof/>
        </w:rPr>
        <w:t>6</w:t>
      </w:r>
      <w:bookmarkEnd w:id="1046"/>
      <w:r w:rsidRPr="00881BC8">
        <w:rPr>
          <w:noProof/>
        </w:rPr>
        <w:t xml:space="preserve">: </w:t>
      </w:r>
      <w:r w:rsidR="00440140" w:rsidRPr="00881BC8">
        <w:rPr>
          <w:noProof/>
        </w:rPr>
        <w:tab/>
      </w:r>
      <w:r w:rsidR="005C0005" w:rsidRPr="00881BC8">
        <w:rPr>
          <w:noProof/>
        </w:rPr>
        <w:t>30 years of EU action to combat late payments in commercial transactions</w:t>
      </w:r>
      <w:bookmarkEnd w:id="1047"/>
      <w:bookmarkEnd w:id="1048"/>
      <w:r w:rsidR="0091653A" w:rsidRPr="00881BC8">
        <w:rPr>
          <w:noProof/>
        </w:rPr>
        <w:t xml:space="preserve"> </w:t>
      </w:r>
    </w:p>
    <w:p w14:paraId="5CD011E3" w14:textId="2F4C6EC9" w:rsidR="00841D52" w:rsidRPr="00881BC8" w:rsidRDefault="00841D52" w:rsidP="004835F8">
      <w:pPr>
        <w:pStyle w:val="NormalPara"/>
        <w:rPr>
          <w:noProof/>
          <w:lang w:val="en-GB"/>
        </w:rPr>
      </w:pPr>
      <w:r w:rsidRPr="00881BC8">
        <w:rPr>
          <w:noProof/>
          <w:lang w:val="en-GB"/>
        </w:rPr>
        <w:t xml:space="preserve">The issue of payment delays in commercial transactions has been on the agenda of the EU for more than 30 years. </w:t>
      </w:r>
    </w:p>
    <w:p w14:paraId="354B2468" w14:textId="1EAD037A" w:rsidR="00841D52" w:rsidRPr="00881BC8" w:rsidRDefault="00841D52" w:rsidP="004835F8">
      <w:pPr>
        <w:pStyle w:val="NormalPara"/>
        <w:rPr>
          <w:noProof/>
          <w:lang w:val="en-GB"/>
        </w:rPr>
      </w:pPr>
      <w:r w:rsidRPr="00881BC8">
        <w:rPr>
          <w:noProof/>
          <w:lang w:val="en-GB"/>
        </w:rPr>
        <w:t xml:space="preserve">In November 1992 the Commission produced a staff working paper </w:t>
      </w:r>
      <w:r w:rsidR="00303DFA" w:rsidRPr="00881BC8">
        <w:rPr>
          <w:noProof/>
          <w:lang w:val="en-GB"/>
        </w:rPr>
        <w:t>‘</w:t>
      </w:r>
      <w:r w:rsidRPr="00881BC8">
        <w:rPr>
          <w:noProof/>
          <w:lang w:val="en-GB"/>
        </w:rPr>
        <w:t>on the problem of the time taken to make payments in commercial transactions</w:t>
      </w:r>
      <w:r w:rsidR="00303DFA" w:rsidRPr="00881BC8">
        <w:rPr>
          <w:noProof/>
          <w:lang w:val="en-GB"/>
        </w:rPr>
        <w:t>’</w:t>
      </w:r>
      <w:r w:rsidRPr="00881BC8">
        <w:rPr>
          <w:noProof/>
          <w:vertAlign w:val="superscript"/>
          <w:lang w:val="en-GB"/>
        </w:rPr>
        <w:footnoteReference w:id="165"/>
      </w:r>
      <w:r w:rsidRPr="00881BC8">
        <w:rPr>
          <w:noProof/>
          <w:vertAlign w:val="superscript"/>
          <w:lang w:val="en-GB"/>
        </w:rPr>
        <w:t>.</w:t>
      </w:r>
      <w:r w:rsidRPr="00881BC8">
        <w:rPr>
          <w:noProof/>
          <w:lang w:val="en-GB"/>
        </w:rPr>
        <w:t xml:space="preserve"> In April 1993, the European Parliament adopted a Resolution calling on the Commission to make specific proposals </w:t>
      </w:r>
      <w:r w:rsidR="00303DFA" w:rsidRPr="00881BC8">
        <w:rPr>
          <w:noProof/>
          <w:lang w:val="en-GB"/>
        </w:rPr>
        <w:t>‘</w:t>
      </w:r>
      <w:r w:rsidRPr="00881BC8">
        <w:rPr>
          <w:noProof/>
          <w:lang w:val="en-GB"/>
        </w:rPr>
        <w:t>without delay</w:t>
      </w:r>
      <w:r w:rsidR="00303DFA" w:rsidRPr="00881BC8">
        <w:rPr>
          <w:noProof/>
          <w:lang w:val="en-GB"/>
        </w:rPr>
        <w:t>’</w:t>
      </w:r>
      <w:r w:rsidRPr="00881BC8">
        <w:rPr>
          <w:noProof/>
          <w:lang w:val="en-GB"/>
        </w:rPr>
        <w:t xml:space="preserve"> to combat the issue of late payments in commercial transactions</w:t>
      </w:r>
      <w:r w:rsidRPr="00881BC8">
        <w:rPr>
          <w:rStyle w:val="FootnoteReference"/>
          <w:noProof/>
          <w:lang w:val="en-GB"/>
        </w:rPr>
        <w:footnoteReference w:id="166"/>
      </w:r>
      <w:r w:rsidRPr="00881BC8">
        <w:rPr>
          <w:noProof/>
          <w:lang w:val="en-GB"/>
        </w:rPr>
        <w:t>. Subsequently, in June 1993, the ECOSOC adopted an Opinion on the Commission’s staff working paper of 1992, calling on the Commission to take action at EU level</w:t>
      </w:r>
      <w:r w:rsidRPr="00881BC8">
        <w:rPr>
          <w:rStyle w:val="FootnoteReference"/>
          <w:noProof/>
          <w:lang w:val="en-GB"/>
        </w:rPr>
        <w:footnoteReference w:id="167"/>
      </w:r>
      <w:r w:rsidRPr="00881BC8">
        <w:rPr>
          <w:noProof/>
          <w:lang w:val="en-GB"/>
        </w:rPr>
        <w:t xml:space="preserve">.In May 1995, the Commission adopted a </w:t>
      </w:r>
      <w:r w:rsidR="00303DFA" w:rsidRPr="00881BC8">
        <w:rPr>
          <w:noProof/>
          <w:lang w:val="en-GB"/>
        </w:rPr>
        <w:t>‘</w:t>
      </w:r>
      <w:r w:rsidRPr="00881BC8">
        <w:rPr>
          <w:noProof/>
          <w:lang w:val="en-GB"/>
        </w:rPr>
        <w:t>Recommendation on payment periods in commercial transactions</w:t>
      </w:r>
      <w:r w:rsidR="00303DFA" w:rsidRPr="00881BC8">
        <w:rPr>
          <w:noProof/>
          <w:lang w:val="en-GB"/>
        </w:rPr>
        <w:t>’</w:t>
      </w:r>
      <w:r w:rsidRPr="00881BC8">
        <w:rPr>
          <w:rStyle w:val="FootnoteReference"/>
          <w:noProof/>
          <w:lang w:val="en-GB"/>
        </w:rPr>
        <w:footnoteReference w:id="168"/>
      </w:r>
      <w:r w:rsidRPr="00881BC8">
        <w:rPr>
          <w:noProof/>
          <w:lang w:val="en-GB"/>
        </w:rPr>
        <w:t xml:space="preserve"> requesting Member States to take the necessary legal and practical steps</w:t>
      </w:r>
      <w:r w:rsidR="00303DFA" w:rsidRPr="00881BC8">
        <w:rPr>
          <w:noProof/>
          <w:lang w:val="en-GB"/>
        </w:rPr>
        <w:t>’</w:t>
      </w:r>
      <w:r w:rsidRPr="00881BC8">
        <w:rPr>
          <w:noProof/>
          <w:lang w:val="en-GB"/>
        </w:rPr>
        <w:t xml:space="preserve"> to ensure compliance to payment terms agreed in contracts and improve payment performance of public authorities. The Recommendation indicated the specific actions that Member States should put in place to combat late payments:</w:t>
      </w:r>
      <w:r w:rsidR="0091653A" w:rsidRPr="00881BC8">
        <w:rPr>
          <w:noProof/>
          <w:lang w:val="en-GB"/>
        </w:rPr>
        <w:t xml:space="preserve"> </w:t>
      </w:r>
      <w:r w:rsidRPr="00881BC8">
        <w:rPr>
          <w:noProof/>
          <w:lang w:val="en-GB"/>
        </w:rPr>
        <w:t xml:space="preserve">improve transparency of payment periods in contractual relations, improve training and access to information for businesses, guarantee appropriate redress procedures for businesses, reduce the fiscal effects of late payments for SMEs, monitoring regularly the payment performance of public authorities at all levels, simplify payment procedures in public works contracts, ensure prompt payment to subcontractors. </w:t>
      </w:r>
    </w:p>
    <w:p w14:paraId="1EC075B0" w14:textId="23DDB842" w:rsidR="00841D52" w:rsidRPr="00881BC8" w:rsidRDefault="00841D52" w:rsidP="004835F8">
      <w:pPr>
        <w:pStyle w:val="NormalPara"/>
        <w:rPr>
          <w:noProof/>
          <w:lang w:val="en-GB"/>
        </w:rPr>
      </w:pPr>
      <w:r w:rsidRPr="00881BC8">
        <w:rPr>
          <w:noProof/>
          <w:lang w:val="en-GB"/>
        </w:rPr>
        <w:t>In its Resolution of July 1996</w:t>
      </w:r>
      <w:r w:rsidRPr="00881BC8">
        <w:rPr>
          <w:rStyle w:val="FootnoteReference"/>
          <w:noProof/>
          <w:lang w:val="en-GB"/>
        </w:rPr>
        <w:footnoteReference w:id="169"/>
      </w:r>
      <w:r w:rsidRPr="00881BC8">
        <w:rPr>
          <w:noProof/>
          <w:lang w:val="en-GB"/>
        </w:rPr>
        <w:t xml:space="preserve"> the European Parliament expressed strong doubts about the appropriateness of the non-binding approach (a Recommendation) by the Commission and called on the Commission to present a proposal for a Directive </w:t>
      </w:r>
      <w:r w:rsidR="00303DFA" w:rsidRPr="00881BC8">
        <w:rPr>
          <w:noProof/>
          <w:lang w:val="en-GB"/>
        </w:rPr>
        <w:t>‘</w:t>
      </w:r>
      <w:r w:rsidRPr="00881BC8">
        <w:rPr>
          <w:noProof/>
          <w:lang w:val="en-GB"/>
        </w:rPr>
        <w:t>as soon as possible</w:t>
      </w:r>
      <w:r w:rsidR="00303DFA" w:rsidRPr="00881BC8">
        <w:rPr>
          <w:noProof/>
          <w:lang w:val="en-GB"/>
        </w:rPr>
        <w:t>’</w:t>
      </w:r>
      <w:r w:rsidRPr="00881BC8">
        <w:rPr>
          <w:noProof/>
          <w:lang w:val="en-GB"/>
        </w:rPr>
        <w:t xml:space="preserve">. </w:t>
      </w:r>
    </w:p>
    <w:p w14:paraId="586F947D" w14:textId="1483BE40" w:rsidR="00841D52" w:rsidRPr="00881BC8" w:rsidRDefault="00841D52" w:rsidP="004835F8">
      <w:pPr>
        <w:pStyle w:val="NormalPara"/>
        <w:rPr>
          <w:noProof/>
          <w:lang w:val="en-GB"/>
        </w:rPr>
      </w:pPr>
      <w:r w:rsidRPr="00881BC8">
        <w:rPr>
          <w:noProof/>
          <w:lang w:val="en-GB"/>
        </w:rPr>
        <w:t>In its Communication on late payments in commercial transactions of 1997</w:t>
      </w:r>
      <w:r w:rsidRPr="00881BC8">
        <w:rPr>
          <w:noProof/>
          <w:vertAlign w:val="superscript"/>
          <w:lang w:val="en-GB"/>
        </w:rPr>
        <w:footnoteReference w:id="170"/>
      </w:r>
      <w:r w:rsidRPr="00881BC8">
        <w:rPr>
          <w:noProof/>
          <w:vertAlign w:val="superscript"/>
          <w:lang w:val="en-GB"/>
        </w:rPr>
        <w:t>,</w:t>
      </w:r>
      <w:r w:rsidRPr="00881BC8">
        <w:rPr>
          <w:noProof/>
          <w:lang w:val="en-GB"/>
        </w:rPr>
        <w:t xml:space="preserve"> the Commission highlighted that </w:t>
      </w:r>
      <w:r w:rsidR="00303DFA" w:rsidRPr="00881BC8">
        <w:rPr>
          <w:noProof/>
          <w:lang w:val="en-GB"/>
        </w:rPr>
        <w:t>‘</w:t>
      </w:r>
      <w:r w:rsidRPr="00881BC8">
        <w:rPr>
          <w:noProof/>
          <w:lang w:val="en-GB"/>
        </w:rPr>
        <w:t>very little or no action</w:t>
      </w:r>
      <w:r w:rsidR="00303DFA" w:rsidRPr="00881BC8">
        <w:rPr>
          <w:noProof/>
          <w:lang w:val="en-GB"/>
        </w:rPr>
        <w:t>’</w:t>
      </w:r>
      <w:r w:rsidRPr="00881BC8">
        <w:rPr>
          <w:noProof/>
          <w:lang w:val="en-GB"/>
        </w:rPr>
        <w:t xml:space="preserve"> had been taken by the Member States in response to its Recommendation of 1995, and that payment performance had worsened across the EU. The Communication emphasised that </w:t>
      </w:r>
      <w:r w:rsidR="00303DFA" w:rsidRPr="00881BC8">
        <w:rPr>
          <w:noProof/>
          <w:lang w:val="en-GB"/>
        </w:rPr>
        <w:t>‘</w:t>
      </w:r>
      <w:r w:rsidRPr="00881BC8">
        <w:rPr>
          <w:noProof/>
          <w:lang w:val="en-GB"/>
        </w:rPr>
        <w:t xml:space="preserve">increasingly long payment periods have serious consequences for all European firms, in particular SMEs whose cash-flow, profitability and competitiveness are undermined. The competitive position of SMEs as suppliers to large firms can be distorted by deliberately long payment delays by large </w:t>
      </w:r>
      <w:r w:rsidR="00C87C28" w:rsidRPr="00881BC8">
        <w:rPr>
          <w:noProof/>
          <w:lang w:val="en-GB"/>
        </w:rPr>
        <w:t>firms</w:t>
      </w:r>
      <w:r w:rsidRPr="00881BC8">
        <w:rPr>
          <w:noProof/>
          <w:lang w:val="en-GB"/>
        </w:rPr>
        <w:t>.</w:t>
      </w:r>
      <w:r w:rsidR="00C87C28" w:rsidRPr="00881BC8">
        <w:rPr>
          <w:noProof/>
          <w:lang w:val="en-GB"/>
        </w:rPr>
        <w:t>’</w:t>
      </w:r>
    </w:p>
    <w:p w14:paraId="6C20A5B4" w14:textId="558498B5" w:rsidR="00440140" w:rsidRPr="00881BC8" w:rsidRDefault="00841D52" w:rsidP="004835F8">
      <w:pPr>
        <w:pStyle w:val="NormalPara"/>
        <w:rPr>
          <w:rFonts w:eastAsia="Times New Roman"/>
          <w:noProof/>
          <w:lang w:val="en-GB"/>
        </w:rPr>
      </w:pPr>
      <w:r w:rsidRPr="00881BC8">
        <w:rPr>
          <w:noProof/>
          <w:lang w:val="en-GB"/>
        </w:rPr>
        <w:t xml:space="preserve">Against this background, Directive 2000/35/EC was adopted. However, already 6 years after its adoption, it became evident that the Directive was not achieving its objectives. In 2006, a </w:t>
      </w:r>
      <w:r w:rsidRPr="00881BC8">
        <w:rPr>
          <w:rFonts w:eastAsia="Times New Roman"/>
          <w:noProof/>
          <w:lang w:val="en-GB"/>
        </w:rPr>
        <w:t>study in 10 Member States indicated that 98% of all economic operators experienced late payment. Other surveys pointed out that over 30% of turnover was paid late to around 44% of the larger companies. The situation was worse for smaller enterprises: 59% were paid late for more than 30% of their turnover. Also, the impact of the Directive on payments by public authorities was not satisfactory. Nine years after the entry into force of the Directive, average payment delays by public authorities in Italy had increased from 138 days to 170 days in one year</w:t>
      </w:r>
      <w:r w:rsidRPr="00881BC8">
        <w:rPr>
          <w:rFonts w:eastAsia="Times New Roman"/>
          <w:noProof/>
          <w:sz w:val="20"/>
          <w:szCs w:val="20"/>
          <w:vertAlign w:val="superscript"/>
          <w:lang w:val="en-GB"/>
        </w:rPr>
        <w:footnoteReference w:id="171"/>
      </w:r>
      <w:r w:rsidRPr="00881BC8">
        <w:rPr>
          <w:rFonts w:eastAsia="Times New Roman"/>
          <w:noProof/>
          <w:lang w:val="en-GB"/>
        </w:rPr>
        <w:t xml:space="preserve">. </w:t>
      </w:r>
      <w:r w:rsidR="00440140" w:rsidRPr="00881BC8">
        <w:rPr>
          <w:rFonts w:eastAsia="Times New Roman"/>
          <w:noProof/>
          <w:lang w:val="en-GB"/>
        </w:rPr>
        <w:t xml:space="preserve">This is the background that </w:t>
      </w:r>
      <w:r w:rsidR="001432B8" w:rsidRPr="00881BC8">
        <w:rPr>
          <w:rFonts w:eastAsia="Times New Roman"/>
          <w:noProof/>
          <w:lang w:val="en-GB"/>
        </w:rPr>
        <w:t>led</w:t>
      </w:r>
      <w:r w:rsidR="00440140" w:rsidRPr="00881BC8">
        <w:rPr>
          <w:rFonts w:eastAsia="Times New Roman"/>
          <w:noProof/>
          <w:lang w:val="en-GB"/>
        </w:rPr>
        <w:t xml:space="preserve"> to the adoption of the LPD. </w:t>
      </w:r>
    </w:p>
    <w:p w14:paraId="6C88F6E1" w14:textId="1CE27825" w:rsidR="00282E91" w:rsidRPr="00881BC8" w:rsidRDefault="000375CC" w:rsidP="004835F8">
      <w:pPr>
        <w:pStyle w:val="AnnexLevel1"/>
        <w:rPr>
          <w:noProof/>
          <w:lang w:val="en-GB"/>
        </w:rPr>
      </w:pPr>
      <w:r w:rsidRPr="00881BC8">
        <w:rPr>
          <w:noProof/>
          <w:lang w:val="en-GB"/>
        </w:rPr>
        <w:t>Identification of problems with the implementation of the LPD</w:t>
      </w:r>
    </w:p>
    <w:p w14:paraId="76059978" w14:textId="77777777" w:rsidR="00A4129B" w:rsidRPr="00881BC8" w:rsidRDefault="00A4129B" w:rsidP="004835F8">
      <w:pPr>
        <w:pStyle w:val="NormalPara"/>
        <w:rPr>
          <w:noProof/>
          <w:lang w:val="en-GB"/>
        </w:rPr>
      </w:pPr>
      <w:r w:rsidRPr="00881BC8">
        <w:rPr>
          <w:noProof/>
          <w:lang w:val="en-GB"/>
        </w:rPr>
        <w:t xml:space="preserve">Regular exchanges with Member States on the implementation of the LPD have taken place since 2012, e.g. through the Late Payment Expert group. The SME envoys’ network including business associations has continuously monitored the functioning of the LPD. Infringement procedures have provided in-depth knowledge about market players’ unfair practices and contract clauses used to circumvent the application of the LPD. </w:t>
      </w:r>
    </w:p>
    <w:p w14:paraId="4273027D" w14:textId="5FE39BFC" w:rsidR="00282E91" w:rsidRPr="00881BC8" w:rsidRDefault="00282E91" w:rsidP="004835F8">
      <w:pPr>
        <w:pStyle w:val="NormalPara"/>
        <w:rPr>
          <w:noProof/>
          <w:lang w:val="en-GB"/>
        </w:rPr>
      </w:pPr>
      <w:r w:rsidRPr="00881BC8">
        <w:rPr>
          <w:noProof/>
          <w:lang w:val="en-GB"/>
        </w:rPr>
        <w:t xml:space="preserve">Over the years 2014 to 2022, the LPD – either as a whole or through focussing on specific aspects – has been evaluated in several instances. The extensive evidence that has thus been collected, has </w:t>
      </w:r>
      <w:r w:rsidR="000375CC" w:rsidRPr="00881BC8">
        <w:rPr>
          <w:noProof/>
          <w:lang w:val="en-GB"/>
        </w:rPr>
        <w:t xml:space="preserve">provided input into </w:t>
      </w:r>
      <w:r w:rsidRPr="00881BC8">
        <w:rPr>
          <w:noProof/>
          <w:lang w:val="en-GB"/>
        </w:rPr>
        <w:t xml:space="preserve">this impact assessment. </w:t>
      </w:r>
    </w:p>
    <w:p w14:paraId="799CB05D" w14:textId="1C7D9293" w:rsidR="000E147A" w:rsidRPr="00881BC8" w:rsidRDefault="000E147A" w:rsidP="004835F8">
      <w:pPr>
        <w:pStyle w:val="NormalPara"/>
        <w:rPr>
          <w:noProof/>
          <w:lang w:val="en-GB"/>
        </w:rPr>
      </w:pPr>
      <w:r w:rsidRPr="00881BC8">
        <w:rPr>
          <w:noProof/>
          <w:lang w:val="en-GB"/>
        </w:rPr>
        <w:t>The LPD was evaluated in 2015</w:t>
      </w:r>
      <w:r w:rsidRPr="00881BC8">
        <w:rPr>
          <w:rStyle w:val="FootnoteReference"/>
          <w:noProof/>
          <w:lang w:val="en-GB"/>
        </w:rPr>
        <w:footnoteReference w:id="172"/>
      </w:r>
      <w:r w:rsidRPr="00881BC8">
        <w:rPr>
          <w:noProof/>
          <w:lang w:val="en-GB"/>
        </w:rPr>
        <w:t xml:space="preserve"> and several of its aspects were assessed in 2016</w:t>
      </w:r>
      <w:r w:rsidRPr="00881BC8">
        <w:rPr>
          <w:rStyle w:val="FootnoteReference"/>
          <w:noProof/>
          <w:lang w:val="en-GB"/>
        </w:rPr>
        <w:footnoteReference w:id="173"/>
      </w:r>
      <w:r w:rsidRPr="00881BC8">
        <w:rPr>
          <w:noProof/>
          <w:lang w:val="en-GB"/>
        </w:rPr>
        <w:t>, 2017</w:t>
      </w:r>
      <w:r w:rsidRPr="00881BC8">
        <w:rPr>
          <w:rStyle w:val="FootnoteReference"/>
          <w:noProof/>
          <w:lang w:val="en-GB"/>
        </w:rPr>
        <w:footnoteReference w:id="174"/>
      </w:r>
      <w:r w:rsidRPr="00881BC8">
        <w:rPr>
          <w:noProof/>
          <w:lang w:val="en-GB"/>
        </w:rPr>
        <w:t>, 2018</w:t>
      </w:r>
      <w:r w:rsidRPr="00881BC8">
        <w:rPr>
          <w:rStyle w:val="FootnoteReference"/>
          <w:noProof/>
          <w:lang w:val="en-GB"/>
        </w:rPr>
        <w:footnoteReference w:id="175"/>
      </w:r>
      <w:r w:rsidRPr="00881BC8">
        <w:rPr>
          <w:noProof/>
          <w:lang w:val="en-GB"/>
        </w:rPr>
        <w:t>, 2019</w:t>
      </w:r>
      <w:r w:rsidRPr="00881BC8">
        <w:rPr>
          <w:rStyle w:val="FootnoteReference"/>
          <w:noProof/>
          <w:lang w:val="en-GB"/>
        </w:rPr>
        <w:footnoteReference w:id="176"/>
      </w:r>
      <w:r w:rsidRPr="00881BC8">
        <w:rPr>
          <w:noProof/>
          <w:lang w:val="en-GB"/>
        </w:rPr>
        <w:t>, 2021</w:t>
      </w:r>
      <w:r w:rsidRPr="00881BC8">
        <w:rPr>
          <w:rStyle w:val="FootnoteReference"/>
          <w:noProof/>
          <w:lang w:val="en-GB"/>
        </w:rPr>
        <w:footnoteReference w:id="177"/>
      </w:r>
      <w:r w:rsidRPr="00881BC8">
        <w:rPr>
          <w:noProof/>
          <w:lang w:val="en-GB"/>
        </w:rPr>
        <w:t xml:space="preserve"> and 2022</w:t>
      </w:r>
      <w:r w:rsidRPr="00881BC8">
        <w:rPr>
          <w:rStyle w:val="FootnoteReference"/>
          <w:noProof/>
          <w:lang w:val="en-GB"/>
        </w:rPr>
        <w:footnoteReference w:id="178"/>
      </w:r>
      <w:r w:rsidRPr="00881BC8">
        <w:rPr>
          <w:noProof/>
          <w:lang w:val="en-GB"/>
        </w:rPr>
        <w:t>.</w:t>
      </w:r>
    </w:p>
    <w:p w14:paraId="513356AB" w14:textId="211A0E48" w:rsidR="00282E91" w:rsidRPr="00881BC8" w:rsidRDefault="00282E91" w:rsidP="004835F8">
      <w:pPr>
        <w:pStyle w:val="NormalPara"/>
        <w:rPr>
          <w:noProof/>
          <w:lang w:val="en-GB"/>
        </w:rPr>
      </w:pPr>
      <w:r w:rsidRPr="00881BC8">
        <w:rPr>
          <w:noProof/>
          <w:lang w:val="en-GB"/>
        </w:rPr>
        <w:t xml:space="preserve">These assessments have identified a set of shortcomings, which were grouped as follows: </w:t>
      </w:r>
    </w:p>
    <w:p w14:paraId="3990AF1F" w14:textId="0F1EF8E4" w:rsidR="00282E91" w:rsidRPr="00881BC8" w:rsidRDefault="00282E91" w:rsidP="004835F8">
      <w:pPr>
        <w:pStyle w:val="ListParagraph"/>
        <w:numPr>
          <w:ilvl w:val="0"/>
          <w:numId w:val="37"/>
        </w:numPr>
        <w:rPr>
          <w:noProof/>
        </w:rPr>
      </w:pPr>
      <w:r w:rsidRPr="00881BC8">
        <w:rPr>
          <w:noProof/>
        </w:rPr>
        <w:t>Regulatory gaps and ambiguous rules:</w:t>
      </w:r>
    </w:p>
    <w:p w14:paraId="323EEA3E" w14:textId="77777777" w:rsidR="00F054DD" w:rsidRPr="00881BC8" w:rsidRDefault="00F054DD" w:rsidP="00F054DD">
      <w:pPr>
        <w:pStyle w:val="ListParagraph"/>
        <w:ind w:left="360"/>
        <w:rPr>
          <w:noProof/>
        </w:rPr>
      </w:pPr>
    </w:p>
    <w:p w14:paraId="7E9AF94C" w14:textId="77777777" w:rsidR="00282E91" w:rsidRPr="00881BC8" w:rsidRDefault="00282E91" w:rsidP="004835F8">
      <w:pPr>
        <w:pStyle w:val="ListParagraph"/>
        <w:numPr>
          <w:ilvl w:val="1"/>
          <w:numId w:val="37"/>
        </w:numPr>
        <w:rPr>
          <w:noProof/>
        </w:rPr>
      </w:pPr>
      <w:r w:rsidRPr="00881BC8">
        <w:rPr>
          <w:noProof/>
        </w:rPr>
        <w:t>Lack of maximum payment terms in B2B transactions. Contrary to payments by public authorities (G2B), the Directive does not fix a maximum payment term between business (B2B), but only a “reference” of 30 days. This has resulted in excessively long payment terms, imposed on weaker or smaller economic operators by larger companies. By setting up payment terms excessively or unfairly long, debtors can easily circumvent the obligation of paying on time.</w:t>
      </w:r>
    </w:p>
    <w:p w14:paraId="1A5ACBED" w14:textId="77777777" w:rsidR="00282E91" w:rsidRPr="00881BC8" w:rsidRDefault="00282E91" w:rsidP="004835F8">
      <w:pPr>
        <w:pStyle w:val="ListParagraph"/>
        <w:numPr>
          <w:ilvl w:val="1"/>
          <w:numId w:val="37"/>
        </w:numPr>
        <w:rPr>
          <w:noProof/>
        </w:rPr>
      </w:pPr>
      <w:r w:rsidRPr="00881BC8">
        <w:rPr>
          <w:noProof/>
        </w:rPr>
        <w:t>No clear definition of “unfair” practices or clauses. Several provisions of the Directive make reference to the concept of “grossly unfair” (for example in the negotiation of payment terms in B2B transactions). However, the Directive does not define this concept, making it extremely difficult for a creditor to prove that a specific contractual clause or practice is grossly unfair. There are also a number of unfair practices in place which have the ultimate effect of circumventing the Directive’s obligations; for example, practices banning assignments of receivables, which hamper factoring as well as other novel and digital forms of payment.</w:t>
      </w:r>
    </w:p>
    <w:p w14:paraId="284E0B8E" w14:textId="77777777" w:rsidR="00282E91" w:rsidRPr="00881BC8" w:rsidRDefault="00282E91" w:rsidP="004835F8">
      <w:pPr>
        <w:pStyle w:val="ListParagraph"/>
        <w:numPr>
          <w:ilvl w:val="1"/>
          <w:numId w:val="37"/>
        </w:numPr>
        <w:rPr>
          <w:noProof/>
        </w:rPr>
      </w:pPr>
      <w:r w:rsidRPr="00881BC8">
        <w:rPr>
          <w:noProof/>
        </w:rPr>
        <w:t>No clarity concerning flat fee compensation (article 6). Debtors have interpreted this requirement as applying to individual “contracts” (which can include multiple invoices) rather than to individual invoices. The matter was clarified by the ECJ in a recent preliminary ruling (Case-585/20).</w:t>
      </w:r>
    </w:p>
    <w:p w14:paraId="551E12DD" w14:textId="77777777" w:rsidR="00282E91" w:rsidRPr="00881BC8" w:rsidRDefault="00282E91" w:rsidP="004835F8">
      <w:pPr>
        <w:pStyle w:val="ListParagraph"/>
        <w:numPr>
          <w:ilvl w:val="1"/>
          <w:numId w:val="37"/>
        </w:numPr>
        <w:rPr>
          <w:noProof/>
        </w:rPr>
      </w:pPr>
      <w:r w:rsidRPr="00881BC8">
        <w:rPr>
          <w:noProof/>
        </w:rPr>
        <w:t xml:space="preserve">No clarity concerning verification procedures, especially their duration. The rules on verification procedures also need to take into consideration the case law in the recent ECJ ruling in Case C-585/20. </w:t>
      </w:r>
    </w:p>
    <w:p w14:paraId="7DC67EAD" w14:textId="77777777" w:rsidR="00282E91" w:rsidRPr="00881BC8" w:rsidRDefault="00282E91" w:rsidP="004835F8">
      <w:pPr>
        <w:pStyle w:val="ListParagraph"/>
        <w:numPr>
          <w:ilvl w:val="1"/>
          <w:numId w:val="37"/>
        </w:numPr>
        <w:rPr>
          <w:noProof/>
        </w:rPr>
      </w:pPr>
      <w:r w:rsidRPr="00881BC8">
        <w:rPr>
          <w:noProof/>
        </w:rPr>
        <w:t xml:space="preserve">Lack of “tools” for monitoring and enforcing compliance. The Directive lacks rules that support (i) the monitoring of compliance (for example, collection of data on average payment periods or average payment terms in both B2B and G2B transactions), (ii) enforcement of the rules and (iii) transparency about payment performance. . </w:t>
      </w:r>
    </w:p>
    <w:p w14:paraId="42F69D3F" w14:textId="2AAE7B7E" w:rsidR="00282E91" w:rsidRPr="00881BC8" w:rsidRDefault="00282E91" w:rsidP="004835F8">
      <w:pPr>
        <w:pStyle w:val="ListParagraph"/>
        <w:numPr>
          <w:ilvl w:val="1"/>
          <w:numId w:val="37"/>
        </w:numPr>
        <w:rPr>
          <w:noProof/>
        </w:rPr>
      </w:pPr>
      <w:r w:rsidRPr="00881BC8">
        <w:rPr>
          <w:noProof/>
        </w:rPr>
        <w:t>Lack of suitable means of redress. The Directive does not provide small creditors with adequate tools to take action against their debtors. In fact, the only measure envisaged in the Directive, i.e. legal action, can be too costly and time-consuming, and could cause serious damage to business relations between the parties.</w:t>
      </w:r>
    </w:p>
    <w:p w14:paraId="02C44A8C" w14:textId="77777777" w:rsidR="00F054DD" w:rsidRPr="00881BC8" w:rsidRDefault="00F054DD" w:rsidP="00F054DD">
      <w:pPr>
        <w:pStyle w:val="ListParagraph"/>
        <w:rPr>
          <w:noProof/>
        </w:rPr>
      </w:pPr>
    </w:p>
    <w:p w14:paraId="09605CE7" w14:textId="3F6C920F" w:rsidR="00282E91" w:rsidRPr="00881BC8" w:rsidRDefault="00282E91" w:rsidP="004835F8">
      <w:pPr>
        <w:pStyle w:val="ListParagraph"/>
        <w:numPr>
          <w:ilvl w:val="0"/>
          <w:numId w:val="37"/>
        </w:numPr>
        <w:rPr>
          <w:noProof/>
        </w:rPr>
      </w:pPr>
      <w:r w:rsidRPr="00881BC8">
        <w:rPr>
          <w:noProof/>
        </w:rPr>
        <w:t xml:space="preserve">Asymmetry of bargaining power between large and smaller operators. Due to size or position in the supply chain, smaller businesses are more vulnerable to the risk of being paid late. In fact often smaller companies have imposed on them payment terms that are longer than they are comfortable with, out of fear of losing a contract or a commercial partner (a fear factor). Also, as payment delays are passed down from clients to suppliers, smaller suppliers at the end of supply chains are paid late due to this “domino effect”. </w:t>
      </w:r>
    </w:p>
    <w:p w14:paraId="432C21F1" w14:textId="77777777" w:rsidR="00F054DD" w:rsidRPr="00881BC8" w:rsidRDefault="00F054DD" w:rsidP="00F054DD">
      <w:pPr>
        <w:pStyle w:val="ListParagraph"/>
        <w:ind w:left="360"/>
        <w:rPr>
          <w:noProof/>
        </w:rPr>
      </w:pPr>
    </w:p>
    <w:p w14:paraId="2511E6EF" w14:textId="77777777" w:rsidR="00282E91" w:rsidRPr="00881BC8" w:rsidRDefault="00282E91" w:rsidP="004835F8">
      <w:pPr>
        <w:pStyle w:val="ListParagraph"/>
        <w:numPr>
          <w:ilvl w:val="0"/>
          <w:numId w:val="37"/>
        </w:numPr>
        <w:rPr>
          <w:noProof/>
        </w:rPr>
      </w:pPr>
      <w:r w:rsidRPr="00881BC8">
        <w:rPr>
          <w:noProof/>
        </w:rPr>
        <w:t xml:space="preserve">Pervasive culture of bad payment because prompt payment is not incentivised or rewarded. Delaying payments is an intentional practice, since it is a form of financing at zero cost and no administrative hassle. This situation persists in times of economic stability and deteriorates in times of economic downturn, when access to financing is more difficult. Lack of effective synergies with other relevant policies (e.g. public procurement, regional and structural funds) prevents public (and EU) money from supporting fair payment in commercial transactions. The Directive lacks rules and tools to make prompt payments the “norm” in commercial transactions and to marginalise bad payment behaviour. This requirement is particularly relevant now, since the National Recovery and Resilience Plans in the Member States will be implemented primarily through public procurement. </w:t>
      </w:r>
    </w:p>
    <w:p w14:paraId="683FBAC6" w14:textId="77777777" w:rsidR="0042018D" w:rsidRPr="00881BC8" w:rsidRDefault="0042018D" w:rsidP="00841D52">
      <w:pPr>
        <w:spacing w:after="120"/>
        <w:rPr>
          <w:rFonts w:eastAsia="Times New Roman"/>
          <w:noProof/>
        </w:rPr>
      </w:pPr>
    </w:p>
    <w:p w14:paraId="3F6362C0" w14:textId="0A4216ED" w:rsidR="00841D52" w:rsidRPr="00881BC8" w:rsidRDefault="00841D52">
      <w:pPr>
        <w:spacing w:after="200" w:line="276" w:lineRule="auto"/>
        <w:jc w:val="left"/>
        <w:rPr>
          <w:noProof/>
        </w:rPr>
      </w:pPr>
      <w:r w:rsidRPr="00881BC8">
        <w:rPr>
          <w:noProof/>
        </w:rPr>
        <w:br w:type="page"/>
      </w:r>
    </w:p>
    <w:p w14:paraId="22F4141F" w14:textId="43237E37" w:rsidR="000C28C3" w:rsidRPr="00881BC8" w:rsidRDefault="006B087E" w:rsidP="00CF2B67">
      <w:pPr>
        <w:pStyle w:val="AnnexTitle"/>
        <w:rPr>
          <w:noProof/>
        </w:rPr>
      </w:pPr>
      <w:bookmarkStart w:id="1049" w:name="Annex07"/>
      <w:bookmarkStart w:id="1050" w:name="_Toc129899927"/>
      <w:bookmarkStart w:id="1051" w:name="_Toc135237456"/>
      <w:r w:rsidRPr="00881BC8">
        <w:rPr>
          <w:noProof/>
        </w:rPr>
        <w:t xml:space="preserve">Annex </w:t>
      </w:r>
      <w:r w:rsidR="00440140" w:rsidRPr="00881BC8">
        <w:rPr>
          <w:noProof/>
        </w:rPr>
        <w:t>7</w:t>
      </w:r>
      <w:bookmarkEnd w:id="1049"/>
      <w:r w:rsidR="00440140" w:rsidRPr="00881BC8">
        <w:rPr>
          <w:noProof/>
        </w:rPr>
        <w:t xml:space="preserve">: </w:t>
      </w:r>
      <w:r w:rsidR="00440140" w:rsidRPr="00881BC8">
        <w:rPr>
          <w:noProof/>
        </w:rPr>
        <w:tab/>
        <w:t xml:space="preserve">EU </w:t>
      </w:r>
      <w:r w:rsidR="000A7EFC" w:rsidRPr="00881BC8">
        <w:rPr>
          <w:noProof/>
        </w:rPr>
        <w:t>p</w:t>
      </w:r>
      <w:r w:rsidR="00440140" w:rsidRPr="00881BC8">
        <w:rPr>
          <w:noProof/>
        </w:rPr>
        <w:t xml:space="preserve">ayment </w:t>
      </w:r>
      <w:r w:rsidR="000A7EFC" w:rsidRPr="00881BC8">
        <w:rPr>
          <w:noProof/>
        </w:rPr>
        <w:t>o</w:t>
      </w:r>
      <w:r w:rsidR="00440140" w:rsidRPr="00881BC8">
        <w:rPr>
          <w:noProof/>
        </w:rPr>
        <w:t>bservatory</w:t>
      </w:r>
      <w:bookmarkEnd w:id="1050"/>
      <w:bookmarkEnd w:id="1051"/>
      <w:r w:rsidR="0091653A" w:rsidRPr="00881BC8">
        <w:rPr>
          <w:noProof/>
        </w:rPr>
        <w:t xml:space="preserve"> </w:t>
      </w:r>
    </w:p>
    <w:p w14:paraId="102D7E43" w14:textId="4C7E5D25" w:rsidR="00760DCD" w:rsidRPr="00881BC8" w:rsidRDefault="00953880" w:rsidP="004835F8">
      <w:pPr>
        <w:pStyle w:val="AnnexLevel1"/>
        <w:rPr>
          <w:noProof/>
          <w:lang w:val="en-GB"/>
        </w:rPr>
      </w:pPr>
      <w:r w:rsidRPr="00881BC8">
        <w:rPr>
          <w:noProof/>
          <w:lang w:val="en-GB"/>
        </w:rPr>
        <w:t xml:space="preserve">Background </w:t>
      </w:r>
    </w:p>
    <w:p w14:paraId="6860611F" w14:textId="76C1A6F6" w:rsidR="00231F19" w:rsidRPr="00881BC8" w:rsidRDefault="0074300C" w:rsidP="004835F8">
      <w:pPr>
        <w:pStyle w:val="NormalPara"/>
        <w:rPr>
          <w:noProof/>
          <w:lang w:val="en-GB"/>
        </w:rPr>
      </w:pPr>
      <w:r w:rsidRPr="00881BC8">
        <w:rPr>
          <w:noProof/>
          <w:lang w:val="en-GB"/>
        </w:rPr>
        <w:t xml:space="preserve">Currently, there is </w:t>
      </w:r>
      <w:r w:rsidR="00832F57" w:rsidRPr="00881BC8">
        <w:rPr>
          <w:noProof/>
          <w:lang w:val="en-GB"/>
        </w:rPr>
        <w:t xml:space="preserve">a </w:t>
      </w:r>
      <w:r w:rsidRPr="00881BC8">
        <w:rPr>
          <w:noProof/>
          <w:lang w:val="en-GB"/>
        </w:rPr>
        <w:t xml:space="preserve">wide </w:t>
      </w:r>
      <w:r w:rsidR="00303DFA" w:rsidRPr="00881BC8">
        <w:rPr>
          <w:noProof/>
          <w:lang w:val="en-GB"/>
        </w:rPr>
        <w:t>‘</w:t>
      </w:r>
      <w:r w:rsidRPr="00881BC8">
        <w:rPr>
          <w:noProof/>
          <w:lang w:val="en-GB"/>
        </w:rPr>
        <w:t>data community</w:t>
      </w:r>
      <w:r w:rsidR="00303DFA" w:rsidRPr="00881BC8">
        <w:rPr>
          <w:noProof/>
          <w:lang w:val="en-GB"/>
        </w:rPr>
        <w:t>’</w:t>
      </w:r>
      <w:r w:rsidRPr="00881BC8">
        <w:rPr>
          <w:noProof/>
          <w:lang w:val="en-GB"/>
        </w:rPr>
        <w:t xml:space="preserve">, i.e. authorities, associations, businesses and other entities collecting and publicly disseminating extensive information on payment performance. </w:t>
      </w:r>
      <w:r w:rsidR="008F5371" w:rsidRPr="00881BC8">
        <w:rPr>
          <w:noProof/>
          <w:lang w:val="en-GB"/>
        </w:rPr>
        <w:t>Some Member States have put in place methodologies for measuring the payment performance of their public sector</w:t>
      </w:r>
      <w:r w:rsidR="00825236" w:rsidRPr="00881BC8">
        <w:rPr>
          <w:noProof/>
          <w:lang w:val="en-GB"/>
        </w:rPr>
        <w:t xml:space="preserve">, often </w:t>
      </w:r>
      <w:r w:rsidR="007F7548" w:rsidRPr="00881BC8">
        <w:rPr>
          <w:noProof/>
          <w:lang w:val="en-GB"/>
        </w:rPr>
        <w:t xml:space="preserve">subsequent to </w:t>
      </w:r>
      <w:r w:rsidR="00825236" w:rsidRPr="00881BC8">
        <w:rPr>
          <w:noProof/>
          <w:lang w:val="en-GB"/>
        </w:rPr>
        <w:t>infringement proceedings opened by the Commission concerning bad application of the LPD</w:t>
      </w:r>
      <w:r w:rsidR="008F5371" w:rsidRPr="00881BC8">
        <w:rPr>
          <w:noProof/>
          <w:vertAlign w:val="superscript"/>
          <w:lang w:val="en-GB"/>
        </w:rPr>
        <w:footnoteReference w:id="179"/>
      </w:r>
      <w:r w:rsidR="008F5371" w:rsidRPr="00881BC8">
        <w:rPr>
          <w:noProof/>
          <w:lang w:val="en-GB"/>
        </w:rPr>
        <w:t xml:space="preserve">. The information collected is published regularly </w:t>
      </w:r>
      <w:r w:rsidR="00825236" w:rsidRPr="00881BC8">
        <w:rPr>
          <w:noProof/>
          <w:lang w:val="en-GB"/>
        </w:rPr>
        <w:t xml:space="preserve">online. </w:t>
      </w:r>
      <w:r w:rsidR="008F5371" w:rsidRPr="00881BC8">
        <w:rPr>
          <w:noProof/>
          <w:lang w:val="en-GB"/>
        </w:rPr>
        <w:t>Furthermore, France has been monitoring since 1991 the payment performance of public authorities and businesses, thanks to the Observatoire des délais de Paiement</w:t>
      </w:r>
      <w:r w:rsidR="008F5371" w:rsidRPr="00881BC8">
        <w:rPr>
          <w:noProof/>
          <w:vertAlign w:val="superscript"/>
          <w:lang w:val="en-GB"/>
        </w:rPr>
        <w:footnoteReference w:id="180"/>
      </w:r>
      <w:r w:rsidR="008F5371" w:rsidRPr="00881BC8">
        <w:rPr>
          <w:noProof/>
          <w:vertAlign w:val="superscript"/>
          <w:lang w:val="en-GB"/>
        </w:rPr>
        <w:t xml:space="preserve">. </w:t>
      </w:r>
      <w:r w:rsidR="008F5371" w:rsidRPr="00881BC8">
        <w:rPr>
          <w:noProof/>
          <w:lang w:val="en-GB"/>
        </w:rPr>
        <w:t>The French Observatoire is structured around a wide partnership of public authorities (public hospitals, local authorities, central government), business federations, employers, SMEs associations, sector associations.</w:t>
      </w:r>
      <w:r w:rsidR="00825236" w:rsidRPr="00881BC8">
        <w:rPr>
          <w:noProof/>
          <w:lang w:val="en-GB"/>
        </w:rPr>
        <w:t xml:space="preserve"> </w:t>
      </w:r>
      <w:r w:rsidR="004F5520" w:rsidRPr="00881BC8">
        <w:rPr>
          <w:noProof/>
          <w:lang w:val="en-GB"/>
        </w:rPr>
        <w:t xml:space="preserve">In its over 30 </w:t>
      </w:r>
      <w:r w:rsidR="00825236" w:rsidRPr="00881BC8">
        <w:rPr>
          <w:noProof/>
          <w:lang w:val="en-GB"/>
        </w:rPr>
        <w:t>years of existence, the success of the O</w:t>
      </w:r>
      <w:r w:rsidR="007F7548" w:rsidRPr="00881BC8">
        <w:rPr>
          <w:noProof/>
          <w:lang w:val="en-GB"/>
        </w:rPr>
        <w:t xml:space="preserve">bservatory </w:t>
      </w:r>
      <w:r w:rsidR="00760DCD" w:rsidRPr="00881BC8">
        <w:rPr>
          <w:noProof/>
          <w:lang w:val="en-GB"/>
        </w:rPr>
        <w:t xml:space="preserve">has led to creation of a </w:t>
      </w:r>
      <w:r w:rsidR="00303DFA" w:rsidRPr="00881BC8">
        <w:rPr>
          <w:noProof/>
          <w:lang w:val="en-GB"/>
        </w:rPr>
        <w:t>‘</w:t>
      </w:r>
      <w:r w:rsidR="00760DCD" w:rsidRPr="00881BC8">
        <w:rPr>
          <w:noProof/>
          <w:lang w:val="en-GB"/>
        </w:rPr>
        <w:t>payment culture</w:t>
      </w:r>
      <w:r w:rsidR="00303DFA" w:rsidRPr="00881BC8">
        <w:rPr>
          <w:noProof/>
          <w:lang w:val="en-GB"/>
        </w:rPr>
        <w:t>’</w:t>
      </w:r>
      <w:r w:rsidR="00760DCD" w:rsidRPr="00881BC8">
        <w:rPr>
          <w:noProof/>
          <w:lang w:val="en-GB"/>
        </w:rPr>
        <w:t xml:space="preserve">, by keeping a </w:t>
      </w:r>
      <w:r w:rsidR="00825236" w:rsidRPr="00881BC8">
        <w:rPr>
          <w:noProof/>
          <w:lang w:val="en-GB"/>
        </w:rPr>
        <w:t xml:space="preserve">high level of attention on the issue of late payment </w:t>
      </w:r>
      <w:r w:rsidR="00760DCD" w:rsidRPr="00881BC8">
        <w:rPr>
          <w:noProof/>
          <w:lang w:val="en-GB"/>
        </w:rPr>
        <w:t xml:space="preserve">in the French political debate, and </w:t>
      </w:r>
      <w:r w:rsidR="00825236" w:rsidRPr="00881BC8">
        <w:rPr>
          <w:noProof/>
          <w:lang w:val="en-GB"/>
        </w:rPr>
        <w:t>establish</w:t>
      </w:r>
      <w:r w:rsidR="00760DCD" w:rsidRPr="00881BC8">
        <w:rPr>
          <w:noProof/>
          <w:lang w:val="en-GB"/>
        </w:rPr>
        <w:t xml:space="preserve">ing </w:t>
      </w:r>
      <w:r w:rsidR="00825236" w:rsidRPr="00881BC8">
        <w:rPr>
          <w:noProof/>
          <w:lang w:val="en-GB"/>
        </w:rPr>
        <w:t>a standing platform of public dialogue, cooperation, exchange among stakeholders on late payment issues, both in the public and private sectors</w:t>
      </w:r>
      <w:r w:rsidR="00760DCD" w:rsidRPr="00881BC8">
        <w:rPr>
          <w:noProof/>
          <w:lang w:val="en-GB"/>
        </w:rPr>
        <w:t>.</w:t>
      </w:r>
    </w:p>
    <w:p w14:paraId="0EA40B3E" w14:textId="44314F05" w:rsidR="000C28C3" w:rsidRPr="00881BC8" w:rsidRDefault="008F5371" w:rsidP="004835F8">
      <w:pPr>
        <w:pStyle w:val="NormalPara"/>
        <w:rPr>
          <w:noProof/>
          <w:lang w:val="en-GB"/>
        </w:rPr>
      </w:pPr>
      <w:r w:rsidRPr="00881BC8">
        <w:rPr>
          <w:noProof/>
          <w:lang w:val="en-GB"/>
        </w:rPr>
        <w:t>At EU level, large private groups, specialized in corporate analysis, credit information or debt collection</w:t>
      </w:r>
      <w:r w:rsidRPr="00881BC8">
        <w:rPr>
          <w:noProof/>
          <w:vertAlign w:val="superscript"/>
          <w:lang w:val="en-GB"/>
        </w:rPr>
        <w:footnoteReference w:id="181"/>
      </w:r>
      <w:r w:rsidRPr="00881BC8">
        <w:rPr>
          <w:noProof/>
          <w:lang w:val="en-GB"/>
        </w:rPr>
        <w:t xml:space="preserve"> collect and publish data about payment performance of businesses and public authorities. Thanks to their capillary presence in the EU (and worldwide), these companies have access to large amount of data (e.g. invoices of businesses), and their publications on payment behaviour have become a reference for the operators. At sector level, business federations often collect very useful information on payment performance</w:t>
      </w:r>
      <w:r w:rsidRPr="00881BC8">
        <w:rPr>
          <w:noProof/>
          <w:vertAlign w:val="superscript"/>
          <w:lang w:val="en-GB"/>
        </w:rPr>
        <w:footnoteReference w:id="182"/>
      </w:r>
      <w:r w:rsidRPr="00881BC8">
        <w:rPr>
          <w:noProof/>
          <w:lang w:val="en-GB"/>
        </w:rPr>
        <w:t>. The activity of national stakeholder platforms</w:t>
      </w:r>
      <w:r w:rsidRPr="00881BC8">
        <w:rPr>
          <w:noProof/>
          <w:vertAlign w:val="superscript"/>
          <w:lang w:val="en-GB"/>
        </w:rPr>
        <w:footnoteReference w:id="183"/>
      </w:r>
      <w:r w:rsidRPr="00881BC8">
        <w:rPr>
          <w:noProof/>
          <w:vertAlign w:val="superscript"/>
          <w:lang w:val="en-GB"/>
        </w:rPr>
        <w:t>,</w:t>
      </w:r>
      <w:r w:rsidRPr="00881BC8">
        <w:rPr>
          <w:noProof/>
          <w:lang w:val="en-GB"/>
        </w:rPr>
        <w:t xml:space="preserve"> and SMEs representatives</w:t>
      </w:r>
      <w:r w:rsidRPr="00881BC8">
        <w:rPr>
          <w:noProof/>
          <w:vertAlign w:val="superscript"/>
          <w:lang w:val="en-GB"/>
        </w:rPr>
        <w:footnoteReference w:id="184"/>
      </w:r>
      <w:r w:rsidRPr="00881BC8">
        <w:rPr>
          <w:noProof/>
          <w:lang w:val="en-GB"/>
        </w:rPr>
        <w:t xml:space="preserve"> is also very useful. </w:t>
      </w:r>
      <w:r w:rsidR="008260C7" w:rsidRPr="00881BC8">
        <w:rPr>
          <w:noProof/>
          <w:lang w:val="en-GB"/>
        </w:rPr>
        <w:t xml:space="preserve">While the multiplicity of sources is testimony to the importance of the issue of late payments, it is difficult to gain a comprehensive and consistent overview of developments at the EU level from the information currently available, due to differences in the indicators, sampling, and methodologies used, as well as in the sector and geographic coverage. The EP Resolution 2019 identified that the lack of a coherent and systemic monitoring tool at EU level of payment performance has hampered the effective application of the LPD. The EP Resolution 2019 emphasized that </w:t>
      </w:r>
      <w:r w:rsidR="00303DFA" w:rsidRPr="00881BC8">
        <w:rPr>
          <w:noProof/>
          <w:lang w:val="en-GB"/>
        </w:rPr>
        <w:t>‘</w:t>
      </w:r>
      <w:r w:rsidR="008260C7" w:rsidRPr="00881BC8">
        <w:rPr>
          <w:noProof/>
          <w:lang w:val="en-GB"/>
        </w:rPr>
        <w:t>the introduction of enhanced transparency concerning payment behaviour could discourage late payment and … act as an incentive for public entities and businesses to improve their payment practices</w:t>
      </w:r>
      <w:r w:rsidR="00303DFA" w:rsidRPr="00881BC8">
        <w:rPr>
          <w:noProof/>
          <w:lang w:val="en-GB"/>
        </w:rPr>
        <w:t>’</w:t>
      </w:r>
      <w:r w:rsidR="008260C7" w:rsidRPr="00881BC8">
        <w:rPr>
          <w:noProof/>
          <w:lang w:val="en-GB"/>
        </w:rPr>
        <w:t>.</w:t>
      </w:r>
      <w:r w:rsidR="000C28C3" w:rsidRPr="00881BC8">
        <w:rPr>
          <w:noProof/>
          <w:lang w:val="en-GB"/>
        </w:rPr>
        <w:t xml:space="preserve"> </w:t>
      </w:r>
    </w:p>
    <w:p w14:paraId="284F2A85" w14:textId="540DBAC6" w:rsidR="00A75B30" w:rsidRPr="00881BC8" w:rsidRDefault="00A75B30" w:rsidP="004835F8">
      <w:pPr>
        <w:pStyle w:val="NormalPara"/>
        <w:rPr>
          <w:noProof/>
          <w:lang w:val="en-GB"/>
        </w:rPr>
      </w:pPr>
      <w:r w:rsidRPr="00881BC8">
        <w:rPr>
          <w:noProof/>
          <w:lang w:val="en-GB"/>
        </w:rPr>
        <w:t>Against</w:t>
      </w:r>
      <w:r w:rsidR="00216593" w:rsidRPr="00881BC8">
        <w:rPr>
          <w:noProof/>
          <w:lang w:val="en-GB"/>
        </w:rPr>
        <w:t xml:space="preserve"> this b</w:t>
      </w:r>
      <w:r w:rsidRPr="00881BC8">
        <w:rPr>
          <w:noProof/>
          <w:lang w:val="en-GB"/>
        </w:rPr>
        <w:t>ackground</w:t>
      </w:r>
      <w:r w:rsidR="00216593" w:rsidRPr="00881BC8">
        <w:rPr>
          <w:noProof/>
          <w:lang w:val="en-GB"/>
        </w:rPr>
        <w:t xml:space="preserve">, the </w:t>
      </w:r>
      <w:r w:rsidRPr="00881BC8">
        <w:rPr>
          <w:noProof/>
          <w:lang w:val="en-GB"/>
        </w:rPr>
        <w:t>SME Strategy</w:t>
      </w:r>
      <w:r w:rsidRPr="00881BC8">
        <w:rPr>
          <w:noProof/>
          <w:vertAlign w:val="superscript"/>
          <w:lang w:val="en-GB"/>
        </w:rPr>
        <w:footnoteReference w:id="185"/>
      </w:r>
      <w:r w:rsidRPr="00881BC8">
        <w:rPr>
          <w:noProof/>
          <w:lang w:val="en-GB"/>
        </w:rPr>
        <w:t xml:space="preserve"> of 2020 state</w:t>
      </w:r>
      <w:r w:rsidR="007E50B9" w:rsidRPr="00881BC8">
        <w:rPr>
          <w:noProof/>
          <w:lang w:val="en-GB"/>
        </w:rPr>
        <w:t>d</w:t>
      </w:r>
      <w:r w:rsidRPr="00881BC8">
        <w:rPr>
          <w:noProof/>
          <w:lang w:val="en-GB"/>
        </w:rPr>
        <w:t xml:space="preserve"> that </w:t>
      </w:r>
      <w:r w:rsidR="00303DFA" w:rsidRPr="00881BC8">
        <w:rPr>
          <w:noProof/>
          <w:lang w:val="en-GB"/>
        </w:rPr>
        <w:t>‘</w:t>
      </w:r>
      <w:r w:rsidRPr="00881BC8">
        <w:rPr>
          <w:noProof/>
          <w:lang w:val="en-GB"/>
        </w:rPr>
        <w:t>the Commission will support the implementation of the Late Payment Directive by equipping it with strong monitoring and enforcement tools. These could include a virtual observatory for monitoring payment delays…</w:t>
      </w:r>
      <w:r w:rsidR="00303DFA" w:rsidRPr="00881BC8">
        <w:rPr>
          <w:noProof/>
          <w:lang w:val="en-GB"/>
        </w:rPr>
        <w:t>’</w:t>
      </w:r>
      <w:r w:rsidR="00EE601D" w:rsidRPr="00881BC8">
        <w:rPr>
          <w:noProof/>
          <w:lang w:val="en-GB"/>
        </w:rPr>
        <w:t>.</w:t>
      </w:r>
      <w:r w:rsidRPr="00881BC8">
        <w:rPr>
          <w:noProof/>
          <w:lang w:val="en-GB"/>
        </w:rPr>
        <w:t xml:space="preserve"> The Updated Industrial Strategy</w:t>
      </w:r>
      <w:r w:rsidR="00216593" w:rsidRPr="00881BC8">
        <w:rPr>
          <w:noProof/>
          <w:lang w:val="en-GB"/>
        </w:rPr>
        <w:t xml:space="preserve"> 2021</w:t>
      </w:r>
      <w:r w:rsidRPr="00881BC8">
        <w:rPr>
          <w:noProof/>
          <w:lang w:val="en-GB"/>
        </w:rPr>
        <w:t xml:space="preserve"> also announced the extension of the</w:t>
      </w:r>
      <w:r w:rsidR="00216593" w:rsidRPr="00881BC8">
        <w:rPr>
          <w:noProof/>
          <w:lang w:val="en-GB"/>
        </w:rPr>
        <w:t xml:space="preserve"> pilot phase in construction</w:t>
      </w:r>
      <w:r w:rsidR="00216593" w:rsidRPr="00881BC8">
        <w:rPr>
          <w:noProof/>
          <w:vertAlign w:val="superscript"/>
          <w:lang w:val="en-GB"/>
        </w:rPr>
        <w:footnoteReference w:id="186"/>
      </w:r>
      <w:r w:rsidR="00216593" w:rsidRPr="00881BC8">
        <w:rPr>
          <w:noProof/>
          <w:lang w:val="en-GB"/>
        </w:rPr>
        <w:t xml:space="preserve"> to the other </w:t>
      </w:r>
      <w:r w:rsidRPr="00881BC8">
        <w:rPr>
          <w:noProof/>
          <w:lang w:val="en-GB"/>
        </w:rPr>
        <w:t>ecosystems</w:t>
      </w:r>
      <w:r w:rsidRPr="00881BC8">
        <w:rPr>
          <w:noProof/>
          <w:vertAlign w:val="superscript"/>
          <w:lang w:val="en-GB"/>
        </w:rPr>
        <w:footnoteReference w:id="187"/>
      </w:r>
      <w:r w:rsidR="00934305" w:rsidRPr="00881BC8">
        <w:rPr>
          <w:noProof/>
          <w:vertAlign w:val="superscript"/>
          <w:lang w:val="en-GB"/>
        </w:rPr>
        <w:t>.</w:t>
      </w:r>
      <w:r w:rsidR="00934305" w:rsidRPr="00881BC8">
        <w:rPr>
          <w:noProof/>
          <w:lang w:val="en-GB"/>
        </w:rPr>
        <w:t xml:space="preserve"> The 2021 </w:t>
      </w:r>
      <w:r w:rsidRPr="00881BC8">
        <w:rPr>
          <w:noProof/>
          <w:lang w:val="en-GB"/>
        </w:rPr>
        <w:t xml:space="preserve">Fit for Future </w:t>
      </w:r>
      <w:r w:rsidR="00934305" w:rsidRPr="00881BC8">
        <w:rPr>
          <w:noProof/>
          <w:lang w:val="en-GB"/>
        </w:rPr>
        <w:t xml:space="preserve">Platform Opinion recommended </w:t>
      </w:r>
      <w:r w:rsidRPr="00881BC8">
        <w:rPr>
          <w:noProof/>
          <w:lang w:val="en-GB"/>
        </w:rPr>
        <w:t>among other actions, strengthening transparency about payment terms.</w:t>
      </w:r>
      <w:r w:rsidR="00825236" w:rsidRPr="00881BC8">
        <w:rPr>
          <w:noProof/>
          <w:lang w:val="en-GB"/>
        </w:rPr>
        <w:t xml:space="preserve"> </w:t>
      </w:r>
      <w:r w:rsidRPr="00881BC8">
        <w:rPr>
          <w:noProof/>
          <w:lang w:val="en-GB"/>
        </w:rPr>
        <w:t xml:space="preserve">The monitoring of public authorities’ and businesses’ payment discipline in the Member States is also </w:t>
      </w:r>
      <w:r w:rsidR="00934305" w:rsidRPr="00881BC8">
        <w:rPr>
          <w:noProof/>
          <w:lang w:val="en-GB"/>
        </w:rPr>
        <w:t>included</w:t>
      </w:r>
      <w:r w:rsidRPr="00881BC8">
        <w:rPr>
          <w:noProof/>
          <w:lang w:val="en-GB"/>
        </w:rPr>
        <w:t xml:space="preserve"> in some National Recovery and Resilience Plans. For example, in Spain</w:t>
      </w:r>
      <w:r w:rsidR="004B2951" w:rsidRPr="00881BC8">
        <w:rPr>
          <w:noProof/>
          <w:lang w:val="en-GB"/>
        </w:rPr>
        <w:t xml:space="preserve">, the </w:t>
      </w:r>
      <w:r w:rsidRPr="00881BC8">
        <w:rPr>
          <w:noProof/>
          <w:lang w:val="en-GB"/>
        </w:rPr>
        <w:t xml:space="preserve">law </w:t>
      </w:r>
      <w:r w:rsidR="00303DFA" w:rsidRPr="00881BC8">
        <w:rPr>
          <w:noProof/>
          <w:lang w:val="en-GB"/>
        </w:rPr>
        <w:t>‘</w:t>
      </w:r>
      <w:r w:rsidRPr="00881BC8">
        <w:rPr>
          <w:noProof/>
          <w:lang w:val="en-GB"/>
        </w:rPr>
        <w:t>Crea y Crece</w:t>
      </w:r>
      <w:r w:rsidR="00303DFA" w:rsidRPr="00881BC8">
        <w:rPr>
          <w:noProof/>
          <w:lang w:val="en-GB"/>
        </w:rPr>
        <w:t>’</w:t>
      </w:r>
      <w:r w:rsidR="00216593" w:rsidRPr="00881BC8">
        <w:rPr>
          <w:noProof/>
          <w:vertAlign w:val="superscript"/>
          <w:lang w:val="en-GB"/>
        </w:rPr>
        <w:footnoteReference w:id="188"/>
      </w:r>
      <w:r w:rsidRPr="00881BC8">
        <w:rPr>
          <w:noProof/>
          <w:lang w:val="en-GB"/>
        </w:rPr>
        <w:t xml:space="preserve"> is the flagship initiative for relaunching the business environment under the Spanish National Recovery Plan. This </w:t>
      </w:r>
      <w:r w:rsidR="004B2951" w:rsidRPr="00881BC8">
        <w:rPr>
          <w:noProof/>
          <w:lang w:val="en-GB"/>
        </w:rPr>
        <w:t xml:space="preserve">law </w:t>
      </w:r>
      <w:r w:rsidRPr="00881BC8">
        <w:rPr>
          <w:noProof/>
          <w:lang w:val="en-GB"/>
        </w:rPr>
        <w:t>foresees the setting up of a national Observatory of late payments (Observatorio Estadal de la Morosidad</w:t>
      </w:r>
      <w:r w:rsidR="00216593" w:rsidRPr="00881BC8">
        <w:rPr>
          <w:noProof/>
          <w:lang w:val="en-GB"/>
        </w:rPr>
        <w:t>)</w:t>
      </w:r>
      <w:r w:rsidR="00564934" w:rsidRPr="00881BC8">
        <w:rPr>
          <w:noProof/>
          <w:lang w:val="en-GB"/>
        </w:rPr>
        <w:t>.</w:t>
      </w:r>
    </w:p>
    <w:p w14:paraId="15657391" w14:textId="34654DF8" w:rsidR="00A961E0" w:rsidRPr="00881BC8" w:rsidRDefault="007E50B9" w:rsidP="004835F8">
      <w:pPr>
        <w:pStyle w:val="NormalPara"/>
        <w:rPr>
          <w:noProof/>
          <w:lang w:val="en-GB"/>
        </w:rPr>
      </w:pPr>
      <w:r w:rsidRPr="00881BC8">
        <w:rPr>
          <w:noProof/>
          <w:lang w:val="en-GB"/>
        </w:rPr>
        <w:t>These developments led to setting up of the EU Payment Observatory</w:t>
      </w:r>
      <w:r w:rsidR="00760DCD" w:rsidRPr="00881BC8">
        <w:rPr>
          <w:noProof/>
          <w:lang w:val="en-GB"/>
        </w:rPr>
        <w:t>. This is currently being set up</w:t>
      </w:r>
      <w:r w:rsidRPr="00881BC8">
        <w:rPr>
          <w:noProof/>
          <w:lang w:val="en-GB"/>
        </w:rPr>
        <w:t xml:space="preserve"> by EISMEA (contracting authority) under the supervision of DG GROW, with the assistance of an external Contractor, selected through an open public tender. The contract, for a duration of two years, and possibility of renewal </w:t>
      </w:r>
      <w:r w:rsidR="00760DCD" w:rsidRPr="00881BC8">
        <w:rPr>
          <w:noProof/>
          <w:lang w:val="en-GB"/>
        </w:rPr>
        <w:t xml:space="preserve">for </w:t>
      </w:r>
      <w:r w:rsidRPr="00881BC8">
        <w:rPr>
          <w:noProof/>
          <w:lang w:val="en-GB"/>
        </w:rPr>
        <w:t>other two years, started in January 2023. Overall cost</w:t>
      </w:r>
      <w:r w:rsidR="00A961E0" w:rsidRPr="00881BC8">
        <w:rPr>
          <w:noProof/>
          <w:lang w:val="en-GB"/>
        </w:rPr>
        <w:t xml:space="preserve"> for 4 years: 1,3 MIO EUR.</w:t>
      </w:r>
    </w:p>
    <w:p w14:paraId="56F74F5B" w14:textId="76F3F3D7" w:rsidR="00760DCD" w:rsidRPr="00881BC8" w:rsidRDefault="00AD1D70" w:rsidP="004835F8">
      <w:pPr>
        <w:pStyle w:val="AnnexLevel1"/>
        <w:rPr>
          <w:noProof/>
          <w:lang w:val="en-GB"/>
        </w:rPr>
      </w:pPr>
      <w:r w:rsidRPr="00881BC8">
        <w:rPr>
          <w:noProof/>
          <w:lang w:val="en-GB"/>
        </w:rPr>
        <w:t xml:space="preserve">Purpose </w:t>
      </w:r>
      <w:r w:rsidR="00880F4B" w:rsidRPr="00881BC8">
        <w:rPr>
          <w:noProof/>
          <w:lang w:val="en-GB"/>
        </w:rPr>
        <w:t>of the EU payment observatory</w:t>
      </w:r>
    </w:p>
    <w:p w14:paraId="2A3D0AFF" w14:textId="682E66EF" w:rsidR="008F5371" w:rsidRPr="00881BC8" w:rsidRDefault="008F5371" w:rsidP="004835F8">
      <w:pPr>
        <w:pStyle w:val="NormalPara"/>
        <w:rPr>
          <w:noProof/>
          <w:lang w:val="en-GB"/>
        </w:rPr>
      </w:pPr>
      <w:r w:rsidRPr="00881BC8">
        <w:rPr>
          <w:noProof/>
          <w:lang w:val="en-GB"/>
        </w:rPr>
        <w:t>The purpose of the EU Obs</w:t>
      </w:r>
      <w:r w:rsidR="007E50B9" w:rsidRPr="00881BC8">
        <w:rPr>
          <w:noProof/>
          <w:lang w:val="en-GB"/>
        </w:rPr>
        <w:t xml:space="preserve">ervatory </w:t>
      </w:r>
      <w:r w:rsidRPr="00881BC8">
        <w:rPr>
          <w:noProof/>
          <w:lang w:val="en-GB"/>
        </w:rPr>
        <w:t xml:space="preserve">is to address </w:t>
      </w:r>
      <w:r w:rsidR="00D402AD" w:rsidRPr="00881BC8">
        <w:rPr>
          <w:noProof/>
          <w:lang w:val="en-GB"/>
        </w:rPr>
        <w:t>the need</w:t>
      </w:r>
      <w:r w:rsidR="007E50B9" w:rsidRPr="00881BC8">
        <w:rPr>
          <w:noProof/>
          <w:lang w:val="en-GB"/>
        </w:rPr>
        <w:t>s i</w:t>
      </w:r>
      <w:r w:rsidR="00D402AD" w:rsidRPr="00881BC8">
        <w:rPr>
          <w:noProof/>
          <w:lang w:val="en-GB"/>
        </w:rPr>
        <w:t>dentified above by pulling</w:t>
      </w:r>
      <w:r w:rsidRPr="00881BC8">
        <w:rPr>
          <w:noProof/>
          <w:lang w:val="en-GB"/>
        </w:rPr>
        <w:t xml:space="preserve"> together</w:t>
      </w:r>
      <w:r w:rsidR="00934305" w:rsidRPr="00881BC8">
        <w:rPr>
          <w:noProof/>
          <w:lang w:val="en-GB"/>
        </w:rPr>
        <w:t xml:space="preserve"> the existing information already available in the public domain, </w:t>
      </w:r>
      <w:r w:rsidR="00D402AD" w:rsidRPr="00881BC8">
        <w:rPr>
          <w:noProof/>
          <w:lang w:val="en-GB"/>
        </w:rPr>
        <w:t>and create a</w:t>
      </w:r>
      <w:r w:rsidR="00934305" w:rsidRPr="00881BC8">
        <w:rPr>
          <w:noProof/>
          <w:lang w:val="en-GB"/>
        </w:rPr>
        <w:t xml:space="preserve"> central reference point in the EU to monitor payment performance in commercial transactions G2B and B2B. </w:t>
      </w:r>
      <w:r w:rsidR="00953880" w:rsidRPr="00881BC8">
        <w:rPr>
          <w:noProof/>
          <w:lang w:val="en-GB"/>
        </w:rPr>
        <w:t>This tool</w:t>
      </w:r>
      <w:r w:rsidR="007E50B9" w:rsidRPr="00881BC8">
        <w:rPr>
          <w:noProof/>
          <w:lang w:val="en-GB"/>
        </w:rPr>
        <w:t>,</w:t>
      </w:r>
      <w:r w:rsidR="00D402AD" w:rsidRPr="00881BC8">
        <w:rPr>
          <w:noProof/>
          <w:lang w:val="en-GB"/>
        </w:rPr>
        <w:t xml:space="preserve"> unique in its kind</w:t>
      </w:r>
      <w:r w:rsidR="00A961E0" w:rsidRPr="00881BC8">
        <w:rPr>
          <w:noProof/>
          <w:lang w:val="en-GB"/>
        </w:rPr>
        <w:t>, will</w:t>
      </w:r>
      <w:r w:rsidR="00953880" w:rsidRPr="00881BC8">
        <w:rPr>
          <w:noProof/>
          <w:lang w:val="en-GB"/>
        </w:rPr>
        <w:t xml:space="preserve"> </w:t>
      </w:r>
      <w:r w:rsidR="00D402AD" w:rsidRPr="00881BC8">
        <w:rPr>
          <w:noProof/>
          <w:lang w:val="en-GB"/>
        </w:rPr>
        <w:t>benefit economic</w:t>
      </w:r>
      <w:r w:rsidR="00934305" w:rsidRPr="00881BC8">
        <w:rPr>
          <w:noProof/>
          <w:lang w:val="en-GB"/>
        </w:rPr>
        <w:t xml:space="preserve"> operators, public authorities, businesses organizations</w:t>
      </w:r>
      <w:r w:rsidR="00953880" w:rsidRPr="00881BC8">
        <w:rPr>
          <w:noProof/>
          <w:lang w:val="en-GB"/>
        </w:rPr>
        <w:t xml:space="preserve">, academia, </w:t>
      </w:r>
      <w:r w:rsidR="007E50B9" w:rsidRPr="00881BC8">
        <w:rPr>
          <w:noProof/>
          <w:lang w:val="en-GB"/>
        </w:rPr>
        <w:t xml:space="preserve">as well as </w:t>
      </w:r>
      <w:r w:rsidR="00953880" w:rsidRPr="00881BC8">
        <w:rPr>
          <w:noProof/>
          <w:lang w:val="en-GB"/>
        </w:rPr>
        <w:t xml:space="preserve">the </w:t>
      </w:r>
      <w:r w:rsidR="00D402AD" w:rsidRPr="00881BC8">
        <w:rPr>
          <w:noProof/>
          <w:lang w:val="en-GB"/>
        </w:rPr>
        <w:t>Commission services (</w:t>
      </w:r>
      <w:r w:rsidRPr="00881BC8">
        <w:rPr>
          <w:noProof/>
          <w:lang w:val="en-GB"/>
        </w:rPr>
        <w:t>e.g. Semester Country reports, infringement procedures</w:t>
      </w:r>
      <w:r w:rsidR="00D402AD" w:rsidRPr="00881BC8">
        <w:rPr>
          <w:noProof/>
          <w:lang w:val="en-GB"/>
        </w:rPr>
        <w:t>, monitoring the implementation of the LPD</w:t>
      </w:r>
      <w:r w:rsidR="00953880" w:rsidRPr="00881BC8">
        <w:rPr>
          <w:noProof/>
          <w:lang w:val="en-GB"/>
        </w:rPr>
        <w:t xml:space="preserve">). </w:t>
      </w:r>
    </w:p>
    <w:p w14:paraId="5F106201" w14:textId="318DD74C" w:rsidR="008F5371" w:rsidRPr="00881BC8" w:rsidRDefault="008F5371" w:rsidP="004835F8">
      <w:pPr>
        <w:pStyle w:val="AnnexLevel1"/>
        <w:rPr>
          <w:noProof/>
          <w:lang w:val="en-GB"/>
        </w:rPr>
      </w:pPr>
      <w:r w:rsidRPr="00881BC8">
        <w:rPr>
          <w:noProof/>
          <w:lang w:val="en-GB"/>
        </w:rPr>
        <w:t xml:space="preserve">Functions of the EU </w:t>
      </w:r>
      <w:r w:rsidR="00880F4B" w:rsidRPr="00881BC8">
        <w:rPr>
          <w:noProof/>
          <w:lang w:val="en-GB"/>
        </w:rPr>
        <w:t>p</w:t>
      </w:r>
      <w:r w:rsidRPr="00881BC8">
        <w:rPr>
          <w:noProof/>
          <w:lang w:val="en-GB"/>
        </w:rPr>
        <w:t xml:space="preserve">ayment </w:t>
      </w:r>
      <w:r w:rsidR="00880F4B" w:rsidRPr="00881BC8">
        <w:rPr>
          <w:noProof/>
          <w:lang w:val="en-GB"/>
        </w:rPr>
        <w:t>o</w:t>
      </w:r>
      <w:r w:rsidRPr="00881BC8">
        <w:rPr>
          <w:noProof/>
          <w:lang w:val="en-GB"/>
        </w:rPr>
        <w:t xml:space="preserve">bservatory </w:t>
      </w:r>
    </w:p>
    <w:p w14:paraId="128C9A5B" w14:textId="6AE2576F" w:rsidR="008F5371" w:rsidRPr="00881BC8" w:rsidRDefault="00A961E0" w:rsidP="004835F8">
      <w:pPr>
        <w:pStyle w:val="NormalPara"/>
        <w:rPr>
          <w:noProof/>
          <w:lang w:val="en-GB"/>
        </w:rPr>
      </w:pPr>
      <w:r w:rsidRPr="00881BC8">
        <w:rPr>
          <w:noProof/>
          <w:lang w:val="en-GB"/>
        </w:rPr>
        <w:t xml:space="preserve">The EU Payment Observatory performs three key functions: </w:t>
      </w:r>
    </w:p>
    <w:p w14:paraId="216AD77C" w14:textId="0487B738" w:rsidR="008F5371" w:rsidRPr="00881BC8" w:rsidRDefault="008F5371" w:rsidP="004835F8">
      <w:pPr>
        <w:pStyle w:val="NormalPara"/>
        <w:rPr>
          <w:noProof/>
          <w:lang w:val="en-GB"/>
        </w:rPr>
      </w:pPr>
      <w:r w:rsidRPr="00881BC8">
        <w:rPr>
          <w:b/>
          <w:noProof/>
          <w:lang w:val="en-GB"/>
        </w:rPr>
        <w:t>Function 1: Data Collection and Validation</w:t>
      </w:r>
      <w:r w:rsidRPr="00881BC8">
        <w:rPr>
          <w:noProof/>
          <w:lang w:val="en-GB"/>
        </w:rPr>
        <w:t>. This function entails collecting, validating and consolidating data on payment performance from various existing sources.</w:t>
      </w:r>
      <w:r w:rsidR="0091653A" w:rsidRPr="00881BC8">
        <w:rPr>
          <w:noProof/>
          <w:lang w:val="en-GB"/>
        </w:rPr>
        <w:t xml:space="preserve"> </w:t>
      </w:r>
      <w:r w:rsidRPr="00881BC8">
        <w:rPr>
          <w:noProof/>
          <w:lang w:val="en-GB"/>
        </w:rPr>
        <w:t xml:space="preserve">This function will facilitate monitoring of trends and developments concerning payments </w:t>
      </w:r>
      <w:r w:rsidR="00CE4BA0" w:rsidRPr="00881BC8">
        <w:rPr>
          <w:noProof/>
          <w:lang w:val="en-GB"/>
        </w:rPr>
        <w:t xml:space="preserve">in commercial transactions B2B and G2B. </w:t>
      </w:r>
      <w:r w:rsidRPr="00881BC8">
        <w:rPr>
          <w:noProof/>
          <w:lang w:val="en-GB"/>
        </w:rPr>
        <w:t xml:space="preserve">Data to be collected, monitored and updated regularly include indicators such as average payment period, average payment delay, payment of interests and compensations, drivers of late payment, unfair payment practices or clauses, recourse to court proceedings or </w:t>
      </w:r>
      <w:r w:rsidR="00760DCD" w:rsidRPr="00881BC8">
        <w:rPr>
          <w:noProof/>
          <w:lang w:val="en-GB"/>
        </w:rPr>
        <w:t>a</w:t>
      </w:r>
      <w:r w:rsidRPr="00881BC8">
        <w:rPr>
          <w:noProof/>
          <w:lang w:val="en-GB"/>
        </w:rPr>
        <w:t>lternative dispute resolution, the effects of economic shocks on payment discipline and impact on supply chains, etc… G</w:t>
      </w:r>
      <w:r w:rsidR="00CE4BA0" w:rsidRPr="00881BC8">
        <w:rPr>
          <w:noProof/>
          <w:lang w:val="en-GB"/>
        </w:rPr>
        <w:t>eographic coverage is EU 27+UK.</w:t>
      </w:r>
    </w:p>
    <w:p w14:paraId="3C05D7A2" w14:textId="01677B05" w:rsidR="008F5371" w:rsidRPr="00881BC8" w:rsidRDefault="008F5371" w:rsidP="004835F8">
      <w:pPr>
        <w:pStyle w:val="NormalPara"/>
        <w:rPr>
          <w:noProof/>
          <w:lang w:val="en-GB"/>
        </w:rPr>
      </w:pPr>
      <w:r w:rsidRPr="00881BC8">
        <w:rPr>
          <w:b/>
          <w:noProof/>
          <w:lang w:val="en-GB"/>
        </w:rPr>
        <w:t>Function 2: Repository</w:t>
      </w:r>
      <w:r w:rsidRPr="00881BC8">
        <w:rPr>
          <w:noProof/>
          <w:lang w:val="en-GB"/>
        </w:rPr>
        <w:t xml:space="preserve">. This function entails collecting and classifying documents and information on policy measures, both legal and voluntary, and any other relevant initiative, put in place by public authorities or business organisations or other entities to combat late payments in commercial transactions and, more generally, to promote a prompt payment culture in the business environment. </w:t>
      </w:r>
    </w:p>
    <w:p w14:paraId="472E3984" w14:textId="658C9883" w:rsidR="008F5371" w:rsidRPr="00881BC8" w:rsidRDefault="008F5371" w:rsidP="004835F8">
      <w:pPr>
        <w:pStyle w:val="NormalPara"/>
        <w:rPr>
          <w:noProof/>
          <w:lang w:val="en-GB"/>
        </w:rPr>
      </w:pPr>
      <w:r w:rsidRPr="00881BC8">
        <w:rPr>
          <w:b/>
          <w:noProof/>
          <w:lang w:val="en-GB"/>
        </w:rPr>
        <w:t>Function 3: Data Analysis and Dissemination</w:t>
      </w:r>
      <w:r w:rsidR="0091653A" w:rsidRPr="00881BC8">
        <w:rPr>
          <w:noProof/>
          <w:lang w:val="en-GB"/>
        </w:rPr>
        <w:t xml:space="preserve"> </w:t>
      </w:r>
      <w:r w:rsidRPr="00881BC8">
        <w:rPr>
          <w:noProof/>
          <w:lang w:val="en-GB"/>
        </w:rPr>
        <w:t xml:space="preserve">This function entails the analysis of data collected and validated under Function 1, the information collected under Function 2 and their dissemination through both the publication of analytical and thematic reports, newsletters, and the organization of events (Annual conference, webinars). For the data analysis, </w:t>
      </w:r>
      <w:r w:rsidR="00CE4BA0" w:rsidRPr="00881BC8">
        <w:rPr>
          <w:noProof/>
          <w:lang w:val="en-GB"/>
        </w:rPr>
        <w:t>the contract lays down strict r</w:t>
      </w:r>
      <w:r w:rsidRPr="00881BC8">
        <w:rPr>
          <w:noProof/>
          <w:lang w:val="en-GB"/>
        </w:rPr>
        <w:t xml:space="preserve">equirements to ensure data accuracy and reliability. In the Data Analysis function, the Contractor is required to </w:t>
      </w:r>
      <w:r w:rsidR="00CE4BA0" w:rsidRPr="00881BC8">
        <w:rPr>
          <w:noProof/>
          <w:lang w:val="en-GB"/>
        </w:rPr>
        <w:t xml:space="preserve">fill gaps, </w:t>
      </w:r>
      <w:r w:rsidRPr="00881BC8">
        <w:rPr>
          <w:noProof/>
          <w:lang w:val="en-GB"/>
        </w:rPr>
        <w:t>extrapolate and interpret the data, aggregate and disaggregate data, carry out economic analysis</w:t>
      </w:r>
      <w:r w:rsidR="00CE4BA0" w:rsidRPr="00881BC8">
        <w:rPr>
          <w:noProof/>
          <w:lang w:val="en-GB"/>
        </w:rPr>
        <w:t>, provide aggregated indexes</w:t>
      </w:r>
    </w:p>
    <w:p w14:paraId="77F4982D" w14:textId="3D7B5B3A" w:rsidR="008F5371" w:rsidRPr="00881BC8" w:rsidRDefault="00CE4BA0" w:rsidP="004835F8">
      <w:pPr>
        <w:pStyle w:val="AnnexLevel1"/>
        <w:rPr>
          <w:noProof/>
          <w:lang w:val="en-GB"/>
        </w:rPr>
      </w:pPr>
      <w:r w:rsidRPr="00881BC8">
        <w:rPr>
          <w:noProof/>
          <w:lang w:val="en-GB"/>
        </w:rPr>
        <w:t xml:space="preserve">Interacting with the EU Payment Observatory. The Website. </w:t>
      </w:r>
    </w:p>
    <w:p w14:paraId="06B79FBC" w14:textId="5DC3CA21" w:rsidR="008F5371" w:rsidRPr="00881BC8" w:rsidRDefault="007F3F62" w:rsidP="004835F8">
      <w:pPr>
        <w:pStyle w:val="NormalPara"/>
        <w:rPr>
          <w:noProof/>
          <w:lang w:val="en-GB"/>
        </w:rPr>
      </w:pPr>
      <w:r w:rsidRPr="00881BC8">
        <w:rPr>
          <w:noProof/>
          <w:lang w:val="en-GB"/>
        </w:rPr>
        <w:t xml:space="preserve">Access to and interaction with the Observatory takes place through a Website, hosted on Europa, that will go live around May-June 2023. The Website </w:t>
      </w:r>
      <w:r w:rsidR="008F5371" w:rsidRPr="00881BC8">
        <w:rPr>
          <w:noProof/>
          <w:lang w:val="en-GB"/>
        </w:rPr>
        <w:t xml:space="preserve">shall consist </w:t>
      </w:r>
      <w:r w:rsidRPr="00881BC8">
        <w:rPr>
          <w:noProof/>
          <w:lang w:val="en-GB"/>
        </w:rPr>
        <w:t xml:space="preserve">of </w:t>
      </w:r>
      <w:r w:rsidR="008F5371" w:rsidRPr="00881BC8">
        <w:rPr>
          <w:noProof/>
          <w:lang w:val="en-GB"/>
        </w:rPr>
        <w:t>different sections that reflect the 3 functions indicated above. With an appropriate interactive software (i.e., a ‘database management system’), it shall be possible to search the database in order to extract information on a specific theme There will be a library section providing access to studies and relevant legislation. This is linked to the Repository function of the Observatory. There will be a section on analysis (with access to the Annual Report and Thematic reports) and dissemination events (Annual conference, webinars, links to previous events, newsletters). This is linked to function 3 of the Observatory, i.e. data analysis and dissemination</w:t>
      </w:r>
      <w:r w:rsidR="0091653A" w:rsidRPr="00881BC8">
        <w:rPr>
          <w:noProof/>
          <w:lang w:val="en-GB"/>
        </w:rPr>
        <w:t xml:space="preserve"> </w:t>
      </w:r>
    </w:p>
    <w:p w14:paraId="026FCED0" w14:textId="564DD161" w:rsidR="008F5371" w:rsidRPr="00881BC8" w:rsidRDefault="008F5371" w:rsidP="004835F8">
      <w:pPr>
        <w:pStyle w:val="AnnexLevel1"/>
        <w:rPr>
          <w:noProof/>
          <w:lang w:val="en-GB"/>
        </w:rPr>
      </w:pPr>
      <w:r w:rsidRPr="00881BC8">
        <w:rPr>
          <w:noProof/>
          <w:lang w:val="en-GB"/>
        </w:rPr>
        <w:t>The Govern</w:t>
      </w:r>
      <w:r w:rsidR="007F3F62" w:rsidRPr="00881BC8">
        <w:rPr>
          <w:noProof/>
          <w:lang w:val="en-GB"/>
        </w:rPr>
        <w:t>ance an</w:t>
      </w:r>
      <w:r w:rsidRPr="00881BC8">
        <w:rPr>
          <w:noProof/>
          <w:lang w:val="en-GB"/>
        </w:rPr>
        <w:t>d management framework of the EU Payment Observatory</w:t>
      </w:r>
      <w:r w:rsidR="002E552C" w:rsidRPr="00881BC8">
        <w:rPr>
          <w:noProof/>
          <w:lang w:val="en-GB"/>
        </w:rPr>
        <w:t xml:space="preserve"> </w:t>
      </w:r>
    </w:p>
    <w:p w14:paraId="1E66A127" w14:textId="217870C7" w:rsidR="00984800" w:rsidRPr="00881BC8" w:rsidRDefault="008F5371" w:rsidP="004835F8">
      <w:pPr>
        <w:pStyle w:val="NormalPara"/>
        <w:rPr>
          <w:noProof/>
          <w:lang w:val="en-GB"/>
        </w:rPr>
      </w:pPr>
      <w:r w:rsidRPr="00881BC8">
        <w:rPr>
          <w:noProof/>
          <w:lang w:val="en-GB"/>
        </w:rPr>
        <w:t>The Commission (through EISMEA</w:t>
      </w:r>
      <w:r w:rsidR="007F3F62" w:rsidRPr="00881BC8">
        <w:rPr>
          <w:noProof/>
          <w:lang w:val="en-GB"/>
        </w:rPr>
        <w:t xml:space="preserve">, contracting authority) sets up and manages the </w:t>
      </w:r>
      <w:r w:rsidRPr="00881BC8">
        <w:rPr>
          <w:noProof/>
          <w:lang w:val="en-GB"/>
        </w:rPr>
        <w:t xml:space="preserve">Observatory, with the support of the </w:t>
      </w:r>
      <w:r w:rsidR="007F3F62" w:rsidRPr="00881BC8">
        <w:rPr>
          <w:noProof/>
          <w:lang w:val="en-GB"/>
        </w:rPr>
        <w:t>Contractor</w:t>
      </w:r>
      <w:r w:rsidR="00984800" w:rsidRPr="00881BC8">
        <w:rPr>
          <w:noProof/>
          <w:lang w:val="en-GB"/>
        </w:rPr>
        <w:t xml:space="preserve">, </w:t>
      </w:r>
      <w:r w:rsidR="007F3F62" w:rsidRPr="00881BC8">
        <w:rPr>
          <w:noProof/>
          <w:lang w:val="en-GB"/>
        </w:rPr>
        <w:t>approves the Annual work Plan of the Observatory</w:t>
      </w:r>
      <w:r w:rsidR="00984800" w:rsidRPr="00881BC8">
        <w:rPr>
          <w:noProof/>
          <w:lang w:val="en-GB"/>
        </w:rPr>
        <w:t xml:space="preserve">, sets up links with other bodies (SME envoys, LPD Expert Group, etc), chairs the </w:t>
      </w:r>
      <w:r w:rsidR="00303DFA" w:rsidRPr="00881BC8">
        <w:rPr>
          <w:noProof/>
          <w:lang w:val="en-GB"/>
        </w:rPr>
        <w:t>‘</w:t>
      </w:r>
      <w:r w:rsidR="00984800" w:rsidRPr="00881BC8">
        <w:rPr>
          <w:noProof/>
          <w:lang w:val="en-GB"/>
        </w:rPr>
        <w:t xml:space="preserve">Stakeholder </w:t>
      </w:r>
      <w:r w:rsidR="00725069" w:rsidRPr="00881BC8">
        <w:rPr>
          <w:noProof/>
          <w:lang w:val="en-GB"/>
        </w:rPr>
        <w:t>Forum</w:t>
      </w:r>
      <w:r w:rsidR="00303DFA" w:rsidRPr="00881BC8">
        <w:rPr>
          <w:noProof/>
          <w:lang w:val="en-GB"/>
        </w:rPr>
        <w:t>’</w:t>
      </w:r>
      <w:r w:rsidR="006526EF" w:rsidRPr="00881BC8">
        <w:rPr>
          <w:noProof/>
          <w:lang w:val="en-GB"/>
        </w:rPr>
        <w:t>.</w:t>
      </w:r>
    </w:p>
    <w:p w14:paraId="0BCE1F4E" w14:textId="23B62D15" w:rsidR="008F5371" w:rsidRPr="00881BC8" w:rsidRDefault="0074300C" w:rsidP="004835F8">
      <w:pPr>
        <w:pStyle w:val="NormalPara"/>
        <w:rPr>
          <w:noProof/>
          <w:lang w:val="en-GB"/>
        </w:rPr>
      </w:pPr>
      <w:r w:rsidRPr="00881BC8">
        <w:rPr>
          <w:noProof/>
          <w:lang w:val="en-GB"/>
        </w:rPr>
        <w:t xml:space="preserve">The Stakeholders’ Forum is the </w:t>
      </w:r>
      <w:r w:rsidR="00303DFA" w:rsidRPr="00881BC8">
        <w:rPr>
          <w:noProof/>
          <w:lang w:val="en-GB"/>
        </w:rPr>
        <w:t>‘</w:t>
      </w:r>
      <w:r w:rsidRPr="00881BC8">
        <w:rPr>
          <w:noProof/>
          <w:lang w:val="en-GB"/>
        </w:rPr>
        <w:t>tool</w:t>
      </w:r>
      <w:r w:rsidR="00303DFA" w:rsidRPr="00881BC8">
        <w:rPr>
          <w:noProof/>
          <w:lang w:val="en-GB"/>
        </w:rPr>
        <w:t>’</w:t>
      </w:r>
      <w:r w:rsidRPr="00881BC8">
        <w:rPr>
          <w:noProof/>
          <w:lang w:val="en-GB"/>
        </w:rPr>
        <w:t xml:space="preserve"> channelling stakeholder participation and active contribution to the EU Observatory. </w:t>
      </w:r>
      <w:r w:rsidR="008F5371" w:rsidRPr="00881BC8">
        <w:rPr>
          <w:noProof/>
          <w:lang w:val="en-GB"/>
        </w:rPr>
        <w:t xml:space="preserve">This Forum plays at the same time an advisory and operational support role. </w:t>
      </w:r>
      <w:r w:rsidRPr="00881BC8">
        <w:rPr>
          <w:noProof/>
          <w:lang w:val="en-GB"/>
        </w:rPr>
        <w:t>It is composed by represen</w:t>
      </w:r>
      <w:r w:rsidR="00832F57" w:rsidRPr="00881BC8">
        <w:rPr>
          <w:noProof/>
          <w:lang w:val="en-GB"/>
        </w:rPr>
        <w:t xml:space="preserve">tatives </w:t>
      </w:r>
      <w:r w:rsidRPr="00881BC8">
        <w:rPr>
          <w:noProof/>
          <w:lang w:val="en-GB"/>
        </w:rPr>
        <w:t xml:space="preserve">of the </w:t>
      </w:r>
      <w:r w:rsidR="00303DFA" w:rsidRPr="00881BC8">
        <w:rPr>
          <w:noProof/>
          <w:lang w:val="en-GB"/>
        </w:rPr>
        <w:t>‘</w:t>
      </w:r>
      <w:r w:rsidRPr="00881BC8">
        <w:rPr>
          <w:noProof/>
          <w:lang w:val="en-GB"/>
        </w:rPr>
        <w:t>data community</w:t>
      </w:r>
      <w:r w:rsidR="00303DFA" w:rsidRPr="00881BC8">
        <w:rPr>
          <w:noProof/>
          <w:lang w:val="en-GB"/>
        </w:rPr>
        <w:t>’</w:t>
      </w:r>
      <w:r w:rsidRPr="00881BC8">
        <w:rPr>
          <w:noProof/>
          <w:lang w:val="en-GB"/>
        </w:rPr>
        <w:t xml:space="preserve"> referred to in Section 1 </w:t>
      </w:r>
      <w:r w:rsidR="006526EF" w:rsidRPr="00881BC8">
        <w:rPr>
          <w:noProof/>
          <w:lang w:val="en-GB"/>
        </w:rPr>
        <w:t xml:space="preserve">of this annex </w:t>
      </w:r>
      <w:r w:rsidR="00832F57" w:rsidRPr="00881BC8">
        <w:rPr>
          <w:noProof/>
          <w:lang w:val="en-GB"/>
        </w:rPr>
        <w:t xml:space="preserve">and provides </w:t>
      </w:r>
      <w:r w:rsidR="008F5371" w:rsidRPr="00881BC8">
        <w:rPr>
          <w:noProof/>
          <w:lang w:val="en-GB"/>
        </w:rPr>
        <w:t>proposals for the Annual Work Plan drafted by the Contractor and prior to its approval by the Commission</w:t>
      </w:r>
      <w:r w:rsidR="00832F57" w:rsidRPr="00881BC8">
        <w:rPr>
          <w:noProof/>
          <w:lang w:val="en-GB"/>
        </w:rPr>
        <w:t>, p</w:t>
      </w:r>
      <w:r w:rsidR="008F5371" w:rsidRPr="00881BC8">
        <w:rPr>
          <w:noProof/>
          <w:lang w:val="en-GB"/>
        </w:rPr>
        <w:t>rovide</w:t>
      </w:r>
      <w:r w:rsidR="00832F57" w:rsidRPr="00881BC8">
        <w:rPr>
          <w:noProof/>
          <w:lang w:val="en-GB"/>
        </w:rPr>
        <w:t>s</w:t>
      </w:r>
      <w:r w:rsidR="008F5371" w:rsidRPr="00881BC8">
        <w:rPr>
          <w:noProof/>
          <w:lang w:val="en-GB"/>
        </w:rPr>
        <w:t xml:space="preserve"> timely inputs into the Contractor’s operational activities, such as informing about new policy initiatives, changes of methodology, identificatio</w:t>
      </w:r>
      <w:r w:rsidR="00832F57" w:rsidRPr="00881BC8">
        <w:rPr>
          <w:noProof/>
          <w:lang w:val="en-GB"/>
        </w:rPr>
        <w:t>n of new indicators, c</w:t>
      </w:r>
      <w:r w:rsidR="008F5371" w:rsidRPr="00881BC8">
        <w:rPr>
          <w:noProof/>
          <w:lang w:val="en-GB"/>
        </w:rPr>
        <w:t>ontribute</w:t>
      </w:r>
      <w:r w:rsidR="00832F57" w:rsidRPr="00881BC8">
        <w:rPr>
          <w:noProof/>
          <w:lang w:val="en-GB"/>
        </w:rPr>
        <w:t>s</w:t>
      </w:r>
      <w:r w:rsidR="008F5371" w:rsidRPr="00881BC8">
        <w:rPr>
          <w:noProof/>
          <w:lang w:val="en-GB"/>
        </w:rPr>
        <w:t xml:space="preserve"> to dissemination activities, such as the participation and/or organisation of </w:t>
      </w:r>
      <w:r w:rsidR="00CF5BDC" w:rsidRPr="00881BC8">
        <w:rPr>
          <w:noProof/>
          <w:lang w:val="en-GB"/>
        </w:rPr>
        <w:t>w</w:t>
      </w:r>
      <w:r w:rsidR="008F5371" w:rsidRPr="00881BC8">
        <w:rPr>
          <w:noProof/>
          <w:lang w:val="en-GB"/>
        </w:rPr>
        <w:t>ebinars</w:t>
      </w:r>
      <w:r w:rsidR="006526EF" w:rsidRPr="00881BC8">
        <w:rPr>
          <w:noProof/>
          <w:lang w:val="en-GB"/>
        </w:rPr>
        <w:t>.</w:t>
      </w:r>
    </w:p>
    <w:p w14:paraId="7D939EF1" w14:textId="01668B39" w:rsidR="008F5371" w:rsidRPr="00881BC8" w:rsidRDefault="00832F57" w:rsidP="004835F8">
      <w:pPr>
        <w:pStyle w:val="NormalPara"/>
        <w:rPr>
          <w:noProof/>
          <w:lang w:val="en-GB"/>
        </w:rPr>
      </w:pPr>
      <w:r w:rsidRPr="00881BC8">
        <w:rPr>
          <w:noProof/>
          <w:lang w:val="en-GB"/>
        </w:rPr>
        <w:t>The composition of the Forum (</w:t>
      </w:r>
      <w:r w:rsidR="00CF5BDC" w:rsidRPr="00881BC8">
        <w:rPr>
          <w:noProof/>
          <w:lang w:val="en-GB"/>
        </w:rPr>
        <w:t xml:space="preserve">currently </w:t>
      </w:r>
      <w:r w:rsidR="004C75BB" w:rsidRPr="00881BC8">
        <w:rPr>
          <w:noProof/>
          <w:lang w:val="en-GB"/>
        </w:rPr>
        <w:t xml:space="preserve">27 </w:t>
      </w:r>
      <w:r w:rsidR="00CF5BDC" w:rsidRPr="00881BC8">
        <w:rPr>
          <w:noProof/>
          <w:lang w:val="en-GB"/>
        </w:rPr>
        <w:t>members</w:t>
      </w:r>
      <w:r w:rsidRPr="00881BC8">
        <w:rPr>
          <w:noProof/>
          <w:lang w:val="en-GB"/>
        </w:rPr>
        <w:t xml:space="preserve">) includes representatives from the following categories: </w:t>
      </w:r>
    </w:p>
    <w:p w14:paraId="3B38A7BE" w14:textId="77777777" w:rsidR="008F5371" w:rsidRPr="00881BC8" w:rsidRDefault="008F5371" w:rsidP="004835F8">
      <w:pPr>
        <w:pStyle w:val="ListParagraph"/>
        <w:numPr>
          <w:ilvl w:val="0"/>
          <w:numId w:val="38"/>
        </w:numPr>
        <w:rPr>
          <w:noProof/>
        </w:rPr>
      </w:pPr>
      <w:r w:rsidRPr="00881BC8">
        <w:rPr>
          <w:noProof/>
        </w:rPr>
        <w:t>Member States’ authorities responsible for collecting data on payment performance of their public authorities and any other relevant data on payment behaviour in commercial transactions.</w:t>
      </w:r>
    </w:p>
    <w:p w14:paraId="0787F83F" w14:textId="30AF683D" w:rsidR="008F5371" w:rsidRPr="00881BC8" w:rsidRDefault="00A27453" w:rsidP="004835F8">
      <w:pPr>
        <w:pStyle w:val="ListParagraph"/>
        <w:numPr>
          <w:ilvl w:val="0"/>
          <w:numId w:val="38"/>
        </w:numPr>
        <w:rPr>
          <w:noProof/>
        </w:rPr>
      </w:pPr>
      <w:r w:rsidRPr="00881BC8">
        <w:rPr>
          <w:noProof/>
        </w:rPr>
        <w:t>E</w:t>
      </w:r>
      <w:r w:rsidR="008F5371" w:rsidRPr="00881BC8">
        <w:rPr>
          <w:noProof/>
        </w:rPr>
        <w:t xml:space="preserve">ntities </w:t>
      </w:r>
      <w:r w:rsidR="00832F57" w:rsidRPr="00881BC8">
        <w:rPr>
          <w:noProof/>
        </w:rPr>
        <w:t xml:space="preserve">collecting </w:t>
      </w:r>
      <w:r w:rsidR="00CE0318" w:rsidRPr="00881BC8">
        <w:rPr>
          <w:noProof/>
        </w:rPr>
        <w:t>data and</w:t>
      </w:r>
      <w:r w:rsidR="00832F57" w:rsidRPr="00881BC8">
        <w:rPr>
          <w:noProof/>
        </w:rPr>
        <w:t xml:space="preserve"> producing reports or </w:t>
      </w:r>
      <w:r w:rsidR="008F5371" w:rsidRPr="00881BC8">
        <w:rPr>
          <w:noProof/>
        </w:rPr>
        <w:t>other publications on late payments/payment behaviour. These include commercial entities active in credit information, credit management and debt collection markets (e.g. Dun&amp;Bradstreet, Intrum, Atradius, etc.) as well as their EU-level professional groupings (e.g. FECMA, FEBIS, CRIBIS, INFORMA…);</w:t>
      </w:r>
    </w:p>
    <w:p w14:paraId="064B42A9" w14:textId="3B241D9A" w:rsidR="008F5371" w:rsidRPr="00881BC8" w:rsidRDefault="008F5371" w:rsidP="004835F8">
      <w:pPr>
        <w:pStyle w:val="ListParagraph"/>
        <w:numPr>
          <w:ilvl w:val="0"/>
          <w:numId w:val="38"/>
        </w:numPr>
        <w:rPr>
          <w:noProof/>
        </w:rPr>
      </w:pPr>
      <w:r w:rsidRPr="00881BC8">
        <w:rPr>
          <w:noProof/>
        </w:rPr>
        <w:t>EU-level business associations representing the interests of various types of enterprises/sectors as well as professional groupings involved in themes related to payment behaviour (e.g. SME</w:t>
      </w:r>
      <w:r w:rsidR="00CE0318" w:rsidRPr="00881BC8">
        <w:rPr>
          <w:noProof/>
        </w:rPr>
        <w:t>u</w:t>
      </w:r>
      <w:r w:rsidRPr="00881BC8">
        <w:rPr>
          <w:noProof/>
        </w:rPr>
        <w:t xml:space="preserve">nited, Business Europe, Eurocommerce, Eurochambres etc…). </w:t>
      </w:r>
    </w:p>
    <w:p w14:paraId="10490299" w14:textId="543EBB6F" w:rsidR="008F5371" w:rsidRPr="00881BC8" w:rsidRDefault="008F5371" w:rsidP="004835F8">
      <w:pPr>
        <w:pStyle w:val="ListParagraph"/>
        <w:numPr>
          <w:ilvl w:val="0"/>
          <w:numId w:val="38"/>
        </w:numPr>
        <w:rPr>
          <w:noProof/>
        </w:rPr>
      </w:pPr>
      <w:r w:rsidRPr="00881BC8">
        <w:rPr>
          <w:noProof/>
        </w:rPr>
        <w:t>Other entities with confirmed experience in data collection and analysis of the late payment phenomenon both in the EU (e</w:t>
      </w:r>
      <w:r w:rsidR="00CE0318" w:rsidRPr="00881BC8">
        <w:rPr>
          <w:noProof/>
        </w:rPr>
        <w:t>.</w:t>
      </w:r>
      <w:r w:rsidRPr="00881BC8">
        <w:rPr>
          <w:noProof/>
        </w:rPr>
        <w:t>g</w:t>
      </w:r>
      <w:r w:rsidR="00CE0318" w:rsidRPr="00881BC8">
        <w:rPr>
          <w:noProof/>
        </w:rPr>
        <w:t>.</w:t>
      </w:r>
      <w:r w:rsidRPr="00881BC8">
        <w:rPr>
          <w:noProof/>
        </w:rPr>
        <w:t xml:space="preserve"> academia, civil society entities)</w:t>
      </w:r>
      <w:r w:rsidR="00A27453" w:rsidRPr="00881BC8">
        <w:rPr>
          <w:noProof/>
        </w:rPr>
        <w:t>.</w:t>
      </w:r>
    </w:p>
    <w:p w14:paraId="777793D8" w14:textId="308769FD" w:rsidR="00832F57" w:rsidRPr="00881BC8" w:rsidRDefault="00832F57" w:rsidP="00832F57">
      <w:pPr>
        <w:pStyle w:val="ListParagraph"/>
        <w:spacing w:after="0"/>
        <w:ind w:left="426"/>
        <w:rPr>
          <w:noProof/>
          <w:sz w:val="22"/>
          <w:szCs w:val="22"/>
        </w:rPr>
      </w:pPr>
    </w:p>
    <w:p w14:paraId="28A5B641" w14:textId="77777777" w:rsidR="00CF5BDC" w:rsidRPr="00881BC8" w:rsidRDefault="00CF5BDC">
      <w:pPr>
        <w:spacing w:after="200" w:line="276" w:lineRule="auto"/>
        <w:jc w:val="left"/>
        <w:rPr>
          <w:noProof/>
        </w:rPr>
      </w:pPr>
      <w:r w:rsidRPr="00881BC8">
        <w:rPr>
          <w:noProof/>
        </w:rPr>
        <w:br w:type="page"/>
      </w:r>
    </w:p>
    <w:p w14:paraId="51A56B09" w14:textId="7D2AB12B" w:rsidR="00440140" w:rsidRPr="00881BC8" w:rsidRDefault="00440140" w:rsidP="00CF2B67">
      <w:pPr>
        <w:pStyle w:val="AnnexTitle"/>
        <w:rPr>
          <w:noProof/>
        </w:rPr>
      </w:pPr>
      <w:bookmarkStart w:id="1052" w:name="Annex08"/>
      <w:bookmarkStart w:id="1053" w:name="_Toc129899928"/>
      <w:bookmarkStart w:id="1054" w:name="_Toc135237457"/>
      <w:r w:rsidRPr="00881BC8">
        <w:rPr>
          <w:noProof/>
        </w:rPr>
        <w:t>A</w:t>
      </w:r>
      <w:r w:rsidR="00B444A8" w:rsidRPr="00881BC8">
        <w:rPr>
          <w:noProof/>
        </w:rPr>
        <w:t>nnex</w:t>
      </w:r>
      <w:r w:rsidRPr="00881BC8">
        <w:rPr>
          <w:noProof/>
        </w:rPr>
        <w:t xml:space="preserve"> 8</w:t>
      </w:r>
      <w:bookmarkEnd w:id="1052"/>
      <w:r w:rsidRPr="00881BC8">
        <w:rPr>
          <w:noProof/>
        </w:rPr>
        <w:t xml:space="preserve">: Mediation in </w:t>
      </w:r>
      <w:r w:rsidR="000A7EFC" w:rsidRPr="00881BC8">
        <w:rPr>
          <w:noProof/>
        </w:rPr>
        <w:t>p</w:t>
      </w:r>
      <w:r w:rsidRPr="00881BC8">
        <w:rPr>
          <w:noProof/>
        </w:rPr>
        <w:t xml:space="preserve">ayment </w:t>
      </w:r>
      <w:r w:rsidR="000A7EFC" w:rsidRPr="00881BC8">
        <w:rPr>
          <w:noProof/>
        </w:rPr>
        <w:t>d</w:t>
      </w:r>
      <w:r w:rsidRPr="00881BC8">
        <w:rPr>
          <w:noProof/>
        </w:rPr>
        <w:t>isputes</w:t>
      </w:r>
      <w:bookmarkEnd w:id="1053"/>
      <w:bookmarkEnd w:id="1054"/>
    </w:p>
    <w:p w14:paraId="04B62326" w14:textId="77777777" w:rsidR="00AF3009" w:rsidRPr="00881BC8" w:rsidRDefault="00AF3009" w:rsidP="004835F8">
      <w:pPr>
        <w:pStyle w:val="NormalPara"/>
        <w:rPr>
          <w:noProof/>
          <w:lang w:val="en-GB" w:eastAsia="en-GB"/>
        </w:rPr>
      </w:pPr>
      <w:r w:rsidRPr="00881BC8">
        <w:rPr>
          <w:noProof/>
          <w:lang w:val="en-GB" w:eastAsia="en-GB"/>
        </w:rPr>
        <w:t>Judicial redress is the main method used to address late payments in business relationships. However, judicial procedures are costly, lengthy, and often damage the business relationship between the parties.</w:t>
      </w:r>
    </w:p>
    <w:p w14:paraId="5A6F2BB7" w14:textId="424999DE" w:rsidR="00AF3009" w:rsidRPr="00881BC8" w:rsidRDefault="00AF3009" w:rsidP="004835F8">
      <w:pPr>
        <w:pStyle w:val="NormalPara"/>
        <w:rPr>
          <w:noProof/>
          <w:lang w:val="en-GB" w:eastAsia="en-GB"/>
        </w:rPr>
      </w:pPr>
      <w:r w:rsidRPr="00881BC8">
        <w:rPr>
          <w:noProof/>
          <w:lang w:val="en-GB" w:eastAsia="en-GB"/>
        </w:rPr>
        <w:t>Alternative Dispute Resolution (</w:t>
      </w:r>
      <w:r w:rsidR="00303DFA" w:rsidRPr="00881BC8">
        <w:rPr>
          <w:noProof/>
          <w:lang w:val="en-GB" w:eastAsia="en-GB"/>
        </w:rPr>
        <w:t>‘</w:t>
      </w:r>
      <w:r w:rsidRPr="00881BC8">
        <w:rPr>
          <w:noProof/>
          <w:lang w:val="en-GB" w:eastAsia="en-GB"/>
        </w:rPr>
        <w:t>hereinafter ADR</w:t>
      </w:r>
      <w:r w:rsidR="00303DFA" w:rsidRPr="00881BC8">
        <w:rPr>
          <w:noProof/>
          <w:lang w:val="en-GB" w:eastAsia="en-GB"/>
        </w:rPr>
        <w:t>’</w:t>
      </w:r>
      <w:r w:rsidRPr="00881BC8">
        <w:rPr>
          <w:noProof/>
          <w:lang w:val="en-GB" w:eastAsia="en-GB"/>
        </w:rPr>
        <w:t xml:space="preserve">)/ mediation constitutes a middle ground between the maintenance of cordial commercial relationships and the creation of a damaging legal conflict before civil and commercial jurisdictions. Therefore, ADR/Mediation can constitute a real option and alternative to judicial procedures. Its expected benefits are to ensure there is redress when late payments occur between businesses and that such procedures are fast, efficient, cost-effective and that the business relationship between the parties is not damaged. </w:t>
      </w:r>
    </w:p>
    <w:p w14:paraId="75ECED2F" w14:textId="7341AAA2" w:rsidR="00AF3009" w:rsidRPr="00881BC8" w:rsidRDefault="00AF3009" w:rsidP="004835F8">
      <w:pPr>
        <w:pStyle w:val="NormalPara"/>
        <w:rPr>
          <w:rFonts w:eastAsia="Arial Unicode MS"/>
          <w:noProof/>
          <w:lang w:val="en-GB"/>
        </w:rPr>
      </w:pPr>
      <w:r w:rsidRPr="00881BC8">
        <w:rPr>
          <w:rFonts w:eastAsia="Arial Unicode MS"/>
          <w:noProof/>
          <w:lang w:val="en-GB"/>
        </w:rPr>
        <w:t>Recital 34 of Directive 2011/7/EU on combating late payments in commercial transactions</w:t>
      </w:r>
      <w:r w:rsidR="00B6352C" w:rsidRPr="00881BC8">
        <w:rPr>
          <w:rStyle w:val="FootnoteReference"/>
          <w:rFonts w:eastAsia="Arial Unicode MS"/>
          <w:noProof/>
          <w:lang w:val="en-GB"/>
        </w:rPr>
        <w:footnoteReference w:id="189"/>
      </w:r>
      <w:r w:rsidRPr="00881BC8">
        <w:rPr>
          <w:rFonts w:eastAsia="Arial Unicode MS"/>
          <w:noProof/>
          <w:lang w:val="en-GB"/>
        </w:rPr>
        <w:t xml:space="preserve"> (the </w:t>
      </w:r>
      <w:r w:rsidR="00303DFA" w:rsidRPr="00881BC8">
        <w:rPr>
          <w:rFonts w:eastAsia="Arial Unicode MS"/>
          <w:noProof/>
          <w:lang w:val="en-GB"/>
        </w:rPr>
        <w:t>‘</w:t>
      </w:r>
      <w:r w:rsidRPr="00881BC8">
        <w:rPr>
          <w:rFonts w:eastAsia="Arial Unicode MS"/>
          <w:noProof/>
          <w:lang w:val="en-GB"/>
        </w:rPr>
        <w:t>Directive</w:t>
      </w:r>
      <w:r w:rsidR="00303DFA" w:rsidRPr="00881BC8">
        <w:rPr>
          <w:rFonts w:eastAsia="Arial Unicode MS"/>
          <w:noProof/>
          <w:lang w:val="en-GB"/>
        </w:rPr>
        <w:t>’</w:t>
      </w:r>
      <w:r w:rsidRPr="00881BC8">
        <w:rPr>
          <w:rFonts w:eastAsia="Arial Unicode MS"/>
          <w:noProof/>
          <w:lang w:val="en-GB"/>
        </w:rPr>
        <w:t xml:space="preserve">) stipulates that </w:t>
      </w:r>
      <w:r w:rsidR="00303DFA" w:rsidRPr="00881BC8">
        <w:rPr>
          <w:rFonts w:eastAsia="Arial Unicode MS"/>
          <w:noProof/>
          <w:lang w:val="en-GB"/>
        </w:rPr>
        <w:t>‘</w:t>
      </w:r>
      <w:r w:rsidRPr="00881BC8">
        <w:rPr>
          <w:rFonts w:eastAsia="Arial Unicode MS"/>
          <w:noProof/>
          <w:lang w:val="en-GB"/>
        </w:rPr>
        <w:t>in order to facilitate compliance with the provisions of this Directive</w:t>
      </w:r>
      <w:r w:rsidR="00303DFA" w:rsidRPr="00881BC8">
        <w:rPr>
          <w:rFonts w:eastAsia="Arial Unicode MS"/>
          <w:noProof/>
          <w:lang w:val="en-GB"/>
        </w:rPr>
        <w:t>’</w:t>
      </w:r>
      <w:r w:rsidRPr="00881BC8">
        <w:rPr>
          <w:rFonts w:eastAsia="Arial Unicode MS"/>
          <w:noProof/>
          <w:lang w:val="en-GB"/>
        </w:rPr>
        <w:t xml:space="preserve">, Member States should encourage recourse to mediation or other means of ADR, and explicitely quotes Directive 2008/52/EC on Mediation in Civil and Commercial matters (the </w:t>
      </w:r>
      <w:r w:rsidR="00303DFA" w:rsidRPr="00881BC8">
        <w:rPr>
          <w:rFonts w:eastAsia="Arial Unicode MS"/>
          <w:noProof/>
          <w:lang w:val="en-GB"/>
        </w:rPr>
        <w:t>‘</w:t>
      </w:r>
      <w:r w:rsidRPr="00881BC8">
        <w:rPr>
          <w:rFonts w:eastAsia="Arial Unicode MS"/>
          <w:noProof/>
          <w:lang w:val="en-GB"/>
        </w:rPr>
        <w:t>Mediation Directive</w:t>
      </w:r>
      <w:r w:rsidR="00303DFA" w:rsidRPr="00881BC8">
        <w:rPr>
          <w:rFonts w:eastAsia="Arial Unicode MS"/>
          <w:noProof/>
          <w:lang w:val="en-GB"/>
        </w:rPr>
        <w:t>’</w:t>
      </w:r>
      <w:r w:rsidRPr="00881BC8">
        <w:rPr>
          <w:rFonts w:eastAsia="Arial Unicode MS"/>
          <w:noProof/>
          <w:lang w:val="en-GB"/>
        </w:rPr>
        <w:t>)</w:t>
      </w:r>
      <w:r w:rsidR="007A5E86" w:rsidRPr="00881BC8">
        <w:rPr>
          <w:rStyle w:val="FootnoteReference"/>
          <w:rFonts w:eastAsia="Arial Unicode MS"/>
          <w:noProof/>
          <w:lang w:val="en-GB"/>
        </w:rPr>
        <w:footnoteReference w:id="190"/>
      </w:r>
      <w:r w:rsidRPr="00881BC8">
        <w:rPr>
          <w:rFonts w:eastAsia="Arial Unicode MS"/>
          <w:noProof/>
          <w:lang w:val="en-GB"/>
        </w:rPr>
        <w:t xml:space="preserve">. </w:t>
      </w:r>
    </w:p>
    <w:p w14:paraId="1D541EE2" w14:textId="50C0B47C" w:rsidR="00AF3009" w:rsidRPr="00881BC8" w:rsidRDefault="00AF3009" w:rsidP="004835F8">
      <w:pPr>
        <w:pStyle w:val="NormalPara"/>
        <w:rPr>
          <w:rFonts w:eastAsia="Arial Unicode MS"/>
          <w:noProof/>
          <w:lang w:val="en-GB"/>
        </w:rPr>
      </w:pPr>
      <w:r w:rsidRPr="00881BC8">
        <w:rPr>
          <w:rFonts w:eastAsia="Arial Unicode MS"/>
          <w:noProof/>
          <w:lang w:val="en-GB"/>
        </w:rPr>
        <w:t>In 2019, the European Parliament’s (</w:t>
      </w:r>
      <w:r w:rsidR="00303DFA" w:rsidRPr="00881BC8">
        <w:rPr>
          <w:rFonts w:eastAsia="Arial Unicode MS"/>
          <w:noProof/>
          <w:lang w:val="en-GB"/>
        </w:rPr>
        <w:t>‘</w:t>
      </w:r>
      <w:r w:rsidRPr="00881BC8">
        <w:rPr>
          <w:rFonts w:eastAsia="Arial Unicode MS"/>
          <w:noProof/>
          <w:lang w:val="en-GB"/>
        </w:rPr>
        <w:t>EP</w:t>
      </w:r>
      <w:r w:rsidR="00303DFA" w:rsidRPr="00881BC8">
        <w:rPr>
          <w:rFonts w:eastAsia="Arial Unicode MS"/>
          <w:noProof/>
          <w:lang w:val="en-GB"/>
        </w:rPr>
        <w:t>’</w:t>
      </w:r>
      <w:r w:rsidRPr="00881BC8">
        <w:rPr>
          <w:rFonts w:eastAsia="Arial Unicode MS"/>
          <w:noProof/>
          <w:lang w:val="en-GB"/>
        </w:rPr>
        <w:t>) Resolution</w:t>
      </w:r>
      <w:r w:rsidRPr="00881BC8">
        <w:rPr>
          <w:rFonts w:eastAsia="Arial Unicode MS"/>
          <w:noProof/>
          <w:vertAlign w:val="superscript"/>
          <w:lang w:val="en-GB"/>
        </w:rPr>
        <w:footnoteReference w:id="191"/>
      </w:r>
      <w:r w:rsidRPr="00881BC8">
        <w:rPr>
          <w:rFonts w:eastAsia="Arial Unicode MS"/>
          <w:noProof/>
          <w:lang w:val="en-GB"/>
        </w:rPr>
        <w:t xml:space="preserve"> on the implementation of the Directive calls on the Member States, with the support of</w:t>
      </w:r>
      <w:r w:rsidR="0091653A" w:rsidRPr="00881BC8">
        <w:rPr>
          <w:rFonts w:eastAsia="Arial Unicode MS"/>
          <w:noProof/>
          <w:lang w:val="en-GB"/>
        </w:rPr>
        <w:t xml:space="preserve"> </w:t>
      </w:r>
      <w:r w:rsidRPr="00881BC8">
        <w:rPr>
          <w:rFonts w:eastAsia="Arial Unicode MS"/>
          <w:noProof/>
          <w:lang w:val="en-GB"/>
        </w:rPr>
        <w:t>businesses’ associations, to set up national and/or</w:t>
      </w:r>
      <w:r w:rsidR="0091653A" w:rsidRPr="00881BC8">
        <w:rPr>
          <w:rFonts w:eastAsia="Arial Unicode MS"/>
          <w:noProof/>
          <w:lang w:val="en-GB"/>
        </w:rPr>
        <w:t xml:space="preserve"> </w:t>
      </w:r>
      <w:r w:rsidRPr="00881BC8">
        <w:rPr>
          <w:rFonts w:eastAsia="Arial Unicode MS"/>
          <w:noProof/>
          <w:lang w:val="en-GB"/>
        </w:rPr>
        <w:t xml:space="preserve">regional </w:t>
      </w:r>
      <w:r w:rsidR="00303DFA" w:rsidRPr="00881BC8">
        <w:rPr>
          <w:rFonts w:eastAsia="Arial Unicode MS"/>
          <w:noProof/>
          <w:lang w:val="en-GB"/>
        </w:rPr>
        <w:t>‘</w:t>
      </w:r>
      <w:r w:rsidRPr="00881BC8">
        <w:rPr>
          <w:rFonts w:eastAsia="Arial Unicode MS"/>
          <w:noProof/>
          <w:lang w:val="en-GB"/>
        </w:rPr>
        <w:t>free and confidential</w:t>
      </w:r>
      <w:r w:rsidR="00303DFA" w:rsidRPr="00881BC8">
        <w:rPr>
          <w:rFonts w:eastAsia="Arial Unicode MS"/>
          <w:noProof/>
          <w:lang w:val="en-GB"/>
        </w:rPr>
        <w:t>’</w:t>
      </w:r>
      <w:r w:rsidRPr="00881BC8">
        <w:rPr>
          <w:rFonts w:eastAsia="Arial Unicode MS"/>
          <w:noProof/>
          <w:lang w:val="en-GB"/>
        </w:rPr>
        <w:t xml:space="preserve"> mediation services </w:t>
      </w:r>
      <w:r w:rsidR="00303DFA" w:rsidRPr="00881BC8">
        <w:rPr>
          <w:rFonts w:eastAsia="Arial Unicode MS"/>
          <w:noProof/>
          <w:lang w:val="en-GB"/>
        </w:rPr>
        <w:t>‘</w:t>
      </w:r>
      <w:r w:rsidRPr="00881BC8">
        <w:rPr>
          <w:rFonts w:eastAsia="Arial Unicode MS"/>
          <w:noProof/>
          <w:lang w:val="en-GB"/>
        </w:rPr>
        <w:t xml:space="preserve">accessible to all companies, as an alternative to court proceedings, to resolve payment disputes and maintain business relations, but also to educate the companies about their rights and remedies against late payment. The EP Resolution also calls for the </w:t>
      </w:r>
      <w:r w:rsidR="00303DFA" w:rsidRPr="00881BC8">
        <w:rPr>
          <w:rFonts w:eastAsia="Arial Unicode MS"/>
          <w:noProof/>
          <w:lang w:val="en-GB"/>
        </w:rPr>
        <w:t>‘</w:t>
      </w:r>
      <w:r w:rsidRPr="00881BC8">
        <w:rPr>
          <w:rFonts w:eastAsia="Arial Unicode MS"/>
          <w:noProof/>
          <w:lang w:val="en-GB"/>
        </w:rPr>
        <w:t>public funding of</w:t>
      </w:r>
      <w:r w:rsidR="0091653A" w:rsidRPr="00881BC8">
        <w:rPr>
          <w:rFonts w:eastAsia="Arial Unicode MS"/>
          <w:noProof/>
          <w:lang w:val="en-GB"/>
        </w:rPr>
        <w:t xml:space="preserve"> </w:t>
      </w:r>
      <w:r w:rsidRPr="00881BC8">
        <w:rPr>
          <w:rFonts w:eastAsia="Arial Unicode MS"/>
          <w:noProof/>
          <w:lang w:val="en-GB"/>
        </w:rPr>
        <w:t>independent ombudsmen responsible for investigating late payment and non-payment disputes, assisting small businesses in resolving late payment and non-payment disputes, advising on action in the event of payment arrears and recommending solutions, particularly to SMEs</w:t>
      </w:r>
      <w:r w:rsidR="00303DFA" w:rsidRPr="00881BC8">
        <w:rPr>
          <w:rFonts w:eastAsia="Arial Unicode MS"/>
          <w:noProof/>
          <w:lang w:val="en-GB"/>
        </w:rPr>
        <w:t>’</w:t>
      </w:r>
      <w:r w:rsidRPr="00881BC8">
        <w:rPr>
          <w:rFonts w:eastAsia="Arial Unicode MS"/>
          <w:noProof/>
          <w:lang w:val="en-GB"/>
        </w:rPr>
        <w:t>. Finally , the EP Resolution calls on the Member States and on the Commission to ensure that SMEs have</w:t>
      </w:r>
      <w:r w:rsidR="0091653A" w:rsidRPr="00881BC8">
        <w:rPr>
          <w:rFonts w:eastAsia="Arial Unicode MS"/>
          <w:noProof/>
          <w:lang w:val="en-GB"/>
        </w:rPr>
        <w:t xml:space="preserve"> </w:t>
      </w:r>
      <w:r w:rsidR="00303DFA" w:rsidRPr="00881BC8">
        <w:rPr>
          <w:rFonts w:eastAsia="Arial Unicode MS"/>
          <w:noProof/>
          <w:lang w:val="en-GB"/>
        </w:rPr>
        <w:t>‘</w:t>
      </w:r>
      <w:r w:rsidRPr="00881BC8">
        <w:rPr>
          <w:rFonts w:eastAsia="Arial Unicode MS"/>
          <w:noProof/>
          <w:lang w:val="en-GB"/>
        </w:rPr>
        <w:t>effective access to justice in matters relating to the recovery of debts in cross-border transactions</w:t>
      </w:r>
      <w:r w:rsidR="00303DFA" w:rsidRPr="00881BC8">
        <w:rPr>
          <w:rFonts w:eastAsia="Arial Unicode MS"/>
          <w:noProof/>
          <w:lang w:val="en-GB"/>
        </w:rPr>
        <w:t>’</w:t>
      </w:r>
      <w:r w:rsidRPr="00881BC8">
        <w:rPr>
          <w:rFonts w:eastAsia="Arial Unicode MS"/>
          <w:noProof/>
          <w:lang w:val="en-GB"/>
        </w:rPr>
        <w:t>.</w:t>
      </w:r>
    </w:p>
    <w:p w14:paraId="3F3192DA" w14:textId="197FA0E1" w:rsidR="00AF3009" w:rsidRPr="00881BC8" w:rsidRDefault="00AF3009" w:rsidP="004835F8">
      <w:pPr>
        <w:pStyle w:val="NormalPara"/>
        <w:rPr>
          <w:noProof/>
          <w:lang w:val="en-GB" w:eastAsia="en-GB"/>
        </w:rPr>
      </w:pPr>
      <w:r w:rsidRPr="00881BC8">
        <w:rPr>
          <w:rFonts w:eastAsia="Arial Unicode MS"/>
          <w:noProof/>
          <w:lang w:val="en-GB"/>
        </w:rPr>
        <w:t xml:space="preserve">Mediation/ADR is already in place in some Member States and has proven to be efficient. For example, the French </w:t>
      </w:r>
      <w:r w:rsidR="00303DFA" w:rsidRPr="00881BC8">
        <w:rPr>
          <w:rFonts w:eastAsia="Arial Unicode MS"/>
          <w:noProof/>
          <w:lang w:val="en-GB"/>
        </w:rPr>
        <w:t>‘</w:t>
      </w:r>
      <w:r w:rsidRPr="00881BC8">
        <w:rPr>
          <w:rFonts w:eastAsia="Arial Unicode MS"/>
          <w:noProof/>
          <w:lang w:val="en-GB"/>
        </w:rPr>
        <w:t>Mediateur des Entreprises</w:t>
      </w:r>
      <w:r w:rsidR="00303DFA" w:rsidRPr="00881BC8">
        <w:rPr>
          <w:rFonts w:eastAsia="Arial Unicode MS"/>
          <w:noProof/>
          <w:lang w:val="en-GB"/>
        </w:rPr>
        <w:t>’</w:t>
      </w:r>
      <w:r w:rsidRPr="00881BC8">
        <w:rPr>
          <w:rFonts w:eastAsia="Arial Unicode MS"/>
          <w:noProof/>
          <w:lang w:val="en-GB"/>
        </w:rPr>
        <w:t xml:space="preserve"> helps the parties to a dispute finding the solution by themselves. It aims at restoring confidence/trust between the parties and create a new culture of payments on time and create a fairer business environment. It ensures the agreement achieved by the parties is </w:t>
      </w:r>
      <w:r w:rsidR="00303DFA" w:rsidRPr="00881BC8">
        <w:rPr>
          <w:rFonts w:eastAsia="Arial Unicode MS"/>
          <w:noProof/>
          <w:lang w:val="en-GB"/>
        </w:rPr>
        <w:t>‘</w:t>
      </w:r>
      <w:r w:rsidRPr="00881BC8">
        <w:rPr>
          <w:rFonts w:eastAsia="Arial Unicode MS"/>
          <w:noProof/>
          <w:lang w:val="en-GB"/>
        </w:rPr>
        <w:t>legally and financially balanced</w:t>
      </w:r>
      <w:r w:rsidR="00303DFA" w:rsidRPr="00881BC8">
        <w:rPr>
          <w:rFonts w:eastAsia="Arial Unicode MS"/>
          <w:noProof/>
          <w:lang w:val="en-GB"/>
        </w:rPr>
        <w:t>’</w:t>
      </w:r>
      <w:r w:rsidRPr="00881BC8">
        <w:rPr>
          <w:rFonts w:eastAsia="Arial Unicode MS"/>
          <w:noProof/>
          <w:lang w:val="en-GB"/>
        </w:rPr>
        <w:t xml:space="preserve"> and it saves the relationship between the parties. In France, 60% of the parties involved in a dispute with a help of a the Mediateur, have continue working together after settling the dispute. The rate of success of the </w:t>
      </w:r>
      <w:r w:rsidR="00303DFA" w:rsidRPr="00881BC8">
        <w:rPr>
          <w:rFonts w:eastAsia="Arial Unicode MS"/>
          <w:noProof/>
          <w:lang w:val="en-GB"/>
        </w:rPr>
        <w:t>‘</w:t>
      </w:r>
      <w:r w:rsidRPr="00881BC8">
        <w:rPr>
          <w:rFonts w:eastAsia="Arial Unicode MS"/>
          <w:noProof/>
          <w:lang w:val="en-GB"/>
        </w:rPr>
        <w:t>Mediateur des Entreprises</w:t>
      </w:r>
      <w:r w:rsidR="00303DFA" w:rsidRPr="00881BC8">
        <w:rPr>
          <w:rFonts w:eastAsia="Arial Unicode MS"/>
          <w:noProof/>
          <w:lang w:val="en-GB"/>
        </w:rPr>
        <w:t>’</w:t>
      </w:r>
      <w:r w:rsidRPr="00881BC8">
        <w:rPr>
          <w:rFonts w:eastAsia="Arial Unicode MS"/>
          <w:noProof/>
          <w:lang w:val="en-GB"/>
        </w:rPr>
        <w:t xml:space="preserve"> is also very high, as around 70% of the agreements reached in a mediation are implemented by the parties. Finally, it is a very useful tool for SMEs, as shown by the fact that 92% of the disputes are initiated by SMEs/micro SMEs. </w:t>
      </w:r>
      <w:r w:rsidRPr="00881BC8">
        <w:rPr>
          <w:noProof/>
          <w:lang w:val="en-GB" w:eastAsia="en-GB"/>
        </w:rPr>
        <w:t>The Late Payment Directive, which sets measures to fight late payment and to improve businesses’ competitiveness, establishes that Member States shall encourage recourse to mediation or other means of alternative dispute resolution, in order to ensure compliance with the aforementioned Directive.</w:t>
      </w:r>
      <w:r w:rsidRPr="00881BC8">
        <w:rPr>
          <w:noProof/>
          <w:vertAlign w:val="superscript"/>
          <w:lang w:val="en-GB" w:eastAsia="en-GB"/>
        </w:rPr>
        <w:footnoteReference w:id="192"/>
      </w:r>
      <w:r w:rsidRPr="00881BC8">
        <w:rPr>
          <w:noProof/>
          <w:lang w:val="en-GB" w:eastAsia="en-GB"/>
        </w:rPr>
        <w:t xml:space="preserve"> Against this background, the Commission is now acting in order to incentivise the uptake of ADR/mediation in this field, as an alternative to judicial dispute settlement.</w:t>
      </w:r>
    </w:p>
    <w:p w14:paraId="6BDB8B5C" w14:textId="3FD422D4" w:rsidR="00AF3009" w:rsidRPr="00881BC8" w:rsidRDefault="00AF3009" w:rsidP="004835F8">
      <w:pPr>
        <w:pStyle w:val="NormalPara"/>
        <w:rPr>
          <w:noProof/>
          <w:lang w:val="en-GB" w:eastAsia="en-GB"/>
        </w:rPr>
      </w:pPr>
      <w:r w:rsidRPr="00881BC8">
        <w:rPr>
          <w:noProof/>
          <w:lang w:val="en-GB" w:eastAsia="en-GB"/>
        </w:rPr>
        <w:t>A stakeholder’s consultation</w:t>
      </w:r>
      <w:r w:rsidRPr="00881BC8">
        <w:rPr>
          <w:noProof/>
          <w:vertAlign w:val="superscript"/>
          <w:lang w:val="en-GB" w:eastAsia="en-GB"/>
        </w:rPr>
        <w:footnoteReference w:id="193"/>
      </w:r>
      <w:r w:rsidRPr="00881BC8">
        <w:rPr>
          <w:noProof/>
          <w:vertAlign w:val="superscript"/>
          <w:lang w:val="en-GB"/>
        </w:rPr>
        <w:t>:</w:t>
      </w:r>
      <w:r w:rsidR="0091653A" w:rsidRPr="00881BC8">
        <w:rPr>
          <w:noProof/>
          <w:vertAlign w:val="superscript"/>
          <w:lang w:val="en-GB"/>
        </w:rPr>
        <w:t xml:space="preserve"> </w:t>
      </w:r>
      <w:r w:rsidRPr="00881BC8">
        <w:rPr>
          <w:noProof/>
          <w:lang w:val="en-GB" w:eastAsia="en-GB"/>
        </w:rPr>
        <w:t>on the use of ADR/Mediation</w:t>
      </w:r>
      <w:r w:rsidRPr="00881BC8" w:rsidDel="007665DC">
        <w:rPr>
          <w:noProof/>
          <w:lang w:val="en-GB" w:eastAsia="en-GB"/>
        </w:rPr>
        <w:t xml:space="preserve"> </w:t>
      </w:r>
      <w:r w:rsidRPr="00881BC8">
        <w:rPr>
          <w:noProof/>
          <w:lang w:val="en-GB" w:eastAsia="en-GB"/>
        </w:rPr>
        <w:t xml:space="preserve">carried out in the context of the Commission’s Study on </w:t>
      </w:r>
      <w:r w:rsidR="00303DFA" w:rsidRPr="00881BC8">
        <w:rPr>
          <w:noProof/>
          <w:lang w:val="en-GB" w:eastAsia="en-GB"/>
        </w:rPr>
        <w:t>‘</w:t>
      </w:r>
      <w:r w:rsidRPr="00881BC8">
        <w:rPr>
          <w:noProof/>
          <w:lang w:val="en-GB" w:eastAsia="en-GB"/>
        </w:rPr>
        <w:t>Building a Responsible Payment Culture in the EU: Improving the effectiveness of the Late Payment Directive (2011/7/EU)</w:t>
      </w:r>
      <w:r w:rsidR="00303DFA" w:rsidRPr="00881BC8">
        <w:rPr>
          <w:noProof/>
          <w:lang w:val="en-GB" w:eastAsia="en-GB"/>
        </w:rPr>
        <w:t>’</w:t>
      </w:r>
      <w:r w:rsidRPr="00881BC8">
        <w:rPr>
          <w:noProof/>
          <w:vertAlign w:val="superscript"/>
          <w:lang w:val="en-GB" w:eastAsia="en-GB"/>
        </w:rPr>
        <w:footnoteReference w:id="194"/>
      </w:r>
      <w:r w:rsidRPr="00881BC8">
        <w:rPr>
          <w:noProof/>
          <w:lang w:val="en-GB" w:eastAsia="en-GB"/>
        </w:rPr>
        <w:t xml:space="preserve"> concluded that ADR solutions are largely considered as the right tool to remedy the impact of unfair payment practices because of their shorter duration, better cost effectiveness and less harm to the business relation. Many stakeholders, in fact, consider ADR/Mediation as a win-win solution and that </w:t>
      </w:r>
      <w:r w:rsidR="00CE0318" w:rsidRPr="00881BC8">
        <w:rPr>
          <w:noProof/>
          <w:lang w:val="en-GB" w:eastAsia="en-GB"/>
        </w:rPr>
        <w:t>it</w:t>
      </w:r>
      <w:r w:rsidRPr="00881BC8">
        <w:rPr>
          <w:noProof/>
          <w:lang w:val="en-GB" w:eastAsia="en-GB"/>
        </w:rPr>
        <w:t xml:space="preserve"> should be better promoted to help SMEs solve their payment disputes.</w:t>
      </w:r>
    </w:p>
    <w:p w14:paraId="607E4447" w14:textId="32B938A5" w:rsidR="00AF3009" w:rsidRPr="00881BC8" w:rsidRDefault="00AF3009" w:rsidP="004835F8">
      <w:pPr>
        <w:pStyle w:val="NormalPara"/>
        <w:rPr>
          <w:noProof/>
          <w:lang w:val="en-GB" w:eastAsia="en-GB"/>
        </w:rPr>
      </w:pPr>
      <w:r w:rsidRPr="00881BC8">
        <w:rPr>
          <w:noProof/>
          <w:lang w:val="en-GB" w:eastAsia="en-GB"/>
        </w:rPr>
        <w:t>In addition, evidence across Member States suggests that ADR instruments are not yet commonly used by SMEs</w:t>
      </w:r>
      <w:r w:rsidR="00303DFA" w:rsidRPr="00881BC8">
        <w:rPr>
          <w:noProof/>
          <w:lang w:val="en-GB" w:eastAsia="en-GB"/>
        </w:rPr>
        <w:t>’</w:t>
      </w:r>
      <w:r w:rsidRPr="00881BC8">
        <w:rPr>
          <w:noProof/>
          <w:lang w:val="en-GB" w:eastAsia="en-GB"/>
        </w:rPr>
        <w:t>.</w:t>
      </w:r>
      <w:r w:rsidRPr="00881BC8">
        <w:rPr>
          <w:noProof/>
          <w:vertAlign w:val="superscript"/>
          <w:lang w:val="en-GB" w:eastAsia="en-GB"/>
        </w:rPr>
        <w:footnoteReference w:id="195"/>
      </w:r>
      <w:r w:rsidRPr="00881BC8">
        <w:rPr>
          <w:noProof/>
          <w:vertAlign w:val="superscript"/>
          <w:lang w:val="en-GB"/>
        </w:rPr>
        <w:t xml:space="preserve"> </w:t>
      </w:r>
      <w:r w:rsidRPr="00881BC8">
        <w:rPr>
          <w:noProof/>
          <w:lang w:val="en-GB" w:eastAsia="en-GB"/>
        </w:rPr>
        <w:t xml:space="preserve">The main barriers to the uptake of ADR/Mediation in B2B payment disputes were also identified: (i) the absence of a contractual clause on the use of ADR/Mediation in payment contracts; (ii) the lack of awareness of companies on the ADR/Mediation tools available to resolve their payment disputes, which are not part of the traditional jurisdictional system; (iii) the absence of mandatory mediation/ADR prior to court actions in national legislations. The conclusion is that there is a need to continue raising awareness among businesses on the guarantees and benefits of the ADR/Mediation tools in comparison to jurisdictional dispute settlement. </w:t>
      </w:r>
    </w:p>
    <w:p w14:paraId="670E3B5F" w14:textId="77777777" w:rsidR="00AF3009" w:rsidRPr="00881BC8" w:rsidRDefault="00AF3009" w:rsidP="004835F8">
      <w:pPr>
        <w:pStyle w:val="NormalPara"/>
        <w:rPr>
          <w:rFonts w:eastAsia="Times New Roman"/>
          <w:noProof/>
          <w:color w:val="000000" w:themeColor="text1"/>
          <w:lang w:val="en-GB"/>
        </w:rPr>
      </w:pPr>
      <w:r w:rsidRPr="00881BC8">
        <w:rPr>
          <w:rFonts w:eastAsia="Times New Roman"/>
          <w:noProof/>
          <w:color w:val="000000" w:themeColor="text1"/>
          <w:lang w:val="en-GB"/>
        </w:rPr>
        <w:t>Against this background, the Commission launched a pilot project in order to incentivise the uptake of ADR in the field of late payments, as an alternative to judicial dispute settlement. The pilot project will entail (i) making available of standard clauses for mediation; (ii) creation of a specialist mediation scheme in the construction sector that includes training of mediators; (iii) awareness raising activities.</w:t>
      </w:r>
    </w:p>
    <w:p w14:paraId="280894B6" w14:textId="77777777" w:rsidR="00AF3009" w:rsidRPr="00881BC8" w:rsidRDefault="00AF3009" w:rsidP="004835F8">
      <w:pPr>
        <w:numPr>
          <w:ilvl w:val="0"/>
          <w:numId w:val="39"/>
        </w:numPr>
        <w:spacing w:after="200" w:line="281" w:lineRule="auto"/>
        <w:contextualSpacing/>
        <w:jc w:val="left"/>
        <w:rPr>
          <w:rFonts w:eastAsia="Times New Roman"/>
          <w:noProof/>
          <w:color w:val="000000" w:themeColor="text1"/>
        </w:rPr>
      </w:pPr>
      <w:r w:rsidRPr="00881BC8">
        <w:rPr>
          <w:rFonts w:eastAsia="Times New Roman"/>
          <w:noProof/>
          <w:color w:val="000000" w:themeColor="text1"/>
        </w:rPr>
        <w:t>Preparation and making available of standard contractual clauses to include in the contracts, setting up the voluntary contractual commitment to attend mediation sessions in payment disputes prior to any jurisdictional dispute resolution:</w:t>
      </w:r>
    </w:p>
    <w:p w14:paraId="6C3DE4DA" w14:textId="77777777" w:rsidR="00AF3009" w:rsidRPr="00881BC8" w:rsidRDefault="00AF3009" w:rsidP="004835F8">
      <w:pPr>
        <w:numPr>
          <w:ilvl w:val="1"/>
          <w:numId w:val="39"/>
        </w:numPr>
        <w:spacing w:after="200" w:line="281" w:lineRule="auto"/>
        <w:contextualSpacing/>
        <w:jc w:val="left"/>
        <w:rPr>
          <w:rFonts w:eastAsia="Times New Roman"/>
          <w:noProof/>
          <w:color w:val="000000" w:themeColor="text1"/>
        </w:rPr>
      </w:pPr>
      <w:r w:rsidRPr="00881BC8">
        <w:rPr>
          <w:rFonts w:eastAsia="Times New Roman"/>
          <w:noProof/>
          <w:color w:val="000000" w:themeColor="text1"/>
        </w:rPr>
        <w:t xml:space="preserve">Many SMEs face the lack of knowledge to insert clauses on mediation in their business contracts. </w:t>
      </w:r>
    </w:p>
    <w:p w14:paraId="1D817E20" w14:textId="77777777" w:rsidR="00AF3009" w:rsidRPr="00881BC8" w:rsidRDefault="00AF3009" w:rsidP="004835F8">
      <w:pPr>
        <w:numPr>
          <w:ilvl w:val="1"/>
          <w:numId w:val="39"/>
        </w:numPr>
        <w:spacing w:after="200" w:line="281" w:lineRule="auto"/>
        <w:contextualSpacing/>
        <w:jc w:val="left"/>
        <w:rPr>
          <w:rFonts w:eastAsia="Times New Roman"/>
          <w:noProof/>
          <w:color w:val="000000" w:themeColor="text1"/>
        </w:rPr>
      </w:pPr>
      <w:r w:rsidRPr="00881BC8">
        <w:rPr>
          <w:rFonts w:eastAsia="Times New Roman"/>
          <w:noProof/>
          <w:color w:val="000000" w:themeColor="text1"/>
        </w:rPr>
        <w:t>The Contractor of the Pilot Project will have to perform a mapping of the current existing standard clauses in each EU 27 Member States and draft contractual standard clauses for mediation in case of payment disputes.</w:t>
      </w:r>
    </w:p>
    <w:p w14:paraId="0BD06014" w14:textId="77777777" w:rsidR="00AF3009" w:rsidRPr="00881BC8" w:rsidRDefault="00AF3009" w:rsidP="004835F8">
      <w:pPr>
        <w:numPr>
          <w:ilvl w:val="0"/>
          <w:numId w:val="39"/>
        </w:numPr>
        <w:spacing w:after="200" w:line="281" w:lineRule="auto"/>
        <w:contextualSpacing/>
        <w:jc w:val="left"/>
        <w:rPr>
          <w:rFonts w:eastAsia="Times New Roman"/>
          <w:noProof/>
          <w:color w:val="000000" w:themeColor="text1"/>
        </w:rPr>
      </w:pPr>
      <w:r w:rsidRPr="00881BC8">
        <w:rPr>
          <w:rFonts w:eastAsia="Times New Roman"/>
          <w:noProof/>
          <w:color w:val="000000" w:themeColor="text1"/>
        </w:rPr>
        <w:t>The creation of a pilot specialist mediation scheme to address payment disputes in commercial transactions in the construction sector, which shall include also specific training for mediators:</w:t>
      </w:r>
    </w:p>
    <w:p w14:paraId="5402998F" w14:textId="77777777" w:rsidR="00AF3009" w:rsidRPr="00881BC8" w:rsidRDefault="00AF3009" w:rsidP="004835F8">
      <w:pPr>
        <w:numPr>
          <w:ilvl w:val="1"/>
          <w:numId w:val="39"/>
        </w:numPr>
        <w:spacing w:after="200" w:line="281" w:lineRule="auto"/>
        <w:contextualSpacing/>
        <w:jc w:val="left"/>
        <w:rPr>
          <w:rFonts w:eastAsia="Times New Roman"/>
          <w:noProof/>
          <w:color w:val="000000" w:themeColor="text1"/>
        </w:rPr>
      </w:pPr>
      <w:r w:rsidRPr="00881BC8">
        <w:rPr>
          <w:rFonts w:eastAsia="Times New Roman"/>
          <w:noProof/>
          <w:color w:val="000000" w:themeColor="text1"/>
        </w:rPr>
        <w:t xml:space="preserve">Identification of the most relevant best practices on mediation schemes for payments disputes and then formulating the appropriate recommendations regarding the necessary effort (training, investment, developments) to be put in the specialist mediator scheme; development of a code of good conduct to be used as a guide and a harmonising tool for the work of all mediators active in the construction sector. </w:t>
      </w:r>
    </w:p>
    <w:p w14:paraId="02C9E8EE" w14:textId="77777777" w:rsidR="00AF3009" w:rsidRPr="00881BC8" w:rsidRDefault="00AF3009" w:rsidP="004835F8">
      <w:pPr>
        <w:numPr>
          <w:ilvl w:val="1"/>
          <w:numId w:val="39"/>
        </w:numPr>
        <w:spacing w:after="200" w:line="281" w:lineRule="auto"/>
        <w:contextualSpacing/>
        <w:jc w:val="left"/>
        <w:rPr>
          <w:rFonts w:eastAsia="Times New Roman"/>
          <w:noProof/>
          <w:color w:val="000000" w:themeColor="text1"/>
        </w:rPr>
      </w:pPr>
      <w:r w:rsidRPr="00881BC8">
        <w:rPr>
          <w:rFonts w:eastAsia="Times New Roman"/>
          <w:noProof/>
          <w:color w:val="000000" w:themeColor="text1"/>
        </w:rPr>
        <w:t xml:space="preserve">Development of a specialist mediation scheme on payment disputes in the construction sector in at least one Members State; including a training scheme for selecting and training at least 15 specialist mediators on payment disputes in the construction sector in the chosen Member State/States. Also ensure that the mediators actually deliver mediation sessions to help SMEs solve their payment disputes. </w:t>
      </w:r>
    </w:p>
    <w:p w14:paraId="03990BC5" w14:textId="77777777" w:rsidR="00AF3009" w:rsidRPr="00881BC8" w:rsidRDefault="00AF3009" w:rsidP="004835F8">
      <w:pPr>
        <w:numPr>
          <w:ilvl w:val="0"/>
          <w:numId w:val="39"/>
        </w:numPr>
        <w:spacing w:after="200" w:line="281" w:lineRule="auto"/>
        <w:contextualSpacing/>
        <w:jc w:val="left"/>
        <w:rPr>
          <w:rFonts w:eastAsia="Times New Roman"/>
          <w:noProof/>
          <w:color w:val="000000" w:themeColor="text1"/>
        </w:rPr>
      </w:pPr>
      <w:r w:rsidRPr="00881BC8">
        <w:rPr>
          <w:rFonts w:eastAsia="Times New Roman"/>
          <w:noProof/>
          <w:color w:val="000000" w:themeColor="text1"/>
        </w:rPr>
        <w:t>Awareness raising activities and development of a project webpage:</w:t>
      </w:r>
    </w:p>
    <w:p w14:paraId="21653366" w14:textId="77777777" w:rsidR="00AF3009" w:rsidRPr="00881BC8" w:rsidRDefault="00AF3009" w:rsidP="004835F8">
      <w:pPr>
        <w:numPr>
          <w:ilvl w:val="1"/>
          <w:numId w:val="39"/>
        </w:numPr>
        <w:spacing w:after="200" w:line="281" w:lineRule="auto"/>
        <w:contextualSpacing/>
        <w:jc w:val="left"/>
        <w:rPr>
          <w:rFonts w:eastAsia="Times New Roman"/>
          <w:noProof/>
          <w:lang w:eastAsia="en-GB"/>
        </w:rPr>
      </w:pPr>
      <w:r w:rsidRPr="00881BC8">
        <w:rPr>
          <w:rFonts w:eastAsia="Times New Roman"/>
          <w:noProof/>
          <w:color w:val="000000" w:themeColor="text1"/>
        </w:rPr>
        <w:t xml:space="preserve">Ensure there </w:t>
      </w:r>
      <w:r w:rsidRPr="00881BC8">
        <w:rPr>
          <w:rFonts w:eastAsia="Times New Roman"/>
          <w:noProof/>
          <w:lang w:eastAsia="en-GB"/>
        </w:rPr>
        <w:t xml:space="preserve">widespread, reliable information regarding the benefits and use of ADR/mediation, and how to access mediation when the need arises. </w:t>
      </w:r>
    </w:p>
    <w:p w14:paraId="427197B0" w14:textId="329B57D9" w:rsidR="00AF3009" w:rsidRPr="00881BC8" w:rsidRDefault="00AF3009" w:rsidP="004835F8">
      <w:pPr>
        <w:numPr>
          <w:ilvl w:val="1"/>
          <w:numId w:val="39"/>
        </w:numPr>
        <w:spacing w:after="200" w:line="281" w:lineRule="auto"/>
        <w:contextualSpacing/>
        <w:jc w:val="left"/>
        <w:rPr>
          <w:rFonts w:eastAsia="Times New Roman"/>
          <w:noProof/>
          <w:color w:val="000000"/>
          <w:lang w:eastAsia="en-GB"/>
        </w:rPr>
      </w:pPr>
      <w:r w:rsidRPr="00881BC8">
        <w:rPr>
          <w:rFonts w:eastAsia="Times New Roman"/>
          <w:noProof/>
          <w:color w:val="000000" w:themeColor="text1"/>
        </w:rPr>
        <w:t>O</w:t>
      </w:r>
      <w:r w:rsidRPr="00881BC8">
        <w:rPr>
          <w:rFonts w:eastAsia="Times New Roman"/>
          <w:noProof/>
          <w:color w:val="000000"/>
          <w:lang w:eastAsia="en-GB"/>
        </w:rPr>
        <w:t>rganising activities of promotion and awareness-raising (including workshops and conferences)</w:t>
      </w:r>
    </w:p>
    <w:p w14:paraId="1AD5074B" w14:textId="77777777" w:rsidR="00AF3009" w:rsidRPr="00881BC8" w:rsidRDefault="00AF3009" w:rsidP="004835F8">
      <w:pPr>
        <w:numPr>
          <w:ilvl w:val="1"/>
          <w:numId w:val="39"/>
        </w:numPr>
        <w:spacing w:after="200" w:line="281" w:lineRule="auto"/>
        <w:contextualSpacing/>
        <w:jc w:val="left"/>
        <w:rPr>
          <w:rFonts w:eastAsia="Times New Roman"/>
          <w:noProof/>
          <w:color w:val="000000"/>
          <w:lang w:eastAsia="en-GB"/>
        </w:rPr>
      </w:pPr>
      <w:r w:rsidRPr="00881BC8">
        <w:rPr>
          <w:rFonts w:eastAsia="Times New Roman"/>
          <w:noProof/>
          <w:color w:val="000000"/>
          <w:lang w:eastAsia="en-GB"/>
        </w:rPr>
        <w:t>Creating and maintaining content for a dedicated web section, containing all necessary information on the advantages and disadvantages of alternative dispute resolution and providing a tool to find a suitable (and specialised) mediator in construction sector. The web section is thought to be an effective one-stop shop for information, including some standard contractual clauses.</w:t>
      </w:r>
    </w:p>
    <w:p w14:paraId="10D86CE1" w14:textId="5040F9EC" w:rsidR="00AF3009" w:rsidRPr="00881BC8" w:rsidRDefault="00AF3009" w:rsidP="004835F8">
      <w:pPr>
        <w:pStyle w:val="NormalPara"/>
        <w:rPr>
          <w:noProof/>
          <w:lang w:val="en-GB"/>
        </w:rPr>
      </w:pPr>
      <w:r w:rsidRPr="00881BC8">
        <w:rPr>
          <w:noProof/>
          <w:lang w:val="en-GB"/>
        </w:rPr>
        <w:t xml:space="preserve">The ultimate objective of the Pilot Project is to develop a mediation scheme for payment disputes in construction sector that can be easily replicated, </w:t>
      </w:r>
      <w:r w:rsidRPr="00881BC8">
        <w:rPr>
          <w:i/>
          <w:noProof/>
          <w:lang w:val="en-GB"/>
        </w:rPr>
        <w:t>mutatis mutandis</w:t>
      </w:r>
      <w:r w:rsidRPr="00881BC8">
        <w:rPr>
          <w:noProof/>
          <w:lang w:val="en-GB"/>
        </w:rPr>
        <w:t>, in other Member states and other sectors.</w:t>
      </w:r>
      <w:r w:rsidR="00EB4CFF" w:rsidRPr="00881BC8">
        <w:rPr>
          <w:rFonts w:eastAsia="Times New Roman"/>
          <w:noProof/>
          <w:color w:val="000000" w:themeColor="text1"/>
          <w:lang w:val="en-GB"/>
        </w:rPr>
        <w:t xml:space="preserve"> The project will last for 2 years.</w:t>
      </w:r>
    </w:p>
    <w:p w14:paraId="2445A6B0" w14:textId="29744578" w:rsidR="00440140" w:rsidRPr="00881BC8" w:rsidRDefault="00440140" w:rsidP="00CF2B67">
      <w:pPr>
        <w:pStyle w:val="AnnexTitle"/>
        <w:rPr>
          <w:noProof/>
        </w:rPr>
      </w:pPr>
      <w:r w:rsidRPr="00881BC8">
        <w:rPr>
          <w:noProof/>
        </w:rPr>
        <w:br w:type="page"/>
      </w:r>
      <w:bookmarkStart w:id="1055" w:name="Annex09"/>
      <w:bookmarkStart w:id="1056" w:name="_Toc129899929"/>
      <w:bookmarkStart w:id="1057" w:name="_Toc135237458"/>
      <w:r w:rsidRPr="00881BC8">
        <w:rPr>
          <w:noProof/>
        </w:rPr>
        <w:t>Annex 9</w:t>
      </w:r>
      <w:bookmarkEnd w:id="1055"/>
      <w:r w:rsidRPr="00881BC8">
        <w:rPr>
          <w:noProof/>
        </w:rPr>
        <w:t xml:space="preserve">: Best practices in </w:t>
      </w:r>
      <w:r w:rsidR="00F45713" w:rsidRPr="00881BC8">
        <w:rPr>
          <w:noProof/>
        </w:rPr>
        <w:t>e</w:t>
      </w:r>
      <w:r w:rsidRPr="00881BC8">
        <w:rPr>
          <w:noProof/>
        </w:rPr>
        <w:t>nforcement of prompt payment rules</w:t>
      </w:r>
      <w:bookmarkEnd w:id="1056"/>
      <w:bookmarkEnd w:id="1057"/>
      <w:r w:rsidRPr="00881BC8">
        <w:rPr>
          <w:noProof/>
        </w:rPr>
        <w:t xml:space="preserve"> </w:t>
      </w:r>
    </w:p>
    <w:p w14:paraId="605FBAF9" w14:textId="1D81B698" w:rsidR="00AB10E5" w:rsidRPr="00881BC8" w:rsidRDefault="00AB10E5" w:rsidP="004835F8">
      <w:pPr>
        <w:pStyle w:val="AnnexLevel1"/>
        <w:rPr>
          <w:noProof/>
          <w:lang w:val="en-GB"/>
        </w:rPr>
      </w:pPr>
      <w:r w:rsidRPr="00881BC8">
        <w:rPr>
          <w:noProof/>
          <w:lang w:val="en-GB"/>
        </w:rPr>
        <w:t>France : The activity of the DGCCRF</w:t>
      </w:r>
      <w:r w:rsidR="0091653A" w:rsidRPr="00881BC8">
        <w:rPr>
          <w:noProof/>
          <w:lang w:val="en-GB"/>
        </w:rPr>
        <w:t xml:space="preserve"> </w:t>
      </w:r>
    </w:p>
    <w:p w14:paraId="5394CB35" w14:textId="2B9FF6C3" w:rsidR="00AB10E5" w:rsidRPr="00881BC8" w:rsidRDefault="00AB10E5" w:rsidP="004835F8">
      <w:pPr>
        <w:pStyle w:val="NormalPara"/>
        <w:rPr>
          <w:noProof/>
          <w:lang w:val="en-GB"/>
        </w:rPr>
      </w:pPr>
      <w:r w:rsidRPr="00881BC8">
        <w:rPr>
          <w:noProof/>
          <w:lang w:val="en-GB"/>
        </w:rPr>
        <w:t>DGCCRF (Direction générale de la concurrence, de la consommation et de la répression des fraudes of the French Ministry of the Economy) is</w:t>
      </w:r>
      <w:r w:rsidR="00F2281B" w:rsidRPr="00881BC8">
        <w:rPr>
          <w:noProof/>
          <w:lang w:val="en-GB"/>
        </w:rPr>
        <w:t>,</w:t>
      </w:r>
      <w:r w:rsidRPr="00881BC8">
        <w:rPr>
          <w:noProof/>
          <w:lang w:val="en-GB"/>
        </w:rPr>
        <w:t xml:space="preserve"> </w:t>
      </w:r>
      <w:r w:rsidR="00F2281B" w:rsidRPr="00881BC8">
        <w:rPr>
          <w:noProof/>
          <w:lang w:val="en-GB"/>
        </w:rPr>
        <w:t xml:space="preserve">among other competences, </w:t>
      </w:r>
      <w:r w:rsidRPr="00881BC8">
        <w:rPr>
          <w:noProof/>
          <w:lang w:val="en-GB"/>
        </w:rPr>
        <w:t>responsible for monitoring compliance with the rules of the Commercial Code relating to payment terms</w:t>
      </w:r>
      <w:r w:rsidR="00F2281B" w:rsidRPr="00881BC8">
        <w:rPr>
          <w:rStyle w:val="FootnoteReference"/>
          <w:rFonts w:eastAsia="Times New Roman"/>
          <w:noProof/>
          <w:lang w:val="en-GB"/>
        </w:rPr>
        <w:footnoteReference w:id="196"/>
      </w:r>
      <w:r w:rsidRPr="00881BC8">
        <w:rPr>
          <w:noProof/>
          <w:lang w:val="en-GB"/>
        </w:rPr>
        <w:t>. Article L. 441-10 of the French Commercial Code provides for the sanction of non-compliance with the legal rules relating to payment deadlines by an administrative fine of a maximum amount of 75,000EUR for a natural person and 2 million EUR for a legal person. This sanction is published on line (</w:t>
      </w:r>
      <w:r w:rsidR="00303DFA" w:rsidRPr="00881BC8">
        <w:rPr>
          <w:noProof/>
          <w:lang w:val="en-GB"/>
        </w:rPr>
        <w:t>‘</w:t>
      </w:r>
      <w:r w:rsidRPr="00881BC8">
        <w:rPr>
          <w:noProof/>
          <w:lang w:val="en-GB"/>
        </w:rPr>
        <w:t>name-and-shame</w:t>
      </w:r>
      <w:r w:rsidR="00303DFA" w:rsidRPr="00881BC8">
        <w:rPr>
          <w:noProof/>
          <w:lang w:val="en-GB"/>
        </w:rPr>
        <w:t>’</w:t>
      </w:r>
      <w:r w:rsidRPr="00881BC8">
        <w:rPr>
          <w:noProof/>
          <w:lang w:val="en-GB"/>
        </w:rPr>
        <w:t>)</w:t>
      </w:r>
      <w:r w:rsidRPr="00881BC8">
        <w:rPr>
          <w:noProof/>
          <w:vertAlign w:val="superscript"/>
          <w:lang w:val="en-GB"/>
        </w:rPr>
        <w:footnoteReference w:id="197"/>
      </w:r>
      <w:r w:rsidRPr="00881BC8">
        <w:rPr>
          <w:noProof/>
          <w:lang w:val="en-GB"/>
        </w:rPr>
        <w:t>. Unfair practices or clauses having the effect of unduly delaying the starting point of payment deadlines (</w:t>
      </w:r>
      <w:r w:rsidR="00303DFA" w:rsidRPr="00881BC8">
        <w:rPr>
          <w:noProof/>
          <w:lang w:val="en-GB"/>
        </w:rPr>
        <w:t>‘</w:t>
      </w:r>
      <w:r w:rsidRPr="00881BC8">
        <w:rPr>
          <w:noProof/>
          <w:lang w:val="en-GB"/>
        </w:rPr>
        <w:t>délais cachés</w:t>
      </w:r>
      <w:r w:rsidR="00303DFA" w:rsidRPr="00881BC8">
        <w:rPr>
          <w:noProof/>
          <w:lang w:val="en-GB"/>
        </w:rPr>
        <w:t>’</w:t>
      </w:r>
      <w:r w:rsidRPr="00881BC8">
        <w:rPr>
          <w:noProof/>
          <w:lang w:val="en-GB"/>
        </w:rPr>
        <w:t>) are also punished with the same sanctions. The amount of the fine is doubled in the event of repetition of the breach within two years from the date on which the first sanction decision became final.</w:t>
      </w:r>
    </w:p>
    <w:p w14:paraId="1704A66B" w14:textId="5911F065" w:rsidR="0026294A" w:rsidRPr="00881BC8" w:rsidRDefault="0026294A" w:rsidP="004835F8">
      <w:pPr>
        <w:pStyle w:val="NormalPara"/>
        <w:rPr>
          <w:noProof/>
          <w:lang w:val="en-GB"/>
        </w:rPr>
      </w:pPr>
      <w:r w:rsidRPr="00881BC8">
        <w:rPr>
          <w:noProof/>
          <w:lang w:val="en-GB"/>
        </w:rPr>
        <w:t>The following are examples of sanctions published by DG CCRF between January-March 2023.</w:t>
      </w:r>
    </w:p>
    <w:p w14:paraId="0E44878C" w14:textId="77777777" w:rsidR="00AB10E5" w:rsidRPr="00881BC8" w:rsidRDefault="00AB10E5" w:rsidP="00AB10E5">
      <w:pPr>
        <w:rPr>
          <w:rFonts w:eastAsia="Times New Roman" w:cs="@Yu Mincho Light"/>
          <w:noProof/>
        </w:rPr>
      </w:pPr>
      <w:r w:rsidRPr="00881BC8">
        <w:rPr>
          <w:rFonts w:eastAsia="Times New Roman" w:cs="@Yu Mincho Light"/>
          <w:noProof/>
          <w:lang w:eastAsia="en-GB"/>
        </w:rPr>
        <w:drawing>
          <wp:inline distT="0" distB="0" distL="0" distR="0" wp14:anchorId="566F7169" wp14:editId="5BE3C2EE">
            <wp:extent cx="5428692" cy="1500997"/>
            <wp:effectExtent l="0" t="0" r="635" b="4445"/>
            <wp:docPr id="370643848" name="Picture 37064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438866" cy="1503810"/>
                    </a:xfrm>
                    <a:prstGeom prst="rect">
                      <a:avLst/>
                    </a:prstGeom>
                  </pic:spPr>
                </pic:pic>
              </a:graphicData>
            </a:graphic>
          </wp:inline>
        </w:drawing>
      </w:r>
    </w:p>
    <w:p w14:paraId="7610D0C9" w14:textId="77777777" w:rsidR="00AB10E5" w:rsidRPr="00881BC8" w:rsidRDefault="00AB10E5" w:rsidP="00AB10E5">
      <w:pPr>
        <w:rPr>
          <w:rFonts w:eastAsia="Times New Roman" w:cs="@Yu Mincho Light"/>
          <w:noProof/>
        </w:rPr>
      </w:pPr>
      <w:r w:rsidRPr="00881BC8">
        <w:rPr>
          <w:rFonts w:eastAsia="Times New Roman" w:cs="@Yu Mincho Light"/>
          <w:noProof/>
          <w:lang w:eastAsia="en-GB"/>
        </w:rPr>
        <w:drawing>
          <wp:inline distT="0" distB="0" distL="0" distR="0" wp14:anchorId="26DBA0FF" wp14:editId="0E1BB3CC">
            <wp:extent cx="5339751" cy="1798419"/>
            <wp:effectExtent l="0" t="0" r="0" b="0"/>
            <wp:docPr id="370643849" name="Picture 37064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382868" cy="1812941"/>
                    </a:xfrm>
                    <a:prstGeom prst="rect">
                      <a:avLst/>
                    </a:prstGeom>
                  </pic:spPr>
                </pic:pic>
              </a:graphicData>
            </a:graphic>
          </wp:inline>
        </w:drawing>
      </w:r>
    </w:p>
    <w:p w14:paraId="7E26A16E" w14:textId="77777777" w:rsidR="00AB10E5" w:rsidRPr="00881BC8" w:rsidRDefault="00AB10E5" w:rsidP="00AB10E5">
      <w:pPr>
        <w:rPr>
          <w:rFonts w:eastAsia="Times New Roman" w:cs="@Yu Mincho Light"/>
          <w:noProof/>
        </w:rPr>
      </w:pPr>
      <w:r w:rsidRPr="00881BC8">
        <w:rPr>
          <w:rFonts w:eastAsia="Times New Roman" w:cs="@Yu Mincho Light"/>
          <w:noProof/>
          <w:lang w:eastAsia="en-GB"/>
        </w:rPr>
        <w:drawing>
          <wp:inline distT="0" distB="0" distL="0" distR="0" wp14:anchorId="13D9C0D4" wp14:editId="787023CB">
            <wp:extent cx="5458629" cy="1587261"/>
            <wp:effectExtent l="0" t="0" r="0" b="0"/>
            <wp:docPr id="370643850" name="Picture 37064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496137" cy="1598168"/>
                    </a:xfrm>
                    <a:prstGeom prst="rect">
                      <a:avLst/>
                    </a:prstGeom>
                  </pic:spPr>
                </pic:pic>
              </a:graphicData>
            </a:graphic>
          </wp:inline>
        </w:drawing>
      </w:r>
    </w:p>
    <w:p w14:paraId="077EF9B2" w14:textId="1446AC41" w:rsidR="00AB10E5" w:rsidRPr="00881BC8" w:rsidRDefault="00AB10E5" w:rsidP="004835F8">
      <w:pPr>
        <w:pStyle w:val="NormalPara"/>
        <w:rPr>
          <w:noProof/>
          <w:lang w:val="en-GB"/>
        </w:rPr>
      </w:pPr>
      <w:r w:rsidRPr="00881BC8">
        <w:rPr>
          <w:noProof/>
          <w:lang w:val="en-GB"/>
        </w:rPr>
        <w:t>Since the entry into force of Law No. 2015-990 of August 6, 2015 for growth, activity and equal economic opportunities, DGCCRF agents have been competent to control and sanction public companies that do not respect the maximum payment period set in Articles R. 2192-11 et seq. and R. 3133-11 et seq. of the Public Procurement Code (i.e. 60 days from the date of receipt of the request for payment by the public company). The amount of the maximum fine is currently 2 million EUR for legal persons</w:t>
      </w:r>
      <w:r w:rsidRPr="00881BC8">
        <w:rPr>
          <w:noProof/>
          <w:vertAlign w:val="superscript"/>
          <w:lang w:val="en-GB"/>
        </w:rPr>
        <w:footnoteReference w:id="198"/>
      </w:r>
      <w:r w:rsidR="0091653A" w:rsidRPr="00881BC8">
        <w:rPr>
          <w:noProof/>
          <w:lang w:val="en-GB"/>
        </w:rPr>
        <w:t xml:space="preserve"> </w:t>
      </w:r>
      <w:r w:rsidRPr="00881BC8">
        <w:rPr>
          <w:noProof/>
          <w:lang w:val="en-GB"/>
        </w:rPr>
        <w:t>The DGCCRF relies on a capillary organisation throughout the national territory, including the French Oversea departments, thanks to the departmental directorates (DREETS, DREETS-Outremer, DDETS-PP or DDPP)</w:t>
      </w:r>
      <w:r w:rsidRPr="00881BC8">
        <w:rPr>
          <w:noProof/>
          <w:vertAlign w:val="superscript"/>
          <w:lang w:val="en-GB"/>
        </w:rPr>
        <w:footnoteReference w:id="199"/>
      </w:r>
      <w:r w:rsidRPr="00881BC8">
        <w:rPr>
          <w:noProof/>
          <w:lang w:val="en-GB"/>
        </w:rPr>
        <w:t xml:space="preserve">. </w:t>
      </w:r>
    </w:p>
    <w:p w14:paraId="3801396F" w14:textId="77777777" w:rsidR="00AB10E5" w:rsidRPr="00881BC8" w:rsidRDefault="00AB10E5" w:rsidP="00AB10E5">
      <w:pPr>
        <w:rPr>
          <w:rFonts w:eastAsia="Times New Roman" w:cs="@Yu Mincho Light"/>
          <w:noProof/>
        </w:rPr>
      </w:pPr>
      <w:r w:rsidRPr="00881BC8">
        <w:rPr>
          <w:rFonts w:eastAsia="Times New Roman" w:cs="@Yu Mincho Light"/>
          <w:noProof/>
          <w:lang w:eastAsia="en-GB"/>
        </w:rPr>
        <w:drawing>
          <wp:inline distT="0" distB="0" distL="0" distR="0" wp14:anchorId="2FE2A803" wp14:editId="233B6A52">
            <wp:extent cx="3459600" cy="4564800"/>
            <wp:effectExtent l="0" t="0" r="7620" b="7620"/>
            <wp:docPr id="370643845" name="Picture 37064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3459600" cy="4564800"/>
                    </a:xfrm>
                    <a:prstGeom prst="rect">
                      <a:avLst/>
                    </a:prstGeom>
                  </pic:spPr>
                </pic:pic>
              </a:graphicData>
            </a:graphic>
          </wp:inline>
        </w:drawing>
      </w:r>
    </w:p>
    <w:p w14:paraId="22051990" w14:textId="77777777" w:rsidR="00AB10E5" w:rsidRPr="000F7594" w:rsidRDefault="00AB10E5" w:rsidP="0026294A">
      <w:pPr>
        <w:pStyle w:val="Caption"/>
        <w:rPr>
          <w:noProof/>
          <w:lang w:val="fr-BE"/>
        </w:rPr>
      </w:pPr>
      <w:r w:rsidRPr="000F7594">
        <w:rPr>
          <w:rFonts w:eastAsia="Times New Roman"/>
          <w:noProof/>
          <w:lang w:val="fr-BE"/>
        </w:rPr>
        <w:t xml:space="preserve">Source: DGCCRF: Repères: </w:t>
      </w:r>
      <w:r w:rsidRPr="000F7594">
        <w:rPr>
          <w:noProof/>
          <w:lang w:val="fr-BE"/>
        </w:rPr>
        <w:t>Les contrôles de la DGCCRF</w:t>
      </w:r>
    </w:p>
    <w:p w14:paraId="38B272AB" w14:textId="0C4B0B22" w:rsidR="00AB10E5" w:rsidRPr="00881BC8" w:rsidRDefault="00AB10E5" w:rsidP="004835F8">
      <w:pPr>
        <w:pStyle w:val="NormalPara"/>
        <w:rPr>
          <w:bCs/>
          <w:noProof/>
          <w:lang w:val="en-GB"/>
        </w:rPr>
      </w:pPr>
      <w:r w:rsidRPr="00881BC8">
        <w:rPr>
          <w:bCs/>
          <w:noProof/>
          <w:lang w:val="en-GB"/>
        </w:rPr>
        <w:t>Investigations are initiated either on the basis of complaints, or ex officio. The powers of investigation of the DGCCRF and its departmental ramifications, are laid down in the law</w:t>
      </w:r>
      <w:r w:rsidRPr="00881BC8">
        <w:rPr>
          <w:bCs/>
          <w:noProof/>
          <w:vertAlign w:val="superscript"/>
          <w:lang w:val="en-GB"/>
        </w:rPr>
        <w:t>.</w:t>
      </w:r>
      <w:r w:rsidRPr="00881BC8">
        <w:rPr>
          <w:bCs/>
          <w:noProof/>
          <w:vertAlign w:val="superscript"/>
          <w:lang w:val="en-GB"/>
        </w:rPr>
        <w:footnoteReference w:id="200"/>
      </w:r>
      <w:r w:rsidRPr="00881BC8">
        <w:rPr>
          <w:bCs/>
          <w:noProof/>
          <w:vertAlign w:val="superscript"/>
          <w:lang w:val="en-GB"/>
        </w:rPr>
        <w:t xml:space="preserve">, </w:t>
      </w:r>
      <w:r w:rsidRPr="00881BC8">
        <w:rPr>
          <w:bCs/>
          <w:noProof/>
          <w:lang w:val="en-GB"/>
        </w:rPr>
        <w:t xml:space="preserve">and can be grouped in two main categories: ordinary powers (e.g. obtain documents, copies of contracts and invoices; </w:t>
      </w:r>
      <w:r w:rsidR="00303DFA" w:rsidRPr="00881BC8">
        <w:rPr>
          <w:bCs/>
          <w:noProof/>
          <w:lang w:val="en-GB"/>
        </w:rPr>
        <w:t>‘</w:t>
      </w:r>
      <w:r w:rsidRPr="00881BC8">
        <w:rPr>
          <w:bCs/>
          <w:noProof/>
          <w:lang w:val="en-GB"/>
        </w:rPr>
        <w:t>mystery shopping</w:t>
      </w:r>
      <w:r w:rsidR="00303DFA" w:rsidRPr="00881BC8">
        <w:rPr>
          <w:bCs/>
          <w:noProof/>
          <w:lang w:val="en-GB"/>
        </w:rPr>
        <w:t>’</w:t>
      </w:r>
      <w:r w:rsidRPr="00881BC8">
        <w:rPr>
          <w:bCs/>
          <w:noProof/>
          <w:lang w:val="en-GB"/>
        </w:rPr>
        <w:t>) and powers granted ad hoc by a Court order (</w:t>
      </w:r>
      <w:r w:rsidR="00136C8C" w:rsidRPr="00881BC8">
        <w:rPr>
          <w:bCs/>
          <w:noProof/>
          <w:lang w:val="en-GB"/>
        </w:rPr>
        <w:t>e.g.</w:t>
      </w:r>
      <w:r w:rsidRPr="00881BC8">
        <w:rPr>
          <w:bCs/>
          <w:noProof/>
          <w:lang w:val="en-GB"/>
        </w:rPr>
        <w:t xml:space="preserve"> search of the enterprise’s premises). Corrective and remedial measures are grouped in three categories: 1) </w:t>
      </w:r>
      <w:r w:rsidR="00303DFA" w:rsidRPr="00881BC8">
        <w:rPr>
          <w:bCs/>
          <w:noProof/>
          <w:lang w:val="en-GB"/>
        </w:rPr>
        <w:t>‘</w:t>
      </w:r>
      <w:r w:rsidRPr="00881BC8">
        <w:rPr>
          <w:bCs/>
          <w:noProof/>
          <w:lang w:val="en-GB"/>
        </w:rPr>
        <w:t>Educational</w:t>
      </w:r>
      <w:r w:rsidR="00303DFA" w:rsidRPr="00881BC8">
        <w:rPr>
          <w:bCs/>
          <w:noProof/>
          <w:lang w:val="en-GB"/>
        </w:rPr>
        <w:t>’</w:t>
      </w:r>
      <w:r w:rsidRPr="00881BC8">
        <w:rPr>
          <w:bCs/>
          <w:noProof/>
          <w:lang w:val="en-GB"/>
        </w:rPr>
        <w:t xml:space="preserve">, in case of low-severity breaches or offences, consisting, in general, of a written warning to the enterprise. 2) </w:t>
      </w:r>
      <w:r w:rsidR="00303DFA" w:rsidRPr="00881BC8">
        <w:rPr>
          <w:bCs/>
          <w:noProof/>
          <w:lang w:val="en-GB"/>
        </w:rPr>
        <w:t>‘</w:t>
      </w:r>
      <w:r w:rsidRPr="00881BC8">
        <w:rPr>
          <w:bCs/>
          <w:noProof/>
          <w:lang w:val="en-GB"/>
        </w:rPr>
        <w:t>Corrective</w:t>
      </w:r>
      <w:r w:rsidR="00303DFA" w:rsidRPr="00881BC8">
        <w:rPr>
          <w:bCs/>
          <w:noProof/>
          <w:lang w:val="en-GB"/>
        </w:rPr>
        <w:t>’</w:t>
      </w:r>
      <w:r w:rsidRPr="00881BC8">
        <w:rPr>
          <w:bCs/>
          <w:noProof/>
          <w:lang w:val="en-GB"/>
        </w:rPr>
        <w:t xml:space="preserve"> consisting in a formal injunction addressed to the enterprise requesting the adoption and implementation, within an identified deadline, of measures to correct the identified breach.</w:t>
      </w:r>
      <w:r w:rsidR="0091653A" w:rsidRPr="00881BC8">
        <w:rPr>
          <w:bCs/>
          <w:noProof/>
          <w:lang w:val="en-GB"/>
        </w:rPr>
        <w:t xml:space="preserve"> </w:t>
      </w:r>
      <w:r w:rsidRPr="00881BC8">
        <w:rPr>
          <w:bCs/>
          <w:noProof/>
          <w:lang w:val="en-GB"/>
        </w:rPr>
        <w:t xml:space="preserve">3) </w:t>
      </w:r>
      <w:r w:rsidR="00303DFA" w:rsidRPr="00881BC8">
        <w:rPr>
          <w:bCs/>
          <w:noProof/>
          <w:lang w:val="en-GB"/>
        </w:rPr>
        <w:t>‘</w:t>
      </w:r>
      <w:r w:rsidRPr="00881BC8">
        <w:rPr>
          <w:bCs/>
          <w:noProof/>
          <w:lang w:val="en-GB"/>
        </w:rPr>
        <w:t>Sanctions</w:t>
      </w:r>
      <w:r w:rsidR="00303DFA" w:rsidRPr="00881BC8">
        <w:rPr>
          <w:bCs/>
          <w:noProof/>
          <w:lang w:val="en-GB"/>
        </w:rPr>
        <w:t>’</w:t>
      </w:r>
      <w:r w:rsidRPr="00881BC8">
        <w:rPr>
          <w:bCs/>
          <w:noProof/>
          <w:lang w:val="en-GB"/>
        </w:rPr>
        <w:t xml:space="preserve"> in case of more serious degree of offences. </w:t>
      </w:r>
    </w:p>
    <w:p w14:paraId="30E5DD4B" w14:textId="77777777" w:rsidR="00AB10E5" w:rsidRPr="00881BC8" w:rsidRDefault="00AB10E5" w:rsidP="004835F8">
      <w:pPr>
        <w:pStyle w:val="NormalPara"/>
        <w:rPr>
          <w:bCs/>
          <w:noProof/>
          <w:lang w:val="en-GB"/>
        </w:rPr>
      </w:pPr>
      <w:r w:rsidRPr="00881BC8">
        <w:rPr>
          <w:bCs/>
          <w:noProof/>
          <w:lang w:val="en-GB"/>
        </w:rPr>
        <w:t xml:space="preserve">Investigations and sanctions are only one part of the mission of DGCCRF. It should also be emphasised the extensive educational/preventive work carried out to inform and provide guidance to businesses to ensure correct compliance with the rules. </w:t>
      </w:r>
    </w:p>
    <w:p w14:paraId="7D67518C" w14:textId="77777777" w:rsidR="00AB10E5" w:rsidRPr="00881BC8" w:rsidRDefault="00AB10E5" w:rsidP="004835F8">
      <w:pPr>
        <w:pStyle w:val="NormalPara"/>
        <w:rPr>
          <w:bCs/>
          <w:noProof/>
          <w:lang w:val="en-GB"/>
        </w:rPr>
      </w:pPr>
      <w:r w:rsidRPr="00881BC8">
        <w:rPr>
          <w:bCs/>
          <w:noProof/>
          <w:lang w:val="en-GB"/>
        </w:rPr>
        <w:t>In 2021, the DGCCRF inspected 1.272 establishments as part of its investigations into the compliance with payment terms, out of which 17 public companies and 610 companies having benefited from a loan guaranteed by the State (PGE). Measures adopted were distributed as follows: 48% warnings, 7% in injunctions, 45% sanctions</w:t>
      </w:r>
      <w:r w:rsidRPr="00881BC8">
        <w:rPr>
          <w:bCs/>
          <w:noProof/>
          <w:vertAlign w:val="superscript"/>
          <w:lang w:val="en-GB"/>
        </w:rPr>
        <w:footnoteReference w:id="201"/>
      </w:r>
      <w:r w:rsidRPr="00881BC8">
        <w:rPr>
          <w:bCs/>
          <w:noProof/>
          <w:lang w:val="en-GB"/>
        </w:rPr>
        <w:t xml:space="preserve">. </w:t>
      </w:r>
    </w:p>
    <w:p w14:paraId="7FB056C0" w14:textId="6D0CB1F9" w:rsidR="00AB10E5" w:rsidRPr="00881BC8" w:rsidRDefault="00AB10E5" w:rsidP="004835F8">
      <w:pPr>
        <w:pStyle w:val="NormalPara"/>
        <w:rPr>
          <w:bCs/>
          <w:noProof/>
          <w:lang w:val="en-GB"/>
        </w:rPr>
      </w:pPr>
      <w:r w:rsidRPr="00881BC8">
        <w:rPr>
          <w:bCs/>
          <w:noProof/>
          <w:lang w:val="en-GB"/>
        </w:rPr>
        <w:t xml:space="preserve">In 2022, the operational costs of the branch of the DGCCRF dedicated to the control of compliance with prompt payment rules in </w:t>
      </w:r>
      <w:r w:rsidR="00687B92" w:rsidRPr="00881BC8">
        <w:rPr>
          <w:bCs/>
          <w:noProof/>
          <w:lang w:val="en-GB"/>
        </w:rPr>
        <w:t>B2B</w:t>
      </w:r>
      <w:r w:rsidRPr="00881BC8">
        <w:rPr>
          <w:bCs/>
          <w:noProof/>
          <w:lang w:val="en-GB"/>
        </w:rPr>
        <w:t xml:space="preserve"> transactions were </w:t>
      </w:r>
      <w:r w:rsidR="00A77AA6" w:rsidRPr="00881BC8">
        <w:rPr>
          <w:bCs/>
          <w:noProof/>
          <w:lang w:val="en-GB"/>
        </w:rPr>
        <w:t>EUR </w:t>
      </w:r>
      <w:r w:rsidRPr="00881BC8">
        <w:rPr>
          <w:bCs/>
          <w:noProof/>
          <w:lang w:val="en-GB"/>
        </w:rPr>
        <w:t xml:space="preserve">8.41 million. Administrative sanctions collected for late payment in 2022: </w:t>
      </w:r>
      <w:r w:rsidR="00A77AA6" w:rsidRPr="00881BC8">
        <w:rPr>
          <w:bCs/>
          <w:noProof/>
          <w:lang w:val="en-GB"/>
        </w:rPr>
        <w:t>EUR </w:t>
      </w:r>
      <w:r w:rsidRPr="00881BC8">
        <w:rPr>
          <w:bCs/>
          <w:noProof/>
          <w:lang w:val="en-GB"/>
        </w:rPr>
        <w:t>18.2 million</w:t>
      </w:r>
      <w:r w:rsidRPr="00881BC8">
        <w:rPr>
          <w:bCs/>
          <w:noProof/>
          <w:vertAlign w:val="superscript"/>
          <w:lang w:val="en-GB"/>
        </w:rPr>
        <w:footnoteReference w:id="202"/>
      </w:r>
    </w:p>
    <w:p w14:paraId="2AFCFD5C" w14:textId="3495D019" w:rsidR="00AB10E5" w:rsidRPr="00881BC8" w:rsidRDefault="00AB10E5" w:rsidP="004835F8">
      <w:pPr>
        <w:pStyle w:val="AnnexLevel1"/>
        <w:rPr>
          <w:noProof/>
          <w:lang w:val="en-GB"/>
        </w:rPr>
      </w:pPr>
      <w:r w:rsidRPr="00881BC8">
        <w:rPr>
          <w:noProof/>
          <w:lang w:val="en-GB"/>
        </w:rPr>
        <w:t>Spain: Penalty regime for late payment in the road haulage</w:t>
      </w:r>
      <w:r w:rsidR="0091653A" w:rsidRPr="00881BC8">
        <w:rPr>
          <w:noProof/>
          <w:lang w:val="en-GB"/>
        </w:rPr>
        <w:t xml:space="preserve"> </w:t>
      </w:r>
      <w:r w:rsidRPr="00881BC8">
        <w:rPr>
          <w:noProof/>
          <w:lang w:val="en-GB"/>
        </w:rPr>
        <w:t>sector</w:t>
      </w:r>
    </w:p>
    <w:p w14:paraId="469084C5" w14:textId="77777777" w:rsidR="00AB10E5" w:rsidRPr="00881BC8" w:rsidRDefault="00AB10E5" w:rsidP="004835F8">
      <w:pPr>
        <w:pStyle w:val="NormalPara"/>
        <w:rPr>
          <w:noProof/>
          <w:lang w:val="en-GB"/>
        </w:rPr>
      </w:pPr>
      <w:r w:rsidRPr="00881BC8">
        <w:rPr>
          <w:noProof/>
          <w:lang w:val="en-GB"/>
        </w:rPr>
        <w:t xml:space="preserve">In October 2021, Spain adopted a law on the reorganization of the road haulage sector, including specific measures to combat late payment </w:t>
      </w:r>
      <w:r w:rsidRPr="00881BC8">
        <w:rPr>
          <w:noProof/>
          <w:vertAlign w:val="superscript"/>
          <w:lang w:val="en-GB"/>
        </w:rPr>
        <w:footnoteReference w:id="203"/>
      </w:r>
    </w:p>
    <w:p w14:paraId="314244F2" w14:textId="26FCD767" w:rsidR="00AB10E5" w:rsidRPr="00881BC8" w:rsidRDefault="00AB10E5" w:rsidP="004835F8">
      <w:pPr>
        <w:pStyle w:val="NormalPara"/>
        <w:rPr>
          <w:noProof/>
          <w:lang w:val="en-GB"/>
        </w:rPr>
      </w:pPr>
      <w:r w:rsidRPr="00881BC8">
        <w:rPr>
          <w:noProof/>
          <w:lang w:val="en-GB"/>
        </w:rPr>
        <w:t xml:space="preserve">The explanatory memorandum of the law indicates that the fight against late payment in the field of transport is a priority </w:t>
      </w:r>
      <w:r w:rsidR="00303DFA" w:rsidRPr="00881BC8">
        <w:rPr>
          <w:noProof/>
          <w:lang w:val="en-GB"/>
        </w:rPr>
        <w:t>‘</w:t>
      </w:r>
      <w:r w:rsidRPr="00881BC8">
        <w:rPr>
          <w:noProof/>
          <w:lang w:val="en-GB"/>
        </w:rPr>
        <w:t>in the policies of the European Union</w:t>
      </w:r>
      <w:r w:rsidR="00303DFA" w:rsidRPr="00881BC8">
        <w:rPr>
          <w:noProof/>
          <w:lang w:val="en-GB"/>
        </w:rPr>
        <w:t>’</w:t>
      </w:r>
      <w:r w:rsidRPr="00881BC8">
        <w:rPr>
          <w:noProof/>
          <w:lang w:val="en-GB"/>
        </w:rPr>
        <w:t xml:space="preserve">. It recognizes that the different reforms carried out in this area have been insufficient or ineffective, in such a way that the average payment period in the sector is 90 days, which causes serious damage to a highly fragmented sector </w:t>
      </w:r>
    </w:p>
    <w:p w14:paraId="565BC769" w14:textId="2E427117" w:rsidR="00AB10E5" w:rsidRPr="00881BC8" w:rsidRDefault="00AB10E5" w:rsidP="004835F8">
      <w:pPr>
        <w:pStyle w:val="NormalPara"/>
        <w:rPr>
          <w:rFonts w:ascii="Calibri" w:eastAsia="Times New Roman" w:hAnsi="Calibri" w:cs="Calibri"/>
          <w:noProof/>
          <w:color w:val="000000"/>
          <w:sz w:val="27"/>
          <w:szCs w:val="27"/>
          <w:lang w:val="en-GB" w:eastAsia="en-GB"/>
        </w:rPr>
      </w:pPr>
      <w:r w:rsidRPr="00881BC8">
        <w:rPr>
          <w:noProof/>
          <w:lang w:val="en-GB"/>
        </w:rPr>
        <w:t>The purpose of the reform is to penalize non-compliance with the maximum payment term of 60 days in B2B transactions, as laid down in the Spanish national law transposing the LPD</w:t>
      </w:r>
      <w:r w:rsidRPr="00881BC8">
        <w:rPr>
          <w:noProof/>
          <w:vertAlign w:val="superscript"/>
          <w:lang w:val="en-GB"/>
        </w:rPr>
        <w:footnoteReference w:id="204"/>
      </w:r>
      <w:r w:rsidRPr="00881BC8">
        <w:rPr>
          <w:noProof/>
          <w:lang w:val="en-GB"/>
        </w:rPr>
        <w:t xml:space="preserve">: According to the road haulage law, the </w:t>
      </w:r>
      <w:r w:rsidR="00303DFA" w:rsidRPr="00881BC8">
        <w:rPr>
          <w:noProof/>
          <w:lang w:val="en-GB"/>
        </w:rPr>
        <w:t>‘</w:t>
      </w:r>
      <w:r w:rsidRPr="00881BC8">
        <w:rPr>
          <w:noProof/>
          <w:lang w:val="en-GB"/>
        </w:rPr>
        <w:t>default</w:t>
      </w:r>
      <w:r w:rsidR="00303DFA" w:rsidRPr="00881BC8">
        <w:rPr>
          <w:noProof/>
          <w:lang w:val="en-GB"/>
        </w:rPr>
        <w:t>’</w:t>
      </w:r>
      <w:r w:rsidRPr="00881BC8">
        <w:rPr>
          <w:noProof/>
          <w:lang w:val="en-GB"/>
        </w:rPr>
        <w:t xml:space="preserve"> payment term is 30 days,</w:t>
      </w:r>
      <w:r w:rsidR="00136C8C" w:rsidRPr="00881BC8">
        <w:rPr>
          <w:noProof/>
          <w:lang w:val="en-GB"/>
        </w:rPr>
        <w:t xml:space="preserve"> </w:t>
      </w:r>
      <w:r w:rsidRPr="00881BC8">
        <w:rPr>
          <w:noProof/>
          <w:lang w:val="en-GB"/>
        </w:rPr>
        <w:t>i.e. this is the payment term that applies if no specific agreement on the payment term has been made in the contract.</w:t>
      </w:r>
      <w:r w:rsidR="0091653A" w:rsidRPr="00881BC8">
        <w:rPr>
          <w:noProof/>
          <w:lang w:val="en-GB"/>
        </w:rPr>
        <w:t xml:space="preserve"> </w:t>
      </w:r>
      <w:r w:rsidRPr="00881BC8">
        <w:rPr>
          <w:noProof/>
          <w:lang w:val="en-GB"/>
        </w:rPr>
        <w:t xml:space="preserve">Payment terms longer than 30 days have to be explicitly agreed in writing. Payment terms of more than 60 days are prohibited. The law applies to all road haulage contracts, except those in which the debtor is a consumer and the value of the contract is below </w:t>
      </w:r>
      <w:r w:rsidR="00A77AA6" w:rsidRPr="00881BC8">
        <w:rPr>
          <w:rFonts w:eastAsia="Times New Roman"/>
          <w:noProof/>
          <w:lang w:val="en-GB"/>
        </w:rPr>
        <w:t>EUR</w:t>
      </w:r>
      <w:r w:rsidR="002E552C" w:rsidRPr="00881BC8">
        <w:rPr>
          <w:rFonts w:eastAsia="Times New Roman"/>
          <w:noProof/>
          <w:lang w:val="en-GB"/>
        </w:rPr>
        <w:t xml:space="preserve"> </w:t>
      </w:r>
      <w:r w:rsidRPr="00881BC8">
        <w:rPr>
          <w:noProof/>
          <w:lang w:val="en-GB"/>
        </w:rPr>
        <w:t>3</w:t>
      </w:r>
      <w:r w:rsidR="00A77AA6" w:rsidRPr="00881BC8">
        <w:rPr>
          <w:noProof/>
          <w:lang w:val="en-GB"/>
        </w:rPr>
        <w:t> </w:t>
      </w:r>
      <w:r w:rsidRPr="00881BC8">
        <w:rPr>
          <w:noProof/>
          <w:lang w:val="en-GB"/>
        </w:rPr>
        <w:t>000.</w:t>
      </w:r>
      <w:r w:rsidR="0091653A" w:rsidRPr="00881BC8">
        <w:rPr>
          <w:noProof/>
          <w:lang w:val="en-GB"/>
        </w:rPr>
        <w:t xml:space="preserve"> </w:t>
      </w:r>
    </w:p>
    <w:p w14:paraId="19FDFCA2" w14:textId="77777777" w:rsidR="00AB10E5" w:rsidRPr="00881BC8" w:rsidRDefault="00AB10E5" w:rsidP="004835F8">
      <w:pPr>
        <w:pStyle w:val="NormalPara"/>
        <w:rPr>
          <w:noProof/>
          <w:lang w:val="en-GB"/>
        </w:rPr>
      </w:pPr>
      <w:r w:rsidRPr="00881BC8">
        <w:rPr>
          <w:noProof/>
          <w:lang w:val="en-GB"/>
        </w:rPr>
        <w:t>In case of non-compliance the law lays down a detailed scale of sanctions that vary according to the amount owed (see box below). Additional penalties are issued in case of reiteration of the offense or in case of extremely long delays, such as the impounding of the vehicle until the payment of the corresponding pecuniary sanction is made.</w:t>
      </w:r>
    </w:p>
    <w:tbl>
      <w:tblPr>
        <w:tblStyle w:val="Deloitte1"/>
        <w:tblW w:w="0" w:type="auto"/>
        <w:tblBorders>
          <w:insideH w:val="none" w:sz="0" w:space="0" w:color="auto"/>
          <w:insideV w:val="none" w:sz="0" w:space="0" w:color="auto"/>
        </w:tblBorders>
        <w:tblLook w:val="04A0" w:firstRow="1" w:lastRow="0" w:firstColumn="1" w:lastColumn="0" w:noHBand="0" w:noVBand="1"/>
      </w:tblPr>
      <w:tblGrid>
        <w:gridCol w:w="8608"/>
      </w:tblGrid>
      <w:tr w:rsidR="00AB10E5" w:rsidRPr="00881BC8" w14:paraId="68C6E063" w14:textId="77777777" w:rsidTr="00BC52A0">
        <w:tc>
          <w:tcPr>
            <w:tcW w:w="8608" w:type="dxa"/>
          </w:tcPr>
          <w:p w14:paraId="3FD1A57F" w14:textId="77777777" w:rsidR="00AB10E5" w:rsidRPr="00881BC8" w:rsidRDefault="00AB10E5" w:rsidP="00BC52A0">
            <w:pPr>
              <w:spacing w:after="0"/>
              <w:rPr>
                <w:rFonts w:ascii="@Yu Mincho Light" w:hAnsi="@Yu Mincho Light" w:cstheme="minorHAnsi"/>
                <w:noProof/>
                <w:sz w:val="20"/>
                <w:szCs w:val="20"/>
              </w:rPr>
            </w:pPr>
            <w:r w:rsidRPr="00881BC8">
              <w:rPr>
                <w:rFonts w:ascii="@Yu Mincho Light" w:hAnsi="@Yu Mincho Light" w:cstheme="minorHAnsi"/>
                <w:noProof/>
                <w:sz w:val="20"/>
                <w:szCs w:val="20"/>
              </w:rPr>
              <w:t>€401 to €600 penalty when the price of transport is less than €1,000.</w:t>
            </w:r>
          </w:p>
        </w:tc>
      </w:tr>
      <w:tr w:rsidR="00AB10E5" w:rsidRPr="00881BC8" w14:paraId="4974CF97" w14:textId="77777777" w:rsidTr="00BC52A0">
        <w:tc>
          <w:tcPr>
            <w:tcW w:w="8608" w:type="dxa"/>
          </w:tcPr>
          <w:p w14:paraId="309B1B58" w14:textId="77777777" w:rsidR="00AB10E5" w:rsidRPr="00881BC8" w:rsidRDefault="00AB10E5" w:rsidP="00BC52A0">
            <w:pPr>
              <w:spacing w:after="0"/>
              <w:rPr>
                <w:rFonts w:ascii="@Yu Mincho Light" w:hAnsi="@Yu Mincho Light" w:cstheme="minorHAnsi"/>
                <w:noProof/>
                <w:sz w:val="20"/>
                <w:szCs w:val="20"/>
              </w:rPr>
            </w:pPr>
            <w:r w:rsidRPr="00881BC8">
              <w:rPr>
                <w:rFonts w:ascii="@Yu Mincho Light" w:hAnsi="@Yu Mincho Light" w:cstheme="minorHAnsi"/>
                <w:noProof/>
                <w:sz w:val="20"/>
                <w:szCs w:val="20"/>
              </w:rPr>
              <w:t>€601 to €800 penalty when the price of transport is between €1,000 and €1,500</w:t>
            </w:r>
          </w:p>
        </w:tc>
      </w:tr>
      <w:tr w:rsidR="00AB10E5" w:rsidRPr="00881BC8" w14:paraId="183FB9DA" w14:textId="77777777" w:rsidTr="00BC52A0">
        <w:tc>
          <w:tcPr>
            <w:tcW w:w="8608" w:type="dxa"/>
          </w:tcPr>
          <w:p w14:paraId="214CBEC8" w14:textId="77777777" w:rsidR="00AB10E5" w:rsidRPr="00881BC8" w:rsidRDefault="00AB10E5" w:rsidP="00BC52A0">
            <w:pPr>
              <w:spacing w:after="0"/>
              <w:rPr>
                <w:rFonts w:ascii="@Yu Mincho Light" w:hAnsi="@Yu Mincho Light" w:cstheme="minorHAnsi"/>
                <w:noProof/>
                <w:sz w:val="20"/>
                <w:szCs w:val="20"/>
              </w:rPr>
            </w:pPr>
            <w:r w:rsidRPr="00881BC8">
              <w:rPr>
                <w:rFonts w:ascii="@Yu Mincho Light" w:hAnsi="@Yu Mincho Light" w:cstheme="minorHAnsi"/>
                <w:noProof/>
                <w:sz w:val="20"/>
                <w:szCs w:val="20"/>
              </w:rPr>
              <w:t>€801 to €1,000 penalty when the transport price is between €1,501 and €3,000</w:t>
            </w:r>
          </w:p>
        </w:tc>
      </w:tr>
      <w:tr w:rsidR="00AB10E5" w:rsidRPr="00881BC8" w14:paraId="560D1E4E" w14:textId="77777777" w:rsidTr="00BC52A0">
        <w:tc>
          <w:tcPr>
            <w:tcW w:w="8608" w:type="dxa"/>
          </w:tcPr>
          <w:p w14:paraId="5FC9A6B4" w14:textId="77777777" w:rsidR="00AB10E5" w:rsidRPr="00881BC8" w:rsidRDefault="00AB10E5" w:rsidP="00BC52A0">
            <w:pPr>
              <w:spacing w:after="0"/>
              <w:rPr>
                <w:rFonts w:ascii="@Yu Mincho Light" w:hAnsi="@Yu Mincho Light" w:cstheme="minorHAnsi"/>
                <w:noProof/>
                <w:sz w:val="20"/>
                <w:szCs w:val="20"/>
              </w:rPr>
            </w:pPr>
            <w:r w:rsidRPr="00881BC8">
              <w:rPr>
                <w:rFonts w:ascii="@Yu Mincho Light" w:hAnsi="@Yu Mincho Light" w:cstheme="minorHAnsi"/>
                <w:noProof/>
                <w:sz w:val="20"/>
                <w:szCs w:val="20"/>
              </w:rPr>
              <w:t>€1001 to €2,000 penalty when the price of transport is between €3,001 and €4,000</w:t>
            </w:r>
          </w:p>
        </w:tc>
      </w:tr>
      <w:tr w:rsidR="00AB10E5" w:rsidRPr="00881BC8" w14:paraId="3CF71176" w14:textId="77777777" w:rsidTr="00BC52A0">
        <w:tc>
          <w:tcPr>
            <w:tcW w:w="8608" w:type="dxa"/>
          </w:tcPr>
          <w:p w14:paraId="50508B26" w14:textId="77777777" w:rsidR="00AB10E5" w:rsidRPr="00881BC8" w:rsidRDefault="00AB10E5" w:rsidP="00BC52A0">
            <w:pPr>
              <w:spacing w:after="0"/>
              <w:rPr>
                <w:rFonts w:ascii="@Yu Mincho Light" w:hAnsi="@Yu Mincho Light" w:cstheme="minorHAnsi"/>
                <w:noProof/>
                <w:sz w:val="20"/>
                <w:szCs w:val="20"/>
              </w:rPr>
            </w:pPr>
            <w:r w:rsidRPr="00881BC8">
              <w:rPr>
                <w:rFonts w:ascii="@Yu Mincho Light" w:hAnsi="@Yu Mincho Light" w:cstheme="minorHAnsi"/>
                <w:noProof/>
                <w:sz w:val="20"/>
                <w:szCs w:val="20"/>
              </w:rPr>
              <w:t>€2001 to €4,000 penalty when the transport price is between €4,001 and €6,000</w:t>
            </w:r>
          </w:p>
        </w:tc>
      </w:tr>
      <w:tr w:rsidR="00AB10E5" w:rsidRPr="00881BC8" w14:paraId="73CA5D79" w14:textId="77777777" w:rsidTr="00BC52A0">
        <w:tc>
          <w:tcPr>
            <w:tcW w:w="8608" w:type="dxa"/>
          </w:tcPr>
          <w:p w14:paraId="6D65C1D8" w14:textId="77777777" w:rsidR="00AB10E5" w:rsidRPr="00881BC8" w:rsidRDefault="00AB10E5" w:rsidP="00BC52A0">
            <w:pPr>
              <w:spacing w:after="0"/>
              <w:rPr>
                <w:rFonts w:ascii="@Yu Mincho Light" w:hAnsi="@Yu Mincho Light" w:cstheme="minorHAnsi"/>
                <w:noProof/>
                <w:sz w:val="20"/>
                <w:szCs w:val="20"/>
              </w:rPr>
            </w:pPr>
            <w:r w:rsidRPr="00881BC8">
              <w:rPr>
                <w:rFonts w:ascii="@Yu Mincho Light" w:hAnsi="@Yu Mincho Light" w:cstheme="minorHAnsi"/>
                <w:noProof/>
                <w:sz w:val="20"/>
                <w:szCs w:val="20"/>
              </w:rPr>
              <w:t>€4001 to €6,000 penalty when the price of transport is greater than €6,000.</w:t>
            </w:r>
          </w:p>
        </w:tc>
      </w:tr>
      <w:tr w:rsidR="00AB10E5" w:rsidRPr="00881BC8" w14:paraId="4598F10F" w14:textId="77777777" w:rsidTr="00BC52A0">
        <w:tc>
          <w:tcPr>
            <w:tcW w:w="8608" w:type="dxa"/>
          </w:tcPr>
          <w:p w14:paraId="3570DB47" w14:textId="77777777" w:rsidR="00AB10E5" w:rsidRPr="00881BC8" w:rsidRDefault="00AB10E5" w:rsidP="00BC52A0">
            <w:pPr>
              <w:spacing w:after="0"/>
              <w:rPr>
                <w:rFonts w:ascii="@Yu Mincho Light" w:hAnsi="@Yu Mincho Light" w:cstheme="minorHAnsi"/>
                <w:noProof/>
                <w:sz w:val="20"/>
                <w:szCs w:val="20"/>
              </w:rPr>
            </w:pPr>
            <w:r w:rsidRPr="00881BC8">
              <w:rPr>
                <w:rFonts w:ascii="@Yu Mincho Light" w:hAnsi="@Yu Mincho Light" w:cstheme="minorHAnsi"/>
                <w:noProof/>
                <w:sz w:val="20"/>
                <w:szCs w:val="20"/>
              </w:rPr>
              <w:t>€6001 to €18,000 penalty for repeat offenders.</w:t>
            </w:r>
          </w:p>
        </w:tc>
      </w:tr>
      <w:tr w:rsidR="00AB10E5" w:rsidRPr="00881BC8" w14:paraId="0AF8DA4F" w14:textId="77777777" w:rsidTr="00BC52A0">
        <w:tc>
          <w:tcPr>
            <w:tcW w:w="8608" w:type="dxa"/>
          </w:tcPr>
          <w:p w14:paraId="1764A41E" w14:textId="77777777" w:rsidR="00AB10E5" w:rsidRPr="00881BC8" w:rsidRDefault="00AB10E5" w:rsidP="00BC52A0">
            <w:pPr>
              <w:spacing w:after="0"/>
              <w:rPr>
                <w:rFonts w:ascii="@Yu Mincho Light" w:hAnsi="@Yu Mincho Light" w:cstheme="minorHAnsi"/>
                <w:noProof/>
                <w:sz w:val="20"/>
                <w:szCs w:val="20"/>
              </w:rPr>
            </w:pPr>
            <w:r w:rsidRPr="00881BC8">
              <w:rPr>
                <w:rFonts w:ascii="@Yu Mincho Light" w:hAnsi="@Yu Mincho Light" w:cstheme="minorHAnsi"/>
                <w:noProof/>
                <w:sz w:val="20"/>
                <w:szCs w:val="20"/>
              </w:rPr>
              <w:t>Up to a €30,000 penalty in cases in which the legal payment term is exceeded by more than 120 days, or when non-payment is considered to significantly affect the economic capacity of the aggravated company</w:t>
            </w:r>
          </w:p>
        </w:tc>
      </w:tr>
    </w:tbl>
    <w:p w14:paraId="0F40F0F4" w14:textId="77777777" w:rsidR="0026294A" w:rsidRPr="00881BC8" w:rsidRDefault="0026294A" w:rsidP="0026294A">
      <w:pPr>
        <w:rPr>
          <w:noProof/>
        </w:rPr>
      </w:pPr>
    </w:p>
    <w:p w14:paraId="1467352B" w14:textId="58E9752C" w:rsidR="00AB10E5" w:rsidRPr="00881BC8" w:rsidRDefault="00AB10E5" w:rsidP="004835F8">
      <w:pPr>
        <w:pStyle w:val="NormalPara"/>
        <w:rPr>
          <w:noProof/>
          <w:lang w:val="en-GB"/>
        </w:rPr>
      </w:pPr>
      <w:r w:rsidRPr="00881BC8">
        <w:rPr>
          <w:noProof/>
          <w:lang w:val="en-GB"/>
        </w:rPr>
        <w:t>The law foresees that companies that have been found as non-compliant and sanctioned shall be reported on line (</w:t>
      </w:r>
      <w:r w:rsidR="00303DFA" w:rsidRPr="00881BC8">
        <w:rPr>
          <w:noProof/>
          <w:lang w:val="en-GB"/>
        </w:rPr>
        <w:t>‘</w:t>
      </w:r>
      <w:r w:rsidRPr="00881BC8">
        <w:rPr>
          <w:noProof/>
          <w:lang w:val="en-GB"/>
        </w:rPr>
        <w:t>name and shame</w:t>
      </w:r>
      <w:r w:rsidR="00303DFA" w:rsidRPr="00881BC8">
        <w:rPr>
          <w:noProof/>
          <w:lang w:val="en-GB"/>
        </w:rPr>
        <w:t>’</w:t>
      </w:r>
      <w:r w:rsidRPr="00881BC8">
        <w:rPr>
          <w:noProof/>
          <w:lang w:val="en-GB"/>
        </w:rPr>
        <w:t xml:space="preserve">) in the website of the Ministry of Transport. In 2022, the </w:t>
      </w:r>
      <w:r w:rsidR="00EE5628" w:rsidRPr="00881BC8">
        <w:rPr>
          <w:noProof/>
          <w:lang w:val="en-GB"/>
        </w:rPr>
        <w:t>m</w:t>
      </w:r>
      <w:r w:rsidRPr="00881BC8">
        <w:rPr>
          <w:noProof/>
          <w:lang w:val="en-GB"/>
        </w:rPr>
        <w:t>inistry launched the anonymous complaints mailbox service to report possible infringements or non-compliance and thus help make the inspection more agile and effective</w:t>
      </w:r>
      <w:r w:rsidRPr="00881BC8">
        <w:rPr>
          <w:noProof/>
          <w:vertAlign w:val="superscript"/>
          <w:lang w:val="en-GB"/>
        </w:rPr>
        <w:footnoteReference w:id="205"/>
      </w:r>
      <w:r w:rsidRPr="00881BC8">
        <w:rPr>
          <w:noProof/>
          <w:lang w:val="en-GB"/>
        </w:rPr>
        <w:t>.</w:t>
      </w:r>
    </w:p>
    <w:p w14:paraId="3E233865" w14:textId="77777777" w:rsidR="000C28C3" w:rsidRPr="00881BC8" w:rsidRDefault="000C28C3" w:rsidP="000C28C3">
      <w:pPr>
        <w:rPr>
          <w:noProof/>
        </w:rPr>
      </w:pPr>
    </w:p>
    <w:p w14:paraId="02204964" w14:textId="6B586686" w:rsidR="000C28C3" w:rsidRPr="00881BC8" w:rsidRDefault="000C28C3">
      <w:pPr>
        <w:spacing w:after="200" w:line="276" w:lineRule="auto"/>
        <w:jc w:val="left"/>
        <w:rPr>
          <w:noProof/>
        </w:rPr>
      </w:pPr>
      <w:r w:rsidRPr="00881BC8">
        <w:rPr>
          <w:noProof/>
        </w:rPr>
        <w:br w:type="page"/>
      </w:r>
    </w:p>
    <w:p w14:paraId="3F6362C2" w14:textId="3F9BA9A5" w:rsidR="006B087E" w:rsidRPr="00881BC8" w:rsidRDefault="006B087E" w:rsidP="00CF2B67">
      <w:pPr>
        <w:pStyle w:val="AnnexTitle"/>
        <w:rPr>
          <w:noProof/>
        </w:rPr>
      </w:pPr>
      <w:bookmarkStart w:id="1058" w:name="Annex10"/>
      <w:bookmarkStart w:id="1059" w:name="_Toc129710217"/>
      <w:bookmarkStart w:id="1060" w:name="_Toc129899930"/>
      <w:bookmarkStart w:id="1061" w:name="_Toc135237459"/>
      <w:r w:rsidRPr="00881BC8">
        <w:rPr>
          <w:noProof/>
        </w:rPr>
        <w:t xml:space="preserve">Annex </w:t>
      </w:r>
      <w:r w:rsidR="00440140" w:rsidRPr="00881BC8">
        <w:rPr>
          <w:noProof/>
        </w:rPr>
        <w:t>10</w:t>
      </w:r>
      <w:bookmarkEnd w:id="1058"/>
      <w:r w:rsidRPr="00881BC8">
        <w:rPr>
          <w:noProof/>
        </w:rPr>
        <w:t xml:space="preserve">: </w:t>
      </w:r>
      <w:r w:rsidR="00CF2AD0" w:rsidRPr="00881BC8">
        <w:rPr>
          <w:noProof/>
        </w:rPr>
        <w:t>Indicative l</w:t>
      </w:r>
      <w:r w:rsidR="004E00FC" w:rsidRPr="00881BC8">
        <w:rPr>
          <w:noProof/>
        </w:rPr>
        <w:t xml:space="preserve">ist of </w:t>
      </w:r>
      <w:r w:rsidR="00CF2AD0" w:rsidRPr="00881BC8">
        <w:rPr>
          <w:noProof/>
        </w:rPr>
        <w:t xml:space="preserve">examples of </w:t>
      </w:r>
      <w:r w:rsidR="00955A45" w:rsidRPr="00881BC8">
        <w:rPr>
          <w:noProof/>
        </w:rPr>
        <w:t>u</w:t>
      </w:r>
      <w:r w:rsidR="004E00FC" w:rsidRPr="00881BC8">
        <w:rPr>
          <w:noProof/>
        </w:rPr>
        <w:t xml:space="preserve">nfair </w:t>
      </w:r>
      <w:r w:rsidR="00955A45" w:rsidRPr="00881BC8">
        <w:rPr>
          <w:noProof/>
        </w:rPr>
        <w:t>p</w:t>
      </w:r>
      <w:r w:rsidR="004E00FC" w:rsidRPr="00881BC8">
        <w:rPr>
          <w:noProof/>
        </w:rPr>
        <w:t xml:space="preserve">ayment </w:t>
      </w:r>
      <w:r w:rsidR="00955A45" w:rsidRPr="00881BC8">
        <w:rPr>
          <w:noProof/>
        </w:rPr>
        <w:t>p</w:t>
      </w:r>
      <w:r w:rsidR="004E00FC" w:rsidRPr="00881BC8">
        <w:rPr>
          <w:noProof/>
        </w:rPr>
        <w:t>ractices</w:t>
      </w:r>
      <w:bookmarkEnd w:id="1059"/>
      <w:bookmarkEnd w:id="1060"/>
      <w:bookmarkEnd w:id="1061"/>
      <w:r w:rsidR="0091653A" w:rsidRPr="00881BC8">
        <w:rPr>
          <w:noProof/>
        </w:rPr>
        <w:t xml:space="preserve"> </w:t>
      </w:r>
    </w:p>
    <w:p w14:paraId="383DF802" w14:textId="4D856852" w:rsidR="00C92FC5" w:rsidRPr="00881BC8" w:rsidRDefault="00C92FC5" w:rsidP="004835F8">
      <w:pPr>
        <w:pStyle w:val="NormalPara"/>
        <w:rPr>
          <w:noProof/>
          <w:lang w:val="en-GB"/>
        </w:rPr>
      </w:pPr>
      <w:r w:rsidRPr="00881BC8">
        <w:rPr>
          <w:noProof/>
          <w:lang w:val="en-GB"/>
        </w:rPr>
        <w:t xml:space="preserve">The LPD (Recital 28) states that the abuse of freedom of contract to the disadvantage of the creditor, to the sole purpose of increasing the debtors’ liquidity, should be prohibited, as it is grossly unfair to the creditor. </w:t>
      </w:r>
    </w:p>
    <w:p w14:paraId="3C602E62" w14:textId="05846E05" w:rsidR="00C92FC5" w:rsidRPr="00881BC8" w:rsidRDefault="008A5C93" w:rsidP="004835F8">
      <w:pPr>
        <w:pStyle w:val="NormalPara"/>
        <w:rPr>
          <w:noProof/>
          <w:lang w:val="en-GB"/>
        </w:rPr>
      </w:pPr>
      <w:r w:rsidRPr="00881BC8">
        <w:rPr>
          <w:noProof/>
          <w:lang w:val="en-GB"/>
        </w:rPr>
        <w:t>U</w:t>
      </w:r>
      <w:r w:rsidR="00C92FC5" w:rsidRPr="00881BC8">
        <w:rPr>
          <w:noProof/>
          <w:lang w:val="en-GB"/>
        </w:rPr>
        <w:t xml:space="preserve">nfair payment practices or provisions are </w:t>
      </w:r>
      <w:r w:rsidRPr="00881BC8">
        <w:rPr>
          <w:noProof/>
          <w:lang w:val="en-GB"/>
        </w:rPr>
        <w:t xml:space="preserve">nonetheless </w:t>
      </w:r>
      <w:r w:rsidR="00C92FC5" w:rsidRPr="00881BC8">
        <w:rPr>
          <w:noProof/>
          <w:lang w:val="en-GB"/>
        </w:rPr>
        <w:t xml:space="preserve">very common in commercial partnerships where the number of alternative buyers is much smaller than the number of alternative suppliers. This situation makes it easy for buyers to dictate </w:t>
      </w:r>
      <w:r w:rsidR="004C4188" w:rsidRPr="00881BC8">
        <w:rPr>
          <w:noProof/>
          <w:lang w:val="en-GB"/>
        </w:rPr>
        <w:t>terms and</w:t>
      </w:r>
      <w:r w:rsidR="00C92FC5" w:rsidRPr="00881BC8">
        <w:rPr>
          <w:noProof/>
          <w:lang w:val="en-GB"/>
        </w:rPr>
        <w:t xml:space="preserve"> make take-it-or-leave-it offers. This also explains why small businesses are reluctant to use the LPD’s remedies as a way to obtain redress or prevent unfair contractual behaviour. It also explains the so called </w:t>
      </w:r>
      <w:r w:rsidR="00303DFA" w:rsidRPr="00881BC8">
        <w:rPr>
          <w:noProof/>
          <w:lang w:val="en-GB"/>
        </w:rPr>
        <w:t>‘</w:t>
      </w:r>
      <w:r w:rsidR="00C92FC5" w:rsidRPr="00881BC8">
        <w:rPr>
          <w:noProof/>
          <w:lang w:val="en-GB"/>
        </w:rPr>
        <w:t>fear factor</w:t>
      </w:r>
      <w:r w:rsidR="00303DFA" w:rsidRPr="00881BC8">
        <w:rPr>
          <w:noProof/>
          <w:lang w:val="en-GB"/>
        </w:rPr>
        <w:t>’</w:t>
      </w:r>
      <w:r w:rsidR="00C92FC5" w:rsidRPr="00881BC8">
        <w:rPr>
          <w:noProof/>
          <w:lang w:val="en-GB"/>
        </w:rPr>
        <w:t>, often reported by small suppliers, who are reluctant to take steps to tackle unfair behaviour, or even claim interests and compensations when they are paid late.</w:t>
      </w:r>
      <w:r w:rsidR="002E552C" w:rsidRPr="00881BC8">
        <w:rPr>
          <w:noProof/>
          <w:lang w:val="en-GB"/>
        </w:rPr>
        <w:t xml:space="preserve"> </w:t>
      </w:r>
    </w:p>
    <w:p w14:paraId="50E02E48" w14:textId="2C35AA9F" w:rsidR="00C92FC5" w:rsidRPr="00881BC8" w:rsidRDefault="00C92FC5" w:rsidP="004835F8">
      <w:pPr>
        <w:pStyle w:val="AnnexLevel1"/>
        <w:rPr>
          <w:noProof/>
          <w:lang w:val="en-GB"/>
        </w:rPr>
      </w:pPr>
      <w:r w:rsidRPr="00881BC8">
        <w:rPr>
          <w:noProof/>
          <w:lang w:val="en-GB"/>
        </w:rPr>
        <w:t xml:space="preserve">Unfair Payment practices in the </w:t>
      </w:r>
      <w:r w:rsidR="004C4188" w:rsidRPr="00881BC8">
        <w:rPr>
          <w:noProof/>
          <w:lang w:val="en-GB"/>
        </w:rPr>
        <w:t>c</w:t>
      </w:r>
      <w:r w:rsidRPr="00881BC8">
        <w:rPr>
          <w:noProof/>
          <w:lang w:val="en-GB"/>
        </w:rPr>
        <w:t xml:space="preserve">onstruction </w:t>
      </w:r>
      <w:r w:rsidR="004C4188" w:rsidRPr="00881BC8">
        <w:rPr>
          <w:noProof/>
          <w:lang w:val="en-GB"/>
        </w:rPr>
        <w:t>s</w:t>
      </w:r>
      <w:r w:rsidRPr="00881BC8">
        <w:rPr>
          <w:noProof/>
          <w:lang w:val="en-GB"/>
        </w:rPr>
        <w:t xml:space="preserve">ector </w:t>
      </w:r>
      <w:r w:rsidRPr="00881BC8">
        <w:rPr>
          <w:noProof/>
          <w:vertAlign w:val="superscript"/>
          <w:lang w:val="en-GB"/>
        </w:rPr>
        <w:footnoteReference w:id="206"/>
      </w:r>
    </w:p>
    <w:p w14:paraId="435C6157" w14:textId="57895E8A" w:rsidR="00C92FC5" w:rsidRPr="00881BC8" w:rsidRDefault="00C92FC5" w:rsidP="004835F8">
      <w:pPr>
        <w:pStyle w:val="NormalPara"/>
        <w:rPr>
          <w:noProof/>
          <w:lang w:val="en-GB"/>
        </w:rPr>
      </w:pPr>
      <w:r w:rsidRPr="00881BC8">
        <w:rPr>
          <w:noProof/>
          <w:lang w:val="en-GB"/>
        </w:rPr>
        <w:t>The EU construction sector epitomises under many extents how unfair payment practices spread along supply chains and affect SMEs. Tier 1 contractors (large contractors, clients of large public works contracts) often exert considerable commercial pressure on subcontractors (Tier 2) to agree longer payment terms in order to boost their cash flow. On the contrary, Tier 2 and Tier 3 subcontractors are often reluctant to challenge current unfair payment practices, because of clients-contractor relationships and fear of being dropout from the supply chain.</w:t>
      </w:r>
    </w:p>
    <w:p w14:paraId="4A0F10A2" w14:textId="77777777" w:rsidR="00C92FC5" w:rsidRPr="00881BC8" w:rsidRDefault="00C92FC5" w:rsidP="004835F8">
      <w:pPr>
        <w:pStyle w:val="NormalPara"/>
        <w:rPr>
          <w:noProof/>
          <w:lang w:val="en-GB"/>
        </w:rPr>
      </w:pPr>
      <w:r w:rsidRPr="00881BC8">
        <w:rPr>
          <w:noProof/>
          <w:lang w:val="en-GB"/>
        </w:rPr>
        <w:t>Generically, contractual payments procedures allow for weekly or monthly remittance of money to supply chain; but distribution of payments to subcontractors Tier 1 to Tier 2 contractors are often lopsided. The cascade payment method in construction also known as hierarchical contractual framework gives Tier 1 contractor dominant bargaining position over subcontractors’ payment. Yet, it is a common practice to see subcontractors that carryout over 74% of major work, wait for 60 days to receive payments due to commercial influence of Tier 1 contractors and unfair payment practices.</w:t>
      </w:r>
    </w:p>
    <w:p w14:paraId="3EFE0260" w14:textId="77777777" w:rsidR="00C92FC5" w:rsidRPr="00881BC8" w:rsidRDefault="00C92FC5" w:rsidP="00C92FC5">
      <w:pPr>
        <w:widowControl w:val="0"/>
        <w:tabs>
          <w:tab w:val="left" w:pos="284"/>
        </w:tabs>
        <w:spacing w:before="240" w:after="200"/>
        <w:ind w:left="-284"/>
        <w:rPr>
          <w:noProof/>
        </w:rPr>
      </w:pPr>
      <w:r w:rsidRPr="00881BC8">
        <w:rPr>
          <w:noProof/>
          <w:lang w:eastAsia="en-GB"/>
        </w:rPr>
        <w:drawing>
          <wp:inline distT="0" distB="0" distL="0" distR="0" wp14:anchorId="564F0750" wp14:editId="30D86E44">
            <wp:extent cx="3746858" cy="2103638"/>
            <wp:effectExtent l="0" t="0" r="6350" b="0"/>
            <wp:docPr id="370643844" name="Picture 37064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746858" cy="2103638"/>
                    </a:xfrm>
                    <a:prstGeom prst="rect">
                      <a:avLst/>
                    </a:prstGeom>
                  </pic:spPr>
                </pic:pic>
              </a:graphicData>
            </a:graphic>
          </wp:inline>
        </w:drawing>
      </w:r>
    </w:p>
    <w:p w14:paraId="31ADE974" w14:textId="4BFCB7C9" w:rsidR="00C92FC5" w:rsidRPr="00881BC8" w:rsidRDefault="00C92FC5" w:rsidP="004835F8">
      <w:pPr>
        <w:pStyle w:val="AnnexLevel1"/>
        <w:rPr>
          <w:noProof/>
          <w:lang w:val="en-GB"/>
        </w:rPr>
      </w:pPr>
      <w:r w:rsidRPr="00881BC8">
        <w:rPr>
          <w:noProof/>
          <w:lang w:val="en-GB"/>
        </w:rPr>
        <w:t>Most common unfair practices both in G2B and B2B transactions</w:t>
      </w:r>
    </w:p>
    <w:p w14:paraId="77E1D30A" w14:textId="77777777" w:rsidR="00C92FC5" w:rsidRPr="00881BC8" w:rsidRDefault="00C92FC5" w:rsidP="004835F8">
      <w:pPr>
        <w:pStyle w:val="NormalPara"/>
        <w:rPr>
          <w:noProof/>
          <w:lang w:val="en-GB"/>
        </w:rPr>
      </w:pPr>
      <w:r w:rsidRPr="00881BC8">
        <w:rPr>
          <w:noProof/>
          <w:lang w:val="en-GB"/>
        </w:rPr>
        <w:t>Identifying unfair payment practices and clauses is not an easy task. The overwhelming majority of SMEs are extremely reluctant to report these clauses and practices even to the business associations that are supposed to represent and protect them, under Article 7 (5) of the LPD, out of fear of losing clients and businesses opportunities. Those SMEs who report, prefer to stay anonymous</w:t>
      </w:r>
      <w:r w:rsidRPr="00881BC8">
        <w:rPr>
          <w:noProof/>
          <w:vertAlign w:val="superscript"/>
          <w:lang w:val="en-GB"/>
        </w:rPr>
        <w:footnoteReference w:id="207"/>
      </w:r>
      <w:r w:rsidRPr="00881BC8">
        <w:rPr>
          <w:noProof/>
          <w:lang w:val="en-GB"/>
        </w:rPr>
        <w:t xml:space="preserve">. </w:t>
      </w:r>
    </w:p>
    <w:p w14:paraId="2D6A26E9" w14:textId="77777777" w:rsidR="00C92FC5" w:rsidRPr="00881BC8" w:rsidRDefault="00C92FC5" w:rsidP="004835F8">
      <w:pPr>
        <w:pStyle w:val="NormalPara"/>
        <w:rPr>
          <w:noProof/>
          <w:lang w:val="en-GB"/>
        </w:rPr>
      </w:pPr>
      <w:r w:rsidRPr="00881BC8">
        <w:rPr>
          <w:noProof/>
          <w:lang w:val="en-GB"/>
        </w:rPr>
        <w:t>The following list has been drawn on the basis of existing literature</w:t>
      </w:r>
      <w:r w:rsidRPr="00881BC8">
        <w:rPr>
          <w:noProof/>
          <w:vertAlign w:val="superscript"/>
          <w:lang w:val="en-GB"/>
        </w:rPr>
        <w:footnoteReference w:id="208"/>
      </w:r>
      <w:r w:rsidRPr="00881BC8">
        <w:rPr>
          <w:noProof/>
          <w:lang w:val="en-GB"/>
        </w:rPr>
        <w:t>, contributions from business associations</w:t>
      </w:r>
      <w:r w:rsidRPr="00881BC8">
        <w:rPr>
          <w:noProof/>
          <w:vertAlign w:val="superscript"/>
          <w:lang w:val="en-GB"/>
        </w:rPr>
        <w:footnoteReference w:id="209"/>
      </w:r>
      <w:r w:rsidRPr="00881BC8">
        <w:rPr>
          <w:noProof/>
          <w:lang w:val="en-GB"/>
        </w:rPr>
        <w:t>, practices identified by the Commission in the course of infringement procedures, and anecdotal evidence provided to the Commissions services by SME stakeholders. This list, far from capturing the overall extent of existing unfair practices and clauses, provides however an insight into how these practices work:</w:t>
      </w:r>
    </w:p>
    <w:p w14:paraId="5C639149" w14:textId="05AF436C" w:rsidR="00C92FC5" w:rsidRPr="00881BC8" w:rsidRDefault="00C92FC5" w:rsidP="004835F8">
      <w:pPr>
        <w:numPr>
          <w:ilvl w:val="0"/>
          <w:numId w:val="40"/>
        </w:numPr>
        <w:spacing w:after="0" w:line="276" w:lineRule="auto"/>
        <w:contextualSpacing/>
        <w:rPr>
          <w:bCs/>
          <w:noProof/>
        </w:rPr>
      </w:pPr>
      <w:r w:rsidRPr="00881BC8">
        <w:rPr>
          <w:bCs/>
          <w:noProof/>
        </w:rPr>
        <w:t xml:space="preserve">Contingent clauses: i.e. the debtor makes the payment to the creditor contingent on future events that do not depend on the creditor. Typical examples are </w:t>
      </w:r>
      <w:r w:rsidR="00303DFA" w:rsidRPr="00881BC8">
        <w:rPr>
          <w:bCs/>
          <w:noProof/>
        </w:rPr>
        <w:t>‘</w:t>
      </w:r>
      <w:r w:rsidRPr="00881BC8">
        <w:rPr>
          <w:bCs/>
          <w:noProof/>
        </w:rPr>
        <w:t>Paid-when-paid</w:t>
      </w:r>
      <w:r w:rsidR="00303DFA" w:rsidRPr="00881BC8">
        <w:rPr>
          <w:bCs/>
          <w:noProof/>
        </w:rPr>
        <w:t>’</w:t>
      </w:r>
      <w:r w:rsidR="00D21514" w:rsidRPr="00881BC8">
        <w:rPr>
          <w:bCs/>
          <w:noProof/>
        </w:rPr>
        <w:t xml:space="preserve"> or </w:t>
      </w:r>
      <w:r w:rsidR="00303DFA" w:rsidRPr="00881BC8">
        <w:rPr>
          <w:bCs/>
          <w:noProof/>
        </w:rPr>
        <w:t>‘</w:t>
      </w:r>
      <w:r w:rsidRPr="00881BC8">
        <w:rPr>
          <w:bCs/>
          <w:noProof/>
        </w:rPr>
        <w:t>Paid-if-paid</w:t>
      </w:r>
      <w:r w:rsidR="00303DFA" w:rsidRPr="00881BC8">
        <w:rPr>
          <w:bCs/>
          <w:noProof/>
        </w:rPr>
        <w:t>’</w:t>
      </w:r>
      <w:r w:rsidRPr="00881BC8">
        <w:rPr>
          <w:bCs/>
          <w:noProof/>
        </w:rPr>
        <w:t xml:space="preserve"> clauses, or similar clauses consisting in making payment to the creditor conditional to payment received by the debtor. </w:t>
      </w:r>
    </w:p>
    <w:p w14:paraId="72C972C9" w14:textId="467E7308" w:rsidR="00C92FC5" w:rsidRPr="00881BC8" w:rsidRDefault="00C92FC5" w:rsidP="004835F8">
      <w:pPr>
        <w:numPr>
          <w:ilvl w:val="0"/>
          <w:numId w:val="40"/>
        </w:numPr>
        <w:spacing w:after="0" w:line="276" w:lineRule="auto"/>
        <w:contextualSpacing/>
        <w:rPr>
          <w:bCs/>
          <w:noProof/>
        </w:rPr>
      </w:pPr>
      <w:r w:rsidRPr="00881BC8">
        <w:rPr>
          <w:bCs/>
          <w:noProof/>
        </w:rPr>
        <w:t xml:space="preserve">Delisting, </w:t>
      </w:r>
      <w:r w:rsidR="00303DFA" w:rsidRPr="00881BC8">
        <w:rPr>
          <w:bCs/>
          <w:noProof/>
        </w:rPr>
        <w:t>‘</w:t>
      </w:r>
      <w:r w:rsidRPr="00881BC8">
        <w:rPr>
          <w:bCs/>
          <w:noProof/>
        </w:rPr>
        <w:t>De-shelving</w:t>
      </w:r>
      <w:r w:rsidR="00303DFA" w:rsidRPr="00881BC8">
        <w:rPr>
          <w:bCs/>
          <w:noProof/>
        </w:rPr>
        <w:t>’</w:t>
      </w:r>
      <w:r w:rsidRPr="00881BC8">
        <w:rPr>
          <w:bCs/>
          <w:noProof/>
        </w:rPr>
        <w:t xml:space="preserve"> or removal from clients’ list of suppliers, or other unfavourable marketing consequences if suppliers does not accept payment terms imposed by the debtor. </w:t>
      </w:r>
    </w:p>
    <w:p w14:paraId="35457DFC" w14:textId="77777777" w:rsidR="00C92FC5" w:rsidRPr="00881BC8" w:rsidRDefault="00C92FC5" w:rsidP="004835F8">
      <w:pPr>
        <w:numPr>
          <w:ilvl w:val="0"/>
          <w:numId w:val="40"/>
        </w:numPr>
        <w:spacing w:after="0" w:line="276" w:lineRule="auto"/>
        <w:contextualSpacing/>
        <w:rPr>
          <w:rFonts w:cs="@Yu Mincho Light"/>
          <w:bCs/>
          <w:noProof/>
        </w:rPr>
      </w:pPr>
      <w:r w:rsidRPr="00881BC8">
        <w:rPr>
          <w:rFonts w:cs="@Yu Mincho Light"/>
          <w:bCs/>
          <w:noProof/>
        </w:rPr>
        <w:t xml:space="preserve">Abuse of the verification procedure to avoid or delay payments. </w:t>
      </w:r>
    </w:p>
    <w:p w14:paraId="45FEF4DA" w14:textId="77777777" w:rsidR="00C92FC5" w:rsidRPr="00881BC8" w:rsidRDefault="00C92FC5" w:rsidP="004835F8">
      <w:pPr>
        <w:numPr>
          <w:ilvl w:val="3"/>
          <w:numId w:val="40"/>
        </w:numPr>
        <w:spacing w:after="0" w:line="276" w:lineRule="auto"/>
        <w:contextualSpacing/>
        <w:rPr>
          <w:rFonts w:cs="@Yu Mincho Light"/>
          <w:bCs/>
          <w:noProof/>
        </w:rPr>
      </w:pPr>
      <w:r w:rsidRPr="00881BC8">
        <w:rPr>
          <w:rFonts w:cs="@Yu Mincho Light"/>
          <w:bCs/>
          <w:noProof/>
        </w:rPr>
        <w:t xml:space="preserve">Negotiate the date of reception of goods or the provision of services , or of the beginning or the end of the verification procedure to ascertain their </w:t>
      </w:r>
      <w:r w:rsidRPr="00881BC8">
        <w:rPr>
          <w:bCs/>
          <w:noProof/>
        </w:rPr>
        <w:t>conformity</w:t>
      </w:r>
      <w:r w:rsidRPr="00881BC8">
        <w:rPr>
          <w:rFonts w:cs="@Yu Mincho Light"/>
          <w:bCs/>
          <w:noProof/>
        </w:rPr>
        <w:t>, to the detriment of the creditor with the ultimate result of extending the payment period</w:t>
      </w:r>
    </w:p>
    <w:p w14:paraId="610433E6" w14:textId="3D1F577A" w:rsidR="00C92FC5" w:rsidRPr="00881BC8" w:rsidRDefault="00C92FC5" w:rsidP="004835F8">
      <w:pPr>
        <w:numPr>
          <w:ilvl w:val="3"/>
          <w:numId w:val="40"/>
        </w:numPr>
        <w:spacing w:after="0" w:line="276" w:lineRule="auto"/>
        <w:contextualSpacing/>
        <w:rPr>
          <w:bCs/>
          <w:noProof/>
        </w:rPr>
      </w:pPr>
      <w:r w:rsidRPr="00881BC8">
        <w:rPr>
          <w:bCs/>
          <w:noProof/>
        </w:rPr>
        <w:t xml:space="preserve">Clauses whereby the debtor is the sole arbiter of whether the required quality has been achieved; allowing for arbitrary deductions from the value of work performed or goods provided. Similarly: </w:t>
      </w:r>
      <w:r w:rsidRPr="00881BC8">
        <w:rPr>
          <w:rFonts w:cs="@Yu Mincho Light"/>
          <w:bCs/>
          <w:noProof/>
        </w:rPr>
        <w:t>Disparaging without any evidence the quality of the good or of the services provided</w:t>
      </w:r>
      <w:r w:rsidR="0091653A" w:rsidRPr="00881BC8">
        <w:rPr>
          <w:rFonts w:cs="@Yu Mincho Light"/>
          <w:bCs/>
          <w:noProof/>
        </w:rPr>
        <w:t xml:space="preserve"> </w:t>
      </w:r>
      <w:r w:rsidRPr="00881BC8">
        <w:rPr>
          <w:rFonts w:cs="@Yu Mincho Light"/>
          <w:bCs/>
          <w:noProof/>
        </w:rPr>
        <w:t>to delay payment</w:t>
      </w:r>
    </w:p>
    <w:p w14:paraId="7947DD30" w14:textId="77777777" w:rsidR="00C92FC5" w:rsidRPr="00881BC8" w:rsidRDefault="00C92FC5" w:rsidP="004835F8">
      <w:pPr>
        <w:numPr>
          <w:ilvl w:val="0"/>
          <w:numId w:val="40"/>
        </w:numPr>
        <w:spacing w:after="0" w:line="276" w:lineRule="auto"/>
        <w:contextualSpacing/>
        <w:rPr>
          <w:bCs/>
          <w:noProof/>
        </w:rPr>
      </w:pPr>
      <w:r w:rsidRPr="00881BC8">
        <w:rPr>
          <w:bCs/>
          <w:noProof/>
        </w:rPr>
        <w:t xml:space="preserve">Altering dates: Debtor requiring the creditor to postpone the date of the invoice or request of payment , despite the fact that the verification was completed and successful </w:t>
      </w:r>
      <w:r w:rsidRPr="00881BC8">
        <w:rPr>
          <w:bCs/>
          <w:noProof/>
          <w:vertAlign w:val="superscript"/>
        </w:rPr>
        <w:footnoteReference w:id="210"/>
      </w:r>
    </w:p>
    <w:p w14:paraId="54FD6416" w14:textId="77777777" w:rsidR="00C92FC5" w:rsidRPr="00881BC8" w:rsidRDefault="00C92FC5" w:rsidP="004835F8">
      <w:pPr>
        <w:numPr>
          <w:ilvl w:val="0"/>
          <w:numId w:val="40"/>
        </w:numPr>
        <w:spacing w:after="0" w:line="276" w:lineRule="auto"/>
        <w:contextualSpacing/>
        <w:rPr>
          <w:bCs/>
          <w:noProof/>
        </w:rPr>
      </w:pPr>
      <w:r w:rsidRPr="00881BC8">
        <w:rPr>
          <w:bCs/>
          <w:noProof/>
        </w:rPr>
        <w:t>Unilateral change of payment terms by the debtor, to the detriment of the creditor, often with little or no notice.</w:t>
      </w:r>
    </w:p>
    <w:p w14:paraId="17F57E54" w14:textId="312FC81E" w:rsidR="00C92FC5" w:rsidRPr="00881BC8" w:rsidRDefault="00C92FC5" w:rsidP="004835F8">
      <w:pPr>
        <w:widowControl w:val="0"/>
        <w:numPr>
          <w:ilvl w:val="0"/>
          <w:numId w:val="40"/>
        </w:numPr>
        <w:spacing w:after="120" w:line="276" w:lineRule="auto"/>
        <w:contextualSpacing/>
        <w:rPr>
          <w:rFonts w:eastAsia="Times New Roman" w:cs="@Yu Mincho Light"/>
          <w:bCs/>
          <w:noProof/>
          <w:color w:val="000000" w:themeColor="text1"/>
          <w:lang w:eastAsia="en-GB"/>
        </w:rPr>
      </w:pPr>
      <w:r w:rsidRPr="00881BC8">
        <w:rPr>
          <w:bCs/>
          <w:noProof/>
        </w:rPr>
        <w:t>Unilateral Discounting: Debtor applying unilaterally (or requesting) discounts on the principal as a condition for paying within the agreed deadline (</w:t>
      </w:r>
      <w:r w:rsidR="00303DFA" w:rsidRPr="00881BC8">
        <w:rPr>
          <w:bCs/>
          <w:noProof/>
        </w:rPr>
        <w:t>‘</w:t>
      </w:r>
      <w:r w:rsidRPr="00881BC8">
        <w:rPr>
          <w:bCs/>
          <w:noProof/>
        </w:rPr>
        <w:t>early bird</w:t>
      </w:r>
      <w:r w:rsidR="00303DFA" w:rsidRPr="00881BC8">
        <w:rPr>
          <w:bCs/>
          <w:noProof/>
        </w:rPr>
        <w:t>’</w:t>
      </w:r>
      <w:r w:rsidRPr="00881BC8">
        <w:rPr>
          <w:bCs/>
          <w:noProof/>
        </w:rPr>
        <w:t xml:space="preserve"> clause). Similarly, </w:t>
      </w:r>
      <w:r w:rsidRPr="00881BC8">
        <w:rPr>
          <w:rFonts w:cs="@Yu Mincho Light"/>
          <w:bCs/>
          <w:noProof/>
        </w:rPr>
        <w:t>discounts requested or applied unilaterally by the debtor as a condition to pay, after the payment has become overdue (e</w:t>
      </w:r>
      <w:r w:rsidR="0050774D" w:rsidRPr="00881BC8">
        <w:rPr>
          <w:rFonts w:cs="@Yu Mincho Light"/>
          <w:bCs/>
          <w:noProof/>
        </w:rPr>
        <w:t>.</w:t>
      </w:r>
      <w:r w:rsidRPr="00881BC8">
        <w:rPr>
          <w:rFonts w:cs="@Yu Mincho Light"/>
          <w:bCs/>
          <w:noProof/>
        </w:rPr>
        <w:t>g</w:t>
      </w:r>
      <w:r w:rsidR="0050774D" w:rsidRPr="00881BC8">
        <w:rPr>
          <w:rFonts w:cs="@Yu Mincho Light"/>
          <w:bCs/>
          <w:noProof/>
        </w:rPr>
        <w:t>.</w:t>
      </w:r>
      <w:r w:rsidRPr="00881BC8">
        <w:rPr>
          <w:rFonts w:cs="@Yu Mincho Light"/>
          <w:bCs/>
          <w:noProof/>
        </w:rPr>
        <w:t xml:space="preserve">: </w:t>
      </w:r>
      <w:r w:rsidR="00303DFA" w:rsidRPr="00881BC8">
        <w:rPr>
          <w:rFonts w:cs="@Yu Mincho Light"/>
          <w:bCs/>
          <w:noProof/>
        </w:rPr>
        <w:t>‘</w:t>
      </w:r>
      <w:r w:rsidRPr="00881BC8">
        <w:rPr>
          <w:rFonts w:cs="@Yu Mincho Light"/>
          <w:bCs/>
          <w:noProof/>
        </w:rPr>
        <w:t>haircut clauses</w:t>
      </w:r>
      <w:r w:rsidR="00303DFA" w:rsidRPr="00881BC8">
        <w:rPr>
          <w:rFonts w:cs="@Yu Mincho Light"/>
          <w:bCs/>
          <w:noProof/>
        </w:rPr>
        <w:t>’</w:t>
      </w:r>
      <w:r w:rsidRPr="00881BC8">
        <w:rPr>
          <w:rFonts w:cs="@Yu Mincho Light"/>
          <w:bCs/>
          <w:noProof/>
        </w:rPr>
        <w:t xml:space="preserve">, </w:t>
      </w:r>
      <w:r w:rsidR="00303DFA" w:rsidRPr="00881BC8">
        <w:rPr>
          <w:rFonts w:cs="@Yu Mincho Light"/>
          <w:bCs/>
          <w:noProof/>
        </w:rPr>
        <w:t>‘</w:t>
      </w:r>
      <w:r w:rsidRPr="00881BC8">
        <w:rPr>
          <w:rFonts w:cs="@Yu Mincho Light"/>
          <w:bCs/>
          <w:noProof/>
        </w:rPr>
        <w:t>clawback clauses</w:t>
      </w:r>
      <w:r w:rsidR="00303DFA" w:rsidRPr="00881BC8">
        <w:rPr>
          <w:rFonts w:cs="@Yu Mincho Light"/>
          <w:bCs/>
          <w:noProof/>
        </w:rPr>
        <w:t>’</w:t>
      </w:r>
      <w:r w:rsidRPr="00881BC8">
        <w:rPr>
          <w:rFonts w:cs="@Yu Mincho Light"/>
          <w:bCs/>
          <w:noProof/>
        </w:rPr>
        <w:t xml:space="preserve">). </w:t>
      </w:r>
    </w:p>
    <w:p w14:paraId="3FFC2A4B" w14:textId="215225DD" w:rsidR="00C92FC5" w:rsidRPr="00881BC8" w:rsidRDefault="00C92FC5" w:rsidP="004835F8">
      <w:pPr>
        <w:numPr>
          <w:ilvl w:val="0"/>
          <w:numId w:val="40"/>
        </w:numPr>
        <w:spacing w:after="0" w:line="276" w:lineRule="auto"/>
        <w:contextualSpacing/>
        <w:rPr>
          <w:bCs/>
          <w:noProof/>
        </w:rPr>
      </w:pPr>
      <w:r w:rsidRPr="00881BC8">
        <w:rPr>
          <w:bCs/>
          <w:noProof/>
        </w:rPr>
        <w:t>Ban on assignments of the credit (e.g</w:t>
      </w:r>
      <w:r w:rsidR="0050774D" w:rsidRPr="00881BC8">
        <w:rPr>
          <w:bCs/>
          <w:noProof/>
        </w:rPr>
        <w:t>.</w:t>
      </w:r>
      <w:r w:rsidRPr="00881BC8">
        <w:rPr>
          <w:bCs/>
          <w:noProof/>
        </w:rPr>
        <w:t xml:space="preserve"> factoring), once the service or good has been delivered or performed, and the debtor has accepted it</w:t>
      </w:r>
    </w:p>
    <w:p w14:paraId="47EF478D" w14:textId="77777777" w:rsidR="00C92FC5" w:rsidRPr="00881BC8" w:rsidRDefault="00C92FC5" w:rsidP="004835F8">
      <w:pPr>
        <w:numPr>
          <w:ilvl w:val="0"/>
          <w:numId w:val="40"/>
        </w:numPr>
        <w:spacing w:after="0" w:line="276" w:lineRule="auto"/>
        <w:contextualSpacing/>
        <w:rPr>
          <w:bCs/>
          <w:noProof/>
        </w:rPr>
      </w:pPr>
      <w:r w:rsidRPr="00881BC8">
        <w:rPr>
          <w:rFonts w:cs="@Yu Mincho Light"/>
          <w:bCs/>
          <w:noProof/>
        </w:rPr>
        <w:t>In G2B transactions: Ban on execution of executive order of payments issued by a Court</w:t>
      </w:r>
    </w:p>
    <w:p w14:paraId="4198D0ED" w14:textId="77777777" w:rsidR="00C92FC5" w:rsidRPr="00881BC8" w:rsidRDefault="00C92FC5" w:rsidP="004835F8">
      <w:pPr>
        <w:numPr>
          <w:ilvl w:val="0"/>
          <w:numId w:val="40"/>
        </w:numPr>
        <w:spacing w:after="0" w:line="276" w:lineRule="auto"/>
        <w:contextualSpacing/>
        <w:rPr>
          <w:bCs/>
          <w:noProof/>
        </w:rPr>
      </w:pPr>
      <w:r w:rsidRPr="00881BC8">
        <w:rPr>
          <w:bCs/>
          <w:noProof/>
        </w:rPr>
        <w:t>Payment of excessive fees to cash payment under supply chain finance schemes</w:t>
      </w:r>
      <w:r w:rsidRPr="00881BC8">
        <w:rPr>
          <w:bCs/>
          <w:noProof/>
          <w:vertAlign w:val="superscript"/>
        </w:rPr>
        <w:footnoteReference w:id="211"/>
      </w:r>
      <w:r w:rsidRPr="00881BC8">
        <w:rPr>
          <w:bCs/>
          <w:noProof/>
        </w:rPr>
        <w:t>;</w:t>
      </w:r>
    </w:p>
    <w:p w14:paraId="1E93F2BC" w14:textId="77777777" w:rsidR="00C92FC5" w:rsidRPr="00881BC8" w:rsidRDefault="00C92FC5" w:rsidP="004835F8">
      <w:pPr>
        <w:numPr>
          <w:ilvl w:val="0"/>
          <w:numId w:val="40"/>
        </w:numPr>
        <w:spacing w:after="0" w:line="276" w:lineRule="auto"/>
        <w:contextualSpacing/>
        <w:rPr>
          <w:bCs/>
          <w:noProof/>
        </w:rPr>
      </w:pPr>
      <w:r w:rsidRPr="00881BC8">
        <w:rPr>
          <w:bCs/>
          <w:noProof/>
        </w:rPr>
        <w:t>Unnecessary procedures: Imposing artificially long or convoluted administrative requirements in order to get paid, or for issuing and accepting the invoice</w:t>
      </w:r>
      <w:r w:rsidRPr="00881BC8">
        <w:rPr>
          <w:bCs/>
          <w:noProof/>
          <w:vertAlign w:val="superscript"/>
        </w:rPr>
        <w:footnoteReference w:id="212"/>
      </w:r>
    </w:p>
    <w:p w14:paraId="2CD3D995" w14:textId="0C6C876C" w:rsidR="00C92FC5" w:rsidRPr="00881BC8" w:rsidRDefault="00C92FC5" w:rsidP="004835F8">
      <w:pPr>
        <w:numPr>
          <w:ilvl w:val="0"/>
          <w:numId w:val="40"/>
        </w:numPr>
        <w:spacing w:after="0" w:line="276" w:lineRule="auto"/>
        <w:contextualSpacing/>
        <w:rPr>
          <w:bCs/>
          <w:noProof/>
        </w:rPr>
      </w:pPr>
      <w:r w:rsidRPr="00881BC8">
        <w:rPr>
          <w:bCs/>
          <w:noProof/>
        </w:rPr>
        <w:t>Waiving rights as a condition to get paid: Creditors imposed to waive their rights to claim interests and compensations as a condition to get paid, often in conjunction with non-recourse clauses</w:t>
      </w:r>
      <w:r w:rsidR="00CA75FD" w:rsidRPr="00881BC8">
        <w:rPr>
          <w:bCs/>
          <w:noProof/>
        </w:rPr>
        <w:t>.</w:t>
      </w:r>
    </w:p>
    <w:p w14:paraId="3A93ED1D" w14:textId="77777777" w:rsidR="00CA75FD" w:rsidRPr="00881BC8" w:rsidRDefault="00CA75FD" w:rsidP="00CA75FD">
      <w:pPr>
        <w:spacing w:after="0" w:line="276" w:lineRule="auto"/>
        <w:contextualSpacing/>
        <w:rPr>
          <w:bCs/>
          <w:noProof/>
        </w:rPr>
      </w:pPr>
    </w:p>
    <w:p w14:paraId="69E93A2B" w14:textId="3F62A2B6" w:rsidR="00194CF6" w:rsidRPr="00881BC8" w:rsidRDefault="00194CF6" w:rsidP="004835F8">
      <w:pPr>
        <w:pStyle w:val="NormalPara"/>
        <w:rPr>
          <w:noProof/>
          <w:lang w:val="en-GB"/>
        </w:rPr>
      </w:pPr>
      <w:r w:rsidRPr="00881BC8">
        <w:rPr>
          <w:noProof/>
          <w:lang w:val="en-GB"/>
        </w:rPr>
        <w:t>Member States could improve the business environment by addressing late payment practices</w:t>
      </w:r>
      <w:r w:rsidRPr="00881BC8">
        <w:rPr>
          <w:rStyle w:val="FootnoteReference"/>
          <w:noProof/>
          <w:lang w:val="en-GB"/>
        </w:rPr>
        <w:footnoteReference w:id="213"/>
      </w:r>
      <w:r w:rsidRPr="00881BC8">
        <w:rPr>
          <w:noProof/>
          <w:lang w:val="en-GB"/>
        </w:rPr>
        <w:t xml:space="preserve"> through voluntary/soft law measures such as:</w:t>
      </w:r>
      <w:r w:rsidR="009B4E5F" w:rsidRPr="00881BC8">
        <w:rPr>
          <w:noProof/>
          <w:lang w:val="en-GB"/>
        </w:rPr>
        <w:t xml:space="preserve"> </w:t>
      </w:r>
      <w:r w:rsidRPr="00881BC8">
        <w:rPr>
          <w:noProof/>
          <w:lang w:val="en-GB"/>
        </w:rPr>
        <w:t xml:space="preserve">1) rewarding prompt payment in public procurement, granting </w:t>
      </w:r>
      <w:r w:rsidR="0070482A" w:rsidRPr="00881BC8">
        <w:rPr>
          <w:noProof/>
          <w:lang w:val="en-GB"/>
        </w:rPr>
        <w:t xml:space="preserve">support, or </w:t>
      </w:r>
      <w:r w:rsidR="00CA75FD" w:rsidRPr="00881BC8">
        <w:rPr>
          <w:noProof/>
          <w:lang w:val="en-GB"/>
        </w:rPr>
        <w:t>administering EU</w:t>
      </w:r>
      <w:r w:rsidRPr="00881BC8">
        <w:rPr>
          <w:noProof/>
          <w:lang w:val="en-GB"/>
        </w:rPr>
        <w:t xml:space="preserve"> funds</w:t>
      </w:r>
      <w:r w:rsidR="0070482A" w:rsidRPr="00881BC8">
        <w:rPr>
          <w:noProof/>
          <w:lang w:val="en-GB"/>
        </w:rPr>
        <w:t xml:space="preserve"> in line with the applicable rules</w:t>
      </w:r>
      <w:r w:rsidR="0070482A" w:rsidRPr="00881BC8">
        <w:rPr>
          <w:rStyle w:val="FootnoteReference"/>
          <w:noProof/>
          <w:vertAlign w:val="baseline"/>
          <w:lang w:val="en-GB"/>
        </w:rPr>
        <w:t xml:space="preserve"> </w:t>
      </w:r>
      <w:r w:rsidRPr="00881BC8">
        <w:rPr>
          <w:rStyle w:val="FootnoteReference"/>
          <w:noProof/>
          <w:lang w:val="en-GB"/>
        </w:rPr>
        <w:footnoteReference w:id="214"/>
      </w:r>
      <w:r w:rsidR="001E5B78" w:rsidRPr="00881BC8">
        <w:rPr>
          <w:noProof/>
          <w:lang w:val="en-GB"/>
        </w:rPr>
        <w:t xml:space="preserve"> </w:t>
      </w:r>
      <w:r w:rsidRPr="00881BC8">
        <w:rPr>
          <w:rStyle w:val="FootnoteReference"/>
          <w:noProof/>
          <w:lang w:val="en-GB"/>
        </w:rPr>
        <w:footnoteReference w:id="215"/>
      </w:r>
      <w:r w:rsidRPr="00881BC8">
        <w:rPr>
          <w:noProof/>
          <w:lang w:val="en-GB"/>
        </w:rPr>
        <w:t>;</w:t>
      </w:r>
      <w:r w:rsidR="0070482A" w:rsidRPr="00881BC8">
        <w:rPr>
          <w:noProof/>
          <w:lang w:val="en-GB"/>
        </w:rPr>
        <w:t xml:space="preserve"> </w:t>
      </w:r>
      <w:r w:rsidRPr="00881BC8">
        <w:rPr>
          <w:noProof/>
          <w:lang w:val="en-GB"/>
        </w:rPr>
        <w:t>2) laying down an EU code of good payment behaviour to support national payment codes</w:t>
      </w:r>
      <w:r w:rsidRPr="00881BC8">
        <w:rPr>
          <w:rStyle w:val="FootnoteReference"/>
          <w:noProof/>
          <w:lang w:val="en-GB"/>
        </w:rPr>
        <w:footnoteReference w:id="216"/>
      </w:r>
      <w:r w:rsidR="00063E58" w:rsidRPr="00881BC8">
        <w:rPr>
          <w:noProof/>
          <w:lang w:val="en-GB"/>
        </w:rPr>
        <w:t>.</w:t>
      </w:r>
    </w:p>
    <w:p w14:paraId="2939B666" w14:textId="77777777" w:rsidR="00C92FC5" w:rsidRPr="00881BC8" w:rsidRDefault="00C92FC5">
      <w:pPr>
        <w:spacing w:after="200" w:line="276" w:lineRule="auto"/>
        <w:jc w:val="left"/>
        <w:rPr>
          <w:rFonts w:eastAsia="Times New Roman"/>
          <w:b/>
          <w:smallCaps/>
          <w:noProof/>
          <w:sz w:val="32"/>
          <w:szCs w:val="20"/>
        </w:rPr>
      </w:pPr>
      <w:r w:rsidRPr="00881BC8">
        <w:rPr>
          <w:noProof/>
        </w:rPr>
        <w:br w:type="page"/>
      </w:r>
    </w:p>
    <w:p w14:paraId="7A3363A7" w14:textId="1CB7FA28" w:rsidR="000C28C3" w:rsidRPr="00881BC8" w:rsidRDefault="000C28C3" w:rsidP="00CF2B67">
      <w:pPr>
        <w:pStyle w:val="AnnexTitle"/>
        <w:rPr>
          <w:noProof/>
        </w:rPr>
      </w:pPr>
      <w:bookmarkStart w:id="1062" w:name="Annex11"/>
      <w:bookmarkStart w:id="1063" w:name="_Toc129899934"/>
      <w:bookmarkStart w:id="1064" w:name="_Toc135237460"/>
      <w:r w:rsidRPr="00881BC8">
        <w:rPr>
          <w:noProof/>
        </w:rPr>
        <w:t>Annex 1</w:t>
      </w:r>
      <w:r w:rsidR="00876F80" w:rsidRPr="00881BC8">
        <w:rPr>
          <w:noProof/>
        </w:rPr>
        <w:t>1</w:t>
      </w:r>
      <w:bookmarkEnd w:id="1062"/>
      <w:r w:rsidRPr="00881BC8">
        <w:rPr>
          <w:noProof/>
        </w:rPr>
        <w:t>: Relevant Case Law of the ECJ</w:t>
      </w:r>
      <w:bookmarkEnd w:id="1063"/>
      <w:bookmarkEnd w:id="1064"/>
      <w:r w:rsidR="0091653A" w:rsidRPr="00881BC8">
        <w:rPr>
          <w:noProof/>
        </w:rPr>
        <w:t xml:space="preserve"> </w:t>
      </w:r>
    </w:p>
    <w:p w14:paraId="7A80F6CC" w14:textId="00D87697" w:rsidR="000C28C3" w:rsidRPr="00881BC8" w:rsidRDefault="000C28C3" w:rsidP="004835F8">
      <w:pPr>
        <w:pStyle w:val="NormalPara"/>
        <w:rPr>
          <w:noProof/>
          <w:lang w:val="en-GB" w:eastAsia="en-GB"/>
        </w:rPr>
      </w:pPr>
      <w:r w:rsidRPr="00881BC8">
        <w:rPr>
          <w:noProof/>
          <w:lang w:val="en-GB" w:eastAsia="en-GB"/>
        </w:rPr>
        <w:t>The case law of the Court of Justice concerning the LPD, either exclusively or jointly with Directive 2000/35/EC, includes several preliminary rulings</w:t>
      </w:r>
      <w:r w:rsidRPr="00881BC8">
        <w:rPr>
          <w:noProof/>
          <w:vertAlign w:val="superscript"/>
          <w:lang w:val="en-GB" w:eastAsia="en-GB"/>
        </w:rPr>
        <w:footnoteReference w:id="217"/>
      </w:r>
      <w:r w:rsidRPr="00881BC8">
        <w:rPr>
          <w:noProof/>
          <w:lang w:val="en-GB" w:eastAsia="en-GB"/>
        </w:rPr>
        <w:t xml:space="preserve"> and one judgement in the framework of an ongoing infringement procedure. It should be emphasised that most of the preliminary rulings concern the application of interests and the </w:t>
      </w:r>
      <w:r w:rsidR="00303DFA" w:rsidRPr="00881BC8">
        <w:rPr>
          <w:noProof/>
          <w:lang w:val="en-GB" w:eastAsia="en-GB"/>
        </w:rPr>
        <w:t>‘</w:t>
      </w:r>
      <w:r w:rsidRPr="00881BC8">
        <w:rPr>
          <w:noProof/>
          <w:lang w:val="en-GB" w:eastAsia="en-GB"/>
        </w:rPr>
        <w:t>flat fee</w:t>
      </w:r>
      <w:r w:rsidR="00303DFA" w:rsidRPr="00881BC8">
        <w:rPr>
          <w:noProof/>
          <w:lang w:val="en-GB" w:eastAsia="en-GB"/>
        </w:rPr>
        <w:t>’</w:t>
      </w:r>
      <w:r w:rsidRPr="00881BC8">
        <w:rPr>
          <w:noProof/>
          <w:lang w:val="en-GB" w:eastAsia="en-GB"/>
        </w:rPr>
        <w:t xml:space="preserve"> compensation for recovery costs of at least </w:t>
      </w:r>
      <w:r w:rsidR="00391A3D" w:rsidRPr="00881BC8">
        <w:rPr>
          <w:rFonts w:cs="@Yu Mincho Light"/>
          <w:noProof/>
          <w:lang w:val="en-GB"/>
        </w:rPr>
        <w:t>EUR </w:t>
      </w:r>
      <w:r w:rsidRPr="00881BC8">
        <w:rPr>
          <w:noProof/>
          <w:lang w:val="en-GB" w:eastAsia="en-GB"/>
        </w:rPr>
        <w:t xml:space="preserve">40. </w:t>
      </w:r>
    </w:p>
    <w:p w14:paraId="71AA1936" w14:textId="0D7793C7" w:rsidR="00551B2F" w:rsidRPr="00881BC8" w:rsidRDefault="00551B2F" w:rsidP="004835F8">
      <w:pPr>
        <w:pStyle w:val="NormalPara"/>
        <w:rPr>
          <w:noProof/>
          <w:lang w:val="en-GB" w:eastAsia="en-GB"/>
        </w:rPr>
      </w:pPr>
      <w:r w:rsidRPr="00881BC8">
        <w:rPr>
          <w:noProof/>
          <w:lang w:val="en-GB" w:eastAsia="en-GB"/>
        </w:rPr>
        <w:t>For the purposes of this</w:t>
      </w:r>
      <w:r w:rsidR="000710B2" w:rsidRPr="00881BC8">
        <w:rPr>
          <w:noProof/>
          <w:lang w:val="en-GB" w:eastAsia="en-GB"/>
        </w:rPr>
        <w:t xml:space="preserve"> Impact Assessment, the following case-law of the </w:t>
      </w:r>
      <w:r w:rsidR="000C28C3" w:rsidRPr="00881BC8">
        <w:rPr>
          <w:noProof/>
          <w:lang w:val="en-GB" w:eastAsia="en-GB"/>
        </w:rPr>
        <w:t>ECJ deserves a special attention</w:t>
      </w:r>
      <w:r w:rsidR="000710B2" w:rsidRPr="00881BC8">
        <w:rPr>
          <w:noProof/>
          <w:lang w:val="en-GB" w:eastAsia="en-GB"/>
        </w:rPr>
        <w:t>:</w:t>
      </w:r>
    </w:p>
    <w:p w14:paraId="24893D81" w14:textId="0E21C036" w:rsidR="00551B2F" w:rsidRPr="00881BC8" w:rsidRDefault="1A1A403C" w:rsidP="004835F8">
      <w:pPr>
        <w:pStyle w:val="AnnexLevel1"/>
        <w:rPr>
          <w:noProof/>
          <w:lang w:val="en-GB" w:eastAsia="en-GB"/>
        </w:rPr>
      </w:pPr>
      <w:r w:rsidRPr="00881BC8">
        <w:rPr>
          <w:noProof/>
          <w:lang w:val="en-GB" w:eastAsia="en-GB"/>
        </w:rPr>
        <w:t>Preliminary ruling in Case C-585/20</w:t>
      </w:r>
      <w:r w:rsidR="00551B2F" w:rsidRPr="00881BC8">
        <w:rPr>
          <w:noProof/>
          <w:vertAlign w:val="superscript"/>
          <w:lang w:val="en-GB" w:eastAsia="en-GB"/>
        </w:rPr>
        <w:footnoteReference w:id="218"/>
      </w:r>
      <w:r w:rsidR="28E9BA24" w:rsidRPr="00881BC8">
        <w:rPr>
          <w:noProof/>
          <w:lang w:val="en-GB" w:eastAsia="en-GB"/>
        </w:rPr>
        <w:t xml:space="preserve"> pronounced on 20 October 2022</w:t>
      </w:r>
    </w:p>
    <w:p w14:paraId="4088F448" w14:textId="43CB6A89" w:rsidR="000C28C3" w:rsidRPr="00881BC8" w:rsidRDefault="00551B2F" w:rsidP="004835F8">
      <w:pPr>
        <w:pStyle w:val="NormalPara"/>
        <w:rPr>
          <w:noProof/>
          <w:lang w:val="en-GB" w:eastAsia="en-GB"/>
        </w:rPr>
      </w:pPr>
      <w:r w:rsidRPr="00881BC8">
        <w:rPr>
          <w:noProof/>
          <w:lang w:val="en-GB" w:eastAsia="en-GB"/>
        </w:rPr>
        <w:t>This ruling</w:t>
      </w:r>
      <w:r w:rsidR="000C28C3" w:rsidRPr="00881BC8">
        <w:rPr>
          <w:noProof/>
          <w:lang w:val="en-GB" w:eastAsia="en-GB"/>
        </w:rPr>
        <w:t xml:space="preserve"> touches upon three key issues: the application of the </w:t>
      </w:r>
      <w:r w:rsidRPr="00881BC8">
        <w:rPr>
          <w:noProof/>
          <w:lang w:val="en-GB" w:eastAsia="en-GB"/>
        </w:rPr>
        <w:t xml:space="preserve">flat fee compensation of </w:t>
      </w:r>
      <w:r w:rsidR="00F00AEC" w:rsidRPr="00881BC8">
        <w:rPr>
          <w:noProof/>
          <w:lang w:val="en-GB" w:eastAsia="en-GB"/>
        </w:rPr>
        <w:t>EUR </w:t>
      </w:r>
      <w:r w:rsidRPr="00881BC8">
        <w:rPr>
          <w:noProof/>
          <w:lang w:val="en-GB" w:eastAsia="en-GB"/>
        </w:rPr>
        <w:t>40 minimum</w:t>
      </w:r>
      <w:r w:rsidR="000C28C3" w:rsidRPr="00881BC8">
        <w:rPr>
          <w:noProof/>
          <w:lang w:val="en-GB" w:eastAsia="en-GB"/>
        </w:rPr>
        <w:t xml:space="preserve"> per invoice or per contract (or judicial claim), the use of the verification procedure in public procurement contracts, and whether VAT should also be included for the calculation of the late payment interests, regardless of whether VAT has already been paid to the State. On these three points, the ECJ provided the following interpretation: </w:t>
      </w:r>
    </w:p>
    <w:p w14:paraId="611057E1" w14:textId="6500116E" w:rsidR="000C28C3" w:rsidRPr="00881BC8" w:rsidRDefault="000C28C3" w:rsidP="004835F8">
      <w:pPr>
        <w:numPr>
          <w:ilvl w:val="0"/>
          <w:numId w:val="41"/>
        </w:numPr>
        <w:rPr>
          <w:rFonts w:eastAsia="Times New Roman"/>
          <w:noProof/>
          <w:lang w:eastAsia="en-GB"/>
        </w:rPr>
      </w:pPr>
      <w:r w:rsidRPr="00881BC8">
        <w:rPr>
          <w:rFonts w:eastAsia="Times New Roman"/>
          <w:noProof/>
          <w:lang w:eastAsia="en-GB"/>
        </w:rPr>
        <w:t xml:space="preserve">Article 6 (1) of the LPD should be interpreted that the flat fee compensation of </w:t>
      </w:r>
      <w:r w:rsidR="00391A3D" w:rsidRPr="00881BC8">
        <w:rPr>
          <w:rFonts w:eastAsia="Times New Roman" w:cs="@Yu Mincho Light"/>
          <w:noProof/>
        </w:rPr>
        <w:t>EUR </w:t>
      </w:r>
      <w:r w:rsidRPr="00881BC8">
        <w:rPr>
          <w:rFonts w:eastAsia="Times New Roman"/>
          <w:noProof/>
          <w:lang w:eastAsia="en-GB"/>
        </w:rPr>
        <w:t xml:space="preserve">40 or equivalent is due for </w:t>
      </w:r>
      <w:r w:rsidR="00303DFA" w:rsidRPr="00881BC8">
        <w:rPr>
          <w:rFonts w:eastAsia="Times New Roman"/>
          <w:noProof/>
          <w:lang w:eastAsia="en-GB"/>
        </w:rPr>
        <w:t>‘</w:t>
      </w:r>
      <w:r w:rsidRPr="00881BC8">
        <w:rPr>
          <w:rFonts w:eastAsia="Times New Roman"/>
          <w:noProof/>
          <w:lang w:eastAsia="en-GB"/>
        </w:rPr>
        <w:t>each commercial transaction not remunerated on the due date, evidenced in an invoice, including when this invoice is presented, among other invoices, in a single administrative or judicial complaint</w:t>
      </w:r>
      <w:r w:rsidR="00303DFA" w:rsidRPr="00881BC8">
        <w:rPr>
          <w:rFonts w:eastAsia="Times New Roman"/>
          <w:noProof/>
          <w:lang w:eastAsia="en-GB"/>
        </w:rPr>
        <w:t>’</w:t>
      </w:r>
      <w:r w:rsidRPr="00881BC8">
        <w:rPr>
          <w:rFonts w:eastAsia="Times New Roman"/>
          <w:noProof/>
          <w:lang w:eastAsia="en-GB"/>
        </w:rPr>
        <w:t xml:space="preserve"> </w:t>
      </w:r>
    </w:p>
    <w:p w14:paraId="4B0837E4" w14:textId="77777777" w:rsidR="000C28C3" w:rsidRPr="00881BC8" w:rsidRDefault="000C28C3" w:rsidP="004835F8">
      <w:pPr>
        <w:numPr>
          <w:ilvl w:val="0"/>
          <w:numId w:val="41"/>
        </w:numPr>
        <w:rPr>
          <w:rFonts w:eastAsia="Times New Roman"/>
          <w:noProof/>
          <w:lang w:eastAsia="en-GB"/>
        </w:rPr>
      </w:pPr>
      <w:r w:rsidRPr="00881BC8">
        <w:rPr>
          <w:rFonts w:eastAsia="Times New Roman"/>
          <w:noProof/>
          <w:lang w:eastAsia="en-GB"/>
        </w:rPr>
        <w:t xml:space="preserve">Article .4(3) of the LPD should be interpreted as it opposes a national regulation laying down a general procedure for verification or acceptance of the goods or services provided with the contract’s requirement for all commercial transactions between companies and public authorities, </w:t>
      </w:r>
    </w:p>
    <w:p w14:paraId="155507EA" w14:textId="3E87AA02" w:rsidR="000C28C3" w:rsidRPr="00881BC8" w:rsidRDefault="000C28C3" w:rsidP="004835F8">
      <w:pPr>
        <w:numPr>
          <w:ilvl w:val="0"/>
          <w:numId w:val="41"/>
        </w:numPr>
        <w:rPr>
          <w:rFonts w:eastAsia="Times New Roman"/>
          <w:noProof/>
          <w:lang w:eastAsia="en-GB"/>
        </w:rPr>
      </w:pPr>
      <w:r w:rsidRPr="00881BC8">
        <w:rPr>
          <w:rFonts w:eastAsia="Times New Roman"/>
          <w:noProof/>
          <w:lang w:eastAsia="en-GB"/>
        </w:rPr>
        <w:t xml:space="preserve">Article 2(8) of the LPD should be interpreted that </w:t>
      </w:r>
      <w:r w:rsidR="00303DFA" w:rsidRPr="00881BC8">
        <w:rPr>
          <w:rFonts w:eastAsia="Times New Roman"/>
          <w:noProof/>
          <w:lang w:eastAsia="en-GB"/>
        </w:rPr>
        <w:t>‘</w:t>
      </w:r>
      <w:r w:rsidRPr="00881BC8">
        <w:rPr>
          <w:rFonts w:eastAsia="Times New Roman"/>
          <w:noProof/>
          <w:lang w:eastAsia="en-GB"/>
        </w:rPr>
        <w:t>amount due</w:t>
      </w:r>
      <w:r w:rsidR="00303DFA" w:rsidRPr="00881BC8">
        <w:rPr>
          <w:rFonts w:eastAsia="Times New Roman"/>
          <w:noProof/>
          <w:lang w:eastAsia="en-GB"/>
        </w:rPr>
        <w:t>’</w:t>
      </w:r>
      <w:r w:rsidRPr="00881BC8">
        <w:rPr>
          <w:rFonts w:eastAsia="Times New Roman"/>
          <w:noProof/>
          <w:lang w:eastAsia="en-GB"/>
        </w:rPr>
        <w:t xml:space="preserve"> referred to in that provision shall also include VAT for the basis of the calculation of the late payment interests, regardless of whether, </w:t>
      </w:r>
      <w:r w:rsidR="00303DFA" w:rsidRPr="00881BC8">
        <w:rPr>
          <w:rFonts w:eastAsia="Times New Roman"/>
          <w:noProof/>
          <w:lang w:eastAsia="en-GB"/>
        </w:rPr>
        <w:t>‘</w:t>
      </w:r>
      <w:r w:rsidRPr="00881BC8">
        <w:rPr>
          <w:rFonts w:eastAsia="Times New Roman"/>
          <w:noProof/>
          <w:lang w:eastAsia="en-GB"/>
        </w:rPr>
        <w:t>on the date on which the delay payment occurs, the taxable person has already paid this amount to the Treasury</w:t>
      </w:r>
      <w:r w:rsidR="00303DFA" w:rsidRPr="00881BC8">
        <w:rPr>
          <w:rFonts w:eastAsia="Times New Roman"/>
          <w:noProof/>
          <w:lang w:eastAsia="en-GB"/>
        </w:rPr>
        <w:t>’</w:t>
      </w:r>
      <w:r w:rsidRPr="00881BC8">
        <w:rPr>
          <w:rFonts w:eastAsia="Times New Roman"/>
          <w:noProof/>
          <w:lang w:eastAsia="en-GB"/>
        </w:rPr>
        <w:t xml:space="preserve"> </w:t>
      </w:r>
    </w:p>
    <w:p w14:paraId="565A7593" w14:textId="662495A9" w:rsidR="00790828" w:rsidRPr="00881BC8" w:rsidRDefault="28E9BA24" w:rsidP="004835F8">
      <w:pPr>
        <w:pStyle w:val="AnnexLevel1"/>
        <w:rPr>
          <w:noProof/>
          <w:lang w:val="en-GB" w:eastAsia="en-GB"/>
        </w:rPr>
      </w:pPr>
      <w:r w:rsidRPr="00881BC8">
        <w:rPr>
          <w:noProof/>
          <w:lang w:val="en-GB" w:eastAsia="en-GB"/>
        </w:rPr>
        <w:t>Judgement in Case C-122/18</w:t>
      </w:r>
      <w:r w:rsidR="00790828" w:rsidRPr="00881BC8">
        <w:rPr>
          <w:noProof/>
          <w:vertAlign w:val="superscript"/>
          <w:lang w:val="en-GB" w:eastAsia="en-GB"/>
        </w:rPr>
        <w:footnoteReference w:id="219"/>
      </w:r>
      <w:r w:rsidRPr="00881BC8">
        <w:rPr>
          <w:noProof/>
          <w:lang w:val="en-GB" w:eastAsia="en-GB"/>
        </w:rPr>
        <w:t xml:space="preserve"> pronounced on 28 January 2020</w:t>
      </w:r>
    </w:p>
    <w:p w14:paraId="24EF2988" w14:textId="07C1BBC3" w:rsidR="000C28C3" w:rsidRPr="00881BC8" w:rsidRDefault="000C28C3" w:rsidP="004835F8">
      <w:pPr>
        <w:pStyle w:val="NormalPara"/>
        <w:rPr>
          <w:noProof/>
          <w:lang w:val="en-GB"/>
        </w:rPr>
      </w:pPr>
      <w:r w:rsidRPr="00881BC8">
        <w:rPr>
          <w:noProof/>
          <w:lang w:val="en-GB"/>
        </w:rPr>
        <w:t xml:space="preserve">In Case C-122/18, the Court clarified that paying on time is an </w:t>
      </w:r>
      <w:r w:rsidR="00303DFA" w:rsidRPr="00881BC8">
        <w:rPr>
          <w:noProof/>
          <w:lang w:val="en-GB"/>
        </w:rPr>
        <w:t>‘</w:t>
      </w:r>
      <w:r w:rsidRPr="00881BC8">
        <w:rPr>
          <w:noProof/>
          <w:lang w:val="en-GB"/>
        </w:rPr>
        <w:t>obligation of result</w:t>
      </w:r>
      <w:r w:rsidR="00303DFA" w:rsidRPr="00881BC8">
        <w:rPr>
          <w:noProof/>
          <w:lang w:val="en-GB"/>
        </w:rPr>
        <w:t>’</w:t>
      </w:r>
      <w:r w:rsidRPr="00881BC8">
        <w:rPr>
          <w:noProof/>
          <w:lang w:val="en-GB"/>
        </w:rPr>
        <w:t xml:space="preserve">, not an </w:t>
      </w:r>
      <w:r w:rsidR="00303DFA" w:rsidRPr="00881BC8">
        <w:rPr>
          <w:noProof/>
          <w:lang w:val="en-GB"/>
        </w:rPr>
        <w:t>‘</w:t>
      </w:r>
      <w:r w:rsidRPr="00881BC8">
        <w:rPr>
          <w:noProof/>
          <w:lang w:val="en-GB"/>
        </w:rPr>
        <w:t>obligation of means</w:t>
      </w:r>
      <w:r w:rsidR="00303DFA" w:rsidRPr="00881BC8">
        <w:rPr>
          <w:noProof/>
          <w:lang w:val="en-GB"/>
        </w:rPr>
        <w:t>’</w:t>
      </w:r>
      <w:r w:rsidRPr="00881BC8">
        <w:rPr>
          <w:noProof/>
          <w:lang w:val="en-GB"/>
        </w:rPr>
        <w:t xml:space="preserve">. More specifically the obligation to pay on time, i.e. within the statutory deadline, has to be </w:t>
      </w:r>
      <w:r w:rsidR="00303DFA" w:rsidRPr="00881BC8">
        <w:rPr>
          <w:noProof/>
          <w:lang w:val="en-GB"/>
        </w:rPr>
        <w:t>‘</w:t>
      </w:r>
      <w:r w:rsidRPr="00881BC8">
        <w:rPr>
          <w:noProof/>
          <w:lang w:val="en-GB"/>
        </w:rPr>
        <w:t>effectively</w:t>
      </w:r>
      <w:r w:rsidR="00303DFA" w:rsidRPr="00881BC8">
        <w:rPr>
          <w:noProof/>
          <w:lang w:val="en-GB"/>
        </w:rPr>
        <w:t>’</w:t>
      </w:r>
      <w:r w:rsidRPr="00881BC8">
        <w:rPr>
          <w:noProof/>
          <w:lang w:val="en-GB"/>
        </w:rPr>
        <w:t xml:space="preserve"> and proactively pursued by the authorities. According to the Italian authorities, defendants in the case, t</w:t>
      </w:r>
      <w:r w:rsidRPr="00881BC8">
        <w:rPr>
          <w:rFonts w:eastAsia="Open Sans"/>
          <w:noProof/>
          <w:lang w:val="en-GB"/>
        </w:rPr>
        <w:t xml:space="preserve">he obligation imposed by Article 4(3) and (4) of the LPD </w:t>
      </w:r>
      <w:r w:rsidR="00303DFA" w:rsidRPr="00881BC8">
        <w:rPr>
          <w:rFonts w:eastAsia="Open Sans"/>
          <w:noProof/>
          <w:lang w:val="en-GB"/>
        </w:rPr>
        <w:t>‘</w:t>
      </w:r>
      <w:r w:rsidRPr="00881BC8">
        <w:rPr>
          <w:rFonts w:eastAsia="Open Sans"/>
          <w:noProof/>
          <w:lang w:val="en-GB"/>
        </w:rPr>
        <w:t>puts the public authorities not under obligations to achieve a specified result, but at most under obligations as to the means employed</w:t>
      </w:r>
      <w:r w:rsidR="00303DFA" w:rsidRPr="00881BC8">
        <w:rPr>
          <w:rFonts w:eastAsia="Open Sans"/>
          <w:noProof/>
          <w:lang w:val="en-GB"/>
        </w:rPr>
        <w:t>’</w:t>
      </w:r>
      <w:r w:rsidRPr="00881BC8">
        <w:rPr>
          <w:rFonts w:eastAsia="Open Sans"/>
          <w:noProof/>
          <w:lang w:val="en-GB"/>
        </w:rPr>
        <w:t xml:space="preserve">. </w:t>
      </w:r>
      <w:r w:rsidRPr="00881BC8">
        <w:rPr>
          <w:noProof/>
          <w:lang w:val="en-GB"/>
        </w:rPr>
        <w:t>The ECJ thoroughly</w:t>
      </w:r>
      <w:r w:rsidR="00790828" w:rsidRPr="00881BC8">
        <w:rPr>
          <w:noProof/>
          <w:lang w:val="en-GB"/>
        </w:rPr>
        <w:t xml:space="preserve"> rejected this argument.</w:t>
      </w:r>
      <w:r w:rsidRPr="00881BC8">
        <w:rPr>
          <w:noProof/>
          <w:lang w:val="en-GB"/>
        </w:rPr>
        <w:t xml:space="preserve"> </w:t>
      </w:r>
      <w:r w:rsidRPr="00881BC8">
        <w:rPr>
          <w:rFonts w:eastAsia="@Yu Mincho Light"/>
          <w:noProof/>
          <w:lang w:val="en-GB"/>
        </w:rPr>
        <w:t>A</w:t>
      </w:r>
      <w:r w:rsidRPr="00881BC8">
        <w:rPr>
          <w:rFonts w:eastAsia="Open Sans"/>
          <w:noProof/>
          <w:lang w:val="en-GB"/>
        </w:rPr>
        <w:t>ccording to the ECJ, in fact</w:t>
      </w:r>
      <w:r w:rsidRPr="00881BC8">
        <w:rPr>
          <w:noProof/>
          <w:lang w:val="en-GB"/>
        </w:rPr>
        <w:t>,</w:t>
      </w:r>
      <w:r w:rsidRPr="00881BC8">
        <w:rPr>
          <w:rFonts w:eastAsia="Open Sans"/>
          <w:noProof/>
          <w:lang w:val="en-GB"/>
        </w:rPr>
        <w:t xml:space="preserve"> </w:t>
      </w:r>
      <w:r w:rsidR="00303DFA" w:rsidRPr="00881BC8">
        <w:rPr>
          <w:rFonts w:eastAsia="Open Sans"/>
          <w:noProof/>
          <w:lang w:val="en-GB"/>
        </w:rPr>
        <w:t>‘</w:t>
      </w:r>
      <w:r w:rsidRPr="00881BC8">
        <w:rPr>
          <w:rFonts w:eastAsia="Open Sans"/>
          <w:noProof/>
          <w:lang w:val="en-GB"/>
        </w:rPr>
        <w:t>it cannot be accepted</w:t>
      </w:r>
      <w:r w:rsidR="00303DFA" w:rsidRPr="00881BC8">
        <w:rPr>
          <w:rFonts w:eastAsia="Open Sans"/>
          <w:noProof/>
          <w:lang w:val="en-GB"/>
        </w:rPr>
        <w:t>’</w:t>
      </w:r>
      <w:r w:rsidRPr="00881BC8">
        <w:rPr>
          <w:rFonts w:eastAsia="Open Sans"/>
          <w:noProof/>
          <w:lang w:val="en-GB"/>
        </w:rPr>
        <w:t xml:space="preserve"> the interpretation of the Italian Republic, according to which Articles 4(3) and (4) of </w:t>
      </w:r>
      <w:r w:rsidRPr="00881BC8">
        <w:rPr>
          <w:noProof/>
          <w:lang w:val="en-GB"/>
        </w:rPr>
        <w:t>the LPD</w:t>
      </w:r>
      <w:r w:rsidRPr="00881BC8">
        <w:rPr>
          <w:rFonts w:eastAsia="Open Sans"/>
          <w:noProof/>
          <w:lang w:val="en-GB"/>
        </w:rPr>
        <w:t xml:space="preserve"> </w:t>
      </w:r>
      <w:r w:rsidR="00303DFA" w:rsidRPr="00881BC8">
        <w:rPr>
          <w:noProof/>
          <w:lang w:val="en-GB"/>
        </w:rPr>
        <w:t>‘</w:t>
      </w:r>
      <w:r w:rsidRPr="00881BC8">
        <w:rPr>
          <w:rFonts w:eastAsia="Open Sans"/>
          <w:noProof/>
          <w:lang w:val="en-GB"/>
        </w:rPr>
        <w:t>impose on Member States only the obligation to ensure that the statutory and contractual payment periods applicable to commercial transactions involving public authorities are in conformity with those provisions and to provide, in the event of non-compliance ...for the right of a creditor..</w:t>
      </w:r>
      <w:r w:rsidR="0091653A" w:rsidRPr="00881BC8">
        <w:rPr>
          <w:rFonts w:eastAsia="Open Sans"/>
          <w:noProof/>
          <w:lang w:val="en-GB"/>
        </w:rPr>
        <w:t xml:space="preserve">. </w:t>
      </w:r>
      <w:r w:rsidRPr="00881BC8">
        <w:rPr>
          <w:rFonts w:eastAsia="Open Sans"/>
          <w:noProof/>
          <w:lang w:val="en-GB"/>
        </w:rPr>
        <w:t>to obtain statutory interest for late payment but does not impose the obligation to ensure that those public authorities effectively comply with those periods</w:t>
      </w:r>
      <w:r w:rsidR="00303DFA" w:rsidRPr="00881BC8">
        <w:rPr>
          <w:noProof/>
          <w:lang w:val="en-GB"/>
        </w:rPr>
        <w:t>’</w:t>
      </w:r>
      <w:r w:rsidRPr="00881BC8">
        <w:rPr>
          <w:noProof/>
          <w:lang w:val="en-GB"/>
        </w:rPr>
        <w:t>.</w:t>
      </w:r>
    </w:p>
    <w:p w14:paraId="78DB70AD" w14:textId="21A47372" w:rsidR="00790828" w:rsidRPr="00881BC8" w:rsidRDefault="1254AAA9" w:rsidP="004835F8">
      <w:pPr>
        <w:pStyle w:val="AnnexLevel1"/>
        <w:rPr>
          <w:noProof/>
          <w:lang w:val="en-GB"/>
        </w:rPr>
      </w:pPr>
      <w:r w:rsidRPr="00881BC8">
        <w:rPr>
          <w:noProof/>
          <w:lang w:val="en-GB"/>
        </w:rPr>
        <w:t>Preliminary ruling in Case C-256/15</w:t>
      </w:r>
      <w:r w:rsidR="008C53D1" w:rsidRPr="00881BC8">
        <w:rPr>
          <w:rStyle w:val="FootnoteReference"/>
          <w:noProof/>
          <w:lang w:val="en-GB"/>
        </w:rPr>
        <w:footnoteReference w:id="220"/>
      </w:r>
      <w:r w:rsidR="6FE04000" w:rsidRPr="00881BC8">
        <w:rPr>
          <w:noProof/>
          <w:lang w:val="en-GB"/>
        </w:rPr>
        <w:t>, pronounced on 15 December 2016</w:t>
      </w:r>
    </w:p>
    <w:p w14:paraId="37407C5C" w14:textId="248E73C6" w:rsidR="00790828" w:rsidRPr="00881BC8" w:rsidRDefault="008C53D1" w:rsidP="004835F8">
      <w:pPr>
        <w:pStyle w:val="NormalPara"/>
        <w:rPr>
          <w:noProof/>
          <w:lang w:val="en-GB"/>
        </w:rPr>
      </w:pPr>
      <w:r w:rsidRPr="00881BC8">
        <w:rPr>
          <w:noProof/>
          <w:lang w:val="en-GB"/>
        </w:rPr>
        <w:t>In this case, that concerned the interpretation of Directive 2000/35/EC, the Court noted that the Di</w:t>
      </w:r>
      <w:r w:rsidR="00790828" w:rsidRPr="00881BC8">
        <w:rPr>
          <w:noProof/>
          <w:lang w:val="en-GB"/>
        </w:rPr>
        <w:t>rective does not harmonise all aspects relating to intere</w:t>
      </w:r>
      <w:r w:rsidRPr="00881BC8">
        <w:rPr>
          <w:noProof/>
          <w:lang w:val="en-GB"/>
        </w:rPr>
        <w:t>st for late payment. In Article 3,</w:t>
      </w:r>
      <w:r w:rsidR="00790828" w:rsidRPr="00881BC8">
        <w:rPr>
          <w:noProof/>
          <w:lang w:val="en-GB"/>
        </w:rPr>
        <w:t xml:space="preserve"> it regulates </w:t>
      </w:r>
      <w:r w:rsidRPr="00881BC8">
        <w:rPr>
          <w:noProof/>
          <w:lang w:val="en-GB"/>
        </w:rPr>
        <w:t xml:space="preserve">only some </w:t>
      </w:r>
      <w:r w:rsidR="00790828" w:rsidRPr="00881BC8">
        <w:rPr>
          <w:noProof/>
          <w:lang w:val="en-GB"/>
        </w:rPr>
        <w:t>aspects, namely the entitlement to interest in the event of late payment, the date from which the interest is due</w:t>
      </w:r>
      <w:r w:rsidRPr="00881BC8">
        <w:rPr>
          <w:noProof/>
          <w:lang w:val="en-GB"/>
        </w:rPr>
        <w:t xml:space="preserve"> (</w:t>
      </w:r>
      <w:r w:rsidRPr="00881BC8">
        <w:rPr>
          <w:i/>
          <w:noProof/>
          <w:lang w:val="en-GB"/>
        </w:rPr>
        <w:t>dies a quo</w:t>
      </w:r>
      <w:r w:rsidR="001569BE" w:rsidRPr="00881BC8">
        <w:rPr>
          <w:noProof/>
          <w:lang w:val="en-GB"/>
        </w:rPr>
        <w:t>)</w:t>
      </w:r>
      <w:r w:rsidR="00790828" w:rsidRPr="00881BC8">
        <w:rPr>
          <w:noProof/>
          <w:lang w:val="en-GB"/>
        </w:rPr>
        <w:t>, the rate of interest, the creditor’s right to seek compensation for the recovery costs incurred through late payment, and the consequences of the use of contractual terms that are grossly unfair to the creditor.</w:t>
      </w:r>
    </w:p>
    <w:p w14:paraId="3FEFA1ED" w14:textId="4116338A" w:rsidR="00790828" w:rsidRPr="00881BC8" w:rsidRDefault="6FE04000" w:rsidP="004835F8">
      <w:pPr>
        <w:pStyle w:val="NormalPara"/>
        <w:rPr>
          <w:noProof/>
          <w:lang w:val="en-GB"/>
        </w:rPr>
      </w:pPr>
      <w:r w:rsidRPr="00881BC8">
        <w:rPr>
          <w:noProof/>
          <w:lang w:val="en-GB"/>
        </w:rPr>
        <w:t xml:space="preserve">In particular, the Court highlighted that </w:t>
      </w:r>
      <w:r w:rsidR="28E9BA24" w:rsidRPr="00881BC8">
        <w:rPr>
          <w:noProof/>
          <w:lang w:val="en-GB"/>
        </w:rPr>
        <w:t>Directive 2000/35</w:t>
      </w:r>
      <w:r w:rsidR="1254AAA9" w:rsidRPr="00881BC8">
        <w:rPr>
          <w:noProof/>
          <w:lang w:val="en-GB"/>
        </w:rPr>
        <w:t xml:space="preserve">/EU does not </w:t>
      </w:r>
      <w:r w:rsidR="28E9BA24" w:rsidRPr="00881BC8">
        <w:rPr>
          <w:noProof/>
          <w:lang w:val="en-GB"/>
        </w:rPr>
        <w:t>include rules relating to the period during which interest for late payment runs or to</w:t>
      </w:r>
      <w:r w:rsidRPr="00881BC8">
        <w:rPr>
          <w:noProof/>
          <w:lang w:val="en-GB"/>
        </w:rPr>
        <w:t xml:space="preserve"> the maximum amount of interest (</w:t>
      </w:r>
      <w:r w:rsidRPr="00881BC8">
        <w:rPr>
          <w:i/>
          <w:iCs/>
          <w:noProof/>
          <w:lang w:val="en-GB"/>
        </w:rPr>
        <w:t>dies ad quem</w:t>
      </w:r>
      <w:r w:rsidRPr="00881BC8">
        <w:rPr>
          <w:noProof/>
          <w:lang w:val="en-GB"/>
        </w:rPr>
        <w:t>). On this basis the Court declared that Directive 2000/35/EU must be interpreted as not precluding national provisions whereby interest for late payment accrued but not paid ceases to run when the amount of the interest equals the principal amount (</w:t>
      </w:r>
      <w:r w:rsidRPr="00881BC8">
        <w:rPr>
          <w:i/>
          <w:iCs/>
          <w:noProof/>
          <w:lang w:val="en-GB"/>
        </w:rPr>
        <w:t>ne ultra alterum tantum</w:t>
      </w:r>
      <w:r w:rsidR="001569BE" w:rsidRPr="00881BC8">
        <w:rPr>
          <w:rStyle w:val="FootnoteReference"/>
          <w:noProof/>
          <w:lang w:val="en-GB"/>
        </w:rPr>
        <w:footnoteReference w:id="221"/>
      </w:r>
      <w:r w:rsidRPr="00881BC8">
        <w:rPr>
          <w:noProof/>
          <w:lang w:val="en-GB"/>
        </w:rPr>
        <w:t>)</w:t>
      </w:r>
    </w:p>
    <w:p w14:paraId="7B013EC1" w14:textId="5A07E49F" w:rsidR="006B087E" w:rsidRPr="00881BC8" w:rsidRDefault="006B087E" w:rsidP="001569BE">
      <w:pPr>
        <w:pStyle w:val="NormalWeb"/>
        <w:spacing w:before="0" w:beforeAutospacing="0" w:after="240" w:afterAutospacing="0"/>
        <w:jc w:val="both"/>
        <w:rPr>
          <w:noProof/>
        </w:rPr>
      </w:pPr>
    </w:p>
    <w:p w14:paraId="3F6362C4" w14:textId="6158BB03" w:rsidR="00F36071" w:rsidRPr="00881BC8" w:rsidRDefault="00F36071">
      <w:pPr>
        <w:spacing w:after="200" w:line="276" w:lineRule="auto"/>
        <w:jc w:val="left"/>
        <w:rPr>
          <w:noProof/>
        </w:rPr>
      </w:pPr>
      <w:r w:rsidRPr="00881BC8">
        <w:rPr>
          <w:noProof/>
        </w:rPr>
        <w:br w:type="page"/>
      </w:r>
    </w:p>
    <w:p w14:paraId="3F6363A1" w14:textId="6669B618" w:rsidR="00240360" w:rsidRPr="00881BC8" w:rsidRDefault="00240360" w:rsidP="000E3086">
      <w:pPr>
        <w:rPr>
          <w:noProof/>
        </w:rPr>
      </w:pPr>
    </w:p>
    <w:p w14:paraId="272FD837" w14:textId="1CB87757" w:rsidR="00F36071" w:rsidRPr="00881BC8" w:rsidRDefault="00F36071" w:rsidP="00CF2B67">
      <w:pPr>
        <w:pStyle w:val="AnnexTitle"/>
        <w:rPr>
          <w:noProof/>
        </w:rPr>
      </w:pPr>
      <w:bookmarkStart w:id="1065" w:name="Annex12"/>
      <w:bookmarkStart w:id="1066" w:name="_Toc129899935"/>
      <w:bookmarkStart w:id="1067" w:name="_Toc135237461"/>
      <w:r w:rsidRPr="00881BC8">
        <w:rPr>
          <w:noProof/>
        </w:rPr>
        <w:t xml:space="preserve">Annex </w:t>
      </w:r>
      <w:r w:rsidR="5EFF0F3C" w:rsidRPr="00881BC8">
        <w:rPr>
          <w:noProof/>
        </w:rPr>
        <w:t>1</w:t>
      </w:r>
      <w:r w:rsidR="36854E8A" w:rsidRPr="00881BC8">
        <w:rPr>
          <w:noProof/>
        </w:rPr>
        <w:t>2</w:t>
      </w:r>
      <w:bookmarkEnd w:id="1065"/>
      <w:r w:rsidRPr="00881BC8">
        <w:rPr>
          <w:noProof/>
        </w:rPr>
        <w:t>:</w:t>
      </w:r>
      <w:r w:rsidRPr="00881BC8">
        <w:rPr>
          <w:noProof/>
        </w:rPr>
        <w:tab/>
      </w:r>
      <w:bookmarkEnd w:id="1066"/>
      <w:r w:rsidR="004C75BB" w:rsidRPr="00881BC8">
        <w:rPr>
          <w:noProof/>
        </w:rPr>
        <w:t>Credit management and financial literacy</w:t>
      </w:r>
      <w:bookmarkEnd w:id="1067"/>
      <w:r w:rsidR="002E552C" w:rsidRPr="00881BC8">
        <w:rPr>
          <w:noProof/>
        </w:rPr>
        <w:t xml:space="preserve"> </w:t>
      </w:r>
    </w:p>
    <w:p w14:paraId="0341DFDF" w14:textId="3FBA2809" w:rsidR="00876F80" w:rsidRPr="00881BC8" w:rsidRDefault="00876F80" w:rsidP="004835F8">
      <w:pPr>
        <w:pStyle w:val="NormalPara"/>
        <w:rPr>
          <w:noProof/>
          <w:lang w:val="en-GB"/>
        </w:rPr>
      </w:pPr>
      <w:r w:rsidRPr="00881BC8">
        <w:rPr>
          <w:noProof/>
          <w:lang w:val="en-GB"/>
        </w:rPr>
        <w:t>Credit management is a complex activity, requiring a diversified set of skills in various areas, including: (i) an excellent understanding of the role of trade credit in promoting sales, coupled with a strong customer orientation</w:t>
      </w:r>
      <w:r w:rsidR="00D0595A" w:rsidRPr="00881BC8">
        <w:rPr>
          <w:noProof/>
          <w:lang w:val="en-GB"/>
        </w:rPr>
        <w:t xml:space="preserve"> and also digital skills in a more complex digitalised environment</w:t>
      </w:r>
      <w:r w:rsidRPr="00881BC8">
        <w:rPr>
          <w:noProof/>
          <w:lang w:val="en-GB"/>
        </w:rPr>
        <w:t>; (ii) an equally excellent understanding of financial constraints and key financial parameters; (iii) teamwork spirit and diplomatic abilities, in order to be able to reconcile the opposite views of the marketing/sales department (naturally interested in ‘pushing’ sales) and of the accounting/financial department (whose prime concern is ‘financial stability’); and (iv) an ability to think in terms of general strategy while at the same time mastering the details of specific transactions.</w:t>
      </w:r>
      <w:r w:rsidR="0091653A" w:rsidRPr="00881BC8">
        <w:rPr>
          <w:noProof/>
          <w:lang w:val="en-GB"/>
        </w:rPr>
        <w:t xml:space="preserve"> </w:t>
      </w:r>
      <w:r w:rsidRPr="00881BC8">
        <w:rPr>
          <w:noProof/>
          <w:lang w:val="en-GB"/>
        </w:rPr>
        <w:t xml:space="preserve">While experience plays an important role, a solid background is essential, and this requires specialized training. </w:t>
      </w:r>
    </w:p>
    <w:p w14:paraId="11361E32" w14:textId="77777777" w:rsidR="00876F80" w:rsidRPr="00881BC8" w:rsidRDefault="00876F80" w:rsidP="004835F8">
      <w:pPr>
        <w:pStyle w:val="AnnexLevel1"/>
        <w:rPr>
          <w:noProof/>
          <w:lang w:val="en-GB"/>
        </w:rPr>
      </w:pPr>
      <w:r w:rsidRPr="00881BC8">
        <w:rPr>
          <w:noProof/>
          <w:lang w:val="en-GB"/>
        </w:rPr>
        <w:t xml:space="preserve">Training for credit management professionals </w:t>
      </w:r>
    </w:p>
    <w:p w14:paraId="64310FC6" w14:textId="77777777" w:rsidR="00876F80" w:rsidRPr="00881BC8" w:rsidRDefault="00876F80" w:rsidP="004835F8">
      <w:pPr>
        <w:pStyle w:val="NormalPara"/>
        <w:rPr>
          <w:bCs/>
          <w:noProof/>
          <w:lang w:val="en-GB"/>
        </w:rPr>
      </w:pPr>
      <w:r w:rsidRPr="00881BC8">
        <w:rPr>
          <w:bCs/>
          <w:noProof/>
          <w:lang w:val="en-GB"/>
        </w:rPr>
        <w:t xml:space="preserve">Extensive credit management training (or training for credit management professionals) is normally offered by credit managers’ associations, sometimes in collaboration with higher education institutions. A key player in the provision of credit management training is the UK-based Chartered Institute </w:t>
      </w:r>
      <w:bookmarkStart w:id="1068" w:name="_Hlk94196440"/>
      <w:r w:rsidRPr="00881BC8">
        <w:rPr>
          <w:bCs/>
          <w:noProof/>
          <w:lang w:val="en-GB"/>
        </w:rPr>
        <w:t xml:space="preserve">of Credit Management </w:t>
      </w:r>
      <w:bookmarkEnd w:id="1068"/>
      <w:r w:rsidRPr="00881BC8">
        <w:rPr>
          <w:bCs/>
          <w:noProof/>
          <w:lang w:val="en-GB"/>
        </w:rPr>
        <w:t>(CICM)</w:t>
      </w:r>
      <w:r w:rsidRPr="00881BC8">
        <w:rPr>
          <w:bCs/>
          <w:noProof/>
          <w:vertAlign w:val="superscript"/>
          <w:lang w:val="en-GB"/>
        </w:rPr>
        <w:t>.</w:t>
      </w:r>
      <w:r w:rsidRPr="00881BC8">
        <w:rPr>
          <w:bCs/>
          <w:noProof/>
          <w:vertAlign w:val="superscript"/>
          <w:lang w:val="en-GB"/>
        </w:rPr>
        <w:footnoteReference w:id="222"/>
      </w:r>
      <w:r w:rsidRPr="00881BC8">
        <w:rPr>
          <w:bCs/>
          <w:noProof/>
          <w:vertAlign w:val="superscript"/>
          <w:lang w:val="en-GB"/>
        </w:rPr>
        <w:t xml:space="preserve"> </w:t>
      </w:r>
      <w:r w:rsidRPr="00881BC8">
        <w:rPr>
          <w:bCs/>
          <w:noProof/>
          <w:lang w:val="en-GB"/>
        </w:rPr>
        <w:t>Established in 1939, CICM is the largest professional body in Europe and its certified qualification are widely regarded as the ‘gold standard’ in the profession. Professional training is also offered by the national associations of credit managers, which are grouped under the Federation of European Credit Management Associations (FECMA)</w:t>
      </w:r>
      <w:r w:rsidRPr="00881BC8">
        <w:rPr>
          <w:bCs/>
          <w:noProof/>
          <w:vertAlign w:val="superscript"/>
          <w:lang w:val="en-GB"/>
        </w:rPr>
        <w:footnoteReference w:id="223"/>
      </w:r>
      <w:r w:rsidRPr="00881BC8">
        <w:rPr>
          <w:bCs/>
          <w:noProof/>
          <w:vertAlign w:val="superscript"/>
          <w:lang w:val="en-GB"/>
        </w:rPr>
        <w:t>.</w:t>
      </w:r>
      <w:r w:rsidRPr="00881BC8">
        <w:rPr>
          <w:bCs/>
          <w:noProof/>
          <w:lang w:val="en-GB"/>
        </w:rPr>
        <w:t xml:space="preserve"> In some countries, credit management training is also offered by business schools</w:t>
      </w:r>
    </w:p>
    <w:p w14:paraId="493704D5" w14:textId="77777777" w:rsidR="00876F80" w:rsidRPr="00881BC8" w:rsidRDefault="00876F80" w:rsidP="004835F8">
      <w:pPr>
        <w:pStyle w:val="NormalPara"/>
        <w:rPr>
          <w:noProof/>
          <w:lang w:val="en-GB"/>
        </w:rPr>
      </w:pPr>
      <w:r w:rsidRPr="00881BC8">
        <w:rPr>
          <w:noProof/>
          <w:lang w:val="en-GB"/>
        </w:rPr>
        <w:t>An overview of training courses for credit management professionals offered by a representative sample of organizations is provided below</w:t>
      </w:r>
      <w:r w:rsidRPr="00881BC8">
        <w:rPr>
          <w:noProof/>
          <w:vertAlign w:val="superscript"/>
          <w:lang w:val="en-GB"/>
        </w:rPr>
        <w:footnoteReference w:id="224"/>
      </w:r>
      <w:r w:rsidRPr="00881BC8">
        <w:rPr>
          <w:noProof/>
          <w:lang w:val="en-GB"/>
        </w:rPr>
        <w:t>.</w:t>
      </w:r>
    </w:p>
    <w:p w14:paraId="35EAE8F3" w14:textId="77777777" w:rsidR="00876F80" w:rsidRPr="00881BC8" w:rsidRDefault="00876F80" w:rsidP="00D0595A">
      <w:pPr>
        <w:pStyle w:val="Caption"/>
        <w:rPr>
          <w:noProof/>
          <w:lang w:val="en-GB"/>
        </w:rPr>
      </w:pPr>
      <w:r w:rsidRPr="00881BC8">
        <w:rPr>
          <w:noProof/>
          <w:lang w:val="en-GB"/>
        </w:rPr>
        <w:t>Exhibit 11.5 Overview of Selected Training for Credit Management Professionals</w:t>
      </w:r>
    </w:p>
    <w:tbl>
      <w:tblPr>
        <w:tblStyle w:val="Deloitte1"/>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569"/>
        <w:gridCol w:w="7265"/>
      </w:tblGrid>
      <w:tr w:rsidR="0050774D" w:rsidRPr="00881BC8" w14:paraId="27270353" w14:textId="77777777" w:rsidTr="0050774D">
        <w:trPr>
          <w:trHeight w:val="194"/>
          <w:tblHeader/>
        </w:trPr>
        <w:tc>
          <w:tcPr>
            <w:tcW w:w="888"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F497D" w:themeFill="text2"/>
            <w:hideMark/>
          </w:tcPr>
          <w:p w14:paraId="0FF77019" w14:textId="77777777" w:rsidR="00876F80" w:rsidRPr="00881BC8" w:rsidRDefault="00876F80" w:rsidP="002F76D9">
            <w:pPr>
              <w:rPr>
                <w:noProof/>
                <w:color w:val="FFFFFF" w:themeColor="background1"/>
              </w:rPr>
            </w:pPr>
            <w:r w:rsidRPr="00881BC8">
              <w:rPr>
                <w:noProof/>
                <w:color w:val="FFFFFF" w:themeColor="background1"/>
              </w:rPr>
              <w:t>Organisation</w:t>
            </w:r>
          </w:p>
        </w:tc>
        <w:tc>
          <w:tcPr>
            <w:tcW w:w="4112"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F497D" w:themeFill="text2"/>
            <w:hideMark/>
          </w:tcPr>
          <w:p w14:paraId="22941CF1" w14:textId="77777777" w:rsidR="00876F80" w:rsidRPr="00881BC8" w:rsidRDefault="00876F80" w:rsidP="002F76D9">
            <w:pPr>
              <w:rPr>
                <w:noProof/>
                <w:color w:val="FFFFFF" w:themeColor="background1"/>
              </w:rPr>
            </w:pPr>
            <w:r w:rsidRPr="00881BC8">
              <w:rPr>
                <w:noProof/>
                <w:color w:val="FFFFFF" w:themeColor="background1"/>
              </w:rPr>
              <w:t>Description</w:t>
            </w:r>
          </w:p>
        </w:tc>
      </w:tr>
      <w:tr w:rsidR="00876F80" w:rsidRPr="00881BC8" w14:paraId="056CF5C6" w14:textId="77777777" w:rsidTr="00BC52A0">
        <w:trPr>
          <w:trHeight w:val="2041"/>
        </w:trPr>
        <w:tc>
          <w:tcPr>
            <w:tcW w:w="888"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14:paraId="1EB73C5B" w14:textId="77777777" w:rsidR="00876F80" w:rsidRPr="00881BC8" w:rsidRDefault="00876F80" w:rsidP="002F76D9">
            <w:pPr>
              <w:rPr>
                <w:noProof/>
                <w:color w:val="1F497D" w:themeColor="text2"/>
                <w:sz w:val="18"/>
              </w:rPr>
            </w:pPr>
            <w:r w:rsidRPr="00881BC8">
              <w:rPr>
                <w:noProof/>
                <w:color w:val="1F497D" w:themeColor="text2"/>
                <w:sz w:val="18"/>
              </w:rPr>
              <w:t>Chartered Institute of Credit Management (CICM) - United Kingdom</w:t>
            </w:r>
          </w:p>
        </w:tc>
        <w:tc>
          <w:tcPr>
            <w:tcW w:w="4112"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14:paraId="7693212F" w14:textId="09E6CF88" w:rsidR="00876F80" w:rsidRPr="00881BC8" w:rsidRDefault="00876F80" w:rsidP="002F76D9">
            <w:pPr>
              <w:rPr>
                <w:noProof/>
                <w:sz w:val="18"/>
              </w:rPr>
            </w:pPr>
            <w:r w:rsidRPr="00881BC8">
              <w:rPr>
                <w:noProof/>
                <w:sz w:val="18"/>
              </w:rPr>
              <w:t xml:space="preserve">Through its Credit Academy, CICM provides training leading to regulated a </w:t>
            </w:r>
            <w:r w:rsidRPr="00881BC8">
              <w:rPr>
                <w:i/>
                <w:iCs/>
                <w:noProof/>
                <w:sz w:val="18"/>
              </w:rPr>
              <w:t xml:space="preserve">comprehensive range of </w:t>
            </w:r>
            <w:hyperlink r:id="rId74" w:tooltip="Find a Training Course" w:history="1">
              <w:r w:rsidRPr="00881BC8">
                <w:rPr>
                  <w:i/>
                  <w:iCs/>
                  <w:noProof/>
                  <w:color w:val="0000FF" w:themeColor="hyperlink"/>
                  <w:sz w:val="18"/>
                  <w:u w:val="single"/>
                </w:rPr>
                <w:t>training</w:t>
              </w:r>
            </w:hyperlink>
            <w:r w:rsidRPr="00881BC8">
              <w:rPr>
                <w:i/>
                <w:iCs/>
                <w:noProof/>
                <w:sz w:val="18"/>
              </w:rPr>
              <w:t xml:space="preserve"> options</w:t>
            </w:r>
            <w:r w:rsidRPr="00881BC8">
              <w:rPr>
                <w:noProof/>
                <w:sz w:val="18"/>
              </w:rPr>
              <w:t xml:space="preserve"> and Ofqual</w:t>
            </w:r>
            <w:r w:rsidRPr="00881BC8">
              <w:rPr>
                <w:rFonts w:cs="@Yu Mincho Light"/>
                <w:noProof/>
                <w:sz w:val="18"/>
                <w:vertAlign w:val="superscript"/>
              </w:rPr>
              <w:footnoteReference w:id="225"/>
            </w:r>
            <w:r w:rsidRPr="00881BC8">
              <w:rPr>
                <w:noProof/>
                <w:sz w:val="18"/>
              </w:rPr>
              <w:t xml:space="preserve">-regulated </w:t>
            </w:r>
            <w:hyperlink r:id="rId75" w:tgtFrame="_blank" w:tooltip="Which qualification?" w:history="1">
              <w:r w:rsidRPr="00881BC8">
                <w:rPr>
                  <w:noProof/>
                  <w:color w:val="0000FF" w:themeColor="hyperlink"/>
                  <w:sz w:val="18"/>
                  <w:u w:val="single"/>
                </w:rPr>
                <w:t>qualifications</w:t>
              </w:r>
            </w:hyperlink>
            <w:r w:rsidRPr="00881BC8">
              <w:rPr>
                <w:noProof/>
                <w:sz w:val="18"/>
              </w:rPr>
              <w:t xml:space="preserve"> that have become the recognized standard in the credit profession. CICM qualifications are subdivided into entry, intermediate and advanced level, and can be obtained for </w:t>
            </w:r>
            <w:r w:rsidRPr="00881BC8">
              <w:rPr>
                <w:i/>
                <w:iCs/>
                <w:noProof/>
                <w:sz w:val="18"/>
              </w:rPr>
              <w:t>three different area of expertise</w:t>
            </w:r>
            <w:r w:rsidRPr="00881BC8">
              <w:rPr>
                <w:noProof/>
                <w:sz w:val="18"/>
              </w:rPr>
              <w:t xml:space="preserve"> (Credit &amp; Collections Qualifications, Money and Debt Advice, and Enforcement). In addition to the above qualifications CICM organises conferences and regional events to support and keep up to date its members. Finally, CICM provides also educational material free of charge (e.g. 15 cash flow management guides).</w:t>
            </w:r>
          </w:p>
        </w:tc>
      </w:tr>
      <w:tr w:rsidR="00876F80" w:rsidRPr="00881BC8" w14:paraId="5BDCD585" w14:textId="77777777" w:rsidTr="00BC52A0">
        <w:trPr>
          <w:trHeight w:val="2516"/>
        </w:trPr>
        <w:tc>
          <w:tcPr>
            <w:tcW w:w="888"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14:paraId="401D5D69" w14:textId="77777777" w:rsidR="00876F80" w:rsidRPr="00881BC8" w:rsidRDefault="00876F80" w:rsidP="002F76D9">
            <w:pPr>
              <w:rPr>
                <w:noProof/>
                <w:color w:val="1F497D" w:themeColor="text2"/>
                <w:sz w:val="18"/>
              </w:rPr>
            </w:pPr>
            <w:r w:rsidRPr="00881BC8">
              <w:rPr>
                <w:noProof/>
                <w:color w:val="1F497D" w:themeColor="text2"/>
                <w:sz w:val="18"/>
              </w:rPr>
              <w:t>Credit, Finance &amp; Accounting Academy GmbH (CREFIA Academy) - Germany</w:t>
            </w:r>
            <w:r w:rsidRPr="00881BC8">
              <w:rPr>
                <w:rFonts w:cs="@Yu Mincho Light"/>
                <w:noProof/>
                <w:color w:val="1F497D" w:themeColor="text2"/>
                <w:sz w:val="18"/>
                <w:vertAlign w:val="superscript"/>
              </w:rPr>
              <w:footnoteReference w:id="226"/>
            </w:r>
          </w:p>
        </w:tc>
        <w:tc>
          <w:tcPr>
            <w:tcW w:w="4112"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14:paraId="41954CA0" w14:textId="095D2AB5" w:rsidR="00876F80" w:rsidRPr="00881BC8" w:rsidRDefault="00876F80" w:rsidP="002F76D9">
            <w:pPr>
              <w:rPr>
                <w:noProof/>
                <w:sz w:val="18"/>
              </w:rPr>
            </w:pPr>
            <w:r w:rsidRPr="00881BC8">
              <w:rPr>
                <w:noProof/>
                <w:kern w:val="36"/>
                <w:sz w:val="18"/>
              </w:rPr>
              <w:t xml:space="preserve">CREFIA Academy is joint venture between the German association of credit managers (Bundesverband Credit Management) and the Bochum University of Applied Sciences. CREFIA offers a </w:t>
            </w:r>
            <w:r w:rsidRPr="00881BC8">
              <w:rPr>
                <w:i/>
                <w:iCs/>
                <w:noProof/>
                <w:kern w:val="36"/>
                <w:sz w:val="18"/>
              </w:rPr>
              <w:t>training course for Certified Credit Manager</w:t>
            </w:r>
            <w:r w:rsidRPr="00881BC8">
              <w:rPr>
                <w:noProof/>
                <w:kern w:val="36"/>
                <w:sz w:val="18"/>
              </w:rPr>
              <w:t>, subdivided into 12 modules addressing the fundamentals of credit management (</w:t>
            </w:r>
            <w:r w:rsidRPr="00881BC8">
              <w:rPr>
                <w:noProof/>
                <w:sz w:val="18"/>
              </w:rPr>
              <w:t xml:space="preserve">legal conditional framework of credit management, risk management, external business diagnostics, credit policy and credit collections, etc.). This is a one-year programme (250 teaching hours), costing </w:t>
            </w:r>
            <w:r w:rsidR="00391A3D" w:rsidRPr="00881BC8">
              <w:rPr>
                <w:noProof/>
                <w:sz w:val="18"/>
              </w:rPr>
              <w:t>EUR </w:t>
            </w:r>
            <w:r w:rsidRPr="00881BC8">
              <w:rPr>
                <w:noProof/>
                <w:sz w:val="18"/>
              </w:rPr>
              <w:t>5</w:t>
            </w:r>
            <w:r w:rsidR="00391A3D" w:rsidRPr="00881BC8">
              <w:rPr>
                <w:noProof/>
                <w:sz w:val="18"/>
              </w:rPr>
              <w:t> </w:t>
            </w:r>
            <w:r w:rsidRPr="00881BC8">
              <w:rPr>
                <w:noProof/>
                <w:sz w:val="18"/>
              </w:rPr>
              <w:t xml:space="preserve">890 for members of the credit management association, </w:t>
            </w:r>
            <w:r w:rsidR="00391A3D" w:rsidRPr="00881BC8">
              <w:rPr>
                <w:noProof/>
                <w:sz w:val="18"/>
              </w:rPr>
              <w:t>EUR </w:t>
            </w:r>
            <w:r w:rsidRPr="00881BC8">
              <w:rPr>
                <w:noProof/>
                <w:sz w:val="18"/>
              </w:rPr>
              <w:t>6</w:t>
            </w:r>
            <w:r w:rsidR="00391A3D" w:rsidRPr="00881BC8">
              <w:rPr>
                <w:noProof/>
                <w:sz w:val="18"/>
              </w:rPr>
              <w:t> </w:t>
            </w:r>
            <w:r w:rsidRPr="00881BC8">
              <w:rPr>
                <w:noProof/>
                <w:sz w:val="18"/>
              </w:rPr>
              <w:t>490 for non-members.</w:t>
            </w:r>
          </w:p>
          <w:p w14:paraId="17A97AE8" w14:textId="77777777" w:rsidR="00876F80" w:rsidRPr="00881BC8" w:rsidRDefault="00876F80" w:rsidP="002F76D9">
            <w:pPr>
              <w:rPr>
                <w:noProof/>
                <w:sz w:val="18"/>
              </w:rPr>
            </w:pPr>
            <w:r w:rsidRPr="00881BC8">
              <w:rPr>
                <w:noProof/>
                <w:sz w:val="18"/>
              </w:rPr>
              <w:t xml:space="preserve">In addition, in collaboration with Creditreform (a leading provider of credit information services), CREFIA also offers </w:t>
            </w:r>
            <w:r w:rsidRPr="00881BC8">
              <w:rPr>
                <w:i/>
                <w:iCs/>
                <w:noProof/>
                <w:sz w:val="18"/>
              </w:rPr>
              <w:t>continuing education programs</w:t>
            </w:r>
            <w:r w:rsidRPr="00881BC8">
              <w:rPr>
                <w:noProof/>
                <w:sz w:val="18"/>
              </w:rPr>
              <w:t xml:space="preserve"> for Certified Business Analyst; Certified Credit Consultant; Certified Debt Collector. </w:t>
            </w:r>
          </w:p>
        </w:tc>
      </w:tr>
      <w:tr w:rsidR="00876F80" w:rsidRPr="00881BC8" w14:paraId="07CFEC3A" w14:textId="77777777" w:rsidTr="00BC52A0">
        <w:trPr>
          <w:trHeight w:val="1938"/>
        </w:trPr>
        <w:tc>
          <w:tcPr>
            <w:tcW w:w="888"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14:paraId="41F834D8" w14:textId="77777777" w:rsidR="00876F80" w:rsidRPr="00881BC8" w:rsidRDefault="00876F80" w:rsidP="002F76D9">
            <w:pPr>
              <w:rPr>
                <w:noProof/>
                <w:color w:val="1F497D" w:themeColor="text2"/>
                <w:sz w:val="18"/>
              </w:rPr>
            </w:pPr>
            <w:r w:rsidRPr="00881BC8">
              <w:rPr>
                <w:noProof/>
                <w:color w:val="1F497D" w:themeColor="text2"/>
                <w:sz w:val="18"/>
              </w:rPr>
              <w:t>LUISS Business School &amp; Academy ASK - Italy</w:t>
            </w:r>
            <w:r w:rsidRPr="00881BC8">
              <w:rPr>
                <w:rFonts w:cs="@Yu Mincho Light"/>
                <w:noProof/>
                <w:color w:val="1F497D" w:themeColor="text2"/>
                <w:sz w:val="18"/>
                <w:vertAlign w:val="superscript"/>
              </w:rPr>
              <w:footnoteReference w:id="227"/>
            </w:r>
          </w:p>
        </w:tc>
        <w:tc>
          <w:tcPr>
            <w:tcW w:w="4112"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14:paraId="6A102107" w14:textId="3796496D" w:rsidR="00876F80" w:rsidRPr="00881BC8" w:rsidRDefault="00876F80" w:rsidP="002F76D9">
            <w:pPr>
              <w:rPr>
                <w:noProof/>
                <w:sz w:val="18"/>
              </w:rPr>
            </w:pPr>
            <w:r w:rsidRPr="00881BC8">
              <w:rPr>
                <w:noProof/>
                <w:sz w:val="18"/>
              </w:rPr>
              <w:t xml:space="preserve">LUISS Business School offers an </w:t>
            </w:r>
            <w:r w:rsidRPr="00881BC8">
              <w:rPr>
                <w:i/>
                <w:iCs/>
                <w:noProof/>
                <w:sz w:val="18"/>
              </w:rPr>
              <w:t>Executive Programme in Credit Management</w:t>
            </w:r>
            <w:r w:rsidRPr="00881BC8">
              <w:rPr>
                <w:noProof/>
                <w:sz w:val="18"/>
              </w:rPr>
              <w:t xml:space="preserve">. Developed in collaboration with Ask (a management consulting firm specialising in credit management), the programme aims at providing the fundamental ‘technical tools’ required for credit management positions and is structured in 6 modules, dealing with risk analysis techniques, financial analysis, financial and legal aspects of credit management, negotiation techniques, and compliance issues. The course does not lead automatically to any certified qualification, but participants received credits that can be used to this effect. Implemented in person or online, the program lasts 2 months and costs </w:t>
            </w:r>
            <w:r w:rsidR="00391A3D" w:rsidRPr="00881BC8">
              <w:rPr>
                <w:noProof/>
                <w:sz w:val="18"/>
              </w:rPr>
              <w:t>EUR </w:t>
            </w:r>
            <w:r w:rsidRPr="00881BC8">
              <w:rPr>
                <w:noProof/>
                <w:sz w:val="18"/>
              </w:rPr>
              <w:t>4</w:t>
            </w:r>
            <w:r w:rsidR="00391A3D" w:rsidRPr="00881BC8">
              <w:rPr>
                <w:noProof/>
                <w:sz w:val="18"/>
              </w:rPr>
              <w:t> </w:t>
            </w:r>
            <w:r w:rsidRPr="00881BC8">
              <w:rPr>
                <w:noProof/>
                <w:sz w:val="18"/>
              </w:rPr>
              <w:t>000.</w:t>
            </w:r>
          </w:p>
        </w:tc>
      </w:tr>
      <w:tr w:rsidR="00876F80" w:rsidRPr="00881BC8" w14:paraId="6DD43470" w14:textId="77777777" w:rsidTr="00BC52A0">
        <w:trPr>
          <w:trHeight w:val="2193"/>
        </w:trPr>
        <w:tc>
          <w:tcPr>
            <w:tcW w:w="888"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14:paraId="4EA62903" w14:textId="77777777" w:rsidR="00876F80" w:rsidRPr="00881BC8" w:rsidRDefault="00876F80" w:rsidP="002F76D9">
            <w:pPr>
              <w:rPr>
                <w:noProof/>
                <w:color w:val="1F497D" w:themeColor="text2"/>
                <w:sz w:val="18"/>
              </w:rPr>
            </w:pPr>
            <w:r w:rsidRPr="00881BC8">
              <w:rPr>
                <w:noProof/>
                <w:color w:val="1F497D" w:themeColor="text2"/>
                <w:sz w:val="18"/>
                <w:shd w:val="clear" w:color="auto" w:fill="DBE5F1" w:themeFill="accent1" w:themeFillTint="33"/>
              </w:rPr>
              <w:t xml:space="preserve">Vereniging voor Credit Management </w:t>
            </w:r>
            <w:r w:rsidRPr="00881BC8">
              <w:rPr>
                <w:noProof/>
                <w:color w:val="1F497D" w:themeColor="text2"/>
                <w:sz w:val="18"/>
              </w:rPr>
              <w:t>(VVCM) – the Netherlands</w:t>
            </w:r>
            <w:r w:rsidRPr="00881BC8">
              <w:rPr>
                <w:rFonts w:cs="@Yu Mincho Light"/>
                <w:noProof/>
                <w:color w:val="1F497D" w:themeColor="text2"/>
                <w:sz w:val="18"/>
                <w:vertAlign w:val="superscript"/>
              </w:rPr>
              <w:footnoteReference w:id="228"/>
            </w:r>
          </w:p>
        </w:tc>
        <w:tc>
          <w:tcPr>
            <w:tcW w:w="4112"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14:paraId="57803DEB" w14:textId="2EAB5E54" w:rsidR="00876F80" w:rsidRPr="00881BC8" w:rsidRDefault="00876F80" w:rsidP="002F76D9">
            <w:pPr>
              <w:rPr>
                <w:noProof/>
                <w:sz w:val="18"/>
              </w:rPr>
            </w:pPr>
            <w:r w:rsidRPr="00881BC8">
              <w:rPr>
                <w:noProof/>
                <w:kern w:val="36"/>
                <w:sz w:val="18"/>
              </w:rPr>
              <w:t xml:space="preserve">VVCM offers </w:t>
            </w:r>
            <w:r w:rsidRPr="00881BC8">
              <w:rPr>
                <w:i/>
                <w:iCs/>
                <w:noProof/>
                <w:kern w:val="36"/>
                <w:sz w:val="18"/>
              </w:rPr>
              <w:t>three training courses in credit management</w:t>
            </w:r>
            <w:r w:rsidRPr="00881BC8">
              <w:rPr>
                <w:noProof/>
                <w:kern w:val="36"/>
                <w:sz w:val="18"/>
              </w:rPr>
              <w:t xml:space="preserve"> leading to certifications recognized by CPION (Centrum Post Initieel Onderwijs Nederland), namely: (i) Certified Credit Practitioner (CCP); (ii) Certified Credit Controller (CCC); (iii) Certified Credit Manager (CCM). Duration and cost range from 30 weeks and </w:t>
            </w:r>
            <w:r w:rsidR="00391A3D" w:rsidRPr="00881BC8">
              <w:rPr>
                <w:noProof/>
                <w:kern w:val="36"/>
                <w:sz w:val="18"/>
              </w:rPr>
              <w:t>EUR </w:t>
            </w:r>
            <w:r w:rsidRPr="00881BC8">
              <w:rPr>
                <w:noProof/>
                <w:kern w:val="36"/>
                <w:sz w:val="18"/>
              </w:rPr>
              <w:t>3</w:t>
            </w:r>
            <w:r w:rsidR="00391A3D" w:rsidRPr="00881BC8">
              <w:rPr>
                <w:noProof/>
                <w:kern w:val="36"/>
                <w:sz w:val="18"/>
              </w:rPr>
              <w:t> </w:t>
            </w:r>
            <w:r w:rsidRPr="00881BC8">
              <w:rPr>
                <w:noProof/>
                <w:kern w:val="36"/>
                <w:sz w:val="18"/>
              </w:rPr>
              <w:t xml:space="preserve">850 for the CCP to one year and </w:t>
            </w:r>
            <w:r w:rsidR="00391A3D" w:rsidRPr="00881BC8">
              <w:rPr>
                <w:noProof/>
                <w:kern w:val="36"/>
                <w:sz w:val="18"/>
              </w:rPr>
              <w:t>EUR </w:t>
            </w:r>
            <w:r w:rsidRPr="00881BC8">
              <w:rPr>
                <w:noProof/>
                <w:kern w:val="36"/>
                <w:sz w:val="18"/>
              </w:rPr>
              <w:t>6</w:t>
            </w:r>
            <w:r w:rsidR="00A342E6" w:rsidRPr="00881BC8">
              <w:rPr>
                <w:noProof/>
                <w:kern w:val="36"/>
                <w:sz w:val="18"/>
              </w:rPr>
              <w:t> </w:t>
            </w:r>
            <w:r w:rsidRPr="00881BC8">
              <w:rPr>
                <w:noProof/>
                <w:kern w:val="36"/>
                <w:sz w:val="18"/>
              </w:rPr>
              <w:t xml:space="preserve">295 for the CCM. VVCM also offers </w:t>
            </w:r>
            <w:r w:rsidRPr="00881BC8">
              <w:rPr>
                <w:i/>
                <w:iCs/>
                <w:noProof/>
                <w:kern w:val="36"/>
                <w:sz w:val="18"/>
              </w:rPr>
              <w:t>continuing education</w:t>
            </w:r>
            <w:r w:rsidRPr="00881BC8">
              <w:rPr>
                <w:noProof/>
                <w:kern w:val="36"/>
                <w:sz w:val="18"/>
              </w:rPr>
              <w:t xml:space="preserve"> for Registered Credit Managers on specific topics such as: ‘financial intelligence’ for credit managers; harmonization of European payments; accounting for credit managers; relationship between credit management and cash &amp; treasury management. Participants are awarded with the Registered Credit Manager title and are subsequently signed up in an exclusive register.</w:t>
            </w:r>
          </w:p>
        </w:tc>
      </w:tr>
      <w:tr w:rsidR="00876F80" w:rsidRPr="00881BC8" w14:paraId="4D5D4EEA" w14:textId="77777777" w:rsidTr="00BC52A0">
        <w:trPr>
          <w:trHeight w:val="1524"/>
        </w:trPr>
        <w:tc>
          <w:tcPr>
            <w:tcW w:w="888"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14:paraId="00ECA540" w14:textId="77777777" w:rsidR="00876F80" w:rsidRPr="00881BC8" w:rsidRDefault="00876F80" w:rsidP="002F76D9">
            <w:pPr>
              <w:rPr>
                <w:noProof/>
                <w:color w:val="1F497D" w:themeColor="text2"/>
                <w:sz w:val="18"/>
              </w:rPr>
            </w:pPr>
            <w:r w:rsidRPr="00881BC8">
              <w:rPr>
                <w:noProof/>
                <w:color w:val="1F497D" w:themeColor="text2"/>
                <w:sz w:val="18"/>
              </w:rPr>
              <w:t>Polish Institute of Credit Management (PICM) - Poland</w:t>
            </w:r>
            <w:r w:rsidRPr="00881BC8">
              <w:rPr>
                <w:rFonts w:cs="@Yu Mincho Light"/>
                <w:noProof/>
                <w:color w:val="1F497D" w:themeColor="text2"/>
                <w:sz w:val="18"/>
                <w:vertAlign w:val="superscript"/>
              </w:rPr>
              <w:footnoteReference w:id="229"/>
            </w:r>
          </w:p>
        </w:tc>
        <w:tc>
          <w:tcPr>
            <w:tcW w:w="4112"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14:paraId="118C45C5" w14:textId="77777777" w:rsidR="00876F80" w:rsidRPr="00881BC8" w:rsidRDefault="00876F80" w:rsidP="002F76D9">
            <w:pPr>
              <w:rPr>
                <w:noProof/>
                <w:sz w:val="18"/>
              </w:rPr>
            </w:pPr>
            <w:r w:rsidRPr="00881BC8">
              <w:rPr>
                <w:noProof/>
                <w:kern w:val="36"/>
                <w:sz w:val="18"/>
              </w:rPr>
              <w:t xml:space="preserve">PICM is the Polish association of credit managers, member of FECMA. PICM’s standard </w:t>
            </w:r>
            <w:r w:rsidRPr="00881BC8">
              <w:rPr>
                <w:i/>
                <w:iCs/>
                <w:noProof/>
                <w:kern w:val="36"/>
                <w:sz w:val="18"/>
              </w:rPr>
              <w:t xml:space="preserve">Credit Management Training Programme </w:t>
            </w:r>
            <w:r w:rsidRPr="00881BC8">
              <w:rPr>
                <w:noProof/>
                <w:kern w:val="36"/>
                <w:sz w:val="18"/>
              </w:rPr>
              <w:t xml:space="preserve">is divided into three main parts: (i) </w:t>
            </w:r>
            <w:r w:rsidRPr="00881BC8">
              <w:rPr>
                <w:noProof/>
                <w:sz w:val="18"/>
              </w:rPr>
              <w:t>basic concepts of credit risk; (ii) credit risk assessment and credit management departments’ functions within an enterprise; and (iii) methodology of evaluating creditworthiness of an enterprise. The approach is characterized by a high degree of customization and duration and costs depend upon the on location and number of participants.</w:t>
            </w:r>
          </w:p>
        </w:tc>
      </w:tr>
      <w:tr w:rsidR="00876F80" w:rsidRPr="00881BC8" w14:paraId="416429BC" w14:textId="77777777" w:rsidTr="00BC52A0">
        <w:trPr>
          <w:trHeight w:val="2281"/>
        </w:trPr>
        <w:tc>
          <w:tcPr>
            <w:tcW w:w="888"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14:paraId="0FA93CC4" w14:textId="77777777" w:rsidR="00876F80" w:rsidRPr="000F7594" w:rsidRDefault="00876F80" w:rsidP="002F76D9">
            <w:pPr>
              <w:rPr>
                <w:noProof/>
                <w:color w:val="1F497D" w:themeColor="text2"/>
                <w:sz w:val="18"/>
                <w:lang w:val="fr-BE"/>
              </w:rPr>
            </w:pPr>
            <w:r w:rsidRPr="000F7594">
              <w:rPr>
                <w:noProof/>
                <w:color w:val="1F497D" w:themeColor="text2"/>
                <w:sz w:val="18"/>
                <w:lang w:val="fr-BE"/>
              </w:rPr>
              <w:t>Association Française des Credit Managers et Conseils (AFDCC) - France</w:t>
            </w:r>
            <w:r w:rsidRPr="00881BC8">
              <w:rPr>
                <w:noProof/>
                <w:color w:val="1F497D" w:themeColor="text2"/>
                <w:sz w:val="18"/>
                <w:vertAlign w:val="superscript"/>
              </w:rPr>
              <w:footnoteReference w:id="230"/>
            </w:r>
          </w:p>
        </w:tc>
        <w:tc>
          <w:tcPr>
            <w:tcW w:w="4112"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14:paraId="6A8CED96" w14:textId="3C48A7B6" w:rsidR="00876F80" w:rsidRPr="00881BC8" w:rsidRDefault="00876F80" w:rsidP="002F76D9">
            <w:pPr>
              <w:rPr>
                <w:noProof/>
                <w:sz w:val="18"/>
              </w:rPr>
            </w:pPr>
            <w:r w:rsidRPr="00881BC8">
              <w:rPr>
                <w:noProof/>
                <w:sz w:val="18"/>
              </w:rPr>
              <w:t xml:space="preserve">AFDCC is the French member of FECMA. </w:t>
            </w:r>
            <w:r w:rsidRPr="000F7594">
              <w:rPr>
                <w:noProof/>
                <w:sz w:val="18"/>
                <w:lang w:val="fr-BE"/>
              </w:rPr>
              <w:t xml:space="preserve">The association offers </w:t>
            </w:r>
            <w:r w:rsidRPr="000F7594">
              <w:rPr>
                <w:i/>
                <w:iCs/>
                <w:noProof/>
                <w:sz w:val="18"/>
                <w:lang w:val="fr-BE"/>
              </w:rPr>
              <w:t>half a dozen diploma and certification courses</w:t>
            </w:r>
            <w:r w:rsidRPr="000F7594">
              <w:rPr>
                <w:noProof/>
                <w:sz w:val="18"/>
                <w:lang w:val="fr-BE"/>
              </w:rPr>
              <w:t xml:space="preserve"> (‘formations diplômantes et certifiantes’) for various professional profiles (Agent de recouvrement, Chargé de recouvrement, Analyste Crédit). </w:t>
            </w:r>
            <w:r w:rsidRPr="00881BC8">
              <w:rPr>
                <w:noProof/>
                <w:sz w:val="18"/>
              </w:rPr>
              <w:t xml:space="preserve">Courses leading to a certified qualification last one year (500 – 550 hours). The ‘formations diplômantes’ have a duration of 7-9 days and the cost is in the order of </w:t>
            </w:r>
            <w:r w:rsidR="00A342E6" w:rsidRPr="00881BC8">
              <w:rPr>
                <w:noProof/>
                <w:kern w:val="36"/>
                <w:sz w:val="18"/>
              </w:rPr>
              <w:t>EUR </w:t>
            </w:r>
            <w:r w:rsidRPr="00881BC8">
              <w:rPr>
                <w:noProof/>
                <w:sz w:val="18"/>
              </w:rPr>
              <w:t>2</w:t>
            </w:r>
            <w:r w:rsidR="00A342E6" w:rsidRPr="00881BC8">
              <w:rPr>
                <w:noProof/>
                <w:sz w:val="18"/>
              </w:rPr>
              <w:t> </w:t>
            </w:r>
            <w:r w:rsidRPr="00881BC8">
              <w:rPr>
                <w:noProof/>
                <w:sz w:val="18"/>
              </w:rPr>
              <w:t>550 – 3</w:t>
            </w:r>
            <w:r w:rsidR="00A342E6" w:rsidRPr="00881BC8">
              <w:rPr>
                <w:noProof/>
                <w:sz w:val="18"/>
              </w:rPr>
              <w:t> </w:t>
            </w:r>
            <w:r w:rsidRPr="00881BC8">
              <w:rPr>
                <w:noProof/>
                <w:sz w:val="18"/>
              </w:rPr>
              <w:t>050 for members (~ 20% more for non-members).</w:t>
            </w:r>
          </w:p>
          <w:p w14:paraId="3B839126" w14:textId="4C951EE0" w:rsidR="00876F80" w:rsidRPr="00881BC8" w:rsidRDefault="00876F80" w:rsidP="002F76D9">
            <w:pPr>
              <w:rPr>
                <w:noProof/>
                <w:sz w:val="18"/>
              </w:rPr>
            </w:pPr>
            <w:r w:rsidRPr="00881BC8">
              <w:rPr>
                <w:noProof/>
                <w:sz w:val="18"/>
              </w:rPr>
              <w:t xml:space="preserve">AFDCC is also sponsoring a </w:t>
            </w:r>
            <w:r w:rsidRPr="00881BC8">
              <w:rPr>
                <w:i/>
                <w:iCs/>
                <w:noProof/>
                <w:sz w:val="18"/>
              </w:rPr>
              <w:t>Master in Credit Management</w:t>
            </w:r>
            <w:r w:rsidRPr="00881BC8">
              <w:rPr>
                <w:noProof/>
                <w:sz w:val="18"/>
              </w:rPr>
              <w:t xml:space="preserve">, hosted by Université Rennes1. The course has duration of one year (about 440 hours) and its cost is about </w:t>
            </w:r>
            <w:r w:rsidR="00A342E6" w:rsidRPr="00881BC8">
              <w:rPr>
                <w:noProof/>
                <w:sz w:val="18"/>
              </w:rPr>
              <w:t>EUR</w:t>
            </w:r>
            <w:r w:rsidR="002E552C" w:rsidRPr="00881BC8">
              <w:rPr>
                <w:noProof/>
                <w:sz w:val="18"/>
              </w:rPr>
              <w:t xml:space="preserve"> </w:t>
            </w:r>
            <w:r w:rsidRPr="00881BC8">
              <w:rPr>
                <w:noProof/>
                <w:sz w:val="18"/>
              </w:rPr>
              <w:t>15,000 (susceptible of being subsidized by a special vocational training mechanism).</w:t>
            </w:r>
          </w:p>
        </w:tc>
      </w:tr>
    </w:tbl>
    <w:p w14:paraId="3AA1DD5A" w14:textId="77777777" w:rsidR="00876F80" w:rsidRPr="00881BC8" w:rsidRDefault="00876F80" w:rsidP="00876F80">
      <w:pPr>
        <w:spacing w:after="0"/>
        <w:rPr>
          <w:rFonts w:ascii="Arial" w:hAnsi="Arial" w:cs="Arial"/>
          <w:noProof/>
          <w:sz w:val="22"/>
          <w:szCs w:val="20"/>
        </w:rPr>
      </w:pPr>
    </w:p>
    <w:p w14:paraId="6EB5872E" w14:textId="77777777" w:rsidR="00876F80" w:rsidRPr="00881BC8" w:rsidRDefault="00876F80" w:rsidP="004835F8">
      <w:pPr>
        <w:pStyle w:val="NormalPara"/>
        <w:rPr>
          <w:noProof/>
          <w:lang w:val="en-GB"/>
        </w:rPr>
      </w:pPr>
      <w:r w:rsidRPr="00881BC8">
        <w:rPr>
          <w:noProof/>
          <w:lang w:val="en-GB"/>
        </w:rPr>
        <w:t>The initiatives described above are essential to deliver knowledge and skills to the community of credit professionals and to build the ground for a sound credit management culture. Setting high standards and sharing best practices can help the businesses where trainees work or for which they provide services to be more conscious about the costs of credit and linked aspects such as risk assessment, payment terms, and recovery of payments.</w:t>
      </w:r>
    </w:p>
    <w:p w14:paraId="450FE679" w14:textId="17F741A1" w:rsidR="00876F80" w:rsidRPr="00881BC8" w:rsidRDefault="00876F80" w:rsidP="004835F8">
      <w:pPr>
        <w:pStyle w:val="NormalPara"/>
        <w:rPr>
          <w:noProof/>
          <w:lang w:val="en-GB"/>
        </w:rPr>
      </w:pPr>
      <w:r w:rsidRPr="00881BC8">
        <w:rPr>
          <w:noProof/>
          <w:lang w:val="en-GB"/>
        </w:rPr>
        <w:t xml:space="preserve">However, this type of training is unlikely to benefit SMEs, either directly or indirectly, for two reasons. First, the cost of courses (ranging from </w:t>
      </w:r>
      <w:r w:rsidR="00A342E6" w:rsidRPr="00881BC8">
        <w:rPr>
          <w:noProof/>
          <w:lang w:val="en-GB"/>
        </w:rPr>
        <w:t>EUR </w:t>
      </w:r>
      <w:r w:rsidRPr="00881BC8">
        <w:rPr>
          <w:noProof/>
          <w:lang w:val="en-GB"/>
        </w:rPr>
        <w:t>4</w:t>
      </w:r>
      <w:r w:rsidR="00A342E6" w:rsidRPr="00881BC8">
        <w:rPr>
          <w:noProof/>
          <w:lang w:val="en-GB"/>
        </w:rPr>
        <w:t> </w:t>
      </w:r>
      <w:r w:rsidRPr="00881BC8">
        <w:rPr>
          <w:noProof/>
          <w:lang w:val="en-GB"/>
        </w:rPr>
        <w:t xml:space="preserve">000 up to </w:t>
      </w:r>
      <w:r w:rsidR="00A342E6" w:rsidRPr="00881BC8">
        <w:rPr>
          <w:noProof/>
          <w:lang w:val="en-GB"/>
        </w:rPr>
        <w:t>EUR </w:t>
      </w:r>
      <w:r w:rsidRPr="00881BC8">
        <w:rPr>
          <w:noProof/>
          <w:lang w:val="en-GB"/>
        </w:rPr>
        <w:t>15</w:t>
      </w:r>
      <w:r w:rsidR="00A342E6" w:rsidRPr="00881BC8">
        <w:rPr>
          <w:noProof/>
          <w:lang w:val="en-GB"/>
        </w:rPr>
        <w:t> </w:t>
      </w:r>
      <w:r w:rsidRPr="00881BC8">
        <w:rPr>
          <w:noProof/>
          <w:lang w:val="en-GB"/>
        </w:rPr>
        <w:t xml:space="preserve">000) and their long duration (generally, at least 2 weeks and up to one year) are scarcely compatible with the limited resources of smaller businesses, who therefore are unlikely to participate in significant numbers. Second, and most important, the recruitment of credit managers certified through one of these courses is simply not an option for many small businesses. Professional credit managers are expensive (in France, Germany, Italy, and Spain the annual entry wage is in the order of </w:t>
      </w:r>
      <w:r w:rsidR="00A342E6" w:rsidRPr="00881BC8">
        <w:rPr>
          <w:noProof/>
          <w:lang w:val="en-GB"/>
        </w:rPr>
        <w:t>EUR </w:t>
      </w:r>
      <w:r w:rsidRPr="00881BC8">
        <w:rPr>
          <w:noProof/>
          <w:lang w:val="en-GB"/>
        </w:rPr>
        <w:t>40</w:t>
      </w:r>
      <w:r w:rsidR="00A342E6" w:rsidRPr="00881BC8">
        <w:rPr>
          <w:noProof/>
          <w:lang w:val="en-GB"/>
        </w:rPr>
        <w:t> </w:t>
      </w:r>
      <w:r w:rsidRPr="00881BC8">
        <w:rPr>
          <w:noProof/>
          <w:lang w:val="en-GB"/>
        </w:rPr>
        <w:t>000 – 60</w:t>
      </w:r>
      <w:r w:rsidR="00A342E6" w:rsidRPr="00881BC8">
        <w:rPr>
          <w:noProof/>
          <w:lang w:val="en-GB"/>
        </w:rPr>
        <w:t> </w:t>
      </w:r>
      <w:r w:rsidRPr="00881BC8">
        <w:rPr>
          <w:noProof/>
          <w:lang w:val="en-GB"/>
        </w:rPr>
        <w:t xml:space="preserve">000, whereas mid-career professionals may earn up to </w:t>
      </w:r>
      <w:r w:rsidR="00A342E6" w:rsidRPr="00881BC8">
        <w:rPr>
          <w:noProof/>
          <w:lang w:val="en-GB"/>
        </w:rPr>
        <w:t>EUR </w:t>
      </w:r>
      <w:r w:rsidRPr="00881BC8">
        <w:rPr>
          <w:noProof/>
          <w:lang w:val="en-GB"/>
        </w:rPr>
        <w:t>70 – 85</w:t>
      </w:r>
      <w:r w:rsidR="00A342E6" w:rsidRPr="00881BC8">
        <w:rPr>
          <w:noProof/>
          <w:lang w:val="en-GB"/>
        </w:rPr>
        <w:t> </w:t>
      </w:r>
      <w:r w:rsidRPr="00881BC8">
        <w:rPr>
          <w:noProof/>
          <w:lang w:val="en-GB"/>
        </w:rPr>
        <w:t>000)</w:t>
      </w:r>
      <w:r w:rsidRPr="00881BC8">
        <w:rPr>
          <w:noProof/>
          <w:vertAlign w:val="superscript"/>
          <w:lang w:val="en-GB"/>
        </w:rPr>
        <w:t>,</w:t>
      </w:r>
      <w:r w:rsidRPr="00881BC8">
        <w:rPr>
          <w:noProof/>
          <w:vertAlign w:val="superscript"/>
          <w:lang w:val="en-GB"/>
        </w:rPr>
        <w:footnoteReference w:id="231"/>
      </w:r>
      <w:r w:rsidRPr="00881BC8">
        <w:rPr>
          <w:noProof/>
          <w:lang w:val="en-GB"/>
        </w:rPr>
        <w:t xml:space="preserve"> and for a small firm the cost would not be commensurate with the benefits. </w:t>
      </w:r>
    </w:p>
    <w:p w14:paraId="0E09860E" w14:textId="59933CC1" w:rsidR="00876F80" w:rsidRPr="00881BC8" w:rsidRDefault="00876F80" w:rsidP="004835F8">
      <w:pPr>
        <w:pStyle w:val="NormalPara"/>
        <w:rPr>
          <w:noProof/>
          <w:lang w:val="en-GB"/>
        </w:rPr>
      </w:pPr>
      <w:r w:rsidRPr="00881BC8">
        <w:rPr>
          <w:noProof/>
          <w:lang w:val="en-GB"/>
        </w:rPr>
        <w:t xml:space="preserve">Having said that, however, extensive credit management training is vital to create a critical mass of training providers for SMEs and/or for implementing </w:t>
      </w:r>
      <w:r w:rsidR="00303DFA" w:rsidRPr="00881BC8">
        <w:rPr>
          <w:noProof/>
          <w:lang w:val="en-GB"/>
        </w:rPr>
        <w:t>‘</w:t>
      </w:r>
      <w:r w:rsidRPr="00881BC8">
        <w:rPr>
          <w:noProof/>
          <w:lang w:val="en-GB"/>
        </w:rPr>
        <w:t>train-the-trainer</w:t>
      </w:r>
      <w:r w:rsidR="00303DFA" w:rsidRPr="00881BC8">
        <w:rPr>
          <w:noProof/>
          <w:lang w:val="en-GB"/>
        </w:rPr>
        <w:t>’</w:t>
      </w:r>
      <w:r w:rsidRPr="00881BC8">
        <w:rPr>
          <w:noProof/>
          <w:lang w:val="en-GB"/>
        </w:rPr>
        <w:t xml:space="preserve"> schemes.</w:t>
      </w:r>
    </w:p>
    <w:p w14:paraId="1E686F40" w14:textId="5710837A" w:rsidR="00876F80" w:rsidRPr="00881BC8" w:rsidRDefault="00876F80" w:rsidP="004835F8">
      <w:pPr>
        <w:pStyle w:val="AnnexLevel1"/>
        <w:rPr>
          <w:noProof/>
          <w:lang w:val="en-GB"/>
        </w:rPr>
      </w:pPr>
      <w:r w:rsidRPr="00881BC8">
        <w:rPr>
          <w:noProof/>
          <w:lang w:val="en-GB"/>
        </w:rPr>
        <w:t>Other credit management training initiatives</w:t>
      </w:r>
      <w:r w:rsidRPr="00881BC8">
        <w:rPr>
          <w:noProof/>
          <w:vertAlign w:val="superscript"/>
          <w:lang w:val="en-GB"/>
        </w:rPr>
        <w:footnoteReference w:id="232"/>
      </w:r>
      <w:r w:rsidR="0091653A" w:rsidRPr="00881BC8">
        <w:rPr>
          <w:noProof/>
          <w:lang w:val="en-GB"/>
        </w:rPr>
        <w:t xml:space="preserve"> </w:t>
      </w:r>
    </w:p>
    <w:p w14:paraId="2780AB84" w14:textId="77777777" w:rsidR="00876F80" w:rsidRPr="00881BC8" w:rsidRDefault="00876F80" w:rsidP="004835F8">
      <w:pPr>
        <w:pStyle w:val="NormalPara"/>
        <w:rPr>
          <w:noProof/>
          <w:lang w:val="en-GB"/>
        </w:rPr>
      </w:pPr>
      <w:r w:rsidRPr="00881BC8">
        <w:rPr>
          <w:noProof/>
          <w:lang w:val="en-GB"/>
        </w:rPr>
        <w:t>Next to extensive credit management training there are also training initiatives mostly of short duration either focusing on specific aspects of credit management or providing a general introduction to the theme. They can cater both credit management professionals in need of upgrading their skills as well as the broader business community, including SMEs owners/managers and their employees.</w:t>
      </w:r>
    </w:p>
    <w:p w14:paraId="0E40A273" w14:textId="77777777" w:rsidR="00876F80" w:rsidRPr="00881BC8" w:rsidRDefault="00876F80" w:rsidP="004835F8">
      <w:pPr>
        <w:pStyle w:val="NormalPara"/>
        <w:rPr>
          <w:noProof/>
          <w:lang w:val="en-GB"/>
        </w:rPr>
      </w:pPr>
      <w:r w:rsidRPr="00881BC8">
        <w:rPr>
          <w:noProof/>
          <w:lang w:val="en-GB"/>
        </w:rPr>
        <w:t xml:space="preserve">It has to be emphasized that the availability of these trainings differs substantially homogeneous across the EU (and UK) </w:t>
      </w:r>
    </w:p>
    <w:p w14:paraId="60A4D1CB" w14:textId="7BDF5480" w:rsidR="00876F80" w:rsidRPr="00881BC8" w:rsidRDefault="00876F80" w:rsidP="004835F8">
      <w:pPr>
        <w:pStyle w:val="NormalPara"/>
        <w:rPr>
          <w:noProof/>
          <w:lang w:val="en-GB"/>
        </w:rPr>
      </w:pPr>
      <w:r w:rsidRPr="00881BC8">
        <w:rPr>
          <w:noProof/>
          <w:lang w:val="en-GB"/>
        </w:rPr>
        <w:t>France. In France, the offer of training courses in credit management is quite broad and</w:t>
      </w:r>
      <w:r w:rsidRPr="00881BC8">
        <w:rPr>
          <w:noProof/>
          <w:u w:val="single"/>
          <w:lang w:val="en-GB"/>
        </w:rPr>
        <w:t xml:space="preserve"> </w:t>
      </w:r>
      <w:r w:rsidRPr="00881BC8">
        <w:rPr>
          <w:noProof/>
          <w:lang w:val="en-GB"/>
        </w:rPr>
        <w:t>diversified. This appears to be due to two interrelated factors, namely the great attention paid to the issue of late payment and the activism displayed by the AFDCC in promoting a credit management culture (and therefore the services of its members). AFDCC is a major player: indeed its 2022 catalogue includes no less than 37 short term courses, some offered more than once and in various locations. These courses cover both financial and legal aspects (e.g. ‘</w:t>
      </w:r>
      <w:r w:rsidRPr="00881BC8">
        <w:rPr>
          <w:i/>
          <w:noProof/>
          <w:lang w:val="en-GB"/>
        </w:rPr>
        <w:t>Gérer les situations de recouvrement difficile’, ‘Guide pratique du recouvrement contentieux’</w:t>
      </w:r>
      <w:r w:rsidRPr="00881BC8">
        <w:rPr>
          <w:noProof/>
          <w:lang w:val="en-GB"/>
        </w:rPr>
        <w:t xml:space="preserve">, etc.), typically last 1 or 2 days, and carry a cost in the </w:t>
      </w:r>
      <w:r w:rsidR="00A342E6" w:rsidRPr="00881BC8">
        <w:rPr>
          <w:noProof/>
          <w:lang w:val="en-GB"/>
        </w:rPr>
        <w:t>EUR </w:t>
      </w:r>
      <w:r w:rsidRPr="00881BC8">
        <w:rPr>
          <w:noProof/>
          <w:lang w:val="en-GB"/>
        </w:rPr>
        <w:t>760 – 1</w:t>
      </w:r>
      <w:r w:rsidR="00A342E6" w:rsidRPr="00881BC8">
        <w:rPr>
          <w:noProof/>
          <w:lang w:val="en-GB"/>
        </w:rPr>
        <w:t> </w:t>
      </w:r>
      <w:r w:rsidRPr="00881BC8">
        <w:rPr>
          <w:noProof/>
          <w:lang w:val="en-GB"/>
        </w:rPr>
        <w:t xml:space="preserve">200 range (with a 30% increase for non-members). </w:t>
      </w:r>
      <w:r w:rsidRPr="000F7594">
        <w:rPr>
          <w:noProof/>
          <w:lang w:val="fr-BE"/>
        </w:rPr>
        <w:t xml:space="preserve">Other providers include public entities, such as the Conservatoire national des arts et métiers (CNAM) and the Centre National de la Formation Conseil en Entreprise (CNFCE); business associations, namely the Confédération des petites et moyennes entreprises (CPME), and some commercial entities (KPMG). </w:t>
      </w:r>
      <w:r w:rsidRPr="00881BC8">
        <w:rPr>
          <w:noProof/>
          <w:lang w:val="en-GB"/>
        </w:rPr>
        <w:t xml:space="preserve">These courses have a duration of 1 to 3 days, and are implemented in person or online, with costs typically ranging between </w:t>
      </w:r>
      <w:r w:rsidR="00F04107" w:rsidRPr="00881BC8">
        <w:rPr>
          <w:noProof/>
          <w:lang w:val="en-GB"/>
        </w:rPr>
        <w:t>EUR </w:t>
      </w:r>
      <w:r w:rsidRPr="00881BC8">
        <w:rPr>
          <w:noProof/>
          <w:lang w:val="en-GB"/>
        </w:rPr>
        <w:t>700 for 1-day courses</w:t>
      </w:r>
      <w:r w:rsidRPr="00881BC8">
        <w:rPr>
          <w:noProof/>
          <w:sz w:val="22"/>
          <w:lang w:val="en-GB"/>
        </w:rPr>
        <w:t xml:space="preserve"> and </w:t>
      </w:r>
      <w:r w:rsidR="00F04107" w:rsidRPr="00881BC8">
        <w:rPr>
          <w:noProof/>
          <w:lang w:val="en-GB"/>
        </w:rPr>
        <w:t>EUR </w:t>
      </w:r>
      <w:r w:rsidRPr="00881BC8">
        <w:rPr>
          <w:noProof/>
          <w:lang w:val="en-GB"/>
        </w:rPr>
        <w:t>1</w:t>
      </w:r>
      <w:r w:rsidR="00F04107" w:rsidRPr="00881BC8">
        <w:rPr>
          <w:noProof/>
          <w:lang w:val="en-GB"/>
        </w:rPr>
        <w:t> </w:t>
      </w:r>
      <w:r w:rsidRPr="00881BC8">
        <w:rPr>
          <w:noProof/>
          <w:lang w:val="en-GB"/>
        </w:rPr>
        <w:t>300 – 1</w:t>
      </w:r>
      <w:r w:rsidR="00F04107" w:rsidRPr="00881BC8">
        <w:rPr>
          <w:noProof/>
          <w:lang w:val="en-GB"/>
        </w:rPr>
        <w:t> </w:t>
      </w:r>
      <w:r w:rsidRPr="00881BC8">
        <w:rPr>
          <w:noProof/>
          <w:lang w:val="en-GB"/>
        </w:rPr>
        <w:t>400 for 2-3 days.</w:t>
      </w:r>
      <w:r w:rsidRPr="00881BC8">
        <w:rPr>
          <w:noProof/>
          <w:sz w:val="22"/>
          <w:lang w:val="en-GB"/>
        </w:rPr>
        <w:t xml:space="preserve"> </w:t>
      </w:r>
      <w:r w:rsidRPr="00881BC8">
        <w:rPr>
          <w:noProof/>
          <w:lang w:val="en-GB"/>
        </w:rPr>
        <w:t>Public subsidies or tax rebates for the employers are available to reduce the cost of these trainings, namely through the ‘Contribution à la Formation Professionnelle</w:t>
      </w:r>
      <w:r w:rsidRPr="00881BC8">
        <w:rPr>
          <w:noProof/>
          <w:vertAlign w:val="superscript"/>
          <w:lang w:val="en-GB"/>
        </w:rPr>
        <w:footnoteReference w:id="233"/>
      </w:r>
      <w:r w:rsidRPr="00881BC8">
        <w:rPr>
          <w:noProof/>
          <w:lang w:val="en-GB"/>
        </w:rPr>
        <w:t>’ mechanism.</w:t>
      </w:r>
    </w:p>
    <w:p w14:paraId="2E11458B" w14:textId="7B0E25A1" w:rsidR="00876F80" w:rsidRPr="00881BC8" w:rsidRDefault="00876F80" w:rsidP="004835F8">
      <w:pPr>
        <w:pStyle w:val="NormalPara"/>
        <w:rPr>
          <w:noProof/>
          <w:lang w:val="en-GB"/>
        </w:rPr>
      </w:pPr>
      <w:r w:rsidRPr="00881BC8">
        <w:rPr>
          <w:noProof/>
          <w:lang w:val="en-GB"/>
        </w:rPr>
        <w:t>Germany. The German market for credit management training shows some similarities with France’s but with a more limited role of public entities. Training is offered by CREFIA (see above), some commercial providers and Chambers of Commerce.</w:t>
      </w:r>
      <w:r w:rsidR="0091653A" w:rsidRPr="00881BC8">
        <w:rPr>
          <w:noProof/>
          <w:lang w:val="en-GB"/>
        </w:rPr>
        <w:t xml:space="preserve"> </w:t>
      </w:r>
      <w:r w:rsidRPr="00881BC8">
        <w:rPr>
          <w:noProof/>
          <w:lang w:val="en-GB"/>
        </w:rPr>
        <w:t>CREFIA currently focuses on 1/2-day workshops on ‘Working Capital Management’ and related topics (‘Credit Policy’, ‘Receivables Realization’, etc.). Among commercial providers, the Technische Akademie Wuppertal (TAW) offers one day seminars in ‘Effective receivables management’ and related topics (e.g. ‘Registration of claims and enforcement of claims in insolvency proceedings’) (</w:t>
      </w:r>
      <w:r w:rsidR="00ED301F" w:rsidRPr="00881BC8">
        <w:rPr>
          <w:noProof/>
          <w:lang w:val="en-GB"/>
        </w:rPr>
        <w:t>EUR</w:t>
      </w:r>
      <w:r w:rsidR="002E552C" w:rsidRPr="00881BC8">
        <w:rPr>
          <w:noProof/>
          <w:lang w:val="en-GB"/>
        </w:rPr>
        <w:t xml:space="preserve"> </w:t>
      </w:r>
      <w:r w:rsidRPr="00881BC8">
        <w:rPr>
          <w:noProof/>
          <w:lang w:val="en-GB"/>
        </w:rPr>
        <w:t xml:space="preserve">00)) and half a dozen courses in Receivables Manager, based on 3 modules. Similar seminars are also offered by a couple of private companies, NWB Verlag and wvib Schwarzwald AG. One day workshops are also implemented by several chambers of commerce (e.g. networking events on liquidity organized by IHK Reutlingen, seminar on ‘Efficient accounts receivable and receivables management’ held by IHK Darmstadt, seminar on ‘Professional receivables management’ by IHK Akademy Koblenz). The IHK system also delivers training for formal certification in credit management through a specialized subsidiary (DIHK-Bildungs-gGmbH). Costs show some differences across the various providers. Chambers of commerce are the least expensive, with </w:t>
      </w:r>
      <w:r w:rsidR="00ED301F" w:rsidRPr="00881BC8">
        <w:rPr>
          <w:noProof/>
          <w:lang w:val="en-GB"/>
        </w:rPr>
        <w:t>EUR </w:t>
      </w:r>
      <w:r w:rsidRPr="00881BC8">
        <w:rPr>
          <w:noProof/>
          <w:lang w:val="en-GB"/>
        </w:rPr>
        <w:t xml:space="preserve">300 – 350 per seminar. CREFIA’s 1–2-day workshops sell for </w:t>
      </w:r>
      <w:r w:rsidR="00ED301F" w:rsidRPr="00881BC8">
        <w:rPr>
          <w:noProof/>
          <w:lang w:val="en-GB"/>
        </w:rPr>
        <w:t>EUR </w:t>
      </w:r>
      <w:r w:rsidRPr="00881BC8">
        <w:rPr>
          <w:noProof/>
          <w:lang w:val="en-GB"/>
        </w:rPr>
        <w:t xml:space="preserve">400 – 600 (20% higher for non-members), whereas commercial providers are predictably the most expensive, with </w:t>
      </w:r>
      <w:r w:rsidR="00ED301F" w:rsidRPr="00881BC8">
        <w:rPr>
          <w:noProof/>
          <w:lang w:val="en-GB"/>
        </w:rPr>
        <w:t>EUR </w:t>
      </w:r>
      <w:r w:rsidRPr="00881BC8">
        <w:rPr>
          <w:noProof/>
          <w:lang w:val="en-GB"/>
        </w:rPr>
        <w:t xml:space="preserve">700 for one-day seminars and </w:t>
      </w:r>
      <w:r w:rsidR="00ED301F" w:rsidRPr="00881BC8">
        <w:rPr>
          <w:noProof/>
          <w:lang w:val="en-GB"/>
        </w:rPr>
        <w:t>EUR </w:t>
      </w:r>
      <w:r w:rsidRPr="00881BC8">
        <w:rPr>
          <w:noProof/>
          <w:lang w:val="en-GB"/>
        </w:rPr>
        <w:t>1</w:t>
      </w:r>
      <w:r w:rsidR="00ED301F" w:rsidRPr="00881BC8">
        <w:rPr>
          <w:noProof/>
          <w:lang w:val="en-GB"/>
        </w:rPr>
        <w:t> </w:t>
      </w:r>
      <w:r w:rsidRPr="00881BC8">
        <w:rPr>
          <w:noProof/>
          <w:lang w:val="en-GB"/>
        </w:rPr>
        <w:t>800 for longer courses.</w:t>
      </w:r>
    </w:p>
    <w:p w14:paraId="67A5B571" w14:textId="358AF4C6" w:rsidR="00876F80" w:rsidRPr="00881BC8" w:rsidRDefault="00876F80" w:rsidP="004835F8">
      <w:pPr>
        <w:pStyle w:val="NormalPara"/>
        <w:rPr>
          <w:noProof/>
          <w:lang w:val="en-GB"/>
        </w:rPr>
      </w:pPr>
      <w:r w:rsidRPr="00881BC8">
        <w:rPr>
          <w:noProof/>
          <w:lang w:val="en-GB"/>
        </w:rPr>
        <w:t xml:space="preserve">Spain. The Spanish market for credit management training seems to be quite small, with very few players. The national credit management association, Asociación Gerentes de Crédito, is not directly involved in training activities but rather cooperates with a couple of consulting firms, Pere Brachfield Credit &amp; Risk Consultants and Rosas &amp; Nash, and one law firm (Del Cerro Leon Royo Abogados). The main actor is Pere </w:t>
      </w:r>
      <w:bookmarkStart w:id="1069" w:name="_Hlk94452176"/>
      <w:r w:rsidRPr="00881BC8">
        <w:rPr>
          <w:noProof/>
          <w:lang w:val="en-GB"/>
        </w:rPr>
        <w:t>Brachfield</w:t>
      </w:r>
      <w:bookmarkEnd w:id="1069"/>
      <w:r w:rsidRPr="00881BC8">
        <w:rPr>
          <w:noProof/>
          <w:lang w:val="en-GB"/>
        </w:rPr>
        <w:t xml:space="preserve">, whose principal is well known in Spain for his activities in support of better payment practices. The range of training courses currently on offer is fairly limited, consisting of a </w:t>
      </w:r>
      <w:r w:rsidRPr="00881BC8">
        <w:rPr>
          <w:i/>
          <w:noProof/>
          <w:lang w:val="en-GB"/>
        </w:rPr>
        <w:t>Máster Profesional en Créditos, Riesgos y Recobro de impagados</w:t>
      </w:r>
      <w:r w:rsidRPr="00881BC8">
        <w:rPr>
          <w:noProof/>
          <w:lang w:val="en-GB"/>
        </w:rPr>
        <w:t xml:space="preserve"> (14 weeks, 125 hours) and a couple of webinars (‘</w:t>
      </w:r>
      <w:r w:rsidRPr="00881BC8">
        <w:rPr>
          <w:i/>
          <w:noProof/>
          <w:lang w:val="en-GB"/>
        </w:rPr>
        <w:t>Claves para un Recobro Exitoso de Impagado</w:t>
      </w:r>
      <w:r w:rsidRPr="00881BC8">
        <w:rPr>
          <w:noProof/>
          <w:lang w:val="en-GB"/>
        </w:rPr>
        <w:t>s’ and ‘</w:t>
      </w:r>
      <w:r w:rsidRPr="00881BC8">
        <w:rPr>
          <w:i/>
          <w:noProof/>
          <w:lang w:val="en-GB"/>
        </w:rPr>
        <w:t>Neurocobranzas</w:t>
      </w:r>
      <w:r w:rsidRPr="00881BC8">
        <w:rPr>
          <w:noProof/>
          <w:lang w:val="en-GB"/>
        </w:rPr>
        <w:t xml:space="preserve">’, the latter focusing on psychological aspects of credit recovery). Master courses costs are </w:t>
      </w:r>
      <w:r w:rsidR="00ED301F" w:rsidRPr="00881BC8">
        <w:rPr>
          <w:noProof/>
          <w:lang w:val="en-GB"/>
        </w:rPr>
        <w:t>EUR </w:t>
      </w:r>
      <w:r w:rsidRPr="00881BC8">
        <w:rPr>
          <w:noProof/>
          <w:lang w:val="en-GB"/>
        </w:rPr>
        <w:t>1</w:t>
      </w:r>
      <w:r w:rsidR="00ED301F" w:rsidRPr="00881BC8">
        <w:rPr>
          <w:noProof/>
          <w:lang w:val="en-GB"/>
        </w:rPr>
        <w:t> </w:t>
      </w:r>
      <w:r w:rsidRPr="00881BC8">
        <w:rPr>
          <w:noProof/>
          <w:lang w:val="en-GB"/>
        </w:rPr>
        <w:t xml:space="preserve">350 and the webinars costing around </w:t>
      </w:r>
      <w:r w:rsidR="00ED301F" w:rsidRPr="00881BC8">
        <w:rPr>
          <w:noProof/>
          <w:lang w:val="en-GB"/>
        </w:rPr>
        <w:t>EUR </w:t>
      </w:r>
      <w:r w:rsidRPr="00881BC8">
        <w:rPr>
          <w:noProof/>
          <w:lang w:val="en-GB"/>
        </w:rPr>
        <w:t>200 each. Pere Brachfield is also active in the provision of mentoring and coaching, but elements gathered during interviews suggest that this market is shrinking and mostly comprised of sizeable enterprises (</w:t>
      </w:r>
      <w:r w:rsidR="00303DFA" w:rsidRPr="00881BC8">
        <w:rPr>
          <w:noProof/>
          <w:lang w:val="en-GB"/>
        </w:rPr>
        <w:t>‘</w:t>
      </w:r>
      <w:r w:rsidRPr="00881BC8">
        <w:rPr>
          <w:i/>
          <w:noProof/>
          <w:lang w:val="en-GB"/>
        </w:rPr>
        <w:t>we have very few SME clients</w:t>
      </w:r>
      <w:r w:rsidR="00303DFA" w:rsidRPr="00881BC8">
        <w:rPr>
          <w:noProof/>
          <w:lang w:val="en-GB"/>
        </w:rPr>
        <w:t>’</w:t>
      </w:r>
      <w:r w:rsidRPr="00881BC8">
        <w:rPr>
          <w:noProof/>
          <w:lang w:val="en-GB"/>
        </w:rPr>
        <w:t>).</w:t>
      </w:r>
    </w:p>
    <w:p w14:paraId="5B2EA8FC" w14:textId="646A4E08" w:rsidR="00876F80" w:rsidRPr="00881BC8" w:rsidRDefault="00876F80" w:rsidP="004835F8">
      <w:pPr>
        <w:pStyle w:val="NormalPara"/>
        <w:rPr>
          <w:noProof/>
          <w:lang w:val="en-GB"/>
        </w:rPr>
      </w:pPr>
      <w:r w:rsidRPr="00881BC8">
        <w:rPr>
          <w:noProof/>
          <w:lang w:val="en-GB"/>
        </w:rPr>
        <w:t>Italy. In Italy the offer of credit management training falls somewhere in between France and Germany on the one hand and Spain on the other. In 2021, the national association of credit managers, Associazione Credit Managers Italia (ACMI), had a catalogue with 30 plus training courses and webinars. However, along with initiatives squarely focusing on credit management and related themes (‘basics of credit management’, ‘judicial recovery’, ‘techniques for phone collection’, etc.) the catalogue also included courses on other, less obvious topics (e.g. how to work with Excel spreadsheets or how the enhance presentation skills). A more focused offer is provided by commercial providers and business schools. For instance, Ask Advisory, a management consultancy, has a 2022 catalogue including 12 short training courses specifically dealing with credit management. An Executive Course in Credit Management (32 hours, spanning over 12 days) is offered by CUOA, a business school, while Cegos’ catalogue includes four 1-2 days training (‘</w:t>
      </w:r>
      <w:r w:rsidRPr="00881BC8">
        <w:rPr>
          <w:i/>
          <w:noProof/>
          <w:lang w:val="en-GB"/>
        </w:rPr>
        <w:t>Credit Management: la strategia per la gestione del rischio crediti’, ‘Tecniche di comunicazione per un recupero crediti efficace’</w:t>
      </w:r>
      <w:r w:rsidRPr="00881BC8">
        <w:rPr>
          <w:noProof/>
          <w:lang w:val="en-GB"/>
        </w:rPr>
        <w:t>, etc.). Chambers of commerce and business associations are involved in financial education for MSME, but courses tend to focus on more bread-and-butter issues (basic financial analysis, budgeting, etc.), with credit management not being addressed or being mentioned only in passing</w:t>
      </w:r>
      <w:r w:rsidR="0091653A" w:rsidRPr="00881BC8">
        <w:rPr>
          <w:noProof/>
          <w:lang w:val="en-GB"/>
        </w:rPr>
        <w:t xml:space="preserve">. </w:t>
      </w:r>
      <w:r w:rsidRPr="00881BC8">
        <w:rPr>
          <w:noProof/>
          <w:lang w:val="en-GB"/>
        </w:rPr>
        <w:t xml:space="preserve">Finally, webinars and e-learning materials are organized/made available by some providers of credit information and other business intelligence services (CERVED and CRIF). Information on costs is not always available, but prices appear to be lower than in France and Germany, with ACMI 1-2-day courses/webinars typically in the </w:t>
      </w:r>
      <w:r w:rsidR="00ED301F" w:rsidRPr="00881BC8">
        <w:rPr>
          <w:noProof/>
          <w:lang w:val="en-GB"/>
        </w:rPr>
        <w:t>EUR </w:t>
      </w:r>
      <w:r w:rsidRPr="00881BC8">
        <w:rPr>
          <w:noProof/>
          <w:lang w:val="en-GB"/>
        </w:rPr>
        <w:t xml:space="preserve">250 – 350 range for members (50-60% more for non-members), Cegos 1-2-day trainings selling at </w:t>
      </w:r>
      <w:r w:rsidR="00ED301F" w:rsidRPr="00881BC8">
        <w:rPr>
          <w:noProof/>
          <w:lang w:val="en-GB"/>
        </w:rPr>
        <w:t>EUR </w:t>
      </w:r>
      <w:r w:rsidRPr="00881BC8">
        <w:rPr>
          <w:noProof/>
          <w:lang w:val="en-GB"/>
        </w:rPr>
        <w:t>800 – 1</w:t>
      </w:r>
      <w:r w:rsidR="00ED301F" w:rsidRPr="00881BC8">
        <w:rPr>
          <w:noProof/>
          <w:lang w:val="en-GB"/>
        </w:rPr>
        <w:t> </w:t>
      </w:r>
      <w:r w:rsidRPr="00881BC8">
        <w:rPr>
          <w:noProof/>
          <w:lang w:val="en-GB"/>
        </w:rPr>
        <w:t xml:space="preserve">600, and CUOA’s executive programme selling for </w:t>
      </w:r>
      <w:r w:rsidR="00ED301F" w:rsidRPr="00881BC8">
        <w:rPr>
          <w:noProof/>
          <w:lang w:val="en-GB"/>
        </w:rPr>
        <w:t>EUR </w:t>
      </w:r>
      <w:r w:rsidRPr="00881BC8">
        <w:rPr>
          <w:noProof/>
          <w:lang w:val="en-GB"/>
        </w:rPr>
        <w:t>1</w:t>
      </w:r>
      <w:r w:rsidR="00ED301F" w:rsidRPr="00881BC8">
        <w:rPr>
          <w:noProof/>
          <w:lang w:val="en-GB"/>
        </w:rPr>
        <w:t> </w:t>
      </w:r>
      <w:r w:rsidRPr="00881BC8">
        <w:rPr>
          <w:noProof/>
          <w:lang w:val="en-GB"/>
        </w:rPr>
        <w:t xml:space="preserve">800. As in France, partial subsidization may be available under various public schemes (e.g. </w:t>
      </w:r>
      <w:r w:rsidRPr="00881BC8">
        <w:rPr>
          <w:i/>
          <w:noProof/>
          <w:lang w:val="en-GB"/>
        </w:rPr>
        <w:t>voucher formazione</w:t>
      </w:r>
      <w:r w:rsidRPr="00881BC8">
        <w:rPr>
          <w:noProof/>
          <w:lang w:val="en-GB"/>
        </w:rPr>
        <w:t>, in Lombardy and Emilia-Romagna).</w:t>
      </w:r>
    </w:p>
    <w:p w14:paraId="2815ABD5" w14:textId="4FBCF4C3" w:rsidR="00876F80" w:rsidRPr="00881BC8" w:rsidRDefault="00876F80" w:rsidP="004835F8">
      <w:pPr>
        <w:pStyle w:val="NormalPara"/>
        <w:rPr>
          <w:rFonts w:ascii="Arial" w:hAnsi="Arial" w:cs="Arial"/>
          <w:noProof/>
          <w:sz w:val="22"/>
          <w:szCs w:val="20"/>
          <w:lang w:val="en-GB"/>
        </w:rPr>
      </w:pPr>
      <w:r w:rsidRPr="00881BC8">
        <w:rPr>
          <w:noProof/>
          <w:lang w:val="en-GB"/>
        </w:rPr>
        <w:t>Malta</w:t>
      </w:r>
      <w:r w:rsidR="00FF6444" w:rsidRPr="00881BC8">
        <w:rPr>
          <w:noProof/>
          <w:lang w:val="en-GB"/>
        </w:rPr>
        <w:t>.</w:t>
      </w:r>
      <w:r w:rsidRPr="00881BC8">
        <w:rPr>
          <w:noProof/>
          <w:lang w:val="en-GB"/>
        </w:rPr>
        <w:t xml:space="preserve"> A very interesting best practice is represented by Malta, where the Malta Association for Credit Management (MACM</w:t>
      </w:r>
      <w:r w:rsidRPr="00881BC8">
        <w:rPr>
          <w:noProof/>
          <w:u w:val="single"/>
          <w:lang w:val="en-GB"/>
        </w:rPr>
        <w:t>)</w:t>
      </w:r>
      <w:r w:rsidRPr="00881BC8">
        <w:rPr>
          <w:noProof/>
          <w:vertAlign w:val="superscript"/>
          <w:lang w:val="en-GB"/>
        </w:rPr>
        <w:footnoteReference w:id="234"/>
      </w:r>
      <w:r w:rsidRPr="00881BC8">
        <w:rPr>
          <w:noProof/>
          <w:vertAlign w:val="superscript"/>
          <w:lang w:val="en-GB"/>
        </w:rPr>
        <w:t xml:space="preserve"> </w:t>
      </w:r>
      <w:r w:rsidRPr="00881BC8">
        <w:rPr>
          <w:noProof/>
          <w:lang w:val="en-GB"/>
        </w:rPr>
        <w:t>has been very active in proactively promoting the adoption of best practices in credit management also by SME. MACM’s experience is briefly summarized below:</w:t>
      </w:r>
    </w:p>
    <w:p w14:paraId="626DCD83" w14:textId="77777777" w:rsidR="00876F80" w:rsidRPr="00881BC8" w:rsidRDefault="00876F80" w:rsidP="00876F80">
      <w:pPr>
        <w:spacing w:after="0"/>
        <w:rPr>
          <w:rFonts w:ascii="Arial" w:hAnsi="Arial" w:cs="Arial"/>
          <w:noProof/>
          <w:sz w:val="22"/>
        </w:rPr>
      </w:pPr>
    </w:p>
    <w:tbl>
      <w:tblPr>
        <w:tblStyle w:val="Deloitte1"/>
        <w:tblW w:w="0" w:type="auto"/>
        <w:tblBorders>
          <w:top w:val="single" w:sz="4" w:space="0" w:color="325BAA"/>
          <w:left w:val="single" w:sz="4" w:space="0" w:color="325BAA"/>
          <w:bottom w:val="single" w:sz="4" w:space="0" w:color="325BAA"/>
          <w:right w:val="single" w:sz="4" w:space="0" w:color="325BAA"/>
          <w:insideH w:val="single" w:sz="4" w:space="0" w:color="325BAA"/>
          <w:insideV w:val="single" w:sz="4" w:space="0" w:color="325BAA"/>
        </w:tblBorders>
        <w:tblLook w:val="04A0" w:firstRow="1" w:lastRow="0" w:firstColumn="1" w:lastColumn="0" w:noHBand="0" w:noVBand="1"/>
      </w:tblPr>
      <w:tblGrid>
        <w:gridCol w:w="8834"/>
      </w:tblGrid>
      <w:tr w:rsidR="00876F80" w:rsidRPr="00881BC8" w14:paraId="55B82C32" w14:textId="77777777" w:rsidTr="00A554FB">
        <w:trPr>
          <w:cantSplit/>
          <w:tblHeader/>
        </w:trPr>
        <w:tc>
          <w:tcPr>
            <w:tcW w:w="9628" w:type="dxa"/>
            <w:tcBorders>
              <w:top w:val="single" w:sz="4" w:space="0" w:color="325BAA"/>
              <w:left w:val="single" w:sz="4" w:space="0" w:color="325BAA"/>
              <w:bottom w:val="single" w:sz="4" w:space="0" w:color="325BAA"/>
              <w:right w:val="single" w:sz="4" w:space="0" w:color="325BAA"/>
            </w:tcBorders>
          </w:tcPr>
          <w:p w14:paraId="29721134" w14:textId="77777777" w:rsidR="00876F80" w:rsidRPr="00881BC8" w:rsidRDefault="00876F80" w:rsidP="00BC52A0">
            <w:pPr>
              <w:spacing w:after="0"/>
              <w:jc w:val="center"/>
              <w:rPr>
                <w:rFonts w:ascii="Arial" w:hAnsi="Arial" w:cs="Arial"/>
                <w:b/>
                <w:bCs/>
                <w:noProof/>
                <w:color w:val="325BAA"/>
                <w:szCs w:val="18"/>
              </w:rPr>
            </w:pPr>
            <w:r w:rsidRPr="00881BC8">
              <w:rPr>
                <w:rFonts w:ascii="Arial" w:hAnsi="Arial" w:cs="Arial"/>
                <w:b/>
                <w:bCs/>
                <w:noProof/>
                <w:color w:val="325BAA"/>
                <w:szCs w:val="18"/>
              </w:rPr>
              <w:t>Malta: MACM’s Experience</w:t>
            </w:r>
          </w:p>
          <w:p w14:paraId="180ABFF9" w14:textId="77777777" w:rsidR="00876F80" w:rsidRPr="00881BC8" w:rsidRDefault="00876F80" w:rsidP="00BC52A0">
            <w:pPr>
              <w:spacing w:after="0"/>
              <w:contextualSpacing/>
              <w:rPr>
                <w:rFonts w:ascii="Arial" w:hAnsi="Arial" w:cs="Arial"/>
                <w:bCs/>
                <w:noProof/>
                <w:sz w:val="20"/>
                <w:szCs w:val="18"/>
              </w:rPr>
            </w:pPr>
          </w:p>
          <w:p w14:paraId="6F738341" w14:textId="77777777" w:rsidR="00876F80" w:rsidRPr="00881BC8" w:rsidRDefault="00876F80" w:rsidP="00BC52A0">
            <w:pPr>
              <w:spacing w:after="0"/>
              <w:rPr>
                <w:rFonts w:ascii="Arial" w:hAnsi="Arial" w:cs="Arial"/>
                <w:noProof/>
                <w:sz w:val="18"/>
                <w:szCs w:val="18"/>
                <w:vertAlign w:val="superscript"/>
              </w:rPr>
            </w:pPr>
            <w:r w:rsidRPr="00881BC8">
              <w:rPr>
                <w:rFonts w:ascii="Arial" w:hAnsi="Arial" w:cs="Arial"/>
                <w:noProof/>
                <w:sz w:val="18"/>
                <w:szCs w:val="18"/>
              </w:rPr>
              <w:t xml:space="preserve">Established in 2001, MACM is a professional association of credit managers, member of FECMA. Like its sister associations, MACM is primarily involved in fostering the development of the credit management profession. In this context, MACM has a longstanding relationship with CICM, and it has been accredited to deliver CICM training courses leading to officially recognized qualifications. </w:t>
            </w:r>
            <w:r w:rsidRPr="00881BC8">
              <w:rPr>
                <w:rFonts w:ascii="Arial" w:hAnsi="Arial" w:cs="Arial"/>
                <w:b/>
                <w:noProof/>
                <w:sz w:val="18"/>
                <w:szCs w:val="18"/>
              </w:rPr>
              <w:t>However, MACM has also been quite active in promoting the adoption of credit management practices in SMEs</w:t>
            </w:r>
            <w:r w:rsidRPr="00881BC8">
              <w:rPr>
                <w:rFonts w:ascii="Arial" w:hAnsi="Arial" w:cs="Arial"/>
                <w:noProof/>
                <w:sz w:val="18"/>
                <w:szCs w:val="18"/>
              </w:rPr>
              <w:t>, through the organization of awareness raising workshops, the delivery of training courses, and the development of dedicated materials, the latter being extensively used by MACM members in their work with small business clients. MACM has also been very active on the theme of late payments, through the organization of events on the LPD, the running of periodical surveys, and the cooperation with government authorities, namely with the development of materials disseminated on line</w:t>
            </w:r>
            <w:r w:rsidRPr="00881BC8">
              <w:rPr>
                <w:rFonts w:ascii="Arial" w:hAnsi="Arial" w:cs="Arial"/>
                <w:noProof/>
                <w:sz w:val="18"/>
                <w:szCs w:val="18"/>
                <w:vertAlign w:val="superscript"/>
              </w:rPr>
              <w:t>).</w:t>
            </w:r>
            <w:r w:rsidRPr="00881BC8">
              <w:rPr>
                <w:rFonts w:ascii="Arial" w:hAnsi="Arial" w:cs="Arial"/>
                <w:noProof/>
                <w:sz w:val="18"/>
                <w:szCs w:val="18"/>
                <w:vertAlign w:val="superscript"/>
              </w:rPr>
              <w:footnoteReference w:id="235"/>
            </w:r>
          </w:p>
          <w:p w14:paraId="3D7F3F9D" w14:textId="77777777" w:rsidR="00876F80" w:rsidRPr="00881BC8" w:rsidRDefault="00876F80" w:rsidP="00BC52A0">
            <w:pPr>
              <w:spacing w:after="0"/>
              <w:contextualSpacing/>
              <w:rPr>
                <w:rFonts w:ascii="Arial" w:hAnsi="Arial" w:cs="Arial"/>
                <w:noProof/>
                <w:sz w:val="20"/>
                <w:szCs w:val="18"/>
              </w:rPr>
            </w:pPr>
          </w:p>
        </w:tc>
      </w:tr>
    </w:tbl>
    <w:p w14:paraId="158462EB" w14:textId="77777777" w:rsidR="00876F80" w:rsidRPr="00881BC8" w:rsidRDefault="00876F80" w:rsidP="00876F80">
      <w:pPr>
        <w:spacing w:after="0"/>
        <w:rPr>
          <w:rFonts w:ascii="Arial" w:hAnsi="Arial" w:cs="Arial"/>
          <w:noProof/>
          <w:sz w:val="22"/>
          <w:szCs w:val="20"/>
        </w:rPr>
      </w:pPr>
    </w:p>
    <w:p w14:paraId="12D3824D" w14:textId="7537BC4B" w:rsidR="00876F80" w:rsidRPr="00881BC8" w:rsidRDefault="00876F80" w:rsidP="004835F8">
      <w:pPr>
        <w:pStyle w:val="NormalPara"/>
        <w:rPr>
          <w:bCs/>
          <w:noProof/>
          <w:lang w:val="en-GB"/>
        </w:rPr>
      </w:pPr>
      <w:r w:rsidRPr="00881BC8">
        <w:rPr>
          <w:bCs/>
          <w:noProof/>
          <w:lang w:val="en-GB"/>
        </w:rPr>
        <w:t xml:space="preserve">United Kingdom. The UK market is dominated by CICM and commercial providers, with the distinctive feature of a prevalence on online delivery and e-learning modalities. Besides training for certified credit manager and related qualifications (see above), CICM also delivers </w:t>
      </w:r>
      <w:r w:rsidR="00FF6444" w:rsidRPr="00881BC8">
        <w:rPr>
          <w:bCs/>
          <w:noProof/>
          <w:lang w:val="en-GB"/>
        </w:rPr>
        <w:t>several virtual</w:t>
      </w:r>
      <w:r w:rsidRPr="00881BC8">
        <w:rPr>
          <w:bCs/>
          <w:noProof/>
          <w:lang w:val="en-GB"/>
        </w:rPr>
        <w:t xml:space="preserve"> workshops of variable duration, covering topics of interest for both people already working in credit management and a more general business audience (‘Collections for the new Credit Future’, ‘Best Practice Skills to Assess Credit Risk’, etc.). Commercial providers include consultancies and training centres, some of which specifically focusing on credit management training (Credit Management Training Ltd and Credit Management Group). Their offer mostly consists of short e-learning modules, each lasting 2-4 hours and covering very practical aspects of the credit management process (from ‘Impactful collection letters and emails’ to ‘Customers behaviours to deal with’). Prices for</w:t>
      </w:r>
      <w:r w:rsidR="0091653A" w:rsidRPr="00881BC8">
        <w:rPr>
          <w:bCs/>
          <w:noProof/>
          <w:lang w:val="en-GB"/>
        </w:rPr>
        <w:t xml:space="preserve"> </w:t>
      </w:r>
      <w:r w:rsidRPr="00881BC8">
        <w:rPr>
          <w:bCs/>
          <w:noProof/>
          <w:lang w:val="en-GB"/>
        </w:rPr>
        <w:t xml:space="preserve">individual modules are at £ 120 – 150, with full packages costing around £ 1,000. </w:t>
      </w:r>
    </w:p>
    <w:p w14:paraId="573A8EE6" w14:textId="77777777" w:rsidR="00876F80" w:rsidRPr="00881BC8" w:rsidRDefault="00876F80" w:rsidP="004835F8">
      <w:pPr>
        <w:pStyle w:val="AnnexLevel1"/>
        <w:rPr>
          <w:noProof/>
          <w:lang w:val="en-GB"/>
        </w:rPr>
      </w:pPr>
      <w:r w:rsidRPr="00881BC8">
        <w:rPr>
          <w:noProof/>
          <w:lang w:val="en-GB"/>
        </w:rPr>
        <w:t xml:space="preserve">Summary of the analysis </w:t>
      </w:r>
      <w:r w:rsidRPr="00881BC8">
        <w:rPr>
          <w:noProof/>
          <w:vertAlign w:val="superscript"/>
          <w:lang w:val="en-GB"/>
        </w:rPr>
        <w:footnoteReference w:id="236"/>
      </w:r>
    </w:p>
    <w:p w14:paraId="7C88FFF8" w14:textId="283F906C" w:rsidR="00876F80" w:rsidRPr="00881BC8" w:rsidRDefault="00876F80" w:rsidP="004835F8">
      <w:pPr>
        <w:pStyle w:val="NormalPara"/>
        <w:rPr>
          <w:noProof/>
          <w:lang w:val="en-GB"/>
        </w:rPr>
      </w:pPr>
      <w:r w:rsidRPr="00881BC8">
        <w:rPr>
          <w:noProof/>
          <w:lang w:val="en-GB"/>
        </w:rPr>
        <w:t>Currently, the offer of management training available in the EU is extensive, with several high-profile service providers, offering both structured courses providing formal qualifications and shorter trainings. The problem is that this offer is extremely uneven across the EU: there is a limited number of Member States with a highly developed credit management training industry and a majority where this activity is not as developed.</w:t>
      </w:r>
    </w:p>
    <w:p w14:paraId="2ED0B4F2" w14:textId="77777777" w:rsidR="00876F80" w:rsidRPr="00881BC8" w:rsidRDefault="00876F80" w:rsidP="004835F8">
      <w:pPr>
        <w:pStyle w:val="NormalPara"/>
        <w:rPr>
          <w:noProof/>
          <w:lang w:val="en-GB"/>
        </w:rPr>
      </w:pPr>
      <w:r w:rsidRPr="00881BC8">
        <w:rPr>
          <w:noProof/>
          <w:lang w:val="en-GB"/>
        </w:rPr>
        <w:t>Another problem that has been identified is that the current offer is not suitable to smaller businesses, because of their cost and duration, the majority of users being mid-caps, and large enterprises.</w:t>
      </w:r>
    </w:p>
    <w:p w14:paraId="2CE3B9BF" w14:textId="21FEEB2E" w:rsidR="00355AEB" w:rsidRPr="00881BC8" w:rsidRDefault="00876F80" w:rsidP="004835F8">
      <w:pPr>
        <w:pStyle w:val="NormalPara"/>
        <w:rPr>
          <w:noProof/>
          <w:lang w:val="en-GB"/>
        </w:rPr>
      </w:pPr>
      <w:r w:rsidRPr="00881BC8">
        <w:rPr>
          <w:noProof/>
          <w:lang w:val="en-GB"/>
        </w:rPr>
        <w:t>Finally, there is a lack of mechanisms proactively promoting the adoption of best practices by SMEs. This is largely due to the highly specific nature of credit management, a theme that cannot be easily handled by the ‘</w:t>
      </w:r>
      <w:r w:rsidRPr="00881BC8">
        <w:rPr>
          <w:i/>
          <w:noProof/>
          <w:lang w:val="en-GB"/>
        </w:rPr>
        <w:t>generalist</w:t>
      </w:r>
      <w:r w:rsidRPr="00881BC8">
        <w:rPr>
          <w:noProof/>
          <w:lang w:val="en-GB"/>
        </w:rPr>
        <w:t>’ staff of a typical chamber of commerce or business association, and the commercial nature of many suppliers of training. However, the experience of MACM shows that it is indeed possible to adopt a proactive approach, capable of reconciling the business orientation of the credit management profession with public policy objectives.</w:t>
      </w:r>
    </w:p>
    <w:p w14:paraId="7B58494B" w14:textId="3CB8C38B" w:rsidR="004C75BB" w:rsidRPr="00881BC8" w:rsidRDefault="00F36071" w:rsidP="00CF2B67">
      <w:pPr>
        <w:pStyle w:val="AnnexTitle"/>
        <w:rPr>
          <w:noProof/>
        </w:rPr>
      </w:pPr>
      <w:r w:rsidRPr="00881BC8">
        <w:rPr>
          <w:noProof/>
        </w:rPr>
        <w:br w:type="page"/>
      </w:r>
      <w:bookmarkStart w:id="1070" w:name="Annex13"/>
      <w:bookmarkStart w:id="1071" w:name="_Toc135237462"/>
      <w:r w:rsidR="004C75BB" w:rsidRPr="00881BC8">
        <w:rPr>
          <w:noProof/>
        </w:rPr>
        <w:t>Annex 13</w:t>
      </w:r>
      <w:bookmarkEnd w:id="1070"/>
      <w:r w:rsidR="004C75BB" w:rsidRPr="00881BC8">
        <w:rPr>
          <w:noProof/>
        </w:rPr>
        <w:t>:</w:t>
      </w:r>
      <w:r w:rsidR="004C75BB" w:rsidRPr="00881BC8">
        <w:rPr>
          <w:noProof/>
        </w:rPr>
        <w:tab/>
        <w:t>Rates of statutory interests</w:t>
      </w:r>
      <w:bookmarkEnd w:id="1071"/>
      <w:r w:rsidR="004C75BB" w:rsidRPr="00881BC8">
        <w:rPr>
          <w:noProof/>
        </w:rPr>
        <w:t xml:space="preserve"> </w:t>
      </w:r>
    </w:p>
    <w:p w14:paraId="240B497E" w14:textId="50D064F8" w:rsidR="004C75BB" w:rsidRPr="00881BC8" w:rsidRDefault="004C75BB" w:rsidP="004835F8">
      <w:pPr>
        <w:pStyle w:val="NormalPara"/>
        <w:rPr>
          <w:noProof/>
          <w:lang w:val="en-GB"/>
        </w:rPr>
      </w:pPr>
      <w:r w:rsidRPr="00881BC8">
        <w:rPr>
          <w:noProof/>
          <w:lang w:val="en-GB"/>
        </w:rPr>
        <w:t>Rates established according to Art 2(6) of the LPD</w:t>
      </w:r>
    </w:p>
    <w:p w14:paraId="1B88D8A6" w14:textId="399214E9" w:rsidR="004C75BB" w:rsidRPr="00881BC8" w:rsidRDefault="004C75BB" w:rsidP="004C75BB">
      <w:pPr>
        <w:rPr>
          <w:b/>
          <w:bCs/>
          <w:noProof/>
        </w:rPr>
      </w:pPr>
    </w:p>
    <w:tbl>
      <w:tblPr>
        <w:tblW w:w="0" w:type="auto"/>
        <w:tblInd w:w="55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ayout w:type="fixed"/>
        <w:tblLook w:val="0480" w:firstRow="0" w:lastRow="0" w:firstColumn="1" w:lastColumn="0" w:noHBand="0" w:noVBand="1"/>
      </w:tblPr>
      <w:tblGrid>
        <w:gridCol w:w="3402"/>
        <w:gridCol w:w="4253"/>
      </w:tblGrid>
      <w:tr w:rsidR="004C75BB" w:rsidRPr="00881BC8" w14:paraId="6911B991" w14:textId="77777777" w:rsidTr="00355AEB">
        <w:trPr>
          <w:trHeight w:val="15"/>
        </w:trPr>
        <w:tc>
          <w:tcPr>
            <w:tcW w:w="3402" w:type="dxa"/>
            <w:shd w:val="clear" w:color="auto" w:fill="FFFFFF" w:themeFill="background1"/>
          </w:tcPr>
          <w:p w14:paraId="6BEC1FEF" w14:textId="77777777" w:rsidR="004C75BB" w:rsidRPr="00881BC8" w:rsidRDefault="004C75BB" w:rsidP="00355AEB">
            <w:pPr>
              <w:spacing w:after="0"/>
              <w:jc w:val="center"/>
              <w:rPr>
                <w:b/>
                <w:noProof/>
                <w:sz w:val="20"/>
                <w:szCs w:val="20"/>
              </w:rPr>
            </w:pPr>
            <w:r w:rsidRPr="00881BC8">
              <w:rPr>
                <w:rFonts w:eastAsia="@Yu Mincho Light"/>
                <w:b/>
                <w:noProof/>
                <w:sz w:val="20"/>
                <w:szCs w:val="20"/>
              </w:rPr>
              <w:t xml:space="preserve">Member State </w:t>
            </w:r>
          </w:p>
        </w:tc>
        <w:tc>
          <w:tcPr>
            <w:tcW w:w="4253" w:type="dxa"/>
            <w:shd w:val="clear" w:color="auto" w:fill="FFFFFF" w:themeFill="background1"/>
          </w:tcPr>
          <w:p w14:paraId="5C92068A" w14:textId="77777777" w:rsidR="004C75BB" w:rsidRPr="00881BC8" w:rsidRDefault="004C75BB" w:rsidP="00355AEB">
            <w:pPr>
              <w:spacing w:after="0"/>
              <w:jc w:val="center"/>
              <w:rPr>
                <w:b/>
                <w:noProof/>
                <w:sz w:val="20"/>
                <w:szCs w:val="20"/>
              </w:rPr>
            </w:pPr>
            <w:r w:rsidRPr="00881BC8">
              <w:rPr>
                <w:rFonts w:eastAsia="@Yu Mincho Light"/>
                <w:b/>
                <w:noProof/>
                <w:sz w:val="20"/>
                <w:szCs w:val="20"/>
              </w:rPr>
              <w:t xml:space="preserve">1 January - 30 June 2023 </w:t>
            </w:r>
          </w:p>
        </w:tc>
      </w:tr>
      <w:tr w:rsidR="004C75BB" w:rsidRPr="00881BC8" w14:paraId="003A5B33" w14:textId="77777777" w:rsidTr="00355AEB">
        <w:trPr>
          <w:trHeight w:val="15"/>
        </w:trPr>
        <w:tc>
          <w:tcPr>
            <w:tcW w:w="3402" w:type="dxa"/>
            <w:shd w:val="clear" w:color="auto" w:fill="FFFFFF" w:themeFill="background1"/>
          </w:tcPr>
          <w:p w14:paraId="6808DCEB" w14:textId="77777777" w:rsidR="004C75BB" w:rsidRPr="00881BC8" w:rsidRDefault="004C75BB" w:rsidP="00355AEB">
            <w:pPr>
              <w:spacing w:after="0"/>
              <w:rPr>
                <w:noProof/>
                <w:sz w:val="20"/>
                <w:szCs w:val="20"/>
              </w:rPr>
            </w:pPr>
            <w:r w:rsidRPr="00881BC8">
              <w:rPr>
                <w:rFonts w:eastAsia="@Yu Mincho Light"/>
                <w:noProof/>
                <w:sz w:val="20"/>
                <w:szCs w:val="20"/>
              </w:rPr>
              <w:t xml:space="preserve">AUSTRIA </w:t>
            </w:r>
          </w:p>
        </w:tc>
        <w:tc>
          <w:tcPr>
            <w:tcW w:w="4253" w:type="dxa"/>
            <w:shd w:val="clear" w:color="auto" w:fill="FFFFFF" w:themeFill="background1"/>
          </w:tcPr>
          <w:p w14:paraId="37101D21" w14:textId="77777777" w:rsidR="004C75BB" w:rsidRPr="00881BC8" w:rsidRDefault="004C75BB" w:rsidP="00355AEB">
            <w:pPr>
              <w:spacing w:after="0"/>
              <w:jc w:val="center"/>
              <w:rPr>
                <w:noProof/>
                <w:sz w:val="20"/>
                <w:szCs w:val="20"/>
              </w:rPr>
            </w:pPr>
            <w:r w:rsidRPr="00881BC8">
              <w:rPr>
                <w:rFonts w:eastAsia="@Yu Mincho Light"/>
                <w:noProof/>
                <w:sz w:val="20"/>
                <w:szCs w:val="20"/>
              </w:rPr>
              <w:t xml:space="preserve">11.08% </w:t>
            </w:r>
          </w:p>
        </w:tc>
      </w:tr>
      <w:tr w:rsidR="004C75BB" w:rsidRPr="00881BC8" w14:paraId="5CA9335C" w14:textId="77777777" w:rsidTr="00355AEB">
        <w:trPr>
          <w:trHeight w:val="15"/>
        </w:trPr>
        <w:tc>
          <w:tcPr>
            <w:tcW w:w="3402" w:type="dxa"/>
            <w:shd w:val="clear" w:color="auto" w:fill="FFFFFF" w:themeFill="background1"/>
          </w:tcPr>
          <w:p w14:paraId="59C96FB2" w14:textId="77777777" w:rsidR="004C75BB" w:rsidRPr="00881BC8" w:rsidRDefault="004C75BB" w:rsidP="00355AEB">
            <w:pPr>
              <w:spacing w:after="0"/>
              <w:rPr>
                <w:noProof/>
                <w:sz w:val="20"/>
                <w:szCs w:val="20"/>
              </w:rPr>
            </w:pPr>
            <w:r w:rsidRPr="00881BC8">
              <w:rPr>
                <w:rFonts w:eastAsia="@Yu Mincho Light"/>
                <w:noProof/>
                <w:sz w:val="20"/>
                <w:szCs w:val="20"/>
              </w:rPr>
              <w:t xml:space="preserve">BELGIUM </w:t>
            </w:r>
          </w:p>
        </w:tc>
        <w:tc>
          <w:tcPr>
            <w:tcW w:w="4253" w:type="dxa"/>
            <w:shd w:val="clear" w:color="auto" w:fill="FFFFFF" w:themeFill="background1"/>
          </w:tcPr>
          <w:p w14:paraId="1FCED409" w14:textId="77777777" w:rsidR="004C75BB" w:rsidRPr="00881BC8" w:rsidRDefault="004C75BB" w:rsidP="00355AEB">
            <w:pPr>
              <w:spacing w:after="0"/>
              <w:jc w:val="center"/>
              <w:rPr>
                <w:noProof/>
                <w:sz w:val="20"/>
                <w:szCs w:val="20"/>
              </w:rPr>
            </w:pPr>
            <w:r w:rsidRPr="00881BC8">
              <w:rPr>
                <w:rFonts w:eastAsia="@Yu Mincho Light"/>
                <w:noProof/>
                <w:sz w:val="20"/>
                <w:szCs w:val="20"/>
              </w:rPr>
              <w:t xml:space="preserve">10.50% </w:t>
            </w:r>
          </w:p>
        </w:tc>
      </w:tr>
      <w:tr w:rsidR="004C75BB" w:rsidRPr="00881BC8" w14:paraId="6FB58502" w14:textId="77777777" w:rsidTr="00355AEB">
        <w:trPr>
          <w:trHeight w:val="15"/>
        </w:trPr>
        <w:tc>
          <w:tcPr>
            <w:tcW w:w="3402" w:type="dxa"/>
            <w:shd w:val="clear" w:color="auto" w:fill="FFFFFF" w:themeFill="background1"/>
          </w:tcPr>
          <w:p w14:paraId="6224454F" w14:textId="77777777" w:rsidR="004C75BB" w:rsidRPr="00881BC8" w:rsidRDefault="004C75BB" w:rsidP="00355AEB">
            <w:pPr>
              <w:spacing w:after="0"/>
              <w:rPr>
                <w:noProof/>
                <w:sz w:val="20"/>
                <w:szCs w:val="20"/>
              </w:rPr>
            </w:pPr>
            <w:r w:rsidRPr="00881BC8">
              <w:rPr>
                <w:rFonts w:eastAsia="@Yu Mincho Light"/>
                <w:noProof/>
                <w:sz w:val="20"/>
                <w:szCs w:val="20"/>
              </w:rPr>
              <w:t xml:space="preserve">BULGARIA </w:t>
            </w:r>
          </w:p>
        </w:tc>
        <w:tc>
          <w:tcPr>
            <w:tcW w:w="4253" w:type="dxa"/>
            <w:shd w:val="clear" w:color="auto" w:fill="FFFFFF" w:themeFill="background1"/>
          </w:tcPr>
          <w:p w14:paraId="2483CF54" w14:textId="77777777" w:rsidR="004C75BB" w:rsidRPr="00881BC8" w:rsidRDefault="004C75BB" w:rsidP="00355AEB">
            <w:pPr>
              <w:spacing w:after="0"/>
              <w:jc w:val="center"/>
              <w:rPr>
                <w:noProof/>
                <w:sz w:val="20"/>
                <w:szCs w:val="20"/>
              </w:rPr>
            </w:pPr>
            <w:r w:rsidRPr="00881BC8">
              <w:rPr>
                <w:rFonts w:eastAsia="@Yu Mincho Light"/>
                <w:noProof/>
                <w:sz w:val="20"/>
                <w:szCs w:val="20"/>
              </w:rPr>
              <w:t xml:space="preserve">10.00% </w:t>
            </w:r>
          </w:p>
        </w:tc>
      </w:tr>
      <w:tr w:rsidR="004C75BB" w:rsidRPr="00881BC8" w14:paraId="1CA18221" w14:textId="77777777" w:rsidTr="00355AEB">
        <w:trPr>
          <w:trHeight w:val="15"/>
        </w:trPr>
        <w:tc>
          <w:tcPr>
            <w:tcW w:w="3402" w:type="dxa"/>
            <w:shd w:val="clear" w:color="auto" w:fill="FFFFFF" w:themeFill="background1"/>
          </w:tcPr>
          <w:p w14:paraId="21BC801C" w14:textId="77777777" w:rsidR="004C75BB" w:rsidRPr="00881BC8" w:rsidRDefault="004C75BB" w:rsidP="00355AEB">
            <w:pPr>
              <w:spacing w:after="0"/>
              <w:rPr>
                <w:noProof/>
                <w:sz w:val="20"/>
                <w:szCs w:val="20"/>
              </w:rPr>
            </w:pPr>
            <w:r w:rsidRPr="00881BC8">
              <w:rPr>
                <w:rFonts w:eastAsia="@Yu Mincho Light"/>
                <w:noProof/>
                <w:sz w:val="20"/>
                <w:szCs w:val="20"/>
              </w:rPr>
              <w:t xml:space="preserve">CROATIA </w:t>
            </w:r>
          </w:p>
        </w:tc>
        <w:tc>
          <w:tcPr>
            <w:tcW w:w="4253" w:type="dxa"/>
            <w:shd w:val="clear" w:color="auto" w:fill="FFFFFF" w:themeFill="background1"/>
          </w:tcPr>
          <w:p w14:paraId="578B78AE" w14:textId="77777777" w:rsidR="004C75BB" w:rsidRPr="00881BC8" w:rsidRDefault="004C75BB" w:rsidP="00355AEB">
            <w:pPr>
              <w:spacing w:after="0"/>
              <w:jc w:val="center"/>
              <w:rPr>
                <w:noProof/>
                <w:sz w:val="20"/>
                <w:szCs w:val="20"/>
              </w:rPr>
            </w:pPr>
            <w:r w:rsidRPr="00881BC8">
              <w:rPr>
                <w:rFonts w:eastAsia="@Yu Mincho Light"/>
                <w:noProof/>
                <w:sz w:val="20"/>
                <w:szCs w:val="20"/>
              </w:rPr>
              <w:t xml:space="preserve">10.50% </w:t>
            </w:r>
          </w:p>
        </w:tc>
      </w:tr>
      <w:tr w:rsidR="004C75BB" w:rsidRPr="00881BC8" w14:paraId="5A5DC518" w14:textId="77777777" w:rsidTr="00355AEB">
        <w:trPr>
          <w:trHeight w:val="15"/>
        </w:trPr>
        <w:tc>
          <w:tcPr>
            <w:tcW w:w="3402" w:type="dxa"/>
            <w:shd w:val="clear" w:color="auto" w:fill="FFFFFF" w:themeFill="background1"/>
          </w:tcPr>
          <w:p w14:paraId="7B09FA6F" w14:textId="77777777" w:rsidR="004C75BB" w:rsidRPr="00881BC8" w:rsidRDefault="004C75BB" w:rsidP="00355AEB">
            <w:pPr>
              <w:spacing w:after="0"/>
              <w:rPr>
                <w:noProof/>
                <w:sz w:val="20"/>
                <w:szCs w:val="20"/>
              </w:rPr>
            </w:pPr>
            <w:r w:rsidRPr="00881BC8">
              <w:rPr>
                <w:rFonts w:eastAsia="@Yu Mincho Light"/>
                <w:noProof/>
                <w:sz w:val="20"/>
                <w:szCs w:val="20"/>
              </w:rPr>
              <w:t xml:space="preserve">CYPRUS </w:t>
            </w:r>
          </w:p>
        </w:tc>
        <w:tc>
          <w:tcPr>
            <w:tcW w:w="4253" w:type="dxa"/>
            <w:shd w:val="clear" w:color="auto" w:fill="FFFFFF" w:themeFill="background1"/>
          </w:tcPr>
          <w:p w14:paraId="48D97B58" w14:textId="77777777" w:rsidR="004C75BB" w:rsidRPr="00881BC8" w:rsidRDefault="004C75BB" w:rsidP="00355AEB">
            <w:pPr>
              <w:spacing w:after="0"/>
              <w:jc w:val="center"/>
              <w:rPr>
                <w:noProof/>
                <w:sz w:val="20"/>
                <w:szCs w:val="20"/>
              </w:rPr>
            </w:pPr>
            <w:r w:rsidRPr="00881BC8">
              <w:rPr>
                <w:rFonts w:eastAsia="@Yu Mincho Light"/>
                <w:noProof/>
                <w:sz w:val="20"/>
                <w:szCs w:val="20"/>
              </w:rPr>
              <w:t xml:space="preserve">10.50% </w:t>
            </w:r>
          </w:p>
        </w:tc>
      </w:tr>
      <w:tr w:rsidR="004C75BB" w:rsidRPr="00881BC8" w14:paraId="75E3F0E5" w14:textId="77777777" w:rsidTr="00355AEB">
        <w:trPr>
          <w:trHeight w:val="15"/>
        </w:trPr>
        <w:tc>
          <w:tcPr>
            <w:tcW w:w="3402" w:type="dxa"/>
            <w:shd w:val="clear" w:color="auto" w:fill="FFFFFF" w:themeFill="background1"/>
          </w:tcPr>
          <w:p w14:paraId="5A5F19A9" w14:textId="763F81E1" w:rsidR="004C75BB" w:rsidRPr="00881BC8" w:rsidRDefault="004C75BB" w:rsidP="00355AEB">
            <w:pPr>
              <w:spacing w:after="0"/>
              <w:rPr>
                <w:noProof/>
                <w:sz w:val="20"/>
                <w:szCs w:val="20"/>
              </w:rPr>
            </w:pPr>
            <w:r w:rsidRPr="00881BC8">
              <w:rPr>
                <w:rFonts w:eastAsia="@Yu Mincho Light"/>
                <w:noProof/>
                <w:sz w:val="20"/>
                <w:szCs w:val="20"/>
              </w:rPr>
              <w:t>CZECHIA</w:t>
            </w:r>
            <w:r w:rsidR="0091653A" w:rsidRPr="00881BC8">
              <w:rPr>
                <w:rFonts w:eastAsia="@Yu Mincho Light"/>
                <w:noProof/>
                <w:sz w:val="20"/>
                <w:szCs w:val="20"/>
              </w:rPr>
              <w:t xml:space="preserve"> </w:t>
            </w:r>
          </w:p>
        </w:tc>
        <w:tc>
          <w:tcPr>
            <w:tcW w:w="4253" w:type="dxa"/>
            <w:shd w:val="clear" w:color="auto" w:fill="FFFFFF" w:themeFill="background1"/>
          </w:tcPr>
          <w:p w14:paraId="0D685079" w14:textId="77777777" w:rsidR="004C75BB" w:rsidRPr="00881BC8" w:rsidRDefault="004C75BB" w:rsidP="00355AEB">
            <w:pPr>
              <w:spacing w:after="0"/>
              <w:jc w:val="center"/>
              <w:rPr>
                <w:noProof/>
                <w:sz w:val="20"/>
                <w:szCs w:val="20"/>
              </w:rPr>
            </w:pPr>
            <w:r w:rsidRPr="00881BC8">
              <w:rPr>
                <w:rFonts w:eastAsia="@Yu Mincho Light"/>
                <w:noProof/>
                <w:sz w:val="20"/>
                <w:szCs w:val="20"/>
              </w:rPr>
              <w:t xml:space="preserve">15.00% </w:t>
            </w:r>
          </w:p>
        </w:tc>
      </w:tr>
      <w:tr w:rsidR="004C75BB" w:rsidRPr="00881BC8" w14:paraId="75FB3DA9" w14:textId="77777777" w:rsidTr="00355AEB">
        <w:trPr>
          <w:trHeight w:val="15"/>
        </w:trPr>
        <w:tc>
          <w:tcPr>
            <w:tcW w:w="3402" w:type="dxa"/>
            <w:shd w:val="clear" w:color="auto" w:fill="FFFFFF" w:themeFill="background1"/>
          </w:tcPr>
          <w:p w14:paraId="449D7136" w14:textId="77777777" w:rsidR="004C75BB" w:rsidRPr="00881BC8" w:rsidRDefault="004C75BB" w:rsidP="00355AEB">
            <w:pPr>
              <w:spacing w:after="0"/>
              <w:rPr>
                <w:noProof/>
                <w:sz w:val="20"/>
                <w:szCs w:val="20"/>
              </w:rPr>
            </w:pPr>
            <w:r w:rsidRPr="00881BC8">
              <w:rPr>
                <w:rFonts w:eastAsia="@Yu Mincho Light"/>
                <w:noProof/>
                <w:sz w:val="20"/>
                <w:szCs w:val="20"/>
              </w:rPr>
              <w:t xml:space="preserve">DENMARK </w:t>
            </w:r>
          </w:p>
        </w:tc>
        <w:tc>
          <w:tcPr>
            <w:tcW w:w="4253" w:type="dxa"/>
            <w:shd w:val="clear" w:color="auto" w:fill="FFFFFF" w:themeFill="background1"/>
          </w:tcPr>
          <w:p w14:paraId="670CED5F" w14:textId="77777777" w:rsidR="004C75BB" w:rsidRPr="00881BC8" w:rsidRDefault="004C75BB" w:rsidP="00355AEB">
            <w:pPr>
              <w:spacing w:after="0"/>
              <w:jc w:val="center"/>
              <w:rPr>
                <w:noProof/>
                <w:sz w:val="20"/>
                <w:szCs w:val="20"/>
              </w:rPr>
            </w:pPr>
            <w:r w:rsidRPr="00881BC8">
              <w:rPr>
                <w:rFonts w:eastAsia="@Yu Mincho Light"/>
                <w:noProof/>
                <w:sz w:val="20"/>
                <w:szCs w:val="20"/>
              </w:rPr>
              <w:t xml:space="preserve">9.90% </w:t>
            </w:r>
          </w:p>
        </w:tc>
      </w:tr>
      <w:tr w:rsidR="004C75BB" w:rsidRPr="00881BC8" w14:paraId="16342EF6" w14:textId="77777777" w:rsidTr="00355AEB">
        <w:trPr>
          <w:trHeight w:val="15"/>
        </w:trPr>
        <w:tc>
          <w:tcPr>
            <w:tcW w:w="3402" w:type="dxa"/>
            <w:shd w:val="clear" w:color="auto" w:fill="FFFFFF" w:themeFill="background1"/>
          </w:tcPr>
          <w:p w14:paraId="427968AB" w14:textId="77777777" w:rsidR="004C75BB" w:rsidRPr="00881BC8" w:rsidRDefault="004C75BB" w:rsidP="00355AEB">
            <w:pPr>
              <w:spacing w:after="0"/>
              <w:rPr>
                <w:noProof/>
                <w:sz w:val="20"/>
                <w:szCs w:val="20"/>
              </w:rPr>
            </w:pPr>
            <w:r w:rsidRPr="00881BC8">
              <w:rPr>
                <w:rFonts w:eastAsia="@Yu Mincho Light"/>
                <w:noProof/>
                <w:sz w:val="20"/>
                <w:szCs w:val="20"/>
              </w:rPr>
              <w:t xml:space="preserve">ESTONIA </w:t>
            </w:r>
          </w:p>
        </w:tc>
        <w:tc>
          <w:tcPr>
            <w:tcW w:w="4253" w:type="dxa"/>
            <w:shd w:val="clear" w:color="auto" w:fill="FFFFFF" w:themeFill="background1"/>
          </w:tcPr>
          <w:p w14:paraId="46B12DBB" w14:textId="77777777" w:rsidR="004C75BB" w:rsidRPr="00881BC8" w:rsidRDefault="004C75BB" w:rsidP="00355AEB">
            <w:pPr>
              <w:spacing w:after="0"/>
              <w:jc w:val="center"/>
              <w:rPr>
                <w:noProof/>
                <w:sz w:val="20"/>
                <w:szCs w:val="20"/>
              </w:rPr>
            </w:pPr>
            <w:r w:rsidRPr="00881BC8">
              <w:rPr>
                <w:rFonts w:eastAsia="@Yu Mincho Light"/>
                <w:noProof/>
                <w:sz w:val="20"/>
                <w:szCs w:val="20"/>
              </w:rPr>
              <w:t xml:space="preserve">10.50% </w:t>
            </w:r>
          </w:p>
        </w:tc>
      </w:tr>
      <w:tr w:rsidR="004C75BB" w:rsidRPr="00881BC8" w14:paraId="74B1FD0D" w14:textId="77777777" w:rsidTr="00355AEB">
        <w:trPr>
          <w:trHeight w:val="15"/>
        </w:trPr>
        <w:tc>
          <w:tcPr>
            <w:tcW w:w="3402" w:type="dxa"/>
            <w:shd w:val="clear" w:color="auto" w:fill="FFFFFF" w:themeFill="background1"/>
          </w:tcPr>
          <w:p w14:paraId="6AFA468A" w14:textId="77777777" w:rsidR="004C75BB" w:rsidRPr="00881BC8" w:rsidRDefault="004C75BB" w:rsidP="00355AEB">
            <w:pPr>
              <w:spacing w:after="0"/>
              <w:rPr>
                <w:noProof/>
                <w:sz w:val="20"/>
                <w:szCs w:val="20"/>
              </w:rPr>
            </w:pPr>
            <w:r w:rsidRPr="00881BC8">
              <w:rPr>
                <w:rFonts w:eastAsia="@Yu Mincho Light"/>
                <w:noProof/>
                <w:sz w:val="20"/>
                <w:szCs w:val="20"/>
              </w:rPr>
              <w:t xml:space="preserve">FINLAND </w:t>
            </w:r>
          </w:p>
        </w:tc>
        <w:tc>
          <w:tcPr>
            <w:tcW w:w="4253" w:type="dxa"/>
            <w:shd w:val="clear" w:color="auto" w:fill="FFFFFF" w:themeFill="background1"/>
          </w:tcPr>
          <w:p w14:paraId="1E711EA9" w14:textId="77777777" w:rsidR="004C75BB" w:rsidRPr="00881BC8" w:rsidRDefault="004C75BB" w:rsidP="00355AEB">
            <w:pPr>
              <w:spacing w:after="0"/>
              <w:jc w:val="center"/>
              <w:rPr>
                <w:noProof/>
                <w:sz w:val="20"/>
                <w:szCs w:val="20"/>
              </w:rPr>
            </w:pPr>
            <w:r w:rsidRPr="00881BC8">
              <w:rPr>
                <w:rFonts w:eastAsia="@Yu Mincho Light"/>
                <w:noProof/>
                <w:sz w:val="20"/>
                <w:szCs w:val="20"/>
              </w:rPr>
              <w:t xml:space="preserve">10.50% </w:t>
            </w:r>
          </w:p>
        </w:tc>
      </w:tr>
      <w:tr w:rsidR="004C75BB" w:rsidRPr="00881BC8" w14:paraId="16EB7F93" w14:textId="77777777" w:rsidTr="00355AEB">
        <w:trPr>
          <w:trHeight w:val="15"/>
        </w:trPr>
        <w:tc>
          <w:tcPr>
            <w:tcW w:w="3402" w:type="dxa"/>
            <w:shd w:val="clear" w:color="auto" w:fill="FFFFFF" w:themeFill="background1"/>
          </w:tcPr>
          <w:p w14:paraId="6B45DCBF" w14:textId="77777777" w:rsidR="004C75BB" w:rsidRPr="00881BC8" w:rsidRDefault="004C75BB" w:rsidP="00355AEB">
            <w:pPr>
              <w:spacing w:after="0"/>
              <w:rPr>
                <w:noProof/>
                <w:sz w:val="20"/>
                <w:szCs w:val="20"/>
              </w:rPr>
            </w:pPr>
            <w:r w:rsidRPr="00881BC8">
              <w:rPr>
                <w:rFonts w:eastAsia="@Yu Mincho Light"/>
                <w:noProof/>
                <w:sz w:val="20"/>
                <w:szCs w:val="20"/>
              </w:rPr>
              <w:t xml:space="preserve">FRANCE </w:t>
            </w:r>
          </w:p>
        </w:tc>
        <w:tc>
          <w:tcPr>
            <w:tcW w:w="4253" w:type="dxa"/>
            <w:shd w:val="clear" w:color="auto" w:fill="FFFFFF" w:themeFill="background1"/>
          </w:tcPr>
          <w:p w14:paraId="7232837E" w14:textId="77777777" w:rsidR="004C75BB" w:rsidRPr="00881BC8" w:rsidRDefault="004C75BB" w:rsidP="00355AEB">
            <w:pPr>
              <w:spacing w:after="0"/>
              <w:jc w:val="center"/>
              <w:rPr>
                <w:noProof/>
                <w:sz w:val="20"/>
                <w:szCs w:val="20"/>
              </w:rPr>
            </w:pPr>
            <w:r w:rsidRPr="00881BC8">
              <w:rPr>
                <w:rFonts w:eastAsia="@Yu Mincho Light"/>
                <w:noProof/>
                <w:sz w:val="20"/>
                <w:szCs w:val="20"/>
              </w:rPr>
              <w:t xml:space="preserve">12.50% </w:t>
            </w:r>
          </w:p>
        </w:tc>
      </w:tr>
      <w:tr w:rsidR="004C75BB" w:rsidRPr="00881BC8" w14:paraId="3DD9E438" w14:textId="77777777" w:rsidTr="00355AEB">
        <w:trPr>
          <w:trHeight w:val="15"/>
        </w:trPr>
        <w:tc>
          <w:tcPr>
            <w:tcW w:w="3402" w:type="dxa"/>
            <w:shd w:val="clear" w:color="auto" w:fill="FFFFFF" w:themeFill="background1"/>
          </w:tcPr>
          <w:p w14:paraId="6389D52F" w14:textId="77777777" w:rsidR="004C75BB" w:rsidRPr="00881BC8" w:rsidRDefault="004C75BB" w:rsidP="00355AEB">
            <w:pPr>
              <w:spacing w:after="0"/>
              <w:rPr>
                <w:noProof/>
                <w:sz w:val="20"/>
                <w:szCs w:val="20"/>
              </w:rPr>
            </w:pPr>
            <w:r w:rsidRPr="00881BC8">
              <w:rPr>
                <w:rFonts w:eastAsia="@Yu Mincho Light"/>
                <w:noProof/>
                <w:sz w:val="20"/>
                <w:szCs w:val="20"/>
              </w:rPr>
              <w:t xml:space="preserve">GERMANY </w:t>
            </w:r>
          </w:p>
        </w:tc>
        <w:tc>
          <w:tcPr>
            <w:tcW w:w="4253" w:type="dxa"/>
            <w:shd w:val="clear" w:color="auto" w:fill="FFFFFF" w:themeFill="background1"/>
          </w:tcPr>
          <w:p w14:paraId="39C4616A" w14:textId="77777777" w:rsidR="004C75BB" w:rsidRPr="00881BC8" w:rsidRDefault="004C75BB" w:rsidP="00355AEB">
            <w:pPr>
              <w:spacing w:after="0"/>
              <w:jc w:val="center"/>
              <w:rPr>
                <w:noProof/>
                <w:sz w:val="20"/>
                <w:szCs w:val="20"/>
              </w:rPr>
            </w:pPr>
            <w:r w:rsidRPr="00881BC8">
              <w:rPr>
                <w:rFonts w:eastAsia="@Yu Mincho Light"/>
                <w:noProof/>
                <w:sz w:val="20"/>
                <w:szCs w:val="20"/>
              </w:rPr>
              <w:t xml:space="preserve">10.62% </w:t>
            </w:r>
          </w:p>
        </w:tc>
      </w:tr>
      <w:tr w:rsidR="004C75BB" w:rsidRPr="00881BC8" w14:paraId="6487493B" w14:textId="77777777" w:rsidTr="00355AEB">
        <w:trPr>
          <w:trHeight w:val="15"/>
        </w:trPr>
        <w:tc>
          <w:tcPr>
            <w:tcW w:w="3402" w:type="dxa"/>
            <w:shd w:val="clear" w:color="auto" w:fill="FFFFFF" w:themeFill="background1"/>
          </w:tcPr>
          <w:p w14:paraId="6B150179" w14:textId="77777777" w:rsidR="004C75BB" w:rsidRPr="00881BC8" w:rsidRDefault="004C75BB" w:rsidP="00355AEB">
            <w:pPr>
              <w:spacing w:after="0"/>
              <w:rPr>
                <w:noProof/>
                <w:sz w:val="20"/>
                <w:szCs w:val="20"/>
              </w:rPr>
            </w:pPr>
            <w:r w:rsidRPr="00881BC8">
              <w:rPr>
                <w:rFonts w:eastAsia="@Yu Mincho Light"/>
                <w:noProof/>
                <w:sz w:val="20"/>
                <w:szCs w:val="20"/>
              </w:rPr>
              <w:t xml:space="preserve">GREECE </w:t>
            </w:r>
          </w:p>
        </w:tc>
        <w:tc>
          <w:tcPr>
            <w:tcW w:w="4253" w:type="dxa"/>
            <w:shd w:val="clear" w:color="auto" w:fill="FFFFFF" w:themeFill="background1"/>
          </w:tcPr>
          <w:p w14:paraId="1FE66397" w14:textId="77777777" w:rsidR="004C75BB" w:rsidRPr="00881BC8" w:rsidRDefault="004C75BB" w:rsidP="00355AEB">
            <w:pPr>
              <w:spacing w:after="0"/>
              <w:jc w:val="center"/>
              <w:rPr>
                <w:noProof/>
                <w:sz w:val="20"/>
                <w:szCs w:val="20"/>
              </w:rPr>
            </w:pPr>
            <w:r w:rsidRPr="00881BC8">
              <w:rPr>
                <w:rFonts w:eastAsia="@Yu Mincho Light"/>
                <w:noProof/>
                <w:sz w:val="20"/>
                <w:szCs w:val="20"/>
              </w:rPr>
              <w:t xml:space="preserve">10.50% </w:t>
            </w:r>
          </w:p>
        </w:tc>
      </w:tr>
      <w:tr w:rsidR="004C75BB" w:rsidRPr="00881BC8" w14:paraId="36625695" w14:textId="77777777" w:rsidTr="00355AEB">
        <w:trPr>
          <w:trHeight w:val="15"/>
        </w:trPr>
        <w:tc>
          <w:tcPr>
            <w:tcW w:w="3402" w:type="dxa"/>
            <w:shd w:val="clear" w:color="auto" w:fill="FFFFFF" w:themeFill="background1"/>
          </w:tcPr>
          <w:p w14:paraId="3511512C" w14:textId="77777777" w:rsidR="004C75BB" w:rsidRPr="00881BC8" w:rsidRDefault="004C75BB" w:rsidP="00355AEB">
            <w:pPr>
              <w:spacing w:after="0"/>
              <w:rPr>
                <w:noProof/>
                <w:sz w:val="20"/>
                <w:szCs w:val="20"/>
              </w:rPr>
            </w:pPr>
            <w:r w:rsidRPr="00881BC8">
              <w:rPr>
                <w:rFonts w:eastAsia="@Yu Mincho Light"/>
                <w:noProof/>
                <w:sz w:val="20"/>
                <w:szCs w:val="20"/>
              </w:rPr>
              <w:t xml:space="preserve">HUNGARY </w:t>
            </w:r>
          </w:p>
        </w:tc>
        <w:tc>
          <w:tcPr>
            <w:tcW w:w="4253" w:type="dxa"/>
            <w:shd w:val="clear" w:color="auto" w:fill="FFFFFF" w:themeFill="background1"/>
          </w:tcPr>
          <w:p w14:paraId="7463DEAC" w14:textId="77777777" w:rsidR="004C75BB" w:rsidRPr="00881BC8" w:rsidRDefault="004C75BB" w:rsidP="00355AEB">
            <w:pPr>
              <w:spacing w:after="0"/>
              <w:jc w:val="center"/>
              <w:rPr>
                <w:noProof/>
                <w:sz w:val="20"/>
                <w:szCs w:val="20"/>
              </w:rPr>
            </w:pPr>
            <w:r w:rsidRPr="00881BC8">
              <w:rPr>
                <w:rFonts w:eastAsia="@Yu Mincho Light"/>
                <w:noProof/>
                <w:sz w:val="20"/>
                <w:szCs w:val="20"/>
              </w:rPr>
              <w:t xml:space="preserve">21.00% </w:t>
            </w:r>
          </w:p>
        </w:tc>
      </w:tr>
      <w:tr w:rsidR="004C75BB" w:rsidRPr="00881BC8" w14:paraId="53226F5F" w14:textId="77777777" w:rsidTr="00355AEB">
        <w:trPr>
          <w:trHeight w:val="15"/>
        </w:trPr>
        <w:tc>
          <w:tcPr>
            <w:tcW w:w="3402" w:type="dxa"/>
            <w:shd w:val="clear" w:color="auto" w:fill="FFFFFF" w:themeFill="background1"/>
          </w:tcPr>
          <w:p w14:paraId="75A073C2" w14:textId="77777777" w:rsidR="004C75BB" w:rsidRPr="00881BC8" w:rsidRDefault="004C75BB" w:rsidP="00355AEB">
            <w:pPr>
              <w:spacing w:after="0"/>
              <w:rPr>
                <w:noProof/>
                <w:sz w:val="20"/>
                <w:szCs w:val="20"/>
              </w:rPr>
            </w:pPr>
            <w:r w:rsidRPr="00881BC8">
              <w:rPr>
                <w:rFonts w:eastAsia="@Yu Mincho Light"/>
                <w:noProof/>
                <w:sz w:val="20"/>
                <w:szCs w:val="20"/>
              </w:rPr>
              <w:t xml:space="preserve">IRELAND </w:t>
            </w:r>
          </w:p>
        </w:tc>
        <w:tc>
          <w:tcPr>
            <w:tcW w:w="4253" w:type="dxa"/>
            <w:shd w:val="clear" w:color="auto" w:fill="FFFFFF" w:themeFill="background1"/>
          </w:tcPr>
          <w:p w14:paraId="2785CD51" w14:textId="77777777" w:rsidR="004C75BB" w:rsidRPr="00881BC8" w:rsidRDefault="004C75BB" w:rsidP="00355AEB">
            <w:pPr>
              <w:spacing w:after="0"/>
              <w:jc w:val="center"/>
              <w:rPr>
                <w:noProof/>
                <w:sz w:val="20"/>
                <w:szCs w:val="20"/>
              </w:rPr>
            </w:pPr>
            <w:r w:rsidRPr="00881BC8">
              <w:rPr>
                <w:rFonts w:eastAsia="@Yu Mincho Light"/>
                <w:noProof/>
                <w:sz w:val="20"/>
                <w:szCs w:val="20"/>
              </w:rPr>
              <w:t xml:space="preserve">10.50% </w:t>
            </w:r>
          </w:p>
        </w:tc>
      </w:tr>
      <w:tr w:rsidR="004C75BB" w:rsidRPr="00881BC8" w14:paraId="5CDDD859" w14:textId="77777777" w:rsidTr="00355AEB">
        <w:trPr>
          <w:trHeight w:val="15"/>
        </w:trPr>
        <w:tc>
          <w:tcPr>
            <w:tcW w:w="3402" w:type="dxa"/>
            <w:shd w:val="clear" w:color="auto" w:fill="FFFFFF" w:themeFill="background1"/>
          </w:tcPr>
          <w:p w14:paraId="6B176C45" w14:textId="77777777" w:rsidR="004C75BB" w:rsidRPr="00881BC8" w:rsidRDefault="004C75BB" w:rsidP="00355AEB">
            <w:pPr>
              <w:spacing w:after="0"/>
              <w:rPr>
                <w:noProof/>
                <w:sz w:val="20"/>
                <w:szCs w:val="20"/>
              </w:rPr>
            </w:pPr>
            <w:r w:rsidRPr="00881BC8">
              <w:rPr>
                <w:rFonts w:eastAsia="@Yu Mincho Light"/>
                <w:noProof/>
                <w:sz w:val="20"/>
                <w:szCs w:val="20"/>
              </w:rPr>
              <w:t xml:space="preserve">ITALY </w:t>
            </w:r>
          </w:p>
        </w:tc>
        <w:tc>
          <w:tcPr>
            <w:tcW w:w="4253" w:type="dxa"/>
            <w:shd w:val="clear" w:color="auto" w:fill="FFFFFF" w:themeFill="background1"/>
          </w:tcPr>
          <w:p w14:paraId="7CA18E52" w14:textId="77777777" w:rsidR="004C75BB" w:rsidRPr="00881BC8" w:rsidRDefault="004C75BB" w:rsidP="00355AEB">
            <w:pPr>
              <w:spacing w:after="0"/>
              <w:jc w:val="center"/>
              <w:rPr>
                <w:noProof/>
                <w:sz w:val="20"/>
                <w:szCs w:val="20"/>
              </w:rPr>
            </w:pPr>
            <w:r w:rsidRPr="00881BC8">
              <w:rPr>
                <w:rFonts w:eastAsia="@Yu Mincho Light"/>
                <w:noProof/>
                <w:sz w:val="20"/>
                <w:szCs w:val="20"/>
              </w:rPr>
              <w:t xml:space="preserve">10.50% </w:t>
            </w:r>
          </w:p>
        </w:tc>
      </w:tr>
      <w:tr w:rsidR="004C75BB" w:rsidRPr="00881BC8" w14:paraId="21B980C6" w14:textId="77777777" w:rsidTr="00355AEB">
        <w:trPr>
          <w:trHeight w:val="15"/>
        </w:trPr>
        <w:tc>
          <w:tcPr>
            <w:tcW w:w="3402" w:type="dxa"/>
            <w:shd w:val="clear" w:color="auto" w:fill="FFFFFF" w:themeFill="background1"/>
          </w:tcPr>
          <w:p w14:paraId="45C1B236" w14:textId="77777777" w:rsidR="004C75BB" w:rsidRPr="00881BC8" w:rsidRDefault="004C75BB" w:rsidP="00355AEB">
            <w:pPr>
              <w:spacing w:after="0"/>
              <w:rPr>
                <w:noProof/>
                <w:sz w:val="20"/>
                <w:szCs w:val="20"/>
              </w:rPr>
            </w:pPr>
            <w:r w:rsidRPr="00881BC8">
              <w:rPr>
                <w:rFonts w:eastAsia="@Yu Mincho Light"/>
                <w:noProof/>
                <w:sz w:val="20"/>
                <w:szCs w:val="20"/>
              </w:rPr>
              <w:t xml:space="preserve">LATVIA </w:t>
            </w:r>
          </w:p>
        </w:tc>
        <w:tc>
          <w:tcPr>
            <w:tcW w:w="4253" w:type="dxa"/>
            <w:shd w:val="clear" w:color="auto" w:fill="FFFFFF" w:themeFill="background1"/>
          </w:tcPr>
          <w:p w14:paraId="32DEA054" w14:textId="77777777" w:rsidR="004C75BB" w:rsidRPr="00881BC8" w:rsidRDefault="004C75BB" w:rsidP="00355AEB">
            <w:pPr>
              <w:spacing w:after="0"/>
              <w:jc w:val="center"/>
              <w:rPr>
                <w:noProof/>
                <w:sz w:val="20"/>
                <w:szCs w:val="20"/>
              </w:rPr>
            </w:pPr>
            <w:r w:rsidRPr="00881BC8">
              <w:rPr>
                <w:rFonts w:eastAsia="@Yu Mincho Light"/>
                <w:noProof/>
                <w:sz w:val="20"/>
                <w:szCs w:val="20"/>
              </w:rPr>
              <w:t xml:space="preserve">10.50% </w:t>
            </w:r>
          </w:p>
        </w:tc>
      </w:tr>
      <w:tr w:rsidR="004C75BB" w:rsidRPr="00881BC8" w14:paraId="0893FB35" w14:textId="77777777" w:rsidTr="00355AEB">
        <w:trPr>
          <w:trHeight w:val="15"/>
        </w:trPr>
        <w:tc>
          <w:tcPr>
            <w:tcW w:w="3402" w:type="dxa"/>
            <w:shd w:val="clear" w:color="auto" w:fill="FFFFFF" w:themeFill="background1"/>
          </w:tcPr>
          <w:p w14:paraId="648DDFA1" w14:textId="77777777" w:rsidR="004C75BB" w:rsidRPr="00881BC8" w:rsidRDefault="004C75BB" w:rsidP="00355AEB">
            <w:pPr>
              <w:spacing w:after="0"/>
              <w:rPr>
                <w:noProof/>
                <w:sz w:val="20"/>
                <w:szCs w:val="20"/>
              </w:rPr>
            </w:pPr>
            <w:r w:rsidRPr="00881BC8">
              <w:rPr>
                <w:rFonts w:eastAsia="@Yu Mincho Light"/>
                <w:noProof/>
                <w:sz w:val="20"/>
                <w:szCs w:val="20"/>
              </w:rPr>
              <w:t xml:space="preserve">LITHUANIA </w:t>
            </w:r>
          </w:p>
        </w:tc>
        <w:tc>
          <w:tcPr>
            <w:tcW w:w="4253" w:type="dxa"/>
            <w:shd w:val="clear" w:color="auto" w:fill="FFFFFF" w:themeFill="background1"/>
          </w:tcPr>
          <w:p w14:paraId="31C90A11" w14:textId="77777777" w:rsidR="004C75BB" w:rsidRPr="00881BC8" w:rsidRDefault="004C75BB" w:rsidP="00355AEB">
            <w:pPr>
              <w:spacing w:after="0"/>
              <w:jc w:val="center"/>
              <w:rPr>
                <w:noProof/>
                <w:sz w:val="20"/>
                <w:szCs w:val="20"/>
              </w:rPr>
            </w:pPr>
            <w:r w:rsidRPr="00881BC8">
              <w:rPr>
                <w:rFonts w:eastAsia="@Yu Mincho Light"/>
                <w:noProof/>
                <w:sz w:val="20"/>
                <w:szCs w:val="20"/>
              </w:rPr>
              <w:t xml:space="preserve">10.50% </w:t>
            </w:r>
          </w:p>
        </w:tc>
      </w:tr>
      <w:tr w:rsidR="004C75BB" w:rsidRPr="00881BC8" w14:paraId="3EA6F101" w14:textId="77777777" w:rsidTr="00355AEB">
        <w:trPr>
          <w:trHeight w:val="15"/>
        </w:trPr>
        <w:tc>
          <w:tcPr>
            <w:tcW w:w="3402" w:type="dxa"/>
            <w:shd w:val="clear" w:color="auto" w:fill="FFFFFF" w:themeFill="background1"/>
          </w:tcPr>
          <w:p w14:paraId="3018C93E" w14:textId="77777777" w:rsidR="004C75BB" w:rsidRPr="00881BC8" w:rsidRDefault="004C75BB" w:rsidP="00355AEB">
            <w:pPr>
              <w:spacing w:after="0"/>
              <w:rPr>
                <w:noProof/>
                <w:sz w:val="20"/>
                <w:szCs w:val="20"/>
              </w:rPr>
            </w:pPr>
            <w:r w:rsidRPr="00881BC8">
              <w:rPr>
                <w:rFonts w:eastAsia="@Yu Mincho Light"/>
                <w:noProof/>
                <w:sz w:val="20"/>
                <w:szCs w:val="20"/>
              </w:rPr>
              <w:t xml:space="preserve">LUXEMBOURG </w:t>
            </w:r>
          </w:p>
        </w:tc>
        <w:tc>
          <w:tcPr>
            <w:tcW w:w="4253" w:type="dxa"/>
            <w:shd w:val="clear" w:color="auto" w:fill="FFFFFF" w:themeFill="background1"/>
          </w:tcPr>
          <w:p w14:paraId="41ED10B6" w14:textId="77777777" w:rsidR="004C75BB" w:rsidRPr="00881BC8" w:rsidRDefault="004C75BB" w:rsidP="00355AEB">
            <w:pPr>
              <w:spacing w:after="0"/>
              <w:jc w:val="center"/>
              <w:rPr>
                <w:noProof/>
                <w:sz w:val="20"/>
                <w:szCs w:val="20"/>
              </w:rPr>
            </w:pPr>
            <w:r w:rsidRPr="00881BC8">
              <w:rPr>
                <w:rFonts w:eastAsia="@Yu Mincho Light"/>
                <w:noProof/>
                <w:sz w:val="20"/>
                <w:szCs w:val="20"/>
              </w:rPr>
              <w:t xml:space="preserve">10.50% </w:t>
            </w:r>
          </w:p>
        </w:tc>
      </w:tr>
      <w:tr w:rsidR="004C75BB" w:rsidRPr="00881BC8" w14:paraId="6C02B639" w14:textId="77777777" w:rsidTr="00355AEB">
        <w:trPr>
          <w:trHeight w:val="15"/>
        </w:trPr>
        <w:tc>
          <w:tcPr>
            <w:tcW w:w="3402" w:type="dxa"/>
            <w:shd w:val="clear" w:color="auto" w:fill="FFFFFF" w:themeFill="background1"/>
          </w:tcPr>
          <w:p w14:paraId="257899DE" w14:textId="77777777" w:rsidR="004C75BB" w:rsidRPr="00881BC8" w:rsidRDefault="004C75BB" w:rsidP="00355AEB">
            <w:pPr>
              <w:spacing w:after="0"/>
              <w:rPr>
                <w:noProof/>
                <w:sz w:val="20"/>
                <w:szCs w:val="20"/>
              </w:rPr>
            </w:pPr>
            <w:r w:rsidRPr="00881BC8">
              <w:rPr>
                <w:rFonts w:eastAsia="@Yu Mincho Light"/>
                <w:noProof/>
                <w:sz w:val="20"/>
                <w:szCs w:val="20"/>
              </w:rPr>
              <w:t xml:space="preserve">MALTA </w:t>
            </w:r>
          </w:p>
        </w:tc>
        <w:tc>
          <w:tcPr>
            <w:tcW w:w="4253" w:type="dxa"/>
            <w:shd w:val="clear" w:color="auto" w:fill="FFFFFF" w:themeFill="background1"/>
          </w:tcPr>
          <w:p w14:paraId="1EB39FB5" w14:textId="77777777" w:rsidR="004C75BB" w:rsidRPr="00881BC8" w:rsidRDefault="004C75BB" w:rsidP="00355AEB">
            <w:pPr>
              <w:spacing w:after="0"/>
              <w:jc w:val="center"/>
              <w:rPr>
                <w:noProof/>
                <w:sz w:val="20"/>
                <w:szCs w:val="20"/>
              </w:rPr>
            </w:pPr>
            <w:r w:rsidRPr="00881BC8">
              <w:rPr>
                <w:rFonts w:eastAsia="@Yu Mincho Light"/>
                <w:noProof/>
                <w:sz w:val="20"/>
                <w:szCs w:val="20"/>
              </w:rPr>
              <w:t xml:space="preserve">10.50% </w:t>
            </w:r>
          </w:p>
        </w:tc>
      </w:tr>
      <w:tr w:rsidR="004C75BB" w:rsidRPr="00881BC8" w14:paraId="0E85E935" w14:textId="77777777" w:rsidTr="00355AEB">
        <w:trPr>
          <w:trHeight w:val="15"/>
        </w:trPr>
        <w:tc>
          <w:tcPr>
            <w:tcW w:w="3402" w:type="dxa"/>
            <w:shd w:val="clear" w:color="auto" w:fill="FFFFFF" w:themeFill="background1"/>
          </w:tcPr>
          <w:p w14:paraId="3F158FE2" w14:textId="77777777" w:rsidR="004C75BB" w:rsidRPr="00881BC8" w:rsidRDefault="004C75BB" w:rsidP="00355AEB">
            <w:pPr>
              <w:spacing w:after="0"/>
              <w:rPr>
                <w:noProof/>
                <w:sz w:val="20"/>
                <w:szCs w:val="20"/>
              </w:rPr>
            </w:pPr>
            <w:r w:rsidRPr="00881BC8">
              <w:rPr>
                <w:rFonts w:eastAsia="@Yu Mincho Light"/>
                <w:noProof/>
                <w:sz w:val="20"/>
                <w:szCs w:val="20"/>
              </w:rPr>
              <w:t xml:space="preserve">NETHERLANDS </w:t>
            </w:r>
          </w:p>
        </w:tc>
        <w:tc>
          <w:tcPr>
            <w:tcW w:w="4253" w:type="dxa"/>
            <w:shd w:val="clear" w:color="auto" w:fill="FFFFFF" w:themeFill="background1"/>
          </w:tcPr>
          <w:p w14:paraId="393DAF96" w14:textId="77777777" w:rsidR="004C75BB" w:rsidRPr="00881BC8" w:rsidRDefault="004C75BB" w:rsidP="00355AEB">
            <w:pPr>
              <w:spacing w:after="0"/>
              <w:jc w:val="center"/>
              <w:rPr>
                <w:noProof/>
                <w:sz w:val="20"/>
                <w:szCs w:val="20"/>
              </w:rPr>
            </w:pPr>
            <w:r w:rsidRPr="00881BC8">
              <w:rPr>
                <w:rFonts w:eastAsia="@Yu Mincho Light"/>
                <w:noProof/>
                <w:sz w:val="20"/>
                <w:szCs w:val="20"/>
              </w:rPr>
              <w:t xml:space="preserve">12.00% </w:t>
            </w:r>
          </w:p>
        </w:tc>
      </w:tr>
      <w:tr w:rsidR="004C75BB" w:rsidRPr="00881BC8" w14:paraId="3507FD55" w14:textId="77777777" w:rsidTr="00355AEB">
        <w:trPr>
          <w:trHeight w:val="15"/>
        </w:trPr>
        <w:tc>
          <w:tcPr>
            <w:tcW w:w="3402" w:type="dxa"/>
            <w:shd w:val="clear" w:color="auto" w:fill="FFFFFF" w:themeFill="background1"/>
          </w:tcPr>
          <w:p w14:paraId="42505651" w14:textId="77777777" w:rsidR="004C75BB" w:rsidRPr="00881BC8" w:rsidRDefault="004C75BB" w:rsidP="00355AEB">
            <w:pPr>
              <w:spacing w:after="0"/>
              <w:rPr>
                <w:noProof/>
                <w:sz w:val="20"/>
                <w:szCs w:val="20"/>
              </w:rPr>
            </w:pPr>
            <w:r w:rsidRPr="00881BC8">
              <w:rPr>
                <w:rFonts w:eastAsia="@Yu Mincho Light"/>
                <w:noProof/>
                <w:sz w:val="20"/>
                <w:szCs w:val="20"/>
              </w:rPr>
              <w:t xml:space="preserve">POLAND (health sector) </w:t>
            </w:r>
          </w:p>
        </w:tc>
        <w:tc>
          <w:tcPr>
            <w:tcW w:w="4253" w:type="dxa"/>
            <w:shd w:val="clear" w:color="auto" w:fill="FFFFFF" w:themeFill="background1"/>
          </w:tcPr>
          <w:p w14:paraId="1F0C46E2" w14:textId="77777777" w:rsidR="004C75BB" w:rsidRPr="00881BC8" w:rsidRDefault="004C75BB" w:rsidP="00355AEB">
            <w:pPr>
              <w:spacing w:after="0"/>
              <w:jc w:val="center"/>
              <w:rPr>
                <w:noProof/>
                <w:sz w:val="20"/>
                <w:szCs w:val="20"/>
              </w:rPr>
            </w:pPr>
            <w:r w:rsidRPr="00881BC8">
              <w:rPr>
                <w:rFonts w:eastAsia="@Yu Mincho Light"/>
                <w:noProof/>
                <w:sz w:val="20"/>
                <w:szCs w:val="20"/>
              </w:rPr>
              <w:t xml:space="preserve">14.75% </w:t>
            </w:r>
          </w:p>
        </w:tc>
      </w:tr>
      <w:tr w:rsidR="004C75BB" w:rsidRPr="00881BC8" w14:paraId="530B7368" w14:textId="77777777" w:rsidTr="00355AEB">
        <w:trPr>
          <w:trHeight w:val="15"/>
        </w:trPr>
        <w:tc>
          <w:tcPr>
            <w:tcW w:w="3402" w:type="dxa"/>
            <w:shd w:val="clear" w:color="auto" w:fill="FFFFFF" w:themeFill="background1"/>
          </w:tcPr>
          <w:p w14:paraId="0E8E6652" w14:textId="07FC44AE" w:rsidR="004C75BB" w:rsidRPr="00881BC8" w:rsidRDefault="004C75BB" w:rsidP="00355AEB">
            <w:pPr>
              <w:spacing w:after="0"/>
              <w:rPr>
                <w:noProof/>
                <w:sz w:val="20"/>
                <w:szCs w:val="20"/>
              </w:rPr>
            </w:pPr>
            <w:r w:rsidRPr="00881BC8">
              <w:rPr>
                <w:rFonts w:eastAsia="@Yu Mincho Light"/>
                <w:noProof/>
                <w:sz w:val="20"/>
                <w:szCs w:val="20"/>
              </w:rPr>
              <w:t xml:space="preserve">POLAND (other sectors) </w:t>
            </w:r>
          </w:p>
        </w:tc>
        <w:tc>
          <w:tcPr>
            <w:tcW w:w="4253" w:type="dxa"/>
            <w:shd w:val="clear" w:color="auto" w:fill="FFFFFF" w:themeFill="background1"/>
          </w:tcPr>
          <w:p w14:paraId="07F8135C" w14:textId="77777777" w:rsidR="004C75BB" w:rsidRPr="00881BC8" w:rsidRDefault="004C75BB" w:rsidP="00355AEB">
            <w:pPr>
              <w:spacing w:after="0"/>
              <w:jc w:val="center"/>
              <w:rPr>
                <w:noProof/>
                <w:sz w:val="20"/>
                <w:szCs w:val="20"/>
              </w:rPr>
            </w:pPr>
            <w:r w:rsidRPr="00881BC8">
              <w:rPr>
                <w:rFonts w:eastAsia="@Yu Mincho Light"/>
                <w:noProof/>
                <w:sz w:val="20"/>
                <w:szCs w:val="20"/>
              </w:rPr>
              <w:t xml:space="preserve">16.75% </w:t>
            </w:r>
          </w:p>
        </w:tc>
      </w:tr>
      <w:tr w:rsidR="004C75BB" w:rsidRPr="00881BC8" w14:paraId="24B8B911" w14:textId="77777777" w:rsidTr="00355AEB">
        <w:trPr>
          <w:trHeight w:val="15"/>
        </w:trPr>
        <w:tc>
          <w:tcPr>
            <w:tcW w:w="3402" w:type="dxa"/>
            <w:shd w:val="clear" w:color="auto" w:fill="FFFFFF" w:themeFill="background1"/>
          </w:tcPr>
          <w:p w14:paraId="79574574" w14:textId="77777777" w:rsidR="004C75BB" w:rsidRPr="00881BC8" w:rsidRDefault="004C75BB" w:rsidP="00355AEB">
            <w:pPr>
              <w:spacing w:after="0"/>
              <w:rPr>
                <w:noProof/>
                <w:sz w:val="20"/>
                <w:szCs w:val="20"/>
              </w:rPr>
            </w:pPr>
            <w:r w:rsidRPr="00881BC8">
              <w:rPr>
                <w:rFonts w:eastAsia="@Yu Mincho Light"/>
                <w:noProof/>
                <w:sz w:val="20"/>
                <w:szCs w:val="20"/>
              </w:rPr>
              <w:t xml:space="preserve">PORTUGAL </w:t>
            </w:r>
          </w:p>
        </w:tc>
        <w:tc>
          <w:tcPr>
            <w:tcW w:w="4253" w:type="dxa"/>
            <w:shd w:val="clear" w:color="auto" w:fill="FFFFFF" w:themeFill="background1"/>
          </w:tcPr>
          <w:p w14:paraId="241069D4" w14:textId="77777777" w:rsidR="004C75BB" w:rsidRPr="00881BC8" w:rsidRDefault="004C75BB" w:rsidP="00355AEB">
            <w:pPr>
              <w:spacing w:after="0"/>
              <w:jc w:val="center"/>
              <w:rPr>
                <w:noProof/>
                <w:sz w:val="20"/>
                <w:szCs w:val="20"/>
              </w:rPr>
            </w:pPr>
            <w:r w:rsidRPr="00881BC8">
              <w:rPr>
                <w:rFonts w:eastAsia="@Yu Mincho Light"/>
                <w:noProof/>
                <w:sz w:val="20"/>
                <w:szCs w:val="20"/>
              </w:rPr>
              <w:t xml:space="preserve">10.50% </w:t>
            </w:r>
          </w:p>
        </w:tc>
      </w:tr>
      <w:tr w:rsidR="004C75BB" w:rsidRPr="00881BC8" w14:paraId="3D6009AE" w14:textId="77777777" w:rsidTr="00355AEB">
        <w:trPr>
          <w:trHeight w:val="15"/>
        </w:trPr>
        <w:tc>
          <w:tcPr>
            <w:tcW w:w="3402" w:type="dxa"/>
            <w:shd w:val="clear" w:color="auto" w:fill="FFFFFF" w:themeFill="background1"/>
          </w:tcPr>
          <w:p w14:paraId="5DA08CDA" w14:textId="77777777" w:rsidR="004C75BB" w:rsidRPr="00881BC8" w:rsidRDefault="004C75BB" w:rsidP="00355AEB">
            <w:pPr>
              <w:spacing w:after="0"/>
              <w:rPr>
                <w:noProof/>
                <w:sz w:val="20"/>
                <w:szCs w:val="20"/>
              </w:rPr>
            </w:pPr>
            <w:r w:rsidRPr="00881BC8">
              <w:rPr>
                <w:rFonts w:eastAsia="@Yu Mincho Light"/>
                <w:noProof/>
                <w:sz w:val="20"/>
                <w:szCs w:val="20"/>
              </w:rPr>
              <w:t xml:space="preserve">ROMANIA </w:t>
            </w:r>
          </w:p>
        </w:tc>
        <w:tc>
          <w:tcPr>
            <w:tcW w:w="4253" w:type="dxa"/>
            <w:shd w:val="clear" w:color="auto" w:fill="FFFFFF" w:themeFill="background1"/>
          </w:tcPr>
          <w:p w14:paraId="73487291" w14:textId="77777777" w:rsidR="004C75BB" w:rsidRPr="00881BC8" w:rsidRDefault="004C75BB" w:rsidP="00355AEB">
            <w:pPr>
              <w:spacing w:after="0"/>
              <w:jc w:val="center"/>
              <w:rPr>
                <w:noProof/>
                <w:sz w:val="20"/>
                <w:szCs w:val="20"/>
              </w:rPr>
            </w:pPr>
            <w:r w:rsidRPr="00881BC8">
              <w:rPr>
                <w:rFonts w:eastAsia="@Yu Mincho Light"/>
                <w:noProof/>
                <w:sz w:val="20"/>
                <w:szCs w:val="20"/>
              </w:rPr>
              <w:t xml:space="preserve">15.00% </w:t>
            </w:r>
          </w:p>
        </w:tc>
      </w:tr>
      <w:tr w:rsidR="004C75BB" w:rsidRPr="00881BC8" w14:paraId="6A1B0263" w14:textId="77777777" w:rsidTr="00355AEB">
        <w:trPr>
          <w:trHeight w:val="15"/>
        </w:trPr>
        <w:tc>
          <w:tcPr>
            <w:tcW w:w="3402" w:type="dxa"/>
            <w:shd w:val="clear" w:color="auto" w:fill="FFFFFF" w:themeFill="background1"/>
          </w:tcPr>
          <w:p w14:paraId="28602C5B" w14:textId="77777777" w:rsidR="004C75BB" w:rsidRPr="00881BC8" w:rsidRDefault="004C75BB" w:rsidP="00355AEB">
            <w:pPr>
              <w:spacing w:after="0"/>
              <w:rPr>
                <w:noProof/>
                <w:sz w:val="20"/>
                <w:szCs w:val="20"/>
              </w:rPr>
            </w:pPr>
            <w:r w:rsidRPr="00881BC8">
              <w:rPr>
                <w:rFonts w:eastAsia="@Yu Mincho Light"/>
                <w:noProof/>
                <w:sz w:val="20"/>
                <w:szCs w:val="20"/>
              </w:rPr>
              <w:t xml:space="preserve">SLOVAKIA </w:t>
            </w:r>
          </w:p>
        </w:tc>
        <w:tc>
          <w:tcPr>
            <w:tcW w:w="4253" w:type="dxa"/>
            <w:shd w:val="clear" w:color="auto" w:fill="FFFFFF" w:themeFill="background1"/>
          </w:tcPr>
          <w:p w14:paraId="0C92783A" w14:textId="77777777" w:rsidR="004C75BB" w:rsidRPr="00881BC8" w:rsidRDefault="004C75BB" w:rsidP="00355AEB">
            <w:pPr>
              <w:spacing w:after="0"/>
              <w:jc w:val="center"/>
              <w:rPr>
                <w:noProof/>
                <w:sz w:val="20"/>
                <w:szCs w:val="20"/>
              </w:rPr>
            </w:pPr>
            <w:r w:rsidRPr="00881BC8">
              <w:rPr>
                <w:rFonts w:eastAsia="@Yu Mincho Light"/>
                <w:noProof/>
                <w:sz w:val="20"/>
                <w:szCs w:val="20"/>
              </w:rPr>
              <w:t xml:space="preserve">10.50% </w:t>
            </w:r>
          </w:p>
        </w:tc>
      </w:tr>
      <w:tr w:rsidR="004C75BB" w:rsidRPr="00881BC8" w14:paraId="36A5FA27" w14:textId="77777777" w:rsidTr="00355AEB">
        <w:trPr>
          <w:trHeight w:val="15"/>
        </w:trPr>
        <w:tc>
          <w:tcPr>
            <w:tcW w:w="3402" w:type="dxa"/>
            <w:shd w:val="clear" w:color="auto" w:fill="FFFFFF" w:themeFill="background1"/>
          </w:tcPr>
          <w:p w14:paraId="29378E72" w14:textId="77777777" w:rsidR="004C75BB" w:rsidRPr="00881BC8" w:rsidRDefault="004C75BB" w:rsidP="00355AEB">
            <w:pPr>
              <w:spacing w:after="0"/>
              <w:rPr>
                <w:noProof/>
                <w:sz w:val="20"/>
                <w:szCs w:val="20"/>
              </w:rPr>
            </w:pPr>
            <w:r w:rsidRPr="00881BC8">
              <w:rPr>
                <w:rFonts w:eastAsia="@Yu Mincho Light"/>
                <w:noProof/>
                <w:sz w:val="20"/>
                <w:szCs w:val="20"/>
              </w:rPr>
              <w:t xml:space="preserve">SLOVENIA </w:t>
            </w:r>
          </w:p>
        </w:tc>
        <w:tc>
          <w:tcPr>
            <w:tcW w:w="4253" w:type="dxa"/>
            <w:shd w:val="clear" w:color="auto" w:fill="FFFFFF" w:themeFill="background1"/>
          </w:tcPr>
          <w:p w14:paraId="53607644" w14:textId="77777777" w:rsidR="004C75BB" w:rsidRPr="00881BC8" w:rsidRDefault="004C75BB" w:rsidP="00355AEB">
            <w:pPr>
              <w:spacing w:after="0"/>
              <w:jc w:val="center"/>
              <w:rPr>
                <w:noProof/>
                <w:sz w:val="20"/>
                <w:szCs w:val="20"/>
              </w:rPr>
            </w:pPr>
            <w:r w:rsidRPr="00881BC8">
              <w:rPr>
                <w:rFonts w:eastAsia="@Yu Mincho Light"/>
                <w:noProof/>
                <w:sz w:val="20"/>
                <w:szCs w:val="20"/>
              </w:rPr>
              <w:t xml:space="preserve">10.50% </w:t>
            </w:r>
          </w:p>
        </w:tc>
      </w:tr>
      <w:tr w:rsidR="004C75BB" w:rsidRPr="00881BC8" w14:paraId="3AB5FDF7" w14:textId="77777777" w:rsidTr="00355AEB">
        <w:trPr>
          <w:trHeight w:val="15"/>
        </w:trPr>
        <w:tc>
          <w:tcPr>
            <w:tcW w:w="3402" w:type="dxa"/>
            <w:shd w:val="clear" w:color="auto" w:fill="FFFFFF" w:themeFill="background1"/>
          </w:tcPr>
          <w:p w14:paraId="187A6FC7" w14:textId="77777777" w:rsidR="004C75BB" w:rsidRPr="00881BC8" w:rsidRDefault="004C75BB" w:rsidP="00355AEB">
            <w:pPr>
              <w:spacing w:after="0"/>
              <w:rPr>
                <w:noProof/>
                <w:sz w:val="20"/>
                <w:szCs w:val="20"/>
              </w:rPr>
            </w:pPr>
            <w:r w:rsidRPr="00881BC8">
              <w:rPr>
                <w:rFonts w:eastAsia="@Yu Mincho Light"/>
                <w:noProof/>
                <w:sz w:val="20"/>
                <w:szCs w:val="20"/>
              </w:rPr>
              <w:t xml:space="preserve">SPAIN </w:t>
            </w:r>
          </w:p>
        </w:tc>
        <w:tc>
          <w:tcPr>
            <w:tcW w:w="4253" w:type="dxa"/>
            <w:shd w:val="clear" w:color="auto" w:fill="FFFFFF" w:themeFill="background1"/>
          </w:tcPr>
          <w:p w14:paraId="2C1EF551" w14:textId="77777777" w:rsidR="004C75BB" w:rsidRPr="00881BC8" w:rsidRDefault="004C75BB" w:rsidP="00355AEB">
            <w:pPr>
              <w:spacing w:after="0"/>
              <w:jc w:val="center"/>
              <w:rPr>
                <w:noProof/>
                <w:sz w:val="20"/>
                <w:szCs w:val="20"/>
              </w:rPr>
            </w:pPr>
            <w:r w:rsidRPr="00881BC8">
              <w:rPr>
                <w:rFonts w:eastAsia="@Yu Mincho Light"/>
                <w:noProof/>
                <w:sz w:val="20"/>
                <w:szCs w:val="20"/>
              </w:rPr>
              <w:t xml:space="preserve">10.50% </w:t>
            </w:r>
          </w:p>
        </w:tc>
      </w:tr>
      <w:tr w:rsidR="004C75BB" w:rsidRPr="00881BC8" w14:paraId="5F3B1231" w14:textId="77777777" w:rsidTr="00355AEB">
        <w:trPr>
          <w:trHeight w:val="15"/>
        </w:trPr>
        <w:tc>
          <w:tcPr>
            <w:tcW w:w="3402" w:type="dxa"/>
            <w:shd w:val="clear" w:color="auto" w:fill="FFFFFF" w:themeFill="background1"/>
          </w:tcPr>
          <w:p w14:paraId="72DCC8E4" w14:textId="77777777" w:rsidR="004C75BB" w:rsidRPr="00881BC8" w:rsidRDefault="004C75BB" w:rsidP="00355AEB">
            <w:pPr>
              <w:spacing w:after="0"/>
              <w:rPr>
                <w:noProof/>
                <w:sz w:val="20"/>
                <w:szCs w:val="20"/>
              </w:rPr>
            </w:pPr>
            <w:r w:rsidRPr="00881BC8">
              <w:rPr>
                <w:rFonts w:eastAsia="@Yu Mincho Light"/>
                <w:noProof/>
                <w:sz w:val="20"/>
                <w:szCs w:val="20"/>
              </w:rPr>
              <w:t xml:space="preserve">SWEDEN </w:t>
            </w:r>
          </w:p>
        </w:tc>
        <w:tc>
          <w:tcPr>
            <w:tcW w:w="4253" w:type="dxa"/>
            <w:shd w:val="clear" w:color="auto" w:fill="FFFFFF" w:themeFill="background1"/>
          </w:tcPr>
          <w:p w14:paraId="1B13BCB4" w14:textId="77777777" w:rsidR="004C75BB" w:rsidRPr="00881BC8" w:rsidRDefault="004C75BB" w:rsidP="00355AEB">
            <w:pPr>
              <w:spacing w:after="0"/>
              <w:jc w:val="center"/>
              <w:rPr>
                <w:rFonts w:eastAsia="@Yu Mincho Light"/>
                <w:noProof/>
                <w:sz w:val="20"/>
                <w:szCs w:val="20"/>
              </w:rPr>
            </w:pPr>
            <w:r w:rsidRPr="00881BC8">
              <w:rPr>
                <w:rFonts w:eastAsia="@Yu Mincho Light"/>
                <w:noProof/>
                <w:sz w:val="20"/>
                <w:szCs w:val="20"/>
              </w:rPr>
              <w:t>11.00%</w:t>
            </w:r>
          </w:p>
        </w:tc>
      </w:tr>
    </w:tbl>
    <w:p w14:paraId="25C87F0E" w14:textId="61A7D077" w:rsidR="004C75BB" w:rsidRPr="00881BC8" w:rsidRDefault="004C75BB" w:rsidP="004C75BB">
      <w:pPr>
        <w:rPr>
          <w:noProof/>
        </w:rPr>
      </w:pPr>
    </w:p>
    <w:p w14:paraId="559050F8" w14:textId="066938C2" w:rsidR="004C75BB" w:rsidRPr="00881BC8" w:rsidRDefault="004C75BB">
      <w:pPr>
        <w:spacing w:after="200" w:line="276" w:lineRule="auto"/>
        <w:jc w:val="left"/>
        <w:rPr>
          <w:noProof/>
        </w:rPr>
      </w:pPr>
      <w:r w:rsidRPr="00881BC8">
        <w:rPr>
          <w:noProof/>
        </w:rPr>
        <w:br w:type="page"/>
      </w:r>
    </w:p>
    <w:p w14:paraId="0DB30DEC" w14:textId="1F1DD76F" w:rsidR="00F36071" w:rsidRPr="00881BC8" w:rsidRDefault="00F36071" w:rsidP="00CF2B67">
      <w:pPr>
        <w:pStyle w:val="AnnexTitle"/>
        <w:rPr>
          <w:noProof/>
        </w:rPr>
      </w:pPr>
      <w:bookmarkStart w:id="1072" w:name="Annex14"/>
      <w:bookmarkStart w:id="1073" w:name="_Toc129899936"/>
      <w:bookmarkStart w:id="1074" w:name="_Toc135237463"/>
      <w:r w:rsidRPr="00881BC8">
        <w:rPr>
          <w:noProof/>
        </w:rPr>
        <w:t xml:space="preserve">Annex </w:t>
      </w:r>
      <w:r w:rsidR="5EFF0F3C" w:rsidRPr="00881BC8">
        <w:rPr>
          <w:noProof/>
        </w:rPr>
        <w:t>1</w:t>
      </w:r>
      <w:r w:rsidR="004C75BB" w:rsidRPr="00881BC8">
        <w:rPr>
          <w:noProof/>
        </w:rPr>
        <w:t>4</w:t>
      </w:r>
      <w:bookmarkEnd w:id="1072"/>
      <w:r w:rsidRPr="00881BC8">
        <w:rPr>
          <w:noProof/>
        </w:rPr>
        <w:t>:</w:t>
      </w:r>
      <w:r w:rsidRPr="00881BC8">
        <w:rPr>
          <w:noProof/>
        </w:rPr>
        <w:tab/>
        <w:t>Options</w:t>
      </w:r>
      <w:r w:rsidR="0091653A" w:rsidRPr="00881BC8">
        <w:rPr>
          <w:noProof/>
        </w:rPr>
        <w:t xml:space="preserve"> </w:t>
      </w:r>
      <w:r w:rsidRPr="00881BC8">
        <w:rPr>
          <w:noProof/>
        </w:rPr>
        <w:t>discarded at an earlier stage (in depth description)</w:t>
      </w:r>
      <w:bookmarkEnd w:id="1073"/>
      <w:bookmarkEnd w:id="1074"/>
    </w:p>
    <w:p w14:paraId="5B103008" w14:textId="0144272C" w:rsidR="00675856" w:rsidRPr="00881BC8" w:rsidRDefault="00675856" w:rsidP="004835F8">
      <w:pPr>
        <w:pStyle w:val="AnnexLevel1"/>
        <w:rPr>
          <w:noProof/>
          <w:lang w:val="en-GB"/>
        </w:rPr>
      </w:pPr>
      <w:r w:rsidRPr="00881BC8">
        <w:rPr>
          <w:noProof/>
          <w:lang w:val="en-GB"/>
        </w:rPr>
        <w:t>Mandatory use of e-invoicing in payments</w:t>
      </w:r>
    </w:p>
    <w:p w14:paraId="170F8A03" w14:textId="77777777" w:rsidR="00675856" w:rsidRPr="00881BC8" w:rsidRDefault="00675856" w:rsidP="00675856">
      <w:pPr>
        <w:ind w:left="720"/>
        <w:contextualSpacing/>
        <w:rPr>
          <w:b/>
          <w:noProof/>
        </w:rPr>
      </w:pPr>
    </w:p>
    <w:p w14:paraId="1938547E" w14:textId="240C8DD8" w:rsidR="00D63C81" w:rsidRPr="00881BC8" w:rsidRDefault="00675856" w:rsidP="004835F8">
      <w:pPr>
        <w:pStyle w:val="NormalPara"/>
        <w:rPr>
          <w:noProof/>
          <w:lang w:val="en-GB"/>
        </w:rPr>
      </w:pPr>
      <w:r w:rsidRPr="00881BC8">
        <w:rPr>
          <w:noProof/>
          <w:lang w:val="en-GB"/>
        </w:rPr>
        <w:t>With the adoption of proposal COM(2022) 701</w:t>
      </w:r>
      <w:r w:rsidRPr="00881BC8">
        <w:rPr>
          <w:rStyle w:val="FootnoteReference"/>
          <w:noProof/>
          <w:lang w:val="en-GB"/>
        </w:rPr>
        <w:footnoteReference w:id="237"/>
      </w:r>
      <w:r w:rsidRPr="00881BC8">
        <w:rPr>
          <w:noProof/>
          <w:lang w:val="en-GB"/>
        </w:rPr>
        <w:t xml:space="preserve"> amending the VAT Directive and introducing a more widespread use of e-invoicing, this point is now to be considered</w:t>
      </w:r>
      <w:r w:rsidR="0091653A" w:rsidRPr="00881BC8">
        <w:rPr>
          <w:noProof/>
          <w:lang w:val="en-GB"/>
        </w:rPr>
        <w:t xml:space="preserve"> </w:t>
      </w:r>
      <w:r w:rsidRPr="00881BC8">
        <w:rPr>
          <w:noProof/>
          <w:lang w:val="en-GB"/>
        </w:rPr>
        <w:t xml:space="preserve">as part of the (dynamic) baseline scenario. </w:t>
      </w:r>
      <w:r w:rsidR="00D63C81" w:rsidRPr="00881BC8">
        <w:rPr>
          <w:noProof/>
          <w:lang w:val="en-GB"/>
        </w:rPr>
        <w:t>In addition the legal base for</w:t>
      </w:r>
      <w:r w:rsidR="002E552C" w:rsidRPr="00881BC8">
        <w:rPr>
          <w:noProof/>
          <w:lang w:val="en-GB"/>
        </w:rPr>
        <w:t xml:space="preserve"> </w:t>
      </w:r>
      <w:r w:rsidR="00D63C81" w:rsidRPr="00881BC8">
        <w:rPr>
          <w:noProof/>
          <w:lang w:val="en-GB"/>
        </w:rPr>
        <w:t xml:space="preserve">COM (2022) 701 is Article 113 TFEU, whereas the legal base for this initiative is Article 114 TFEU, therefore there is also an issue of legal feasibility. </w:t>
      </w:r>
    </w:p>
    <w:p w14:paraId="211D46B7" w14:textId="72C47828" w:rsidR="002342BA" w:rsidRPr="00881BC8" w:rsidRDefault="002342BA" w:rsidP="004835F8">
      <w:pPr>
        <w:pStyle w:val="NormalPara"/>
        <w:rPr>
          <w:b/>
          <w:noProof/>
          <w:lang w:val="en-GB"/>
        </w:rPr>
      </w:pPr>
      <w:r w:rsidRPr="00881BC8">
        <w:rPr>
          <w:noProof/>
          <w:lang w:val="en-GB"/>
        </w:rPr>
        <w:t>It should be emphasised that the proposal will use e-invoicing in commercial transactions as the basis for the introduction of a real-time and transaction-based reporting system to improve tax collection and fight tax fraud and tax avoidance. Further, the introduction of a reporting system based on e-invoicing aims</w:t>
      </w:r>
      <w:r w:rsidR="002E552C" w:rsidRPr="00881BC8">
        <w:rPr>
          <w:noProof/>
          <w:lang w:val="en-GB"/>
        </w:rPr>
        <w:t xml:space="preserve"> </w:t>
      </w:r>
      <w:r w:rsidRPr="00881BC8">
        <w:rPr>
          <w:noProof/>
          <w:lang w:val="en-GB"/>
        </w:rPr>
        <w:t>to reduce businesses’ administrative costs</w:t>
      </w:r>
      <w:r w:rsidRPr="00881BC8">
        <w:rPr>
          <w:rStyle w:val="FootnoteReference"/>
          <w:noProof/>
          <w:lang w:val="en-GB"/>
        </w:rPr>
        <w:footnoteReference w:id="238"/>
      </w:r>
      <w:r w:rsidRPr="00881BC8">
        <w:rPr>
          <w:noProof/>
          <w:lang w:val="en-GB"/>
        </w:rPr>
        <w:t>. Its impact on payment behaviour must be regarded only as a possible, ancillary effect</w:t>
      </w:r>
      <w:r w:rsidRPr="00881BC8">
        <w:rPr>
          <w:rStyle w:val="FootnoteReference"/>
          <w:noProof/>
          <w:lang w:val="en-GB"/>
        </w:rPr>
        <w:footnoteReference w:id="239"/>
      </w:r>
      <w:r w:rsidRPr="00881BC8">
        <w:rPr>
          <w:noProof/>
          <w:lang w:val="en-GB"/>
        </w:rPr>
        <w:t xml:space="preserve">. </w:t>
      </w:r>
    </w:p>
    <w:p w14:paraId="70205738" w14:textId="1E150BB5" w:rsidR="00675856" w:rsidRPr="00881BC8" w:rsidRDefault="00675856" w:rsidP="004835F8">
      <w:pPr>
        <w:pStyle w:val="NormalPara"/>
        <w:rPr>
          <w:noProof/>
          <w:lang w:val="en-GB"/>
        </w:rPr>
      </w:pPr>
      <w:r w:rsidRPr="00881BC8">
        <w:rPr>
          <w:noProof/>
          <w:lang w:val="en-GB"/>
        </w:rPr>
        <w:t>Some studies appear to suggest that e-invoicing has even had the effect of extending payment periods</w:t>
      </w:r>
      <w:r w:rsidRPr="00881BC8">
        <w:rPr>
          <w:rStyle w:val="FootnoteReference"/>
          <w:noProof/>
          <w:lang w:val="en-GB"/>
        </w:rPr>
        <w:footnoteReference w:id="240"/>
      </w:r>
      <w:r w:rsidRPr="00881BC8">
        <w:rPr>
          <w:noProof/>
          <w:lang w:val="en-GB"/>
        </w:rPr>
        <w:t>. The Economisti Study 2022 concluded that in B2B transactions e-invoicing is potentially a facilitator of better payment behaviour but in itself it is unlikely to have a significant impact in changing or improving that behaviour in absence of other factors, namely better enforcement</w:t>
      </w:r>
      <w:r w:rsidRPr="00881BC8">
        <w:rPr>
          <w:rStyle w:val="FootnoteReference"/>
          <w:noProof/>
          <w:lang w:val="en-GB"/>
        </w:rPr>
        <w:footnoteReference w:id="241"/>
      </w:r>
      <w:r w:rsidRPr="00881BC8">
        <w:rPr>
          <w:noProof/>
          <w:lang w:val="en-GB"/>
        </w:rPr>
        <w:t xml:space="preserve">. As noted by Spanish stakeholders at the time of the passing of the national law introducing e-invoicing in commercial transactions </w:t>
      </w:r>
      <w:r w:rsidR="00303DFA" w:rsidRPr="00881BC8">
        <w:rPr>
          <w:noProof/>
          <w:lang w:val="en-GB"/>
        </w:rPr>
        <w:t>‘</w:t>
      </w:r>
      <w:r w:rsidRPr="00881BC8">
        <w:rPr>
          <w:noProof/>
          <w:lang w:val="en-GB"/>
        </w:rPr>
        <w:t>La factura electrónica deja constancia del retraso, pero por sí sola no mejora los plazos</w:t>
      </w:r>
      <w:r w:rsidR="00303DFA" w:rsidRPr="00881BC8">
        <w:rPr>
          <w:noProof/>
          <w:lang w:val="en-GB"/>
        </w:rPr>
        <w:t>’</w:t>
      </w:r>
      <w:r w:rsidRPr="00881BC8">
        <w:rPr>
          <w:rStyle w:val="FootnoteReference"/>
          <w:noProof/>
          <w:lang w:val="en-GB"/>
        </w:rPr>
        <w:footnoteReference w:id="242"/>
      </w:r>
      <w:r w:rsidR="008903E4" w:rsidRPr="00881BC8">
        <w:rPr>
          <w:noProof/>
          <w:lang w:val="en-GB"/>
        </w:rPr>
        <w:t>.</w:t>
      </w:r>
    </w:p>
    <w:p w14:paraId="23BEE805" w14:textId="6548B0AF" w:rsidR="00675856" w:rsidRPr="00881BC8" w:rsidRDefault="00675856" w:rsidP="004835F8">
      <w:pPr>
        <w:pStyle w:val="NormalPara"/>
        <w:rPr>
          <w:noProof/>
          <w:lang w:val="en-GB"/>
        </w:rPr>
      </w:pPr>
      <w:r w:rsidRPr="00881BC8">
        <w:rPr>
          <w:noProof/>
          <w:lang w:val="en-GB"/>
        </w:rPr>
        <w:t xml:space="preserve">This </w:t>
      </w:r>
      <w:r w:rsidR="002342BA" w:rsidRPr="00881BC8">
        <w:rPr>
          <w:noProof/>
          <w:lang w:val="en-GB"/>
        </w:rPr>
        <w:t>conclusion</w:t>
      </w:r>
      <w:r w:rsidRPr="00881BC8">
        <w:rPr>
          <w:noProof/>
          <w:lang w:val="en-GB"/>
        </w:rPr>
        <w:t xml:space="preserve"> is also confirmed by the evidence of the impact of e-invoicing in G2B payments at least in countries traditionally characterised by poor payment behaviour of their public authorities, such as Italy and Spain. In these Member States, the introduction of e-invoicing, in contracts where the public authority is a debtor, which is an obligation under Directive 2014/55/EU and whose roll-out was accelerated by the infringement procedures launched by the Commission</w:t>
      </w:r>
      <w:r w:rsidRPr="00881BC8">
        <w:rPr>
          <w:rStyle w:val="FootnoteReference"/>
          <w:noProof/>
          <w:lang w:val="en-GB"/>
        </w:rPr>
        <w:footnoteReference w:id="243"/>
      </w:r>
      <w:r w:rsidR="00AA6C29" w:rsidRPr="00881BC8">
        <w:rPr>
          <w:noProof/>
          <w:lang w:val="en-GB"/>
        </w:rPr>
        <w:t>,</w:t>
      </w:r>
      <w:r w:rsidR="008903E4" w:rsidRPr="00881BC8">
        <w:rPr>
          <w:noProof/>
          <w:lang w:val="en-GB"/>
        </w:rPr>
        <w:t xml:space="preserve"> </w:t>
      </w:r>
      <w:r w:rsidRPr="00881BC8">
        <w:rPr>
          <w:noProof/>
          <w:lang w:val="en-GB"/>
        </w:rPr>
        <w:t>was instrumental to ascertain the magnitude of the amounts owed by public administrations, which in turn made it possible to monitor the situation and</w:t>
      </w:r>
      <w:r w:rsidR="0091653A" w:rsidRPr="00881BC8">
        <w:rPr>
          <w:noProof/>
          <w:lang w:val="en-GB"/>
        </w:rPr>
        <w:t xml:space="preserve"> </w:t>
      </w:r>
      <w:r w:rsidRPr="00881BC8">
        <w:rPr>
          <w:noProof/>
          <w:lang w:val="en-GB"/>
        </w:rPr>
        <w:t>adopt corrective actions.</w:t>
      </w:r>
    </w:p>
    <w:p w14:paraId="0C8E8C00" w14:textId="418C7020" w:rsidR="00675856" w:rsidRPr="00881BC8" w:rsidRDefault="00AA6C29" w:rsidP="004835F8">
      <w:pPr>
        <w:pStyle w:val="NormalPara"/>
        <w:rPr>
          <w:noProof/>
          <w:lang w:val="en-GB"/>
        </w:rPr>
      </w:pPr>
      <w:r w:rsidRPr="00881BC8">
        <w:rPr>
          <w:noProof/>
          <w:lang w:val="en-GB"/>
        </w:rPr>
        <w:t>T</w:t>
      </w:r>
      <w:r w:rsidR="00675856" w:rsidRPr="00881BC8">
        <w:rPr>
          <w:noProof/>
          <w:lang w:val="en-GB"/>
        </w:rPr>
        <w:t xml:space="preserve">he </w:t>
      </w:r>
      <w:r w:rsidRPr="00881BC8">
        <w:rPr>
          <w:noProof/>
          <w:lang w:val="en-GB"/>
        </w:rPr>
        <w:t xml:space="preserve">results of the </w:t>
      </w:r>
      <w:r w:rsidR="00675856" w:rsidRPr="00881BC8">
        <w:rPr>
          <w:noProof/>
          <w:lang w:val="en-GB"/>
        </w:rPr>
        <w:t xml:space="preserve">SME Panel </w:t>
      </w:r>
      <w:r w:rsidRPr="00881BC8">
        <w:rPr>
          <w:noProof/>
          <w:lang w:val="en-GB"/>
        </w:rPr>
        <w:t xml:space="preserve">consultation </w:t>
      </w:r>
      <w:r w:rsidR="00675856" w:rsidRPr="00881BC8">
        <w:rPr>
          <w:noProof/>
          <w:lang w:val="en-GB"/>
        </w:rPr>
        <w:t xml:space="preserve">on the use of e-invoicing are as follows: </w:t>
      </w:r>
    </w:p>
    <w:p w14:paraId="1862FC23" w14:textId="7E6178D2" w:rsidR="00AA6C29" w:rsidRPr="00881BC8" w:rsidRDefault="00AA6C29" w:rsidP="00AA6C29">
      <w:pPr>
        <w:pStyle w:val="Caption"/>
        <w:rPr>
          <w:noProof/>
          <w:lang w:val="en-GB"/>
        </w:rPr>
      </w:pPr>
      <w:r w:rsidRPr="00881BC8">
        <w:rPr>
          <w:noProof/>
          <w:lang w:val="en-GB"/>
        </w:rPr>
        <w:t xml:space="preserve">Table </w:t>
      </w:r>
      <w:r w:rsidR="005851F4">
        <w:rPr>
          <w:noProof/>
          <w:lang w:val="en-GB"/>
        </w:rPr>
        <w:t>13</w:t>
      </w:r>
      <w:r w:rsidRPr="00881BC8">
        <w:rPr>
          <w:noProof/>
          <w:lang w:val="en-GB"/>
        </w:rPr>
        <w:t>: Results of SME panel consultation on e-invoicing</w:t>
      </w:r>
    </w:p>
    <w:tbl>
      <w:tblPr>
        <w:tblW w:w="8505" w:type="dxa"/>
        <w:tblInd w:w="-10" w:type="dxa"/>
        <w:tblLayout w:type="fixed"/>
        <w:tblLook w:val="04A0" w:firstRow="1" w:lastRow="0" w:firstColumn="1" w:lastColumn="0" w:noHBand="0" w:noVBand="1"/>
      </w:tblPr>
      <w:tblGrid>
        <w:gridCol w:w="3221"/>
        <w:gridCol w:w="2642"/>
        <w:gridCol w:w="2642"/>
      </w:tblGrid>
      <w:tr w:rsidR="00675856" w:rsidRPr="00881BC8" w14:paraId="1ED309B3" w14:textId="77777777" w:rsidTr="003F6CE3">
        <w:trPr>
          <w:trHeight w:val="420"/>
        </w:trPr>
        <w:tc>
          <w:tcPr>
            <w:tcW w:w="322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551FE30" w14:textId="77777777" w:rsidR="00675856" w:rsidRPr="00881BC8" w:rsidRDefault="00675856" w:rsidP="00040B36">
            <w:pPr>
              <w:spacing w:after="0"/>
              <w:jc w:val="left"/>
              <w:rPr>
                <w:rFonts w:ascii="Arial" w:eastAsia="Times New Roman" w:hAnsi="Arial" w:cs="Arial"/>
                <w:b/>
                <w:bCs/>
                <w:noProof/>
                <w:sz w:val="20"/>
                <w:szCs w:val="20"/>
                <w:lang w:eastAsia="en-GB"/>
              </w:rPr>
            </w:pPr>
            <w:r w:rsidRPr="00881BC8">
              <w:rPr>
                <w:rFonts w:ascii="Arial" w:eastAsia="Times New Roman" w:hAnsi="Arial" w:cs="Arial"/>
                <w:b/>
                <w:bCs/>
                <w:noProof/>
                <w:sz w:val="20"/>
                <w:szCs w:val="20"/>
                <w:lang w:eastAsia="en-GB"/>
              </w:rPr>
              <w:t>7. Which of the following options best describes your experience with e-invoicing?</w:t>
            </w:r>
          </w:p>
        </w:tc>
        <w:tc>
          <w:tcPr>
            <w:tcW w:w="2642" w:type="dxa"/>
            <w:tcBorders>
              <w:top w:val="single" w:sz="8" w:space="0" w:color="auto"/>
              <w:left w:val="nil"/>
              <w:bottom w:val="single" w:sz="8" w:space="0" w:color="auto"/>
              <w:right w:val="single" w:sz="4" w:space="0" w:color="auto"/>
            </w:tcBorders>
            <w:shd w:val="clear" w:color="auto" w:fill="auto"/>
            <w:noWrap/>
            <w:vAlign w:val="center"/>
            <w:hideMark/>
          </w:tcPr>
          <w:p w14:paraId="45916BF3" w14:textId="77777777" w:rsidR="00675856" w:rsidRPr="00881BC8" w:rsidRDefault="00675856" w:rsidP="00040B36">
            <w:pPr>
              <w:spacing w:after="0"/>
              <w:jc w:val="center"/>
              <w:rPr>
                <w:rFonts w:ascii="Arial" w:eastAsia="Times New Roman" w:hAnsi="Arial" w:cs="Arial"/>
                <w:b/>
                <w:bCs/>
                <w:noProof/>
                <w:sz w:val="20"/>
                <w:szCs w:val="20"/>
                <w:lang w:eastAsia="en-GB"/>
              </w:rPr>
            </w:pPr>
            <w:r w:rsidRPr="00881BC8">
              <w:rPr>
                <w:rFonts w:ascii="Arial" w:eastAsia="Times New Roman" w:hAnsi="Arial" w:cs="Arial"/>
                <w:b/>
                <w:bCs/>
                <w:noProof/>
                <w:sz w:val="20"/>
                <w:szCs w:val="20"/>
                <w:lang w:eastAsia="en-GB"/>
              </w:rPr>
              <w:t>Answers</w:t>
            </w:r>
          </w:p>
        </w:tc>
        <w:tc>
          <w:tcPr>
            <w:tcW w:w="2642" w:type="dxa"/>
            <w:tcBorders>
              <w:top w:val="single" w:sz="8" w:space="0" w:color="auto"/>
              <w:left w:val="nil"/>
              <w:bottom w:val="single" w:sz="8" w:space="0" w:color="auto"/>
              <w:right w:val="single" w:sz="8" w:space="0" w:color="auto"/>
            </w:tcBorders>
            <w:shd w:val="clear" w:color="auto" w:fill="auto"/>
            <w:noWrap/>
            <w:vAlign w:val="center"/>
            <w:hideMark/>
          </w:tcPr>
          <w:p w14:paraId="76E7346C" w14:textId="77777777" w:rsidR="00675856" w:rsidRPr="00881BC8" w:rsidRDefault="00675856" w:rsidP="00040B36">
            <w:pPr>
              <w:spacing w:after="0"/>
              <w:jc w:val="center"/>
              <w:rPr>
                <w:rFonts w:ascii="Arial" w:eastAsia="Times New Roman" w:hAnsi="Arial" w:cs="Arial"/>
                <w:b/>
                <w:bCs/>
                <w:noProof/>
                <w:sz w:val="20"/>
                <w:szCs w:val="20"/>
                <w:lang w:eastAsia="en-GB"/>
              </w:rPr>
            </w:pPr>
            <w:r w:rsidRPr="00881BC8">
              <w:rPr>
                <w:rFonts w:ascii="Arial" w:eastAsia="Times New Roman" w:hAnsi="Arial" w:cs="Arial"/>
                <w:b/>
                <w:bCs/>
                <w:noProof/>
                <w:sz w:val="20"/>
                <w:szCs w:val="20"/>
                <w:lang w:eastAsia="en-GB"/>
              </w:rPr>
              <w:t>%</w:t>
            </w:r>
          </w:p>
        </w:tc>
      </w:tr>
      <w:tr w:rsidR="00675856" w:rsidRPr="00881BC8" w14:paraId="03182F5F" w14:textId="77777777" w:rsidTr="003F6CE3">
        <w:trPr>
          <w:trHeight w:val="251"/>
        </w:trPr>
        <w:tc>
          <w:tcPr>
            <w:tcW w:w="3221" w:type="dxa"/>
            <w:tcBorders>
              <w:top w:val="nil"/>
              <w:left w:val="single" w:sz="8" w:space="0" w:color="auto"/>
              <w:bottom w:val="single" w:sz="4" w:space="0" w:color="auto"/>
              <w:right w:val="single" w:sz="4" w:space="0" w:color="auto"/>
            </w:tcBorders>
            <w:shd w:val="clear" w:color="auto" w:fill="auto"/>
            <w:noWrap/>
            <w:vAlign w:val="bottom"/>
            <w:hideMark/>
          </w:tcPr>
          <w:p w14:paraId="2127D240" w14:textId="77777777" w:rsidR="00675856" w:rsidRPr="00881BC8" w:rsidRDefault="00675856" w:rsidP="00040B36">
            <w:pPr>
              <w:spacing w:after="0"/>
              <w:jc w:val="left"/>
              <w:rPr>
                <w:rFonts w:ascii="Arial" w:eastAsia="Times New Roman" w:hAnsi="Arial" w:cs="Arial"/>
                <w:noProof/>
                <w:sz w:val="20"/>
                <w:szCs w:val="20"/>
                <w:lang w:eastAsia="en-GB"/>
              </w:rPr>
            </w:pPr>
            <w:r w:rsidRPr="00881BC8">
              <w:rPr>
                <w:rFonts w:ascii="Arial" w:eastAsia="Times New Roman" w:hAnsi="Arial" w:cs="Arial"/>
                <w:noProof/>
                <w:sz w:val="20"/>
                <w:szCs w:val="20"/>
                <w:lang w:eastAsia="en-GB"/>
              </w:rPr>
              <w:t>e-invoicing helps us to receive payments on time</w:t>
            </w:r>
          </w:p>
        </w:tc>
        <w:tc>
          <w:tcPr>
            <w:tcW w:w="2642" w:type="dxa"/>
            <w:tcBorders>
              <w:top w:val="nil"/>
              <w:left w:val="nil"/>
              <w:bottom w:val="single" w:sz="4" w:space="0" w:color="auto"/>
              <w:right w:val="single" w:sz="4" w:space="0" w:color="auto"/>
            </w:tcBorders>
            <w:shd w:val="clear" w:color="auto" w:fill="auto"/>
            <w:noWrap/>
            <w:vAlign w:val="bottom"/>
            <w:hideMark/>
          </w:tcPr>
          <w:p w14:paraId="0FB999E6" w14:textId="77777777" w:rsidR="00675856" w:rsidRPr="00881BC8" w:rsidRDefault="00675856" w:rsidP="00040B36">
            <w:pPr>
              <w:spacing w:after="0"/>
              <w:jc w:val="right"/>
              <w:rPr>
                <w:rFonts w:ascii="Arial" w:eastAsia="Times New Roman" w:hAnsi="Arial" w:cs="Arial"/>
                <w:noProof/>
                <w:sz w:val="20"/>
                <w:szCs w:val="20"/>
                <w:lang w:eastAsia="en-GB"/>
              </w:rPr>
            </w:pPr>
            <w:r w:rsidRPr="00881BC8">
              <w:rPr>
                <w:rFonts w:ascii="Arial" w:eastAsia="Times New Roman" w:hAnsi="Arial" w:cs="Arial"/>
                <w:noProof/>
                <w:sz w:val="20"/>
                <w:szCs w:val="20"/>
                <w:lang w:eastAsia="en-GB"/>
              </w:rPr>
              <w:t>291</w:t>
            </w:r>
          </w:p>
        </w:tc>
        <w:tc>
          <w:tcPr>
            <w:tcW w:w="2642" w:type="dxa"/>
            <w:tcBorders>
              <w:top w:val="nil"/>
              <w:left w:val="nil"/>
              <w:bottom w:val="single" w:sz="4" w:space="0" w:color="auto"/>
              <w:right w:val="single" w:sz="8" w:space="0" w:color="auto"/>
            </w:tcBorders>
            <w:shd w:val="clear" w:color="auto" w:fill="auto"/>
            <w:noWrap/>
            <w:vAlign w:val="bottom"/>
            <w:hideMark/>
          </w:tcPr>
          <w:p w14:paraId="5E51CC51" w14:textId="77777777" w:rsidR="00675856" w:rsidRPr="00881BC8" w:rsidRDefault="00675856" w:rsidP="00040B36">
            <w:pPr>
              <w:spacing w:after="0"/>
              <w:jc w:val="right"/>
              <w:rPr>
                <w:rFonts w:ascii="Arial" w:eastAsia="Times New Roman" w:hAnsi="Arial" w:cs="Arial"/>
                <w:noProof/>
                <w:sz w:val="20"/>
                <w:szCs w:val="20"/>
                <w:lang w:eastAsia="en-GB"/>
              </w:rPr>
            </w:pPr>
            <w:r w:rsidRPr="00881BC8">
              <w:rPr>
                <w:rFonts w:ascii="Arial" w:eastAsia="Times New Roman" w:hAnsi="Arial" w:cs="Arial"/>
                <w:noProof/>
                <w:sz w:val="20"/>
                <w:szCs w:val="20"/>
                <w:lang w:eastAsia="en-GB"/>
              </w:rPr>
              <w:t>31.0%</w:t>
            </w:r>
          </w:p>
        </w:tc>
      </w:tr>
      <w:tr w:rsidR="00675856" w:rsidRPr="00881BC8" w14:paraId="2A75F15E" w14:textId="77777777" w:rsidTr="003F6CE3">
        <w:trPr>
          <w:trHeight w:val="251"/>
        </w:trPr>
        <w:tc>
          <w:tcPr>
            <w:tcW w:w="3221" w:type="dxa"/>
            <w:tcBorders>
              <w:top w:val="nil"/>
              <w:left w:val="single" w:sz="8" w:space="0" w:color="auto"/>
              <w:bottom w:val="single" w:sz="4" w:space="0" w:color="auto"/>
              <w:right w:val="single" w:sz="4" w:space="0" w:color="auto"/>
            </w:tcBorders>
            <w:shd w:val="clear" w:color="auto" w:fill="auto"/>
            <w:noWrap/>
            <w:vAlign w:val="bottom"/>
            <w:hideMark/>
          </w:tcPr>
          <w:p w14:paraId="51DE1139" w14:textId="77777777" w:rsidR="00675856" w:rsidRPr="00881BC8" w:rsidRDefault="00675856" w:rsidP="00040B36">
            <w:pPr>
              <w:spacing w:after="0"/>
              <w:jc w:val="left"/>
              <w:rPr>
                <w:rFonts w:ascii="Arial" w:eastAsia="Times New Roman" w:hAnsi="Arial" w:cs="Arial"/>
                <w:noProof/>
                <w:sz w:val="20"/>
                <w:szCs w:val="20"/>
                <w:lang w:eastAsia="en-GB"/>
              </w:rPr>
            </w:pPr>
            <w:r w:rsidRPr="00881BC8">
              <w:rPr>
                <w:rFonts w:ascii="Arial" w:eastAsia="Times New Roman" w:hAnsi="Arial" w:cs="Arial"/>
                <w:noProof/>
                <w:sz w:val="20"/>
                <w:szCs w:val="20"/>
                <w:lang w:eastAsia="en-GB"/>
              </w:rPr>
              <w:t>e-invoicing does not help us to receive payments on time</w:t>
            </w:r>
          </w:p>
        </w:tc>
        <w:tc>
          <w:tcPr>
            <w:tcW w:w="2642" w:type="dxa"/>
            <w:tcBorders>
              <w:top w:val="nil"/>
              <w:left w:val="nil"/>
              <w:bottom w:val="single" w:sz="4" w:space="0" w:color="auto"/>
              <w:right w:val="single" w:sz="4" w:space="0" w:color="auto"/>
            </w:tcBorders>
            <w:shd w:val="clear" w:color="auto" w:fill="auto"/>
            <w:noWrap/>
            <w:vAlign w:val="bottom"/>
            <w:hideMark/>
          </w:tcPr>
          <w:p w14:paraId="4F479D03" w14:textId="77777777" w:rsidR="00675856" w:rsidRPr="00881BC8" w:rsidRDefault="00675856" w:rsidP="00040B36">
            <w:pPr>
              <w:spacing w:after="0"/>
              <w:jc w:val="right"/>
              <w:rPr>
                <w:rFonts w:ascii="Arial" w:eastAsia="Times New Roman" w:hAnsi="Arial" w:cs="Arial"/>
                <w:noProof/>
                <w:sz w:val="20"/>
                <w:szCs w:val="20"/>
                <w:lang w:eastAsia="en-GB"/>
              </w:rPr>
            </w:pPr>
            <w:r w:rsidRPr="00881BC8">
              <w:rPr>
                <w:rFonts w:ascii="Arial" w:eastAsia="Times New Roman" w:hAnsi="Arial" w:cs="Arial"/>
                <w:noProof/>
                <w:sz w:val="20"/>
                <w:szCs w:val="20"/>
                <w:lang w:eastAsia="en-GB"/>
              </w:rPr>
              <w:t>415</w:t>
            </w:r>
          </w:p>
        </w:tc>
        <w:tc>
          <w:tcPr>
            <w:tcW w:w="2642" w:type="dxa"/>
            <w:tcBorders>
              <w:top w:val="nil"/>
              <w:left w:val="nil"/>
              <w:bottom w:val="single" w:sz="4" w:space="0" w:color="auto"/>
              <w:right w:val="single" w:sz="8" w:space="0" w:color="auto"/>
            </w:tcBorders>
            <w:shd w:val="clear" w:color="auto" w:fill="auto"/>
            <w:noWrap/>
            <w:vAlign w:val="bottom"/>
            <w:hideMark/>
          </w:tcPr>
          <w:p w14:paraId="095F5CC0" w14:textId="77777777" w:rsidR="00675856" w:rsidRPr="00881BC8" w:rsidRDefault="00675856" w:rsidP="00040B36">
            <w:pPr>
              <w:spacing w:after="0"/>
              <w:jc w:val="right"/>
              <w:rPr>
                <w:rFonts w:ascii="Arial" w:eastAsia="Times New Roman" w:hAnsi="Arial" w:cs="Arial"/>
                <w:noProof/>
                <w:sz w:val="20"/>
                <w:szCs w:val="20"/>
                <w:lang w:eastAsia="en-GB"/>
              </w:rPr>
            </w:pPr>
            <w:r w:rsidRPr="00881BC8">
              <w:rPr>
                <w:rFonts w:ascii="Arial" w:eastAsia="Times New Roman" w:hAnsi="Arial" w:cs="Arial"/>
                <w:noProof/>
                <w:sz w:val="20"/>
                <w:szCs w:val="20"/>
                <w:lang w:eastAsia="en-GB"/>
              </w:rPr>
              <w:t>44.2%</w:t>
            </w:r>
          </w:p>
        </w:tc>
      </w:tr>
      <w:tr w:rsidR="00675856" w:rsidRPr="00881BC8" w14:paraId="1FD712D4" w14:textId="77777777" w:rsidTr="003F6CE3">
        <w:trPr>
          <w:trHeight w:val="251"/>
        </w:trPr>
        <w:tc>
          <w:tcPr>
            <w:tcW w:w="3221" w:type="dxa"/>
            <w:tcBorders>
              <w:top w:val="nil"/>
              <w:left w:val="single" w:sz="8" w:space="0" w:color="auto"/>
              <w:bottom w:val="single" w:sz="4" w:space="0" w:color="auto"/>
              <w:right w:val="single" w:sz="4" w:space="0" w:color="auto"/>
            </w:tcBorders>
            <w:shd w:val="clear" w:color="auto" w:fill="auto"/>
            <w:noWrap/>
            <w:vAlign w:val="bottom"/>
            <w:hideMark/>
          </w:tcPr>
          <w:p w14:paraId="09B95ECC" w14:textId="77777777" w:rsidR="00675856" w:rsidRPr="00881BC8" w:rsidRDefault="00675856" w:rsidP="00040B36">
            <w:pPr>
              <w:spacing w:after="0"/>
              <w:jc w:val="left"/>
              <w:rPr>
                <w:rFonts w:ascii="Arial" w:eastAsia="Times New Roman" w:hAnsi="Arial" w:cs="Arial"/>
                <w:noProof/>
                <w:sz w:val="20"/>
                <w:szCs w:val="20"/>
                <w:lang w:eastAsia="en-GB"/>
              </w:rPr>
            </w:pPr>
            <w:r w:rsidRPr="00881BC8">
              <w:rPr>
                <w:rFonts w:ascii="Arial" w:eastAsia="Times New Roman" w:hAnsi="Arial" w:cs="Arial"/>
                <w:noProof/>
                <w:sz w:val="20"/>
                <w:szCs w:val="20"/>
                <w:lang w:eastAsia="en-GB"/>
              </w:rPr>
              <w:t>We do not use e-invoicing</w:t>
            </w:r>
          </w:p>
        </w:tc>
        <w:tc>
          <w:tcPr>
            <w:tcW w:w="2642" w:type="dxa"/>
            <w:tcBorders>
              <w:top w:val="nil"/>
              <w:left w:val="nil"/>
              <w:bottom w:val="single" w:sz="4" w:space="0" w:color="auto"/>
              <w:right w:val="single" w:sz="4" w:space="0" w:color="auto"/>
            </w:tcBorders>
            <w:shd w:val="clear" w:color="auto" w:fill="auto"/>
            <w:noWrap/>
            <w:vAlign w:val="bottom"/>
            <w:hideMark/>
          </w:tcPr>
          <w:p w14:paraId="27765BB4" w14:textId="77777777" w:rsidR="00675856" w:rsidRPr="00881BC8" w:rsidRDefault="00675856" w:rsidP="00040B36">
            <w:pPr>
              <w:spacing w:after="0"/>
              <w:jc w:val="right"/>
              <w:rPr>
                <w:rFonts w:ascii="Arial" w:eastAsia="Times New Roman" w:hAnsi="Arial" w:cs="Arial"/>
                <w:noProof/>
                <w:sz w:val="20"/>
                <w:szCs w:val="20"/>
                <w:lang w:eastAsia="en-GB"/>
              </w:rPr>
            </w:pPr>
            <w:r w:rsidRPr="00881BC8">
              <w:rPr>
                <w:rFonts w:ascii="Arial" w:eastAsia="Times New Roman" w:hAnsi="Arial" w:cs="Arial"/>
                <w:noProof/>
                <w:sz w:val="20"/>
                <w:szCs w:val="20"/>
                <w:lang w:eastAsia="en-GB"/>
              </w:rPr>
              <w:t>168</w:t>
            </w:r>
          </w:p>
        </w:tc>
        <w:tc>
          <w:tcPr>
            <w:tcW w:w="2642" w:type="dxa"/>
            <w:tcBorders>
              <w:top w:val="nil"/>
              <w:left w:val="nil"/>
              <w:bottom w:val="single" w:sz="4" w:space="0" w:color="auto"/>
              <w:right w:val="single" w:sz="8" w:space="0" w:color="auto"/>
            </w:tcBorders>
            <w:shd w:val="clear" w:color="auto" w:fill="auto"/>
            <w:noWrap/>
            <w:vAlign w:val="bottom"/>
            <w:hideMark/>
          </w:tcPr>
          <w:p w14:paraId="02A8C696" w14:textId="77777777" w:rsidR="00675856" w:rsidRPr="00881BC8" w:rsidRDefault="00675856" w:rsidP="00040B36">
            <w:pPr>
              <w:spacing w:after="0"/>
              <w:jc w:val="right"/>
              <w:rPr>
                <w:rFonts w:ascii="Arial" w:eastAsia="Times New Roman" w:hAnsi="Arial" w:cs="Arial"/>
                <w:noProof/>
                <w:sz w:val="20"/>
                <w:szCs w:val="20"/>
                <w:lang w:eastAsia="en-GB"/>
              </w:rPr>
            </w:pPr>
            <w:r w:rsidRPr="00881BC8">
              <w:rPr>
                <w:rFonts w:ascii="Arial" w:eastAsia="Times New Roman" w:hAnsi="Arial" w:cs="Arial"/>
                <w:noProof/>
                <w:sz w:val="20"/>
                <w:szCs w:val="20"/>
                <w:lang w:eastAsia="en-GB"/>
              </w:rPr>
              <w:t>17.9%</w:t>
            </w:r>
          </w:p>
        </w:tc>
      </w:tr>
      <w:tr w:rsidR="00675856" w:rsidRPr="00881BC8" w14:paraId="7BFD4594" w14:textId="77777777" w:rsidTr="003F6CE3">
        <w:trPr>
          <w:trHeight w:val="263"/>
        </w:trPr>
        <w:tc>
          <w:tcPr>
            <w:tcW w:w="3221" w:type="dxa"/>
            <w:tcBorders>
              <w:top w:val="nil"/>
              <w:left w:val="single" w:sz="8" w:space="0" w:color="auto"/>
              <w:bottom w:val="single" w:sz="8" w:space="0" w:color="auto"/>
              <w:right w:val="single" w:sz="4" w:space="0" w:color="auto"/>
            </w:tcBorders>
            <w:shd w:val="clear" w:color="auto" w:fill="auto"/>
            <w:noWrap/>
            <w:vAlign w:val="bottom"/>
            <w:hideMark/>
          </w:tcPr>
          <w:p w14:paraId="18FA1A8C" w14:textId="77777777" w:rsidR="00675856" w:rsidRPr="00881BC8" w:rsidRDefault="00675856" w:rsidP="00040B36">
            <w:pPr>
              <w:spacing w:after="0"/>
              <w:jc w:val="left"/>
              <w:rPr>
                <w:rFonts w:ascii="Arial" w:eastAsia="Times New Roman" w:hAnsi="Arial" w:cs="Arial"/>
                <w:noProof/>
                <w:sz w:val="20"/>
                <w:szCs w:val="20"/>
                <w:lang w:eastAsia="en-GB"/>
              </w:rPr>
            </w:pPr>
            <w:r w:rsidRPr="00881BC8">
              <w:rPr>
                <w:rFonts w:ascii="Arial" w:eastAsia="Times New Roman" w:hAnsi="Arial" w:cs="Arial"/>
                <w:noProof/>
                <w:sz w:val="20"/>
                <w:szCs w:val="20"/>
                <w:lang w:eastAsia="en-GB"/>
              </w:rPr>
              <w:t>Don't know</w:t>
            </w:r>
          </w:p>
        </w:tc>
        <w:tc>
          <w:tcPr>
            <w:tcW w:w="2642" w:type="dxa"/>
            <w:tcBorders>
              <w:top w:val="nil"/>
              <w:left w:val="nil"/>
              <w:bottom w:val="single" w:sz="8" w:space="0" w:color="auto"/>
              <w:right w:val="single" w:sz="4" w:space="0" w:color="auto"/>
            </w:tcBorders>
            <w:shd w:val="clear" w:color="auto" w:fill="auto"/>
            <w:noWrap/>
            <w:vAlign w:val="bottom"/>
            <w:hideMark/>
          </w:tcPr>
          <w:p w14:paraId="4DD93AEF" w14:textId="77777777" w:rsidR="00675856" w:rsidRPr="00881BC8" w:rsidRDefault="00675856" w:rsidP="00040B36">
            <w:pPr>
              <w:spacing w:after="0"/>
              <w:jc w:val="right"/>
              <w:rPr>
                <w:rFonts w:ascii="Arial" w:eastAsia="Times New Roman" w:hAnsi="Arial" w:cs="Arial"/>
                <w:noProof/>
                <w:sz w:val="20"/>
                <w:szCs w:val="20"/>
                <w:lang w:eastAsia="en-GB"/>
              </w:rPr>
            </w:pPr>
            <w:r w:rsidRPr="00881BC8">
              <w:rPr>
                <w:rFonts w:ascii="Arial" w:eastAsia="Times New Roman" w:hAnsi="Arial" w:cs="Arial"/>
                <w:noProof/>
                <w:sz w:val="20"/>
                <w:szCs w:val="20"/>
                <w:lang w:eastAsia="en-GB"/>
              </w:rPr>
              <w:t>65</w:t>
            </w:r>
          </w:p>
        </w:tc>
        <w:tc>
          <w:tcPr>
            <w:tcW w:w="2642" w:type="dxa"/>
            <w:tcBorders>
              <w:top w:val="nil"/>
              <w:left w:val="nil"/>
              <w:bottom w:val="single" w:sz="8" w:space="0" w:color="auto"/>
              <w:right w:val="single" w:sz="8" w:space="0" w:color="auto"/>
            </w:tcBorders>
            <w:shd w:val="clear" w:color="auto" w:fill="auto"/>
            <w:noWrap/>
            <w:vAlign w:val="bottom"/>
            <w:hideMark/>
          </w:tcPr>
          <w:p w14:paraId="21B6C701" w14:textId="77777777" w:rsidR="00675856" w:rsidRPr="00881BC8" w:rsidRDefault="00675856" w:rsidP="00040B36">
            <w:pPr>
              <w:spacing w:after="0"/>
              <w:jc w:val="right"/>
              <w:rPr>
                <w:rFonts w:ascii="Arial" w:eastAsia="Times New Roman" w:hAnsi="Arial" w:cs="Arial"/>
                <w:noProof/>
                <w:sz w:val="20"/>
                <w:szCs w:val="20"/>
                <w:lang w:eastAsia="en-GB"/>
              </w:rPr>
            </w:pPr>
            <w:r w:rsidRPr="00881BC8">
              <w:rPr>
                <w:rFonts w:ascii="Arial" w:eastAsia="Times New Roman" w:hAnsi="Arial" w:cs="Arial"/>
                <w:noProof/>
                <w:sz w:val="20"/>
                <w:szCs w:val="20"/>
                <w:lang w:eastAsia="en-GB"/>
              </w:rPr>
              <w:t>6.9%</w:t>
            </w:r>
          </w:p>
        </w:tc>
      </w:tr>
      <w:tr w:rsidR="00675856" w:rsidRPr="00881BC8" w14:paraId="2107F15F" w14:textId="77777777" w:rsidTr="003F6CE3">
        <w:trPr>
          <w:trHeight w:val="276"/>
        </w:trPr>
        <w:tc>
          <w:tcPr>
            <w:tcW w:w="3221" w:type="dxa"/>
            <w:tcBorders>
              <w:top w:val="nil"/>
              <w:left w:val="single" w:sz="8" w:space="0" w:color="auto"/>
              <w:bottom w:val="single" w:sz="8" w:space="0" w:color="auto"/>
              <w:right w:val="single" w:sz="4" w:space="0" w:color="auto"/>
            </w:tcBorders>
            <w:shd w:val="clear" w:color="auto" w:fill="auto"/>
            <w:noWrap/>
            <w:vAlign w:val="bottom"/>
            <w:hideMark/>
          </w:tcPr>
          <w:p w14:paraId="3E634543" w14:textId="77777777" w:rsidR="00675856" w:rsidRPr="00881BC8" w:rsidRDefault="00675856" w:rsidP="00040B36">
            <w:pPr>
              <w:spacing w:after="0"/>
              <w:jc w:val="left"/>
              <w:rPr>
                <w:rFonts w:ascii="Arial" w:eastAsia="Times New Roman" w:hAnsi="Arial" w:cs="Arial"/>
                <w:b/>
                <w:bCs/>
                <w:noProof/>
                <w:sz w:val="20"/>
                <w:szCs w:val="20"/>
                <w:lang w:eastAsia="en-GB"/>
              </w:rPr>
            </w:pPr>
            <w:r w:rsidRPr="00881BC8">
              <w:rPr>
                <w:rFonts w:ascii="Arial" w:eastAsia="Times New Roman" w:hAnsi="Arial" w:cs="Arial"/>
                <w:b/>
                <w:bCs/>
                <w:noProof/>
                <w:sz w:val="20"/>
                <w:szCs w:val="20"/>
                <w:lang w:eastAsia="en-GB"/>
              </w:rPr>
              <w:t>Total</w:t>
            </w:r>
          </w:p>
        </w:tc>
        <w:tc>
          <w:tcPr>
            <w:tcW w:w="2642" w:type="dxa"/>
            <w:tcBorders>
              <w:top w:val="nil"/>
              <w:left w:val="nil"/>
              <w:bottom w:val="single" w:sz="8" w:space="0" w:color="auto"/>
              <w:right w:val="single" w:sz="4" w:space="0" w:color="auto"/>
            </w:tcBorders>
            <w:shd w:val="clear" w:color="auto" w:fill="auto"/>
            <w:noWrap/>
            <w:vAlign w:val="bottom"/>
            <w:hideMark/>
          </w:tcPr>
          <w:p w14:paraId="0164F6FB" w14:textId="77777777" w:rsidR="00675856" w:rsidRPr="00881BC8" w:rsidRDefault="00675856" w:rsidP="00040B36">
            <w:pPr>
              <w:spacing w:after="0"/>
              <w:jc w:val="right"/>
              <w:rPr>
                <w:rFonts w:ascii="Arial" w:eastAsia="Times New Roman" w:hAnsi="Arial" w:cs="Arial"/>
                <w:b/>
                <w:bCs/>
                <w:noProof/>
                <w:sz w:val="20"/>
                <w:szCs w:val="20"/>
                <w:lang w:eastAsia="en-GB"/>
              </w:rPr>
            </w:pPr>
            <w:r w:rsidRPr="00881BC8">
              <w:rPr>
                <w:rFonts w:ascii="Arial" w:eastAsia="Times New Roman" w:hAnsi="Arial" w:cs="Arial"/>
                <w:b/>
                <w:bCs/>
                <w:noProof/>
                <w:sz w:val="20"/>
                <w:szCs w:val="20"/>
                <w:lang w:eastAsia="en-GB"/>
              </w:rPr>
              <w:t>939</w:t>
            </w:r>
          </w:p>
        </w:tc>
        <w:tc>
          <w:tcPr>
            <w:tcW w:w="2642" w:type="dxa"/>
            <w:tcBorders>
              <w:top w:val="nil"/>
              <w:left w:val="nil"/>
              <w:bottom w:val="single" w:sz="8" w:space="0" w:color="auto"/>
              <w:right w:val="single" w:sz="8" w:space="0" w:color="auto"/>
            </w:tcBorders>
            <w:shd w:val="clear" w:color="auto" w:fill="auto"/>
            <w:noWrap/>
            <w:vAlign w:val="bottom"/>
            <w:hideMark/>
          </w:tcPr>
          <w:p w14:paraId="1963B448" w14:textId="77777777" w:rsidR="00675856" w:rsidRPr="00881BC8" w:rsidRDefault="00675856" w:rsidP="00040B36">
            <w:pPr>
              <w:spacing w:after="0"/>
              <w:jc w:val="right"/>
              <w:rPr>
                <w:rFonts w:ascii="Arial" w:eastAsia="Times New Roman" w:hAnsi="Arial" w:cs="Arial"/>
                <w:b/>
                <w:bCs/>
                <w:noProof/>
                <w:sz w:val="20"/>
                <w:szCs w:val="20"/>
                <w:lang w:eastAsia="en-GB"/>
              </w:rPr>
            </w:pPr>
            <w:r w:rsidRPr="00881BC8">
              <w:rPr>
                <w:rFonts w:ascii="Arial" w:eastAsia="Times New Roman" w:hAnsi="Arial" w:cs="Arial"/>
                <w:b/>
                <w:bCs/>
                <w:noProof/>
                <w:sz w:val="20"/>
                <w:szCs w:val="20"/>
                <w:lang w:eastAsia="en-GB"/>
              </w:rPr>
              <w:t>100.0%</w:t>
            </w:r>
          </w:p>
        </w:tc>
      </w:tr>
      <w:tr w:rsidR="00675856" w:rsidRPr="00881BC8" w14:paraId="22FFE482" w14:textId="77777777" w:rsidTr="003F6CE3">
        <w:trPr>
          <w:trHeight w:val="251"/>
        </w:trPr>
        <w:tc>
          <w:tcPr>
            <w:tcW w:w="3221" w:type="dxa"/>
            <w:tcBorders>
              <w:top w:val="nil"/>
              <w:left w:val="nil"/>
              <w:bottom w:val="nil"/>
              <w:right w:val="nil"/>
            </w:tcBorders>
            <w:shd w:val="clear" w:color="auto" w:fill="auto"/>
            <w:noWrap/>
            <w:vAlign w:val="bottom"/>
            <w:hideMark/>
          </w:tcPr>
          <w:p w14:paraId="48C385DE" w14:textId="77777777" w:rsidR="00675856" w:rsidRPr="00881BC8" w:rsidRDefault="00675856" w:rsidP="00040B36">
            <w:pPr>
              <w:spacing w:after="0"/>
              <w:jc w:val="left"/>
              <w:rPr>
                <w:rFonts w:eastAsia="Times New Roman"/>
                <w:noProof/>
                <w:sz w:val="20"/>
                <w:szCs w:val="20"/>
                <w:lang w:eastAsia="en-GB"/>
              </w:rPr>
            </w:pPr>
          </w:p>
        </w:tc>
        <w:tc>
          <w:tcPr>
            <w:tcW w:w="2642" w:type="dxa"/>
            <w:tcBorders>
              <w:top w:val="nil"/>
              <w:left w:val="nil"/>
              <w:bottom w:val="nil"/>
              <w:right w:val="nil"/>
            </w:tcBorders>
            <w:shd w:val="clear" w:color="auto" w:fill="auto"/>
            <w:noWrap/>
            <w:vAlign w:val="bottom"/>
            <w:hideMark/>
          </w:tcPr>
          <w:p w14:paraId="0FF36843" w14:textId="77777777" w:rsidR="00675856" w:rsidRPr="00881BC8" w:rsidRDefault="00675856" w:rsidP="00040B36">
            <w:pPr>
              <w:spacing w:after="0"/>
              <w:jc w:val="left"/>
              <w:rPr>
                <w:rFonts w:eastAsia="Times New Roman"/>
                <w:noProof/>
                <w:sz w:val="20"/>
                <w:szCs w:val="20"/>
                <w:lang w:eastAsia="en-GB"/>
              </w:rPr>
            </w:pPr>
          </w:p>
        </w:tc>
        <w:tc>
          <w:tcPr>
            <w:tcW w:w="2642" w:type="dxa"/>
            <w:tcBorders>
              <w:top w:val="nil"/>
              <w:left w:val="nil"/>
              <w:bottom w:val="nil"/>
              <w:right w:val="nil"/>
            </w:tcBorders>
            <w:shd w:val="clear" w:color="auto" w:fill="auto"/>
            <w:noWrap/>
            <w:vAlign w:val="bottom"/>
            <w:hideMark/>
          </w:tcPr>
          <w:p w14:paraId="07F37C9A" w14:textId="77777777" w:rsidR="00675856" w:rsidRPr="00881BC8" w:rsidRDefault="00675856" w:rsidP="00040B36">
            <w:pPr>
              <w:spacing w:after="0"/>
              <w:jc w:val="left"/>
              <w:rPr>
                <w:rFonts w:eastAsia="Times New Roman"/>
                <w:noProof/>
                <w:sz w:val="20"/>
                <w:szCs w:val="20"/>
                <w:lang w:eastAsia="en-GB"/>
              </w:rPr>
            </w:pPr>
          </w:p>
        </w:tc>
      </w:tr>
    </w:tbl>
    <w:p w14:paraId="24542AF1" w14:textId="43B66054" w:rsidR="00675856" w:rsidRPr="00881BC8" w:rsidRDefault="00675856" w:rsidP="004835F8">
      <w:pPr>
        <w:pStyle w:val="AnnexLevel1"/>
        <w:rPr>
          <w:noProof/>
          <w:lang w:val="en-GB"/>
        </w:rPr>
      </w:pPr>
      <w:r w:rsidRPr="00881BC8">
        <w:rPr>
          <w:noProof/>
          <w:lang w:val="en-GB"/>
        </w:rPr>
        <w:t xml:space="preserve">A system of mandatory offsetting of debts owed to the State with credits owed by the State </w:t>
      </w:r>
    </w:p>
    <w:p w14:paraId="469A5526" w14:textId="77777777" w:rsidR="00AA6C29" w:rsidRPr="00881BC8" w:rsidRDefault="00AA6C29" w:rsidP="00AA6C29">
      <w:pPr>
        <w:contextualSpacing/>
        <w:rPr>
          <w:b/>
          <w:noProof/>
        </w:rPr>
      </w:pPr>
    </w:p>
    <w:p w14:paraId="4C002E00" w14:textId="59E2B6F4" w:rsidR="00675856" w:rsidRPr="00881BC8" w:rsidRDefault="00675856" w:rsidP="004835F8">
      <w:pPr>
        <w:pStyle w:val="NormalPara"/>
        <w:rPr>
          <w:noProof/>
          <w:lang w:val="en-GB"/>
        </w:rPr>
      </w:pPr>
      <w:r w:rsidRPr="00881BC8">
        <w:rPr>
          <w:noProof/>
          <w:lang w:val="en-GB"/>
        </w:rPr>
        <w:t xml:space="preserve">The 2019 EP Resolution </w:t>
      </w:r>
      <w:r w:rsidR="00303DFA" w:rsidRPr="00881BC8">
        <w:rPr>
          <w:noProof/>
          <w:lang w:val="en-GB"/>
        </w:rPr>
        <w:t>‘</w:t>
      </w:r>
      <w:r w:rsidRPr="00881BC8">
        <w:rPr>
          <w:noProof/>
          <w:lang w:val="en-GB"/>
        </w:rPr>
        <w:t>urged</w:t>
      </w:r>
      <w:r w:rsidR="00303DFA" w:rsidRPr="00881BC8">
        <w:rPr>
          <w:noProof/>
          <w:lang w:val="en-GB"/>
        </w:rPr>
        <w:t>’</w:t>
      </w:r>
      <w:r w:rsidRPr="00881BC8">
        <w:rPr>
          <w:noProof/>
          <w:lang w:val="en-GB"/>
        </w:rPr>
        <w:t xml:space="preserve"> the Commission and the Member States to consider mandatory forms of adequate compensation, such as offsetting as an additional measure to protect the liquidity of SMEs and prevent bankruptcies. </w:t>
      </w:r>
    </w:p>
    <w:p w14:paraId="3DF196A8" w14:textId="7A0A76CB" w:rsidR="00675856" w:rsidRPr="00881BC8" w:rsidRDefault="00675856" w:rsidP="004835F8">
      <w:pPr>
        <w:pStyle w:val="NormalPara"/>
        <w:rPr>
          <w:noProof/>
          <w:lang w:val="en-GB"/>
        </w:rPr>
      </w:pPr>
      <w:r w:rsidRPr="00881BC8">
        <w:rPr>
          <w:noProof/>
          <w:lang w:val="en-GB"/>
        </w:rPr>
        <w:t xml:space="preserve">This measure would consist in offsetting the debts owed to </w:t>
      </w:r>
      <w:r w:rsidR="00303DFA" w:rsidRPr="00881BC8">
        <w:rPr>
          <w:noProof/>
          <w:lang w:val="en-GB"/>
        </w:rPr>
        <w:t>‘</w:t>
      </w:r>
      <w:r w:rsidRPr="00881BC8">
        <w:rPr>
          <w:noProof/>
          <w:lang w:val="en-GB"/>
        </w:rPr>
        <w:t>the State</w:t>
      </w:r>
      <w:r w:rsidR="00303DFA" w:rsidRPr="00881BC8">
        <w:rPr>
          <w:noProof/>
          <w:lang w:val="en-GB"/>
        </w:rPr>
        <w:t>’</w:t>
      </w:r>
      <w:r w:rsidRPr="00881BC8">
        <w:rPr>
          <w:noProof/>
          <w:lang w:val="en-GB"/>
        </w:rPr>
        <w:t xml:space="preserve"> by a legal person or enterprise (in the form of, for example, local taxes, revenue, social contributions) with credits that the State owes to them (in the specific, unpaid debts). </w:t>
      </w:r>
    </w:p>
    <w:p w14:paraId="782D9101" w14:textId="63C47913" w:rsidR="00675856" w:rsidRPr="00881BC8" w:rsidRDefault="00675856" w:rsidP="004835F8">
      <w:pPr>
        <w:pStyle w:val="NormalPara"/>
        <w:rPr>
          <w:noProof/>
          <w:lang w:val="en-GB"/>
        </w:rPr>
      </w:pPr>
      <w:r w:rsidRPr="00881BC8">
        <w:rPr>
          <w:noProof/>
          <w:lang w:val="en-GB"/>
        </w:rPr>
        <w:t xml:space="preserve">In the consultations carried out in the context of this Impact Assessment, some </w:t>
      </w:r>
      <w:r w:rsidR="00D52CCA" w:rsidRPr="00881BC8">
        <w:rPr>
          <w:noProof/>
          <w:lang w:val="en-GB"/>
        </w:rPr>
        <w:t>stakeholders have</w:t>
      </w:r>
      <w:r w:rsidRPr="00881BC8">
        <w:rPr>
          <w:noProof/>
          <w:lang w:val="en-GB"/>
        </w:rPr>
        <w:t xml:space="preserve"> also made reference</w:t>
      </w:r>
      <w:r w:rsidR="0091653A" w:rsidRPr="00881BC8">
        <w:rPr>
          <w:noProof/>
          <w:lang w:val="en-GB"/>
        </w:rPr>
        <w:t xml:space="preserve"> </w:t>
      </w:r>
      <w:r w:rsidRPr="00881BC8">
        <w:rPr>
          <w:noProof/>
          <w:lang w:val="en-GB"/>
        </w:rPr>
        <w:t>to</w:t>
      </w:r>
      <w:r w:rsidR="0091653A" w:rsidRPr="00881BC8">
        <w:rPr>
          <w:noProof/>
          <w:lang w:val="en-GB"/>
        </w:rPr>
        <w:t xml:space="preserve"> </w:t>
      </w:r>
      <w:r w:rsidRPr="00881BC8">
        <w:rPr>
          <w:noProof/>
          <w:lang w:val="en-GB"/>
        </w:rPr>
        <w:t>this specific measure</w:t>
      </w:r>
      <w:r w:rsidRPr="00881BC8">
        <w:rPr>
          <w:noProof/>
          <w:vertAlign w:val="superscript"/>
          <w:lang w:val="en-GB"/>
        </w:rPr>
        <w:footnoteReference w:id="244"/>
      </w:r>
      <w:r w:rsidRPr="00881BC8">
        <w:rPr>
          <w:noProof/>
          <w:lang w:val="en-GB"/>
        </w:rPr>
        <w:t xml:space="preserve">. </w:t>
      </w:r>
    </w:p>
    <w:p w14:paraId="0720DBBD" w14:textId="4F597695" w:rsidR="00675856" w:rsidRPr="00881BC8" w:rsidRDefault="00675856" w:rsidP="004835F8">
      <w:pPr>
        <w:pStyle w:val="NormalPara"/>
        <w:rPr>
          <w:noProof/>
          <w:lang w:val="en-GB"/>
        </w:rPr>
      </w:pPr>
      <w:r w:rsidRPr="00881BC8">
        <w:rPr>
          <w:noProof/>
          <w:lang w:val="en-GB"/>
        </w:rPr>
        <w:t xml:space="preserve">There are several obstacles </w:t>
      </w:r>
      <w:r w:rsidR="00ED70F1" w:rsidRPr="00881BC8">
        <w:rPr>
          <w:noProof/>
          <w:lang w:val="en-GB"/>
        </w:rPr>
        <w:t>for</w:t>
      </w:r>
      <w:r w:rsidRPr="00881BC8">
        <w:rPr>
          <w:noProof/>
          <w:lang w:val="en-GB"/>
        </w:rPr>
        <w:t xml:space="preserve"> this measure: </w:t>
      </w:r>
    </w:p>
    <w:p w14:paraId="129A8541" w14:textId="77777777" w:rsidR="00675856" w:rsidRPr="00881BC8" w:rsidRDefault="00675856" w:rsidP="004835F8">
      <w:pPr>
        <w:numPr>
          <w:ilvl w:val="0"/>
          <w:numId w:val="42"/>
        </w:numPr>
        <w:contextualSpacing/>
        <w:rPr>
          <w:bCs/>
          <w:noProof/>
        </w:rPr>
      </w:pPr>
      <w:r w:rsidRPr="00881BC8">
        <w:rPr>
          <w:bCs/>
          <w:noProof/>
        </w:rPr>
        <w:t>Legal competence/subsidiarity. Issues such as local taxation or direct taxation, are matters that do not fall within the powers conferred to the EU institutions by the Treaty. Also, in the area of social security, the general principle is that each Member States is free to design its own national security system</w:t>
      </w:r>
      <w:r w:rsidRPr="00881BC8">
        <w:rPr>
          <w:bCs/>
          <w:noProof/>
          <w:vertAlign w:val="superscript"/>
        </w:rPr>
        <w:footnoteReference w:id="245"/>
      </w:r>
      <w:r w:rsidRPr="00881BC8">
        <w:rPr>
          <w:bCs/>
          <w:noProof/>
        </w:rPr>
        <w:t xml:space="preserve">. </w:t>
      </w:r>
    </w:p>
    <w:p w14:paraId="4CF6CCCE" w14:textId="77777777" w:rsidR="00675856" w:rsidRPr="00881BC8" w:rsidRDefault="00675856" w:rsidP="004835F8">
      <w:pPr>
        <w:numPr>
          <w:ilvl w:val="0"/>
          <w:numId w:val="42"/>
        </w:numPr>
        <w:contextualSpacing/>
        <w:rPr>
          <w:bCs/>
          <w:noProof/>
        </w:rPr>
      </w:pPr>
      <w:r w:rsidRPr="00881BC8">
        <w:rPr>
          <w:bCs/>
          <w:noProof/>
        </w:rPr>
        <w:t>Even speculating that the EU institutions might be empowered to take action in this area</w:t>
      </w:r>
      <w:r w:rsidRPr="00881BC8">
        <w:rPr>
          <w:bCs/>
          <w:noProof/>
          <w:vertAlign w:val="superscript"/>
        </w:rPr>
        <w:footnoteReference w:id="246"/>
      </w:r>
      <w:r w:rsidRPr="00881BC8">
        <w:rPr>
          <w:bCs/>
          <w:noProof/>
        </w:rPr>
        <w:t>, there are complex technical aspects that would generate an inordinate administrative burden, and ultimately would run counter the very objective of ensuring prompt payment</w:t>
      </w:r>
    </w:p>
    <w:p w14:paraId="331BCB89" w14:textId="3A173565" w:rsidR="00675856" w:rsidRPr="00881BC8" w:rsidRDefault="00675856" w:rsidP="004835F8">
      <w:pPr>
        <w:numPr>
          <w:ilvl w:val="1"/>
          <w:numId w:val="42"/>
        </w:numPr>
        <w:contextualSpacing/>
        <w:rPr>
          <w:bCs/>
          <w:noProof/>
        </w:rPr>
      </w:pPr>
      <w:r w:rsidRPr="00881BC8">
        <w:rPr>
          <w:bCs/>
          <w:noProof/>
        </w:rPr>
        <w:t xml:space="preserve">Firstly, the </w:t>
      </w:r>
      <w:r w:rsidR="00303DFA" w:rsidRPr="00881BC8">
        <w:rPr>
          <w:bCs/>
          <w:noProof/>
        </w:rPr>
        <w:t>‘</w:t>
      </w:r>
      <w:r w:rsidRPr="00881BC8">
        <w:rPr>
          <w:bCs/>
          <w:noProof/>
        </w:rPr>
        <w:t>synallagmatic</w:t>
      </w:r>
      <w:r w:rsidR="00303DFA" w:rsidRPr="00881BC8">
        <w:rPr>
          <w:bCs/>
          <w:noProof/>
        </w:rPr>
        <w:t>’</w:t>
      </w:r>
      <w:r w:rsidRPr="00881BC8">
        <w:rPr>
          <w:bCs/>
          <w:noProof/>
        </w:rPr>
        <w:t xml:space="preserve"> relation, that defines the type of relations covered by LPD (</w:t>
      </w:r>
      <w:r w:rsidR="00303DFA" w:rsidRPr="00881BC8">
        <w:rPr>
          <w:bCs/>
          <w:noProof/>
        </w:rPr>
        <w:t>‘</w:t>
      </w:r>
      <w:r w:rsidRPr="00881BC8">
        <w:rPr>
          <w:bCs/>
          <w:noProof/>
        </w:rPr>
        <w:t>commercial transactions</w:t>
      </w:r>
      <w:r w:rsidR="00303DFA" w:rsidRPr="00881BC8">
        <w:rPr>
          <w:bCs/>
          <w:noProof/>
        </w:rPr>
        <w:t>’</w:t>
      </w:r>
      <w:r w:rsidRPr="00881BC8">
        <w:rPr>
          <w:bCs/>
          <w:noProof/>
        </w:rPr>
        <w:t>), is not present any longer. Offsetting would entail in fact the introduction, in the relation debtor-creditor,</w:t>
      </w:r>
      <w:r w:rsidR="0091653A" w:rsidRPr="00881BC8">
        <w:rPr>
          <w:bCs/>
          <w:noProof/>
        </w:rPr>
        <w:t xml:space="preserve"> </w:t>
      </w:r>
      <w:r w:rsidRPr="00881BC8">
        <w:rPr>
          <w:bCs/>
          <w:noProof/>
        </w:rPr>
        <w:t xml:space="preserve">of new parties ( other local authorities for example), who would have their revenue reduced without the benefit of receiving goods or services in exchange. </w:t>
      </w:r>
    </w:p>
    <w:p w14:paraId="4C5C124C" w14:textId="734D573A" w:rsidR="00675856" w:rsidRPr="00881BC8" w:rsidRDefault="00675856" w:rsidP="004835F8">
      <w:pPr>
        <w:numPr>
          <w:ilvl w:val="1"/>
          <w:numId w:val="42"/>
        </w:numPr>
        <w:contextualSpacing/>
        <w:rPr>
          <w:bCs/>
          <w:noProof/>
        </w:rPr>
      </w:pPr>
      <w:r w:rsidRPr="00881BC8">
        <w:rPr>
          <w:bCs/>
          <w:noProof/>
        </w:rPr>
        <w:t>Secondly, the implementation of such system would be extremely difficult in Member States with a federal administration, and would possibly raise constitutional problems</w:t>
      </w:r>
      <w:r w:rsidR="0091653A" w:rsidRPr="00881BC8">
        <w:rPr>
          <w:bCs/>
          <w:noProof/>
        </w:rPr>
        <w:t xml:space="preserve"> </w:t>
      </w:r>
    </w:p>
    <w:p w14:paraId="0336CB0D" w14:textId="1F3F97B8" w:rsidR="00675856" w:rsidRPr="00881BC8" w:rsidRDefault="00675856" w:rsidP="004835F8">
      <w:pPr>
        <w:numPr>
          <w:ilvl w:val="1"/>
          <w:numId w:val="42"/>
        </w:numPr>
        <w:contextualSpacing/>
        <w:rPr>
          <w:bCs/>
          <w:noProof/>
        </w:rPr>
      </w:pPr>
      <w:r w:rsidRPr="00881BC8">
        <w:rPr>
          <w:bCs/>
          <w:noProof/>
        </w:rPr>
        <w:t xml:space="preserve">Thirdly, the offsetting might actually disincentive prompt payment by the authorities. They would be more prone to </w:t>
      </w:r>
      <w:r w:rsidR="00303DFA" w:rsidRPr="00881BC8">
        <w:rPr>
          <w:bCs/>
          <w:noProof/>
        </w:rPr>
        <w:t>‘</w:t>
      </w:r>
      <w:r w:rsidRPr="00881BC8">
        <w:rPr>
          <w:bCs/>
          <w:noProof/>
        </w:rPr>
        <w:t>hold on</w:t>
      </w:r>
      <w:r w:rsidR="00303DFA" w:rsidRPr="00881BC8">
        <w:rPr>
          <w:bCs/>
          <w:noProof/>
        </w:rPr>
        <w:t>’</w:t>
      </w:r>
      <w:r w:rsidRPr="00881BC8">
        <w:rPr>
          <w:bCs/>
          <w:noProof/>
        </w:rPr>
        <w:t xml:space="preserve"> to liquidity as much as possible, since they could be subject to offset debts from other authorities. </w:t>
      </w:r>
    </w:p>
    <w:p w14:paraId="6818523D" w14:textId="77777777" w:rsidR="00675856" w:rsidRPr="00881BC8" w:rsidRDefault="00675856" w:rsidP="004835F8">
      <w:pPr>
        <w:numPr>
          <w:ilvl w:val="1"/>
          <w:numId w:val="42"/>
        </w:numPr>
        <w:contextualSpacing/>
        <w:rPr>
          <w:bCs/>
          <w:noProof/>
        </w:rPr>
      </w:pPr>
      <w:r w:rsidRPr="00881BC8">
        <w:rPr>
          <w:bCs/>
          <w:noProof/>
        </w:rPr>
        <w:t>Fourthly, tax payers would delay payment of their taxes in the expectation of a future offsetting, with disastrous consequences on the revenue.</w:t>
      </w:r>
    </w:p>
    <w:p w14:paraId="0817E7ED" w14:textId="7918503E" w:rsidR="00675856" w:rsidRPr="00881BC8" w:rsidRDefault="00675856" w:rsidP="004835F8">
      <w:pPr>
        <w:numPr>
          <w:ilvl w:val="1"/>
          <w:numId w:val="42"/>
        </w:numPr>
        <w:contextualSpacing/>
        <w:rPr>
          <w:bCs/>
          <w:noProof/>
        </w:rPr>
      </w:pPr>
      <w:r w:rsidRPr="00881BC8">
        <w:rPr>
          <w:bCs/>
          <w:noProof/>
        </w:rPr>
        <w:t>Finally</w:t>
      </w:r>
      <w:r w:rsidR="0091653A" w:rsidRPr="00881BC8">
        <w:rPr>
          <w:bCs/>
          <w:noProof/>
        </w:rPr>
        <w:t xml:space="preserve"> </w:t>
      </w:r>
      <w:r w:rsidRPr="00881BC8">
        <w:rPr>
          <w:bCs/>
          <w:noProof/>
        </w:rPr>
        <w:t>the costs for public finance that would derive from the management of the massive flow of data as well as from the need for an adequate monitoring, certification and control system cannot be ignored, given the vast number of public administrations involved and the variety of types of debt involved</w:t>
      </w:r>
    </w:p>
    <w:p w14:paraId="18291996" w14:textId="77777777" w:rsidR="00675856" w:rsidRPr="00881BC8" w:rsidRDefault="00675856" w:rsidP="00675856">
      <w:pPr>
        <w:ind w:left="1440"/>
        <w:contextualSpacing/>
        <w:rPr>
          <w:bCs/>
          <w:noProof/>
        </w:rPr>
      </w:pPr>
    </w:p>
    <w:p w14:paraId="7BC74297" w14:textId="34CB4440" w:rsidR="00675856" w:rsidRPr="00881BC8" w:rsidRDefault="00675856" w:rsidP="004835F8">
      <w:pPr>
        <w:numPr>
          <w:ilvl w:val="0"/>
          <w:numId w:val="42"/>
        </w:numPr>
        <w:contextualSpacing/>
        <w:rPr>
          <w:bCs/>
          <w:noProof/>
        </w:rPr>
      </w:pPr>
      <w:r w:rsidRPr="00881BC8">
        <w:rPr>
          <w:bCs/>
          <w:noProof/>
        </w:rPr>
        <w:t xml:space="preserve"> The subject was discussed with the Member States representatives in the context of the Late Payment Expert Group meeting, The national representatives</w:t>
      </w:r>
      <w:r w:rsidR="0091653A" w:rsidRPr="00881BC8">
        <w:rPr>
          <w:bCs/>
          <w:noProof/>
        </w:rPr>
        <w:t xml:space="preserve"> </w:t>
      </w:r>
      <w:r w:rsidRPr="00881BC8">
        <w:rPr>
          <w:bCs/>
          <w:noProof/>
        </w:rPr>
        <w:t>expressed strong reservations against this option.</w:t>
      </w:r>
    </w:p>
    <w:p w14:paraId="49612837" w14:textId="1C8970CA" w:rsidR="00675856" w:rsidRPr="00881BC8" w:rsidRDefault="00675856" w:rsidP="004835F8">
      <w:pPr>
        <w:pStyle w:val="AnnexLevel1"/>
        <w:rPr>
          <w:noProof/>
          <w:lang w:val="en-GB"/>
        </w:rPr>
      </w:pPr>
      <w:r w:rsidRPr="00881BC8">
        <w:rPr>
          <w:noProof/>
          <w:lang w:val="en-GB"/>
        </w:rPr>
        <w:t>Mandatory reporting</w:t>
      </w:r>
      <w:r w:rsidR="0091653A" w:rsidRPr="00881BC8">
        <w:rPr>
          <w:noProof/>
          <w:lang w:val="en-GB"/>
        </w:rPr>
        <w:t xml:space="preserve"> </w:t>
      </w:r>
      <w:r w:rsidRPr="00881BC8">
        <w:rPr>
          <w:noProof/>
          <w:lang w:val="en-GB"/>
        </w:rPr>
        <w:t>on payment practices for businesses</w:t>
      </w:r>
      <w:r w:rsidR="00F9441A" w:rsidRPr="00881BC8">
        <w:rPr>
          <w:noProof/>
          <w:lang w:val="en-GB"/>
        </w:rPr>
        <w:t xml:space="preserve"> and public authorities</w:t>
      </w:r>
    </w:p>
    <w:p w14:paraId="4215F836" w14:textId="1F89798F" w:rsidR="00675856" w:rsidRPr="00881BC8" w:rsidRDefault="00675856" w:rsidP="004835F8">
      <w:pPr>
        <w:pStyle w:val="NormalPara"/>
        <w:rPr>
          <w:noProof/>
          <w:lang w:val="en-GB"/>
        </w:rPr>
      </w:pPr>
      <w:r w:rsidRPr="00881BC8">
        <w:rPr>
          <w:noProof/>
          <w:lang w:val="en-GB"/>
        </w:rPr>
        <w:t>The 2019 EP Resolution explicitly states that</w:t>
      </w:r>
      <w:r w:rsidRPr="00881BC8">
        <w:rPr>
          <w:rStyle w:val="FootnoteReference"/>
          <w:noProof/>
          <w:lang w:val="en-GB"/>
        </w:rPr>
        <w:footnoteReference w:id="247"/>
      </w:r>
      <w:r w:rsidRPr="00881BC8">
        <w:rPr>
          <w:rFonts w:ascii="Arial" w:hAnsi="Arial" w:cs="Arial"/>
          <w:noProof/>
          <w:color w:val="666666"/>
          <w:sz w:val="18"/>
          <w:szCs w:val="18"/>
          <w:shd w:val="clear" w:color="auto" w:fill="FFFFFF"/>
          <w:lang w:val="en-GB"/>
        </w:rPr>
        <w:t> </w:t>
      </w:r>
      <w:r w:rsidR="00303DFA" w:rsidRPr="00881BC8">
        <w:rPr>
          <w:noProof/>
          <w:lang w:val="en-GB"/>
        </w:rPr>
        <w:t>’</w:t>
      </w:r>
      <w:r w:rsidRPr="00881BC8">
        <w:rPr>
          <w:noProof/>
          <w:lang w:val="en-GB"/>
        </w:rPr>
        <w:t>the introduction of enhanced transparency concerning payment behaviour could discourage late payment; believes that access to this information can act as an incentive for public entities and businesses to improve their payment practices and uphold their monetary obligations; encourages the Member States to consider different possible forms of mandatory publication of information on payment behaviour, such as databases or registers, for both the private and public sectors</w:t>
      </w:r>
      <w:r w:rsidR="00303DFA" w:rsidRPr="00881BC8">
        <w:rPr>
          <w:noProof/>
          <w:lang w:val="en-GB"/>
        </w:rPr>
        <w:t>’</w:t>
      </w:r>
      <w:r w:rsidR="003A5158" w:rsidRPr="00881BC8">
        <w:rPr>
          <w:noProof/>
          <w:lang w:val="en-GB"/>
        </w:rPr>
        <w:t>.</w:t>
      </w:r>
    </w:p>
    <w:p w14:paraId="5FE01644" w14:textId="73F15C77" w:rsidR="00675856" w:rsidRPr="00881BC8" w:rsidRDefault="00675856" w:rsidP="004835F8">
      <w:pPr>
        <w:pStyle w:val="NormalPara"/>
        <w:rPr>
          <w:noProof/>
          <w:lang w:val="en-GB"/>
        </w:rPr>
      </w:pPr>
      <w:r w:rsidRPr="00881BC8">
        <w:rPr>
          <w:noProof/>
          <w:lang w:val="en-GB"/>
        </w:rPr>
        <w:t xml:space="preserve">Mandatory reporting obligations on payment performance and practices for businesses and public authorities have been in place for quite a number of years in the UK. Firstly, UK public authorities are required to publish their payment performance against an identified benchmark (90% of undisputed and valid invoices from SMEs within 5 days and 100% of all undisputed and valid invoices to be paid within 30 days) </w:t>
      </w:r>
      <w:r w:rsidRPr="00881BC8">
        <w:rPr>
          <w:noProof/>
          <w:vertAlign w:val="superscript"/>
          <w:lang w:val="en-GB"/>
        </w:rPr>
        <w:footnoteReference w:id="248"/>
      </w:r>
      <w:r w:rsidRPr="00881BC8">
        <w:rPr>
          <w:rFonts w:ascii="Arial" w:hAnsi="Arial" w:cs="Arial"/>
          <w:noProof/>
          <w:color w:val="0B0C0C"/>
          <w:sz w:val="29"/>
          <w:szCs w:val="29"/>
          <w:shd w:val="clear" w:color="auto" w:fill="FFFFFF"/>
          <w:lang w:val="en-GB"/>
        </w:rPr>
        <w:t xml:space="preserve">. </w:t>
      </w:r>
      <w:r w:rsidRPr="00881BC8">
        <w:rPr>
          <w:noProof/>
          <w:lang w:val="en-GB"/>
        </w:rPr>
        <w:t>Secondly, large businesses are required, since 2017</w:t>
      </w:r>
      <w:r w:rsidRPr="00881BC8">
        <w:rPr>
          <w:rStyle w:val="FootnoteReference"/>
          <w:noProof/>
          <w:lang w:val="en-GB"/>
        </w:rPr>
        <w:footnoteReference w:id="249"/>
      </w:r>
      <w:r w:rsidRPr="00881BC8">
        <w:rPr>
          <w:noProof/>
          <w:lang w:val="en-GB"/>
        </w:rPr>
        <w:t>, to publish their payment practices, thirdly, since 2019 businesses bidding for government contracts in excess of £5 million a year are required to provide confirmation that they have systems in place to ensure that organisations in their supply chain are paid on time. If these requirements are not demonstrated, contracting authorities may exclude the organisation from bidding</w:t>
      </w:r>
      <w:r w:rsidRPr="00881BC8">
        <w:rPr>
          <w:rStyle w:val="FootnoteReference"/>
          <w:noProof/>
          <w:lang w:val="en-GB"/>
        </w:rPr>
        <w:footnoteReference w:id="250"/>
      </w:r>
      <w:r w:rsidR="0053317B" w:rsidRPr="00881BC8">
        <w:rPr>
          <w:noProof/>
          <w:lang w:val="en-GB"/>
        </w:rPr>
        <w:t>.</w:t>
      </w:r>
    </w:p>
    <w:p w14:paraId="32C32910" w14:textId="169D44AD" w:rsidR="00675856" w:rsidRPr="00881BC8" w:rsidRDefault="00675856" w:rsidP="004835F8">
      <w:pPr>
        <w:pStyle w:val="NormalPara"/>
        <w:rPr>
          <w:noProof/>
          <w:lang w:val="en-GB"/>
        </w:rPr>
      </w:pPr>
      <w:r w:rsidRPr="00881BC8">
        <w:rPr>
          <w:noProof/>
          <w:lang w:val="en-GB"/>
        </w:rPr>
        <w:t>In Poland, as from 2023, large busines</w:t>
      </w:r>
      <w:r w:rsidR="009E3C63" w:rsidRPr="00881BC8">
        <w:rPr>
          <w:noProof/>
          <w:lang w:val="en-GB"/>
        </w:rPr>
        <w:t>s</w:t>
      </w:r>
      <w:r w:rsidRPr="00881BC8">
        <w:rPr>
          <w:noProof/>
          <w:lang w:val="en-GB"/>
        </w:rPr>
        <w:t xml:space="preserve">es (i.e. those exceeding 50 </w:t>
      </w:r>
      <w:r w:rsidR="009E3C63" w:rsidRPr="00881BC8">
        <w:rPr>
          <w:noProof/>
          <w:lang w:val="en-GB"/>
        </w:rPr>
        <w:t xml:space="preserve">million </w:t>
      </w:r>
      <w:r w:rsidRPr="00881BC8">
        <w:rPr>
          <w:noProof/>
          <w:lang w:val="en-GB"/>
        </w:rPr>
        <w:t>EUR annual income) are obliged to report information on their payment terms. These reports are publicly available</w:t>
      </w:r>
      <w:r w:rsidRPr="00881BC8">
        <w:rPr>
          <w:noProof/>
          <w:vertAlign w:val="superscript"/>
          <w:lang w:val="en-GB"/>
        </w:rPr>
        <w:footnoteReference w:id="251"/>
      </w:r>
      <w:r w:rsidR="009E3C63" w:rsidRPr="00881BC8">
        <w:rPr>
          <w:noProof/>
          <w:lang w:val="en-GB"/>
        </w:rPr>
        <w:t>.</w:t>
      </w:r>
    </w:p>
    <w:p w14:paraId="040B160B" w14:textId="2005A2BE" w:rsidR="00675856" w:rsidRPr="00881BC8" w:rsidRDefault="00675856" w:rsidP="004835F8">
      <w:pPr>
        <w:pStyle w:val="NormalPara"/>
        <w:rPr>
          <w:noProof/>
          <w:lang w:val="en-GB"/>
        </w:rPr>
      </w:pPr>
      <w:r w:rsidRPr="00881BC8">
        <w:rPr>
          <w:noProof/>
          <w:lang w:val="en-GB"/>
        </w:rPr>
        <w:t xml:space="preserve">The SME Panel </w:t>
      </w:r>
      <w:r w:rsidR="009E3C63" w:rsidRPr="00881BC8">
        <w:rPr>
          <w:noProof/>
          <w:lang w:val="en-GB"/>
        </w:rPr>
        <w:t xml:space="preserve">carried out </w:t>
      </w:r>
      <w:r w:rsidRPr="00881BC8">
        <w:rPr>
          <w:noProof/>
          <w:lang w:val="en-GB"/>
        </w:rPr>
        <w:t xml:space="preserve">for the purposes of this </w:t>
      </w:r>
      <w:r w:rsidR="009E3C63" w:rsidRPr="00881BC8">
        <w:rPr>
          <w:noProof/>
          <w:lang w:val="en-GB"/>
        </w:rPr>
        <w:t>i</w:t>
      </w:r>
      <w:r w:rsidRPr="00881BC8">
        <w:rPr>
          <w:noProof/>
          <w:lang w:val="en-GB"/>
        </w:rPr>
        <w:t xml:space="preserve">mpact </w:t>
      </w:r>
      <w:r w:rsidR="009E3C63" w:rsidRPr="00881BC8">
        <w:rPr>
          <w:noProof/>
          <w:lang w:val="en-GB"/>
        </w:rPr>
        <w:t>a</w:t>
      </w:r>
      <w:r w:rsidRPr="00881BC8">
        <w:rPr>
          <w:noProof/>
          <w:lang w:val="en-GB"/>
        </w:rPr>
        <w:t xml:space="preserve">ssessment </w:t>
      </w:r>
      <w:r w:rsidR="009E3C63" w:rsidRPr="00881BC8">
        <w:rPr>
          <w:noProof/>
          <w:lang w:val="en-GB"/>
        </w:rPr>
        <w:t xml:space="preserve">report </w:t>
      </w:r>
      <w:r w:rsidRPr="00881BC8">
        <w:rPr>
          <w:noProof/>
          <w:lang w:val="en-GB"/>
        </w:rPr>
        <w:t>indicated that 71,6% of respondents consider mandatory reporting for businesses on their payment performance as very useful or useful</w:t>
      </w:r>
      <w:r w:rsidR="009E3C63" w:rsidRPr="00881BC8">
        <w:rPr>
          <w:noProof/>
          <w:lang w:val="en-GB"/>
        </w:rPr>
        <w:t>.</w:t>
      </w:r>
    </w:p>
    <w:p w14:paraId="3859658F" w14:textId="2D33D036" w:rsidR="00675856" w:rsidRPr="00881BC8" w:rsidRDefault="00675856" w:rsidP="004835F8">
      <w:pPr>
        <w:pStyle w:val="NormalPara"/>
        <w:rPr>
          <w:noProof/>
          <w:lang w:val="en-GB"/>
        </w:rPr>
      </w:pPr>
      <w:r w:rsidRPr="00881BC8">
        <w:rPr>
          <w:noProof/>
          <w:lang w:val="en-GB"/>
        </w:rPr>
        <w:t xml:space="preserve">Despite the above, the option of introducing reporting obligations for businesses </w:t>
      </w:r>
      <w:r w:rsidR="00892759" w:rsidRPr="00881BC8">
        <w:rPr>
          <w:noProof/>
          <w:lang w:val="en-GB"/>
        </w:rPr>
        <w:t xml:space="preserve">and public authorities </w:t>
      </w:r>
      <w:r w:rsidRPr="00881BC8">
        <w:rPr>
          <w:noProof/>
          <w:lang w:val="en-GB"/>
        </w:rPr>
        <w:t xml:space="preserve">has been discarded on the grounds of political feasibility. On 16 March 2023, the Commission presented its strategy to boost long-term competitiveness. One of the key pillars is the creation of a regulatory framework suitable for competitiveness and growth, which includes a target </w:t>
      </w:r>
      <w:r w:rsidR="00AA0C43" w:rsidRPr="00881BC8">
        <w:rPr>
          <w:noProof/>
          <w:lang w:val="en-GB"/>
        </w:rPr>
        <w:t xml:space="preserve">of 25% </w:t>
      </w:r>
      <w:r w:rsidRPr="00881BC8">
        <w:rPr>
          <w:noProof/>
          <w:lang w:val="en-GB"/>
        </w:rPr>
        <w:t>reduction of reporting requirements on businesses introduced by EU legislation</w:t>
      </w:r>
      <w:r w:rsidRPr="00881BC8">
        <w:rPr>
          <w:noProof/>
          <w:vertAlign w:val="superscript"/>
          <w:lang w:val="en-GB"/>
        </w:rPr>
        <w:footnoteReference w:id="252"/>
      </w:r>
      <w:r w:rsidR="00AA0C43" w:rsidRPr="00881BC8">
        <w:rPr>
          <w:noProof/>
          <w:lang w:val="en-GB"/>
        </w:rPr>
        <w:t>.</w:t>
      </w:r>
    </w:p>
    <w:p w14:paraId="5899F650" w14:textId="752D24A1" w:rsidR="00675856" w:rsidRPr="00881BC8" w:rsidRDefault="00AA0C43" w:rsidP="004835F8">
      <w:pPr>
        <w:pStyle w:val="NormalPara"/>
        <w:rPr>
          <w:noProof/>
          <w:lang w:val="en-GB"/>
        </w:rPr>
      </w:pPr>
      <w:r w:rsidRPr="00881BC8">
        <w:rPr>
          <w:noProof/>
          <w:lang w:val="en-GB"/>
        </w:rPr>
        <w:t>Disclosures on p</w:t>
      </w:r>
      <w:r w:rsidR="00675856" w:rsidRPr="00881BC8">
        <w:rPr>
          <w:noProof/>
          <w:lang w:val="en-GB"/>
        </w:rPr>
        <w:t>ayment practices are laid down in Corporate Sustainability Reporting Directive</w:t>
      </w:r>
      <w:r w:rsidR="00675856" w:rsidRPr="00881BC8">
        <w:rPr>
          <w:noProof/>
          <w:color w:val="000000"/>
          <w:sz w:val="28"/>
          <w:vertAlign w:val="superscript"/>
          <w:lang w:val="en-GB"/>
        </w:rPr>
        <w:footnoteReference w:id="253"/>
      </w:r>
      <w:r w:rsidR="00675856" w:rsidRPr="00881BC8">
        <w:rPr>
          <w:rFonts w:eastAsia="Times New Roman"/>
          <w:noProof/>
          <w:color w:val="000000"/>
          <w:sz w:val="28"/>
          <w:lang w:val="en-GB"/>
        </w:rPr>
        <w:t xml:space="preserve"> </w:t>
      </w:r>
      <w:r w:rsidR="00675856" w:rsidRPr="00881BC8">
        <w:rPr>
          <w:noProof/>
          <w:lang w:val="en-GB"/>
        </w:rPr>
        <w:t>(CSRD)</w:t>
      </w:r>
      <w:r w:rsidRPr="00881BC8">
        <w:rPr>
          <w:noProof/>
          <w:lang w:val="en-GB"/>
        </w:rPr>
        <w:t>.</w:t>
      </w:r>
    </w:p>
    <w:p w14:paraId="258B5353" w14:textId="26117F03" w:rsidR="00675856" w:rsidRPr="00881BC8" w:rsidRDefault="00675856" w:rsidP="004835F8">
      <w:pPr>
        <w:pStyle w:val="NormalPara"/>
        <w:rPr>
          <w:rFonts w:eastAsia="Times New Roman"/>
          <w:noProof/>
          <w:color w:val="FFFFFF"/>
          <w:lang w:val="en-GB"/>
        </w:rPr>
      </w:pPr>
      <w:r w:rsidRPr="00881BC8">
        <w:rPr>
          <w:rFonts w:eastAsia="Times New Roman"/>
          <w:noProof/>
          <w:color w:val="000000"/>
          <w:lang w:val="en-GB"/>
        </w:rPr>
        <w:t>According to the CSRD, all large companies and all companies with securities listed on EU regular markets</w:t>
      </w:r>
      <w:r w:rsidRPr="00881BC8">
        <w:rPr>
          <w:noProof/>
          <w:color w:val="000000"/>
          <w:vertAlign w:val="superscript"/>
          <w:lang w:val="en-GB"/>
        </w:rPr>
        <w:footnoteReference w:id="254"/>
      </w:r>
      <w:r w:rsidRPr="00881BC8">
        <w:rPr>
          <w:rFonts w:eastAsia="Times New Roman"/>
          <w:noProof/>
          <w:color w:val="000000"/>
          <w:lang w:val="en-GB"/>
        </w:rPr>
        <w:t xml:space="preserve">, as well as listed SMEs (following a three-year lead-in period), </w:t>
      </w:r>
      <w:r w:rsidR="00DA397B" w:rsidRPr="00881BC8">
        <w:rPr>
          <w:rFonts w:eastAsia="Times New Roman"/>
          <w:noProof/>
          <w:color w:val="000000"/>
          <w:lang w:val="en-GB"/>
        </w:rPr>
        <w:t>except for</w:t>
      </w:r>
      <w:r w:rsidRPr="00881BC8">
        <w:rPr>
          <w:rFonts w:eastAsia="Times New Roman"/>
          <w:noProof/>
          <w:color w:val="000000"/>
          <w:lang w:val="en-GB"/>
        </w:rPr>
        <w:t xml:space="preserve"> micro-enterprises</w:t>
      </w:r>
      <w:r w:rsidR="00DA397B" w:rsidRPr="00881BC8">
        <w:rPr>
          <w:rFonts w:eastAsia="Times New Roman"/>
          <w:noProof/>
          <w:color w:val="000000"/>
          <w:lang w:val="en-GB"/>
        </w:rPr>
        <w:t>,</w:t>
      </w:r>
      <w:r w:rsidRPr="00881BC8">
        <w:rPr>
          <w:rFonts w:eastAsia="Times New Roman"/>
          <w:noProof/>
          <w:color w:val="000000"/>
          <w:lang w:val="en-GB"/>
        </w:rPr>
        <w:t xml:space="preserve"> are required to disclose sustainability information. This helps investors, civil society organisations, </w:t>
      </w:r>
      <w:r w:rsidR="00DA397B" w:rsidRPr="00881BC8">
        <w:rPr>
          <w:rFonts w:eastAsia="Times New Roman"/>
          <w:noProof/>
          <w:color w:val="000000"/>
          <w:lang w:val="en-GB"/>
        </w:rPr>
        <w:t>consumers,</w:t>
      </w:r>
      <w:r w:rsidRPr="00881BC8">
        <w:rPr>
          <w:rFonts w:eastAsia="Times New Roman"/>
          <w:noProof/>
          <w:color w:val="000000"/>
          <w:lang w:val="en-GB"/>
        </w:rPr>
        <w:t xml:space="preserve"> and other stakeholders to evaluate the sustainability performance of companies, subject to the criteria or perspective of </w:t>
      </w:r>
      <w:r w:rsidR="00303DFA" w:rsidRPr="00881BC8">
        <w:rPr>
          <w:rFonts w:eastAsia="Times New Roman"/>
          <w:noProof/>
          <w:color w:val="000000"/>
          <w:lang w:val="en-GB"/>
        </w:rPr>
        <w:t>‘</w:t>
      </w:r>
      <w:r w:rsidRPr="00881BC8">
        <w:rPr>
          <w:rFonts w:eastAsia="Times New Roman"/>
          <w:noProof/>
          <w:color w:val="000000"/>
          <w:lang w:val="en-GB"/>
        </w:rPr>
        <w:t>double materiality</w:t>
      </w:r>
      <w:r w:rsidR="00303DFA" w:rsidRPr="00881BC8">
        <w:rPr>
          <w:rFonts w:eastAsia="Times New Roman"/>
          <w:noProof/>
          <w:color w:val="000000"/>
          <w:lang w:val="en-GB"/>
        </w:rPr>
        <w:t>’</w:t>
      </w:r>
      <w:r w:rsidRPr="00881BC8">
        <w:rPr>
          <w:rFonts w:eastAsia="Times New Roman"/>
          <w:noProof/>
          <w:color w:val="000000"/>
          <w:lang w:val="en-GB"/>
        </w:rPr>
        <w:t>.</w:t>
      </w:r>
    </w:p>
    <w:p w14:paraId="6D085F15" w14:textId="77777777" w:rsidR="00675856" w:rsidRPr="00881BC8" w:rsidRDefault="00675856" w:rsidP="004835F8">
      <w:pPr>
        <w:pStyle w:val="AnnexLevel2"/>
        <w:rPr>
          <w:noProof/>
          <w:lang w:val="en-GB"/>
        </w:rPr>
      </w:pPr>
      <w:r w:rsidRPr="00881BC8">
        <w:rPr>
          <w:noProof/>
          <w:lang w:val="en-GB"/>
        </w:rPr>
        <w:t>Double materiality</w:t>
      </w:r>
    </w:p>
    <w:p w14:paraId="753490DA" w14:textId="77777777" w:rsidR="00675856" w:rsidRPr="00881BC8" w:rsidRDefault="00675856" w:rsidP="004835F8">
      <w:pPr>
        <w:pStyle w:val="NormalPara"/>
        <w:rPr>
          <w:noProof/>
          <w:lang w:val="en-GB"/>
        </w:rPr>
      </w:pPr>
      <w:r w:rsidRPr="00881BC8">
        <w:rPr>
          <w:noProof/>
          <w:lang w:val="en-GB"/>
        </w:rPr>
        <w:t>CSRD requires undertakings to report both on the impacts of the activities of the undertaking on people and the environment (impact materiality), and on how sustainability matters affect the undertaking (financial materiality). More specifically:</w:t>
      </w:r>
    </w:p>
    <w:p w14:paraId="7CA5EE82" w14:textId="77777777" w:rsidR="00675856" w:rsidRPr="00881BC8" w:rsidRDefault="00675856" w:rsidP="004835F8">
      <w:pPr>
        <w:numPr>
          <w:ilvl w:val="0"/>
          <w:numId w:val="43"/>
        </w:numPr>
        <w:spacing w:after="0"/>
        <w:contextualSpacing/>
        <w:rPr>
          <w:rFonts w:eastAsia="Times New Roman"/>
          <w:noProof/>
          <w:color w:val="000000"/>
        </w:rPr>
      </w:pPr>
      <w:r w:rsidRPr="00881BC8">
        <w:rPr>
          <w:rFonts w:eastAsia="Times New Roman"/>
          <w:noProof/>
          <w:color w:val="000000"/>
        </w:rPr>
        <w:t xml:space="preserve">A sustainability matter is material from a </w:t>
      </w:r>
      <w:r w:rsidRPr="00881BC8">
        <w:rPr>
          <w:rFonts w:eastAsia="Times New Roman"/>
          <w:noProof/>
          <w:color w:val="000000"/>
          <w:u w:val="single"/>
        </w:rPr>
        <w:t>financial</w:t>
      </w:r>
      <w:r w:rsidRPr="00881BC8">
        <w:rPr>
          <w:rFonts w:eastAsia="Times New Roman"/>
          <w:noProof/>
          <w:color w:val="000000"/>
        </w:rPr>
        <w:t xml:space="preserve"> perspective if it triggers or may trigger material financial effects on the undertaking (when it generates risks or opportunities that have an influence (or are likely to have an influence) on the undertaking’s cash flows, performance, position, development, cost of capital or access to finance in the short, medium- and long-term time horizons.).</w:t>
      </w:r>
    </w:p>
    <w:p w14:paraId="04BBE00D" w14:textId="4DB6259B" w:rsidR="00675856" w:rsidRPr="00881BC8" w:rsidRDefault="00675856" w:rsidP="004835F8">
      <w:pPr>
        <w:numPr>
          <w:ilvl w:val="0"/>
          <w:numId w:val="43"/>
        </w:numPr>
        <w:spacing w:after="0"/>
        <w:contextualSpacing/>
        <w:rPr>
          <w:rFonts w:eastAsia="Times New Roman"/>
          <w:noProof/>
          <w:color w:val="000000"/>
        </w:rPr>
      </w:pPr>
      <w:r w:rsidRPr="00881BC8">
        <w:rPr>
          <w:rFonts w:eastAsia="Times New Roman"/>
          <w:noProof/>
          <w:color w:val="000000"/>
        </w:rPr>
        <w:t xml:space="preserve">A sustainability matter is material from an </w:t>
      </w:r>
      <w:r w:rsidRPr="00881BC8">
        <w:rPr>
          <w:rFonts w:eastAsia="Times New Roman"/>
          <w:noProof/>
          <w:color w:val="000000"/>
          <w:u w:val="single"/>
        </w:rPr>
        <w:t>impact</w:t>
      </w:r>
      <w:r w:rsidRPr="00881BC8">
        <w:rPr>
          <w:rFonts w:eastAsia="Times New Roman"/>
          <w:noProof/>
          <w:color w:val="000000"/>
        </w:rPr>
        <w:t xml:space="preserve"> perspective when it pertains to the undertaking’s material actual or potential, positive or negative impacts on people or the environment over the short-, medium- and long-term time horizons. A material sustainability matter from an impact perspective includes impacts caused or contributed to by the undertaking and impacts which are directly linked to the undertaking’s operations, products, and services through its business relationships.</w:t>
      </w:r>
    </w:p>
    <w:p w14:paraId="5FCD8E10" w14:textId="77777777" w:rsidR="00B44C0E" w:rsidRPr="00881BC8" w:rsidRDefault="00B44C0E" w:rsidP="00B44C0E">
      <w:pPr>
        <w:spacing w:after="0"/>
        <w:ind w:left="360"/>
        <w:contextualSpacing/>
        <w:rPr>
          <w:rFonts w:eastAsia="Times New Roman"/>
          <w:noProof/>
          <w:color w:val="000000"/>
        </w:rPr>
      </w:pPr>
    </w:p>
    <w:p w14:paraId="25E83B7B" w14:textId="45DA4AC6" w:rsidR="00675856" w:rsidRPr="00881BC8" w:rsidRDefault="00675856" w:rsidP="004835F8">
      <w:pPr>
        <w:pStyle w:val="NormalPara"/>
        <w:rPr>
          <w:bCs/>
          <w:noProof/>
          <w:lang w:val="en-GB"/>
        </w:rPr>
      </w:pPr>
      <w:r w:rsidRPr="00881BC8">
        <w:rPr>
          <w:bCs/>
          <w:noProof/>
          <w:lang w:val="en-GB"/>
        </w:rPr>
        <w:t>Undertakings should consider each materiality perspective in its own right, and should disclose information that is material from both perspectives as well as information that is material from only one perspective.</w:t>
      </w:r>
    </w:p>
    <w:p w14:paraId="593E9D99" w14:textId="77777777" w:rsidR="00675856" w:rsidRPr="00881BC8" w:rsidRDefault="00675856" w:rsidP="004835F8">
      <w:pPr>
        <w:pStyle w:val="NormalPara"/>
        <w:rPr>
          <w:bCs/>
          <w:noProof/>
          <w:lang w:val="en-GB"/>
        </w:rPr>
      </w:pPr>
      <w:r w:rsidRPr="00881BC8">
        <w:rPr>
          <w:bCs/>
          <w:noProof/>
          <w:lang w:val="en-GB"/>
        </w:rPr>
        <w:t>If the undertaking concludes that a topic is not material and therefore it omits all the Disclosure Requirements in a topical ESRS, it shall briefly explain the conclusions of its materiality assessment for the topic.</w:t>
      </w:r>
    </w:p>
    <w:p w14:paraId="5230CE19" w14:textId="57A83F58" w:rsidR="00675856" w:rsidRPr="00881BC8" w:rsidRDefault="00675856" w:rsidP="004835F8">
      <w:pPr>
        <w:pStyle w:val="NormalPara"/>
        <w:rPr>
          <w:bCs/>
          <w:noProof/>
          <w:color w:val="000000" w:themeColor="text1"/>
          <w:lang w:val="en-GB"/>
        </w:rPr>
      </w:pPr>
      <w:r w:rsidRPr="00881BC8">
        <w:rPr>
          <w:bCs/>
          <w:noProof/>
          <w:color w:val="000000" w:themeColor="text1"/>
          <w:lang w:val="en-GB"/>
        </w:rPr>
        <w:t>Companies subject to the CSRD will have to report according to European Sustainability Reporting Standards (ESRS). The draft standards are developed by the </w:t>
      </w:r>
      <w:r w:rsidR="00013627" w:rsidRPr="00881BC8">
        <w:rPr>
          <w:bCs/>
          <w:noProof/>
          <w:color w:val="000000" w:themeColor="text1"/>
          <w:lang w:val="en-GB"/>
        </w:rPr>
        <w:t>European Financial Reporting Advisory Group (</w:t>
      </w:r>
      <w:hyperlink r:id="rId76" w:history="1">
        <w:r w:rsidRPr="00881BC8">
          <w:rPr>
            <w:rStyle w:val="Hyperlink"/>
            <w:bCs/>
            <w:noProof/>
            <w:lang w:val="en-GB"/>
          </w:rPr>
          <w:t>EFRAG</w:t>
        </w:r>
        <w:r w:rsidR="00013627" w:rsidRPr="00881BC8">
          <w:rPr>
            <w:rStyle w:val="Hyperlink"/>
            <w:bCs/>
            <w:noProof/>
            <w:lang w:val="en-GB"/>
          </w:rPr>
          <w:t>)</w:t>
        </w:r>
        <w:r w:rsidRPr="00881BC8">
          <w:rPr>
            <w:bCs/>
            <w:noProof/>
            <w:color w:val="000000" w:themeColor="text1"/>
            <w:vertAlign w:val="superscript"/>
            <w:lang w:val="en-GB"/>
          </w:rPr>
          <w:footnoteReference w:id="255"/>
        </w:r>
      </w:hyperlink>
      <w:r w:rsidRPr="00881BC8">
        <w:rPr>
          <w:bCs/>
          <w:noProof/>
          <w:color w:val="000000" w:themeColor="text1"/>
          <w:lang w:val="en-GB"/>
        </w:rPr>
        <w:t>. The standards will be tailored to EU policies, while building on and contributing to international standardisation initiatives. The Commission will adopt standards through delegated acts. A first set of standards will be adopted by 30 June 2023, based on the </w:t>
      </w:r>
      <w:hyperlink r:id="rId77" w:history="1">
        <w:r w:rsidRPr="00881BC8">
          <w:rPr>
            <w:bCs/>
            <w:noProof/>
            <w:color w:val="000000" w:themeColor="text1"/>
            <w:lang w:val="en-GB"/>
          </w:rPr>
          <w:t>draft standards published by EFRAG</w:t>
        </w:r>
      </w:hyperlink>
      <w:r w:rsidRPr="00881BC8">
        <w:rPr>
          <w:bCs/>
          <w:noProof/>
          <w:color w:val="000000" w:themeColor="text1"/>
          <w:lang w:val="en-GB"/>
        </w:rPr>
        <w:t xml:space="preserve"> in November 2022</w:t>
      </w:r>
      <w:r w:rsidRPr="00881BC8">
        <w:rPr>
          <w:rStyle w:val="FootnoteReference"/>
          <w:bCs/>
          <w:noProof/>
          <w:color w:val="000000" w:themeColor="text1"/>
          <w:lang w:val="en-GB"/>
        </w:rPr>
        <w:footnoteReference w:id="256"/>
      </w:r>
      <w:r w:rsidRPr="00881BC8">
        <w:rPr>
          <w:bCs/>
          <w:noProof/>
          <w:color w:val="000000" w:themeColor="text1"/>
          <w:lang w:val="en-GB"/>
        </w:rPr>
        <w:t xml:space="preserve">. Sector-specific standards as well as simplified standards for listed SMEs will have to be adopted by June 2024. Standards will come into force </w:t>
      </w:r>
      <w:r w:rsidR="00C12906" w:rsidRPr="00881BC8">
        <w:rPr>
          <w:bCs/>
          <w:noProof/>
          <w:color w:val="000000" w:themeColor="text1"/>
          <w:lang w:val="en-GB"/>
        </w:rPr>
        <w:t>no earlier than 4 months after their adoption and will have to be reviewed every 3 years</w:t>
      </w:r>
      <w:r w:rsidRPr="00881BC8">
        <w:rPr>
          <w:bCs/>
          <w:noProof/>
          <w:color w:val="000000" w:themeColor="text1"/>
          <w:lang w:val="en-GB"/>
        </w:rPr>
        <w:t>.</w:t>
      </w:r>
    </w:p>
    <w:p w14:paraId="355F74EB" w14:textId="77777777" w:rsidR="00675856" w:rsidRPr="00881BC8" w:rsidRDefault="00675856" w:rsidP="004835F8">
      <w:pPr>
        <w:pStyle w:val="AnnexLevel2"/>
        <w:rPr>
          <w:noProof/>
          <w:lang w:val="en-GB"/>
        </w:rPr>
      </w:pPr>
      <w:r w:rsidRPr="00881BC8">
        <w:rPr>
          <w:noProof/>
          <w:lang w:val="en-GB"/>
        </w:rPr>
        <w:t>Payment practices’ disclosure</w:t>
      </w:r>
    </w:p>
    <w:p w14:paraId="2A151B10" w14:textId="6DEF2DC7" w:rsidR="00675856" w:rsidRPr="00881BC8" w:rsidRDefault="00675856" w:rsidP="004835F8">
      <w:pPr>
        <w:pStyle w:val="NormalPara"/>
        <w:rPr>
          <w:noProof/>
          <w:lang w:val="en-GB"/>
        </w:rPr>
      </w:pPr>
      <w:r w:rsidRPr="00881BC8">
        <w:rPr>
          <w:noProof/>
          <w:lang w:val="en-GB"/>
        </w:rPr>
        <w:t xml:space="preserve">CSRD recognises that </w:t>
      </w:r>
      <w:r w:rsidR="00303DFA" w:rsidRPr="00881BC8">
        <w:rPr>
          <w:noProof/>
          <w:lang w:val="en-GB"/>
        </w:rPr>
        <w:t>‘</w:t>
      </w:r>
      <w:r w:rsidRPr="00881BC8">
        <w:rPr>
          <w:noProof/>
          <w:lang w:val="en-GB"/>
        </w:rPr>
        <w:t>information about the management of the undertaking and the quality of relationships with customers, suppliers and communities affected by the activities of the undertaking, helps users to understand an undertaking’s risks and impacts related to sustainability matters. Information about relationships with suppliers includes payment practices relating to the date or period for payment, the rate of interest for late payment or the compensation for recovery costs referred to in Directive 2011/7/EU of the European Parliament and of the Council</w:t>
      </w:r>
      <w:r w:rsidR="00303DFA" w:rsidRPr="00881BC8">
        <w:rPr>
          <w:noProof/>
          <w:lang w:val="en-GB"/>
        </w:rPr>
        <w:t>’</w:t>
      </w:r>
      <w:r w:rsidRPr="00881BC8">
        <w:rPr>
          <w:noProof/>
          <w:lang w:val="en-GB"/>
        </w:rPr>
        <w:t xml:space="preserve"> and that </w:t>
      </w:r>
      <w:r w:rsidR="00303DFA" w:rsidRPr="00881BC8">
        <w:rPr>
          <w:noProof/>
          <w:lang w:val="en-GB"/>
        </w:rPr>
        <w:t>‘</w:t>
      </w:r>
      <w:r w:rsidRPr="00881BC8">
        <w:rPr>
          <w:noProof/>
          <w:lang w:val="en-GB"/>
        </w:rPr>
        <w:t>Increasing the amount of information about payment practices should empower other undertakings to identify prompt and reliable payers, detect unfair payment practices, access information about the businesses they trade with, and negotiate fairer payment terms</w:t>
      </w:r>
      <w:r w:rsidR="00303DFA" w:rsidRPr="00881BC8">
        <w:rPr>
          <w:noProof/>
          <w:lang w:val="en-GB"/>
        </w:rPr>
        <w:t>’</w:t>
      </w:r>
      <w:r w:rsidRPr="00881BC8">
        <w:rPr>
          <w:noProof/>
          <w:lang w:val="en-GB"/>
        </w:rPr>
        <w:t>.</w:t>
      </w:r>
    </w:p>
    <w:p w14:paraId="06BBF76D" w14:textId="3FCFDD1B" w:rsidR="00675856" w:rsidRPr="00881BC8" w:rsidRDefault="00675856" w:rsidP="004835F8">
      <w:pPr>
        <w:pStyle w:val="NormalPara"/>
        <w:rPr>
          <w:noProof/>
          <w:lang w:val="en-GB"/>
        </w:rPr>
      </w:pPr>
      <w:r w:rsidRPr="00881BC8">
        <w:rPr>
          <w:noProof/>
          <w:lang w:val="en-GB"/>
        </w:rPr>
        <w:t>Therefore, payment practices have been singled out as a specific category of information that has to be included in the governance factors of the sustainability reporting standards.</w:t>
      </w:r>
      <w:r w:rsidR="00C24B75" w:rsidRPr="00881BC8">
        <w:rPr>
          <w:noProof/>
          <w:lang w:val="en-GB"/>
        </w:rPr>
        <w:t xml:space="preserve"> </w:t>
      </w:r>
      <w:r w:rsidR="00303DFA" w:rsidRPr="00881BC8">
        <w:rPr>
          <w:noProof/>
          <w:lang w:val="en-GB"/>
        </w:rPr>
        <w:t>’</w:t>
      </w:r>
      <w:r w:rsidR="00C24B75" w:rsidRPr="00881BC8">
        <w:rPr>
          <w:noProof/>
          <w:lang w:val="en-GB"/>
        </w:rPr>
        <w:t>T</w:t>
      </w:r>
      <w:r w:rsidRPr="00881BC8">
        <w:rPr>
          <w:noProof/>
          <w:lang w:val="en-GB"/>
        </w:rPr>
        <w:t>he management and quality of relationships with customers, suppliers and communities affected by the activities of the undertaking, including payment practices, especially with regard to late payment to small and medium-sized undertakings</w:t>
      </w:r>
      <w:r w:rsidR="00303DFA" w:rsidRPr="00881BC8">
        <w:rPr>
          <w:noProof/>
          <w:lang w:val="en-GB"/>
        </w:rPr>
        <w:t>’</w:t>
      </w:r>
      <w:r w:rsidR="00204D50" w:rsidRPr="00881BC8">
        <w:rPr>
          <w:noProof/>
          <w:lang w:val="en-GB"/>
        </w:rPr>
        <w:t>.</w:t>
      </w:r>
    </w:p>
    <w:p w14:paraId="740FD66E" w14:textId="77777777" w:rsidR="00675856" w:rsidRPr="00881BC8" w:rsidRDefault="00675856" w:rsidP="00675856">
      <w:pPr>
        <w:pBdr>
          <w:top w:val="single" w:sz="4" w:space="1" w:color="auto"/>
          <w:left w:val="single" w:sz="4" w:space="4" w:color="auto"/>
          <w:bottom w:val="single" w:sz="4" w:space="1" w:color="auto"/>
          <w:right w:val="single" w:sz="4" w:space="4" w:color="auto"/>
        </w:pBdr>
        <w:rPr>
          <w:rFonts w:asciiTheme="minorHAnsi" w:eastAsia="Times New Roman" w:hAnsiTheme="minorHAnsi" w:cstheme="minorHAnsi"/>
          <w:b/>
          <w:noProof/>
          <w:color w:val="000000"/>
          <w:sz w:val="20"/>
          <w:szCs w:val="20"/>
        </w:rPr>
      </w:pPr>
      <w:r w:rsidRPr="00881BC8">
        <w:rPr>
          <w:rFonts w:asciiTheme="minorHAnsi" w:eastAsia="Times New Roman" w:hAnsiTheme="minorHAnsi" w:cstheme="minorHAnsi"/>
          <w:b/>
          <w:noProof/>
          <w:color w:val="000000"/>
          <w:sz w:val="20"/>
          <w:szCs w:val="20"/>
        </w:rPr>
        <w:t>EFRAG draft standard ESRS G1 Business conduct, Disclosure Requirement G1-6</w:t>
      </w:r>
    </w:p>
    <w:p w14:paraId="1EA21EE4" w14:textId="77777777" w:rsidR="00675856" w:rsidRPr="00881BC8" w:rsidRDefault="00675856" w:rsidP="00675856">
      <w:pPr>
        <w:pBdr>
          <w:top w:val="single" w:sz="4" w:space="1" w:color="auto"/>
          <w:left w:val="single" w:sz="4" w:space="4" w:color="auto"/>
          <w:bottom w:val="single" w:sz="4" w:space="1" w:color="auto"/>
          <w:right w:val="single" w:sz="4" w:space="4" w:color="auto"/>
        </w:pBdr>
        <w:rPr>
          <w:rFonts w:asciiTheme="minorHAnsi" w:eastAsia="Times New Roman" w:hAnsiTheme="minorHAnsi" w:cstheme="minorHAnsi"/>
          <w:noProof/>
          <w:color w:val="000000"/>
          <w:sz w:val="20"/>
          <w:szCs w:val="20"/>
        </w:rPr>
      </w:pPr>
      <w:r w:rsidRPr="00881BC8">
        <w:rPr>
          <w:rFonts w:asciiTheme="minorHAnsi" w:eastAsia="Times New Roman" w:hAnsiTheme="minorHAnsi" w:cstheme="minorHAnsi"/>
          <w:noProof/>
          <w:color w:val="000000"/>
          <w:sz w:val="20"/>
          <w:szCs w:val="20"/>
        </w:rPr>
        <w:t>Draft ESRS G1 Business Conduct covers all governance-related disclosures, including payment practices. ESRS G1 has to be read in conjunction with ESRS 1 General Principles and ESRS General requirements. In ESRS 2, EFRAG proposes that some governance disclosures included in this ESRS G1 are subject to materiality assessment (i.e. they have to be disclosed only if material for the company in question –the double materiality principle applies-), namely the payment practices disclosure.</w:t>
      </w:r>
    </w:p>
    <w:p w14:paraId="4C87DE14" w14:textId="67B88C6F" w:rsidR="00675856" w:rsidRPr="00881BC8" w:rsidRDefault="00303DFA" w:rsidP="00675856">
      <w:pPr>
        <w:pBdr>
          <w:top w:val="single" w:sz="4" w:space="1" w:color="auto"/>
          <w:left w:val="single" w:sz="4" w:space="4" w:color="auto"/>
          <w:bottom w:val="single" w:sz="4" w:space="1" w:color="auto"/>
          <w:right w:val="single" w:sz="4" w:space="4" w:color="auto"/>
        </w:pBdr>
        <w:rPr>
          <w:rFonts w:asciiTheme="minorHAnsi" w:eastAsia="Times New Roman" w:hAnsiTheme="minorHAnsi" w:cstheme="minorHAnsi"/>
          <w:i/>
          <w:noProof/>
          <w:color w:val="000000"/>
          <w:sz w:val="20"/>
          <w:szCs w:val="20"/>
        </w:rPr>
      </w:pPr>
      <w:r w:rsidRPr="00881BC8">
        <w:rPr>
          <w:rFonts w:asciiTheme="minorHAnsi" w:eastAsia="Times New Roman" w:hAnsiTheme="minorHAnsi" w:cstheme="minorHAnsi"/>
          <w:noProof/>
          <w:color w:val="000000"/>
          <w:sz w:val="20"/>
          <w:szCs w:val="20"/>
        </w:rPr>
        <w:t>‘</w:t>
      </w:r>
      <w:r w:rsidR="00675856" w:rsidRPr="00881BC8">
        <w:rPr>
          <w:rFonts w:asciiTheme="minorHAnsi" w:eastAsia="Times New Roman" w:hAnsiTheme="minorHAnsi" w:cstheme="minorHAnsi"/>
          <w:i/>
          <w:noProof/>
          <w:color w:val="000000"/>
          <w:sz w:val="20"/>
          <w:szCs w:val="20"/>
        </w:rPr>
        <w:t>31. The undertaking shall provide information on its payment practices to support transparency about these practices given the importance of timely cash flows to business partners, especially with respect to late payments to small and medium enterprises (SMEs).</w:t>
      </w:r>
    </w:p>
    <w:p w14:paraId="135F8986" w14:textId="77777777" w:rsidR="00675856" w:rsidRPr="00881BC8" w:rsidRDefault="00675856" w:rsidP="00675856">
      <w:pPr>
        <w:pBdr>
          <w:top w:val="single" w:sz="4" w:space="1" w:color="auto"/>
          <w:left w:val="single" w:sz="4" w:space="4" w:color="auto"/>
          <w:bottom w:val="single" w:sz="4" w:space="1" w:color="auto"/>
          <w:right w:val="single" w:sz="4" w:space="4" w:color="auto"/>
        </w:pBdr>
        <w:rPr>
          <w:rFonts w:asciiTheme="minorHAnsi" w:eastAsia="Times New Roman" w:hAnsiTheme="minorHAnsi" w:cstheme="minorHAnsi"/>
          <w:i/>
          <w:noProof/>
          <w:color w:val="000000"/>
          <w:sz w:val="20"/>
          <w:szCs w:val="20"/>
        </w:rPr>
      </w:pPr>
      <w:r w:rsidRPr="00881BC8">
        <w:rPr>
          <w:rFonts w:asciiTheme="minorHAnsi" w:eastAsia="Times New Roman" w:hAnsiTheme="minorHAnsi" w:cstheme="minorHAnsi"/>
          <w:i/>
          <w:noProof/>
          <w:color w:val="000000"/>
          <w:sz w:val="20"/>
          <w:szCs w:val="20"/>
        </w:rPr>
        <w:t>32. The objective of this Disclosure Requirement is to provide insights on the contractual payment terms and the average actual payment terms especially as to how these impact SMEs and specifically with respect to late payments to SMEs.</w:t>
      </w:r>
    </w:p>
    <w:p w14:paraId="532B8E81" w14:textId="77777777" w:rsidR="00675856" w:rsidRPr="00881BC8" w:rsidRDefault="00675856" w:rsidP="00675856">
      <w:pPr>
        <w:pBdr>
          <w:top w:val="single" w:sz="4" w:space="1" w:color="auto"/>
          <w:left w:val="single" w:sz="4" w:space="4" w:color="auto"/>
          <w:bottom w:val="single" w:sz="4" w:space="1" w:color="auto"/>
          <w:right w:val="single" w:sz="4" w:space="4" w:color="auto"/>
        </w:pBdr>
        <w:rPr>
          <w:rFonts w:asciiTheme="minorHAnsi" w:eastAsia="Times New Roman" w:hAnsiTheme="minorHAnsi" w:cstheme="minorHAnsi"/>
          <w:i/>
          <w:noProof/>
          <w:color w:val="000000"/>
          <w:sz w:val="20"/>
          <w:szCs w:val="20"/>
        </w:rPr>
      </w:pPr>
      <w:r w:rsidRPr="00881BC8">
        <w:rPr>
          <w:rFonts w:asciiTheme="minorHAnsi" w:eastAsia="Times New Roman" w:hAnsiTheme="minorHAnsi" w:cstheme="minorHAnsi"/>
          <w:i/>
          <w:noProof/>
          <w:color w:val="000000"/>
          <w:sz w:val="20"/>
          <w:szCs w:val="20"/>
        </w:rPr>
        <w:t>33. The disclosure under paragraph 31 shall include:</w:t>
      </w:r>
    </w:p>
    <w:p w14:paraId="4906C6E0" w14:textId="7B2893FD" w:rsidR="00675856" w:rsidRPr="00881BC8" w:rsidRDefault="00675856" w:rsidP="00675856">
      <w:pPr>
        <w:pBdr>
          <w:top w:val="single" w:sz="4" w:space="1" w:color="auto"/>
          <w:left w:val="single" w:sz="4" w:space="4" w:color="auto"/>
          <w:bottom w:val="single" w:sz="4" w:space="1" w:color="auto"/>
          <w:right w:val="single" w:sz="4" w:space="4" w:color="auto"/>
        </w:pBdr>
        <w:rPr>
          <w:rFonts w:asciiTheme="minorHAnsi" w:eastAsia="Times New Roman" w:hAnsiTheme="minorHAnsi" w:cstheme="minorHAnsi"/>
          <w:i/>
          <w:noProof/>
          <w:color w:val="000000"/>
          <w:sz w:val="20"/>
          <w:szCs w:val="20"/>
        </w:rPr>
      </w:pPr>
      <w:r w:rsidRPr="00881BC8">
        <w:rPr>
          <w:rFonts w:asciiTheme="minorHAnsi" w:eastAsia="Times New Roman" w:hAnsiTheme="minorHAnsi" w:cstheme="minorHAnsi"/>
          <w:i/>
          <w:noProof/>
          <w:color w:val="000000"/>
          <w:sz w:val="20"/>
          <w:szCs w:val="20"/>
        </w:rPr>
        <w:t xml:space="preserve">(a) the average time the undertaking takes to pay an invoice from the date when the contractual or </w:t>
      </w:r>
      <w:r w:rsidR="00E752E7" w:rsidRPr="00881BC8">
        <w:rPr>
          <w:rFonts w:asciiTheme="minorHAnsi" w:eastAsia="Times New Roman" w:hAnsiTheme="minorHAnsi" w:cstheme="minorHAnsi"/>
          <w:i/>
          <w:noProof/>
          <w:color w:val="000000"/>
          <w:sz w:val="20"/>
          <w:szCs w:val="20"/>
        </w:rPr>
        <w:t>legal</w:t>
      </w:r>
      <w:r w:rsidRPr="00881BC8">
        <w:rPr>
          <w:rFonts w:asciiTheme="minorHAnsi" w:eastAsia="Times New Roman" w:hAnsiTheme="minorHAnsi" w:cstheme="minorHAnsi"/>
          <w:i/>
          <w:noProof/>
          <w:color w:val="000000"/>
          <w:sz w:val="20"/>
          <w:szCs w:val="20"/>
        </w:rPr>
        <w:t xml:space="preserve"> term of payment starts to be calculated, in number of days;</w:t>
      </w:r>
    </w:p>
    <w:p w14:paraId="24085B50" w14:textId="77777777" w:rsidR="00675856" w:rsidRPr="00881BC8" w:rsidRDefault="00675856" w:rsidP="00675856">
      <w:pPr>
        <w:pBdr>
          <w:top w:val="single" w:sz="4" w:space="1" w:color="auto"/>
          <w:left w:val="single" w:sz="4" w:space="4" w:color="auto"/>
          <w:bottom w:val="single" w:sz="4" w:space="1" w:color="auto"/>
          <w:right w:val="single" w:sz="4" w:space="4" w:color="auto"/>
        </w:pBdr>
        <w:rPr>
          <w:rFonts w:asciiTheme="minorHAnsi" w:eastAsia="Times New Roman" w:hAnsiTheme="minorHAnsi" w:cstheme="minorHAnsi"/>
          <w:i/>
          <w:noProof/>
          <w:color w:val="000000"/>
          <w:sz w:val="20"/>
          <w:szCs w:val="20"/>
        </w:rPr>
      </w:pPr>
      <w:r w:rsidRPr="00881BC8">
        <w:rPr>
          <w:rFonts w:asciiTheme="minorHAnsi" w:eastAsia="Times New Roman" w:hAnsiTheme="minorHAnsi" w:cstheme="minorHAnsi"/>
          <w:i/>
          <w:noProof/>
          <w:color w:val="000000"/>
          <w:sz w:val="20"/>
          <w:szCs w:val="20"/>
        </w:rPr>
        <w:t>(b) a description of the undertaking’s standard payment terms in number of days by main category of suppliers and the percentage of its payments aligned with these standard terms;</w:t>
      </w:r>
    </w:p>
    <w:p w14:paraId="6FA3E107" w14:textId="77777777" w:rsidR="00675856" w:rsidRPr="00881BC8" w:rsidRDefault="00675856" w:rsidP="00675856">
      <w:pPr>
        <w:pBdr>
          <w:top w:val="single" w:sz="4" w:space="1" w:color="auto"/>
          <w:left w:val="single" w:sz="4" w:space="4" w:color="auto"/>
          <w:bottom w:val="single" w:sz="4" w:space="1" w:color="auto"/>
          <w:right w:val="single" w:sz="4" w:space="4" w:color="auto"/>
        </w:pBdr>
        <w:rPr>
          <w:rFonts w:asciiTheme="minorHAnsi" w:eastAsia="Times New Roman" w:hAnsiTheme="minorHAnsi" w:cstheme="minorHAnsi"/>
          <w:i/>
          <w:noProof/>
          <w:color w:val="000000"/>
          <w:sz w:val="20"/>
          <w:szCs w:val="20"/>
        </w:rPr>
      </w:pPr>
      <w:r w:rsidRPr="00881BC8">
        <w:rPr>
          <w:rFonts w:asciiTheme="minorHAnsi" w:eastAsia="Times New Roman" w:hAnsiTheme="minorHAnsi" w:cstheme="minorHAnsi"/>
          <w:i/>
          <w:noProof/>
          <w:color w:val="000000"/>
          <w:sz w:val="20"/>
          <w:szCs w:val="20"/>
        </w:rPr>
        <w:t>(c) the number of legal proceedings (currently outstanding) during the reporting period for late payments; and</w:t>
      </w:r>
    </w:p>
    <w:p w14:paraId="7CFCC8FE" w14:textId="77777777" w:rsidR="00675856" w:rsidRPr="00881BC8" w:rsidRDefault="00675856" w:rsidP="00675856">
      <w:pPr>
        <w:pBdr>
          <w:top w:val="single" w:sz="4" w:space="1" w:color="auto"/>
          <w:left w:val="single" w:sz="4" w:space="4" w:color="auto"/>
          <w:bottom w:val="single" w:sz="4" w:space="1" w:color="auto"/>
          <w:right w:val="single" w:sz="4" w:space="4" w:color="auto"/>
        </w:pBdr>
        <w:rPr>
          <w:rFonts w:asciiTheme="minorHAnsi" w:eastAsia="Times New Roman" w:hAnsiTheme="minorHAnsi" w:cstheme="minorHAnsi"/>
          <w:i/>
          <w:noProof/>
          <w:color w:val="000000"/>
          <w:sz w:val="20"/>
          <w:szCs w:val="20"/>
        </w:rPr>
      </w:pPr>
      <w:r w:rsidRPr="00881BC8">
        <w:rPr>
          <w:rFonts w:asciiTheme="minorHAnsi" w:eastAsia="Times New Roman" w:hAnsiTheme="minorHAnsi" w:cstheme="minorHAnsi"/>
          <w:i/>
          <w:noProof/>
          <w:color w:val="000000"/>
          <w:sz w:val="20"/>
          <w:szCs w:val="20"/>
        </w:rPr>
        <w:t>(d) complementary information necessary to provide sufficient context.</w:t>
      </w:r>
    </w:p>
    <w:p w14:paraId="08B7B76E" w14:textId="77777777" w:rsidR="00675856" w:rsidRPr="00881BC8" w:rsidRDefault="00675856" w:rsidP="00675856">
      <w:pPr>
        <w:pBdr>
          <w:top w:val="single" w:sz="4" w:space="1" w:color="auto"/>
          <w:left w:val="single" w:sz="4" w:space="4" w:color="auto"/>
          <w:bottom w:val="single" w:sz="4" w:space="1" w:color="auto"/>
          <w:right w:val="single" w:sz="4" w:space="4" w:color="auto"/>
        </w:pBdr>
        <w:rPr>
          <w:rFonts w:asciiTheme="minorHAnsi" w:eastAsia="Times New Roman" w:hAnsiTheme="minorHAnsi" w:cstheme="minorHAnsi"/>
          <w:i/>
          <w:noProof/>
          <w:color w:val="000000"/>
          <w:sz w:val="20"/>
          <w:szCs w:val="20"/>
        </w:rPr>
      </w:pPr>
      <w:r w:rsidRPr="00881BC8">
        <w:rPr>
          <w:rFonts w:asciiTheme="minorHAnsi" w:eastAsia="Times New Roman" w:hAnsiTheme="minorHAnsi" w:cstheme="minorHAnsi"/>
          <w:i/>
          <w:noProof/>
          <w:color w:val="000000"/>
          <w:sz w:val="20"/>
          <w:szCs w:val="20"/>
        </w:rPr>
        <w:t xml:space="preserve"> AR 15. In some cases, the undertaking’s standard contractual payment terms may differ significantly depending on country or type of supplier. In such cases, information about the standard terms per main categories of suppliers or country or geographical region could be examples of additional contextual information to explain the disclosures in paragraph 33 (b).</w:t>
      </w:r>
    </w:p>
    <w:p w14:paraId="0B04B3E2" w14:textId="77777777" w:rsidR="00675856" w:rsidRPr="00881BC8" w:rsidRDefault="00675856" w:rsidP="00675856">
      <w:pPr>
        <w:pBdr>
          <w:top w:val="single" w:sz="4" w:space="1" w:color="auto"/>
          <w:left w:val="single" w:sz="4" w:space="4" w:color="auto"/>
          <w:bottom w:val="single" w:sz="4" w:space="1" w:color="auto"/>
          <w:right w:val="single" w:sz="4" w:space="4" w:color="auto"/>
        </w:pBdr>
        <w:rPr>
          <w:rFonts w:asciiTheme="minorHAnsi" w:eastAsia="Times New Roman" w:hAnsiTheme="minorHAnsi" w:cstheme="minorHAnsi"/>
          <w:i/>
          <w:noProof/>
          <w:color w:val="000000"/>
          <w:sz w:val="20"/>
          <w:szCs w:val="20"/>
        </w:rPr>
      </w:pPr>
      <w:r w:rsidRPr="00881BC8">
        <w:rPr>
          <w:rFonts w:asciiTheme="minorHAnsi" w:eastAsia="Times New Roman" w:hAnsiTheme="minorHAnsi" w:cstheme="minorHAnsi"/>
          <w:i/>
          <w:noProof/>
          <w:color w:val="000000"/>
          <w:sz w:val="20"/>
          <w:szCs w:val="20"/>
        </w:rPr>
        <w:t>AR 16. An example of what the description of standard contract term disclosures in paragraph 33 (b) could look like:</w:t>
      </w:r>
    </w:p>
    <w:p w14:paraId="4E758C10" w14:textId="7CB483E9" w:rsidR="00675856" w:rsidRPr="00881BC8" w:rsidRDefault="00675856" w:rsidP="00675856">
      <w:pPr>
        <w:pBdr>
          <w:top w:val="single" w:sz="4" w:space="1" w:color="auto"/>
          <w:left w:val="single" w:sz="4" w:space="4" w:color="auto"/>
          <w:bottom w:val="single" w:sz="4" w:space="1" w:color="auto"/>
          <w:right w:val="single" w:sz="4" w:space="4" w:color="auto"/>
        </w:pBdr>
        <w:rPr>
          <w:rFonts w:eastAsia="Times New Roman"/>
          <w:i/>
          <w:noProof/>
          <w:color w:val="000000"/>
        </w:rPr>
      </w:pPr>
      <w:r w:rsidRPr="00881BC8">
        <w:rPr>
          <w:rFonts w:asciiTheme="minorHAnsi" w:eastAsia="Times New Roman" w:hAnsiTheme="minorHAnsi" w:cstheme="minorHAnsi"/>
          <w:i/>
          <w:noProof/>
          <w:color w:val="000000"/>
          <w:sz w:val="20"/>
          <w:szCs w:val="20"/>
        </w:rPr>
        <w:t>ABC’s standard contract payment terms are payment on invoice for wholesalers which encompass approximately 80% of its annual invoices. It pays for services received within 30 days after receipt of the invoice which are about 5% of its annual invoices. The remainder of its invoices are paid within 60 days of receipt except for those in country X which in accordance with the marketplace standards are paid within 90 days of receipt.</w:t>
      </w:r>
      <w:r w:rsidR="00303DFA" w:rsidRPr="00881BC8">
        <w:rPr>
          <w:rFonts w:asciiTheme="minorHAnsi" w:eastAsia="Times New Roman" w:hAnsiTheme="minorHAnsi" w:cstheme="minorHAnsi"/>
          <w:i/>
          <w:noProof/>
          <w:color w:val="000000"/>
          <w:sz w:val="20"/>
          <w:szCs w:val="20"/>
        </w:rPr>
        <w:t>’</w:t>
      </w:r>
    </w:p>
    <w:p w14:paraId="0C4B8957" w14:textId="2DB8674A" w:rsidR="00675856" w:rsidRPr="00881BC8" w:rsidRDefault="00675856" w:rsidP="004835F8">
      <w:pPr>
        <w:pStyle w:val="NormalPara"/>
        <w:rPr>
          <w:noProof/>
          <w:lang w:val="en-GB"/>
        </w:rPr>
      </w:pPr>
      <w:r w:rsidRPr="00881BC8">
        <w:rPr>
          <w:noProof/>
          <w:lang w:val="en-GB"/>
        </w:rPr>
        <w:t xml:space="preserve">At the moment of the submission of this Impact assessment, discussions are </w:t>
      </w:r>
      <w:r w:rsidR="00115D9E" w:rsidRPr="00881BC8">
        <w:rPr>
          <w:noProof/>
          <w:lang w:val="en-GB"/>
        </w:rPr>
        <w:t>ongoing within</w:t>
      </w:r>
      <w:r w:rsidRPr="00881BC8">
        <w:rPr>
          <w:noProof/>
          <w:lang w:val="en-GB"/>
        </w:rPr>
        <w:t xml:space="preserve"> the Commission services and with EFRAG to address </w:t>
      </w:r>
      <w:r w:rsidR="001155CF" w:rsidRPr="00881BC8">
        <w:rPr>
          <w:noProof/>
          <w:lang w:val="en-GB"/>
        </w:rPr>
        <w:t>the content of these draft standards</w:t>
      </w:r>
      <w:r w:rsidR="0041118E" w:rsidRPr="00881BC8">
        <w:rPr>
          <w:noProof/>
          <w:lang w:val="en-GB"/>
        </w:rPr>
        <w:t>, an in particular elements which are currently not addressed (e.g. definition how double materiality will affect the actual reporting (see above), how payment terms are negotiated, information about percentage of payments within the standard contractual payment terms, information about percentage of payment made later than the contractual payment term, information about interests and compensation paid, alternative dispute resolution procedures offered to settle payment disputes).</w:t>
      </w:r>
      <w:r w:rsidRPr="00881BC8">
        <w:rPr>
          <w:noProof/>
          <w:lang w:val="en-GB"/>
        </w:rPr>
        <w:t xml:space="preserve"> </w:t>
      </w:r>
    </w:p>
    <w:p w14:paraId="684CECE7" w14:textId="56CED93F" w:rsidR="00675856" w:rsidRPr="00881BC8" w:rsidRDefault="00675856" w:rsidP="004835F8">
      <w:pPr>
        <w:pStyle w:val="AnnexLevel1"/>
        <w:rPr>
          <w:noProof/>
          <w:lang w:val="en-GB"/>
        </w:rPr>
      </w:pPr>
      <w:r w:rsidRPr="00881BC8">
        <w:rPr>
          <w:noProof/>
          <w:lang w:val="en-GB"/>
        </w:rPr>
        <w:t xml:space="preserve">Ensuring synergies with public procurement procedures </w:t>
      </w:r>
      <w:r w:rsidR="00115D9E" w:rsidRPr="00881BC8">
        <w:rPr>
          <w:noProof/>
          <w:lang w:val="en-GB"/>
        </w:rPr>
        <w:t>based on</w:t>
      </w:r>
      <w:r w:rsidRPr="00881BC8">
        <w:rPr>
          <w:noProof/>
          <w:lang w:val="en-GB"/>
        </w:rPr>
        <w:t xml:space="preserve"> Article 57(4) (g)</w:t>
      </w:r>
    </w:p>
    <w:p w14:paraId="6A2940A4" w14:textId="2A8AE93D" w:rsidR="00675856" w:rsidRPr="00881BC8" w:rsidRDefault="00675856" w:rsidP="004835F8">
      <w:pPr>
        <w:pStyle w:val="NormalPara"/>
        <w:rPr>
          <w:rFonts w:eastAsia="Times New Roman"/>
          <w:noProof/>
          <w:color w:val="000000"/>
          <w:lang w:val="en-GB"/>
        </w:rPr>
      </w:pPr>
      <w:r w:rsidRPr="00881BC8">
        <w:rPr>
          <w:noProof/>
          <w:lang w:val="en-GB"/>
        </w:rPr>
        <w:t xml:space="preserve">The 2019 EP Resolution pleaded for better synergies between public procurement framework and late payment objectives. In particular, the Resolution stressed </w:t>
      </w:r>
      <w:r w:rsidR="00303DFA" w:rsidRPr="00881BC8">
        <w:rPr>
          <w:noProof/>
          <w:lang w:val="en-GB"/>
        </w:rPr>
        <w:t>‘</w:t>
      </w:r>
      <w:r w:rsidRPr="00881BC8">
        <w:rPr>
          <w:rFonts w:eastAsia="Times New Roman"/>
          <w:noProof/>
          <w:color w:val="000000"/>
          <w:lang w:val="en-GB"/>
        </w:rPr>
        <w:t>the importance of public procurement as a means of improving the functioning of the single market; calls for consideration of enhanced synergies between the Late Payment Directive and public procurement rules, in particular the possibility for contracting authorities to take action to enable the exclusion of non-performing contractors from future procurements if subcontractors are not paid in time by the main contractor when it is required to do so</w:t>
      </w:r>
      <w:r w:rsidR="00303DFA" w:rsidRPr="00881BC8">
        <w:rPr>
          <w:rFonts w:eastAsia="Times New Roman"/>
          <w:noProof/>
          <w:color w:val="000000"/>
          <w:lang w:val="en-GB"/>
        </w:rPr>
        <w:t>’</w:t>
      </w:r>
      <w:r w:rsidRPr="00881BC8">
        <w:rPr>
          <w:rFonts w:eastAsia="Times New Roman"/>
          <w:noProof/>
          <w:color w:val="000000"/>
          <w:lang w:val="en-GB"/>
        </w:rPr>
        <w:t xml:space="preserve"> with explicit reference to Article 57 (4) (g) of Directive 2014/24/EU</w:t>
      </w:r>
      <w:r w:rsidR="009706D8" w:rsidRPr="00881BC8">
        <w:rPr>
          <w:rFonts w:eastAsia="Times New Roman"/>
          <w:noProof/>
          <w:color w:val="000000"/>
          <w:lang w:val="en-GB"/>
        </w:rPr>
        <w:t>.</w:t>
      </w:r>
    </w:p>
    <w:p w14:paraId="4BA1D4E7" w14:textId="77777777" w:rsidR="00675856" w:rsidRPr="00881BC8" w:rsidRDefault="00675856" w:rsidP="004835F8">
      <w:pPr>
        <w:pStyle w:val="NormalPara"/>
        <w:rPr>
          <w:rFonts w:eastAsia="Times New Roman"/>
          <w:noProof/>
          <w:color w:val="000000"/>
          <w:lang w:val="en-GB"/>
        </w:rPr>
      </w:pPr>
      <w:r w:rsidRPr="00881BC8">
        <w:rPr>
          <w:rFonts w:eastAsia="Times New Roman"/>
          <w:noProof/>
          <w:color w:val="000000"/>
          <w:lang w:val="en-GB"/>
        </w:rPr>
        <w:t xml:space="preserve">This option has been discarded on the grounds of legal and technical feasibility. The issue was indeed assessed in the Economisti Study 2022, which presented the complexity of this solution, and its several legal uncertainties. The information below is extracted from the Economisti Study. </w:t>
      </w:r>
    </w:p>
    <w:p w14:paraId="1A718F64" w14:textId="77777777" w:rsidR="00675856" w:rsidRPr="00881BC8" w:rsidRDefault="00675856" w:rsidP="004835F8">
      <w:pPr>
        <w:pStyle w:val="NormalPara"/>
        <w:rPr>
          <w:noProof/>
          <w:lang w:val="en-GB"/>
        </w:rPr>
      </w:pPr>
      <w:r w:rsidRPr="00881BC8">
        <w:rPr>
          <w:noProof/>
          <w:lang w:val="en-GB" w:eastAsia="en-GB"/>
        </w:rPr>
        <mc:AlternateContent>
          <mc:Choice Requires="wps">
            <w:drawing>
              <wp:anchor distT="45720" distB="45720" distL="114300" distR="114300" simplePos="0" relativeHeight="251656192" behindDoc="0" locked="0" layoutInCell="1" allowOverlap="1" wp14:anchorId="202DC403" wp14:editId="16C57565">
                <wp:simplePos x="0" y="0"/>
                <wp:positionH relativeFrom="margin">
                  <wp:align>right</wp:align>
                </wp:positionH>
                <wp:positionV relativeFrom="paragraph">
                  <wp:posOffset>47625</wp:posOffset>
                </wp:positionV>
                <wp:extent cx="3168650" cy="2695575"/>
                <wp:effectExtent l="0" t="0" r="12700" b="28575"/>
                <wp:wrapSquare wrapText="bothSides"/>
                <wp:docPr id="3706438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2695575"/>
                        </a:xfrm>
                        <a:prstGeom prst="rect">
                          <a:avLst/>
                        </a:prstGeom>
                        <a:solidFill>
                          <a:sysClr val="window" lastClr="FFFFFF"/>
                        </a:solidFill>
                        <a:ln w="9525">
                          <a:solidFill>
                            <a:srgbClr val="000099"/>
                          </a:solidFill>
                          <a:miter lim="800000"/>
                          <a:headEnd/>
                          <a:tailEnd/>
                        </a:ln>
                      </wps:spPr>
                      <wps:txbx>
                        <w:txbxContent>
                          <w:p w14:paraId="0657DE33" w14:textId="77777777" w:rsidR="00675856" w:rsidRPr="00E73740" w:rsidRDefault="00675856" w:rsidP="00675856">
                            <w:pPr>
                              <w:spacing w:after="0"/>
                              <w:jc w:val="center"/>
                              <w:rPr>
                                <w:rFonts w:ascii="Arial" w:hAnsi="Arial" w:cs="Arial"/>
                                <w:b/>
                                <w:bCs/>
                                <w:color w:val="325BAA"/>
                                <w:szCs w:val="18"/>
                              </w:rPr>
                            </w:pPr>
                            <w:r w:rsidRPr="00E73740">
                              <w:rPr>
                                <w:rFonts w:ascii="Arial" w:hAnsi="Arial" w:cs="Arial"/>
                                <w:b/>
                                <w:bCs/>
                                <w:color w:val="325BAA"/>
                                <w:szCs w:val="18"/>
                              </w:rPr>
                              <w:t>Article 57(4)(g)</w:t>
                            </w:r>
                            <w:r>
                              <w:rPr>
                                <w:rFonts w:ascii="Arial" w:hAnsi="Arial" w:cs="Arial"/>
                                <w:b/>
                                <w:bCs/>
                                <w:color w:val="325BAA"/>
                                <w:szCs w:val="18"/>
                              </w:rPr>
                              <w:t xml:space="preserve"> Directive 2014/24/EU</w:t>
                            </w:r>
                          </w:p>
                          <w:p w14:paraId="73F40771" w14:textId="77777777" w:rsidR="00675856" w:rsidRPr="00E73740" w:rsidRDefault="00675856" w:rsidP="00675856">
                            <w:pPr>
                              <w:spacing w:after="0"/>
                              <w:rPr>
                                <w:rFonts w:ascii="Arial" w:hAnsi="Arial" w:cs="Arial"/>
                                <w:sz w:val="22"/>
                                <w:szCs w:val="18"/>
                              </w:rPr>
                            </w:pPr>
                          </w:p>
                          <w:p w14:paraId="73CE6DBD" w14:textId="77777777" w:rsidR="00675856" w:rsidRPr="00E73740" w:rsidRDefault="00675856" w:rsidP="00675856">
                            <w:pPr>
                              <w:spacing w:after="0"/>
                              <w:rPr>
                                <w:rFonts w:ascii="Arial" w:hAnsi="Arial" w:cs="Arial"/>
                                <w:i/>
                                <w:iCs/>
                                <w:sz w:val="22"/>
                                <w:szCs w:val="18"/>
                              </w:rPr>
                            </w:pPr>
                            <w:r w:rsidRPr="00E73740">
                              <w:rPr>
                                <w:rFonts w:ascii="Arial" w:hAnsi="Arial" w:cs="Arial"/>
                                <w:i/>
                                <w:iCs/>
                                <w:sz w:val="22"/>
                                <w:szCs w:val="18"/>
                              </w:rPr>
                              <w:t>Contracting authorities may exclude or may be required by Member States to exclude from participation in a procurement procedure any economic operator in any of the following situations:</w:t>
                            </w:r>
                          </w:p>
                          <w:p w14:paraId="5154D6E2" w14:textId="77777777" w:rsidR="00675856" w:rsidRPr="00E73740" w:rsidRDefault="00675856" w:rsidP="00675856">
                            <w:pPr>
                              <w:spacing w:after="0"/>
                              <w:rPr>
                                <w:rFonts w:ascii="Arial" w:hAnsi="Arial" w:cs="Arial"/>
                                <w:i/>
                                <w:iCs/>
                                <w:sz w:val="22"/>
                                <w:szCs w:val="18"/>
                              </w:rPr>
                            </w:pPr>
                            <w:r w:rsidRPr="00E73740">
                              <w:rPr>
                                <w:rFonts w:ascii="Arial" w:hAnsi="Arial" w:cs="Arial"/>
                                <w:i/>
                                <w:iCs/>
                                <w:sz w:val="22"/>
                                <w:szCs w:val="18"/>
                              </w:rPr>
                              <w:t>[…]</w:t>
                            </w:r>
                          </w:p>
                          <w:p w14:paraId="3EC4733E" w14:textId="77777777" w:rsidR="00675856" w:rsidRPr="00E73740" w:rsidRDefault="00675856" w:rsidP="00675856">
                            <w:pPr>
                              <w:spacing w:after="0"/>
                              <w:rPr>
                                <w:rFonts w:ascii="Arial" w:hAnsi="Arial" w:cs="Arial"/>
                                <w:i/>
                                <w:iCs/>
                                <w:sz w:val="32"/>
                              </w:rPr>
                            </w:pPr>
                            <w:r w:rsidRPr="00E73740">
                              <w:rPr>
                                <w:rFonts w:ascii="Arial" w:hAnsi="Arial" w:cs="Arial"/>
                                <w:i/>
                                <w:iCs/>
                                <w:sz w:val="22"/>
                                <w:szCs w:val="18"/>
                              </w:rPr>
                              <w:t>g) where the economic operator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2DC403" id="_x0000_t202" coordsize="21600,21600" o:spt="202" path="m,l,21600r21600,l21600,xe">
                <v:stroke joinstyle="miter"/>
                <v:path gradientshapeok="t" o:connecttype="rect"/>
              </v:shapetype>
              <v:shape id="Text Box 2" o:spid="_x0000_s1026" type="#_x0000_t202" style="position:absolute;left:0;text-align:left;margin-left:198.3pt;margin-top:3.75pt;width:249.5pt;height:212.25pt;z-index:251656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" fillcolor="window" strokecolor="#009">
                <v:textbox>
                  <w:txbxContent>
                    <w:p w14:paraId="0657DE33" w14:textId="77777777" w:rsidR="00675856" w:rsidRPr="00E73740" w:rsidRDefault="00675856" w:rsidP="00675856">
                      <w:pPr>
                        <w:spacing w:after="0"/>
                        <w:jc w:val="center"/>
                        <w:rPr>
                          <w:rFonts w:ascii="Arial" w:hAnsi="Arial" w:cs="Arial"/>
                          <w:b/>
                          <w:bCs/>
                          <w:color w:val="325BAA"/>
                          <w:szCs w:val="18"/>
                        </w:rPr>
                      </w:pPr>
                      <w:r w:rsidRPr="00E73740">
                        <w:rPr>
                          <w:rFonts w:ascii="Arial" w:hAnsi="Arial" w:cs="Arial"/>
                          <w:b/>
                          <w:bCs/>
                          <w:color w:val="325BAA"/>
                          <w:szCs w:val="18"/>
                        </w:rPr>
                        <w:t>Article 57(4)(g)</w:t>
                      </w:r>
                      <w:r>
                        <w:rPr>
                          <w:rFonts w:ascii="Arial" w:hAnsi="Arial" w:cs="Arial"/>
                          <w:b/>
                          <w:bCs/>
                          <w:color w:val="325BAA"/>
                          <w:szCs w:val="18"/>
                        </w:rPr>
                        <w:t xml:space="preserve"> Directive 2014/24/EU</w:t>
                      </w:r>
                    </w:p>
                    <w:p w14:paraId="73F40771" w14:textId="77777777" w:rsidR="00675856" w:rsidRPr="00E73740" w:rsidRDefault="00675856" w:rsidP="00675856">
                      <w:pPr>
                        <w:spacing w:after="0"/>
                        <w:rPr>
                          <w:rFonts w:ascii="Arial" w:hAnsi="Arial" w:cs="Arial"/>
                          <w:sz w:val="22"/>
                          <w:szCs w:val="18"/>
                        </w:rPr>
                      </w:pPr>
                    </w:p>
                    <w:p w14:paraId="73CE6DBD" w14:textId="77777777" w:rsidR="00675856" w:rsidRPr="00E73740" w:rsidRDefault="00675856" w:rsidP="00675856">
                      <w:pPr>
                        <w:spacing w:after="0"/>
                        <w:rPr>
                          <w:rFonts w:ascii="Arial" w:hAnsi="Arial" w:cs="Arial"/>
                          <w:i/>
                          <w:iCs/>
                          <w:sz w:val="22"/>
                          <w:szCs w:val="18"/>
                        </w:rPr>
                      </w:pPr>
                      <w:r w:rsidRPr="00E73740">
                        <w:rPr>
                          <w:rFonts w:ascii="Arial" w:hAnsi="Arial" w:cs="Arial"/>
                          <w:i/>
                          <w:iCs/>
                          <w:sz w:val="22"/>
                          <w:szCs w:val="18"/>
                        </w:rPr>
                        <w:t>Contracting authorities may exclude or may be required by Member States to exclude from participation in a procurement procedure any economic operator in any of the following situations:</w:t>
                      </w:r>
                    </w:p>
                    <w:p w14:paraId="5154D6E2" w14:textId="77777777" w:rsidR="00675856" w:rsidRPr="00E73740" w:rsidRDefault="00675856" w:rsidP="00675856">
                      <w:pPr>
                        <w:spacing w:after="0"/>
                        <w:rPr>
                          <w:rFonts w:ascii="Arial" w:hAnsi="Arial" w:cs="Arial"/>
                          <w:i/>
                          <w:iCs/>
                          <w:sz w:val="22"/>
                          <w:szCs w:val="18"/>
                        </w:rPr>
                      </w:pPr>
                      <w:r w:rsidRPr="00E73740">
                        <w:rPr>
                          <w:rFonts w:ascii="Arial" w:hAnsi="Arial" w:cs="Arial"/>
                          <w:i/>
                          <w:iCs/>
                          <w:sz w:val="22"/>
                          <w:szCs w:val="18"/>
                        </w:rPr>
                        <w:t>[…]</w:t>
                      </w:r>
                    </w:p>
                    <w:p w14:paraId="3EC4733E" w14:textId="77777777" w:rsidR="00675856" w:rsidRPr="00E73740" w:rsidRDefault="00675856" w:rsidP="00675856">
                      <w:pPr>
                        <w:spacing w:after="0"/>
                        <w:rPr>
                          <w:rFonts w:ascii="Arial" w:hAnsi="Arial" w:cs="Arial"/>
                          <w:i/>
                          <w:iCs/>
                          <w:sz w:val="32"/>
                        </w:rPr>
                      </w:pPr>
                      <w:r w:rsidRPr="00E73740">
                        <w:rPr>
                          <w:rFonts w:ascii="Arial" w:hAnsi="Arial" w:cs="Arial"/>
                          <w:i/>
                          <w:iCs/>
                          <w:sz w:val="22"/>
                          <w:szCs w:val="18"/>
                        </w:rPr>
                        <w:t>g) where the economic operator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xbxContent>
                </v:textbox>
                <w10:wrap type="square" anchorx="margin"/>
              </v:shape>
            </w:pict>
          </mc:Fallback>
        </mc:AlternateContent>
      </w:r>
      <w:r w:rsidRPr="00881BC8">
        <w:rPr>
          <w:noProof/>
          <w:lang w:val="en-GB"/>
        </w:rPr>
        <w:t xml:space="preserve">Article 57(4)(g) of Directive 2014/24/EU provides an instrument for public authorities to sanction economic operators, by excluding them from participating in the tendering procedure, when the economic operators have shown to be deficient in performing substantive requirements under prior public contracts. As indicated above, with a view to enhancing synergies between LPD and public procurement rules, </w:t>
      </w:r>
    </w:p>
    <w:p w14:paraId="1196B145" w14:textId="77777777" w:rsidR="00675856" w:rsidRPr="00881BC8" w:rsidRDefault="00675856" w:rsidP="004835F8">
      <w:pPr>
        <w:pStyle w:val="NormalPara"/>
        <w:rPr>
          <w:bCs/>
          <w:noProof/>
          <w:lang w:val="en-GB"/>
        </w:rPr>
      </w:pPr>
      <w:r w:rsidRPr="00881BC8">
        <w:rPr>
          <w:bCs/>
          <w:noProof/>
          <w:lang w:val="en-GB"/>
        </w:rPr>
        <w:t>Conditions for Applicability. The application of the exclusion ground under Article 57(4)(g) is subject to many conditions, which makes it in practice an unlikely tool for combating late payment in public procurement. Based on the Court of Justice of the European Union’s (CJEU) interpretation of Article 57(4)(g),</w:t>
      </w:r>
      <w:r w:rsidRPr="00881BC8">
        <w:rPr>
          <w:bCs/>
          <w:noProof/>
          <w:lang w:val="en-GB"/>
        </w:rPr>
        <w:footnoteReference w:id="257"/>
      </w:r>
      <w:r w:rsidRPr="00881BC8">
        <w:rPr>
          <w:bCs/>
          <w:noProof/>
          <w:lang w:val="en-GB"/>
        </w:rPr>
        <w:t xml:space="preserve"> a public authority can only exclude an economic operator from a public procurement procedure:</w:t>
      </w:r>
    </w:p>
    <w:p w14:paraId="5D1B518C" w14:textId="77777777" w:rsidR="00675856" w:rsidRPr="00881BC8" w:rsidRDefault="00675856" w:rsidP="004835F8">
      <w:pPr>
        <w:numPr>
          <w:ilvl w:val="0"/>
          <w:numId w:val="44"/>
        </w:numPr>
        <w:spacing w:after="0"/>
        <w:contextualSpacing/>
        <w:rPr>
          <w:rFonts w:eastAsia="Times New Roman"/>
          <w:noProof/>
          <w:color w:val="000000"/>
        </w:rPr>
      </w:pPr>
      <w:r w:rsidRPr="00881BC8">
        <w:rPr>
          <w:rFonts w:eastAsia="Times New Roman"/>
          <w:noProof/>
          <w:color w:val="000000"/>
        </w:rPr>
        <w:t xml:space="preserve">if that economic operator was excluded in a previous tendering procedure; </w:t>
      </w:r>
    </w:p>
    <w:p w14:paraId="7C144B83" w14:textId="77777777" w:rsidR="00675856" w:rsidRPr="00881BC8" w:rsidRDefault="00675856" w:rsidP="004835F8">
      <w:pPr>
        <w:numPr>
          <w:ilvl w:val="0"/>
          <w:numId w:val="44"/>
        </w:numPr>
        <w:spacing w:after="0"/>
        <w:contextualSpacing/>
        <w:rPr>
          <w:rFonts w:eastAsia="Times New Roman"/>
          <w:noProof/>
          <w:color w:val="000000"/>
        </w:rPr>
      </w:pPr>
      <w:r w:rsidRPr="00881BC8">
        <w:rPr>
          <w:rFonts w:eastAsia="Times New Roman"/>
          <w:noProof/>
          <w:color w:val="000000"/>
        </w:rPr>
        <w:t>on the grounds that the economic operator has shown significant or persistent deficiencies in the performance of a substantive requirement under that prior contract which led to early termination of that prior contract; and</w:t>
      </w:r>
    </w:p>
    <w:p w14:paraId="31A1D0C2" w14:textId="4D2DBE71" w:rsidR="00675856" w:rsidRPr="00881BC8" w:rsidRDefault="00675856" w:rsidP="004835F8">
      <w:pPr>
        <w:numPr>
          <w:ilvl w:val="0"/>
          <w:numId w:val="44"/>
        </w:numPr>
        <w:spacing w:after="0"/>
        <w:contextualSpacing/>
        <w:rPr>
          <w:rFonts w:eastAsia="Times New Roman"/>
          <w:noProof/>
          <w:color w:val="000000"/>
        </w:rPr>
      </w:pPr>
      <w:r w:rsidRPr="00881BC8">
        <w:rPr>
          <w:rFonts w:eastAsia="Times New Roman"/>
          <w:noProof/>
          <w:color w:val="000000"/>
        </w:rPr>
        <w:t>after that, the subsequent public authority, after conducting its own evaluation of the integrity and reliability of the economic operator, considers that such deficiencies entail breaking the relationship of trust with the economic operator in question.</w:t>
      </w:r>
      <w:r w:rsidR="0091653A" w:rsidRPr="00881BC8">
        <w:rPr>
          <w:rFonts w:eastAsia="Times New Roman"/>
          <w:noProof/>
          <w:color w:val="000000"/>
        </w:rPr>
        <w:t xml:space="preserve"> </w:t>
      </w:r>
    </w:p>
    <w:p w14:paraId="27D2792C" w14:textId="77777777" w:rsidR="00675856" w:rsidRPr="00881BC8" w:rsidRDefault="00675856" w:rsidP="004835F8">
      <w:pPr>
        <w:pStyle w:val="NormalPara"/>
        <w:rPr>
          <w:noProof/>
          <w:lang w:val="en-GB"/>
        </w:rPr>
      </w:pPr>
      <w:r w:rsidRPr="00881BC8">
        <w:rPr>
          <w:noProof/>
          <w:lang w:val="en-GB"/>
        </w:rPr>
        <w:t xml:space="preserve">To use the exclusion ground set out in Article 57(4)(g) as a means to combat late payment, it will thus be necessary to become a practice or a standard that public authorities stipulate, in the contracts with economic operators, conditions on direct and prompt payment of subcontractors, so that payment conditions are considered as substantive requirements. </w:t>
      </w:r>
    </w:p>
    <w:p w14:paraId="507F4687" w14:textId="590D6F6E" w:rsidR="00675856" w:rsidRPr="00881BC8" w:rsidRDefault="00675856" w:rsidP="004835F8">
      <w:pPr>
        <w:pStyle w:val="NormalPara"/>
        <w:rPr>
          <w:noProof/>
          <w:lang w:val="en-GB"/>
        </w:rPr>
      </w:pPr>
      <w:r w:rsidRPr="00881BC8">
        <w:rPr>
          <w:noProof/>
          <w:lang w:val="en-GB"/>
        </w:rPr>
        <w:t xml:space="preserve">Nevertheless, even when the practice of making payment conditions a substantive requirement is introduced, the burdens to exclude a contractor because of non-compliance with payment conditions are very high. As indicated above, non-compliance has to be of such level that it can be considered as a </w:t>
      </w:r>
      <w:r w:rsidR="00303DFA" w:rsidRPr="00881BC8">
        <w:rPr>
          <w:noProof/>
          <w:lang w:val="en-GB"/>
        </w:rPr>
        <w:t>‘</w:t>
      </w:r>
      <w:r w:rsidRPr="00881BC8">
        <w:rPr>
          <w:noProof/>
          <w:lang w:val="en-GB"/>
        </w:rPr>
        <w:t>significant or persistent deficiency</w:t>
      </w:r>
      <w:r w:rsidR="00303DFA" w:rsidRPr="00881BC8">
        <w:rPr>
          <w:noProof/>
          <w:lang w:val="en-GB"/>
        </w:rPr>
        <w:t>’</w:t>
      </w:r>
      <w:r w:rsidRPr="00881BC8">
        <w:rPr>
          <w:noProof/>
          <w:lang w:val="en-GB"/>
        </w:rPr>
        <w:t>, which can be considered by a subsequent public authority as entailing the breaking of the relationship of trust with the economic operator in question.</w:t>
      </w:r>
    </w:p>
    <w:p w14:paraId="3DC19610" w14:textId="77777777" w:rsidR="00675856" w:rsidRPr="00881BC8" w:rsidRDefault="00675856" w:rsidP="004835F8">
      <w:pPr>
        <w:pStyle w:val="NormalPara"/>
        <w:rPr>
          <w:noProof/>
          <w:lang w:val="en-GB"/>
        </w:rPr>
      </w:pPr>
      <w:r w:rsidRPr="00881BC8">
        <w:rPr>
          <w:noProof/>
          <w:lang w:val="en-GB"/>
        </w:rPr>
        <w:t>The above analysis is broadly supported by the views and evidence provided by national authorities participating in the Targeted Consultation. Indeed, none of the members of the Expert Group on Public Procurement provided any evidence of cases of exclusion happening on those grounds. There are however some differences in the positions voiced by Member States.</w:t>
      </w:r>
    </w:p>
    <w:p w14:paraId="46A6C8AA" w14:textId="5CD9D72D" w:rsidR="00675856" w:rsidRPr="00881BC8" w:rsidRDefault="00675856" w:rsidP="004835F8">
      <w:pPr>
        <w:pStyle w:val="NormalPara"/>
        <w:rPr>
          <w:noProof/>
          <w:lang w:val="en-GB"/>
        </w:rPr>
      </w:pPr>
      <w:r w:rsidRPr="00881BC8">
        <w:rPr>
          <w:noProof/>
          <w:lang w:val="en-GB"/>
        </w:rPr>
        <w:t>Some Member States (Austria, Bulgaria, Malta, Poland, Portugal, Romania) dispute the very idea that Article 57(4)(g) could be interpreted as to exclude bad payers. This is typically the case of countries that emphasise the distinction between ‘public’ nature of contracts between contracting authorities and main contractors and ‘civil/commercial law’ nature of contracts between main contractors and their subcontractors/suppliers. In some cases, the arguments offered are reminiscent of those put forward to motivate the non-adoption of the clause on the direct payment to subcontractors.</w:t>
      </w:r>
    </w:p>
    <w:p w14:paraId="076D0E55" w14:textId="3A2C52BB" w:rsidR="00675856" w:rsidRPr="00881BC8" w:rsidRDefault="00675856" w:rsidP="004835F8">
      <w:pPr>
        <w:pStyle w:val="NormalPara"/>
        <w:rPr>
          <w:noProof/>
          <w:lang w:val="en-GB"/>
        </w:rPr>
      </w:pPr>
      <w:r w:rsidRPr="00881BC8">
        <w:rPr>
          <w:noProof/>
          <w:lang w:val="en-GB"/>
        </w:rPr>
        <w:t>Other countries do not exclude a priori the possibility of relying on Article 57 (4) (g), but they emphasise the need to meet the necessary prior conditions and/or highlight the heavy burden of proof involved. However, also in these cases no evidence was provided regarding the actual use of the provision</w:t>
      </w:r>
      <w:r w:rsidR="009706D8" w:rsidRPr="00881BC8">
        <w:rPr>
          <w:noProof/>
          <w:lang w:val="en-GB"/>
        </w:rPr>
        <w:t>.</w:t>
      </w:r>
    </w:p>
    <w:p w14:paraId="7DCB8DEB" w14:textId="77777777" w:rsidR="00675856" w:rsidRPr="00881BC8" w:rsidRDefault="00675856" w:rsidP="004835F8">
      <w:pPr>
        <w:pStyle w:val="NormalPara"/>
        <w:rPr>
          <w:noProof/>
          <w:lang w:val="en-GB"/>
        </w:rPr>
      </w:pPr>
      <w:r w:rsidRPr="00881BC8">
        <w:rPr>
          <w:noProof/>
          <w:lang w:val="en-GB"/>
        </w:rPr>
        <w:t xml:space="preserve">In 3 Member States (Italy, Hungary, and Spain), as well as in the UK, the exclusion of bad payers from public procurement is indeed envisaged. However, this is not linked to Article </w:t>
      </w:r>
      <w:bookmarkStart w:id="1075" w:name="_Hlk91857328"/>
      <w:r w:rsidRPr="00881BC8">
        <w:rPr>
          <w:noProof/>
          <w:lang w:val="en-GB"/>
        </w:rPr>
        <w:t>57(4)(g)</w:t>
      </w:r>
      <w:bookmarkEnd w:id="1075"/>
      <w:r w:rsidRPr="00881BC8">
        <w:rPr>
          <w:noProof/>
          <w:lang w:val="en-GB"/>
        </w:rPr>
        <w:t xml:space="preserve"> but is based on specific provisions adopted by national authorities. </w:t>
      </w:r>
    </w:p>
    <w:p w14:paraId="051075AC" w14:textId="124FF1CE" w:rsidR="00675856" w:rsidRPr="00881BC8" w:rsidRDefault="00675856" w:rsidP="004835F8">
      <w:pPr>
        <w:pStyle w:val="NormalPara"/>
        <w:rPr>
          <w:noProof/>
          <w:lang w:val="en-GB"/>
        </w:rPr>
      </w:pPr>
      <w:r w:rsidRPr="00881BC8">
        <w:rPr>
          <w:noProof/>
          <w:lang w:val="en-GB"/>
        </w:rPr>
        <w:t xml:space="preserve">Finally, in Croatia and France, the issue of excluding bad payers based on Article 57(4)(g) is deemed to be immaterial given the widespread recourse to direct payment to subcontractors. In Croatia, national authorities consider that </w:t>
      </w:r>
      <w:r w:rsidR="00303DFA" w:rsidRPr="00881BC8">
        <w:rPr>
          <w:noProof/>
          <w:lang w:val="en-GB"/>
        </w:rPr>
        <w:t>‘</w:t>
      </w:r>
      <w:r w:rsidRPr="00881BC8">
        <w:rPr>
          <w:noProof/>
          <w:lang w:val="en-GB"/>
        </w:rPr>
        <w:t>[s]ince there is an obligation for contracting authority to pay directly to subcontractors … this reason for the exclusion of the economic operator for non-payment or late payment to the subcontractor is not applicable.</w:t>
      </w:r>
      <w:r w:rsidR="00303DFA" w:rsidRPr="00881BC8">
        <w:rPr>
          <w:noProof/>
          <w:lang w:val="en-GB"/>
        </w:rPr>
        <w:t>’</w:t>
      </w:r>
      <w:r w:rsidRPr="00881BC8">
        <w:rPr>
          <w:noProof/>
          <w:lang w:val="en-GB"/>
        </w:rPr>
        <w:t xml:space="preserve"> Likewise, French authorities noted that </w:t>
      </w:r>
      <w:r w:rsidR="00303DFA" w:rsidRPr="00881BC8">
        <w:rPr>
          <w:noProof/>
          <w:lang w:val="en-GB"/>
        </w:rPr>
        <w:t>‘</w:t>
      </w:r>
      <w:r w:rsidRPr="00881BC8">
        <w:rPr>
          <w:noProof/>
          <w:lang w:val="en-GB"/>
        </w:rPr>
        <w:t>To the best of our knowledge this provision has never been interpreted as to allow the exclusion of bidders that have not respected the payment terms with their subcontractors. However, the question is unlikely to arise as, as said above, in most French public contracts, subcontractors receive direct payment from the contracting authority.</w:t>
      </w:r>
      <w:r w:rsidR="00303DFA" w:rsidRPr="00881BC8">
        <w:rPr>
          <w:noProof/>
          <w:lang w:val="en-GB"/>
        </w:rPr>
        <w:t>’</w:t>
      </w:r>
    </w:p>
    <w:p w14:paraId="637F005A" w14:textId="77777777" w:rsidR="00675856" w:rsidRPr="00881BC8" w:rsidRDefault="00675856" w:rsidP="004835F8">
      <w:pPr>
        <w:pStyle w:val="AnnexLevel1"/>
        <w:rPr>
          <w:noProof/>
          <w:lang w:val="en-GB"/>
        </w:rPr>
      </w:pPr>
      <w:r w:rsidRPr="00881BC8">
        <w:rPr>
          <w:noProof/>
          <w:lang w:val="en-GB"/>
        </w:rPr>
        <w:t xml:space="preserve">In G2B contracts, accelerate payments for low value contracts not requiring a verification procedure </w:t>
      </w:r>
    </w:p>
    <w:p w14:paraId="4326FE26" w14:textId="1498E689" w:rsidR="00675856" w:rsidRPr="00881BC8" w:rsidRDefault="00675856" w:rsidP="004835F8">
      <w:pPr>
        <w:pStyle w:val="NormalPara"/>
        <w:rPr>
          <w:noProof/>
          <w:lang w:val="en-GB"/>
        </w:rPr>
      </w:pPr>
      <w:r w:rsidRPr="00881BC8">
        <w:rPr>
          <w:noProof/>
          <w:lang w:val="en-GB"/>
        </w:rPr>
        <w:t>In Ireland public authorities commit to pay their suppliers in 15 days (</w:t>
      </w:r>
      <w:r w:rsidR="00F83EA8" w:rsidRPr="00881BC8">
        <w:rPr>
          <w:noProof/>
          <w:lang w:val="en-GB"/>
        </w:rPr>
        <w:t xml:space="preserve">see </w:t>
      </w:r>
      <w:r w:rsidR="00F83EA8" w:rsidRPr="00881BC8">
        <w:rPr>
          <w:noProof/>
          <w:lang w:val="en-GB"/>
        </w:rPr>
        <w:fldChar w:fldCharType="begin"/>
      </w:r>
      <w:r w:rsidR="00F83EA8" w:rsidRPr="00881BC8">
        <w:rPr>
          <w:noProof/>
          <w:lang w:val="en-GB"/>
        </w:rPr>
        <w:instrText xml:space="preserve"> REF AnnexZZ \h </w:instrText>
      </w:r>
      <w:r w:rsidR="001155CF" w:rsidRPr="00881BC8">
        <w:rPr>
          <w:noProof/>
          <w:lang w:val="en-GB"/>
        </w:rPr>
        <w:instrText xml:space="preserve"> \* MERGEFORMAT </w:instrText>
      </w:r>
      <w:r w:rsidR="00F83EA8" w:rsidRPr="00881BC8">
        <w:rPr>
          <w:noProof/>
          <w:lang w:val="en-GB"/>
        </w:rPr>
      </w:r>
      <w:r w:rsidR="00F83EA8" w:rsidRPr="00881BC8">
        <w:rPr>
          <w:noProof/>
          <w:lang w:val="en-GB"/>
        </w:rPr>
        <w:fldChar w:fldCharType="separate"/>
      </w:r>
      <w:r w:rsidR="005851F4" w:rsidRPr="005851F4">
        <w:rPr>
          <w:noProof/>
          <w:lang w:val="en-GB"/>
        </w:rPr>
        <w:t>Annex 23</w:t>
      </w:r>
      <w:r w:rsidR="00F83EA8" w:rsidRPr="00881BC8">
        <w:rPr>
          <w:noProof/>
          <w:lang w:val="en-GB"/>
        </w:rPr>
        <w:fldChar w:fldCharType="end"/>
      </w:r>
      <w:r w:rsidRPr="00881BC8">
        <w:rPr>
          <w:noProof/>
          <w:lang w:val="en-GB"/>
        </w:rPr>
        <w:t>). On this basis, it was initially considered to explore and asses</w:t>
      </w:r>
      <w:r w:rsidR="009E545C" w:rsidRPr="00881BC8">
        <w:rPr>
          <w:noProof/>
          <w:lang w:val="en-GB"/>
        </w:rPr>
        <w:t>s</w:t>
      </w:r>
      <w:r w:rsidRPr="00881BC8">
        <w:rPr>
          <w:noProof/>
          <w:lang w:val="en-GB"/>
        </w:rPr>
        <w:t xml:space="preserve"> an option to accelerate payments in some specific public contracts, i.e. those conferred on the basis of direct purchasing and that are most likely awarded to micro or small contractors. The objective was to speed up injection of liquidity for these smaller operators. The focus was also on those contracts not requiring a verification procedure, to simplify the effectiveness of this measure. </w:t>
      </w:r>
      <w:r w:rsidR="009E545C" w:rsidRPr="00881BC8">
        <w:rPr>
          <w:noProof/>
          <w:lang w:val="en-GB"/>
        </w:rPr>
        <w:t>However,</w:t>
      </w:r>
      <w:r w:rsidRPr="00881BC8">
        <w:rPr>
          <w:noProof/>
          <w:lang w:val="en-GB"/>
        </w:rPr>
        <w:t xml:space="preserve"> this option immediately encountered the following legal difficulties: </w:t>
      </w:r>
    </w:p>
    <w:p w14:paraId="49F0E101" w14:textId="60DAB81E" w:rsidR="00675856" w:rsidRPr="00881BC8" w:rsidRDefault="00675856" w:rsidP="004835F8">
      <w:pPr>
        <w:pStyle w:val="ListParagraph"/>
        <w:numPr>
          <w:ilvl w:val="0"/>
          <w:numId w:val="45"/>
        </w:numPr>
        <w:rPr>
          <w:rFonts w:eastAsia="Times New Roman"/>
          <w:noProof/>
          <w:color w:val="000000"/>
        </w:rPr>
      </w:pPr>
      <w:r w:rsidRPr="00881BC8">
        <w:rPr>
          <w:rFonts w:eastAsia="Times New Roman"/>
          <w:noProof/>
          <w:color w:val="000000"/>
        </w:rPr>
        <w:t xml:space="preserve">It would require intervention of the EU in an area that is not currently regulated by the EU Public Procurement Directives. </w:t>
      </w:r>
      <w:r w:rsidR="009E545C" w:rsidRPr="00881BC8">
        <w:rPr>
          <w:rFonts w:eastAsia="Times New Roman"/>
          <w:noProof/>
          <w:color w:val="000000"/>
        </w:rPr>
        <w:t>To</w:t>
      </w:r>
      <w:r w:rsidRPr="00881BC8">
        <w:rPr>
          <w:rFonts w:eastAsia="Times New Roman"/>
          <w:noProof/>
          <w:color w:val="000000"/>
        </w:rPr>
        <w:t xml:space="preserve"> do so, it should be demonstrated the cross-border damage to justify the need of EU intervention. At the moment the Commission does not dispose of such evidence. </w:t>
      </w:r>
    </w:p>
    <w:p w14:paraId="38F4BE1A" w14:textId="41D63F33" w:rsidR="00675856" w:rsidRPr="00881BC8" w:rsidRDefault="00675856" w:rsidP="004835F8">
      <w:pPr>
        <w:pStyle w:val="ListParagraph"/>
        <w:numPr>
          <w:ilvl w:val="0"/>
          <w:numId w:val="45"/>
        </w:numPr>
        <w:rPr>
          <w:rFonts w:eastAsia="Times New Roman"/>
          <w:noProof/>
          <w:color w:val="000000"/>
        </w:rPr>
      </w:pPr>
      <w:r w:rsidRPr="00881BC8">
        <w:rPr>
          <w:rFonts w:eastAsia="Times New Roman"/>
          <w:noProof/>
          <w:color w:val="000000"/>
        </w:rPr>
        <w:t xml:space="preserve">It would create inconsistencies with the implementation of the UTP Directive in the agrifood sector, for example in those low value contracts consisting in the supply of food (e.g. a catering contract). </w:t>
      </w:r>
    </w:p>
    <w:p w14:paraId="79BF4E6C" w14:textId="121645F9" w:rsidR="009E545C" w:rsidRPr="00881BC8" w:rsidRDefault="009E545C" w:rsidP="00CF2B67">
      <w:pPr>
        <w:pStyle w:val="AnnexTitle"/>
        <w:rPr>
          <w:noProof/>
        </w:rPr>
      </w:pPr>
      <w:bookmarkStart w:id="1076" w:name="Annex15"/>
      <w:bookmarkStart w:id="1077" w:name="_Toc135237464"/>
      <w:r w:rsidRPr="00881BC8">
        <w:rPr>
          <w:noProof/>
        </w:rPr>
        <w:t>Annex 15</w:t>
      </w:r>
      <w:bookmarkEnd w:id="1076"/>
      <w:r w:rsidRPr="00881BC8">
        <w:rPr>
          <w:noProof/>
        </w:rPr>
        <w:t xml:space="preserve">: </w:t>
      </w:r>
      <w:r w:rsidRPr="00881BC8">
        <w:rPr>
          <w:noProof/>
        </w:rPr>
        <w:tab/>
        <w:t>SME test</w:t>
      </w:r>
      <w:bookmarkEnd w:id="1077"/>
    </w:p>
    <w:p w14:paraId="583C1DBB" w14:textId="77777777" w:rsidR="00641DD0" w:rsidRPr="00881BC8" w:rsidRDefault="00641DD0" w:rsidP="004835F8">
      <w:pPr>
        <w:pStyle w:val="AnnexLevel1"/>
        <w:rPr>
          <w:noProof/>
          <w:lang w:val="en-GB"/>
        </w:rPr>
      </w:pPr>
      <w:r w:rsidRPr="00881BC8">
        <w:rPr>
          <w:noProof/>
          <w:lang w:val="en-GB"/>
        </w:rPr>
        <w:t>Main conclusions of the SME test</w:t>
      </w:r>
    </w:p>
    <w:p w14:paraId="154D636B" w14:textId="77777777" w:rsidR="00641DD0" w:rsidRPr="00881BC8" w:rsidRDefault="00641DD0" w:rsidP="004835F8">
      <w:pPr>
        <w:pStyle w:val="NormalPara"/>
        <w:rPr>
          <w:noProof/>
          <w:lang w:val="en-GB" w:eastAsia="en-GB"/>
        </w:rPr>
      </w:pPr>
      <w:r w:rsidRPr="00881BC8">
        <w:rPr>
          <w:noProof/>
          <w:lang w:val="en-GB" w:eastAsia="en-GB"/>
        </w:rPr>
        <w:t xml:space="preserve">SMEs are within the scope of this legislative initiative and are also the intended main beneficiaries of this revision. </w:t>
      </w:r>
      <w:r w:rsidRPr="00881BC8">
        <w:rPr>
          <w:noProof/>
          <w:lang w:val="en-GB"/>
        </w:rPr>
        <w:t>This initiative is considered highly relevant for SMEs, as it affects all EU SMEs.</w:t>
      </w:r>
    </w:p>
    <w:p w14:paraId="54EBBECF" w14:textId="1DA0E53C" w:rsidR="00641DD0" w:rsidRPr="00881BC8" w:rsidRDefault="00641DD0" w:rsidP="004835F8">
      <w:pPr>
        <w:pStyle w:val="NormalPara"/>
        <w:rPr>
          <w:noProof/>
          <w:lang w:val="en-GB" w:eastAsia="en-GB"/>
        </w:rPr>
      </w:pPr>
      <w:r w:rsidRPr="00881BC8">
        <w:rPr>
          <w:noProof/>
          <w:lang w:val="en-GB" w:eastAsia="en-GB"/>
        </w:rPr>
        <w:t xml:space="preserve">Looking at companies as creditors, companies from all size classes report regular and/or occasional occurrences of late </w:t>
      </w:r>
      <w:r w:rsidR="009D199D" w:rsidRPr="00881BC8">
        <w:rPr>
          <w:noProof/>
          <w:lang w:val="en-GB" w:eastAsia="en-GB"/>
        </w:rPr>
        <w:t>payments but</w:t>
      </w:r>
      <w:r w:rsidRPr="00881BC8">
        <w:rPr>
          <w:noProof/>
          <w:lang w:val="en-GB" w:eastAsia="en-GB"/>
        </w:rPr>
        <w:t xml:space="preserve"> getting paid on time affects SMEs disproportionately compared to larger companies. Late payments are an obstacle to growth especially in micro-enterprises, also in terms of employment. SMEs in the EU (35%) are more likely than SMEs in the US (29%), Canada (24%) or Japan (8%) to say that payment delays are among the biggest problems their enterprise faces.</w:t>
      </w:r>
    </w:p>
    <w:p w14:paraId="7303FB37" w14:textId="72F3E399" w:rsidR="00641DD0" w:rsidRPr="00881BC8" w:rsidRDefault="00641DD0" w:rsidP="004835F8">
      <w:pPr>
        <w:pStyle w:val="NormalPara"/>
        <w:rPr>
          <w:noProof/>
          <w:lang w:val="en-GB"/>
        </w:rPr>
      </w:pPr>
      <w:r w:rsidRPr="00881BC8">
        <w:rPr>
          <w:noProof/>
          <w:lang w:val="en-GB"/>
        </w:rPr>
        <w:t xml:space="preserve">The recent problems (e.g. COVID-19, rising energy prices, inflation etc.) had a negative impact on the payment behaviour of the clients for almost half of SMEs. Currently, only 3% of SMEs have all invoices or turnover </w:t>
      </w:r>
      <w:r w:rsidR="006F2808" w:rsidRPr="00881BC8">
        <w:rPr>
          <w:noProof/>
          <w:lang w:val="en-GB"/>
        </w:rPr>
        <w:t>paid</w:t>
      </w:r>
      <w:r w:rsidRPr="00881BC8">
        <w:rPr>
          <w:noProof/>
          <w:lang w:val="en-GB"/>
        </w:rPr>
        <w:t xml:space="preserve"> on time and a higher percentage of SMEs have more than 50% of their invoices (7%) or turnover (9%) </w:t>
      </w:r>
      <w:r w:rsidR="006F2808" w:rsidRPr="00881BC8">
        <w:rPr>
          <w:noProof/>
          <w:lang w:val="en-GB"/>
        </w:rPr>
        <w:t>paid</w:t>
      </w:r>
      <w:r w:rsidRPr="00881BC8">
        <w:rPr>
          <w:noProof/>
          <w:lang w:val="en-GB"/>
        </w:rPr>
        <w:t xml:space="preserve"> late.</w:t>
      </w:r>
      <w:r w:rsidR="002E552C" w:rsidRPr="00881BC8">
        <w:rPr>
          <w:noProof/>
          <w:lang w:val="en-GB"/>
        </w:rPr>
        <w:t xml:space="preserve"> </w:t>
      </w:r>
    </w:p>
    <w:p w14:paraId="7AC95C05" w14:textId="77777777" w:rsidR="00641DD0" w:rsidRPr="00881BC8" w:rsidRDefault="00641DD0" w:rsidP="004835F8">
      <w:pPr>
        <w:pStyle w:val="NormalPara"/>
        <w:rPr>
          <w:noProof/>
          <w:lang w:val="en-GB" w:eastAsia="en-GB"/>
        </w:rPr>
      </w:pPr>
      <w:r w:rsidRPr="00881BC8">
        <w:rPr>
          <w:noProof/>
          <w:lang w:val="en-GB"/>
        </w:rPr>
        <w:t>In the SME panel, 72% of SMEs are not comfortable when clients require to agree to accept payment 60 days or more from the date of the invoice, with no significant differences by size of vendor. 44% of SMEs asks to be paid within 30 days and 42% within 60 days, with marked differences by size of company, as many more smaller companies</w:t>
      </w:r>
      <w:r w:rsidRPr="00881BC8">
        <w:rPr>
          <w:rStyle w:val="FootnoteReference"/>
          <w:noProof/>
          <w:lang w:val="en-GB"/>
        </w:rPr>
        <w:footnoteReference w:id="258"/>
      </w:r>
      <w:r w:rsidRPr="00881BC8">
        <w:rPr>
          <w:noProof/>
          <w:lang w:val="en-GB"/>
        </w:rPr>
        <w:t xml:space="preserve"> ask to be paid within 30 days.</w:t>
      </w:r>
    </w:p>
    <w:p w14:paraId="19DC3384" w14:textId="759D7140" w:rsidR="00641DD0" w:rsidRPr="00881BC8" w:rsidRDefault="00641DD0" w:rsidP="004835F8">
      <w:pPr>
        <w:pStyle w:val="NormalPara"/>
        <w:rPr>
          <w:noProof/>
          <w:lang w:val="en-GB"/>
        </w:rPr>
      </w:pPr>
      <w:r w:rsidRPr="00881BC8">
        <w:rPr>
          <w:noProof/>
          <w:lang w:val="en-GB"/>
        </w:rPr>
        <w:t>Regarding unfair payment practices, around 1 out of 4 SMEs is always or often confronted with “clients that modify retroactively key contractual provisions in order to postpone the payment”, with “clients deliberately delaying the acceptance of services/goods” and with “clients that pay with financial products so that in order to claim payment within the agreed contractual terms, they have to pay fees and/or discounts”.</w:t>
      </w:r>
      <w:r w:rsidR="002E552C" w:rsidRPr="00881BC8">
        <w:rPr>
          <w:noProof/>
          <w:lang w:val="en-GB"/>
        </w:rPr>
        <w:t xml:space="preserve"> </w:t>
      </w:r>
      <w:r w:rsidRPr="00881BC8">
        <w:rPr>
          <w:noProof/>
          <w:lang w:val="en-GB"/>
        </w:rPr>
        <w:t xml:space="preserve">Paying interests and the EUR 40 compensation is never used in 80% of cases. </w:t>
      </w:r>
    </w:p>
    <w:p w14:paraId="2FB100A2" w14:textId="18144B82" w:rsidR="00641DD0" w:rsidRPr="00881BC8" w:rsidRDefault="00641DD0" w:rsidP="004835F8">
      <w:pPr>
        <w:pStyle w:val="NormalPara"/>
        <w:rPr>
          <w:noProof/>
          <w:lang w:val="en-GB" w:eastAsia="en-GB"/>
        </w:rPr>
      </w:pPr>
      <w:r w:rsidRPr="00881BC8">
        <w:rPr>
          <w:noProof/>
          <w:lang w:val="en-GB"/>
        </w:rPr>
        <w:t>5-10% of total administrative work for an SME</w:t>
      </w:r>
      <w:r w:rsidR="00E62806" w:rsidRPr="00881BC8">
        <w:rPr>
          <w:noProof/>
          <w:lang w:val="en-GB"/>
        </w:rPr>
        <w:t>, equal to 6-10 man-days</w:t>
      </w:r>
      <w:r w:rsidRPr="00881BC8">
        <w:rPr>
          <w:noProof/>
          <w:lang w:val="en-GB"/>
        </w:rPr>
        <w:t xml:space="preserve"> </w:t>
      </w:r>
      <w:r w:rsidR="00A732D9" w:rsidRPr="00881BC8">
        <w:rPr>
          <w:noProof/>
          <w:lang w:val="en-GB"/>
        </w:rPr>
        <w:t>(Plum Consulting 2017)</w:t>
      </w:r>
      <w:r w:rsidR="00E62806" w:rsidRPr="00881BC8">
        <w:rPr>
          <w:noProof/>
          <w:lang w:val="en-GB"/>
        </w:rPr>
        <w:t>,</w:t>
      </w:r>
      <w:r w:rsidR="00A732D9" w:rsidRPr="00881BC8">
        <w:rPr>
          <w:noProof/>
          <w:lang w:val="en-GB"/>
        </w:rPr>
        <w:t xml:space="preserve"> </w:t>
      </w:r>
      <w:r w:rsidRPr="00881BC8">
        <w:rPr>
          <w:noProof/>
          <w:lang w:val="en-GB"/>
        </w:rPr>
        <w:t xml:space="preserve">is spent on average chasing late payments. </w:t>
      </w:r>
      <w:r w:rsidR="00471641" w:rsidRPr="00881BC8">
        <w:rPr>
          <w:noProof/>
          <w:lang w:val="en-GB"/>
        </w:rPr>
        <w:t>SME panel reveals that to</w:t>
      </w:r>
      <w:r w:rsidRPr="00881BC8">
        <w:rPr>
          <w:noProof/>
          <w:lang w:val="en-GB"/>
        </w:rPr>
        <w:t xml:space="preserve"> tackle late payments, one third of SMEs spent more than 100 hours and one third of SMEs more than EUR 1</w:t>
      </w:r>
      <w:r w:rsidR="00471641" w:rsidRPr="00881BC8">
        <w:rPr>
          <w:noProof/>
          <w:lang w:val="en-GB"/>
        </w:rPr>
        <w:t> </w:t>
      </w:r>
      <w:r w:rsidRPr="00881BC8">
        <w:rPr>
          <w:noProof/>
          <w:lang w:val="en-GB"/>
        </w:rPr>
        <w:t>000 per year in informal actions, while 42% of SMEs spent more than 20 hours (with 17% spending more than 100 hours) and 43% spent more than EUR 1000 in formal actions.</w:t>
      </w:r>
      <w:r w:rsidR="002E552C" w:rsidRPr="00881BC8">
        <w:rPr>
          <w:noProof/>
          <w:lang w:val="en-GB"/>
        </w:rPr>
        <w:t xml:space="preserve"> </w:t>
      </w:r>
      <w:r w:rsidRPr="00881BC8">
        <w:rPr>
          <w:noProof/>
          <w:lang w:val="en-GB"/>
        </w:rPr>
        <w:t>On the remedies side, the majority of SMEs solve late payment problems directly with the other business.</w:t>
      </w:r>
    </w:p>
    <w:p w14:paraId="34720ABD" w14:textId="77777777" w:rsidR="00641DD0" w:rsidRPr="00881BC8" w:rsidRDefault="00641DD0" w:rsidP="004835F8">
      <w:pPr>
        <w:pStyle w:val="NormalPara"/>
        <w:rPr>
          <w:noProof/>
          <w:lang w:val="en-GB" w:eastAsia="en-GB"/>
        </w:rPr>
      </w:pPr>
      <w:r w:rsidRPr="00881BC8">
        <w:rPr>
          <w:noProof/>
          <w:lang w:val="en-GB" w:eastAsia="en-GB"/>
        </w:rPr>
        <w:t xml:space="preserve">Looking at companies as debtors, the payment behaviour of large companies significantly differs from that of smaller enterprises, as the larger the company is, the worse payment performance it is likely to exhibit. </w:t>
      </w:r>
    </w:p>
    <w:p w14:paraId="1612BDDE" w14:textId="72E1A26B" w:rsidR="00641DD0" w:rsidRPr="00881BC8" w:rsidRDefault="00641DD0" w:rsidP="004835F8">
      <w:pPr>
        <w:pStyle w:val="NormalPara"/>
        <w:rPr>
          <w:noProof/>
          <w:lang w:val="en-GB"/>
        </w:rPr>
      </w:pPr>
      <w:r w:rsidRPr="00881BC8">
        <w:rPr>
          <w:noProof/>
          <w:lang w:val="en-GB"/>
        </w:rPr>
        <w:t>The most used way to define payment conditions is negotiation on a case-by-case basis (41%), but -especially when there is a difference in size (also between SMEs)- SMEs either impose (30%) or are imposed (17%) payment terms to/from clients.</w:t>
      </w:r>
      <w:r w:rsidR="002E552C" w:rsidRPr="00881BC8">
        <w:rPr>
          <w:noProof/>
          <w:lang w:val="en-GB"/>
        </w:rPr>
        <w:t xml:space="preserve"> </w:t>
      </w:r>
    </w:p>
    <w:p w14:paraId="680AB2E1" w14:textId="23436515" w:rsidR="00641DD0" w:rsidRPr="00881BC8" w:rsidRDefault="00641DD0" w:rsidP="004835F8">
      <w:pPr>
        <w:pStyle w:val="NormalPara"/>
        <w:rPr>
          <w:noProof/>
          <w:lang w:val="en-GB"/>
        </w:rPr>
      </w:pPr>
      <w:r w:rsidRPr="00881BC8">
        <w:rPr>
          <w:noProof/>
          <w:lang w:val="en-GB"/>
        </w:rPr>
        <w:t xml:space="preserve">For the vast majority of SMEs, late payment affects the </w:t>
      </w:r>
      <w:r w:rsidR="006F2808" w:rsidRPr="00881BC8">
        <w:rPr>
          <w:noProof/>
          <w:lang w:val="en-GB"/>
        </w:rPr>
        <w:t>well-being</w:t>
      </w:r>
      <w:r w:rsidRPr="00881BC8">
        <w:rPr>
          <w:noProof/>
          <w:lang w:val="en-GB"/>
        </w:rPr>
        <w:t xml:space="preserve"> of entrepreneurs, generating stress and anxiety. </w:t>
      </w:r>
    </w:p>
    <w:p w14:paraId="4E21093E" w14:textId="56D72901" w:rsidR="0035763B" w:rsidRPr="00881BC8" w:rsidRDefault="0035763B" w:rsidP="004835F8">
      <w:pPr>
        <w:pStyle w:val="AnnexLevel2"/>
        <w:rPr>
          <w:noProof/>
          <w:lang w:val="en-GB"/>
        </w:rPr>
      </w:pPr>
      <w:r w:rsidRPr="00881BC8">
        <w:rPr>
          <w:noProof/>
          <w:lang w:val="en-GB"/>
        </w:rPr>
        <w:t>PREFERRED POLICY OPTION</w:t>
      </w:r>
    </w:p>
    <w:p w14:paraId="0A79D86B" w14:textId="6998CB02" w:rsidR="0035763B" w:rsidRPr="00881BC8" w:rsidRDefault="0035763B" w:rsidP="004835F8">
      <w:pPr>
        <w:pStyle w:val="NormalPara"/>
        <w:rPr>
          <w:noProof/>
          <w:lang w:val="en-GB"/>
        </w:rPr>
      </w:pPr>
      <w:r w:rsidRPr="00881BC8">
        <w:rPr>
          <w:noProof/>
          <w:lang w:val="en-GB"/>
        </w:rPr>
        <w:t xml:space="preserve">The preferred option (PO1A, 2A, 3B) is supported by SMEs in the SME panel and through the </w:t>
      </w:r>
      <w:r w:rsidR="00324F4C" w:rsidRPr="00881BC8">
        <w:rPr>
          <w:noProof/>
          <w:lang w:val="en-GB"/>
        </w:rPr>
        <w:t>public consultation</w:t>
      </w:r>
      <w:r w:rsidRPr="00881BC8">
        <w:rPr>
          <w:noProof/>
          <w:lang w:val="en-GB"/>
        </w:rPr>
        <w:t>. Overall, all sizes of SMEs can benefit from the preferred option, even though microenterprises should be less affected by the costs and obtain more benefits compared to other size classes (for instance, while capping is strongly supported by SMEs, the 30 days capping is more favo</w:t>
      </w:r>
      <w:r w:rsidR="00893BC4" w:rsidRPr="00881BC8">
        <w:rPr>
          <w:noProof/>
          <w:lang w:val="en-GB"/>
        </w:rPr>
        <w:t>u</w:t>
      </w:r>
      <w:r w:rsidRPr="00881BC8">
        <w:rPr>
          <w:noProof/>
          <w:lang w:val="en-GB"/>
        </w:rPr>
        <w:t>red by micro</w:t>
      </w:r>
      <w:r w:rsidR="003729B5" w:rsidRPr="00881BC8">
        <w:rPr>
          <w:noProof/>
          <w:lang w:val="en-GB"/>
        </w:rPr>
        <w:t>enterprise</w:t>
      </w:r>
      <w:r w:rsidRPr="00881BC8">
        <w:rPr>
          <w:noProof/>
          <w:lang w:val="en-GB"/>
        </w:rPr>
        <w:t>s). As micro</w:t>
      </w:r>
      <w:r w:rsidR="003729B5" w:rsidRPr="00881BC8">
        <w:rPr>
          <w:noProof/>
          <w:lang w:val="en-GB"/>
        </w:rPr>
        <w:t>enterprise</w:t>
      </w:r>
      <w:r w:rsidRPr="00881BC8">
        <w:rPr>
          <w:noProof/>
          <w:lang w:val="en-GB"/>
        </w:rPr>
        <w:t xml:space="preserve">s are more </w:t>
      </w:r>
      <w:r w:rsidR="003729B5" w:rsidRPr="00881BC8">
        <w:rPr>
          <w:noProof/>
          <w:lang w:val="en-GB"/>
        </w:rPr>
        <w:t xml:space="preserve">affected </w:t>
      </w:r>
      <w:r w:rsidRPr="00881BC8">
        <w:rPr>
          <w:noProof/>
          <w:lang w:val="en-GB"/>
        </w:rPr>
        <w:t>by late payments </w:t>
      </w:r>
      <w:r w:rsidR="003729B5" w:rsidRPr="00881BC8">
        <w:rPr>
          <w:noProof/>
          <w:lang w:val="en-GB"/>
        </w:rPr>
        <w:t xml:space="preserve">than </w:t>
      </w:r>
      <w:r w:rsidRPr="00881BC8">
        <w:rPr>
          <w:noProof/>
          <w:lang w:val="en-GB"/>
        </w:rPr>
        <w:t>other sizes of SMEs, those expected benefits are more likely</w:t>
      </w:r>
      <w:r w:rsidR="000F25F9" w:rsidRPr="00881BC8">
        <w:rPr>
          <w:noProof/>
          <w:lang w:val="en-GB"/>
        </w:rPr>
        <w:t xml:space="preserve"> to</w:t>
      </w:r>
      <w:r w:rsidRPr="00881BC8">
        <w:rPr>
          <w:noProof/>
          <w:lang w:val="en-GB"/>
        </w:rPr>
        <w:t xml:space="preserve"> translate into better performance of </w:t>
      </w:r>
      <w:r w:rsidR="003729B5" w:rsidRPr="00881BC8">
        <w:rPr>
          <w:noProof/>
          <w:lang w:val="en-GB"/>
        </w:rPr>
        <w:t>companies with 0-9 employees</w:t>
      </w:r>
      <w:r w:rsidRPr="00881BC8">
        <w:rPr>
          <w:noProof/>
          <w:lang w:val="en-GB"/>
        </w:rPr>
        <w:t>.</w:t>
      </w:r>
    </w:p>
    <w:p w14:paraId="47B14DA8" w14:textId="7B0D73D1" w:rsidR="00061ABC" w:rsidRPr="00881BC8" w:rsidRDefault="00641DD0" w:rsidP="004835F8">
      <w:pPr>
        <w:pStyle w:val="AnnexLevel2"/>
        <w:rPr>
          <w:noProof/>
          <w:lang w:val="en-GB"/>
        </w:rPr>
      </w:pPr>
      <w:r w:rsidRPr="00881BC8">
        <w:rPr>
          <w:noProof/>
          <w:lang w:val="en-GB"/>
        </w:rPr>
        <w:t>POLICY OPTION 1 - FIX THE FRAMEWORK CONDITIONS TO PREVENT LATE PAYMENTS</w:t>
      </w:r>
    </w:p>
    <w:p w14:paraId="4D31B716" w14:textId="2063A778" w:rsidR="00641DD0" w:rsidRPr="00881BC8" w:rsidRDefault="00061ABC" w:rsidP="004835F8">
      <w:pPr>
        <w:pStyle w:val="NormalPara"/>
        <w:rPr>
          <w:noProof/>
          <w:lang w:val="en-GB"/>
        </w:rPr>
      </w:pPr>
      <w:r w:rsidRPr="00881BC8">
        <w:rPr>
          <w:noProof/>
          <w:lang w:val="en-GB"/>
        </w:rPr>
        <w:t>C</w:t>
      </w:r>
      <w:r w:rsidR="00641DD0" w:rsidRPr="00881BC8">
        <w:rPr>
          <w:noProof/>
          <w:lang w:val="en-GB"/>
        </w:rPr>
        <w:t>apping payment terms (and therefore the deletion of the concept of “grossly unfair”) is broadly supported by the SME community and would likely benefit at least 3 out of 4 SMEs of all sizes. Around 41% of SMEs on average would particularly benefit from capping at 30 days, with broader coverage for micros (50%), while 35% of SMEs on average would particularly benefit from capping at 60 days, with broader coverage for small and medium-sized companies (43%).</w:t>
      </w:r>
    </w:p>
    <w:p w14:paraId="0749A16F" w14:textId="77777777" w:rsidR="00641DD0" w:rsidRPr="00881BC8" w:rsidRDefault="00641DD0" w:rsidP="004835F8">
      <w:pPr>
        <w:pStyle w:val="NormalPara"/>
        <w:rPr>
          <w:rFonts w:eastAsia="Times New Roman"/>
          <w:noProof/>
          <w:lang w:val="en-GB" w:eastAsia="en-GB"/>
        </w:rPr>
      </w:pPr>
      <w:r w:rsidRPr="00881BC8">
        <w:rPr>
          <w:rFonts w:eastAsia="Times New Roman"/>
          <w:noProof/>
          <w:lang w:val="en-GB" w:eastAsia="en-GB"/>
        </w:rPr>
        <w:t xml:space="preserve">Capping of the verification / acceptance procedure at 30 days would likely benefit between 25% and 66% of SMEs, </w:t>
      </w:r>
      <w:r w:rsidRPr="00881BC8">
        <w:rPr>
          <w:noProof/>
          <w:lang w:val="en-GB"/>
        </w:rPr>
        <w:t>with broader coverage for small and medium-sized companies</w:t>
      </w:r>
      <w:r w:rsidRPr="00881BC8">
        <w:rPr>
          <w:rFonts w:eastAsia="Times New Roman"/>
          <w:noProof/>
          <w:lang w:val="en-GB" w:eastAsia="en-GB"/>
        </w:rPr>
        <w:t>.</w:t>
      </w:r>
    </w:p>
    <w:p w14:paraId="2EC2DC04" w14:textId="77777777" w:rsidR="00641DD0" w:rsidRPr="00881BC8" w:rsidRDefault="00641DD0" w:rsidP="004835F8">
      <w:pPr>
        <w:pStyle w:val="NormalPara"/>
        <w:rPr>
          <w:noProof/>
          <w:lang w:val="en-GB"/>
        </w:rPr>
      </w:pPr>
      <w:r w:rsidRPr="00881BC8">
        <w:rPr>
          <w:noProof/>
          <w:lang w:val="en-GB"/>
        </w:rPr>
        <w:t>Access to credit management and financial literacy trainings can provide a direct benefit to SMEs and it has found near-universal support in the stakeholder consultation.</w:t>
      </w:r>
    </w:p>
    <w:p w14:paraId="26354962" w14:textId="77777777" w:rsidR="00641DD0" w:rsidRPr="00881BC8" w:rsidRDefault="00641DD0" w:rsidP="004835F8">
      <w:pPr>
        <w:pStyle w:val="AnnexLevel2"/>
        <w:rPr>
          <w:noProof/>
          <w:lang w:val="en-GB"/>
        </w:rPr>
      </w:pPr>
      <w:r w:rsidRPr="00881BC8">
        <w:rPr>
          <w:noProof/>
          <w:lang w:val="en-GB"/>
        </w:rPr>
        <w:t>POLICY OPTION 2 - FOSTER TIMELY PAYMENT</w:t>
      </w:r>
    </w:p>
    <w:p w14:paraId="654D0A8B" w14:textId="77777777" w:rsidR="00641DD0" w:rsidRPr="00881BC8" w:rsidRDefault="00641DD0" w:rsidP="004835F8">
      <w:pPr>
        <w:pStyle w:val="NormalPara"/>
        <w:rPr>
          <w:rFonts w:eastAsia="Times New Roman"/>
          <w:noProof/>
          <w:lang w:val="en-GB" w:eastAsia="en-GB"/>
        </w:rPr>
      </w:pPr>
      <w:r w:rsidRPr="00881BC8">
        <w:rPr>
          <w:noProof/>
          <w:lang w:val="en-GB"/>
        </w:rPr>
        <w:t>While making payment of interests and compensation mandatory will benefit creditors of all sizes, without changes in payment behaviour its costs could affect more the companies that are more likely to be late payers, therefore large, but also small and medium companies.</w:t>
      </w:r>
    </w:p>
    <w:p w14:paraId="579A5D72" w14:textId="77777777" w:rsidR="00641DD0" w:rsidRPr="00881BC8" w:rsidRDefault="00641DD0" w:rsidP="004835F8">
      <w:pPr>
        <w:pStyle w:val="NormalPara"/>
        <w:rPr>
          <w:noProof/>
          <w:lang w:val="en-GB"/>
        </w:rPr>
      </w:pPr>
      <w:r w:rsidRPr="00881BC8">
        <w:rPr>
          <w:noProof/>
          <w:lang w:val="en-GB"/>
        </w:rPr>
        <w:t>The appointment of enforcement bodies empowered to issue administrative sanctions and publish the name of offenders is the most favoured among all options. This option would mostly benefit companies that are more frequently paid late, therefore SMEs in general. Given that the likelihood of paying late increases with the size of the company, especially micros should be less affected by this option in terms of costs (fines). Would enforcement bodies be responsible only for monitoring implementation, benefits would be reduced for businesses that are paid late as their deterrent effect is lower, but will also lower additional costs for late payers (mainly large companies and small and medium companies).</w:t>
      </w:r>
    </w:p>
    <w:p w14:paraId="57FFCE48" w14:textId="77777777" w:rsidR="00641DD0" w:rsidRPr="00881BC8" w:rsidRDefault="00641DD0" w:rsidP="004835F8">
      <w:pPr>
        <w:pStyle w:val="NormalPara"/>
        <w:rPr>
          <w:noProof/>
          <w:lang w:val="en-GB"/>
        </w:rPr>
      </w:pPr>
      <w:r w:rsidRPr="00881BC8">
        <w:rPr>
          <w:noProof/>
          <w:lang w:val="en-GB"/>
        </w:rPr>
        <w:t>Ensuring that subcontractors in public tenders are paid promptly is supported by the SME community. Contractors of above EU thresholds works contracts will have to show that they have paid their own subcontractors on time. Those administrative costs may likely be born only by a limited quota of SMEs winning above-EU threshold works contracts; the option would help making sure that around ¼ of the aggregated value, which goes indirectly to SMEs, is paid promptly.</w:t>
      </w:r>
    </w:p>
    <w:p w14:paraId="1B00D0C4" w14:textId="77777777" w:rsidR="00641DD0" w:rsidRPr="00881BC8" w:rsidRDefault="00641DD0" w:rsidP="004835F8">
      <w:pPr>
        <w:pStyle w:val="AnnexLevel2"/>
        <w:rPr>
          <w:noProof/>
          <w:lang w:val="en-GB"/>
        </w:rPr>
      </w:pPr>
      <w:r w:rsidRPr="00881BC8">
        <w:rPr>
          <w:noProof/>
          <w:lang w:val="en-GB"/>
        </w:rPr>
        <w:t>POLICY OPTION 3 - EMPOWERING SMES AND ENSURING MORE FAIRNESS IN BUSINESS TRANSACTIONS</w:t>
      </w:r>
    </w:p>
    <w:p w14:paraId="0955B87D" w14:textId="68F38A3D" w:rsidR="00641DD0" w:rsidRPr="00881BC8" w:rsidRDefault="00641DD0" w:rsidP="004835F8">
      <w:pPr>
        <w:pStyle w:val="NormalPara"/>
        <w:rPr>
          <w:noProof/>
          <w:lang w:val="en-GB"/>
        </w:rPr>
      </w:pPr>
      <w:r w:rsidRPr="00881BC8">
        <w:rPr>
          <w:noProof/>
          <w:lang w:val="en-GB"/>
        </w:rPr>
        <w:t>This option targets only those payments that are already late and focuses on helping the creditors recover their debts. SMEs usually avoid going to court, for lack of financial means or fear of jeopardising business relationships. The main benefits to businesses come from reduced enforcement costs to chase late payments. The costs to businesses are relatively limited, as all parties benefit from mediation services and clear definitions of unfair practices; even debtors will have reduced costs if cases go to a mediation system rather than to court.</w:t>
      </w:r>
      <w:r w:rsidR="002E552C" w:rsidRPr="00881BC8">
        <w:rPr>
          <w:noProof/>
          <w:lang w:val="en-GB"/>
        </w:rPr>
        <w:t xml:space="preserve"> </w:t>
      </w:r>
    </w:p>
    <w:p w14:paraId="3357ED9F" w14:textId="77777777" w:rsidR="00496E7C" w:rsidRPr="00881BC8" w:rsidRDefault="00496E7C" w:rsidP="004835F8">
      <w:pPr>
        <w:pStyle w:val="NormalPara"/>
        <w:rPr>
          <w:noProof/>
          <w:lang w:val="en-GB"/>
        </w:rPr>
      </w:pPr>
      <w:r w:rsidRPr="00881BC8">
        <w:rPr>
          <w:noProof/>
          <w:lang w:val="en-GB"/>
        </w:rPr>
        <w:t xml:space="preserve">Having a National Payment Envoy would very likely benefit mainly SMEs, but it is less supported by bigger SMEs and when large companies are those that mostly pay late. </w:t>
      </w:r>
    </w:p>
    <w:p w14:paraId="4F43B90A" w14:textId="77777777" w:rsidR="00496E7C" w:rsidRPr="00881BC8" w:rsidRDefault="00496E7C" w:rsidP="004835F8">
      <w:pPr>
        <w:pStyle w:val="NormalPara"/>
        <w:rPr>
          <w:noProof/>
          <w:lang w:val="en-GB"/>
        </w:rPr>
      </w:pPr>
      <w:r w:rsidRPr="00881BC8">
        <w:rPr>
          <w:noProof/>
          <w:lang w:val="en-GB"/>
        </w:rPr>
        <w:t xml:space="preserve">Introducing national mediation systems would more directly lead to monetary benefits for those businesses that currently rely on court litigation, and on access to dispute resolution for those businesses that currently avoid going to courts to recover unpaid debt. Currently, relatively few SMEs use mediation (7%) or arbitration (3%) services, but this is also because mediation services are not widespread. </w:t>
      </w:r>
    </w:p>
    <w:p w14:paraId="741E8B06" w14:textId="77777777" w:rsidR="00496E7C" w:rsidRPr="00881BC8" w:rsidRDefault="00496E7C" w:rsidP="004835F8">
      <w:pPr>
        <w:pStyle w:val="NormalPara"/>
        <w:rPr>
          <w:noProof/>
          <w:lang w:val="en-GB"/>
        </w:rPr>
      </w:pPr>
      <w:r w:rsidRPr="00881BC8">
        <w:rPr>
          <w:noProof/>
          <w:lang w:val="en-GB"/>
        </w:rPr>
        <w:t xml:space="preserve">Should Member States specifically address the question of unfair contractual terms and practices through their applicable national law, time and cost saving for the creditor would translate directly into a cost for the debtor who has to prove the clause or practice is not unfair. </w:t>
      </w:r>
    </w:p>
    <w:p w14:paraId="28520615" w14:textId="2E8E0849" w:rsidR="00CA291F" w:rsidRPr="00881BC8" w:rsidRDefault="00CA291F" w:rsidP="004835F8">
      <w:pPr>
        <w:pStyle w:val="AnnexLevel1"/>
        <w:rPr>
          <w:noProof/>
          <w:lang w:val="en-GB"/>
        </w:rPr>
      </w:pPr>
      <w:r w:rsidRPr="00881BC8">
        <w:rPr>
          <w:noProof/>
          <w:lang w:val="en-GB"/>
        </w:rPr>
        <w:t>STEP 1/4: IDENTIFICATION OF AFFECTED BUSINESSES</w:t>
      </w:r>
    </w:p>
    <w:p w14:paraId="6DC01A49" w14:textId="77777777" w:rsidR="00CA291F" w:rsidRPr="00881BC8" w:rsidRDefault="00CA291F" w:rsidP="004835F8">
      <w:pPr>
        <w:pStyle w:val="NormalPara"/>
        <w:rPr>
          <w:noProof/>
          <w:lang w:val="en-GB" w:eastAsia="en-GB"/>
        </w:rPr>
      </w:pPr>
      <w:r w:rsidRPr="00881BC8">
        <w:rPr>
          <w:noProof/>
          <w:lang w:val="en-GB" w:eastAsia="en-GB"/>
        </w:rPr>
        <w:t xml:space="preserve">SMEs are within the scope of this legislative initiative and are also the intended main beneficiaries of this revision. </w:t>
      </w:r>
    </w:p>
    <w:p w14:paraId="7DBD475F" w14:textId="77777777" w:rsidR="00CA291F" w:rsidRPr="00881BC8" w:rsidRDefault="00CA291F" w:rsidP="004835F8">
      <w:pPr>
        <w:pStyle w:val="AnnexLevel2"/>
        <w:rPr>
          <w:noProof/>
          <w:lang w:val="en-GB"/>
        </w:rPr>
      </w:pPr>
      <w:r w:rsidRPr="00881BC8">
        <w:rPr>
          <w:noProof/>
          <w:lang w:val="en-GB"/>
        </w:rPr>
        <w:t>Late payments in SMEs vs large companies</w:t>
      </w:r>
    </w:p>
    <w:p w14:paraId="6167F43B" w14:textId="77777777" w:rsidR="00CA291F" w:rsidRPr="00881BC8" w:rsidRDefault="00CA291F" w:rsidP="004835F8">
      <w:pPr>
        <w:pStyle w:val="NormalPara"/>
        <w:rPr>
          <w:bCs/>
          <w:noProof/>
          <w:lang w:val="en-GB" w:eastAsia="en-GB"/>
        </w:rPr>
      </w:pPr>
      <w:r w:rsidRPr="00881BC8">
        <w:rPr>
          <w:bCs/>
          <w:noProof/>
          <w:lang w:val="en-GB" w:eastAsia="en-GB"/>
        </w:rPr>
        <w:t>Companies from all size classes report regular and/or occasional occurrences of late payments as creditors</w:t>
      </w:r>
      <w:r w:rsidRPr="00881BC8">
        <w:rPr>
          <w:rStyle w:val="FootnoteReference"/>
          <w:bCs/>
          <w:noProof/>
          <w:lang w:val="en-GB" w:eastAsia="en-GB"/>
        </w:rPr>
        <w:footnoteReference w:id="259"/>
      </w:r>
      <w:r w:rsidRPr="00881BC8">
        <w:rPr>
          <w:bCs/>
          <w:noProof/>
          <w:lang w:val="en-GB" w:eastAsia="en-GB"/>
        </w:rPr>
        <w:t xml:space="preserve">. In some studies, SMEs and large companies also report comparable levels of payment terms and payment delays. </w:t>
      </w:r>
    </w:p>
    <w:p w14:paraId="6C116AD9" w14:textId="77777777" w:rsidR="00CA291F" w:rsidRPr="00881BC8" w:rsidRDefault="00CA291F" w:rsidP="004835F8">
      <w:pPr>
        <w:pStyle w:val="NormalPara"/>
        <w:rPr>
          <w:bCs/>
          <w:noProof/>
          <w:lang w:val="en-GB" w:eastAsia="en-GB"/>
        </w:rPr>
      </w:pPr>
      <w:r w:rsidRPr="00881BC8">
        <w:rPr>
          <w:bCs/>
          <w:noProof/>
          <w:lang w:val="en-GB" w:eastAsia="en-GB"/>
        </w:rPr>
        <w:t xml:space="preserve">On the other hand, SMEs have more limited access to liquidity than public authorities or large businesses and getting paid on time affects SMEs disproportionately compared to larger companies: </w:t>
      </w:r>
    </w:p>
    <w:p w14:paraId="733D0ADA" w14:textId="77777777" w:rsidR="00CA291F" w:rsidRPr="00881BC8" w:rsidRDefault="00CA291F" w:rsidP="004835F8">
      <w:pPr>
        <w:pStyle w:val="Body"/>
        <w:numPr>
          <w:ilvl w:val="0"/>
          <w:numId w:val="46"/>
        </w:numPr>
        <w:spacing w:before="60" w:after="60"/>
        <w:rPr>
          <w:rFonts w:cs="Times New Roman"/>
          <w:noProof/>
          <w:szCs w:val="24"/>
          <w:lang w:eastAsia="en-GB"/>
        </w:rPr>
      </w:pPr>
      <w:r w:rsidRPr="00881BC8">
        <w:rPr>
          <w:rFonts w:cs="Times New Roman"/>
          <w:noProof/>
          <w:szCs w:val="24"/>
          <w:lang w:eastAsia="en-GB"/>
        </w:rPr>
        <w:t>Late payments are a main challenge for 22% of large companies compared to 35% of SMEs in the EU.</w:t>
      </w:r>
      <w:r w:rsidRPr="00881BC8">
        <w:rPr>
          <w:rStyle w:val="FootnoteReference"/>
          <w:noProof/>
          <w:lang w:eastAsia="en-GB"/>
        </w:rPr>
        <w:footnoteReference w:id="260"/>
      </w:r>
    </w:p>
    <w:p w14:paraId="07D64F80" w14:textId="77777777" w:rsidR="00CA291F" w:rsidRPr="00881BC8" w:rsidRDefault="00CA291F" w:rsidP="004835F8">
      <w:pPr>
        <w:pStyle w:val="Body"/>
        <w:numPr>
          <w:ilvl w:val="0"/>
          <w:numId w:val="46"/>
        </w:numPr>
        <w:spacing w:before="60" w:after="60"/>
        <w:rPr>
          <w:rFonts w:cs="Times New Roman"/>
          <w:noProof/>
          <w:szCs w:val="24"/>
          <w:lang w:eastAsia="en-GB"/>
        </w:rPr>
      </w:pPr>
      <w:r w:rsidRPr="00881BC8">
        <w:rPr>
          <w:rFonts w:cs="Times New Roman"/>
          <w:noProof/>
          <w:szCs w:val="24"/>
          <w:lang w:eastAsia="en-GB"/>
        </w:rPr>
        <w:t>Late payments’ consequences are more widespread among SMEs compared with large companies</w:t>
      </w:r>
      <w:r w:rsidRPr="00881BC8">
        <w:rPr>
          <w:rStyle w:val="FootnoteReference"/>
          <w:noProof/>
          <w:lang w:eastAsia="en-GB"/>
        </w:rPr>
        <w:footnoteReference w:id="261"/>
      </w:r>
      <w:r w:rsidRPr="00881BC8">
        <w:rPr>
          <w:rFonts w:cs="Times New Roman"/>
          <w:noProof/>
          <w:szCs w:val="24"/>
          <w:lang w:eastAsia="en-GB"/>
        </w:rPr>
        <w:t>:</w:t>
      </w:r>
    </w:p>
    <w:p w14:paraId="43B4902E" w14:textId="77777777" w:rsidR="00CA291F" w:rsidRPr="00881BC8" w:rsidRDefault="00CA291F" w:rsidP="004835F8">
      <w:pPr>
        <w:pStyle w:val="Body"/>
        <w:numPr>
          <w:ilvl w:val="1"/>
          <w:numId w:val="46"/>
        </w:numPr>
        <w:spacing w:before="60" w:after="60"/>
        <w:rPr>
          <w:rFonts w:cs="Times New Roman"/>
          <w:noProof/>
          <w:szCs w:val="24"/>
          <w:lang w:eastAsia="en-GB"/>
        </w:rPr>
      </w:pPr>
      <w:r w:rsidRPr="00881BC8">
        <w:rPr>
          <w:rFonts w:cs="Times New Roman"/>
          <w:noProof/>
          <w:szCs w:val="24"/>
          <w:lang w:eastAsia="en-GB"/>
        </w:rPr>
        <w:t>payment to suppliers (32% SMEs vs 20% large companies)</w:t>
      </w:r>
    </w:p>
    <w:p w14:paraId="010C14C6" w14:textId="77777777" w:rsidR="00CA291F" w:rsidRPr="00881BC8" w:rsidRDefault="00CA291F" w:rsidP="004835F8">
      <w:pPr>
        <w:pStyle w:val="Body"/>
        <w:numPr>
          <w:ilvl w:val="1"/>
          <w:numId w:val="46"/>
        </w:numPr>
        <w:spacing w:before="60" w:after="60"/>
        <w:rPr>
          <w:rFonts w:cs="Times New Roman"/>
          <w:noProof/>
          <w:szCs w:val="24"/>
          <w:lang w:eastAsia="en-GB"/>
        </w:rPr>
      </w:pPr>
      <w:r w:rsidRPr="00881BC8">
        <w:rPr>
          <w:rFonts w:cs="Times New Roman"/>
          <w:noProof/>
          <w:szCs w:val="24"/>
          <w:lang w:eastAsia="en-GB"/>
        </w:rPr>
        <w:t>investments or new recruitment (22% SMEs vs 10% large companies)</w:t>
      </w:r>
    </w:p>
    <w:p w14:paraId="47859E29" w14:textId="77777777" w:rsidR="00CA291F" w:rsidRPr="00881BC8" w:rsidRDefault="00CA291F" w:rsidP="004835F8">
      <w:pPr>
        <w:pStyle w:val="Body"/>
        <w:numPr>
          <w:ilvl w:val="1"/>
          <w:numId w:val="46"/>
        </w:numPr>
        <w:spacing w:before="60" w:after="60"/>
        <w:rPr>
          <w:rFonts w:cs="Times New Roman"/>
          <w:noProof/>
          <w:szCs w:val="24"/>
          <w:lang w:eastAsia="en-GB"/>
        </w:rPr>
      </w:pPr>
      <w:r w:rsidRPr="00881BC8">
        <w:rPr>
          <w:rFonts w:cs="Times New Roman"/>
          <w:noProof/>
          <w:szCs w:val="24"/>
          <w:lang w:eastAsia="en-GB"/>
        </w:rPr>
        <w:t>production or operations (21% SMEs vs 10% large companies)</w:t>
      </w:r>
    </w:p>
    <w:p w14:paraId="6C116781" w14:textId="77777777" w:rsidR="00CA291F" w:rsidRPr="00881BC8" w:rsidRDefault="00CA291F" w:rsidP="004835F8">
      <w:pPr>
        <w:pStyle w:val="Body"/>
        <w:numPr>
          <w:ilvl w:val="1"/>
          <w:numId w:val="46"/>
        </w:numPr>
        <w:spacing w:before="60" w:after="60"/>
        <w:rPr>
          <w:rFonts w:cs="Times New Roman"/>
          <w:noProof/>
          <w:szCs w:val="24"/>
          <w:lang w:eastAsia="en-GB"/>
        </w:rPr>
      </w:pPr>
      <w:r w:rsidRPr="00881BC8">
        <w:rPr>
          <w:rFonts w:cs="Times New Roman"/>
          <w:noProof/>
          <w:szCs w:val="24"/>
          <w:lang w:eastAsia="en-GB"/>
        </w:rPr>
        <w:t>repayment of loans / need for additional financing (15% SMEs vs 10% large companies)</w:t>
      </w:r>
    </w:p>
    <w:p w14:paraId="72BCB8A5" w14:textId="6998B671" w:rsidR="00CA291F" w:rsidRPr="00881BC8" w:rsidRDefault="00CA291F" w:rsidP="004835F8">
      <w:pPr>
        <w:pStyle w:val="Body"/>
        <w:numPr>
          <w:ilvl w:val="0"/>
          <w:numId w:val="46"/>
        </w:numPr>
        <w:spacing w:before="60" w:after="60"/>
        <w:rPr>
          <w:rFonts w:cs="Times New Roman"/>
          <w:noProof/>
          <w:szCs w:val="24"/>
          <w:lang w:eastAsia="en-GB"/>
        </w:rPr>
      </w:pPr>
      <w:r w:rsidRPr="00881BC8">
        <w:rPr>
          <w:rFonts w:cs="Times New Roman"/>
          <w:noProof/>
          <w:szCs w:val="24"/>
          <w:lang w:eastAsia="en-GB"/>
        </w:rPr>
        <w:t>A 2009 project in Poland found medium-sized and large companies much more effective in managing their costs entailed by late payments and that they can reduce them to less than 4% of total costs, with large companies reaching on average only 3.3%, i.e. by over 70% less than in micro-businesses. In general, micro companies pay the highest cost of payment delays of their business partners, which is why they are the most affected by the problem. Even in small companies with 10–49 members of staff, costs of late payments are much lower and they amount to ca. 5.5% of total costs, i.e., by ca. 1/3 less than in micro companies (standing at 8% of their total costs)</w:t>
      </w:r>
      <w:r w:rsidRPr="00881BC8">
        <w:rPr>
          <w:noProof/>
          <w:vertAlign w:val="superscript"/>
        </w:rPr>
        <w:footnoteReference w:id="262"/>
      </w:r>
      <w:r w:rsidR="00883FB3" w:rsidRPr="00881BC8">
        <w:rPr>
          <w:rFonts w:cs="Times New Roman"/>
          <w:noProof/>
          <w:szCs w:val="24"/>
          <w:lang w:eastAsia="en-GB"/>
        </w:rPr>
        <w:t>,</w:t>
      </w:r>
      <w:r w:rsidRPr="00881BC8">
        <w:rPr>
          <w:rStyle w:val="FootnoteReference"/>
          <w:noProof/>
          <w:lang w:eastAsia="en-GB"/>
        </w:rPr>
        <w:footnoteReference w:id="263"/>
      </w:r>
      <w:r w:rsidRPr="00881BC8">
        <w:rPr>
          <w:rFonts w:cs="Times New Roman"/>
          <w:noProof/>
          <w:szCs w:val="24"/>
          <w:lang w:eastAsia="en-GB"/>
        </w:rPr>
        <w:t>.</w:t>
      </w:r>
    </w:p>
    <w:p w14:paraId="4D048AA7" w14:textId="77777777" w:rsidR="00CA291F" w:rsidRPr="00881BC8" w:rsidRDefault="00CA291F" w:rsidP="004835F8">
      <w:pPr>
        <w:pStyle w:val="NormalPara"/>
        <w:rPr>
          <w:noProof/>
          <w:lang w:val="en-GB"/>
        </w:rPr>
      </w:pPr>
      <w:r w:rsidRPr="00881BC8">
        <w:rPr>
          <w:noProof/>
          <w:lang w:val="en-GB"/>
        </w:rPr>
        <w:t xml:space="preserve">Payment behaviour of large companies significantly differs from that of smaller enterprises, as the larger the company is, the worse payment performance it is likely to exhibit: </w:t>
      </w:r>
    </w:p>
    <w:p w14:paraId="4247F41F" w14:textId="77777777" w:rsidR="00CA291F" w:rsidRPr="00881BC8" w:rsidRDefault="00CA291F" w:rsidP="004835F8">
      <w:pPr>
        <w:pStyle w:val="Body"/>
        <w:numPr>
          <w:ilvl w:val="0"/>
          <w:numId w:val="47"/>
        </w:numPr>
        <w:rPr>
          <w:rFonts w:cs="Times New Roman"/>
          <w:noProof/>
          <w:szCs w:val="24"/>
          <w:lang w:eastAsia="en-US"/>
        </w:rPr>
      </w:pPr>
      <w:r w:rsidRPr="00881BC8">
        <w:rPr>
          <w:rFonts w:cs="Times New Roman"/>
          <w:noProof/>
          <w:szCs w:val="24"/>
          <w:lang w:eastAsia="en-US"/>
        </w:rPr>
        <w:t>On average, 51% of micro-enterprises pay their invoices by the due date, while the same is true for 48% of small enterprises, 42% of medium-sized enterprises and only 35% of large enterprises.</w:t>
      </w:r>
      <w:r w:rsidRPr="00881BC8">
        <w:rPr>
          <w:noProof/>
          <w:lang w:eastAsia="en-US"/>
        </w:rPr>
        <w:t xml:space="preserve"> </w:t>
      </w:r>
      <w:r w:rsidRPr="00881BC8">
        <w:rPr>
          <w:rStyle w:val="FootnoteReference"/>
          <w:noProof/>
          <w:lang w:eastAsia="en-US"/>
        </w:rPr>
        <w:footnoteReference w:id="264"/>
      </w:r>
      <w:r w:rsidRPr="00881BC8">
        <w:rPr>
          <w:rFonts w:cs="Times New Roman"/>
          <w:noProof/>
          <w:szCs w:val="24"/>
          <w:lang w:eastAsia="en-US"/>
        </w:rPr>
        <w:t xml:space="preserve"> </w:t>
      </w:r>
    </w:p>
    <w:p w14:paraId="5D6D1FBA" w14:textId="77777777" w:rsidR="00CA291F" w:rsidRPr="00881BC8" w:rsidRDefault="00CA291F" w:rsidP="004835F8">
      <w:pPr>
        <w:pStyle w:val="Body"/>
        <w:numPr>
          <w:ilvl w:val="0"/>
          <w:numId w:val="47"/>
        </w:numPr>
        <w:spacing w:before="60" w:after="60"/>
        <w:rPr>
          <w:noProof/>
        </w:rPr>
      </w:pPr>
      <w:r w:rsidRPr="00881BC8">
        <w:rPr>
          <w:rFonts w:cs="Times New Roman"/>
          <w:noProof/>
          <w:szCs w:val="24"/>
          <w:lang w:eastAsia="en-US"/>
        </w:rPr>
        <w:t>A 2021</w:t>
      </w:r>
      <w:r w:rsidRPr="00881BC8">
        <w:rPr>
          <w:rFonts w:eastAsiaTheme="minorEastAsia"/>
          <w:noProof/>
          <w:vertAlign w:val="superscript"/>
        </w:rPr>
        <w:footnoteReference w:id="265"/>
      </w:r>
      <w:r w:rsidRPr="00881BC8">
        <w:rPr>
          <w:rFonts w:cs="Times New Roman"/>
          <w:noProof/>
          <w:szCs w:val="24"/>
          <w:lang w:eastAsia="en-US"/>
        </w:rPr>
        <w:t xml:space="preserve"> study, covering 36 countries around the world, shows that microenterprises, and in some markets small companies, show the best payment behaviour. The percentage of punctual payers decreases as business size rises. </w:t>
      </w:r>
    </w:p>
    <w:p w14:paraId="3E6713F0" w14:textId="77777777" w:rsidR="00CA291F" w:rsidRPr="00881BC8" w:rsidRDefault="00CA291F" w:rsidP="004835F8">
      <w:pPr>
        <w:pStyle w:val="Body"/>
        <w:numPr>
          <w:ilvl w:val="0"/>
          <w:numId w:val="47"/>
        </w:numPr>
        <w:spacing w:before="60" w:after="60"/>
        <w:rPr>
          <w:noProof/>
        </w:rPr>
      </w:pPr>
      <w:r w:rsidRPr="00881BC8">
        <w:rPr>
          <w:noProof/>
        </w:rPr>
        <w:t>The SME panel confirms that micro-businesses are overall the least likely to pay late (26%). It also finds that</w:t>
      </w:r>
      <w:r w:rsidRPr="00881BC8">
        <w:rPr>
          <w:rStyle w:val="FootnoteReference"/>
          <w:noProof/>
        </w:rPr>
        <w:footnoteReference w:id="266"/>
      </w:r>
      <w:r w:rsidRPr="00881BC8">
        <w:rPr>
          <w:noProof/>
        </w:rPr>
        <w:t>:</w:t>
      </w:r>
    </w:p>
    <w:p w14:paraId="1374B136" w14:textId="77777777" w:rsidR="00CA291F" w:rsidRPr="00881BC8" w:rsidRDefault="00CA291F" w:rsidP="004835F8">
      <w:pPr>
        <w:pStyle w:val="Body"/>
        <w:numPr>
          <w:ilvl w:val="1"/>
          <w:numId w:val="47"/>
        </w:numPr>
        <w:rPr>
          <w:noProof/>
        </w:rPr>
      </w:pPr>
      <w:r w:rsidRPr="00881BC8">
        <w:rPr>
          <w:noProof/>
        </w:rPr>
        <w:t>Small and medium-sized companies are those less likely to find that micro-businesses most frequently pay late (14 and 15%), while 43% of self-employed are the most likely to experience delays from micros;</w:t>
      </w:r>
    </w:p>
    <w:p w14:paraId="7EBF21FB" w14:textId="77777777" w:rsidR="00CA291F" w:rsidRPr="00881BC8" w:rsidRDefault="00CA291F" w:rsidP="004835F8">
      <w:pPr>
        <w:pStyle w:val="Body"/>
        <w:numPr>
          <w:ilvl w:val="1"/>
          <w:numId w:val="47"/>
        </w:numPr>
        <w:rPr>
          <w:noProof/>
        </w:rPr>
      </w:pPr>
      <w:r w:rsidRPr="00881BC8">
        <w:rPr>
          <w:noProof/>
        </w:rPr>
        <w:t>Small and medium-sized companies are those most likely to find small and medium-sized companies (52-48%) and large companies (34-37%) as late payers.</w:t>
      </w:r>
    </w:p>
    <w:p w14:paraId="05879153" w14:textId="77777777" w:rsidR="00CA291F" w:rsidRPr="00881BC8" w:rsidRDefault="00CA291F" w:rsidP="004835F8">
      <w:pPr>
        <w:pStyle w:val="AnnexLevel2"/>
        <w:rPr>
          <w:noProof/>
          <w:lang w:val="en-GB"/>
        </w:rPr>
      </w:pPr>
      <w:r w:rsidRPr="00881BC8">
        <w:rPr>
          <w:noProof/>
          <w:lang w:val="en-GB"/>
        </w:rPr>
        <w:t>SMEs setting payment terms</w:t>
      </w:r>
    </w:p>
    <w:p w14:paraId="3CDEC96F" w14:textId="60E88562" w:rsidR="00CA291F" w:rsidRPr="00881BC8" w:rsidRDefault="00CA291F" w:rsidP="004835F8">
      <w:pPr>
        <w:pStyle w:val="NormalPara"/>
        <w:rPr>
          <w:noProof/>
          <w:lang w:val="en-GB"/>
        </w:rPr>
      </w:pPr>
      <w:r w:rsidRPr="00881BC8">
        <w:rPr>
          <w:noProof/>
          <w:lang w:val="en-GB"/>
        </w:rPr>
        <w:t>In the SME panel, a similar</w:t>
      </w:r>
      <w:r w:rsidR="0014638C" w:rsidRPr="00881BC8">
        <w:rPr>
          <w:noProof/>
          <w:lang w:val="en-GB"/>
        </w:rPr>
        <w:t xml:space="preserve"> </w:t>
      </w:r>
      <w:r w:rsidRPr="00881BC8">
        <w:rPr>
          <w:noProof/>
          <w:lang w:val="en-GB"/>
        </w:rPr>
        <w:t>percentage of SMEs asks to be paid within 30 days (44%) or 60 days (42%), with marked differences by size of company, as many more smaller companies</w:t>
      </w:r>
      <w:r w:rsidRPr="00881BC8">
        <w:rPr>
          <w:rStyle w:val="FootnoteReference"/>
          <w:noProof/>
          <w:lang w:val="en-GB"/>
        </w:rPr>
        <w:footnoteReference w:id="267"/>
      </w:r>
      <w:r w:rsidRPr="00881BC8">
        <w:rPr>
          <w:noProof/>
          <w:lang w:val="en-GB"/>
        </w:rPr>
        <w:t xml:space="preserve"> ask to be paid within 30 days.</w:t>
      </w:r>
      <w:r w:rsidR="002E552C" w:rsidRPr="00881BC8">
        <w:rPr>
          <w:noProof/>
          <w:lang w:val="en-GB"/>
        </w:rPr>
        <w:t xml:space="preserve"> </w:t>
      </w:r>
      <w:r w:rsidRPr="00881BC8">
        <w:rPr>
          <w:noProof/>
          <w:lang w:val="en-GB"/>
        </w:rPr>
        <w:t>72% of SMEs are not comfortable when clients require to agree to accept payment 60 days or more from the date of the invoice, with no significant differences by size of vendor.</w:t>
      </w:r>
    </w:p>
    <w:p w14:paraId="49E28E93" w14:textId="77777777" w:rsidR="00CA291F" w:rsidRPr="00881BC8" w:rsidRDefault="00CA291F" w:rsidP="004835F8">
      <w:pPr>
        <w:pStyle w:val="NormalPara"/>
        <w:rPr>
          <w:noProof/>
          <w:lang w:val="en-GB"/>
        </w:rPr>
      </w:pPr>
      <w:r w:rsidRPr="00881BC8">
        <w:rPr>
          <w:noProof/>
          <w:lang w:val="en-GB"/>
        </w:rPr>
        <w:t>Regarding current practices in setting payment conditions, the SME panel finds that:</w:t>
      </w:r>
    </w:p>
    <w:p w14:paraId="36A24C10" w14:textId="77777777" w:rsidR="00D97E4E" w:rsidRPr="00881BC8" w:rsidRDefault="00CA291F" w:rsidP="004835F8">
      <w:pPr>
        <w:pStyle w:val="Body"/>
        <w:numPr>
          <w:ilvl w:val="0"/>
          <w:numId w:val="48"/>
        </w:numPr>
        <w:rPr>
          <w:bCs/>
          <w:noProof/>
        </w:rPr>
      </w:pPr>
      <w:r w:rsidRPr="00881BC8">
        <w:rPr>
          <w:noProof/>
        </w:rPr>
        <w:t>Overall, the way most used to define payment conditions is negotiation on a case-by-case basis (41%), with some exceptions for self-employed and medium-sized companies (especially those that find micros are more frequently late payers).</w:t>
      </w:r>
    </w:p>
    <w:p w14:paraId="41670017" w14:textId="5DB2FD0A" w:rsidR="00D97E4E" w:rsidRPr="00881BC8" w:rsidRDefault="00CA291F" w:rsidP="004835F8">
      <w:pPr>
        <w:pStyle w:val="Body"/>
        <w:numPr>
          <w:ilvl w:val="0"/>
          <w:numId w:val="48"/>
        </w:numPr>
        <w:rPr>
          <w:bCs/>
          <w:noProof/>
        </w:rPr>
      </w:pPr>
      <w:r w:rsidRPr="00881BC8">
        <w:rPr>
          <w:noProof/>
        </w:rPr>
        <w:t>30% impose specific payment conditions to the client. This is more frequent when the client is smaller than the vendor; the bigger the difference in size with clients that are found to be more frequently bad payers, the more companies dictate their own conditions. The highest effect is seen with medium sized companies imposing their payment conditions to micros when those are found to be more frequently late payers (68%).</w:t>
      </w:r>
    </w:p>
    <w:p w14:paraId="787CA5B6" w14:textId="77B6F878" w:rsidR="00CA291F" w:rsidRPr="00881BC8" w:rsidRDefault="00CA291F" w:rsidP="004835F8">
      <w:pPr>
        <w:pStyle w:val="Body"/>
        <w:numPr>
          <w:ilvl w:val="0"/>
          <w:numId w:val="48"/>
        </w:numPr>
        <w:rPr>
          <w:bCs/>
          <w:noProof/>
        </w:rPr>
      </w:pPr>
      <w:r w:rsidRPr="00881BC8">
        <w:rPr>
          <w:bCs/>
          <w:noProof/>
        </w:rPr>
        <w:t>17% of SMEs report that payment conditions are dictated by their clients. This is more frequent when the client is bigger than the vendor; the bigger the client is and the more frequently it is found to be a late payer, the more they are found to dictate payment conditions. The highest effect is found for medium sized companies having payment conditions dictated by their large clients when those are found to be more frequently late payers (28%).</w:t>
      </w:r>
    </w:p>
    <w:p w14:paraId="60EE3F09" w14:textId="77777777" w:rsidR="00CA291F" w:rsidRPr="00881BC8" w:rsidRDefault="00CA291F" w:rsidP="004835F8">
      <w:pPr>
        <w:pStyle w:val="Body"/>
        <w:numPr>
          <w:ilvl w:val="0"/>
          <w:numId w:val="48"/>
        </w:numPr>
        <w:rPr>
          <w:bCs/>
          <w:noProof/>
        </w:rPr>
      </w:pPr>
      <w:r w:rsidRPr="00881BC8">
        <w:rPr>
          <w:bCs/>
          <w:noProof/>
        </w:rPr>
        <w:t>The use of standard payment conditions is a limited practice (12% of SMEs).</w:t>
      </w:r>
    </w:p>
    <w:p w14:paraId="2EF5294B" w14:textId="77777777" w:rsidR="00CA291F" w:rsidRPr="00881BC8" w:rsidRDefault="00CA291F" w:rsidP="004835F8">
      <w:pPr>
        <w:pStyle w:val="AnnexLevel2"/>
        <w:rPr>
          <w:noProof/>
          <w:lang w:val="en-GB"/>
        </w:rPr>
      </w:pPr>
      <w:r w:rsidRPr="00881BC8">
        <w:rPr>
          <w:noProof/>
          <w:lang w:val="en-GB"/>
        </w:rPr>
        <w:t>Magnitude of late payment problems in SMEs</w:t>
      </w:r>
    </w:p>
    <w:p w14:paraId="0E3DE0BD" w14:textId="77777777" w:rsidR="00CA291F" w:rsidRPr="00881BC8" w:rsidRDefault="00CA291F" w:rsidP="004835F8">
      <w:pPr>
        <w:pStyle w:val="NormalPara"/>
        <w:rPr>
          <w:noProof/>
          <w:lang w:val="en-GB" w:eastAsia="en-GB"/>
        </w:rPr>
      </w:pPr>
      <w:r w:rsidRPr="00881BC8">
        <w:rPr>
          <w:noProof/>
          <w:lang w:val="en-GB" w:eastAsia="en-GB"/>
        </w:rPr>
        <w:t>Late payments are the second most critical barrier for growth and for the twin transition of SMEs (after administrative burden), with no statistically significant differences between start-ups and scale-ups (whether or not they are SMEs).</w:t>
      </w:r>
      <w:r w:rsidRPr="00881BC8">
        <w:rPr>
          <w:rStyle w:val="FootnoteReference"/>
          <w:noProof/>
          <w:lang w:val="en-GB" w:eastAsia="en-GB"/>
        </w:rPr>
        <w:footnoteReference w:id="268"/>
      </w:r>
      <w:r w:rsidRPr="00881BC8">
        <w:rPr>
          <w:noProof/>
          <w:lang w:val="en-GB" w:eastAsia="en-GB"/>
        </w:rPr>
        <w:t xml:space="preserve"> </w:t>
      </w:r>
    </w:p>
    <w:p w14:paraId="76E378DD" w14:textId="0AB69EDE" w:rsidR="00CA291F" w:rsidRPr="00881BC8" w:rsidRDefault="00CA291F" w:rsidP="004835F8">
      <w:pPr>
        <w:pStyle w:val="NormalPara"/>
        <w:rPr>
          <w:noProof/>
          <w:lang w:val="en-GB"/>
        </w:rPr>
      </w:pPr>
      <w:r w:rsidRPr="00881BC8">
        <w:rPr>
          <w:noProof/>
          <w:lang w:val="en-GB"/>
        </w:rPr>
        <w:t xml:space="preserve">Only 3% of SMEs have all invoices or turnover </w:t>
      </w:r>
      <w:r w:rsidR="00D97E4E" w:rsidRPr="00881BC8">
        <w:rPr>
          <w:noProof/>
          <w:lang w:val="en-GB"/>
        </w:rPr>
        <w:t>paid</w:t>
      </w:r>
      <w:r w:rsidRPr="00881BC8">
        <w:rPr>
          <w:noProof/>
          <w:lang w:val="en-GB"/>
        </w:rPr>
        <w:t xml:space="preserve"> on time and a higher percentage of SMEs have more than 50% of their invoices (7%) or turnover (9%) </w:t>
      </w:r>
      <w:r w:rsidR="00D97E4E" w:rsidRPr="00881BC8">
        <w:rPr>
          <w:noProof/>
          <w:lang w:val="en-GB"/>
        </w:rPr>
        <w:t>paid</w:t>
      </w:r>
      <w:r w:rsidRPr="00881BC8">
        <w:rPr>
          <w:noProof/>
          <w:lang w:val="en-GB"/>
        </w:rPr>
        <w:t xml:space="preserve"> late.</w:t>
      </w:r>
      <w:r w:rsidR="002E552C" w:rsidRPr="00881BC8">
        <w:rPr>
          <w:noProof/>
          <w:lang w:val="en-GB"/>
        </w:rPr>
        <w:t xml:space="preserve"> </w:t>
      </w:r>
      <w:r w:rsidRPr="00881BC8">
        <w:rPr>
          <w:noProof/>
          <w:lang w:val="en-GB"/>
        </w:rPr>
        <w:t xml:space="preserve">The bulk of SMEs have 0-10% of their invoices (45%) or turnover (42%) </w:t>
      </w:r>
      <w:r w:rsidR="00D97E4E" w:rsidRPr="00881BC8">
        <w:rPr>
          <w:noProof/>
          <w:lang w:val="en-GB"/>
        </w:rPr>
        <w:t>paid</w:t>
      </w:r>
      <w:r w:rsidRPr="00881BC8">
        <w:rPr>
          <w:noProof/>
          <w:lang w:val="en-GB"/>
        </w:rPr>
        <w:t xml:space="preserve"> late. Another important quota of SMEs have 10-25% of their invoices (30%) or turnover (27%) </w:t>
      </w:r>
      <w:r w:rsidR="00D97E4E" w:rsidRPr="00881BC8">
        <w:rPr>
          <w:noProof/>
          <w:lang w:val="en-GB"/>
        </w:rPr>
        <w:t>paid</w:t>
      </w:r>
      <w:r w:rsidRPr="00881BC8">
        <w:rPr>
          <w:noProof/>
          <w:lang w:val="en-GB"/>
        </w:rPr>
        <w:t xml:space="preserve"> late. The rest of SMEs have 25-50% of their invoices (13%) or turnover (15%) </w:t>
      </w:r>
      <w:r w:rsidR="00D97E4E" w:rsidRPr="00881BC8">
        <w:rPr>
          <w:noProof/>
          <w:lang w:val="en-GB"/>
        </w:rPr>
        <w:t>paid</w:t>
      </w:r>
      <w:r w:rsidRPr="00881BC8">
        <w:rPr>
          <w:noProof/>
          <w:lang w:val="en-GB"/>
        </w:rPr>
        <w:t xml:space="preserve"> late.</w:t>
      </w:r>
      <w:r w:rsidRPr="00881BC8">
        <w:rPr>
          <w:rStyle w:val="FootnoteReference"/>
          <w:noProof/>
          <w:lang w:val="en-GB"/>
        </w:rPr>
        <w:footnoteReference w:id="269"/>
      </w:r>
    </w:p>
    <w:p w14:paraId="0FA0BE0F" w14:textId="77777777" w:rsidR="00CA291F" w:rsidRPr="00881BC8" w:rsidRDefault="00CA291F" w:rsidP="004835F8">
      <w:pPr>
        <w:pStyle w:val="NormalPara"/>
        <w:rPr>
          <w:noProof/>
          <w:lang w:val="en-GB"/>
        </w:rPr>
      </w:pPr>
      <w:r w:rsidRPr="00881BC8">
        <w:rPr>
          <w:noProof/>
          <w:lang w:val="en-GB"/>
        </w:rPr>
        <w:t>Payments overdue by more than 60 days are considered the most dangerous for the regular performance of enterprises.</w:t>
      </w:r>
      <w:r w:rsidRPr="00881BC8">
        <w:rPr>
          <w:noProof/>
          <w:vertAlign w:val="superscript"/>
          <w:lang w:val="en-GB"/>
        </w:rPr>
        <w:footnoteReference w:id="270"/>
      </w:r>
      <w:r w:rsidRPr="00881BC8">
        <w:rPr>
          <w:noProof/>
          <w:lang w:val="en-GB"/>
        </w:rPr>
        <w:t xml:space="preserve"> </w:t>
      </w:r>
    </w:p>
    <w:p w14:paraId="24A7FE06" w14:textId="77777777" w:rsidR="00CA291F" w:rsidRPr="00881BC8" w:rsidRDefault="00CA291F" w:rsidP="004835F8">
      <w:pPr>
        <w:pStyle w:val="NormalPara"/>
        <w:rPr>
          <w:noProof/>
          <w:lang w:val="en-GB"/>
        </w:rPr>
      </w:pPr>
      <w:r w:rsidRPr="00881BC8">
        <w:rPr>
          <w:noProof/>
          <w:lang w:val="en-GB"/>
        </w:rPr>
        <w:t>The recent problems (e.g. COVID-19, rising energy prices, inflation etc.) had a negative impact on the payment behaviour of the clients. 47% of participants noticed a deterioration (50% of small and 58% of medium-sized companies) while 40% did not notice any change (44% of micros).</w:t>
      </w:r>
      <w:r w:rsidRPr="00881BC8">
        <w:rPr>
          <w:rStyle w:val="FootnoteReference"/>
          <w:noProof/>
          <w:lang w:val="en-GB"/>
        </w:rPr>
        <w:footnoteReference w:id="271"/>
      </w:r>
    </w:p>
    <w:p w14:paraId="5BC8E4F9" w14:textId="77777777" w:rsidR="00CA291F" w:rsidRPr="00881BC8" w:rsidRDefault="00CA291F" w:rsidP="004835F8">
      <w:pPr>
        <w:pStyle w:val="AnnexLevel2"/>
        <w:rPr>
          <w:noProof/>
          <w:lang w:val="en-GB"/>
        </w:rPr>
      </w:pPr>
      <w:r w:rsidRPr="00881BC8">
        <w:rPr>
          <w:noProof/>
          <w:lang w:val="en-GB"/>
        </w:rPr>
        <w:t>Wider impact of late payments on SMEs</w:t>
      </w:r>
    </w:p>
    <w:p w14:paraId="45051885" w14:textId="77777777" w:rsidR="00CA291F" w:rsidRPr="00881BC8" w:rsidRDefault="00CA291F" w:rsidP="004835F8">
      <w:pPr>
        <w:pStyle w:val="NormalPara"/>
        <w:rPr>
          <w:noProof/>
          <w:lang w:val="en-GB"/>
        </w:rPr>
      </w:pPr>
      <w:r w:rsidRPr="00881BC8">
        <w:rPr>
          <w:noProof/>
          <w:lang w:val="en-GB"/>
        </w:rPr>
        <w:t>Late payments affects</w:t>
      </w:r>
      <w:r w:rsidRPr="00881BC8">
        <w:rPr>
          <w:rStyle w:val="FootnoteReference"/>
          <w:noProof/>
          <w:lang w:val="en-GB"/>
        </w:rPr>
        <w:footnoteReference w:id="272"/>
      </w:r>
      <w:r w:rsidRPr="00881BC8">
        <w:rPr>
          <w:noProof/>
          <w:lang w:val="en-GB"/>
        </w:rPr>
        <w:t>:</w:t>
      </w:r>
    </w:p>
    <w:p w14:paraId="6F8A8E04" w14:textId="77777777" w:rsidR="00CA291F" w:rsidRPr="00881BC8" w:rsidRDefault="00CA291F" w:rsidP="004835F8">
      <w:pPr>
        <w:pStyle w:val="Body"/>
        <w:numPr>
          <w:ilvl w:val="0"/>
          <w:numId w:val="49"/>
        </w:numPr>
        <w:rPr>
          <w:noProof/>
        </w:rPr>
      </w:pPr>
      <w:r w:rsidRPr="00881BC8">
        <w:rPr>
          <w:noProof/>
        </w:rPr>
        <w:t xml:space="preserve">the well being, generate stress and anxiety for 92% of respondents </w:t>
      </w:r>
    </w:p>
    <w:p w14:paraId="31771847" w14:textId="77777777" w:rsidR="00CA291F" w:rsidRPr="00881BC8" w:rsidRDefault="00CA291F" w:rsidP="004835F8">
      <w:pPr>
        <w:pStyle w:val="Body"/>
        <w:numPr>
          <w:ilvl w:val="0"/>
          <w:numId w:val="49"/>
        </w:numPr>
        <w:rPr>
          <w:noProof/>
        </w:rPr>
      </w:pPr>
      <w:r w:rsidRPr="00881BC8">
        <w:rPr>
          <w:noProof/>
        </w:rPr>
        <w:t>the survival of their business (80%)</w:t>
      </w:r>
    </w:p>
    <w:p w14:paraId="40EB3A21" w14:textId="77777777" w:rsidR="00CA291F" w:rsidRPr="00881BC8" w:rsidRDefault="00CA291F" w:rsidP="004835F8">
      <w:pPr>
        <w:pStyle w:val="Body"/>
        <w:numPr>
          <w:ilvl w:val="0"/>
          <w:numId w:val="49"/>
        </w:numPr>
        <w:rPr>
          <w:noProof/>
        </w:rPr>
      </w:pPr>
      <w:r w:rsidRPr="00881BC8">
        <w:rPr>
          <w:noProof/>
        </w:rPr>
        <w:t>their trust in the market (79%)</w:t>
      </w:r>
    </w:p>
    <w:p w14:paraId="1B21D1C4" w14:textId="77777777" w:rsidR="00CA291F" w:rsidRPr="00881BC8" w:rsidRDefault="00CA291F" w:rsidP="004835F8">
      <w:pPr>
        <w:pStyle w:val="Body"/>
        <w:numPr>
          <w:ilvl w:val="0"/>
          <w:numId w:val="49"/>
        </w:numPr>
        <w:rPr>
          <w:noProof/>
        </w:rPr>
      </w:pPr>
      <w:r w:rsidRPr="00881BC8">
        <w:rPr>
          <w:noProof/>
        </w:rPr>
        <w:t>the recruiting of new staff (45%) and the laying off of staff (18%)</w:t>
      </w:r>
    </w:p>
    <w:p w14:paraId="7B791481" w14:textId="77777777" w:rsidR="00CA291F" w:rsidRPr="00881BC8" w:rsidRDefault="00CA291F" w:rsidP="004835F8">
      <w:pPr>
        <w:pStyle w:val="Body"/>
        <w:numPr>
          <w:ilvl w:val="0"/>
          <w:numId w:val="49"/>
        </w:numPr>
        <w:rPr>
          <w:noProof/>
        </w:rPr>
      </w:pPr>
      <w:r w:rsidRPr="00881BC8">
        <w:rPr>
          <w:noProof/>
        </w:rPr>
        <w:t>doing more cross-border business in the EU Single Market (34%)</w:t>
      </w:r>
    </w:p>
    <w:p w14:paraId="6F14A3ED" w14:textId="5CAF210D" w:rsidR="00CA291F" w:rsidRPr="00881BC8" w:rsidRDefault="00CA291F" w:rsidP="004835F8">
      <w:pPr>
        <w:pStyle w:val="NormalPara"/>
        <w:rPr>
          <w:noProof/>
          <w:lang w:val="en-GB"/>
        </w:rPr>
      </w:pPr>
      <w:r w:rsidRPr="00881BC8">
        <w:rPr>
          <w:noProof/>
          <w:lang w:val="en-GB"/>
        </w:rPr>
        <w:t>Micros (48%) and small companies (49%) are more affected in terms of recruiting new staff compared to self-employed (30%) and medium-sized companies (34%).</w:t>
      </w:r>
    </w:p>
    <w:p w14:paraId="551AE348" w14:textId="77777777" w:rsidR="0023748E" w:rsidRPr="00881BC8" w:rsidRDefault="0023748E" w:rsidP="004835F8">
      <w:pPr>
        <w:pStyle w:val="NormalPara"/>
        <w:rPr>
          <w:noProof/>
          <w:lang w:val="en-GB"/>
        </w:rPr>
      </w:pPr>
      <w:r w:rsidRPr="00881BC8">
        <w:rPr>
          <w:noProof/>
          <w:lang w:val="en-GB"/>
        </w:rPr>
        <w:t xml:space="preserve">Dealing with late payments generates costs in terms of hours spent and monetary costs for informal actions (e.g. sending reminders, costs of registered mail, post stamps, making phone calls) and formal steps (e.g. recruiting a lawyer, costs of the lawyer, costs of court proceedings, cost of the bailiff, looking for a mediator, cost of a mediator attending court proceedings, looking for a debt collection company, costs of the debt collection company): </w:t>
      </w:r>
    </w:p>
    <w:p w14:paraId="038E1B60" w14:textId="77777777" w:rsidR="0023748E" w:rsidRPr="00881BC8" w:rsidRDefault="0023748E" w:rsidP="004835F8">
      <w:pPr>
        <w:pStyle w:val="Body"/>
        <w:numPr>
          <w:ilvl w:val="0"/>
          <w:numId w:val="50"/>
        </w:numPr>
        <w:rPr>
          <w:noProof/>
        </w:rPr>
      </w:pPr>
      <w:r w:rsidRPr="00881BC8">
        <w:rPr>
          <w:noProof/>
        </w:rPr>
        <w:t>In terms of informal actions, the SME panel finds that one third of SMEs spent between 20 and 99 hours and another third even more than 100 hours, and one third of SMEs spent between 100 and EUR 999 for informal costs and another third more than EUR 1000 per year.</w:t>
      </w:r>
    </w:p>
    <w:p w14:paraId="7DBCD9A9" w14:textId="77777777" w:rsidR="0023748E" w:rsidRPr="00881BC8" w:rsidRDefault="0023748E" w:rsidP="004835F8">
      <w:pPr>
        <w:pStyle w:val="Body"/>
        <w:numPr>
          <w:ilvl w:val="0"/>
          <w:numId w:val="50"/>
        </w:numPr>
        <w:rPr>
          <w:noProof/>
        </w:rPr>
      </w:pPr>
      <w:r w:rsidRPr="00881BC8">
        <w:rPr>
          <w:noProof/>
        </w:rPr>
        <w:t>In terms of formal actions, the SME panel finds that 22% SMEs spent between 1 and 19 hours, 25% between 20 and 99 hours and 17% more than 100 hours, and 16% between 100 and EUR 999 for informal costs and 43% spent more than EUR 1000.</w:t>
      </w:r>
    </w:p>
    <w:p w14:paraId="05E1C019" w14:textId="77777777" w:rsidR="00CA291F" w:rsidRPr="00881BC8" w:rsidRDefault="00CA291F" w:rsidP="004835F8">
      <w:pPr>
        <w:pStyle w:val="AnnexLevel2"/>
        <w:rPr>
          <w:noProof/>
          <w:lang w:val="en-GB"/>
        </w:rPr>
      </w:pPr>
      <w:r w:rsidRPr="00881BC8">
        <w:rPr>
          <w:noProof/>
          <w:lang w:val="en-GB"/>
        </w:rPr>
        <w:t>Unfair payment practices experienced by SMEs</w:t>
      </w:r>
      <w:r w:rsidRPr="00881BC8">
        <w:rPr>
          <w:rStyle w:val="FootnoteReference"/>
          <w:noProof/>
          <w:lang w:val="en-GB"/>
        </w:rPr>
        <w:footnoteReference w:id="273"/>
      </w:r>
    </w:p>
    <w:p w14:paraId="40934271" w14:textId="66DF4D9B" w:rsidR="00CA291F" w:rsidRPr="00881BC8" w:rsidRDefault="00CA291F" w:rsidP="004835F8">
      <w:pPr>
        <w:pStyle w:val="NormalPara"/>
        <w:rPr>
          <w:noProof/>
          <w:lang w:val="en-GB"/>
        </w:rPr>
      </w:pPr>
      <w:r w:rsidRPr="00881BC8">
        <w:rPr>
          <w:noProof/>
          <w:lang w:val="en-GB"/>
        </w:rPr>
        <w:t xml:space="preserve">The LPD introduced -but </w:t>
      </w:r>
      <w:r w:rsidR="00DA78AF" w:rsidRPr="00881BC8">
        <w:rPr>
          <w:noProof/>
          <w:lang w:val="en-GB"/>
        </w:rPr>
        <w:t xml:space="preserve">did </w:t>
      </w:r>
      <w:r w:rsidRPr="00881BC8">
        <w:rPr>
          <w:noProof/>
          <w:lang w:val="en-GB"/>
        </w:rPr>
        <w:t xml:space="preserve">not impose- the fairness practice of paying </w:t>
      </w:r>
      <w:r w:rsidRPr="00881BC8">
        <w:rPr>
          <w:i/>
          <w:noProof/>
          <w:lang w:val="en-GB"/>
        </w:rPr>
        <w:t xml:space="preserve">interests and the </w:t>
      </w:r>
      <w:r w:rsidR="009776A3" w:rsidRPr="00881BC8">
        <w:rPr>
          <w:i/>
          <w:noProof/>
          <w:lang w:val="en-GB"/>
        </w:rPr>
        <w:t>EUR </w:t>
      </w:r>
      <w:r w:rsidRPr="00881BC8">
        <w:rPr>
          <w:i/>
          <w:noProof/>
          <w:lang w:val="en-GB"/>
        </w:rPr>
        <w:t>40 compensation</w:t>
      </w:r>
      <w:r w:rsidRPr="00881BC8">
        <w:rPr>
          <w:noProof/>
          <w:lang w:val="en-GB"/>
        </w:rPr>
        <w:t>. This practice is never used in the 80% of cases and rarely in 8% of cases. Interest and compensation are more frequently never paid when the late payer is most frequently a large (87% compared to 70% when the late payer is most frequently a micro-company).</w:t>
      </w:r>
    </w:p>
    <w:p w14:paraId="6C68CE34" w14:textId="77777777" w:rsidR="00CA291F" w:rsidRPr="00881BC8" w:rsidRDefault="00CA291F" w:rsidP="004835F8">
      <w:pPr>
        <w:pStyle w:val="NormalPara"/>
        <w:rPr>
          <w:noProof/>
          <w:lang w:val="en-GB"/>
        </w:rPr>
      </w:pPr>
      <w:r w:rsidRPr="00881BC8">
        <w:rPr>
          <w:noProof/>
          <w:lang w:val="en-GB"/>
        </w:rPr>
        <w:t>Around 1 out of 4 SMEs is always or often confronted with the following unfair payment practices:</w:t>
      </w:r>
    </w:p>
    <w:p w14:paraId="0BBB82FA" w14:textId="77777777" w:rsidR="00CA291F" w:rsidRPr="00881BC8" w:rsidRDefault="00CA291F" w:rsidP="004835F8">
      <w:pPr>
        <w:pStyle w:val="Body"/>
        <w:numPr>
          <w:ilvl w:val="0"/>
          <w:numId w:val="51"/>
        </w:numPr>
        <w:rPr>
          <w:iCs/>
          <w:noProof/>
        </w:rPr>
      </w:pPr>
      <w:r w:rsidRPr="00881BC8">
        <w:rPr>
          <w:iCs/>
          <w:noProof/>
        </w:rPr>
        <w:t xml:space="preserve">Clients modify retroactively key contractual provisions (e.g. on price, quantity or quality of goods/services, delivery times, etc.) in order to postpone the payment (never happens for 23% of SMEs). </w:t>
      </w:r>
    </w:p>
    <w:p w14:paraId="339C5B75" w14:textId="77777777" w:rsidR="00CA291F" w:rsidRPr="00881BC8" w:rsidRDefault="00CA291F" w:rsidP="004835F8">
      <w:pPr>
        <w:pStyle w:val="Body"/>
        <w:numPr>
          <w:ilvl w:val="0"/>
          <w:numId w:val="51"/>
        </w:numPr>
        <w:rPr>
          <w:iCs/>
          <w:noProof/>
        </w:rPr>
      </w:pPr>
      <w:r w:rsidRPr="00881BC8">
        <w:rPr>
          <w:iCs/>
          <w:noProof/>
        </w:rPr>
        <w:t xml:space="preserve">Clients deliberately delay the acceptance of services provided and/or of goods delivered (never happens for 25% of SMEs). </w:t>
      </w:r>
    </w:p>
    <w:p w14:paraId="106D588B" w14:textId="77777777" w:rsidR="00CA291F" w:rsidRPr="00881BC8" w:rsidRDefault="00CA291F" w:rsidP="004835F8">
      <w:pPr>
        <w:pStyle w:val="Body"/>
        <w:numPr>
          <w:ilvl w:val="0"/>
          <w:numId w:val="51"/>
        </w:numPr>
        <w:rPr>
          <w:iCs/>
          <w:noProof/>
        </w:rPr>
      </w:pPr>
      <w:r w:rsidRPr="00881BC8">
        <w:rPr>
          <w:iCs/>
          <w:noProof/>
        </w:rPr>
        <w:t xml:space="preserve">Clients pay with financial products (e.g reverse factoring, "confirming") so that in order to claim payment within the agreed contractual terms, they have to pay fees and/or discounts (never happens for 43% of SMEs). </w:t>
      </w:r>
    </w:p>
    <w:p w14:paraId="4DEA9972" w14:textId="77777777" w:rsidR="00CA291F" w:rsidRPr="00881BC8" w:rsidRDefault="00CA291F" w:rsidP="004835F8">
      <w:pPr>
        <w:pStyle w:val="NormalPara"/>
        <w:rPr>
          <w:iCs/>
          <w:noProof/>
          <w:lang w:val="en-GB"/>
        </w:rPr>
      </w:pPr>
      <w:r w:rsidRPr="00881BC8">
        <w:rPr>
          <w:iCs/>
          <w:noProof/>
          <w:lang w:val="en-GB"/>
        </w:rPr>
        <w:t xml:space="preserve">Deliberately contest the invoice is less used: 15% of SMEs experience it always or often and respectively 33% and 43% of respondents never or rarely incurred in these practices. </w:t>
      </w:r>
    </w:p>
    <w:p w14:paraId="3C0D9929" w14:textId="77777777" w:rsidR="00CA291F" w:rsidRPr="00881BC8" w:rsidRDefault="00CA291F" w:rsidP="004835F8">
      <w:pPr>
        <w:pStyle w:val="NormalPara"/>
        <w:rPr>
          <w:iCs/>
          <w:noProof/>
          <w:lang w:val="en-GB"/>
        </w:rPr>
      </w:pPr>
      <w:r w:rsidRPr="00881BC8">
        <w:rPr>
          <w:iCs/>
          <w:noProof/>
          <w:lang w:val="en-GB"/>
        </w:rPr>
        <w:t>All these unfair payment practices are experienced by a higher quota of SMEs that find large companies to be most frequently late payers. When micro-enterprises are mostly late payers, it is much more likely that SMEs have never experienced those practices.</w:t>
      </w:r>
    </w:p>
    <w:p w14:paraId="70B97F33" w14:textId="77777777" w:rsidR="00CA291F" w:rsidRPr="00881BC8" w:rsidRDefault="00CA291F" w:rsidP="004835F8">
      <w:pPr>
        <w:pStyle w:val="AnnexLevel2"/>
        <w:rPr>
          <w:noProof/>
          <w:lang w:val="en-GB"/>
        </w:rPr>
      </w:pPr>
      <w:r w:rsidRPr="00881BC8">
        <w:rPr>
          <w:noProof/>
          <w:lang w:val="en-GB"/>
        </w:rPr>
        <w:t>SMEs’ Payment delays disputes</w:t>
      </w:r>
      <w:r w:rsidRPr="00881BC8">
        <w:rPr>
          <w:rStyle w:val="FootnoteReference"/>
          <w:noProof/>
          <w:lang w:val="en-GB"/>
        </w:rPr>
        <w:footnoteReference w:id="274"/>
      </w:r>
    </w:p>
    <w:p w14:paraId="1751C868" w14:textId="77777777" w:rsidR="00CA291F" w:rsidRPr="00881BC8" w:rsidRDefault="00CA291F" w:rsidP="004835F8">
      <w:pPr>
        <w:pStyle w:val="NormalPara"/>
        <w:rPr>
          <w:noProof/>
          <w:lang w:val="en-GB"/>
        </w:rPr>
      </w:pPr>
      <w:r w:rsidRPr="00881BC8">
        <w:rPr>
          <w:noProof/>
          <w:lang w:val="en-GB"/>
        </w:rPr>
        <w:t>Only 30% of SMEs did not have disputes related to late payment, while 8% has often disputes and 58% rarely. There is a clear link with the size of the company, as the bigger the SMEs the more likely it is to have had disputes.</w:t>
      </w:r>
    </w:p>
    <w:p w14:paraId="37820171" w14:textId="77777777" w:rsidR="00CA291F" w:rsidRPr="00881BC8" w:rsidRDefault="00CA291F" w:rsidP="004835F8">
      <w:pPr>
        <w:pStyle w:val="NormalPara"/>
        <w:rPr>
          <w:noProof/>
          <w:lang w:val="en-GB"/>
        </w:rPr>
      </w:pPr>
      <w:r w:rsidRPr="00881BC8">
        <w:rPr>
          <w:noProof/>
          <w:lang w:val="en-GB"/>
        </w:rPr>
        <w:t xml:space="preserve">On the remedies side, the most used one by far was the direct solution with the other business. 60% of respondents used this solution normally and 16% at least once; it is considered at the same time cheaper (60% of SMEs) and faster (54% of SMEs). </w:t>
      </w:r>
    </w:p>
    <w:p w14:paraId="117E26B8" w14:textId="77777777" w:rsidR="00CA291F" w:rsidRPr="00881BC8" w:rsidRDefault="00CA291F" w:rsidP="004835F8">
      <w:pPr>
        <w:pStyle w:val="NormalPara"/>
        <w:rPr>
          <w:noProof/>
          <w:lang w:val="en-GB"/>
        </w:rPr>
      </w:pPr>
      <w:r w:rsidRPr="00881BC8">
        <w:rPr>
          <w:noProof/>
          <w:lang w:val="en-GB"/>
        </w:rPr>
        <w:t xml:space="preserve">The other remedies are less used, especially by smaller SMEs: </w:t>
      </w:r>
    </w:p>
    <w:p w14:paraId="2FA00C14" w14:textId="77777777" w:rsidR="00CA291F" w:rsidRPr="00881BC8" w:rsidRDefault="00CA291F" w:rsidP="004835F8">
      <w:pPr>
        <w:pStyle w:val="Body"/>
        <w:numPr>
          <w:ilvl w:val="0"/>
          <w:numId w:val="52"/>
        </w:numPr>
        <w:rPr>
          <w:noProof/>
        </w:rPr>
      </w:pPr>
      <w:r w:rsidRPr="00881BC8">
        <w:rPr>
          <w:noProof/>
        </w:rPr>
        <w:t xml:space="preserve">court proceedings was never used by 38% of respondents. </w:t>
      </w:r>
    </w:p>
    <w:p w14:paraId="29FC2DB0" w14:textId="77777777" w:rsidR="00CA291F" w:rsidRPr="00881BC8" w:rsidRDefault="00CA291F" w:rsidP="004835F8">
      <w:pPr>
        <w:pStyle w:val="Body"/>
        <w:numPr>
          <w:ilvl w:val="0"/>
          <w:numId w:val="52"/>
        </w:numPr>
        <w:rPr>
          <w:noProof/>
        </w:rPr>
      </w:pPr>
      <w:r w:rsidRPr="00881BC8">
        <w:rPr>
          <w:noProof/>
        </w:rPr>
        <w:t>mediation was never used by 52% of SMEs.</w:t>
      </w:r>
    </w:p>
    <w:p w14:paraId="4A718B49" w14:textId="77777777" w:rsidR="00CA291F" w:rsidRPr="00881BC8" w:rsidRDefault="00CA291F" w:rsidP="004835F8">
      <w:pPr>
        <w:pStyle w:val="Body"/>
        <w:numPr>
          <w:ilvl w:val="0"/>
          <w:numId w:val="52"/>
        </w:numPr>
        <w:rPr>
          <w:noProof/>
        </w:rPr>
      </w:pPr>
      <w:r w:rsidRPr="00881BC8">
        <w:rPr>
          <w:noProof/>
        </w:rPr>
        <w:t>arbitration was never used by 67% of SMEs.</w:t>
      </w:r>
    </w:p>
    <w:p w14:paraId="00F93AE7" w14:textId="77777777" w:rsidR="00CA291F" w:rsidRPr="00881BC8" w:rsidRDefault="00CA291F" w:rsidP="004835F8">
      <w:pPr>
        <w:pStyle w:val="NormalPara"/>
        <w:rPr>
          <w:noProof/>
          <w:lang w:val="en-GB"/>
        </w:rPr>
      </w:pPr>
      <w:r w:rsidRPr="00881BC8">
        <w:rPr>
          <w:noProof/>
          <w:lang w:val="en-GB"/>
        </w:rPr>
        <w:t>When asked about the last time the SME tried to resolve a late payment issue, only 7% of SMEs replied that they preferred not to take any action at all, while 47% solved the issue directly with the client and 18% took the matter to court.</w:t>
      </w:r>
    </w:p>
    <w:p w14:paraId="7455590D" w14:textId="77777777" w:rsidR="00CA291F" w:rsidRPr="00881BC8" w:rsidRDefault="00CA291F" w:rsidP="004835F8">
      <w:pPr>
        <w:pStyle w:val="AnnexLevel2"/>
        <w:rPr>
          <w:noProof/>
          <w:lang w:val="en-GB"/>
        </w:rPr>
      </w:pPr>
      <w:r w:rsidRPr="00881BC8">
        <w:rPr>
          <w:noProof/>
          <w:lang w:val="en-GB"/>
        </w:rPr>
        <w:t>Relationship between e-invoicing and late payment in SMEs</w:t>
      </w:r>
    </w:p>
    <w:p w14:paraId="09463D37" w14:textId="77777777" w:rsidR="00CA291F" w:rsidRPr="00881BC8" w:rsidRDefault="00CA291F" w:rsidP="004835F8">
      <w:pPr>
        <w:pStyle w:val="NormalPara"/>
        <w:rPr>
          <w:noProof/>
          <w:lang w:val="en-GB"/>
        </w:rPr>
      </w:pPr>
      <w:r w:rsidRPr="00881BC8">
        <w:rPr>
          <w:noProof/>
          <w:lang w:val="en-GB"/>
        </w:rPr>
        <w:t>The SME panel finds that, for all size classes, there are more companies that find e-invoicing not helpful (44% on average) rather than helpful (31%). This is especially the case for micros (48% vs 29%). 18% of SME respondents do not use e-invoicing (26% of self-employed, 16% of micros and 19% of small companies).</w:t>
      </w:r>
    </w:p>
    <w:p w14:paraId="66A71ECD" w14:textId="77777777" w:rsidR="00CA291F" w:rsidRPr="00881BC8" w:rsidRDefault="00CA291F" w:rsidP="004835F8">
      <w:pPr>
        <w:pStyle w:val="AnnexLevel2"/>
        <w:rPr>
          <w:noProof/>
          <w:lang w:val="en-GB"/>
        </w:rPr>
      </w:pPr>
      <w:r w:rsidRPr="00881BC8">
        <w:rPr>
          <w:noProof/>
          <w:lang w:val="en-GB"/>
        </w:rPr>
        <w:t>A closer look at micros</w:t>
      </w:r>
    </w:p>
    <w:p w14:paraId="345584AD" w14:textId="77777777" w:rsidR="00CA291F" w:rsidRPr="00881BC8" w:rsidRDefault="00CA291F" w:rsidP="004835F8">
      <w:pPr>
        <w:pStyle w:val="NormalPara"/>
        <w:rPr>
          <w:noProof/>
          <w:lang w:val="en-GB" w:eastAsia="en-GB"/>
        </w:rPr>
      </w:pPr>
      <w:r w:rsidRPr="00881BC8">
        <w:rPr>
          <w:noProof/>
          <w:lang w:val="en-GB" w:eastAsia="en-GB"/>
        </w:rPr>
        <w:t>Late payments are more likely to be a critical barrier for companies with less employees and with lower turnover.</w:t>
      </w:r>
      <w:r w:rsidRPr="00881BC8">
        <w:rPr>
          <w:rStyle w:val="FootnoteReference"/>
          <w:noProof/>
          <w:lang w:val="en-GB" w:eastAsia="en-GB"/>
        </w:rPr>
        <w:footnoteReference w:id="275"/>
      </w:r>
      <w:r w:rsidRPr="00881BC8">
        <w:rPr>
          <w:noProof/>
          <w:lang w:val="en-GB" w:eastAsia="en-GB"/>
        </w:rPr>
        <w:t xml:space="preserve"> Late payments are an obstacle to growth especially in micro-enterprises.</w:t>
      </w:r>
      <w:r w:rsidRPr="00881BC8">
        <w:rPr>
          <w:noProof/>
          <w:vertAlign w:val="superscript"/>
          <w:lang w:val="en-GB"/>
        </w:rPr>
        <w:t xml:space="preserve"> </w:t>
      </w:r>
      <w:r w:rsidRPr="00881BC8">
        <w:rPr>
          <w:noProof/>
          <w:vertAlign w:val="superscript"/>
          <w:lang w:val="en-GB"/>
        </w:rPr>
        <w:footnoteReference w:id="276"/>
      </w:r>
    </w:p>
    <w:p w14:paraId="4FCFB165" w14:textId="77777777" w:rsidR="00CA291F" w:rsidRPr="00881BC8" w:rsidRDefault="00CA291F" w:rsidP="004835F8">
      <w:pPr>
        <w:pStyle w:val="NormalPara"/>
        <w:rPr>
          <w:noProof/>
          <w:lang w:val="en-GB"/>
        </w:rPr>
      </w:pPr>
      <w:r w:rsidRPr="00881BC8">
        <w:rPr>
          <w:noProof/>
          <w:lang w:val="en-GB"/>
        </w:rPr>
        <w:t>The SME panel tells us that micros are the least likely to pay late compared to other SMEs and, when they are mostly found late payers, they are most likely to never use unfair payment practices.</w:t>
      </w:r>
    </w:p>
    <w:p w14:paraId="6DD553A5" w14:textId="07E38236" w:rsidR="00CA291F" w:rsidRPr="00881BC8" w:rsidRDefault="00CA291F" w:rsidP="004835F8">
      <w:pPr>
        <w:pStyle w:val="NormalPara"/>
        <w:rPr>
          <w:noProof/>
          <w:lang w:val="en-GB"/>
        </w:rPr>
      </w:pPr>
      <w:r w:rsidRPr="00881BC8">
        <w:rPr>
          <w:noProof/>
          <w:lang w:val="en-GB"/>
        </w:rPr>
        <w:t xml:space="preserve">Focusing on companies that have 1-9 employees, 82% of micros are never automatically </w:t>
      </w:r>
      <w:r w:rsidR="00D97E4E" w:rsidRPr="00881BC8">
        <w:rPr>
          <w:noProof/>
          <w:lang w:val="en-GB"/>
        </w:rPr>
        <w:t>paid</w:t>
      </w:r>
      <w:r w:rsidRPr="00881BC8">
        <w:rPr>
          <w:noProof/>
          <w:lang w:val="en-GB"/>
        </w:rPr>
        <w:t xml:space="preserve"> the interest and compensation and, when they are mostly found late payers, 15% of their SME clients are often or rarely paid interest and compensation (higher than other size-classes of SMEs). Only 3% of SMEs have invoices always paid on time. A considerable quota of micros have more than 25% of their invoices (21%) and their turnover (26%) </w:t>
      </w:r>
      <w:r w:rsidR="00D97E4E" w:rsidRPr="00881BC8">
        <w:rPr>
          <w:noProof/>
          <w:lang w:val="en-GB"/>
        </w:rPr>
        <w:t>paid</w:t>
      </w:r>
      <w:r w:rsidRPr="00881BC8">
        <w:rPr>
          <w:noProof/>
          <w:lang w:val="en-GB"/>
        </w:rPr>
        <w:t xml:space="preserve"> late.</w:t>
      </w:r>
    </w:p>
    <w:p w14:paraId="2BF6C69F" w14:textId="77777777" w:rsidR="00CA291F" w:rsidRPr="00881BC8" w:rsidRDefault="00CA291F" w:rsidP="004835F8">
      <w:pPr>
        <w:pStyle w:val="NormalPara"/>
        <w:rPr>
          <w:noProof/>
          <w:lang w:val="en-GB"/>
        </w:rPr>
      </w:pPr>
      <w:r w:rsidRPr="00881BC8">
        <w:rPr>
          <w:noProof/>
          <w:lang w:val="en-GB"/>
        </w:rPr>
        <w:t>36% of micros have never had disputes with their late-payers client and 47% have never used courts proceedings. The last time they tried to resolve a dispute, 44% solved the issue with the other business, 14% took the matter to court, 10% preferred not to take any action at all and 10% used mediation.</w:t>
      </w:r>
    </w:p>
    <w:p w14:paraId="352E87F8" w14:textId="66100CFA" w:rsidR="00CA291F" w:rsidRPr="00881BC8" w:rsidRDefault="00CA291F" w:rsidP="004835F8">
      <w:pPr>
        <w:pStyle w:val="NormalPara"/>
        <w:rPr>
          <w:noProof/>
          <w:lang w:val="en-GB"/>
        </w:rPr>
      </w:pPr>
      <w:r w:rsidRPr="00881BC8">
        <w:rPr>
          <w:noProof/>
          <w:lang w:val="en-GB"/>
        </w:rPr>
        <w:t xml:space="preserve">48% of micros agree that late payments prevent them from recruiting staff and 20% that they had to lay off staff because of late payments (the highest combined effect compared to other sizes of SMEs). 82% of micros find that late payments affect the survival of their business and 93% that it affects their </w:t>
      </w:r>
      <w:r w:rsidR="005A6B83" w:rsidRPr="00881BC8">
        <w:rPr>
          <w:noProof/>
          <w:lang w:val="en-GB"/>
        </w:rPr>
        <w:t>well-being</w:t>
      </w:r>
      <w:r w:rsidRPr="00881BC8">
        <w:rPr>
          <w:noProof/>
          <w:lang w:val="en-GB"/>
        </w:rPr>
        <w:t>, generating stress and anxiety.</w:t>
      </w:r>
    </w:p>
    <w:p w14:paraId="55231680" w14:textId="77777777" w:rsidR="00CA291F" w:rsidRPr="00881BC8" w:rsidRDefault="00CA291F" w:rsidP="004835F8">
      <w:pPr>
        <w:pStyle w:val="AnnexLevel2"/>
        <w:rPr>
          <w:noProof/>
          <w:lang w:val="en-GB"/>
        </w:rPr>
      </w:pPr>
      <w:r w:rsidRPr="00881BC8">
        <w:rPr>
          <w:noProof/>
          <w:lang w:val="en-GB"/>
        </w:rPr>
        <w:t>Late payment international aspects</w:t>
      </w:r>
    </w:p>
    <w:p w14:paraId="3E230B6F" w14:textId="0085F4CA" w:rsidR="00CA291F" w:rsidRPr="00881BC8" w:rsidRDefault="00CA291F" w:rsidP="004835F8">
      <w:pPr>
        <w:pStyle w:val="NormalPara"/>
        <w:rPr>
          <w:noProof/>
          <w:lang w:val="en-GB" w:eastAsia="en-GB"/>
        </w:rPr>
      </w:pPr>
      <w:r w:rsidRPr="00881BC8">
        <w:rPr>
          <w:noProof/>
          <w:lang w:val="en-GB" w:eastAsia="en-GB"/>
        </w:rPr>
        <w:t xml:space="preserve">SMEs in </w:t>
      </w:r>
      <w:r w:rsidR="00CC1DE0" w:rsidRPr="00881BC8">
        <w:rPr>
          <w:noProof/>
          <w:lang w:val="en-GB" w:eastAsia="en-GB"/>
        </w:rPr>
        <w:t>Türkiye</w:t>
      </w:r>
      <w:r w:rsidRPr="00881BC8">
        <w:rPr>
          <w:noProof/>
          <w:lang w:val="en-GB" w:eastAsia="en-GB"/>
        </w:rPr>
        <w:t xml:space="preserve"> (52%) are those more likely to find payment delays as a challenge. SMEs in the EU (35%) are more likely than SMEs in the US (29%), Canada (24%) or Japan (8%) to say that payment delays are among the biggest problems their enterprise faces.</w:t>
      </w:r>
      <w:r w:rsidRPr="00881BC8">
        <w:rPr>
          <w:rStyle w:val="FootnoteReference"/>
          <w:noProof/>
          <w:lang w:val="en-GB" w:eastAsia="en-GB"/>
        </w:rPr>
        <w:t xml:space="preserve"> </w:t>
      </w:r>
      <w:r w:rsidRPr="00881BC8">
        <w:rPr>
          <w:rStyle w:val="FootnoteReference"/>
          <w:noProof/>
          <w:lang w:val="en-GB" w:eastAsia="en-GB"/>
        </w:rPr>
        <w:footnoteReference w:id="277"/>
      </w:r>
    </w:p>
    <w:p w14:paraId="285DACF9" w14:textId="17B87108" w:rsidR="00B8535C" w:rsidRPr="00881BC8" w:rsidRDefault="00B8535C" w:rsidP="004835F8">
      <w:pPr>
        <w:pStyle w:val="NormalPara"/>
        <w:rPr>
          <w:noProof/>
          <w:lang w:val="en-GB" w:eastAsia="en-GB"/>
        </w:rPr>
      </w:pPr>
      <w:r w:rsidRPr="00881BC8">
        <w:rPr>
          <w:noProof/>
          <w:lang w:val="en-GB" w:eastAsia="en-GB"/>
        </w:rPr>
        <w:t>SME exporters are more likely to have experienced problems due to late payment than non-exporters (49-40%)</w:t>
      </w:r>
      <w:r w:rsidR="00F06180" w:rsidRPr="00881BC8">
        <w:rPr>
          <w:rStyle w:val="FootnoteReference"/>
          <w:noProof/>
          <w:lang w:val="en-GB" w:eastAsia="en-GB"/>
        </w:rPr>
        <w:footnoteReference w:id="278"/>
      </w:r>
      <w:r w:rsidRPr="00881BC8">
        <w:rPr>
          <w:noProof/>
          <w:lang w:val="en-GB" w:eastAsia="en-GB"/>
        </w:rPr>
        <w:t>.</w:t>
      </w:r>
    </w:p>
    <w:p w14:paraId="2CC195AA" w14:textId="4D34908F" w:rsidR="00B8535C" w:rsidRPr="00881BC8" w:rsidRDefault="00B8535C" w:rsidP="004835F8">
      <w:pPr>
        <w:pStyle w:val="NormalPara"/>
        <w:rPr>
          <w:noProof/>
          <w:lang w:val="en-GB" w:eastAsia="en-GB"/>
        </w:rPr>
      </w:pPr>
      <w:r w:rsidRPr="00881BC8">
        <w:rPr>
          <w:noProof/>
          <w:lang w:val="en-GB" w:eastAsia="en-GB"/>
        </w:rPr>
        <w:t>In the context of cross-border retail payments, B2B payments by small and medium-sized enterprises (SMEs) are smaller and less frequent compared to large payments by multinational corporations</w:t>
      </w:r>
      <w:r w:rsidRPr="00881BC8">
        <w:rPr>
          <w:rStyle w:val="FootnoteReference"/>
          <w:noProof/>
          <w:lang w:val="en-GB" w:eastAsia="en-GB"/>
        </w:rPr>
        <w:footnoteReference w:id="279"/>
      </w:r>
      <w:r w:rsidRPr="00881BC8">
        <w:rPr>
          <w:noProof/>
          <w:lang w:val="en-GB" w:eastAsia="en-GB"/>
        </w:rPr>
        <w:t>.</w:t>
      </w:r>
      <w:r w:rsidRPr="00881BC8">
        <w:rPr>
          <w:rStyle w:val="FootnoteReference"/>
          <w:noProof/>
          <w:lang w:val="en-GB" w:eastAsia="en-GB"/>
        </w:rPr>
        <w:t xml:space="preserve"> </w:t>
      </w:r>
      <w:r w:rsidRPr="00881BC8">
        <w:rPr>
          <w:noProof/>
          <w:lang w:val="en-GB" w:eastAsia="en-GB"/>
        </w:rPr>
        <w:t xml:space="preserve">SMEs experience difficulties even for transactions between more developed regions (e.g. Europe and North America), and further obstacles arise in connection with emerging market economies (EMEs), lower-volume “corridors” (i.e. which countries and currencies a payment can be made from and to) and new payees. </w:t>
      </w:r>
    </w:p>
    <w:p w14:paraId="19975FFF" w14:textId="249DBCA9" w:rsidR="00B8535C" w:rsidRPr="00881BC8" w:rsidRDefault="00B8535C" w:rsidP="004835F8">
      <w:pPr>
        <w:pStyle w:val="NormalPara"/>
        <w:rPr>
          <w:noProof/>
          <w:lang w:val="en-GB"/>
        </w:rPr>
      </w:pPr>
      <w:r w:rsidRPr="00881BC8">
        <w:rPr>
          <w:noProof/>
          <w:lang w:val="en-GB"/>
        </w:rPr>
        <w:t>In developed countries, on average, firms with fewer than 250 employees account for 78% of exporters but only 34% of exports; trade flows of micro firms and SMEs are heavily tilted toward services (accounting for 68% of total exports and 83% per cent of total imports). A WTO review of main obstacles to international trade for SMEs finds poor access to finance and slow payment mechanisms to be one of the four main obstacles</w:t>
      </w:r>
      <w:r w:rsidR="00F06180" w:rsidRPr="00881BC8">
        <w:rPr>
          <w:rStyle w:val="FootnoteReference"/>
          <w:noProof/>
          <w:lang w:val="en-GB"/>
        </w:rPr>
        <w:footnoteReference w:id="280"/>
      </w:r>
      <w:r w:rsidRPr="00881BC8">
        <w:rPr>
          <w:noProof/>
          <w:lang w:val="en-GB"/>
        </w:rPr>
        <w:t>.</w:t>
      </w:r>
    </w:p>
    <w:p w14:paraId="5392B1D1" w14:textId="77777777" w:rsidR="00CA291F" w:rsidRPr="00881BC8" w:rsidRDefault="00CA291F" w:rsidP="004835F8">
      <w:pPr>
        <w:pStyle w:val="NormalPara"/>
        <w:rPr>
          <w:noProof/>
          <w:lang w:val="en-GB"/>
        </w:rPr>
      </w:pPr>
      <w:r w:rsidRPr="00881BC8">
        <w:rPr>
          <w:noProof/>
          <w:lang w:val="en-GB"/>
        </w:rPr>
        <w:t>This initiative is considered highly relevant for SMEs, as it affects all EU SMEs.</w:t>
      </w:r>
    </w:p>
    <w:p w14:paraId="031B6140" w14:textId="77777777" w:rsidR="00CA291F" w:rsidRPr="00881BC8" w:rsidRDefault="00CA291F" w:rsidP="004835F8">
      <w:pPr>
        <w:pStyle w:val="AnnexLevel1"/>
        <w:rPr>
          <w:noProof/>
          <w:lang w:val="en-GB"/>
        </w:rPr>
      </w:pPr>
      <w:r w:rsidRPr="00881BC8">
        <w:rPr>
          <w:noProof/>
          <w:lang w:val="en-GB"/>
        </w:rPr>
        <w:t>STEP 2/4: CONSULTATION OF SME STAKEHOLDERS</w:t>
      </w:r>
    </w:p>
    <w:p w14:paraId="4C6E7A50" w14:textId="77777777" w:rsidR="00CA291F" w:rsidRPr="00881BC8" w:rsidRDefault="00CA291F" w:rsidP="004835F8">
      <w:pPr>
        <w:pStyle w:val="AnnexLevel2"/>
        <w:rPr>
          <w:noProof/>
          <w:lang w:val="en-GB"/>
        </w:rPr>
      </w:pPr>
      <w:r w:rsidRPr="00881BC8">
        <w:rPr>
          <w:noProof/>
          <w:lang w:val="en-GB"/>
        </w:rPr>
        <w:t>Public consultation</w:t>
      </w:r>
    </w:p>
    <w:p w14:paraId="45573365" w14:textId="77777777" w:rsidR="00CA291F" w:rsidRPr="00881BC8" w:rsidRDefault="00CA291F" w:rsidP="00CA291F">
      <w:pPr>
        <w:tabs>
          <w:tab w:val="left" w:pos="170"/>
        </w:tabs>
        <w:spacing w:after="120"/>
        <w:rPr>
          <w:i/>
          <w:noProof/>
        </w:rPr>
      </w:pPr>
      <w:r w:rsidRPr="00881BC8">
        <w:rPr>
          <w:i/>
          <w:noProof/>
        </w:rPr>
        <w:t>Policy option 1: Prevent late payments</w:t>
      </w:r>
    </w:p>
    <w:p w14:paraId="3D5B7C7D" w14:textId="5AFE2E69" w:rsidR="00CA291F" w:rsidRPr="00881BC8" w:rsidRDefault="00CA291F" w:rsidP="004835F8">
      <w:pPr>
        <w:pStyle w:val="NormalPara"/>
        <w:rPr>
          <w:noProof/>
          <w:lang w:val="en-GB"/>
        </w:rPr>
      </w:pPr>
      <w:r w:rsidRPr="00881BC8">
        <w:rPr>
          <w:noProof/>
          <w:lang w:val="en-GB"/>
        </w:rPr>
        <w:t xml:space="preserve">The results of the </w:t>
      </w:r>
      <w:r w:rsidR="00095AC6" w:rsidRPr="00881BC8">
        <w:rPr>
          <w:noProof/>
          <w:lang w:val="en-GB"/>
        </w:rPr>
        <w:t>PC</w:t>
      </w:r>
      <w:r w:rsidRPr="00881BC8">
        <w:rPr>
          <w:noProof/>
          <w:lang w:val="en-GB"/>
        </w:rPr>
        <w:t xml:space="preserve"> show that 37% of respondents think that the payments terms should be capped for all B2B transactions without exceptions, and more specifically at 30 days (27%) and 60 days (9%), with no significant differences among companies and business organisations. 29% of the respondents, mostly business association (19) and a minority of companies (only 8), think that the payments terms should remain unchanged. Only 9% (10, business associations only) think that they should be capped at 30 (6%) or 60 days (2,6%) for payments from large companies to SMEs only.</w:t>
      </w:r>
    </w:p>
    <w:p w14:paraId="79C3963B" w14:textId="6B1B691D" w:rsidR="00CA291F" w:rsidRPr="00881BC8" w:rsidRDefault="00CA291F" w:rsidP="004835F8">
      <w:pPr>
        <w:pStyle w:val="NormalPara"/>
        <w:rPr>
          <w:noProof/>
          <w:lang w:val="en-GB"/>
        </w:rPr>
      </w:pPr>
      <w:r w:rsidRPr="00881BC8">
        <w:rPr>
          <w:noProof/>
          <w:lang w:val="en-GB"/>
        </w:rPr>
        <w:t>The other consultation activities (feedback to the call for evidence, position papers and bilateral meetings) showed that there is a significant majority supporting the capping and the abolition of the concept of “grossly unfair”. They were mostly business associations representing in particular SMEs (for example SMEunited and ESBA) and companies (especially SMEs) but also some public authorities and citizens.</w:t>
      </w:r>
      <w:r w:rsidR="002E552C" w:rsidRPr="00881BC8">
        <w:rPr>
          <w:noProof/>
          <w:lang w:val="en-GB"/>
        </w:rPr>
        <w:t xml:space="preserve"> </w:t>
      </w:r>
      <w:r w:rsidRPr="00881BC8">
        <w:rPr>
          <w:noProof/>
          <w:lang w:val="en-GB"/>
        </w:rPr>
        <w:t xml:space="preserve">Generally, they support a limit of 30 days or less for payment terms B2B transactions. Some stakeholders -despite favouring a general capping- also favour certain level of flexibility when it comes to certain specific sectors or to allow an agreement between the creditor and the debtor under certain conditions. Most of them agree for an extra 30 days (60 days total), although some push for more days by claiming for respect to the “freedom of contract” principle between its participants. Only few, among which national business associations or similar bodies (for example, AT and DK chambers, Confcommercio from IT), are against establishing limits to payments of invoices. </w:t>
      </w:r>
    </w:p>
    <w:p w14:paraId="5F6758EE" w14:textId="77777777" w:rsidR="00CA291F" w:rsidRPr="00881BC8" w:rsidRDefault="00CA291F" w:rsidP="004835F8">
      <w:pPr>
        <w:pStyle w:val="NormalPara"/>
        <w:rPr>
          <w:noProof/>
          <w:lang w:val="en-GB"/>
        </w:rPr>
      </w:pPr>
      <w:r w:rsidRPr="00881BC8">
        <w:rPr>
          <w:noProof/>
          <w:lang w:val="en-GB"/>
        </w:rPr>
        <w:t>Overall, the stakeholders support the proposal to provide training on credit management and financial literacy. They were mostly business associations (for example CECOP and DK chamber of commerce).</w:t>
      </w:r>
    </w:p>
    <w:p w14:paraId="1ACB9A46" w14:textId="77777777" w:rsidR="00CA291F" w:rsidRPr="00881BC8" w:rsidRDefault="00CA291F" w:rsidP="00CA291F">
      <w:pPr>
        <w:tabs>
          <w:tab w:val="left" w:pos="170"/>
        </w:tabs>
        <w:spacing w:after="120"/>
        <w:rPr>
          <w:noProof/>
        </w:rPr>
      </w:pPr>
    </w:p>
    <w:p w14:paraId="0FEA33EB" w14:textId="77777777" w:rsidR="00CA291F" w:rsidRPr="00881BC8" w:rsidRDefault="00CA291F" w:rsidP="00CA291F">
      <w:pPr>
        <w:tabs>
          <w:tab w:val="left" w:pos="170"/>
        </w:tabs>
        <w:spacing w:after="120"/>
        <w:rPr>
          <w:i/>
          <w:noProof/>
        </w:rPr>
      </w:pPr>
      <w:r w:rsidRPr="00881BC8">
        <w:rPr>
          <w:i/>
          <w:noProof/>
        </w:rPr>
        <w:t>Policy option 2: Foster timely payments</w:t>
      </w:r>
    </w:p>
    <w:p w14:paraId="26D67299" w14:textId="65C126CA" w:rsidR="00CA291F" w:rsidRPr="00881BC8" w:rsidRDefault="00CA291F" w:rsidP="004835F8">
      <w:pPr>
        <w:pStyle w:val="NormalPara"/>
        <w:rPr>
          <w:noProof/>
          <w:lang w:val="en-GB"/>
        </w:rPr>
      </w:pPr>
      <w:r w:rsidRPr="00881BC8">
        <w:rPr>
          <w:noProof/>
          <w:lang w:val="en-GB"/>
        </w:rPr>
        <w:t>Companies in the PC state that normally the interests are rarely (39%) or even never (36%) requested. The situation is even worst for the flat fee compensation, where (25%) rarely do it and the majority (57%) never do it.</w:t>
      </w:r>
      <w:r w:rsidR="002E552C" w:rsidRPr="00881BC8">
        <w:rPr>
          <w:noProof/>
          <w:lang w:val="en-GB"/>
        </w:rPr>
        <w:t xml:space="preserve"> </w:t>
      </w:r>
      <w:r w:rsidRPr="00881BC8">
        <w:rPr>
          <w:noProof/>
          <w:lang w:val="en-GB"/>
        </w:rPr>
        <w:t xml:space="preserve">The companies participating to the </w:t>
      </w:r>
      <w:r w:rsidR="00095AC6" w:rsidRPr="00881BC8">
        <w:rPr>
          <w:noProof/>
          <w:lang w:val="en-GB"/>
        </w:rPr>
        <w:t>PC</w:t>
      </w:r>
      <w:r w:rsidRPr="00881BC8">
        <w:rPr>
          <w:noProof/>
          <w:lang w:val="en-GB"/>
        </w:rPr>
        <w:t xml:space="preserve"> have mixed opinions on the adequacy of the interests and the compensation. The large majority (61%) agrees that the interest on late payment and the flat fee compensation of a minimum of EUR 40 per invoice should be applied automatically, as soon as the debtor is late with the payment.</w:t>
      </w:r>
    </w:p>
    <w:p w14:paraId="0BF72237" w14:textId="77777777" w:rsidR="00CA291F" w:rsidRPr="00881BC8" w:rsidRDefault="00CA291F" w:rsidP="004835F8">
      <w:pPr>
        <w:pStyle w:val="NormalPara"/>
        <w:rPr>
          <w:noProof/>
          <w:lang w:val="en-GB"/>
        </w:rPr>
      </w:pPr>
      <w:r w:rsidRPr="00881BC8">
        <w:rPr>
          <w:noProof/>
          <w:lang w:val="en-GB"/>
        </w:rPr>
        <w:t>In the PC 67 respondents out of 117 (no differences between business organisations and companies) agreed on the proposal that public authorities should put in place mechanisms to verify that main contractors are complying with the rules on prompt payment when paying subcontractors, in particular when a subcontractor is an SME.</w:t>
      </w:r>
    </w:p>
    <w:p w14:paraId="22E84829" w14:textId="28B39DF3" w:rsidR="00CA291F" w:rsidRPr="00881BC8" w:rsidRDefault="00CA291F" w:rsidP="004835F8">
      <w:pPr>
        <w:pStyle w:val="NormalPara"/>
        <w:rPr>
          <w:noProof/>
          <w:lang w:val="en-GB"/>
        </w:rPr>
      </w:pPr>
      <w:r w:rsidRPr="00881BC8">
        <w:rPr>
          <w:noProof/>
          <w:lang w:val="en-GB"/>
        </w:rPr>
        <w:t xml:space="preserve">The large majority of stakeholders participating to the other consultation activities supported the proposal to make the payment of interests automatic. They were mostly business associations, companies (especially SMEs which strongly support this proposal) and some public authorities. They support a system of penalties, agree on adapting the flat fee compensation and that Member States should set up enforcement bodies. Finally they think that contracting </w:t>
      </w:r>
      <w:r w:rsidR="00FB6397" w:rsidRPr="00881BC8">
        <w:rPr>
          <w:noProof/>
          <w:lang w:val="en-GB"/>
        </w:rPr>
        <w:t>authorities</w:t>
      </w:r>
      <w:r w:rsidRPr="00881BC8">
        <w:rPr>
          <w:noProof/>
          <w:lang w:val="en-GB"/>
        </w:rPr>
        <w:t xml:space="preserve"> should ensure that subcontractors in public tenders are paid on time. This is supported by some Spanish business organisations and ESBA. ESBA proposes that ‘it should become a standard clause in public tendered contracts that the company that is awarded the public contract must pay their sub-contractors on the same terms that they are to be paid under the contract or penalties will apply’.</w:t>
      </w:r>
    </w:p>
    <w:p w14:paraId="44251EDE" w14:textId="77777777" w:rsidR="00CA291F" w:rsidRPr="00881BC8" w:rsidRDefault="00CA291F" w:rsidP="004835F8">
      <w:pPr>
        <w:pStyle w:val="NormalPara"/>
        <w:rPr>
          <w:noProof/>
          <w:lang w:val="en-GB"/>
        </w:rPr>
      </w:pPr>
      <w:r w:rsidRPr="00881BC8">
        <w:rPr>
          <w:noProof/>
          <w:lang w:val="en-GB"/>
        </w:rPr>
        <w:t xml:space="preserve">93% of the companies participating to the PC consider very useful/useful the proposal that prompt payment should be an additional criterion when awarding public funding and 89 that public procurement procedures should include timely payment of suppliers as a criterion. 71% consider very useful/useful that the European Commission lay down minimum common criteria on prompt payment codes. </w:t>
      </w:r>
    </w:p>
    <w:p w14:paraId="5F1DF98C" w14:textId="77777777" w:rsidR="00CA291F" w:rsidRPr="00881BC8" w:rsidRDefault="00CA291F" w:rsidP="00CA291F">
      <w:pPr>
        <w:tabs>
          <w:tab w:val="left" w:pos="170"/>
        </w:tabs>
        <w:spacing w:after="120"/>
        <w:rPr>
          <w:noProof/>
        </w:rPr>
      </w:pPr>
    </w:p>
    <w:p w14:paraId="1BFB53F7" w14:textId="77777777" w:rsidR="00CA291F" w:rsidRPr="00881BC8" w:rsidRDefault="00CA291F" w:rsidP="00CA291F">
      <w:pPr>
        <w:tabs>
          <w:tab w:val="left" w:pos="170"/>
        </w:tabs>
        <w:spacing w:after="120"/>
        <w:rPr>
          <w:noProof/>
        </w:rPr>
      </w:pPr>
      <w:r w:rsidRPr="00881BC8">
        <w:rPr>
          <w:i/>
          <w:noProof/>
        </w:rPr>
        <w:t>Policy option 3: Better balance between large and small operators, to ensure fair payment conditions and empower SMEs</w:t>
      </w:r>
      <w:r w:rsidRPr="00881BC8">
        <w:rPr>
          <w:noProof/>
        </w:rPr>
        <w:t xml:space="preserve">: </w:t>
      </w:r>
    </w:p>
    <w:p w14:paraId="13D0F7FC" w14:textId="21F17D12" w:rsidR="00CA291F" w:rsidRPr="00881BC8" w:rsidRDefault="00CA291F" w:rsidP="004835F8">
      <w:pPr>
        <w:pStyle w:val="NormalPara"/>
        <w:rPr>
          <w:noProof/>
          <w:lang w:val="en-GB"/>
        </w:rPr>
      </w:pPr>
      <w:r w:rsidRPr="00881BC8">
        <w:rPr>
          <w:noProof/>
          <w:lang w:val="en-GB"/>
        </w:rPr>
        <w:t>All the proposals of this option are in general supported by the stakeholders participating to the other consultation ac</w:t>
      </w:r>
      <w:r w:rsidR="006173B2" w:rsidRPr="00881BC8">
        <w:rPr>
          <w:noProof/>
          <w:lang w:val="en-GB"/>
        </w:rPr>
        <w:t>t</w:t>
      </w:r>
      <w:r w:rsidRPr="00881BC8">
        <w:rPr>
          <w:noProof/>
          <w:lang w:val="en-GB"/>
        </w:rPr>
        <w:t>ivit</w:t>
      </w:r>
      <w:r w:rsidR="006173B2" w:rsidRPr="00881BC8">
        <w:rPr>
          <w:noProof/>
          <w:lang w:val="en-GB"/>
        </w:rPr>
        <w:t>i</w:t>
      </w:r>
      <w:r w:rsidRPr="00881BC8">
        <w:rPr>
          <w:noProof/>
          <w:lang w:val="en-GB"/>
        </w:rPr>
        <w:t xml:space="preserve">es, in particular by business associations. They think that Member States should appoint a responsible authority to monitor compliance and intervene at the request of small businesses or their organisations and, if necessary, impose sanctions for non-compliance (SMEunited). They also think that prompt payments should be an award criterion in public tenders (for example Sinf from SE, CEPYME from ES, CECOP). The proposal to set-up a National Payment Envoy </w:t>
      </w:r>
      <w:r w:rsidR="006F24D0" w:rsidRPr="00881BC8">
        <w:rPr>
          <w:noProof/>
          <w:lang w:val="en-GB"/>
        </w:rPr>
        <w:t>is</w:t>
      </w:r>
      <w:r w:rsidRPr="00881BC8">
        <w:rPr>
          <w:noProof/>
          <w:lang w:val="en-GB"/>
        </w:rPr>
        <w:t xml:space="preserve"> also supported. The idea to introduce a national mediation system received positive opinions as it is seen as a quick way to solve disputes (ES chambers of commerce) and because ‘alternative dispute resolution mechanisms to solve payment disputes must be encouraged’ (Eurocommerce). Finally, stakeholders (mostly SMEs) provided examples of unfair payment practices aimed at artificially extending the payment deadline. They think that these practices should be discouraged. Only in a couple of cases (Confcommercio from I</w:t>
      </w:r>
      <w:r w:rsidR="00FB6397" w:rsidRPr="00881BC8">
        <w:rPr>
          <w:noProof/>
          <w:lang w:val="en-GB"/>
        </w:rPr>
        <w:t>taly</w:t>
      </w:r>
      <w:r w:rsidRPr="00881BC8">
        <w:rPr>
          <w:noProof/>
          <w:lang w:val="en-GB"/>
        </w:rPr>
        <w:t xml:space="preserve"> and A</w:t>
      </w:r>
      <w:r w:rsidR="00FB6397" w:rsidRPr="00881BC8">
        <w:rPr>
          <w:noProof/>
          <w:lang w:val="en-GB"/>
        </w:rPr>
        <w:t>ustrian</w:t>
      </w:r>
      <w:r w:rsidRPr="00881BC8">
        <w:rPr>
          <w:noProof/>
          <w:lang w:val="en-GB"/>
        </w:rPr>
        <w:t xml:space="preserve"> federal economic chamber) negative opinions were provided.</w:t>
      </w:r>
    </w:p>
    <w:p w14:paraId="7715C062" w14:textId="14C65C10" w:rsidR="00CA291F" w:rsidRPr="00881BC8" w:rsidRDefault="00CA291F" w:rsidP="004835F8">
      <w:pPr>
        <w:pStyle w:val="AnnexLevel2"/>
        <w:rPr>
          <w:noProof/>
          <w:lang w:val="en-GB"/>
        </w:rPr>
      </w:pPr>
      <w:r w:rsidRPr="00881BC8">
        <w:rPr>
          <w:noProof/>
          <w:lang w:val="en-GB"/>
        </w:rPr>
        <w:t>SME panel</w:t>
      </w:r>
    </w:p>
    <w:p w14:paraId="188271E8" w14:textId="77777777" w:rsidR="00CA291F" w:rsidRPr="00881BC8" w:rsidRDefault="00CA291F" w:rsidP="004835F8">
      <w:pPr>
        <w:pStyle w:val="NormalPara"/>
        <w:rPr>
          <w:noProof/>
          <w:lang w:val="en-GB"/>
        </w:rPr>
      </w:pPr>
      <w:r w:rsidRPr="00881BC8">
        <w:rPr>
          <w:noProof/>
          <w:lang w:val="en-GB"/>
        </w:rPr>
        <w:t>In the SME panel, the vast majority of SMEs supports very strongly:</w:t>
      </w:r>
    </w:p>
    <w:p w14:paraId="5F587FF6" w14:textId="77777777" w:rsidR="00CA291F" w:rsidRPr="00881BC8" w:rsidRDefault="00CA291F" w:rsidP="004835F8">
      <w:pPr>
        <w:pStyle w:val="Body"/>
        <w:numPr>
          <w:ilvl w:val="0"/>
          <w:numId w:val="53"/>
        </w:numPr>
        <w:rPr>
          <w:noProof/>
        </w:rPr>
      </w:pPr>
      <w:r w:rsidRPr="00881BC8">
        <w:rPr>
          <w:noProof/>
        </w:rPr>
        <w:t xml:space="preserve">setting up </w:t>
      </w:r>
      <w:r w:rsidRPr="00881BC8">
        <w:rPr>
          <w:i/>
          <w:noProof/>
        </w:rPr>
        <w:t>enforcement bodies</w:t>
      </w:r>
      <w:r w:rsidRPr="00881BC8">
        <w:rPr>
          <w:noProof/>
        </w:rPr>
        <w:t xml:space="preserve"> with the power to investigate and receive complaints, and to issue administrative fines for repeated bad payment behaviour (</w:t>
      </w:r>
      <w:r w:rsidRPr="00881BC8">
        <w:rPr>
          <w:b/>
          <w:noProof/>
        </w:rPr>
        <w:t>84%</w:t>
      </w:r>
      <w:r w:rsidRPr="00881BC8">
        <w:rPr>
          <w:noProof/>
        </w:rPr>
        <w:t xml:space="preserve">). </w:t>
      </w:r>
    </w:p>
    <w:p w14:paraId="6131E06C" w14:textId="43E1C426" w:rsidR="00CA291F" w:rsidRPr="00881BC8" w:rsidRDefault="00CA291F" w:rsidP="004835F8">
      <w:pPr>
        <w:pStyle w:val="Body"/>
        <w:numPr>
          <w:ilvl w:val="0"/>
          <w:numId w:val="53"/>
        </w:numPr>
        <w:rPr>
          <w:noProof/>
        </w:rPr>
      </w:pPr>
      <w:r w:rsidRPr="00881BC8">
        <w:rPr>
          <w:noProof/>
        </w:rPr>
        <w:t xml:space="preserve">setting a limit on the </w:t>
      </w:r>
      <w:r w:rsidRPr="00881BC8">
        <w:rPr>
          <w:i/>
          <w:noProof/>
        </w:rPr>
        <w:t>maximum number of days in payment terms for all B2B transactions</w:t>
      </w:r>
      <w:r w:rsidRPr="00881BC8">
        <w:rPr>
          <w:noProof/>
        </w:rPr>
        <w:t xml:space="preserve"> (</w:t>
      </w:r>
      <w:r w:rsidRPr="00881BC8">
        <w:rPr>
          <w:b/>
          <w:noProof/>
        </w:rPr>
        <w:t>83%</w:t>
      </w:r>
      <w:r w:rsidRPr="00881BC8">
        <w:rPr>
          <w:noProof/>
        </w:rPr>
        <w:t xml:space="preserve">), especially SMEs that find large companies mostly paying late (87%). </w:t>
      </w:r>
      <w:r w:rsidR="00532574" w:rsidRPr="00881BC8">
        <w:rPr>
          <w:noProof/>
        </w:rPr>
        <w:t>Specifically,</w:t>
      </w:r>
      <w:r w:rsidRPr="00881BC8">
        <w:rPr>
          <w:noProof/>
        </w:rPr>
        <w:t xml:space="preserve"> regarding the </w:t>
      </w:r>
      <w:r w:rsidRPr="00881BC8">
        <w:rPr>
          <w:b/>
          <w:noProof/>
        </w:rPr>
        <w:t>capping of payments</w:t>
      </w:r>
      <w:r w:rsidRPr="00881BC8">
        <w:rPr>
          <w:noProof/>
        </w:rPr>
        <w:t xml:space="preserve">: </w:t>
      </w:r>
    </w:p>
    <w:p w14:paraId="517B8A31" w14:textId="77777777" w:rsidR="00CA291F" w:rsidRPr="00881BC8" w:rsidRDefault="00CA291F" w:rsidP="004835F8">
      <w:pPr>
        <w:pStyle w:val="Body"/>
        <w:numPr>
          <w:ilvl w:val="1"/>
          <w:numId w:val="53"/>
        </w:numPr>
        <w:rPr>
          <w:noProof/>
        </w:rPr>
      </w:pPr>
      <w:r w:rsidRPr="00881BC8">
        <w:rPr>
          <w:noProof/>
        </w:rPr>
        <w:t xml:space="preserve">highest support is found for capping at </w:t>
      </w:r>
      <w:r w:rsidRPr="00881BC8">
        <w:rPr>
          <w:i/>
          <w:noProof/>
        </w:rPr>
        <w:t>30 days</w:t>
      </w:r>
      <w:r w:rsidRPr="00881BC8">
        <w:rPr>
          <w:noProof/>
        </w:rPr>
        <w:t xml:space="preserve"> (36%), with more support from smaller SMEs (44%), and when large companies mostly pay late (41%), and</w:t>
      </w:r>
    </w:p>
    <w:p w14:paraId="0B71566A" w14:textId="77777777" w:rsidR="00CA291F" w:rsidRPr="00881BC8" w:rsidRDefault="00CA291F" w:rsidP="004835F8">
      <w:pPr>
        <w:pStyle w:val="Body"/>
        <w:numPr>
          <w:ilvl w:val="1"/>
          <w:numId w:val="53"/>
        </w:numPr>
        <w:rPr>
          <w:noProof/>
        </w:rPr>
      </w:pPr>
      <w:r w:rsidRPr="00881BC8">
        <w:rPr>
          <w:noProof/>
        </w:rPr>
        <w:t xml:space="preserve">capping at </w:t>
      </w:r>
      <w:r w:rsidRPr="00881BC8">
        <w:rPr>
          <w:i/>
          <w:noProof/>
        </w:rPr>
        <w:t>60 days</w:t>
      </w:r>
      <w:r w:rsidRPr="00881BC8">
        <w:rPr>
          <w:noProof/>
        </w:rPr>
        <w:t xml:space="preserve"> (28%), with more support from bigger SMEs -especially small (36%)-, and when large companies mostly pay late (32%).</w:t>
      </w:r>
    </w:p>
    <w:p w14:paraId="160CE778" w14:textId="77777777" w:rsidR="00CA291F" w:rsidRPr="00881BC8" w:rsidRDefault="00CA291F" w:rsidP="004835F8">
      <w:pPr>
        <w:pStyle w:val="Body"/>
        <w:numPr>
          <w:ilvl w:val="0"/>
          <w:numId w:val="53"/>
        </w:numPr>
        <w:rPr>
          <w:noProof/>
        </w:rPr>
      </w:pPr>
      <w:r w:rsidRPr="00881BC8">
        <w:rPr>
          <w:noProof/>
        </w:rPr>
        <w:t>banning practices and clauses that oblige creditors to waive their rights to late payment interest and compensation in exchange for immediate payment (</w:t>
      </w:r>
      <w:r w:rsidRPr="00881BC8">
        <w:rPr>
          <w:b/>
          <w:noProof/>
        </w:rPr>
        <w:t>77%</w:t>
      </w:r>
      <w:r w:rsidRPr="00881BC8">
        <w:rPr>
          <w:noProof/>
        </w:rPr>
        <w:t>), especially micros (80%) and SMEs that find large companies mostly paying late (80%).</w:t>
      </w:r>
    </w:p>
    <w:p w14:paraId="08189A99" w14:textId="77777777" w:rsidR="00CA291F" w:rsidRPr="00881BC8" w:rsidRDefault="00CA291F" w:rsidP="004835F8">
      <w:pPr>
        <w:pStyle w:val="Body"/>
        <w:numPr>
          <w:ilvl w:val="0"/>
          <w:numId w:val="53"/>
        </w:numPr>
        <w:rPr>
          <w:noProof/>
        </w:rPr>
      </w:pPr>
      <w:r w:rsidRPr="00881BC8">
        <w:rPr>
          <w:rFonts w:cs="Times New Roman"/>
          <w:noProof/>
          <w:szCs w:val="24"/>
        </w:rPr>
        <w:t>transparency obligations, for large businesses only, to report regularly on their payment performance (</w:t>
      </w:r>
      <w:r w:rsidRPr="00881BC8">
        <w:rPr>
          <w:rFonts w:cs="Times New Roman"/>
          <w:b/>
          <w:noProof/>
          <w:szCs w:val="24"/>
        </w:rPr>
        <w:t>72%</w:t>
      </w:r>
      <w:r w:rsidRPr="00881BC8">
        <w:rPr>
          <w:rFonts w:cs="Times New Roman"/>
          <w:noProof/>
          <w:szCs w:val="24"/>
        </w:rPr>
        <w:t xml:space="preserve">), especially </w:t>
      </w:r>
      <w:r w:rsidRPr="00881BC8">
        <w:rPr>
          <w:noProof/>
        </w:rPr>
        <w:t xml:space="preserve">SMEs that find large companies mostly paying late </w:t>
      </w:r>
      <w:r w:rsidRPr="00881BC8">
        <w:rPr>
          <w:rFonts w:cs="Times New Roman"/>
          <w:noProof/>
          <w:szCs w:val="24"/>
        </w:rPr>
        <w:t>(80%).</w:t>
      </w:r>
    </w:p>
    <w:p w14:paraId="32EF954F" w14:textId="0464F025" w:rsidR="00CA291F" w:rsidRPr="00881BC8" w:rsidRDefault="00CA291F" w:rsidP="004835F8">
      <w:pPr>
        <w:pStyle w:val="NormalPara"/>
        <w:rPr>
          <w:bCs/>
          <w:noProof/>
          <w:lang w:val="en-GB"/>
        </w:rPr>
      </w:pPr>
      <w:r w:rsidRPr="00881BC8">
        <w:rPr>
          <w:bCs/>
          <w:noProof/>
          <w:lang w:val="en-GB"/>
        </w:rPr>
        <w:t>65% of SMEs support the appointment national ombudspersons for SMEs (or similar body) to bring the issue of late payments to political attention and liaise with businesses and governmental bodies. This action is less supported by bigger SMEs and when large companies mostly pay late.</w:t>
      </w:r>
    </w:p>
    <w:p w14:paraId="4C0D38FA" w14:textId="1192A977" w:rsidR="00CA291F" w:rsidRPr="00881BC8" w:rsidRDefault="00CA291F" w:rsidP="004835F8">
      <w:pPr>
        <w:pStyle w:val="AnnexLevel1"/>
        <w:rPr>
          <w:noProof/>
          <w:lang w:val="en-GB"/>
        </w:rPr>
      </w:pPr>
      <w:r w:rsidRPr="00881BC8">
        <w:rPr>
          <w:noProof/>
          <w:lang w:val="en-GB"/>
        </w:rPr>
        <w:t>Step 3/4: Assessment of the impact on SMEs</w:t>
      </w:r>
    </w:p>
    <w:p w14:paraId="015CB006" w14:textId="766186B8" w:rsidR="00CB68C1" w:rsidRPr="00881BC8" w:rsidRDefault="00CB68C1" w:rsidP="004835F8">
      <w:pPr>
        <w:pStyle w:val="AnnexLevel2"/>
        <w:rPr>
          <w:noProof/>
          <w:lang w:val="en-GB"/>
        </w:rPr>
      </w:pPr>
      <w:r w:rsidRPr="00881BC8">
        <w:rPr>
          <w:noProof/>
          <w:lang w:val="en-GB"/>
        </w:rPr>
        <w:t>PREFERRED POLICY OPTION</w:t>
      </w:r>
    </w:p>
    <w:p w14:paraId="73E6C161" w14:textId="5DA461D7" w:rsidR="00CB68C1" w:rsidRPr="00881BC8" w:rsidRDefault="00CB68C1" w:rsidP="004835F8">
      <w:pPr>
        <w:pStyle w:val="NormalPara"/>
        <w:rPr>
          <w:noProof/>
          <w:lang w:val="en-GB"/>
        </w:rPr>
      </w:pPr>
      <w:r w:rsidRPr="00881BC8">
        <w:rPr>
          <w:noProof/>
          <w:lang w:val="en-GB"/>
        </w:rPr>
        <w:t xml:space="preserve">The preferred option (PO1A, 2A, 3B) is supported by SMEs in the SME panel and through the </w:t>
      </w:r>
      <w:r w:rsidR="00095AC6" w:rsidRPr="00881BC8">
        <w:rPr>
          <w:noProof/>
          <w:lang w:val="en-GB"/>
        </w:rPr>
        <w:t>PC</w:t>
      </w:r>
      <w:r w:rsidRPr="00881BC8">
        <w:rPr>
          <w:noProof/>
          <w:lang w:val="en-GB"/>
        </w:rPr>
        <w:t>. Overall, all sizes of SMEs can benefit from the preferred option, even though microenterprises should be less affected by the costs and obtain more benefits compared to other size classes (for instance, while capping is strongly supported by SMEs, the 30 days capping is more favo</w:t>
      </w:r>
      <w:r w:rsidR="00532574" w:rsidRPr="00881BC8">
        <w:rPr>
          <w:noProof/>
          <w:lang w:val="en-GB"/>
        </w:rPr>
        <w:t>u</w:t>
      </w:r>
      <w:r w:rsidRPr="00881BC8">
        <w:rPr>
          <w:noProof/>
          <w:lang w:val="en-GB"/>
        </w:rPr>
        <w:t>red by microenterprises). As microenterprises are more affected by late payments than other sizes of SMEs, those expected benefits are more likely translate into better performance of companies with 0-9 employees.</w:t>
      </w:r>
    </w:p>
    <w:p w14:paraId="324FA404" w14:textId="0F8BCDA3" w:rsidR="00CA291F" w:rsidRPr="00881BC8" w:rsidRDefault="00CA291F" w:rsidP="004835F8">
      <w:pPr>
        <w:pStyle w:val="AnnexLevel2"/>
        <w:rPr>
          <w:noProof/>
          <w:lang w:val="en-GB"/>
        </w:rPr>
      </w:pPr>
      <w:r w:rsidRPr="00881BC8">
        <w:rPr>
          <w:noProof/>
          <w:lang w:val="en-GB"/>
        </w:rPr>
        <w:t>POLICY OPTION 1 - FIX THE FRAMEWORK CONDITIONS TO PREVENT LATE PAYMENTS</w:t>
      </w:r>
    </w:p>
    <w:p w14:paraId="3453F516" w14:textId="77777777" w:rsidR="00CA291F" w:rsidRPr="00881BC8" w:rsidRDefault="00CA291F" w:rsidP="004835F8">
      <w:pPr>
        <w:pStyle w:val="NormalPara"/>
        <w:rPr>
          <w:noProof/>
          <w:lang w:val="en-GB"/>
        </w:rPr>
      </w:pPr>
      <w:r w:rsidRPr="00881BC8">
        <w:rPr>
          <w:noProof/>
          <w:lang w:val="en-GB"/>
        </w:rPr>
        <w:t>From the SME panel we note that:</w:t>
      </w:r>
    </w:p>
    <w:p w14:paraId="13EE1959" w14:textId="77777777" w:rsidR="00CA291F" w:rsidRPr="00881BC8" w:rsidRDefault="00CA291F" w:rsidP="004835F8">
      <w:pPr>
        <w:pStyle w:val="ListParagraph"/>
        <w:numPr>
          <w:ilvl w:val="0"/>
          <w:numId w:val="54"/>
        </w:numPr>
        <w:spacing w:before="120" w:after="120" w:line="276" w:lineRule="auto"/>
        <w:rPr>
          <w:noProof/>
        </w:rPr>
      </w:pPr>
      <w:r w:rsidRPr="00881BC8">
        <w:rPr>
          <w:noProof/>
        </w:rPr>
        <w:t xml:space="preserve">72% of SMEs are not comfortable when clients require them to agree to accept payment 60 days or more from the date of the invoice, </w:t>
      </w:r>
    </w:p>
    <w:p w14:paraId="304F2255" w14:textId="77777777" w:rsidR="00CA291F" w:rsidRPr="00881BC8" w:rsidRDefault="00CA291F" w:rsidP="004835F8">
      <w:pPr>
        <w:pStyle w:val="ListParagraph"/>
        <w:numPr>
          <w:ilvl w:val="0"/>
          <w:numId w:val="54"/>
        </w:numPr>
        <w:spacing w:before="120" w:after="120" w:line="276" w:lineRule="auto"/>
        <w:rPr>
          <w:noProof/>
        </w:rPr>
      </w:pPr>
      <w:r w:rsidRPr="00881BC8">
        <w:rPr>
          <w:noProof/>
        </w:rPr>
        <w:t>only 7% of SMEs in the SME panel do not agree with a maximum payment term (12% of medium-sized companies),</w:t>
      </w:r>
    </w:p>
    <w:p w14:paraId="66E4D6CA" w14:textId="77777777" w:rsidR="00CA291F" w:rsidRPr="00881BC8" w:rsidRDefault="00CA291F" w:rsidP="004835F8">
      <w:pPr>
        <w:pStyle w:val="ListParagraph"/>
        <w:numPr>
          <w:ilvl w:val="0"/>
          <w:numId w:val="54"/>
        </w:numPr>
        <w:spacing w:before="120" w:after="120" w:line="276" w:lineRule="auto"/>
        <w:rPr>
          <w:noProof/>
        </w:rPr>
      </w:pPr>
      <w:r w:rsidRPr="00881BC8">
        <w:rPr>
          <w:noProof/>
        </w:rPr>
        <w:t xml:space="preserve">83% of SMEs finds that setting a limit on the maximum number of days that can be defined in payment terms for all B2B transactions would be useful (27%) or very useful (56%). </w:t>
      </w:r>
    </w:p>
    <w:p w14:paraId="74110142" w14:textId="3EB961F1" w:rsidR="00CA291F" w:rsidRPr="00881BC8" w:rsidRDefault="00532574" w:rsidP="004835F8">
      <w:pPr>
        <w:pStyle w:val="NormalPara"/>
        <w:rPr>
          <w:noProof/>
          <w:lang w:val="en-GB"/>
        </w:rPr>
      </w:pPr>
      <w:r w:rsidRPr="00881BC8">
        <w:rPr>
          <w:noProof/>
          <w:lang w:val="en-GB"/>
        </w:rPr>
        <w:t>Therefore,</w:t>
      </w:r>
      <w:r w:rsidR="00CA291F" w:rsidRPr="00881BC8">
        <w:rPr>
          <w:noProof/>
          <w:lang w:val="en-GB"/>
        </w:rPr>
        <w:t xml:space="preserve"> we retain that capping payment terms and therefore the deletion of the concept of “grossly unfair”, which are also broadly supported in other consultation activities, would benefit at least 3 out of 4 SMEs of all sizes.</w:t>
      </w:r>
    </w:p>
    <w:p w14:paraId="4B6A472C" w14:textId="30D9C5BF" w:rsidR="00CA291F" w:rsidRPr="00881BC8" w:rsidRDefault="00CA291F" w:rsidP="004835F8">
      <w:pPr>
        <w:pStyle w:val="NormalPara"/>
        <w:rPr>
          <w:noProof/>
          <w:lang w:val="en-GB"/>
        </w:rPr>
      </w:pPr>
      <w:r w:rsidRPr="00881BC8">
        <w:rPr>
          <w:noProof/>
          <w:lang w:val="en-GB"/>
        </w:rPr>
        <w:t xml:space="preserve">Large enterprises are more likely to bear the costs identified in PO1, whereas SMEs are more likely to see the benefits. If we consider the different conditions for large companies and SMEs in accessing finance combined with their overall difference in profitability, </w:t>
      </w:r>
      <w:r w:rsidR="00532574" w:rsidRPr="00881BC8">
        <w:rPr>
          <w:noProof/>
          <w:lang w:val="en-GB"/>
        </w:rPr>
        <w:t>overall,</w:t>
      </w:r>
      <w:r w:rsidRPr="00881BC8">
        <w:rPr>
          <w:noProof/>
          <w:lang w:val="en-GB"/>
        </w:rPr>
        <w:t xml:space="preserve"> a net benefit can be estimated. The majority of non-EU jurisdictions that have adopted prompt payment legislation do not apply the principle of “grossly unfair”.</w:t>
      </w:r>
    </w:p>
    <w:p w14:paraId="4739491D" w14:textId="571DD5D7" w:rsidR="00CA291F" w:rsidRPr="00881BC8" w:rsidRDefault="00CA291F" w:rsidP="004835F8">
      <w:pPr>
        <w:pStyle w:val="NormalPara"/>
        <w:rPr>
          <w:noProof/>
          <w:lang w:val="en-GB"/>
        </w:rPr>
      </w:pPr>
      <w:r w:rsidRPr="00881BC8">
        <w:rPr>
          <w:noProof/>
          <w:lang w:val="en-GB"/>
        </w:rPr>
        <w:t>PO1a (Capping at 30 days): In an optimistic scenario where payment times comply with the terms agreed, reduction of 22.6 days of actual payment duration, or nearly 43%; in a more realistic scenario of proportionally reduced payment times, reduction of 12.4 days or 23.5%. We can estimate that around 41% of SMEs on average will particularly benefit from capping at 30 days, with broader effects on micros (50%)</w:t>
      </w:r>
      <w:r w:rsidR="009867E1" w:rsidRPr="00881BC8">
        <w:rPr>
          <w:rStyle w:val="FootnoteReference"/>
          <w:noProof/>
          <w:lang w:val="en-GB"/>
        </w:rPr>
        <w:footnoteReference w:id="281"/>
      </w:r>
      <w:r w:rsidRPr="00881BC8">
        <w:rPr>
          <w:noProof/>
          <w:lang w:val="en-GB"/>
        </w:rPr>
        <w:t>.</w:t>
      </w:r>
      <w:r w:rsidR="002E552C" w:rsidRPr="00881BC8">
        <w:rPr>
          <w:noProof/>
          <w:lang w:val="en-GB"/>
        </w:rPr>
        <w:t xml:space="preserve"> </w:t>
      </w:r>
      <w:r w:rsidRPr="00881BC8">
        <w:rPr>
          <w:noProof/>
          <w:lang w:val="en-GB"/>
        </w:rPr>
        <w:t>In addition, the effects on negotiation should benefit at least around 33% of SMEs, from different points of view</w:t>
      </w:r>
      <w:r w:rsidR="00532574" w:rsidRPr="00881BC8">
        <w:rPr>
          <w:noProof/>
          <w:lang w:val="en-GB"/>
        </w:rPr>
        <w:t xml:space="preserve"> </w:t>
      </w:r>
      <w:r w:rsidR="00847DFB" w:rsidRPr="00881BC8">
        <w:rPr>
          <w:noProof/>
          <w:lang w:val="en-GB"/>
        </w:rPr>
        <w:t>[list the points of view and the origin of 33% does not show in the footnote]</w:t>
      </w:r>
      <w:r w:rsidR="009867E1" w:rsidRPr="00881BC8">
        <w:rPr>
          <w:rStyle w:val="FootnoteReference"/>
          <w:noProof/>
          <w:lang w:val="en-GB"/>
        </w:rPr>
        <w:footnoteReference w:id="282"/>
      </w:r>
      <w:r w:rsidRPr="00881BC8">
        <w:rPr>
          <w:noProof/>
          <w:lang w:val="en-GB"/>
        </w:rPr>
        <w:t>.</w:t>
      </w:r>
    </w:p>
    <w:p w14:paraId="7BB6A71D" w14:textId="02AF607F" w:rsidR="00CA291F" w:rsidRPr="00881BC8" w:rsidRDefault="00CA291F" w:rsidP="004835F8">
      <w:pPr>
        <w:pStyle w:val="NormalPara"/>
        <w:rPr>
          <w:noProof/>
          <w:lang w:val="en-GB"/>
        </w:rPr>
      </w:pPr>
      <w:r w:rsidRPr="00881BC8">
        <w:rPr>
          <w:noProof/>
          <w:lang w:val="en-GB"/>
        </w:rPr>
        <w:t>PO1b (Capping at 60 days): It would target long payment terms. Currently 14.4% of all companies specify payment terms above 60 days (consistent also with 14.5% in the SME panel). The JRC study on the economic impact of faster payments suggests a 10% increase in cash flow for those companies who currently set payment terms above 60 days.</w:t>
      </w:r>
      <w:r w:rsidR="002E552C" w:rsidRPr="00881BC8">
        <w:rPr>
          <w:noProof/>
          <w:lang w:val="en-GB"/>
        </w:rPr>
        <w:t xml:space="preserve"> </w:t>
      </w:r>
    </w:p>
    <w:p w14:paraId="2935EB9D" w14:textId="5F8158E8" w:rsidR="00CA291F" w:rsidRPr="00881BC8" w:rsidRDefault="00CA291F" w:rsidP="004835F8">
      <w:pPr>
        <w:pStyle w:val="NormalPara"/>
        <w:rPr>
          <w:noProof/>
          <w:lang w:val="en-GB"/>
        </w:rPr>
      </w:pPr>
      <w:r w:rsidRPr="00881BC8">
        <w:rPr>
          <w:noProof/>
          <w:lang w:val="en-GB"/>
        </w:rPr>
        <w:t>We estimate that 35% of SMEs on average will particularly benefit from capping at 60 days, with broader effects on small and medium-sized companies (43%).</w:t>
      </w:r>
      <w:r w:rsidRPr="00881BC8">
        <w:rPr>
          <w:rStyle w:val="FootnoteReference"/>
          <w:noProof/>
          <w:lang w:val="en-GB"/>
        </w:rPr>
        <w:footnoteReference w:id="283"/>
      </w:r>
      <w:r w:rsidR="002E552C" w:rsidRPr="00881BC8">
        <w:rPr>
          <w:noProof/>
          <w:lang w:val="en-GB"/>
        </w:rPr>
        <w:t xml:space="preserve"> </w:t>
      </w:r>
    </w:p>
    <w:p w14:paraId="149CA50E" w14:textId="77777777" w:rsidR="00CA291F" w:rsidRPr="00881BC8" w:rsidRDefault="00CA291F" w:rsidP="004835F8">
      <w:pPr>
        <w:pStyle w:val="NormalPara"/>
        <w:rPr>
          <w:noProof/>
          <w:lang w:val="en-GB"/>
        </w:rPr>
      </w:pPr>
      <w:r w:rsidRPr="00881BC8">
        <w:rPr>
          <w:noProof/>
          <w:lang w:val="en-GB"/>
        </w:rPr>
        <w:t xml:space="preserve">PO1c (Capping at 60 days where the creditor is an SME): benefits will affect a smaller subset of invoices, estimated at 66% of all invoices issued by 14.4% of all companies. </w:t>
      </w:r>
    </w:p>
    <w:p w14:paraId="5874B458" w14:textId="77777777" w:rsidR="00CA291F" w:rsidRPr="00881BC8" w:rsidRDefault="00CA291F" w:rsidP="004835F8">
      <w:pPr>
        <w:pStyle w:val="NormalPara"/>
        <w:rPr>
          <w:noProof/>
          <w:lang w:val="en-GB"/>
        </w:rPr>
      </w:pPr>
      <w:r w:rsidRPr="00881BC8">
        <w:rPr>
          <w:noProof/>
          <w:lang w:val="en-GB"/>
        </w:rPr>
        <w:t>PO1a and PO1c also contain the capping of the verification or acceptance procedure at 30 days, without exception. According to the SME panel, this additional capping would likely benefit between 25% and 66% of SMEs (22-58% for micros, and 27-74% of small and medium-sized companies).</w:t>
      </w:r>
      <w:r w:rsidRPr="00881BC8">
        <w:rPr>
          <w:rStyle w:val="FootnoteReference"/>
          <w:noProof/>
          <w:lang w:val="en-GB"/>
        </w:rPr>
        <w:footnoteReference w:id="284"/>
      </w:r>
    </w:p>
    <w:p w14:paraId="3C0BD263" w14:textId="77777777" w:rsidR="00CA291F" w:rsidRPr="00881BC8" w:rsidRDefault="00CA291F" w:rsidP="004835F8">
      <w:pPr>
        <w:pStyle w:val="NormalPara"/>
        <w:rPr>
          <w:noProof/>
          <w:lang w:val="en-GB"/>
        </w:rPr>
      </w:pPr>
      <w:r w:rsidRPr="00881BC8">
        <w:rPr>
          <w:noProof/>
          <w:lang w:val="en-GB"/>
        </w:rPr>
        <w:t>MS facilitate availability and access of SMEs to credit management tools, financial literacy training and foster the use by SMEs of digital tools for timely payments: access to credit management and financial literacy trainings can provide a direct benefit to SMEs and it has found near-universal support in the stakeholder consultation.</w:t>
      </w:r>
    </w:p>
    <w:p w14:paraId="1AA086E0" w14:textId="77777777" w:rsidR="00CA291F" w:rsidRPr="00881BC8" w:rsidRDefault="00CA291F" w:rsidP="004835F8">
      <w:pPr>
        <w:pStyle w:val="AnnexLevel2"/>
        <w:rPr>
          <w:noProof/>
          <w:lang w:val="en-GB"/>
        </w:rPr>
      </w:pPr>
      <w:r w:rsidRPr="00881BC8">
        <w:rPr>
          <w:noProof/>
          <w:lang w:val="en-GB"/>
        </w:rPr>
        <w:t>POLICY OPTION 2: FOSTER TIMELY PAYMENT</w:t>
      </w:r>
    </w:p>
    <w:p w14:paraId="1B630DD4" w14:textId="26A447CA" w:rsidR="00CA291F" w:rsidRPr="00881BC8" w:rsidRDefault="00CA291F" w:rsidP="004835F8">
      <w:pPr>
        <w:pStyle w:val="NormalPara"/>
        <w:rPr>
          <w:noProof/>
          <w:lang w:val="en-GB"/>
        </w:rPr>
      </w:pPr>
      <w:r w:rsidRPr="00881BC8">
        <w:rPr>
          <w:noProof/>
          <w:lang w:val="en-GB"/>
        </w:rPr>
        <w:t>Making payment of interests automatic (eliminate the concept of “entitlement”) and clarify the “dies ad quem” and making payment of the flat fee compensation automatic: increased compensation fees and automatic payment of interest rates will bring significant benefits to creditors who are paid late and, without changes in payment behaviour, a direct cost to debtors who pay the interest and compensation fees. SMEs</w:t>
      </w:r>
      <w:r w:rsidR="007337E4" w:rsidRPr="00881BC8">
        <w:rPr>
          <w:noProof/>
          <w:lang w:val="en-GB"/>
        </w:rPr>
        <w:t xml:space="preserve"> </w:t>
      </w:r>
      <w:r w:rsidRPr="00881BC8">
        <w:rPr>
          <w:noProof/>
          <w:lang w:val="en-GB"/>
        </w:rPr>
        <w:t xml:space="preserve">will have to pay interest and compensation fees if they pay late. If SMEs find it difficult to enforce interest from larger market players </w:t>
      </w:r>
      <w:r w:rsidR="00D3628F" w:rsidRPr="00881BC8">
        <w:rPr>
          <w:noProof/>
          <w:lang w:val="en-GB"/>
        </w:rPr>
        <w:t xml:space="preserve">and </w:t>
      </w:r>
      <w:r w:rsidR="007337E4" w:rsidRPr="00881BC8">
        <w:rPr>
          <w:noProof/>
          <w:lang w:val="en-GB"/>
        </w:rPr>
        <w:t>must</w:t>
      </w:r>
      <w:r w:rsidRPr="00881BC8">
        <w:rPr>
          <w:noProof/>
          <w:lang w:val="en-GB"/>
        </w:rPr>
        <w:t xml:space="preserve"> pay interest </w:t>
      </w:r>
      <w:r w:rsidR="00D3628F" w:rsidRPr="00881BC8">
        <w:rPr>
          <w:noProof/>
          <w:lang w:val="en-GB"/>
        </w:rPr>
        <w:t xml:space="preserve">for </w:t>
      </w:r>
      <w:r w:rsidRPr="00881BC8">
        <w:rPr>
          <w:noProof/>
          <w:lang w:val="en-GB"/>
        </w:rPr>
        <w:t>pay</w:t>
      </w:r>
      <w:r w:rsidR="00D3628F" w:rsidRPr="00881BC8">
        <w:rPr>
          <w:noProof/>
          <w:lang w:val="en-GB"/>
        </w:rPr>
        <w:t>ing</w:t>
      </w:r>
      <w:r w:rsidRPr="00881BC8">
        <w:rPr>
          <w:noProof/>
          <w:lang w:val="en-GB"/>
        </w:rPr>
        <w:t xml:space="preserve"> late </w:t>
      </w:r>
      <w:r w:rsidR="00D3628F" w:rsidRPr="00881BC8">
        <w:rPr>
          <w:noProof/>
          <w:lang w:val="en-GB"/>
        </w:rPr>
        <w:t xml:space="preserve">themselves, they </w:t>
      </w:r>
      <w:r w:rsidRPr="00881BC8">
        <w:rPr>
          <w:noProof/>
          <w:lang w:val="en-GB"/>
        </w:rPr>
        <w:t>may be more affected by the automatic interest and compensation than large businesses.</w:t>
      </w:r>
    </w:p>
    <w:p w14:paraId="4216384F" w14:textId="63E014DF" w:rsidR="00CA291F" w:rsidRPr="00881BC8" w:rsidRDefault="00CA291F" w:rsidP="004835F8">
      <w:pPr>
        <w:pStyle w:val="NormalPara"/>
        <w:rPr>
          <w:noProof/>
          <w:lang w:val="en-GB"/>
        </w:rPr>
      </w:pPr>
      <w:r w:rsidRPr="00881BC8">
        <w:rPr>
          <w:noProof/>
          <w:lang w:val="en-GB"/>
        </w:rPr>
        <w:t>54% of companies say they never ask for interest, and a further 26% only sometimes ask for the compensation.</w:t>
      </w:r>
      <w:r w:rsidRPr="00881BC8">
        <w:rPr>
          <w:rStyle w:val="FootnoteReference"/>
          <w:noProof/>
          <w:lang w:val="en-GB"/>
        </w:rPr>
        <w:footnoteReference w:id="285"/>
      </w:r>
      <w:r w:rsidRPr="00881BC8">
        <w:rPr>
          <w:noProof/>
          <w:lang w:val="en-GB"/>
        </w:rPr>
        <w:t xml:space="preserve"> 80% of SMEs never receive automatically interest or compensation, 8.5% rarely and only 1% often.</w:t>
      </w:r>
      <w:r w:rsidRPr="00881BC8">
        <w:rPr>
          <w:rStyle w:val="FootnoteReference"/>
          <w:noProof/>
          <w:lang w:val="en-GB"/>
        </w:rPr>
        <w:footnoteReference w:id="286"/>
      </w:r>
      <w:r w:rsidRPr="00881BC8">
        <w:rPr>
          <w:noProof/>
          <w:lang w:val="en-GB"/>
        </w:rPr>
        <w:t xml:space="preserve"> Annex 4 estimates that in 66% of invoices the creditor in an SME (43% micros, 13% small 10% medium) while in 34% of invoices the creditor is a large company. Only 4% of SMEs have all their invoices paid on time, while 94% have invoices paid late.</w:t>
      </w:r>
      <w:r w:rsidRPr="00881BC8">
        <w:rPr>
          <w:rStyle w:val="FootnoteReference"/>
          <w:noProof/>
          <w:lang w:val="en-GB"/>
        </w:rPr>
        <w:footnoteReference w:id="287"/>
      </w:r>
      <w:r w:rsidRPr="00881BC8">
        <w:rPr>
          <w:noProof/>
          <w:lang w:val="en-GB"/>
        </w:rPr>
        <w:t xml:space="preserve"> Even under automatic payment, it would be unrealistic to assume 100% of interest is being successfully paid out. Companies may still not seek redress if their debtor does not pay interest or compensation fees</w:t>
      </w:r>
      <w:r w:rsidRPr="00881BC8">
        <w:rPr>
          <w:rStyle w:val="FootnoteReference"/>
          <w:noProof/>
          <w:lang w:val="en-GB"/>
        </w:rPr>
        <w:footnoteReference w:id="288"/>
      </w:r>
      <w:r w:rsidRPr="00881BC8">
        <w:rPr>
          <w:noProof/>
          <w:lang w:val="en-GB"/>
        </w:rPr>
        <w:t xml:space="preserve">. 77% of SMEs supported banning practices and clauses that oblige creditors to waive their rights to late payment interest and compensation in exchange for immediate payment. It is difficult to estimate what percentage of SMEs would benefit from this option, but while it will benefit creditors of all sizes, (without changes in payment behaviour) its costs could affect more the companies that are more likely to be late payers (large, but also small and medium companies). To be noted that several non-EU jurisdictions that have adopted prompt payment legislation apply automatic interest (see </w:t>
      </w:r>
      <w:r w:rsidR="001B27ED" w:rsidRPr="00881BC8">
        <w:rPr>
          <w:noProof/>
          <w:highlight w:val="yellow"/>
          <w:lang w:val="en-GB"/>
        </w:rPr>
        <w:fldChar w:fldCharType="begin"/>
      </w:r>
      <w:r w:rsidR="001B27ED" w:rsidRPr="00881BC8">
        <w:rPr>
          <w:noProof/>
          <w:lang w:val="en-GB"/>
        </w:rPr>
        <w:instrText xml:space="preserve"> REF Annex18 \h </w:instrText>
      </w:r>
      <w:r w:rsidR="008E0F5E" w:rsidRPr="00881BC8">
        <w:rPr>
          <w:noProof/>
          <w:highlight w:val="yellow"/>
          <w:lang w:val="en-GB"/>
        </w:rPr>
        <w:instrText xml:space="preserve"> \* MERGEFORMAT </w:instrText>
      </w:r>
      <w:r w:rsidR="001B27ED" w:rsidRPr="00881BC8">
        <w:rPr>
          <w:noProof/>
          <w:highlight w:val="yellow"/>
          <w:lang w:val="en-GB"/>
        </w:rPr>
      </w:r>
      <w:r w:rsidR="001B27ED" w:rsidRPr="00881BC8">
        <w:rPr>
          <w:noProof/>
          <w:highlight w:val="yellow"/>
          <w:lang w:val="en-GB"/>
        </w:rPr>
        <w:fldChar w:fldCharType="separate"/>
      </w:r>
      <w:r w:rsidR="005851F4" w:rsidRPr="005851F4">
        <w:rPr>
          <w:noProof/>
          <w:lang w:val="en-GB"/>
        </w:rPr>
        <w:t>Annex 18</w:t>
      </w:r>
      <w:r w:rsidR="001B27ED" w:rsidRPr="00881BC8">
        <w:rPr>
          <w:noProof/>
          <w:highlight w:val="yellow"/>
          <w:lang w:val="en-GB"/>
        </w:rPr>
        <w:fldChar w:fldCharType="end"/>
      </w:r>
      <w:r w:rsidRPr="00881BC8">
        <w:rPr>
          <w:noProof/>
          <w:lang w:val="en-GB"/>
        </w:rPr>
        <w:t>).</w:t>
      </w:r>
    </w:p>
    <w:p w14:paraId="697B14AD" w14:textId="0B7216F0" w:rsidR="00CA291F" w:rsidRPr="00881BC8" w:rsidRDefault="00CA291F" w:rsidP="004835F8">
      <w:pPr>
        <w:pStyle w:val="NormalPara"/>
        <w:rPr>
          <w:noProof/>
          <w:lang w:val="en-GB"/>
        </w:rPr>
      </w:pPr>
      <w:r w:rsidRPr="00881BC8">
        <w:rPr>
          <w:noProof/>
          <w:lang w:val="en-GB"/>
        </w:rPr>
        <w:t xml:space="preserve">PO2a (enforcement bodies empowered to issue administrative sanctions and publish the name of offenders): </w:t>
      </w:r>
      <w:r w:rsidR="00AB3715" w:rsidRPr="00881BC8">
        <w:rPr>
          <w:noProof/>
          <w:lang w:val="en-GB"/>
        </w:rPr>
        <w:t xml:space="preserve">In </w:t>
      </w:r>
      <w:r w:rsidRPr="00881BC8">
        <w:rPr>
          <w:noProof/>
          <w:lang w:val="en-GB"/>
        </w:rPr>
        <w:t xml:space="preserve">France </w:t>
      </w:r>
      <w:r w:rsidR="00AB3715" w:rsidRPr="00881BC8">
        <w:rPr>
          <w:noProof/>
          <w:lang w:val="en-GB"/>
        </w:rPr>
        <w:t xml:space="preserve">it has been </w:t>
      </w:r>
      <w:r w:rsidRPr="00881BC8">
        <w:rPr>
          <w:noProof/>
          <w:lang w:val="en-GB"/>
        </w:rPr>
        <w:t xml:space="preserve">estimated that, since the introduction of the enforcement body, average payment delays </w:t>
      </w:r>
      <w:r w:rsidR="00AB3715" w:rsidRPr="00881BC8">
        <w:rPr>
          <w:noProof/>
          <w:lang w:val="en-GB"/>
        </w:rPr>
        <w:t xml:space="preserve">have been </w:t>
      </w:r>
      <w:r w:rsidRPr="00881BC8">
        <w:rPr>
          <w:noProof/>
          <w:lang w:val="en-GB"/>
        </w:rPr>
        <w:t xml:space="preserve">reduced by 17.8%. This option would mostly benefit companies that are more frequently </w:t>
      </w:r>
      <w:r w:rsidR="00AB3715" w:rsidRPr="00881BC8">
        <w:rPr>
          <w:noProof/>
          <w:lang w:val="en-GB"/>
        </w:rPr>
        <w:t>paid</w:t>
      </w:r>
      <w:r w:rsidRPr="00881BC8">
        <w:rPr>
          <w:noProof/>
          <w:lang w:val="en-GB"/>
        </w:rPr>
        <w:t xml:space="preserve"> late. We cannot find a clear correlation with the size of the SME; small companies seem to be those whose invoices are most likely to be </w:t>
      </w:r>
      <w:r w:rsidR="0070284C" w:rsidRPr="00881BC8">
        <w:rPr>
          <w:noProof/>
          <w:lang w:val="en-GB"/>
        </w:rPr>
        <w:t>paid</w:t>
      </w:r>
      <w:r w:rsidRPr="00881BC8">
        <w:rPr>
          <w:noProof/>
          <w:lang w:val="en-GB"/>
        </w:rPr>
        <w:t xml:space="preserve"> late</w:t>
      </w:r>
      <w:r w:rsidRPr="00881BC8">
        <w:rPr>
          <w:rStyle w:val="FootnoteReference"/>
          <w:noProof/>
          <w:lang w:val="en-GB"/>
        </w:rPr>
        <w:footnoteReference w:id="289"/>
      </w:r>
      <w:r w:rsidRPr="00881BC8">
        <w:rPr>
          <w:noProof/>
          <w:lang w:val="en-GB"/>
        </w:rPr>
        <w:t xml:space="preserve"> and at the same time small and medium-sized companies are those more likely to be found late payers by SMEs. Potential fines to firms paying late </w:t>
      </w:r>
      <w:r w:rsidR="00AE6484" w:rsidRPr="00881BC8">
        <w:rPr>
          <w:noProof/>
          <w:lang w:val="en-GB"/>
        </w:rPr>
        <w:t>are</w:t>
      </w:r>
      <w:r w:rsidRPr="00881BC8">
        <w:rPr>
          <w:noProof/>
          <w:lang w:val="en-GB"/>
        </w:rPr>
        <w:t xml:space="preserve"> estimated at EUR 136.8 million per year. Given that the likelihood of paying late increases with the size of the company, especially micros should be less affected by this option in terms of costs. </w:t>
      </w:r>
    </w:p>
    <w:p w14:paraId="31D512DB" w14:textId="77777777" w:rsidR="00CA291F" w:rsidRPr="00881BC8" w:rsidRDefault="00CA291F" w:rsidP="004835F8">
      <w:pPr>
        <w:pStyle w:val="NormalPara"/>
        <w:rPr>
          <w:noProof/>
          <w:lang w:val="en-GB"/>
        </w:rPr>
      </w:pPr>
      <w:r w:rsidRPr="00881BC8">
        <w:rPr>
          <w:noProof/>
          <w:lang w:val="en-GB"/>
        </w:rPr>
        <w:t>PO2b (enforcement bodies responsible for monitoring implementation): compared to PO2a, this option will reduce benefits for businesses that are paid late as the deterrent effect is much lower here than in PO2a, but will also lower additional costs for late payers (mainly large companies and small and medium companies).</w:t>
      </w:r>
    </w:p>
    <w:p w14:paraId="56412583" w14:textId="77777777" w:rsidR="00CA291F" w:rsidRPr="00881BC8" w:rsidRDefault="00CA291F" w:rsidP="004835F8">
      <w:pPr>
        <w:pStyle w:val="NormalPara"/>
        <w:rPr>
          <w:noProof/>
          <w:lang w:val="en-GB"/>
        </w:rPr>
      </w:pPr>
      <w:r w:rsidRPr="00881BC8">
        <w:rPr>
          <w:noProof/>
          <w:lang w:val="en-GB"/>
        </w:rPr>
        <w:t>PO2 also includes:</w:t>
      </w:r>
    </w:p>
    <w:p w14:paraId="1C48F725" w14:textId="60E2929F" w:rsidR="00CA291F" w:rsidRPr="00881BC8" w:rsidRDefault="00CA291F" w:rsidP="004835F8">
      <w:pPr>
        <w:pStyle w:val="ListParagraph"/>
        <w:numPr>
          <w:ilvl w:val="0"/>
          <w:numId w:val="55"/>
        </w:numPr>
        <w:spacing w:before="120" w:after="120" w:line="276" w:lineRule="auto"/>
        <w:rPr>
          <w:iCs/>
          <w:noProof/>
        </w:rPr>
      </w:pPr>
      <w:r w:rsidRPr="00881BC8">
        <w:rPr>
          <w:iCs/>
          <w:noProof/>
        </w:rPr>
        <w:t xml:space="preserve">Ensuring that subcontractors in public tenders are paid promptly: this option is supported by 57% of stakeholders, including business associations and direct responses from businesses. Contractors of above EU thresholds works contracts will have to show that they have paid their own subcontractors on time; 73% of those contractors are estimated to be SMEs, accounting for 26% of aggregated value (which shifts to 51% if awards above </w:t>
      </w:r>
      <w:r w:rsidR="00ED301F" w:rsidRPr="00881BC8">
        <w:rPr>
          <w:iCs/>
          <w:noProof/>
        </w:rPr>
        <w:t>EUR </w:t>
      </w:r>
      <w:r w:rsidRPr="00881BC8">
        <w:rPr>
          <w:iCs/>
          <w:noProof/>
        </w:rPr>
        <w:t>100 million are excluded).</w:t>
      </w:r>
      <w:r w:rsidRPr="00881BC8">
        <w:rPr>
          <w:rStyle w:val="FootnoteReference"/>
          <w:iCs/>
          <w:noProof/>
        </w:rPr>
        <w:footnoteReference w:id="290"/>
      </w:r>
      <w:r w:rsidRPr="00881BC8">
        <w:rPr>
          <w:iCs/>
          <w:noProof/>
        </w:rPr>
        <w:t xml:space="preserve"> In general, as the contract value increases, the share won by SMEs decreases.</w:t>
      </w:r>
      <w:r w:rsidRPr="00881BC8">
        <w:rPr>
          <w:rStyle w:val="FootnoteReference"/>
          <w:iCs/>
          <w:noProof/>
        </w:rPr>
        <w:footnoteReference w:id="291"/>
      </w:r>
      <w:r w:rsidRPr="00881BC8">
        <w:rPr>
          <w:iCs/>
          <w:noProof/>
        </w:rPr>
        <w:t xml:space="preserve"> Enterprises in the construction industry are generally engaged in a subcontracting relationship to a relatively high share (45%) compared to other sectors (26% as main contractors and 28% as subcontractors).</w:t>
      </w:r>
      <w:r w:rsidRPr="00881BC8">
        <w:rPr>
          <w:rStyle w:val="FootnoteReference"/>
          <w:iCs/>
          <w:noProof/>
        </w:rPr>
        <w:footnoteReference w:id="292"/>
      </w:r>
      <w:r w:rsidRPr="00881BC8">
        <w:rPr>
          <w:iCs/>
          <w:noProof/>
        </w:rPr>
        <w:t xml:space="preserve"> Therefore, while 73% of companies that fall into the scope of this option are likely SMEs, we estimate that only 20% of SMEs that are main contractors would likely bear its costs. On the benefits’ side, 49% of aggregated value of these public contracts goes to SMEs. To be noted that rules exist or are being introduced in other non-EU jurisdictions to specifically improve the timing of payments in the supply chain of the construction sector, especially for public contracts - with the objective of also decreasing the overall cost of public works for the tax-payer (see also </w:t>
      </w:r>
      <w:r w:rsidR="005A6802" w:rsidRPr="00881BC8">
        <w:rPr>
          <w:iCs/>
          <w:noProof/>
        </w:rPr>
        <w:fldChar w:fldCharType="begin"/>
      </w:r>
      <w:r w:rsidR="005A6802" w:rsidRPr="00881BC8">
        <w:rPr>
          <w:iCs/>
          <w:noProof/>
        </w:rPr>
        <w:instrText xml:space="preserve"> REF Annex18 \h  \* MERGEFORMAT </w:instrText>
      </w:r>
      <w:r w:rsidR="005A6802" w:rsidRPr="00881BC8">
        <w:rPr>
          <w:iCs/>
          <w:noProof/>
        </w:rPr>
      </w:r>
      <w:r w:rsidR="005A6802" w:rsidRPr="00881BC8">
        <w:rPr>
          <w:iCs/>
          <w:noProof/>
        </w:rPr>
        <w:fldChar w:fldCharType="separate"/>
      </w:r>
      <w:r w:rsidR="005851F4" w:rsidRPr="005851F4">
        <w:rPr>
          <w:iCs/>
          <w:noProof/>
        </w:rPr>
        <w:t>Annex 18</w:t>
      </w:r>
      <w:r w:rsidR="005A6802" w:rsidRPr="00881BC8">
        <w:rPr>
          <w:iCs/>
          <w:noProof/>
        </w:rPr>
        <w:fldChar w:fldCharType="end"/>
      </w:r>
      <w:r w:rsidRPr="00881BC8">
        <w:rPr>
          <w:iCs/>
          <w:noProof/>
        </w:rPr>
        <w:t>).</w:t>
      </w:r>
    </w:p>
    <w:p w14:paraId="363E1724" w14:textId="77777777" w:rsidR="00CA291F" w:rsidRPr="00881BC8" w:rsidRDefault="00CA291F" w:rsidP="004835F8">
      <w:pPr>
        <w:pStyle w:val="ListParagraph"/>
        <w:numPr>
          <w:ilvl w:val="0"/>
          <w:numId w:val="55"/>
        </w:numPr>
        <w:spacing w:before="120" w:after="120" w:line="276" w:lineRule="auto"/>
        <w:rPr>
          <w:iCs/>
          <w:noProof/>
        </w:rPr>
      </w:pPr>
      <w:r w:rsidRPr="00881BC8">
        <w:rPr>
          <w:iCs/>
          <w:noProof/>
        </w:rPr>
        <w:t>Adapting the compensation fee: Some standard one-off adjustment cost will fall on all businesses with a total cost of EUR 243 million for the EU-27. There are no specific considerations linked to the size of the business in terms of costs. Benefits will be mostly felt by the same companies identified for PO2a and PO2b.</w:t>
      </w:r>
    </w:p>
    <w:p w14:paraId="3A9A96BF" w14:textId="77777777" w:rsidR="00CA291F" w:rsidRPr="00881BC8" w:rsidRDefault="00CA291F" w:rsidP="004835F8">
      <w:pPr>
        <w:pStyle w:val="AnnexLevel2"/>
        <w:rPr>
          <w:noProof/>
          <w:lang w:val="en-GB"/>
        </w:rPr>
      </w:pPr>
      <w:r w:rsidRPr="00881BC8">
        <w:rPr>
          <w:noProof/>
          <w:lang w:val="en-GB"/>
        </w:rPr>
        <w:t>POLICY OPTION 3: EMPOWERING SMES AND ENSURING MORE FAIRNESS IN BUSINESS TRANSACTIONS</w:t>
      </w:r>
    </w:p>
    <w:p w14:paraId="5795E445" w14:textId="77777777" w:rsidR="00CA291F" w:rsidRPr="00881BC8" w:rsidRDefault="00CA291F" w:rsidP="004835F8">
      <w:pPr>
        <w:pStyle w:val="NormalPara"/>
        <w:rPr>
          <w:noProof/>
          <w:lang w:val="en-GB"/>
        </w:rPr>
      </w:pPr>
      <w:r w:rsidRPr="00881BC8">
        <w:rPr>
          <w:noProof/>
          <w:lang w:val="en-GB"/>
        </w:rPr>
        <w:t>The main benefits to businesses for PO3 come from reduced enforcement costs to chase late payments, which are estimated between 5 and 10% of total administrative work for an SME. It is difficult to quantify how much of this is down to litigation costs in the courts. The measures under this Policy Option are particularly targeted at SMEs. It is usually SMEs that avoid going to court, for lack of financial means or fear of jeopardising business relationships, and SMEs are therefore most likely to benefit from mediation services or a national payment envoy.</w:t>
      </w:r>
    </w:p>
    <w:p w14:paraId="2C62FE77" w14:textId="345FBAFF" w:rsidR="00CA291F" w:rsidRPr="00881BC8" w:rsidRDefault="00CA291F" w:rsidP="004835F8">
      <w:pPr>
        <w:pStyle w:val="NormalPara"/>
        <w:rPr>
          <w:noProof/>
          <w:lang w:val="en-GB"/>
        </w:rPr>
      </w:pPr>
      <w:r w:rsidRPr="00881BC8">
        <w:rPr>
          <w:noProof/>
          <w:lang w:val="en-GB"/>
        </w:rPr>
        <w:t>PO3 will provide the smallest direct reduction of payment delays, as it targets only those payments that are already late and focuses on helping the creditors recover their debts. The costs to businesses under this option are relatively limited, as all parties benefit from mediation services and clear definitions of unfair practices; even debtors will have reduced costs if cases go to a mediation system rather than to court.</w:t>
      </w:r>
      <w:r w:rsidR="002E552C" w:rsidRPr="00881BC8">
        <w:rPr>
          <w:noProof/>
          <w:lang w:val="en-GB"/>
        </w:rPr>
        <w:t xml:space="preserve"> </w:t>
      </w:r>
    </w:p>
    <w:p w14:paraId="6CC8D513" w14:textId="77777777" w:rsidR="00CA291F" w:rsidRPr="00881BC8" w:rsidRDefault="00CA291F" w:rsidP="004835F8">
      <w:pPr>
        <w:pStyle w:val="NormalPara"/>
        <w:rPr>
          <w:noProof/>
          <w:lang w:val="en-GB"/>
        </w:rPr>
      </w:pPr>
      <w:r w:rsidRPr="00881BC8">
        <w:rPr>
          <w:noProof/>
          <w:lang w:val="en-GB"/>
        </w:rPr>
        <w:t>PO3a (National Payment Envoy): the intervention of a Payment Envoy could lead to around EUR 2.6 million in recovered debt across the EU-27. It would very likely benefit mainly SMEs; it is supported by 65% of SMEs in the SME panel (less supported by bigger SMEs and when large companies are those that mostly pay late).</w:t>
      </w:r>
    </w:p>
    <w:p w14:paraId="6FA31C6E" w14:textId="3BE296E1" w:rsidR="00CA291F" w:rsidRPr="00881BC8" w:rsidRDefault="00CA291F" w:rsidP="004835F8">
      <w:pPr>
        <w:pStyle w:val="NormalPara"/>
        <w:rPr>
          <w:noProof/>
          <w:lang w:val="en-GB"/>
        </w:rPr>
      </w:pPr>
      <w:r w:rsidRPr="00881BC8">
        <w:rPr>
          <w:noProof/>
          <w:lang w:val="en-GB"/>
        </w:rPr>
        <w:t xml:space="preserve">PO3b (national mediation system): this option would more directly lead to monetary benefits for those businesses that currently rely on court litigation, and on access to dispute resolution for those businesses that currently avoid going to courts to recover unpaid debt. This Policy Option might lead to a total reduction of payment delays by 5.5%. Total enforcement cost savings could amount to nearly EUR 27 million (taking into account a 70% success rate). Currently, relatively few SMEs use mediation or arbitration services (in the SME Panel, only 7.4% of SMEs stated they used mediation the last time they were paid late, and only 3% used arbitration), but this is largely </w:t>
      </w:r>
      <w:r w:rsidR="00BF6105" w:rsidRPr="00881BC8">
        <w:rPr>
          <w:noProof/>
          <w:lang w:val="en-GB"/>
        </w:rPr>
        <w:t>because</w:t>
      </w:r>
      <w:r w:rsidRPr="00881BC8">
        <w:rPr>
          <w:noProof/>
          <w:lang w:val="en-GB"/>
        </w:rPr>
        <w:t xml:space="preserve"> mediation services are not widespread. A national system of mediation is likely to make </w:t>
      </w:r>
      <w:r w:rsidR="00BF6105" w:rsidRPr="00881BC8">
        <w:rPr>
          <w:noProof/>
          <w:lang w:val="en-GB"/>
        </w:rPr>
        <w:t xml:space="preserve">it </w:t>
      </w:r>
      <w:r w:rsidRPr="00881BC8">
        <w:rPr>
          <w:noProof/>
          <w:lang w:val="en-GB"/>
        </w:rPr>
        <w:t xml:space="preserve">more accessible to SMEs. To be noted that several non-EU jurisdictions have introduced or are considering introducing prompt payment legislation for the construction sector that includes arbitration (see </w:t>
      </w:r>
      <w:r w:rsidR="005A5C48" w:rsidRPr="00881BC8">
        <w:rPr>
          <w:noProof/>
          <w:highlight w:val="yellow"/>
          <w:lang w:val="en-GB"/>
        </w:rPr>
        <w:fldChar w:fldCharType="begin"/>
      </w:r>
      <w:r w:rsidR="005A5C48" w:rsidRPr="00881BC8">
        <w:rPr>
          <w:noProof/>
          <w:lang w:val="en-GB"/>
        </w:rPr>
        <w:instrText xml:space="preserve"> REF Annex18 \h </w:instrText>
      </w:r>
      <w:r w:rsidR="008E0F5E" w:rsidRPr="00881BC8">
        <w:rPr>
          <w:noProof/>
          <w:highlight w:val="yellow"/>
          <w:lang w:val="en-GB"/>
        </w:rPr>
        <w:instrText xml:space="preserve"> \* MERGEFORMAT </w:instrText>
      </w:r>
      <w:r w:rsidR="005A5C48" w:rsidRPr="00881BC8">
        <w:rPr>
          <w:noProof/>
          <w:highlight w:val="yellow"/>
          <w:lang w:val="en-GB"/>
        </w:rPr>
      </w:r>
      <w:r w:rsidR="005A5C48" w:rsidRPr="00881BC8">
        <w:rPr>
          <w:noProof/>
          <w:highlight w:val="yellow"/>
          <w:lang w:val="en-GB"/>
        </w:rPr>
        <w:fldChar w:fldCharType="separate"/>
      </w:r>
      <w:r w:rsidR="005851F4" w:rsidRPr="005851F4">
        <w:rPr>
          <w:noProof/>
          <w:lang w:val="en-GB"/>
        </w:rPr>
        <w:t>Annex 18</w:t>
      </w:r>
      <w:r w:rsidR="005A5C48" w:rsidRPr="00881BC8">
        <w:rPr>
          <w:noProof/>
          <w:highlight w:val="yellow"/>
          <w:lang w:val="en-GB"/>
        </w:rPr>
        <w:fldChar w:fldCharType="end"/>
      </w:r>
      <w:r w:rsidRPr="00881BC8">
        <w:rPr>
          <w:noProof/>
          <w:lang w:val="en-GB"/>
        </w:rPr>
        <w:t>).</w:t>
      </w:r>
    </w:p>
    <w:p w14:paraId="4B1F2E51" w14:textId="2CE9D5D0" w:rsidR="00CA291F" w:rsidRPr="00881BC8" w:rsidRDefault="00CA291F" w:rsidP="004835F8">
      <w:pPr>
        <w:pStyle w:val="NormalPara"/>
        <w:rPr>
          <w:noProof/>
          <w:lang w:val="en-GB"/>
        </w:rPr>
      </w:pPr>
      <w:r w:rsidRPr="00881BC8">
        <w:rPr>
          <w:noProof/>
          <w:lang w:val="en-GB"/>
        </w:rPr>
        <w:t>PO3 also include</w:t>
      </w:r>
      <w:r w:rsidR="002A1595" w:rsidRPr="00881BC8">
        <w:rPr>
          <w:noProof/>
          <w:lang w:val="en-GB"/>
        </w:rPr>
        <w:t>s</w:t>
      </w:r>
      <w:r w:rsidRPr="00881BC8">
        <w:rPr>
          <w:noProof/>
          <w:lang w:val="en-GB"/>
        </w:rPr>
        <w:t xml:space="preserve"> </w:t>
      </w:r>
      <w:r w:rsidR="002A1595" w:rsidRPr="00881BC8">
        <w:rPr>
          <w:noProof/>
          <w:lang w:val="en-GB"/>
        </w:rPr>
        <w:t xml:space="preserve">an </w:t>
      </w:r>
      <w:r w:rsidRPr="00881BC8">
        <w:rPr>
          <w:noProof/>
          <w:lang w:val="en-GB"/>
        </w:rPr>
        <w:t xml:space="preserve">option, which </w:t>
      </w:r>
      <w:r w:rsidR="002A1595" w:rsidRPr="00881BC8">
        <w:rPr>
          <w:noProof/>
          <w:lang w:val="en-GB"/>
        </w:rPr>
        <w:t xml:space="preserve">is </w:t>
      </w:r>
      <w:r w:rsidRPr="00881BC8">
        <w:rPr>
          <w:noProof/>
          <w:lang w:val="en-GB"/>
        </w:rPr>
        <w:t>beneficial for SMEs</w:t>
      </w:r>
      <w:r w:rsidR="002A1595" w:rsidRPr="00881BC8">
        <w:rPr>
          <w:noProof/>
          <w:lang w:val="en-GB"/>
        </w:rPr>
        <w:t>, to</w:t>
      </w:r>
      <w:r w:rsidRPr="00881BC8">
        <w:rPr>
          <w:noProof/>
          <w:lang w:val="en-GB"/>
        </w:rPr>
        <w:t xml:space="preserve"> request Member States to specifically address the question of unfair contractual terms and practices through their applicable national law. Time and cost saving for the creditor would translate directly into a cost for the debtor who has to prove the clause or practice is not unfair. </w:t>
      </w:r>
    </w:p>
    <w:p w14:paraId="0640AF99" w14:textId="60678959" w:rsidR="00CA291F" w:rsidRPr="00881BC8" w:rsidRDefault="00CA291F" w:rsidP="008152E0">
      <w:pPr>
        <w:pStyle w:val="ListParagraph"/>
        <w:spacing w:before="120" w:after="120" w:line="276" w:lineRule="auto"/>
        <w:rPr>
          <w:noProof/>
          <w:highlight w:val="red"/>
        </w:rPr>
      </w:pPr>
    </w:p>
    <w:p w14:paraId="7A9D2FB5" w14:textId="77777777" w:rsidR="00CA291F" w:rsidRPr="00881BC8" w:rsidRDefault="00CA291F" w:rsidP="004835F8">
      <w:pPr>
        <w:pStyle w:val="AnnexLevel1"/>
        <w:rPr>
          <w:noProof/>
          <w:lang w:val="en-GB"/>
        </w:rPr>
      </w:pPr>
      <w:r w:rsidRPr="00881BC8">
        <w:rPr>
          <w:noProof/>
          <w:lang w:val="en-GB"/>
        </w:rPr>
        <w:t>Step 4/4: Minimising negative impacts on SMEs</w:t>
      </w:r>
    </w:p>
    <w:p w14:paraId="6E2B3C46" w14:textId="7A2D308D" w:rsidR="00036987" w:rsidRPr="00881BC8" w:rsidRDefault="008B2B07" w:rsidP="004835F8">
      <w:pPr>
        <w:pStyle w:val="NormalPara"/>
        <w:rPr>
          <w:noProof/>
          <w:highlight w:val="lightGray"/>
          <w:lang w:val="en-GB"/>
        </w:rPr>
      </w:pPr>
      <w:r w:rsidRPr="00881BC8">
        <w:rPr>
          <w:noProof/>
          <w:highlight w:val="lightGray"/>
          <w:lang w:val="en-GB"/>
        </w:rPr>
        <w:t>Policy options in this proposal have been designed with SMEs in mind.</w:t>
      </w:r>
      <w:r w:rsidR="00036987" w:rsidRPr="00881BC8">
        <w:rPr>
          <w:noProof/>
          <w:highlight w:val="lightGray"/>
          <w:lang w:val="en-GB"/>
        </w:rPr>
        <w:br w:type="page"/>
      </w:r>
    </w:p>
    <w:p w14:paraId="3D034CC8" w14:textId="33BBDEA9" w:rsidR="001D088C" w:rsidRPr="00881BC8" w:rsidRDefault="00036987" w:rsidP="00CF2B67">
      <w:pPr>
        <w:pStyle w:val="AnnexTitle"/>
        <w:rPr>
          <w:noProof/>
        </w:rPr>
      </w:pPr>
      <w:bookmarkStart w:id="1078" w:name="Annex16"/>
      <w:bookmarkStart w:id="1079" w:name="_Toc135237465"/>
      <w:r w:rsidRPr="00881BC8">
        <w:rPr>
          <w:noProof/>
        </w:rPr>
        <w:t>Annex 16</w:t>
      </w:r>
      <w:bookmarkEnd w:id="1078"/>
      <w:r w:rsidRPr="00881BC8">
        <w:rPr>
          <w:noProof/>
        </w:rPr>
        <w:t>:</w:t>
      </w:r>
      <w:bookmarkStart w:id="1080" w:name="_Toc126870480"/>
      <w:bookmarkStart w:id="1081" w:name="_Toc126873063"/>
      <w:bookmarkStart w:id="1082" w:name="_Toc126919410"/>
      <w:bookmarkStart w:id="1083" w:name="_Toc126919865"/>
      <w:bookmarkStart w:id="1084" w:name="_Toc126928458"/>
      <w:bookmarkStart w:id="1085" w:name="_Toc126930835"/>
      <w:r w:rsidR="001D088C" w:rsidRPr="00881BC8">
        <w:rPr>
          <w:noProof/>
        </w:rPr>
        <w:t xml:space="preserve"> Results of the SME panel consultation on </w:t>
      </w:r>
      <w:bookmarkEnd w:id="1080"/>
      <w:bookmarkEnd w:id="1081"/>
      <w:bookmarkEnd w:id="1082"/>
      <w:bookmarkEnd w:id="1083"/>
      <w:bookmarkEnd w:id="1084"/>
      <w:bookmarkEnd w:id="1085"/>
      <w:r w:rsidR="00955A45" w:rsidRPr="00881BC8">
        <w:rPr>
          <w:noProof/>
        </w:rPr>
        <w:t>t</w:t>
      </w:r>
      <w:r w:rsidR="001D088C" w:rsidRPr="00881BC8">
        <w:rPr>
          <w:noProof/>
        </w:rPr>
        <w:t xml:space="preserve">he </w:t>
      </w:r>
      <w:r w:rsidR="00955A45" w:rsidRPr="00881BC8">
        <w:rPr>
          <w:noProof/>
        </w:rPr>
        <w:t>r</w:t>
      </w:r>
      <w:r w:rsidR="001D088C" w:rsidRPr="00881BC8">
        <w:rPr>
          <w:noProof/>
        </w:rPr>
        <w:t>evision of the Late Payment Directive</w:t>
      </w:r>
      <w:bookmarkEnd w:id="1079"/>
    </w:p>
    <w:p w14:paraId="42A55F0F" w14:textId="77777777" w:rsidR="001D088C" w:rsidRPr="00881BC8" w:rsidRDefault="001D088C" w:rsidP="004835F8">
      <w:pPr>
        <w:pStyle w:val="AnnexLevel1"/>
        <w:rPr>
          <w:noProof/>
          <w:lang w:val="en-GB"/>
        </w:rPr>
      </w:pPr>
      <w:bookmarkStart w:id="1086" w:name="_Toc114137232"/>
      <w:bookmarkStart w:id="1087" w:name="_Toc126870481"/>
      <w:bookmarkStart w:id="1088" w:name="_Toc126873064"/>
      <w:bookmarkStart w:id="1089" w:name="_Toc126916965"/>
      <w:bookmarkStart w:id="1090" w:name="_Toc126919411"/>
      <w:bookmarkStart w:id="1091" w:name="_Toc126919866"/>
      <w:bookmarkStart w:id="1092" w:name="_Toc126928459"/>
      <w:bookmarkStart w:id="1093" w:name="_Toc126930836"/>
      <w:r w:rsidRPr="00881BC8">
        <w:rPr>
          <w:noProof/>
          <w:lang w:val="en-GB"/>
        </w:rPr>
        <w:t>Background</w:t>
      </w:r>
      <w:bookmarkEnd w:id="1086"/>
      <w:bookmarkEnd w:id="1087"/>
      <w:bookmarkEnd w:id="1088"/>
      <w:bookmarkEnd w:id="1089"/>
      <w:bookmarkEnd w:id="1090"/>
      <w:bookmarkEnd w:id="1091"/>
      <w:bookmarkEnd w:id="1092"/>
      <w:bookmarkEnd w:id="1093"/>
    </w:p>
    <w:p w14:paraId="5D3CAA73" w14:textId="77777777" w:rsidR="001D088C" w:rsidRPr="00881BC8" w:rsidRDefault="001D088C" w:rsidP="004835F8">
      <w:pPr>
        <w:pStyle w:val="NormalPara"/>
        <w:rPr>
          <w:noProof/>
          <w:lang w:val="en-GB"/>
        </w:rPr>
      </w:pPr>
      <w:r w:rsidRPr="00881BC8">
        <w:rPr>
          <w:noProof/>
          <w:lang w:val="en-GB"/>
        </w:rPr>
        <w:t>This SME Panel consultation is part of the European Commission’s preparatory work for the revision of the Late Payment Directive (2011/7/EU)</w:t>
      </w:r>
      <w:r w:rsidRPr="00881BC8">
        <w:rPr>
          <w:rStyle w:val="FootnoteReference"/>
          <w:noProof/>
          <w:lang w:val="en-GB"/>
        </w:rPr>
        <w:footnoteReference w:id="293"/>
      </w:r>
      <w:r w:rsidRPr="00881BC8">
        <w:rPr>
          <w:noProof/>
          <w:lang w:val="en-GB"/>
        </w:rPr>
        <w:t>, planned for adoption in Q3 2023.</w:t>
      </w:r>
    </w:p>
    <w:p w14:paraId="7B63DC1C" w14:textId="77777777" w:rsidR="001D088C" w:rsidRPr="00881BC8" w:rsidRDefault="001D088C" w:rsidP="004835F8">
      <w:pPr>
        <w:pStyle w:val="NormalPara"/>
        <w:rPr>
          <w:noProof/>
          <w:lang w:val="en-GB"/>
        </w:rPr>
      </w:pPr>
      <w:r w:rsidRPr="00881BC8">
        <w:rPr>
          <w:noProof/>
          <w:lang w:val="en-GB"/>
        </w:rPr>
        <w:t>SMEs are one of the main stakeholders of this initiative as they are particularly affected by late payments. That is why it was important for the Commission services to gather information about SMEs’ views on the revision of the Directive.</w:t>
      </w:r>
    </w:p>
    <w:p w14:paraId="41001250" w14:textId="77777777" w:rsidR="001D088C" w:rsidRPr="00881BC8" w:rsidRDefault="001D088C" w:rsidP="004835F8">
      <w:pPr>
        <w:pStyle w:val="NormalPara"/>
        <w:rPr>
          <w:noProof/>
          <w:lang w:val="en-GB"/>
        </w:rPr>
      </w:pPr>
      <w:r w:rsidRPr="00881BC8">
        <w:rPr>
          <w:noProof/>
          <w:lang w:val="en-GB"/>
        </w:rPr>
        <w:t>This consultation aimed to collect information on the following aspects of late payments:</w:t>
      </w:r>
    </w:p>
    <w:p w14:paraId="3ACB4F85" w14:textId="09FA8930" w:rsidR="001D088C" w:rsidRPr="00881BC8" w:rsidRDefault="001D088C" w:rsidP="004835F8">
      <w:pPr>
        <w:pStyle w:val="ListParagraph"/>
        <w:numPr>
          <w:ilvl w:val="0"/>
          <w:numId w:val="26"/>
        </w:numPr>
        <w:spacing w:after="120"/>
        <w:rPr>
          <w:noProof/>
        </w:rPr>
      </w:pPr>
      <w:r w:rsidRPr="00881BC8">
        <w:rPr>
          <w:noProof/>
        </w:rPr>
        <w:t>the main features of payment terms used by businesses;</w:t>
      </w:r>
    </w:p>
    <w:p w14:paraId="24B66D98" w14:textId="1B194B5B" w:rsidR="001D088C" w:rsidRPr="00881BC8" w:rsidRDefault="001D088C" w:rsidP="004835F8">
      <w:pPr>
        <w:pStyle w:val="ListParagraph"/>
        <w:numPr>
          <w:ilvl w:val="0"/>
          <w:numId w:val="26"/>
        </w:numPr>
        <w:spacing w:after="120"/>
        <w:rPr>
          <w:noProof/>
        </w:rPr>
      </w:pPr>
      <w:r w:rsidRPr="00881BC8">
        <w:rPr>
          <w:noProof/>
        </w:rPr>
        <w:t>businesses’ experience of unfair payment practices;</w:t>
      </w:r>
    </w:p>
    <w:p w14:paraId="0597369D" w14:textId="74280373" w:rsidR="001D088C" w:rsidRPr="00881BC8" w:rsidRDefault="001D088C" w:rsidP="004835F8">
      <w:pPr>
        <w:pStyle w:val="ListParagraph"/>
        <w:numPr>
          <w:ilvl w:val="0"/>
          <w:numId w:val="26"/>
        </w:numPr>
        <w:spacing w:after="120"/>
        <w:rPr>
          <w:noProof/>
        </w:rPr>
      </w:pPr>
      <w:r w:rsidRPr="00881BC8">
        <w:rPr>
          <w:noProof/>
        </w:rPr>
        <w:t>businesses’ handling of disputes about payment delays;</w:t>
      </w:r>
    </w:p>
    <w:p w14:paraId="1516E913" w14:textId="2C410D5F" w:rsidR="001D088C" w:rsidRPr="00881BC8" w:rsidRDefault="001D088C" w:rsidP="004835F8">
      <w:pPr>
        <w:pStyle w:val="ListParagraph"/>
        <w:numPr>
          <w:ilvl w:val="0"/>
          <w:numId w:val="26"/>
        </w:numPr>
        <w:spacing w:after="120"/>
        <w:rPr>
          <w:noProof/>
        </w:rPr>
      </w:pPr>
      <w:r w:rsidRPr="00881BC8">
        <w:rPr>
          <w:noProof/>
        </w:rPr>
        <w:t>businesses’ views on possible policy measures to combat late payments.</w:t>
      </w:r>
    </w:p>
    <w:p w14:paraId="2AF82EAF" w14:textId="77777777" w:rsidR="001D088C" w:rsidRPr="00881BC8" w:rsidRDefault="001D088C" w:rsidP="004835F8">
      <w:pPr>
        <w:pStyle w:val="NormalPara"/>
        <w:rPr>
          <w:noProof/>
          <w:lang w:val="en-GB"/>
        </w:rPr>
      </w:pPr>
      <w:r w:rsidRPr="00881BC8">
        <w:rPr>
          <w:noProof/>
          <w:lang w:val="en-GB"/>
        </w:rPr>
        <w:t xml:space="preserve">This consultation was targeted at small and medium-sized enterprises (SMEs) active in any sector of the economy. It focused only on payment conditions for business-to-business (B2B) transactions. </w:t>
      </w:r>
    </w:p>
    <w:p w14:paraId="0E23AC92" w14:textId="77777777" w:rsidR="001D088C" w:rsidRPr="00881BC8" w:rsidRDefault="001D088C" w:rsidP="004835F8">
      <w:pPr>
        <w:pStyle w:val="AnnexLevel1"/>
        <w:rPr>
          <w:noProof/>
          <w:lang w:val="en-GB"/>
        </w:rPr>
      </w:pPr>
      <w:bookmarkStart w:id="1094" w:name="_Toc114137233"/>
      <w:bookmarkStart w:id="1095" w:name="_Toc126870482"/>
      <w:bookmarkStart w:id="1096" w:name="_Toc126873065"/>
      <w:bookmarkStart w:id="1097" w:name="_Toc126916966"/>
      <w:bookmarkStart w:id="1098" w:name="_Toc126919412"/>
      <w:bookmarkStart w:id="1099" w:name="_Toc126919867"/>
      <w:bookmarkStart w:id="1100" w:name="_Toc126928460"/>
      <w:bookmarkStart w:id="1101" w:name="_Toc126930837"/>
      <w:r w:rsidRPr="00881BC8">
        <w:rPr>
          <w:noProof/>
          <w:lang w:val="en-GB"/>
        </w:rPr>
        <w:t>Short summary of the results of the survey</w:t>
      </w:r>
      <w:bookmarkEnd w:id="1094"/>
      <w:bookmarkEnd w:id="1095"/>
      <w:bookmarkEnd w:id="1096"/>
      <w:bookmarkEnd w:id="1097"/>
      <w:bookmarkEnd w:id="1098"/>
      <w:bookmarkEnd w:id="1099"/>
      <w:bookmarkEnd w:id="1100"/>
      <w:bookmarkEnd w:id="1101"/>
    </w:p>
    <w:p w14:paraId="09A00AF9" w14:textId="77777777" w:rsidR="001D088C" w:rsidRPr="00881BC8" w:rsidRDefault="001D088C" w:rsidP="004835F8">
      <w:pPr>
        <w:pStyle w:val="AnnexLevel2"/>
        <w:rPr>
          <w:noProof/>
          <w:lang w:val="en-GB"/>
        </w:rPr>
      </w:pPr>
      <w:bookmarkStart w:id="1102" w:name="_Toc114137234"/>
      <w:bookmarkStart w:id="1103" w:name="_Toc126870483"/>
      <w:bookmarkStart w:id="1104" w:name="_Toc126873066"/>
      <w:bookmarkStart w:id="1105" w:name="_Toc126916967"/>
      <w:bookmarkStart w:id="1106" w:name="_Toc126919413"/>
      <w:bookmarkStart w:id="1107" w:name="_Toc126919868"/>
      <w:bookmarkStart w:id="1108" w:name="_Toc126928461"/>
      <w:bookmarkStart w:id="1109" w:name="_Toc126930838"/>
      <w:r w:rsidRPr="00881BC8">
        <w:rPr>
          <w:noProof/>
          <w:lang w:val="en-GB"/>
        </w:rPr>
        <w:t>Overview of respondents</w:t>
      </w:r>
      <w:bookmarkEnd w:id="1102"/>
      <w:bookmarkEnd w:id="1103"/>
      <w:bookmarkEnd w:id="1104"/>
      <w:bookmarkEnd w:id="1105"/>
      <w:bookmarkEnd w:id="1106"/>
      <w:bookmarkEnd w:id="1107"/>
      <w:bookmarkEnd w:id="1108"/>
      <w:bookmarkEnd w:id="1109"/>
    </w:p>
    <w:p w14:paraId="5BD1B332" w14:textId="77777777" w:rsidR="001D088C" w:rsidRPr="00881BC8" w:rsidRDefault="001D088C" w:rsidP="004835F8">
      <w:pPr>
        <w:pStyle w:val="NormalPara"/>
        <w:rPr>
          <w:noProof/>
          <w:lang w:val="en-GB"/>
        </w:rPr>
      </w:pPr>
      <w:r w:rsidRPr="00881BC8">
        <w:rPr>
          <w:noProof/>
          <w:lang w:val="en-GB"/>
        </w:rPr>
        <w:t xml:space="preserve">In total, 939 SMEs replied to this consultation in the EU Survey webpage. </w:t>
      </w:r>
    </w:p>
    <w:p w14:paraId="16D45C9C" w14:textId="77777777" w:rsidR="001D088C" w:rsidRPr="00881BC8" w:rsidRDefault="001D088C" w:rsidP="004835F8">
      <w:pPr>
        <w:pStyle w:val="NormalPara"/>
        <w:rPr>
          <w:noProof/>
          <w:lang w:val="en-GB"/>
        </w:rPr>
      </w:pPr>
      <w:r w:rsidRPr="00881BC8">
        <w:rPr>
          <w:noProof/>
          <w:lang w:val="en-GB"/>
        </w:rPr>
        <w:t xml:space="preserve">In terms of their </w:t>
      </w:r>
      <w:r w:rsidRPr="00881BC8">
        <w:rPr>
          <w:bCs/>
          <w:noProof/>
          <w:lang w:val="en-GB"/>
        </w:rPr>
        <w:t>size</w:t>
      </w:r>
      <w:r w:rsidRPr="00881BC8">
        <w:rPr>
          <w:noProof/>
          <w:lang w:val="en-GB"/>
        </w:rPr>
        <w:t xml:space="preserve">, 40% were micro companies with 1 to 9 employees (378 out of 939), 37% small companies with 10 to 49 employees (347), 14% medium companies with 50 to 249 employees (128) and 9% self-employed (86). </w:t>
      </w:r>
    </w:p>
    <w:p w14:paraId="6BF17F2C" w14:textId="7107ED10" w:rsidR="001D088C" w:rsidRPr="00881BC8" w:rsidRDefault="00FE69C5" w:rsidP="001D088C">
      <w:pPr>
        <w:rPr>
          <w:noProof/>
        </w:rPr>
      </w:pPr>
      <w:r w:rsidRPr="00FE69C5">
        <w:rPr>
          <w:noProof/>
        </w:rPr>
        <w:drawing>
          <wp:inline distT="0" distB="0" distL="0" distR="0" wp14:anchorId="5EBB1964" wp14:editId="08B3B3DD">
            <wp:extent cx="4572000" cy="2743200"/>
            <wp:effectExtent l="0" t="0" r="0" b="0"/>
            <wp:docPr id="185772188" name="Picture 18577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2AA8A529" w14:textId="77777777" w:rsidR="001D088C" w:rsidRPr="00881BC8" w:rsidRDefault="001D088C" w:rsidP="004835F8">
      <w:pPr>
        <w:pStyle w:val="NormalPara"/>
        <w:rPr>
          <w:noProof/>
          <w:lang w:val="en-GB"/>
        </w:rPr>
      </w:pPr>
      <w:r w:rsidRPr="00881BC8">
        <w:rPr>
          <w:noProof/>
          <w:lang w:val="en-GB"/>
        </w:rPr>
        <w:t>The SME Panel was publicised by the Enterprise Europe Network. SMEs from the European countries participating to the Network could participate</w:t>
      </w:r>
      <w:r w:rsidRPr="00881BC8">
        <w:rPr>
          <w:rStyle w:val="FootnoteReference"/>
          <w:noProof/>
          <w:lang w:val="en-GB"/>
        </w:rPr>
        <w:footnoteReference w:id="294"/>
      </w:r>
      <w:r w:rsidRPr="00881BC8">
        <w:rPr>
          <w:noProof/>
          <w:lang w:val="en-GB"/>
        </w:rPr>
        <w:t xml:space="preserve">. Most responses came from Spain (457), Italy (182), Poland (110), followed by Romania (48), Portugal (43), France (27), Austria (19) and Hungary (10). There were a few replies from Belgium, Bulgaria, Czechia, Denmark, Germany, Greece, Latvia, Lithuania and Finland and a couple or individual responses from some other countries (Estonia, Ireland and Norway). </w:t>
      </w:r>
    </w:p>
    <w:p w14:paraId="22D4D835" w14:textId="77777777" w:rsidR="001D088C" w:rsidRPr="00881BC8" w:rsidRDefault="001D088C" w:rsidP="004835F8">
      <w:pPr>
        <w:pStyle w:val="NormalPara"/>
        <w:rPr>
          <w:noProof/>
          <w:lang w:val="en-GB"/>
        </w:rPr>
      </w:pPr>
      <w:r w:rsidRPr="00881BC8">
        <w:rPr>
          <w:noProof/>
          <w:lang w:val="en-GB"/>
        </w:rPr>
        <w:t>The most represented sector of activity was manufacturing (246 out of 939) followed by construction (174), other services activities (147), wholesale and retail trade (96). professional, scientific and technical activities (71),</w:t>
      </w:r>
    </w:p>
    <w:p w14:paraId="5A773993" w14:textId="77777777" w:rsidR="001D088C" w:rsidRPr="00881BC8" w:rsidRDefault="001D088C" w:rsidP="004835F8">
      <w:pPr>
        <w:pStyle w:val="NormalPara"/>
        <w:rPr>
          <w:noProof/>
          <w:lang w:val="en-GB"/>
        </w:rPr>
      </w:pPr>
      <w:r w:rsidRPr="00881BC8">
        <w:rPr>
          <w:noProof/>
          <w:lang w:val="en-GB"/>
        </w:rPr>
        <w:t xml:space="preserve">45% of the respondents (420 out of 939) stated that small and medium-sized companies are the ones which pay mostly late (with a higher prevalence among small and medium-sized businesses – around 50%). </w:t>
      </w:r>
    </w:p>
    <w:p w14:paraId="2AE8B1D1" w14:textId="77777777" w:rsidR="001D088C" w:rsidRPr="00881BC8" w:rsidRDefault="001D088C" w:rsidP="004835F8">
      <w:pPr>
        <w:pStyle w:val="NormalPara"/>
        <w:rPr>
          <w:noProof/>
          <w:lang w:val="en-GB"/>
        </w:rPr>
      </w:pPr>
      <w:r w:rsidRPr="00881BC8">
        <w:rPr>
          <w:noProof/>
          <w:lang w:val="en-GB"/>
        </w:rPr>
        <w:t xml:space="preserve">30 % (279) pointed out that, among their clients, large companies are those that mostly pay late (with increasing prevalence as the size of the creditor increases – from around 21% self-employed to around 37% medium-sized companies). </w:t>
      </w:r>
    </w:p>
    <w:p w14:paraId="3BFA6A9B" w14:textId="77777777" w:rsidR="001D088C" w:rsidRPr="00881BC8" w:rsidRDefault="001D088C" w:rsidP="004835F8">
      <w:pPr>
        <w:pStyle w:val="NormalPara"/>
        <w:rPr>
          <w:noProof/>
          <w:lang w:val="en-GB"/>
        </w:rPr>
      </w:pPr>
      <w:r w:rsidRPr="00881BC8">
        <w:rPr>
          <w:noProof/>
          <w:lang w:val="en-GB"/>
        </w:rPr>
        <w:t xml:space="preserve">26% (240) found that micros mostly pay late (with the highest prevalence among self-employed around 43%). </w:t>
      </w:r>
    </w:p>
    <w:p w14:paraId="5CE5E56D" w14:textId="0D967728" w:rsidR="001D088C" w:rsidRPr="00881BC8" w:rsidRDefault="001D088C" w:rsidP="004835F8">
      <w:pPr>
        <w:pStyle w:val="AnnexLevel2"/>
        <w:rPr>
          <w:noProof/>
          <w:lang w:val="en-GB"/>
        </w:rPr>
      </w:pPr>
      <w:r w:rsidRPr="00881BC8">
        <w:rPr>
          <w:noProof/>
          <w:lang w:val="en-GB"/>
        </w:rPr>
        <w:t>Polic</w:t>
      </w:r>
      <w:r w:rsidR="007A2379" w:rsidRPr="00881BC8">
        <w:rPr>
          <w:noProof/>
          <w:lang w:val="en-GB"/>
        </w:rPr>
        <w:t>y</w:t>
      </w:r>
      <w:r w:rsidRPr="00881BC8">
        <w:rPr>
          <w:noProof/>
          <w:lang w:val="en-GB"/>
        </w:rPr>
        <w:t xml:space="preserve"> measures to combat late payments</w:t>
      </w:r>
    </w:p>
    <w:p w14:paraId="7A9F811A" w14:textId="77777777" w:rsidR="001D088C" w:rsidRPr="00881BC8" w:rsidRDefault="001D088C" w:rsidP="004835F8">
      <w:pPr>
        <w:pStyle w:val="NormalPara"/>
        <w:rPr>
          <w:noProof/>
          <w:lang w:val="en-GB"/>
        </w:rPr>
      </w:pPr>
      <w:r w:rsidRPr="00881BC8">
        <w:rPr>
          <w:noProof/>
          <w:lang w:val="en-GB"/>
        </w:rPr>
        <w:t xml:space="preserve">The respondents were asked to indicate how useful could be some options for policy measures to be proposed in the context of a possible revision of the EU rules on combating late payments. All of them obtained a majority of positive and very positive opinions. In particular: </w:t>
      </w:r>
    </w:p>
    <w:p w14:paraId="5428C1F9" w14:textId="77777777" w:rsidR="001D088C" w:rsidRPr="00881BC8" w:rsidRDefault="001D088C" w:rsidP="004835F8">
      <w:pPr>
        <w:pStyle w:val="Body"/>
        <w:numPr>
          <w:ilvl w:val="0"/>
          <w:numId w:val="27"/>
        </w:numPr>
        <w:rPr>
          <w:bCs/>
          <w:noProof/>
        </w:rPr>
      </w:pPr>
      <w:r w:rsidRPr="00881BC8">
        <w:rPr>
          <w:bCs/>
          <w:noProof/>
        </w:rPr>
        <w:t>84% of SMEs (789 out of 939) supported the stronger enforcement of rules (EU countries should set up enforcement bodies with the power to investigate and receive complaints, and to issue administrative fines for repeated bad payment behaviour). For this action, no significant difference is found by size of companies or by size of debtor that mostly pay late.</w:t>
      </w:r>
    </w:p>
    <w:p w14:paraId="3AA64D4A" w14:textId="77777777" w:rsidR="001D088C" w:rsidRPr="00881BC8" w:rsidRDefault="001D088C" w:rsidP="004835F8">
      <w:pPr>
        <w:pStyle w:val="Body"/>
        <w:numPr>
          <w:ilvl w:val="0"/>
          <w:numId w:val="27"/>
        </w:numPr>
        <w:rPr>
          <w:bCs/>
          <w:noProof/>
        </w:rPr>
      </w:pPr>
      <w:r w:rsidRPr="00881BC8">
        <w:rPr>
          <w:bCs/>
          <w:noProof/>
        </w:rPr>
        <w:t>83% of SMEs (777) supported setting a limit on the maximum number of days that can be defined in payment terms for all B2B transactions. For this action, no significant difference is found by size of companies, while it is most popular when large companies mostly pay late (around 87%).</w:t>
      </w:r>
    </w:p>
    <w:p w14:paraId="18EFF5F0" w14:textId="77777777" w:rsidR="001D088C" w:rsidRPr="00881BC8" w:rsidRDefault="001D088C" w:rsidP="004835F8">
      <w:pPr>
        <w:pStyle w:val="Body"/>
        <w:numPr>
          <w:ilvl w:val="0"/>
          <w:numId w:val="27"/>
        </w:numPr>
        <w:rPr>
          <w:bCs/>
          <w:noProof/>
        </w:rPr>
      </w:pPr>
      <w:r w:rsidRPr="00881BC8">
        <w:rPr>
          <w:bCs/>
          <w:noProof/>
        </w:rPr>
        <w:t>77% of SMEs (724) supported banning practices and clauses that oblige creditors to waive their rights to late payment interest and compensation in exchange for immediate payment. This action is most supported by micros (around 80%), and when large companies mostly pay late (around 80%).</w:t>
      </w:r>
    </w:p>
    <w:p w14:paraId="48BABACC" w14:textId="77777777" w:rsidR="001D088C" w:rsidRPr="00881BC8" w:rsidRDefault="001D088C" w:rsidP="004835F8">
      <w:pPr>
        <w:pStyle w:val="Body"/>
        <w:numPr>
          <w:ilvl w:val="0"/>
          <w:numId w:val="27"/>
        </w:numPr>
        <w:rPr>
          <w:bCs/>
          <w:noProof/>
        </w:rPr>
      </w:pPr>
      <w:r w:rsidRPr="00881BC8">
        <w:rPr>
          <w:rFonts w:cs="Times New Roman"/>
          <w:bCs/>
          <w:noProof/>
          <w:szCs w:val="24"/>
        </w:rPr>
        <w:t>72% of SMEs (672) supported transparency obligations, for large businesses only, to report regularly on their payment performance. This action is less supported by self-employed (around 65%), while it is most popular when large companies mostly pay late (around 80%).</w:t>
      </w:r>
    </w:p>
    <w:p w14:paraId="3E9D104E" w14:textId="77777777" w:rsidR="001D088C" w:rsidRPr="00881BC8" w:rsidRDefault="001D088C" w:rsidP="004835F8">
      <w:pPr>
        <w:pStyle w:val="Body"/>
        <w:numPr>
          <w:ilvl w:val="0"/>
          <w:numId w:val="27"/>
        </w:numPr>
        <w:rPr>
          <w:noProof/>
        </w:rPr>
      </w:pPr>
      <w:r w:rsidRPr="00881BC8">
        <w:rPr>
          <w:rFonts w:cs="Times New Roman"/>
          <w:bCs/>
          <w:noProof/>
          <w:szCs w:val="24"/>
        </w:rPr>
        <w:t>65% of SMEs (612) supported the appointment national ombudspersons for SMEs (or similar</w:t>
      </w:r>
      <w:r w:rsidRPr="00881BC8">
        <w:rPr>
          <w:rFonts w:cs="Times New Roman"/>
          <w:noProof/>
          <w:szCs w:val="24"/>
        </w:rPr>
        <w:t xml:space="preserve"> body) to bring the issue of late payments to political attention, and liaise with businesses and governmental bodies. This action is less supported by bigger SMEs and when large companies mostly pay late.</w:t>
      </w:r>
    </w:p>
    <w:p w14:paraId="2A876544" w14:textId="77777777" w:rsidR="001D088C" w:rsidRPr="00881BC8" w:rsidRDefault="001D088C" w:rsidP="001D088C">
      <w:pPr>
        <w:rPr>
          <w:noProof/>
        </w:rPr>
      </w:pPr>
    </w:p>
    <w:p w14:paraId="2744AEE2" w14:textId="24A120DB" w:rsidR="001D088C" w:rsidRPr="00881BC8" w:rsidRDefault="00FE69C5" w:rsidP="001D088C">
      <w:pPr>
        <w:rPr>
          <w:noProof/>
        </w:rPr>
      </w:pPr>
      <w:r w:rsidRPr="00FE69C5">
        <w:rPr>
          <w:noProof/>
        </w:rPr>
        <w:drawing>
          <wp:inline distT="0" distB="0" distL="0" distR="0" wp14:anchorId="27DBD7DE" wp14:editId="5C0AC7D5">
            <wp:extent cx="5215255" cy="2753360"/>
            <wp:effectExtent l="0" t="0" r="4445" b="8890"/>
            <wp:docPr id="185772187" name="Picture 18577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15255" cy="2753360"/>
                    </a:xfrm>
                    <a:prstGeom prst="rect">
                      <a:avLst/>
                    </a:prstGeom>
                    <a:noFill/>
                    <a:ln>
                      <a:noFill/>
                    </a:ln>
                  </pic:spPr>
                </pic:pic>
              </a:graphicData>
            </a:graphic>
          </wp:inline>
        </w:drawing>
      </w:r>
    </w:p>
    <w:p w14:paraId="35982AD2" w14:textId="77777777" w:rsidR="001D088C" w:rsidRPr="00881BC8" w:rsidRDefault="001D088C" w:rsidP="004835F8">
      <w:pPr>
        <w:pStyle w:val="NormalPara"/>
        <w:rPr>
          <w:noProof/>
          <w:lang w:val="en-GB"/>
        </w:rPr>
      </w:pPr>
      <w:r w:rsidRPr="00881BC8">
        <w:rPr>
          <w:noProof/>
          <w:lang w:val="en-GB"/>
        </w:rPr>
        <w:t xml:space="preserve">Specifically, regarding the capping of payments: </w:t>
      </w:r>
    </w:p>
    <w:p w14:paraId="29AF7D80" w14:textId="77777777" w:rsidR="001D088C" w:rsidRPr="00881BC8" w:rsidRDefault="001D088C" w:rsidP="004835F8">
      <w:pPr>
        <w:pStyle w:val="Body"/>
        <w:numPr>
          <w:ilvl w:val="0"/>
          <w:numId w:val="28"/>
        </w:numPr>
        <w:rPr>
          <w:noProof/>
        </w:rPr>
      </w:pPr>
      <w:r w:rsidRPr="00881BC8">
        <w:rPr>
          <w:noProof/>
        </w:rPr>
        <w:t>36% of SMEs (341) supported capping at 30 days (with more support from smaller SMEs – around 44%, and when large companies mostly pay late – around 41%)</w:t>
      </w:r>
    </w:p>
    <w:p w14:paraId="4C6E6EB7" w14:textId="77777777" w:rsidR="001D088C" w:rsidRPr="00881BC8" w:rsidRDefault="001D088C" w:rsidP="004835F8">
      <w:pPr>
        <w:pStyle w:val="Body"/>
        <w:numPr>
          <w:ilvl w:val="0"/>
          <w:numId w:val="28"/>
        </w:numPr>
        <w:rPr>
          <w:noProof/>
        </w:rPr>
      </w:pPr>
      <w:r w:rsidRPr="00881BC8">
        <w:rPr>
          <w:noProof/>
        </w:rPr>
        <w:t>17% of SMEs (158) supported capping at 45 days (very low support from self-employed – around 8%)</w:t>
      </w:r>
    </w:p>
    <w:p w14:paraId="439A4CCE" w14:textId="77777777" w:rsidR="001D088C" w:rsidRPr="00881BC8" w:rsidRDefault="001D088C" w:rsidP="004835F8">
      <w:pPr>
        <w:pStyle w:val="Body"/>
        <w:numPr>
          <w:ilvl w:val="0"/>
          <w:numId w:val="28"/>
        </w:numPr>
        <w:rPr>
          <w:noProof/>
        </w:rPr>
      </w:pPr>
      <w:r w:rsidRPr="00881BC8">
        <w:rPr>
          <w:noProof/>
        </w:rPr>
        <w:t>28% of SMEs (261) supported capping at 60 days (with more support from bigger SMEs, especially small – around 36%, and when large companies mostly pay late – around 32%)</w:t>
      </w:r>
    </w:p>
    <w:p w14:paraId="11814B03" w14:textId="77777777" w:rsidR="001D088C" w:rsidRPr="00881BC8" w:rsidRDefault="001D088C" w:rsidP="004835F8">
      <w:pPr>
        <w:pStyle w:val="Body"/>
        <w:numPr>
          <w:ilvl w:val="0"/>
          <w:numId w:val="28"/>
        </w:numPr>
        <w:rPr>
          <w:noProof/>
        </w:rPr>
      </w:pPr>
      <w:r w:rsidRPr="00881BC8">
        <w:rPr>
          <w:noProof/>
        </w:rPr>
        <w:t>8% (70) did not agree with a maximum payment term (with more support from medium-sized -around 12%)</w:t>
      </w:r>
    </w:p>
    <w:p w14:paraId="28277334" w14:textId="77777777" w:rsidR="001D088C" w:rsidRPr="00881BC8" w:rsidRDefault="001D088C" w:rsidP="004835F8">
      <w:pPr>
        <w:pStyle w:val="Body"/>
        <w:numPr>
          <w:ilvl w:val="0"/>
          <w:numId w:val="28"/>
        </w:numPr>
        <w:rPr>
          <w:noProof/>
        </w:rPr>
      </w:pPr>
      <w:r w:rsidRPr="00881BC8">
        <w:rPr>
          <w:noProof/>
        </w:rPr>
        <w:t>12% (109) would favour exceptions for certain sectors due to the specificity of the supply chain or of the market (with more support when micros mostly pay late – around 21%)</w:t>
      </w:r>
    </w:p>
    <w:p w14:paraId="0C7B65D0" w14:textId="35F56519" w:rsidR="001D088C" w:rsidRPr="00881BC8" w:rsidRDefault="00FE69C5" w:rsidP="001D088C">
      <w:pPr>
        <w:rPr>
          <w:noProof/>
        </w:rPr>
      </w:pPr>
      <w:r w:rsidRPr="00FE69C5">
        <w:rPr>
          <w:noProof/>
        </w:rPr>
        <w:drawing>
          <wp:inline distT="0" distB="0" distL="0" distR="0" wp14:anchorId="2261B077" wp14:editId="1249D823">
            <wp:extent cx="4572000" cy="2743200"/>
            <wp:effectExtent l="0" t="0" r="0" b="0"/>
            <wp:docPr id="185772186" name="Picture 18577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74FDA0D2" w14:textId="21BDCB6F" w:rsidR="001D088C" w:rsidRPr="00881BC8" w:rsidRDefault="001D088C" w:rsidP="004835F8">
      <w:pPr>
        <w:pStyle w:val="NormalPara"/>
        <w:rPr>
          <w:noProof/>
          <w:lang w:val="en-GB"/>
        </w:rPr>
      </w:pPr>
      <w:r w:rsidRPr="00881BC8">
        <w:rPr>
          <w:noProof/>
          <w:lang w:val="en-GB"/>
        </w:rPr>
        <w:t>On e-invoicing, there was no broad agreement on its effectiveness towards prompt payment. For all size classes, there were more companies that find e-invoicing not helpful rather than helpful. In detail, 44% (415) stated that e-invoicing did not help, 31% of respondents (291) said that e-invoicing helped them to receive payments on time, 18% (168) did not use this facility and 7% (65) did not know.</w:t>
      </w:r>
      <w:r w:rsidR="002E552C" w:rsidRPr="00881BC8">
        <w:rPr>
          <w:noProof/>
          <w:lang w:val="en-GB"/>
        </w:rPr>
        <w:t xml:space="preserve"> </w:t>
      </w:r>
    </w:p>
    <w:p w14:paraId="0B54AE63" w14:textId="77777777" w:rsidR="001D088C" w:rsidRPr="00881BC8" w:rsidRDefault="001D088C" w:rsidP="004835F8">
      <w:pPr>
        <w:pStyle w:val="AnnexLevel2"/>
        <w:rPr>
          <w:noProof/>
          <w:lang w:val="en-GB"/>
        </w:rPr>
      </w:pPr>
      <w:r w:rsidRPr="00881BC8">
        <w:rPr>
          <w:noProof/>
          <w:lang w:val="en-GB"/>
        </w:rPr>
        <w:t>Wider impact of late payments</w:t>
      </w:r>
    </w:p>
    <w:p w14:paraId="4AB2C8F5" w14:textId="77777777" w:rsidR="001D088C" w:rsidRPr="00881BC8" w:rsidRDefault="001D088C" w:rsidP="004835F8">
      <w:pPr>
        <w:pStyle w:val="NormalPara"/>
        <w:rPr>
          <w:noProof/>
          <w:lang w:val="en-GB"/>
        </w:rPr>
      </w:pPr>
      <w:r w:rsidRPr="00881BC8">
        <w:rPr>
          <w:noProof/>
          <w:lang w:val="en-GB"/>
        </w:rPr>
        <w:t xml:space="preserve">Almost all respondents (92% or 861 out of 939) strongly agreed or agreed that late payments have an important impact on the well being of the entrepreneurs and generate stress and anxiety and 80% (754) that this heavily affects the survival of their business. </w:t>
      </w:r>
    </w:p>
    <w:p w14:paraId="32C0D1B6" w14:textId="77777777" w:rsidR="001D088C" w:rsidRPr="00881BC8" w:rsidRDefault="001D088C" w:rsidP="004835F8">
      <w:pPr>
        <w:pStyle w:val="NormalPara"/>
        <w:rPr>
          <w:noProof/>
          <w:lang w:val="en-GB"/>
        </w:rPr>
      </w:pPr>
      <w:r w:rsidRPr="00881BC8">
        <w:rPr>
          <w:noProof/>
          <w:lang w:val="en-GB"/>
        </w:rPr>
        <w:t xml:space="preserve">79% strongly agree or agreed (737) that late payments affect their trust in the market. 45% (421) said that because late payment they did not recruit new staff and 33,9% (318) did not do cross-border business in the EU Single Market because late payment. The impact on becoming more digital (284 out of 939) or green (260) is apparently lower as well as on laying off staff (only 164 strongly agreed or agreed). </w:t>
      </w:r>
    </w:p>
    <w:p w14:paraId="2A3A0A8F" w14:textId="433DC6E1" w:rsidR="001D088C" w:rsidRPr="00881BC8" w:rsidRDefault="00FE69C5" w:rsidP="001D088C">
      <w:pPr>
        <w:pStyle w:val="Text1"/>
        <w:ind w:left="0"/>
        <w:rPr>
          <w:b/>
          <w:bCs/>
          <w:noProof/>
        </w:rPr>
      </w:pPr>
      <w:r w:rsidRPr="00FE69C5">
        <w:rPr>
          <w:noProof/>
        </w:rPr>
        <w:drawing>
          <wp:inline distT="0" distB="0" distL="0" distR="0" wp14:anchorId="2C9799FE" wp14:editId="57551A5B">
            <wp:extent cx="5472430" cy="3053080"/>
            <wp:effectExtent l="0" t="0" r="0" b="0"/>
            <wp:docPr id="185772185" name="Picture 18577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72430" cy="3053080"/>
                    </a:xfrm>
                    <a:prstGeom prst="rect">
                      <a:avLst/>
                    </a:prstGeom>
                    <a:noFill/>
                    <a:ln>
                      <a:noFill/>
                    </a:ln>
                  </pic:spPr>
                </pic:pic>
              </a:graphicData>
            </a:graphic>
          </wp:inline>
        </w:drawing>
      </w:r>
    </w:p>
    <w:p w14:paraId="0FB3E8D1" w14:textId="77777777" w:rsidR="001D088C" w:rsidRPr="00881BC8" w:rsidRDefault="001D088C" w:rsidP="004835F8">
      <w:pPr>
        <w:pStyle w:val="AnnexLevel2"/>
        <w:rPr>
          <w:noProof/>
          <w:lang w:val="en-GB"/>
        </w:rPr>
      </w:pPr>
      <w:r w:rsidRPr="00881BC8">
        <w:rPr>
          <w:noProof/>
          <w:lang w:val="en-GB"/>
        </w:rPr>
        <w:t>Setting payment terms</w:t>
      </w:r>
    </w:p>
    <w:p w14:paraId="03F75DBD" w14:textId="77777777" w:rsidR="001D088C" w:rsidRPr="00881BC8" w:rsidRDefault="001D088C" w:rsidP="004835F8">
      <w:pPr>
        <w:pStyle w:val="NormalPara"/>
        <w:rPr>
          <w:noProof/>
          <w:lang w:val="en-GB"/>
        </w:rPr>
      </w:pPr>
      <w:r w:rsidRPr="00881BC8">
        <w:rPr>
          <w:noProof/>
          <w:lang w:val="en-GB"/>
        </w:rPr>
        <w:t xml:space="preserve">41% (383 out of 939) of respondents reported that they negotiate payment terms case by case and this is most frequent among small companies (47%). 30% (283) stated that they have their owns specific payment conditions and this is most frequent among self-employed (44%) and medium-sized companies (34%). 17% (160) affirmed that payment conditions are dictated by their clients and this is most frequent among micros (19%), while less the case for self-employed. 12% (113) said that in their sector payment conditions are standard and they follow them. This is relatively more frequent among self-employed (14%) and medium-sized companies (14%). </w:t>
      </w:r>
    </w:p>
    <w:p w14:paraId="43D3DDE6" w14:textId="77777777" w:rsidR="001D088C" w:rsidRPr="00881BC8" w:rsidRDefault="001D088C" w:rsidP="004835F8">
      <w:pPr>
        <w:pStyle w:val="NormalPara"/>
        <w:rPr>
          <w:noProof/>
          <w:lang w:val="en-GB"/>
        </w:rPr>
      </w:pPr>
      <w:r w:rsidRPr="00881BC8">
        <w:rPr>
          <w:noProof/>
          <w:lang w:val="en-GB"/>
        </w:rPr>
        <w:t>According to size of client that is found to mostly pay late, the average distribution for SMEs is the following:</w:t>
      </w:r>
    </w:p>
    <w:p w14:paraId="31F489E9" w14:textId="77777777" w:rsidR="001D088C" w:rsidRPr="00881BC8" w:rsidRDefault="001D088C" w:rsidP="004835F8">
      <w:pPr>
        <w:pStyle w:val="Body"/>
        <w:numPr>
          <w:ilvl w:val="0"/>
          <w:numId w:val="29"/>
        </w:numPr>
        <w:rPr>
          <w:noProof/>
        </w:rPr>
      </w:pPr>
      <w:r w:rsidRPr="00881BC8">
        <w:rPr>
          <w:noProof/>
        </w:rPr>
        <w:t>When clients that mostly pay late are micros:</w:t>
      </w:r>
    </w:p>
    <w:p w14:paraId="0D5B82D1" w14:textId="77777777" w:rsidR="001D088C" w:rsidRPr="00881BC8" w:rsidRDefault="001D088C" w:rsidP="004835F8">
      <w:pPr>
        <w:pStyle w:val="Body"/>
        <w:numPr>
          <w:ilvl w:val="1"/>
          <w:numId w:val="29"/>
        </w:numPr>
        <w:rPr>
          <w:noProof/>
        </w:rPr>
      </w:pPr>
      <w:r w:rsidRPr="00881BC8">
        <w:rPr>
          <w:noProof/>
        </w:rPr>
        <w:t>41% of SMEs have their own specific payment conditions and ask clients to adhere to them</w:t>
      </w:r>
    </w:p>
    <w:p w14:paraId="0AB6573B" w14:textId="77777777" w:rsidR="001D088C" w:rsidRPr="00881BC8" w:rsidRDefault="001D088C" w:rsidP="004835F8">
      <w:pPr>
        <w:pStyle w:val="Body"/>
        <w:numPr>
          <w:ilvl w:val="1"/>
          <w:numId w:val="29"/>
        </w:numPr>
        <w:rPr>
          <w:noProof/>
        </w:rPr>
      </w:pPr>
      <w:r w:rsidRPr="00881BC8">
        <w:rPr>
          <w:noProof/>
        </w:rPr>
        <w:t>38% of SMEs negotiate payment conditions on a case-by-case basis</w:t>
      </w:r>
    </w:p>
    <w:p w14:paraId="103D3AF8" w14:textId="77777777" w:rsidR="001D088C" w:rsidRPr="00881BC8" w:rsidRDefault="001D088C" w:rsidP="004835F8">
      <w:pPr>
        <w:pStyle w:val="Body"/>
        <w:numPr>
          <w:ilvl w:val="1"/>
          <w:numId w:val="29"/>
        </w:numPr>
        <w:rPr>
          <w:noProof/>
        </w:rPr>
      </w:pPr>
      <w:r w:rsidRPr="00881BC8">
        <w:rPr>
          <w:noProof/>
        </w:rPr>
        <w:t>11% of SMEs state that in their sector payment conditions are standard and they adhere to them</w:t>
      </w:r>
    </w:p>
    <w:p w14:paraId="180BE8FB" w14:textId="77777777" w:rsidR="001D088C" w:rsidRPr="00881BC8" w:rsidRDefault="001D088C" w:rsidP="004835F8">
      <w:pPr>
        <w:pStyle w:val="Body"/>
        <w:numPr>
          <w:ilvl w:val="1"/>
          <w:numId w:val="29"/>
        </w:numPr>
        <w:rPr>
          <w:noProof/>
        </w:rPr>
      </w:pPr>
      <w:r w:rsidRPr="00881BC8">
        <w:rPr>
          <w:noProof/>
        </w:rPr>
        <w:t>10% of SMEs state that payment conditions are dictated by their clients.</w:t>
      </w:r>
    </w:p>
    <w:p w14:paraId="1BF59118" w14:textId="77777777" w:rsidR="001D088C" w:rsidRPr="00881BC8" w:rsidRDefault="001D088C" w:rsidP="004835F8">
      <w:pPr>
        <w:pStyle w:val="Body"/>
        <w:numPr>
          <w:ilvl w:val="0"/>
          <w:numId w:val="29"/>
        </w:numPr>
        <w:rPr>
          <w:noProof/>
        </w:rPr>
      </w:pPr>
      <w:r w:rsidRPr="00881BC8">
        <w:rPr>
          <w:noProof/>
        </w:rPr>
        <w:t>When clients that mostly pay late are small and medium-sized companies:</w:t>
      </w:r>
    </w:p>
    <w:p w14:paraId="36CC0A21" w14:textId="77777777" w:rsidR="001D088C" w:rsidRPr="00881BC8" w:rsidRDefault="001D088C" w:rsidP="004835F8">
      <w:pPr>
        <w:pStyle w:val="Body"/>
        <w:numPr>
          <w:ilvl w:val="1"/>
          <w:numId w:val="29"/>
        </w:numPr>
        <w:rPr>
          <w:noProof/>
        </w:rPr>
      </w:pPr>
      <w:r w:rsidRPr="00881BC8">
        <w:rPr>
          <w:noProof/>
        </w:rPr>
        <w:t>43% of SMEs negotiate payment conditions on a case-by-case basis</w:t>
      </w:r>
    </w:p>
    <w:p w14:paraId="4CAD679C" w14:textId="77777777" w:rsidR="001D088C" w:rsidRPr="00881BC8" w:rsidRDefault="001D088C" w:rsidP="004835F8">
      <w:pPr>
        <w:pStyle w:val="Body"/>
        <w:numPr>
          <w:ilvl w:val="1"/>
          <w:numId w:val="29"/>
        </w:numPr>
        <w:rPr>
          <w:noProof/>
        </w:rPr>
      </w:pPr>
      <w:r w:rsidRPr="00881BC8">
        <w:rPr>
          <w:noProof/>
        </w:rPr>
        <w:t>29% of SMEs have their own specific payment conditions and ask clients to adhere to them</w:t>
      </w:r>
    </w:p>
    <w:p w14:paraId="336C9A6C" w14:textId="77777777" w:rsidR="001D088C" w:rsidRPr="00881BC8" w:rsidRDefault="001D088C" w:rsidP="004835F8">
      <w:pPr>
        <w:pStyle w:val="Body"/>
        <w:numPr>
          <w:ilvl w:val="1"/>
          <w:numId w:val="29"/>
        </w:numPr>
        <w:rPr>
          <w:noProof/>
        </w:rPr>
      </w:pPr>
      <w:r w:rsidRPr="00881BC8">
        <w:rPr>
          <w:noProof/>
        </w:rPr>
        <w:t>16% of SMEs state that payment conditions are dictated by their clients.</w:t>
      </w:r>
    </w:p>
    <w:p w14:paraId="686CF766" w14:textId="77777777" w:rsidR="001D088C" w:rsidRPr="00881BC8" w:rsidRDefault="001D088C" w:rsidP="004835F8">
      <w:pPr>
        <w:pStyle w:val="Body"/>
        <w:numPr>
          <w:ilvl w:val="1"/>
          <w:numId w:val="29"/>
        </w:numPr>
        <w:rPr>
          <w:noProof/>
        </w:rPr>
      </w:pPr>
      <w:r w:rsidRPr="00881BC8">
        <w:rPr>
          <w:noProof/>
        </w:rPr>
        <w:t>12% of SMEs state that in their sector payment conditions are standard and they adhere to them</w:t>
      </w:r>
    </w:p>
    <w:p w14:paraId="375BFFE9" w14:textId="77777777" w:rsidR="001D088C" w:rsidRPr="00881BC8" w:rsidRDefault="001D088C" w:rsidP="004835F8">
      <w:pPr>
        <w:pStyle w:val="Body"/>
        <w:numPr>
          <w:ilvl w:val="0"/>
          <w:numId w:val="29"/>
        </w:numPr>
        <w:rPr>
          <w:noProof/>
        </w:rPr>
      </w:pPr>
      <w:r w:rsidRPr="00881BC8">
        <w:rPr>
          <w:noProof/>
        </w:rPr>
        <w:t>When clients that mostly pay late are large companies:</w:t>
      </w:r>
    </w:p>
    <w:p w14:paraId="5F757126" w14:textId="77777777" w:rsidR="001D088C" w:rsidRPr="00881BC8" w:rsidRDefault="001D088C" w:rsidP="004835F8">
      <w:pPr>
        <w:pStyle w:val="Body"/>
        <w:numPr>
          <w:ilvl w:val="1"/>
          <w:numId w:val="29"/>
        </w:numPr>
        <w:rPr>
          <w:noProof/>
        </w:rPr>
      </w:pPr>
      <w:r w:rsidRPr="00881BC8">
        <w:rPr>
          <w:noProof/>
        </w:rPr>
        <w:t>39% of SMEs negotiate payment conditions on a case-by-case basis</w:t>
      </w:r>
    </w:p>
    <w:p w14:paraId="3782A109" w14:textId="77777777" w:rsidR="001D088C" w:rsidRPr="00881BC8" w:rsidRDefault="001D088C" w:rsidP="004835F8">
      <w:pPr>
        <w:pStyle w:val="Body"/>
        <w:numPr>
          <w:ilvl w:val="1"/>
          <w:numId w:val="29"/>
        </w:numPr>
        <w:rPr>
          <w:noProof/>
        </w:rPr>
      </w:pPr>
      <w:r w:rsidRPr="00881BC8">
        <w:rPr>
          <w:noProof/>
        </w:rPr>
        <w:t>24% of SMEs have their own specific payment conditions and ask clients to adhere to them</w:t>
      </w:r>
    </w:p>
    <w:p w14:paraId="2968B521" w14:textId="77777777" w:rsidR="001D088C" w:rsidRPr="00881BC8" w:rsidRDefault="001D088C" w:rsidP="004835F8">
      <w:pPr>
        <w:pStyle w:val="Body"/>
        <w:numPr>
          <w:ilvl w:val="1"/>
          <w:numId w:val="29"/>
        </w:numPr>
        <w:rPr>
          <w:noProof/>
        </w:rPr>
      </w:pPr>
      <w:r w:rsidRPr="00881BC8">
        <w:rPr>
          <w:noProof/>
        </w:rPr>
        <w:t>24% of SMEs state that payment conditions are dictated by their clients.</w:t>
      </w:r>
    </w:p>
    <w:p w14:paraId="30F98B2E" w14:textId="77777777" w:rsidR="001D088C" w:rsidRPr="00881BC8" w:rsidRDefault="001D088C" w:rsidP="004835F8">
      <w:pPr>
        <w:pStyle w:val="Body"/>
        <w:numPr>
          <w:ilvl w:val="1"/>
          <w:numId w:val="29"/>
        </w:numPr>
        <w:rPr>
          <w:noProof/>
        </w:rPr>
      </w:pPr>
      <w:r w:rsidRPr="00881BC8">
        <w:rPr>
          <w:noProof/>
        </w:rPr>
        <w:t>14% of SMEs state that in their sector payment conditions are standard and they adhere to them</w:t>
      </w:r>
    </w:p>
    <w:p w14:paraId="705D3588" w14:textId="77777777" w:rsidR="001D088C" w:rsidRPr="00881BC8" w:rsidRDefault="001D088C" w:rsidP="004835F8">
      <w:pPr>
        <w:pStyle w:val="NormalPara"/>
        <w:rPr>
          <w:noProof/>
          <w:lang w:val="en-GB"/>
        </w:rPr>
      </w:pPr>
      <w:r w:rsidRPr="00881BC8">
        <w:rPr>
          <w:noProof/>
          <w:lang w:val="en-GB"/>
        </w:rPr>
        <w:t>Looking at differences by size of vendor:</w:t>
      </w:r>
    </w:p>
    <w:p w14:paraId="42DB89BC" w14:textId="77777777" w:rsidR="001D088C" w:rsidRPr="00881BC8" w:rsidRDefault="001D088C" w:rsidP="004835F8">
      <w:pPr>
        <w:pStyle w:val="Body"/>
        <w:numPr>
          <w:ilvl w:val="0"/>
          <w:numId w:val="30"/>
        </w:numPr>
        <w:rPr>
          <w:noProof/>
        </w:rPr>
      </w:pPr>
      <w:r w:rsidRPr="00881BC8">
        <w:rPr>
          <w:noProof/>
        </w:rPr>
        <w:t xml:space="preserve">Micros: </w:t>
      </w:r>
    </w:p>
    <w:p w14:paraId="7B3FB75A" w14:textId="77777777" w:rsidR="001D088C" w:rsidRPr="00881BC8" w:rsidRDefault="001D088C" w:rsidP="004835F8">
      <w:pPr>
        <w:pStyle w:val="Body"/>
        <w:numPr>
          <w:ilvl w:val="1"/>
          <w:numId w:val="30"/>
        </w:numPr>
        <w:rPr>
          <w:noProof/>
        </w:rPr>
      </w:pPr>
      <w:r w:rsidRPr="00881BC8">
        <w:rPr>
          <w:noProof/>
        </w:rPr>
        <w:t>Large companies are most frequently late payers: 36% of micros negotiate payment conditions on a case-by-case basis and 26% have payment conditions dictated by clients.</w:t>
      </w:r>
    </w:p>
    <w:p w14:paraId="5669F187" w14:textId="77777777" w:rsidR="001D088C" w:rsidRPr="00881BC8" w:rsidRDefault="001D088C" w:rsidP="004835F8">
      <w:pPr>
        <w:pStyle w:val="Body"/>
        <w:numPr>
          <w:ilvl w:val="1"/>
          <w:numId w:val="30"/>
        </w:numPr>
        <w:rPr>
          <w:noProof/>
        </w:rPr>
      </w:pPr>
      <w:r w:rsidRPr="00881BC8">
        <w:rPr>
          <w:noProof/>
        </w:rPr>
        <w:t>SMEs are most frequently late payers: 41% of micros negotiate payment conditions on a case-by-case basis and 30% ask clients to adhere to their specific payment conditions.</w:t>
      </w:r>
    </w:p>
    <w:p w14:paraId="3963AF5F" w14:textId="77777777" w:rsidR="001D088C" w:rsidRPr="00881BC8" w:rsidRDefault="001D088C" w:rsidP="004835F8">
      <w:pPr>
        <w:pStyle w:val="Body"/>
        <w:numPr>
          <w:ilvl w:val="1"/>
          <w:numId w:val="30"/>
        </w:numPr>
        <w:rPr>
          <w:noProof/>
        </w:rPr>
      </w:pPr>
      <w:r w:rsidRPr="00881BC8">
        <w:rPr>
          <w:noProof/>
        </w:rPr>
        <w:t>Micros are most frequently late payers: 41% of micros negotiate payment conditions on a case-by-case basis and 35% ask clients to adhere to their specific payment conditions</w:t>
      </w:r>
    </w:p>
    <w:p w14:paraId="404B957F" w14:textId="77777777" w:rsidR="001D088C" w:rsidRPr="00881BC8" w:rsidRDefault="001D088C" w:rsidP="004835F8">
      <w:pPr>
        <w:pStyle w:val="Body"/>
        <w:numPr>
          <w:ilvl w:val="0"/>
          <w:numId w:val="30"/>
        </w:numPr>
        <w:rPr>
          <w:noProof/>
        </w:rPr>
      </w:pPr>
      <w:r w:rsidRPr="00881BC8">
        <w:rPr>
          <w:noProof/>
        </w:rPr>
        <w:t xml:space="preserve">Small companies: </w:t>
      </w:r>
    </w:p>
    <w:p w14:paraId="2EB2F5A4" w14:textId="77777777" w:rsidR="001D088C" w:rsidRPr="00881BC8" w:rsidRDefault="001D088C" w:rsidP="004835F8">
      <w:pPr>
        <w:pStyle w:val="Body"/>
        <w:numPr>
          <w:ilvl w:val="1"/>
          <w:numId w:val="30"/>
        </w:numPr>
        <w:rPr>
          <w:noProof/>
        </w:rPr>
      </w:pPr>
      <w:r w:rsidRPr="00881BC8">
        <w:rPr>
          <w:noProof/>
        </w:rPr>
        <w:t>Large companies are most frequently late payers: 42% of companies negotiate payment conditions on a case-by-case basis, 26% ask clients to adhere to their specific payment conditions and 22% have payment conditions dictated by clients.</w:t>
      </w:r>
    </w:p>
    <w:p w14:paraId="22865984" w14:textId="77777777" w:rsidR="001D088C" w:rsidRPr="00881BC8" w:rsidRDefault="001D088C" w:rsidP="004835F8">
      <w:pPr>
        <w:pStyle w:val="Body"/>
        <w:numPr>
          <w:ilvl w:val="1"/>
          <w:numId w:val="30"/>
        </w:numPr>
        <w:rPr>
          <w:noProof/>
        </w:rPr>
      </w:pPr>
      <w:r w:rsidRPr="00881BC8">
        <w:rPr>
          <w:noProof/>
        </w:rPr>
        <w:t>SMEs are most frequently late payers: 49% of companies negotiate payment conditions on a case-by-case basis and 25% ask clients to adhere to their specific payment conditions.</w:t>
      </w:r>
    </w:p>
    <w:p w14:paraId="1724D4A1" w14:textId="77777777" w:rsidR="001D088C" w:rsidRPr="00881BC8" w:rsidRDefault="001D088C" w:rsidP="004835F8">
      <w:pPr>
        <w:pStyle w:val="Body"/>
        <w:numPr>
          <w:ilvl w:val="1"/>
          <w:numId w:val="30"/>
        </w:numPr>
        <w:rPr>
          <w:noProof/>
        </w:rPr>
      </w:pPr>
      <w:r w:rsidRPr="00881BC8">
        <w:rPr>
          <w:noProof/>
        </w:rPr>
        <w:t>Micros are most frequently late payers: 47% of companies negotiate payment conditions on a case-by-case basis and 35% ask clients to adhere to their specific payment conditions</w:t>
      </w:r>
    </w:p>
    <w:p w14:paraId="7AFDD663" w14:textId="77777777" w:rsidR="001D088C" w:rsidRPr="00881BC8" w:rsidRDefault="001D088C" w:rsidP="004835F8">
      <w:pPr>
        <w:pStyle w:val="Body"/>
        <w:numPr>
          <w:ilvl w:val="0"/>
          <w:numId w:val="30"/>
        </w:numPr>
        <w:rPr>
          <w:noProof/>
        </w:rPr>
      </w:pPr>
      <w:r w:rsidRPr="00881BC8">
        <w:rPr>
          <w:noProof/>
        </w:rPr>
        <w:t xml:space="preserve">Medium companies: </w:t>
      </w:r>
    </w:p>
    <w:p w14:paraId="7716931D" w14:textId="77777777" w:rsidR="001D088C" w:rsidRPr="00881BC8" w:rsidRDefault="001D088C" w:rsidP="004835F8">
      <w:pPr>
        <w:pStyle w:val="Body"/>
        <w:numPr>
          <w:ilvl w:val="1"/>
          <w:numId w:val="30"/>
        </w:numPr>
        <w:rPr>
          <w:noProof/>
        </w:rPr>
      </w:pPr>
      <w:r w:rsidRPr="00881BC8">
        <w:rPr>
          <w:noProof/>
        </w:rPr>
        <w:t>Large companies are most frequently late payers: 38% of companies negotiate payment conditions on a case-by-case basis, 28% have payment conditions dictated by clients and 21% ask clients to adhere to their specific payment conditions.</w:t>
      </w:r>
    </w:p>
    <w:p w14:paraId="3816C92E" w14:textId="77777777" w:rsidR="001D088C" w:rsidRPr="00881BC8" w:rsidRDefault="001D088C" w:rsidP="004835F8">
      <w:pPr>
        <w:pStyle w:val="Body"/>
        <w:numPr>
          <w:ilvl w:val="1"/>
          <w:numId w:val="30"/>
        </w:numPr>
        <w:rPr>
          <w:noProof/>
        </w:rPr>
      </w:pPr>
      <w:r w:rsidRPr="00881BC8">
        <w:rPr>
          <w:noProof/>
        </w:rPr>
        <w:t>SMEs are most frequently late payers: 39% of companies negotiate payment conditions on a case-by-case basis and 32% ask clients to adhere to their specific payment conditions.</w:t>
      </w:r>
    </w:p>
    <w:p w14:paraId="5D30B71C" w14:textId="77777777" w:rsidR="001D088C" w:rsidRPr="00881BC8" w:rsidRDefault="001D088C" w:rsidP="004835F8">
      <w:pPr>
        <w:pStyle w:val="Body"/>
        <w:numPr>
          <w:ilvl w:val="1"/>
          <w:numId w:val="30"/>
        </w:numPr>
        <w:rPr>
          <w:noProof/>
        </w:rPr>
      </w:pPr>
      <w:r w:rsidRPr="00881BC8">
        <w:rPr>
          <w:noProof/>
        </w:rPr>
        <w:t xml:space="preserve">Micros are most frequently late payers: 68% of companies ask clients to adhere to their specific payment conditions and 16% negotiate payment conditions on a case-by-case basis and </w:t>
      </w:r>
    </w:p>
    <w:p w14:paraId="30ED9F5D" w14:textId="77777777" w:rsidR="001D088C" w:rsidRPr="00881BC8" w:rsidRDefault="001D088C" w:rsidP="004835F8">
      <w:pPr>
        <w:pStyle w:val="NormalPara"/>
        <w:rPr>
          <w:noProof/>
          <w:lang w:val="en-GB"/>
        </w:rPr>
      </w:pPr>
      <w:bookmarkStart w:id="1110" w:name="_Hlk130409374"/>
      <w:r w:rsidRPr="00881BC8">
        <w:rPr>
          <w:noProof/>
          <w:lang w:val="en-GB"/>
        </w:rPr>
        <w:t xml:space="preserve">In general respondents ask for payments within 30 days of the date of the invoice (44% or 411) or within 30 to 60 days (42% or 392). </w:t>
      </w:r>
      <w:bookmarkEnd w:id="1110"/>
      <w:r w:rsidRPr="00881BC8">
        <w:rPr>
          <w:noProof/>
          <w:lang w:val="en-GB"/>
        </w:rPr>
        <w:t>There are differences by size of company as 83% of self-employed and 50% of micros ask to be paid within 30 days (around 30% for small and medium) and 50% of small and medium-sized companies ask to be paid within 60 days (38% for micros and 18% for self-employed).</w:t>
      </w:r>
    </w:p>
    <w:p w14:paraId="270785BC" w14:textId="77777777" w:rsidR="001D088C" w:rsidRPr="00881BC8" w:rsidRDefault="001D088C" w:rsidP="004835F8">
      <w:pPr>
        <w:pStyle w:val="NormalPara"/>
        <w:rPr>
          <w:noProof/>
          <w:lang w:val="en-GB"/>
        </w:rPr>
      </w:pPr>
      <w:r w:rsidRPr="00881BC8">
        <w:rPr>
          <w:noProof/>
          <w:lang w:val="en-GB"/>
        </w:rPr>
        <w:t>Only a small minority asks payments within 60 and 90 days or after 90 days (12% or 116 and 2% or 20 respectively). There are small differences as up to 18% for small companies ask to be paid within 60 and 90 days and up to 4% medium-sized companies ask to be paid after 90 days.</w:t>
      </w:r>
    </w:p>
    <w:p w14:paraId="66A233B1" w14:textId="3515CD64" w:rsidR="001D088C" w:rsidRPr="00881BC8" w:rsidRDefault="00FE69C5" w:rsidP="001D088C">
      <w:pPr>
        <w:pStyle w:val="Text1"/>
        <w:ind w:left="0"/>
        <w:rPr>
          <w:noProof/>
        </w:rPr>
      </w:pPr>
      <w:r w:rsidRPr="00FE69C5">
        <w:rPr>
          <w:noProof/>
        </w:rPr>
        <w:drawing>
          <wp:inline distT="0" distB="0" distL="0" distR="0" wp14:anchorId="11AEB8D9" wp14:editId="03F6FB5D">
            <wp:extent cx="4572000" cy="2743200"/>
            <wp:effectExtent l="0" t="0" r="0" b="0"/>
            <wp:docPr id="185772184" name="Picture 18577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77A6088E" w14:textId="77777777" w:rsidR="001D088C" w:rsidRPr="00881BC8" w:rsidRDefault="001D088C" w:rsidP="004835F8">
      <w:pPr>
        <w:pStyle w:val="NormalPara"/>
        <w:rPr>
          <w:noProof/>
          <w:lang w:val="en-GB"/>
        </w:rPr>
      </w:pPr>
      <w:r w:rsidRPr="00881BC8">
        <w:rPr>
          <w:noProof/>
          <w:lang w:val="en-GB"/>
        </w:rPr>
        <w:t>Also, a large majority (679 out of 939, 72%) is not comfortable when the clients require them to agree to accept payment 60 days or more from the date of the invoice, with no differences among size classes.</w:t>
      </w:r>
    </w:p>
    <w:p w14:paraId="37A32812" w14:textId="77777777" w:rsidR="001D088C" w:rsidRPr="00881BC8" w:rsidRDefault="001D088C" w:rsidP="004835F8">
      <w:pPr>
        <w:pStyle w:val="NormalPara"/>
        <w:rPr>
          <w:noProof/>
          <w:lang w:val="en-GB"/>
        </w:rPr>
      </w:pPr>
      <w:r w:rsidRPr="00881BC8">
        <w:rPr>
          <w:noProof/>
          <w:lang w:val="en-GB"/>
        </w:rPr>
        <w:t xml:space="preserve">Among the reasons for accepting longer payment terms SMEs mostly mentioned the need to retain a client (562), to secure new clients (326) or to safeguard the market position (308) and when there is no other choice (307). </w:t>
      </w:r>
    </w:p>
    <w:p w14:paraId="09451761" w14:textId="1B5DDB3A" w:rsidR="001D088C" w:rsidRPr="00881BC8" w:rsidRDefault="00FE69C5" w:rsidP="001D088C">
      <w:pPr>
        <w:pStyle w:val="Text1"/>
        <w:ind w:left="0"/>
        <w:rPr>
          <w:noProof/>
        </w:rPr>
      </w:pPr>
      <w:r w:rsidRPr="00FE69C5">
        <w:rPr>
          <w:noProof/>
        </w:rPr>
        <w:drawing>
          <wp:inline distT="0" distB="0" distL="0" distR="0" wp14:anchorId="4260D688" wp14:editId="0A16EC45">
            <wp:extent cx="5472430" cy="2801620"/>
            <wp:effectExtent l="0" t="0" r="0" b="0"/>
            <wp:docPr id="185772183" name="Picture 18577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72430" cy="2801620"/>
                    </a:xfrm>
                    <a:prstGeom prst="rect">
                      <a:avLst/>
                    </a:prstGeom>
                    <a:noFill/>
                    <a:ln>
                      <a:noFill/>
                    </a:ln>
                  </pic:spPr>
                </pic:pic>
              </a:graphicData>
            </a:graphic>
          </wp:inline>
        </w:drawing>
      </w:r>
    </w:p>
    <w:p w14:paraId="717CB5A8" w14:textId="77777777" w:rsidR="001D088C" w:rsidRPr="00881BC8" w:rsidRDefault="001D088C" w:rsidP="004835F8">
      <w:pPr>
        <w:pStyle w:val="AnnexLevel2"/>
        <w:rPr>
          <w:noProof/>
          <w:lang w:val="en-GB"/>
        </w:rPr>
      </w:pPr>
      <w:r w:rsidRPr="00881BC8">
        <w:rPr>
          <w:noProof/>
          <w:lang w:val="en-GB"/>
        </w:rPr>
        <w:t>The scale of late payment problem</w:t>
      </w:r>
    </w:p>
    <w:p w14:paraId="5851F19B" w14:textId="77777777" w:rsidR="001D088C" w:rsidRPr="00881BC8" w:rsidRDefault="001D088C" w:rsidP="004835F8">
      <w:pPr>
        <w:pStyle w:val="NormalPara"/>
        <w:rPr>
          <w:noProof/>
          <w:lang w:val="en-GB"/>
        </w:rPr>
      </w:pPr>
      <w:r w:rsidRPr="00881BC8">
        <w:rPr>
          <w:noProof/>
          <w:lang w:val="en-GB"/>
        </w:rPr>
        <w:t xml:space="preserve">Dealing with late payments generates costs in terms of hours spent for informal actions (e.g. sending reminders, making phone calls) and formal steps (e.g. recruiting a lawyer, attending court proceedings, looking for a debt collection company, looking for a mediator). 24% (230 out of 939) SMEs declared between 1 and 19 hours spent for informal actions in relation to late payment, 32% (302) between 20 and 99 hours and 31% (290) even more than 100 hours. Similar situation for the formal actions: 22% (204) spent between 1 and 19 hours, 25% (236) between 20 and 99 hours and 17% (157) more than 100 hours. </w:t>
      </w:r>
    </w:p>
    <w:p w14:paraId="5AAE9FA6" w14:textId="246AD884" w:rsidR="001D088C" w:rsidRPr="00881BC8" w:rsidRDefault="00FE69C5" w:rsidP="001D088C">
      <w:pPr>
        <w:pStyle w:val="Text1"/>
        <w:ind w:left="0"/>
        <w:rPr>
          <w:noProof/>
        </w:rPr>
      </w:pPr>
      <w:r w:rsidRPr="00FE69C5">
        <w:rPr>
          <w:noProof/>
        </w:rPr>
        <w:drawing>
          <wp:inline distT="0" distB="0" distL="0" distR="0" wp14:anchorId="7330BA50" wp14:editId="46E042AE">
            <wp:extent cx="4109720" cy="2371725"/>
            <wp:effectExtent l="0" t="0" r="5080" b="9525"/>
            <wp:docPr id="185772165" name="Picture 18577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09720" cy="2371725"/>
                    </a:xfrm>
                    <a:prstGeom prst="rect">
                      <a:avLst/>
                    </a:prstGeom>
                    <a:noFill/>
                    <a:ln>
                      <a:noFill/>
                    </a:ln>
                  </pic:spPr>
                </pic:pic>
              </a:graphicData>
            </a:graphic>
          </wp:inline>
        </w:drawing>
      </w:r>
    </w:p>
    <w:p w14:paraId="782F830F" w14:textId="08771178" w:rsidR="001D088C" w:rsidRPr="00881BC8" w:rsidRDefault="001D088C" w:rsidP="004835F8">
      <w:pPr>
        <w:pStyle w:val="NormalPara"/>
        <w:rPr>
          <w:noProof/>
          <w:lang w:val="en-GB"/>
        </w:rPr>
      </w:pPr>
      <w:r w:rsidRPr="00881BC8">
        <w:rPr>
          <w:noProof/>
          <w:lang w:val="en-GB"/>
        </w:rPr>
        <w:t xml:space="preserve">Late payments generate also monetary costs, informal (e.g. costs of registered mail, post stamps, cost of phone calls) and formal (e.g. costs of the lawyer, costs of court proceedings, cost of the bailiff, costs of the debt collection company, cost of a mediator). In this case only 10% (93 out of 939) of respondents spent less than </w:t>
      </w:r>
      <w:r w:rsidR="009776A3" w:rsidRPr="00881BC8">
        <w:rPr>
          <w:noProof/>
          <w:lang w:val="en-GB"/>
        </w:rPr>
        <w:t>EUR </w:t>
      </w:r>
      <w:r w:rsidRPr="00881BC8">
        <w:rPr>
          <w:noProof/>
          <w:lang w:val="en-GB"/>
        </w:rPr>
        <w:t xml:space="preserve">100 per year for informal costs and 2% (17) less than </w:t>
      </w:r>
      <w:r w:rsidR="009776A3" w:rsidRPr="00881BC8">
        <w:rPr>
          <w:noProof/>
          <w:lang w:val="en-GB"/>
        </w:rPr>
        <w:t>EUR </w:t>
      </w:r>
      <w:r w:rsidRPr="00881BC8">
        <w:rPr>
          <w:noProof/>
          <w:lang w:val="en-GB"/>
        </w:rPr>
        <w:t xml:space="preserve">100 for formal costs. 34% (320) spent between 100 and </w:t>
      </w:r>
      <w:r w:rsidR="009776A3" w:rsidRPr="00881BC8">
        <w:rPr>
          <w:noProof/>
          <w:lang w:val="en-GB"/>
        </w:rPr>
        <w:t>EUR </w:t>
      </w:r>
      <w:r w:rsidRPr="00881BC8">
        <w:rPr>
          <w:noProof/>
          <w:lang w:val="en-GB"/>
        </w:rPr>
        <w:t xml:space="preserve">999 for informal costs and 16% (148) for formal costs. Finally, 31% (293) and 43% (403) spent more than </w:t>
      </w:r>
      <w:r w:rsidR="009776A3" w:rsidRPr="00881BC8">
        <w:rPr>
          <w:noProof/>
          <w:lang w:val="en-GB"/>
        </w:rPr>
        <w:t>EUR </w:t>
      </w:r>
      <w:r w:rsidRPr="00881BC8">
        <w:rPr>
          <w:noProof/>
          <w:lang w:val="en-GB"/>
        </w:rPr>
        <w:t xml:space="preserve">1000 per year respectively for informal and formal costs. </w:t>
      </w:r>
    </w:p>
    <w:p w14:paraId="51C3DBE5" w14:textId="3DAC1B22" w:rsidR="001D088C" w:rsidRPr="00881BC8" w:rsidRDefault="00FE69C5" w:rsidP="001D088C">
      <w:pPr>
        <w:pStyle w:val="Text1"/>
        <w:ind w:left="0"/>
        <w:rPr>
          <w:noProof/>
        </w:rPr>
      </w:pPr>
      <w:r w:rsidRPr="00FE69C5">
        <w:rPr>
          <w:noProof/>
        </w:rPr>
        <w:drawing>
          <wp:inline distT="0" distB="0" distL="0" distR="0" wp14:anchorId="44E5A10D" wp14:editId="5706DF29">
            <wp:extent cx="4712970" cy="245173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12970" cy="2451735"/>
                    </a:xfrm>
                    <a:prstGeom prst="rect">
                      <a:avLst/>
                    </a:prstGeom>
                    <a:noFill/>
                    <a:ln>
                      <a:noFill/>
                    </a:ln>
                  </pic:spPr>
                </pic:pic>
              </a:graphicData>
            </a:graphic>
          </wp:inline>
        </w:drawing>
      </w:r>
    </w:p>
    <w:p w14:paraId="61D7CD5C" w14:textId="77777777" w:rsidR="001D088C" w:rsidRPr="00881BC8" w:rsidRDefault="001D088C" w:rsidP="001D088C">
      <w:pPr>
        <w:pStyle w:val="Text1"/>
        <w:rPr>
          <w:noProof/>
        </w:rPr>
      </w:pPr>
    </w:p>
    <w:p w14:paraId="2EEE3537" w14:textId="77777777" w:rsidR="001D088C" w:rsidRPr="00881BC8" w:rsidRDefault="001D088C" w:rsidP="004835F8">
      <w:pPr>
        <w:pStyle w:val="NormalPara"/>
        <w:rPr>
          <w:noProof/>
          <w:lang w:val="en-GB"/>
        </w:rPr>
      </w:pPr>
      <w:bookmarkStart w:id="1111" w:name="_Hlk130571492"/>
      <w:r w:rsidRPr="00881BC8">
        <w:rPr>
          <w:noProof/>
          <w:lang w:val="en-GB"/>
        </w:rPr>
        <w:t xml:space="preserve">The number of invoices sent to the clients which are paid late are quite significant as only 32 respondents stated that no invoices were paid late. The majority of SMEs (45% or 425 out of 939) declared that between 1 and 10% of their invoices are paid late, 272 (29%) replied that between 10 and 25% of the invoices are paid late, 120 (13%) declared between 25% and 50% and 66 (7%) reported that more than 50% of their invoices are not paid on time. </w:t>
      </w:r>
    </w:p>
    <w:p w14:paraId="037C3CF3" w14:textId="77777777" w:rsidR="001D088C" w:rsidRPr="00881BC8" w:rsidRDefault="001D088C" w:rsidP="004835F8">
      <w:pPr>
        <w:pStyle w:val="NormalPara"/>
        <w:rPr>
          <w:noProof/>
          <w:lang w:val="en-GB"/>
        </w:rPr>
      </w:pPr>
      <w:r w:rsidRPr="00881BC8">
        <w:rPr>
          <w:noProof/>
          <w:lang w:val="en-GB"/>
        </w:rPr>
        <w:t>63% of self-employed replied that the quota of invoices paid late is limited to 25% of invoices sent, while this happens for 79% of small companies.</w:t>
      </w:r>
    </w:p>
    <w:p w14:paraId="503AF212" w14:textId="6AD3334E" w:rsidR="001D088C" w:rsidRPr="00881BC8" w:rsidRDefault="00FE69C5" w:rsidP="001D088C">
      <w:pPr>
        <w:pStyle w:val="Text1"/>
        <w:ind w:left="0"/>
        <w:rPr>
          <w:noProof/>
        </w:rPr>
      </w:pPr>
      <w:r w:rsidRPr="00FE69C5">
        <w:rPr>
          <w:noProof/>
        </w:rPr>
        <w:drawing>
          <wp:inline distT="0" distB="0" distL="0" distR="0" wp14:anchorId="31E2B7C9" wp14:editId="58630C14">
            <wp:extent cx="4572000" cy="2743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bookmarkEnd w:id="1111"/>
    <w:p w14:paraId="0065746F" w14:textId="77777777" w:rsidR="001D088C" w:rsidRPr="00881BC8" w:rsidRDefault="001D088C" w:rsidP="001D088C">
      <w:pPr>
        <w:pStyle w:val="Text1"/>
        <w:rPr>
          <w:noProof/>
        </w:rPr>
      </w:pPr>
    </w:p>
    <w:p w14:paraId="4F307C46" w14:textId="77777777" w:rsidR="001D088C" w:rsidRPr="00881BC8" w:rsidRDefault="001D088C" w:rsidP="004835F8">
      <w:pPr>
        <w:pStyle w:val="NormalPara"/>
        <w:rPr>
          <w:noProof/>
          <w:lang w:val="en-GB"/>
        </w:rPr>
      </w:pPr>
      <w:bookmarkStart w:id="1112" w:name="_Hlk130571580"/>
      <w:r w:rsidRPr="00881BC8">
        <w:rPr>
          <w:noProof/>
          <w:lang w:val="en-GB"/>
        </w:rPr>
        <w:t>This is reflected by the replies concerning the turnover. Only 31 respondents (3%) stated that their business turnover was not affected by the late payment of the invoices. 395 respondents (42%) replied that 1 to 10% of the turnover was affected, 255 (27%) between 10 and 25%, 145 (15%) between 25% and 50% and 84 (9%) more than 50%. No significant differences are found by size of company.</w:t>
      </w:r>
    </w:p>
    <w:p w14:paraId="121C5AE2" w14:textId="7D532DF7" w:rsidR="001D088C" w:rsidRPr="00881BC8" w:rsidRDefault="00FE69C5" w:rsidP="001D088C">
      <w:pPr>
        <w:pStyle w:val="Text1"/>
        <w:ind w:left="0"/>
        <w:rPr>
          <w:noProof/>
        </w:rPr>
      </w:pPr>
      <w:r w:rsidRPr="00FE69C5">
        <w:rPr>
          <w:noProof/>
        </w:rPr>
        <w:drawing>
          <wp:inline distT="0" distB="0" distL="0" distR="0" wp14:anchorId="57DE3416" wp14:editId="0B029678">
            <wp:extent cx="4572000" cy="2743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bookmarkEnd w:id="1112"/>
    <w:p w14:paraId="64D73C9B" w14:textId="77777777" w:rsidR="001D088C" w:rsidRPr="00881BC8" w:rsidRDefault="001D088C" w:rsidP="001D088C">
      <w:pPr>
        <w:pStyle w:val="Text1"/>
        <w:rPr>
          <w:noProof/>
        </w:rPr>
      </w:pPr>
    </w:p>
    <w:p w14:paraId="303D0277" w14:textId="77777777" w:rsidR="001D088C" w:rsidRPr="00881BC8" w:rsidRDefault="001D088C" w:rsidP="004835F8">
      <w:pPr>
        <w:pStyle w:val="NormalPara"/>
        <w:rPr>
          <w:noProof/>
          <w:lang w:val="en-GB"/>
        </w:rPr>
      </w:pPr>
      <w:r w:rsidRPr="00881BC8">
        <w:rPr>
          <w:noProof/>
          <w:lang w:val="en-GB"/>
        </w:rPr>
        <w:t>The recent problems (e.g. COVID-19, rising energy prices, inflation etc.) had a negative impact on the payment behaviour of the clients. 47% (440) of participants noticed a deterioration (50% of small and 58% of medium-sized companies) while 40% (372) did not notice any change (44% of micros).</w:t>
      </w:r>
    </w:p>
    <w:p w14:paraId="6B700AA2" w14:textId="77777777" w:rsidR="001D088C" w:rsidRPr="00881BC8" w:rsidRDefault="001D088C" w:rsidP="004835F8">
      <w:pPr>
        <w:pStyle w:val="AnnexLevel2"/>
        <w:rPr>
          <w:noProof/>
          <w:lang w:val="en-GB"/>
        </w:rPr>
      </w:pPr>
      <w:r w:rsidRPr="00881BC8">
        <w:rPr>
          <w:noProof/>
          <w:lang w:val="en-GB"/>
        </w:rPr>
        <w:t>Unfair payment practices</w:t>
      </w:r>
    </w:p>
    <w:p w14:paraId="4454C936" w14:textId="77777777" w:rsidR="001D088C" w:rsidRPr="00881BC8" w:rsidRDefault="001D088C" w:rsidP="004835F8">
      <w:pPr>
        <w:pStyle w:val="NormalPara"/>
        <w:rPr>
          <w:noProof/>
          <w:lang w:val="en-GB"/>
        </w:rPr>
      </w:pPr>
      <w:r w:rsidRPr="00881BC8">
        <w:rPr>
          <w:noProof/>
          <w:lang w:val="en-GB"/>
        </w:rPr>
        <w:t xml:space="preserve">The most reported unfair practice is to “modify retroactively key contractual provisions (e.g., on price, quantity or quality of goods/services, delivery times, etc.) in order to postpone the payment” as 68% (640 out of 939) of respondents experienced it at least once and only 23% (220) never experienced it. This practice is experienced often when the late payer is most frequently a large (26%) or medium/small company (25%) compared to micros (18%). </w:t>
      </w:r>
    </w:p>
    <w:p w14:paraId="03B7E6E0" w14:textId="77777777" w:rsidR="001D088C" w:rsidRPr="00881BC8" w:rsidRDefault="001D088C" w:rsidP="004835F8">
      <w:pPr>
        <w:pStyle w:val="NormalPara"/>
        <w:rPr>
          <w:noProof/>
          <w:lang w:val="en-GB"/>
        </w:rPr>
      </w:pPr>
      <w:r w:rsidRPr="00881BC8">
        <w:rPr>
          <w:noProof/>
          <w:lang w:val="en-GB"/>
        </w:rPr>
        <w:t>43% (400) of SMEs replied that their clients never “pay with financial products (e.g reverse factoring, "confirming") so that in order to claim payment within the agreed contractual terms, they have to pay fees and/or discounts” (45% of SMEs experienced it at least once). When micros are most frequently late payers, this practice is never experienced by 54% of SMEs (against 33% when the late payer is most frequently a large company).</w:t>
      </w:r>
    </w:p>
    <w:p w14:paraId="234E667B" w14:textId="77777777" w:rsidR="001D088C" w:rsidRPr="00881BC8" w:rsidRDefault="001D088C" w:rsidP="004835F8">
      <w:pPr>
        <w:pStyle w:val="NormalPara"/>
        <w:rPr>
          <w:noProof/>
          <w:lang w:val="en-GB"/>
        </w:rPr>
      </w:pPr>
      <w:r w:rsidRPr="00881BC8">
        <w:rPr>
          <w:noProof/>
          <w:lang w:val="en-GB"/>
        </w:rPr>
        <w:t>Another used unfair practice is to “deliberately delay the acceptance of services provided and/or of goods delivered to postpone payment” (66% of respondent, 622, encountered it at least once). Small and medium-sized companies are those more likely to have experienced it at least once (74%). This practice is experienced more often when the late payer is most frequently a large company (36%). On average 25% (235) of the respondents never experiences this practice and 31% of them never experienced it when the late payer is most frequently a micro-company.</w:t>
      </w:r>
    </w:p>
    <w:p w14:paraId="11BE49B7" w14:textId="77777777" w:rsidR="001D088C" w:rsidRPr="00881BC8" w:rsidRDefault="001D088C" w:rsidP="004835F8">
      <w:pPr>
        <w:pStyle w:val="NormalPara"/>
        <w:rPr>
          <w:noProof/>
          <w:lang w:val="en-GB"/>
        </w:rPr>
      </w:pPr>
      <w:r w:rsidRPr="00881BC8">
        <w:rPr>
          <w:iCs/>
          <w:noProof/>
          <w:lang w:val="en-GB"/>
        </w:rPr>
        <w:t>“Deliberately contest the invoice” is</w:t>
      </w:r>
      <w:r w:rsidRPr="00881BC8">
        <w:rPr>
          <w:noProof/>
          <w:lang w:val="en-GB"/>
        </w:rPr>
        <w:t xml:space="preserve"> less used as respectively 33% (315) and 43% (406) of respondents never or rarely incurred in this practice (58% or 547 experienced it at least once). Medium-sized companies are those more likely to be often confronted with the contestation of the invoice (18% compared to 13% of the SME average). This practice is experienced often when the late payer is most frequently a large company (20%).</w:t>
      </w:r>
    </w:p>
    <w:p w14:paraId="4C1E9A77" w14:textId="5F1FF598" w:rsidR="001D088C" w:rsidRPr="00881BC8" w:rsidRDefault="001D088C" w:rsidP="004835F8">
      <w:pPr>
        <w:pStyle w:val="NormalPara"/>
        <w:rPr>
          <w:noProof/>
          <w:lang w:val="en-GB"/>
        </w:rPr>
      </w:pPr>
      <w:r w:rsidRPr="00881BC8">
        <w:rPr>
          <w:noProof/>
          <w:lang w:val="en-GB"/>
        </w:rPr>
        <w:t xml:space="preserve">The interests and the </w:t>
      </w:r>
      <w:r w:rsidR="009776A3" w:rsidRPr="00881BC8">
        <w:rPr>
          <w:noProof/>
          <w:lang w:val="en-GB"/>
        </w:rPr>
        <w:t>EUR </w:t>
      </w:r>
      <w:r w:rsidRPr="00881BC8">
        <w:rPr>
          <w:noProof/>
          <w:lang w:val="en-GB"/>
        </w:rPr>
        <w:t>40 compensation are never paid automatically in the 80% of cases (754 out of 939) and rarely in 8% of cases (79). 15% of medium-sized companies replied that they rarely receive interest and compensation. Interest and compensation are more frequently never paid when the late payer is most frequently a large company (87% compared to 70% when the late payer is most frequently a micro-company).</w:t>
      </w:r>
    </w:p>
    <w:p w14:paraId="4D18AEC8" w14:textId="4ED590B0" w:rsidR="001D088C" w:rsidRPr="00881BC8" w:rsidRDefault="00FE69C5" w:rsidP="001D088C">
      <w:pPr>
        <w:pStyle w:val="Text1"/>
        <w:ind w:left="0"/>
        <w:rPr>
          <w:noProof/>
        </w:rPr>
      </w:pPr>
      <w:r w:rsidRPr="00FE69C5">
        <w:rPr>
          <w:noProof/>
        </w:rPr>
        <w:drawing>
          <wp:inline distT="0" distB="0" distL="0" distR="0" wp14:anchorId="1D71737E" wp14:editId="3A537215">
            <wp:extent cx="5472430" cy="24701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72430" cy="2470150"/>
                    </a:xfrm>
                    <a:prstGeom prst="rect">
                      <a:avLst/>
                    </a:prstGeom>
                    <a:noFill/>
                    <a:ln>
                      <a:noFill/>
                    </a:ln>
                  </pic:spPr>
                </pic:pic>
              </a:graphicData>
            </a:graphic>
          </wp:inline>
        </w:drawing>
      </w:r>
    </w:p>
    <w:p w14:paraId="0AE1C610" w14:textId="77777777" w:rsidR="001D088C" w:rsidRPr="00881BC8" w:rsidRDefault="001D088C" w:rsidP="004835F8">
      <w:pPr>
        <w:pStyle w:val="AnnexLevel2"/>
        <w:rPr>
          <w:noProof/>
          <w:lang w:val="en-GB"/>
        </w:rPr>
      </w:pPr>
      <w:r w:rsidRPr="00881BC8">
        <w:rPr>
          <w:noProof/>
          <w:lang w:val="en-GB"/>
        </w:rPr>
        <w:t>Dispute about payment delays</w:t>
      </w:r>
    </w:p>
    <w:p w14:paraId="127800EC" w14:textId="77777777" w:rsidR="001D088C" w:rsidRPr="00881BC8" w:rsidRDefault="001D088C" w:rsidP="004835F8">
      <w:pPr>
        <w:pStyle w:val="NormalPara"/>
        <w:rPr>
          <w:noProof/>
          <w:lang w:val="en-GB"/>
        </w:rPr>
      </w:pPr>
      <w:r w:rsidRPr="00881BC8">
        <w:rPr>
          <w:noProof/>
          <w:lang w:val="en-GB"/>
        </w:rPr>
        <w:t>Only 30% (278 out of 939) of respondents did not have disputes related to late payment while 66% (621) had at least one (58% or 547 rarely and 8% or 74 often). The bigger the SMEs the more likely it is to have had disputes; medium-sized companies are more likely to often have disputes (13%), while self-employed and micros are more likely to have never had disputes (47% and 36%).</w:t>
      </w:r>
    </w:p>
    <w:p w14:paraId="20C81E8D" w14:textId="77777777" w:rsidR="001D088C" w:rsidRPr="00881BC8" w:rsidRDefault="001D088C" w:rsidP="004835F8">
      <w:pPr>
        <w:pStyle w:val="NormalPara"/>
        <w:rPr>
          <w:noProof/>
          <w:lang w:val="en-GB"/>
        </w:rPr>
      </w:pPr>
      <w:r w:rsidRPr="00881BC8">
        <w:rPr>
          <w:noProof/>
          <w:lang w:val="en-GB"/>
        </w:rPr>
        <w:t xml:space="preserve">In the last two years 46% (430) respondents had between 1 and 9 disputes, 11% (102) between 10 and 49 disputes and 39% (369) had no disputes. </w:t>
      </w:r>
    </w:p>
    <w:p w14:paraId="3848BF45" w14:textId="52AB03A4" w:rsidR="001D088C" w:rsidRPr="00881BC8" w:rsidRDefault="00FE69C5" w:rsidP="001D088C">
      <w:pPr>
        <w:pStyle w:val="Text1"/>
        <w:rPr>
          <w:noProof/>
        </w:rPr>
      </w:pPr>
      <w:r w:rsidRPr="00FE69C5">
        <w:rPr>
          <w:noProof/>
        </w:rPr>
        <w:drawing>
          <wp:inline distT="0" distB="0" distL="0" distR="0" wp14:anchorId="4B63493B" wp14:editId="2136E990">
            <wp:extent cx="2451735" cy="2461895"/>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51735" cy="2461895"/>
                    </a:xfrm>
                    <a:prstGeom prst="rect">
                      <a:avLst/>
                    </a:prstGeom>
                    <a:noFill/>
                    <a:ln>
                      <a:noFill/>
                    </a:ln>
                  </pic:spPr>
                </pic:pic>
              </a:graphicData>
            </a:graphic>
          </wp:inline>
        </w:drawing>
      </w:r>
      <w:r w:rsidR="001D088C" w:rsidRPr="00881BC8">
        <w:rPr>
          <w:noProof/>
        </w:rPr>
        <w:t xml:space="preserve"> </w:t>
      </w:r>
      <w:r w:rsidRPr="00FE69C5">
        <w:rPr>
          <w:noProof/>
        </w:rPr>
        <w:drawing>
          <wp:inline distT="0" distB="0" distL="0" distR="0" wp14:anchorId="4C19554F" wp14:editId="526A1FA5">
            <wp:extent cx="2501900" cy="24618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01900" cy="2461895"/>
                    </a:xfrm>
                    <a:prstGeom prst="rect">
                      <a:avLst/>
                    </a:prstGeom>
                    <a:noFill/>
                    <a:ln>
                      <a:noFill/>
                    </a:ln>
                  </pic:spPr>
                </pic:pic>
              </a:graphicData>
            </a:graphic>
          </wp:inline>
        </w:drawing>
      </w:r>
    </w:p>
    <w:p w14:paraId="59DE8ECF" w14:textId="77777777" w:rsidR="001D088C" w:rsidRPr="00881BC8" w:rsidRDefault="001D088C" w:rsidP="001D088C">
      <w:pPr>
        <w:pStyle w:val="Text1"/>
        <w:rPr>
          <w:noProof/>
        </w:rPr>
      </w:pPr>
    </w:p>
    <w:p w14:paraId="4A1985BF" w14:textId="77777777" w:rsidR="001D088C" w:rsidRPr="00881BC8" w:rsidRDefault="001D088C" w:rsidP="004835F8">
      <w:pPr>
        <w:pStyle w:val="NormalPara"/>
        <w:rPr>
          <w:noProof/>
          <w:lang w:val="en-GB"/>
        </w:rPr>
      </w:pPr>
      <w:r w:rsidRPr="00881BC8">
        <w:rPr>
          <w:noProof/>
          <w:lang w:val="en-GB"/>
        </w:rPr>
        <w:t xml:space="preserve">On the remedies side, the most used one by far was the direct solution with the other business. 60% of respondents (563) used this solution normally and 16% (150) at least once. </w:t>
      </w:r>
    </w:p>
    <w:p w14:paraId="502CD577" w14:textId="77777777" w:rsidR="001D088C" w:rsidRPr="00881BC8" w:rsidRDefault="001D088C" w:rsidP="004835F8">
      <w:pPr>
        <w:pStyle w:val="NormalPara"/>
        <w:rPr>
          <w:noProof/>
          <w:lang w:val="en-GB"/>
        </w:rPr>
      </w:pPr>
      <w:r w:rsidRPr="00881BC8">
        <w:rPr>
          <w:noProof/>
          <w:lang w:val="en-GB"/>
        </w:rPr>
        <w:t xml:space="preserve">This solution was considered at the same time cheaper (60% or 568 of SMEs) and faster (54% or 509 of SMEs). </w:t>
      </w:r>
    </w:p>
    <w:p w14:paraId="63061157" w14:textId="77777777" w:rsidR="001D088C" w:rsidRPr="00881BC8" w:rsidRDefault="001D088C" w:rsidP="004835F8">
      <w:pPr>
        <w:pStyle w:val="NormalPara"/>
        <w:rPr>
          <w:noProof/>
          <w:lang w:val="en-GB"/>
        </w:rPr>
      </w:pPr>
      <w:r w:rsidRPr="00881BC8">
        <w:rPr>
          <w:noProof/>
          <w:lang w:val="en-GB"/>
        </w:rPr>
        <w:t>The other remedies are not used so often as court proceedings was never used by 38% of respondents (354). The smaller the company, the less this remedy is used: 60% of self-employed, 47% of micros, 28% of small and 20% of medium-seized companies never used it.</w:t>
      </w:r>
    </w:p>
    <w:p w14:paraId="7AD43202" w14:textId="77777777" w:rsidR="001D088C" w:rsidRPr="00881BC8" w:rsidRDefault="001D088C" w:rsidP="004835F8">
      <w:pPr>
        <w:pStyle w:val="NormalPara"/>
        <w:rPr>
          <w:noProof/>
          <w:lang w:val="en-GB"/>
        </w:rPr>
      </w:pPr>
      <w:bookmarkStart w:id="1113" w:name="_Hlk130400973"/>
      <w:r w:rsidRPr="00881BC8">
        <w:rPr>
          <w:noProof/>
          <w:lang w:val="en-GB"/>
        </w:rPr>
        <w:t xml:space="preserve">Mediation was never used by 52% </w:t>
      </w:r>
      <w:bookmarkEnd w:id="1113"/>
      <w:r w:rsidRPr="00881BC8">
        <w:rPr>
          <w:noProof/>
          <w:lang w:val="en-GB"/>
        </w:rPr>
        <w:t>of SMEs (487) and arbitration by 67% (631).</w:t>
      </w:r>
    </w:p>
    <w:p w14:paraId="398F7D26" w14:textId="77777777" w:rsidR="001D088C" w:rsidRPr="00881BC8" w:rsidRDefault="001D088C" w:rsidP="004835F8">
      <w:pPr>
        <w:pStyle w:val="NormalPara"/>
        <w:rPr>
          <w:noProof/>
          <w:lang w:val="en-GB"/>
        </w:rPr>
      </w:pPr>
      <w:r w:rsidRPr="00881BC8">
        <w:rPr>
          <w:noProof/>
          <w:lang w:val="en-GB"/>
        </w:rPr>
        <w:t>All remedies are more frequently used by larger SMEs.</w:t>
      </w:r>
    </w:p>
    <w:p w14:paraId="50C0EF8C" w14:textId="77777777" w:rsidR="001D088C" w:rsidRPr="00881BC8" w:rsidRDefault="001D088C" w:rsidP="004835F8">
      <w:pPr>
        <w:pStyle w:val="NormalPara"/>
        <w:rPr>
          <w:noProof/>
          <w:lang w:val="en-GB"/>
        </w:rPr>
      </w:pPr>
      <w:r w:rsidRPr="00881BC8">
        <w:rPr>
          <w:noProof/>
          <w:lang w:val="en-GB"/>
        </w:rPr>
        <w:t>When asked about the last time the SME tried to resolve a late payment issue, only 7% of SMEs (68) replied that they preferred not to take any action at all (but only 2% of medium-sized companies), while 47% (442) solved the issue directly with the client and 18% (170) took the matter to court.</w:t>
      </w:r>
    </w:p>
    <w:p w14:paraId="14B2B869" w14:textId="77777777" w:rsidR="001D088C" w:rsidRPr="00881BC8" w:rsidRDefault="001D088C" w:rsidP="001D088C">
      <w:pPr>
        <w:pStyle w:val="Body"/>
        <w:rPr>
          <w:noProof/>
        </w:rPr>
      </w:pPr>
    </w:p>
    <w:p w14:paraId="275952DD" w14:textId="5EC2E368" w:rsidR="001D088C" w:rsidRPr="00881BC8" w:rsidRDefault="00FE69C5" w:rsidP="001D088C">
      <w:pPr>
        <w:pStyle w:val="Text1"/>
        <w:ind w:left="0"/>
        <w:rPr>
          <w:noProof/>
        </w:rPr>
      </w:pPr>
      <w:r w:rsidRPr="00FE69C5">
        <w:rPr>
          <w:noProof/>
        </w:rPr>
        <w:drawing>
          <wp:inline distT="0" distB="0" distL="0" distR="0" wp14:anchorId="4BF8BBCD" wp14:editId="051E26DF">
            <wp:extent cx="5472430" cy="24803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72430" cy="2480310"/>
                    </a:xfrm>
                    <a:prstGeom prst="rect">
                      <a:avLst/>
                    </a:prstGeom>
                    <a:noFill/>
                    <a:ln>
                      <a:noFill/>
                    </a:ln>
                  </pic:spPr>
                </pic:pic>
              </a:graphicData>
            </a:graphic>
          </wp:inline>
        </w:drawing>
      </w:r>
    </w:p>
    <w:p w14:paraId="28CC9D09" w14:textId="77777777" w:rsidR="001D088C" w:rsidRPr="00881BC8" w:rsidRDefault="001D088C" w:rsidP="001D088C">
      <w:pPr>
        <w:spacing w:after="200" w:line="276" w:lineRule="auto"/>
        <w:jc w:val="left"/>
        <w:rPr>
          <w:noProof/>
        </w:rPr>
      </w:pPr>
    </w:p>
    <w:p w14:paraId="4CB13750" w14:textId="3F39C816" w:rsidR="001D088C" w:rsidRPr="00881BC8" w:rsidRDefault="00FE69C5" w:rsidP="001D088C">
      <w:pPr>
        <w:spacing w:after="200" w:line="276" w:lineRule="auto"/>
        <w:jc w:val="left"/>
        <w:rPr>
          <w:noProof/>
        </w:rPr>
      </w:pPr>
      <w:r w:rsidRPr="00FE69C5">
        <w:rPr>
          <w:noProof/>
        </w:rPr>
        <w:drawing>
          <wp:inline distT="0" distB="0" distL="0" distR="0" wp14:anchorId="60AAC127" wp14:editId="7031BD58">
            <wp:extent cx="5426075" cy="3124835"/>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26075" cy="3124835"/>
                    </a:xfrm>
                    <a:prstGeom prst="rect">
                      <a:avLst/>
                    </a:prstGeom>
                    <a:noFill/>
                    <a:ln>
                      <a:noFill/>
                    </a:ln>
                  </pic:spPr>
                </pic:pic>
              </a:graphicData>
            </a:graphic>
          </wp:inline>
        </w:drawing>
      </w:r>
    </w:p>
    <w:p w14:paraId="72F2329D" w14:textId="508CB7D5" w:rsidR="00F6691B" w:rsidRPr="00881BC8" w:rsidRDefault="00F6691B">
      <w:pPr>
        <w:spacing w:after="200" w:line="276" w:lineRule="auto"/>
        <w:jc w:val="left"/>
        <w:rPr>
          <w:noProof/>
        </w:rPr>
      </w:pPr>
      <w:r w:rsidRPr="00881BC8">
        <w:rPr>
          <w:noProof/>
        </w:rPr>
        <w:br w:type="page"/>
      </w:r>
    </w:p>
    <w:p w14:paraId="41753787" w14:textId="77777777" w:rsidR="00F6691B" w:rsidRPr="00881BC8" w:rsidRDefault="00F6691B" w:rsidP="001D088C">
      <w:pPr>
        <w:spacing w:after="200" w:line="276" w:lineRule="auto"/>
        <w:jc w:val="left"/>
        <w:rPr>
          <w:noProof/>
        </w:rPr>
      </w:pPr>
    </w:p>
    <w:p w14:paraId="1F2E8A13" w14:textId="17F3C579" w:rsidR="008274AB" w:rsidRPr="00881BC8" w:rsidRDefault="008274AB" w:rsidP="00CF2B67">
      <w:pPr>
        <w:pStyle w:val="AnnexTitle"/>
        <w:rPr>
          <w:noProof/>
        </w:rPr>
      </w:pPr>
      <w:bookmarkStart w:id="1114" w:name="Annex17"/>
      <w:bookmarkStart w:id="1115" w:name="_Toc135237466"/>
      <w:r w:rsidRPr="00881BC8">
        <w:rPr>
          <w:noProof/>
        </w:rPr>
        <w:t>Annex 1</w:t>
      </w:r>
      <w:r w:rsidR="00036987" w:rsidRPr="00881BC8">
        <w:rPr>
          <w:noProof/>
        </w:rPr>
        <w:t>7</w:t>
      </w:r>
      <w:bookmarkEnd w:id="1114"/>
      <w:r w:rsidRPr="00881BC8">
        <w:rPr>
          <w:noProof/>
        </w:rPr>
        <w:t xml:space="preserve">: </w:t>
      </w:r>
      <w:r w:rsidRPr="00881BC8">
        <w:rPr>
          <w:noProof/>
        </w:rPr>
        <w:tab/>
      </w:r>
      <w:r w:rsidR="00D05A48" w:rsidRPr="00881BC8">
        <w:rPr>
          <w:noProof/>
        </w:rPr>
        <w:t>Mapping l</w:t>
      </w:r>
      <w:r w:rsidR="00ED67EB" w:rsidRPr="00881BC8">
        <w:rPr>
          <w:noProof/>
        </w:rPr>
        <w:t>ate payment in the EU</w:t>
      </w:r>
      <w:bookmarkEnd w:id="1115"/>
      <w:r w:rsidR="00EB4E62" w:rsidRPr="00881BC8">
        <w:rPr>
          <w:noProof/>
        </w:rPr>
        <w:t xml:space="preserve"> </w:t>
      </w:r>
    </w:p>
    <w:p w14:paraId="76B8B97F" w14:textId="567FBE62" w:rsidR="00B6380A" w:rsidRPr="00881BC8" w:rsidRDefault="00B6380A" w:rsidP="004835F8">
      <w:pPr>
        <w:pStyle w:val="AnnexLevel1"/>
        <w:tabs>
          <w:tab w:val="clear" w:pos="1200"/>
        </w:tabs>
        <w:ind w:left="709"/>
        <w:rPr>
          <w:noProof/>
          <w:lang w:val="en-GB"/>
        </w:rPr>
      </w:pPr>
      <w:bookmarkStart w:id="1116" w:name="_Hlk131350525"/>
      <w:r w:rsidRPr="00881BC8">
        <w:rPr>
          <w:noProof/>
          <w:lang w:val="en-GB"/>
        </w:rPr>
        <w:t>Late payment delays</w:t>
      </w:r>
      <w:r w:rsidR="00C559BC" w:rsidRPr="00881BC8">
        <w:rPr>
          <w:noProof/>
          <w:lang w:val="en-GB"/>
        </w:rPr>
        <w:t xml:space="preserve"> in days</w:t>
      </w:r>
    </w:p>
    <w:p w14:paraId="04B4227F" w14:textId="69C26829" w:rsidR="00A61727" w:rsidRPr="00881BC8" w:rsidRDefault="00FE69C5" w:rsidP="00FE65C1">
      <w:pPr>
        <w:pStyle w:val="Caption"/>
        <w:rPr>
          <w:noProof/>
          <w:lang w:val="en-GB"/>
        </w:rPr>
      </w:pPr>
      <w:commentRangeStart w:id="1117"/>
      <w:commentRangeEnd w:id="1117"/>
      <w:r>
        <w:rPr>
          <w:rStyle w:val="CommentReference"/>
          <w:rFonts w:eastAsiaTheme="minorHAnsi"/>
          <w:b w:val="0"/>
          <w:color w:val="auto"/>
          <w:lang w:val="en-GB"/>
        </w:rPr>
        <w:commentReference w:id="1117"/>
      </w:r>
      <w:r w:rsidRPr="00FE69C5">
        <w:rPr>
          <w:noProof/>
        </w:rPr>
        <w:drawing>
          <wp:inline distT="0" distB="0" distL="0" distR="0" wp14:anchorId="1F920505" wp14:editId="4C18D468">
            <wp:extent cx="5472430" cy="22110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72430" cy="2211070"/>
                    </a:xfrm>
                    <a:prstGeom prst="rect">
                      <a:avLst/>
                    </a:prstGeom>
                    <a:noFill/>
                    <a:ln>
                      <a:noFill/>
                    </a:ln>
                  </pic:spPr>
                </pic:pic>
              </a:graphicData>
            </a:graphic>
          </wp:inline>
        </w:drawing>
      </w:r>
      <w:r w:rsidR="00A61727" w:rsidRPr="00881BC8">
        <w:rPr>
          <w:noProof/>
          <w:lang w:val="en-GB"/>
        </w:rPr>
        <w:t xml:space="preserve">Figure </w:t>
      </w:r>
      <w:r w:rsidR="005851F4">
        <w:rPr>
          <w:noProof/>
          <w:lang w:val="en-GB"/>
        </w:rPr>
        <w:t>6</w:t>
      </w:r>
      <w:r w:rsidR="00A61727" w:rsidRPr="00881BC8">
        <w:rPr>
          <w:noProof/>
          <w:lang w:val="en-GB"/>
        </w:rPr>
        <w:t>: Payment terms and actual payment duration as creditor, in 2022</w:t>
      </w:r>
      <w:r w:rsidR="00A61727" w:rsidRPr="00881BC8">
        <w:rPr>
          <w:rStyle w:val="FootnoteReference"/>
          <w:noProof/>
          <w:lang w:val="en-GB"/>
        </w:rPr>
        <w:footnoteReference w:id="295"/>
      </w:r>
    </w:p>
    <w:bookmarkEnd w:id="1116"/>
    <w:p w14:paraId="72742990" w14:textId="77777777" w:rsidR="00D970C8" w:rsidRPr="00881BC8" w:rsidRDefault="00D970C8" w:rsidP="00D970C8">
      <w:pPr>
        <w:rPr>
          <w:noProof/>
        </w:rPr>
      </w:pPr>
    </w:p>
    <w:p w14:paraId="08351CA2" w14:textId="37B694B8" w:rsidR="00B6380A" w:rsidRPr="00881BC8" w:rsidRDefault="00B6380A" w:rsidP="004835F8">
      <w:pPr>
        <w:pStyle w:val="AnnexLevel1"/>
        <w:tabs>
          <w:tab w:val="clear" w:pos="1200"/>
        </w:tabs>
        <w:ind w:left="709"/>
        <w:rPr>
          <w:noProof/>
          <w:lang w:val="en-GB"/>
        </w:rPr>
      </w:pPr>
      <w:r w:rsidRPr="00881BC8">
        <w:rPr>
          <w:noProof/>
          <w:lang w:val="en-GB"/>
        </w:rPr>
        <w:t>Late payment in Member States</w:t>
      </w:r>
    </w:p>
    <w:p w14:paraId="15F4B8E7" w14:textId="621216A0" w:rsidR="003A2788" w:rsidRPr="00881BC8" w:rsidRDefault="003A2788" w:rsidP="004835F8">
      <w:pPr>
        <w:pStyle w:val="NormalPara"/>
        <w:rPr>
          <w:noProof/>
          <w:lang w:val="en-GB"/>
        </w:rPr>
      </w:pPr>
      <w:r w:rsidRPr="00881BC8">
        <w:rPr>
          <w:noProof/>
          <w:lang w:val="en-GB"/>
        </w:rPr>
        <w:t>Late payments are widespread in the business environment across the EU. In 11 out of 19 EU Member States listed in Figure 6, more than 50% of payments were made late in Q4 2021.</w:t>
      </w:r>
    </w:p>
    <w:p w14:paraId="2261A3B4" w14:textId="77943C80" w:rsidR="006A29B9" w:rsidRPr="00881BC8" w:rsidRDefault="006A29B9" w:rsidP="006A29B9">
      <w:pPr>
        <w:pStyle w:val="Caption"/>
        <w:rPr>
          <w:noProof/>
          <w:lang w:val="en-GB"/>
        </w:rPr>
      </w:pPr>
      <w:r w:rsidRPr="00881BC8">
        <w:rPr>
          <w:noProof/>
          <w:lang w:val="en-GB"/>
        </w:rPr>
        <w:t xml:space="preserve">Figure </w:t>
      </w:r>
      <w:r w:rsidR="005851F4">
        <w:rPr>
          <w:noProof/>
          <w:lang w:val="en-GB"/>
        </w:rPr>
        <w:t>7</w:t>
      </w:r>
      <w:r w:rsidRPr="00881BC8">
        <w:rPr>
          <w:noProof/>
          <w:lang w:val="en-GB"/>
        </w:rPr>
        <w:t>: Share of timely payments in EU Member States for which data is available</w:t>
      </w:r>
      <w:r w:rsidRPr="00881BC8">
        <w:rPr>
          <w:rStyle w:val="FootnoteReference"/>
          <w:noProof/>
          <w:lang w:val="en-GB"/>
        </w:rPr>
        <w:footnoteReference w:id="296"/>
      </w:r>
    </w:p>
    <w:p w14:paraId="6AFAE5E5" w14:textId="4CB26F4C" w:rsidR="004A1795" w:rsidRPr="00881BC8" w:rsidRDefault="00FE69C5" w:rsidP="00344CB3">
      <w:pPr>
        <w:rPr>
          <w:noProof/>
        </w:rPr>
      </w:pPr>
      <w:r w:rsidRPr="00FE69C5">
        <w:rPr>
          <w:noProof/>
        </w:rPr>
        <w:drawing>
          <wp:inline distT="0" distB="0" distL="0" distR="0" wp14:anchorId="274584EC" wp14:editId="373C69F2">
            <wp:extent cx="5472430" cy="20986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72430" cy="2098675"/>
                    </a:xfrm>
                    <a:prstGeom prst="rect">
                      <a:avLst/>
                    </a:prstGeom>
                    <a:noFill/>
                    <a:ln>
                      <a:noFill/>
                    </a:ln>
                  </pic:spPr>
                </pic:pic>
              </a:graphicData>
            </a:graphic>
          </wp:inline>
        </w:drawing>
      </w:r>
    </w:p>
    <w:p w14:paraId="317F0B81" w14:textId="19105AE5" w:rsidR="00F47F22" w:rsidRPr="00881BC8" w:rsidRDefault="00F47F22" w:rsidP="004835F8">
      <w:pPr>
        <w:pStyle w:val="NormalPara"/>
        <w:rPr>
          <w:noProof/>
          <w:lang w:val="en-GB"/>
        </w:rPr>
      </w:pPr>
      <w:r w:rsidRPr="00881BC8">
        <w:rPr>
          <w:rStyle w:val="normaltextrun"/>
          <w:noProof/>
          <w:lang w:val="en-GB"/>
        </w:rPr>
        <w:t xml:space="preserve">Longer payment terms in B2B transactions </w:t>
      </w:r>
      <w:r w:rsidR="00C46548" w:rsidRPr="00881BC8">
        <w:rPr>
          <w:rStyle w:val="normaltextrun"/>
          <w:noProof/>
          <w:lang w:val="en-GB"/>
        </w:rPr>
        <w:t>came up</w:t>
      </w:r>
      <w:r w:rsidRPr="00881BC8">
        <w:rPr>
          <w:rStyle w:val="normaltextrun"/>
          <w:noProof/>
          <w:lang w:val="en-GB"/>
        </w:rPr>
        <w:t xml:space="preserve"> </w:t>
      </w:r>
      <w:r w:rsidR="00C46548" w:rsidRPr="00881BC8">
        <w:rPr>
          <w:rStyle w:val="normaltextrun"/>
          <w:noProof/>
          <w:lang w:val="en-GB"/>
        </w:rPr>
        <w:t>e</w:t>
      </w:r>
      <w:r w:rsidRPr="00881BC8">
        <w:rPr>
          <w:rStyle w:val="normaltextrun"/>
          <w:noProof/>
          <w:lang w:val="en-GB"/>
        </w:rPr>
        <w:t xml:space="preserve">ven in countries with prompt payment traditions and drew the attention of regulators. The Dutch authorities noticed an increase </w:t>
      </w:r>
      <w:r w:rsidR="00C46548" w:rsidRPr="00881BC8">
        <w:rPr>
          <w:rStyle w:val="normaltextrun"/>
          <w:noProof/>
          <w:lang w:val="en-GB"/>
        </w:rPr>
        <w:t>in</w:t>
      </w:r>
      <w:r w:rsidRPr="00881BC8">
        <w:rPr>
          <w:rStyle w:val="normaltextrun"/>
          <w:noProof/>
          <w:lang w:val="en-GB"/>
        </w:rPr>
        <w:t xml:space="preserve"> the share of 60-day agreed payment terms between 2004 (0.7%) and 2014 (1.2%)</w:t>
      </w:r>
      <w:r w:rsidRPr="00881BC8">
        <w:rPr>
          <w:rStyle w:val="FootnoteReference"/>
          <w:noProof/>
          <w:lang w:val="en-GB"/>
        </w:rPr>
        <w:footnoteReference w:id="297"/>
      </w:r>
      <w:r w:rsidRPr="00881BC8">
        <w:rPr>
          <w:rStyle w:val="normaltextrun"/>
          <w:noProof/>
          <w:lang w:val="en-GB"/>
        </w:rPr>
        <w:t xml:space="preserve">. </w:t>
      </w:r>
      <w:r w:rsidR="00C72901" w:rsidRPr="00881BC8">
        <w:rPr>
          <w:rStyle w:val="normaltextrun"/>
          <w:noProof/>
          <w:lang w:val="en-GB"/>
        </w:rPr>
        <w:t>T</w:t>
      </w:r>
      <w:r w:rsidRPr="00881BC8">
        <w:rPr>
          <w:rStyle w:val="normaltextrun"/>
          <w:noProof/>
          <w:lang w:val="en-GB"/>
        </w:rPr>
        <w:t xml:space="preserve">he national law capping payment terms in B2B transactions </w:t>
      </w:r>
      <w:r w:rsidR="00DF2C4C" w:rsidRPr="00881BC8">
        <w:rPr>
          <w:rStyle w:val="normaltextrun"/>
          <w:noProof/>
          <w:lang w:val="en-GB"/>
        </w:rPr>
        <w:t xml:space="preserve">with SME creditors </w:t>
      </w:r>
      <w:r w:rsidRPr="00881BC8">
        <w:rPr>
          <w:rStyle w:val="normaltextrun"/>
          <w:noProof/>
          <w:lang w:val="en-GB"/>
        </w:rPr>
        <w:t xml:space="preserve">at 60 days, </w:t>
      </w:r>
      <w:r w:rsidR="00C72901" w:rsidRPr="00881BC8">
        <w:rPr>
          <w:rStyle w:val="normaltextrun"/>
          <w:noProof/>
          <w:lang w:val="en-GB"/>
        </w:rPr>
        <w:t>adopted in 2017, did not improve t</w:t>
      </w:r>
      <w:r w:rsidRPr="00881BC8">
        <w:rPr>
          <w:rStyle w:val="normaltextrun"/>
          <w:noProof/>
          <w:lang w:val="en-GB"/>
        </w:rPr>
        <w:t>he situation</w:t>
      </w:r>
      <w:r w:rsidR="00DF2C4C" w:rsidRPr="00881BC8">
        <w:rPr>
          <w:rStyle w:val="normaltextrun"/>
          <w:noProof/>
          <w:lang w:val="en-GB"/>
        </w:rPr>
        <w:t>. Another</w:t>
      </w:r>
      <w:r w:rsidRPr="00881BC8">
        <w:rPr>
          <w:rStyle w:val="normaltextrun"/>
          <w:noProof/>
          <w:lang w:val="en-GB"/>
        </w:rPr>
        <w:t xml:space="preserve"> reform of the law entered into force in July 2022</w:t>
      </w:r>
      <w:r w:rsidRPr="00881BC8">
        <w:rPr>
          <w:rStyle w:val="FootnoteReference"/>
          <w:noProof/>
          <w:lang w:val="en-GB"/>
        </w:rPr>
        <w:footnoteReference w:id="298"/>
      </w:r>
      <w:r w:rsidRPr="00881BC8">
        <w:rPr>
          <w:rStyle w:val="normaltextrun"/>
          <w:noProof/>
          <w:lang w:val="en-GB"/>
        </w:rPr>
        <w:t xml:space="preserve">, bringing down the initial 60 days to 30. </w:t>
      </w:r>
      <w:r w:rsidR="00207CAC" w:rsidRPr="00881BC8">
        <w:rPr>
          <w:rStyle w:val="normaltextrun"/>
          <w:noProof/>
          <w:lang w:val="en-GB"/>
        </w:rPr>
        <w:t xml:space="preserve">Insufficient </w:t>
      </w:r>
      <w:r w:rsidRPr="00881BC8">
        <w:rPr>
          <w:rStyle w:val="normaltextrun"/>
          <w:noProof/>
          <w:lang w:val="en-GB"/>
        </w:rPr>
        <w:t xml:space="preserve">enforcement mechanisms </w:t>
      </w:r>
      <w:r w:rsidR="00207CAC" w:rsidRPr="00881BC8">
        <w:rPr>
          <w:rStyle w:val="normaltextrun"/>
          <w:noProof/>
          <w:lang w:val="en-GB"/>
        </w:rPr>
        <w:t xml:space="preserve">were </w:t>
      </w:r>
      <w:r w:rsidRPr="00881BC8">
        <w:rPr>
          <w:rStyle w:val="normaltextrun"/>
          <w:noProof/>
          <w:lang w:val="en-GB"/>
        </w:rPr>
        <w:t>identified as a factor</w:t>
      </w:r>
      <w:r w:rsidRPr="00881BC8">
        <w:rPr>
          <w:rStyle w:val="FootnoteReference"/>
          <w:noProof/>
          <w:lang w:val="en-GB"/>
        </w:rPr>
        <w:footnoteReference w:id="299"/>
      </w:r>
      <w:r w:rsidRPr="00881BC8">
        <w:rPr>
          <w:rStyle w:val="normaltextrun"/>
          <w:noProof/>
          <w:lang w:val="en-GB"/>
        </w:rPr>
        <w:t xml:space="preserve">, </w:t>
      </w:r>
      <w:r w:rsidR="00D119AA" w:rsidRPr="00881BC8">
        <w:rPr>
          <w:rStyle w:val="normaltextrun"/>
          <w:noProof/>
          <w:lang w:val="en-GB"/>
        </w:rPr>
        <w:t xml:space="preserve">and introducing </w:t>
      </w:r>
      <w:r w:rsidRPr="00881BC8">
        <w:rPr>
          <w:rStyle w:val="normaltextrun"/>
          <w:noProof/>
          <w:lang w:val="en-GB"/>
        </w:rPr>
        <w:t>monitoring and control measures</w:t>
      </w:r>
      <w:r w:rsidR="00D119AA" w:rsidRPr="00881BC8">
        <w:rPr>
          <w:rStyle w:val="normaltextrun"/>
          <w:noProof/>
          <w:lang w:val="en-GB"/>
        </w:rPr>
        <w:t xml:space="preserve"> are currently under consideration</w:t>
      </w:r>
      <w:r w:rsidRPr="00881BC8">
        <w:rPr>
          <w:rStyle w:val="FootnoteReference"/>
          <w:noProof/>
          <w:lang w:val="en-GB"/>
        </w:rPr>
        <w:footnoteReference w:id="300"/>
      </w:r>
      <w:r w:rsidRPr="00881BC8">
        <w:rPr>
          <w:rStyle w:val="normaltextrun"/>
          <w:noProof/>
          <w:lang w:val="en-GB"/>
        </w:rPr>
        <w:t xml:space="preserve">. In Sweden, a government </w:t>
      </w:r>
      <w:r w:rsidR="00715C37" w:rsidRPr="00881BC8">
        <w:rPr>
          <w:rStyle w:val="normaltextrun"/>
          <w:noProof/>
          <w:lang w:val="en-GB"/>
        </w:rPr>
        <w:t xml:space="preserve">review </w:t>
      </w:r>
      <w:r w:rsidRPr="00881BC8">
        <w:rPr>
          <w:rStyle w:val="normaltextrun"/>
          <w:noProof/>
          <w:lang w:val="en-GB"/>
        </w:rPr>
        <w:t>showed that</w:t>
      </w:r>
      <w:r w:rsidR="00715C37" w:rsidRPr="00881BC8">
        <w:rPr>
          <w:rStyle w:val="normaltextrun"/>
          <w:noProof/>
          <w:lang w:val="en-GB"/>
        </w:rPr>
        <w:t xml:space="preserve"> average payment terms have increased in all sectors</w:t>
      </w:r>
      <w:r w:rsidRPr="00881BC8">
        <w:rPr>
          <w:rStyle w:val="normaltextrun"/>
          <w:noProof/>
          <w:lang w:val="en-GB"/>
        </w:rPr>
        <w:t xml:space="preserve"> since 2006. </w:t>
      </w:r>
      <w:r w:rsidR="00F86CDF" w:rsidRPr="00881BC8">
        <w:rPr>
          <w:rStyle w:val="normaltextrun"/>
          <w:noProof/>
          <w:lang w:val="en-GB"/>
        </w:rPr>
        <w:t>T</w:t>
      </w:r>
      <w:r w:rsidRPr="00881BC8">
        <w:rPr>
          <w:rStyle w:val="normaltextrun"/>
          <w:noProof/>
          <w:lang w:val="en-GB"/>
        </w:rPr>
        <w:t>he share of agreed payment terms of 60 days or more reached 4% of all invoices in 2016</w:t>
      </w:r>
      <w:r w:rsidRPr="00881BC8">
        <w:rPr>
          <w:rStyle w:val="FootnoteReference"/>
          <w:noProof/>
          <w:lang w:val="en-GB"/>
        </w:rPr>
        <w:footnoteReference w:id="301"/>
      </w:r>
      <w:r w:rsidRPr="00881BC8">
        <w:rPr>
          <w:rStyle w:val="normaltextrun"/>
          <w:noProof/>
          <w:lang w:val="en-GB"/>
        </w:rPr>
        <w:t xml:space="preserve">. </w:t>
      </w:r>
    </w:p>
    <w:p w14:paraId="1C75A28C" w14:textId="555891C1" w:rsidR="00344CB3" w:rsidRPr="00881BC8" w:rsidRDefault="00344CB3" w:rsidP="00344CB3">
      <w:pPr>
        <w:pStyle w:val="Caption"/>
        <w:rPr>
          <w:noProof/>
          <w:lang w:val="en-GB"/>
        </w:rPr>
      </w:pPr>
      <w:r w:rsidRPr="00881BC8">
        <w:rPr>
          <w:noProof/>
          <w:lang w:val="en-GB"/>
        </w:rPr>
        <w:t xml:space="preserve">Figure </w:t>
      </w:r>
      <w:r w:rsidR="005851F4">
        <w:rPr>
          <w:noProof/>
          <w:lang w:val="en-GB"/>
        </w:rPr>
        <w:t>8</w:t>
      </w:r>
      <w:r w:rsidRPr="00881BC8">
        <w:rPr>
          <w:noProof/>
          <w:lang w:val="en-GB"/>
        </w:rPr>
        <w:t>: Reasons for accepting longer payment terms</w:t>
      </w:r>
      <w:r w:rsidRPr="00881BC8">
        <w:rPr>
          <w:rStyle w:val="FootnoteReference"/>
          <w:noProof/>
          <w:lang w:val="en-GB"/>
        </w:rPr>
        <w:footnoteReference w:id="302"/>
      </w:r>
    </w:p>
    <w:p w14:paraId="29B9065A" w14:textId="77777777" w:rsidR="00344CB3" w:rsidRPr="00881BC8" w:rsidRDefault="00344CB3" w:rsidP="005C716D">
      <w:pPr>
        <w:rPr>
          <w:noProof/>
        </w:rPr>
      </w:pPr>
      <w:r w:rsidRPr="00881BC8">
        <w:rPr>
          <w:noProof/>
          <w:lang w:eastAsia="en-GB"/>
        </w:rPr>
        <w:drawing>
          <wp:inline distT="0" distB="0" distL="0" distR="0" wp14:anchorId="3A3560B8" wp14:editId="2CCC4B43">
            <wp:extent cx="5730875" cy="3636645"/>
            <wp:effectExtent l="0" t="0" r="3175" b="1905"/>
            <wp:docPr id="370643843" name="Picture 370643843" descr="C:\Users\spiegkr\AppData\Local\Microsoft\Windows\INetCache\Content.MSO\50028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iegkr\AppData\Local\Microsoft\Windows\INetCache\Content.MSO\5002854.tmp"/>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30875" cy="3636645"/>
                    </a:xfrm>
                    <a:prstGeom prst="rect">
                      <a:avLst/>
                    </a:prstGeom>
                    <a:noFill/>
                    <a:ln>
                      <a:noFill/>
                    </a:ln>
                  </pic:spPr>
                </pic:pic>
              </a:graphicData>
            </a:graphic>
          </wp:inline>
        </w:drawing>
      </w:r>
    </w:p>
    <w:p w14:paraId="02F2A3B5" w14:textId="77777777" w:rsidR="00F47F22" w:rsidRPr="00881BC8" w:rsidRDefault="00F47F22" w:rsidP="005C716D">
      <w:pPr>
        <w:rPr>
          <w:noProof/>
        </w:rPr>
      </w:pPr>
    </w:p>
    <w:p w14:paraId="699F42F2" w14:textId="2CD8D1AE" w:rsidR="00B6380A" w:rsidRPr="00881BC8" w:rsidRDefault="00B6380A" w:rsidP="004835F8">
      <w:pPr>
        <w:pStyle w:val="AnnexLevel1"/>
        <w:tabs>
          <w:tab w:val="clear" w:pos="1200"/>
        </w:tabs>
        <w:ind w:left="709"/>
        <w:rPr>
          <w:noProof/>
          <w:lang w:val="en-GB"/>
        </w:rPr>
      </w:pPr>
      <w:r w:rsidRPr="00881BC8">
        <w:rPr>
          <w:noProof/>
          <w:lang w:val="en-GB"/>
        </w:rPr>
        <w:t>Late payment in sectors</w:t>
      </w:r>
    </w:p>
    <w:p w14:paraId="0BC966BE" w14:textId="4551BCDA" w:rsidR="0024507B" w:rsidRPr="00881BC8" w:rsidRDefault="0024507B" w:rsidP="0024507B">
      <w:pPr>
        <w:pStyle w:val="Caption"/>
        <w:rPr>
          <w:noProof/>
          <w:lang w:val="en-GB"/>
        </w:rPr>
      </w:pPr>
      <w:bookmarkStart w:id="1118" w:name="_Ref130975291"/>
      <w:r w:rsidRPr="00881BC8">
        <w:rPr>
          <w:noProof/>
          <w:lang w:val="en-GB"/>
        </w:rPr>
        <w:t xml:space="preserve">Figure </w:t>
      </w:r>
      <w:r w:rsidR="005851F4">
        <w:rPr>
          <w:noProof/>
          <w:lang w:val="en-GB"/>
        </w:rPr>
        <w:t>9</w:t>
      </w:r>
      <w:r w:rsidRPr="00881BC8">
        <w:rPr>
          <w:noProof/>
          <w:lang w:val="en-GB"/>
        </w:rPr>
        <w:t>: Share of companies reporting average payment times above 50 days and above 75 days, by sector</w:t>
      </w:r>
      <w:r w:rsidRPr="00881BC8">
        <w:rPr>
          <w:rStyle w:val="FootnoteReference"/>
          <w:noProof/>
          <w:lang w:val="en-GB"/>
        </w:rPr>
        <w:footnoteReference w:id="303"/>
      </w:r>
      <w:bookmarkEnd w:id="1118"/>
    </w:p>
    <w:p w14:paraId="14F0BB7B" w14:textId="1E8C8FE5" w:rsidR="009770F8" w:rsidRPr="00881BC8" w:rsidRDefault="00FE69C5" w:rsidP="00D36EEA">
      <w:pPr>
        <w:rPr>
          <w:noProof/>
        </w:rPr>
      </w:pPr>
      <w:r w:rsidRPr="00FE69C5">
        <w:rPr>
          <w:noProof/>
        </w:rPr>
        <w:drawing>
          <wp:inline distT="0" distB="0" distL="0" distR="0" wp14:anchorId="0C991D73" wp14:editId="30ED8F0A">
            <wp:extent cx="5472430" cy="25203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72430" cy="2520315"/>
                    </a:xfrm>
                    <a:prstGeom prst="rect">
                      <a:avLst/>
                    </a:prstGeom>
                    <a:noFill/>
                    <a:ln>
                      <a:noFill/>
                    </a:ln>
                  </pic:spPr>
                </pic:pic>
              </a:graphicData>
            </a:graphic>
          </wp:inline>
        </w:drawing>
      </w:r>
    </w:p>
    <w:p w14:paraId="7B60DDE6" w14:textId="42CD14C8" w:rsidR="0031317B" w:rsidRPr="00881BC8" w:rsidRDefault="0031317B" w:rsidP="0031317B">
      <w:pPr>
        <w:pStyle w:val="Caption"/>
        <w:rPr>
          <w:noProof/>
          <w:lang w:val="en-GB"/>
        </w:rPr>
      </w:pPr>
      <w:r w:rsidRPr="00881BC8">
        <w:rPr>
          <w:noProof/>
          <w:lang w:val="en-GB"/>
        </w:rPr>
        <w:t xml:space="preserve">Figure </w:t>
      </w:r>
      <w:r w:rsidR="005851F4">
        <w:rPr>
          <w:noProof/>
          <w:lang w:val="en-GB"/>
        </w:rPr>
        <w:t>10</w:t>
      </w:r>
      <w:r w:rsidRPr="00881BC8">
        <w:rPr>
          <w:noProof/>
          <w:lang w:val="en-GB"/>
        </w:rPr>
        <w:t>: 60% suppliers of the retail sector declare getting paid after more than 30 days</w:t>
      </w:r>
      <w:r w:rsidR="00327E32" w:rsidRPr="00881BC8">
        <w:rPr>
          <w:noProof/>
          <w:lang w:val="en-GB"/>
        </w:rPr>
        <w:t xml:space="preserve"> (EPR 2022)</w:t>
      </w:r>
    </w:p>
    <w:p w14:paraId="2C287D6D" w14:textId="280B339E" w:rsidR="00005423" w:rsidRPr="00881BC8" w:rsidRDefault="00FE69C5" w:rsidP="00D36EEA">
      <w:pPr>
        <w:rPr>
          <w:noProof/>
        </w:rPr>
      </w:pPr>
      <w:r w:rsidRPr="00FE69C5">
        <w:rPr>
          <w:noProof/>
        </w:rPr>
        <w:drawing>
          <wp:inline distT="0" distB="0" distL="0" distR="0" wp14:anchorId="7D408E75" wp14:editId="6B66F128">
            <wp:extent cx="5472430" cy="28416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72430" cy="2841625"/>
                    </a:xfrm>
                    <a:prstGeom prst="rect">
                      <a:avLst/>
                    </a:prstGeom>
                    <a:noFill/>
                    <a:ln>
                      <a:noFill/>
                    </a:ln>
                  </pic:spPr>
                </pic:pic>
              </a:graphicData>
            </a:graphic>
          </wp:inline>
        </w:drawing>
      </w:r>
    </w:p>
    <w:p w14:paraId="1C2574E0" w14:textId="1B525B6F" w:rsidR="00E50659" w:rsidRPr="00881BC8" w:rsidRDefault="00E50659" w:rsidP="00E50659">
      <w:pPr>
        <w:pStyle w:val="Caption"/>
        <w:rPr>
          <w:noProof/>
          <w:lang w:val="en-GB"/>
        </w:rPr>
      </w:pPr>
      <w:r w:rsidRPr="00881BC8">
        <w:rPr>
          <w:noProof/>
          <w:lang w:val="en-GB"/>
        </w:rPr>
        <w:t xml:space="preserve">Figure </w:t>
      </w:r>
      <w:r w:rsidR="005851F4">
        <w:rPr>
          <w:noProof/>
          <w:lang w:val="en-GB"/>
        </w:rPr>
        <w:t>11</w:t>
      </w:r>
      <w:r w:rsidRPr="00881BC8">
        <w:rPr>
          <w:noProof/>
          <w:lang w:val="en-GB"/>
        </w:rPr>
        <w:t>: 31% of suppliers to the construction sector declare gettin paid in 30 days</w:t>
      </w:r>
      <w:r w:rsidR="00327E32" w:rsidRPr="00881BC8">
        <w:rPr>
          <w:noProof/>
          <w:lang w:val="en-GB"/>
        </w:rPr>
        <w:t xml:space="preserve"> (EPR 2022)</w:t>
      </w:r>
    </w:p>
    <w:p w14:paraId="387ADB17" w14:textId="158379E6" w:rsidR="00E50659" w:rsidRPr="00881BC8" w:rsidRDefault="00FE69C5" w:rsidP="00D36EEA">
      <w:pPr>
        <w:rPr>
          <w:noProof/>
        </w:rPr>
      </w:pPr>
      <w:r w:rsidRPr="00FE69C5">
        <w:rPr>
          <w:noProof/>
        </w:rPr>
        <w:drawing>
          <wp:inline distT="0" distB="0" distL="0" distR="0" wp14:anchorId="29086B03" wp14:editId="7EE918EF">
            <wp:extent cx="5472430" cy="24098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72430" cy="2409825"/>
                    </a:xfrm>
                    <a:prstGeom prst="rect">
                      <a:avLst/>
                    </a:prstGeom>
                    <a:noFill/>
                    <a:ln>
                      <a:noFill/>
                    </a:ln>
                  </pic:spPr>
                </pic:pic>
              </a:graphicData>
            </a:graphic>
          </wp:inline>
        </w:drawing>
      </w:r>
    </w:p>
    <w:p w14:paraId="1C30367F" w14:textId="75441E66" w:rsidR="006B3928" w:rsidRPr="00881BC8" w:rsidRDefault="006B3928" w:rsidP="006B3928">
      <w:pPr>
        <w:pStyle w:val="Caption"/>
        <w:rPr>
          <w:noProof/>
          <w:lang w:val="en-GB"/>
        </w:rPr>
      </w:pPr>
      <w:r w:rsidRPr="00881BC8">
        <w:rPr>
          <w:noProof/>
          <w:lang w:val="en-GB"/>
        </w:rPr>
        <w:t xml:space="preserve">Figure </w:t>
      </w:r>
      <w:r w:rsidR="005851F4">
        <w:rPr>
          <w:noProof/>
          <w:lang w:val="en-GB"/>
        </w:rPr>
        <w:t>12</w:t>
      </w:r>
      <w:r w:rsidRPr="00881BC8">
        <w:rPr>
          <w:noProof/>
          <w:lang w:val="en-GB"/>
        </w:rPr>
        <w:t>: Share of on-time payments in construction sector in 2022</w:t>
      </w:r>
      <w:r w:rsidRPr="00881BC8">
        <w:rPr>
          <w:rStyle w:val="FootnoteReference"/>
          <w:noProof/>
          <w:lang w:val="en-GB"/>
        </w:rPr>
        <w:footnoteReference w:id="304"/>
      </w:r>
    </w:p>
    <w:p w14:paraId="00A77411" w14:textId="77777777" w:rsidR="006B3928" w:rsidRPr="00881BC8" w:rsidRDefault="006B3928" w:rsidP="007676B9">
      <w:pPr>
        <w:rPr>
          <w:noProof/>
        </w:rPr>
      </w:pPr>
      <w:r w:rsidRPr="00881BC8">
        <w:rPr>
          <w:noProof/>
          <w:lang w:eastAsia="en-GB"/>
        </w:rPr>
        <w:drawing>
          <wp:inline distT="0" distB="0" distL="0" distR="0" wp14:anchorId="331C600E" wp14:editId="629DD58C">
            <wp:extent cx="5472430" cy="1740535"/>
            <wp:effectExtent l="0" t="0" r="13970" b="12065"/>
            <wp:docPr id="185772176" name="Chart 185772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0A1FE54C" w14:textId="66FFBB45" w:rsidR="00005423" w:rsidRPr="00881BC8" w:rsidRDefault="00005423" w:rsidP="00005423">
      <w:pPr>
        <w:pStyle w:val="Caption"/>
        <w:rPr>
          <w:noProof/>
          <w:lang w:val="en-GB"/>
        </w:rPr>
      </w:pPr>
      <w:r w:rsidRPr="00881BC8">
        <w:rPr>
          <w:noProof/>
          <w:lang w:val="en-GB"/>
        </w:rPr>
        <w:t xml:space="preserve">Figure </w:t>
      </w:r>
      <w:r w:rsidR="005851F4">
        <w:rPr>
          <w:noProof/>
          <w:lang w:val="en-GB"/>
        </w:rPr>
        <w:t>13</w:t>
      </w:r>
      <w:r w:rsidRPr="00881BC8">
        <w:rPr>
          <w:noProof/>
          <w:lang w:val="en-GB"/>
        </w:rPr>
        <w:t xml:space="preserve">: 11% of public sector's suppliers are paid within 30 days </w:t>
      </w:r>
      <w:r w:rsidR="00327E32" w:rsidRPr="00881BC8">
        <w:rPr>
          <w:noProof/>
          <w:lang w:val="en-GB"/>
        </w:rPr>
        <w:t>(EPR 2022)</w:t>
      </w:r>
    </w:p>
    <w:p w14:paraId="5158B5D8" w14:textId="5B714A78" w:rsidR="00D36EEA" w:rsidRPr="00881BC8" w:rsidRDefault="00FE69C5" w:rsidP="00D36EEA">
      <w:pPr>
        <w:rPr>
          <w:noProof/>
        </w:rPr>
      </w:pPr>
      <w:r w:rsidRPr="00FE69C5">
        <w:rPr>
          <w:noProof/>
        </w:rPr>
        <w:drawing>
          <wp:inline distT="0" distB="0" distL="0" distR="0" wp14:anchorId="6C6CBEFA" wp14:editId="7A3F92BD">
            <wp:extent cx="5472430" cy="23793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72430" cy="2379345"/>
                    </a:xfrm>
                    <a:prstGeom prst="rect">
                      <a:avLst/>
                    </a:prstGeom>
                    <a:noFill/>
                    <a:ln>
                      <a:noFill/>
                    </a:ln>
                  </pic:spPr>
                </pic:pic>
              </a:graphicData>
            </a:graphic>
          </wp:inline>
        </w:drawing>
      </w:r>
    </w:p>
    <w:p w14:paraId="5D0DB2AD" w14:textId="1A51B6DF" w:rsidR="005F350B" w:rsidRPr="00881BC8" w:rsidRDefault="005F350B" w:rsidP="005F350B">
      <w:pPr>
        <w:pStyle w:val="Caption"/>
        <w:rPr>
          <w:noProof/>
          <w:lang w:val="en-GB"/>
        </w:rPr>
      </w:pPr>
      <w:bookmarkStart w:id="1119" w:name="_Ref131017534"/>
      <w:bookmarkStart w:id="1120" w:name="_Ref131017548"/>
      <w:r w:rsidRPr="00881BC8">
        <w:rPr>
          <w:noProof/>
          <w:lang w:val="en-GB"/>
        </w:rPr>
        <w:t xml:space="preserve">Figure </w:t>
      </w:r>
      <w:r w:rsidR="005851F4">
        <w:rPr>
          <w:noProof/>
          <w:lang w:val="en-GB"/>
        </w:rPr>
        <w:t>14</w:t>
      </w:r>
      <w:bookmarkEnd w:id="1119"/>
      <w:r w:rsidRPr="00881BC8">
        <w:rPr>
          <w:noProof/>
          <w:lang w:val="en-GB"/>
        </w:rPr>
        <w:t>: Causes of late payment by sector</w:t>
      </w:r>
      <w:r w:rsidRPr="00881BC8">
        <w:rPr>
          <w:rStyle w:val="FootnoteReference"/>
          <w:noProof/>
          <w:lang w:val="en-GB"/>
        </w:rPr>
        <w:footnoteReference w:id="305"/>
      </w:r>
      <w:bookmarkEnd w:id="1120"/>
    </w:p>
    <w:p w14:paraId="559BD64D" w14:textId="44982AF8" w:rsidR="008B4350" w:rsidRPr="00881BC8" w:rsidRDefault="00FE69C5" w:rsidP="006B3928">
      <w:pPr>
        <w:pStyle w:val="Caption"/>
        <w:rPr>
          <w:noProof/>
          <w:lang w:val="en-GB"/>
        </w:rPr>
      </w:pPr>
      <w:r w:rsidRPr="00FE69C5">
        <w:rPr>
          <w:noProof/>
        </w:rPr>
        <w:drawing>
          <wp:inline distT="0" distB="0" distL="0" distR="0" wp14:anchorId="6A430FEF" wp14:editId="3B9C1D4C">
            <wp:extent cx="5472430" cy="383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72430" cy="3836035"/>
                    </a:xfrm>
                    <a:prstGeom prst="rect">
                      <a:avLst/>
                    </a:prstGeom>
                    <a:noFill/>
                    <a:ln>
                      <a:noFill/>
                    </a:ln>
                  </pic:spPr>
                </pic:pic>
              </a:graphicData>
            </a:graphic>
          </wp:inline>
        </w:drawing>
      </w:r>
    </w:p>
    <w:p w14:paraId="6701C8F8" w14:textId="666B357F" w:rsidR="008B4350" w:rsidRPr="00881BC8" w:rsidRDefault="008B4350" w:rsidP="00F73D2B">
      <w:pPr>
        <w:rPr>
          <w:noProof/>
        </w:rPr>
      </w:pPr>
    </w:p>
    <w:p w14:paraId="39F02E84" w14:textId="77777777" w:rsidR="00F73D2B" w:rsidRPr="00881BC8" w:rsidRDefault="00F73D2B" w:rsidP="00F73D2B">
      <w:pPr>
        <w:rPr>
          <w:noProof/>
        </w:rPr>
      </w:pPr>
    </w:p>
    <w:p w14:paraId="1424FA9D" w14:textId="5C6D4520" w:rsidR="004A4940" w:rsidRPr="00881BC8" w:rsidRDefault="004A4940" w:rsidP="004835F8">
      <w:pPr>
        <w:pStyle w:val="AnnexLevel1"/>
        <w:tabs>
          <w:tab w:val="clear" w:pos="1200"/>
        </w:tabs>
        <w:ind w:left="709"/>
        <w:rPr>
          <w:noProof/>
          <w:lang w:val="en-GB"/>
        </w:rPr>
      </w:pPr>
      <w:r w:rsidRPr="00881BC8">
        <w:rPr>
          <w:noProof/>
          <w:lang w:val="en-GB"/>
        </w:rPr>
        <w:t>Late payment by size-class</w:t>
      </w:r>
    </w:p>
    <w:p w14:paraId="2F3E7B73" w14:textId="574923F1" w:rsidR="001F17B1" w:rsidRPr="00881BC8" w:rsidRDefault="001F17B1" w:rsidP="004835F8">
      <w:pPr>
        <w:pStyle w:val="NormalPara"/>
        <w:rPr>
          <w:noProof/>
          <w:lang w:val="en-GB"/>
        </w:rPr>
      </w:pPr>
      <w:r w:rsidRPr="00881BC8">
        <w:rPr>
          <w:noProof/>
          <w:lang w:val="en-GB"/>
        </w:rPr>
        <w:t>Payment discipline by size-class is not uniform across the EU. While large companies tend to pay later</w:t>
      </w:r>
      <w:r w:rsidR="00851D18" w:rsidRPr="00881BC8">
        <w:rPr>
          <w:noProof/>
          <w:lang w:val="en-GB"/>
        </w:rPr>
        <w:t xml:space="preserve"> than </w:t>
      </w:r>
      <w:r w:rsidR="00C07BFB" w:rsidRPr="00881BC8">
        <w:rPr>
          <w:noProof/>
          <w:lang w:val="en-GB"/>
        </w:rPr>
        <w:t>SMEs</w:t>
      </w:r>
      <w:r w:rsidR="00265FB9" w:rsidRPr="00881BC8">
        <w:rPr>
          <w:noProof/>
          <w:lang w:val="en-GB"/>
        </w:rPr>
        <w:t xml:space="preserve">, in </w:t>
      </w:r>
      <w:r w:rsidRPr="00881BC8">
        <w:rPr>
          <w:noProof/>
          <w:lang w:val="en-GB"/>
        </w:rPr>
        <w:t xml:space="preserve">Slovenia </w:t>
      </w:r>
      <w:r w:rsidR="00851D18" w:rsidRPr="00881BC8">
        <w:rPr>
          <w:noProof/>
          <w:lang w:val="en-GB"/>
        </w:rPr>
        <w:t xml:space="preserve">and </w:t>
      </w:r>
      <w:r w:rsidRPr="00881BC8">
        <w:rPr>
          <w:noProof/>
          <w:lang w:val="en-GB"/>
        </w:rPr>
        <w:t xml:space="preserve">Czech Rep </w:t>
      </w:r>
      <w:r w:rsidR="00851D18" w:rsidRPr="00881BC8">
        <w:rPr>
          <w:noProof/>
          <w:lang w:val="en-GB"/>
        </w:rPr>
        <w:t xml:space="preserve">large companies </w:t>
      </w:r>
      <w:r w:rsidR="00622CB5" w:rsidRPr="00881BC8">
        <w:rPr>
          <w:noProof/>
          <w:lang w:val="en-GB"/>
        </w:rPr>
        <w:t xml:space="preserve">pay the fastest. </w:t>
      </w:r>
      <w:r w:rsidR="00265FB9" w:rsidRPr="00881BC8">
        <w:rPr>
          <w:noProof/>
          <w:lang w:val="en-GB"/>
        </w:rPr>
        <w:t>Late payment</w:t>
      </w:r>
      <w:r w:rsidRPr="00881BC8">
        <w:rPr>
          <w:noProof/>
          <w:lang w:val="en-GB"/>
        </w:rPr>
        <w:t xml:space="preserve"> seems to be a big issue especially in large countries.</w:t>
      </w:r>
    </w:p>
    <w:p w14:paraId="22499EAB" w14:textId="1B6A129E" w:rsidR="009D4607" w:rsidRPr="00881BC8" w:rsidRDefault="009D4607" w:rsidP="009D4607">
      <w:pPr>
        <w:pStyle w:val="Caption"/>
        <w:rPr>
          <w:noProof/>
          <w:lang w:val="en-GB"/>
        </w:rPr>
      </w:pPr>
      <w:bookmarkStart w:id="1121" w:name="_Ref130974545"/>
      <w:r w:rsidRPr="00881BC8">
        <w:rPr>
          <w:noProof/>
          <w:lang w:val="en-GB"/>
        </w:rPr>
        <w:t xml:space="preserve">Figure </w:t>
      </w:r>
      <w:r w:rsidR="005851F4">
        <w:rPr>
          <w:noProof/>
          <w:lang w:val="en-GB"/>
        </w:rPr>
        <w:t>15</w:t>
      </w:r>
      <w:bookmarkEnd w:id="1121"/>
      <w:r w:rsidRPr="00881BC8">
        <w:rPr>
          <w:noProof/>
          <w:lang w:val="en-GB"/>
        </w:rPr>
        <w:t>: Share of companies paying their invoice by the due date, by size class, 2022</w:t>
      </w:r>
      <w:r w:rsidR="008F5759" w:rsidRPr="00881BC8">
        <w:rPr>
          <w:rStyle w:val="FootnoteReference"/>
          <w:noProof/>
          <w:lang w:val="en-GB"/>
        </w:rPr>
        <w:footnoteReference w:id="306"/>
      </w:r>
    </w:p>
    <w:p w14:paraId="0FD04507" w14:textId="2B465687" w:rsidR="0052076D" w:rsidRPr="00881BC8" w:rsidRDefault="00FE69C5" w:rsidP="00773DEB">
      <w:pPr>
        <w:pStyle w:val="NormalPara"/>
        <w:numPr>
          <w:ilvl w:val="0"/>
          <w:numId w:val="0"/>
        </w:numPr>
        <w:rPr>
          <w:noProof/>
          <w:lang w:val="en-GB"/>
        </w:rPr>
      </w:pPr>
      <w:r w:rsidRPr="00FE69C5">
        <w:rPr>
          <w:noProof/>
        </w:rPr>
        <w:drawing>
          <wp:inline distT="0" distB="0" distL="0" distR="0" wp14:anchorId="76F2649F" wp14:editId="2880AECA">
            <wp:extent cx="5472430" cy="2289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72430" cy="2289175"/>
                    </a:xfrm>
                    <a:prstGeom prst="rect">
                      <a:avLst/>
                    </a:prstGeom>
                    <a:noFill/>
                    <a:ln>
                      <a:noFill/>
                    </a:ln>
                  </pic:spPr>
                </pic:pic>
              </a:graphicData>
            </a:graphic>
          </wp:inline>
        </w:drawing>
      </w:r>
    </w:p>
    <w:p w14:paraId="6DEDB108" w14:textId="3DC27407" w:rsidR="00A30254" w:rsidRPr="00881BC8" w:rsidRDefault="00A30254" w:rsidP="004835F8">
      <w:pPr>
        <w:pStyle w:val="AnnexLevel1"/>
        <w:tabs>
          <w:tab w:val="clear" w:pos="1200"/>
        </w:tabs>
        <w:ind w:left="709"/>
        <w:rPr>
          <w:noProof/>
          <w:lang w:val="en-GB"/>
        </w:rPr>
      </w:pPr>
      <w:r w:rsidRPr="00881BC8">
        <w:rPr>
          <w:noProof/>
          <w:lang w:val="en-GB"/>
        </w:rPr>
        <w:t>Problems due to late payment</w:t>
      </w:r>
    </w:p>
    <w:p w14:paraId="08E4F632" w14:textId="24C3BC2F" w:rsidR="004D5B4F" w:rsidRPr="00881BC8" w:rsidRDefault="004D5B4F" w:rsidP="004D5B4F">
      <w:pPr>
        <w:pStyle w:val="Caption"/>
        <w:jc w:val="left"/>
        <w:rPr>
          <w:noProof/>
          <w:lang w:val="en-GB"/>
        </w:rPr>
      </w:pPr>
      <w:r w:rsidRPr="00881BC8">
        <w:rPr>
          <w:noProof/>
          <w:lang w:val="en-GB"/>
        </w:rPr>
        <w:t xml:space="preserve">Figure </w:t>
      </w:r>
      <w:r w:rsidR="005851F4">
        <w:rPr>
          <w:noProof/>
          <w:lang w:val="en-GB"/>
        </w:rPr>
        <w:t>16</w:t>
      </w:r>
      <w:r w:rsidRPr="00881BC8">
        <w:rPr>
          <w:noProof/>
          <w:lang w:val="en-GB"/>
        </w:rPr>
        <w:t>: Share of companies reporting problems due to late payment from any private or public entities 2022</w:t>
      </w:r>
      <w:r w:rsidR="00A47DB3" w:rsidRPr="00881BC8">
        <w:rPr>
          <w:rStyle w:val="FootnoteReference"/>
          <w:noProof/>
          <w:lang w:val="en-GB"/>
        </w:rPr>
        <w:footnoteReference w:id="307"/>
      </w:r>
    </w:p>
    <w:p w14:paraId="0E16C85D" w14:textId="71D9F924" w:rsidR="009476BB" w:rsidRPr="00881BC8" w:rsidRDefault="00FE69C5" w:rsidP="003E1F9C">
      <w:pPr>
        <w:rPr>
          <w:rFonts w:eastAsia="Times New Roman"/>
          <w:noProof/>
        </w:rPr>
      </w:pPr>
      <w:r w:rsidRPr="00FE69C5">
        <w:rPr>
          <w:noProof/>
        </w:rPr>
        <w:drawing>
          <wp:inline distT="0" distB="0" distL="0" distR="0" wp14:anchorId="4DEE6324" wp14:editId="415B97C3">
            <wp:extent cx="5375910" cy="2190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75910" cy="2190750"/>
                    </a:xfrm>
                    <a:prstGeom prst="rect">
                      <a:avLst/>
                    </a:prstGeom>
                    <a:noFill/>
                    <a:ln>
                      <a:noFill/>
                    </a:ln>
                  </pic:spPr>
                </pic:pic>
              </a:graphicData>
            </a:graphic>
          </wp:inline>
        </w:drawing>
      </w:r>
    </w:p>
    <w:p w14:paraId="4CB21A94" w14:textId="77777777" w:rsidR="00FE4108" w:rsidRPr="00881BC8" w:rsidRDefault="00FE4108" w:rsidP="003E1F9C">
      <w:pPr>
        <w:rPr>
          <w:rFonts w:eastAsia="Times New Roman"/>
          <w:noProof/>
        </w:rPr>
      </w:pPr>
    </w:p>
    <w:p w14:paraId="10FA42ED" w14:textId="033BD20E" w:rsidR="00FE4108" w:rsidRPr="00881BC8" w:rsidRDefault="00FE4108" w:rsidP="00FE4108">
      <w:pPr>
        <w:pStyle w:val="Caption"/>
        <w:rPr>
          <w:noProof/>
          <w:lang w:val="en-GB"/>
        </w:rPr>
      </w:pPr>
      <w:r w:rsidRPr="00881BC8">
        <w:rPr>
          <w:noProof/>
          <w:lang w:val="en-GB"/>
        </w:rPr>
        <w:t xml:space="preserve">Figure </w:t>
      </w:r>
      <w:r w:rsidR="005851F4">
        <w:rPr>
          <w:noProof/>
          <w:lang w:val="en-GB"/>
        </w:rPr>
        <w:t>17</w:t>
      </w:r>
      <w:r w:rsidRPr="00881BC8">
        <w:rPr>
          <w:noProof/>
          <w:lang w:val="en-GB"/>
        </w:rPr>
        <w:t>: Supply chain bullying in Europe in 2021</w:t>
      </w:r>
      <w:r w:rsidRPr="00881BC8">
        <w:rPr>
          <w:rStyle w:val="FootnoteReference"/>
          <w:noProof/>
          <w:lang w:val="en-GB"/>
        </w:rPr>
        <w:footnoteReference w:id="308"/>
      </w:r>
    </w:p>
    <w:p w14:paraId="7E7EC889" w14:textId="77777777" w:rsidR="00AF4A6C" w:rsidRPr="00881BC8" w:rsidRDefault="00D83CBC" w:rsidP="00D83CBC">
      <w:pPr>
        <w:pStyle w:val="paragraph"/>
        <w:jc w:val="both"/>
        <w:textAlignment w:val="baseline"/>
        <w:rPr>
          <w:noProof/>
        </w:rPr>
      </w:pPr>
      <w:r w:rsidRPr="00881BC8">
        <w:rPr>
          <w:noProof/>
        </w:rPr>
        <w:drawing>
          <wp:inline distT="0" distB="0" distL="0" distR="0" wp14:anchorId="4B9F8F42" wp14:editId="3181AAAC">
            <wp:extent cx="5472430" cy="2907030"/>
            <wp:effectExtent l="0" t="0" r="0" b="7620"/>
            <wp:docPr id="185772180" name="Picture 18577218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2180" name="Picture 185772180" descr="Chart, bar chart&#10;&#10;Description automatically generated"/>
                    <pic:cNvPicPr/>
                  </pic:nvPicPr>
                  <pic:blipFill>
                    <a:blip r:embed="rId108">
                      <a:extLst>
                        <a:ext uri="{28A0092B-C50C-407E-A947-70E740481C1C}">
                          <a14:useLocalDpi xmlns:a14="http://schemas.microsoft.com/office/drawing/2010/main" val="0"/>
                        </a:ext>
                      </a:extLst>
                    </a:blip>
                    <a:stretch>
                      <a:fillRect/>
                    </a:stretch>
                  </pic:blipFill>
                  <pic:spPr>
                    <a:xfrm>
                      <a:off x="0" y="0"/>
                      <a:ext cx="5472430" cy="2907030"/>
                    </a:xfrm>
                    <a:prstGeom prst="rect">
                      <a:avLst/>
                    </a:prstGeom>
                  </pic:spPr>
                </pic:pic>
              </a:graphicData>
            </a:graphic>
          </wp:inline>
        </w:drawing>
      </w:r>
    </w:p>
    <w:p w14:paraId="3497AB88" w14:textId="74D3DAD3" w:rsidR="00E10C50" w:rsidRPr="00881BC8" w:rsidRDefault="00E10C50" w:rsidP="004835F8">
      <w:pPr>
        <w:pStyle w:val="NormalPara"/>
        <w:rPr>
          <w:rStyle w:val="normaltextrun"/>
          <w:noProof/>
          <w:lang w:val="en-GB"/>
        </w:rPr>
      </w:pPr>
      <w:r w:rsidRPr="00881BC8">
        <w:rPr>
          <w:noProof/>
          <w:lang w:val="en-GB"/>
        </w:rPr>
        <w:t xml:space="preserve">Many companies suffer from an </w:t>
      </w:r>
      <w:r w:rsidR="00303DFA" w:rsidRPr="00881BC8">
        <w:rPr>
          <w:noProof/>
          <w:lang w:val="en-GB"/>
        </w:rPr>
        <w:t>‘</w:t>
      </w:r>
      <w:r w:rsidRPr="00881BC8">
        <w:rPr>
          <w:noProof/>
          <w:lang w:val="en-GB"/>
        </w:rPr>
        <w:t>intention-behaviour gap</w:t>
      </w:r>
      <w:r w:rsidR="00303DFA" w:rsidRPr="00881BC8">
        <w:rPr>
          <w:noProof/>
          <w:lang w:val="en-GB"/>
        </w:rPr>
        <w:t>’</w:t>
      </w:r>
      <w:r w:rsidRPr="00881BC8">
        <w:rPr>
          <w:noProof/>
          <w:lang w:val="en-GB"/>
        </w:rPr>
        <w:t xml:space="preserve">: 69% of firms – large and small – admit that they </w:t>
      </w:r>
      <w:r w:rsidR="00303DFA" w:rsidRPr="00881BC8">
        <w:rPr>
          <w:noProof/>
          <w:lang w:val="en-GB"/>
        </w:rPr>
        <w:t>‘</w:t>
      </w:r>
      <w:r w:rsidRPr="00881BC8">
        <w:rPr>
          <w:noProof/>
          <w:lang w:val="en-GB"/>
        </w:rPr>
        <w:t>rarely think about the negative impact that their own late payments</w:t>
      </w:r>
      <w:r w:rsidRPr="00881BC8">
        <w:rPr>
          <w:rStyle w:val="normaltextrun"/>
          <w:i/>
          <w:iCs/>
          <w:noProof/>
          <w:lang w:val="en-GB"/>
        </w:rPr>
        <w:t xml:space="preserve"> might have on suppliers</w:t>
      </w:r>
      <w:r w:rsidR="00303DFA" w:rsidRPr="00881BC8">
        <w:rPr>
          <w:rStyle w:val="normaltextrun"/>
          <w:i/>
          <w:iCs/>
          <w:noProof/>
          <w:lang w:val="en-GB"/>
        </w:rPr>
        <w:t>’</w:t>
      </w:r>
      <w:r w:rsidRPr="00881BC8">
        <w:rPr>
          <w:rStyle w:val="normaltextrun"/>
          <w:noProof/>
          <w:lang w:val="en-GB"/>
        </w:rPr>
        <w:t xml:space="preserve"> and nearly 30% acknowledge that they pay their suppliers later than they would accept from their own customers</w:t>
      </w:r>
      <w:r w:rsidRPr="00881BC8">
        <w:rPr>
          <w:rStyle w:val="FootnoteReference"/>
          <w:noProof/>
          <w:lang w:val="en-GB"/>
        </w:rPr>
        <w:footnoteReference w:id="309"/>
      </w:r>
      <w:r w:rsidRPr="00881BC8">
        <w:rPr>
          <w:rStyle w:val="normaltextrun"/>
          <w:noProof/>
          <w:lang w:val="en-GB"/>
        </w:rPr>
        <w:t>.</w:t>
      </w:r>
    </w:p>
    <w:p w14:paraId="15022617" w14:textId="4D23711C" w:rsidR="004B450D" w:rsidRPr="00881BC8" w:rsidRDefault="00C276A2" w:rsidP="004835F8">
      <w:pPr>
        <w:pStyle w:val="AnnexLevel1"/>
        <w:rPr>
          <w:rStyle w:val="normaltextrun"/>
          <w:noProof/>
          <w:lang w:val="en-GB"/>
        </w:rPr>
      </w:pPr>
      <w:r w:rsidRPr="00881BC8">
        <w:rPr>
          <w:rStyle w:val="normaltextrun"/>
          <w:noProof/>
          <w:lang w:val="en-GB"/>
        </w:rPr>
        <w:t>Desired s</w:t>
      </w:r>
      <w:r w:rsidR="004B450D" w:rsidRPr="00881BC8">
        <w:rPr>
          <w:rStyle w:val="normaltextrun"/>
          <w:noProof/>
          <w:lang w:val="en-GB"/>
        </w:rPr>
        <w:t>olutions to late payment</w:t>
      </w:r>
    </w:p>
    <w:p w14:paraId="7FBFF439" w14:textId="01A47CD2" w:rsidR="004B450D" w:rsidRPr="00881BC8" w:rsidRDefault="004B450D" w:rsidP="004B450D">
      <w:pPr>
        <w:pStyle w:val="Caption"/>
        <w:rPr>
          <w:noProof/>
          <w:lang w:val="en-GB"/>
        </w:rPr>
      </w:pPr>
      <w:r w:rsidRPr="00881BC8">
        <w:rPr>
          <w:noProof/>
          <w:lang w:val="en-GB"/>
        </w:rPr>
        <w:t xml:space="preserve">Figure </w:t>
      </w:r>
      <w:r w:rsidR="005851F4">
        <w:rPr>
          <w:noProof/>
          <w:lang w:val="en-GB"/>
        </w:rPr>
        <w:t>18</w:t>
      </w:r>
      <w:r w:rsidRPr="00881BC8">
        <w:rPr>
          <w:noProof/>
          <w:lang w:val="en-GB"/>
        </w:rPr>
        <w:t>: New legislation is the first choice for addressing late payment</w:t>
      </w:r>
      <w:r w:rsidR="00327E32" w:rsidRPr="00881BC8">
        <w:rPr>
          <w:noProof/>
          <w:lang w:val="en-GB"/>
        </w:rPr>
        <w:t xml:space="preserve"> (EPR 2022)</w:t>
      </w:r>
    </w:p>
    <w:p w14:paraId="1ADFFC70" w14:textId="18167562" w:rsidR="004B450D" w:rsidRPr="00881BC8" w:rsidRDefault="00FE69C5" w:rsidP="003E1F9C">
      <w:pPr>
        <w:rPr>
          <w:noProof/>
        </w:rPr>
      </w:pPr>
      <w:r w:rsidRPr="00FE69C5">
        <w:rPr>
          <w:noProof/>
        </w:rPr>
        <w:drawing>
          <wp:inline distT="0" distB="0" distL="0" distR="0" wp14:anchorId="43E46572" wp14:editId="6618A36B">
            <wp:extent cx="5472430" cy="25406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72430" cy="2540635"/>
                    </a:xfrm>
                    <a:prstGeom prst="rect">
                      <a:avLst/>
                    </a:prstGeom>
                    <a:noFill/>
                    <a:ln>
                      <a:noFill/>
                    </a:ln>
                  </pic:spPr>
                </pic:pic>
              </a:graphicData>
            </a:graphic>
          </wp:inline>
        </w:drawing>
      </w:r>
    </w:p>
    <w:p w14:paraId="4488F795" w14:textId="62DF4655" w:rsidR="00774A6E" w:rsidRPr="00881BC8" w:rsidRDefault="00273661" w:rsidP="00CF2B67">
      <w:pPr>
        <w:pStyle w:val="AnnexTitle"/>
        <w:rPr>
          <w:noProof/>
        </w:rPr>
      </w:pPr>
      <w:r w:rsidRPr="00881BC8">
        <w:rPr>
          <w:noProof/>
        </w:rPr>
        <w:br w:type="page"/>
      </w:r>
      <w:bookmarkStart w:id="1122" w:name="Annex18"/>
      <w:bookmarkStart w:id="1123" w:name="_Toc130453855"/>
      <w:bookmarkStart w:id="1124" w:name="_Toc130461350"/>
      <w:bookmarkStart w:id="1125" w:name="_Toc130502531"/>
      <w:bookmarkStart w:id="1126" w:name="_Toc135237467"/>
      <w:r w:rsidR="00774A6E" w:rsidRPr="00881BC8">
        <w:rPr>
          <w:noProof/>
        </w:rPr>
        <w:t>Annex 18</w:t>
      </w:r>
      <w:bookmarkEnd w:id="1122"/>
      <w:r w:rsidR="00774A6E" w:rsidRPr="00881BC8">
        <w:rPr>
          <w:noProof/>
        </w:rPr>
        <w:t xml:space="preserve">: </w:t>
      </w:r>
      <w:bookmarkEnd w:id="1123"/>
      <w:bookmarkEnd w:id="1124"/>
      <w:bookmarkEnd w:id="1125"/>
      <w:r w:rsidR="00F541DA" w:rsidRPr="00881BC8">
        <w:rPr>
          <w:noProof/>
        </w:rPr>
        <w:t>P</w:t>
      </w:r>
      <w:r w:rsidR="00774A6E" w:rsidRPr="00881BC8">
        <w:rPr>
          <w:noProof/>
        </w:rPr>
        <w:t xml:space="preserve">rompt payment in some </w:t>
      </w:r>
      <w:r w:rsidR="00955A45" w:rsidRPr="00881BC8">
        <w:rPr>
          <w:noProof/>
        </w:rPr>
        <w:t xml:space="preserve">EU </w:t>
      </w:r>
      <w:r w:rsidR="00774A6E" w:rsidRPr="00881BC8">
        <w:rPr>
          <w:noProof/>
        </w:rPr>
        <w:t>trading partners</w:t>
      </w:r>
      <w:bookmarkEnd w:id="1126"/>
      <w:r w:rsidR="00774A6E" w:rsidRPr="00881BC8">
        <w:rPr>
          <w:noProof/>
        </w:rPr>
        <w:t xml:space="preserve"> </w:t>
      </w:r>
    </w:p>
    <w:p w14:paraId="743D7B49" w14:textId="77777777" w:rsidR="007865B1" w:rsidRPr="00881BC8" w:rsidRDefault="007865B1" w:rsidP="004835F8">
      <w:pPr>
        <w:pStyle w:val="AnnexLevel1"/>
        <w:ind w:left="709"/>
        <w:rPr>
          <w:noProof/>
          <w:lang w:val="en-GB"/>
        </w:rPr>
      </w:pPr>
      <w:r w:rsidRPr="00881BC8">
        <w:rPr>
          <w:noProof/>
          <w:lang w:val="en-GB"/>
        </w:rPr>
        <w:t>Size of the problem</w:t>
      </w:r>
    </w:p>
    <w:p w14:paraId="75AF94A1" w14:textId="47827DC8" w:rsidR="007865B1" w:rsidRPr="00881BC8" w:rsidRDefault="007865B1" w:rsidP="004835F8">
      <w:pPr>
        <w:pStyle w:val="NormalPara"/>
        <w:rPr>
          <w:noProof/>
          <w:lang w:val="en-GB"/>
        </w:rPr>
      </w:pPr>
      <w:r w:rsidRPr="00881BC8">
        <w:rPr>
          <w:noProof/>
          <w:lang w:val="en-GB"/>
        </w:rPr>
        <w:t>The figure below shows the average payment periods in 2020 worldwide and per sector (measured in day sales outstanding, DSO)</w:t>
      </w:r>
      <w:r w:rsidRPr="00881BC8">
        <w:rPr>
          <w:rStyle w:val="FootnoteReference"/>
          <w:noProof/>
          <w:lang w:val="en-GB"/>
        </w:rPr>
        <w:footnoteReference w:id="310"/>
      </w:r>
      <w:r w:rsidRPr="00881BC8">
        <w:rPr>
          <w:noProof/>
          <w:lang w:val="en-GB"/>
        </w:rPr>
        <w:t xml:space="preserve">. Figure </w:t>
      </w:r>
      <w:r w:rsidR="005851F4">
        <w:rPr>
          <w:noProof/>
          <w:lang w:val="en-GB"/>
        </w:rPr>
        <w:t>19</w:t>
      </w:r>
      <w:r w:rsidRPr="00881BC8">
        <w:rPr>
          <w:rStyle w:val="FootnoteReference"/>
          <w:noProof/>
          <w:lang w:val="en-GB"/>
        </w:rPr>
        <w:footnoteReference w:id="311"/>
      </w:r>
      <w:r w:rsidRPr="00881BC8">
        <w:rPr>
          <w:noProof/>
          <w:lang w:val="en-GB"/>
        </w:rPr>
        <w:t xml:space="preserve"> DSO in 2020 by country and sectors.</w:t>
      </w:r>
    </w:p>
    <w:p w14:paraId="6BE5E117" w14:textId="77777777" w:rsidR="007865B1" w:rsidRPr="00881BC8" w:rsidRDefault="007865B1" w:rsidP="007865B1">
      <w:pPr>
        <w:rPr>
          <w:noProof/>
        </w:rPr>
      </w:pPr>
      <w:r w:rsidRPr="00881BC8">
        <w:rPr>
          <w:noProof/>
          <w:lang w:eastAsia="en-GB"/>
        </w:rPr>
        <w:drawing>
          <wp:inline distT="0" distB="0" distL="0" distR="0" wp14:anchorId="2A5FFACD" wp14:editId="3F255A32">
            <wp:extent cx="5598084" cy="45720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10">
                      <a:extLst>
                        <a:ext uri="{28A0092B-C50C-407E-A947-70E740481C1C}">
                          <a14:useLocalDpi xmlns:a14="http://schemas.microsoft.com/office/drawing/2010/main" val="0"/>
                        </a:ext>
                      </a:extLst>
                    </a:blip>
                    <a:stretch>
                      <a:fillRect/>
                    </a:stretch>
                  </pic:blipFill>
                  <pic:spPr>
                    <a:xfrm>
                      <a:off x="0" y="0"/>
                      <a:ext cx="5625813" cy="4594646"/>
                    </a:xfrm>
                    <a:prstGeom prst="rect">
                      <a:avLst/>
                    </a:prstGeom>
                  </pic:spPr>
                </pic:pic>
              </a:graphicData>
            </a:graphic>
          </wp:inline>
        </w:drawing>
      </w:r>
    </w:p>
    <w:p w14:paraId="6CF93241" w14:textId="77777777" w:rsidR="007865B1" w:rsidRPr="00881BC8" w:rsidRDefault="007865B1" w:rsidP="004835F8">
      <w:pPr>
        <w:pStyle w:val="NormalPara"/>
        <w:rPr>
          <w:noProof/>
          <w:lang w:val="en-GB"/>
        </w:rPr>
      </w:pPr>
      <w:r w:rsidRPr="00881BC8">
        <w:rPr>
          <w:noProof/>
          <w:lang w:val="en-GB"/>
        </w:rPr>
        <w:t xml:space="preserve">Although </w:t>
      </w:r>
      <w:r w:rsidRPr="00881BC8">
        <w:rPr>
          <w:i/>
          <w:iCs/>
          <w:noProof/>
          <w:lang w:val="en-GB"/>
        </w:rPr>
        <w:t>China</w:t>
      </w:r>
      <w:r w:rsidRPr="00881BC8">
        <w:rPr>
          <w:noProof/>
          <w:lang w:val="en-GB"/>
        </w:rPr>
        <w:t xml:space="preserve"> was the worst performer, four EU Member States are listed among the 10 worst payment performers in the world. At the same time three other EU Member States ranked amongst the top 10 performers worldwide. </w:t>
      </w:r>
    </w:p>
    <w:p w14:paraId="2F09CE0B" w14:textId="77777777" w:rsidR="007865B1" w:rsidRPr="00881BC8" w:rsidRDefault="007865B1" w:rsidP="004835F8">
      <w:pPr>
        <w:pStyle w:val="NormalPara"/>
        <w:rPr>
          <w:noProof/>
          <w:lang w:val="en-GB"/>
        </w:rPr>
      </w:pPr>
      <w:r w:rsidRPr="00881BC8">
        <w:rPr>
          <w:i/>
          <w:iCs/>
          <w:noProof/>
          <w:lang w:val="en-GB"/>
        </w:rPr>
        <w:t>Australia</w:t>
      </w:r>
      <w:r w:rsidRPr="00881BC8">
        <w:rPr>
          <w:noProof/>
          <w:lang w:val="en-GB"/>
        </w:rPr>
        <w:t xml:space="preserve"> – Every year, late payments</w:t>
      </w:r>
      <w:r w:rsidRPr="00881BC8" w:rsidDel="00B77961">
        <w:rPr>
          <w:noProof/>
          <w:lang w:val="en-GB"/>
        </w:rPr>
        <w:t xml:space="preserve"> </w:t>
      </w:r>
      <w:r w:rsidRPr="00881BC8">
        <w:rPr>
          <w:noProof/>
          <w:lang w:val="en-GB"/>
        </w:rPr>
        <w:t>lock more than AUS$ 19 billion away from Australian SMEs. Poor cash flow is responsible for 90% of SME bankruptcies. The average share of timely payments to SMEs equals 38%</w:t>
      </w:r>
      <w:r w:rsidRPr="00881BC8">
        <w:rPr>
          <w:rStyle w:val="FootnoteReference"/>
          <w:noProof/>
          <w:color w:val="363940"/>
          <w:lang w:val="en-GB"/>
        </w:rPr>
        <w:footnoteReference w:id="312"/>
      </w:r>
      <w:r w:rsidRPr="00881BC8">
        <w:rPr>
          <w:noProof/>
          <w:lang w:val="en-GB"/>
        </w:rPr>
        <w:t xml:space="preserve">. </w:t>
      </w:r>
    </w:p>
    <w:p w14:paraId="26323B2A" w14:textId="77777777" w:rsidR="007865B1" w:rsidRPr="00881BC8" w:rsidRDefault="007865B1" w:rsidP="004835F8">
      <w:pPr>
        <w:pStyle w:val="NormalPara"/>
        <w:rPr>
          <w:noProof/>
          <w:lang w:val="en-GB"/>
        </w:rPr>
      </w:pPr>
      <w:r w:rsidRPr="00881BC8">
        <w:rPr>
          <w:i/>
          <w:noProof/>
          <w:lang w:val="en-GB"/>
        </w:rPr>
        <w:t>UK</w:t>
      </w:r>
      <w:r w:rsidRPr="00881BC8">
        <w:rPr>
          <w:noProof/>
          <w:lang w:val="en-GB"/>
        </w:rPr>
        <w:t xml:space="preserve"> - In 2021, 50% of invoices issued by small businesses were paid late. 12% of them were paid more than a month after they due date, costing SMEs £684m a year</w:t>
      </w:r>
      <w:r w:rsidRPr="00881BC8">
        <w:rPr>
          <w:rStyle w:val="FootnoteReference"/>
          <w:noProof/>
          <w:lang w:val="en-GB"/>
        </w:rPr>
        <w:footnoteReference w:id="313"/>
      </w:r>
      <w:r w:rsidRPr="00881BC8">
        <w:rPr>
          <w:noProof/>
          <w:lang w:val="en-GB"/>
        </w:rPr>
        <w:t xml:space="preserve">. </w:t>
      </w:r>
    </w:p>
    <w:p w14:paraId="70147274" w14:textId="18FB59D0" w:rsidR="007865B1" w:rsidRPr="00881BC8" w:rsidRDefault="007865B1" w:rsidP="004835F8">
      <w:pPr>
        <w:pStyle w:val="NormalPara"/>
        <w:rPr>
          <w:noProof/>
          <w:lang w:val="en-GB"/>
        </w:rPr>
      </w:pPr>
      <w:r w:rsidRPr="00881BC8">
        <w:rPr>
          <w:noProof/>
          <w:lang w:val="en-GB"/>
        </w:rPr>
        <w:t xml:space="preserve">In 2022, US SMEs were owed on average </w:t>
      </w:r>
      <w:hyperlink r:id="rId111" w:history="1">
        <w:r w:rsidRPr="00881BC8">
          <w:rPr>
            <w:noProof/>
            <w:lang w:val="en-GB"/>
          </w:rPr>
          <w:t>$304,066</w:t>
        </w:r>
      </w:hyperlink>
      <w:r w:rsidRPr="00881BC8">
        <w:rPr>
          <w:noProof/>
          <w:lang w:val="en-GB"/>
        </w:rPr>
        <w:t xml:space="preserve"> by late-paying customers. 81% considered late payments to have become severer since 2021. SMEs in the US were spending on average </w:t>
      </w:r>
      <w:hyperlink r:id="rId112" w:history="1">
        <w:r w:rsidRPr="00881BC8">
          <w:rPr>
            <w:noProof/>
            <w:lang w:val="en-GB"/>
          </w:rPr>
          <w:t>14 hours per week</w:t>
        </w:r>
      </w:hyperlink>
      <w:r w:rsidRPr="00881BC8">
        <w:rPr>
          <w:noProof/>
          <w:lang w:val="en-GB"/>
        </w:rPr>
        <w:t xml:space="preserve"> chasing debtors</w:t>
      </w:r>
      <w:r w:rsidRPr="00881BC8">
        <w:rPr>
          <w:noProof/>
          <w:vertAlign w:val="superscript"/>
          <w:lang w:val="en-GB"/>
        </w:rPr>
        <w:footnoteReference w:id="314"/>
      </w:r>
      <w:r w:rsidRPr="00881BC8">
        <w:rPr>
          <w:noProof/>
          <w:lang w:val="en-GB"/>
        </w:rPr>
        <w:t>.</w:t>
      </w:r>
      <w:r w:rsidRPr="00881BC8">
        <w:rPr>
          <w:i/>
          <w:noProof/>
          <w:lang w:val="en-GB"/>
        </w:rPr>
        <w:t xml:space="preserve"> </w:t>
      </w:r>
    </w:p>
    <w:p w14:paraId="5B77AED2" w14:textId="77777777" w:rsidR="007865B1" w:rsidRPr="00881BC8" w:rsidRDefault="007865B1" w:rsidP="004835F8">
      <w:pPr>
        <w:pStyle w:val="NormalPara"/>
        <w:rPr>
          <w:noProof/>
          <w:lang w:val="en-GB"/>
        </w:rPr>
      </w:pPr>
      <w:r w:rsidRPr="00881BC8">
        <w:rPr>
          <w:noProof/>
          <w:lang w:val="en-GB"/>
        </w:rPr>
        <w:t>The WTO Agreement on Government Procurement (GPA)</w:t>
      </w:r>
      <w:r w:rsidRPr="00881BC8">
        <w:rPr>
          <w:rStyle w:val="FootnoteReference"/>
          <w:noProof/>
          <w:lang w:val="en-GB"/>
        </w:rPr>
        <w:footnoteReference w:id="315"/>
      </w:r>
      <w:r w:rsidRPr="00881BC8">
        <w:rPr>
          <w:noProof/>
          <w:lang w:val="en-GB"/>
        </w:rPr>
        <w:t xml:space="preserve"> is a plurilateral instrument regulating the conduct of international trade in government procurement markets. The GPA provides flexibility for parties to implement specific measures relating to procurement practices, which can be taken in the application of general rules to facilitate SME participation. Examples include the prompt payment of suppliers. Such measures may be needed to overcome potential barriers to SME participation that may persist despite a generally open and transparent system.</w:t>
      </w:r>
    </w:p>
    <w:p w14:paraId="197A90AC" w14:textId="77777777" w:rsidR="007865B1" w:rsidRPr="00881BC8" w:rsidRDefault="007865B1" w:rsidP="004835F8">
      <w:pPr>
        <w:pStyle w:val="NormalPara"/>
        <w:rPr>
          <w:noProof/>
          <w:lang w:val="en-GB"/>
        </w:rPr>
      </w:pPr>
      <w:r w:rsidRPr="00881BC8">
        <w:rPr>
          <w:i/>
          <w:noProof/>
          <w:lang w:val="en-GB"/>
        </w:rPr>
        <w:t xml:space="preserve">The Netherlands - </w:t>
      </w:r>
      <w:r w:rsidRPr="00881BC8">
        <w:rPr>
          <w:noProof/>
          <w:lang w:val="en-GB"/>
        </w:rPr>
        <w:t>Evidence</w:t>
      </w:r>
      <w:r w:rsidRPr="00881BC8">
        <w:rPr>
          <w:rStyle w:val="FootnoteReference"/>
          <w:noProof/>
          <w:lang w:val="en-GB"/>
        </w:rPr>
        <w:footnoteReference w:id="316"/>
      </w:r>
      <w:r w:rsidRPr="00881BC8">
        <w:rPr>
          <w:noProof/>
          <w:lang w:val="en-GB"/>
        </w:rPr>
        <w:t xml:space="preserve"> indicates that some EU undertakings accept longer payment terms and unfair payment conditions from international (non-EU) partners. A share of EU late payments may be due to bad practices being ‘imported’ from outside the EU, and later spreading inside the EU following the domino effect. </w:t>
      </w:r>
    </w:p>
    <w:p w14:paraId="1E83F352" w14:textId="77777777" w:rsidR="007865B1" w:rsidRPr="00881BC8" w:rsidRDefault="007865B1" w:rsidP="004835F8">
      <w:pPr>
        <w:pStyle w:val="AnnexLevel1"/>
        <w:ind w:left="709"/>
        <w:rPr>
          <w:noProof/>
          <w:lang w:val="en-GB"/>
        </w:rPr>
      </w:pPr>
      <w:r w:rsidRPr="00881BC8">
        <w:rPr>
          <w:noProof/>
          <w:lang w:val="en-GB"/>
        </w:rPr>
        <w:t>Policy response</w:t>
      </w:r>
    </w:p>
    <w:p w14:paraId="471A635C" w14:textId="77777777" w:rsidR="007865B1" w:rsidRPr="00881BC8" w:rsidRDefault="007865B1" w:rsidP="004835F8">
      <w:pPr>
        <w:pStyle w:val="NormalPara"/>
        <w:rPr>
          <w:noProof/>
          <w:lang w:val="en-GB"/>
        </w:rPr>
      </w:pPr>
      <w:r w:rsidRPr="00881BC8">
        <w:rPr>
          <w:noProof/>
          <w:lang w:val="en-GB"/>
        </w:rPr>
        <w:t>Many countries address late payments problems towards small companies, both in B2B and G2B transactions, through behavioural or disclosure legislation, in some cases with specific rules for the construction sector addressing also late payment in the supply chain.</w:t>
      </w:r>
    </w:p>
    <w:p w14:paraId="5A62A0B4" w14:textId="77777777" w:rsidR="007865B1" w:rsidRPr="00881BC8" w:rsidRDefault="007865B1" w:rsidP="004835F8">
      <w:pPr>
        <w:pStyle w:val="AnnexLevel2"/>
        <w:rPr>
          <w:noProof/>
          <w:lang w:val="en-GB"/>
        </w:rPr>
      </w:pPr>
      <w:r w:rsidRPr="00881BC8">
        <w:rPr>
          <w:noProof/>
          <w:lang w:val="en-GB"/>
        </w:rPr>
        <w:t>Australia</w:t>
      </w:r>
    </w:p>
    <w:p w14:paraId="14BC02E5" w14:textId="77777777" w:rsidR="007865B1" w:rsidRPr="00881BC8" w:rsidRDefault="007865B1" w:rsidP="004835F8">
      <w:pPr>
        <w:pStyle w:val="NormalPara"/>
        <w:rPr>
          <w:noProof/>
          <w:lang w:val="en-GB"/>
        </w:rPr>
      </w:pPr>
      <w:r w:rsidRPr="00881BC8">
        <w:rPr>
          <w:noProof/>
          <w:lang w:val="en-GB"/>
        </w:rPr>
        <w:t xml:space="preserve">Since 2017, the Business Council of Australia promotes the </w:t>
      </w:r>
      <w:r w:rsidRPr="00881BC8">
        <w:rPr>
          <w:b/>
          <w:noProof/>
          <w:lang w:val="en-GB"/>
        </w:rPr>
        <w:t>Australian Supplier Payment Code</w:t>
      </w:r>
      <w:r w:rsidRPr="00881BC8">
        <w:rPr>
          <w:noProof/>
          <w:vertAlign w:val="superscript"/>
          <w:lang w:val="en-GB"/>
        </w:rPr>
        <w:footnoteReference w:id="317"/>
      </w:r>
      <w:r w:rsidRPr="00881BC8">
        <w:rPr>
          <w:noProof/>
          <w:lang w:val="en-GB"/>
        </w:rPr>
        <w:t xml:space="preserve"> where members commit to pay eligible Australian small business suppliers on time and within 30 days of receiving a correct invoice, and help suppliers implement new technologies and practices to speed up invoicing. Each signatory is required to put in place clear, fair and efficient processes for dealing with complaints and disputes about payment times and practices, which should be used to resolve complaints and disputes in the first instance. In January 2019, the Code had 101 signatories with collective annual revenue of over $550 billion. In April 2023, there are 155 signatories. </w:t>
      </w:r>
    </w:p>
    <w:p w14:paraId="0BC7B514" w14:textId="77777777" w:rsidR="007865B1" w:rsidRPr="00881BC8" w:rsidRDefault="007865B1" w:rsidP="004835F8">
      <w:pPr>
        <w:pStyle w:val="NormalPara"/>
        <w:rPr>
          <w:noProof/>
          <w:lang w:val="en-GB"/>
        </w:rPr>
      </w:pPr>
      <w:r w:rsidRPr="00881BC8">
        <w:rPr>
          <w:noProof/>
          <w:lang w:val="en-GB"/>
        </w:rPr>
        <w:t xml:space="preserve">An </w:t>
      </w:r>
      <w:r w:rsidRPr="00881BC8">
        <w:rPr>
          <w:b/>
          <w:noProof/>
          <w:lang w:val="en-GB"/>
        </w:rPr>
        <w:t>independent review</w:t>
      </w:r>
      <w:r w:rsidRPr="00881BC8">
        <w:rPr>
          <w:noProof/>
          <w:vertAlign w:val="superscript"/>
          <w:lang w:val="en-GB"/>
        </w:rPr>
        <w:footnoteReference w:id="318"/>
      </w:r>
      <w:r w:rsidRPr="00881BC8">
        <w:rPr>
          <w:noProof/>
          <w:lang w:val="en-GB"/>
        </w:rPr>
        <w:t xml:space="preserve"> </w:t>
      </w:r>
      <w:r w:rsidRPr="00881BC8">
        <w:rPr>
          <w:b/>
          <w:noProof/>
          <w:lang w:val="en-GB"/>
        </w:rPr>
        <w:t>of the Code</w:t>
      </w:r>
      <w:r w:rsidRPr="00881BC8">
        <w:rPr>
          <w:noProof/>
          <w:lang w:val="en-GB"/>
        </w:rPr>
        <w:t xml:space="preserve"> was finalised in 2019. The review states that, unless a more widespread adoption of the Code -primarily by large and medium-sized businesses and governments with large numbers of small business suppliers and payment times beyond 30 days- improves payment times to small businesses, there is the prospect of payment regulation. Some major entities yet to sign the Code cited the following concerns during the review: compliance risk and the potential impact on reputation, the challenges and costs of identifying a small business supplier</w:t>
      </w:r>
      <w:r w:rsidRPr="00881BC8">
        <w:rPr>
          <w:noProof/>
          <w:vertAlign w:val="superscript"/>
          <w:lang w:val="en-GB"/>
        </w:rPr>
        <w:footnoteReference w:id="319"/>
      </w:r>
      <w:r w:rsidRPr="00881BC8">
        <w:rPr>
          <w:noProof/>
          <w:lang w:val="en-GB"/>
        </w:rPr>
        <w:t>, uncertainty about how exemptions work</w:t>
      </w:r>
      <w:r w:rsidRPr="00881BC8">
        <w:rPr>
          <w:noProof/>
          <w:vertAlign w:val="superscript"/>
          <w:lang w:val="en-GB"/>
        </w:rPr>
        <w:footnoteReference w:id="320"/>
      </w:r>
      <w:r w:rsidRPr="00881BC8">
        <w:rPr>
          <w:noProof/>
          <w:lang w:val="en-GB"/>
        </w:rPr>
        <w:t>, and time needed to change to complex internal payments systems and processes. Regarding the size of the business supplier, the review recommended the establishment of a small business register and to encourage signatories to adopt the ‘turnover’ definition of a small business and phasing out the ‘headcount’ definition. The review recommended the application of the ‘mutually agreed terms’ exemption for payment beyond 30 days to be subject to a ‘good faith and fair dealings provision’ test, so that suppliers “are afforded both fairness of process (good faith) and fairness in outcomes (fair dealings)”, mirroring the same provision proposed by the independent review of the Food and Grocery Code of Conduct. The review clarified that supply chain financing cannot be used to get around the 30 days terms requirement by setting terms above 30 days and then paying in less than 30 days (i.e. by paying a lesser sum, discounted at the signatory’s cost of funds). It also recommended government to develop a regular statistical series of payment times data across the economy, including payment times to small businesses, which could be developed in consultation with business information and accounting software providers.</w:t>
      </w:r>
    </w:p>
    <w:p w14:paraId="077A885A" w14:textId="638834CB" w:rsidR="007865B1" w:rsidRPr="00881BC8" w:rsidRDefault="007865B1" w:rsidP="004835F8">
      <w:pPr>
        <w:pStyle w:val="NormalPara"/>
        <w:rPr>
          <w:noProof/>
          <w:lang w:val="en-GB"/>
        </w:rPr>
      </w:pPr>
      <w:r w:rsidRPr="00881BC8">
        <w:rPr>
          <w:noProof/>
          <w:lang w:val="en-GB"/>
        </w:rPr>
        <w:t xml:space="preserve">The </w:t>
      </w:r>
      <w:r w:rsidRPr="00881BC8">
        <w:rPr>
          <w:b/>
          <w:i/>
          <w:noProof/>
          <w:lang w:val="en-GB"/>
        </w:rPr>
        <w:t>Australian government policy RMG 417</w:t>
      </w:r>
      <w:r w:rsidRPr="00881BC8">
        <w:rPr>
          <w:rStyle w:val="FootnoteReference"/>
          <w:b/>
          <w:i/>
          <w:noProof/>
          <w:lang w:val="en-GB"/>
        </w:rPr>
        <w:footnoteReference w:id="321"/>
      </w:r>
      <w:r w:rsidRPr="00881BC8">
        <w:rPr>
          <w:b/>
          <w:i/>
          <w:noProof/>
          <w:lang w:val="en-GB"/>
        </w:rPr>
        <w:t>,</w:t>
      </w:r>
      <w:r w:rsidRPr="00881BC8">
        <w:rPr>
          <w:noProof/>
          <w:lang w:val="en-GB"/>
        </w:rPr>
        <w:t xml:space="preserve"> which came into effect 1 January 2020 and was changed in 2022, requires that, when a Non-corporate Commonwealth Entity (NCE) and a supplier both have the capability to deliver and receive e-invoices through the Pan-European Public Procurement On-Line framework and have agreed to use this method of invoicing, have to pay e-invoices within 5 days, and within 20 calendar days for all other invoices. Where a NCE has not made payment in full within the maximum payment terms, it must calculate interest, and pay that interest to the supplier if the amount accrued is more than A$100.</w:t>
      </w:r>
      <w:r w:rsidR="002E552C" w:rsidRPr="00881BC8">
        <w:rPr>
          <w:noProof/>
          <w:lang w:val="en-GB"/>
        </w:rPr>
        <w:t xml:space="preserve"> </w:t>
      </w:r>
    </w:p>
    <w:p w14:paraId="02CD8E22" w14:textId="77777777" w:rsidR="007865B1" w:rsidRPr="00881BC8" w:rsidRDefault="007865B1" w:rsidP="004835F8">
      <w:pPr>
        <w:pStyle w:val="NormalPara"/>
        <w:rPr>
          <w:noProof/>
          <w:lang w:val="en-GB"/>
        </w:rPr>
      </w:pPr>
      <w:r w:rsidRPr="00881BC8">
        <w:rPr>
          <w:noProof/>
          <w:lang w:val="en-GB"/>
        </w:rPr>
        <w:t xml:space="preserve">The Australian Small Business and Family Enterprise Ombudsman has investigated commercial payment terms to SMEs and proposed a 30 day maximum term. No law has yet been proposed, rather reporting requirements have been introduced: the </w:t>
      </w:r>
      <w:r w:rsidRPr="00881BC8">
        <w:rPr>
          <w:b/>
          <w:i/>
          <w:noProof/>
          <w:lang w:val="en-GB"/>
        </w:rPr>
        <w:t>2020 Payment Times Reporting Act</w:t>
      </w:r>
      <w:r w:rsidRPr="00881BC8">
        <w:rPr>
          <w:rFonts w:eastAsiaTheme="minorEastAsia"/>
          <w:noProof/>
          <w:vertAlign w:val="superscript"/>
          <w:lang w:val="en-GB"/>
        </w:rPr>
        <w:footnoteReference w:id="322"/>
      </w:r>
      <w:r w:rsidRPr="00881BC8">
        <w:rPr>
          <w:noProof/>
          <w:lang w:val="en-GB"/>
        </w:rPr>
        <w:t>, obliges large companies and government enterprises</w:t>
      </w:r>
      <w:r w:rsidRPr="00881BC8">
        <w:rPr>
          <w:rFonts w:eastAsiaTheme="minorEastAsia"/>
          <w:noProof/>
          <w:vertAlign w:val="superscript"/>
          <w:lang w:val="en-GB"/>
        </w:rPr>
        <w:footnoteReference w:id="323"/>
      </w:r>
      <w:r w:rsidRPr="00881BC8">
        <w:rPr>
          <w:noProof/>
          <w:lang w:val="en-GB"/>
        </w:rPr>
        <w:t xml:space="preserve"> to regularly report publicly on payment terms and practices towards their small business suppliers</w:t>
      </w:r>
      <w:r w:rsidRPr="00881BC8">
        <w:rPr>
          <w:rFonts w:eastAsiaTheme="minorEastAsia"/>
          <w:noProof/>
          <w:vertAlign w:val="superscript"/>
          <w:lang w:val="en-GB"/>
        </w:rPr>
        <w:footnoteReference w:id="324"/>
      </w:r>
      <w:r w:rsidRPr="00881BC8">
        <w:rPr>
          <w:noProof/>
          <w:lang w:val="en-GB"/>
        </w:rPr>
        <w:t xml:space="preserve">. </w:t>
      </w:r>
    </w:p>
    <w:p w14:paraId="22D272FD" w14:textId="77777777" w:rsidR="007865B1" w:rsidRPr="00881BC8" w:rsidRDefault="007865B1" w:rsidP="004835F8">
      <w:pPr>
        <w:pStyle w:val="NormalPara"/>
        <w:rPr>
          <w:noProof/>
          <w:lang w:val="en-GB"/>
        </w:rPr>
      </w:pPr>
      <w:r w:rsidRPr="00881BC8">
        <w:rPr>
          <w:noProof/>
          <w:lang w:val="en-GB"/>
        </w:rPr>
        <w:t>The Western Australian Building and Construction Industry (Security of Payment) Act 2021 and the NSW Building and Construction Industry Security of Payment Act 1999</w:t>
      </w:r>
      <w:r w:rsidRPr="00881BC8">
        <w:rPr>
          <w:noProof/>
          <w:vertAlign w:val="superscript"/>
          <w:lang w:val="en-GB"/>
        </w:rPr>
        <w:footnoteReference w:id="325"/>
      </w:r>
      <w:r w:rsidRPr="00881BC8">
        <w:rPr>
          <w:noProof/>
          <w:lang w:val="en-GB"/>
        </w:rPr>
        <w:t xml:space="preserve"> limit payment terms respectively to 20 and 15 business days after a payment claim is made by a main contractor and to 25 and 20 business days by a subcontractor.</w:t>
      </w:r>
    </w:p>
    <w:p w14:paraId="7E921612" w14:textId="77777777" w:rsidR="007865B1" w:rsidRPr="00881BC8" w:rsidRDefault="007865B1" w:rsidP="004835F8">
      <w:pPr>
        <w:pStyle w:val="AnnexLevel2"/>
        <w:rPr>
          <w:noProof/>
          <w:lang w:val="en-GB"/>
        </w:rPr>
      </w:pPr>
      <w:r w:rsidRPr="00881BC8">
        <w:rPr>
          <w:noProof/>
          <w:lang w:val="en-GB"/>
        </w:rPr>
        <w:t>Canada</w:t>
      </w:r>
    </w:p>
    <w:p w14:paraId="4565B04B" w14:textId="77777777" w:rsidR="007865B1" w:rsidRPr="00881BC8" w:rsidRDefault="007865B1" w:rsidP="004835F8">
      <w:pPr>
        <w:pStyle w:val="NormalPara"/>
        <w:rPr>
          <w:noProof/>
          <w:lang w:val="en-GB"/>
        </w:rPr>
      </w:pPr>
      <w:r w:rsidRPr="00881BC8">
        <w:rPr>
          <w:i/>
          <w:iCs/>
          <w:noProof/>
          <w:lang w:val="en-GB"/>
        </w:rPr>
        <w:t>Canada</w:t>
      </w:r>
      <w:r w:rsidRPr="00881BC8">
        <w:rPr>
          <w:noProof/>
          <w:lang w:val="en-GB"/>
        </w:rPr>
        <w:t xml:space="preserve"> - Prompt payment and mandatory adjudication legislation is being introduced across Canada to address payment delays in the construction supply chain. </w:t>
      </w:r>
    </w:p>
    <w:p w14:paraId="6928FB8B" w14:textId="77777777" w:rsidR="007865B1" w:rsidRPr="00881BC8" w:rsidRDefault="007865B1" w:rsidP="004835F8">
      <w:pPr>
        <w:pStyle w:val="NormalPara"/>
        <w:rPr>
          <w:noProof/>
          <w:lang w:val="en-GB"/>
        </w:rPr>
      </w:pPr>
      <w:r w:rsidRPr="00881BC8">
        <w:rPr>
          <w:noProof/>
          <w:lang w:val="en-GB"/>
        </w:rPr>
        <w:t>In the federal context, under the Financial Administration Act, the Treasury Board Payment Directive, and the federal government Contracting Policy, there is an ordinary course of payment environment established that can fairly be characterized as fundamentally based upon the core principles of prompt payment. In particular a 30-day from invoice payment cycle, payment of undisputed amounts, and mandatory interest which assists in ensuring that payments are made by the federal government promptly.</w:t>
      </w:r>
      <w:r w:rsidRPr="00881BC8">
        <w:rPr>
          <w:noProof/>
          <w:vertAlign w:val="superscript"/>
          <w:lang w:val="en-GB"/>
        </w:rPr>
        <w:footnoteReference w:id="326"/>
      </w:r>
      <w:r w:rsidRPr="00881BC8">
        <w:rPr>
          <w:noProof/>
          <w:lang w:val="en-GB"/>
        </w:rPr>
        <w:t xml:space="preserve"> </w:t>
      </w:r>
    </w:p>
    <w:p w14:paraId="6446FC94" w14:textId="77777777" w:rsidR="007865B1" w:rsidRPr="00881BC8" w:rsidRDefault="007865B1" w:rsidP="004835F8">
      <w:pPr>
        <w:pStyle w:val="NormalPara"/>
        <w:rPr>
          <w:noProof/>
          <w:lang w:val="en-GB"/>
        </w:rPr>
      </w:pPr>
      <w:r w:rsidRPr="00881BC8">
        <w:rPr>
          <w:noProof/>
          <w:lang w:val="en-GB"/>
        </w:rPr>
        <w:t xml:space="preserve">The </w:t>
      </w:r>
      <w:r w:rsidRPr="00881BC8">
        <w:rPr>
          <w:b/>
          <w:bCs/>
          <w:i/>
          <w:iCs/>
          <w:noProof/>
          <w:lang w:val="en-GB"/>
        </w:rPr>
        <w:t>Federal Prompt Payment for Construction Work Act</w:t>
      </w:r>
      <w:r w:rsidRPr="00881BC8">
        <w:rPr>
          <w:rStyle w:val="FootnoteReference"/>
          <w:noProof/>
          <w:lang w:val="en-GB"/>
        </w:rPr>
        <w:footnoteReference w:id="327"/>
      </w:r>
      <w:r w:rsidRPr="00881BC8">
        <w:rPr>
          <w:noProof/>
          <w:lang w:val="en-GB"/>
        </w:rPr>
        <w:t xml:space="preserve"> was passed in 2019, but is not yet in force. It addresses the non-payment of contractors and subcontractors performing construction work for federal construction projects (with adjudication limited to payment disputes). It makes payment of interests on overdue amounts mandatory; it gives the right to terminate a construction contract for non-payment; it includes rights to information. Once in force, it will not exempt existing contracts but give a one-year deferral period. </w:t>
      </w:r>
    </w:p>
    <w:p w14:paraId="1254A7FD" w14:textId="77777777" w:rsidR="007865B1" w:rsidRPr="00881BC8" w:rsidRDefault="007865B1" w:rsidP="004835F8">
      <w:pPr>
        <w:pStyle w:val="NormalPara"/>
        <w:rPr>
          <w:noProof/>
          <w:lang w:val="en-GB"/>
        </w:rPr>
      </w:pPr>
      <w:r w:rsidRPr="00881BC8">
        <w:rPr>
          <w:noProof/>
          <w:lang w:val="en-GB"/>
        </w:rPr>
        <w:t>Some provinces are in a preparatory phase and 4 provinces (Ontario, Saskatchewan, Alberta, Nova Scotia) have in the meantime introduced and/or enacted prompt payment acts for the construction sector</w:t>
      </w:r>
      <w:r w:rsidRPr="00881BC8">
        <w:rPr>
          <w:rStyle w:val="FootnoteReference"/>
          <w:noProof/>
          <w:lang w:val="en-GB"/>
        </w:rPr>
        <w:footnoteReference w:id="328"/>
      </w:r>
      <w:r w:rsidRPr="00881BC8">
        <w:rPr>
          <w:noProof/>
          <w:lang w:val="en-GB"/>
        </w:rPr>
        <w:t>:</w:t>
      </w:r>
    </w:p>
    <w:p w14:paraId="54BD4FCE" w14:textId="77777777" w:rsidR="007865B1" w:rsidRPr="00881BC8" w:rsidRDefault="007865B1" w:rsidP="004835F8">
      <w:pPr>
        <w:pStyle w:val="FootnoteText"/>
        <w:numPr>
          <w:ilvl w:val="0"/>
          <w:numId w:val="22"/>
        </w:numPr>
        <w:rPr>
          <w:noProof/>
          <w:sz w:val="24"/>
          <w:szCs w:val="24"/>
        </w:rPr>
      </w:pPr>
      <w:r w:rsidRPr="00881BC8">
        <w:rPr>
          <w:i/>
          <w:noProof/>
          <w:sz w:val="24"/>
          <w:szCs w:val="24"/>
        </w:rPr>
        <w:t>Ontario</w:t>
      </w:r>
      <w:r w:rsidRPr="00881BC8">
        <w:rPr>
          <w:noProof/>
          <w:sz w:val="24"/>
          <w:szCs w:val="24"/>
        </w:rPr>
        <w:t xml:space="preserve">: since October 2019, swift payment deadlines, requiring the owner either to pay within 28 calendar days or to dispute within 14 calendar days, describing the reasons for non-payment; the contractor must either pay its subcontractors within 7 calendar days of receipt of payment or send notices of dispute within 7 calendar days; adjudication is mandatory and has been introduced as a quick interim method to resolve disputes on a construction project. </w:t>
      </w:r>
    </w:p>
    <w:p w14:paraId="7DAB62D4" w14:textId="77777777" w:rsidR="007865B1" w:rsidRPr="00881BC8" w:rsidRDefault="007865B1" w:rsidP="004835F8">
      <w:pPr>
        <w:pStyle w:val="FootnoteText"/>
        <w:numPr>
          <w:ilvl w:val="0"/>
          <w:numId w:val="22"/>
        </w:numPr>
        <w:rPr>
          <w:noProof/>
          <w:sz w:val="24"/>
          <w:szCs w:val="24"/>
        </w:rPr>
      </w:pPr>
      <w:r w:rsidRPr="00881BC8">
        <w:rPr>
          <w:i/>
          <w:noProof/>
          <w:sz w:val="24"/>
          <w:szCs w:val="24"/>
        </w:rPr>
        <w:t>Saskatchewan</w:t>
      </w:r>
      <w:r w:rsidRPr="00881BC8">
        <w:rPr>
          <w:noProof/>
          <w:sz w:val="24"/>
          <w:szCs w:val="24"/>
        </w:rPr>
        <w:t xml:space="preserve">: since March 2022, the Amendment Act and Amendment regulations introduced a prompt payment and adjudication regime similar to Ontario's regime. The new Saskatchewan Construction Dispute Resolution Office (SCDRO) will act as the official adjudication authority and the ADR Institute of Saskatchewan Inc. will work with the SCDRO to provide adjudicators. The prompt payment and adjudication regime does not apply to architects, engineers, land surveyors and persons providing services or materials for any improvement with respect to a mine or mineral resource (including any activities regarding exploration, development, production, decommissioning or reclamation) or an improvement related to infrastructure in connection with the generation, transmission or distribution of electrical energy. </w:t>
      </w:r>
    </w:p>
    <w:p w14:paraId="32FB6CC8" w14:textId="77777777" w:rsidR="007865B1" w:rsidRPr="00881BC8" w:rsidRDefault="007865B1" w:rsidP="004835F8">
      <w:pPr>
        <w:pStyle w:val="FootnoteText"/>
        <w:numPr>
          <w:ilvl w:val="0"/>
          <w:numId w:val="22"/>
        </w:numPr>
        <w:rPr>
          <w:noProof/>
          <w:sz w:val="24"/>
          <w:szCs w:val="24"/>
        </w:rPr>
      </w:pPr>
      <w:r w:rsidRPr="00881BC8">
        <w:rPr>
          <w:i/>
          <w:noProof/>
          <w:sz w:val="24"/>
          <w:szCs w:val="24"/>
        </w:rPr>
        <w:t>Alberta</w:t>
      </w:r>
      <w:r w:rsidRPr="00881BC8">
        <w:rPr>
          <w:noProof/>
          <w:sz w:val="24"/>
          <w:szCs w:val="24"/>
        </w:rPr>
        <w:t>: since August 2022, introduction of prompt payment, adjudication, an extension of lien registration periods. Adjudication may not always be used, as parties may not refer a dispute to adjudication if an action in court has already been commenced. The act does not permit the use of contractual ‘paid when paid’ clauses, or other payment terms, to extend payment deadlines. Existing contracts have until 2024 to make their terms comply with the new provisions. Monthly billings required for construction projects, at least every 31 days.</w:t>
      </w:r>
    </w:p>
    <w:p w14:paraId="7289019B" w14:textId="77777777" w:rsidR="007865B1" w:rsidRPr="00881BC8" w:rsidRDefault="007865B1" w:rsidP="004835F8">
      <w:pPr>
        <w:pStyle w:val="FootnoteText"/>
        <w:numPr>
          <w:ilvl w:val="0"/>
          <w:numId w:val="22"/>
        </w:numPr>
        <w:rPr>
          <w:noProof/>
          <w:sz w:val="24"/>
          <w:szCs w:val="24"/>
        </w:rPr>
      </w:pPr>
      <w:r w:rsidRPr="00881BC8">
        <w:rPr>
          <w:i/>
          <w:noProof/>
          <w:sz w:val="24"/>
          <w:szCs w:val="24"/>
        </w:rPr>
        <w:t>Nova Scotia</w:t>
      </w:r>
      <w:r w:rsidRPr="00881BC8">
        <w:rPr>
          <w:noProof/>
          <w:sz w:val="24"/>
          <w:szCs w:val="24"/>
        </w:rPr>
        <w:t>: since October 2022, Government has the authority to appoint an external body to adjudicate disputes between developers and their contractors and subcontractors. Amendments to the Builders’ Lien Act will allow the new authority to collect and manage fees to cover the costs associated with adjudicating disputes. It will also define the body’s duties and powers related to training adjudicators and setting and collecting adjudication fees. The legislation further strengthens the prompt payment process by: defining the scope of disputes that can be referred to adjudication to include disputes related to the value of services or materials provided under a contract and disputes related to payment under a contract; setting out parameters for the timing of decisions.</w:t>
      </w:r>
    </w:p>
    <w:p w14:paraId="0D0F860E" w14:textId="77777777" w:rsidR="007865B1" w:rsidRPr="00881BC8" w:rsidRDefault="007865B1" w:rsidP="007865B1">
      <w:pPr>
        <w:pStyle w:val="FootnoteText"/>
        <w:ind w:left="360"/>
        <w:rPr>
          <w:i/>
          <w:noProof/>
          <w:sz w:val="24"/>
          <w:szCs w:val="24"/>
        </w:rPr>
      </w:pPr>
    </w:p>
    <w:p w14:paraId="27968C8C" w14:textId="77777777" w:rsidR="007865B1" w:rsidRPr="00881BC8" w:rsidRDefault="007865B1" w:rsidP="004835F8">
      <w:pPr>
        <w:pStyle w:val="AnnexLevel2"/>
        <w:rPr>
          <w:noProof/>
          <w:lang w:val="en-GB"/>
        </w:rPr>
      </w:pPr>
      <w:r w:rsidRPr="00881BC8">
        <w:rPr>
          <w:noProof/>
          <w:lang w:val="en-GB"/>
        </w:rPr>
        <w:t>China</w:t>
      </w:r>
    </w:p>
    <w:p w14:paraId="559A98F2" w14:textId="77777777" w:rsidR="007865B1" w:rsidRPr="00881BC8" w:rsidRDefault="007865B1" w:rsidP="004835F8">
      <w:pPr>
        <w:pStyle w:val="NormalPara"/>
        <w:rPr>
          <w:noProof/>
          <w:lang w:val="en-GB"/>
        </w:rPr>
      </w:pPr>
      <w:r w:rsidRPr="00881BC8">
        <w:rPr>
          <w:noProof/>
          <w:lang w:val="en-GB"/>
        </w:rPr>
        <w:t>Article 161 of the Contract Law of the People’s Republic of China provides that if the payment time is not stated and additional agreement cannot be reached then payment is due on delivery.</w:t>
      </w:r>
      <w:r w:rsidRPr="00881BC8">
        <w:rPr>
          <w:rStyle w:val="FootnoteReference"/>
          <w:noProof/>
          <w:lang w:val="en-GB"/>
        </w:rPr>
        <w:footnoteReference w:id="329"/>
      </w:r>
      <w:r w:rsidRPr="00881BC8">
        <w:rPr>
          <w:noProof/>
          <w:lang w:val="en-GB"/>
        </w:rPr>
        <w:t xml:space="preserve"> </w:t>
      </w:r>
    </w:p>
    <w:p w14:paraId="26EA5DB3" w14:textId="77777777" w:rsidR="007865B1" w:rsidRPr="00881BC8" w:rsidRDefault="007865B1" w:rsidP="007865B1">
      <w:pPr>
        <w:pStyle w:val="FootnoteText"/>
        <w:ind w:left="360"/>
        <w:rPr>
          <w:noProof/>
          <w:sz w:val="24"/>
          <w:szCs w:val="24"/>
        </w:rPr>
      </w:pPr>
    </w:p>
    <w:p w14:paraId="08195115" w14:textId="77777777" w:rsidR="007865B1" w:rsidRPr="00881BC8" w:rsidRDefault="007865B1" w:rsidP="004835F8">
      <w:pPr>
        <w:pStyle w:val="AnnexLevel2"/>
        <w:rPr>
          <w:noProof/>
          <w:lang w:val="en-GB"/>
        </w:rPr>
      </w:pPr>
      <w:r w:rsidRPr="00881BC8">
        <w:rPr>
          <w:noProof/>
          <w:lang w:val="en-GB"/>
        </w:rPr>
        <w:t>India</w:t>
      </w:r>
    </w:p>
    <w:p w14:paraId="4E4836D2" w14:textId="77777777" w:rsidR="007865B1" w:rsidRPr="00881BC8" w:rsidRDefault="007865B1" w:rsidP="004835F8">
      <w:pPr>
        <w:pStyle w:val="NormalPara"/>
        <w:rPr>
          <w:noProof/>
          <w:lang w:val="en-GB"/>
        </w:rPr>
      </w:pPr>
      <w:r w:rsidRPr="00881BC8">
        <w:rPr>
          <w:noProof/>
          <w:lang w:val="en-GB"/>
        </w:rPr>
        <w:t>The Micro, Small and Medium Enterprises Development (MSMED) Act 2006</w:t>
      </w:r>
      <w:r w:rsidRPr="00881BC8">
        <w:rPr>
          <w:rStyle w:val="FootnoteReference"/>
          <w:noProof/>
          <w:lang w:val="en-GB"/>
        </w:rPr>
        <w:footnoteReference w:id="330"/>
      </w:r>
      <w:r w:rsidRPr="00881BC8">
        <w:rPr>
          <w:noProof/>
          <w:lang w:val="en-GB"/>
        </w:rPr>
        <w:t xml:space="preserve"> limits payment terms to SMEs to 45 days and has penalties including fines and imprisonment. Firms dealing with SMEDs are required to report to the government on the amount and reasons for late payment.</w:t>
      </w:r>
    </w:p>
    <w:p w14:paraId="436BE5DD" w14:textId="77777777" w:rsidR="007865B1" w:rsidRPr="00881BC8" w:rsidRDefault="007865B1" w:rsidP="004835F8">
      <w:pPr>
        <w:pStyle w:val="NormalPara"/>
        <w:rPr>
          <w:noProof/>
          <w:lang w:val="en-GB"/>
        </w:rPr>
      </w:pPr>
      <w:r w:rsidRPr="00881BC8">
        <w:rPr>
          <w:noProof/>
          <w:lang w:val="en-GB"/>
        </w:rPr>
        <w:t>As per rule 149 of the General Financial Rules 2017, the Indian government’s e-marketplace for government procurement (GEM) currently requires payment of suppliers within 10 days. Interest will be charged from the first day beyond the 10 day period until the payment is made. The amount collected from the late payment levy would be deposited in an account maintained by the GeM and shall be used for the education of sellers and buyers or any other purposes related to GeM or public procurement.</w:t>
      </w:r>
      <w:r w:rsidRPr="00881BC8">
        <w:rPr>
          <w:rStyle w:val="FootnoteReference"/>
          <w:noProof/>
          <w:lang w:val="en-GB"/>
        </w:rPr>
        <w:footnoteReference w:id="331"/>
      </w:r>
    </w:p>
    <w:p w14:paraId="1D5E2561" w14:textId="77777777" w:rsidR="007865B1" w:rsidRPr="00881BC8" w:rsidRDefault="007865B1" w:rsidP="004835F8">
      <w:pPr>
        <w:pStyle w:val="AnnexLevel2"/>
        <w:rPr>
          <w:noProof/>
          <w:lang w:val="en-GB"/>
        </w:rPr>
      </w:pPr>
      <w:r w:rsidRPr="00881BC8">
        <w:rPr>
          <w:noProof/>
          <w:lang w:val="en-GB"/>
        </w:rPr>
        <w:t>Japan</w:t>
      </w:r>
    </w:p>
    <w:p w14:paraId="3FCCC8C3" w14:textId="6BCC3358" w:rsidR="007865B1" w:rsidRPr="00881BC8" w:rsidRDefault="007865B1" w:rsidP="004835F8">
      <w:pPr>
        <w:pStyle w:val="NormalPara"/>
        <w:rPr>
          <w:noProof/>
          <w:lang w:val="en-GB"/>
        </w:rPr>
      </w:pPr>
      <w:r w:rsidRPr="00881BC8">
        <w:rPr>
          <w:noProof/>
          <w:lang w:val="en-GB"/>
        </w:rPr>
        <w:t xml:space="preserve">The </w:t>
      </w:r>
      <w:r w:rsidRPr="00881BC8">
        <w:rPr>
          <w:b/>
          <w:i/>
          <w:noProof/>
          <w:lang w:val="en-GB"/>
        </w:rPr>
        <w:t>Prevention of Delay in Payment under Government Contracts</w:t>
      </w:r>
      <w:r w:rsidRPr="00881BC8">
        <w:rPr>
          <w:noProof/>
          <w:lang w:val="en-GB"/>
        </w:rPr>
        <w:t xml:space="preserve"> (Act No. 256 of 1949) sets a maximum term of 40 days for government construction projects, and 30 days for other services to public entities. If the terms are not specified in contract then the default payment term is 15 days from receipt of invoice.</w:t>
      </w:r>
      <w:r w:rsidR="002E552C" w:rsidRPr="00881BC8">
        <w:rPr>
          <w:noProof/>
          <w:lang w:val="en-GB"/>
        </w:rPr>
        <w:t xml:space="preserve"> </w:t>
      </w:r>
    </w:p>
    <w:p w14:paraId="2E3EC878" w14:textId="77777777" w:rsidR="007865B1" w:rsidRPr="00881BC8" w:rsidRDefault="007865B1" w:rsidP="004835F8">
      <w:pPr>
        <w:pStyle w:val="NormalPara"/>
        <w:rPr>
          <w:rStyle w:val="apple-converted-space"/>
          <w:noProof/>
          <w:color w:val="212121"/>
          <w:lang w:val="en-GB"/>
        </w:rPr>
      </w:pPr>
      <w:r w:rsidRPr="00881BC8">
        <w:rPr>
          <w:noProof/>
          <w:lang w:val="en-GB"/>
        </w:rPr>
        <w:t xml:space="preserve">The </w:t>
      </w:r>
      <w:r w:rsidRPr="00881BC8">
        <w:rPr>
          <w:b/>
          <w:i/>
          <w:noProof/>
          <w:lang w:val="en-GB"/>
        </w:rPr>
        <w:t>Designation of Specific Unfair Trade Practices by Large-Scale Retailers Relating to Trade with Suppliers</w:t>
      </w:r>
      <w:r w:rsidRPr="00881BC8">
        <w:rPr>
          <w:noProof/>
          <w:lang w:val="en-GB"/>
        </w:rPr>
        <w:t xml:space="preserve"> by the Japanese Fair Trade Commission does not apply specific maximum payment terms to the industry but it does restrict delayed payment in response to certain disputes</w:t>
      </w:r>
      <w:r w:rsidRPr="00881BC8">
        <w:rPr>
          <w:rStyle w:val="FootnoteReference"/>
          <w:noProof/>
          <w:color w:val="212121"/>
          <w:lang w:val="en-GB"/>
        </w:rPr>
        <w:footnoteReference w:id="332"/>
      </w:r>
      <w:r w:rsidRPr="00881BC8">
        <w:rPr>
          <w:noProof/>
          <w:lang w:val="en-GB"/>
        </w:rPr>
        <w:t>.</w:t>
      </w:r>
      <w:r w:rsidRPr="00881BC8">
        <w:rPr>
          <w:rStyle w:val="apple-converted-space"/>
          <w:noProof/>
          <w:color w:val="212121"/>
          <w:lang w:val="en-GB"/>
        </w:rPr>
        <w:t> </w:t>
      </w:r>
    </w:p>
    <w:p w14:paraId="399D5F16" w14:textId="13A763FA" w:rsidR="007865B1" w:rsidRPr="00881BC8" w:rsidRDefault="007865B1" w:rsidP="004835F8">
      <w:pPr>
        <w:pStyle w:val="NormalPara"/>
        <w:rPr>
          <w:noProof/>
          <w:lang w:val="en-GB"/>
        </w:rPr>
      </w:pPr>
      <w:r w:rsidRPr="00881BC8">
        <w:rPr>
          <w:noProof/>
          <w:lang w:val="en-GB"/>
        </w:rPr>
        <w:t xml:space="preserve">The </w:t>
      </w:r>
      <w:r w:rsidRPr="00881BC8">
        <w:rPr>
          <w:b/>
          <w:i/>
          <w:noProof/>
          <w:lang w:val="en-GB"/>
        </w:rPr>
        <w:t>1956 Subcontract Act</w:t>
      </w:r>
      <w:hyperlink r:id="rId113" w:anchor="x__ftn1" w:history="1">
        <w:r w:rsidRPr="00881BC8">
          <w:rPr>
            <w:rStyle w:val="xmsofootnotereference"/>
            <w:noProof/>
            <w:color w:val="0000FF"/>
            <w:u w:val="single"/>
            <w:vertAlign w:val="superscript"/>
            <w:lang w:val="en-GB"/>
          </w:rPr>
          <w:t>[1]</w:t>
        </w:r>
      </w:hyperlink>
      <w:r w:rsidRPr="00881BC8">
        <w:rPr>
          <w:rStyle w:val="apple-converted-space"/>
          <w:noProof/>
          <w:color w:val="212121"/>
          <w:lang w:val="en-GB"/>
        </w:rPr>
        <w:t> </w:t>
      </w:r>
      <w:r w:rsidRPr="00881BC8">
        <w:rPr>
          <w:noProof/>
          <w:lang w:val="en-GB"/>
        </w:rPr>
        <w:t>sets payments from larger companies to smaller ‘subcontractors’ at a maximum term of 60 days from the day of delivery, regardless of whether or not the work has been inspected in detail. Company size thresholds and payment criteria vary across industries. Interest for delay applies automatically</w:t>
      </w:r>
      <w:r w:rsidRPr="00881BC8">
        <w:rPr>
          <w:rStyle w:val="FootnoteReference"/>
          <w:noProof/>
          <w:color w:val="212121"/>
          <w:lang w:val="en-GB"/>
        </w:rPr>
        <w:footnoteReference w:id="333"/>
      </w:r>
      <w:r w:rsidRPr="00881BC8">
        <w:rPr>
          <w:noProof/>
          <w:lang w:val="en-GB"/>
        </w:rPr>
        <w:t>. The Act also bans a list of unfair practices</w:t>
      </w:r>
      <w:r w:rsidRPr="00881BC8">
        <w:rPr>
          <w:rStyle w:val="FootnoteReference"/>
          <w:noProof/>
          <w:color w:val="212121"/>
          <w:lang w:val="en-GB"/>
        </w:rPr>
        <w:footnoteReference w:id="334"/>
      </w:r>
      <w:r w:rsidRPr="00881BC8">
        <w:rPr>
          <w:noProof/>
          <w:lang w:val="en-GB"/>
        </w:rPr>
        <w:t>.The Fair Trade Commission and the Director-General of the Small and Medium Sized Enterprise Agency have powers of inspection and can require a main contractor to submit a report on its transactions. Administrative sanctions are foreseen</w:t>
      </w:r>
      <w:hyperlink r:id="rId114" w:anchor="x__ftn2" w:history="1">
        <w:r w:rsidRPr="00881BC8">
          <w:rPr>
            <w:rStyle w:val="xmsofootnotereference"/>
            <w:noProof/>
            <w:color w:val="0000FF"/>
            <w:u w:val="single"/>
            <w:vertAlign w:val="superscript"/>
            <w:lang w:val="en-GB"/>
          </w:rPr>
          <w:t>[2]</w:t>
        </w:r>
      </w:hyperlink>
      <w:r w:rsidRPr="00881BC8">
        <w:rPr>
          <w:noProof/>
          <w:lang w:val="en-GB"/>
        </w:rPr>
        <w:t xml:space="preserve">. </w:t>
      </w:r>
    </w:p>
    <w:p w14:paraId="6555B15F" w14:textId="77777777" w:rsidR="007865B1" w:rsidRPr="00881BC8" w:rsidRDefault="007865B1" w:rsidP="004835F8">
      <w:pPr>
        <w:pStyle w:val="AnnexLevel2"/>
        <w:rPr>
          <w:noProof/>
          <w:lang w:val="en-GB"/>
        </w:rPr>
      </w:pPr>
      <w:r w:rsidRPr="00881BC8">
        <w:rPr>
          <w:noProof/>
          <w:lang w:val="en-GB"/>
        </w:rPr>
        <w:t>New Zealand</w:t>
      </w:r>
    </w:p>
    <w:p w14:paraId="2382764F" w14:textId="77777777" w:rsidR="007865B1" w:rsidRPr="00881BC8" w:rsidRDefault="007865B1" w:rsidP="004835F8">
      <w:pPr>
        <w:pStyle w:val="NormalPara"/>
        <w:rPr>
          <w:noProof/>
          <w:lang w:val="en-GB"/>
        </w:rPr>
      </w:pPr>
      <w:r w:rsidRPr="00881BC8">
        <w:rPr>
          <w:noProof/>
          <w:lang w:val="en-GB"/>
        </w:rPr>
        <w:t xml:space="preserve">The </w:t>
      </w:r>
      <w:r w:rsidRPr="00881BC8">
        <w:rPr>
          <w:b/>
          <w:noProof/>
          <w:lang w:val="en-GB"/>
        </w:rPr>
        <w:t>Construction Contracts Act</w:t>
      </w:r>
      <w:r w:rsidRPr="00881BC8">
        <w:rPr>
          <w:b/>
          <w:noProof/>
          <w:vertAlign w:val="superscript"/>
          <w:lang w:val="en-GB"/>
        </w:rPr>
        <w:footnoteReference w:id="335"/>
      </w:r>
      <w:r w:rsidRPr="00881BC8">
        <w:rPr>
          <w:b/>
          <w:noProof/>
          <w:lang w:val="en-GB"/>
        </w:rPr>
        <w:t xml:space="preserve"> </w:t>
      </w:r>
      <w:r w:rsidRPr="00881BC8">
        <w:rPr>
          <w:noProof/>
          <w:lang w:val="en-GB"/>
        </w:rPr>
        <w:t xml:space="preserve">was introduced in </w:t>
      </w:r>
      <w:r w:rsidRPr="00881BC8">
        <w:rPr>
          <w:b/>
          <w:noProof/>
          <w:lang w:val="en-GB"/>
        </w:rPr>
        <w:t>2002</w:t>
      </w:r>
      <w:r w:rsidRPr="00881BC8">
        <w:rPr>
          <w:noProof/>
          <w:lang w:val="en-GB"/>
        </w:rPr>
        <w:t xml:space="preserve"> and amended in </w:t>
      </w:r>
      <w:r w:rsidRPr="00881BC8">
        <w:rPr>
          <w:b/>
          <w:noProof/>
          <w:lang w:val="en-GB"/>
        </w:rPr>
        <w:t>2015</w:t>
      </w:r>
      <w:r w:rsidRPr="00881BC8">
        <w:rPr>
          <w:noProof/>
          <w:lang w:val="en-GB"/>
        </w:rPr>
        <w:t>. It helps to ensure a fair, balanced and appropriate payment regime, provides a process for dealing with payments and disputes under a construction contract, provides enforcement mechanisms to recover any unmade payments and protects retention money withheld under commercial construction contracts. The Act rendered conditional payment provisions such as ‘pay-when-paid’ and ‘pay-if-paid’ clauses in a construction contract ineffective. The default date for a progress payment or any other type of payment under a construction contract for construction work carried out under that contract is 20 working days after the payment claim is served on the payer. It establishes a statutory right to progress payments and a mechanism for determining the number of payments under the contract, the interval between those payments, the amount of each of those payments and the date when each of those payments becomes due. It includes a not-mandatory adjudication regime.</w:t>
      </w:r>
    </w:p>
    <w:p w14:paraId="5F0184A5" w14:textId="77777777" w:rsidR="007865B1" w:rsidRPr="00881BC8" w:rsidRDefault="007865B1" w:rsidP="004835F8">
      <w:pPr>
        <w:pStyle w:val="NormalPara"/>
        <w:rPr>
          <w:noProof/>
          <w:lang w:val="en-GB"/>
        </w:rPr>
      </w:pPr>
      <w:r w:rsidRPr="00881BC8">
        <w:rPr>
          <w:noProof/>
          <w:lang w:val="en-GB"/>
        </w:rPr>
        <w:t xml:space="preserve">The </w:t>
      </w:r>
      <w:r w:rsidRPr="00881BC8">
        <w:rPr>
          <w:b/>
          <w:noProof/>
          <w:lang w:val="en-GB"/>
        </w:rPr>
        <w:t>Fair Trading Amendment Act 2021</w:t>
      </w:r>
      <w:r w:rsidRPr="00881BC8">
        <w:rPr>
          <w:noProof/>
          <w:lang w:val="en-GB"/>
        </w:rPr>
        <w:t xml:space="preserve"> places new obligations on businesses and provides new protections for consumers and small businesses. It: prohibits unconscionable conduct in trade</w:t>
      </w:r>
      <w:r w:rsidRPr="00881BC8">
        <w:rPr>
          <w:noProof/>
          <w:vertAlign w:val="superscript"/>
          <w:lang w:val="en-GB"/>
        </w:rPr>
        <w:footnoteReference w:id="336"/>
      </w:r>
      <w:r w:rsidRPr="00881BC8">
        <w:rPr>
          <w:noProof/>
          <w:lang w:val="en-GB"/>
        </w:rPr>
        <w:t xml:space="preserve"> and extends unfair contract terms provisions to cover standard form (common types of take-it-or-leave-it standard form contracts, like those for power and phone) small trade contracts (with a value below $250,000 in a given year). The Commerce Commission can take action to stop a business using an unfair term in a contract, can apply to the court to have a term declared unfair and if a court decides the term is unfair, that part of the contract will not be legally binding on parties.</w:t>
      </w:r>
      <w:r w:rsidRPr="00881BC8">
        <w:rPr>
          <w:noProof/>
          <w:vertAlign w:val="superscript"/>
          <w:lang w:val="en-GB"/>
        </w:rPr>
        <w:footnoteReference w:id="337"/>
      </w:r>
    </w:p>
    <w:p w14:paraId="584AA6E0" w14:textId="77777777" w:rsidR="007865B1" w:rsidRPr="00881BC8" w:rsidRDefault="007865B1" w:rsidP="004835F8">
      <w:pPr>
        <w:pStyle w:val="NormalPara"/>
        <w:rPr>
          <w:noProof/>
          <w:lang w:val="en-GB"/>
        </w:rPr>
      </w:pPr>
      <w:r w:rsidRPr="00881BC8">
        <w:rPr>
          <w:noProof/>
          <w:lang w:val="en-GB"/>
        </w:rPr>
        <w:t xml:space="preserve">New Zealand is in the process of passing the </w:t>
      </w:r>
      <w:r w:rsidRPr="00881BC8">
        <w:rPr>
          <w:b/>
          <w:noProof/>
          <w:lang w:val="en-GB"/>
        </w:rPr>
        <w:t>Business Payment Practice Bill</w:t>
      </w:r>
      <w:r w:rsidRPr="00881BC8">
        <w:rPr>
          <w:rStyle w:val="FootnoteReference"/>
          <w:b/>
          <w:noProof/>
          <w:lang w:val="en-GB"/>
        </w:rPr>
        <w:footnoteReference w:id="338"/>
      </w:r>
      <w:r w:rsidRPr="00881BC8">
        <w:rPr>
          <w:b/>
          <w:noProof/>
          <w:lang w:val="en-GB"/>
        </w:rPr>
        <w:t>,</w:t>
      </w:r>
      <w:r w:rsidRPr="00881BC8">
        <w:rPr>
          <w:noProof/>
          <w:lang w:val="en-GB"/>
        </w:rPr>
        <w:t xml:space="preserve"> first introduced on 25/10/2022, which will require companies with annual turnover of more than $33 million to report on their payment practices every six months. </w:t>
      </w:r>
    </w:p>
    <w:p w14:paraId="42F0BFA8" w14:textId="77777777" w:rsidR="007865B1" w:rsidRPr="00881BC8" w:rsidRDefault="007865B1" w:rsidP="004835F8">
      <w:pPr>
        <w:pStyle w:val="NormalPara"/>
        <w:rPr>
          <w:noProof/>
          <w:lang w:val="en-GB"/>
        </w:rPr>
      </w:pPr>
      <w:r w:rsidRPr="00881BC8">
        <w:rPr>
          <w:noProof/>
          <w:lang w:val="en-GB"/>
        </w:rPr>
        <w:t xml:space="preserve">The New Zealand government launched a public consultation in 2020 on the subject of </w:t>
      </w:r>
      <w:r w:rsidRPr="00881BC8">
        <w:rPr>
          <w:b/>
          <w:noProof/>
          <w:lang w:val="en-GB"/>
        </w:rPr>
        <w:t>improving business-to-business payment practices</w:t>
      </w:r>
      <w:r w:rsidRPr="00881BC8">
        <w:rPr>
          <w:noProof/>
          <w:lang w:val="en-GB"/>
        </w:rPr>
        <w:t xml:space="preserve"> and may in the future introduce new laws limiting government and commercial payment terms. The discussion paper</w:t>
      </w:r>
      <w:r w:rsidRPr="00881BC8">
        <w:rPr>
          <w:noProof/>
          <w:vertAlign w:val="superscript"/>
          <w:lang w:val="en-GB"/>
        </w:rPr>
        <w:footnoteReference w:id="339"/>
      </w:r>
      <w:r w:rsidRPr="00881BC8">
        <w:rPr>
          <w:noProof/>
          <w:lang w:val="en-GB"/>
        </w:rPr>
        <w:t xml:space="preserve"> is based on the premise that agreed payment terms should reflect the ability of twenty-first century technology to process invoices almost immediately. It also quotes the Australian study</w:t>
      </w:r>
      <w:r w:rsidRPr="00881BC8">
        <w:rPr>
          <w:noProof/>
          <w:vertAlign w:val="superscript"/>
          <w:lang w:val="en-GB"/>
        </w:rPr>
        <w:footnoteReference w:id="340"/>
      </w:r>
      <w:r w:rsidRPr="00881BC8">
        <w:rPr>
          <w:noProof/>
          <w:lang w:val="en-GB"/>
        </w:rPr>
        <w:t xml:space="preserve"> that shows the costs to their economy of large businesses effectively using small ones for cheap credit is $2.54 billion over 10 years. Xero’s Small Business Insights for January- September 2019 show that small business invoices on their platform are paid 8.6 days late on average. Xero estimates New Zealand small businesses are owed about $7.4 billion total in unpaid invoices. The discussion paper puts forward the following:</w:t>
      </w:r>
    </w:p>
    <w:p w14:paraId="28F57988" w14:textId="77777777" w:rsidR="007865B1" w:rsidRPr="00881BC8" w:rsidRDefault="007865B1" w:rsidP="004835F8">
      <w:pPr>
        <w:pStyle w:val="NormalPara"/>
        <w:numPr>
          <w:ilvl w:val="0"/>
          <w:numId w:val="35"/>
        </w:numPr>
        <w:rPr>
          <w:noProof/>
          <w:lang w:val="en-GB"/>
        </w:rPr>
      </w:pPr>
      <w:r w:rsidRPr="00881BC8">
        <w:rPr>
          <w:noProof/>
          <w:lang w:val="en-GB"/>
        </w:rPr>
        <w:t>20 days maximum payment term applying to a contract for the supply of goods and services between entities that are in trade;</w:t>
      </w:r>
    </w:p>
    <w:p w14:paraId="6C4426A7" w14:textId="77777777" w:rsidR="007865B1" w:rsidRPr="00881BC8" w:rsidRDefault="007865B1" w:rsidP="004835F8">
      <w:pPr>
        <w:pStyle w:val="NormalPara"/>
        <w:numPr>
          <w:ilvl w:val="0"/>
          <w:numId w:val="35"/>
        </w:numPr>
        <w:rPr>
          <w:noProof/>
          <w:lang w:val="en-GB"/>
        </w:rPr>
      </w:pPr>
      <w:r w:rsidRPr="00881BC8">
        <w:rPr>
          <w:noProof/>
          <w:lang w:val="en-GB"/>
        </w:rPr>
        <w:t xml:space="preserve">Running from the later of the day on which the goods of services to which the payment relates are provided and the day on which the purchaser is notified of the amount of the payment (i.e. receives an invoice). </w:t>
      </w:r>
    </w:p>
    <w:p w14:paraId="0D8BC31E" w14:textId="77777777" w:rsidR="007865B1" w:rsidRPr="00881BC8" w:rsidRDefault="007865B1" w:rsidP="004835F8">
      <w:pPr>
        <w:pStyle w:val="NormalPara"/>
        <w:numPr>
          <w:ilvl w:val="0"/>
          <w:numId w:val="35"/>
        </w:numPr>
        <w:rPr>
          <w:noProof/>
          <w:lang w:val="en-GB"/>
        </w:rPr>
      </w:pPr>
      <w:r w:rsidRPr="00881BC8">
        <w:rPr>
          <w:noProof/>
          <w:lang w:val="en-GB"/>
        </w:rPr>
        <w:t>If a verification is needed, then the 20 days would run from the end of the verification procedure, with the verification period capped at a specified number of days in the legislation. The ‘verification period cap’ could be contracted out of if to do so would not be grossly unfair to the supplier.</w:t>
      </w:r>
    </w:p>
    <w:p w14:paraId="45C8FF7C" w14:textId="77777777" w:rsidR="007865B1" w:rsidRPr="00881BC8" w:rsidRDefault="007865B1" w:rsidP="004835F8">
      <w:pPr>
        <w:pStyle w:val="NormalPara"/>
        <w:numPr>
          <w:ilvl w:val="0"/>
          <w:numId w:val="35"/>
        </w:numPr>
        <w:rPr>
          <w:noProof/>
          <w:lang w:val="en-GB"/>
        </w:rPr>
      </w:pPr>
      <w:r w:rsidRPr="00881BC8">
        <w:rPr>
          <w:noProof/>
          <w:lang w:val="en-GB"/>
        </w:rPr>
        <w:t>Recognise that there are some contractual relationships where a 20-day maximum payment term might be inappropriate, for example: property such as land and buildings; intangible, such as rights in intangible property that can only be claimed or enforced by court action (intellectual property rights such as patents, or shares in a company); goods subject to a ‘security’, such as a vehicle until it is paid off; services that are contracts of services, such as employment contracts.</w:t>
      </w:r>
    </w:p>
    <w:p w14:paraId="4AFE0A9E" w14:textId="77777777" w:rsidR="007865B1" w:rsidRPr="00881BC8" w:rsidRDefault="007865B1" w:rsidP="004835F8">
      <w:pPr>
        <w:pStyle w:val="NormalPara"/>
        <w:numPr>
          <w:ilvl w:val="0"/>
          <w:numId w:val="35"/>
        </w:numPr>
        <w:rPr>
          <w:noProof/>
          <w:lang w:val="en-GB"/>
        </w:rPr>
      </w:pPr>
      <w:r w:rsidRPr="00881BC8">
        <w:rPr>
          <w:noProof/>
          <w:lang w:val="en-GB"/>
        </w:rPr>
        <w:t>Limit the proposal to contracts below a certain value (contracts that form part of trading relationships with an annual value of less than $250,000). This allows to take into account that larger contracts are likely to be subject to more sophisticated negotiation.</w:t>
      </w:r>
      <w:r w:rsidRPr="00881BC8">
        <w:rPr>
          <w:rStyle w:val="FootnoteReference"/>
          <w:noProof/>
          <w:lang w:val="en-GB"/>
        </w:rPr>
        <w:footnoteReference w:id="341"/>
      </w:r>
    </w:p>
    <w:p w14:paraId="0EEA2FAF" w14:textId="77777777" w:rsidR="007865B1" w:rsidRPr="00881BC8" w:rsidRDefault="007865B1" w:rsidP="004835F8">
      <w:pPr>
        <w:pStyle w:val="NormalPara"/>
        <w:numPr>
          <w:ilvl w:val="0"/>
          <w:numId w:val="35"/>
        </w:numPr>
        <w:rPr>
          <w:noProof/>
          <w:lang w:val="en-GB"/>
        </w:rPr>
      </w:pPr>
      <w:r w:rsidRPr="00881BC8">
        <w:rPr>
          <w:noProof/>
          <w:lang w:val="en-GB"/>
        </w:rPr>
        <w:t>Limit the proposal to ‘standard form contracts’ (similar to the unfair contract terms provisions in the Fair Trading Act). This means that extended payment terms would only be prohibited in contracts that are not subject to effective negotiation.</w:t>
      </w:r>
      <w:r w:rsidRPr="00881BC8">
        <w:rPr>
          <w:rStyle w:val="FootnoteReference"/>
          <w:noProof/>
          <w:lang w:val="en-GB"/>
        </w:rPr>
        <w:footnoteReference w:id="342"/>
      </w:r>
      <w:r w:rsidRPr="00881BC8">
        <w:rPr>
          <w:noProof/>
          <w:lang w:val="en-GB"/>
        </w:rPr>
        <w:t xml:space="preserve"> </w:t>
      </w:r>
    </w:p>
    <w:p w14:paraId="49340FB6" w14:textId="77777777" w:rsidR="007865B1" w:rsidRPr="00881BC8" w:rsidRDefault="007865B1" w:rsidP="004835F8">
      <w:pPr>
        <w:pStyle w:val="NormalPara"/>
        <w:numPr>
          <w:ilvl w:val="0"/>
          <w:numId w:val="35"/>
        </w:numPr>
        <w:rPr>
          <w:noProof/>
          <w:lang w:val="en-GB"/>
        </w:rPr>
      </w:pPr>
      <w:r w:rsidRPr="00881BC8">
        <w:rPr>
          <w:noProof/>
          <w:lang w:val="en-GB"/>
        </w:rPr>
        <w:t>It would not include different maximum terms for different industries/sectors or classes of goods, but it would need to ensure that any industry specific regime has common principles and objectives.</w:t>
      </w:r>
      <w:r w:rsidRPr="00881BC8">
        <w:rPr>
          <w:rStyle w:val="FootnoteReference"/>
          <w:noProof/>
          <w:lang w:val="en-GB"/>
        </w:rPr>
        <w:footnoteReference w:id="343"/>
      </w:r>
    </w:p>
    <w:p w14:paraId="6D4B895D" w14:textId="77777777" w:rsidR="007865B1" w:rsidRPr="00881BC8" w:rsidRDefault="007865B1" w:rsidP="004835F8">
      <w:pPr>
        <w:pStyle w:val="NormalPara"/>
        <w:numPr>
          <w:ilvl w:val="0"/>
          <w:numId w:val="35"/>
        </w:numPr>
        <w:rPr>
          <w:noProof/>
          <w:lang w:val="en-GB"/>
        </w:rPr>
      </w:pPr>
      <w:r w:rsidRPr="00881BC8">
        <w:rPr>
          <w:noProof/>
          <w:lang w:val="en-GB"/>
        </w:rPr>
        <w:t>It would allow contracting out, but only in very limited circumstances. To this end, the definition of “grossly unfair” in the UK legislation is taken as possible example.</w:t>
      </w:r>
    </w:p>
    <w:p w14:paraId="05E1A33C" w14:textId="77777777" w:rsidR="007865B1" w:rsidRPr="00881BC8" w:rsidRDefault="007865B1" w:rsidP="004835F8">
      <w:pPr>
        <w:pStyle w:val="NormalPara"/>
        <w:numPr>
          <w:ilvl w:val="0"/>
          <w:numId w:val="35"/>
        </w:numPr>
        <w:rPr>
          <w:noProof/>
          <w:lang w:val="en-GB"/>
        </w:rPr>
      </w:pPr>
      <w:r w:rsidRPr="00881BC8">
        <w:rPr>
          <w:noProof/>
          <w:lang w:val="en-GB"/>
        </w:rPr>
        <w:t>It would provide for automatic entitlement to interest for late payments, but with a higher interest rate than the Interest on Money Claims Act 2016 provides for -at least where small businesses are the creditors - to reflect the true costs they face from deferred payment: the Reserve Bank of New Zealand’s six-month term deposit rate plus a base rate of five percentage points.</w:t>
      </w:r>
      <w:r w:rsidRPr="00881BC8">
        <w:rPr>
          <w:rStyle w:val="FootnoteReference"/>
          <w:noProof/>
          <w:lang w:val="en-GB"/>
        </w:rPr>
        <w:footnoteReference w:id="344"/>
      </w:r>
    </w:p>
    <w:p w14:paraId="3C3FDE62" w14:textId="77777777" w:rsidR="007865B1" w:rsidRPr="00881BC8" w:rsidRDefault="007865B1" w:rsidP="004835F8">
      <w:pPr>
        <w:pStyle w:val="NormalPara"/>
        <w:numPr>
          <w:ilvl w:val="0"/>
          <w:numId w:val="35"/>
        </w:numPr>
        <w:rPr>
          <w:noProof/>
          <w:lang w:val="en-GB"/>
        </w:rPr>
      </w:pPr>
      <w:r w:rsidRPr="00881BC8">
        <w:rPr>
          <w:noProof/>
          <w:lang w:val="en-GB"/>
        </w:rPr>
        <w:t>It would introduce an implied dispute resolution clause. This would mean that, if contracts did not include their own provisions around dispute resolution, they would be required to include a clause as specified in the legislation.</w:t>
      </w:r>
    </w:p>
    <w:p w14:paraId="7943282B" w14:textId="77777777" w:rsidR="007865B1" w:rsidRPr="00881BC8" w:rsidRDefault="007865B1" w:rsidP="007865B1">
      <w:pPr>
        <w:pStyle w:val="FootnoteText"/>
        <w:ind w:left="360"/>
        <w:rPr>
          <w:noProof/>
          <w:sz w:val="24"/>
          <w:szCs w:val="24"/>
        </w:rPr>
      </w:pPr>
    </w:p>
    <w:p w14:paraId="20690045" w14:textId="351E3345" w:rsidR="007865B1" w:rsidRPr="00881BC8" w:rsidRDefault="00CC1DE0" w:rsidP="004835F8">
      <w:pPr>
        <w:pStyle w:val="AnnexLevel2"/>
        <w:rPr>
          <w:noProof/>
          <w:lang w:val="en-GB"/>
        </w:rPr>
      </w:pPr>
      <w:r w:rsidRPr="00881BC8">
        <w:rPr>
          <w:noProof/>
          <w:lang w:val="en-GB" w:eastAsia="en-GB"/>
        </w:rPr>
        <w:t>Türkiye</w:t>
      </w:r>
    </w:p>
    <w:p w14:paraId="773C1A46" w14:textId="17BC2EAC" w:rsidR="007865B1" w:rsidRPr="00881BC8" w:rsidRDefault="00CC1DE0" w:rsidP="004835F8">
      <w:pPr>
        <w:pStyle w:val="NormalPara"/>
        <w:rPr>
          <w:noProof/>
          <w:lang w:val="en-GB"/>
        </w:rPr>
      </w:pPr>
      <w:r w:rsidRPr="00881BC8">
        <w:rPr>
          <w:noProof/>
          <w:lang w:val="en-GB" w:eastAsia="en-GB"/>
        </w:rPr>
        <w:t>Türkiye</w:t>
      </w:r>
      <w:r w:rsidR="007865B1" w:rsidRPr="00881BC8">
        <w:rPr>
          <w:noProof/>
          <w:lang w:val="en-GB"/>
        </w:rPr>
        <w:t xml:space="preserve"> - The 2012 Commercial Code includes provisions preventing large enterprises from imposing long/late payment terms on suppliers</w:t>
      </w:r>
      <w:r w:rsidR="007865B1" w:rsidRPr="00881BC8">
        <w:rPr>
          <w:rFonts w:eastAsiaTheme="minorEastAsia"/>
          <w:noProof/>
          <w:vertAlign w:val="superscript"/>
          <w:lang w:val="en-GB"/>
        </w:rPr>
        <w:footnoteReference w:id="345"/>
      </w:r>
      <w:r w:rsidR="007865B1" w:rsidRPr="00881BC8">
        <w:rPr>
          <w:noProof/>
          <w:lang w:val="en-GB"/>
        </w:rPr>
        <w:t>.</w:t>
      </w:r>
    </w:p>
    <w:p w14:paraId="57C8ED02" w14:textId="77777777" w:rsidR="007865B1" w:rsidRPr="00881BC8" w:rsidRDefault="007865B1" w:rsidP="004835F8">
      <w:pPr>
        <w:pStyle w:val="NormalPara"/>
        <w:rPr>
          <w:noProof/>
          <w:lang w:val="en-GB"/>
        </w:rPr>
      </w:pPr>
      <w:r w:rsidRPr="00881BC8">
        <w:rPr>
          <w:noProof/>
          <w:lang w:val="en-GB"/>
        </w:rPr>
        <w:t>Maximum payment term in a contract is 60 days starting from the due receipt of the invoice or goods/services or the end of the inspection term, as applicable. The parties can extend such maximum term with mutual agreement, provided that such extension does not cause a gross burden on the other party. However, the maximum term cannot be extended in any circumstances if any of the following apply: (1) the recipient of the payment is a small or mid-size enterprise (SME); or (2) the payment obligor is a large scale enterprise; or (3) the recipient is an agricultural or livestock producer.</w:t>
      </w:r>
    </w:p>
    <w:p w14:paraId="5239500D" w14:textId="77777777" w:rsidR="007865B1" w:rsidRPr="00881BC8" w:rsidRDefault="007865B1" w:rsidP="004835F8">
      <w:pPr>
        <w:pStyle w:val="NormalPara"/>
        <w:rPr>
          <w:noProof/>
          <w:lang w:val="en-GB"/>
        </w:rPr>
      </w:pPr>
      <w:r w:rsidRPr="00881BC8">
        <w:rPr>
          <w:noProof/>
          <w:lang w:val="en-GB"/>
        </w:rPr>
        <w:t>In case of breach, the payment term will be deemed as 30 days -starting from the receipt by the purchaser of the invoice/payment request- and the purchaser will be deemed in default as of the end of such 30 day period. Default interest will begin to accrue automatically at the end of the 30 days with no requirement for further notice. Contractual provisions indicating that the purchaser shall not be obliged to make a default interest payment to the supplier shall be null and void and, if the agreed default interest rate is grossly unfair, the applicable default interest to be paid by the purchaser shall be the statutory commercial interest rate determined by the Turkish Central Bank + 8%.</w:t>
      </w:r>
    </w:p>
    <w:p w14:paraId="7BC0D2E5" w14:textId="77777777" w:rsidR="007865B1" w:rsidRPr="00881BC8" w:rsidRDefault="007865B1" w:rsidP="004835F8">
      <w:pPr>
        <w:pStyle w:val="AnnexLevel2"/>
        <w:rPr>
          <w:noProof/>
          <w:lang w:val="en-GB"/>
        </w:rPr>
      </w:pPr>
      <w:r w:rsidRPr="00881BC8">
        <w:rPr>
          <w:noProof/>
          <w:lang w:val="en-GB"/>
        </w:rPr>
        <w:t>United Kingdom</w:t>
      </w:r>
    </w:p>
    <w:p w14:paraId="2F6782AB" w14:textId="77777777" w:rsidR="007865B1" w:rsidRPr="00881BC8" w:rsidRDefault="007865B1" w:rsidP="004835F8">
      <w:pPr>
        <w:pStyle w:val="NormalPara"/>
        <w:rPr>
          <w:noProof/>
          <w:lang w:val="en-GB"/>
        </w:rPr>
      </w:pPr>
      <w:r w:rsidRPr="00881BC8">
        <w:rPr>
          <w:noProof/>
          <w:lang w:val="en-GB"/>
        </w:rPr>
        <w:t>Legislation to combat late payment transactions has been in place since 1998</w:t>
      </w:r>
      <w:r w:rsidRPr="00881BC8">
        <w:rPr>
          <w:noProof/>
          <w:vertAlign w:val="superscript"/>
          <w:lang w:val="en-GB"/>
        </w:rPr>
        <w:footnoteReference w:id="346"/>
      </w:r>
      <w:r w:rsidRPr="00881BC8">
        <w:rPr>
          <w:noProof/>
          <w:lang w:val="en-GB"/>
        </w:rPr>
        <w:t xml:space="preserve"> and is now under revision</w:t>
      </w:r>
      <w:r w:rsidRPr="00881BC8">
        <w:rPr>
          <w:rStyle w:val="FootnoteReference"/>
          <w:noProof/>
          <w:lang w:val="en-GB"/>
        </w:rPr>
        <w:footnoteReference w:id="347"/>
      </w:r>
      <w:r w:rsidRPr="00881BC8">
        <w:rPr>
          <w:noProof/>
          <w:lang w:val="en-GB"/>
        </w:rPr>
        <w:t xml:space="preserve">. </w:t>
      </w:r>
    </w:p>
    <w:p w14:paraId="310CAE1E" w14:textId="46A0FC87" w:rsidR="007865B1" w:rsidRPr="00881BC8" w:rsidRDefault="007865B1" w:rsidP="004835F8">
      <w:pPr>
        <w:pStyle w:val="NormalPara"/>
        <w:rPr>
          <w:noProof/>
          <w:lang w:val="en-GB"/>
        </w:rPr>
      </w:pPr>
      <w:r w:rsidRPr="00881BC8">
        <w:rPr>
          <w:noProof/>
          <w:lang w:val="en-GB"/>
        </w:rPr>
        <w:t xml:space="preserve">Regulations made under sections 3 and 161 of the Small Business, Enterprise and Employment Act 2015 (and for limited liability partnerships (LLPs), made under section 15 and 17 of the Limited Liability Partnerships Act 2000), introduce a duty on the UK’s large companies and LLPs to </w:t>
      </w:r>
      <w:r w:rsidRPr="00881BC8">
        <w:rPr>
          <w:b/>
          <w:noProof/>
          <w:lang w:val="en-GB"/>
        </w:rPr>
        <w:t>report</w:t>
      </w:r>
      <w:r w:rsidRPr="00881BC8">
        <w:rPr>
          <w:noProof/>
          <w:lang w:val="en-GB"/>
        </w:rPr>
        <w:t xml:space="preserve"> on a half-yearly basis on their </w:t>
      </w:r>
      <w:r w:rsidRPr="00881BC8">
        <w:rPr>
          <w:b/>
          <w:noProof/>
          <w:lang w:val="en-GB"/>
        </w:rPr>
        <w:t>payment practices, policies and performance</w:t>
      </w:r>
      <w:r w:rsidRPr="00881BC8">
        <w:rPr>
          <w:noProof/>
          <w:lang w:val="en-GB"/>
        </w:rPr>
        <w:t xml:space="preserve"> for financial years beginning on or after 6 April 2017.</w:t>
      </w:r>
      <w:r w:rsidR="002E552C" w:rsidRPr="00881BC8">
        <w:rPr>
          <w:noProof/>
          <w:lang w:val="en-GB"/>
        </w:rPr>
        <w:t xml:space="preserve"> </w:t>
      </w:r>
      <w:r w:rsidRPr="00881BC8">
        <w:rPr>
          <w:noProof/>
          <w:lang w:val="en-GB"/>
        </w:rPr>
        <w:t xml:space="preserve">The review of this duty concluded that the Regulations have brought greater transparency to the payment practices and performance of large businesses, the policy remains appropriate because there is an ongoing need to ensure greater compliance in terms of prompt payment and to increase awareness of the performance of large businesses in this area. In addition, having considered alternatives that may impose less regulation, the review concluded that the Regulations were the appropriate mechanism to address the policy objectives. </w:t>
      </w:r>
    </w:p>
    <w:p w14:paraId="4E808020" w14:textId="77777777" w:rsidR="007865B1" w:rsidRPr="00881BC8" w:rsidRDefault="007865B1" w:rsidP="004835F8">
      <w:pPr>
        <w:pStyle w:val="NormalPara"/>
        <w:rPr>
          <w:noProof/>
          <w:lang w:val="en-GB"/>
        </w:rPr>
      </w:pPr>
      <w:r w:rsidRPr="00881BC8">
        <w:rPr>
          <w:noProof/>
          <w:lang w:val="en-GB"/>
        </w:rPr>
        <w:t xml:space="preserve">The </w:t>
      </w:r>
      <w:r w:rsidRPr="00881BC8">
        <w:rPr>
          <w:b/>
          <w:noProof/>
          <w:lang w:val="en-GB"/>
        </w:rPr>
        <w:t>Prompt Payment code</w:t>
      </w:r>
      <w:r w:rsidRPr="00881BC8">
        <w:rPr>
          <w:rStyle w:val="FootnoteReference"/>
          <w:b/>
          <w:noProof/>
          <w:lang w:val="en-GB"/>
        </w:rPr>
        <w:footnoteReference w:id="348"/>
      </w:r>
      <w:r w:rsidRPr="00881BC8">
        <w:rPr>
          <w:noProof/>
          <w:lang w:val="en-GB"/>
        </w:rPr>
        <w:t xml:space="preserve"> was established in 2008 and sets standards for payments between organisations of any size and their suppliers. It initially required to pay promptly (within agreed terms), to give clear guidance to suppliers on terms, dispute resolution and prompt notification of late payment and to support good practice throughout their supply chain by encouraging adoption of the Code. It was changed in 2021, requiring confirmation from all signatories by 2022, and additionally asked to pay 95% of invoices within 60 days and 95% of invoices to businesses with less than 50 employees within 30 days.</w:t>
      </w:r>
    </w:p>
    <w:p w14:paraId="32C0338D" w14:textId="77777777" w:rsidR="007865B1" w:rsidRPr="00881BC8" w:rsidRDefault="007865B1" w:rsidP="004835F8">
      <w:pPr>
        <w:pStyle w:val="NormalPara"/>
        <w:rPr>
          <w:noProof/>
          <w:lang w:val="en-GB"/>
        </w:rPr>
      </w:pPr>
      <w:r w:rsidRPr="00881BC8">
        <w:rPr>
          <w:noProof/>
          <w:lang w:val="en-GB"/>
        </w:rPr>
        <w:t>Section 110 of the Housing grants, Construction and Regeneration Act 1996 applies the “</w:t>
      </w:r>
      <w:r w:rsidRPr="00881BC8">
        <w:rPr>
          <w:b/>
          <w:noProof/>
          <w:lang w:val="en-GB"/>
        </w:rPr>
        <w:t>Scheme for construction contracts</w:t>
      </w:r>
      <w:r w:rsidRPr="00881BC8">
        <w:rPr>
          <w:noProof/>
          <w:lang w:val="en-GB"/>
        </w:rPr>
        <w:t>” where a construction contract fails to provide a payment term. The scheme terms are 7, 17 and 30 days depending on the type of payment.</w:t>
      </w:r>
    </w:p>
    <w:p w14:paraId="12867F98" w14:textId="77777777" w:rsidR="007865B1" w:rsidRPr="00881BC8" w:rsidRDefault="007865B1" w:rsidP="004835F8">
      <w:pPr>
        <w:pStyle w:val="NormalPara"/>
        <w:rPr>
          <w:noProof/>
          <w:lang w:val="en-GB"/>
        </w:rPr>
      </w:pPr>
      <w:r w:rsidRPr="00881BC8">
        <w:rPr>
          <w:noProof/>
          <w:lang w:val="en-GB"/>
        </w:rPr>
        <w:t xml:space="preserve">The government committed to pay 90% of undisputed and valid invoices from SMEs within 5 days and 100% of all undisputed and valid invoices to be paid within 30 days. Government departments are required to </w:t>
      </w:r>
      <w:r w:rsidRPr="00881BC8">
        <w:rPr>
          <w:b/>
          <w:noProof/>
          <w:lang w:val="en-GB"/>
        </w:rPr>
        <w:t>report</w:t>
      </w:r>
      <w:r w:rsidRPr="00881BC8">
        <w:rPr>
          <w:noProof/>
          <w:lang w:val="en-GB"/>
        </w:rPr>
        <w:t xml:space="preserve"> their performance against these payment targets on a quarterly basis on GOV.UK. </w:t>
      </w:r>
    </w:p>
    <w:p w14:paraId="4CD995C0" w14:textId="77777777" w:rsidR="007865B1" w:rsidRPr="00881BC8" w:rsidRDefault="007865B1" w:rsidP="004835F8">
      <w:pPr>
        <w:pStyle w:val="NormalPara"/>
        <w:rPr>
          <w:noProof/>
          <w:lang w:val="en-GB"/>
        </w:rPr>
      </w:pPr>
      <w:r w:rsidRPr="00881BC8">
        <w:rPr>
          <w:noProof/>
          <w:lang w:val="en-GB"/>
        </w:rPr>
        <w:t xml:space="preserve">All organisations bidding for government contracts over 5 million pounds have to demonstrate that they pay 95% of all supply chain invoices within 60 days. </w:t>
      </w:r>
    </w:p>
    <w:p w14:paraId="5252D50B" w14:textId="77777777" w:rsidR="007865B1" w:rsidRPr="00881BC8" w:rsidRDefault="007865B1" w:rsidP="004835F8">
      <w:pPr>
        <w:pStyle w:val="NormalPara"/>
        <w:rPr>
          <w:noProof/>
          <w:lang w:val="en-GB"/>
        </w:rPr>
      </w:pPr>
      <w:r w:rsidRPr="00881BC8">
        <w:rPr>
          <w:noProof/>
          <w:lang w:val="en-GB"/>
        </w:rPr>
        <w:t>Through the Public Contract Regulations 2015, public sector buyers must include 30-day payment terms in new public sector contracts; and require that this payment term be passed down the supply chain. Public sector buyers must also publish annual reports on their payment performance.</w:t>
      </w:r>
      <w:r w:rsidRPr="00881BC8">
        <w:rPr>
          <w:rStyle w:val="FootnoteReference"/>
          <w:noProof/>
          <w:lang w:val="en-GB"/>
        </w:rPr>
        <w:footnoteReference w:id="349"/>
      </w:r>
    </w:p>
    <w:p w14:paraId="4EC3EF39" w14:textId="77777777" w:rsidR="007865B1" w:rsidRPr="00881BC8" w:rsidRDefault="007865B1" w:rsidP="004835F8">
      <w:pPr>
        <w:pStyle w:val="AnnexLevel2"/>
        <w:rPr>
          <w:noProof/>
          <w:lang w:val="en-GB"/>
        </w:rPr>
      </w:pPr>
      <w:r w:rsidRPr="00881BC8">
        <w:rPr>
          <w:noProof/>
          <w:lang w:val="en-GB"/>
        </w:rPr>
        <w:t>USA</w:t>
      </w:r>
    </w:p>
    <w:p w14:paraId="4DBD2A95" w14:textId="77777777" w:rsidR="007865B1" w:rsidRPr="00881BC8" w:rsidRDefault="007865B1" w:rsidP="004835F8">
      <w:pPr>
        <w:pStyle w:val="NormalPara"/>
        <w:rPr>
          <w:noProof/>
          <w:lang w:val="en-GB"/>
        </w:rPr>
      </w:pPr>
      <w:r w:rsidRPr="00881BC8">
        <w:rPr>
          <w:noProof/>
          <w:lang w:val="en-GB"/>
        </w:rPr>
        <w:t xml:space="preserve">In 2014 the US government launched the </w:t>
      </w:r>
      <w:r w:rsidRPr="00881BC8">
        <w:rPr>
          <w:b/>
          <w:i/>
          <w:noProof/>
          <w:lang w:val="en-GB"/>
        </w:rPr>
        <w:t>Supplier Pay Initiative</w:t>
      </w:r>
      <w:r w:rsidRPr="00881BC8">
        <w:rPr>
          <w:noProof/>
          <w:lang w:val="en-GB"/>
        </w:rPr>
        <w:t xml:space="preserve"> with 26 large companies, pledging to pay smaller suppliers earlier and provide more affordable working capital financing. The rationale behind the initiative is that, while slow payment of suppliers makes the large firm’s cash flow look better, it hurts supplier investment, thus reducing supplier quality, innovation and on-time delivery. Alternatively, suppliers will build their increased financing costs into their prices which ultimately hurts the original equipment manufacturers’s bottom line. </w:t>
      </w:r>
    </w:p>
    <w:p w14:paraId="6D177DE7" w14:textId="77777777" w:rsidR="007865B1" w:rsidRPr="00881BC8" w:rsidRDefault="007865B1" w:rsidP="004835F8">
      <w:pPr>
        <w:pStyle w:val="NormalPara"/>
        <w:rPr>
          <w:noProof/>
          <w:lang w:val="en-GB"/>
        </w:rPr>
      </w:pPr>
      <w:r w:rsidRPr="00881BC8">
        <w:rPr>
          <w:noProof/>
          <w:lang w:val="en-GB"/>
        </w:rPr>
        <w:t>While the number of companies signing up for SupplierPay grew from 26 in 2014 to 47 in 2015, the program has had limited results. Flowcast examined the days payable outstanding (DPO) of 17 of the first 26 pledged companies to find that more than half of those companies had actually extended their overall payment days, to a median of +1.9 days. The Initiative was found to lack enforcement, to disregard the prisoner’s dilemma effect, to not prevent signatories from forcing the added costs resulting from earlier payments back onto suppliers, to not encourage enough Supply Chain Finance without tying its availability to an extension of payment terms and to not look enough into the benefits of digitalisation of payments.</w:t>
      </w:r>
      <w:r w:rsidRPr="00881BC8">
        <w:rPr>
          <w:rStyle w:val="FootnoteReference"/>
          <w:noProof/>
          <w:lang w:val="en-GB"/>
        </w:rPr>
        <w:footnoteReference w:id="350"/>
      </w:r>
    </w:p>
    <w:p w14:paraId="3945F6B6" w14:textId="77777777" w:rsidR="007865B1" w:rsidRPr="00881BC8" w:rsidRDefault="007865B1" w:rsidP="004835F8">
      <w:pPr>
        <w:pStyle w:val="NormalPara"/>
        <w:rPr>
          <w:noProof/>
          <w:lang w:val="en-GB"/>
        </w:rPr>
      </w:pPr>
      <w:r w:rsidRPr="00881BC8">
        <w:rPr>
          <w:noProof/>
          <w:lang w:val="en-GB"/>
        </w:rPr>
        <w:t>The Perishable Agricultural Commodities Act of 1930 requires “full payment promptly” by agents, buyers and brokerages for agricultural goods in the United States. Maximum payment times range from 5 to 30 days depending on the circumstances set out in 7 CFR 46.2(aa). In addition, a few US States (Idaho, California, Oregon, Washington) have adopted specific B2B legislation in the agriculture domain, in some cases limited to specific products (mostly grain).</w:t>
      </w:r>
      <w:r w:rsidRPr="00881BC8">
        <w:rPr>
          <w:rStyle w:val="FootnoteReference"/>
          <w:noProof/>
          <w:lang w:val="en-GB"/>
        </w:rPr>
        <w:footnoteReference w:id="351"/>
      </w:r>
    </w:p>
    <w:p w14:paraId="4C167E41" w14:textId="77777777" w:rsidR="007865B1" w:rsidRPr="00881BC8" w:rsidRDefault="007865B1" w:rsidP="004835F8">
      <w:pPr>
        <w:pStyle w:val="NormalPara"/>
        <w:rPr>
          <w:noProof/>
          <w:lang w:val="en-GB"/>
        </w:rPr>
      </w:pPr>
      <w:r w:rsidRPr="00881BC8">
        <w:rPr>
          <w:noProof/>
          <w:lang w:val="en-GB"/>
        </w:rPr>
        <w:t>The 1982 Federal Prompt Payment Act</w:t>
      </w:r>
      <w:r w:rsidRPr="00881BC8">
        <w:rPr>
          <w:rFonts w:eastAsiaTheme="minorEastAsia"/>
          <w:noProof/>
          <w:vertAlign w:val="superscript"/>
          <w:lang w:val="en-GB"/>
        </w:rPr>
        <w:footnoteReference w:id="352"/>
      </w:r>
      <w:r w:rsidRPr="00881BC8">
        <w:rPr>
          <w:noProof/>
          <w:lang w:val="en-GB"/>
        </w:rPr>
        <w:t xml:space="preserve"> requires </w:t>
      </w:r>
      <w:r w:rsidRPr="00881BC8">
        <w:rPr>
          <w:b/>
          <w:noProof/>
          <w:lang w:val="en-GB"/>
        </w:rPr>
        <w:t>federal agencies</w:t>
      </w:r>
      <w:r w:rsidRPr="00881BC8">
        <w:rPr>
          <w:noProof/>
          <w:lang w:val="en-GB"/>
        </w:rPr>
        <w:t xml:space="preserve"> to pay their bills on time and to pay interest penalties when payments are made late. The government should pay with 30 days and 15 days for ‘fast pay’ terms aimed at SMEs. Federal construction contracts must include a prompt payment clause where the prime contractor has to pay subcontractors for ‘satisfactory’ performance within 7 days of receipt of payment. Agencies are to ‘accelerate payments to all prime contractors, in order to allow them to provide prompt payments to small business subcontractors’. Barrot and Nanda (2016) investigate the impact of the US Quickpay reform, which accelerated federal government payments to small business contractors, and document that its implementation, by reducing payment terms, has had a positive indirect impact on employment growth in the affected firms. </w:t>
      </w:r>
    </w:p>
    <w:p w14:paraId="15F67129" w14:textId="517B0AF7" w:rsidR="007865B1" w:rsidRPr="00881BC8" w:rsidRDefault="007865B1" w:rsidP="004835F8">
      <w:pPr>
        <w:pStyle w:val="NormalPara"/>
        <w:rPr>
          <w:noProof/>
          <w:lang w:val="en-GB"/>
        </w:rPr>
      </w:pPr>
      <w:r w:rsidRPr="00881BC8">
        <w:rPr>
          <w:noProof/>
          <w:lang w:val="en-GB"/>
        </w:rPr>
        <w:t xml:space="preserve">The timing for payment on </w:t>
      </w:r>
      <w:r w:rsidRPr="00881BC8">
        <w:rPr>
          <w:b/>
          <w:noProof/>
          <w:lang w:val="en-GB"/>
        </w:rPr>
        <w:t>non-federal projects</w:t>
      </w:r>
      <w:r w:rsidRPr="00881BC8">
        <w:rPr>
          <w:noProof/>
          <w:lang w:val="en-GB"/>
        </w:rPr>
        <w:t xml:space="preserve"> varies by state and project type. Nearly every US state has laws that set payment deadlines on construction projects. The timing of payments and penalties for non-compliance vary widely. Most states have laws that apply to both private projects and public projects. However, some states only set requirements for public projects. In some states, the same statute applies to payments on both public and private projects. In others, different laws apply to each type of project. State prompt payment laws set deadlines for payment on every project tier, including payments from the property owner to the prime contractor, from the prime to subcontractors, and so on. Furthermore, some states create a distinction between </w:t>
      </w:r>
      <w:hyperlink r:id="rId115" w:history="1">
        <w:r w:rsidRPr="00881BC8">
          <w:rPr>
            <w:noProof/>
            <w:lang w:val="en-GB"/>
          </w:rPr>
          <w:t>progress payments</w:t>
        </w:r>
      </w:hyperlink>
      <w:r w:rsidRPr="00881BC8">
        <w:rPr>
          <w:noProof/>
          <w:lang w:val="en-GB"/>
        </w:rPr>
        <w:t xml:space="preserve"> and final payments, including </w:t>
      </w:r>
      <w:hyperlink r:id="rId116" w:history="1">
        <w:r w:rsidRPr="00881BC8">
          <w:rPr>
            <w:noProof/>
            <w:lang w:val="en-GB"/>
          </w:rPr>
          <w:t>retainage</w:t>
        </w:r>
      </w:hyperlink>
      <w:r w:rsidRPr="00881BC8">
        <w:rPr>
          <w:noProof/>
          <w:lang w:val="en-GB"/>
        </w:rPr>
        <w:t>, with different deadlines for each.</w:t>
      </w:r>
      <w:r w:rsidRPr="00881BC8">
        <w:rPr>
          <w:rFonts w:eastAsiaTheme="minorEastAsia"/>
          <w:noProof/>
          <w:vertAlign w:val="superscript"/>
          <w:lang w:val="en-GB"/>
        </w:rPr>
        <w:t xml:space="preserve"> </w:t>
      </w:r>
      <w:r w:rsidRPr="00881BC8">
        <w:rPr>
          <w:rFonts w:eastAsiaTheme="minorEastAsia"/>
          <w:noProof/>
          <w:vertAlign w:val="superscript"/>
          <w:lang w:val="en-GB"/>
        </w:rPr>
        <w:footnoteReference w:id="353"/>
      </w:r>
    </w:p>
    <w:p w14:paraId="2A9A15A7" w14:textId="77777777" w:rsidR="007865B1" w:rsidRPr="00881BC8" w:rsidRDefault="007865B1" w:rsidP="007865B1">
      <w:pPr>
        <w:rPr>
          <w:noProof/>
        </w:rPr>
      </w:pPr>
    </w:p>
    <w:p w14:paraId="7721372E" w14:textId="034E16BF" w:rsidR="00E14610" w:rsidRPr="00881BC8" w:rsidRDefault="00E14610">
      <w:pPr>
        <w:spacing w:after="200" w:line="276" w:lineRule="auto"/>
        <w:jc w:val="left"/>
        <w:rPr>
          <w:noProof/>
        </w:rPr>
      </w:pPr>
      <w:r w:rsidRPr="00881BC8">
        <w:rPr>
          <w:noProof/>
        </w:rPr>
        <w:br w:type="page"/>
      </w:r>
    </w:p>
    <w:p w14:paraId="65CB57C1" w14:textId="14F34AF6" w:rsidR="0089185C" w:rsidRPr="00881BC8" w:rsidRDefault="0089185C" w:rsidP="00CF2B67">
      <w:pPr>
        <w:pStyle w:val="AnnexTitle"/>
        <w:rPr>
          <w:noProof/>
        </w:rPr>
      </w:pPr>
      <w:bookmarkStart w:id="1127" w:name="AnnexYY"/>
      <w:bookmarkStart w:id="1128" w:name="Annex19"/>
      <w:bookmarkStart w:id="1129" w:name="_Toc135237468"/>
      <w:r w:rsidRPr="00881BC8">
        <w:rPr>
          <w:noProof/>
        </w:rPr>
        <w:t xml:space="preserve">Annex </w:t>
      </w:r>
      <w:r w:rsidR="00955A45" w:rsidRPr="00881BC8">
        <w:rPr>
          <w:noProof/>
        </w:rPr>
        <w:t>19</w:t>
      </w:r>
      <w:bookmarkEnd w:id="1127"/>
      <w:bookmarkEnd w:id="1128"/>
      <w:r w:rsidRPr="00881BC8">
        <w:rPr>
          <w:noProof/>
        </w:rPr>
        <w:t>: Problem definition and the problem tree</w:t>
      </w:r>
      <w:bookmarkEnd w:id="1129"/>
    </w:p>
    <w:p w14:paraId="1D4749E2" w14:textId="112BD4A5" w:rsidR="00F343D4" w:rsidRPr="00881BC8" w:rsidRDefault="00F343D4" w:rsidP="00F343D4">
      <w:pPr>
        <w:pStyle w:val="Caption"/>
        <w:rPr>
          <w:noProof/>
          <w:lang w:val="en-GB"/>
        </w:rPr>
      </w:pPr>
      <w:r w:rsidRPr="00881BC8">
        <w:rPr>
          <w:noProof/>
          <w:lang w:val="en-GB"/>
        </w:rPr>
        <w:t xml:space="preserve">Figure </w:t>
      </w:r>
      <w:r w:rsidR="005851F4">
        <w:rPr>
          <w:noProof/>
          <w:lang w:val="en-GB"/>
        </w:rPr>
        <w:t>20</w:t>
      </w:r>
      <w:r w:rsidRPr="00881BC8">
        <w:rPr>
          <w:noProof/>
          <w:lang w:val="en-GB"/>
        </w:rPr>
        <w:t>: Late payment problem - context, drivers, and consequences</w:t>
      </w:r>
    </w:p>
    <w:p w14:paraId="52EA1C45" w14:textId="7C1C888C" w:rsidR="00F343D4" w:rsidRPr="00881BC8" w:rsidRDefault="00675E28" w:rsidP="00F343D4">
      <w:pPr>
        <w:rPr>
          <w:noProof/>
        </w:rPr>
      </w:pPr>
      <w:r w:rsidRPr="00881BC8">
        <w:rPr>
          <w:noProof/>
          <w:lang w:eastAsia="en-GB"/>
        </w:rPr>
        <w:drawing>
          <wp:inline distT="0" distB="0" distL="0" distR="0" wp14:anchorId="3B12615F" wp14:editId="3F647832">
            <wp:extent cx="5961154" cy="3352800"/>
            <wp:effectExtent l="0" t="0" r="1905" b="0"/>
            <wp:docPr id="185772181" name="Picture 18577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62634" cy="3353632"/>
                    </a:xfrm>
                    <a:prstGeom prst="rect">
                      <a:avLst/>
                    </a:prstGeom>
                    <a:noFill/>
                  </pic:spPr>
                </pic:pic>
              </a:graphicData>
            </a:graphic>
          </wp:inline>
        </w:drawing>
      </w:r>
    </w:p>
    <w:p w14:paraId="421C0A5F" w14:textId="0915E471" w:rsidR="008166AD" w:rsidRPr="00881BC8" w:rsidRDefault="008166AD" w:rsidP="008166AD">
      <w:pPr>
        <w:pStyle w:val="Caption"/>
        <w:rPr>
          <w:noProof/>
          <w:lang w:val="en-GB"/>
        </w:rPr>
      </w:pPr>
      <w:r w:rsidRPr="00881BC8">
        <w:rPr>
          <w:noProof/>
          <w:lang w:val="en-GB"/>
        </w:rPr>
        <w:t xml:space="preserve">Figure </w:t>
      </w:r>
      <w:r w:rsidR="005851F4">
        <w:rPr>
          <w:noProof/>
          <w:lang w:val="en-GB"/>
        </w:rPr>
        <w:t>21</w:t>
      </w:r>
      <w:r w:rsidRPr="00881BC8">
        <w:rPr>
          <w:noProof/>
          <w:lang w:val="en-GB"/>
        </w:rPr>
        <w:t>: Late payment problem - general and specific objectives</w:t>
      </w:r>
    </w:p>
    <w:p w14:paraId="48C6AA7D" w14:textId="5BA94E9A" w:rsidR="008166AD" w:rsidRPr="00881BC8" w:rsidRDefault="004A1702" w:rsidP="00077836">
      <w:pPr>
        <w:rPr>
          <w:noProof/>
        </w:rPr>
      </w:pPr>
      <w:r w:rsidRPr="00881BC8">
        <w:rPr>
          <w:noProof/>
          <w:lang w:eastAsia="en-GB"/>
        </w:rPr>
        <w:drawing>
          <wp:inline distT="0" distB="0" distL="0" distR="0" wp14:anchorId="2B882D9A" wp14:editId="1723F02A">
            <wp:extent cx="5069535" cy="3695700"/>
            <wp:effectExtent l="0" t="0" r="0" b="0"/>
            <wp:docPr id="185772182" name="Picture 18577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02390" cy="3719651"/>
                    </a:xfrm>
                    <a:prstGeom prst="rect">
                      <a:avLst/>
                    </a:prstGeom>
                    <a:noFill/>
                  </pic:spPr>
                </pic:pic>
              </a:graphicData>
            </a:graphic>
          </wp:inline>
        </w:drawing>
      </w:r>
    </w:p>
    <w:p w14:paraId="2555FC26" w14:textId="0A89D2B2" w:rsidR="00F343D4" w:rsidRPr="00881BC8" w:rsidRDefault="00F343D4">
      <w:pPr>
        <w:spacing w:after="200" w:line="276" w:lineRule="auto"/>
        <w:jc w:val="left"/>
        <w:rPr>
          <w:noProof/>
        </w:rPr>
      </w:pPr>
      <w:r w:rsidRPr="00881BC8">
        <w:rPr>
          <w:noProof/>
        </w:rPr>
        <w:br w:type="page"/>
      </w:r>
    </w:p>
    <w:p w14:paraId="6464B454" w14:textId="77777777" w:rsidR="00F343D4" w:rsidRPr="00881BC8" w:rsidRDefault="00F343D4">
      <w:pPr>
        <w:spacing w:after="200" w:line="276" w:lineRule="auto"/>
        <w:jc w:val="left"/>
        <w:rPr>
          <w:noProof/>
        </w:rPr>
      </w:pPr>
    </w:p>
    <w:p w14:paraId="1C59C19B" w14:textId="53A7F662" w:rsidR="00774A6E" w:rsidRPr="00881BC8" w:rsidRDefault="00E14610" w:rsidP="00CF2B67">
      <w:pPr>
        <w:pStyle w:val="AnnexTitle"/>
        <w:rPr>
          <w:noProof/>
        </w:rPr>
      </w:pPr>
      <w:bookmarkStart w:id="1130" w:name="AnnexXX"/>
      <w:bookmarkStart w:id="1131" w:name="Annex20"/>
      <w:bookmarkStart w:id="1132" w:name="_Toc135237469"/>
      <w:r w:rsidRPr="00881BC8">
        <w:rPr>
          <w:noProof/>
        </w:rPr>
        <w:t xml:space="preserve">Annex </w:t>
      </w:r>
      <w:r w:rsidR="00815B16" w:rsidRPr="00881BC8">
        <w:rPr>
          <w:noProof/>
        </w:rPr>
        <w:t>20</w:t>
      </w:r>
      <w:bookmarkEnd w:id="1130"/>
      <w:bookmarkEnd w:id="1131"/>
      <w:r w:rsidRPr="00881BC8">
        <w:rPr>
          <w:noProof/>
        </w:rPr>
        <w:t>: Consequences of late payment</w:t>
      </w:r>
      <w:bookmarkEnd w:id="1132"/>
    </w:p>
    <w:p w14:paraId="6B61EDF9" w14:textId="765AF67E" w:rsidR="00E14610" w:rsidRPr="00881BC8" w:rsidRDefault="00E14610" w:rsidP="004835F8">
      <w:pPr>
        <w:pStyle w:val="NormalPara"/>
        <w:rPr>
          <w:rFonts w:eastAsia="Times New Roman"/>
          <w:noProof/>
          <w:lang w:val="en-GB"/>
        </w:rPr>
      </w:pPr>
      <w:r w:rsidRPr="00881BC8">
        <w:rPr>
          <w:rStyle w:val="normaltextrun"/>
          <w:b/>
          <w:bCs/>
          <w:noProof/>
          <w:lang w:val="en-GB"/>
        </w:rPr>
        <w:t>Late payment creates a domino effect that leads to more late payment</w:t>
      </w:r>
      <w:r w:rsidRPr="00881BC8">
        <w:rPr>
          <w:rStyle w:val="normaltextrun"/>
          <w:noProof/>
          <w:lang w:val="en-GB"/>
        </w:rPr>
        <w:t xml:space="preserve">. </w:t>
      </w:r>
      <w:r w:rsidRPr="00881BC8">
        <w:rPr>
          <w:noProof/>
          <w:lang w:val="en-GB"/>
        </w:rPr>
        <w:t xml:space="preserve">Consequences of late payment spread along and across supply chains, industrial ecosystems, and the entire economy. </w:t>
      </w:r>
      <w:r w:rsidRPr="00881BC8">
        <w:rPr>
          <w:rFonts w:eastAsia="Times New Roman"/>
          <w:noProof/>
          <w:lang w:val="en-GB"/>
        </w:rPr>
        <w:t>70% of EU companies</w:t>
      </w:r>
      <w:r w:rsidRPr="00881BC8">
        <w:rPr>
          <w:rStyle w:val="FootnoteReference"/>
          <w:rFonts w:eastAsia="Times New Roman"/>
          <w:noProof/>
          <w:lang w:val="en-GB"/>
        </w:rPr>
        <w:footnoteReference w:id="354"/>
      </w:r>
      <w:r w:rsidRPr="00881BC8">
        <w:rPr>
          <w:rFonts w:eastAsia="Times New Roman"/>
          <w:noProof/>
          <w:lang w:val="en-GB"/>
        </w:rPr>
        <w:t xml:space="preserve"> confirmed that receiving payments faster would let them faster pay their own suppliers (varying from 82% for France, 80% for Switzerland, 79% for the Netherlands and 75% for Ireland, Greece, Bulgaria and Austria). </w:t>
      </w:r>
    </w:p>
    <w:p w14:paraId="4C1CFAD8" w14:textId="00CA3914" w:rsidR="00DF5C01" w:rsidRPr="00881BC8" w:rsidRDefault="00DF5C01" w:rsidP="00DF5C01">
      <w:pPr>
        <w:pStyle w:val="NormalPara"/>
        <w:rPr>
          <w:noProof/>
          <w:lang w:val="en-GB"/>
        </w:rPr>
      </w:pPr>
      <w:r w:rsidRPr="00881BC8">
        <w:rPr>
          <w:noProof/>
          <w:lang w:val="en-GB"/>
        </w:rPr>
        <w:t>In a 2013 US Working Capital Survey, it was found that companies in the upper quartile of their industries pay their suppliers on average in 35.8 days, almost 11 days slower than companies at the median. A report found that there are possibly two reasons for large buyers not to help suppliers reduce their working capital costs: competing priorities within corporations</w:t>
      </w:r>
      <w:r w:rsidRPr="00881BC8">
        <w:rPr>
          <w:rStyle w:val="FootnoteReference"/>
          <w:noProof/>
          <w:lang w:val="en-GB"/>
        </w:rPr>
        <w:footnoteReference w:id="355"/>
      </w:r>
      <w:r w:rsidRPr="00881BC8">
        <w:rPr>
          <w:noProof/>
          <w:lang w:val="en-GB"/>
        </w:rPr>
        <w:t xml:space="preserve"> and conflicting incentives between corporations</w:t>
      </w:r>
      <w:r w:rsidRPr="00881BC8">
        <w:rPr>
          <w:rStyle w:val="FootnoteReference"/>
          <w:noProof/>
          <w:lang w:val="en-GB"/>
        </w:rPr>
        <w:footnoteReference w:id="356"/>
      </w:r>
      <w:r w:rsidRPr="00881BC8">
        <w:rPr>
          <w:noProof/>
          <w:lang w:val="en-GB"/>
        </w:rPr>
        <w:t>. A report by Spend Matters analysed data on public companies and found that in 17 of the largest manufacturing industries, higher shareholders returns were correlated with shorter payments; shorter payments tend to strengthen supply chains</w:t>
      </w:r>
      <w:r w:rsidRPr="00881BC8">
        <w:rPr>
          <w:rStyle w:val="FootnoteReference"/>
          <w:noProof/>
          <w:lang w:val="en-GB"/>
        </w:rPr>
        <w:footnoteReference w:id="357"/>
      </w:r>
      <w:r w:rsidRPr="00881BC8">
        <w:rPr>
          <w:noProof/>
          <w:lang w:val="en-GB"/>
        </w:rPr>
        <w:t>.</w:t>
      </w:r>
    </w:p>
    <w:p w14:paraId="26F365FD" w14:textId="77777777" w:rsidR="00E14610" w:rsidRPr="00881BC8" w:rsidRDefault="00E14610" w:rsidP="004835F8">
      <w:pPr>
        <w:pStyle w:val="NormalPara"/>
        <w:rPr>
          <w:noProof/>
          <w:lang w:val="en-GB"/>
        </w:rPr>
      </w:pPr>
      <w:r w:rsidRPr="00881BC8">
        <w:rPr>
          <w:noProof/>
          <w:lang w:val="en-GB"/>
        </w:rPr>
        <w:t xml:space="preserve">Making a company’s cash flow weaker </w:t>
      </w:r>
      <w:r w:rsidRPr="00881BC8">
        <w:rPr>
          <w:rStyle w:val="normaltextrun"/>
          <w:noProof/>
          <w:lang w:val="en-GB"/>
        </w:rPr>
        <w:t>increases the likelihood that the company would seek to pay late</w:t>
      </w:r>
      <w:r w:rsidRPr="00881BC8">
        <w:rPr>
          <w:rStyle w:val="FootnoteReference"/>
          <w:noProof/>
          <w:lang w:val="en-GB"/>
        </w:rPr>
        <w:footnoteReference w:id="358"/>
      </w:r>
      <w:r w:rsidRPr="00881BC8">
        <w:rPr>
          <w:rStyle w:val="normaltextrun"/>
          <w:noProof/>
          <w:lang w:val="en-GB"/>
        </w:rPr>
        <w:t>. The company is twice as likely to unilaterally decide to pay late than to formally seek an agreement on the extension of the terms of credit</w:t>
      </w:r>
      <w:r w:rsidRPr="00881BC8">
        <w:rPr>
          <w:rStyle w:val="FootnoteReference"/>
          <w:noProof/>
          <w:lang w:val="en-GB"/>
        </w:rPr>
        <w:footnoteReference w:id="359"/>
      </w:r>
      <w:r w:rsidRPr="00881BC8">
        <w:rPr>
          <w:rStyle w:val="normaltextrun"/>
          <w:noProof/>
          <w:lang w:val="en-GB"/>
        </w:rPr>
        <w:t xml:space="preserve">. </w:t>
      </w:r>
    </w:p>
    <w:p w14:paraId="2696C2AA" w14:textId="77777777" w:rsidR="00E14610" w:rsidRPr="00881BC8" w:rsidRDefault="00E14610" w:rsidP="004835F8">
      <w:pPr>
        <w:pStyle w:val="AnnexLevel1"/>
        <w:rPr>
          <w:noProof/>
          <w:lang w:val="en-GB"/>
        </w:rPr>
      </w:pPr>
      <w:r w:rsidRPr="00881BC8">
        <w:rPr>
          <w:noProof/>
          <w:lang w:val="en-GB"/>
        </w:rPr>
        <w:t>Late payments reduce competitiveness</w:t>
      </w:r>
    </w:p>
    <w:p w14:paraId="00B6CDC0" w14:textId="77777777" w:rsidR="00E14610" w:rsidRPr="00881BC8" w:rsidRDefault="00E14610" w:rsidP="004835F8">
      <w:pPr>
        <w:pStyle w:val="NormalPara"/>
        <w:rPr>
          <w:noProof/>
          <w:lang w:val="en-GB" w:eastAsia="en-GB"/>
        </w:rPr>
      </w:pPr>
      <w:r w:rsidRPr="00881BC8">
        <w:rPr>
          <w:noProof/>
          <w:lang w:val="en-GB"/>
        </w:rPr>
        <w:t xml:space="preserve">Late payment slows down the circulation of money in the economy, increases financing costs and causes companies to forego attractive business opportunities. </w:t>
      </w:r>
    </w:p>
    <w:p w14:paraId="7FFFF7FE" w14:textId="6F1DAAEC" w:rsidR="00E14610" w:rsidRPr="00881BC8" w:rsidRDefault="00E14610" w:rsidP="004835F8">
      <w:pPr>
        <w:pStyle w:val="NormalPara"/>
        <w:rPr>
          <w:noProof/>
          <w:lang w:val="en-GB" w:eastAsia="en-GB"/>
        </w:rPr>
      </w:pPr>
      <w:r w:rsidRPr="00881BC8">
        <w:rPr>
          <w:noProof/>
          <w:lang w:val="en-GB"/>
        </w:rPr>
        <w:t>One</w:t>
      </w:r>
      <w:r w:rsidRPr="00881BC8">
        <w:rPr>
          <w:noProof/>
          <w:lang w:val="en-GB" w:eastAsia="en-GB"/>
        </w:rPr>
        <w:t>-day reduction in payment delays would increase EU companies’ aggregated cash flow by 0.9%</w:t>
      </w:r>
      <w:r w:rsidRPr="00881BC8">
        <w:rPr>
          <w:rStyle w:val="FootnoteReference"/>
          <w:noProof/>
          <w:lang w:val="en-GB" w:eastAsia="en-GB"/>
        </w:rPr>
        <w:footnoteReference w:id="360"/>
      </w:r>
      <w:r w:rsidRPr="00881BC8">
        <w:rPr>
          <w:noProof/>
          <w:lang w:val="en-GB" w:eastAsia="en-GB"/>
        </w:rPr>
        <w:t xml:space="preserve"> and could save </w:t>
      </w:r>
      <w:r w:rsidR="00ED301F" w:rsidRPr="00881BC8">
        <w:rPr>
          <w:noProof/>
          <w:lang w:val="en-GB"/>
        </w:rPr>
        <w:t>EUR </w:t>
      </w:r>
      <w:r w:rsidRPr="00881BC8">
        <w:rPr>
          <w:noProof/>
          <w:lang w:val="en-GB" w:eastAsia="en-GB"/>
        </w:rPr>
        <w:t>158 million in financing costs</w:t>
      </w:r>
      <w:r w:rsidRPr="00881BC8">
        <w:rPr>
          <w:rStyle w:val="FootnoteReference"/>
          <w:noProof/>
          <w:lang w:val="en-GB" w:eastAsia="en-GB"/>
        </w:rPr>
        <w:footnoteReference w:id="361"/>
      </w:r>
      <w:r w:rsidR="005D391F" w:rsidRPr="00881BC8">
        <w:rPr>
          <w:noProof/>
          <w:lang w:val="en-GB" w:eastAsia="en-GB"/>
        </w:rPr>
        <w:t xml:space="preserve"> - see </w:t>
      </w:r>
      <w:r w:rsidR="005D391F" w:rsidRPr="00881BC8">
        <w:rPr>
          <w:noProof/>
          <w:lang w:val="en-GB" w:eastAsia="en-GB"/>
        </w:rPr>
        <w:fldChar w:fldCharType="begin"/>
      </w:r>
      <w:r w:rsidR="005D391F" w:rsidRPr="00881BC8">
        <w:rPr>
          <w:noProof/>
          <w:lang w:val="en-GB" w:eastAsia="en-GB"/>
        </w:rPr>
        <w:instrText xml:space="preserve"> REF Annex04 \h </w:instrText>
      </w:r>
      <w:r w:rsidR="005D391F" w:rsidRPr="00881BC8">
        <w:rPr>
          <w:noProof/>
          <w:lang w:val="en-GB" w:eastAsia="en-GB"/>
        </w:rPr>
      </w:r>
      <w:r w:rsidR="005D391F" w:rsidRPr="00881BC8">
        <w:rPr>
          <w:noProof/>
          <w:lang w:val="en-GB" w:eastAsia="en-GB"/>
        </w:rPr>
        <w:fldChar w:fldCharType="separate"/>
      </w:r>
      <w:r w:rsidR="005851F4" w:rsidRPr="00881BC8">
        <w:rPr>
          <w:noProof/>
        </w:rPr>
        <w:t>Annex 4</w:t>
      </w:r>
      <w:r w:rsidR="005D391F" w:rsidRPr="00881BC8">
        <w:rPr>
          <w:noProof/>
          <w:lang w:val="en-GB" w:eastAsia="en-GB"/>
        </w:rPr>
        <w:fldChar w:fldCharType="end"/>
      </w:r>
      <w:r w:rsidR="005D391F" w:rsidRPr="00881BC8">
        <w:rPr>
          <w:noProof/>
          <w:lang w:val="en-GB" w:eastAsia="en-GB"/>
        </w:rPr>
        <w:t xml:space="preserve"> for the calculation of these figures</w:t>
      </w:r>
      <w:r w:rsidRPr="00881BC8">
        <w:rPr>
          <w:noProof/>
          <w:lang w:val="en-GB" w:eastAsia="en-GB"/>
        </w:rPr>
        <w:t>. 70% of companies declare that faster collection of receivables would allow them to pay their own suppliers faster</w:t>
      </w:r>
      <w:r w:rsidRPr="00881BC8">
        <w:rPr>
          <w:rStyle w:val="FootnoteReference"/>
          <w:noProof/>
          <w:lang w:val="en-GB"/>
        </w:rPr>
        <w:footnoteReference w:id="362"/>
      </w:r>
      <w:r w:rsidRPr="00881BC8">
        <w:rPr>
          <w:noProof/>
          <w:lang w:val="en-GB" w:eastAsia="en-GB"/>
        </w:rPr>
        <w:t>.</w:t>
      </w:r>
    </w:p>
    <w:p w14:paraId="19D9C2CA" w14:textId="77777777" w:rsidR="00E14610" w:rsidRPr="00881BC8" w:rsidRDefault="00E14610" w:rsidP="004835F8">
      <w:pPr>
        <w:pStyle w:val="NormalPara"/>
        <w:rPr>
          <w:rFonts w:eastAsia="Times New Roman"/>
          <w:noProof/>
          <w:lang w:val="en-GB"/>
        </w:rPr>
      </w:pPr>
      <w:r w:rsidRPr="00881BC8">
        <w:rPr>
          <w:noProof/>
          <w:lang w:val="en-GB"/>
        </w:rPr>
        <w:t>4 out of 10 companies consider late payments to slow down their company’s growth</w:t>
      </w:r>
      <w:r w:rsidRPr="00881BC8">
        <w:rPr>
          <w:rFonts w:eastAsia="Times New Roman"/>
          <w:noProof/>
          <w:lang w:val="en-GB"/>
        </w:rPr>
        <w:t xml:space="preserve"> and lose its competitive edge</w:t>
      </w:r>
      <w:r w:rsidRPr="00881BC8">
        <w:rPr>
          <w:rStyle w:val="FootnoteReference"/>
          <w:noProof/>
          <w:lang w:val="en-GB"/>
        </w:rPr>
        <w:footnoteReference w:id="363"/>
      </w:r>
      <w:r w:rsidRPr="00881BC8">
        <w:rPr>
          <w:noProof/>
          <w:lang w:val="en-GB"/>
        </w:rPr>
        <w:t xml:space="preserve">. The absence of predictable income flows makes companies </w:t>
      </w:r>
      <w:r w:rsidRPr="00881BC8">
        <w:rPr>
          <w:rFonts w:eastAsia="Times New Roman"/>
          <w:noProof/>
          <w:lang w:val="en-GB"/>
        </w:rPr>
        <w:t>seek to better manage their financial exposure</w:t>
      </w:r>
      <w:r w:rsidRPr="00881BC8">
        <w:rPr>
          <w:noProof/>
          <w:lang w:val="en-GB"/>
        </w:rPr>
        <w:t xml:space="preserve"> and prevents them from starting </w:t>
      </w:r>
      <w:r w:rsidRPr="00881BC8">
        <w:rPr>
          <w:rFonts w:eastAsia="Times New Roman"/>
          <w:noProof/>
          <w:lang w:val="en-GB"/>
        </w:rPr>
        <w:t>new projects, filling large orders, or investing in new equipment.</w:t>
      </w:r>
    </w:p>
    <w:p w14:paraId="5212739B" w14:textId="77777777" w:rsidR="00E14610" w:rsidRPr="00881BC8" w:rsidRDefault="00E14610" w:rsidP="004835F8">
      <w:pPr>
        <w:pStyle w:val="NormalPara"/>
        <w:rPr>
          <w:rFonts w:eastAsia="Times New Roman"/>
          <w:noProof/>
          <w:lang w:val="en-GB"/>
        </w:rPr>
      </w:pPr>
      <w:r w:rsidRPr="00881BC8">
        <w:rPr>
          <w:noProof/>
          <w:lang w:val="en-GB"/>
        </w:rPr>
        <w:t>Late payments are the second most critical barrier for growth and for the twin transition (after administrative burden)</w:t>
      </w:r>
      <w:r w:rsidRPr="00881BC8">
        <w:rPr>
          <w:rStyle w:val="FootnoteReference"/>
          <w:noProof/>
          <w:lang w:val="en-GB"/>
        </w:rPr>
        <w:footnoteReference w:id="364"/>
      </w:r>
      <w:r w:rsidRPr="00881BC8">
        <w:rPr>
          <w:noProof/>
          <w:lang w:val="en-GB"/>
        </w:rPr>
        <w:t>. 67% of businesses would improve their sustainability and green performance if payments were faster, 40% would expand abroad, 47% would hire more employees, and 70% would pay their own suppliers faster</w:t>
      </w:r>
      <w:r w:rsidRPr="00881BC8">
        <w:rPr>
          <w:rStyle w:val="FootnoteReference"/>
          <w:noProof/>
          <w:lang w:val="en-GB" w:eastAsia="en-GB"/>
        </w:rPr>
        <w:footnoteReference w:id="365"/>
      </w:r>
      <w:r w:rsidRPr="00881BC8">
        <w:rPr>
          <w:noProof/>
          <w:lang w:val="en-GB"/>
        </w:rPr>
        <w:t>.</w:t>
      </w:r>
      <w:r w:rsidRPr="00881BC8">
        <w:rPr>
          <w:rFonts w:eastAsia="Times New Roman"/>
          <w:noProof/>
          <w:lang w:val="en-GB"/>
        </w:rPr>
        <w:t xml:space="preserve"> </w:t>
      </w:r>
    </w:p>
    <w:p w14:paraId="28E9F24D" w14:textId="77777777" w:rsidR="00E14610" w:rsidRPr="00881BC8" w:rsidRDefault="00E14610" w:rsidP="004835F8">
      <w:pPr>
        <w:pStyle w:val="AnnexLevel2"/>
        <w:rPr>
          <w:noProof/>
          <w:lang w:val="en-GB"/>
        </w:rPr>
      </w:pPr>
      <w:r w:rsidRPr="00881BC8">
        <w:rPr>
          <w:noProof/>
          <w:lang w:val="en-GB"/>
        </w:rPr>
        <w:t xml:space="preserve">Late payments increase hassle costs of chasing debtors </w:t>
      </w:r>
    </w:p>
    <w:p w14:paraId="32014A84" w14:textId="77777777" w:rsidR="00E14610" w:rsidRPr="00881BC8" w:rsidRDefault="00E14610" w:rsidP="004835F8">
      <w:pPr>
        <w:pStyle w:val="NormalPara"/>
        <w:rPr>
          <w:noProof/>
          <w:lang w:val="en-GB"/>
        </w:rPr>
      </w:pPr>
      <w:r w:rsidRPr="00881BC8">
        <w:rPr>
          <w:noProof/>
          <w:lang w:val="en-GB"/>
        </w:rPr>
        <w:t>The resources - time and money - spent chasing customers for payment represent an unnecessary addition to a company’s operating expenses. Late payment causes unnecessary and unprofitable paperwork</w:t>
      </w:r>
      <w:r w:rsidRPr="00881BC8">
        <w:rPr>
          <w:rStyle w:val="FootnoteReference"/>
          <w:rFonts w:eastAsia="Times New Roman"/>
          <w:noProof/>
          <w:lang w:val="en-GB"/>
        </w:rPr>
        <w:footnoteReference w:id="366"/>
      </w:r>
      <w:r w:rsidRPr="00881BC8">
        <w:rPr>
          <w:noProof/>
          <w:lang w:val="en-GB"/>
        </w:rPr>
        <w:t xml:space="preserve">. </w:t>
      </w:r>
    </w:p>
    <w:p w14:paraId="76947BEC" w14:textId="77777777" w:rsidR="00E14610" w:rsidRPr="00881BC8" w:rsidRDefault="00E14610" w:rsidP="004835F8">
      <w:pPr>
        <w:pStyle w:val="NormalPara"/>
        <w:rPr>
          <w:rFonts w:eastAsia="Times New Roman"/>
          <w:noProof/>
          <w:lang w:val="en-GB"/>
        </w:rPr>
      </w:pPr>
      <w:r w:rsidRPr="00881BC8">
        <w:rPr>
          <w:noProof/>
          <w:lang w:val="en-GB"/>
        </w:rPr>
        <w:t>Monetary estimates associated with chasing late payments as an administrative task</w:t>
      </w:r>
      <w:r w:rsidRPr="00881BC8">
        <w:rPr>
          <w:rStyle w:val="FootnoteReference"/>
          <w:rFonts w:eastAsia="Times New Roman"/>
          <w:noProof/>
          <w:lang w:val="en-GB"/>
        </w:rPr>
        <w:footnoteReference w:id="367"/>
      </w:r>
      <w:r w:rsidRPr="00881BC8">
        <w:rPr>
          <w:rFonts w:eastAsia="Times New Roman"/>
          <w:noProof/>
          <w:lang w:val="en-GB"/>
        </w:rPr>
        <w:t xml:space="preserve"> range from USD 1,200 in France to USD 2,800 in Germany per SME per year. </w:t>
      </w:r>
      <w:r w:rsidRPr="00881BC8">
        <w:rPr>
          <w:noProof/>
          <w:lang w:val="en-GB"/>
        </w:rPr>
        <w:t>These costs include the costs of facilities needed to perform the chasing in addition to the costs of human resources, but exclude software costs</w:t>
      </w:r>
      <w:r w:rsidRPr="00881BC8">
        <w:rPr>
          <w:rFonts w:eastAsia="Times New Roman"/>
          <w:noProof/>
          <w:lang w:val="en-GB"/>
        </w:rPr>
        <w:t>, the opportunity-cost of lost investments or new contracts missed.</w:t>
      </w:r>
    </w:p>
    <w:p w14:paraId="396301FF" w14:textId="77777777" w:rsidR="00E14610" w:rsidRPr="00881BC8" w:rsidRDefault="00E14610" w:rsidP="004835F8">
      <w:pPr>
        <w:pStyle w:val="AnnexLevel2"/>
        <w:rPr>
          <w:noProof/>
          <w:lang w:val="en-GB"/>
        </w:rPr>
      </w:pPr>
      <w:r w:rsidRPr="00881BC8">
        <w:rPr>
          <w:noProof/>
          <w:lang w:val="en-GB"/>
        </w:rPr>
        <w:t xml:space="preserve">Late payments increase cost of financing </w:t>
      </w:r>
    </w:p>
    <w:p w14:paraId="265077D1" w14:textId="77777777" w:rsidR="00E14610" w:rsidRPr="00881BC8" w:rsidRDefault="00E14610" w:rsidP="004835F8">
      <w:pPr>
        <w:pStyle w:val="NormalPara"/>
        <w:rPr>
          <w:noProof/>
          <w:lang w:val="en-GB"/>
        </w:rPr>
      </w:pPr>
      <w:r w:rsidRPr="00881BC8">
        <w:rPr>
          <w:noProof/>
          <w:lang w:val="en-GB"/>
        </w:rPr>
        <w:t xml:space="preserve">Predictability of income flows influences a company’s credit rating and affects its ability to obtain financing. Deterioration in cash flow due to late payments may make it difficult for the debtor to repay loans, increasing the level of risk reflected in the credit rating, which determines the cost of funding. Higher levels of risk carry higher costs. The larger the degree to which late payments affect a company, the less favourable conditions the company will obtain from its providers of finance. </w:t>
      </w:r>
    </w:p>
    <w:p w14:paraId="78116124" w14:textId="7ADB7F70" w:rsidR="00E14610" w:rsidRPr="00881BC8" w:rsidRDefault="00E14610" w:rsidP="004835F8">
      <w:pPr>
        <w:pStyle w:val="NormalPara"/>
        <w:rPr>
          <w:noProof/>
          <w:lang w:val="en-GB"/>
        </w:rPr>
      </w:pPr>
      <w:r w:rsidRPr="00881BC8">
        <w:rPr>
          <w:noProof/>
          <w:lang w:val="en-GB"/>
        </w:rPr>
        <w:t>SMEs affected by late payments are likely to pay higher interest rates</w:t>
      </w:r>
      <w:r w:rsidRPr="00881BC8">
        <w:rPr>
          <w:rStyle w:val="FootnoteReference"/>
          <w:noProof/>
          <w:shd w:val="clear" w:color="auto" w:fill="FFFFFF"/>
          <w:lang w:val="en-GB"/>
        </w:rPr>
        <w:footnoteReference w:id="368"/>
      </w:r>
      <w:r w:rsidRPr="00881BC8">
        <w:rPr>
          <w:noProof/>
          <w:lang w:val="en-GB"/>
        </w:rPr>
        <w:t xml:space="preserve"> and other charges. Financial institutions require higher risk premiums because the funding they provide to their clients is effectively transferred to third parties – debtors. Lenders tend to reduce the amounts of loans granted to SMEs affected by late payments and require a shorter maturity horizon</w:t>
      </w:r>
      <w:r w:rsidRPr="00881BC8">
        <w:rPr>
          <w:rStyle w:val="FootnoteReference"/>
          <w:noProof/>
          <w:lang w:val="en-GB"/>
        </w:rPr>
        <w:footnoteReference w:id="369"/>
      </w:r>
      <w:r w:rsidRPr="00881BC8">
        <w:rPr>
          <w:noProof/>
          <w:lang w:val="en-GB"/>
        </w:rPr>
        <w:t>.</w:t>
      </w:r>
    </w:p>
    <w:p w14:paraId="4DC8A893" w14:textId="77777777" w:rsidR="00E14610" w:rsidRPr="00881BC8" w:rsidRDefault="00E14610" w:rsidP="004835F8">
      <w:pPr>
        <w:pStyle w:val="AnnexLevel1"/>
        <w:rPr>
          <w:noProof/>
          <w:lang w:val="en-GB"/>
        </w:rPr>
      </w:pPr>
      <w:r w:rsidRPr="00881BC8">
        <w:rPr>
          <w:noProof/>
          <w:lang w:val="en-GB"/>
        </w:rPr>
        <w:t>Late payments increase uncertainty and the risk of running a business</w:t>
      </w:r>
    </w:p>
    <w:p w14:paraId="25F7EB0B" w14:textId="77777777" w:rsidR="00E14610" w:rsidRPr="00881BC8" w:rsidRDefault="00E14610" w:rsidP="004835F8">
      <w:pPr>
        <w:pStyle w:val="NormalPara"/>
        <w:rPr>
          <w:noProof/>
          <w:lang w:val="en-GB"/>
        </w:rPr>
      </w:pPr>
      <w:r w:rsidRPr="00881BC8">
        <w:rPr>
          <w:noProof/>
          <w:lang w:val="en-GB"/>
        </w:rPr>
        <w:t>Widespread late payment practices increase market uncertainty</w:t>
      </w:r>
      <w:r w:rsidRPr="00881BC8">
        <w:rPr>
          <w:rStyle w:val="FootnoteReference"/>
          <w:noProof/>
          <w:lang w:val="en-GB"/>
        </w:rPr>
        <w:footnoteReference w:id="370"/>
      </w:r>
      <w:r w:rsidRPr="00881BC8">
        <w:rPr>
          <w:noProof/>
          <w:lang w:val="en-GB"/>
        </w:rPr>
        <w:t xml:space="preserve"> and directly affect an economy’s competitiveness and efficiency. In an environment dominated by late payment, most companies adopt prudential measures to manage the additional risks stemming from late payment. These measures have a cost, which has no corresponding benefit to match, adversely affecting productivity, profitability, and competitiveness. </w:t>
      </w:r>
    </w:p>
    <w:p w14:paraId="3300BE18" w14:textId="77777777" w:rsidR="00E14610" w:rsidRPr="00881BC8" w:rsidRDefault="00E14610" w:rsidP="004835F8">
      <w:pPr>
        <w:pStyle w:val="NormalPara"/>
        <w:rPr>
          <w:noProof/>
          <w:lang w:val="en-GB"/>
        </w:rPr>
      </w:pPr>
      <w:r w:rsidRPr="00881BC8">
        <w:rPr>
          <w:noProof/>
          <w:lang w:val="en-GB"/>
        </w:rPr>
        <w:t>Running a business in a late payment environment is riskier because every trade credit sale is riskier than in a timely payment environment. Banks are wary of granting funding to customers who are not skilled at collecting their receivables and they consider it as an important risk factor. The existence of late customer payments raises a company’s probability of default by 25%, and by 40% if payments are over one month late</w:t>
      </w:r>
      <w:r w:rsidRPr="00881BC8">
        <w:rPr>
          <w:rStyle w:val="FootnoteReference"/>
          <w:noProof/>
          <w:lang w:val="en-GB"/>
        </w:rPr>
        <w:footnoteReference w:id="371"/>
      </w:r>
      <w:r w:rsidRPr="00881BC8">
        <w:rPr>
          <w:noProof/>
          <w:lang w:val="en-GB"/>
        </w:rPr>
        <w:t>.</w:t>
      </w:r>
    </w:p>
    <w:p w14:paraId="3E8961EE" w14:textId="77777777" w:rsidR="00E14610" w:rsidRPr="00881BC8" w:rsidRDefault="00E14610" w:rsidP="004835F8">
      <w:pPr>
        <w:pStyle w:val="AnnexLevel2"/>
        <w:rPr>
          <w:noProof/>
          <w:lang w:val="en-GB"/>
        </w:rPr>
      </w:pPr>
      <w:r w:rsidRPr="00881BC8">
        <w:rPr>
          <w:noProof/>
          <w:lang w:val="en-GB"/>
        </w:rPr>
        <w:t>Late payments reduce investment capacity</w:t>
      </w:r>
    </w:p>
    <w:p w14:paraId="377EBEAE" w14:textId="77777777" w:rsidR="00E14610" w:rsidRPr="00881BC8" w:rsidRDefault="00E14610" w:rsidP="004835F8">
      <w:pPr>
        <w:pStyle w:val="NormalPara"/>
        <w:rPr>
          <w:rStyle w:val="rynqvb"/>
          <w:noProof/>
          <w:lang w:val="en-GB"/>
        </w:rPr>
      </w:pPr>
      <w:r w:rsidRPr="00881BC8">
        <w:rPr>
          <w:noProof/>
          <w:lang w:val="en-GB"/>
        </w:rPr>
        <w:t>Unpredictable cash flows negatively affect investment decisions, both made by the company and considered by providers of investment financing. Shortages of cash flow can make it difficult for small businesses to pay their operating expenses leaving no room for funding their future needs (investment). Most bank lenders, who are the main provider of finance to SMEs, will not grant long-term investment funding, riskier than short-term finance, when the risk related to a company’s short-term operations is high.</w:t>
      </w:r>
    </w:p>
    <w:p w14:paraId="1465DD2D" w14:textId="77777777" w:rsidR="00E14610" w:rsidRPr="00881BC8" w:rsidRDefault="00E14610" w:rsidP="004835F8">
      <w:pPr>
        <w:pStyle w:val="AnnexLevel2"/>
        <w:rPr>
          <w:noProof/>
          <w:lang w:val="en-GB"/>
        </w:rPr>
      </w:pPr>
      <w:r w:rsidRPr="00881BC8">
        <w:rPr>
          <w:noProof/>
          <w:lang w:val="en-GB"/>
        </w:rPr>
        <w:t>Late payments increase liquidity risk and the risk of bankruptcy</w:t>
      </w:r>
    </w:p>
    <w:p w14:paraId="22E2B129" w14:textId="77777777" w:rsidR="00E14610" w:rsidRPr="00881BC8" w:rsidRDefault="00E14610" w:rsidP="004835F8">
      <w:pPr>
        <w:pStyle w:val="NormalPara"/>
        <w:rPr>
          <w:noProof/>
          <w:lang w:val="en-GB"/>
        </w:rPr>
      </w:pPr>
      <w:r w:rsidRPr="00881BC8">
        <w:rPr>
          <w:noProof/>
          <w:lang w:val="en-GB"/>
        </w:rPr>
        <w:t>Cash flow is the lifeblood of any business and sufficient liquidity is legally required for companies to do business</w:t>
      </w:r>
      <w:r w:rsidRPr="00881BC8">
        <w:rPr>
          <w:rStyle w:val="FootnoteReference"/>
          <w:noProof/>
          <w:lang w:val="en-GB"/>
        </w:rPr>
        <w:footnoteReference w:id="372"/>
      </w:r>
      <w:r w:rsidRPr="00881BC8">
        <w:rPr>
          <w:noProof/>
          <w:lang w:val="en-GB"/>
        </w:rPr>
        <w:t xml:space="preserve">. Timely payments are essential not only for continuing going concern, but also for competitiveness and growth. Access to finance is usually more restrained for SMEs than for large companies, which makes them more reliant on regular streams of cash from operations. </w:t>
      </w:r>
    </w:p>
    <w:p w14:paraId="6DB33301" w14:textId="77777777" w:rsidR="00E14610" w:rsidRPr="00881BC8" w:rsidRDefault="00E14610" w:rsidP="004835F8">
      <w:pPr>
        <w:pStyle w:val="NormalPara"/>
        <w:rPr>
          <w:noProof/>
          <w:lang w:val="en-GB"/>
        </w:rPr>
      </w:pPr>
      <w:r w:rsidRPr="00881BC8">
        <w:rPr>
          <w:noProof/>
          <w:lang w:val="en-GB"/>
        </w:rPr>
        <w:t>Late payments in commercial transactions, can drive companies out of business</w:t>
      </w:r>
      <w:r w:rsidRPr="00881BC8">
        <w:rPr>
          <w:noProof/>
          <w:vertAlign w:val="superscript"/>
          <w:lang w:val="en-GB"/>
        </w:rPr>
        <w:footnoteReference w:id="373"/>
      </w:r>
      <w:r w:rsidRPr="00881BC8">
        <w:rPr>
          <w:noProof/>
          <w:lang w:val="en-GB"/>
        </w:rPr>
        <w:t>. Every insolvency triggers undesirable effects for the whole economy: jobs lost, unpaid debts, tax revenue lost, which affect competitiveness and local communities. Payment delays are estimated to cause 1 out of 4 bankruptcies</w:t>
      </w:r>
      <w:r w:rsidRPr="00881BC8">
        <w:rPr>
          <w:rStyle w:val="FootnoteReference"/>
          <w:noProof/>
          <w:lang w:val="en-GB"/>
        </w:rPr>
        <w:footnoteReference w:id="374"/>
      </w:r>
      <w:r w:rsidRPr="00881BC8">
        <w:rPr>
          <w:noProof/>
          <w:lang w:val="en-GB"/>
        </w:rPr>
        <w:t>. In France, payment delays exceeding 30 days increase the probability of bankruptcy by 40%</w:t>
      </w:r>
      <w:r w:rsidRPr="00881BC8">
        <w:rPr>
          <w:rStyle w:val="FootnoteReference"/>
          <w:noProof/>
          <w:lang w:val="en-GB"/>
        </w:rPr>
        <w:footnoteReference w:id="375"/>
      </w:r>
      <w:r w:rsidRPr="00881BC8">
        <w:rPr>
          <w:noProof/>
          <w:lang w:val="en-GB"/>
        </w:rPr>
        <w:t>. Receivables overdue by more than 60 days or more severely affect the economic standing of companies</w:t>
      </w:r>
      <w:r w:rsidRPr="00881BC8">
        <w:rPr>
          <w:rStyle w:val="FootnoteReference"/>
          <w:noProof/>
          <w:lang w:val="en-GB"/>
        </w:rPr>
        <w:footnoteReference w:id="376"/>
      </w:r>
      <w:r w:rsidRPr="00881BC8">
        <w:rPr>
          <w:noProof/>
          <w:lang w:val="en-GB"/>
        </w:rPr>
        <w:t>.</w:t>
      </w:r>
      <w:r w:rsidRPr="00881BC8">
        <w:rPr>
          <w:noProof/>
          <w:color w:val="262626"/>
          <w:sz w:val="29"/>
          <w:szCs w:val="29"/>
          <w:shd w:val="clear" w:color="auto" w:fill="FFFFFF"/>
          <w:lang w:val="en-GB"/>
        </w:rPr>
        <w:t xml:space="preserve"> </w:t>
      </w:r>
      <w:r w:rsidRPr="00881BC8">
        <w:rPr>
          <w:noProof/>
          <w:lang w:val="en-GB"/>
        </w:rPr>
        <w:t>More than 170.000 (12%) of Spanish companies are at risk of bankruptcy due to late payments</w:t>
      </w:r>
      <w:r w:rsidRPr="00881BC8">
        <w:rPr>
          <w:rStyle w:val="FootnoteReference"/>
          <w:noProof/>
          <w:lang w:val="en-GB"/>
        </w:rPr>
        <w:footnoteReference w:id="377"/>
      </w:r>
      <w:r w:rsidRPr="00881BC8">
        <w:rPr>
          <w:noProof/>
          <w:lang w:val="en-GB"/>
        </w:rPr>
        <w:t xml:space="preserve">. </w:t>
      </w:r>
    </w:p>
    <w:p w14:paraId="0EB8A7A6" w14:textId="77777777" w:rsidR="00E14610" w:rsidRPr="00881BC8" w:rsidRDefault="00E14610" w:rsidP="004835F8">
      <w:pPr>
        <w:pStyle w:val="AnnexLevel2"/>
        <w:rPr>
          <w:noProof/>
          <w:lang w:val="en-GB"/>
        </w:rPr>
      </w:pPr>
      <w:r w:rsidRPr="00881BC8">
        <w:rPr>
          <w:noProof/>
          <w:lang w:val="en-GB"/>
        </w:rPr>
        <w:t>Late payments reduce trust and confidence in the market</w:t>
      </w:r>
    </w:p>
    <w:p w14:paraId="5D044F90" w14:textId="77777777" w:rsidR="00E14610" w:rsidRPr="00881BC8" w:rsidRDefault="00E14610" w:rsidP="004835F8">
      <w:pPr>
        <w:pStyle w:val="NormalPara"/>
        <w:rPr>
          <w:noProof/>
          <w:lang w:val="en-GB"/>
        </w:rPr>
      </w:pPr>
      <w:r w:rsidRPr="00881BC8">
        <w:rPr>
          <w:noProof/>
          <w:lang w:val="en-GB"/>
        </w:rPr>
        <w:t xml:space="preserve">Late payments damage trust in the marketplace and lead to foregoing profitable business opportunities. Businesses not receiving payment on time have fewer incentives to trust business partners. The fact that most companies never claim compensation for late payment points to the limited trust in market enforcement authorities. Instead, companies may tighten payment terms granted to customers, e.g. by reverting to cash prepayments, at the expense of losing some contracts, step up their internal trade credit control activities (at a cost), or consider moving the business abroad where payment performance is better. When suspicion and mistrust are a norm in business relationships, companies instigate safeguard clauses and require intensive legal assistance. They are likely to be more prudent or unwilling to establish new business relationships. Consequently, lack of trust increases the cost of doing business and accounts for unrealised business opportunities. </w:t>
      </w:r>
    </w:p>
    <w:p w14:paraId="096D335D" w14:textId="77777777" w:rsidR="00E14610" w:rsidRPr="00881BC8" w:rsidRDefault="00E14610" w:rsidP="004835F8">
      <w:pPr>
        <w:pStyle w:val="AnnexLevel2"/>
        <w:rPr>
          <w:noProof/>
          <w:lang w:val="en-GB"/>
        </w:rPr>
      </w:pPr>
      <w:r w:rsidRPr="00881BC8">
        <w:rPr>
          <w:noProof/>
          <w:lang w:val="en-GB"/>
        </w:rPr>
        <w:t>Late payments result in jobs lost</w:t>
      </w:r>
    </w:p>
    <w:p w14:paraId="3D58276A" w14:textId="77777777" w:rsidR="00E14610" w:rsidRPr="00881BC8" w:rsidRDefault="00E14610" w:rsidP="004835F8">
      <w:pPr>
        <w:pStyle w:val="NormalPara"/>
        <w:rPr>
          <w:noProof/>
          <w:lang w:val="en-GB"/>
        </w:rPr>
      </w:pPr>
      <w:r w:rsidRPr="00881BC8">
        <w:rPr>
          <w:noProof/>
          <w:lang w:val="en-GB" w:eastAsia="en-GB"/>
        </w:rPr>
        <w:t xml:space="preserve">Employment suffers from late payment practices. Not only can the lack of cash flow make it difficult for companies to pay their employees, </w:t>
      </w:r>
      <w:r w:rsidRPr="00881BC8">
        <w:rPr>
          <w:noProof/>
          <w:lang w:val="en-GB"/>
        </w:rPr>
        <w:t>but also the cash flow liberated and reinvested in the economy would pay for additional 6 million jobs in the EU every year</w:t>
      </w:r>
      <w:r w:rsidRPr="00881BC8">
        <w:rPr>
          <w:rStyle w:val="FootnoteReference"/>
          <w:noProof/>
          <w:lang w:val="en-GB"/>
        </w:rPr>
        <w:footnoteReference w:id="378"/>
      </w:r>
      <w:r w:rsidRPr="00881BC8">
        <w:rPr>
          <w:noProof/>
          <w:lang w:val="en-GB"/>
        </w:rPr>
        <w:t>. Should the public sector make all its payments on time, it would allow companies from sectors which highly depend on contracts with public administration to increase employment by 0.7%. This would represent 900,000 more jobs in those sectors</w:t>
      </w:r>
      <w:r w:rsidRPr="00881BC8">
        <w:rPr>
          <w:rStyle w:val="FootnoteReference"/>
          <w:noProof/>
          <w:lang w:val="en-GB" w:eastAsia="en-GB"/>
        </w:rPr>
        <w:footnoteReference w:id="379"/>
      </w:r>
      <w:r w:rsidRPr="00881BC8">
        <w:rPr>
          <w:noProof/>
          <w:lang w:val="en-GB"/>
        </w:rPr>
        <w:t>.</w:t>
      </w:r>
    </w:p>
    <w:p w14:paraId="79ECE2EC" w14:textId="77777777" w:rsidR="00E14610" w:rsidRPr="00881BC8" w:rsidRDefault="00E14610" w:rsidP="004835F8">
      <w:pPr>
        <w:pStyle w:val="AnnexLevel1"/>
        <w:rPr>
          <w:noProof/>
          <w:lang w:val="en-GB"/>
        </w:rPr>
      </w:pPr>
      <w:r w:rsidRPr="00881BC8">
        <w:rPr>
          <w:noProof/>
          <w:lang w:val="en-GB"/>
        </w:rPr>
        <w:t>Late payments reduce participation of SMEs in public procurement</w:t>
      </w:r>
    </w:p>
    <w:p w14:paraId="0FCA7AA3" w14:textId="5B9A3702" w:rsidR="00E14610" w:rsidRPr="00881BC8" w:rsidRDefault="00E14610" w:rsidP="004835F8">
      <w:pPr>
        <w:pStyle w:val="NormalPara"/>
        <w:rPr>
          <w:noProof/>
          <w:lang w:val="en-GB"/>
        </w:rPr>
      </w:pPr>
      <w:r w:rsidRPr="00881BC8">
        <w:rPr>
          <w:noProof/>
          <w:lang w:val="en-GB"/>
        </w:rPr>
        <w:t>Countries that work with longer-than-average payment periods witness lower participation rate of SMEs in public procurement. Public procurement has a significant economic impact and is a major channel for European investments. It accounts for 14% of the EU's GDP. Promptness and certainty of payment are key in supporting the financial capacity of companies, especially SMEs, and their participation in tendering processes</w:t>
      </w:r>
      <w:r w:rsidRPr="00881BC8">
        <w:rPr>
          <w:rStyle w:val="FootnoteReference"/>
          <w:noProof/>
          <w:lang w:val="en-GB"/>
        </w:rPr>
        <w:footnoteReference w:id="380"/>
      </w:r>
      <w:r w:rsidRPr="00881BC8">
        <w:rPr>
          <w:noProof/>
          <w:lang w:val="en-GB"/>
        </w:rPr>
        <w:t xml:space="preserve">. Public authorities’ poor payment behaviour discourages SMEs from taking part in public procurement (see section </w:t>
      </w:r>
      <w:r w:rsidR="005851F4">
        <w:rPr>
          <w:noProof/>
          <w:lang w:val="en-GB"/>
        </w:rPr>
        <w:t>2</w:t>
      </w:r>
      <w:r w:rsidRPr="00881BC8">
        <w:rPr>
          <w:noProof/>
          <w:lang w:val="en-GB"/>
        </w:rPr>
        <w:t>). Delays in payments have a particularly adverse effect on smaller firms</w:t>
      </w:r>
      <w:r w:rsidRPr="00881BC8">
        <w:rPr>
          <w:rStyle w:val="FootnoteReference"/>
          <w:noProof/>
          <w:lang w:val="en-GB"/>
        </w:rPr>
        <w:footnoteReference w:id="381"/>
      </w:r>
      <w:r w:rsidRPr="00881BC8">
        <w:rPr>
          <w:noProof/>
          <w:lang w:val="en-GB"/>
        </w:rPr>
        <w:t xml:space="preserve">. </w:t>
      </w:r>
    </w:p>
    <w:p w14:paraId="65CF7F47" w14:textId="77777777" w:rsidR="00E14610" w:rsidRPr="00881BC8" w:rsidRDefault="00E14610" w:rsidP="004835F8">
      <w:pPr>
        <w:pStyle w:val="AnnexLevel1"/>
        <w:rPr>
          <w:noProof/>
          <w:lang w:val="en-GB"/>
        </w:rPr>
      </w:pPr>
      <w:r w:rsidRPr="00881BC8">
        <w:rPr>
          <w:noProof/>
          <w:lang w:val="en-GB"/>
        </w:rPr>
        <w:t>Late payments produce negative societal outcomes</w:t>
      </w:r>
    </w:p>
    <w:p w14:paraId="6452AC3E" w14:textId="0F79DB4F" w:rsidR="00E14610" w:rsidRPr="00881BC8" w:rsidRDefault="00E14610" w:rsidP="004835F8">
      <w:pPr>
        <w:pStyle w:val="NormalPara"/>
        <w:rPr>
          <w:noProof/>
          <w:lang w:val="en-GB"/>
        </w:rPr>
      </w:pPr>
      <w:r w:rsidRPr="00881BC8">
        <w:rPr>
          <w:noProof/>
          <w:lang w:val="en-GB"/>
        </w:rPr>
        <w:t>Late payments negatively affect the well-being of entrepreneurs</w:t>
      </w:r>
      <w:r w:rsidRPr="00881BC8">
        <w:rPr>
          <w:rStyle w:val="FootnoteReference"/>
          <w:noProof/>
          <w:lang w:val="en-GB"/>
        </w:rPr>
        <w:footnoteReference w:id="382"/>
      </w:r>
      <w:r w:rsidRPr="00881BC8">
        <w:rPr>
          <w:noProof/>
          <w:lang w:val="en-GB"/>
        </w:rPr>
        <w:t>. In a survey carried out in 2020, entrepreneurs declared that late payments lead to anxiety, stress, and panic attacks in 88% of cases, makes running a business less enjoyable (66%), and undermines their confidence as an entrepreneur (25%). Entrepreneurs interviewed declared that late payments determine anxiety, stress, and depression in 63% of cases. The impact is greater among younger entrepreneurs</w:t>
      </w:r>
      <w:r w:rsidRPr="00881BC8">
        <w:rPr>
          <w:rStyle w:val="FootnoteReference"/>
          <w:noProof/>
          <w:lang w:val="en-GB"/>
        </w:rPr>
        <w:footnoteReference w:id="383"/>
      </w:r>
      <w:r w:rsidRPr="00881BC8">
        <w:rPr>
          <w:noProof/>
          <w:lang w:val="en-GB"/>
        </w:rPr>
        <w:t xml:space="preserve">. </w:t>
      </w:r>
    </w:p>
    <w:p w14:paraId="73E10315" w14:textId="18321C93" w:rsidR="00364C73" w:rsidRPr="00881BC8" w:rsidRDefault="00364C73" w:rsidP="004835F8">
      <w:pPr>
        <w:pStyle w:val="NormalPara"/>
        <w:rPr>
          <w:i/>
          <w:iCs/>
          <w:noProof/>
          <w:lang w:val="en-GB"/>
        </w:rPr>
      </w:pPr>
      <w:r w:rsidRPr="00881BC8">
        <w:rPr>
          <w:noProof/>
          <w:lang w:val="en-GB"/>
        </w:rPr>
        <w:t>Research commissioned by the South-African government in 2020</w:t>
      </w:r>
      <w:r w:rsidRPr="00881BC8">
        <w:rPr>
          <w:noProof/>
          <w:vertAlign w:val="superscript"/>
          <w:lang w:val="en-GB"/>
        </w:rPr>
        <w:footnoteReference w:id="384"/>
      </w:r>
      <w:r w:rsidRPr="00881BC8">
        <w:rPr>
          <w:noProof/>
          <w:lang w:val="en-GB"/>
        </w:rPr>
        <w:t xml:space="preserve"> concluded that late payments had negative social implications for 99% of the respondents. The most serious outcome was the “</w:t>
      </w:r>
      <w:r w:rsidRPr="00881BC8">
        <w:rPr>
          <w:i/>
          <w:iCs/>
          <w:noProof/>
          <w:lang w:val="en-GB"/>
        </w:rPr>
        <w:t>inability for small business owners to support their families</w:t>
      </w:r>
      <w:r w:rsidRPr="00881BC8">
        <w:rPr>
          <w:noProof/>
          <w:lang w:val="en-GB"/>
        </w:rPr>
        <w:t>” (e.g. pay school fees and provide food). Other negative impacts were “</w:t>
      </w:r>
      <w:r w:rsidRPr="00881BC8">
        <w:rPr>
          <w:i/>
          <w:iCs/>
          <w:noProof/>
          <w:lang w:val="en-GB"/>
        </w:rPr>
        <w:t>strained relations with employees</w:t>
      </w:r>
      <w:r w:rsidRPr="00881BC8">
        <w:rPr>
          <w:noProof/>
          <w:lang w:val="en-GB"/>
        </w:rPr>
        <w:t>” and “</w:t>
      </w:r>
      <w:r w:rsidRPr="00881BC8">
        <w:rPr>
          <w:i/>
          <w:iCs/>
          <w:noProof/>
          <w:lang w:val="en-GB"/>
        </w:rPr>
        <w:t xml:space="preserve">damaged reputation in the market”. </w:t>
      </w:r>
    </w:p>
    <w:p w14:paraId="1A403065" w14:textId="7902187D" w:rsidR="00364C73" w:rsidRPr="00881BC8" w:rsidRDefault="00364C73" w:rsidP="004835F8">
      <w:pPr>
        <w:pStyle w:val="NormalPara"/>
        <w:rPr>
          <w:noProof/>
          <w:lang w:val="en-GB"/>
        </w:rPr>
      </w:pPr>
      <w:r w:rsidRPr="00881BC8">
        <w:rPr>
          <w:noProof/>
          <w:lang w:val="en-GB"/>
        </w:rPr>
        <w:t>Late payment affects the quality, choice, and continuity of provision of essential goods and community services. Replies to the call for evidence have highlighted the following examples: public and collective transport</w:t>
      </w:r>
      <w:r w:rsidRPr="00881BC8">
        <w:rPr>
          <w:noProof/>
          <w:vertAlign w:val="superscript"/>
          <w:lang w:val="en-GB"/>
        </w:rPr>
        <w:footnoteReference w:id="385"/>
      </w:r>
      <w:r w:rsidR="0007440C" w:rsidRPr="00881BC8">
        <w:rPr>
          <w:noProof/>
          <w:lang w:val="en-GB"/>
        </w:rPr>
        <w:t>,</w:t>
      </w:r>
      <w:r w:rsidRPr="00881BC8">
        <w:rPr>
          <w:noProof/>
          <w:lang w:val="en-GB"/>
        </w:rPr>
        <w:t xml:space="preserve"> medicines and medical devices for health care</w:t>
      </w:r>
      <w:r w:rsidRPr="00881BC8">
        <w:rPr>
          <w:noProof/>
          <w:vertAlign w:val="superscript"/>
          <w:lang w:val="en-GB"/>
        </w:rPr>
        <w:footnoteReference w:id="386"/>
      </w:r>
      <w:r w:rsidR="0007440C" w:rsidRPr="00881BC8">
        <w:rPr>
          <w:noProof/>
          <w:lang w:val="en-GB"/>
        </w:rPr>
        <w:t xml:space="preserve">, </w:t>
      </w:r>
      <w:r w:rsidRPr="00881BC8">
        <w:rPr>
          <w:noProof/>
          <w:lang w:val="en-GB"/>
        </w:rPr>
        <w:t>information, communication and media</w:t>
      </w:r>
      <w:r w:rsidRPr="00881BC8">
        <w:rPr>
          <w:noProof/>
          <w:vertAlign w:val="superscript"/>
          <w:lang w:val="en-GB"/>
        </w:rPr>
        <w:footnoteReference w:id="387"/>
      </w:r>
      <w:r w:rsidR="00BF4571" w:rsidRPr="00881BC8">
        <w:rPr>
          <w:noProof/>
          <w:lang w:val="en-GB"/>
        </w:rPr>
        <w:t>,</w:t>
      </w:r>
      <w:r w:rsidRPr="00881BC8">
        <w:rPr>
          <w:noProof/>
          <w:vertAlign w:val="superscript"/>
          <w:lang w:val="en-GB"/>
        </w:rPr>
        <w:t xml:space="preserve"> </w:t>
      </w:r>
      <w:r w:rsidRPr="00881BC8">
        <w:rPr>
          <w:noProof/>
          <w:lang w:val="en-GB"/>
        </w:rPr>
        <w:t>translation and interpretation services</w:t>
      </w:r>
      <w:r w:rsidRPr="00881BC8">
        <w:rPr>
          <w:noProof/>
          <w:vertAlign w:val="superscript"/>
          <w:lang w:val="en-GB"/>
        </w:rPr>
        <w:footnoteReference w:id="388"/>
      </w:r>
      <w:r w:rsidRPr="00881BC8">
        <w:rPr>
          <w:noProof/>
          <w:lang w:val="en-GB"/>
        </w:rPr>
        <w:t xml:space="preserve">, instrumental for living and working in the </w:t>
      </w:r>
      <w:r w:rsidR="00EF70D2" w:rsidRPr="00881BC8">
        <w:rPr>
          <w:noProof/>
          <w:lang w:val="en-GB"/>
        </w:rPr>
        <w:t>s</w:t>
      </w:r>
      <w:r w:rsidRPr="00881BC8">
        <w:rPr>
          <w:noProof/>
          <w:lang w:val="en-GB"/>
        </w:rPr>
        <w:t xml:space="preserve">ingle </w:t>
      </w:r>
      <w:r w:rsidR="00EF70D2" w:rsidRPr="00881BC8">
        <w:rPr>
          <w:noProof/>
          <w:lang w:val="en-GB"/>
        </w:rPr>
        <w:t>m</w:t>
      </w:r>
      <w:r w:rsidRPr="00881BC8">
        <w:rPr>
          <w:noProof/>
          <w:lang w:val="en-GB"/>
        </w:rPr>
        <w:t>arket; social cooperatives providing services of general interest (e.g. cultural, educational, environmental, integration of disabled and marginalised people in the society)</w:t>
      </w:r>
      <w:r w:rsidRPr="00881BC8">
        <w:rPr>
          <w:noProof/>
          <w:vertAlign w:val="superscript"/>
          <w:lang w:val="en-GB"/>
        </w:rPr>
        <w:footnoteReference w:id="389"/>
      </w:r>
      <w:r w:rsidR="00EF70D2" w:rsidRPr="00881BC8">
        <w:rPr>
          <w:noProof/>
          <w:lang w:val="en-GB"/>
        </w:rPr>
        <w:t>.</w:t>
      </w:r>
    </w:p>
    <w:p w14:paraId="535CB7EA" w14:textId="472178FD" w:rsidR="008D1A6C" w:rsidRPr="00881BC8" w:rsidRDefault="008D1A6C">
      <w:pPr>
        <w:spacing w:after="200" w:line="276" w:lineRule="auto"/>
        <w:jc w:val="left"/>
        <w:rPr>
          <w:rFonts w:eastAsia="Times New Roman"/>
          <w:b/>
          <w:smallCaps/>
          <w:noProof/>
          <w:sz w:val="32"/>
          <w:szCs w:val="20"/>
        </w:rPr>
      </w:pPr>
      <w:r w:rsidRPr="00881BC8">
        <w:rPr>
          <w:rFonts w:eastAsia="Times New Roman"/>
          <w:b/>
          <w:smallCaps/>
          <w:noProof/>
          <w:sz w:val="32"/>
          <w:szCs w:val="20"/>
        </w:rPr>
        <w:br w:type="page"/>
      </w:r>
    </w:p>
    <w:p w14:paraId="6A2B639D" w14:textId="77777777" w:rsidR="00273661" w:rsidRPr="00881BC8" w:rsidRDefault="00273661">
      <w:pPr>
        <w:spacing w:after="200" w:line="276" w:lineRule="auto"/>
        <w:jc w:val="left"/>
        <w:rPr>
          <w:rFonts w:eastAsia="Times New Roman"/>
          <w:b/>
          <w:smallCaps/>
          <w:noProof/>
          <w:sz w:val="32"/>
          <w:szCs w:val="20"/>
        </w:rPr>
      </w:pPr>
    </w:p>
    <w:p w14:paraId="265876AA" w14:textId="497F3FD2" w:rsidR="00872AF0" w:rsidRPr="00881BC8" w:rsidRDefault="00774C9B" w:rsidP="00CF2B67">
      <w:pPr>
        <w:pStyle w:val="AnnexTitle"/>
        <w:rPr>
          <w:noProof/>
        </w:rPr>
      </w:pPr>
      <w:bookmarkStart w:id="1133" w:name="Annex21"/>
      <w:bookmarkStart w:id="1134" w:name="_Toc135237470"/>
      <w:r w:rsidRPr="00881BC8">
        <w:rPr>
          <w:noProof/>
        </w:rPr>
        <w:t xml:space="preserve">Annex </w:t>
      </w:r>
      <w:r w:rsidR="00815B16" w:rsidRPr="00881BC8">
        <w:rPr>
          <w:noProof/>
        </w:rPr>
        <w:t>2</w:t>
      </w:r>
      <w:r w:rsidRPr="00881BC8">
        <w:rPr>
          <w:noProof/>
        </w:rPr>
        <w:t>1</w:t>
      </w:r>
      <w:bookmarkEnd w:id="1133"/>
      <w:r w:rsidRPr="00881BC8">
        <w:rPr>
          <w:noProof/>
        </w:rPr>
        <w:t xml:space="preserve">: </w:t>
      </w:r>
      <w:r w:rsidRPr="00881BC8">
        <w:rPr>
          <w:noProof/>
        </w:rPr>
        <w:tab/>
      </w:r>
      <w:r w:rsidR="00872AF0" w:rsidRPr="00881BC8">
        <w:rPr>
          <w:noProof/>
        </w:rPr>
        <w:t>List of bilateral meetings (targeted consultations)</w:t>
      </w:r>
      <w:bookmarkEnd w:id="1134"/>
    </w:p>
    <w:p w14:paraId="2ACD2A68" w14:textId="77777777" w:rsidR="00872AF0" w:rsidRPr="00881BC8" w:rsidRDefault="00872AF0" w:rsidP="006C42B3">
      <w:pPr>
        <w:pStyle w:val="NormalPara"/>
        <w:rPr>
          <w:noProof/>
          <w:lang w:val="en-GB"/>
        </w:rPr>
      </w:pPr>
      <w:r w:rsidRPr="00881BC8">
        <w:rPr>
          <w:noProof/>
          <w:lang w:val="en-GB"/>
        </w:rPr>
        <w:t>In line with the consultation strategy, a large number of meetings took place, either bilateral with individual stakeholders or with designated groups of experts.</w:t>
      </w:r>
    </w:p>
    <w:tbl>
      <w:tblPr>
        <w:tblW w:w="8188" w:type="dxa"/>
        <w:tblCellMar>
          <w:left w:w="0" w:type="dxa"/>
          <w:right w:w="0" w:type="dxa"/>
        </w:tblCellMar>
        <w:tblLook w:val="04A0" w:firstRow="1" w:lastRow="0" w:firstColumn="1" w:lastColumn="0" w:noHBand="0" w:noVBand="1"/>
      </w:tblPr>
      <w:tblGrid>
        <w:gridCol w:w="6345"/>
        <w:gridCol w:w="1843"/>
      </w:tblGrid>
      <w:tr w:rsidR="00163923" w:rsidRPr="00881BC8" w14:paraId="267DAE8C" w14:textId="77777777" w:rsidTr="00163923">
        <w:trPr>
          <w:trHeight w:val="567"/>
        </w:trPr>
        <w:tc>
          <w:tcPr>
            <w:tcW w:w="634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03F43311" w14:textId="77777777" w:rsidR="00163923" w:rsidRPr="00881BC8" w:rsidRDefault="00163923" w:rsidP="00163923">
            <w:pPr>
              <w:rPr>
                <w:noProof/>
              </w:rPr>
            </w:pPr>
            <w:r w:rsidRPr="00881BC8">
              <w:rPr>
                <w:noProof/>
              </w:rPr>
              <w:t xml:space="preserve">Mr. Spyridon, </w:t>
            </w:r>
            <w:bookmarkStart w:id="1135" w:name="_Hlk130484634"/>
            <w:r w:rsidRPr="00881BC8">
              <w:rPr>
                <w:noProof/>
              </w:rPr>
              <w:t>European Builders Confederation</w:t>
            </w:r>
            <w:bookmarkEnd w:id="1135"/>
          </w:p>
        </w:tc>
        <w:tc>
          <w:tcPr>
            <w:tcW w:w="1843"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A57D470" w14:textId="77777777" w:rsidR="00163923" w:rsidRPr="00881BC8" w:rsidRDefault="00163923" w:rsidP="00163923">
            <w:pPr>
              <w:rPr>
                <w:noProof/>
              </w:rPr>
            </w:pPr>
            <w:r w:rsidRPr="00881BC8">
              <w:rPr>
                <w:noProof/>
              </w:rPr>
              <w:t>11-10-2022</w:t>
            </w:r>
          </w:p>
        </w:tc>
      </w:tr>
      <w:tr w:rsidR="00163923" w:rsidRPr="00881BC8" w14:paraId="36E579EF" w14:textId="77777777" w:rsidTr="00163923">
        <w:trPr>
          <w:trHeight w:val="567"/>
        </w:trPr>
        <w:tc>
          <w:tcPr>
            <w:tcW w:w="634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9DECE1" w14:textId="13334D5B" w:rsidR="00163923" w:rsidRPr="00881BC8" w:rsidRDefault="00BD3179" w:rsidP="00163923">
            <w:pPr>
              <w:rPr>
                <w:noProof/>
              </w:rPr>
            </w:pPr>
            <w:r w:rsidRPr="00881BC8">
              <w:rPr>
                <w:noProof/>
              </w:rPr>
              <w:t>B</w:t>
            </w:r>
            <w:r w:rsidR="00163923" w:rsidRPr="00881BC8">
              <w:rPr>
                <w:noProof/>
              </w:rPr>
              <w:t xml:space="preserve">usinessEurope </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hideMark/>
          </w:tcPr>
          <w:p w14:paraId="4B953A2C" w14:textId="77777777" w:rsidR="00163923" w:rsidRPr="00881BC8" w:rsidRDefault="00163923" w:rsidP="00163923">
            <w:pPr>
              <w:rPr>
                <w:noProof/>
              </w:rPr>
            </w:pPr>
            <w:r w:rsidRPr="00881BC8">
              <w:rPr>
                <w:noProof/>
              </w:rPr>
              <w:t>19-10-2022</w:t>
            </w:r>
          </w:p>
        </w:tc>
      </w:tr>
      <w:tr w:rsidR="00163923" w:rsidRPr="00881BC8" w14:paraId="0F354BF6" w14:textId="77777777" w:rsidTr="00163923">
        <w:trPr>
          <w:trHeight w:val="567"/>
        </w:trPr>
        <w:tc>
          <w:tcPr>
            <w:tcW w:w="634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839866" w14:textId="77777777" w:rsidR="00163923" w:rsidRPr="00881BC8" w:rsidRDefault="00163923" w:rsidP="00163923">
            <w:pPr>
              <w:rPr>
                <w:noProof/>
              </w:rPr>
            </w:pPr>
            <w:r w:rsidRPr="00881BC8">
              <w:rPr>
                <w:noProof/>
              </w:rPr>
              <w:t>Cooperatives Europe</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hideMark/>
          </w:tcPr>
          <w:p w14:paraId="7F7A3AF9" w14:textId="77777777" w:rsidR="00163923" w:rsidRPr="00881BC8" w:rsidRDefault="00163923" w:rsidP="00163923">
            <w:pPr>
              <w:rPr>
                <w:noProof/>
              </w:rPr>
            </w:pPr>
            <w:r w:rsidRPr="00881BC8">
              <w:rPr>
                <w:noProof/>
              </w:rPr>
              <w:t>27-10-2022</w:t>
            </w:r>
          </w:p>
        </w:tc>
      </w:tr>
      <w:tr w:rsidR="00163923" w:rsidRPr="00881BC8" w14:paraId="2D444377" w14:textId="77777777" w:rsidTr="00163923">
        <w:trPr>
          <w:trHeight w:val="567"/>
        </w:trPr>
        <w:tc>
          <w:tcPr>
            <w:tcW w:w="63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AFC641" w14:textId="77777777" w:rsidR="00163923" w:rsidRPr="00881BC8" w:rsidRDefault="00163923" w:rsidP="00163923">
            <w:pPr>
              <w:rPr>
                <w:noProof/>
              </w:rPr>
            </w:pPr>
            <w:r w:rsidRPr="00881BC8">
              <w:rPr>
                <w:noProof/>
              </w:rPr>
              <w:t>Assemblée nationale (FR)</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hideMark/>
          </w:tcPr>
          <w:p w14:paraId="145573B3" w14:textId="77777777" w:rsidR="00163923" w:rsidRPr="00881BC8" w:rsidRDefault="00163923" w:rsidP="00163923">
            <w:pPr>
              <w:rPr>
                <w:noProof/>
              </w:rPr>
            </w:pPr>
            <w:r w:rsidRPr="00881BC8">
              <w:rPr>
                <w:noProof/>
              </w:rPr>
              <w:t>09-11-2022</w:t>
            </w:r>
          </w:p>
        </w:tc>
      </w:tr>
      <w:tr w:rsidR="00163923" w:rsidRPr="00881BC8" w14:paraId="48708BF3" w14:textId="77777777" w:rsidTr="00163923">
        <w:trPr>
          <w:trHeight w:val="567"/>
        </w:trPr>
        <w:tc>
          <w:tcPr>
            <w:tcW w:w="634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DCF0DE" w14:textId="77777777" w:rsidR="00163923" w:rsidRPr="00881BC8" w:rsidRDefault="00163923" w:rsidP="00163923">
            <w:pPr>
              <w:rPr>
                <w:noProof/>
              </w:rPr>
            </w:pPr>
            <w:r w:rsidRPr="00881BC8">
              <w:rPr>
                <w:noProof/>
              </w:rPr>
              <w:t>Family Businesses Europe</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hideMark/>
          </w:tcPr>
          <w:p w14:paraId="6D1136CF" w14:textId="77777777" w:rsidR="00163923" w:rsidRPr="00881BC8" w:rsidRDefault="00163923" w:rsidP="00163923">
            <w:pPr>
              <w:rPr>
                <w:noProof/>
              </w:rPr>
            </w:pPr>
            <w:r w:rsidRPr="00881BC8">
              <w:rPr>
                <w:noProof/>
              </w:rPr>
              <w:t>10-11-2022</w:t>
            </w:r>
          </w:p>
        </w:tc>
      </w:tr>
      <w:tr w:rsidR="00163923" w:rsidRPr="00881BC8" w14:paraId="162CA8EE" w14:textId="77777777" w:rsidTr="00163923">
        <w:trPr>
          <w:trHeight w:val="567"/>
        </w:trPr>
        <w:tc>
          <w:tcPr>
            <w:tcW w:w="634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0B5C0B9" w14:textId="77777777" w:rsidR="00163923" w:rsidRPr="00881BC8" w:rsidRDefault="00163923" w:rsidP="00163923">
            <w:pPr>
              <w:rPr>
                <w:noProof/>
              </w:rPr>
            </w:pPr>
            <w:r w:rsidRPr="00881BC8">
              <w:rPr>
                <w:noProof/>
              </w:rPr>
              <w:t>Eurocommerce</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hideMark/>
          </w:tcPr>
          <w:p w14:paraId="77AF2BB5" w14:textId="77777777" w:rsidR="00163923" w:rsidRPr="00881BC8" w:rsidRDefault="00163923" w:rsidP="00163923">
            <w:pPr>
              <w:rPr>
                <w:noProof/>
              </w:rPr>
            </w:pPr>
            <w:r w:rsidRPr="00881BC8">
              <w:rPr>
                <w:noProof/>
              </w:rPr>
              <w:t>15-11-2022</w:t>
            </w:r>
          </w:p>
        </w:tc>
      </w:tr>
      <w:tr w:rsidR="00163923" w:rsidRPr="00881BC8" w14:paraId="3ECDACAA" w14:textId="77777777" w:rsidTr="00163923">
        <w:trPr>
          <w:trHeight w:val="567"/>
        </w:trPr>
        <w:tc>
          <w:tcPr>
            <w:tcW w:w="634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5974C6" w14:textId="77777777" w:rsidR="00163923" w:rsidRPr="00881BC8" w:rsidRDefault="00163923" w:rsidP="00163923">
            <w:pPr>
              <w:rPr>
                <w:noProof/>
              </w:rPr>
            </w:pPr>
            <w:r w:rsidRPr="00881BC8">
              <w:rPr>
                <w:noProof/>
              </w:rPr>
              <w:t>SME Assembly</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hideMark/>
          </w:tcPr>
          <w:p w14:paraId="64E1A040" w14:textId="77777777" w:rsidR="00163923" w:rsidRPr="00881BC8" w:rsidRDefault="00163923" w:rsidP="00163923">
            <w:pPr>
              <w:rPr>
                <w:noProof/>
              </w:rPr>
            </w:pPr>
            <w:r w:rsidRPr="00881BC8">
              <w:rPr>
                <w:noProof/>
              </w:rPr>
              <w:t>29-11-2022</w:t>
            </w:r>
          </w:p>
        </w:tc>
      </w:tr>
      <w:tr w:rsidR="00163923" w:rsidRPr="00881BC8" w14:paraId="113353BF" w14:textId="77777777" w:rsidTr="00163923">
        <w:trPr>
          <w:trHeight w:val="567"/>
        </w:trPr>
        <w:tc>
          <w:tcPr>
            <w:tcW w:w="634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65C16F" w14:textId="77777777" w:rsidR="00163923" w:rsidRPr="00881BC8" w:rsidRDefault="00163923" w:rsidP="00163923">
            <w:pPr>
              <w:rPr>
                <w:noProof/>
              </w:rPr>
            </w:pPr>
            <w:r w:rsidRPr="00881BC8">
              <w:rPr>
                <w:noProof/>
              </w:rPr>
              <w:t>SMEunited</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hideMark/>
          </w:tcPr>
          <w:p w14:paraId="21BAAAB3" w14:textId="77777777" w:rsidR="00163923" w:rsidRPr="00881BC8" w:rsidRDefault="00163923" w:rsidP="00163923">
            <w:pPr>
              <w:rPr>
                <w:noProof/>
              </w:rPr>
            </w:pPr>
            <w:r w:rsidRPr="00881BC8">
              <w:rPr>
                <w:noProof/>
              </w:rPr>
              <w:t>06-12-2022</w:t>
            </w:r>
          </w:p>
        </w:tc>
      </w:tr>
      <w:tr w:rsidR="00163923" w:rsidRPr="00881BC8" w14:paraId="79DC6C9B" w14:textId="77777777" w:rsidTr="00163923">
        <w:trPr>
          <w:trHeight w:val="567"/>
        </w:trPr>
        <w:tc>
          <w:tcPr>
            <w:tcW w:w="634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207B22" w14:textId="77777777" w:rsidR="00163923" w:rsidRPr="00881BC8" w:rsidRDefault="00163923" w:rsidP="00163923">
            <w:pPr>
              <w:rPr>
                <w:noProof/>
              </w:rPr>
            </w:pPr>
            <w:bookmarkStart w:id="1136" w:name="_Hlk130484538"/>
            <w:r w:rsidRPr="00881BC8">
              <w:rPr>
                <w:noProof/>
              </w:rPr>
              <w:t>Dutch Royal Metaalunie</w:t>
            </w:r>
            <w:bookmarkEnd w:id="1136"/>
          </w:p>
        </w:tc>
        <w:tc>
          <w:tcPr>
            <w:tcW w:w="1843" w:type="dxa"/>
            <w:tcBorders>
              <w:top w:val="nil"/>
              <w:left w:val="nil"/>
              <w:bottom w:val="single" w:sz="8" w:space="0" w:color="auto"/>
              <w:right w:val="single" w:sz="8" w:space="0" w:color="auto"/>
            </w:tcBorders>
            <w:noWrap/>
            <w:tcMar>
              <w:top w:w="0" w:type="dxa"/>
              <w:left w:w="108" w:type="dxa"/>
              <w:bottom w:w="0" w:type="dxa"/>
              <w:right w:w="108" w:type="dxa"/>
            </w:tcMar>
            <w:hideMark/>
          </w:tcPr>
          <w:p w14:paraId="6E20C2C2" w14:textId="77777777" w:rsidR="00163923" w:rsidRPr="00881BC8" w:rsidRDefault="00163923" w:rsidP="00163923">
            <w:pPr>
              <w:rPr>
                <w:noProof/>
              </w:rPr>
            </w:pPr>
            <w:r w:rsidRPr="00881BC8">
              <w:rPr>
                <w:noProof/>
              </w:rPr>
              <w:t>06-12-2022</w:t>
            </w:r>
          </w:p>
        </w:tc>
      </w:tr>
      <w:tr w:rsidR="00163923" w:rsidRPr="00881BC8" w14:paraId="0B811DFB" w14:textId="77777777" w:rsidTr="00163923">
        <w:trPr>
          <w:trHeight w:val="567"/>
        </w:trPr>
        <w:tc>
          <w:tcPr>
            <w:tcW w:w="634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3F7850" w14:textId="77777777" w:rsidR="00163923" w:rsidRPr="00365442" w:rsidRDefault="00163923" w:rsidP="00163923">
            <w:pPr>
              <w:rPr>
                <w:noProof/>
                <w:lang w:val="es-ES"/>
              </w:rPr>
            </w:pPr>
            <w:r w:rsidRPr="00365442">
              <w:rPr>
                <w:noProof/>
                <w:lang w:val="es-ES"/>
              </w:rPr>
              <w:t>ANGED - Asociación Nacional Grandes de Empresas de Distribución</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hideMark/>
          </w:tcPr>
          <w:p w14:paraId="55F74E3B" w14:textId="77777777" w:rsidR="00163923" w:rsidRPr="00881BC8" w:rsidRDefault="00163923" w:rsidP="00163923">
            <w:pPr>
              <w:rPr>
                <w:noProof/>
              </w:rPr>
            </w:pPr>
            <w:r w:rsidRPr="00881BC8">
              <w:rPr>
                <w:noProof/>
              </w:rPr>
              <w:t>14-12-2022</w:t>
            </w:r>
          </w:p>
        </w:tc>
      </w:tr>
      <w:tr w:rsidR="00163923" w:rsidRPr="00881BC8" w14:paraId="0B65FD69" w14:textId="77777777" w:rsidTr="00163923">
        <w:trPr>
          <w:trHeight w:val="567"/>
        </w:trPr>
        <w:tc>
          <w:tcPr>
            <w:tcW w:w="634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67D2EA" w14:textId="77777777" w:rsidR="00163923" w:rsidRPr="00881BC8" w:rsidRDefault="00163923" w:rsidP="00163923">
            <w:pPr>
              <w:rPr>
                <w:noProof/>
              </w:rPr>
            </w:pPr>
            <w:r w:rsidRPr="00881BC8">
              <w:rPr>
                <w:noProof/>
              </w:rPr>
              <w:t>Trade Promotion Europe</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hideMark/>
          </w:tcPr>
          <w:p w14:paraId="711345B4" w14:textId="77777777" w:rsidR="00163923" w:rsidRPr="00881BC8" w:rsidRDefault="00163923" w:rsidP="00163923">
            <w:pPr>
              <w:rPr>
                <w:noProof/>
              </w:rPr>
            </w:pPr>
            <w:r w:rsidRPr="00881BC8">
              <w:rPr>
                <w:noProof/>
              </w:rPr>
              <w:t>24-01-2023</w:t>
            </w:r>
          </w:p>
        </w:tc>
      </w:tr>
      <w:tr w:rsidR="00163923" w:rsidRPr="00881BC8" w14:paraId="4C8976C6" w14:textId="77777777" w:rsidTr="00163923">
        <w:trPr>
          <w:trHeight w:val="567"/>
        </w:trPr>
        <w:tc>
          <w:tcPr>
            <w:tcW w:w="634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2B751BA" w14:textId="77777777" w:rsidR="00163923" w:rsidRPr="00881BC8" w:rsidRDefault="00163923" w:rsidP="00163923">
            <w:pPr>
              <w:rPr>
                <w:noProof/>
              </w:rPr>
            </w:pPr>
            <w:r w:rsidRPr="00881BC8">
              <w:rPr>
                <w:noProof/>
              </w:rPr>
              <w:t>AIM – European Brands Association</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hideMark/>
          </w:tcPr>
          <w:p w14:paraId="2DC72955" w14:textId="77777777" w:rsidR="00163923" w:rsidRPr="00881BC8" w:rsidRDefault="00163923" w:rsidP="00163923">
            <w:pPr>
              <w:rPr>
                <w:noProof/>
              </w:rPr>
            </w:pPr>
            <w:r w:rsidRPr="00881BC8">
              <w:rPr>
                <w:noProof/>
              </w:rPr>
              <w:t>01-02-2023</w:t>
            </w:r>
          </w:p>
        </w:tc>
      </w:tr>
      <w:tr w:rsidR="00163923" w:rsidRPr="00881BC8" w14:paraId="7C7FB8CF" w14:textId="77777777" w:rsidTr="00163923">
        <w:trPr>
          <w:trHeight w:val="567"/>
        </w:trPr>
        <w:tc>
          <w:tcPr>
            <w:tcW w:w="63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9E5C0D" w14:textId="77777777" w:rsidR="00163923" w:rsidRPr="000F7594" w:rsidRDefault="00163923" w:rsidP="00163923">
            <w:pPr>
              <w:rPr>
                <w:noProof/>
                <w:lang w:val="fr-BE"/>
              </w:rPr>
            </w:pPr>
            <w:bookmarkStart w:id="1137" w:name="_Hlk130484311"/>
            <w:r w:rsidRPr="000F7594">
              <w:rPr>
                <w:noProof/>
                <w:lang w:val="fr-BE"/>
              </w:rPr>
              <w:t xml:space="preserve">Association Française des Credit Managers &amp; Conseils </w:t>
            </w:r>
            <w:bookmarkEnd w:id="1137"/>
          </w:p>
        </w:tc>
        <w:tc>
          <w:tcPr>
            <w:tcW w:w="1843" w:type="dxa"/>
            <w:tcBorders>
              <w:top w:val="nil"/>
              <w:left w:val="nil"/>
              <w:bottom w:val="single" w:sz="8" w:space="0" w:color="auto"/>
              <w:right w:val="single" w:sz="8" w:space="0" w:color="auto"/>
            </w:tcBorders>
            <w:noWrap/>
            <w:tcMar>
              <w:top w:w="0" w:type="dxa"/>
              <w:left w:w="108" w:type="dxa"/>
              <w:bottom w:w="0" w:type="dxa"/>
              <w:right w:w="108" w:type="dxa"/>
            </w:tcMar>
            <w:hideMark/>
          </w:tcPr>
          <w:p w14:paraId="663E3B8F" w14:textId="77777777" w:rsidR="00163923" w:rsidRPr="00881BC8" w:rsidRDefault="00163923" w:rsidP="00163923">
            <w:pPr>
              <w:rPr>
                <w:noProof/>
              </w:rPr>
            </w:pPr>
            <w:r w:rsidRPr="00881BC8">
              <w:rPr>
                <w:noProof/>
              </w:rPr>
              <w:t>02-02-2023</w:t>
            </w:r>
          </w:p>
        </w:tc>
      </w:tr>
      <w:tr w:rsidR="00163923" w:rsidRPr="00881BC8" w14:paraId="0506F2E5" w14:textId="77777777" w:rsidTr="00163923">
        <w:trPr>
          <w:trHeight w:val="567"/>
        </w:trPr>
        <w:tc>
          <w:tcPr>
            <w:tcW w:w="634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E1D190" w14:textId="77777777" w:rsidR="00163923" w:rsidRPr="00881BC8" w:rsidRDefault="00163923" w:rsidP="00163923">
            <w:pPr>
              <w:rPr>
                <w:noProof/>
              </w:rPr>
            </w:pPr>
            <w:r w:rsidRPr="00881BC8">
              <w:rPr>
                <w:noProof/>
              </w:rPr>
              <w:t>IAPMEI (Portuguese institute for SMEs and innovation)</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hideMark/>
          </w:tcPr>
          <w:p w14:paraId="54315E99" w14:textId="77777777" w:rsidR="00163923" w:rsidRPr="00881BC8" w:rsidRDefault="00163923" w:rsidP="00163923">
            <w:pPr>
              <w:rPr>
                <w:noProof/>
              </w:rPr>
            </w:pPr>
            <w:r w:rsidRPr="00881BC8">
              <w:rPr>
                <w:noProof/>
              </w:rPr>
              <w:t>03-02-2023</w:t>
            </w:r>
          </w:p>
        </w:tc>
      </w:tr>
      <w:tr w:rsidR="00163923" w:rsidRPr="00881BC8" w14:paraId="09931DAA" w14:textId="77777777" w:rsidTr="00163923">
        <w:trPr>
          <w:trHeight w:val="567"/>
        </w:trPr>
        <w:tc>
          <w:tcPr>
            <w:tcW w:w="634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A0F076" w14:textId="77777777" w:rsidR="00163923" w:rsidRPr="00881BC8" w:rsidRDefault="00163923" w:rsidP="00163923">
            <w:pPr>
              <w:rPr>
                <w:noProof/>
              </w:rPr>
            </w:pPr>
            <w:r w:rsidRPr="00881BC8">
              <w:rPr>
                <w:noProof/>
              </w:rPr>
              <w:t>Eurochambres</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hideMark/>
          </w:tcPr>
          <w:p w14:paraId="1735E4B1" w14:textId="77777777" w:rsidR="00163923" w:rsidRPr="00881BC8" w:rsidRDefault="00163923" w:rsidP="00163923">
            <w:pPr>
              <w:rPr>
                <w:noProof/>
              </w:rPr>
            </w:pPr>
            <w:r w:rsidRPr="00881BC8">
              <w:rPr>
                <w:noProof/>
              </w:rPr>
              <w:t>14-02-2023</w:t>
            </w:r>
          </w:p>
        </w:tc>
      </w:tr>
      <w:tr w:rsidR="00163923" w:rsidRPr="00881BC8" w14:paraId="5307638C" w14:textId="77777777" w:rsidTr="00163923">
        <w:trPr>
          <w:trHeight w:val="567"/>
        </w:trPr>
        <w:tc>
          <w:tcPr>
            <w:tcW w:w="634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BE5C18C" w14:textId="77777777" w:rsidR="00163923" w:rsidRPr="00881BC8" w:rsidRDefault="00163923" w:rsidP="00163923">
            <w:pPr>
              <w:rPr>
                <w:noProof/>
              </w:rPr>
            </w:pPr>
            <w:r w:rsidRPr="00881BC8">
              <w:rPr>
                <w:noProof/>
              </w:rPr>
              <w:t>Confcommercio</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hideMark/>
          </w:tcPr>
          <w:p w14:paraId="683EF9F0" w14:textId="77777777" w:rsidR="00163923" w:rsidRPr="00881BC8" w:rsidRDefault="00163923" w:rsidP="00163923">
            <w:pPr>
              <w:rPr>
                <w:noProof/>
              </w:rPr>
            </w:pPr>
            <w:r w:rsidRPr="00881BC8">
              <w:rPr>
                <w:noProof/>
              </w:rPr>
              <w:t>14-02-2023</w:t>
            </w:r>
          </w:p>
        </w:tc>
      </w:tr>
      <w:tr w:rsidR="00163923" w:rsidRPr="00881BC8" w14:paraId="433F81A1" w14:textId="77777777" w:rsidTr="00163923">
        <w:trPr>
          <w:trHeight w:val="567"/>
        </w:trPr>
        <w:tc>
          <w:tcPr>
            <w:tcW w:w="634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D82D942" w14:textId="2AC8C08D" w:rsidR="00163923" w:rsidRPr="00881BC8" w:rsidRDefault="00163923" w:rsidP="00163923">
            <w:pPr>
              <w:rPr>
                <w:noProof/>
              </w:rPr>
            </w:pPr>
            <w:r w:rsidRPr="00881BC8">
              <w:rPr>
                <w:noProof/>
              </w:rPr>
              <w:t>Employers group of the EES</w:t>
            </w:r>
            <w:r w:rsidR="00BD3179" w:rsidRPr="00881BC8">
              <w:rPr>
                <w:noProof/>
              </w:rP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hideMark/>
          </w:tcPr>
          <w:p w14:paraId="7FD5AC4A" w14:textId="77777777" w:rsidR="00163923" w:rsidRPr="00881BC8" w:rsidRDefault="00163923" w:rsidP="00163923">
            <w:pPr>
              <w:rPr>
                <w:noProof/>
              </w:rPr>
            </w:pPr>
            <w:r w:rsidRPr="00881BC8">
              <w:rPr>
                <w:noProof/>
              </w:rPr>
              <w:t>16-02-2023</w:t>
            </w:r>
          </w:p>
        </w:tc>
      </w:tr>
      <w:tr w:rsidR="00163923" w:rsidRPr="00881BC8" w14:paraId="708E1FB7" w14:textId="77777777" w:rsidTr="00163923">
        <w:trPr>
          <w:trHeight w:val="567"/>
        </w:trPr>
        <w:tc>
          <w:tcPr>
            <w:tcW w:w="634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5CC2F2" w14:textId="77777777" w:rsidR="00163923" w:rsidRPr="00881BC8" w:rsidRDefault="00163923" w:rsidP="00163923">
            <w:pPr>
              <w:rPr>
                <w:noProof/>
              </w:rPr>
            </w:pPr>
            <w:r w:rsidRPr="00881BC8">
              <w:rPr>
                <w:noProof/>
              </w:rPr>
              <w:t>Industrial Forum</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hideMark/>
          </w:tcPr>
          <w:p w14:paraId="5FAFA65D" w14:textId="77777777" w:rsidR="00163923" w:rsidRPr="00881BC8" w:rsidRDefault="00163923" w:rsidP="00163923">
            <w:pPr>
              <w:rPr>
                <w:noProof/>
              </w:rPr>
            </w:pPr>
            <w:r w:rsidRPr="00881BC8">
              <w:rPr>
                <w:noProof/>
              </w:rPr>
              <w:t>20-02-2023</w:t>
            </w:r>
          </w:p>
        </w:tc>
      </w:tr>
      <w:tr w:rsidR="00163923" w:rsidRPr="00881BC8" w14:paraId="6880475D" w14:textId="77777777" w:rsidTr="00163923">
        <w:trPr>
          <w:trHeight w:val="567"/>
        </w:trPr>
        <w:tc>
          <w:tcPr>
            <w:tcW w:w="634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6398D5" w14:textId="77777777" w:rsidR="00163923" w:rsidRPr="00881BC8" w:rsidRDefault="00163923" w:rsidP="00163923">
            <w:pPr>
              <w:rPr>
                <w:noProof/>
              </w:rPr>
            </w:pPr>
            <w:r w:rsidRPr="00881BC8">
              <w:rPr>
                <w:noProof/>
              </w:rPr>
              <w:t xml:space="preserve">CEPYME (Spain) </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hideMark/>
          </w:tcPr>
          <w:p w14:paraId="62EAE5D7" w14:textId="77777777" w:rsidR="00163923" w:rsidRPr="00881BC8" w:rsidRDefault="00163923" w:rsidP="00163923">
            <w:pPr>
              <w:rPr>
                <w:noProof/>
              </w:rPr>
            </w:pPr>
            <w:r w:rsidRPr="00881BC8">
              <w:rPr>
                <w:noProof/>
              </w:rPr>
              <w:t>01-03-2023</w:t>
            </w:r>
          </w:p>
        </w:tc>
      </w:tr>
      <w:tr w:rsidR="00163923" w:rsidRPr="00881BC8" w14:paraId="5D08164A" w14:textId="77777777" w:rsidTr="00163923">
        <w:trPr>
          <w:trHeight w:val="567"/>
        </w:trPr>
        <w:tc>
          <w:tcPr>
            <w:tcW w:w="634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3EA7F5" w14:textId="77777777" w:rsidR="00163923" w:rsidRPr="00881BC8" w:rsidRDefault="00163923" w:rsidP="00163923">
            <w:pPr>
              <w:rPr>
                <w:noProof/>
              </w:rPr>
            </w:pPr>
            <w:r w:rsidRPr="00881BC8">
              <w:rPr>
                <w:noProof/>
              </w:rPr>
              <w:t>Renew – EP</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hideMark/>
          </w:tcPr>
          <w:p w14:paraId="2ABE2E6F" w14:textId="77777777" w:rsidR="00163923" w:rsidRPr="00881BC8" w:rsidRDefault="00163923" w:rsidP="00163923">
            <w:pPr>
              <w:rPr>
                <w:noProof/>
              </w:rPr>
            </w:pPr>
            <w:r w:rsidRPr="00881BC8">
              <w:rPr>
                <w:noProof/>
              </w:rPr>
              <w:t>07-03-2023</w:t>
            </w:r>
          </w:p>
        </w:tc>
      </w:tr>
      <w:tr w:rsidR="00163923" w:rsidRPr="00881BC8" w14:paraId="08BB33B9" w14:textId="77777777" w:rsidTr="00163923">
        <w:trPr>
          <w:trHeight w:val="567"/>
        </w:trPr>
        <w:tc>
          <w:tcPr>
            <w:tcW w:w="634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4BF70B" w14:textId="77777777" w:rsidR="00163923" w:rsidRPr="00365442" w:rsidRDefault="00163923" w:rsidP="00163923">
            <w:pPr>
              <w:rPr>
                <w:noProof/>
                <w:lang w:val="it-IT"/>
              </w:rPr>
            </w:pPr>
            <w:r w:rsidRPr="00365442">
              <w:rPr>
                <w:noProof/>
                <w:lang w:val="it-IT"/>
              </w:rPr>
              <w:t>PIMEC - Micro, petita i mitjana empresa de Catalunya</w:t>
            </w:r>
          </w:p>
          <w:p w14:paraId="6F511285" w14:textId="77777777" w:rsidR="00163923" w:rsidRPr="000F7594" w:rsidRDefault="00163923" w:rsidP="00163923">
            <w:pPr>
              <w:rPr>
                <w:noProof/>
                <w:lang w:val="fr-BE"/>
              </w:rPr>
            </w:pPr>
            <w:r w:rsidRPr="000F7594">
              <w:rPr>
                <w:noProof/>
                <w:lang w:val="fr-BE"/>
              </w:rPr>
              <w:t>PMCM - Plataforma Multisectorial contra la Morosidad</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hideMark/>
          </w:tcPr>
          <w:p w14:paraId="14407AFF" w14:textId="77777777" w:rsidR="00163923" w:rsidRPr="00881BC8" w:rsidRDefault="00163923" w:rsidP="00163923">
            <w:pPr>
              <w:rPr>
                <w:noProof/>
              </w:rPr>
            </w:pPr>
            <w:r w:rsidRPr="00881BC8">
              <w:rPr>
                <w:noProof/>
              </w:rPr>
              <w:t>08-03-2023</w:t>
            </w:r>
          </w:p>
        </w:tc>
      </w:tr>
      <w:tr w:rsidR="00163923" w:rsidRPr="00881BC8" w14:paraId="3F4FF975" w14:textId="77777777" w:rsidTr="00163923">
        <w:trPr>
          <w:trHeight w:val="567"/>
        </w:trPr>
        <w:tc>
          <w:tcPr>
            <w:tcW w:w="634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BC04B2" w14:textId="0E644DDC" w:rsidR="00163923" w:rsidRPr="00881BC8" w:rsidRDefault="00163923" w:rsidP="00163923">
            <w:pPr>
              <w:rPr>
                <w:noProof/>
              </w:rPr>
            </w:pPr>
            <w:r w:rsidRPr="00881BC8">
              <w:rPr>
                <w:noProof/>
              </w:rPr>
              <w:t>SME</w:t>
            </w:r>
            <w:r w:rsidR="00BD3179" w:rsidRPr="00881BC8">
              <w:rPr>
                <w:noProof/>
              </w:rPr>
              <w:t>u</w:t>
            </w:r>
            <w:r w:rsidRPr="00881BC8">
              <w:rPr>
                <w:noProof/>
              </w:rPr>
              <w:t>nited</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hideMark/>
          </w:tcPr>
          <w:p w14:paraId="180CD4E4" w14:textId="77777777" w:rsidR="00163923" w:rsidRPr="00881BC8" w:rsidRDefault="00163923" w:rsidP="00163923">
            <w:pPr>
              <w:rPr>
                <w:noProof/>
              </w:rPr>
            </w:pPr>
            <w:r w:rsidRPr="00881BC8">
              <w:rPr>
                <w:noProof/>
              </w:rPr>
              <w:t>10-03-2023</w:t>
            </w:r>
          </w:p>
        </w:tc>
      </w:tr>
      <w:tr w:rsidR="00163923" w:rsidRPr="00881BC8" w14:paraId="24F065EE" w14:textId="77777777" w:rsidTr="00163923">
        <w:trPr>
          <w:trHeight w:val="567"/>
        </w:trPr>
        <w:tc>
          <w:tcPr>
            <w:tcW w:w="634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A21D40B" w14:textId="77777777" w:rsidR="00163923" w:rsidRPr="00881BC8" w:rsidRDefault="00163923" w:rsidP="00163923">
            <w:pPr>
              <w:rPr>
                <w:noProof/>
              </w:rPr>
            </w:pPr>
            <w:r w:rsidRPr="00881BC8">
              <w:rPr>
                <w:noProof/>
              </w:rPr>
              <w:t>SME Envoys</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hideMark/>
          </w:tcPr>
          <w:p w14:paraId="7ED0A254" w14:textId="77777777" w:rsidR="00163923" w:rsidRPr="00881BC8" w:rsidRDefault="00163923" w:rsidP="00163923">
            <w:pPr>
              <w:rPr>
                <w:noProof/>
              </w:rPr>
            </w:pPr>
            <w:r w:rsidRPr="00881BC8">
              <w:rPr>
                <w:noProof/>
              </w:rPr>
              <w:t>21-03-2023</w:t>
            </w:r>
          </w:p>
        </w:tc>
      </w:tr>
    </w:tbl>
    <w:p w14:paraId="3F4331A3" w14:textId="77777777" w:rsidR="00872AF0" w:rsidRPr="00881BC8" w:rsidRDefault="00872AF0" w:rsidP="00872AF0">
      <w:pPr>
        <w:rPr>
          <w:noProof/>
        </w:rPr>
      </w:pPr>
    </w:p>
    <w:p w14:paraId="4D034C81" w14:textId="129AC263" w:rsidR="001F6CF5" w:rsidRPr="00881BC8" w:rsidRDefault="001F6CF5">
      <w:pPr>
        <w:spacing w:after="200" w:line="276" w:lineRule="auto"/>
        <w:jc w:val="left"/>
        <w:rPr>
          <w:noProof/>
        </w:rPr>
      </w:pPr>
      <w:r w:rsidRPr="00881BC8">
        <w:rPr>
          <w:noProof/>
        </w:rPr>
        <w:br w:type="page"/>
      </w:r>
    </w:p>
    <w:p w14:paraId="57C4AFC7" w14:textId="4637D3F5" w:rsidR="001F6CF5" w:rsidRPr="00881BC8" w:rsidRDefault="001F6CF5" w:rsidP="00CF2B67">
      <w:pPr>
        <w:pStyle w:val="AnnexTitle"/>
        <w:rPr>
          <w:noProof/>
        </w:rPr>
      </w:pPr>
      <w:bookmarkStart w:id="1138" w:name="AnnexGG"/>
      <w:bookmarkStart w:id="1139" w:name="Annex22"/>
      <w:bookmarkStart w:id="1140" w:name="_Toc135237471"/>
      <w:bookmarkStart w:id="1141" w:name="_Toc130637488"/>
      <w:r w:rsidRPr="00881BC8">
        <w:rPr>
          <w:noProof/>
        </w:rPr>
        <w:t xml:space="preserve">Annex </w:t>
      </w:r>
      <w:r w:rsidR="00815B16" w:rsidRPr="00881BC8">
        <w:rPr>
          <w:noProof/>
        </w:rPr>
        <w:t>22</w:t>
      </w:r>
      <w:bookmarkEnd w:id="1138"/>
      <w:bookmarkEnd w:id="1139"/>
      <w:r w:rsidRPr="00881BC8">
        <w:rPr>
          <w:noProof/>
        </w:rPr>
        <w:t>:</w:t>
      </w:r>
      <w:r w:rsidRPr="00881BC8">
        <w:rPr>
          <w:noProof/>
        </w:rPr>
        <w:tab/>
      </w:r>
      <w:r w:rsidR="00A57C08" w:rsidRPr="00881BC8">
        <w:rPr>
          <w:noProof/>
        </w:rPr>
        <w:t>D</w:t>
      </w:r>
      <w:r w:rsidRPr="00881BC8">
        <w:rPr>
          <w:noProof/>
        </w:rPr>
        <w:t>igital tools</w:t>
      </w:r>
      <w:bookmarkEnd w:id="1140"/>
      <w:r w:rsidR="00A86A22" w:rsidRPr="00881BC8">
        <w:rPr>
          <w:noProof/>
        </w:rPr>
        <w:t xml:space="preserve"> </w:t>
      </w:r>
    </w:p>
    <w:bookmarkEnd w:id="1141"/>
    <w:p w14:paraId="2F985623" w14:textId="77777777" w:rsidR="001F6CF5" w:rsidRPr="00881BC8" w:rsidRDefault="001F6CF5" w:rsidP="00982404">
      <w:pPr>
        <w:pStyle w:val="AnnexSubtitle"/>
        <w:rPr>
          <w:noProof/>
          <w:lang w:val="en-GB"/>
        </w:rPr>
      </w:pPr>
      <w:r w:rsidRPr="00881BC8">
        <w:rPr>
          <w:noProof/>
          <w:lang w:val="en-GB"/>
        </w:rPr>
        <w:t>Facilitating prompt payment through modern digitalisation tools</w:t>
      </w:r>
    </w:p>
    <w:p w14:paraId="1DC93501" w14:textId="77777777" w:rsidR="001F6CF5" w:rsidRPr="00881BC8" w:rsidRDefault="001F6CF5" w:rsidP="004835F8">
      <w:pPr>
        <w:pStyle w:val="AnnexLevel1"/>
        <w:rPr>
          <w:noProof/>
          <w:lang w:val="en-GB"/>
        </w:rPr>
      </w:pPr>
      <w:r w:rsidRPr="00881BC8">
        <w:rPr>
          <w:noProof/>
          <w:lang w:val="en-GB"/>
        </w:rPr>
        <w:t>Introduction</w:t>
      </w:r>
    </w:p>
    <w:p w14:paraId="4B033584" w14:textId="77777777" w:rsidR="001F6CF5" w:rsidRPr="00881BC8" w:rsidRDefault="001F6CF5" w:rsidP="004835F8">
      <w:pPr>
        <w:pStyle w:val="NormalPara"/>
        <w:rPr>
          <w:noProof/>
          <w:lang w:val="en-GB" w:eastAsia="en-GB"/>
        </w:rPr>
      </w:pPr>
      <w:r w:rsidRPr="00881BC8">
        <w:rPr>
          <w:noProof/>
          <w:lang w:val="en-GB"/>
        </w:rPr>
        <w:t xml:space="preserve">The current Late Payment Directive came into force in a world that was a lot less digital. </w:t>
      </w:r>
      <w:r w:rsidRPr="00881BC8">
        <w:rPr>
          <w:noProof/>
          <w:lang w:val="en-GB" w:eastAsia="en-GB"/>
        </w:rPr>
        <w:t xml:space="preserve">Over those past 10 years, digitalization has had a profound impact on all aspects of society, including on business management. It has transformed the way businesses communicate, access information, market their products and services, streamline their operations, increase mobility, improve customer service, and enhance their security measures. Businesses that embrace digital tools and strategies are generally seen as more likely to succeed and remain competitive in today's fast-paced business environment. </w:t>
      </w:r>
    </w:p>
    <w:p w14:paraId="5528E4BD" w14:textId="77777777" w:rsidR="001F6CF5" w:rsidRPr="00881BC8" w:rsidRDefault="001F6CF5" w:rsidP="004835F8">
      <w:pPr>
        <w:pStyle w:val="NormalPara"/>
        <w:rPr>
          <w:noProof/>
          <w:lang w:val="en-GB"/>
        </w:rPr>
      </w:pPr>
      <w:r w:rsidRPr="00881BC8">
        <w:rPr>
          <w:noProof/>
          <w:lang w:val="en-GB" w:eastAsia="en-GB"/>
        </w:rPr>
        <w:t xml:space="preserve">Measures introduced by this revision should fit into this contemporary environment and therefore be ‘digital by default’. </w:t>
      </w:r>
      <w:r w:rsidRPr="00881BC8">
        <w:rPr>
          <w:noProof/>
          <w:lang w:val="en-GB"/>
        </w:rPr>
        <w:t>Already in the Call for Evidence (CfE), we highlighted that ‘facilitating timely payments, by promoting the use of modern digital payment tools and building up an “SME-friendly” business environment, supportive of timely payments’ was one of the pillars on which the revision would be constructed.</w:t>
      </w:r>
      <w:r w:rsidRPr="00881BC8">
        <w:rPr>
          <w:rStyle w:val="FootnoteReference"/>
          <w:noProof/>
          <w:lang w:val="en-GB"/>
        </w:rPr>
        <w:footnoteReference w:id="390"/>
      </w:r>
      <w:r w:rsidRPr="00881BC8">
        <w:rPr>
          <w:noProof/>
          <w:lang w:val="en-GB"/>
        </w:rPr>
        <w:t xml:space="preserve"> </w:t>
      </w:r>
    </w:p>
    <w:p w14:paraId="1CDC140F" w14:textId="7A309B12" w:rsidR="001F6CF5" w:rsidRPr="00881BC8" w:rsidRDefault="001F6CF5" w:rsidP="004835F8">
      <w:pPr>
        <w:pStyle w:val="NormalPara"/>
        <w:rPr>
          <w:noProof/>
          <w:lang w:val="en-GB"/>
        </w:rPr>
      </w:pPr>
      <w:r w:rsidRPr="00881BC8">
        <w:rPr>
          <w:noProof/>
          <w:lang w:val="en-GB"/>
        </w:rPr>
        <w:t>The impact assessment has put forward a preferred option to deal with the identified problem of late payment and its drivers. Digital tools and solutions will play an important role in some of the measures included in this preferred option and will impact their feasibility and cost-effectiveness. This concerns for instance the obligation to designate bodies responsible for the enforcement. Furthermore, MS are requested to foster the use by SMEs of digital tools for timely payments.</w:t>
      </w:r>
    </w:p>
    <w:p w14:paraId="41FA3E6B" w14:textId="77777777" w:rsidR="001F6CF5" w:rsidRPr="00881BC8" w:rsidRDefault="001F6CF5" w:rsidP="004835F8">
      <w:pPr>
        <w:pStyle w:val="NormalPara"/>
        <w:rPr>
          <w:noProof/>
          <w:lang w:val="en-GB"/>
        </w:rPr>
      </w:pPr>
      <w:r w:rsidRPr="00881BC8">
        <w:rPr>
          <w:noProof/>
          <w:lang w:val="en-GB"/>
        </w:rPr>
        <w:t>Since the adoption of the LPD, digital solutions have become universally available on the market, including automated accountancy programs, which can foster prompt payment by providing liquidity management solutions. Digital solutions can boost transparency and facilitate reporting obligations resulting from several legal instruments. The directive on electronic invoicing in public procurement aims to make the use of e-invoicing widespread. The VAT in the digital age proposal aims to make compliance with VAT easier for businesses by better harnessing the potential offered by digitalisation. Public authorities and companies could benefit from open and reusable digital solutions which the Commission is making available for free (eID, eSignature, eDelivery etc.).</w:t>
      </w:r>
    </w:p>
    <w:p w14:paraId="0D2B0307" w14:textId="77777777" w:rsidR="001F6CF5" w:rsidRPr="00881BC8" w:rsidRDefault="001F6CF5" w:rsidP="004835F8">
      <w:pPr>
        <w:pStyle w:val="AnnexLevel1"/>
        <w:rPr>
          <w:noProof/>
          <w:lang w:val="en-GB"/>
        </w:rPr>
      </w:pPr>
      <w:r w:rsidRPr="00881BC8">
        <w:rPr>
          <w:noProof/>
          <w:lang w:val="en-GB"/>
        </w:rPr>
        <w:t>E-invoicing</w:t>
      </w:r>
    </w:p>
    <w:p w14:paraId="461FCA81" w14:textId="77777777" w:rsidR="001F6CF5" w:rsidRPr="00881BC8" w:rsidRDefault="001F6CF5" w:rsidP="004835F8">
      <w:pPr>
        <w:pStyle w:val="NormalPara"/>
        <w:rPr>
          <w:noProof/>
          <w:lang w:val="en-GB"/>
        </w:rPr>
      </w:pPr>
      <w:r w:rsidRPr="00881BC8">
        <w:rPr>
          <w:noProof/>
          <w:lang w:val="en-GB"/>
        </w:rPr>
        <w:t xml:space="preserve">In the context of this revision, a first question that comes up, is whether companies can be forced into the use of e-invoicing. E-invoicing has the potential to impact payment terms through shortening the processing time of invoices and/or reducing the likeliness of errors in the invoicing process. This can lead to positive effects on payment terms and a reduction in disputes surrounding payments. </w:t>
      </w:r>
    </w:p>
    <w:p w14:paraId="4CA8A216" w14:textId="3F82201B" w:rsidR="001F6CF5" w:rsidRPr="00881BC8" w:rsidRDefault="001F6CF5" w:rsidP="004835F8">
      <w:pPr>
        <w:pStyle w:val="NormalPara"/>
        <w:rPr>
          <w:noProof/>
          <w:lang w:val="en-GB"/>
        </w:rPr>
      </w:pPr>
      <w:r w:rsidRPr="00881BC8">
        <w:rPr>
          <w:noProof/>
          <w:lang w:val="en-GB"/>
        </w:rPr>
        <w:t>For G</w:t>
      </w:r>
      <w:r w:rsidR="00B663BB" w:rsidRPr="00881BC8">
        <w:rPr>
          <w:noProof/>
          <w:lang w:val="en-GB"/>
        </w:rPr>
        <w:t>2B</w:t>
      </w:r>
      <w:r w:rsidRPr="00881BC8">
        <w:rPr>
          <w:noProof/>
          <w:lang w:val="en-GB"/>
        </w:rPr>
        <w:t xml:space="preserve"> transactions, contracting authorities in the MS receive and process electronic invoices which comply with the European standard on electronic invoicing. This mandatory EU standard ensures the interoperability of e-invoices across MS. This has further been supported by the Connecting Europe Facilities Programme</w:t>
      </w:r>
      <w:r w:rsidRPr="00881BC8">
        <w:rPr>
          <w:rStyle w:val="FootnoteReference"/>
          <w:noProof/>
          <w:lang w:val="en-GB"/>
        </w:rPr>
        <w:footnoteReference w:id="391"/>
      </w:r>
      <w:r w:rsidRPr="00881BC8">
        <w:rPr>
          <w:noProof/>
          <w:lang w:val="en-GB"/>
        </w:rPr>
        <w:t>. The use of e-invoicing in G</w:t>
      </w:r>
      <w:r w:rsidR="00B663BB" w:rsidRPr="00881BC8">
        <w:rPr>
          <w:noProof/>
          <w:lang w:val="en-GB"/>
        </w:rPr>
        <w:t>2B</w:t>
      </w:r>
      <w:r w:rsidRPr="00881BC8">
        <w:rPr>
          <w:noProof/>
          <w:lang w:val="en-GB"/>
        </w:rPr>
        <w:t xml:space="preserve"> transactions has proven to significantly shorten payment periods</w:t>
      </w:r>
      <w:r w:rsidRPr="00881BC8">
        <w:rPr>
          <w:rStyle w:val="FootnoteReference"/>
          <w:noProof/>
          <w:lang w:val="en-GB"/>
        </w:rPr>
        <w:footnoteReference w:id="392"/>
      </w:r>
      <w:r w:rsidRPr="00881BC8">
        <w:rPr>
          <w:noProof/>
          <w:lang w:val="en-GB"/>
        </w:rPr>
        <w:t xml:space="preserve">, particularly in MS where payment delays in public procurement were/are endemic. </w:t>
      </w:r>
    </w:p>
    <w:p w14:paraId="7C5EFD0E" w14:textId="5B0E4683" w:rsidR="001F6CF5" w:rsidRPr="00881BC8" w:rsidRDefault="001F6CF5" w:rsidP="004835F8">
      <w:pPr>
        <w:pStyle w:val="NormalPara"/>
        <w:rPr>
          <w:noProof/>
          <w:lang w:val="en-GB"/>
        </w:rPr>
      </w:pPr>
      <w:r w:rsidRPr="00881BC8">
        <w:rPr>
          <w:noProof/>
          <w:lang w:val="en-GB"/>
        </w:rPr>
        <w:t>Where B2B transactions are concerned, in 2020, 32% of EU businesses used structured e-invoices, accounting to around 7 billion e-invoices</w:t>
      </w:r>
      <w:r w:rsidR="007D3EC2" w:rsidRPr="00881BC8">
        <w:rPr>
          <w:rStyle w:val="FootnoteReference"/>
          <w:noProof/>
          <w:lang w:val="en-GB"/>
        </w:rPr>
        <w:footnoteReference w:id="393"/>
      </w:r>
      <w:r w:rsidRPr="00881BC8">
        <w:rPr>
          <w:noProof/>
          <w:lang w:val="en-GB"/>
        </w:rPr>
        <w:t>. Use was shown to increase with the size of businesses: 30% of small enterprises, 38% of medium and 53% of large enterprises used structured e-invoices at that time. The VAT in the digital age is expected to lead to an increase in these numbers.</w:t>
      </w:r>
    </w:p>
    <w:p w14:paraId="631F04D6" w14:textId="343492B7" w:rsidR="001F6CF5" w:rsidRPr="00881BC8" w:rsidRDefault="001F6CF5" w:rsidP="004835F8">
      <w:pPr>
        <w:pStyle w:val="NormalPara"/>
        <w:rPr>
          <w:noProof/>
          <w:lang w:val="en-GB"/>
        </w:rPr>
      </w:pPr>
      <w:r w:rsidRPr="00881BC8">
        <w:rPr>
          <w:noProof/>
          <w:lang w:val="en-GB"/>
        </w:rPr>
        <w:t>Notwithstanding the legal reservations to require companies to use as mandatory e-invoicing (see section</w:t>
      </w:r>
      <w:r w:rsidR="007D3EC2" w:rsidRPr="00881BC8">
        <w:rPr>
          <w:noProof/>
          <w:lang w:val="en-GB"/>
        </w:rPr>
        <w:t xml:space="preserve"> </w:t>
      </w:r>
      <w:r w:rsidR="005851F4">
        <w:rPr>
          <w:noProof/>
          <w:lang w:val="en-GB"/>
        </w:rPr>
        <w:t>5.4</w:t>
      </w:r>
      <w:r w:rsidRPr="00881BC8">
        <w:rPr>
          <w:noProof/>
          <w:lang w:val="en-GB"/>
        </w:rPr>
        <w:t xml:space="preserve"> </w:t>
      </w:r>
      <w:r w:rsidR="007D3EC2" w:rsidRPr="00881BC8">
        <w:rPr>
          <w:noProof/>
          <w:lang w:val="en-GB"/>
        </w:rPr>
        <w:t xml:space="preserve">and </w:t>
      </w:r>
      <w:r w:rsidR="00016E5D" w:rsidRPr="00881BC8">
        <w:rPr>
          <w:noProof/>
          <w:lang w:val="en-GB"/>
        </w:rPr>
        <w:fldChar w:fldCharType="begin"/>
      </w:r>
      <w:r w:rsidR="00016E5D" w:rsidRPr="00881BC8">
        <w:rPr>
          <w:noProof/>
          <w:lang w:val="en-GB"/>
        </w:rPr>
        <w:instrText xml:space="preserve"> REF Annex14 \h  \* MERGEFORMAT </w:instrText>
      </w:r>
      <w:r w:rsidR="00016E5D" w:rsidRPr="00881BC8">
        <w:rPr>
          <w:noProof/>
          <w:lang w:val="en-GB"/>
        </w:rPr>
      </w:r>
      <w:r w:rsidR="00016E5D" w:rsidRPr="00881BC8">
        <w:rPr>
          <w:noProof/>
          <w:lang w:val="en-GB"/>
        </w:rPr>
        <w:fldChar w:fldCharType="separate"/>
      </w:r>
      <w:r w:rsidR="005851F4" w:rsidRPr="005851F4">
        <w:rPr>
          <w:noProof/>
          <w:lang w:val="en-GB"/>
        </w:rPr>
        <w:t>Annex 14</w:t>
      </w:r>
      <w:r w:rsidR="00016E5D" w:rsidRPr="00881BC8">
        <w:rPr>
          <w:noProof/>
          <w:lang w:val="en-GB"/>
        </w:rPr>
        <w:fldChar w:fldCharType="end"/>
      </w:r>
      <w:r w:rsidRPr="00881BC8">
        <w:rPr>
          <w:noProof/>
          <w:lang w:val="en-GB"/>
        </w:rPr>
        <w:t>), experience also shows that the impact on payment behaviour is to be regarded only as a possible ancillary effect</w:t>
      </w:r>
      <w:r w:rsidRPr="00881BC8">
        <w:rPr>
          <w:noProof/>
          <w:vertAlign w:val="superscript"/>
          <w:lang w:val="en-GB"/>
        </w:rPr>
        <w:footnoteReference w:id="394"/>
      </w:r>
      <w:r w:rsidRPr="00881BC8">
        <w:rPr>
          <w:noProof/>
          <w:lang w:val="en-GB"/>
        </w:rPr>
        <w:t>. The 2022 Economisti Study concluded that in B2B transactions, e-invoicing is potentially a facilitator of better payment behaviour but, in itself, it is unlikely to have a significant impact in changing or improving that behaviour in absence of other factors, namely better enforcement</w:t>
      </w:r>
      <w:r w:rsidRPr="00881BC8">
        <w:rPr>
          <w:noProof/>
          <w:vertAlign w:val="superscript"/>
          <w:lang w:val="en-GB"/>
        </w:rPr>
        <w:footnoteReference w:id="395"/>
      </w:r>
      <w:r w:rsidRPr="00881BC8">
        <w:rPr>
          <w:noProof/>
          <w:lang w:val="en-GB"/>
        </w:rPr>
        <w:t xml:space="preserve">. These findings are backed by the respondents in the SME panel carried out for this IA: 31% of respondents said that e-invoicing helped them to receive payments on time, 44,2% stated that e-invoicing did not help, while 17,9% do not use this facility and 6,9% did not answer. </w:t>
      </w:r>
    </w:p>
    <w:p w14:paraId="38095E3C" w14:textId="108F51A2" w:rsidR="001F6CF5" w:rsidRPr="00881BC8" w:rsidRDefault="001F6CF5" w:rsidP="004835F8">
      <w:pPr>
        <w:pStyle w:val="NormalPara"/>
        <w:rPr>
          <w:noProof/>
          <w:lang w:val="en-GB"/>
        </w:rPr>
      </w:pPr>
      <w:r w:rsidRPr="00881BC8">
        <w:rPr>
          <w:noProof/>
          <w:lang w:val="en-GB"/>
        </w:rPr>
        <w:t>While the potential of e-invoicing to support timely payments thus justifies the encouragement and promotion of its use, an overall obligation would induce certain costs and administrative burden on SMEs who have not yet adopted the necessary tools, and would not be in line with the overall target overall reduction of reporting obligations and other burdens as announced by the Commission Communication on Competitiveness</w:t>
      </w:r>
      <w:r w:rsidR="00016E5D" w:rsidRPr="00881BC8">
        <w:rPr>
          <w:rStyle w:val="FootnoteReference"/>
          <w:noProof/>
          <w:lang w:val="en-GB"/>
        </w:rPr>
        <w:footnoteReference w:id="396"/>
      </w:r>
      <w:r w:rsidRPr="00881BC8">
        <w:rPr>
          <w:noProof/>
          <w:lang w:val="en-GB"/>
        </w:rPr>
        <w:t>.</w:t>
      </w:r>
    </w:p>
    <w:p w14:paraId="5A70EB21" w14:textId="77777777" w:rsidR="001F6CF5" w:rsidRPr="00881BC8" w:rsidRDefault="001F6CF5" w:rsidP="004835F8">
      <w:pPr>
        <w:pStyle w:val="AnnexLevel1"/>
        <w:rPr>
          <w:noProof/>
          <w:lang w:val="en-GB"/>
        </w:rPr>
      </w:pPr>
      <w:r w:rsidRPr="00881BC8">
        <w:rPr>
          <w:noProof/>
          <w:lang w:val="en-GB"/>
        </w:rPr>
        <w:t>Digital businesses – digital literacy</w:t>
      </w:r>
    </w:p>
    <w:p w14:paraId="38F927D5" w14:textId="77777777" w:rsidR="001F6CF5" w:rsidRPr="00881BC8" w:rsidRDefault="001F6CF5" w:rsidP="004835F8">
      <w:pPr>
        <w:pStyle w:val="NormalPara"/>
        <w:rPr>
          <w:noProof/>
          <w:lang w:val="en-GB"/>
        </w:rPr>
      </w:pPr>
      <w:r w:rsidRPr="00881BC8">
        <w:rPr>
          <w:noProof/>
          <w:lang w:val="en-GB"/>
        </w:rPr>
        <w:t>Increasing digital literacy</w:t>
      </w:r>
      <w:r w:rsidRPr="00881BC8">
        <w:rPr>
          <w:rStyle w:val="FootnoteReference"/>
          <w:noProof/>
          <w:lang w:val="en-GB"/>
        </w:rPr>
        <w:footnoteReference w:id="397"/>
      </w:r>
      <w:r w:rsidRPr="00881BC8">
        <w:rPr>
          <w:noProof/>
          <w:lang w:val="en-GB"/>
        </w:rPr>
        <w:t xml:space="preserve"> amongst businesses ensures the ability to utilise digital (payment) tools, including the sending and accepting of e-invoices. Beyond being equipped to speed up the payment process and reduce the opportunities for delayed payment, digitalisation at the level of the individual employee and business can lead to wider improvements in efficiency, customer engagement, regulatory compliance and competitiveness. In sum, improving digital literacy is important for businesses so they can benefit from, and take part in, the digital transition. The Commission is already very active in shaping Europe’s digital future and provides support focused on bringing digital technology to businesses, citizens and public administrations.</w:t>
      </w:r>
      <w:r w:rsidRPr="00881BC8">
        <w:rPr>
          <w:rStyle w:val="FootnoteReference"/>
          <w:noProof/>
          <w:lang w:val="en-GB"/>
        </w:rPr>
        <w:footnoteReference w:id="398"/>
      </w:r>
    </w:p>
    <w:p w14:paraId="4979DDDC" w14:textId="77777777" w:rsidR="001F6CF5" w:rsidRPr="00881BC8" w:rsidRDefault="001F6CF5" w:rsidP="004835F8">
      <w:pPr>
        <w:pStyle w:val="NormalPara"/>
        <w:rPr>
          <w:noProof/>
          <w:lang w:val="en-GB"/>
        </w:rPr>
      </w:pPr>
      <w:r w:rsidRPr="00881BC8">
        <w:rPr>
          <w:noProof/>
          <w:lang w:val="en-GB"/>
        </w:rPr>
        <w:t>In addition to e-invoicing, improving digital literacy in general thus improves the overall competitiveness of companies and their ability to deal with (late) payments in particular. As it stands, large enterprises dwarf SMEs when it comes to the adoption of all major digital practices.</w:t>
      </w:r>
      <w:r w:rsidRPr="00881BC8">
        <w:rPr>
          <w:rStyle w:val="FootnoteReference"/>
          <w:noProof/>
          <w:lang w:val="en-GB"/>
        </w:rPr>
        <w:footnoteReference w:id="399"/>
      </w:r>
      <w:r w:rsidRPr="00881BC8">
        <w:rPr>
          <w:noProof/>
          <w:lang w:val="en-GB"/>
        </w:rPr>
        <w:t xml:space="preserve"> Additionally, both large enterprises and SMEs still have a way to go to achieve the Commission’s digitalisation target of 75% of EU companies using Cloud/AI/Big Data in their operations and 90% of SMEs achieving ‘at least a basic level’ of digital intensity.</w:t>
      </w:r>
      <w:r w:rsidRPr="00881BC8">
        <w:rPr>
          <w:rStyle w:val="FootnoteReference"/>
          <w:noProof/>
          <w:lang w:val="en-GB"/>
        </w:rPr>
        <w:footnoteReference w:id="400"/>
      </w:r>
      <w:r w:rsidRPr="00881BC8">
        <w:rPr>
          <w:noProof/>
          <w:lang w:val="en-GB"/>
        </w:rPr>
        <w:t xml:space="preserve"> </w:t>
      </w:r>
    </w:p>
    <w:p w14:paraId="634125B3" w14:textId="77777777" w:rsidR="001F6CF5" w:rsidRPr="00881BC8" w:rsidRDefault="001F6CF5" w:rsidP="004835F8">
      <w:pPr>
        <w:pStyle w:val="NormalPara"/>
        <w:rPr>
          <w:noProof/>
          <w:lang w:val="en-GB"/>
        </w:rPr>
      </w:pPr>
      <w:r w:rsidRPr="00881BC8">
        <w:rPr>
          <w:noProof/>
          <w:lang w:val="en-GB"/>
        </w:rPr>
        <w:t>Currently</w:t>
      </w:r>
      <w:r w:rsidRPr="00881BC8">
        <w:rPr>
          <w:rStyle w:val="FootnoteReference"/>
          <w:noProof/>
          <w:lang w:val="en-GB"/>
        </w:rPr>
        <w:footnoteReference w:id="401"/>
      </w:r>
      <w:r w:rsidRPr="00881BC8">
        <w:rPr>
          <w:noProof/>
          <w:lang w:val="en-GB"/>
        </w:rPr>
        <w:t>, 49% of SMEs have a labour force where more than 50% of employees use computers with access to the internet for business purposes (compared to 58% of large companies); 40% of SMEs use cloud service (compared to 72% of large companies); 37% of SMEs have Enterprise Resource Planning (ERP) software to share information between different functional areas (compared to 81% of large companies); 28% of SMEs use Internet of Things (IoT) (compared to 48% of large companies), and 7% of SMEs use AI technology (compared to 28% of large companies).</w:t>
      </w:r>
    </w:p>
    <w:p w14:paraId="555029A1" w14:textId="77777777" w:rsidR="001F6CF5" w:rsidRPr="00881BC8" w:rsidRDefault="001F6CF5" w:rsidP="004835F8">
      <w:pPr>
        <w:pStyle w:val="NormalPara"/>
        <w:rPr>
          <w:noProof/>
          <w:lang w:val="en-GB"/>
        </w:rPr>
      </w:pPr>
      <w:r w:rsidRPr="00881BC8">
        <w:rPr>
          <w:noProof/>
          <w:lang w:val="en-GB"/>
        </w:rPr>
        <w:t>In this context, the upcoming action plan on the 2023 European Year of Skills (part of the SME Relief Package) will include the establishment of ecosystem-specific skills academies seeking to equip the SME workforce for the digital transition.</w:t>
      </w:r>
      <w:r w:rsidRPr="00881BC8">
        <w:rPr>
          <w:rStyle w:val="FootnoteReference"/>
          <w:noProof/>
          <w:lang w:val="en-GB"/>
        </w:rPr>
        <w:footnoteReference w:id="402"/>
      </w:r>
    </w:p>
    <w:p w14:paraId="7F59EB03" w14:textId="313DF40B" w:rsidR="001F6CF5" w:rsidRPr="00881BC8" w:rsidRDefault="001F6CF5" w:rsidP="004835F8">
      <w:pPr>
        <w:pStyle w:val="NormalPara"/>
        <w:rPr>
          <w:noProof/>
          <w:lang w:val="en-GB"/>
        </w:rPr>
      </w:pPr>
      <w:r w:rsidRPr="00881BC8">
        <w:rPr>
          <w:noProof/>
          <w:lang w:val="en-GB"/>
        </w:rPr>
        <w:t>On Digital Skills, the approval of Resilience and Recovery Facility funds is contingent on Member States allocating at least 20% to Digital objectives.</w:t>
      </w:r>
      <w:r w:rsidR="002E552C" w:rsidRPr="00881BC8">
        <w:rPr>
          <w:noProof/>
          <w:lang w:val="en-GB"/>
        </w:rPr>
        <w:t xml:space="preserve"> </w:t>
      </w:r>
      <w:r w:rsidRPr="00881BC8">
        <w:rPr>
          <w:noProof/>
          <w:lang w:val="en-GB"/>
        </w:rPr>
        <w:t>Out of this, 17% is dedicated to digital skills development.</w:t>
      </w:r>
      <w:r w:rsidRPr="00881BC8">
        <w:rPr>
          <w:rStyle w:val="FootnoteReference"/>
          <w:noProof/>
          <w:lang w:val="en-GB"/>
        </w:rPr>
        <w:footnoteReference w:id="403"/>
      </w:r>
    </w:p>
    <w:p w14:paraId="3799D703" w14:textId="77777777" w:rsidR="001F6CF5" w:rsidRPr="00881BC8" w:rsidRDefault="001F6CF5" w:rsidP="004835F8">
      <w:pPr>
        <w:pStyle w:val="AnnexLevel1"/>
        <w:rPr>
          <w:noProof/>
          <w:color w:val="000000" w:themeColor="text1"/>
          <w:lang w:val="en-GB"/>
        </w:rPr>
      </w:pPr>
      <w:r w:rsidRPr="00881BC8">
        <w:rPr>
          <w:noProof/>
          <w:lang w:val="en-GB"/>
        </w:rPr>
        <w:t>Promoting a culture of digitalisation</w:t>
      </w:r>
    </w:p>
    <w:p w14:paraId="0E2AD79E" w14:textId="10936848" w:rsidR="001F6CF5" w:rsidRPr="00881BC8" w:rsidRDefault="001F6CF5" w:rsidP="004835F8">
      <w:pPr>
        <w:pStyle w:val="ListParagraph"/>
        <w:numPr>
          <w:ilvl w:val="0"/>
          <w:numId w:val="25"/>
        </w:numPr>
        <w:spacing w:after="160" w:line="276" w:lineRule="auto"/>
        <w:rPr>
          <w:noProof/>
        </w:rPr>
      </w:pPr>
      <w:r w:rsidRPr="00881BC8">
        <w:rPr>
          <w:noProof/>
        </w:rPr>
        <w:t>Digital solutions are often already available on the market. Certain platforms include:</w:t>
      </w:r>
    </w:p>
    <w:p w14:paraId="1C9E7FA0" w14:textId="77777777" w:rsidR="001F6CF5" w:rsidRPr="00881BC8" w:rsidRDefault="001F6CF5" w:rsidP="004835F8">
      <w:pPr>
        <w:pStyle w:val="ListParagraph"/>
        <w:numPr>
          <w:ilvl w:val="1"/>
          <w:numId w:val="25"/>
        </w:numPr>
        <w:spacing w:after="160" w:line="259" w:lineRule="auto"/>
        <w:rPr>
          <w:noProof/>
        </w:rPr>
      </w:pPr>
      <w:r w:rsidRPr="00881BC8">
        <w:rPr>
          <w:noProof/>
        </w:rPr>
        <w:t>Automated accountancy programs</w:t>
      </w:r>
      <w:r w:rsidRPr="00881BC8">
        <w:rPr>
          <w:rStyle w:val="FootnoteReference"/>
          <w:noProof/>
        </w:rPr>
        <w:footnoteReference w:id="404"/>
      </w:r>
      <w:r w:rsidRPr="00881BC8">
        <w:rPr>
          <w:noProof/>
        </w:rPr>
        <w:t xml:space="preserve"> generally offer a holistic overview of all payments, the ability to execute multiple payments in one ‘click’, the setting up of automatic periodic payments, and an integrated ability to dispute claims.</w:t>
      </w:r>
      <w:r w:rsidRPr="00881BC8">
        <w:rPr>
          <w:rStyle w:val="FootnoteReference"/>
          <w:noProof/>
        </w:rPr>
        <w:footnoteReference w:id="405"/>
      </w:r>
      <w:r w:rsidRPr="00881BC8">
        <w:rPr>
          <w:noProof/>
        </w:rPr>
        <w:t xml:space="preserve"> These services can foster prompt payment by providing debtors and creditors with a clear overview of payment timelines. For larger businesses purchasing from SMEs, they can also increase the ease at which payments are executed. For SMEs, targeted digitalisation solutions can narrow the aforementioned potential gap between cross-border-operating SMEs and domestic-operating SMEs resulting indirectly from the VAT in the Digital Age reforms, as it would see domestic-operating SMEs digitalise, including vis-à-vis e-invoicing.</w:t>
      </w:r>
    </w:p>
    <w:p w14:paraId="0792CB96" w14:textId="77777777" w:rsidR="001F6CF5" w:rsidRPr="00881BC8" w:rsidRDefault="001F6CF5" w:rsidP="004835F8">
      <w:pPr>
        <w:pStyle w:val="ListParagraph"/>
        <w:numPr>
          <w:ilvl w:val="1"/>
          <w:numId w:val="25"/>
        </w:numPr>
        <w:spacing w:after="160" w:line="259" w:lineRule="auto"/>
        <w:rPr>
          <w:noProof/>
        </w:rPr>
      </w:pPr>
      <w:r w:rsidRPr="00881BC8">
        <w:rPr>
          <w:noProof/>
        </w:rPr>
        <w:t>Supply-chain financing platforms</w:t>
      </w:r>
      <w:r w:rsidRPr="00881BC8">
        <w:rPr>
          <w:rStyle w:val="FootnoteReference"/>
          <w:noProof/>
        </w:rPr>
        <w:footnoteReference w:id="406"/>
      </w:r>
      <w:r w:rsidRPr="00881BC8">
        <w:rPr>
          <w:noProof/>
        </w:rPr>
        <w:t xml:space="preserve"> connect businesses with financial institutions to provide financing based on the value of outstanding invoices. In a similar vein to digital accounting solutions, pushing businesses to use these services could reduce liquidity strains resulting from delayed payment.</w:t>
      </w:r>
    </w:p>
    <w:p w14:paraId="2598DE49" w14:textId="77777777" w:rsidR="001F6CF5" w:rsidRPr="00881BC8" w:rsidRDefault="001F6CF5" w:rsidP="004835F8">
      <w:pPr>
        <w:pStyle w:val="ListParagraph"/>
        <w:numPr>
          <w:ilvl w:val="1"/>
          <w:numId w:val="25"/>
        </w:numPr>
        <w:spacing w:after="160" w:line="259" w:lineRule="auto"/>
        <w:rPr>
          <w:noProof/>
        </w:rPr>
      </w:pPr>
      <w:r w:rsidRPr="00881BC8">
        <w:rPr>
          <w:noProof/>
        </w:rPr>
        <w:t>Credit management platforms</w:t>
      </w:r>
      <w:r w:rsidRPr="00881BC8">
        <w:rPr>
          <w:rStyle w:val="FootnoteReference"/>
          <w:noProof/>
        </w:rPr>
        <w:footnoteReference w:id="407"/>
      </w:r>
      <w:r w:rsidRPr="00881BC8">
        <w:rPr>
          <w:noProof/>
        </w:rPr>
        <w:t xml:space="preserve"> can help businesses to automate the credit check process, assess the creditworthiness of a potential debtor, and set credit limits, which can help to reduce the risk of late or non-payment.</w:t>
      </w:r>
    </w:p>
    <w:p w14:paraId="7494511C" w14:textId="77777777" w:rsidR="001F6CF5" w:rsidRPr="00881BC8" w:rsidRDefault="001F6CF5" w:rsidP="001F6CF5">
      <w:pPr>
        <w:pStyle w:val="ListParagraph"/>
        <w:rPr>
          <w:noProof/>
        </w:rPr>
      </w:pPr>
    </w:p>
    <w:p w14:paraId="78F8A105" w14:textId="3547EB06" w:rsidR="001F6CF5" w:rsidRPr="00881BC8" w:rsidRDefault="001F6CF5" w:rsidP="004835F8">
      <w:pPr>
        <w:pStyle w:val="ListParagraph"/>
        <w:numPr>
          <w:ilvl w:val="0"/>
          <w:numId w:val="25"/>
        </w:numPr>
        <w:spacing w:after="160" w:line="276" w:lineRule="auto"/>
        <w:rPr>
          <w:noProof/>
        </w:rPr>
      </w:pPr>
      <w:r w:rsidRPr="00881BC8">
        <w:rPr>
          <w:noProof/>
        </w:rPr>
        <w:t xml:space="preserve">At MS level, interesting projects are already in place. The </w:t>
      </w:r>
      <w:r w:rsidRPr="00881BC8">
        <w:rPr>
          <w:i/>
          <w:noProof/>
        </w:rPr>
        <w:t>Kit Digital</w:t>
      </w:r>
      <w:r w:rsidRPr="00881BC8">
        <w:rPr>
          <w:noProof/>
        </w:rPr>
        <w:t xml:space="preserve"> program e.g. is an initiative launched under Spain’s 2021-2025 SME Digitalization Plan within the wider Digital Spain 2025 Agenda.</w:t>
      </w:r>
      <w:r w:rsidRPr="00881BC8">
        <w:rPr>
          <w:rStyle w:val="FootnoteReference"/>
          <w:noProof/>
        </w:rPr>
        <w:footnoteReference w:id="408"/>
      </w:r>
      <w:r w:rsidRPr="00881BC8">
        <w:rPr>
          <w:noProof/>
        </w:rPr>
        <w:t xml:space="preserve"> It will seek to bolster digital intensity among SMEs through subsidising the adoption of available digital solutions for accounting, simplifying process management, and invoicing procedures. The project has a budget, financed through NextGenerationEU funds, of EUR 3.067 million. The </w:t>
      </w:r>
      <w:r w:rsidRPr="00881BC8">
        <w:rPr>
          <w:i/>
          <w:noProof/>
        </w:rPr>
        <w:t>Digital Kit</w:t>
      </w:r>
      <w:r w:rsidRPr="00881BC8">
        <w:rPr>
          <w:noProof/>
        </w:rPr>
        <w:t xml:space="preserve"> program is relevant as it provides targeted digitalisation support at the level of an individual enterprise. </w:t>
      </w:r>
    </w:p>
    <w:p w14:paraId="23100D90" w14:textId="77777777" w:rsidR="00D9675A" w:rsidRPr="00881BC8" w:rsidRDefault="00D9675A" w:rsidP="00D9675A">
      <w:pPr>
        <w:pStyle w:val="ListParagraph"/>
        <w:spacing w:after="160" w:line="276" w:lineRule="auto"/>
        <w:ind w:left="360"/>
        <w:rPr>
          <w:noProof/>
        </w:rPr>
      </w:pPr>
    </w:p>
    <w:p w14:paraId="1C5820F4" w14:textId="77777777" w:rsidR="005950F5" w:rsidRPr="00881BC8" w:rsidRDefault="005950F5" w:rsidP="005950F5">
      <w:pPr>
        <w:pStyle w:val="ListParagraph"/>
        <w:numPr>
          <w:ilvl w:val="0"/>
          <w:numId w:val="25"/>
        </w:numPr>
        <w:spacing w:after="160" w:line="276" w:lineRule="auto"/>
        <w:rPr>
          <w:noProof/>
        </w:rPr>
      </w:pPr>
      <w:r w:rsidRPr="00881BC8">
        <w:rPr>
          <w:noProof/>
        </w:rPr>
        <w:t>Also at EU level, there are projects ongoing. A very recent example is the Entrepreneurship4all project</w:t>
      </w:r>
      <w:r w:rsidRPr="00881BC8">
        <w:rPr>
          <w:rStyle w:val="FootnoteReference"/>
          <w:noProof/>
        </w:rPr>
        <w:footnoteReference w:id="409"/>
      </w:r>
      <w:r w:rsidRPr="00881BC8">
        <w:rPr>
          <w:noProof/>
        </w:rPr>
        <w:t xml:space="preserve"> – an e-learning platform helping SMEs to adapt to the current context. The platform works as a hub offering valuable and educational material, including online courses, masterclasses, podcasts, videos, etc., that focus on four pillars: Entrepreneurship Competences (EntreComp), Financial Literacy, Sustainability Competences, and Digital Competences (DigiComp).</w:t>
      </w:r>
    </w:p>
    <w:p w14:paraId="216388CB" w14:textId="77777777" w:rsidR="001F6CF5" w:rsidRPr="00881BC8" w:rsidRDefault="001F6CF5" w:rsidP="004835F8">
      <w:pPr>
        <w:pStyle w:val="AnnexLevel1"/>
        <w:rPr>
          <w:noProof/>
          <w:lang w:val="en-GB"/>
        </w:rPr>
      </w:pPr>
      <w:r w:rsidRPr="00881BC8">
        <w:rPr>
          <w:noProof/>
          <w:lang w:val="en-GB"/>
        </w:rPr>
        <w:t>Digital governments</w:t>
      </w:r>
    </w:p>
    <w:p w14:paraId="028386C7" w14:textId="77777777" w:rsidR="001F6CF5" w:rsidRPr="00881BC8" w:rsidRDefault="001F6CF5" w:rsidP="004835F8">
      <w:pPr>
        <w:pStyle w:val="NormalPara"/>
        <w:rPr>
          <w:noProof/>
          <w:lang w:val="en-GB"/>
        </w:rPr>
      </w:pPr>
      <w:r w:rsidRPr="00881BC8">
        <w:rPr>
          <w:noProof/>
          <w:lang w:val="en-GB"/>
        </w:rPr>
        <w:t>The Commission wants to ensure the public sector is able to keep pace with new technologies and benefit from innovation. The digital transformation not only offers opportunities to the private sector, but also to public services. Many public services have already digitalised their procedures and are using technologies such as artificial intelligence, blockchain and the Internet of Things to interact with their citizens.</w:t>
      </w:r>
    </w:p>
    <w:p w14:paraId="0AD62829" w14:textId="77777777" w:rsidR="001F6CF5" w:rsidRPr="00881BC8" w:rsidRDefault="001F6CF5" w:rsidP="004835F8">
      <w:pPr>
        <w:pStyle w:val="NormalPara"/>
        <w:rPr>
          <w:noProof/>
          <w:lang w:val="en-GB"/>
        </w:rPr>
      </w:pPr>
      <w:r w:rsidRPr="00881BC8">
        <w:rPr>
          <w:noProof/>
          <w:lang w:val="en-GB"/>
        </w:rPr>
        <w:t>The Commission supports public administrations in complying with the public procurement directive’s e-invoicing obligation through the Technical Support Instrument, managed by DG REFORM.</w:t>
      </w:r>
      <w:r w:rsidRPr="00881BC8">
        <w:rPr>
          <w:noProof/>
          <w:vertAlign w:val="superscript"/>
          <w:lang w:val="en-GB"/>
        </w:rPr>
        <w:footnoteReference w:id="410"/>
      </w:r>
    </w:p>
    <w:p w14:paraId="54CF5249" w14:textId="77777777" w:rsidR="001F6CF5" w:rsidRPr="00881BC8" w:rsidRDefault="001F6CF5" w:rsidP="004835F8">
      <w:pPr>
        <w:pStyle w:val="NormalPara"/>
        <w:rPr>
          <w:noProof/>
          <w:lang w:val="en-GB"/>
        </w:rPr>
      </w:pPr>
      <w:r w:rsidRPr="00881BC8">
        <w:rPr>
          <w:noProof/>
          <w:lang w:val="en-GB"/>
        </w:rPr>
        <w:t>A very promising initiative of the European Commission for a reinforced public sector interoperability policy is the Interoperable Europe project (led by DG DIGIT)</w:t>
      </w:r>
      <w:r w:rsidRPr="00881BC8">
        <w:rPr>
          <w:rStyle w:val="FootnoteReference"/>
          <w:noProof/>
          <w:lang w:val="en-GB"/>
        </w:rPr>
        <w:footnoteReference w:id="411"/>
      </w:r>
      <w:r w:rsidRPr="00881BC8">
        <w:rPr>
          <w:noProof/>
          <w:lang w:val="en-GB"/>
        </w:rPr>
        <w:t>. In November 2022, the Commission proposed the Interoperable Europe Act to strengthen interoperability in the public sector. Interoperability allows administrations to cooperate and make public services function across territorial, sectoral and organisational boundaries, while those administrations remain sovereign actors at all levels of government.</w:t>
      </w:r>
    </w:p>
    <w:p w14:paraId="30949D7E" w14:textId="77777777" w:rsidR="001F6CF5" w:rsidRPr="00881BC8" w:rsidRDefault="001F6CF5" w:rsidP="004835F8">
      <w:pPr>
        <w:pStyle w:val="NormalPara"/>
        <w:rPr>
          <w:noProof/>
          <w:lang w:val="en-GB"/>
        </w:rPr>
      </w:pPr>
      <w:r w:rsidRPr="00881BC8">
        <w:rPr>
          <w:noProof/>
          <w:lang w:val="en-GB"/>
        </w:rPr>
        <w:t>Within this initiative, the Commission is currently elaborating a scoping exercise for a project on Real-Time Economy (RTE) in Finland and the Baltic states, which has the aim of simplifying and automatizing the reporting obligations, exchange of data between companies and public administrations, etc. with a focus on supporting SMEs in particular.</w:t>
      </w:r>
    </w:p>
    <w:p w14:paraId="506AB34E" w14:textId="2E1E3307" w:rsidR="001F6CF5" w:rsidRPr="00881BC8" w:rsidRDefault="001F6CF5" w:rsidP="004835F8">
      <w:pPr>
        <w:pStyle w:val="NormalPara"/>
        <w:rPr>
          <w:noProof/>
          <w:lang w:val="en-GB"/>
        </w:rPr>
      </w:pPr>
      <w:r w:rsidRPr="00881BC8">
        <w:rPr>
          <w:noProof/>
          <w:lang w:val="en-GB"/>
        </w:rPr>
        <w:t xml:space="preserve">The goal of this ‘Real-Time Economy’ initiative is to create the conditions for a digital economy; a system where all business transactions are based on digital, structured (machine-readable) information and processing. In a digital economy, all services are online and interoperate with each other. Key business data moves entirely electronically and in real-time within companies and with public authorities. The vision is to create a national ecosystem for businesses that is compatible with other countries, enabling in practice the single digital market. The system will enable online electronic invoices, receipts and business data to flow automatically, securely and in real time between the different actors. One of the main building blocks covered is the transfer of online electronic invoices. This building block would be supportive for member states to fulfil transparency. </w:t>
      </w:r>
    </w:p>
    <w:p w14:paraId="3F3AEF7A" w14:textId="670F68A6" w:rsidR="00A31BAD" w:rsidRPr="00881BC8" w:rsidRDefault="00A31BAD" w:rsidP="00A31BAD">
      <w:pPr>
        <w:pStyle w:val="NormalPara"/>
        <w:rPr>
          <w:noProof/>
          <w:lang w:val="en-GB"/>
        </w:rPr>
      </w:pPr>
      <w:r w:rsidRPr="00881BC8">
        <w:rPr>
          <w:noProof/>
          <w:lang w:val="en-GB"/>
        </w:rPr>
        <w:t xml:space="preserve">In the context of the September 2020 </w:t>
      </w:r>
      <w:bookmarkStart w:id="1142" w:name="_Hlk132127198"/>
      <w:r w:rsidRPr="00881BC8">
        <w:rPr>
          <w:noProof/>
          <w:lang w:val="en-GB"/>
        </w:rPr>
        <w:t>Capital markets union action plan</w:t>
      </w:r>
      <w:bookmarkEnd w:id="1142"/>
      <w:r w:rsidR="00907279" w:rsidRPr="00881BC8">
        <w:rPr>
          <w:rStyle w:val="FootnoteReference"/>
          <w:noProof/>
          <w:lang w:val="en-GB"/>
        </w:rPr>
        <w:footnoteReference w:id="412"/>
      </w:r>
      <w:r w:rsidRPr="00881BC8">
        <w:rPr>
          <w:noProof/>
          <w:lang w:val="en-GB"/>
        </w:rPr>
        <w:t xml:space="preserve">, the Commission and the OECD are working together to develop joint </w:t>
      </w:r>
      <w:bookmarkStart w:id="1143" w:name="_Hlk132127269"/>
      <w:r w:rsidRPr="00881BC8">
        <w:rPr>
          <w:noProof/>
          <w:lang w:val="en-GB"/>
        </w:rPr>
        <w:t>‘financial competence frameworks’</w:t>
      </w:r>
      <w:bookmarkEnd w:id="1143"/>
      <w:r w:rsidR="00907279" w:rsidRPr="00881BC8">
        <w:rPr>
          <w:rStyle w:val="FootnoteReference"/>
          <w:noProof/>
          <w:lang w:val="en-GB"/>
        </w:rPr>
        <w:footnoteReference w:id="413"/>
      </w:r>
      <w:r w:rsidRPr="00881BC8">
        <w:rPr>
          <w:noProof/>
          <w:lang w:val="en-GB"/>
        </w:rPr>
        <w:t>. These frameworks</w:t>
      </w:r>
      <w:r w:rsidR="00907279" w:rsidRPr="00881BC8">
        <w:rPr>
          <w:noProof/>
          <w:lang w:val="en-GB"/>
        </w:rPr>
        <w:t xml:space="preserve"> </w:t>
      </w:r>
      <w:r w:rsidRPr="00881BC8">
        <w:rPr>
          <w:noProof/>
          <w:lang w:val="en-GB"/>
        </w:rPr>
        <w:t>set out the knowledge, skills and behaviour that support financial well-being and can be used by national public authorities and stakeholders to develop policies, programmes, and learning materials on financial literacy.</w:t>
      </w:r>
    </w:p>
    <w:p w14:paraId="6D3CFC11" w14:textId="3F4E06E3" w:rsidR="00263D14" w:rsidRPr="00881BC8" w:rsidRDefault="00A31BAD" w:rsidP="00263D14">
      <w:pPr>
        <w:pStyle w:val="NormalPara"/>
        <w:rPr>
          <w:noProof/>
          <w:lang w:val="en-GB"/>
        </w:rPr>
      </w:pPr>
      <w:r w:rsidRPr="00881BC8">
        <w:rPr>
          <w:noProof/>
          <w:lang w:val="en-GB"/>
        </w:rPr>
        <w:t xml:space="preserve">The Commission and the OECD jointly developed a </w:t>
      </w:r>
      <w:bookmarkStart w:id="1144" w:name="_Hlk132127304"/>
      <w:r w:rsidRPr="00881BC8">
        <w:rPr>
          <w:noProof/>
          <w:lang w:val="en-GB"/>
        </w:rPr>
        <w:t>financial competence framework for adults</w:t>
      </w:r>
      <w:bookmarkEnd w:id="1144"/>
      <w:r w:rsidRPr="00881BC8">
        <w:rPr>
          <w:noProof/>
          <w:lang w:val="en-GB"/>
        </w:rPr>
        <w:t xml:space="preserve"> in January 2022</w:t>
      </w:r>
      <w:r w:rsidR="00907279" w:rsidRPr="00881BC8">
        <w:rPr>
          <w:rStyle w:val="FootnoteReference"/>
          <w:noProof/>
          <w:lang w:val="en-GB"/>
        </w:rPr>
        <w:footnoteReference w:id="414"/>
      </w:r>
      <w:r w:rsidRPr="00881BC8">
        <w:rPr>
          <w:noProof/>
          <w:lang w:val="en-GB"/>
        </w:rPr>
        <w:t>.  The Commission helps national administrations to diagnose the levels of financial literacy amongst population target groups and to identify and address the needs demonstrated by these diagnostics. The Commission also supports EU Member States in creating dedicated programmes for improving financial literacy and education.</w:t>
      </w:r>
      <w:r w:rsidR="00263D14" w:rsidRPr="00881BC8">
        <w:rPr>
          <w:noProof/>
          <w:lang w:val="en-GB"/>
        </w:rPr>
        <w:t xml:space="preserve"> A financial literacy supporting strategy is already available in Austria</w:t>
      </w:r>
      <w:r w:rsidR="00263D14" w:rsidRPr="00881BC8">
        <w:rPr>
          <w:rStyle w:val="FootnoteReference"/>
          <w:noProof/>
          <w:lang w:val="en-GB"/>
        </w:rPr>
        <w:footnoteReference w:id="415"/>
      </w:r>
      <w:r w:rsidR="00263D14" w:rsidRPr="00881BC8">
        <w:rPr>
          <w:noProof/>
          <w:lang w:val="en-GB"/>
        </w:rPr>
        <w:t>.</w:t>
      </w:r>
    </w:p>
    <w:p w14:paraId="1EB25B16" w14:textId="77777777" w:rsidR="00D9675A" w:rsidRPr="00881BC8" w:rsidRDefault="00D9675A" w:rsidP="00D9675A">
      <w:pPr>
        <w:pStyle w:val="NormalPara"/>
        <w:rPr>
          <w:noProof/>
          <w:lang w:val="en-GB"/>
        </w:rPr>
      </w:pPr>
      <w:r w:rsidRPr="00881BC8">
        <w:rPr>
          <w:noProof/>
          <w:lang w:val="en-GB"/>
        </w:rPr>
        <w:t>Finally, the Commission is launching a pilot project to incentivise the uptake of ADR in the field of late payments, as an alternative to judicial dispute settlement. The project will also have a digital dimension. Next to making available standard clauses for mediation, creating a specialist mediation scheme in the construction sector that includes training of mediators and awareness raising activities, the project will also create and maintain content for a dedicated web section, containing all necessary information on the advantages and disadvantages of alternative dispute resolution and providing a tool to find a suitable (and specialised) mediator in construction sector. The web section is thought to be an effective one-stop shop for information, including some standard contractual clauses.</w:t>
      </w:r>
    </w:p>
    <w:p w14:paraId="45F3E88B" w14:textId="739347E0" w:rsidR="00D278E0" w:rsidRPr="00881BC8" w:rsidRDefault="00774C9B" w:rsidP="00CF2B67">
      <w:pPr>
        <w:pStyle w:val="AnnexTitle"/>
        <w:rPr>
          <w:noProof/>
        </w:rPr>
      </w:pPr>
      <w:r w:rsidRPr="00881BC8">
        <w:rPr>
          <w:noProof/>
        </w:rPr>
        <w:br w:type="page"/>
      </w:r>
      <w:bookmarkStart w:id="1145" w:name="AnnexZZ"/>
      <w:bookmarkStart w:id="1146" w:name="_Toc135237472"/>
      <w:r w:rsidR="00D278E0" w:rsidRPr="00881BC8">
        <w:rPr>
          <w:noProof/>
        </w:rPr>
        <w:t>Annex 23</w:t>
      </w:r>
      <w:bookmarkEnd w:id="1145"/>
      <w:r w:rsidR="00D278E0" w:rsidRPr="00881BC8">
        <w:rPr>
          <w:noProof/>
        </w:rPr>
        <w:t xml:space="preserve">: </w:t>
      </w:r>
      <w:r w:rsidR="00D278E0" w:rsidRPr="00881BC8">
        <w:rPr>
          <w:noProof/>
        </w:rPr>
        <w:tab/>
        <w:t>Supporting information</w:t>
      </w:r>
      <w:bookmarkEnd w:id="1146"/>
      <w:r w:rsidR="00D278E0" w:rsidRPr="00881BC8">
        <w:rPr>
          <w:noProof/>
        </w:rPr>
        <w:t xml:space="preserve"> </w:t>
      </w:r>
    </w:p>
    <w:p w14:paraId="466AF45F" w14:textId="44D08F8E" w:rsidR="00D278E0" w:rsidRPr="00881BC8" w:rsidRDefault="00D278E0" w:rsidP="00D278E0">
      <w:pPr>
        <w:pStyle w:val="Caption"/>
        <w:rPr>
          <w:noProof/>
          <w:lang w:val="en-GB"/>
        </w:rPr>
      </w:pPr>
      <w:r w:rsidRPr="00881BC8">
        <w:rPr>
          <w:noProof/>
          <w:lang w:val="en-GB"/>
        </w:rPr>
        <w:t xml:space="preserve">Figure </w:t>
      </w:r>
      <w:r w:rsidR="005851F4">
        <w:rPr>
          <w:noProof/>
          <w:lang w:val="en-GB"/>
        </w:rPr>
        <w:t>22</w:t>
      </w:r>
      <w:r w:rsidRPr="00881BC8">
        <w:rPr>
          <w:noProof/>
          <w:lang w:val="en-GB"/>
        </w:rPr>
        <w:t>: Conditions more favourable to the creditor</w:t>
      </w:r>
    </w:p>
    <w:tbl>
      <w:tblPr>
        <w:tblStyle w:val="TableGrid"/>
        <w:tblW w:w="0" w:type="auto"/>
        <w:tblLook w:val="04A0" w:firstRow="1" w:lastRow="0" w:firstColumn="1" w:lastColumn="0" w:noHBand="0" w:noVBand="1"/>
      </w:tblPr>
      <w:tblGrid>
        <w:gridCol w:w="8608"/>
      </w:tblGrid>
      <w:tr w:rsidR="00D278E0" w:rsidRPr="00881BC8" w14:paraId="71C6157A" w14:textId="77777777" w:rsidTr="00247E20">
        <w:trPr>
          <w:trHeight w:val="300"/>
        </w:trPr>
        <w:tc>
          <w:tcPr>
            <w:tcW w:w="8608" w:type="dxa"/>
            <w:shd w:val="clear" w:color="auto" w:fill="auto"/>
          </w:tcPr>
          <w:p w14:paraId="102DB196" w14:textId="77777777" w:rsidR="00D278E0" w:rsidRPr="00881BC8" w:rsidRDefault="00D278E0" w:rsidP="00247E20">
            <w:pPr>
              <w:spacing w:after="0"/>
              <w:rPr>
                <w:b/>
                <w:noProof/>
                <w:color w:val="000000" w:themeColor="text1"/>
                <w:sz w:val="20"/>
                <w:szCs w:val="20"/>
                <w:lang w:eastAsia="nl-BE"/>
              </w:rPr>
            </w:pPr>
            <w:r w:rsidRPr="00881BC8">
              <w:rPr>
                <w:b/>
                <w:noProof/>
                <w:color w:val="000000" w:themeColor="text1"/>
                <w:sz w:val="20"/>
                <w:szCs w:val="20"/>
                <w:lang w:eastAsia="nl-BE"/>
              </w:rPr>
              <w:t>B2B: Maximum payment terms and conditions for the parties to agree on longer payment periods</w:t>
            </w:r>
          </w:p>
          <w:p w14:paraId="44028F80" w14:textId="77777777" w:rsidR="00D278E0" w:rsidRPr="00881BC8" w:rsidRDefault="00D278E0" w:rsidP="00247E20">
            <w:pPr>
              <w:spacing w:after="0"/>
              <w:rPr>
                <w:noProof/>
                <w:color w:val="000000" w:themeColor="text1"/>
                <w:sz w:val="20"/>
                <w:szCs w:val="20"/>
                <w:lang w:eastAsia="nl-BE"/>
              </w:rPr>
            </w:pPr>
            <w:r w:rsidRPr="00881BC8">
              <w:rPr>
                <w:noProof/>
                <w:color w:val="000000" w:themeColor="text1"/>
                <w:sz w:val="20"/>
                <w:szCs w:val="20"/>
              </w:rPr>
              <w:t>I</w:t>
            </w:r>
            <w:r w:rsidRPr="00881BC8">
              <w:rPr>
                <w:rFonts w:eastAsiaTheme="minorEastAsia"/>
                <w:noProof/>
                <w:color w:val="000000" w:themeColor="text1"/>
                <w:sz w:val="20"/>
                <w:szCs w:val="20"/>
                <w:lang w:eastAsia="nl-BE"/>
              </w:rPr>
              <w:t>n Denmark</w:t>
            </w:r>
            <w:r w:rsidRPr="00881BC8">
              <w:rPr>
                <w:rFonts w:eastAsiaTheme="minorEastAsia"/>
                <w:noProof/>
                <w:color w:val="000000" w:themeColor="text1"/>
                <w:sz w:val="20"/>
                <w:szCs w:val="20"/>
                <w:vertAlign w:val="superscript"/>
                <w:lang w:eastAsia="nl-BE"/>
              </w:rPr>
              <w:t>,</w:t>
            </w:r>
            <w:r w:rsidRPr="00881BC8">
              <w:rPr>
                <w:rFonts w:eastAsiaTheme="minorEastAsia"/>
                <w:noProof/>
                <w:color w:val="000000" w:themeColor="text1"/>
                <w:sz w:val="20"/>
                <w:szCs w:val="20"/>
                <w:vertAlign w:val="superscript"/>
                <w:lang w:eastAsia="nl-BE"/>
              </w:rPr>
              <w:footnoteReference w:id="416"/>
            </w:r>
            <w:r w:rsidRPr="00881BC8">
              <w:rPr>
                <w:rFonts w:eastAsiaTheme="minorEastAsia"/>
                <w:noProof/>
                <w:color w:val="000000" w:themeColor="text1"/>
                <w:sz w:val="20"/>
                <w:szCs w:val="20"/>
                <w:lang w:eastAsia="nl-BE"/>
              </w:rPr>
              <w:t xml:space="preserve"> Finland</w:t>
            </w:r>
            <w:r w:rsidRPr="00881BC8">
              <w:rPr>
                <w:rFonts w:eastAsiaTheme="minorEastAsia"/>
                <w:noProof/>
                <w:color w:val="000000" w:themeColor="text1"/>
                <w:sz w:val="20"/>
                <w:szCs w:val="20"/>
                <w:vertAlign w:val="superscript"/>
                <w:lang w:eastAsia="nl-BE"/>
              </w:rPr>
              <w:t>,</w:t>
            </w:r>
            <w:r w:rsidRPr="00881BC8">
              <w:rPr>
                <w:rFonts w:eastAsiaTheme="minorEastAsia"/>
                <w:noProof/>
                <w:color w:val="000000" w:themeColor="text1"/>
                <w:sz w:val="20"/>
                <w:szCs w:val="20"/>
                <w:vertAlign w:val="superscript"/>
                <w:lang w:eastAsia="nl-BE"/>
              </w:rPr>
              <w:footnoteReference w:id="417"/>
            </w:r>
            <w:r w:rsidRPr="00881BC8">
              <w:rPr>
                <w:rFonts w:eastAsiaTheme="minorEastAsia"/>
                <w:noProof/>
                <w:color w:val="000000" w:themeColor="text1"/>
                <w:sz w:val="20"/>
                <w:szCs w:val="20"/>
                <w:lang w:eastAsia="nl-BE"/>
              </w:rPr>
              <w:t xml:space="preserve"> the Netherlands,</w:t>
            </w:r>
            <w:r w:rsidRPr="00881BC8">
              <w:rPr>
                <w:rFonts w:eastAsiaTheme="minorEastAsia"/>
                <w:noProof/>
                <w:color w:val="000000" w:themeColor="text1"/>
                <w:sz w:val="20"/>
                <w:szCs w:val="20"/>
                <w:vertAlign w:val="superscript"/>
                <w:lang w:eastAsia="nl-BE"/>
              </w:rPr>
              <w:footnoteReference w:id="418"/>
            </w:r>
            <w:r w:rsidRPr="00881BC8">
              <w:rPr>
                <w:rFonts w:eastAsiaTheme="minorEastAsia"/>
                <w:noProof/>
                <w:color w:val="000000" w:themeColor="text1"/>
                <w:sz w:val="20"/>
                <w:szCs w:val="20"/>
                <w:lang w:eastAsia="nl-BE"/>
              </w:rPr>
              <w:t xml:space="preserve"> and Sweden,</w:t>
            </w:r>
            <w:r w:rsidRPr="00881BC8">
              <w:rPr>
                <w:rFonts w:eastAsiaTheme="minorEastAsia"/>
                <w:noProof/>
                <w:color w:val="000000" w:themeColor="text1"/>
                <w:sz w:val="20"/>
                <w:szCs w:val="20"/>
                <w:vertAlign w:val="superscript"/>
                <w:lang w:eastAsia="nl-BE"/>
              </w:rPr>
              <w:footnoteReference w:id="419"/>
            </w:r>
            <w:r w:rsidRPr="00881BC8">
              <w:rPr>
                <w:rFonts w:eastAsiaTheme="minorEastAsia"/>
                <w:noProof/>
                <w:color w:val="000000" w:themeColor="text1"/>
                <w:sz w:val="20"/>
                <w:szCs w:val="20"/>
                <w:lang w:eastAsia="nl-BE"/>
              </w:rPr>
              <w:t xml:space="preserve"> the maximum payment term is 30 days instead of 60. The purpose of such legislative intervention was to prevent the period of 60 days included in Article 3(5) LPD from becoming the de facto standard payment period.</w:t>
            </w:r>
            <w:r w:rsidRPr="00881BC8">
              <w:rPr>
                <w:rFonts w:eastAsiaTheme="minorEastAsia"/>
                <w:noProof/>
                <w:color w:val="000000" w:themeColor="text1"/>
                <w:sz w:val="20"/>
                <w:szCs w:val="20"/>
                <w:vertAlign w:val="superscript"/>
                <w:lang w:eastAsia="nl-BE"/>
              </w:rPr>
              <w:footnoteReference w:id="420"/>
            </w:r>
            <w:r w:rsidRPr="00881BC8">
              <w:rPr>
                <w:rFonts w:eastAsiaTheme="minorEastAsia"/>
                <w:noProof/>
                <w:color w:val="000000" w:themeColor="text1"/>
                <w:sz w:val="20"/>
                <w:szCs w:val="20"/>
                <w:vertAlign w:val="superscript"/>
                <w:lang w:eastAsia="nl-BE"/>
              </w:rPr>
              <w:t xml:space="preserve"> </w:t>
            </w:r>
            <w:r w:rsidRPr="00881BC8">
              <w:rPr>
                <w:rFonts w:eastAsiaTheme="minorEastAsia"/>
                <w:noProof/>
                <w:color w:val="000000" w:themeColor="text1"/>
                <w:sz w:val="20"/>
                <w:szCs w:val="20"/>
                <w:lang w:eastAsia="nl-BE"/>
              </w:rPr>
              <w:t>The parties, however, can agree upon a maximum payment term longer than 30 days, where they both expressly give their consent. These Member States do not allow ‘adhesion’ clauses</w:t>
            </w:r>
            <w:r w:rsidRPr="00881BC8">
              <w:rPr>
                <w:rFonts w:eastAsiaTheme="minorEastAsia"/>
                <w:noProof/>
                <w:color w:val="000000" w:themeColor="text1"/>
                <w:sz w:val="20"/>
                <w:szCs w:val="20"/>
                <w:vertAlign w:val="superscript"/>
                <w:lang w:eastAsia="nl-BE"/>
              </w:rPr>
              <w:footnoteReference w:id="421"/>
            </w:r>
            <w:r w:rsidRPr="00881BC8">
              <w:rPr>
                <w:rFonts w:eastAsiaTheme="minorEastAsia"/>
                <w:noProof/>
                <w:color w:val="000000" w:themeColor="text1"/>
                <w:sz w:val="20"/>
                <w:szCs w:val="20"/>
                <w:lang w:eastAsia="nl-BE"/>
              </w:rPr>
              <w:t xml:space="preserve"> setting out longer payment terms. Consequently, the business party with weaker bargaining power does not have to fear that clauses setting out payment terms longer than 30 days are unilaterally imposed by the counterparty with stronger bargaining power.</w:t>
            </w:r>
            <w:r w:rsidRPr="00881BC8">
              <w:rPr>
                <w:rFonts w:eastAsiaTheme="minorEastAsia"/>
                <w:noProof/>
                <w:color w:val="000000" w:themeColor="text1"/>
                <w:sz w:val="20"/>
                <w:szCs w:val="20"/>
                <w:vertAlign w:val="superscript"/>
                <w:lang w:eastAsia="nl-BE"/>
              </w:rPr>
              <w:footnoteReference w:id="422"/>
            </w:r>
            <w:r w:rsidRPr="00881BC8">
              <w:rPr>
                <w:rFonts w:eastAsiaTheme="minorEastAsia"/>
                <w:noProof/>
                <w:color w:val="000000" w:themeColor="text1"/>
                <w:sz w:val="20"/>
                <w:szCs w:val="20"/>
                <w:lang w:eastAsia="nl-BE"/>
              </w:rPr>
              <w:t xml:space="preserve"> More recently, in July 2022, a new law entered into force in the Netherlands whereby payment terms in B2B transactions shall not exceed 30 days when the creditor is an SME, thus bringing down the initial payment term of 60 days in B2B transactions where the creditor is an SME. Similarly, in Belgium and Poland, payment terms shall not exceed 60 days when the creditor is an SME. </w:t>
            </w:r>
          </w:p>
          <w:p w14:paraId="3147EA55" w14:textId="77777777" w:rsidR="00D278E0" w:rsidRPr="00881BC8" w:rsidRDefault="00D278E0" w:rsidP="00247E20">
            <w:pPr>
              <w:spacing w:after="0"/>
              <w:rPr>
                <w:rFonts w:eastAsiaTheme="minorEastAsia"/>
                <w:noProof/>
                <w:color w:val="000000" w:themeColor="text1"/>
                <w:sz w:val="20"/>
                <w:szCs w:val="20"/>
                <w:lang w:eastAsia="nl-BE"/>
              </w:rPr>
            </w:pPr>
          </w:p>
          <w:p w14:paraId="2EF587A3" w14:textId="77777777" w:rsidR="00D278E0" w:rsidRPr="00881BC8" w:rsidRDefault="00D278E0" w:rsidP="00247E20">
            <w:pPr>
              <w:spacing w:after="0"/>
              <w:rPr>
                <w:b/>
                <w:noProof/>
                <w:color w:val="000000" w:themeColor="text1"/>
                <w:sz w:val="20"/>
                <w:szCs w:val="20"/>
                <w:lang w:eastAsia="nl-BE"/>
              </w:rPr>
            </w:pPr>
            <w:r w:rsidRPr="00881BC8">
              <w:rPr>
                <w:b/>
                <w:noProof/>
                <w:color w:val="000000" w:themeColor="text1"/>
                <w:sz w:val="20"/>
                <w:szCs w:val="20"/>
                <w:lang w:eastAsia="nl-BE"/>
              </w:rPr>
              <w:t>B2B: Maximum payment terms that cannot be derogated by the parties</w:t>
            </w:r>
          </w:p>
          <w:p w14:paraId="1C613A01" w14:textId="77777777" w:rsidR="00D278E0" w:rsidRPr="00881BC8" w:rsidRDefault="00D278E0" w:rsidP="00247E20">
            <w:pPr>
              <w:spacing w:after="0"/>
              <w:rPr>
                <w:rFonts w:eastAsiaTheme="minorEastAsia"/>
                <w:noProof/>
                <w:color w:val="000000" w:themeColor="text1"/>
                <w:sz w:val="20"/>
                <w:szCs w:val="20"/>
                <w:lang w:eastAsia="nl-BE"/>
              </w:rPr>
            </w:pPr>
            <w:r w:rsidRPr="00881BC8">
              <w:rPr>
                <w:rFonts w:eastAsiaTheme="minorEastAsia"/>
                <w:noProof/>
                <w:color w:val="000000" w:themeColor="text1"/>
                <w:sz w:val="20"/>
                <w:szCs w:val="20"/>
                <w:lang w:eastAsia="nl-BE"/>
              </w:rPr>
              <w:t>The French, Spanish and Croatian legislation goes further by limiting the maximum payment term. In France,</w:t>
            </w:r>
            <w:r w:rsidRPr="00881BC8">
              <w:rPr>
                <w:rFonts w:eastAsiaTheme="minorEastAsia"/>
                <w:noProof/>
                <w:color w:val="000000" w:themeColor="text1"/>
                <w:sz w:val="20"/>
                <w:szCs w:val="20"/>
                <w:vertAlign w:val="superscript"/>
                <w:lang w:eastAsia="nl-BE"/>
              </w:rPr>
              <w:footnoteReference w:id="423"/>
            </w:r>
            <w:r w:rsidRPr="00881BC8">
              <w:rPr>
                <w:rFonts w:eastAsiaTheme="minorEastAsia"/>
                <w:noProof/>
                <w:color w:val="000000" w:themeColor="text1"/>
                <w:sz w:val="20"/>
                <w:szCs w:val="20"/>
                <w:lang w:eastAsia="nl-BE"/>
              </w:rPr>
              <w:t xml:space="preserve"> the payment period agreed upon by the parties in a B2B contract cannot exceed 60 days from the date of issuance of the invoice. However, by way of derogation, the parties can agree on a maximum payment term of 45 days from the end of the month period (following the issuance of the invoice), if the term has been expressly stipulated in the agreement and is not grossly unfair to the creditor.</w:t>
            </w:r>
            <w:r w:rsidRPr="00881BC8">
              <w:rPr>
                <w:rFonts w:eastAsiaTheme="minorEastAsia"/>
                <w:noProof/>
                <w:color w:val="000000" w:themeColor="text1"/>
                <w:sz w:val="20"/>
                <w:szCs w:val="20"/>
                <w:vertAlign w:val="superscript"/>
                <w:lang w:eastAsia="nl-BE"/>
              </w:rPr>
              <w:footnoteReference w:id="424"/>
            </w:r>
            <w:r w:rsidRPr="00881BC8">
              <w:rPr>
                <w:rFonts w:eastAsiaTheme="minorEastAsia"/>
                <w:noProof/>
                <w:color w:val="000000" w:themeColor="text1"/>
                <w:sz w:val="20"/>
                <w:szCs w:val="20"/>
                <w:lang w:eastAsia="nl-BE"/>
              </w:rPr>
              <w:t xml:space="preserve"> Therefore, the maximum payment term is 75 days. Similarly, the Spanish legislator limits the parties’ autonomy by preventing them from agreeing upon payment terms exceeding 60 calendar days.</w:t>
            </w:r>
            <w:r w:rsidRPr="00881BC8">
              <w:rPr>
                <w:rFonts w:eastAsiaTheme="minorEastAsia"/>
                <w:noProof/>
                <w:color w:val="000000" w:themeColor="text1"/>
                <w:sz w:val="20"/>
                <w:szCs w:val="20"/>
                <w:vertAlign w:val="superscript"/>
                <w:lang w:eastAsia="nl-BE"/>
              </w:rPr>
              <w:footnoteReference w:id="425"/>
            </w:r>
            <w:r w:rsidRPr="00881BC8">
              <w:rPr>
                <w:rFonts w:eastAsiaTheme="minorEastAsia"/>
                <w:noProof/>
                <w:color w:val="000000" w:themeColor="text1"/>
                <w:sz w:val="20"/>
                <w:szCs w:val="20"/>
                <w:vertAlign w:val="superscript"/>
                <w:lang w:eastAsia="nl-BE"/>
              </w:rPr>
              <w:t xml:space="preserve"> </w:t>
            </w:r>
            <w:r w:rsidRPr="00881BC8">
              <w:rPr>
                <w:rFonts w:eastAsiaTheme="minorEastAsia"/>
                <w:noProof/>
                <w:color w:val="000000" w:themeColor="text1"/>
                <w:sz w:val="20"/>
                <w:szCs w:val="20"/>
                <w:lang w:eastAsia="nl-BE"/>
              </w:rPr>
              <w:t>In Croatia,</w:t>
            </w:r>
            <w:r w:rsidRPr="00881BC8">
              <w:rPr>
                <w:rFonts w:eastAsiaTheme="minorEastAsia"/>
                <w:noProof/>
                <w:color w:val="000000" w:themeColor="text1"/>
                <w:sz w:val="20"/>
                <w:szCs w:val="20"/>
                <w:vertAlign w:val="superscript"/>
                <w:lang w:eastAsia="nl-BE"/>
              </w:rPr>
              <w:footnoteReference w:id="426"/>
            </w:r>
            <w:r w:rsidRPr="00881BC8">
              <w:rPr>
                <w:rFonts w:eastAsiaTheme="minorEastAsia"/>
                <w:noProof/>
                <w:color w:val="000000" w:themeColor="text1"/>
                <w:sz w:val="20"/>
                <w:szCs w:val="20"/>
                <w:lang w:eastAsia="nl-BE"/>
              </w:rPr>
              <w:t xml:space="preserve"> undertakings can agree on a period of payment longer than 60 days (up to 360 days), provided that the debtor issued a security instrument with the legal effect of an enforceable title to the creditor. A payment period longer than 360 days would be null and void </w:t>
            </w:r>
            <w:r w:rsidRPr="00881BC8">
              <w:rPr>
                <w:rFonts w:eastAsiaTheme="minorEastAsia"/>
                <w:i/>
                <w:noProof/>
                <w:color w:val="000000" w:themeColor="text1"/>
                <w:sz w:val="20"/>
                <w:szCs w:val="20"/>
                <w:lang w:eastAsia="nl-BE"/>
              </w:rPr>
              <w:t>ex lege</w:t>
            </w:r>
            <w:r w:rsidRPr="00881BC8">
              <w:rPr>
                <w:rFonts w:eastAsiaTheme="minorEastAsia"/>
                <w:noProof/>
                <w:color w:val="000000" w:themeColor="text1"/>
                <w:sz w:val="20"/>
                <w:szCs w:val="20"/>
                <w:lang w:eastAsia="nl-BE"/>
              </w:rPr>
              <w:t xml:space="preserve">. </w:t>
            </w:r>
          </w:p>
          <w:p w14:paraId="58FAFE45" w14:textId="77777777" w:rsidR="00D278E0" w:rsidRPr="00881BC8" w:rsidRDefault="00D278E0" w:rsidP="00247E20">
            <w:pPr>
              <w:spacing w:after="0"/>
              <w:rPr>
                <w:rFonts w:eastAsiaTheme="minorEastAsia"/>
                <w:noProof/>
                <w:color w:val="000000" w:themeColor="text1"/>
                <w:sz w:val="20"/>
                <w:szCs w:val="20"/>
                <w:lang w:eastAsia="nl-BE"/>
              </w:rPr>
            </w:pPr>
          </w:p>
          <w:p w14:paraId="2FF988F7" w14:textId="77777777" w:rsidR="00D278E0" w:rsidRPr="00881BC8" w:rsidRDefault="00D278E0" w:rsidP="00247E20">
            <w:pPr>
              <w:spacing w:after="0"/>
              <w:rPr>
                <w:b/>
                <w:noProof/>
                <w:color w:val="000000" w:themeColor="text1"/>
                <w:sz w:val="20"/>
                <w:szCs w:val="20"/>
                <w:lang w:eastAsia="nl-BE"/>
              </w:rPr>
            </w:pPr>
            <w:r w:rsidRPr="00881BC8">
              <w:rPr>
                <w:b/>
                <w:noProof/>
                <w:color w:val="000000" w:themeColor="text1"/>
                <w:sz w:val="20"/>
                <w:szCs w:val="20"/>
                <w:lang w:eastAsia="nl-BE"/>
              </w:rPr>
              <w:t>B2B: Shorter payment terms established by law in absence of agreement between the parties</w:t>
            </w:r>
          </w:p>
          <w:p w14:paraId="130834CA" w14:textId="77777777" w:rsidR="00D278E0" w:rsidRPr="00881BC8" w:rsidRDefault="00D278E0" w:rsidP="00247E20">
            <w:pPr>
              <w:spacing w:after="0"/>
              <w:rPr>
                <w:noProof/>
                <w:color w:val="000000" w:themeColor="text1"/>
                <w:sz w:val="20"/>
                <w:szCs w:val="20"/>
                <w:lang w:eastAsia="nl-BE"/>
              </w:rPr>
            </w:pPr>
            <w:r w:rsidRPr="00881BC8">
              <w:rPr>
                <w:noProof/>
                <w:color w:val="000000" w:themeColor="text1"/>
                <w:sz w:val="20"/>
                <w:szCs w:val="20"/>
                <w:lang w:eastAsia="nl-BE"/>
              </w:rPr>
              <w:t xml:space="preserve">According to the LPD, where the parties to a B2B transaction did not agree upon a specific date or period for payment in their contract, a payment term of 30 days applies ex lege (Article 3(3)(b) LPD). Three Member States (Austria, Bulgaria and Germany) have adopted a different approach if the parties did not agree upon a payment term: </w:t>
            </w:r>
          </w:p>
          <w:p w14:paraId="3CDDE0AE" w14:textId="77777777" w:rsidR="00D278E0" w:rsidRPr="00881BC8" w:rsidRDefault="00D278E0" w:rsidP="00AE4CD5">
            <w:pPr>
              <w:pStyle w:val="ListParagraph"/>
              <w:numPr>
                <w:ilvl w:val="0"/>
                <w:numId w:val="56"/>
              </w:numPr>
              <w:spacing w:after="0"/>
              <w:rPr>
                <w:noProof/>
                <w:color w:val="000000" w:themeColor="text1"/>
                <w:sz w:val="20"/>
                <w:szCs w:val="20"/>
                <w:lang w:eastAsia="nl-BE"/>
              </w:rPr>
            </w:pPr>
            <w:r w:rsidRPr="00881BC8">
              <w:rPr>
                <w:noProof/>
                <w:color w:val="000000" w:themeColor="text1"/>
                <w:sz w:val="20"/>
                <w:szCs w:val="20"/>
                <w:lang w:eastAsia="nl-BE"/>
              </w:rPr>
              <w:t>the payment must be paid ‘without any undue delay’ (Austria);</w:t>
            </w:r>
            <w:r w:rsidRPr="00881BC8">
              <w:rPr>
                <w:noProof/>
                <w:color w:val="000000" w:themeColor="text1"/>
                <w:sz w:val="20"/>
                <w:szCs w:val="20"/>
                <w:vertAlign w:val="superscript"/>
                <w:lang w:eastAsia="nl-BE"/>
              </w:rPr>
              <w:footnoteReference w:id="427"/>
            </w:r>
            <w:r w:rsidRPr="00881BC8">
              <w:rPr>
                <w:noProof/>
                <w:color w:val="000000" w:themeColor="text1"/>
                <w:sz w:val="20"/>
                <w:szCs w:val="20"/>
                <w:lang w:eastAsia="nl-BE"/>
              </w:rPr>
              <w:t xml:space="preserve"> </w:t>
            </w:r>
          </w:p>
          <w:p w14:paraId="38154F80" w14:textId="77777777" w:rsidR="00AE4CD5" w:rsidRPr="00881BC8" w:rsidRDefault="00D278E0" w:rsidP="00AE4CD5">
            <w:pPr>
              <w:pStyle w:val="ListParagraph"/>
              <w:numPr>
                <w:ilvl w:val="0"/>
                <w:numId w:val="56"/>
              </w:numPr>
              <w:spacing w:after="0"/>
              <w:rPr>
                <w:noProof/>
                <w:color w:val="000000" w:themeColor="text1"/>
                <w:sz w:val="20"/>
                <w:szCs w:val="20"/>
                <w:lang w:eastAsia="nl-BE"/>
              </w:rPr>
            </w:pPr>
            <w:r w:rsidRPr="00881BC8">
              <w:rPr>
                <w:noProof/>
                <w:color w:val="000000" w:themeColor="text1"/>
                <w:sz w:val="20"/>
                <w:szCs w:val="20"/>
                <w:lang w:eastAsia="nl-BE"/>
              </w:rPr>
              <w:t>the standard payment term is 14 days from the date of receipt of the invoice or, alternatively, from the date of delivery of the goods/provision of services, or from the expiry of a specific term agreed between the parties (Bulgaria);</w:t>
            </w:r>
            <w:r w:rsidRPr="00881BC8">
              <w:rPr>
                <w:noProof/>
                <w:color w:val="000000" w:themeColor="text1"/>
                <w:sz w:val="20"/>
                <w:szCs w:val="20"/>
                <w:vertAlign w:val="superscript"/>
                <w:lang w:eastAsia="nl-BE"/>
              </w:rPr>
              <w:footnoteReference w:id="428"/>
            </w:r>
            <w:r w:rsidRPr="00881BC8">
              <w:rPr>
                <w:noProof/>
                <w:color w:val="000000" w:themeColor="text1"/>
                <w:sz w:val="20"/>
                <w:szCs w:val="20"/>
                <w:vertAlign w:val="superscript"/>
                <w:lang w:eastAsia="nl-BE"/>
              </w:rPr>
              <w:t xml:space="preserve"> </w:t>
            </w:r>
          </w:p>
          <w:p w14:paraId="78407A07" w14:textId="69D5C2FA" w:rsidR="00D278E0" w:rsidRPr="00881BC8" w:rsidRDefault="00D278E0" w:rsidP="00AE4CD5">
            <w:pPr>
              <w:pStyle w:val="ListParagraph"/>
              <w:numPr>
                <w:ilvl w:val="0"/>
                <w:numId w:val="56"/>
              </w:numPr>
              <w:spacing w:after="0"/>
              <w:rPr>
                <w:noProof/>
                <w:color w:val="000000" w:themeColor="text1"/>
                <w:sz w:val="20"/>
                <w:szCs w:val="20"/>
                <w:lang w:eastAsia="nl-BE"/>
              </w:rPr>
            </w:pPr>
            <w:r w:rsidRPr="00881BC8">
              <w:rPr>
                <w:noProof/>
                <w:color w:val="000000" w:themeColor="text1"/>
                <w:sz w:val="20"/>
                <w:szCs w:val="20"/>
                <w:lang w:eastAsia="nl-BE"/>
              </w:rPr>
              <w:t>the payment is immediately due on receipt of the invoice, on the condition that the creditor has fulfilled all its contractual and legal obligations (Germany)</w:t>
            </w:r>
            <w:r w:rsidRPr="00881BC8">
              <w:rPr>
                <w:noProof/>
                <w:color w:val="000000" w:themeColor="text1"/>
                <w:sz w:val="20"/>
                <w:szCs w:val="20"/>
                <w:vertAlign w:val="superscript"/>
                <w:lang w:eastAsia="nl-BE"/>
              </w:rPr>
              <w:t>.</w:t>
            </w:r>
            <w:r w:rsidRPr="00881BC8">
              <w:rPr>
                <w:noProof/>
                <w:sz w:val="20"/>
                <w:szCs w:val="20"/>
                <w:vertAlign w:val="superscript"/>
                <w:lang w:eastAsia="nl-BE"/>
              </w:rPr>
              <w:footnoteReference w:id="429"/>
            </w:r>
            <w:r w:rsidR="00AE4CD5" w:rsidRPr="00881BC8">
              <w:rPr>
                <w:noProof/>
                <w:color w:val="000000" w:themeColor="text1"/>
                <w:sz w:val="20"/>
                <w:szCs w:val="20"/>
                <w:vertAlign w:val="superscript"/>
                <w:lang w:eastAsia="nl-BE"/>
              </w:rPr>
              <w:t>.</w:t>
            </w:r>
            <w:r w:rsidR="00AE4CD5" w:rsidRPr="00881BC8">
              <w:rPr>
                <w:noProof/>
                <w:color w:val="000000" w:themeColor="text1"/>
                <w:sz w:val="20"/>
                <w:szCs w:val="20"/>
                <w:lang w:eastAsia="nl-BE"/>
              </w:rPr>
              <w:t xml:space="preserve"> </w:t>
            </w:r>
          </w:p>
          <w:p w14:paraId="5C96663D" w14:textId="77777777" w:rsidR="00D278E0" w:rsidRPr="00881BC8" w:rsidRDefault="00D278E0" w:rsidP="00247E20">
            <w:pPr>
              <w:spacing w:after="0"/>
              <w:rPr>
                <w:noProof/>
                <w:color w:val="000000" w:themeColor="text1"/>
                <w:sz w:val="20"/>
                <w:szCs w:val="20"/>
                <w:lang w:eastAsia="nl-BE"/>
              </w:rPr>
            </w:pPr>
          </w:p>
          <w:p w14:paraId="10DD0A34" w14:textId="77777777" w:rsidR="00D278E0" w:rsidRPr="00881BC8" w:rsidRDefault="00D278E0" w:rsidP="00247E20">
            <w:pPr>
              <w:pStyle w:val="Body"/>
              <w:spacing w:after="0"/>
              <w:rPr>
                <w:b/>
                <w:bCs/>
                <w:noProof/>
                <w:color w:val="000000" w:themeColor="text1"/>
                <w:sz w:val="20"/>
              </w:rPr>
            </w:pPr>
            <w:r w:rsidRPr="00881BC8">
              <w:rPr>
                <w:rFonts w:eastAsiaTheme="minorEastAsia"/>
                <w:b/>
                <w:noProof/>
                <w:color w:val="000000" w:themeColor="text1"/>
                <w:sz w:val="20"/>
              </w:rPr>
              <w:t>G2B: 60 days payment term by public entities in the healthcare sector</w:t>
            </w:r>
            <w:r w:rsidRPr="00881BC8">
              <w:rPr>
                <w:b/>
                <w:bCs/>
                <w:noProof/>
                <w:color w:val="000000" w:themeColor="text1"/>
                <w:sz w:val="20"/>
              </w:rPr>
              <w:t xml:space="preserve"> </w:t>
            </w:r>
          </w:p>
          <w:p w14:paraId="0ADD30C7" w14:textId="77777777" w:rsidR="00D278E0" w:rsidRPr="00881BC8" w:rsidRDefault="00D278E0" w:rsidP="00247E20">
            <w:pPr>
              <w:spacing w:after="0"/>
              <w:rPr>
                <w:noProof/>
                <w:color w:val="000000" w:themeColor="text1"/>
                <w:sz w:val="20"/>
                <w:szCs w:val="20"/>
                <w:lang w:eastAsia="nl-BE"/>
              </w:rPr>
            </w:pPr>
            <w:r w:rsidRPr="00881BC8">
              <w:rPr>
                <w:noProof/>
                <w:color w:val="000000" w:themeColor="text1"/>
                <w:sz w:val="20"/>
                <w:szCs w:val="20"/>
                <w:lang w:eastAsia="nl-BE"/>
              </w:rPr>
              <w:t>Ireland and the Netherlands did not include in their national transposition laws the possibility to extend payment terms to 60 days for public entities providing healthcare. In addition, France has limited this possibility of extension to 50 days instead of 60 days</w:t>
            </w:r>
          </w:p>
          <w:p w14:paraId="62A50B7F" w14:textId="77777777" w:rsidR="00D278E0" w:rsidRPr="00881BC8" w:rsidRDefault="00D278E0" w:rsidP="00247E20">
            <w:pPr>
              <w:spacing w:after="0"/>
              <w:rPr>
                <w:noProof/>
                <w:color w:val="000000" w:themeColor="text1"/>
                <w:sz w:val="20"/>
                <w:szCs w:val="20"/>
                <w:lang w:eastAsia="nl-BE"/>
              </w:rPr>
            </w:pPr>
          </w:p>
          <w:p w14:paraId="70B6F2BB" w14:textId="77777777" w:rsidR="00D278E0" w:rsidRPr="00881BC8" w:rsidRDefault="00D278E0" w:rsidP="00247E20">
            <w:pPr>
              <w:spacing w:after="0"/>
              <w:rPr>
                <w:b/>
                <w:noProof/>
                <w:color w:val="000000" w:themeColor="text1"/>
                <w:sz w:val="20"/>
                <w:szCs w:val="20"/>
                <w:lang w:eastAsia="nl-BE"/>
              </w:rPr>
            </w:pPr>
            <w:r w:rsidRPr="00881BC8">
              <w:rPr>
                <w:b/>
                <w:noProof/>
                <w:color w:val="000000" w:themeColor="text1"/>
                <w:sz w:val="20"/>
                <w:szCs w:val="20"/>
                <w:lang w:eastAsia="nl-BE"/>
              </w:rPr>
              <w:t>G2B: Faster-than-30 days payments in the public sector (other than healthcare)</w:t>
            </w:r>
          </w:p>
          <w:p w14:paraId="358AE9D8" w14:textId="0DB9EE77" w:rsidR="00D278E0" w:rsidRPr="00881BC8" w:rsidRDefault="00D278E0" w:rsidP="00247E20">
            <w:pPr>
              <w:spacing w:after="0"/>
              <w:rPr>
                <w:noProof/>
                <w:color w:val="000000" w:themeColor="text1"/>
                <w:sz w:val="20"/>
                <w:szCs w:val="20"/>
                <w:lang w:eastAsia="nl-BE"/>
              </w:rPr>
            </w:pPr>
            <w:r w:rsidRPr="00881BC8">
              <w:rPr>
                <w:noProof/>
                <w:color w:val="000000" w:themeColor="text1"/>
                <w:sz w:val="20"/>
                <w:szCs w:val="20"/>
                <w:lang w:eastAsia="nl-BE"/>
              </w:rPr>
              <w:t xml:space="preserve">In Ireland, the government requires that all central Government Departments, the Health Service Executive, the local authorities and all other public sector bodies (excluding commercial Semi-State bodies) pay their suppliers within 15 calendar days of receipt of a valid invoice. SMEs can attach an </w:t>
            </w:r>
            <w:hyperlink r:id="rId117">
              <w:r w:rsidRPr="00881BC8">
                <w:rPr>
                  <w:noProof/>
                  <w:color w:val="000000" w:themeColor="text1"/>
                  <w:sz w:val="20"/>
                  <w:szCs w:val="20"/>
                  <w:u w:val="single"/>
                  <w:lang w:eastAsia="nl-BE"/>
                </w:rPr>
                <w:t>Official Notice</w:t>
              </w:r>
            </w:hyperlink>
            <w:r w:rsidRPr="00881BC8">
              <w:rPr>
                <w:rFonts w:eastAsiaTheme="minorHAnsi"/>
                <w:noProof/>
                <w:color w:val="000000" w:themeColor="text1"/>
                <w:sz w:val="20"/>
                <w:szCs w:val="20"/>
                <w:u w:val="single"/>
                <w:lang w:eastAsia="nl-BE"/>
              </w:rPr>
              <w:t xml:space="preserve"> </w:t>
            </w:r>
            <w:r w:rsidRPr="00881BC8">
              <w:rPr>
                <w:rFonts w:eastAsiaTheme="minorHAnsi"/>
                <w:noProof/>
                <w:color w:val="000000" w:themeColor="text1"/>
                <w:sz w:val="20"/>
                <w:szCs w:val="20"/>
                <w:u w:val="single"/>
                <w:vertAlign w:val="superscript"/>
                <w:lang w:eastAsia="nl-BE"/>
              </w:rPr>
              <w:footnoteReference w:id="430"/>
            </w:r>
            <w:r w:rsidRPr="00881BC8">
              <w:rPr>
                <w:noProof/>
                <w:color w:val="000000" w:themeColor="text1"/>
                <w:sz w:val="20"/>
                <w:szCs w:val="20"/>
                <w:u w:val="single"/>
                <w:lang w:eastAsia="nl-BE"/>
              </w:rPr>
              <w:t>of</w:t>
            </w:r>
            <w:r w:rsidRPr="00881BC8">
              <w:rPr>
                <w:noProof/>
                <w:color w:val="000000" w:themeColor="text1"/>
                <w:sz w:val="20"/>
                <w:szCs w:val="20"/>
                <w:lang w:eastAsia="nl-BE"/>
              </w:rPr>
              <w:t xml:space="preserve"> the 15-day prompt payment requirement to relevant invoices. Small businesses themselves should refer instances of non-adherence to the relevant Government Department, public sector body and State Agency.</w:t>
            </w:r>
          </w:p>
          <w:p w14:paraId="2D39CB54" w14:textId="77777777" w:rsidR="00D278E0" w:rsidRPr="00881BC8" w:rsidRDefault="00D278E0" w:rsidP="00247E20">
            <w:pPr>
              <w:pStyle w:val="Body"/>
              <w:rPr>
                <w:rFonts w:eastAsiaTheme="minorEastAsia"/>
                <w:b/>
                <w:noProof/>
                <w:color w:val="000000" w:themeColor="text1"/>
                <w:sz w:val="20"/>
              </w:rPr>
            </w:pPr>
          </w:p>
          <w:p w14:paraId="1D3A1069" w14:textId="77777777" w:rsidR="00D278E0" w:rsidRPr="00881BC8" w:rsidRDefault="00D278E0" w:rsidP="00247E20">
            <w:pPr>
              <w:spacing w:after="0"/>
              <w:rPr>
                <w:noProof/>
                <w:color w:val="000000" w:themeColor="text1"/>
                <w:sz w:val="20"/>
                <w:szCs w:val="20"/>
              </w:rPr>
            </w:pPr>
            <w:r w:rsidRPr="00881BC8">
              <w:rPr>
                <w:rFonts w:eastAsiaTheme="minorEastAsia"/>
                <w:b/>
                <w:noProof/>
                <w:color w:val="000000" w:themeColor="text1"/>
                <w:sz w:val="20"/>
                <w:szCs w:val="20"/>
                <w:lang w:eastAsia="nl-BE"/>
              </w:rPr>
              <w:t xml:space="preserve">All transactions: EUR 40 </w:t>
            </w:r>
            <w:r w:rsidRPr="00881BC8">
              <w:rPr>
                <w:b/>
                <w:noProof/>
                <w:color w:val="000000" w:themeColor="text1"/>
                <w:sz w:val="20"/>
                <w:szCs w:val="20"/>
                <w:lang w:eastAsia="nl-BE"/>
              </w:rPr>
              <w:t>compensation</w:t>
            </w:r>
            <w:r w:rsidRPr="00881BC8">
              <w:rPr>
                <w:rFonts w:eastAsiaTheme="minorEastAsia"/>
                <w:b/>
                <w:noProof/>
                <w:color w:val="000000" w:themeColor="text1"/>
                <w:sz w:val="20"/>
                <w:szCs w:val="20"/>
                <w:lang w:eastAsia="nl-BE"/>
              </w:rPr>
              <w:t xml:space="preserve"> </w:t>
            </w:r>
          </w:p>
          <w:p w14:paraId="57945D24" w14:textId="77777777" w:rsidR="00D278E0" w:rsidRPr="00881BC8" w:rsidRDefault="00D278E0" w:rsidP="00247E20">
            <w:pPr>
              <w:pStyle w:val="Body"/>
              <w:keepNext/>
              <w:rPr>
                <w:noProof/>
                <w:color w:val="000000" w:themeColor="text1"/>
                <w:sz w:val="20"/>
              </w:rPr>
            </w:pPr>
            <w:r w:rsidRPr="00881BC8">
              <w:rPr>
                <w:noProof/>
                <w:color w:val="000000" w:themeColor="text1"/>
                <w:sz w:val="20"/>
              </w:rPr>
              <w:t>I</w:t>
            </w:r>
            <w:r w:rsidRPr="00881BC8">
              <w:rPr>
                <w:rFonts w:eastAsiaTheme="minorEastAsia"/>
                <w:noProof/>
                <w:color w:val="000000" w:themeColor="text1"/>
                <w:sz w:val="20"/>
              </w:rPr>
              <w:t xml:space="preserve">n Ireland and Poland, the lump sum compensation for recovery costs varies according to the value of the invoice. For example, in Ireland, for example, the flat fee compensation is regulated as follows: €40, for invoices not exceeding €1000; €70 for invoices exceeding €1000 but not exceeding €10.000; €100 for invoices exceeding €10.000. </w:t>
            </w:r>
          </w:p>
        </w:tc>
      </w:tr>
    </w:tbl>
    <w:p w14:paraId="5732DCA2" w14:textId="0323955D" w:rsidR="00D971B9" w:rsidRPr="00881BC8" w:rsidRDefault="00D971B9" w:rsidP="00D278E0">
      <w:pPr>
        <w:rPr>
          <w:noProof/>
        </w:rPr>
      </w:pPr>
    </w:p>
    <w:p w14:paraId="0725B7AD" w14:textId="77777777" w:rsidR="00D971B9" w:rsidRPr="00881BC8" w:rsidRDefault="00D971B9">
      <w:pPr>
        <w:spacing w:after="200" w:line="276" w:lineRule="auto"/>
        <w:jc w:val="left"/>
        <w:rPr>
          <w:noProof/>
        </w:rPr>
      </w:pPr>
      <w:r w:rsidRPr="00881BC8">
        <w:rPr>
          <w:noProof/>
        </w:rPr>
        <w:br w:type="page"/>
      </w:r>
    </w:p>
    <w:p w14:paraId="0D3C4FEA" w14:textId="0D0BF508" w:rsidR="00774C9B" w:rsidRPr="00881BC8" w:rsidRDefault="00CC68E5" w:rsidP="00AF4E25">
      <w:pPr>
        <w:pStyle w:val="AnnexTitle"/>
        <w:rPr>
          <w:noProof/>
        </w:rPr>
      </w:pPr>
      <w:bookmarkStart w:id="1147" w:name="Annex24"/>
      <w:bookmarkStart w:id="1148" w:name="_Toc135237473"/>
      <w:r w:rsidRPr="00881BC8">
        <w:rPr>
          <w:noProof/>
        </w:rPr>
        <w:t>Annex</w:t>
      </w:r>
      <w:r w:rsidR="00D278E0" w:rsidRPr="00881BC8">
        <w:rPr>
          <w:noProof/>
        </w:rPr>
        <w:t xml:space="preserve"> 24</w:t>
      </w:r>
      <w:bookmarkEnd w:id="1147"/>
      <w:r w:rsidR="00EA0383" w:rsidRPr="00881BC8">
        <w:rPr>
          <w:noProof/>
        </w:rPr>
        <w:t>:</w:t>
      </w:r>
      <w:r w:rsidRPr="00881BC8">
        <w:rPr>
          <w:noProof/>
        </w:rPr>
        <w:t xml:space="preserve"> Monitoring and evaluation of impacts</w:t>
      </w:r>
      <w:bookmarkEnd w:id="1148"/>
    </w:p>
    <w:p w14:paraId="4825BE3B" w14:textId="77777777" w:rsidR="00D971B9" w:rsidRPr="00881BC8" w:rsidRDefault="00D971B9" w:rsidP="004835F8">
      <w:pPr>
        <w:pStyle w:val="NormalPara"/>
        <w:rPr>
          <w:noProof/>
          <w:lang w:val="en-GB"/>
        </w:rPr>
      </w:pPr>
      <w:r w:rsidRPr="00881BC8">
        <w:rPr>
          <w:noProof/>
          <w:lang w:val="en-GB"/>
        </w:rPr>
        <w:t>The impact of the EU’s action in the form late payment measures as set out in the proposed option in this impact assessment should be assessed 4 years after entry into force of the adopted instrument. The evaluation will include consultations, whose questionnaires should provide comparable results with those obtained for this impact assessment. The evaluation should take the form of a European Commission report to the legislator.</w:t>
      </w:r>
    </w:p>
    <w:p w14:paraId="618CB21D" w14:textId="482ED81D" w:rsidR="00940948" w:rsidRPr="00881BC8" w:rsidRDefault="00940948" w:rsidP="004835F8">
      <w:pPr>
        <w:pStyle w:val="NormalPara"/>
        <w:rPr>
          <w:noProof/>
          <w:lang w:val="en-GB"/>
        </w:rPr>
      </w:pPr>
      <w:r w:rsidRPr="00881BC8">
        <w:rPr>
          <w:noProof/>
          <w:lang w:val="en-GB"/>
        </w:rPr>
        <w:t xml:space="preserve">The monitoring arrangement accompanying the EU framework should enable the gathering of ‘hard data’ and information on late payment performance. This could cover both the observance of the limits established regarding the payment terms for B2B, as well as enforcement bodies and means of redress. In addition to the overall reduction in the scale of late payment practices, to be reviewed under the general objective, the individual policy measures proposed could be both monitored through the existing EU Late payment observatory and evaluated. The observatory could gather companies’ views about the effectiveness and efficiency of policy measures proposed for each specific objective, e.g. the introduction of a cap in B2B transactions. </w:t>
      </w:r>
    </w:p>
    <w:p w14:paraId="1EC3ED14" w14:textId="5C8FE1D0" w:rsidR="00940948" w:rsidRPr="00881BC8" w:rsidRDefault="00940948" w:rsidP="00940948">
      <w:pPr>
        <w:rPr>
          <w:noProof/>
        </w:rPr>
      </w:pPr>
    </w:p>
    <w:tbl>
      <w:tblPr>
        <w:tblStyle w:val="TableGrid"/>
        <w:tblW w:w="8789" w:type="dxa"/>
        <w:tblLayout w:type="fixed"/>
        <w:tblLook w:val="04A0" w:firstRow="1" w:lastRow="0" w:firstColumn="1" w:lastColumn="0" w:noHBand="0" w:noVBand="1"/>
      </w:tblPr>
      <w:tblGrid>
        <w:gridCol w:w="2127"/>
        <w:gridCol w:w="1859"/>
        <w:gridCol w:w="4803"/>
      </w:tblGrid>
      <w:tr w:rsidR="00CC68E5" w:rsidRPr="00881BC8" w14:paraId="027DE1CC" w14:textId="77777777" w:rsidTr="006F0A2A">
        <w:trPr>
          <w:trHeight w:val="450"/>
          <w:tblHeader/>
        </w:trPr>
        <w:tc>
          <w:tcPr>
            <w:tcW w:w="2127" w:type="dxa"/>
            <w:tcBorders>
              <w:top w:val="nil"/>
              <w:left w:val="nil"/>
              <w:bottom w:val="single" w:sz="18" w:space="0" w:color="FFFFFF" w:themeColor="background1"/>
              <w:right w:val="single" w:sz="18" w:space="0" w:color="FFFFFF" w:themeColor="background1"/>
            </w:tcBorders>
            <w:shd w:val="clear" w:color="auto" w:fill="808080" w:themeFill="background1" w:themeFillShade="80"/>
            <w:tcMar>
              <w:left w:w="108" w:type="dxa"/>
              <w:right w:w="108" w:type="dxa"/>
            </w:tcMar>
            <w:vAlign w:val="center"/>
          </w:tcPr>
          <w:p w14:paraId="16C87C0A" w14:textId="77777777" w:rsidR="00CC68E5" w:rsidRPr="00881BC8" w:rsidRDefault="00CC68E5" w:rsidP="006F0A2A">
            <w:pPr>
              <w:jc w:val="center"/>
              <w:rPr>
                <w:noProof/>
              </w:rPr>
            </w:pPr>
            <w:r w:rsidRPr="00881BC8">
              <w:rPr>
                <w:b/>
                <w:bCs/>
                <w:noProof/>
                <w:color w:val="FFFFFF" w:themeColor="background1"/>
                <w:sz w:val="20"/>
                <w:szCs w:val="20"/>
              </w:rPr>
              <w:t>Specific objectives</w:t>
            </w:r>
          </w:p>
        </w:tc>
        <w:tc>
          <w:tcPr>
            <w:tcW w:w="1859" w:type="dxa"/>
            <w:tcBorders>
              <w:top w:val="nil"/>
              <w:left w:val="single" w:sz="18" w:space="0" w:color="FFFFFF" w:themeColor="background1"/>
              <w:bottom w:val="single" w:sz="18" w:space="0" w:color="FFFFFF" w:themeColor="background1"/>
              <w:right w:val="single" w:sz="18" w:space="0" w:color="FFFFFF" w:themeColor="background1"/>
            </w:tcBorders>
            <w:shd w:val="clear" w:color="auto" w:fill="808080" w:themeFill="background1" w:themeFillShade="80"/>
            <w:tcMar>
              <w:left w:w="108" w:type="dxa"/>
              <w:right w:w="108" w:type="dxa"/>
            </w:tcMar>
            <w:vAlign w:val="center"/>
          </w:tcPr>
          <w:p w14:paraId="244B3C6A" w14:textId="77777777" w:rsidR="00CC68E5" w:rsidRPr="00881BC8" w:rsidRDefault="00CC68E5" w:rsidP="006F0A2A">
            <w:pPr>
              <w:jc w:val="center"/>
              <w:rPr>
                <w:noProof/>
              </w:rPr>
            </w:pPr>
            <w:r w:rsidRPr="00881BC8">
              <w:rPr>
                <w:b/>
                <w:bCs/>
                <w:noProof/>
                <w:color w:val="FFFFFF" w:themeColor="background1"/>
                <w:sz w:val="20"/>
                <w:szCs w:val="20"/>
              </w:rPr>
              <w:t>Source</w:t>
            </w:r>
          </w:p>
        </w:tc>
        <w:tc>
          <w:tcPr>
            <w:tcW w:w="4803" w:type="dxa"/>
            <w:tcBorders>
              <w:top w:val="nil"/>
              <w:left w:val="nil"/>
              <w:bottom w:val="single" w:sz="18" w:space="0" w:color="FFFFFF" w:themeColor="background1"/>
              <w:right w:val="nil"/>
            </w:tcBorders>
            <w:shd w:val="clear" w:color="auto" w:fill="808080" w:themeFill="background1" w:themeFillShade="80"/>
            <w:tcMar>
              <w:left w:w="108" w:type="dxa"/>
              <w:right w:w="108" w:type="dxa"/>
            </w:tcMar>
            <w:vAlign w:val="center"/>
          </w:tcPr>
          <w:p w14:paraId="75596B7F" w14:textId="77777777" w:rsidR="00CC68E5" w:rsidRPr="00881BC8" w:rsidRDefault="00CC68E5" w:rsidP="006F0A2A">
            <w:pPr>
              <w:jc w:val="center"/>
              <w:rPr>
                <w:noProof/>
              </w:rPr>
            </w:pPr>
            <w:r w:rsidRPr="00881BC8">
              <w:rPr>
                <w:b/>
                <w:bCs/>
                <w:noProof/>
                <w:color w:val="FFFFFF" w:themeColor="background1"/>
                <w:sz w:val="20"/>
                <w:szCs w:val="20"/>
              </w:rPr>
              <w:t>Indicators</w:t>
            </w:r>
          </w:p>
        </w:tc>
      </w:tr>
      <w:tr w:rsidR="00CC68E5" w:rsidRPr="00881BC8" w14:paraId="46CD7681" w14:textId="77777777" w:rsidTr="006F0A2A">
        <w:trPr>
          <w:trHeight w:val="1909"/>
        </w:trPr>
        <w:tc>
          <w:tcPr>
            <w:tcW w:w="2127"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F2F2F2" w:themeFill="background1" w:themeFillShade="F2"/>
            <w:tcMar>
              <w:left w:w="108" w:type="dxa"/>
              <w:right w:w="108" w:type="dxa"/>
            </w:tcMar>
          </w:tcPr>
          <w:p w14:paraId="324C0FEC" w14:textId="77777777" w:rsidR="00CC68E5" w:rsidRPr="00881BC8" w:rsidRDefault="00CC68E5" w:rsidP="006F0A2A">
            <w:pPr>
              <w:rPr>
                <w:noProof/>
              </w:rPr>
            </w:pPr>
            <w:r w:rsidRPr="00881BC8">
              <w:rPr>
                <w:noProof/>
                <w:color w:val="000000" w:themeColor="text1"/>
                <w:sz w:val="20"/>
                <w:szCs w:val="20"/>
              </w:rPr>
              <w:t>Prevent late payments by establishing maximum payment terms in B2B and automatic payment of interests and compensation</w:t>
            </w:r>
          </w:p>
        </w:tc>
        <w:tc>
          <w:tcPr>
            <w:tcW w:w="18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Mar>
              <w:left w:w="108" w:type="dxa"/>
              <w:right w:w="108" w:type="dxa"/>
            </w:tcMar>
          </w:tcPr>
          <w:p w14:paraId="2B0BAF26" w14:textId="77777777" w:rsidR="00CC68E5" w:rsidRPr="00881BC8" w:rsidRDefault="00CC68E5" w:rsidP="004835F8">
            <w:pPr>
              <w:pStyle w:val="ListParagraph"/>
              <w:numPr>
                <w:ilvl w:val="0"/>
                <w:numId w:val="33"/>
              </w:numPr>
              <w:rPr>
                <w:noProof/>
              </w:rPr>
            </w:pPr>
            <w:r w:rsidRPr="00881BC8">
              <w:rPr>
                <w:noProof/>
                <w:color w:val="000000" w:themeColor="text1"/>
                <w:sz w:val="20"/>
                <w:szCs w:val="20"/>
              </w:rPr>
              <w:t>Annual survey to undertakings</w:t>
            </w:r>
          </w:p>
          <w:p w14:paraId="5F4EE4AD" w14:textId="77777777" w:rsidR="00F571D3" w:rsidRPr="00881BC8" w:rsidRDefault="00CC68E5" w:rsidP="00F571D3">
            <w:pPr>
              <w:pStyle w:val="ListParagraph"/>
              <w:numPr>
                <w:ilvl w:val="0"/>
                <w:numId w:val="33"/>
              </w:numPr>
              <w:jc w:val="left"/>
              <w:rPr>
                <w:noProof/>
                <w:color w:val="000000" w:themeColor="text1"/>
                <w:sz w:val="20"/>
                <w:szCs w:val="20"/>
              </w:rPr>
            </w:pPr>
            <w:r w:rsidRPr="00881BC8">
              <w:rPr>
                <w:noProof/>
                <w:color w:val="000000" w:themeColor="text1"/>
                <w:sz w:val="20"/>
                <w:szCs w:val="20"/>
              </w:rPr>
              <w:t>Members States annual reports</w:t>
            </w:r>
          </w:p>
          <w:p w14:paraId="2BD2B4EC" w14:textId="62CCA125" w:rsidR="00CC68E5" w:rsidRPr="00881BC8" w:rsidRDefault="00CC68E5" w:rsidP="00F571D3">
            <w:pPr>
              <w:pStyle w:val="ListParagraph"/>
              <w:numPr>
                <w:ilvl w:val="0"/>
                <w:numId w:val="33"/>
              </w:numPr>
              <w:jc w:val="left"/>
              <w:rPr>
                <w:noProof/>
                <w:color w:val="000000" w:themeColor="text1"/>
                <w:sz w:val="20"/>
                <w:szCs w:val="20"/>
              </w:rPr>
            </w:pPr>
            <w:r w:rsidRPr="00881BC8">
              <w:rPr>
                <w:noProof/>
                <w:color w:val="000000" w:themeColor="text1"/>
                <w:sz w:val="20"/>
                <w:szCs w:val="20"/>
              </w:rPr>
              <w:t>Late Payment Observatory</w:t>
            </w:r>
          </w:p>
        </w:tc>
        <w:tc>
          <w:tcPr>
            <w:tcW w:w="4803" w:type="dxa"/>
            <w:tcBorders>
              <w:top w:val="single" w:sz="18" w:space="0" w:color="FFFFFF" w:themeColor="background1"/>
              <w:left w:val="single" w:sz="18" w:space="0" w:color="FFFFFF" w:themeColor="background1"/>
              <w:bottom w:val="single" w:sz="18" w:space="0" w:color="FFFFFF" w:themeColor="background1"/>
              <w:right w:val="nil"/>
            </w:tcBorders>
            <w:shd w:val="clear" w:color="auto" w:fill="F2F2F2" w:themeFill="background1" w:themeFillShade="F2"/>
            <w:tcMar>
              <w:left w:w="108" w:type="dxa"/>
              <w:right w:w="108" w:type="dxa"/>
            </w:tcMar>
          </w:tcPr>
          <w:p w14:paraId="4D738159" w14:textId="77777777" w:rsidR="00CC68E5" w:rsidRPr="00881BC8" w:rsidRDefault="00CC68E5" w:rsidP="004835F8">
            <w:pPr>
              <w:pStyle w:val="ListParagraph"/>
              <w:numPr>
                <w:ilvl w:val="0"/>
                <w:numId w:val="32"/>
              </w:numPr>
              <w:jc w:val="left"/>
              <w:rPr>
                <w:noProof/>
              </w:rPr>
            </w:pPr>
            <w:r w:rsidRPr="00881BC8">
              <w:rPr>
                <w:noProof/>
                <w:color w:val="000000" w:themeColor="text1"/>
                <w:sz w:val="20"/>
                <w:szCs w:val="20"/>
              </w:rPr>
              <w:t xml:space="preserve">Alignment of application of UTP rules (e.g. number of changes to national rules with a view to approximate practices) </w:t>
            </w:r>
          </w:p>
          <w:p w14:paraId="63361556" w14:textId="77777777" w:rsidR="00CC68E5" w:rsidRPr="00881BC8" w:rsidRDefault="00CC68E5" w:rsidP="004835F8">
            <w:pPr>
              <w:pStyle w:val="ListParagraph"/>
              <w:numPr>
                <w:ilvl w:val="0"/>
                <w:numId w:val="32"/>
              </w:numPr>
              <w:jc w:val="left"/>
              <w:rPr>
                <w:noProof/>
                <w:color w:val="000000" w:themeColor="text1"/>
                <w:sz w:val="20"/>
                <w:szCs w:val="20"/>
              </w:rPr>
            </w:pPr>
            <w:r w:rsidRPr="00881BC8">
              <w:rPr>
                <w:noProof/>
                <w:color w:val="000000" w:themeColor="text1"/>
                <w:sz w:val="20"/>
                <w:szCs w:val="20"/>
              </w:rPr>
              <w:t>Number of payments that do not comply with the EU rules</w:t>
            </w:r>
          </w:p>
          <w:p w14:paraId="2CDD7490" w14:textId="77777777" w:rsidR="00CC68E5" w:rsidRPr="00881BC8" w:rsidRDefault="00CC68E5" w:rsidP="004835F8">
            <w:pPr>
              <w:pStyle w:val="ListParagraph"/>
              <w:numPr>
                <w:ilvl w:val="0"/>
                <w:numId w:val="32"/>
              </w:numPr>
              <w:jc w:val="left"/>
              <w:rPr>
                <w:noProof/>
              </w:rPr>
            </w:pPr>
            <w:r w:rsidRPr="00881BC8">
              <w:rPr>
                <w:noProof/>
                <w:color w:val="000000" w:themeColor="text1"/>
                <w:sz w:val="20"/>
                <w:szCs w:val="20"/>
              </w:rPr>
              <w:t>Number of interests and compensations paid (as percentage of late payments)</w:t>
            </w:r>
          </w:p>
        </w:tc>
      </w:tr>
      <w:tr w:rsidR="00CC68E5" w:rsidRPr="00881BC8" w14:paraId="0CBD76D8" w14:textId="77777777" w:rsidTr="006F0A2A">
        <w:trPr>
          <w:trHeight w:val="510"/>
        </w:trPr>
        <w:tc>
          <w:tcPr>
            <w:tcW w:w="8789" w:type="dxa"/>
            <w:gridSpan w:val="3"/>
            <w:tcBorders>
              <w:top w:val="single" w:sz="18" w:space="0" w:color="FFFFFF" w:themeColor="background1"/>
              <w:left w:val="nil"/>
              <w:bottom w:val="single" w:sz="18" w:space="0" w:color="FFFFFF" w:themeColor="background1"/>
            </w:tcBorders>
            <w:shd w:val="clear" w:color="auto" w:fill="D9D9D9" w:themeFill="background1" w:themeFillShade="D9"/>
            <w:tcMar>
              <w:left w:w="108" w:type="dxa"/>
              <w:right w:w="108" w:type="dxa"/>
            </w:tcMar>
          </w:tcPr>
          <w:p w14:paraId="5348038F" w14:textId="77777777" w:rsidR="00CC68E5" w:rsidRPr="00881BC8" w:rsidRDefault="00CC68E5" w:rsidP="006F0A2A">
            <w:pPr>
              <w:jc w:val="left"/>
              <w:rPr>
                <w:noProof/>
                <w:color w:val="000000" w:themeColor="text1"/>
                <w:sz w:val="20"/>
                <w:szCs w:val="20"/>
              </w:rPr>
            </w:pPr>
          </w:p>
        </w:tc>
      </w:tr>
      <w:tr w:rsidR="00CC68E5" w:rsidRPr="00881BC8" w14:paraId="71A6F1EA" w14:textId="77777777" w:rsidTr="006F0A2A">
        <w:trPr>
          <w:trHeight w:val="2100"/>
        </w:trPr>
        <w:tc>
          <w:tcPr>
            <w:tcW w:w="2127" w:type="dxa"/>
            <w:tcBorders>
              <w:top w:val="single" w:sz="18" w:space="0" w:color="FFFFFF" w:themeColor="background1"/>
              <w:left w:val="nil"/>
              <w:bottom w:val="nil"/>
              <w:right w:val="single" w:sz="18" w:space="0" w:color="FFFFFF" w:themeColor="background1"/>
            </w:tcBorders>
            <w:shd w:val="clear" w:color="auto" w:fill="F2F2F2" w:themeFill="background1" w:themeFillShade="F2"/>
            <w:tcMar>
              <w:left w:w="108" w:type="dxa"/>
              <w:right w:w="108" w:type="dxa"/>
            </w:tcMar>
          </w:tcPr>
          <w:p w14:paraId="5B84F38A" w14:textId="77777777" w:rsidR="00CC68E5" w:rsidRPr="00881BC8" w:rsidRDefault="00CC68E5" w:rsidP="006F0A2A">
            <w:pPr>
              <w:jc w:val="left"/>
              <w:rPr>
                <w:noProof/>
              </w:rPr>
            </w:pPr>
            <w:r w:rsidRPr="00881BC8">
              <w:rPr>
                <w:noProof/>
                <w:color w:val="000000" w:themeColor="text1"/>
                <w:sz w:val="20"/>
                <w:szCs w:val="20"/>
              </w:rPr>
              <w:t>Foster timely payments by enabling effective redress</w:t>
            </w:r>
          </w:p>
        </w:tc>
        <w:tc>
          <w:tcPr>
            <w:tcW w:w="1859"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F2F2F2" w:themeFill="background1" w:themeFillShade="F2"/>
            <w:tcMar>
              <w:left w:w="108" w:type="dxa"/>
              <w:right w:w="108" w:type="dxa"/>
            </w:tcMar>
          </w:tcPr>
          <w:p w14:paraId="167FE262" w14:textId="77777777" w:rsidR="00CC68E5" w:rsidRPr="00881BC8" w:rsidRDefault="00CC68E5" w:rsidP="004835F8">
            <w:pPr>
              <w:pStyle w:val="ListParagraph"/>
              <w:numPr>
                <w:ilvl w:val="0"/>
                <w:numId w:val="34"/>
              </w:numPr>
              <w:rPr>
                <w:noProof/>
              </w:rPr>
            </w:pPr>
            <w:r w:rsidRPr="00881BC8">
              <w:rPr>
                <w:noProof/>
                <w:sz w:val="20"/>
                <w:szCs w:val="20"/>
              </w:rPr>
              <w:t>Members States annual reports</w:t>
            </w:r>
          </w:p>
          <w:p w14:paraId="431C76A2" w14:textId="77777777" w:rsidR="00CC68E5" w:rsidRPr="00881BC8" w:rsidRDefault="00CC68E5" w:rsidP="004835F8">
            <w:pPr>
              <w:pStyle w:val="ListParagraph"/>
              <w:numPr>
                <w:ilvl w:val="0"/>
                <w:numId w:val="34"/>
              </w:numPr>
              <w:tabs>
                <w:tab w:val="left" w:pos="720"/>
              </w:tabs>
              <w:jc w:val="left"/>
              <w:rPr>
                <w:noProof/>
              </w:rPr>
            </w:pPr>
            <w:r w:rsidRPr="00881BC8">
              <w:rPr>
                <w:noProof/>
                <w:sz w:val="20"/>
                <w:szCs w:val="20"/>
              </w:rPr>
              <w:t>Eurostat / national statistics / EU and national market</w:t>
            </w:r>
          </w:p>
        </w:tc>
        <w:tc>
          <w:tcPr>
            <w:tcW w:w="4803" w:type="dxa"/>
            <w:tcBorders>
              <w:top w:val="single" w:sz="18" w:space="0" w:color="FFFFFF" w:themeColor="background1"/>
              <w:left w:val="single" w:sz="18" w:space="0" w:color="FFFFFF" w:themeColor="background1"/>
              <w:bottom w:val="nil"/>
              <w:right w:val="nil"/>
            </w:tcBorders>
            <w:shd w:val="clear" w:color="auto" w:fill="F2F2F2" w:themeFill="background1" w:themeFillShade="F2"/>
            <w:tcMar>
              <w:left w:w="108" w:type="dxa"/>
              <w:right w:w="108" w:type="dxa"/>
            </w:tcMar>
          </w:tcPr>
          <w:p w14:paraId="3600050F" w14:textId="77777777" w:rsidR="00CC68E5" w:rsidRPr="00881BC8" w:rsidRDefault="00CC68E5" w:rsidP="004835F8">
            <w:pPr>
              <w:pStyle w:val="ListParagraph"/>
              <w:numPr>
                <w:ilvl w:val="0"/>
                <w:numId w:val="31"/>
              </w:numPr>
              <w:tabs>
                <w:tab w:val="left" w:pos="720"/>
              </w:tabs>
              <w:jc w:val="left"/>
              <w:rPr>
                <w:noProof/>
              </w:rPr>
            </w:pPr>
            <w:r w:rsidRPr="00881BC8">
              <w:rPr>
                <w:noProof/>
                <w:sz w:val="20"/>
                <w:szCs w:val="20"/>
              </w:rPr>
              <w:t>Number of complaints received (anonymously or not)</w:t>
            </w:r>
          </w:p>
          <w:p w14:paraId="39CEF2FB" w14:textId="77777777" w:rsidR="00CC68E5" w:rsidRPr="00881BC8" w:rsidRDefault="00CC68E5" w:rsidP="004835F8">
            <w:pPr>
              <w:pStyle w:val="ListParagraph"/>
              <w:numPr>
                <w:ilvl w:val="0"/>
                <w:numId w:val="31"/>
              </w:numPr>
              <w:tabs>
                <w:tab w:val="left" w:pos="720"/>
              </w:tabs>
              <w:jc w:val="left"/>
              <w:rPr>
                <w:noProof/>
              </w:rPr>
            </w:pPr>
            <w:r w:rsidRPr="00881BC8">
              <w:rPr>
                <w:noProof/>
                <w:sz w:val="20"/>
                <w:szCs w:val="20"/>
              </w:rPr>
              <w:t>Number of mediation meetings, if applicable</w:t>
            </w:r>
          </w:p>
          <w:p w14:paraId="534C5B8D" w14:textId="77777777" w:rsidR="00CC68E5" w:rsidRPr="00881BC8" w:rsidRDefault="00CC68E5" w:rsidP="004835F8">
            <w:pPr>
              <w:pStyle w:val="ListParagraph"/>
              <w:numPr>
                <w:ilvl w:val="0"/>
                <w:numId w:val="31"/>
              </w:numPr>
              <w:tabs>
                <w:tab w:val="left" w:pos="720"/>
              </w:tabs>
              <w:jc w:val="left"/>
              <w:rPr>
                <w:noProof/>
              </w:rPr>
            </w:pPr>
            <w:r w:rsidRPr="00881BC8">
              <w:rPr>
                <w:noProof/>
                <w:sz w:val="20"/>
                <w:szCs w:val="20"/>
              </w:rPr>
              <w:t xml:space="preserve">Number of investigations launched (own initiative or upon request) </w:t>
            </w:r>
          </w:p>
          <w:p w14:paraId="1E61ED92" w14:textId="77777777" w:rsidR="00F571D3" w:rsidRPr="00881BC8" w:rsidRDefault="00CC68E5" w:rsidP="00F571D3">
            <w:pPr>
              <w:pStyle w:val="ListParagraph"/>
              <w:numPr>
                <w:ilvl w:val="0"/>
                <w:numId w:val="31"/>
              </w:numPr>
              <w:jc w:val="left"/>
              <w:rPr>
                <w:noProof/>
                <w:color w:val="000000" w:themeColor="text1"/>
                <w:sz w:val="20"/>
                <w:szCs w:val="20"/>
              </w:rPr>
            </w:pPr>
            <w:r w:rsidRPr="00881BC8">
              <w:rPr>
                <w:noProof/>
                <w:color w:val="000000" w:themeColor="text1"/>
                <w:sz w:val="20"/>
                <w:szCs w:val="20"/>
              </w:rPr>
              <w:t>Share of cases resulting in findings of an infringement</w:t>
            </w:r>
          </w:p>
          <w:p w14:paraId="2FD3F691" w14:textId="6C589BE7" w:rsidR="00CC68E5" w:rsidRPr="00881BC8" w:rsidRDefault="00CC68E5" w:rsidP="00F571D3">
            <w:pPr>
              <w:pStyle w:val="ListParagraph"/>
              <w:numPr>
                <w:ilvl w:val="0"/>
                <w:numId w:val="31"/>
              </w:numPr>
              <w:jc w:val="left"/>
              <w:rPr>
                <w:noProof/>
                <w:color w:val="000000" w:themeColor="text1"/>
                <w:sz w:val="20"/>
                <w:szCs w:val="20"/>
              </w:rPr>
            </w:pPr>
            <w:r w:rsidRPr="00881BC8">
              <w:rPr>
                <w:noProof/>
                <w:color w:val="000000" w:themeColor="text1"/>
                <w:sz w:val="20"/>
                <w:szCs w:val="20"/>
              </w:rPr>
              <w:t>Share of cases using alternative dispute resolution mechanisms</w:t>
            </w:r>
          </w:p>
        </w:tc>
      </w:tr>
    </w:tbl>
    <w:p w14:paraId="307F1800" w14:textId="175639CC" w:rsidR="00CC68E5" w:rsidRPr="00881BC8" w:rsidRDefault="00CC68E5">
      <w:pPr>
        <w:spacing w:after="200" w:line="276" w:lineRule="auto"/>
        <w:jc w:val="left"/>
        <w:rPr>
          <w:rFonts w:eastAsia="Times New Roman"/>
          <w:b/>
          <w:smallCaps/>
          <w:noProof/>
          <w:sz w:val="32"/>
          <w:szCs w:val="20"/>
        </w:rPr>
      </w:pPr>
    </w:p>
    <w:p w14:paraId="61F3F6C3" w14:textId="476FCD0F" w:rsidR="009155A8" w:rsidRPr="00881BC8" w:rsidRDefault="009155A8">
      <w:pPr>
        <w:spacing w:after="200" w:line="276" w:lineRule="auto"/>
        <w:jc w:val="left"/>
        <w:rPr>
          <w:rFonts w:eastAsia="Times New Roman"/>
          <w:b/>
          <w:smallCaps/>
          <w:noProof/>
          <w:sz w:val="32"/>
          <w:szCs w:val="20"/>
        </w:rPr>
      </w:pPr>
      <w:r w:rsidRPr="00881BC8">
        <w:rPr>
          <w:rFonts w:eastAsia="Times New Roman"/>
          <w:b/>
          <w:smallCaps/>
          <w:noProof/>
          <w:sz w:val="32"/>
          <w:szCs w:val="20"/>
        </w:rPr>
        <w:br w:type="page"/>
      </w:r>
    </w:p>
    <w:p w14:paraId="271A9F41" w14:textId="59C0DAE6" w:rsidR="00AF074C" w:rsidRPr="00881BC8" w:rsidRDefault="009155A8" w:rsidP="000B2023">
      <w:pPr>
        <w:pStyle w:val="AnnexTitle"/>
        <w:rPr>
          <w:noProof/>
        </w:rPr>
      </w:pPr>
      <w:bookmarkStart w:id="1149" w:name="Annex25"/>
      <w:bookmarkStart w:id="1150" w:name="_Toc135237474"/>
      <w:r w:rsidRPr="00881BC8">
        <w:rPr>
          <w:noProof/>
        </w:rPr>
        <w:t>Annex 25</w:t>
      </w:r>
      <w:bookmarkEnd w:id="1149"/>
      <w:r w:rsidRPr="00881BC8">
        <w:rPr>
          <w:noProof/>
        </w:rPr>
        <w:t>: Overview of benefits and costs for business and for public authorities</w:t>
      </w:r>
      <w:bookmarkEnd w:id="1150"/>
    </w:p>
    <w:p w14:paraId="589043D3" w14:textId="68ECD542" w:rsidR="009155A8" w:rsidRPr="00881BC8" w:rsidRDefault="009155A8" w:rsidP="009155A8">
      <w:pPr>
        <w:pStyle w:val="Text2"/>
        <w:ind w:left="0"/>
        <w:rPr>
          <w:noProof/>
        </w:rPr>
      </w:pPr>
      <w:r w:rsidRPr="00881BC8">
        <w:rPr>
          <w:noProof/>
        </w:rPr>
        <w:t xml:space="preserve">For assumptions and calculations please refer to </w:t>
      </w:r>
      <w:r w:rsidRPr="00881BC8">
        <w:rPr>
          <w:noProof/>
        </w:rPr>
        <w:fldChar w:fldCharType="begin"/>
      </w:r>
      <w:r w:rsidRPr="00881BC8">
        <w:rPr>
          <w:noProof/>
        </w:rPr>
        <w:instrText xml:space="preserve"> REF Annex04 \h </w:instrText>
      </w:r>
      <w:r w:rsidRPr="00881BC8">
        <w:rPr>
          <w:noProof/>
        </w:rPr>
      </w:r>
      <w:r w:rsidRPr="00881BC8">
        <w:rPr>
          <w:noProof/>
        </w:rPr>
        <w:fldChar w:fldCharType="separate"/>
      </w:r>
      <w:r w:rsidR="005851F4" w:rsidRPr="00881BC8">
        <w:rPr>
          <w:noProof/>
        </w:rPr>
        <w:t>Annex 4</w:t>
      </w:r>
      <w:r w:rsidRPr="00881BC8">
        <w:rPr>
          <w:noProof/>
        </w:rPr>
        <w:fldChar w:fldCharType="end"/>
      </w:r>
      <w:r w:rsidRPr="00881BC8">
        <w:rPr>
          <w:noProof/>
        </w:rPr>
        <w:t>.</w:t>
      </w:r>
    </w:p>
    <w:p w14:paraId="19DCA745" w14:textId="3C34CED2" w:rsidR="009155A8" w:rsidRPr="00881BC8" w:rsidRDefault="009155A8" w:rsidP="009155A8">
      <w:pPr>
        <w:pStyle w:val="Caption"/>
        <w:rPr>
          <w:noProof/>
          <w:lang w:val="en-GB"/>
        </w:rPr>
      </w:pPr>
      <w:r w:rsidRPr="00881BC8">
        <w:rPr>
          <w:noProof/>
          <w:lang w:val="en-GB"/>
        </w:rPr>
        <w:t xml:space="preserve">Table </w:t>
      </w:r>
      <w:r w:rsidR="005851F4">
        <w:rPr>
          <w:noProof/>
          <w:lang w:val="en-GB"/>
        </w:rPr>
        <w:t>14</w:t>
      </w:r>
      <w:r w:rsidRPr="00881BC8">
        <w:rPr>
          <w:noProof/>
          <w:lang w:val="en-GB"/>
        </w:rPr>
        <w:t>: Summary of Economic impacts on businesses</w:t>
      </w:r>
    </w:p>
    <w:tbl>
      <w:tblPr>
        <w:tblStyle w:val="TableGrid"/>
        <w:tblW w:w="8926" w:type="dxa"/>
        <w:tblLook w:val="04A0" w:firstRow="1" w:lastRow="0" w:firstColumn="1" w:lastColumn="0" w:noHBand="0" w:noVBand="1"/>
      </w:tblPr>
      <w:tblGrid>
        <w:gridCol w:w="1721"/>
        <w:gridCol w:w="3602"/>
        <w:gridCol w:w="3603"/>
      </w:tblGrid>
      <w:tr w:rsidR="009155A8" w:rsidRPr="00881BC8" w14:paraId="5D91D9BF" w14:textId="77777777" w:rsidTr="009155A8">
        <w:trPr>
          <w:tblHeader/>
        </w:trPr>
        <w:tc>
          <w:tcPr>
            <w:tcW w:w="1721" w:type="dxa"/>
          </w:tcPr>
          <w:p w14:paraId="7F3E3F2B" w14:textId="77777777" w:rsidR="009155A8" w:rsidRPr="00881BC8" w:rsidRDefault="009155A8" w:rsidP="002C2CA2">
            <w:pPr>
              <w:pStyle w:val="Text2"/>
              <w:ind w:left="0"/>
              <w:rPr>
                <w:b/>
                <w:bCs/>
                <w:noProof/>
              </w:rPr>
            </w:pPr>
          </w:p>
        </w:tc>
        <w:tc>
          <w:tcPr>
            <w:tcW w:w="3602" w:type="dxa"/>
          </w:tcPr>
          <w:p w14:paraId="120A58CC" w14:textId="77777777" w:rsidR="009155A8" w:rsidRPr="00881BC8" w:rsidRDefault="009155A8" w:rsidP="002C2CA2">
            <w:pPr>
              <w:pStyle w:val="Text2"/>
              <w:ind w:left="0"/>
              <w:rPr>
                <w:b/>
                <w:bCs/>
                <w:noProof/>
              </w:rPr>
            </w:pPr>
            <w:r w:rsidRPr="00881BC8">
              <w:rPr>
                <w:b/>
                <w:bCs/>
                <w:noProof/>
              </w:rPr>
              <w:t>Benefits for businesses</w:t>
            </w:r>
          </w:p>
        </w:tc>
        <w:tc>
          <w:tcPr>
            <w:tcW w:w="3603" w:type="dxa"/>
          </w:tcPr>
          <w:p w14:paraId="31FD4D79" w14:textId="77777777" w:rsidR="009155A8" w:rsidRPr="00881BC8" w:rsidRDefault="009155A8" w:rsidP="002C2CA2">
            <w:pPr>
              <w:pStyle w:val="Text2"/>
              <w:ind w:left="0"/>
              <w:rPr>
                <w:b/>
                <w:bCs/>
                <w:noProof/>
              </w:rPr>
            </w:pPr>
            <w:r w:rsidRPr="00881BC8">
              <w:rPr>
                <w:b/>
                <w:bCs/>
                <w:noProof/>
              </w:rPr>
              <w:t>Costs for businesses</w:t>
            </w:r>
          </w:p>
        </w:tc>
      </w:tr>
      <w:tr w:rsidR="009155A8" w:rsidRPr="00881BC8" w14:paraId="4A595CE6" w14:textId="77777777" w:rsidTr="009155A8">
        <w:tc>
          <w:tcPr>
            <w:tcW w:w="1721" w:type="dxa"/>
          </w:tcPr>
          <w:p w14:paraId="3F5B5678" w14:textId="77777777" w:rsidR="009155A8" w:rsidRPr="00881BC8" w:rsidRDefault="009155A8" w:rsidP="002C2CA2">
            <w:pPr>
              <w:pStyle w:val="Text2"/>
              <w:ind w:left="0"/>
              <w:rPr>
                <w:noProof/>
              </w:rPr>
            </w:pPr>
            <w:r w:rsidRPr="00881BC8">
              <w:rPr>
                <w:noProof/>
              </w:rPr>
              <w:t>PO1 (across all sub-options)</w:t>
            </w:r>
          </w:p>
        </w:tc>
        <w:tc>
          <w:tcPr>
            <w:tcW w:w="3602" w:type="dxa"/>
          </w:tcPr>
          <w:p w14:paraId="2E110A85" w14:textId="77777777" w:rsidR="009155A8" w:rsidRPr="00881BC8" w:rsidRDefault="009155A8" w:rsidP="002C2CA2">
            <w:pPr>
              <w:pStyle w:val="Text2"/>
              <w:ind w:left="0"/>
              <w:rPr>
                <w:noProof/>
              </w:rPr>
            </w:pPr>
            <w:r w:rsidRPr="00881BC8">
              <w:rPr>
                <w:noProof/>
              </w:rPr>
              <w:t>Capping verification time avoids circumvention of payment terms</w:t>
            </w:r>
          </w:p>
          <w:p w14:paraId="5ECD4A62" w14:textId="77777777" w:rsidR="009155A8" w:rsidRPr="00881BC8" w:rsidRDefault="009155A8" w:rsidP="002C2CA2">
            <w:pPr>
              <w:pStyle w:val="Text2"/>
              <w:ind w:left="0"/>
              <w:rPr>
                <w:noProof/>
              </w:rPr>
            </w:pPr>
            <w:r w:rsidRPr="00881BC8">
              <w:rPr>
                <w:noProof/>
              </w:rPr>
              <w:t>Reduced negotiation times for around 33% of SMEs</w:t>
            </w:r>
          </w:p>
          <w:p w14:paraId="04AB890B" w14:textId="77777777" w:rsidR="009155A8" w:rsidRPr="00881BC8" w:rsidRDefault="009155A8" w:rsidP="002C2CA2">
            <w:pPr>
              <w:pStyle w:val="Text2"/>
              <w:ind w:left="0"/>
              <w:rPr>
                <w:noProof/>
              </w:rPr>
            </w:pPr>
            <w:r w:rsidRPr="00881BC8">
              <w:rPr>
                <w:noProof/>
              </w:rPr>
              <w:t>Access to financial literacy training worth EUR 200-1800 per SME</w:t>
            </w:r>
          </w:p>
          <w:p w14:paraId="43B50CA4" w14:textId="77777777" w:rsidR="009155A8" w:rsidRPr="00881BC8" w:rsidRDefault="009155A8" w:rsidP="002C2CA2">
            <w:pPr>
              <w:pStyle w:val="Text2"/>
              <w:ind w:left="0"/>
              <w:rPr>
                <w:noProof/>
              </w:rPr>
            </w:pPr>
            <w:r w:rsidRPr="00881BC8">
              <w:rPr>
                <w:noProof/>
              </w:rPr>
              <w:t>Reduced hassle costs associated with chasing late payments ( based on the assumption that an average company spends 5 person-days on chasing debtors)</w:t>
            </w:r>
          </w:p>
        </w:tc>
        <w:tc>
          <w:tcPr>
            <w:tcW w:w="3603" w:type="dxa"/>
          </w:tcPr>
          <w:p w14:paraId="13B2B869" w14:textId="77777777" w:rsidR="009155A8" w:rsidRPr="00881BC8" w:rsidRDefault="009155A8" w:rsidP="002C2CA2">
            <w:pPr>
              <w:pStyle w:val="Text2"/>
              <w:ind w:left="0"/>
              <w:rPr>
                <w:noProof/>
              </w:rPr>
            </w:pPr>
            <w:r w:rsidRPr="00881BC8">
              <w:rPr>
                <w:noProof/>
              </w:rPr>
              <w:t>Cost to debtors of paying on time by requiring additional financing: one-off cost of dealing with the bank and recurring costs related to interests (but likely cheaper than implicit rate they are paying currently)</w:t>
            </w:r>
          </w:p>
        </w:tc>
      </w:tr>
      <w:tr w:rsidR="009155A8" w:rsidRPr="00881BC8" w14:paraId="44D7AD4D" w14:textId="77777777" w:rsidTr="009155A8">
        <w:tc>
          <w:tcPr>
            <w:tcW w:w="1721" w:type="dxa"/>
          </w:tcPr>
          <w:p w14:paraId="614DCBB4" w14:textId="77777777" w:rsidR="009155A8" w:rsidRPr="00881BC8" w:rsidRDefault="009155A8" w:rsidP="002C2CA2">
            <w:pPr>
              <w:pStyle w:val="Text2"/>
              <w:ind w:left="0"/>
              <w:rPr>
                <w:noProof/>
              </w:rPr>
            </w:pPr>
            <w:r w:rsidRPr="00881BC8">
              <w:rPr>
                <w:noProof/>
              </w:rPr>
              <w:t>PO1a</w:t>
            </w:r>
          </w:p>
        </w:tc>
        <w:tc>
          <w:tcPr>
            <w:tcW w:w="3602" w:type="dxa"/>
          </w:tcPr>
          <w:p w14:paraId="008CA4AB" w14:textId="77777777" w:rsidR="009155A8" w:rsidRPr="00881BC8" w:rsidRDefault="009155A8" w:rsidP="002C2CA2">
            <w:pPr>
              <w:pStyle w:val="Text2"/>
              <w:ind w:left="0"/>
              <w:rPr>
                <w:noProof/>
              </w:rPr>
            </w:pPr>
            <w:r w:rsidRPr="00881BC8">
              <w:rPr>
                <w:noProof/>
              </w:rPr>
              <w:t>Reduction in payment delays of 23.4% for the average EU company</w:t>
            </w:r>
          </w:p>
        </w:tc>
        <w:tc>
          <w:tcPr>
            <w:tcW w:w="3603" w:type="dxa"/>
          </w:tcPr>
          <w:p w14:paraId="2E95D34B" w14:textId="77777777" w:rsidR="009155A8" w:rsidRPr="00881BC8" w:rsidRDefault="009155A8" w:rsidP="002C2CA2">
            <w:pPr>
              <w:pStyle w:val="Text2"/>
              <w:ind w:left="0"/>
              <w:rPr>
                <w:noProof/>
              </w:rPr>
            </w:pPr>
            <w:r w:rsidRPr="00881BC8">
              <w:rPr>
                <w:noProof/>
              </w:rPr>
              <w:t>One-off adjustment cost of EUR 56.1 million</w:t>
            </w:r>
          </w:p>
        </w:tc>
      </w:tr>
      <w:tr w:rsidR="009155A8" w:rsidRPr="00881BC8" w14:paraId="3613C842" w14:textId="77777777" w:rsidTr="009155A8">
        <w:tc>
          <w:tcPr>
            <w:tcW w:w="1721" w:type="dxa"/>
          </w:tcPr>
          <w:p w14:paraId="21204C23" w14:textId="77777777" w:rsidR="009155A8" w:rsidRPr="00881BC8" w:rsidRDefault="009155A8" w:rsidP="002C2CA2">
            <w:pPr>
              <w:pStyle w:val="Text2"/>
              <w:ind w:left="0"/>
              <w:rPr>
                <w:noProof/>
              </w:rPr>
            </w:pPr>
            <w:r w:rsidRPr="00881BC8">
              <w:rPr>
                <w:noProof/>
              </w:rPr>
              <w:t>PO1b</w:t>
            </w:r>
          </w:p>
        </w:tc>
        <w:tc>
          <w:tcPr>
            <w:tcW w:w="3602" w:type="dxa"/>
          </w:tcPr>
          <w:p w14:paraId="6F159EBF" w14:textId="77777777" w:rsidR="009155A8" w:rsidRPr="00881BC8" w:rsidRDefault="009155A8" w:rsidP="002C2CA2">
            <w:pPr>
              <w:pStyle w:val="Text2"/>
              <w:ind w:left="0"/>
              <w:rPr>
                <w:noProof/>
              </w:rPr>
            </w:pPr>
            <w:r w:rsidRPr="00881BC8">
              <w:rPr>
                <w:noProof/>
              </w:rPr>
              <w:t>Reduction in payment delays for 14.4% of EU companies</w:t>
            </w:r>
          </w:p>
        </w:tc>
        <w:tc>
          <w:tcPr>
            <w:tcW w:w="3603" w:type="dxa"/>
          </w:tcPr>
          <w:p w14:paraId="2B7802E5" w14:textId="77777777" w:rsidR="009155A8" w:rsidRPr="00881BC8" w:rsidRDefault="009155A8" w:rsidP="002C2CA2">
            <w:pPr>
              <w:pStyle w:val="Text2"/>
              <w:ind w:left="0"/>
              <w:rPr>
                <w:noProof/>
              </w:rPr>
            </w:pPr>
            <w:r w:rsidRPr="00881BC8">
              <w:rPr>
                <w:noProof/>
              </w:rPr>
              <w:t>One-off adjustment cost of EUR 35.0 million</w:t>
            </w:r>
          </w:p>
        </w:tc>
      </w:tr>
      <w:tr w:rsidR="009155A8" w:rsidRPr="00881BC8" w14:paraId="3B757489" w14:textId="77777777" w:rsidTr="009155A8">
        <w:tc>
          <w:tcPr>
            <w:tcW w:w="1721" w:type="dxa"/>
          </w:tcPr>
          <w:p w14:paraId="2FF6673E" w14:textId="77777777" w:rsidR="009155A8" w:rsidRPr="00881BC8" w:rsidRDefault="009155A8" w:rsidP="002C2CA2">
            <w:pPr>
              <w:pStyle w:val="Text2"/>
              <w:ind w:left="0"/>
              <w:rPr>
                <w:noProof/>
              </w:rPr>
            </w:pPr>
            <w:r w:rsidRPr="00881BC8">
              <w:rPr>
                <w:noProof/>
              </w:rPr>
              <w:t>PO1c</w:t>
            </w:r>
          </w:p>
        </w:tc>
        <w:tc>
          <w:tcPr>
            <w:tcW w:w="3602" w:type="dxa"/>
          </w:tcPr>
          <w:p w14:paraId="1AE37225" w14:textId="77777777" w:rsidR="009155A8" w:rsidRPr="00881BC8" w:rsidRDefault="009155A8" w:rsidP="002C2CA2">
            <w:pPr>
              <w:pStyle w:val="Text2"/>
              <w:ind w:left="0"/>
              <w:rPr>
                <w:noProof/>
              </w:rPr>
            </w:pPr>
            <w:r w:rsidRPr="00881BC8">
              <w:rPr>
                <w:noProof/>
              </w:rPr>
              <w:t>Reduction in payment delays for 66% of invoices issued by 14.4% of companies</w:t>
            </w:r>
          </w:p>
        </w:tc>
        <w:tc>
          <w:tcPr>
            <w:tcW w:w="3603" w:type="dxa"/>
          </w:tcPr>
          <w:p w14:paraId="229EA6E5" w14:textId="77777777" w:rsidR="009155A8" w:rsidRPr="00881BC8" w:rsidRDefault="009155A8" w:rsidP="002C2CA2">
            <w:pPr>
              <w:pStyle w:val="Text2"/>
              <w:ind w:left="0"/>
              <w:rPr>
                <w:noProof/>
              </w:rPr>
            </w:pPr>
            <w:r w:rsidRPr="00881BC8">
              <w:rPr>
                <w:noProof/>
              </w:rPr>
              <w:t>One-off adjustment cost of EUR 23.1 million; cost of verifying SME status of EUR 384 million</w:t>
            </w:r>
          </w:p>
        </w:tc>
      </w:tr>
      <w:tr w:rsidR="009155A8" w:rsidRPr="00881BC8" w14:paraId="51E30D45" w14:textId="77777777" w:rsidTr="009155A8">
        <w:tc>
          <w:tcPr>
            <w:tcW w:w="1721" w:type="dxa"/>
          </w:tcPr>
          <w:p w14:paraId="24048157" w14:textId="77777777" w:rsidR="009155A8" w:rsidRPr="00881BC8" w:rsidRDefault="009155A8" w:rsidP="002C2CA2">
            <w:pPr>
              <w:pStyle w:val="Text2"/>
              <w:ind w:left="0"/>
              <w:rPr>
                <w:noProof/>
              </w:rPr>
            </w:pPr>
            <w:r w:rsidRPr="00881BC8">
              <w:rPr>
                <w:noProof/>
              </w:rPr>
              <w:t>PO2 (across all sub-options)</w:t>
            </w:r>
          </w:p>
        </w:tc>
        <w:tc>
          <w:tcPr>
            <w:tcW w:w="3602" w:type="dxa"/>
          </w:tcPr>
          <w:p w14:paraId="5BE2AAB7" w14:textId="77777777" w:rsidR="009155A8" w:rsidRPr="00881BC8" w:rsidRDefault="009155A8" w:rsidP="002C2CA2">
            <w:pPr>
              <w:pStyle w:val="Text2"/>
              <w:ind w:left="0"/>
              <w:rPr>
                <w:noProof/>
              </w:rPr>
            </w:pPr>
            <w:r w:rsidRPr="00881BC8">
              <w:rPr>
                <w:noProof/>
              </w:rPr>
              <w:t>Automatic payment of interests worth up to EUR 265.5 million, plus automatic payment of compensation fees of up to EUR 3.75 billion (benefit to the creditor, cost to the debtor)</w:t>
            </w:r>
          </w:p>
          <w:p w14:paraId="21BC0C98" w14:textId="77777777" w:rsidR="009155A8" w:rsidRPr="00881BC8" w:rsidRDefault="009155A8" w:rsidP="002C2CA2">
            <w:pPr>
              <w:pStyle w:val="Text2"/>
              <w:ind w:left="0"/>
              <w:rPr>
                <w:noProof/>
              </w:rPr>
            </w:pPr>
            <w:r w:rsidRPr="00881BC8">
              <w:rPr>
                <w:noProof/>
              </w:rPr>
              <w:t>Subcontractors in public payments are paid promptly, leading to estimated unblocking of payments up to EUR 31 million per year</w:t>
            </w:r>
          </w:p>
          <w:p w14:paraId="463BDC17" w14:textId="77777777" w:rsidR="009155A8" w:rsidRPr="00881BC8" w:rsidRDefault="009155A8" w:rsidP="002C2CA2">
            <w:pPr>
              <w:pStyle w:val="Text2"/>
              <w:ind w:left="0"/>
              <w:rPr>
                <w:noProof/>
              </w:rPr>
            </w:pPr>
            <w:r w:rsidRPr="00881BC8">
              <w:rPr>
                <w:noProof/>
              </w:rPr>
              <w:t>Reduced hassle costs associated with chasing late payments (currently assumed at 5 person-days per company on average)</w:t>
            </w:r>
          </w:p>
        </w:tc>
        <w:tc>
          <w:tcPr>
            <w:tcW w:w="3603" w:type="dxa"/>
          </w:tcPr>
          <w:p w14:paraId="01773307" w14:textId="77777777" w:rsidR="009155A8" w:rsidRPr="00881BC8" w:rsidRDefault="009155A8" w:rsidP="002C2CA2">
            <w:pPr>
              <w:pStyle w:val="Text2"/>
              <w:ind w:left="0"/>
              <w:rPr>
                <w:noProof/>
              </w:rPr>
            </w:pPr>
            <w:r w:rsidRPr="00881BC8">
              <w:rPr>
                <w:noProof/>
              </w:rPr>
              <w:t>One-off adjustment cost from updating standard payment terms of EUR 243 million</w:t>
            </w:r>
          </w:p>
          <w:p w14:paraId="54ED50C2" w14:textId="77777777" w:rsidR="009155A8" w:rsidRPr="00881BC8" w:rsidRDefault="009155A8" w:rsidP="002C2CA2">
            <w:pPr>
              <w:pStyle w:val="Text2"/>
              <w:ind w:left="0"/>
              <w:rPr>
                <w:noProof/>
              </w:rPr>
            </w:pPr>
            <w:r w:rsidRPr="00881BC8">
              <w:rPr>
                <w:noProof/>
              </w:rPr>
              <w:t>Cost to the debtor of automatic interest (worth up to EUR 265.5 million) and compensation fees of up to EUR 3.75 billion</w:t>
            </w:r>
          </w:p>
          <w:p w14:paraId="2F400BAE" w14:textId="77777777" w:rsidR="009155A8" w:rsidRPr="00881BC8" w:rsidRDefault="009155A8" w:rsidP="002C2CA2">
            <w:pPr>
              <w:pStyle w:val="Text2"/>
              <w:ind w:left="0"/>
              <w:rPr>
                <w:noProof/>
              </w:rPr>
            </w:pPr>
            <w:r w:rsidRPr="00881BC8">
              <w:rPr>
                <w:noProof/>
              </w:rPr>
              <w:t>Cost to debtors of paying on time by requiring additional financing: one-off cost of dealing with the bank and recurring costs related to interests (but likely cheaper than implicit rate they are paying currently)</w:t>
            </w:r>
          </w:p>
          <w:p w14:paraId="470CD20D" w14:textId="77777777" w:rsidR="009155A8" w:rsidRPr="00881BC8" w:rsidRDefault="009155A8" w:rsidP="002C2CA2">
            <w:pPr>
              <w:pStyle w:val="Text2"/>
              <w:ind w:left="0"/>
              <w:rPr>
                <w:noProof/>
              </w:rPr>
            </w:pPr>
            <w:r w:rsidRPr="00881BC8">
              <w:rPr>
                <w:noProof/>
              </w:rPr>
              <w:t>Cost to main contractors in public contracts from verifying their prompt payment to the public authority (affecting around 173 000 companies at a total recurring administrative cost of EUR 2.2 million per year)</w:t>
            </w:r>
          </w:p>
        </w:tc>
      </w:tr>
      <w:tr w:rsidR="009155A8" w:rsidRPr="00881BC8" w14:paraId="3CE55881" w14:textId="77777777" w:rsidTr="009155A8">
        <w:tc>
          <w:tcPr>
            <w:tcW w:w="1721" w:type="dxa"/>
          </w:tcPr>
          <w:p w14:paraId="0E80F406" w14:textId="77777777" w:rsidR="009155A8" w:rsidRPr="00881BC8" w:rsidRDefault="009155A8" w:rsidP="002C2CA2">
            <w:pPr>
              <w:pStyle w:val="Text2"/>
              <w:ind w:left="0"/>
              <w:rPr>
                <w:noProof/>
              </w:rPr>
            </w:pPr>
            <w:r w:rsidRPr="00881BC8">
              <w:rPr>
                <w:noProof/>
              </w:rPr>
              <w:t>PO2a</w:t>
            </w:r>
          </w:p>
        </w:tc>
        <w:tc>
          <w:tcPr>
            <w:tcW w:w="3602" w:type="dxa"/>
          </w:tcPr>
          <w:p w14:paraId="041E4980" w14:textId="77777777" w:rsidR="009155A8" w:rsidRPr="00881BC8" w:rsidRDefault="009155A8" w:rsidP="002C2CA2">
            <w:pPr>
              <w:pStyle w:val="Text2"/>
              <w:ind w:left="0"/>
              <w:rPr>
                <w:noProof/>
              </w:rPr>
            </w:pPr>
            <w:r w:rsidRPr="00881BC8">
              <w:rPr>
                <w:noProof/>
              </w:rPr>
              <w:t>Strong enforcement accompanied by sanctions and fines, estimated to reduce payment delays by 17.8%</w:t>
            </w:r>
          </w:p>
        </w:tc>
        <w:tc>
          <w:tcPr>
            <w:tcW w:w="3603" w:type="dxa"/>
          </w:tcPr>
          <w:p w14:paraId="18F65346" w14:textId="77777777" w:rsidR="009155A8" w:rsidRPr="00881BC8" w:rsidRDefault="009155A8" w:rsidP="002C2CA2">
            <w:pPr>
              <w:pStyle w:val="Text2"/>
              <w:ind w:left="0"/>
              <w:rPr>
                <w:noProof/>
              </w:rPr>
            </w:pPr>
            <w:r w:rsidRPr="00881BC8">
              <w:rPr>
                <w:noProof/>
              </w:rPr>
              <w:t>Potential fines to debtors worth up to EUR 136.8 million</w:t>
            </w:r>
          </w:p>
        </w:tc>
      </w:tr>
      <w:tr w:rsidR="009155A8" w:rsidRPr="00881BC8" w14:paraId="03F6260F" w14:textId="77777777" w:rsidTr="009155A8">
        <w:tc>
          <w:tcPr>
            <w:tcW w:w="1721" w:type="dxa"/>
          </w:tcPr>
          <w:p w14:paraId="45812FEB" w14:textId="77777777" w:rsidR="009155A8" w:rsidRPr="00881BC8" w:rsidRDefault="009155A8" w:rsidP="002C2CA2">
            <w:pPr>
              <w:pStyle w:val="Text2"/>
              <w:ind w:left="0"/>
              <w:rPr>
                <w:noProof/>
              </w:rPr>
            </w:pPr>
            <w:r w:rsidRPr="00881BC8">
              <w:rPr>
                <w:noProof/>
              </w:rPr>
              <w:t>PO2b</w:t>
            </w:r>
          </w:p>
        </w:tc>
        <w:tc>
          <w:tcPr>
            <w:tcW w:w="3602" w:type="dxa"/>
          </w:tcPr>
          <w:p w14:paraId="08182929" w14:textId="77777777" w:rsidR="009155A8" w:rsidRPr="00881BC8" w:rsidRDefault="009155A8" w:rsidP="002C2CA2">
            <w:pPr>
              <w:pStyle w:val="Text2"/>
              <w:ind w:left="0"/>
              <w:rPr>
                <w:noProof/>
              </w:rPr>
            </w:pPr>
            <w:r w:rsidRPr="00881BC8">
              <w:rPr>
                <w:noProof/>
              </w:rPr>
              <w:t>Deterrent from enforcement bodies</w:t>
            </w:r>
          </w:p>
        </w:tc>
        <w:tc>
          <w:tcPr>
            <w:tcW w:w="3603" w:type="dxa"/>
          </w:tcPr>
          <w:p w14:paraId="21EFB4C1" w14:textId="77777777" w:rsidR="009155A8" w:rsidRPr="00881BC8" w:rsidRDefault="009155A8" w:rsidP="002C2CA2">
            <w:pPr>
              <w:pStyle w:val="Text2"/>
              <w:ind w:left="0"/>
              <w:rPr>
                <w:noProof/>
              </w:rPr>
            </w:pPr>
          </w:p>
        </w:tc>
      </w:tr>
      <w:tr w:rsidR="009155A8" w:rsidRPr="00881BC8" w14:paraId="2701FBB7" w14:textId="77777777" w:rsidTr="009155A8">
        <w:tc>
          <w:tcPr>
            <w:tcW w:w="1721" w:type="dxa"/>
          </w:tcPr>
          <w:p w14:paraId="151ECE0A" w14:textId="77777777" w:rsidR="009155A8" w:rsidRPr="00881BC8" w:rsidRDefault="009155A8" w:rsidP="002C2CA2">
            <w:pPr>
              <w:pStyle w:val="Text2"/>
              <w:ind w:left="0"/>
              <w:rPr>
                <w:noProof/>
              </w:rPr>
            </w:pPr>
            <w:r w:rsidRPr="00881BC8">
              <w:rPr>
                <w:noProof/>
              </w:rPr>
              <w:t>PO3</w:t>
            </w:r>
          </w:p>
        </w:tc>
        <w:tc>
          <w:tcPr>
            <w:tcW w:w="3602" w:type="dxa"/>
          </w:tcPr>
          <w:p w14:paraId="59D31F23" w14:textId="77777777" w:rsidR="009155A8" w:rsidRPr="00881BC8" w:rsidRDefault="009155A8" w:rsidP="002C2CA2">
            <w:pPr>
              <w:pStyle w:val="Text2"/>
              <w:ind w:left="0"/>
              <w:rPr>
                <w:noProof/>
              </w:rPr>
            </w:pPr>
            <w:r w:rsidRPr="00881BC8">
              <w:rPr>
                <w:noProof/>
              </w:rPr>
              <w:t>Avoiding court cases thanks to Member States specifically addressing unfair contractual terms and practices through their national law</w:t>
            </w:r>
          </w:p>
        </w:tc>
        <w:tc>
          <w:tcPr>
            <w:tcW w:w="3603" w:type="dxa"/>
          </w:tcPr>
          <w:p w14:paraId="135E62D3" w14:textId="77777777" w:rsidR="009155A8" w:rsidRPr="00881BC8" w:rsidRDefault="009155A8" w:rsidP="002C2CA2">
            <w:pPr>
              <w:pStyle w:val="Text2"/>
              <w:ind w:left="0"/>
              <w:rPr>
                <w:noProof/>
              </w:rPr>
            </w:pPr>
          </w:p>
        </w:tc>
      </w:tr>
      <w:tr w:rsidR="009155A8" w:rsidRPr="00881BC8" w14:paraId="4E365964" w14:textId="77777777" w:rsidTr="009155A8">
        <w:tc>
          <w:tcPr>
            <w:tcW w:w="1721" w:type="dxa"/>
          </w:tcPr>
          <w:p w14:paraId="122264C3" w14:textId="77777777" w:rsidR="009155A8" w:rsidRPr="00881BC8" w:rsidRDefault="009155A8" w:rsidP="002C2CA2">
            <w:pPr>
              <w:pStyle w:val="Text2"/>
              <w:ind w:left="0"/>
              <w:rPr>
                <w:noProof/>
              </w:rPr>
            </w:pPr>
            <w:r w:rsidRPr="00881BC8">
              <w:rPr>
                <w:noProof/>
              </w:rPr>
              <w:t>PO3a</w:t>
            </w:r>
          </w:p>
        </w:tc>
        <w:tc>
          <w:tcPr>
            <w:tcW w:w="3602" w:type="dxa"/>
          </w:tcPr>
          <w:p w14:paraId="4C80590B" w14:textId="77777777" w:rsidR="009155A8" w:rsidRPr="00881BC8" w:rsidRDefault="009155A8" w:rsidP="002C2CA2">
            <w:pPr>
              <w:pStyle w:val="Text2"/>
              <w:ind w:left="0"/>
              <w:rPr>
                <w:noProof/>
              </w:rPr>
            </w:pPr>
            <w:r w:rsidRPr="00881BC8">
              <w:rPr>
                <w:noProof/>
              </w:rPr>
              <w:t>EUR 2.6 million per year in recovered debt across EU-27</w:t>
            </w:r>
          </w:p>
        </w:tc>
        <w:tc>
          <w:tcPr>
            <w:tcW w:w="3603" w:type="dxa"/>
          </w:tcPr>
          <w:p w14:paraId="72E4CA6B" w14:textId="77777777" w:rsidR="009155A8" w:rsidRPr="00881BC8" w:rsidRDefault="009155A8" w:rsidP="002C2CA2">
            <w:pPr>
              <w:pStyle w:val="Text2"/>
              <w:ind w:left="0"/>
              <w:rPr>
                <w:noProof/>
              </w:rPr>
            </w:pPr>
          </w:p>
        </w:tc>
      </w:tr>
      <w:tr w:rsidR="009155A8" w:rsidRPr="00881BC8" w14:paraId="1EA4330C" w14:textId="77777777" w:rsidTr="009155A8">
        <w:tc>
          <w:tcPr>
            <w:tcW w:w="1721" w:type="dxa"/>
          </w:tcPr>
          <w:p w14:paraId="1610282C" w14:textId="77777777" w:rsidR="009155A8" w:rsidRPr="00881BC8" w:rsidRDefault="009155A8" w:rsidP="002C2CA2">
            <w:pPr>
              <w:pStyle w:val="Text2"/>
              <w:ind w:left="0"/>
              <w:rPr>
                <w:noProof/>
              </w:rPr>
            </w:pPr>
            <w:r w:rsidRPr="00881BC8">
              <w:rPr>
                <w:noProof/>
              </w:rPr>
              <w:t>PO3b</w:t>
            </w:r>
          </w:p>
        </w:tc>
        <w:tc>
          <w:tcPr>
            <w:tcW w:w="3602" w:type="dxa"/>
          </w:tcPr>
          <w:p w14:paraId="04E1E778" w14:textId="77777777" w:rsidR="009155A8" w:rsidRPr="00881BC8" w:rsidRDefault="009155A8" w:rsidP="002C2CA2">
            <w:pPr>
              <w:pStyle w:val="Text2"/>
              <w:ind w:left="0"/>
              <w:rPr>
                <w:noProof/>
              </w:rPr>
            </w:pPr>
            <w:r w:rsidRPr="00881BC8">
              <w:rPr>
                <w:noProof/>
              </w:rPr>
              <w:t>Cost savings of EUR 27 million per year from avoided court cases</w:t>
            </w:r>
          </w:p>
          <w:p w14:paraId="6979A502" w14:textId="77777777" w:rsidR="009155A8" w:rsidRPr="00881BC8" w:rsidRDefault="009155A8" w:rsidP="002C2CA2">
            <w:pPr>
              <w:pStyle w:val="Text2"/>
              <w:ind w:left="0"/>
              <w:rPr>
                <w:noProof/>
              </w:rPr>
            </w:pPr>
            <w:r w:rsidRPr="00881BC8">
              <w:rPr>
                <w:noProof/>
              </w:rPr>
              <w:t>Reduction in payment delays of 5.5%</w:t>
            </w:r>
          </w:p>
        </w:tc>
        <w:tc>
          <w:tcPr>
            <w:tcW w:w="3603" w:type="dxa"/>
          </w:tcPr>
          <w:p w14:paraId="7ABC2353" w14:textId="77777777" w:rsidR="009155A8" w:rsidRPr="00881BC8" w:rsidRDefault="009155A8" w:rsidP="002C2CA2">
            <w:pPr>
              <w:pStyle w:val="Text2"/>
              <w:ind w:left="0"/>
              <w:rPr>
                <w:noProof/>
              </w:rPr>
            </w:pPr>
          </w:p>
        </w:tc>
      </w:tr>
    </w:tbl>
    <w:p w14:paraId="1C470BA2" w14:textId="77777777" w:rsidR="009155A8" w:rsidRPr="00881BC8" w:rsidRDefault="009155A8" w:rsidP="009155A8">
      <w:pPr>
        <w:pStyle w:val="Text2"/>
        <w:ind w:left="0"/>
        <w:rPr>
          <w:noProof/>
        </w:rPr>
      </w:pPr>
    </w:p>
    <w:p w14:paraId="6C960923" w14:textId="77777777" w:rsidR="009155A8" w:rsidRPr="00881BC8" w:rsidRDefault="009155A8" w:rsidP="009155A8">
      <w:pPr>
        <w:pStyle w:val="Text2"/>
        <w:ind w:left="0"/>
        <w:rPr>
          <w:noProof/>
        </w:rPr>
      </w:pPr>
    </w:p>
    <w:p w14:paraId="02483843" w14:textId="77777777" w:rsidR="00620249" w:rsidRPr="00881BC8" w:rsidRDefault="00620249">
      <w:pPr>
        <w:spacing w:after="200" w:line="276" w:lineRule="auto"/>
        <w:jc w:val="left"/>
        <w:rPr>
          <w:rFonts w:eastAsia="@Yu Mincho Light"/>
          <w:b/>
          <w:noProof/>
          <w:color w:val="263673"/>
          <w:sz w:val="20"/>
          <w:szCs w:val="20"/>
        </w:rPr>
      </w:pPr>
      <w:r w:rsidRPr="00881BC8">
        <w:rPr>
          <w:noProof/>
        </w:rPr>
        <w:br w:type="page"/>
      </w:r>
    </w:p>
    <w:p w14:paraId="2D2DBE80" w14:textId="7E2EB656" w:rsidR="009155A8" w:rsidRPr="00881BC8" w:rsidRDefault="009155A8" w:rsidP="009155A8">
      <w:pPr>
        <w:pStyle w:val="Caption"/>
        <w:rPr>
          <w:noProof/>
          <w:lang w:val="en-GB"/>
        </w:rPr>
      </w:pPr>
      <w:r w:rsidRPr="00881BC8">
        <w:rPr>
          <w:noProof/>
          <w:lang w:val="en-GB"/>
        </w:rPr>
        <w:t xml:space="preserve">Table </w:t>
      </w:r>
      <w:r w:rsidR="005851F4">
        <w:rPr>
          <w:noProof/>
          <w:lang w:val="en-GB"/>
        </w:rPr>
        <w:t>15</w:t>
      </w:r>
      <w:r w:rsidRPr="00881BC8">
        <w:rPr>
          <w:noProof/>
          <w:lang w:val="en-GB"/>
        </w:rPr>
        <w:t>: Summary of Economic impacts on public authorities</w:t>
      </w:r>
    </w:p>
    <w:tbl>
      <w:tblPr>
        <w:tblStyle w:val="TableGrid"/>
        <w:tblW w:w="8926" w:type="dxa"/>
        <w:tblLook w:val="04A0" w:firstRow="1" w:lastRow="0" w:firstColumn="1" w:lastColumn="0" w:noHBand="0" w:noVBand="1"/>
      </w:tblPr>
      <w:tblGrid>
        <w:gridCol w:w="1721"/>
        <w:gridCol w:w="3602"/>
        <w:gridCol w:w="3603"/>
      </w:tblGrid>
      <w:tr w:rsidR="009155A8" w:rsidRPr="00881BC8" w14:paraId="01FAED3C" w14:textId="77777777" w:rsidTr="009155A8">
        <w:trPr>
          <w:tblHeader/>
        </w:trPr>
        <w:tc>
          <w:tcPr>
            <w:tcW w:w="1721" w:type="dxa"/>
          </w:tcPr>
          <w:p w14:paraId="5E5D9AD5" w14:textId="77777777" w:rsidR="009155A8" w:rsidRPr="00881BC8" w:rsidRDefault="009155A8" w:rsidP="002C2CA2">
            <w:pPr>
              <w:pStyle w:val="Text2"/>
              <w:ind w:left="0"/>
              <w:rPr>
                <w:b/>
                <w:bCs/>
                <w:noProof/>
              </w:rPr>
            </w:pPr>
          </w:p>
        </w:tc>
        <w:tc>
          <w:tcPr>
            <w:tcW w:w="3602" w:type="dxa"/>
          </w:tcPr>
          <w:p w14:paraId="4809B4E5" w14:textId="77777777" w:rsidR="009155A8" w:rsidRPr="00881BC8" w:rsidRDefault="009155A8" w:rsidP="002C2CA2">
            <w:pPr>
              <w:pStyle w:val="Text2"/>
              <w:ind w:left="0"/>
              <w:rPr>
                <w:b/>
                <w:bCs/>
                <w:noProof/>
              </w:rPr>
            </w:pPr>
            <w:r w:rsidRPr="00881BC8">
              <w:rPr>
                <w:b/>
                <w:bCs/>
                <w:noProof/>
              </w:rPr>
              <w:t>Benefits for public authorities</w:t>
            </w:r>
          </w:p>
        </w:tc>
        <w:tc>
          <w:tcPr>
            <w:tcW w:w="3603" w:type="dxa"/>
          </w:tcPr>
          <w:p w14:paraId="376D9507" w14:textId="77777777" w:rsidR="009155A8" w:rsidRPr="00881BC8" w:rsidRDefault="009155A8" w:rsidP="002C2CA2">
            <w:pPr>
              <w:pStyle w:val="Text2"/>
              <w:ind w:left="0"/>
              <w:rPr>
                <w:b/>
                <w:bCs/>
                <w:noProof/>
              </w:rPr>
            </w:pPr>
            <w:r w:rsidRPr="00881BC8">
              <w:rPr>
                <w:b/>
                <w:bCs/>
                <w:noProof/>
              </w:rPr>
              <w:t>Costs for public authorities</w:t>
            </w:r>
          </w:p>
        </w:tc>
      </w:tr>
      <w:tr w:rsidR="009155A8" w:rsidRPr="00881BC8" w14:paraId="6A7A9928" w14:textId="77777777" w:rsidTr="009155A8">
        <w:trPr>
          <w:trHeight w:val="2146"/>
        </w:trPr>
        <w:tc>
          <w:tcPr>
            <w:tcW w:w="1721" w:type="dxa"/>
          </w:tcPr>
          <w:p w14:paraId="126BD969" w14:textId="77777777" w:rsidR="009155A8" w:rsidRPr="00881BC8" w:rsidRDefault="009155A8" w:rsidP="002C2CA2">
            <w:pPr>
              <w:pStyle w:val="Text2"/>
              <w:ind w:left="0"/>
              <w:rPr>
                <w:noProof/>
              </w:rPr>
            </w:pPr>
            <w:r w:rsidRPr="00881BC8">
              <w:rPr>
                <w:noProof/>
              </w:rPr>
              <w:t>PO1 (across all sub-options)</w:t>
            </w:r>
          </w:p>
        </w:tc>
        <w:tc>
          <w:tcPr>
            <w:tcW w:w="3602" w:type="dxa"/>
          </w:tcPr>
          <w:p w14:paraId="4E8056FB" w14:textId="77777777" w:rsidR="009155A8" w:rsidRPr="00881BC8" w:rsidRDefault="009155A8" w:rsidP="002C2CA2">
            <w:pPr>
              <w:pStyle w:val="Text2"/>
              <w:ind w:left="0"/>
              <w:rPr>
                <w:noProof/>
              </w:rPr>
            </w:pPr>
            <w:r w:rsidRPr="00881BC8">
              <w:rPr>
                <w:noProof/>
              </w:rPr>
              <w:t>Indirect effects of reduced late payments on bankruptcies and employment</w:t>
            </w:r>
          </w:p>
        </w:tc>
        <w:tc>
          <w:tcPr>
            <w:tcW w:w="3603" w:type="dxa"/>
          </w:tcPr>
          <w:p w14:paraId="2C95B0C1" w14:textId="77777777" w:rsidR="009155A8" w:rsidRPr="00881BC8" w:rsidRDefault="009155A8" w:rsidP="002C2CA2">
            <w:pPr>
              <w:pStyle w:val="Text2"/>
              <w:ind w:left="0"/>
              <w:rPr>
                <w:noProof/>
              </w:rPr>
            </w:pPr>
            <w:r w:rsidRPr="00881BC8">
              <w:rPr>
                <w:noProof/>
              </w:rPr>
              <w:t>Negligible administrative costs as capped payment terms concern B2B transactions</w:t>
            </w:r>
          </w:p>
          <w:p w14:paraId="05AAA03A" w14:textId="77777777" w:rsidR="009155A8" w:rsidRPr="00881BC8" w:rsidRDefault="009155A8" w:rsidP="002C2CA2">
            <w:pPr>
              <w:pStyle w:val="Text2"/>
              <w:ind w:left="0"/>
              <w:rPr>
                <w:noProof/>
              </w:rPr>
            </w:pPr>
            <w:r w:rsidRPr="00881BC8">
              <w:rPr>
                <w:noProof/>
              </w:rPr>
              <w:t>Negligible administrative costs from verification procedures within 30 days</w:t>
            </w:r>
          </w:p>
          <w:p w14:paraId="7DD188D0" w14:textId="77777777" w:rsidR="009155A8" w:rsidRPr="00881BC8" w:rsidRDefault="009155A8" w:rsidP="002C2CA2">
            <w:pPr>
              <w:pStyle w:val="Text2"/>
              <w:ind w:left="0"/>
              <w:rPr>
                <w:noProof/>
              </w:rPr>
            </w:pPr>
            <w:r w:rsidRPr="00881BC8">
              <w:rPr>
                <w:noProof/>
              </w:rPr>
              <w:t>Some adjustment cost to provide access to financial literacy and credit management training, depending on how Member States choose to structure their support in compliance with state aid rules</w:t>
            </w:r>
          </w:p>
        </w:tc>
      </w:tr>
      <w:tr w:rsidR="009155A8" w:rsidRPr="00881BC8" w14:paraId="7AE97039" w14:textId="77777777" w:rsidTr="009155A8">
        <w:tc>
          <w:tcPr>
            <w:tcW w:w="1721" w:type="dxa"/>
          </w:tcPr>
          <w:p w14:paraId="7C528EA3" w14:textId="77777777" w:rsidR="009155A8" w:rsidRPr="00881BC8" w:rsidRDefault="009155A8" w:rsidP="002C2CA2">
            <w:pPr>
              <w:pStyle w:val="Text2"/>
              <w:ind w:left="0"/>
              <w:rPr>
                <w:noProof/>
              </w:rPr>
            </w:pPr>
            <w:r w:rsidRPr="00881BC8">
              <w:rPr>
                <w:noProof/>
              </w:rPr>
              <w:t>PO2 (across all sub-options)</w:t>
            </w:r>
          </w:p>
        </w:tc>
        <w:tc>
          <w:tcPr>
            <w:tcW w:w="3602" w:type="dxa"/>
          </w:tcPr>
          <w:p w14:paraId="0636EDC4" w14:textId="77777777" w:rsidR="009155A8" w:rsidRPr="00881BC8" w:rsidRDefault="009155A8" w:rsidP="002C2CA2">
            <w:pPr>
              <w:pStyle w:val="Text2"/>
              <w:ind w:left="0"/>
              <w:rPr>
                <w:noProof/>
              </w:rPr>
            </w:pPr>
            <w:r w:rsidRPr="00881BC8">
              <w:rPr>
                <w:noProof/>
              </w:rPr>
              <w:t>Improved execution of public work projects through prompt payment of subcontractors</w:t>
            </w:r>
          </w:p>
        </w:tc>
        <w:tc>
          <w:tcPr>
            <w:tcW w:w="3603" w:type="dxa"/>
          </w:tcPr>
          <w:p w14:paraId="044C3712" w14:textId="77777777" w:rsidR="009155A8" w:rsidRPr="00881BC8" w:rsidRDefault="009155A8" w:rsidP="002C2CA2">
            <w:pPr>
              <w:pStyle w:val="Text2"/>
              <w:ind w:left="0"/>
              <w:rPr>
                <w:noProof/>
              </w:rPr>
            </w:pPr>
            <w:r w:rsidRPr="00881BC8">
              <w:rPr>
                <w:noProof/>
              </w:rPr>
              <w:t>Public authorities have to pay interest and compensation fees to public contractors when paying late</w:t>
            </w:r>
          </w:p>
        </w:tc>
      </w:tr>
      <w:tr w:rsidR="009155A8" w:rsidRPr="00881BC8" w14:paraId="113650C3" w14:textId="77777777" w:rsidTr="009155A8">
        <w:tc>
          <w:tcPr>
            <w:tcW w:w="1721" w:type="dxa"/>
          </w:tcPr>
          <w:p w14:paraId="68832DDF" w14:textId="77777777" w:rsidR="009155A8" w:rsidRPr="00881BC8" w:rsidRDefault="009155A8" w:rsidP="002C2CA2">
            <w:pPr>
              <w:pStyle w:val="Text2"/>
              <w:ind w:left="0"/>
              <w:rPr>
                <w:noProof/>
              </w:rPr>
            </w:pPr>
            <w:r w:rsidRPr="00881BC8">
              <w:rPr>
                <w:noProof/>
              </w:rPr>
              <w:t>PO2a</w:t>
            </w:r>
          </w:p>
        </w:tc>
        <w:tc>
          <w:tcPr>
            <w:tcW w:w="3602" w:type="dxa"/>
          </w:tcPr>
          <w:p w14:paraId="0B83A4E6" w14:textId="77777777" w:rsidR="009155A8" w:rsidRPr="00881BC8" w:rsidRDefault="009155A8" w:rsidP="002C2CA2">
            <w:pPr>
              <w:pStyle w:val="Text2"/>
              <w:ind w:left="0"/>
              <w:rPr>
                <w:noProof/>
              </w:rPr>
            </w:pPr>
            <w:r w:rsidRPr="00881BC8">
              <w:rPr>
                <w:noProof/>
              </w:rPr>
              <w:t>Regulatory fines imposed on debtors of up to EUR 136.8 million per year for the EU-27</w:t>
            </w:r>
          </w:p>
        </w:tc>
        <w:tc>
          <w:tcPr>
            <w:tcW w:w="3603" w:type="dxa"/>
          </w:tcPr>
          <w:p w14:paraId="5459B9B6" w14:textId="77777777" w:rsidR="009155A8" w:rsidRPr="00881BC8" w:rsidRDefault="009155A8" w:rsidP="002C2CA2">
            <w:pPr>
              <w:pStyle w:val="Text2"/>
              <w:ind w:left="0"/>
              <w:rPr>
                <w:noProof/>
              </w:rPr>
            </w:pPr>
            <w:r w:rsidRPr="00881BC8">
              <w:rPr>
                <w:noProof/>
              </w:rPr>
              <w:t>Cost of designating national enforcement bodies, estimated at EUR 60-65 million per year for the whole EU-27</w:t>
            </w:r>
          </w:p>
        </w:tc>
      </w:tr>
      <w:tr w:rsidR="009155A8" w:rsidRPr="00881BC8" w14:paraId="27D200EE" w14:textId="77777777" w:rsidTr="009155A8">
        <w:tc>
          <w:tcPr>
            <w:tcW w:w="1721" w:type="dxa"/>
          </w:tcPr>
          <w:p w14:paraId="6BC513EA" w14:textId="77777777" w:rsidR="009155A8" w:rsidRPr="00881BC8" w:rsidRDefault="009155A8" w:rsidP="002C2CA2">
            <w:pPr>
              <w:pStyle w:val="Text2"/>
              <w:ind w:left="0"/>
              <w:rPr>
                <w:noProof/>
              </w:rPr>
            </w:pPr>
            <w:r w:rsidRPr="00881BC8">
              <w:rPr>
                <w:noProof/>
              </w:rPr>
              <w:t>PO2b</w:t>
            </w:r>
          </w:p>
        </w:tc>
        <w:tc>
          <w:tcPr>
            <w:tcW w:w="3602" w:type="dxa"/>
          </w:tcPr>
          <w:p w14:paraId="0299F85D" w14:textId="77777777" w:rsidR="009155A8" w:rsidRPr="00881BC8" w:rsidRDefault="009155A8" w:rsidP="002C2CA2">
            <w:pPr>
              <w:pStyle w:val="Text2"/>
              <w:ind w:left="0"/>
              <w:rPr>
                <w:noProof/>
              </w:rPr>
            </w:pPr>
          </w:p>
        </w:tc>
        <w:tc>
          <w:tcPr>
            <w:tcW w:w="3603" w:type="dxa"/>
          </w:tcPr>
          <w:p w14:paraId="67D9C11A" w14:textId="1268F2C6" w:rsidR="009155A8" w:rsidRPr="00881BC8" w:rsidRDefault="009155A8" w:rsidP="002C2CA2">
            <w:pPr>
              <w:pStyle w:val="Text2"/>
              <w:ind w:left="0"/>
              <w:rPr>
                <w:noProof/>
              </w:rPr>
            </w:pPr>
            <w:r w:rsidRPr="00881BC8">
              <w:rPr>
                <w:noProof/>
              </w:rPr>
              <w:t>Cost of designating national enforcement bodies without sanctioning powers</w:t>
            </w:r>
          </w:p>
        </w:tc>
      </w:tr>
      <w:tr w:rsidR="009155A8" w:rsidRPr="00881BC8" w14:paraId="35AA16FC" w14:textId="77777777" w:rsidTr="009155A8">
        <w:tc>
          <w:tcPr>
            <w:tcW w:w="1721" w:type="dxa"/>
          </w:tcPr>
          <w:p w14:paraId="3E7A65F4" w14:textId="77777777" w:rsidR="009155A8" w:rsidRPr="00881BC8" w:rsidRDefault="009155A8" w:rsidP="002C2CA2">
            <w:pPr>
              <w:pStyle w:val="Text2"/>
              <w:ind w:left="0"/>
              <w:rPr>
                <w:noProof/>
              </w:rPr>
            </w:pPr>
            <w:r w:rsidRPr="00881BC8">
              <w:rPr>
                <w:noProof/>
              </w:rPr>
              <w:t>PO3</w:t>
            </w:r>
          </w:p>
        </w:tc>
        <w:tc>
          <w:tcPr>
            <w:tcW w:w="3602" w:type="dxa"/>
          </w:tcPr>
          <w:p w14:paraId="78A62405" w14:textId="77777777" w:rsidR="009155A8" w:rsidRPr="00881BC8" w:rsidRDefault="009155A8" w:rsidP="002C2CA2">
            <w:pPr>
              <w:pStyle w:val="Text2"/>
              <w:ind w:left="0"/>
              <w:rPr>
                <w:noProof/>
              </w:rPr>
            </w:pPr>
            <w:r w:rsidRPr="00881BC8">
              <w:rPr>
                <w:noProof/>
              </w:rPr>
              <w:t>Reduced burden on judicial system through avoided court cases</w:t>
            </w:r>
          </w:p>
        </w:tc>
        <w:tc>
          <w:tcPr>
            <w:tcW w:w="3603" w:type="dxa"/>
          </w:tcPr>
          <w:p w14:paraId="18C0C09D" w14:textId="77777777" w:rsidR="009155A8" w:rsidRPr="00881BC8" w:rsidRDefault="009155A8" w:rsidP="002C2CA2">
            <w:pPr>
              <w:pStyle w:val="Text2"/>
              <w:ind w:left="0"/>
              <w:rPr>
                <w:noProof/>
              </w:rPr>
            </w:pPr>
            <w:r w:rsidRPr="00881BC8">
              <w:rPr>
                <w:noProof/>
              </w:rPr>
              <w:t>Limited one-off costs on Member States to specifically address the question of unfair contractual terms and practices through their applicable national law, covered under a “business-as-usual” scenario</w:t>
            </w:r>
          </w:p>
        </w:tc>
      </w:tr>
      <w:tr w:rsidR="009155A8" w:rsidRPr="00881BC8" w14:paraId="048438DF" w14:textId="77777777" w:rsidTr="009155A8">
        <w:tc>
          <w:tcPr>
            <w:tcW w:w="1721" w:type="dxa"/>
          </w:tcPr>
          <w:p w14:paraId="5940941E" w14:textId="77777777" w:rsidR="009155A8" w:rsidRPr="00881BC8" w:rsidRDefault="009155A8" w:rsidP="002C2CA2">
            <w:pPr>
              <w:pStyle w:val="Text2"/>
              <w:ind w:left="0"/>
              <w:rPr>
                <w:noProof/>
              </w:rPr>
            </w:pPr>
            <w:r w:rsidRPr="00881BC8">
              <w:rPr>
                <w:noProof/>
              </w:rPr>
              <w:t>PO3a</w:t>
            </w:r>
          </w:p>
        </w:tc>
        <w:tc>
          <w:tcPr>
            <w:tcW w:w="3602" w:type="dxa"/>
          </w:tcPr>
          <w:p w14:paraId="1D7F232F" w14:textId="77777777" w:rsidR="009155A8" w:rsidRPr="00881BC8" w:rsidRDefault="009155A8" w:rsidP="002C2CA2">
            <w:pPr>
              <w:pStyle w:val="Text2"/>
              <w:ind w:left="0"/>
              <w:rPr>
                <w:noProof/>
              </w:rPr>
            </w:pPr>
          </w:p>
        </w:tc>
        <w:tc>
          <w:tcPr>
            <w:tcW w:w="3603" w:type="dxa"/>
          </w:tcPr>
          <w:p w14:paraId="31758536" w14:textId="77777777" w:rsidR="009155A8" w:rsidRPr="00881BC8" w:rsidRDefault="009155A8" w:rsidP="002C2CA2">
            <w:pPr>
              <w:pStyle w:val="Text2"/>
              <w:ind w:left="0"/>
              <w:rPr>
                <w:noProof/>
              </w:rPr>
            </w:pPr>
            <w:r w:rsidRPr="00881BC8">
              <w:rPr>
                <w:noProof/>
              </w:rPr>
              <w:t>Cost of running national payment envoys, estimated at EUR 11.8 million per year for the whole EU-27</w:t>
            </w:r>
          </w:p>
        </w:tc>
      </w:tr>
      <w:tr w:rsidR="009155A8" w:rsidRPr="00881BC8" w14:paraId="37BFF3FD" w14:textId="77777777" w:rsidTr="009155A8">
        <w:tc>
          <w:tcPr>
            <w:tcW w:w="1721" w:type="dxa"/>
          </w:tcPr>
          <w:p w14:paraId="5F8664BA" w14:textId="77777777" w:rsidR="009155A8" w:rsidRPr="00881BC8" w:rsidRDefault="009155A8" w:rsidP="002C2CA2">
            <w:pPr>
              <w:pStyle w:val="Text2"/>
              <w:ind w:left="0"/>
              <w:rPr>
                <w:noProof/>
              </w:rPr>
            </w:pPr>
            <w:r w:rsidRPr="00881BC8">
              <w:rPr>
                <w:noProof/>
              </w:rPr>
              <w:t>PO3b</w:t>
            </w:r>
          </w:p>
        </w:tc>
        <w:tc>
          <w:tcPr>
            <w:tcW w:w="3602" w:type="dxa"/>
          </w:tcPr>
          <w:p w14:paraId="41D329BC" w14:textId="77777777" w:rsidR="009155A8" w:rsidRPr="00881BC8" w:rsidRDefault="009155A8" w:rsidP="002C2CA2">
            <w:pPr>
              <w:pStyle w:val="Text2"/>
              <w:ind w:left="0"/>
              <w:rPr>
                <w:noProof/>
              </w:rPr>
            </w:pPr>
            <w:r w:rsidRPr="00881BC8">
              <w:rPr>
                <w:noProof/>
              </w:rPr>
              <w:t>Public authorities can cheaper solve their own disputes through mediation services instead of being taken to court</w:t>
            </w:r>
          </w:p>
        </w:tc>
        <w:tc>
          <w:tcPr>
            <w:tcW w:w="3603" w:type="dxa"/>
          </w:tcPr>
          <w:p w14:paraId="5CF4D5EE" w14:textId="77777777" w:rsidR="009155A8" w:rsidRPr="00881BC8" w:rsidRDefault="009155A8" w:rsidP="002C2CA2">
            <w:pPr>
              <w:pStyle w:val="Text2"/>
              <w:ind w:left="0"/>
              <w:rPr>
                <w:noProof/>
              </w:rPr>
            </w:pPr>
            <w:r w:rsidRPr="00881BC8">
              <w:rPr>
                <w:noProof/>
              </w:rPr>
              <w:t>Cost of running mediation system, estimated at EUR 10.8-39.8 million per year for the whole EU-27</w:t>
            </w:r>
          </w:p>
        </w:tc>
      </w:tr>
    </w:tbl>
    <w:p w14:paraId="59FFF34C" w14:textId="77777777" w:rsidR="009155A8" w:rsidRPr="00881BC8" w:rsidRDefault="009155A8" w:rsidP="009155A8">
      <w:pPr>
        <w:pStyle w:val="Text2"/>
        <w:ind w:left="0"/>
        <w:rPr>
          <w:noProof/>
        </w:rPr>
      </w:pPr>
    </w:p>
    <w:p w14:paraId="4B2581E7" w14:textId="77777777" w:rsidR="009155A8" w:rsidRPr="00881BC8" w:rsidRDefault="009155A8" w:rsidP="009155A8">
      <w:pPr>
        <w:rPr>
          <w:noProof/>
        </w:rPr>
      </w:pPr>
    </w:p>
    <w:p w14:paraId="569A990C" w14:textId="77777777" w:rsidR="009155A8" w:rsidRPr="00881BC8" w:rsidRDefault="009155A8">
      <w:pPr>
        <w:spacing w:after="200" w:line="276" w:lineRule="auto"/>
        <w:jc w:val="left"/>
        <w:rPr>
          <w:rFonts w:eastAsia="Times New Roman"/>
          <w:b/>
          <w:smallCaps/>
          <w:noProof/>
          <w:sz w:val="32"/>
          <w:szCs w:val="20"/>
        </w:rPr>
      </w:pPr>
    </w:p>
    <w:sectPr w:rsidR="009155A8" w:rsidRPr="00881BC8" w:rsidSect="00442FB4">
      <w:headerReference w:type="even" r:id="rId118"/>
      <w:headerReference w:type="default" r:id="rId119"/>
      <w:footerReference w:type="even" r:id="rId120"/>
      <w:footerReference w:type="default" r:id="rId121"/>
      <w:headerReference w:type="first" r:id="rId122"/>
      <w:footerReference w:type="first" r:id="rId123"/>
      <w:pgSz w:w="11906" w:h="16838"/>
      <w:pgMar w:top="1020" w:right="1701" w:bottom="1020" w:left="1587" w:header="601" w:footer="1077"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17" w:author="EICHER Acki" w:date="2023-09-13T18:28:00Z" w:initials="EA">
    <w:p w14:paraId="446239FF" w14:textId="4A740232" w:rsidR="00FE69C5" w:rsidRDefault="00FE69C5">
      <w:pPr>
        <w:pStyle w:val="CommentText"/>
      </w:pPr>
      <w:r>
        <w:rPr>
          <w:rStyle w:val="CommentReference"/>
        </w:rPr>
        <w:annotationRef/>
      </w:r>
      <w:r>
        <w:t>This shape has been converted to an inline shape. Please check the position.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46239F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AC7DE9" w16cex:dateUtc="2023-09-13T16: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6239FF" w16cid:durableId="28AC7DE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A5E57" w14:textId="77777777" w:rsidR="00977DF8" w:rsidRDefault="00977DF8" w:rsidP="000E3086">
      <w:r>
        <w:separator/>
      </w:r>
    </w:p>
  </w:endnote>
  <w:endnote w:type="continuationSeparator" w:id="0">
    <w:p w14:paraId="4898D917" w14:textId="77777777" w:rsidR="00977DF8" w:rsidRDefault="00977DF8" w:rsidP="000E3086">
      <w:r>
        <w:continuationSeparator/>
      </w:r>
    </w:p>
  </w:endnote>
  <w:endnote w:type="continuationNotice" w:id="1">
    <w:p w14:paraId="1CA17444" w14:textId="77777777" w:rsidR="00977DF8" w:rsidRDefault="00977DF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Light">
    <w:altName w:val="@Yu Gothic"/>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9E4D5" w14:textId="77777777" w:rsidR="00BC129D" w:rsidRDefault="00BC129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CA4FA" w14:textId="77777777" w:rsidR="001C7B47" w:rsidRDefault="001C7B47" w:rsidP="000E308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386122"/>
      <w:docPartObj>
        <w:docPartGallery w:val="Page Numbers (Bottom of Page)"/>
        <w:docPartUnique/>
      </w:docPartObj>
    </w:sdtPr>
    <w:sdtEndPr>
      <w:rPr>
        <w:noProof/>
      </w:rPr>
    </w:sdtEndPr>
    <w:sdtContent>
      <w:p w14:paraId="1047B2C6" w14:textId="77777777" w:rsidR="001C7B47" w:rsidRDefault="001C7B47">
        <w:pPr>
          <w:pStyle w:val="Footer"/>
          <w:jc w:val="right"/>
        </w:pPr>
        <w:r>
          <w:fldChar w:fldCharType="begin"/>
        </w:r>
        <w:r>
          <w:instrText xml:space="preserve"> PAGE  \* Arabic  \* MERGEFORMAT </w:instrText>
        </w:r>
        <w:r>
          <w:fldChar w:fldCharType="separate"/>
        </w:r>
        <w:r>
          <w:rPr>
            <w:noProof/>
          </w:rPr>
          <w:t>82</w:t>
        </w:r>
        <w:r>
          <w:fldChar w:fldCharType="end"/>
        </w:r>
      </w:p>
    </w:sdtContent>
  </w:sdt>
  <w:p w14:paraId="29A20D3A" w14:textId="77777777" w:rsidR="001C7B47" w:rsidRPr="00CD516A" w:rsidRDefault="001C7B47" w:rsidP="000E308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42EC4" w14:textId="77777777" w:rsidR="001C7B47" w:rsidRDefault="001C7B47" w:rsidP="0084753B">
    <w:pPr>
      <w:pStyle w:val="Footer"/>
      <w:jc w:val="right"/>
    </w:pPr>
    <w:r>
      <w:fldChar w:fldCharType="begin"/>
    </w:r>
    <w:r>
      <w:instrText xml:space="preserve"> PAGE  \* Arabic  \* MERGEFORMAT </w:instrText>
    </w:r>
    <w:r>
      <w:fldChar w:fldCharType="separate"/>
    </w:r>
    <w:r>
      <w:rPr>
        <w:noProof/>
      </w:rPr>
      <w:t>90</w:t>
    </w:r>
    <w:r>
      <w:fldChar w:fldCharType="end"/>
    </w:r>
  </w:p>
  <w:p w14:paraId="1992F617" w14:textId="77777777" w:rsidR="001C7B47" w:rsidRDefault="001C7B47" w:rsidP="000E30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0" w:type="dxa"/>
        <w:right w:w="0" w:type="dxa"/>
      </w:tblCellMar>
      <w:tblLook w:val="01E0" w:firstRow="1" w:lastRow="1" w:firstColumn="1" w:lastColumn="1" w:noHBand="0" w:noVBand="0"/>
    </w:tblPr>
    <w:tblGrid>
      <w:gridCol w:w="3421"/>
      <w:gridCol w:w="1399"/>
      <w:gridCol w:w="1205"/>
      <w:gridCol w:w="200"/>
      <w:gridCol w:w="1430"/>
      <w:gridCol w:w="848"/>
      <w:gridCol w:w="1135"/>
    </w:tblGrid>
    <w:tr w:rsidR="00BC129D" w:rsidRPr="00D94637" w14:paraId="00727C1B" w14:textId="77777777" w:rsidTr="00BC129D">
      <w:trPr>
        <w:jc w:val="center"/>
      </w:trPr>
      <w:tc>
        <w:tcPr>
          <w:tcW w:w="5000" w:type="pct"/>
          <w:gridSpan w:val="7"/>
          <w:shd w:val="clear" w:color="auto" w:fill="auto"/>
          <w:tcMar>
            <w:top w:w="57" w:type="dxa"/>
          </w:tcMar>
        </w:tcPr>
        <w:p w14:paraId="0261E3F2" w14:textId="77777777" w:rsidR="00BC129D" w:rsidRPr="00D94637" w:rsidRDefault="00BC129D" w:rsidP="00D94637">
          <w:pPr>
            <w:pStyle w:val="FooterText"/>
            <w:pBdr>
              <w:top w:val="single" w:sz="4" w:space="1" w:color="auto"/>
            </w:pBdr>
            <w:spacing w:before="200"/>
            <w:rPr>
              <w:sz w:val="2"/>
              <w:szCs w:val="2"/>
            </w:rPr>
          </w:pPr>
          <w:bookmarkStart w:id="2" w:name="FOOTER_STANDARD"/>
        </w:p>
      </w:tc>
    </w:tr>
    <w:tr w:rsidR="00BC129D" w:rsidRPr="00B310DC" w14:paraId="0CFC5793" w14:textId="77777777" w:rsidTr="00BC129D">
      <w:trPr>
        <w:jc w:val="center"/>
      </w:trPr>
      <w:tc>
        <w:tcPr>
          <w:tcW w:w="2500" w:type="pct"/>
          <w:gridSpan w:val="2"/>
          <w:shd w:val="clear" w:color="auto" w:fill="auto"/>
          <w:tcMar>
            <w:top w:w="0" w:type="dxa"/>
          </w:tcMar>
        </w:tcPr>
        <w:p w14:paraId="430FCC56" w14:textId="6923076C" w:rsidR="00BC129D" w:rsidRPr="00AD7BF2" w:rsidRDefault="00BC129D" w:rsidP="004F54B2">
          <w:pPr>
            <w:pStyle w:val="FooterText"/>
          </w:pPr>
          <w:r>
            <w:t>12976/23</w:t>
          </w:r>
          <w:r w:rsidRPr="002511D8">
            <w:t xml:space="preserve"> </w:t>
          </w:r>
          <w:r>
            <w:t>ADD 4</w:t>
          </w:r>
        </w:p>
      </w:tc>
      <w:tc>
        <w:tcPr>
          <w:tcW w:w="625" w:type="pct"/>
          <w:shd w:val="clear" w:color="auto" w:fill="auto"/>
          <w:tcMar>
            <w:top w:w="0" w:type="dxa"/>
          </w:tcMar>
        </w:tcPr>
        <w:p w14:paraId="501ED661" w14:textId="77777777" w:rsidR="00BC129D" w:rsidRPr="00AD7BF2" w:rsidRDefault="00BC129D" w:rsidP="00D94637">
          <w:pPr>
            <w:pStyle w:val="FooterText"/>
            <w:jc w:val="center"/>
          </w:pPr>
        </w:p>
      </w:tc>
      <w:tc>
        <w:tcPr>
          <w:tcW w:w="1286" w:type="pct"/>
          <w:gridSpan w:val="3"/>
          <w:shd w:val="clear" w:color="auto" w:fill="auto"/>
          <w:tcMar>
            <w:top w:w="0" w:type="dxa"/>
          </w:tcMar>
        </w:tcPr>
        <w:p w14:paraId="4A13177C" w14:textId="5E7034E4" w:rsidR="00BC129D" w:rsidRPr="002511D8" w:rsidRDefault="00BC129D" w:rsidP="00D94637">
          <w:pPr>
            <w:pStyle w:val="FooterText"/>
            <w:jc w:val="center"/>
          </w:pPr>
          <w:r>
            <w:t>TP/ae</w:t>
          </w:r>
        </w:p>
      </w:tc>
      <w:tc>
        <w:tcPr>
          <w:tcW w:w="589" w:type="pct"/>
          <w:shd w:val="clear" w:color="auto" w:fill="auto"/>
          <w:tcMar>
            <w:top w:w="0" w:type="dxa"/>
          </w:tcMar>
        </w:tcPr>
        <w:p w14:paraId="5978DE7D" w14:textId="4D9BCFB1" w:rsidR="00BC129D" w:rsidRPr="00B310DC" w:rsidRDefault="00BC129D" w:rsidP="00D94637">
          <w:pPr>
            <w:pStyle w:val="FooterText"/>
            <w:jc w:val="right"/>
          </w:pPr>
          <w:r>
            <w:fldChar w:fldCharType="begin"/>
          </w:r>
          <w:r>
            <w:instrText xml:space="preserve"> PAGE  \* MERGEFORMAT </w:instrText>
          </w:r>
          <w:r>
            <w:fldChar w:fldCharType="separate"/>
          </w:r>
          <w:r>
            <w:rPr>
              <w:noProof/>
            </w:rPr>
            <w:t>0</w:t>
          </w:r>
          <w:r>
            <w:fldChar w:fldCharType="end"/>
          </w:r>
        </w:p>
      </w:tc>
    </w:tr>
    <w:tr w:rsidR="00BC129D" w:rsidRPr="00D94637" w14:paraId="0AE099E5" w14:textId="77777777" w:rsidTr="00BC129D">
      <w:trPr>
        <w:jc w:val="center"/>
      </w:trPr>
      <w:tc>
        <w:tcPr>
          <w:tcW w:w="1774" w:type="pct"/>
          <w:shd w:val="clear" w:color="auto" w:fill="auto"/>
        </w:tcPr>
        <w:p w14:paraId="47B86709" w14:textId="6542ADDE" w:rsidR="00BC129D" w:rsidRPr="00AD7BF2" w:rsidRDefault="00BC129D" w:rsidP="00D94637">
          <w:pPr>
            <w:pStyle w:val="FooterText"/>
            <w:spacing w:before="40"/>
          </w:pPr>
        </w:p>
      </w:tc>
      <w:tc>
        <w:tcPr>
          <w:tcW w:w="1455" w:type="pct"/>
          <w:gridSpan w:val="3"/>
          <w:shd w:val="clear" w:color="auto" w:fill="auto"/>
        </w:tcPr>
        <w:p w14:paraId="0855ACCC" w14:textId="1060ADCB" w:rsidR="00BC129D" w:rsidRPr="00AD7BF2" w:rsidRDefault="00BC129D" w:rsidP="00D204D6">
          <w:pPr>
            <w:pStyle w:val="FooterText"/>
            <w:spacing w:before="40"/>
            <w:jc w:val="center"/>
          </w:pPr>
          <w:r>
            <w:t>COMPET.1</w:t>
          </w:r>
        </w:p>
      </w:tc>
      <w:tc>
        <w:tcPr>
          <w:tcW w:w="742" w:type="pct"/>
          <w:shd w:val="clear" w:color="auto" w:fill="auto"/>
        </w:tcPr>
        <w:p w14:paraId="59D2D07F" w14:textId="6E14C638" w:rsidR="00BC129D" w:rsidRPr="00D94637" w:rsidRDefault="00BC129D" w:rsidP="002F0099">
          <w:pPr>
            <w:pStyle w:val="FooterText"/>
            <w:jc w:val="center"/>
            <w:rPr>
              <w:b/>
              <w:position w:val="-4"/>
              <w:sz w:val="36"/>
            </w:rPr>
          </w:pPr>
        </w:p>
      </w:tc>
      <w:tc>
        <w:tcPr>
          <w:tcW w:w="1029" w:type="pct"/>
          <w:gridSpan w:val="2"/>
          <w:shd w:val="clear" w:color="auto" w:fill="auto"/>
        </w:tcPr>
        <w:p w14:paraId="07956F6F" w14:textId="2CB273A8" w:rsidR="00BC129D" w:rsidRPr="000310C2" w:rsidRDefault="00BC129D" w:rsidP="00D94637">
          <w:pPr>
            <w:pStyle w:val="FooterText"/>
            <w:jc w:val="right"/>
            <w:rPr>
              <w:spacing w:val="-20"/>
              <w:sz w:val="16"/>
            </w:rPr>
          </w:pPr>
          <w:r>
            <w:rPr>
              <w:b/>
              <w:spacing w:val="-20"/>
              <w:position w:val="-4"/>
              <w:sz w:val="36"/>
            </w:rPr>
            <w:t>EN</w:t>
          </w:r>
        </w:p>
      </w:tc>
    </w:tr>
    <w:bookmarkEnd w:id="2"/>
  </w:tbl>
  <w:p w14:paraId="230683C0" w14:textId="20CAEF90" w:rsidR="00D67DCC" w:rsidRPr="00BC129D" w:rsidRDefault="00D67DCC" w:rsidP="00BC129D">
    <w:pPr>
      <w:pStyle w:val="FooterCouncil"/>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0" w:type="dxa"/>
        <w:right w:w="0" w:type="dxa"/>
      </w:tblCellMar>
      <w:tblLook w:val="01E0" w:firstRow="1" w:lastRow="1" w:firstColumn="1" w:lastColumn="1" w:noHBand="0" w:noVBand="0"/>
    </w:tblPr>
    <w:tblGrid>
      <w:gridCol w:w="3421"/>
      <w:gridCol w:w="1399"/>
      <w:gridCol w:w="1205"/>
      <w:gridCol w:w="200"/>
      <w:gridCol w:w="1430"/>
      <w:gridCol w:w="848"/>
      <w:gridCol w:w="1135"/>
    </w:tblGrid>
    <w:tr w:rsidR="00BC129D" w:rsidRPr="00D94637" w14:paraId="3DD716CD" w14:textId="77777777" w:rsidTr="00BC129D">
      <w:trPr>
        <w:jc w:val="center"/>
      </w:trPr>
      <w:tc>
        <w:tcPr>
          <w:tcW w:w="5000" w:type="pct"/>
          <w:gridSpan w:val="7"/>
          <w:shd w:val="clear" w:color="auto" w:fill="auto"/>
          <w:tcMar>
            <w:top w:w="57" w:type="dxa"/>
          </w:tcMar>
        </w:tcPr>
        <w:p w14:paraId="681D0F0B" w14:textId="77777777" w:rsidR="00BC129D" w:rsidRPr="00D94637" w:rsidRDefault="00BC129D" w:rsidP="00D94637">
          <w:pPr>
            <w:pStyle w:val="FooterText"/>
            <w:pBdr>
              <w:top w:val="single" w:sz="4" w:space="1" w:color="auto"/>
            </w:pBdr>
            <w:spacing w:before="200"/>
            <w:rPr>
              <w:sz w:val="2"/>
              <w:szCs w:val="2"/>
            </w:rPr>
          </w:pPr>
        </w:p>
      </w:tc>
    </w:tr>
    <w:tr w:rsidR="00BC129D" w:rsidRPr="00B310DC" w14:paraId="0927CA1C" w14:textId="77777777" w:rsidTr="00BC129D">
      <w:trPr>
        <w:jc w:val="center"/>
      </w:trPr>
      <w:tc>
        <w:tcPr>
          <w:tcW w:w="2500" w:type="pct"/>
          <w:gridSpan w:val="2"/>
          <w:shd w:val="clear" w:color="auto" w:fill="auto"/>
          <w:tcMar>
            <w:top w:w="0" w:type="dxa"/>
          </w:tcMar>
        </w:tcPr>
        <w:p w14:paraId="7F928F56" w14:textId="52F654B1" w:rsidR="00BC129D" w:rsidRPr="00AD7BF2" w:rsidRDefault="00BC129D" w:rsidP="004F54B2">
          <w:pPr>
            <w:pStyle w:val="FooterText"/>
          </w:pPr>
          <w:r>
            <w:t>12976/23</w:t>
          </w:r>
          <w:r w:rsidRPr="002511D8">
            <w:t xml:space="preserve"> </w:t>
          </w:r>
          <w:r>
            <w:t>ADD 4</w:t>
          </w:r>
        </w:p>
      </w:tc>
      <w:tc>
        <w:tcPr>
          <w:tcW w:w="625" w:type="pct"/>
          <w:shd w:val="clear" w:color="auto" w:fill="auto"/>
          <w:tcMar>
            <w:top w:w="0" w:type="dxa"/>
          </w:tcMar>
        </w:tcPr>
        <w:p w14:paraId="3491C06B" w14:textId="77777777" w:rsidR="00BC129D" w:rsidRPr="00AD7BF2" w:rsidRDefault="00BC129D" w:rsidP="00D94637">
          <w:pPr>
            <w:pStyle w:val="FooterText"/>
            <w:jc w:val="center"/>
          </w:pPr>
        </w:p>
      </w:tc>
      <w:tc>
        <w:tcPr>
          <w:tcW w:w="1286" w:type="pct"/>
          <w:gridSpan w:val="3"/>
          <w:shd w:val="clear" w:color="auto" w:fill="auto"/>
          <w:tcMar>
            <w:top w:w="0" w:type="dxa"/>
          </w:tcMar>
        </w:tcPr>
        <w:p w14:paraId="568F8B2E" w14:textId="75134917" w:rsidR="00BC129D" w:rsidRPr="002511D8" w:rsidRDefault="00BC129D" w:rsidP="00D94637">
          <w:pPr>
            <w:pStyle w:val="FooterText"/>
            <w:jc w:val="center"/>
          </w:pPr>
          <w:r>
            <w:t>TP/ae</w:t>
          </w:r>
        </w:p>
      </w:tc>
      <w:tc>
        <w:tcPr>
          <w:tcW w:w="589" w:type="pct"/>
          <w:shd w:val="clear" w:color="auto" w:fill="auto"/>
          <w:tcMar>
            <w:top w:w="0" w:type="dxa"/>
          </w:tcMar>
        </w:tcPr>
        <w:p w14:paraId="5BDB5A65" w14:textId="78F94E64" w:rsidR="00BC129D" w:rsidRPr="00B310DC" w:rsidRDefault="00BC129D" w:rsidP="00D94637">
          <w:pPr>
            <w:pStyle w:val="FooterText"/>
            <w:jc w:val="right"/>
          </w:pPr>
        </w:p>
      </w:tc>
    </w:tr>
    <w:tr w:rsidR="00BC129D" w:rsidRPr="00D94637" w14:paraId="36B4968F" w14:textId="77777777" w:rsidTr="00BC129D">
      <w:trPr>
        <w:jc w:val="center"/>
      </w:trPr>
      <w:tc>
        <w:tcPr>
          <w:tcW w:w="1774" w:type="pct"/>
          <w:shd w:val="clear" w:color="auto" w:fill="auto"/>
        </w:tcPr>
        <w:p w14:paraId="5681397C" w14:textId="6043AC81" w:rsidR="00BC129D" w:rsidRPr="00AD7BF2" w:rsidRDefault="00BC129D" w:rsidP="00D94637">
          <w:pPr>
            <w:pStyle w:val="FooterText"/>
            <w:spacing w:before="40"/>
          </w:pPr>
        </w:p>
      </w:tc>
      <w:tc>
        <w:tcPr>
          <w:tcW w:w="1455" w:type="pct"/>
          <w:gridSpan w:val="3"/>
          <w:shd w:val="clear" w:color="auto" w:fill="auto"/>
        </w:tcPr>
        <w:p w14:paraId="3687356C" w14:textId="0674EE81" w:rsidR="00BC129D" w:rsidRPr="00AD7BF2" w:rsidRDefault="00BC129D" w:rsidP="00D204D6">
          <w:pPr>
            <w:pStyle w:val="FooterText"/>
            <w:spacing w:before="40"/>
            <w:jc w:val="center"/>
          </w:pPr>
          <w:r>
            <w:t>COMPET.1</w:t>
          </w:r>
        </w:p>
      </w:tc>
      <w:tc>
        <w:tcPr>
          <w:tcW w:w="742" w:type="pct"/>
          <w:shd w:val="clear" w:color="auto" w:fill="auto"/>
        </w:tcPr>
        <w:p w14:paraId="7C192EDF" w14:textId="0642A423" w:rsidR="00BC129D" w:rsidRPr="00D94637" w:rsidRDefault="00BC129D" w:rsidP="002F0099">
          <w:pPr>
            <w:pStyle w:val="FooterText"/>
            <w:jc w:val="center"/>
            <w:rPr>
              <w:b/>
              <w:position w:val="-4"/>
              <w:sz w:val="36"/>
            </w:rPr>
          </w:pPr>
        </w:p>
      </w:tc>
      <w:tc>
        <w:tcPr>
          <w:tcW w:w="1029" w:type="pct"/>
          <w:gridSpan w:val="2"/>
          <w:shd w:val="clear" w:color="auto" w:fill="auto"/>
        </w:tcPr>
        <w:p w14:paraId="6D281B84" w14:textId="650E5C93" w:rsidR="00BC129D" w:rsidRPr="000310C2" w:rsidRDefault="00BC129D" w:rsidP="00D94637">
          <w:pPr>
            <w:pStyle w:val="FooterText"/>
            <w:jc w:val="right"/>
            <w:rPr>
              <w:spacing w:val="-20"/>
              <w:sz w:val="16"/>
            </w:rPr>
          </w:pPr>
          <w:r>
            <w:rPr>
              <w:b/>
              <w:spacing w:val="-20"/>
              <w:position w:val="-4"/>
              <w:sz w:val="36"/>
            </w:rPr>
            <w:t>EN</w:t>
          </w:r>
        </w:p>
      </w:tc>
    </w:tr>
  </w:tbl>
  <w:p w14:paraId="764889C9" w14:textId="77777777" w:rsidR="00E90DE3" w:rsidRPr="00BC129D" w:rsidRDefault="00E90DE3" w:rsidP="00BC129D">
    <w:pPr>
      <w:pStyle w:val="FooterCouncil"/>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5DAE3" w14:textId="77777777" w:rsidR="003517B0" w:rsidRPr="00E90DE3" w:rsidRDefault="003517B0" w:rsidP="00E90DE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CF70A" w14:textId="77777777" w:rsidR="003517B0" w:rsidRPr="00E90DE3" w:rsidRDefault="003517B0" w:rsidP="00E90DE3">
    <w:pPr>
      <w:pStyle w:val="FooterCoverPage"/>
      <w:rPr>
        <w:rFonts w:ascii="Arial" w:hAnsi="Arial" w:cs="Arial"/>
        <w:b/>
        <w:sz w:val="48"/>
      </w:rPr>
    </w:pPr>
    <w:r w:rsidRPr="00E90DE3">
      <w:rPr>
        <w:rFonts w:ascii="Arial" w:hAnsi="Arial" w:cs="Arial"/>
        <w:b/>
        <w:sz w:val="48"/>
      </w:rPr>
      <w:t>EN</w:t>
    </w:r>
    <w:r w:rsidRPr="00E90DE3">
      <w:rPr>
        <w:rFonts w:ascii="Arial" w:hAnsi="Arial" w:cs="Arial"/>
        <w:b/>
        <w:sz w:val="48"/>
      </w:rPr>
      <w:tab/>
    </w:r>
    <w:r w:rsidRPr="00E90DE3">
      <w:rPr>
        <w:rFonts w:ascii="Arial" w:hAnsi="Arial" w:cs="Arial"/>
        <w:b/>
        <w:sz w:val="48"/>
      </w:rPr>
      <w:tab/>
    </w:r>
    <w:r w:rsidRPr="00E90DE3">
      <w:tab/>
    </w:r>
    <w:r w:rsidRPr="00E90DE3">
      <w:rPr>
        <w:rFonts w:ascii="Arial" w:hAnsi="Arial" w:cs="Arial"/>
        <w:b/>
        <w:sz w:val="48"/>
      </w:rPr>
      <w:t>EN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6753F" w14:textId="77777777" w:rsidR="003517B0" w:rsidRPr="00E90DE3" w:rsidRDefault="003517B0" w:rsidP="00E90DE3">
    <w:pPr>
      <w:pStyle w:val="FooterCover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43C48" w14:textId="77777777" w:rsidR="001C7B47" w:rsidRDefault="001C7B47" w:rsidP="000E308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788704"/>
      <w:docPartObj>
        <w:docPartGallery w:val="Page Numbers (Bottom of Page)"/>
        <w:docPartUnique/>
      </w:docPartObj>
    </w:sdtPr>
    <w:sdtEndPr>
      <w:rPr>
        <w:noProof/>
      </w:rPr>
    </w:sdtEndPr>
    <w:sdtContent>
      <w:p w14:paraId="27C5AA0D" w14:textId="4729102F" w:rsidR="001C7B47" w:rsidRDefault="001C7B47">
        <w:pPr>
          <w:pStyle w:val="Footer"/>
          <w:jc w:val="right"/>
        </w:pPr>
        <w:r>
          <w:fldChar w:fldCharType="begin"/>
        </w:r>
        <w:r>
          <w:instrText xml:space="preserve"> PAGE  \* Arabic  \* MERGEFORMAT </w:instrText>
        </w:r>
        <w:r>
          <w:fldChar w:fldCharType="separate"/>
        </w:r>
        <w:r w:rsidR="00E90DE3">
          <w:rPr>
            <w:noProof/>
          </w:rPr>
          <w:t>9</w:t>
        </w:r>
        <w:r>
          <w:fldChar w:fldCharType="end"/>
        </w:r>
      </w:p>
    </w:sdtContent>
  </w:sdt>
  <w:p w14:paraId="651985A5" w14:textId="77777777" w:rsidR="001C7B47" w:rsidRPr="00CD516A" w:rsidRDefault="001C7B47" w:rsidP="000E308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9B568" w14:textId="73C5F50D" w:rsidR="001C7B47" w:rsidRDefault="003932B0" w:rsidP="0084753B">
    <w:pPr>
      <w:pStyle w:val="Footer"/>
      <w:jc w:val="right"/>
    </w:pPr>
    <w:r>
      <w:fldChar w:fldCharType="begin"/>
    </w:r>
    <w:r>
      <w:instrText xml:space="preserve"> PAGE  \* Arabic  \* MERGEFORMAT </w:instrText>
    </w:r>
    <w:r>
      <w:fldChar w:fldCharType="separate"/>
    </w:r>
    <w:r w:rsidR="00E90DE3">
      <w:rPr>
        <w:noProof/>
      </w:rPr>
      <w:t>1</w:t>
    </w:r>
    <w:r>
      <w:fldChar w:fldCharType="end"/>
    </w:r>
  </w:p>
  <w:p w14:paraId="5E012AED" w14:textId="77777777" w:rsidR="001C7B47" w:rsidRDefault="001C7B47" w:rsidP="000E30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8AC50" w14:textId="77777777" w:rsidR="00977DF8" w:rsidRDefault="00977DF8" w:rsidP="000E3086">
      <w:r>
        <w:separator/>
      </w:r>
    </w:p>
  </w:footnote>
  <w:footnote w:type="continuationSeparator" w:id="0">
    <w:p w14:paraId="0C53ACBC" w14:textId="77777777" w:rsidR="00977DF8" w:rsidRDefault="00977DF8" w:rsidP="000E3086">
      <w:r>
        <w:continuationSeparator/>
      </w:r>
    </w:p>
  </w:footnote>
  <w:footnote w:type="continuationNotice" w:id="1">
    <w:p w14:paraId="54411047" w14:textId="77777777" w:rsidR="00977DF8" w:rsidRDefault="00977DF8">
      <w:pPr>
        <w:spacing w:after="0"/>
      </w:pPr>
    </w:p>
  </w:footnote>
  <w:footnote w:id="2">
    <w:p w14:paraId="4C5B9636" w14:textId="236D3FB6" w:rsidR="00BC52A0" w:rsidRPr="0047091A" w:rsidRDefault="00BC52A0">
      <w:pPr>
        <w:pStyle w:val="FootnoteText"/>
      </w:pPr>
      <w:r w:rsidRPr="0047091A">
        <w:rPr>
          <w:rStyle w:val="FootnoteReference"/>
        </w:rPr>
        <w:footnoteRef/>
      </w:r>
      <w:r w:rsidRPr="0047091A">
        <w:t xml:space="preserve"> </w:t>
      </w:r>
      <w:hyperlink r:id="rId1" w:history="1">
        <w:r w:rsidRPr="0047091A">
          <w:rPr>
            <w:rStyle w:val="Hyperlink"/>
          </w:rPr>
          <w:t>https://www.britannica.com/topic/commercial-transaction</w:t>
        </w:r>
      </w:hyperlink>
      <w:r w:rsidRPr="0047091A">
        <w:t xml:space="preserve">; </w:t>
      </w:r>
    </w:p>
  </w:footnote>
  <w:footnote w:id="3">
    <w:p w14:paraId="120DDB17" w14:textId="3F003787" w:rsidR="00BC52A0" w:rsidRPr="0047091A" w:rsidRDefault="00BC52A0">
      <w:pPr>
        <w:pStyle w:val="FootnoteText"/>
      </w:pPr>
      <w:r w:rsidRPr="0047091A">
        <w:rPr>
          <w:rStyle w:val="FootnoteReference"/>
        </w:rPr>
        <w:footnoteRef/>
      </w:r>
      <w:r w:rsidRPr="0047091A">
        <w:t xml:space="preserve"> </w:t>
      </w:r>
      <w:r w:rsidR="00687B92" w:rsidRPr="0047091A">
        <w:t>B2B</w:t>
      </w:r>
      <w:r w:rsidRPr="0047091A">
        <w:t xml:space="preserve"> comparative study 2018</w:t>
      </w:r>
    </w:p>
  </w:footnote>
  <w:footnote w:id="4">
    <w:p w14:paraId="1691AF3D" w14:textId="3A01335E" w:rsidR="00BC52A0" w:rsidRPr="0047091A" w:rsidRDefault="00BC52A0" w:rsidP="00F560A0">
      <w:pPr>
        <w:pStyle w:val="FootnoteText"/>
      </w:pPr>
      <w:r w:rsidRPr="0047091A">
        <w:rPr>
          <w:rStyle w:val="FootnoteReference"/>
        </w:rPr>
        <w:footnoteRef/>
      </w:r>
      <w:r w:rsidRPr="0047091A">
        <w:t xml:space="preserve"> </w:t>
      </w:r>
      <w:r w:rsidR="00391B40" w:rsidRPr="0047091A">
        <w:t>Intrum, EPR 2022</w:t>
      </w:r>
      <w:r w:rsidR="00713F5C" w:rsidRPr="0047091A">
        <w:t xml:space="preserve">, </w:t>
      </w:r>
    </w:p>
  </w:footnote>
  <w:footnote w:id="5">
    <w:p w14:paraId="4541CBB8" w14:textId="008FFE1A" w:rsidR="00205DB5" w:rsidRPr="0047091A" w:rsidRDefault="00205DB5" w:rsidP="00133000">
      <w:pPr>
        <w:pStyle w:val="FootnoteText"/>
        <w:rPr>
          <w:rStyle w:val="Hyperlink"/>
        </w:rPr>
      </w:pPr>
      <w:r w:rsidRPr="0047091A">
        <w:rPr>
          <w:rStyle w:val="FootnoteReference"/>
        </w:rPr>
        <w:footnoteRef/>
      </w:r>
      <w:r w:rsidRPr="0047091A">
        <w:rPr>
          <w:rStyle w:val="Hyperlink"/>
        </w:rPr>
        <w:t xml:space="preserve"> </w:t>
      </w:r>
      <w:r w:rsidR="00E51B8E" w:rsidRPr="0047091A">
        <w:t>PPMI, ‘</w:t>
      </w:r>
      <w:r w:rsidRPr="0047091A">
        <w:t xml:space="preserve">SMEs and </w:t>
      </w:r>
      <w:r w:rsidR="00E51B8E" w:rsidRPr="0047091A">
        <w:t xml:space="preserve">high </w:t>
      </w:r>
      <w:r w:rsidRPr="0047091A">
        <w:t>inflation</w:t>
      </w:r>
      <w:r w:rsidR="00E51B8E" w:rsidRPr="0047091A">
        <w:t>’</w:t>
      </w:r>
      <w:r w:rsidRPr="0047091A">
        <w:t xml:space="preserve">, </w:t>
      </w:r>
      <w:r w:rsidR="00E51B8E" w:rsidRPr="0047091A">
        <w:t xml:space="preserve">SME Performance Review, </w:t>
      </w:r>
      <w:r w:rsidR="00133000" w:rsidRPr="0047091A">
        <w:t>in preparation</w:t>
      </w:r>
    </w:p>
  </w:footnote>
  <w:footnote w:id="6">
    <w:p w14:paraId="3F705715" w14:textId="13975611" w:rsidR="00BC52A0" w:rsidRPr="0047091A" w:rsidRDefault="00BC52A0">
      <w:pPr>
        <w:pStyle w:val="FootnoteText"/>
      </w:pPr>
      <w:r w:rsidRPr="0047091A">
        <w:rPr>
          <w:rStyle w:val="FootnoteReference"/>
        </w:rPr>
        <w:footnoteRef/>
      </w:r>
      <w:r w:rsidRPr="0047091A">
        <w:t xml:space="preserve"> COM(2023) 168 final</w:t>
      </w:r>
      <w:r w:rsidR="0040424A" w:rsidRPr="0047091A">
        <w:t xml:space="preserve">, </w:t>
      </w:r>
    </w:p>
  </w:footnote>
  <w:footnote w:id="7">
    <w:p w14:paraId="7DCB9CBA" w14:textId="34BC6B98" w:rsidR="00BC52A0" w:rsidRPr="0047091A" w:rsidRDefault="00BC52A0" w:rsidP="0020453C">
      <w:pPr>
        <w:pStyle w:val="FootnoteText"/>
        <w:jc w:val="left"/>
      </w:pPr>
      <w:r w:rsidRPr="0047091A">
        <w:rPr>
          <w:rStyle w:val="FootnoteReference"/>
        </w:rPr>
        <w:footnoteRef/>
      </w:r>
      <w:r w:rsidRPr="0047091A">
        <w:t xml:space="preserve"> EP Resolution </w:t>
      </w:r>
      <w:r w:rsidR="004E24A9" w:rsidRPr="0047091A">
        <w:t>2019</w:t>
      </w:r>
    </w:p>
  </w:footnote>
  <w:footnote w:id="8">
    <w:p w14:paraId="7C9F3BC3" w14:textId="5CECEAA2" w:rsidR="00BC52A0" w:rsidRPr="0047091A" w:rsidRDefault="00BC52A0">
      <w:pPr>
        <w:pStyle w:val="FootnoteText"/>
      </w:pPr>
      <w:r w:rsidRPr="0047091A">
        <w:rPr>
          <w:rStyle w:val="FootnoteReference"/>
        </w:rPr>
        <w:footnoteRef/>
      </w:r>
      <w:r w:rsidRPr="0047091A">
        <w:t xml:space="preserve"> Ex-post Evaluation </w:t>
      </w:r>
      <w:r w:rsidR="00B666DA" w:rsidRPr="0047091A">
        <w:t>2015,</w:t>
      </w:r>
      <w:r w:rsidR="00B11129" w:rsidRPr="0047091A">
        <w:rPr>
          <w:i/>
          <w:sz w:val="18"/>
          <w:szCs w:val="18"/>
        </w:rPr>
        <w:t xml:space="preserve"> </w:t>
      </w:r>
      <w:r w:rsidRPr="0047091A">
        <w:t xml:space="preserve">Commission Report to the </w:t>
      </w:r>
      <w:r w:rsidR="00D8594E" w:rsidRPr="0047091A">
        <w:t xml:space="preserve">EP </w:t>
      </w:r>
      <w:r w:rsidRPr="0047091A">
        <w:t>and the Council</w:t>
      </w:r>
      <w:r w:rsidR="00D8594E" w:rsidRPr="0047091A">
        <w:t xml:space="preserve">, </w:t>
      </w:r>
      <w:r w:rsidR="000A4F60" w:rsidRPr="0047091A">
        <w:t>B2B Comparative study 2018</w:t>
      </w:r>
    </w:p>
  </w:footnote>
  <w:footnote w:id="9">
    <w:p w14:paraId="5EA81811" w14:textId="77777777" w:rsidR="005F06B9" w:rsidRPr="0047091A" w:rsidRDefault="005F06B9" w:rsidP="005F06B9">
      <w:pPr>
        <w:pStyle w:val="FootnoteText"/>
      </w:pPr>
      <w:r w:rsidRPr="0047091A">
        <w:rPr>
          <w:rStyle w:val="FootnoteReference"/>
        </w:rPr>
        <w:footnoteRef/>
      </w:r>
      <w:r w:rsidRPr="0047091A">
        <w:t xml:space="preserve"> </w:t>
      </w:r>
      <w:hyperlink r:id="rId2" w:history="1">
        <w:r w:rsidRPr="0047091A">
          <w:rPr>
            <w:rStyle w:val="Hyperlink"/>
          </w:rPr>
          <w:t>https://commission.europa.eu/law/cross-border-cases/procedures-simplify-cross-border-cases_en</w:t>
        </w:r>
      </w:hyperlink>
    </w:p>
    <w:p w14:paraId="71B02069" w14:textId="77777777" w:rsidR="005F06B9" w:rsidRPr="0047091A" w:rsidRDefault="005F06B9" w:rsidP="005F06B9">
      <w:pPr>
        <w:pStyle w:val="FootnoteText"/>
      </w:pPr>
    </w:p>
  </w:footnote>
  <w:footnote w:id="10">
    <w:p w14:paraId="167644DF" w14:textId="0991597D" w:rsidR="00BC52A0" w:rsidRPr="0047091A" w:rsidRDefault="00BC52A0" w:rsidP="00582931">
      <w:pPr>
        <w:spacing w:after="0"/>
        <w:rPr>
          <w:sz w:val="20"/>
          <w:szCs w:val="20"/>
        </w:rPr>
      </w:pPr>
      <w:r w:rsidRPr="0047091A">
        <w:rPr>
          <w:rStyle w:val="FootnoteReference"/>
          <w:rFonts w:eastAsiaTheme="minorEastAsia"/>
        </w:rPr>
        <w:footnoteRef/>
      </w:r>
      <w:r w:rsidRPr="0047091A">
        <w:rPr>
          <w:sz w:val="20"/>
          <w:szCs w:val="20"/>
          <w:vertAlign w:val="superscript"/>
        </w:rPr>
        <w:t xml:space="preserve"> </w:t>
      </w:r>
      <w:r w:rsidRPr="0047091A">
        <w:rPr>
          <w:sz w:val="20"/>
          <w:szCs w:val="20"/>
        </w:rPr>
        <w:t>Austria, Bulgaria, Croatia, Denmark, Finland, France, Germany, Ireland, Lithuania, Poland, Spain, Sweden and the Netherlands. The United Kingdom excludes the extension from 30 to 60 days in payments by public entities in the healthcare sector, and transposed the 40 eur compensation in the form of a schedule according of the value of the invoice (similar to the Irish national provisions).</w:t>
      </w:r>
    </w:p>
  </w:footnote>
  <w:footnote w:id="11">
    <w:p w14:paraId="314BB594" w14:textId="2890987D" w:rsidR="007800CB" w:rsidRPr="0047091A" w:rsidRDefault="007800CB" w:rsidP="007800CB">
      <w:pPr>
        <w:pStyle w:val="FootnoteText"/>
      </w:pPr>
      <w:r w:rsidRPr="0047091A">
        <w:rPr>
          <w:rStyle w:val="FootnoteReference"/>
        </w:rPr>
        <w:footnoteRef/>
      </w:r>
      <w:r w:rsidRPr="0047091A">
        <w:t xml:space="preserve"> Ex-post </w:t>
      </w:r>
      <w:r w:rsidR="00BB63AA" w:rsidRPr="0047091A">
        <w:t>e</w:t>
      </w:r>
      <w:r w:rsidRPr="0047091A">
        <w:t xml:space="preserve">valuation </w:t>
      </w:r>
    </w:p>
  </w:footnote>
  <w:footnote w:id="12">
    <w:p w14:paraId="4081CB74" w14:textId="5DB01938" w:rsidR="007800CB" w:rsidRPr="0047091A" w:rsidRDefault="007800CB" w:rsidP="007800CB">
      <w:pPr>
        <w:pStyle w:val="FootnoteText"/>
      </w:pPr>
      <w:r w:rsidRPr="0047091A">
        <w:rPr>
          <w:rStyle w:val="FootnoteReference"/>
        </w:rPr>
        <w:footnoteRef/>
      </w:r>
      <w:r w:rsidRPr="0047091A">
        <w:t xml:space="preserve"> Commission Report to the </w:t>
      </w:r>
      <w:r w:rsidR="00BB63AA" w:rsidRPr="0047091A">
        <w:t xml:space="preserve">EP </w:t>
      </w:r>
      <w:r w:rsidRPr="0047091A">
        <w:t xml:space="preserve">and the Council </w:t>
      </w:r>
    </w:p>
  </w:footnote>
  <w:footnote w:id="13">
    <w:p w14:paraId="4E66EF11" w14:textId="01405D14" w:rsidR="007800CB" w:rsidRPr="0047091A" w:rsidRDefault="007800CB" w:rsidP="007800CB">
      <w:pPr>
        <w:pStyle w:val="FootnoteText"/>
        <w:jc w:val="left"/>
      </w:pPr>
      <w:r w:rsidRPr="0047091A">
        <w:rPr>
          <w:rStyle w:val="FootnoteReference"/>
        </w:rPr>
        <w:footnoteRef/>
      </w:r>
      <w:r w:rsidRPr="0047091A">
        <w:t xml:space="preserve"> JRC </w:t>
      </w:r>
      <w:r w:rsidR="001762A2" w:rsidRPr="0047091A">
        <w:t xml:space="preserve">2021 </w:t>
      </w:r>
    </w:p>
  </w:footnote>
  <w:footnote w:id="14">
    <w:p w14:paraId="66BF6A43" w14:textId="466921F1" w:rsidR="007800CB" w:rsidRPr="0047091A" w:rsidRDefault="007800CB" w:rsidP="00940AB4">
      <w:pPr>
        <w:pStyle w:val="FootnoteText"/>
      </w:pPr>
      <w:r w:rsidRPr="0047091A">
        <w:rPr>
          <w:rStyle w:val="FootnoteReference"/>
        </w:rPr>
        <w:footnoteRef/>
      </w:r>
      <w:r w:rsidRPr="0047091A">
        <w:t xml:space="preserve"> </w:t>
      </w:r>
      <w:r w:rsidR="00940AB4" w:rsidRPr="0047091A">
        <w:t>B2B comparative study 2018</w:t>
      </w:r>
    </w:p>
  </w:footnote>
  <w:footnote w:id="15">
    <w:p w14:paraId="6D191540" w14:textId="36C5ACCB" w:rsidR="007800CB" w:rsidRPr="0047091A" w:rsidRDefault="007800CB" w:rsidP="007800CB">
      <w:pPr>
        <w:pStyle w:val="FootnoteText"/>
      </w:pPr>
      <w:r w:rsidRPr="0047091A">
        <w:rPr>
          <w:rStyle w:val="FootnoteReference"/>
        </w:rPr>
        <w:footnoteRef/>
      </w:r>
      <w:r w:rsidRPr="0047091A">
        <w:t xml:space="preserve"> </w:t>
      </w:r>
      <w:r w:rsidR="00940AB4" w:rsidRPr="0047091A">
        <w:t xml:space="preserve">EP </w:t>
      </w:r>
      <w:r w:rsidRPr="0047091A">
        <w:t xml:space="preserve">Resolution </w:t>
      </w:r>
      <w:r w:rsidR="00940AB4" w:rsidRPr="0047091A">
        <w:t>2019</w:t>
      </w:r>
    </w:p>
  </w:footnote>
  <w:footnote w:id="16">
    <w:p w14:paraId="2199D260" w14:textId="61B24971" w:rsidR="007800CB" w:rsidRPr="0047091A" w:rsidRDefault="007800CB" w:rsidP="00940AB4">
      <w:pPr>
        <w:pStyle w:val="FootnoteText"/>
      </w:pPr>
      <w:r w:rsidRPr="0047091A">
        <w:rPr>
          <w:rStyle w:val="FootnoteReference"/>
        </w:rPr>
        <w:footnoteRef/>
      </w:r>
      <w:r w:rsidRPr="0047091A">
        <w:t xml:space="preserve"> </w:t>
      </w:r>
      <w:r w:rsidR="00940AB4" w:rsidRPr="0047091A">
        <w:t>F4F Opinion 2021</w:t>
      </w:r>
    </w:p>
  </w:footnote>
  <w:footnote w:id="17">
    <w:p w14:paraId="70C4C81F" w14:textId="04D6321C" w:rsidR="007800CB" w:rsidRPr="0047091A" w:rsidRDefault="007800CB" w:rsidP="007800CB">
      <w:pPr>
        <w:pStyle w:val="FootnoteText"/>
      </w:pPr>
      <w:r w:rsidRPr="0047091A">
        <w:rPr>
          <w:rStyle w:val="FootnoteReference"/>
        </w:rPr>
        <w:footnoteRef/>
      </w:r>
      <w:r w:rsidRPr="0047091A">
        <w:t xml:space="preserve"> Commission Study </w:t>
      </w:r>
      <w:r w:rsidR="008318E7" w:rsidRPr="0047091A">
        <w:t xml:space="preserve">2021, </w:t>
      </w:r>
      <w:r w:rsidR="009E79AE" w:rsidRPr="0047091A">
        <w:t>JRC 2022 study</w:t>
      </w:r>
    </w:p>
  </w:footnote>
  <w:footnote w:id="18">
    <w:p w14:paraId="7CBAC36A" w14:textId="77777777" w:rsidR="003B4980" w:rsidRPr="0047091A" w:rsidRDefault="003B4980" w:rsidP="003B4980">
      <w:pPr>
        <w:pStyle w:val="FootnoteText"/>
      </w:pPr>
      <w:r w:rsidRPr="0047091A">
        <w:rPr>
          <w:rStyle w:val="FootnoteReference"/>
        </w:rPr>
        <w:footnoteRef/>
      </w:r>
      <w:r w:rsidRPr="0047091A">
        <w:t xml:space="preserve"> Source: </w:t>
      </w:r>
      <w:r w:rsidRPr="0047091A">
        <w:rPr>
          <w:bCs/>
        </w:rPr>
        <w:t>D&amp;B payment survey 2022</w:t>
      </w:r>
    </w:p>
  </w:footnote>
  <w:footnote w:id="19">
    <w:p w14:paraId="73F4DF24" w14:textId="36F9A3DD" w:rsidR="00BC52A0" w:rsidRPr="0047091A" w:rsidRDefault="00BC52A0" w:rsidP="00582931">
      <w:pPr>
        <w:spacing w:after="0"/>
        <w:rPr>
          <w:rFonts w:eastAsia="@Yu Mincho Light"/>
          <w:color w:val="000000" w:themeColor="text1"/>
          <w:sz w:val="20"/>
          <w:szCs w:val="20"/>
        </w:rPr>
      </w:pPr>
      <w:r w:rsidRPr="0047091A">
        <w:rPr>
          <w:rStyle w:val="FootnoteReference"/>
          <w:rFonts w:eastAsiaTheme="minorEastAsia"/>
        </w:rPr>
        <w:footnoteRef/>
      </w:r>
      <w:r w:rsidRPr="0047091A">
        <w:rPr>
          <w:sz w:val="20"/>
          <w:szCs w:val="20"/>
        </w:rPr>
        <w:t xml:space="preserve"> </w:t>
      </w:r>
      <w:hyperlink r:id="rId3" w:history="1">
        <w:r w:rsidR="00391306" w:rsidRPr="0047091A">
          <w:rPr>
            <w:rStyle w:val="Hyperlink"/>
            <w:rFonts w:eastAsia="@Yu Mincho Light"/>
            <w:sz w:val="20"/>
            <w:szCs w:val="20"/>
          </w:rPr>
          <w:t>https://blog.summitto.com/posts/number_of_invoices/</w:t>
        </w:r>
      </w:hyperlink>
    </w:p>
  </w:footnote>
  <w:footnote w:id="20">
    <w:p w14:paraId="5445B55F" w14:textId="16E68F8D" w:rsidR="00AC312A" w:rsidRPr="0047091A" w:rsidRDefault="00AC312A" w:rsidP="006600B7">
      <w:pPr>
        <w:pStyle w:val="FootnoteText"/>
        <w:jc w:val="left"/>
        <w:rPr>
          <w:color w:val="0000FF" w:themeColor="hyperlink"/>
          <w:u w:val="single"/>
        </w:rPr>
      </w:pPr>
      <w:r w:rsidRPr="0047091A">
        <w:rPr>
          <w:rStyle w:val="FootnoteReference"/>
        </w:rPr>
        <w:footnoteRef/>
      </w:r>
      <w:r w:rsidRPr="0047091A">
        <w:t xml:space="preserve"> </w:t>
      </w:r>
      <w:r w:rsidR="00327A6C" w:rsidRPr="0047091A">
        <w:t xml:space="preserve">Uncertainty and Productivity: Exploring the Links: </w:t>
      </w:r>
      <w:r w:rsidRPr="0047091A">
        <w:t>‘Uncertainty affects productivity through reductions in capital investment, which in turn lowers the</w:t>
      </w:r>
      <w:r w:rsidR="00327A6C" w:rsidRPr="0047091A">
        <w:t xml:space="preserve"> </w:t>
      </w:r>
      <w:r w:rsidRPr="0047091A">
        <w:t xml:space="preserve">trajectory of labour productivity’. </w:t>
      </w:r>
      <w:hyperlink r:id="rId4" w:history="1">
        <w:r w:rsidRPr="0047091A">
          <w:rPr>
            <w:rStyle w:val="Hyperlink"/>
          </w:rPr>
          <w:t>http://www.microprod.eu/wp-content/uploads/2022/09/Uncertainty_1Sep2022.pdf</w:t>
        </w:r>
      </w:hyperlink>
      <w:r w:rsidRPr="0047091A">
        <w:t xml:space="preserve"> </w:t>
      </w:r>
      <w:r w:rsidR="001151DE" w:rsidRPr="0047091A">
        <w:br/>
      </w:r>
      <w:r w:rsidR="00160FF4" w:rsidRPr="0047091A">
        <w:t xml:space="preserve">The Domino Effect study: </w:t>
      </w:r>
      <w:r w:rsidR="001151DE" w:rsidRPr="0047091A">
        <w:t>‘Companies need channel their administrative resources from other potentially more productive uses to managing late payments</w:t>
      </w:r>
      <w:r w:rsidR="00601C88" w:rsidRPr="0047091A">
        <w:t>.</w:t>
      </w:r>
      <w:r w:rsidR="001151DE" w:rsidRPr="0047091A">
        <w:t>’</w:t>
      </w:r>
      <w:r w:rsidR="00601C88" w:rsidRPr="0047091A">
        <w:t>,</w:t>
      </w:r>
      <w:r w:rsidR="001151DE" w:rsidRPr="0047091A">
        <w:t xml:space="preserve"> </w:t>
      </w:r>
    </w:p>
    <w:p w14:paraId="7CF614FA" w14:textId="4029920A" w:rsidR="002E342B" w:rsidRPr="0047091A" w:rsidRDefault="00160FF4" w:rsidP="00160FF4">
      <w:pPr>
        <w:pStyle w:val="FootnoteText"/>
        <w:jc w:val="left"/>
      </w:pPr>
      <w:r w:rsidRPr="0047091A">
        <w:t xml:space="preserve">Fluctuations in Uncertainty: </w:t>
      </w:r>
      <w:r w:rsidR="002E342B" w:rsidRPr="0047091A">
        <w:t>‘When uncertainty is high, productive firms are less aggressive in expanding and unproductive firms are les</w:t>
      </w:r>
      <w:r w:rsidRPr="0047091A">
        <w:t xml:space="preserve">s </w:t>
      </w:r>
      <w:r w:rsidR="002E342B" w:rsidRPr="0047091A">
        <w:t xml:space="preserve">aggressive in contracting. The high uncertainty makes both of them more cautious. This caution produces a chilling effect on the productivity-enhancing reallocation of resources across firms’. </w:t>
      </w:r>
      <w:hyperlink r:id="rId5" w:history="1">
        <w:r w:rsidRPr="0047091A">
          <w:rPr>
            <w:rStyle w:val="Hyperlink"/>
          </w:rPr>
          <w:t>https://www.jstor.org/stable/pdf/23723489.pdf?refreqid=excelsior%3Acf14d88cfe9ae0ea753d5346751629e2&amp;ab_segments=&amp;origin=&amp;initiator=&amp;acceptTC=1</w:t>
        </w:r>
      </w:hyperlink>
      <w:r w:rsidR="00F50B04" w:rsidRPr="0047091A">
        <w:t xml:space="preserve"> </w:t>
      </w:r>
    </w:p>
  </w:footnote>
  <w:footnote w:id="21">
    <w:p w14:paraId="1F503CDC" w14:textId="6889E1B7" w:rsidR="00BC52A0" w:rsidRPr="0047091A" w:rsidRDefault="00BC52A0">
      <w:pPr>
        <w:pStyle w:val="FootnoteText"/>
      </w:pPr>
      <w:r w:rsidRPr="0047091A">
        <w:rPr>
          <w:rStyle w:val="FootnoteReference"/>
        </w:rPr>
        <w:footnoteRef/>
      </w:r>
      <w:r w:rsidRPr="0047091A">
        <w:rPr>
          <w:rFonts w:eastAsiaTheme="minorHAnsi"/>
          <w:vertAlign w:val="superscript"/>
        </w:rPr>
        <w:t xml:space="preserve"> </w:t>
      </w:r>
      <w:r w:rsidRPr="0047091A">
        <w:t>COM(2023) 168</w:t>
      </w:r>
    </w:p>
  </w:footnote>
  <w:footnote w:id="22">
    <w:p w14:paraId="17D1CBA0" w14:textId="2FCE62F6" w:rsidR="0094259A" w:rsidRPr="0047091A" w:rsidRDefault="0094259A">
      <w:pPr>
        <w:pStyle w:val="FootnoteText"/>
      </w:pPr>
      <w:r w:rsidRPr="0047091A">
        <w:rPr>
          <w:rStyle w:val="FootnoteReference"/>
        </w:rPr>
        <w:footnoteRef/>
      </w:r>
      <w:r w:rsidRPr="0047091A">
        <w:t xml:space="preserve"> </w:t>
      </w:r>
      <w:r w:rsidR="00861A8D" w:rsidRPr="0047091A">
        <w:t>EPR 2022</w:t>
      </w:r>
    </w:p>
  </w:footnote>
  <w:footnote w:id="23">
    <w:p w14:paraId="0520CBF3" w14:textId="6E6DA99B" w:rsidR="00856920" w:rsidRPr="0047091A" w:rsidRDefault="00856920">
      <w:pPr>
        <w:pStyle w:val="FootnoteText"/>
      </w:pPr>
      <w:r w:rsidRPr="0047091A">
        <w:rPr>
          <w:rStyle w:val="FootnoteReference"/>
        </w:rPr>
        <w:footnoteRef/>
      </w:r>
      <w:r w:rsidRPr="0047091A">
        <w:t xml:space="preserve"> </w:t>
      </w:r>
      <w:r w:rsidR="00861A8D" w:rsidRPr="0047091A">
        <w:t>EPR 2022</w:t>
      </w:r>
    </w:p>
  </w:footnote>
  <w:footnote w:id="24">
    <w:p w14:paraId="48138D8A" w14:textId="021B325E" w:rsidR="00B11129" w:rsidRPr="0047091A" w:rsidRDefault="00BC52A0" w:rsidP="00DD43C3">
      <w:pPr>
        <w:spacing w:after="0"/>
        <w:rPr>
          <w:rFonts w:eastAsia="Times New Roman"/>
          <w:color w:val="666666"/>
          <w:sz w:val="18"/>
          <w:szCs w:val="18"/>
        </w:rPr>
      </w:pPr>
      <w:r w:rsidRPr="0047091A">
        <w:rPr>
          <w:rStyle w:val="FootnoteReference"/>
          <w:rFonts w:eastAsiaTheme="minorEastAsia"/>
        </w:rPr>
        <w:footnoteRef/>
      </w:r>
      <w:r w:rsidRPr="0047091A">
        <w:rPr>
          <w:rStyle w:val="FootnoteReference"/>
          <w:rFonts w:eastAsiaTheme="minorEastAsia"/>
        </w:rPr>
        <w:t xml:space="preserve"> </w:t>
      </w:r>
      <w:r w:rsidR="00B11129" w:rsidRPr="0047091A">
        <w:rPr>
          <w:sz w:val="20"/>
          <w:szCs w:val="20"/>
        </w:rPr>
        <w:t>T. Nicolas,</w:t>
      </w:r>
      <w:r w:rsidR="00B11129" w:rsidRPr="0047091A">
        <w:rPr>
          <w:rFonts w:eastAsia="Times New Roman"/>
          <w:sz w:val="20"/>
          <w:szCs w:val="20"/>
        </w:rPr>
        <w:t xml:space="preserve"> </w:t>
      </w:r>
      <w:hyperlink r:id="rId6" w:history="1">
        <w:r w:rsidR="00B11129" w:rsidRPr="0047091A">
          <w:rPr>
            <w:rStyle w:val="Hyperlink"/>
            <w:rFonts w:eastAsia="Times New Roman"/>
            <w:i/>
            <w:iCs/>
            <w:sz w:val="20"/>
            <w:szCs w:val="20"/>
          </w:rPr>
          <w:t>Short-term financial constraints and SMEs’ investment decision: evidence from the working capital channel</w:t>
        </w:r>
      </w:hyperlink>
      <w:r w:rsidR="00B11129" w:rsidRPr="0047091A">
        <w:rPr>
          <w:rFonts w:eastAsia="Times New Roman"/>
          <w:i/>
          <w:iCs/>
          <w:sz w:val="20"/>
          <w:szCs w:val="20"/>
        </w:rPr>
        <w:t>,</w:t>
      </w:r>
      <w:r w:rsidR="00B11129" w:rsidRPr="0047091A">
        <w:rPr>
          <w:i/>
          <w:iCs/>
          <w:sz w:val="20"/>
          <w:szCs w:val="20"/>
        </w:rPr>
        <w:t xml:space="preserve"> </w:t>
      </w:r>
      <w:r w:rsidR="00B11129" w:rsidRPr="0047091A">
        <w:rPr>
          <w:sz w:val="20"/>
          <w:szCs w:val="20"/>
        </w:rPr>
        <w:t>Small Business Economics (2021)</w:t>
      </w:r>
    </w:p>
  </w:footnote>
  <w:footnote w:id="25">
    <w:p w14:paraId="3FEC2732" w14:textId="1FD5F0B3" w:rsidR="00B06534" w:rsidRPr="0047091A" w:rsidRDefault="00B06534">
      <w:pPr>
        <w:pStyle w:val="FootnoteText"/>
      </w:pPr>
      <w:r w:rsidRPr="0047091A">
        <w:rPr>
          <w:rStyle w:val="FootnoteReference"/>
        </w:rPr>
        <w:footnoteRef/>
      </w:r>
      <w:r w:rsidRPr="0047091A">
        <w:t xml:space="preserve"> </w:t>
      </w:r>
      <w:r w:rsidR="00861A8D" w:rsidRPr="0047091A">
        <w:t>EPR 2022,</w:t>
      </w:r>
    </w:p>
  </w:footnote>
  <w:footnote w:id="26">
    <w:p w14:paraId="251F566D" w14:textId="4E62CE44" w:rsidR="007F559D" w:rsidRPr="0047091A" w:rsidRDefault="007F559D" w:rsidP="007F559D">
      <w:pPr>
        <w:pStyle w:val="FootnoteText"/>
      </w:pPr>
      <w:r w:rsidRPr="0047091A">
        <w:rPr>
          <w:rStyle w:val="FootnoteReference"/>
        </w:rPr>
        <w:footnoteRef/>
      </w:r>
      <w:r w:rsidRPr="0047091A">
        <w:t xml:space="preserve"> Source: </w:t>
      </w:r>
      <w:r w:rsidR="00F443B7" w:rsidRPr="0047091A">
        <w:t>EPR</w:t>
      </w:r>
      <w:r w:rsidRPr="0047091A">
        <w:t xml:space="preserve"> 2022. Total duration in days to get paid presents the average of business-to-consumers, business-to-business and public authorities' transactions. Note: Covers EU-27 countries except Cyprus, Luxembourg and Malta, where data is not available.</w:t>
      </w:r>
    </w:p>
  </w:footnote>
  <w:footnote w:id="27">
    <w:p w14:paraId="5040C9EB" w14:textId="06649954" w:rsidR="007F559D" w:rsidRPr="0047091A" w:rsidRDefault="007F559D" w:rsidP="007F559D">
      <w:pPr>
        <w:pStyle w:val="FootnoteText"/>
        <w:jc w:val="left"/>
      </w:pPr>
      <w:r w:rsidRPr="0047091A">
        <w:rPr>
          <w:rStyle w:val="FootnoteReference"/>
        </w:rPr>
        <w:footnoteRef/>
      </w:r>
      <w:r w:rsidRPr="0047091A">
        <w:t xml:space="preserve"> ACCA and CBI (2010), Small Business Finance and the Recovery</w:t>
      </w:r>
      <w:r w:rsidR="00F443B7" w:rsidRPr="0047091A">
        <w:t>,</w:t>
      </w:r>
      <w:r w:rsidRPr="0047091A">
        <w:t xml:space="preserve"> http://www.accaglobal.com/content/dam/acca/ global/PDF-technical/small-business/pol-af-sbf.pdf</w:t>
      </w:r>
      <w:r w:rsidR="002E552C" w:rsidRPr="0047091A">
        <w:t xml:space="preserve"> </w:t>
      </w:r>
      <w:r w:rsidRPr="0047091A">
        <w:t xml:space="preserve"> </w:t>
      </w:r>
    </w:p>
  </w:footnote>
  <w:footnote w:id="28">
    <w:p w14:paraId="0C66C173" w14:textId="77777777" w:rsidR="001F0EEA" w:rsidRPr="0047091A" w:rsidRDefault="001F0EEA" w:rsidP="001F0EEA">
      <w:pPr>
        <w:pStyle w:val="FootnoteText"/>
      </w:pPr>
      <w:r w:rsidRPr="0047091A">
        <w:rPr>
          <w:rStyle w:val="FootnoteReference"/>
        </w:rPr>
        <w:footnoteRef/>
      </w:r>
      <w:r w:rsidRPr="0047091A">
        <w:t xml:space="preserve"> JRC 2018 study</w:t>
      </w:r>
    </w:p>
  </w:footnote>
  <w:footnote w:id="29">
    <w:p w14:paraId="57466135" w14:textId="58128836" w:rsidR="00782D1E" w:rsidRPr="0047091A" w:rsidRDefault="00782D1E">
      <w:pPr>
        <w:pStyle w:val="FootnoteText"/>
      </w:pPr>
      <w:r w:rsidRPr="0047091A">
        <w:rPr>
          <w:rStyle w:val="FootnoteReference"/>
        </w:rPr>
        <w:footnoteRef/>
      </w:r>
      <w:r w:rsidRPr="0047091A">
        <w:t xml:space="preserve"> SME Performance Review</w:t>
      </w:r>
    </w:p>
  </w:footnote>
  <w:footnote w:id="30">
    <w:p w14:paraId="12F871F3" w14:textId="146B2808" w:rsidR="00BC52A0" w:rsidRPr="0047091A" w:rsidRDefault="00BC52A0">
      <w:pPr>
        <w:pStyle w:val="FootnoteText"/>
      </w:pPr>
      <w:r w:rsidRPr="0047091A">
        <w:rPr>
          <w:rStyle w:val="FootnoteReference"/>
        </w:rPr>
        <w:footnoteRef/>
      </w:r>
      <w:r w:rsidRPr="0047091A">
        <w:t xml:space="preserve"> </w:t>
      </w:r>
      <w:r w:rsidR="00F00EC7" w:rsidRPr="0047091A">
        <w:t xml:space="preserve">LPD, </w:t>
      </w:r>
      <w:r w:rsidRPr="0047091A">
        <w:t xml:space="preserve">Recital 6 </w:t>
      </w:r>
    </w:p>
  </w:footnote>
  <w:footnote w:id="31">
    <w:p w14:paraId="4F637126" w14:textId="77777777" w:rsidR="00BC52A0" w:rsidRPr="0047091A" w:rsidRDefault="00BC52A0" w:rsidP="0028693F">
      <w:pPr>
        <w:pStyle w:val="FootnoteText"/>
      </w:pPr>
      <w:r w:rsidRPr="0047091A">
        <w:rPr>
          <w:rStyle w:val="FootnoteReference"/>
        </w:rPr>
        <w:footnoteRef/>
      </w:r>
      <w:r w:rsidRPr="0047091A">
        <w:t xml:space="preserve"> </w:t>
      </w:r>
      <w:hyperlink r:id="rId7" w:history="1">
        <w:r w:rsidRPr="0047091A">
          <w:rPr>
            <w:rStyle w:val="Hyperlink"/>
          </w:rPr>
          <w:t>https://www.confindustriadm.it/tempi-di-pagamento/</w:t>
        </w:r>
      </w:hyperlink>
    </w:p>
  </w:footnote>
  <w:footnote w:id="32">
    <w:p w14:paraId="4DAD8878" w14:textId="77777777" w:rsidR="00BF0D37" w:rsidRPr="0047091A" w:rsidRDefault="00BF0D37" w:rsidP="00BF0D37">
      <w:pPr>
        <w:pStyle w:val="FootnoteText"/>
      </w:pPr>
      <w:r w:rsidRPr="0047091A">
        <w:rPr>
          <w:rStyle w:val="FootnoteReference"/>
        </w:rPr>
        <w:footnoteRef/>
      </w:r>
      <w:r w:rsidRPr="0047091A">
        <w:t xml:space="preserve"> </w:t>
      </w:r>
      <w:hyperlink r:id="rId8" w:history="1">
        <w:r w:rsidRPr="0047091A">
          <w:rPr>
            <w:rStyle w:val="Hyperlink"/>
          </w:rPr>
          <w:t>https://www.hacienda.gob.es/es-ES/CDI/Paginas/PeriodoMedioPago/PeriodoMedioPago.aspx</w:t>
        </w:r>
      </w:hyperlink>
    </w:p>
  </w:footnote>
  <w:footnote w:id="33">
    <w:p w14:paraId="087C37E9" w14:textId="0EC34A5B" w:rsidR="00BC52A0" w:rsidRPr="0047091A" w:rsidRDefault="00BC52A0" w:rsidP="0042179E">
      <w:pPr>
        <w:pStyle w:val="FootnoteText"/>
        <w:rPr>
          <w:rFonts w:ascii="Arial" w:hAnsi="Arial" w:cstheme="minorHAnsi"/>
        </w:rPr>
      </w:pPr>
      <w:r w:rsidRPr="0047091A">
        <w:rPr>
          <w:rStyle w:val="FootnoteReference"/>
        </w:rPr>
        <w:footnoteRef/>
      </w:r>
      <w:r w:rsidRPr="0047091A">
        <w:rPr>
          <w:rStyle w:val="FootnoteReference"/>
        </w:rPr>
        <w:t xml:space="preserve"> </w:t>
      </w:r>
      <w:r w:rsidRPr="0047091A">
        <w:rPr>
          <w:rFonts w:eastAsia="Times New Roman"/>
        </w:rPr>
        <w:t>SAFE Survey, 2022</w:t>
      </w:r>
    </w:p>
  </w:footnote>
  <w:footnote w:id="34">
    <w:p w14:paraId="3BE948D5" w14:textId="7ED83FB0" w:rsidR="00BC52A0" w:rsidRPr="0047091A" w:rsidRDefault="00BC52A0" w:rsidP="002F76D9">
      <w:pPr>
        <w:pStyle w:val="FootnoteText"/>
        <w:jc w:val="left"/>
      </w:pPr>
      <w:r w:rsidRPr="0047091A">
        <w:rPr>
          <w:rStyle w:val="FootnoteReference"/>
        </w:rPr>
        <w:footnoteRef/>
      </w:r>
      <w:r w:rsidRPr="0047091A">
        <w:rPr>
          <w:rStyle w:val="FootnoteReference"/>
        </w:rPr>
        <w:t xml:space="preserve"> </w:t>
      </w:r>
      <w:r w:rsidR="004E7DF8" w:rsidRPr="0047091A">
        <w:t>EPR</w:t>
      </w:r>
      <w:r w:rsidRPr="0047091A">
        <w:t xml:space="preserve"> 2022</w:t>
      </w:r>
      <w:r w:rsidR="0091653A" w:rsidRPr="0047091A">
        <w:t xml:space="preserve"> </w:t>
      </w:r>
    </w:p>
  </w:footnote>
  <w:footnote w:id="35">
    <w:p w14:paraId="1B3BD197" w14:textId="77777777" w:rsidR="00923841" w:rsidRPr="0047091A" w:rsidRDefault="00923841" w:rsidP="00923841">
      <w:pPr>
        <w:spacing w:after="0"/>
      </w:pPr>
      <w:r w:rsidRPr="0047091A">
        <w:rPr>
          <w:rStyle w:val="FootnoteReference"/>
          <w:rFonts w:eastAsiaTheme="minorEastAsia"/>
        </w:rPr>
        <w:footnoteRef/>
      </w:r>
      <w:r w:rsidRPr="0047091A">
        <w:rPr>
          <w:rStyle w:val="FootnoteReference"/>
          <w:rFonts w:eastAsiaTheme="minorEastAsia"/>
        </w:rPr>
        <w:t xml:space="preserve"> </w:t>
      </w:r>
      <w:hyperlink r:id="rId9">
        <w:r w:rsidRPr="0047091A">
          <w:rPr>
            <w:rStyle w:val="FootnoteTextChar"/>
          </w:rPr>
          <w:t>Global Trade Credit Payments Study - CRIBIS &amp; Dun &amp; Bradstreet (dnb.co.uk)</w:t>
        </w:r>
      </w:hyperlink>
      <w:r w:rsidRPr="0047091A">
        <w:rPr>
          <w:rStyle w:val="FootnoteTextChar"/>
        </w:rPr>
        <w:t xml:space="preserve"> </w:t>
      </w:r>
    </w:p>
  </w:footnote>
  <w:footnote w:id="36">
    <w:p w14:paraId="197A7DB0" w14:textId="0E15230A" w:rsidR="00BC52A0" w:rsidRPr="0047091A" w:rsidRDefault="00BC52A0" w:rsidP="002F76D9">
      <w:pPr>
        <w:pStyle w:val="FootnoteText"/>
        <w:jc w:val="left"/>
      </w:pPr>
      <w:r w:rsidRPr="0047091A">
        <w:rPr>
          <w:rStyle w:val="FootnoteReference"/>
        </w:rPr>
        <w:footnoteRef/>
      </w:r>
      <w:r w:rsidRPr="0047091A">
        <w:t xml:space="preserve"> </w:t>
      </w:r>
      <w:r w:rsidR="00B11129" w:rsidRPr="0047091A">
        <w:t>D&amp;B payment survey 2022</w:t>
      </w:r>
    </w:p>
  </w:footnote>
  <w:footnote w:id="37">
    <w:p w14:paraId="1A34131F" w14:textId="235A8376" w:rsidR="00164A6B" w:rsidRPr="0047091A" w:rsidRDefault="00164A6B">
      <w:pPr>
        <w:pStyle w:val="FootnoteText"/>
      </w:pPr>
      <w:r w:rsidRPr="0047091A">
        <w:rPr>
          <w:rStyle w:val="FootnoteReference"/>
        </w:rPr>
        <w:footnoteRef/>
      </w:r>
      <w:r w:rsidRPr="0047091A">
        <w:t xml:space="preserve"> On average, 51.3% of micro-enterprises pay their invoices by the due date, while the same is true for 47.9% of small enterprises, 41.5% of medium-sized enterprises and only 34.5% of large enterprises. This effect is visible in all the EU countries analysed in the study except the Czech Republic and Slovenia. Details on country performance are in </w:t>
      </w:r>
      <w:r w:rsidRPr="0047091A">
        <w:fldChar w:fldCharType="begin"/>
      </w:r>
      <w:r w:rsidRPr="0047091A">
        <w:instrText xml:space="preserve"> REF Annex17 \h </w:instrText>
      </w:r>
      <w:r w:rsidRPr="0047091A">
        <w:fldChar w:fldCharType="separate"/>
      </w:r>
      <w:r w:rsidR="005851F4" w:rsidRPr="00881BC8">
        <w:t>Annex 17</w:t>
      </w:r>
      <w:r w:rsidRPr="0047091A">
        <w:fldChar w:fldCharType="end"/>
      </w:r>
      <w:r w:rsidRPr="0047091A">
        <w:t>.</w:t>
      </w:r>
    </w:p>
  </w:footnote>
  <w:footnote w:id="38">
    <w:p w14:paraId="5E3B5C3A" w14:textId="77777777" w:rsidR="00BC52A0" w:rsidRPr="0047091A" w:rsidRDefault="00BC52A0" w:rsidP="002F76D9">
      <w:pPr>
        <w:spacing w:after="0"/>
        <w:jc w:val="left"/>
      </w:pPr>
      <w:r w:rsidRPr="0047091A">
        <w:rPr>
          <w:rStyle w:val="FootnoteReference"/>
          <w:sz w:val="20"/>
          <w:szCs w:val="20"/>
        </w:rPr>
        <w:footnoteRef/>
      </w:r>
      <w:r w:rsidRPr="0047091A">
        <w:t xml:space="preserve"> </w:t>
      </w:r>
      <w:hyperlink r:id="rId10" w:history="1">
        <w:r w:rsidRPr="0047091A">
          <w:rPr>
            <w:rStyle w:val="Hyperlink"/>
            <w:sz w:val="20"/>
            <w:szCs w:val="20"/>
          </w:rPr>
          <w:t>https://www.economistjurist.es/zbloque-1/el-futuro-de-200-000-pymes-y-autonomos-peligran-por-la-alargada-sombra-de-la-morosidad/</w:t>
        </w:r>
      </w:hyperlink>
    </w:p>
  </w:footnote>
  <w:footnote w:id="39">
    <w:p w14:paraId="749EA3E2" w14:textId="6B31D893" w:rsidR="005A7688" w:rsidRPr="0047091A" w:rsidRDefault="005A7688">
      <w:pPr>
        <w:pStyle w:val="FootnoteText"/>
      </w:pPr>
      <w:r w:rsidRPr="0047091A">
        <w:rPr>
          <w:rStyle w:val="FootnoteReference"/>
        </w:rPr>
        <w:footnoteRef/>
      </w:r>
      <w:r w:rsidRPr="0047091A">
        <w:t xml:space="preserve"> </w:t>
      </w:r>
      <w:hyperlink r:id="rId11" w:history="1">
        <w:r w:rsidRPr="0047091A">
          <w:rPr>
            <w:rStyle w:val="Hyperlink"/>
          </w:rPr>
          <w:t>https://for.org.pl/pliki/artykuly/2628_zatoryraport.pdf</w:t>
        </w:r>
      </w:hyperlink>
      <w:r w:rsidRPr="0047091A">
        <w:t xml:space="preserve"> </w:t>
      </w:r>
    </w:p>
  </w:footnote>
  <w:footnote w:id="40">
    <w:p w14:paraId="42DFE8C6" w14:textId="3C0A43EC" w:rsidR="00BC52A0" w:rsidRPr="0047091A" w:rsidRDefault="00BC52A0">
      <w:pPr>
        <w:pStyle w:val="FootnoteText"/>
      </w:pPr>
      <w:r w:rsidRPr="0047091A">
        <w:rPr>
          <w:rStyle w:val="FootnoteReference"/>
        </w:rPr>
        <w:footnoteRef/>
      </w:r>
      <w:r w:rsidRPr="0047091A">
        <w:t xml:space="preserve"> </w:t>
      </w:r>
      <w:hyperlink r:id="rId12" w:history="1">
        <w:r w:rsidR="009D4168" w:rsidRPr="0047091A">
          <w:rPr>
            <w:rStyle w:val="Hyperlink"/>
          </w:rPr>
          <w:t>Analytical Report on Late Payments in the Construction Sector</w:t>
        </w:r>
      </w:hyperlink>
      <w:r w:rsidR="009D4168" w:rsidRPr="0047091A">
        <w:t>, 2020, European Construction Sector Observatory</w:t>
      </w:r>
    </w:p>
  </w:footnote>
  <w:footnote w:id="41">
    <w:p w14:paraId="1050AAD4" w14:textId="6A58AE29" w:rsidR="00BC52A0" w:rsidRPr="0047091A" w:rsidRDefault="00BC52A0">
      <w:pPr>
        <w:pStyle w:val="FootnoteText"/>
      </w:pPr>
      <w:r w:rsidRPr="0047091A">
        <w:rPr>
          <w:rStyle w:val="FootnoteReference"/>
        </w:rPr>
        <w:footnoteRef/>
      </w:r>
      <w:r w:rsidRPr="0047091A">
        <w:t xml:space="preserve"> </w:t>
      </w:r>
      <w:hyperlink r:id="rId13" w:history="1">
        <w:r w:rsidRPr="0047091A">
          <w:rPr>
            <w:rStyle w:val="Hyperlink"/>
          </w:rPr>
          <w:t>SAFE survey, 2022</w:t>
        </w:r>
      </w:hyperlink>
    </w:p>
  </w:footnote>
  <w:footnote w:id="42">
    <w:p w14:paraId="43A8B889" w14:textId="195AA3B0" w:rsidR="001B704E" w:rsidRPr="0047091A" w:rsidRDefault="001B704E">
      <w:pPr>
        <w:pStyle w:val="FootnoteText"/>
      </w:pPr>
      <w:r w:rsidRPr="0047091A">
        <w:rPr>
          <w:rStyle w:val="FootnoteReference"/>
        </w:rPr>
        <w:footnoteRef/>
      </w:r>
      <w:r w:rsidRPr="0047091A">
        <w:t xml:space="preserve"> </w:t>
      </w:r>
      <w:r w:rsidRPr="0047091A">
        <w:rPr>
          <w:rStyle w:val="FootnoteReference"/>
        </w:rPr>
        <w:footnoteRef/>
      </w:r>
      <w:r w:rsidRPr="0047091A">
        <w:t xml:space="preserve"> D&amp;B Payment Survey, 2022 </w:t>
      </w:r>
      <w:hyperlink r:id="rId14" w:history="1">
        <w:r w:rsidRPr="0047091A">
          <w:rPr>
            <w:rStyle w:val="Hyperlink"/>
          </w:rPr>
          <w:t>https://www.dnb.com/en-ch/knowledge/study/payment-study-2022-download/</w:t>
        </w:r>
      </w:hyperlink>
    </w:p>
  </w:footnote>
  <w:footnote w:id="43">
    <w:p w14:paraId="4941DC00" w14:textId="50BBCA78" w:rsidR="00BC52A0" w:rsidRPr="0047091A" w:rsidRDefault="00BC52A0">
      <w:pPr>
        <w:pStyle w:val="FootnoteText"/>
      </w:pPr>
      <w:r w:rsidRPr="0047091A">
        <w:rPr>
          <w:rStyle w:val="FootnoteReference"/>
        </w:rPr>
        <w:footnoteRef/>
      </w:r>
      <w:r w:rsidRPr="0047091A">
        <w:t xml:space="preserve"> </w:t>
      </w:r>
      <w:r w:rsidR="009D4168" w:rsidRPr="0047091A">
        <w:t xml:space="preserve">D&amp;B Payment Survey, 2022 </w:t>
      </w:r>
      <w:hyperlink r:id="rId15" w:history="1">
        <w:r w:rsidR="009D4168" w:rsidRPr="0047091A">
          <w:rPr>
            <w:rStyle w:val="Hyperlink"/>
          </w:rPr>
          <w:t>https://www.dnb.com/en-ch/knowledge/study/payment-study-2022-download/</w:t>
        </w:r>
      </w:hyperlink>
    </w:p>
  </w:footnote>
  <w:footnote w:id="44">
    <w:p w14:paraId="14CAA45B" w14:textId="531DE0AD" w:rsidR="00BC52A0" w:rsidRPr="0047091A" w:rsidRDefault="00BC52A0">
      <w:pPr>
        <w:pStyle w:val="FootnoteText"/>
      </w:pPr>
      <w:r w:rsidRPr="0047091A">
        <w:rPr>
          <w:rStyle w:val="FootnoteReference"/>
        </w:rPr>
        <w:footnoteRef/>
      </w:r>
      <w:r w:rsidRPr="0047091A">
        <w:t xml:space="preserve"> Late payments are often referred to as the “assassins” of SMEs in “</w:t>
      </w:r>
      <w:r w:rsidRPr="0047091A">
        <w:rPr>
          <w:i/>
        </w:rPr>
        <w:t>How SMEs can speed up payments from large corporations</w:t>
      </w:r>
      <w:r w:rsidRPr="0047091A">
        <w:t>”,</w:t>
      </w:r>
      <w:hyperlink r:id="rId16" w:history="1">
        <w:r w:rsidRPr="0047091A">
          <w:rPr>
            <w:rStyle w:val="Hyperlink"/>
          </w:rPr>
          <w:t>https://www.forbes.com/sites/forbesbusinesscouncil/2020/04/30/how-smes-can-speed-up-payments-from-large-corporations/?sh=1311bc2d405d</w:t>
        </w:r>
      </w:hyperlink>
    </w:p>
  </w:footnote>
  <w:footnote w:id="45">
    <w:p w14:paraId="3EA8AB6E" w14:textId="4AAFF7F1" w:rsidR="00BC52A0" w:rsidRPr="0047091A" w:rsidRDefault="00BC52A0" w:rsidP="00211286">
      <w:pPr>
        <w:pStyle w:val="FootnoteText"/>
      </w:pPr>
      <w:r w:rsidRPr="0047091A">
        <w:rPr>
          <w:rStyle w:val="FootnoteReference"/>
        </w:rPr>
        <w:footnoteRef/>
      </w:r>
      <w:hyperlink r:id="rId17" w:history="1">
        <w:r w:rsidRPr="0047091A">
          <w:rPr>
            <w:rStyle w:val="Hyperlink"/>
          </w:rPr>
          <w:t>https://www.sage.com/en-gb/blog/wp-content/uploads/sites/10/2017/12/Domino-Effect-Late-Payments-Research-Sage.pdf</w:t>
        </w:r>
      </w:hyperlink>
    </w:p>
  </w:footnote>
  <w:footnote w:id="46">
    <w:p w14:paraId="07C7597D" w14:textId="77777777" w:rsidR="001E100B" w:rsidRPr="0047091A" w:rsidRDefault="005650D0" w:rsidP="001E100B">
      <w:pPr>
        <w:pStyle w:val="FootnoteText"/>
      </w:pPr>
      <w:r w:rsidRPr="0047091A">
        <w:rPr>
          <w:rStyle w:val="FootnoteReference"/>
        </w:rPr>
        <w:footnoteRef/>
      </w:r>
      <w:r w:rsidRPr="00F867B4">
        <w:rPr>
          <w:lang w:val="fr-BE"/>
        </w:rPr>
        <w:t xml:space="preserve"> Avec la crise sanitaire de 2020 et son impact sur l’activité des entreprises, les comportements de paiement se sont rapidement dégradés. </w:t>
      </w:r>
      <w:hyperlink r:id="rId18" w:history="1">
        <w:r w:rsidRPr="00F949A3">
          <w:rPr>
            <w:rStyle w:val="Hyperlink"/>
            <w:lang w:val="en-IE"/>
          </w:rPr>
          <w:t>https://www.economie.gouv.fr/files/files/directions_services/mediateur-des-entreprises/odp_2020.pdf?v=1637739908</w:t>
        </w:r>
      </w:hyperlink>
      <w:r w:rsidRPr="00F949A3">
        <w:rPr>
          <w:lang w:val="en-IE"/>
        </w:rPr>
        <w:t xml:space="preserve"> </w:t>
      </w:r>
      <w:r w:rsidR="001E100B" w:rsidRPr="00F949A3">
        <w:rPr>
          <w:lang w:val="en-IE"/>
        </w:rPr>
        <w:br/>
      </w:r>
      <w:r w:rsidR="001E100B" w:rsidRPr="0047091A">
        <w:t>In the UK, 62% of all small businesses have experienced either an increase in late payments from customers</w:t>
      </w:r>
    </w:p>
    <w:p w14:paraId="278532C2" w14:textId="25F8A0F8" w:rsidR="005650D0" w:rsidRPr="0047091A" w:rsidRDefault="001E100B" w:rsidP="001E100B">
      <w:pPr>
        <w:pStyle w:val="FootnoteText"/>
      </w:pPr>
      <w:r w:rsidRPr="0047091A">
        <w:t>(44%) and/or had their payments frozen completely (30%) as a result of COVID-19. https://www.fsb.org.uk/static/84f47dd3-0cbe-4339-afd147be808b02f5/Late-Again-How-the-coronavirus-pandemic-is-impacting-payment-terms-for-small-firms.pdf</w:t>
      </w:r>
    </w:p>
  </w:footnote>
  <w:footnote w:id="47">
    <w:p w14:paraId="675B064B" w14:textId="77777777" w:rsidR="00BC52A0" w:rsidRPr="00F867B4" w:rsidRDefault="00BC52A0">
      <w:pPr>
        <w:pStyle w:val="FootnoteText"/>
        <w:rPr>
          <w:lang w:val="fr-BE"/>
        </w:rPr>
      </w:pPr>
      <w:r w:rsidRPr="0047091A">
        <w:rPr>
          <w:rStyle w:val="FootnoteReference"/>
        </w:rPr>
        <w:footnoteRef/>
      </w:r>
      <w:r w:rsidRPr="00F867B4">
        <w:rPr>
          <w:lang w:val="fr-BE"/>
        </w:rPr>
        <w:t xml:space="preserve"> NetPME, (</w:t>
      </w:r>
      <w:r w:rsidRPr="00F867B4">
        <w:rPr>
          <w:i/>
          <w:lang w:val="fr-BE"/>
        </w:rPr>
        <w:t xml:space="preserve">Coronavirus). Médiateur des entreprises : « Nous sommes submergés par un tsunami de saisines », </w:t>
      </w:r>
      <w:r w:rsidRPr="00F867B4">
        <w:rPr>
          <w:lang w:val="fr-BE"/>
        </w:rPr>
        <w:t xml:space="preserve">20.04.2020 </w:t>
      </w:r>
      <w:hyperlink r:id="rId19" w:history="1">
        <w:r w:rsidRPr="00F867B4">
          <w:rPr>
            <w:rStyle w:val="Hyperlink"/>
            <w:lang w:val="fr-BE"/>
          </w:rPr>
          <w:t>https://www.netpme.fr/actualite/coronavirus-mediateur-des-entreprises-nous-sommes-submerges-par-un-tsunami-de-saisines/</w:t>
        </w:r>
      </w:hyperlink>
    </w:p>
    <w:p w14:paraId="2A0D67B4" w14:textId="77777777" w:rsidR="00BC52A0" w:rsidRPr="00F867B4" w:rsidRDefault="00BC52A0">
      <w:pPr>
        <w:pStyle w:val="FootnoteText"/>
        <w:rPr>
          <w:lang w:val="fr-BE"/>
        </w:rPr>
      </w:pPr>
      <w:r w:rsidRPr="00F867B4">
        <w:rPr>
          <w:lang w:val="fr-BE"/>
        </w:rPr>
        <w:t>Le Figaro : « les incidents de paiements multipliés par trois », 16.04.2020</w:t>
      </w:r>
    </w:p>
    <w:p w14:paraId="5F5032EA" w14:textId="77777777" w:rsidR="00BC52A0" w:rsidRPr="00F867B4" w:rsidRDefault="00BC52A0">
      <w:pPr>
        <w:pStyle w:val="FootnoteText"/>
        <w:rPr>
          <w:lang w:val="fr-BE"/>
        </w:rPr>
      </w:pPr>
      <w:r w:rsidRPr="00F867B4">
        <w:rPr>
          <w:lang w:val="fr-BE"/>
        </w:rPr>
        <w:t xml:space="preserve"> </w:t>
      </w:r>
      <w:hyperlink r:id="rId20" w:history="1">
        <w:r w:rsidRPr="00F867B4">
          <w:rPr>
            <w:rStyle w:val="Hyperlink"/>
            <w:lang w:val="fr-BE"/>
          </w:rPr>
          <w:t>https://www.lefigaro.fr/flash-eco/coronavirus-les-incidents-de-paiement-multiplies-par-trois-20200416</w:t>
        </w:r>
      </w:hyperlink>
    </w:p>
  </w:footnote>
  <w:footnote w:id="48">
    <w:p w14:paraId="22BE22A3" w14:textId="77777777" w:rsidR="00BC52A0" w:rsidRPr="00365442" w:rsidRDefault="00BC52A0" w:rsidP="00CC419F">
      <w:pPr>
        <w:pStyle w:val="FootnoteText"/>
        <w:rPr>
          <w:lang w:val="it-IT"/>
        </w:rPr>
      </w:pPr>
      <w:r w:rsidRPr="0047091A">
        <w:rPr>
          <w:rStyle w:val="FootnoteReference"/>
        </w:rPr>
        <w:footnoteRef/>
      </w:r>
      <w:r w:rsidRPr="00365442">
        <w:rPr>
          <w:lang w:val="it-IT"/>
        </w:rPr>
        <w:t xml:space="preserve"> Il Sole 24 Ore: </w:t>
      </w:r>
      <w:r w:rsidRPr="00365442">
        <w:rPr>
          <w:i/>
          <w:lang w:val="it-IT"/>
        </w:rPr>
        <w:t>Coronavirus, servono 15 miliardi di liquidità nei prossimi 3 mesi</w:t>
      </w:r>
      <w:r w:rsidRPr="00365442">
        <w:rPr>
          <w:lang w:val="it-IT"/>
        </w:rPr>
        <w:t xml:space="preserve">, 19.03.2020 </w:t>
      </w:r>
    </w:p>
    <w:p w14:paraId="734382B5" w14:textId="17BCBE55" w:rsidR="00BC52A0" w:rsidRPr="0047091A" w:rsidRDefault="00BC129D">
      <w:pPr>
        <w:pStyle w:val="FootnoteText"/>
      </w:pPr>
      <w:hyperlink r:id="rId21" w:history="1">
        <w:r w:rsidR="00BC52A0" w:rsidRPr="0047091A">
          <w:rPr>
            <w:rStyle w:val="Hyperlink"/>
          </w:rPr>
          <w:t>https://www.ilsole24ore.com/art/coronavirus-servono-15-miliardi-liquidita-prossimi-3-mesi-ADLnKTE?refresh_ce=1</w:t>
        </w:r>
      </w:hyperlink>
      <w:r w:rsidR="00BC52A0" w:rsidRPr="0047091A">
        <w:rPr>
          <w:rStyle w:val="Hyperlink"/>
        </w:rPr>
        <w:br/>
      </w:r>
      <w:r w:rsidR="00BC52A0" w:rsidRPr="0047091A">
        <w:t>The quoted estimate was calculated based on an optimistic scenario assuming a 20-day delay after the agreed payment term. In practice, payment delays exceeding 100 days occured even before the COVID-19 crisis.</w:t>
      </w:r>
    </w:p>
  </w:footnote>
  <w:footnote w:id="49">
    <w:p w14:paraId="7FFA3C22" w14:textId="77777777" w:rsidR="00BC52A0" w:rsidRPr="00F949A3" w:rsidRDefault="00BC52A0">
      <w:pPr>
        <w:pStyle w:val="FootnoteText"/>
        <w:rPr>
          <w:lang w:val="es-ES"/>
        </w:rPr>
      </w:pPr>
      <w:r w:rsidRPr="0047091A">
        <w:rPr>
          <w:rStyle w:val="FootnoteReference"/>
        </w:rPr>
        <w:footnoteRef/>
      </w:r>
      <w:r w:rsidRPr="00F949A3">
        <w:rPr>
          <w:lang w:val="es-ES"/>
        </w:rPr>
        <w:t xml:space="preserve"> Cinco Días: </w:t>
      </w:r>
      <w:r w:rsidRPr="00F949A3">
        <w:rPr>
          <w:i/>
          <w:lang w:val="es-ES"/>
        </w:rPr>
        <w:t>Efectos de la morosidad en las pymes</w:t>
      </w:r>
      <w:r w:rsidRPr="00F949A3">
        <w:rPr>
          <w:lang w:val="es-ES"/>
        </w:rPr>
        <w:t xml:space="preserve">”, 23.09.2021 </w:t>
      </w:r>
      <w:hyperlink r:id="rId22" w:history="1">
        <w:r w:rsidRPr="00F949A3">
          <w:rPr>
            <w:rStyle w:val="Hyperlink"/>
            <w:lang w:val="es-ES"/>
          </w:rPr>
          <w:t>https://cincodias.elpais.com/cincodias/2021/09/21/pyme/1632178660_252671.html</w:t>
        </w:r>
      </w:hyperlink>
    </w:p>
  </w:footnote>
  <w:footnote w:id="50">
    <w:p w14:paraId="0A2E5D94" w14:textId="77777777" w:rsidR="00BC52A0" w:rsidRPr="00F949A3" w:rsidRDefault="00BC52A0" w:rsidP="003878EA">
      <w:pPr>
        <w:pStyle w:val="FootnoteText"/>
        <w:rPr>
          <w:lang w:val="es-ES"/>
        </w:rPr>
      </w:pPr>
      <w:r w:rsidRPr="0047091A">
        <w:rPr>
          <w:rStyle w:val="FootnoteReference"/>
        </w:rPr>
        <w:footnoteRef/>
      </w:r>
      <w:r w:rsidRPr="00F949A3">
        <w:rPr>
          <w:lang w:val="es-ES"/>
        </w:rPr>
        <w:t xml:space="preserve"> </w:t>
      </w:r>
      <w:hyperlink r:id="rId23" w:history="1">
        <w:r w:rsidRPr="00F949A3">
          <w:rPr>
            <w:rStyle w:val="Hyperlink"/>
            <w:lang w:val="es-ES"/>
          </w:rPr>
          <w:t>https://www.icaew.com/insights/viewpoints-on-the-news/2022/oct-2022/the-impact-of-late-payments-on-small-businesses</w:t>
        </w:r>
      </w:hyperlink>
    </w:p>
    <w:p w14:paraId="2FC8A9CB" w14:textId="77777777" w:rsidR="00BC52A0" w:rsidRPr="00F949A3" w:rsidRDefault="00BC129D" w:rsidP="003878EA">
      <w:pPr>
        <w:pStyle w:val="FootnoteText"/>
        <w:rPr>
          <w:lang w:val="es-ES"/>
        </w:rPr>
      </w:pPr>
      <w:hyperlink r:id="rId24" w:history="1">
        <w:r w:rsidR="00BC52A0" w:rsidRPr="00F949A3">
          <w:rPr>
            <w:rStyle w:val="Hyperlink"/>
            <w:lang w:val="es-ES"/>
          </w:rPr>
          <w:t>https://www.mondu.ai/blog/effects-inflation-payment-behavior-b2b/</w:t>
        </w:r>
      </w:hyperlink>
    </w:p>
  </w:footnote>
  <w:footnote w:id="51">
    <w:p w14:paraId="75D19560" w14:textId="175FD45B" w:rsidR="001827A3" w:rsidRPr="0047091A" w:rsidRDefault="001827A3">
      <w:pPr>
        <w:pStyle w:val="FootnoteText"/>
      </w:pPr>
      <w:r w:rsidRPr="0047091A">
        <w:rPr>
          <w:rStyle w:val="FootnoteReference"/>
        </w:rPr>
        <w:footnoteRef/>
      </w:r>
      <w:r w:rsidRPr="0047091A">
        <w:t xml:space="preserve"> PPMI, ‘SMEs and high inflation’, SME Performance Review, </w:t>
      </w:r>
      <w:r w:rsidR="007C460C" w:rsidRPr="0047091A">
        <w:t>in preparation</w:t>
      </w:r>
    </w:p>
  </w:footnote>
  <w:footnote w:id="52">
    <w:p w14:paraId="7304D537" w14:textId="77777777" w:rsidR="00FB6A35" w:rsidRPr="0047091A" w:rsidRDefault="00FB6A35" w:rsidP="00FB6A35">
      <w:pPr>
        <w:pStyle w:val="FootnoteText"/>
        <w:jc w:val="left"/>
      </w:pPr>
      <w:r w:rsidRPr="0047091A">
        <w:rPr>
          <w:rStyle w:val="FootnoteReference"/>
        </w:rPr>
        <w:footnoteRef/>
      </w:r>
      <w:r w:rsidRPr="0047091A">
        <w:t xml:space="preserve"> </w:t>
      </w:r>
      <w:hyperlink r:id="rId25" w:history="1">
        <w:r w:rsidRPr="0047091A">
          <w:rPr>
            <w:rStyle w:val="Hyperlink"/>
          </w:rPr>
          <w:t>https://publications.banque-france.fr/en/do-late-customer-payments-impact-companies-probability-default</w:t>
        </w:r>
      </w:hyperlink>
      <w:r w:rsidRPr="0047091A">
        <w:t xml:space="preserve"> </w:t>
      </w:r>
    </w:p>
  </w:footnote>
  <w:footnote w:id="53">
    <w:p w14:paraId="31C19863" w14:textId="05DC18E4" w:rsidR="0033372D" w:rsidRPr="0047091A" w:rsidRDefault="0033372D" w:rsidP="006600B7">
      <w:pPr>
        <w:pStyle w:val="FootnoteText"/>
        <w:jc w:val="left"/>
      </w:pPr>
      <w:r w:rsidRPr="0047091A">
        <w:rPr>
          <w:rStyle w:val="FootnoteReference"/>
        </w:rPr>
        <w:footnoteRef/>
      </w:r>
      <w:r w:rsidRPr="0047091A">
        <w:t xml:space="preserve"> ‘Imagine walking into a shop, taking what you want up to the counter, and then, when the time comes to pay, saying ‘thanks – but I think I’ll just take these now and pay later’, and casually walking out with your items.’, </w:t>
      </w:r>
      <w:hyperlink r:id="rId26" w:history="1">
        <w:r w:rsidR="0033038F" w:rsidRPr="0047091A">
          <w:rPr>
            <w:rStyle w:val="Hyperlink"/>
          </w:rPr>
          <w:t>https://www.sage.com/en-gb/blog/wp-content/uploads/sites/10/2017/12/Domino-Effect-Late-Payments-Research-Sage.pdf</w:t>
        </w:r>
      </w:hyperlink>
      <w:r w:rsidR="0033038F" w:rsidRPr="0047091A">
        <w:t xml:space="preserve"> </w:t>
      </w:r>
    </w:p>
  </w:footnote>
  <w:footnote w:id="54">
    <w:p w14:paraId="79C3819B" w14:textId="3DFA6154" w:rsidR="0064265F" w:rsidRPr="0047091A" w:rsidRDefault="0064265F" w:rsidP="0064265F">
      <w:pPr>
        <w:pStyle w:val="FootnoteText"/>
      </w:pPr>
      <w:r w:rsidRPr="0047091A">
        <w:rPr>
          <w:rStyle w:val="FootnoteReference"/>
        </w:rPr>
        <w:footnoteRef/>
      </w:r>
      <w:r w:rsidRPr="0047091A">
        <w:t xml:space="preserve"> V. Cuñat, Trade Credit: Suppliers as Debt Collectors and Insurance Providers, The Review of Financial Studies, Volume 20, Issue 2, March 2007, Pages 491–527, </w:t>
      </w:r>
      <w:hyperlink r:id="rId27" w:history="1">
        <w:r w:rsidRPr="0047091A">
          <w:rPr>
            <w:rStyle w:val="Hyperlink"/>
          </w:rPr>
          <w:t>https://doi.org/10.1093/rfs/hhl015</w:t>
        </w:r>
      </w:hyperlink>
      <w:r w:rsidRPr="0047091A">
        <w:t>, and</w:t>
      </w:r>
      <w:r w:rsidRPr="0047091A">
        <w:br/>
        <w:t xml:space="preserve">M. A. Petersen and R. G. Rajan, Trade Credit: Theories and Evidence, The Review of Financial Studies , Autumn, 1997, Vol. 10, No. 3 (Autumn, 1997), pp. 661-691, Oxford University Press, </w:t>
      </w:r>
      <w:hyperlink r:id="rId28" w:history="1">
        <w:r w:rsidR="00C25DFC" w:rsidRPr="0047091A">
          <w:rPr>
            <w:rStyle w:val="Hyperlink"/>
          </w:rPr>
          <w:t>https://www.jstor.org/stable/2962200</w:t>
        </w:r>
      </w:hyperlink>
      <w:r w:rsidR="00C25DFC" w:rsidRPr="0047091A">
        <w:t xml:space="preserve"> </w:t>
      </w:r>
    </w:p>
  </w:footnote>
  <w:footnote w:id="55">
    <w:p w14:paraId="23156A3A" w14:textId="55BF532C" w:rsidR="00BD1740" w:rsidRPr="0047091A" w:rsidRDefault="00BD1740">
      <w:pPr>
        <w:pStyle w:val="FootnoteText"/>
      </w:pPr>
      <w:r w:rsidRPr="0047091A">
        <w:rPr>
          <w:rStyle w:val="FootnoteReference"/>
        </w:rPr>
        <w:footnoteRef/>
      </w:r>
      <w:r w:rsidRPr="0047091A">
        <w:t xml:space="preserve"> </w:t>
      </w:r>
      <w:r w:rsidRPr="0047091A">
        <w:rPr>
          <w:rStyle w:val="normaltextrun"/>
        </w:rPr>
        <w:t xml:space="preserve">The LPD establishes that in cases where the contract provides for verification procedures to ascertain the conformity of the goods and services with the contract, the payment shall take place 30 days after that date, </w:t>
      </w:r>
      <w:r w:rsidRPr="0047091A">
        <w:rPr>
          <w:rStyle w:val="normaltextrun"/>
          <w:color w:val="000000"/>
        </w:rPr>
        <w:t>unless otherwise expressly agreed in the contract and provided it is not “grossly unfair” to the creditor.</w:t>
      </w:r>
    </w:p>
  </w:footnote>
  <w:footnote w:id="56">
    <w:p w14:paraId="65AFBBA5" w14:textId="55CF1802" w:rsidR="00900012" w:rsidRPr="0047091A" w:rsidRDefault="00900012" w:rsidP="00900012">
      <w:pPr>
        <w:pStyle w:val="FootnoteText"/>
      </w:pPr>
      <w:r w:rsidRPr="0047091A">
        <w:rPr>
          <w:rStyle w:val="FootnoteReference"/>
        </w:rPr>
        <w:footnoteRef/>
      </w:r>
      <w:r w:rsidRPr="0047091A">
        <w:t xml:space="preserve"> Trade credit is more expensive than bank credit because it includes costs associated with having a late payment option, greater risk of default and the higher cost of acquiring funds (Cuñat 2007).</w:t>
      </w:r>
      <w:r w:rsidRPr="0047091A">
        <w:br/>
      </w:r>
      <w:hyperlink r:id="rId29" w:history="1">
        <w:r w:rsidRPr="0047091A">
          <w:rPr>
            <w:rStyle w:val="Hyperlink"/>
          </w:rPr>
          <w:t>https://www.rba.gov.au/publications/bulletin/2013/sep/pdf/bu-0913-5.pdf</w:t>
        </w:r>
      </w:hyperlink>
      <w:r w:rsidRPr="0047091A">
        <w:t xml:space="preserve"> </w:t>
      </w:r>
    </w:p>
  </w:footnote>
  <w:footnote w:id="57">
    <w:p w14:paraId="34B7C20B" w14:textId="3AD0CCC1" w:rsidR="000705F5" w:rsidRPr="0047091A" w:rsidRDefault="000705F5" w:rsidP="000705F5">
      <w:pPr>
        <w:pStyle w:val="FootnoteText"/>
      </w:pPr>
      <w:r w:rsidRPr="0047091A">
        <w:rPr>
          <w:rStyle w:val="FootnoteReference"/>
        </w:rPr>
        <w:footnoteRef/>
      </w:r>
      <w:r w:rsidRPr="0047091A">
        <w:t xml:space="preserve"> </w:t>
      </w:r>
      <w:r w:rsidR="0096716D" w:rsidRPr="0047091A">
        <w:t>B2B Comparative study</w:t>
      </w:r>
    </w:p>
  </w:footnote>
  <w:footnote w:id="58">
    <w:p w14:paraId="7A903E5A" w14:textId="5E6B6609" w:rsidR="00905F2D" w:rsidRPr="0047091A" w:rsidRDefault="00905F2D" w:rsidP="00905F2D">
      <w:pPr>
        <w:pStyle w:val="FootnoteText"/>
      </w:pPr>
      <w:r w:rsidRPr="0047091A">
        <w:rPr>
          <w:rStyle w:val="FootnoteReference"/>
        </w:rPr>
        <w:footnoteRef/>
      </w:r>
      <w:r w:rsidRPr="0047091A">
        <w:t xml:space="preserve"> </w:t>
      </w:r>
      <w:r w:rsidR="0096716D" w:rsidRPr="0047091A">
        <w:t xml:space="preserve">EPR </w:t>
      </w:r>
      <w:r w:rsidR="00A864F2" w:rsidRPr="0047091A">
        <w:t>20</w:t>
      </w:r>
      <w:r w:rsidR="00A864F2">
        <w:t>22</w:t>
      </w:r>
    </w:p>
  </w:footnote>
  <w:footnote w:id="59">
    <w:p w14:paraId="780B9FE6" w14:textId="1C58A92D" w:rsidR="00E84D8C" w:rsidRPr="0047091A" w:rsidRDefault="00E84D8C" w:rsidP="00E84D8C">
      <w:pPr>
        <w:pStyle w:val="FootnoteText"/>
      </w:pPr>
      <w:r w:rsidRPr="0047091A">
        <w:rPr>
          <w:rStyle w:val="FootnoteReference"/>
        </w:rPr>
        <w:footnoteRef/>
      </w:r>
      <w:r w:rsidRPr="0047091A">
        <w:t xml:space="preserve"> </w:t>
      </w:r>
      <w:r w:rsidR="0096716D" w:rsidRPr="0047091A">
        <w:t>EPR 2019</w:t>
      </w:r>
    </w:p>
  </w:footnote>
  <w:footnote w:id="60">
    <w:p w14:paraId="486AE733" w14:textId="105EE4EA" w:rsidR="00CF5A35" w:rsidRPr="0047091A" w:rsidRDefault="00CF5A35" w:rsidP="006600B7">
      <w:pPr>
        <w:pStyle w:val="FootnoteText"/>
        <w:jc w:val="left"/>
      </w:pPr>
      <w:r w:rsidRPr="0047091A">
        <w:rPr>
          <w:rStyle w:val="FootnoteReference"/>
        </w:rPr>
        <w:footnoteRef/>
      </w:r>
      <w:r w:rsidRPr="0047091A">
        <w:t xml:space="preserve"> ACCA and CBI (2010), Small Business Finance and the Recovery </w:t>
      </w:r>
      <w:hyperlink r:id="rId30" w:history="1">
        <w:r w:rsidRPr="0047091A">
          <w:rPr>
            <w:rStyle w:val="Hyperlink"/>
          </w:rPr>
          <w:t>http://www.accaglobal.com/content/dam/acca/global/PDF-technical/small-business/pol-af-sbf.pdf</w:t>
        </w:r>
      </w:hyperlink>
      <w:r w:rsidRPr="0047091A">
        <w:t xml:space="preserve"> </w:t>
      </w:r>
    </w:p>
  </w:footnote>
  <w:footnote w:id="61">
    <w:p w14:paraId="796EE759" w14:textId="13FEF4D8" w:rsidR="00BC52A0" w:rsidRPr="0090056C" w:rsidRDefault="00BC52A0">
      <w:pPr>
        <w:pStyle w:val="FootnoteText"/>
        <w:rPr>
          <w:lang w:val="pt-PT"/>
        </w:rPr>
      </w:pPr>
      <w:r w:rsidRPr="0047091A">
        <w:rPr>
          <w:rStyle w:val="FootnoteReference"/>
        </w:rPr>
        <w:footnoteRef/>
      </w:r>
      <w:r w:rsidRPr="0090056C">
        <w:rPr>
          <w:lang w:val="pt-PT"/>
        </w:rPr>
        <w:t xml:space="preserve"> </w:t>
      </w:r>
      <w:r w:rsidR="0096716D" w:rsidRPr="0090056C">
        <w:rPr>
          <w:lang w:val="pt-PT"/>
        </w:rPr>
        <w:t>EPR 2022</w:t>
      </w:r>
    </w:p>
  </w:footnote>
  <w:footnote w:id="62">
    <w:p w14:paraId="68E96C1D" w14:textId="77777777" w:rsidR="00B70D3C" w:rsidRPr="0090056C" w:rsidRDefault="00B70D3C" w:rsidP="00B70D3C">
      <w:pPr>
        <w:pStyle w:val="FootnoteText"/>
        <w:rPr>
          <w:lang w:val="pt-PT"/>
        </w:rPr>
      </w:pPr>
      <w:r w:rsidRPr="0047091A">
        <w:rPr>
          <w:rStyle w:val="FootnoteReference"/>
        </w:rPr>
        <w:footnoteRef/>
      </w:r>
      <w:r w:rsidRPr="0090056C">
        <w:rPr>
          <w:lang w:val="pt-PT"/>
        </w:rPr>
        <w:t xml:space="preserve"> </w:t>
      </w:r>
      <w:hyperlink r:id="rId31" w:history="1">
        <w:r w:rsidRPr="0090056C">
          <w:rPr>
            <w:rStyle w:val="Hyperlink"/>
            <w:lang w:val="pt-PT"/>
          </w:rPr>
          <w:t>https://eur-lex.europa.eu/LexUriServ/LexUriServ.do?uri=SEC:2009:0316:FIN:en:PDF</w:t>
        </w:r>
      </w:hyperlink>
    </w:p>
  </w:footnote>
  <w:footnote w:id="63">
    <w:p w14:paraId="46F42D3D" w14:textId="780E538E" w:rsidR="00BC52A0" w:rsidRPr="0090056C" w:rsidRDefault="00BC52A0" w:rsidP="00D0700E">
      <w:pPr>
        <w:pStyle w:val="FootnoteText"/>
        <w:jc w:val="left"/>
        <w:rPr>
          <w:lang w:val="pt-PT"/>
        </w:rPr>
      </w:pPr>
      <w:r w:rsidRPr="0047091A">
        <w:rPr>
          <w:rStyle w:val="FootnoteReference"/>
        </w:rPr>
        <w:footnoteRef/>
      </w:r>
      <w:r w:rsidRPr="0090056C">
        <w:rPr>
          <w:lang w:val="pt-PT"/>
        </w:rPr>
        <w:t xml:space="preserve"> </w:t>
      </w:r>
      <w:hyperlink r:id="rId32" w:history="1">
        <w:r w:rsidR="00D0700E" w:rsidRPr="0090056C">
          <w:rPr>
            <w:rStyle w:val="Hyperlink"/>
            <w:lang w:val="pt-PT"/>
          </w:rPr>
          <w:t>https://www.gov.uk/government/news/business-secretary-launches-review-to-prevent-small-firms-from-being-ripped-off-by-larger-companies</w:t>
        </w:r>
      </w:hyperlink>
      <w:r w:rsidR="00D0700E" w:rsidRPr="0090056C">
        <w:rPr>
          <w:rStyle w:val="Hyperlink"/>
          <w:lang w:val="pt-PT"/>
        </w:rPr>
        <w:br/>
      </w:r>
      <w:hyperlink r:id="rId33" w:history="1">
        <w:r w:rsidR="00D0700E" w:rsidRPr="0090056C">
          <w:rPr>
            <w:rStyle w:val="Hyperlink"/>
            <w:lang w:val="pt-PT"/>
          </w:rPr>
          <w:t>https://www.linkedin.com/pulse/bullying-wrong-includes-big-brand-corporations-mark-pettler</w:t>
        </w:r>
      </w:hyperlink>
    </w:p>
  </w:footnote>
  <w:footnote w:id="64">
    <w:p w14:paraId="51824B14" w14:textId="77777777" w:rsidR="00405E53" w:rsidRPr="0047091A" w:rsidRDefault="00405E53" w:rsidP="00405E53">
      <w:pPr>
        <w:pStyle w:val="FootnoteText"/>
      </w:pPr>
      <w:r w:rsidRPr="0047091A">
        <w:rPr>
          <w:rStyle w:val="FootnoteReference"/>
        </w:rPr>
        <w:footnoteRef/>
      </w:r>
      <w:r w:rsidRPr="0047091A">
        <w:t xml:space="preserve"> Intrum, </w:t>
      </w:r>
      <w:hyperlink r:id="rId34" w:history="1">
        <w:r w:rsidRPr="0047091A">
          <w:rPr>
            <w:rStyle w:val="Hyperlink"/>
          </w:rPr>
          <w:t>European Payment Report 2021</w:t>
        </w:r>
      </w:hyperlink>
    </w:p>
  </w:footnote>
  <w:footnote w:id="65">
    <w:p w14:paraId="1B8D6D4C" w14:textId="0EBC796A" w:rsidR="00B07BD1" w:rsidRPr="0047091A" w:rsidRDefault="00BC52A0" w:rsidP="00B07BD1">
      <w:pPr>
        <w:pStyle w:val="FootnoteText"/>
      </w:pPr>
      <w:r w:rsidRPr="0047091A">
        <w:rPr>
          <w:rStyle w:val="FootnoteReference"/>
        </w:rPr>
        <w:footnoteRef/>
      </w:r>
      <w:r w:rsidRPr="0047091A">
        <w:t xml:space="preserve"> </w:t>
      </w:r>
      <w:r w:rsidR="00B07BD1" w:rsidRPr="0047091A">
        <w:t xml:space="preserve">BFF Finance IBERIA </w:t>
      </w:r>
      <w:r w:rsidR="00A61A85" w:rsidRPr="0047091A">
        <w:t>C 585/20</w:t>
      </w:r>
    </w:p>
    <w:p w14:paraId="1BA6C0B9" w14:textId="77777777" w:rsidR="00B07BD1" w:rsidRPr="0047091A" w:rsidRDefault="00B07BD1" w:rsidP="00B07BD1">
      <w:pPr>
        <w:pStyle w:val="FootnoteText"/>
        <w:rPr>
          <w:rStyle w:val="Hyperlink"/>
          <w:sz w:val="22"/>
          <w:szCs w:val="22"/>
        </w:rPr>
      </w:pPr>
      <w:r w:rsidRPr="0047091A">
        <w:rPr>
          <w:rStyle w:val="Hyperlink"/>
        </w:rPr>
        <w:t>https://curia.europa.eu/juris/document/document.jsf;jsessionid=9ACA3ACE89C179B9127A057DD337BB72?text=&amp;docid=267402&amp;pageIndex=0&amp;doclang=ES&amp;mode=lst&amp;dir=&amp;occ=first&amp;part=1&amp;cid=793023</w:t>
      </w:r>
    </w:p>
    <w:p w14:paraId="0F32B1D9" w14:textId="673C30F4" w:rsidR="00BC52A0" w:rsidRPr="0047091A" w:rsidRDefault="00BC52A0">
      <w:pPr>
        <w:pStyle w:val="FootnoteText"/>
      </w:pPr>
    </w:p>
  </w:footnote>
  <w:footnote w:id="66">
    <w:p w14:paraId="7DE2B621" w14:textId="7345DE99" w:rsidR="00BC52A0" w:rsidRPr="0047091A" w:rsidRDefault="00BC52A0">
      <w:pPr>
        <w:pStyle w:val="FootnoteText"/>
      </w:pPr>
      <w:r w:rsidRPr="0047091A">
        <w:rPr>
          <w:rStyle w:val="FootnoteReference"/>
        </w:rPr>
        <w:footnoteRef/>
      </w:r>
      <w:r w:rsidRPr="0047091A">
        <w:t xml:space="preserve"> </w:t>
      </w:r>
      <w:r w:rsidR="004B0F26" w:rsidRPr="0047091A">
        <w:rPr>
          <w:color w:val="000000" w:themeColor="text1"/>
        </w:rPr>
        <w:t>If the contract restricts the parties’ ability to assign or transfer rights created under the contract, restrictions on assignment can prevent the parties from factoring receivables or otherwise raising finance on them.</w:t>
      </w:r>
    </w:p>
  </w:footnote>
  <w:footnote w:id="67">
    <w:p w14:paraId="6116DAB1" w14:textId="77777777" w:rsidR="00997071" w:rsidRPr="0047091A" w:rsidRDefault="00997071" w:rsidP="00997071">
      <w:pPr>
        <w:pStyle w:val="FootnoteText"/>
      </w:pPr>
      <w:r w:rsidRPr="0047091A">
        <w:rPr>
          <w:rStyle w:val="FootnoteReference"/>
        </w:rPr>
        <w:footnoteRef/>
      </w:r>
      <w:r w:rsidRPr="0047091A">
        <w:t xml:space="preserve"> Assumption follows from the creditor’s weaker bargaining power than debtor’s, which allows the debtor to impose long or late payment terms in a commercial transaction.</w:t>
      </w:r>
    </w:p>
  </w:footnote>
  <w:footnote w:id="68">
    <w:p w14:paraId="7418D4CC" w14:textId="060BBDD8" w:rsidR="00D76288" w:rsidRPr="0047091A" w:rsidRDefault="00D76288">
      <w:pPr>
        <w:pStyle w:val="FootnoteText"/>
      </w:pPr>
      <w:r w:rsidRPr="0047091A">
        <w:rPr>
          <w:rStyle w:val="FootnoteReference"/>
        </w:rPr>
        <w:footnoteRef/>
      </w:r>
      <w:r w:rsidRPr="0047091A">
        <w:t xml:space="preserve"> </w:t>
      </w:r>
      <w:hyperlink r:id="rId35" w:history="1">
        <w:r w:rsidRPr="0047091A">
          <w:rPr>
            <w:rStyle w:val="Hyperlink"/>
          </w:rPr>
          <w:t>https://commission.europa.eu/system/files/2022-06/br_toolbox_-_nov_2021_-_chapter_3.pdf</w:t>
        </w:r>
      </w:hyperlink>
      <w:r w:rsidRPr="0047091A">
        <w:t xml:space="preserve"> </w:t>
      </w:r>
      <w:r w:rsidR="0038443F" w:rsidRPr="0047091A">
        <w:t>p.156</w:t>
      </w:r>
    </w:p>
  </w:footnote>
  <w:footnote w:id="69">
    <w:p w14:paraId="1C7D59F0" w14:textId="0B46999F" w:rsidR="00323373" w:rsidRPr="0047091A" w:rsidRDefault="00323373" w:rsidP="00323373">
      <w:pPr>
        <w:pStyle w:val="FootnoteText"/>
        <w:jc w:val="left"/>
      </w:pPr>
      <w:r w:rsidRPr="0047091A">
        <w:rPr>
          <w:rStyle w:val="FootnoteReference"/>
        </w:rPr>
        <w:footnoteRef/>
      </w:r>
      <w:r w:rsidRPr="0047091A">
        <w:t xml:space="preserve"> </w:t>
      </w:r>
      <w:r w:rsidR="004D6990" w:rsidRPr="0047091A">
        <w:t>Strategic foresight report 2022</w:t>
      </w:r>
    </w:p>
  </w:footnote>
  <w:footnote w:id="70">
    <w:p w14:paraId="61385779" w14:textId="53751E7D" w:rsidR="00BC52A0" w:rsidRPr="0047091A" w:rsidRDefault="00BC52A0" w:rsidP="00D42F74">
      <w:pPr>
        <w:pStyle w:val="FootnoteText"/>
      </w:pPr>
      <w:r w:rsidRPr="0047091A">
        <w:rPr>
          <w:rStyle w:val="FootnoteReference"/>
        </w:rPr>
        <w:footnoteRef/>
      </w:r>
      <w:r w:rsidRPr="0047091A">
        <w:t xml:space="preserve"> </w:t>
      </w:r>
      <w:hyperlink r:id="rId36" w:history="1">
        <w:r w:rsidRPr="0047091A">
          <w:rPr>
            <w:rStyle w:val="Hyperlink"/>
          </w:rPr>
          <w:t>https://single-market-economy.ec.europa.eu/sectors/construction/observatory_en</w:t>
        </w:r>
      </w:hyperlink>
    </w:p>
  </w:footnote>
  <w:footnote w:id="71">
    <w:p w14:paraId="4EBAB15F" w14:textId="48150117" w:rsidR="00B65BAD" w:rsidRPr="0047091A" w:rsidRDefault="00BC52A0" w:rsidP="00C21616">
      <w:pPr>
        <w:pStyle w:val="FootnoteText"/>
      </w:pPr>
      <w:r w:rsidRPr="0047091A">
        <w:rPr>
          <w:rStyle w:val="FootnoteReference"/>
        </w:rPr>
        <w:footnoteRef/>
      </w:r>
      <w:r w:rsidRPr="0047091A">
        <w:t xml:space="preserve"> </w:t>
      </w:r>
      <w:hyperlink r:id="rId37" w:history="1">
        <w:r w:rsidR="00B65BAD" w:rsidRPr="0047091A">
          <w:rPr>
            <w:rStyle w:val="Hyperlink"/>
          </w:rPr>
          <w:t>https://eur-lex.europa.eu/legal-content/EN/TXT/PDF/?uri=CELEX:32022L2464&amp;from=EN</w:t>
        </w:r>
      </w:hyperlink>
      <w:r w:rsidR="00B65BAD" w:rsidRPr="0047091A">
        <w:t xml:space="preserve"> </w:t>
      </w:r>
    </w:p>
  </w:footnote>
  <w:footnote w:id="72">
    <w:p w14:paraId="4E60F51F" w14:textId="1F25CBE5" w:rsidR="00BC52A0" w:rsidRPr="0047091A" w:rsidRDefault="00BC52A0">
      <w:pPr>
        <w:pStyle w:val="FootnoteText"/>
      </w:pPr>
      <w:r w:rsidRPr="0047091A">
        <w:rPr>
          <w:rStyle w:val="FootnoteReference"/>
        </w:rPr>
        <w:footnoteRef/>
      </w:r>
      <w:r w:rsidRPr="0047091A">
        <w:t xml:space="preserve"> Reporting standards (including one on payment practices) are in preparation; in the draft standards, it is proposed that payment practices’ disclosure is conditional on the company’s materiality assessment. The Directive will become gradually applicable starting with the businesses’ financial year of 2024.</w:t>
      </w:r>
    </w:p>
  </w:footnote>
  <w:footnote w:id="73">
    <w:p w14:paraId="591260BD" w14:textId="28729A07" w:rsidR="00B65BAD" w:rsidRPr="0090056C" w:rsidRDefault="00BC52A0">
      <w:pPr>
        <w:pStyle w:val="FootnoteText"/>
        <w:rPr>
          <w:lang w:val="pt-PT"/>
        </w:rPr>
      </w:pPr>
      <w:r w:rsidRPr="0047091A">
        <w:rPr>
          <w:rStyle w:val="FootnoteReference"/>
        </w:rPr>
        <w:footnoteRef/>
      </w:r>
      <w:r w:rsidRPr="0090056C">
        <w:rPr>
          <w:lang w:val="pt-PT"/>
        </w:rPr>
        <w:t xml:space="preserve"> 2014/55/EU</w:t>
      </w:r>
      <w:r w:rsidR="00B65BAD" w:rsidRPr="0090056C">
        <w:rPr>
          <w:lang w:val="pt-PT"/>
        </w:rPr>
        <w:t xml:space="preserve"> - </w:t>
      </w:r>
      <w:hyperlink r:id="rId38" w:history="1">
        <w:r w:rsidR="00B65BAD" w:rsidRPr="0090056C">
          <w:rPr>
            <w:rStyle w:val="Hyperlink"/>
            <w:lang w:val="pt-PT"/>
          </w:rPr>
          <w:t>https://eur-lex.europa.eu/legal-content/EN/TXT/?uri=CELEX%3A32014L0055</w:t>
        </w:r>
      </w:hyperlink>
      <w:r w:rsidR="00B65BAD" w:rsidRPr="0090056C">
        <w:rPr>
          <w:lang w:val="pt-PT"/>
        </w:rPr>
        <w:t xml:space="preserve"> </w:t>
      </w:r>
    </w:p>
  </w:footnote>
  <w:footnote w:id="74">
    <w:p w14:paraId="04225A5F" w14:textId="36AD3886" w:rsidR="00BC52A0" w:rsidRPr="0090056C" w:rsidRDefault="00BC52A0" w:rsidP="00D834EE">
      <w:pPr>
        <w:pStyle w:val="FootnoteText"/>
        <w:rPr>
          <w:lang w:val="pt-PT"/>
        </w:rPr>
      </w:pPr>
      <w:r w:rsidRPr="0047091A">
        <w:rPr>
          <w:rStyle w:val="FootnoteReference"/>
        </w:rPr>
        <w:footnoteRef/>
      </w:r>
      <w:r w:rsidRPr="0090056C">
        <w:rPr>
          <w:lang w:val="pt-PT"/>
        </w:rPr>
        <w:t xml:space="preserve"> </w:t>
      </w:r>
      <w:hyperlink r:id="rId39" w:history="1">
        <w:r w:rsidRPr="0090056C">
          <w:rPr>
            <w:rStyle w:val="Hyperlink"/>
            <w:lang w:val="pt-PT"/>
          </w:rPr>
          <w:t>https://taxation-customs.ec.europa.eu/taxation-1/value-added-tax-vat/vat-digital-age_en</w:t>
        </w:r>
      </w:hyperlink>
    </w:p>
  </w:footnote>
  <w:footnote w:id="75">
    <w:p w14:paraId="4DFFD5C1" w14:textId="02EBC424" w:rsidR="00827A6F" w:rsidRPr="0090056C" w:rsidRDefault="00827A6F">
      <w:pPr>
        <w:pStyle w:val="FootnoteText"/>
        <w:rPr>
          <w:lang w:val="pt-PT"/>
        </w:rPr>
      </w:pPr>
      <w:r w:rsidRPr="0047091A">
        <w:rPr>
          <w:rStyle w:val="FootnoteReference"/>
        </w:rPr>
        <w:footnoteRef/>
      </w:r>
      <w:r w:rsidRPr="0090056C">
        <w:rPr>
          <w:lang w:val="pt-PT"/>
        </w:rPr>
        <w:t xml:space="preserve"> </w:t>
      </w:r>
      <w:hyperlink r:id="rId40" w:history="1">
        <w:r w:rsidRPr="0090056C">
          <w:rPr>
            <w:lang w:val="pt-PT"/>
          </w:rPr>
          <w:t>https://ec.europa.eu/digital-building-blocks/wikis/display/DIGITAL/Digital+Homepage</w:t>
        </w:r>
      </w:hyperlink>
    </w:p>
  </w:footnote>
  <w:footnote w:id="76">
    <w:p w14:paraId="3292FA60" w14:textId="0ED54553" w:rsidR="003825CB" w:rsidRPr="0047091A" w:rsidRDefault="003825CB">
      <w:pPr>
        <w:pStyle w:val="FootnoteText"/>
      </w:pPr>
      <w:r w:rsidRPr="0047091A">
        <w:rPr>
          <w:rStyle w:val="FootnoteReference"/>
        </w:rPr>
        <w:footnoteRef/>
      </w:r>
      <w:r w:rsidRPr="0047091A">
        <w:t xml:space="preserve"> </w:t>
      </w:r>
      <w:hyperlink r:id="rId41" w:history="1">
        <w:r w:rsidRPr="0047091A">
          <w:rPr>
            <w:rFonts w:eastAsiaTheme="minorHAnsi"/>
            <w:color w:val="0000FF"/>
            <w:u w:val="single"/>
          </w:rPr>
          <w:t>Services - 127264-2023 - TED Tenders Electronic Daily (europa.eu)</w:t>
        </w:r>
      </w:hyperlink>
      <w:r w:rsidRPr="0047091A">
        <w:rPr>
          <w:rFonts w:eastAsiaTheme="minorHAnsi"/>
        </w:rPr>
        <w:t xml:space="preserve"> </w:t>
      </w:r>
    </w:p>
  </w:footnote>
  <w:footnote w:id="77">
    <w:p w14:paraId="29C12756" w14:textId="58965517" w:rsidR="00BC52A0" w:rsidRPr="0047091A" w:rsidRDefault="00BC52A0">
      <w:pPr>
        <w:pStyle w:val="FootnoteText"/>
      </w:pPr>
      <w:r w:rsidRPr="0047091A">
        <w:rPr>
          <w:rStyle w:val="FootnoteReference"/>
        </w:rPr>
        <w:footnoteRef/>
      </w:r>
      <w:r w:rsidRPr="0047091A">
        <w:t xml:space="preserve"> In 2022, EU annual inflation reached the highest level ever measured at 9.2%. Compared with 2021, when the annual value was 2.9%, it more than tripled. </w:t>
      </w:r>
      <w:hyperlink r:id="rId42" w:history="1">
        <w:r w:rsidRPr="0047091A">
          <w:rPr>
            <w:rStyle w:val="Hyperlink"/>
          </w:rPr>
          <w:t>https://ec.europa.eu/eurostat/web/products-eurostat-news/w/DDN-20230309-2</w:t>
        </w:r>
      </w:hyperlink>
      <w:r w:rsidRPr="0047091A">
        <w:t xml:space="preserve"> </w:t>
      </w:r>
    </w:p>
  </w:footnote>
  <w:footnote w:id="78">
    <w:p w14:paraId="3853965E" w14:textId="388C655C" w:rsidR="00BC52A0" w:rsidRPr="0047091A" w:rsidRDefault="00BC52A0" w:rsidP="00FF4F1B">
      <w:pPr>
        <w:pStyle w:val="FootnoteText"/>
      </w:pPr>
      <w:r w:rsidRPr="0047091A">
        <w:rPr>
          <w:rStyle w:val="FootnoteReference"/>
        </w:rPr>
        <w:footnoteRef/>
      </w:r>
      <w:r w:rsidRPr="0047091A">
        <w:t xml:space="preserve"> June 2022, </w:t>
      </w:r>
      <w:hyperlink r:id="rId43" w:history="1">
        <w:r w:rsidRPr="0047091A">
          <w:rPr>
            <w:rStyle w:val="Hyperlink"/>
          </w:rPr>
          <w:t>https://europa.eu/eurobarometer/surveys/detail/2244</w:t>
        </w:r>
      </w:hyperlink>
    </w:p>
  </w:footnote>
  <w:footnote w:id="79">
    <w:p w14:paraId="1A20B0E6" w14:textId="77777777" w:rsidR="00D80E4B" w:rsidRPr="0047091A" w:rsidRDefault="00D80E4B" w:rsidP="00D80E4B">
      <w:pPr>
        <w:pStyle w:val="FootnoteText"/>
      </w:pPr>
      <w:r w:rsidRPr="0047091A">
        <w:rPr>
          <w:rStyle w:val="FootnoteReference"/>
        </w:rPr>
        <w:footnoteRef/>
      </w:r>
      <w:r w:rsidRPr="0047091A">
        <w:t xml:space="preserve"> https://business.gov.nl/amendment/legal-payment-term-large-companies-reduced-30-days/</w:t>
      </w:r>
    </w:p>
  </w:footnote>
  <w:footnote w:id="80">
    <w:p w14:paraId="3818C5D6" w14:textId="77777777" w:rsidR="00D80E4B" w:rsidRPr="0047091A" w:rsidRDefault="00D80E4B" w:rsidP="00D80E4B">
      <w:pPr>
        <w:pStyle w:val="FootnoteText"/>
      </w:pPr>
      <w:r w:rsidRPr="0047091A">
        <w:rPr>
          <w:rStyle w:val="FootnoteReference"/>
        </w:rPr>
        <w:footnoteRef/>
      </w:r>
      <w:r w:rsidRPr="0047091A">
        <w:t xml:space="preserve"> Belgium: </w:t>
      </w:r>
      <w:hyperlink r:id="rId44" w:history="1">
        <w:r w:rsidRPr="0047091A">
          <w:rPr>
            <w:rStyle w:val="Hyperlink"/>
          </w:rPr>
          <w:t>https://economie.fgov.be/fr/themes/line/belmed-mediation-en-ligne/reglement-alternatif-de/sortes-de-reglements-des/conciliation/commission-de-conciliation</w:t>
        </w:r>
      </w:hyperlink>
      <w:r w:rsidRPr="0047091A">
        <w:t xml:space="preserve">, Ireland: Construction Contracts Act 2013. </w:t>
      </w:r>
    </w:p>
  </w:footnote>
  <w:footnote w:id="81">
    <w:p w14:paraId="555F8754" w14:textId="251257C9" w:rsidR="00932765" w:rsidRPr="0047091A" w:rsidRDefault="00932765" w:rsidP="00932765">
      <w:pPr>
        <w:pStyle w:val="FootnoteText"/>
        <w:jc w:val="left"/>
      </w:pPr>
      <w:r w:rsidRPr="0047091A">
        <w:rPr>
          <w:rStyle w:val="FootnoteReference"/>
        </w:rPr>
        <w:footnoteRef/>
      </w:r>
      <w:r w:rsidRPr="0047091A">
        <w:t xml:space="preserve"> EP Resolution </w:t>
      </w:r>
      <w:r w:rsidR="009878B3" w:rsidRPr="0047091A">
        <w:t>2019</w:t>
      </w:r>
    </w:p>
  </w:footnote>
  <w:footnote w:id="82">
    <w:p w14:paraId="4D528802" w14:textId="77777777" w:rsidR="00357134" w:rsidRPr="0047091A" w:rsidRDefault="00357134" w:rsidP="00357134">
      <w:pPr>
        <w:pStyle w:val="FootnoteText"/>
      </w:pPr>
      <w:r w:rsidRPr="0047091A">
        <w:rPr>
          <w:rStyle w:val="FootnoteReference"/>
        </w:rPr>
        <w:footnoteRef/>
      </w:r>
      <w:r w:rsidRPr="0047091A">
        <w:t xml:space="preserve"> B2B Comparative Study 2018</w:t>
      </w:r>
    </w:p>
  </w:footnote>
  <w:footnote w:id="83">
    <w:p w14:paraId="03137143" w14:textId="77777777" w:rsidR="00E40156" w:rsidRPr="0047091A" w:rsidRDefault="00E40156" w:rsidP="00E40156">
      <w:pPr>
        <w:pStyle w:val="FootnoteText"/>
        <w:jc w:val="left"/>
      </w:pPr>
      <w:r w:rsidRPr="0047091A">
        <w:rPr>
          <w:rStyle w:val="FootnoteReference"/>
        </w:rPr>
        <w:footnoteRef/>
      </w:r>
      <w:r w:rsidRPr="0047091A">
        <w:t xml:space="preserve"> https://www.economie.gouv.fr/dgccrf/Publications/Vie-pratique/fiches-pratiques/Delais-de-paiement#:~:text=Le%20d%C3%A9lai%20convenu%20entre%20les,abus%20manifeste%20au%20d%C3%A9triment%20du</w:t>
      </w:r>
    </w:p>
  </w:footnote>
  <w:footnote w:id="84">
    <w:p w14:paraId="48EA8E54" w14:textId="77777777" w:rsidR="00D84E96" w:rsidRPr="0047091A" w:rsidRDefault="00D84E96" w:rsidP="00D84E96">
      <w:pPr>
        <w:pStyle w:val="FootnoteText"/>
      </w:pPr>
      <w:r w:rsidRPr="0047091A">
        <w:rPr>
          <w:rStyle w:val="FootnoteReference"/>
        </w:rPr>
        <w:footnoteRef/>
      </w:r>
      <w:r w:rsidRPr="0047091A">
        <w:t xml:space="preserve"> In case C-585/60, points 47 to 49, referring specifically to G2B contracts</w:t>
      </w:r>
    </w:p>
  </w:footnote>
  <w:footnote w:id="85">
    <w:p w14:paraId="696317E3" w14:textId="77777777" w:rsidR="00D84E96" w:rsidRPr="0047091A" w:rsidRDefault="00D84E96" w:rsidP="00D84E96">
      <w:pPr>
        <w:pStyle w:val="FootnoteText"/>
      </w:pPr>
      <w:r w:rsidRPr="0047091A">
        <w:rPr>
          <w:rStyle w:val="FootnoteReference"/>
        </w:rPr>
        <w:footnoteRef/>
      </w:r>
      <w:r w:rsidRPr="0047091A">
        <w:t xml:space="preserve"> EP Resolution 2019</w:t>
      </w:r>
    </w:p>
  </w:footnote>
  <w:footnote w:id="86">
    <w:p w14:paraId="19984479" w14:textId="77777777" w:rsidR="00D84E96" w:rsidRPr="0047091A" w:rsidRDefault="00D84E96" w:rsidP="00D84E96">
      <w:pPr>
        <w:pStyle w:val="FootnoteText"/>
      </w:pPr>
      <w:r w:rsidRPr="0047091A">
        <w:rPr>
          <w:rStyle w:val="FootnoteReference"/>
        </w:rPr>
        <w:footnoteRef/>
      </w:r>
      <w:r w:rsidRPr="0047091A">
        <w:t xml:space="preserve"> ECJ preliminary ruling in case </w:t>
      </w:r>
      <w:hyperlink r:id="rId45" w:history="1">
        <w:r w:rsidRPr="0047091A">
          <w:rPr>
            <w:rStyle w:val="Hyperlink"/>
          </w:rPr>
          <w:t>C-585/20</w:t>
        </w:r>
      </w:hyperlink>
      <w:r w:rsidRPr="0047091A">
        <w:t xml:space="preserve">, paragraph 48. </w:t>
      </w:r>
    </w:p>
  </w:footnote>
  <w:footnote w:id="87">
    <w:p w14:paraId="6FCF3FF1" w14:textId="4171A293" w:rsidR="00761C89" w:rsidRPr="0047091A" w:rsidRDefault="00BC52A0">
      <w:pPr>
        <w:pStyle w:val="FootnoteText"/>
      </w:pPr>
      <w:r w:rsidRPr="0047091A">
        <w:rPr>
          <w:rStyle w:val="FootnoteReference"/>
        </w:rPr>
        <w:footnoteRef/>
      </w:r>
      <w:r w:rsidRPr="0047091A">
        <w:t xml:space="preserve"> Commission Recommendation 2003/361/EC of 6 May 2003 concerning the definition of SME. </w:t>
      </w:r>
      <w:hyperlink r:id="rId46" w:history="1">
        <w:r w:rsidR="00761C89" w:rsidRPr="0047091A">
          <w:rPr>
            <w:rStyle w:val="Hyperlink"/>
          </w:rPr>
          <w:t>https://eur-lex.europa.eu/legal-content/EN/TXT/?uri=CELEX:32003H0361</w:t>
        </w:r>
      </w:hyperlink>
      <w:r w:rsidR="00761C89" w:rsidRPr="0047091A">
        <w:t xml:space="preserve"> </w:t>
      </w:r>
    </w:p>
  </w:footnote>
  <w:footnote w:id="88">
    <w:p w14:paraId="761B83EA" w14:textId="77777777" w:rsidR="00B9688B" w:rsidRPr="0047091A" w:rsidRDefault="00B9688B" w:rsidP="00B9688B">
      <w:pPr>
        <w:pStyle w:val="FootnoteText"/>
      </w:pPr>
      <w:r w:rsidRPr="0047091A">
        <w:rPr>
          <w:rStyle w:val="FootnoteReference"/>
        </w:rPr>
        <w:footnoteRef/>
      </w:r>
      <w:r w:rsidRPr="0047091A">
        <w:t xml:space="preserve"> Belgium: Act of 14 August 2021, Poland: Act of 19 July 2019</w:t>
      </w:r>
    </w:p>
  </w:footnote>
  <w:footnote w:id="89">
    <w:p w14:paraId="3F894F71" w14:textId="77777777" w:rsidR="00D84E96" w:rsidRPr="0047091A" w:rsidRDefault="00D84E96" w:rsidP="00D84E96">
      <w:pPr>
        <w:pStyle w:val="FootnoteText"/>
        <w:jc w:val="left"/>
      </w:pPr>
      <w:r w:rsidRPr="0047091A">
        <w:rPr>
          <w:rStyle w:val="FootnoteReference"/>
        </w:rPr>
        <w:footnoteRef/>
      </w:r>
      <w:r w:rsidRPr="0047091A">
        <w:t xml:space="preserve"> Law of 28 September 2022 on the Creation and Growth of businesses </w:t>
      </w:r>
      <w:hyperlink r:id="rId47" w:history="1">
        <w:r w:rsidRPr="0047091A">
          <w:rPr>
            <w:rStyle w:val="Hyperlink"/>
          </w:rPr>
          <w:t>https://www.boe.es/diario_boe/txt.php?id=BOE-A-2022-15818</w:t>
        </w:r>
      </w:hyperlink>
      <w:r w:rsidRPr="0047091A">
        <w:t xml:space="preserve">, see in particular the amendments to Articles 216 and 217 of the Law on public contract “ Obligación de comprobación del pago a los subcontratistas” (“Obligation to verify payment to subcontractors”) </w:t>
      </w:r>
    </w:p>
  </w:footnote>
  <w:footnote w:id="90">
    <w:p w14:paraId="400D91C9" w14:textId="77777777" w:rsidR="003E5FBC" w:rsidRPr="0047091A" w:rsidRDefault="003E5FBC" w:rsidP="003E5FBC">
      <w:pPr>
        <w:pStyle w:val="FootnoteText"/>
      </w:pPr>
      <w:r w:rsidRPr="0047091A">
        <w:rPr>
          <w:rStyle w:val="FootnoteReference"/>
        </w:rPr>
        <w:footnoteRef/>
      </w:r>
      <w:r w:rsidRPr="0047091A">
        <w:t xml:space="preserve"> Economisti Study 2022. In France, in 2021, 70% of cases submitted to the “Médiateur des entreprises” resulted in a fully satisfactory solution for both parties. Almost 60% of cases referred to the Médiateur concern payment disputes. Average time of resolution of a dispute: 2 months. The UK Small Business Commissioner helped release GBP 8 million in contested payments owed to SMEs. Average time of resolution of complaints: 17 days.</w:t>
      </w:r>
    </w:p>
  </w:footnote>
  <w:footnote w:id="91">
    <w:p w14:paraId="639EA2B6" w14:textId="77777777" w:rsidR="003E5FBC" w:rsidRPr="0047091A" w:rsidRDefault="003E5FBC" w:rsidP="003E5FBC">
      <w:pPr>
        <w:pStyle w:val="FootnoteText"/>
      </w:pPr>
      <w:r w:rsidRPr="0047091A">
        <w:rPr>
          <w:rStyle w:val="FootnoteReference"/>
        </w:rPr>
        <w:footnoteRef/>
      </w:r>
      <w:r w:rsidRPr="0047091A">
        <w:t xml:space="preserve"> Stakeholders and SME representatives report that their SME members are very reluctant to complain about the unfair payment clauses or practices they are confronted with, out of fear of damaging business relations.</w:t>
      </w:r>
    </w:p>
  </w:footnote>
  <w:footnote w:id="92">
    <w:p w14:paraId="57D50006" w14:textId="23383E52" w:rsidR="003E5FBC" w:rsidRPr="0047091A" w:rsidRDefault="003E5FBC" w:rsidP="003E5FBC">
      <w:pPr>
        <w:pStyle w:val="NormalWeb"/>
        <w:spacing w:before="0" w:beforeAutospacing="0" w:after="0" w:afterAutospacing="0"/>
        <w:rPr>
          <w:rFonts w:ascii="Calibri" w:hAnsi="Calibri" w:cs="Calibri"/>
          <w:color w:val="1F497D"/>
          <w:sz w:val="22"/>
          <w:szCs w:val="22"/>
        </w:rPr>
      </w:pPr>
      <w:r w:rsidRPr="0047091A">
        <w:rPr>
          <w:rStyle w:val="FootnoteReference"/>
        </w:rPr>
        <w:footnoteRef/>
      </w:r>
      <w:r w:rsidRPr="0047091A">
        <w:t xml:space="preserve"> </w:t>
      </w:r>
      <w:r w:rsidRPr="0047091A">
        <w:rPr>
          <w:rFonts w:eastAsiaTheme="minorEastAsia"/>
          <w:sz w:val="20"/>
          <w:szCs w:val="20"/>
          <w:lang w:eastAsia="en-US"/>
        </w:rPr>
        <w:t xml:space="preserve">Economisti Study 2022. Currently the use of mediation for resolving payment disputes is limited due to the heterogeneous implementation of the Mediation Directive in the EU. In Belgium, mediation is compulsory for disputes whose value does not exceed EUR 5 000, in Italy it is compulsory in inheritance matters, condominiums matters, and other subjects </w:t>
      </w:r>
      <w:r w:rsidRPr="0047091A">
        <w:rPr>
          <w:rFonts w:eastAsiaTheme="minorEastAsia"/>
          <w:b/>
          <w:i/>
          <w:sz w:val="20"/>
          <w:szCs w:val="20"/>
          <w:lang w:eastAsia="en-US"/>
        </w:rPr>
        <w:t>except</w:t>
      </w:r>
      <w:r w:rsidRPr="0047091A">
        <w:rPr>
          <w:rFonts w:eastAsiaTheme="minorEastAsia"/>
          <w:sz w:val="20"/>
          <w:szCs w:val="20"/>
          <w:lang w:eastAsia="en-US"/>
        </w:rPr>
        <w:t xml:space="preserve"> commercial transactions. In complex contracts the necessary skills to solve payment disputes are often unavailable. For example, in construction projects, the mediator often has to have both technical and legal knowledge.</w:t>
      </w:r>
      <w:r w:rsidR="002E552C" w:rsidRPr="0047091A">
        <w:rPr>
          <w:rFonts w:eastAsiaTheme="minorEastAsia"/>
          <w:sz w:val="20"/>
          <w:szCs w:val="20"/>
          <w:lang w:eastAsia="en-US"/>
        </w:rPr>
        <w:t xml:space="preserve"> </w:t>
      </w:r>
      <w:r w:rsidRPr="0047091A">
        <w:rPr>
          <w:rFonts w:eastAsiaTheme="minorEastAsia"/>
          <w:sz w:val="20"/>
          <w:szCs w:val="20"/>
          <w:lang w:eastAsia="en-US"/>
        </w:rPr>
        <w:t xml:space="preserve"> </w:t>
      </w:r>
    </w:p>
    <w:p w14:paraId="216ED334" w14:textId="77777777" w:rsidR="003E5FBC" w:rsidRPr="0047091A" w:rsidRDefault="003E5FBC" w:rsidP="003E5FBC">
      <w:pPr>
        <w:pStyle w:val="FootnoteText"/>
      </w:pPr>
    </w:p>
  </w:footnote>
  <w:footnote w:id="93">
    <w:p w14:paraId="03F53986" w14:textId="77777777" w:rsidR="00624EED" w:rsidRPr="00365442" w:rsidRDefault="00624EED" w:rsidP="00624EED">
      <w:pPr>
        <w:pStyle w:val="FootnoteText"/>
        <w:rPr>
          <w:lang w:val="en-IE"/>
        </w:rPr>
      </w:pPr>
      <w:r>
        <w:rPr>
          <w:rStyle w:val="FootnoteReference"/>
        </w:rPr>
        <w:footnoteRef/>
      </w:r>
      <w:r>
        <w:t xml:space="preserve"> </w:t>
      </w:r>
      <w:r w:rsidRPr="00365442">
        <w:rPr>
          <w:lang w:val="en-IE"/>
        </w:rPr>
        <w:t>These are specific exceptions already laid down in the UTP Directive</w:t>
      </w:r>
    </w:p>
  </w:footnote>
  <w:footnote w:id="94">
    <w:p w14:paraId="50671F22" w14:textId="22F8009F" w:rsidR="00A74EE1" w:rsidRPr="0047091A" w:rsidRDefault="00A74EE1" w:rsidP="00A74EE1">
      <w:pPr>
        <w:pStyle w:val="FootnoteText"/>
      </w:pPr>
      <w:r w:rsidRPr="0047091A">
        <w:rPr>
          <w:rStyle w:val="FootnoteReference"/>
        </w:rPr>
        <w:footnoteRef/>
      </w:r>
      <w:r w:rsidRPr="0047091A">
        <w:t xml:space="preserve"> </w:t>
      </w:r>
      <w:r w:rsidR="00603D73" w:rsidRPr="0047091A">
        <w:t>EPR 2022</w:t>
      </w:r>
    </w:p>
  </w:footnote>
  <w:footnote w:id="95">
    <w:p w14:paraId="1F224CDF" w14:textId="003C40DB" w:rsidR="00A74EE1" w:rsidRPr="0047091A" w:rsidRDefault="00A74EE1" w:rsidP="00A74EE1">
      <w:pPr>
        <w:pStyle w:val="FootnoteText"/>
      </w:pPr>
      <w:r w:rsidRPr="0047091A">
        <w:rPr>
          <w:rStyle w:val="FootnoteReference"/>
        </w:rPr>
        <w:footnoteRef/>
      </w:r>
      <w:r w:rsidRPr="0047091A">
        <w:t xml:space="preserve"> </w:t>
      </w:r>
      <w:r w:rsidR="00603D73" w:rsidRPr="0047091A">
        <w:t>EPR 2022</w:t>
      </w:r>
    </w:p>
  </w:footnote>
  <w:footnote w:id="96">
    <w:p w14:paraId="4C6F32CC" w14:textId="77777777" w:rsidR="00A74EE1" w:rsidRPr="0047091A" w:rsidRDefault="00A74EE1" w:rsidP="00A74EE1">
      <w:pPr>
        <w:pStyle w:val="FootnoteText"/>
        <w:jc w:val="left"/>
      </w:pPr>
      <w:r w:rsidRPr="0047091A">
        <w:rPr>
          <w:rStyle w:val="FootnoteReference"/>
        </w:rPr>
        <w:footnoteRef/>
      </w:r>
      <w:r w:rsidRPr="0047091A">
        <w:t xml:space="preserve"> While this estimation is based on the EPR, the results from the SME Panels confirm this: 14.5% of all SMEs said they specify payment terms above 60 days.</w:t>
      </w:r>
    </w:p>
  </w:footnote>
  <w:footnote w:id="97">
    <w:p w14:paraId="60FC8DA2" w14:textId="59E3E9E1" w:rsidR="00A74EE1" w:rsidRPr="0047091A" w:rsidRDefault="00A74EE1" w:rsidP="00A74EE1">
      <w:pPr>
        <w:pStyle w:val="FootnoteText"/>
        <w:jc w:val="left"/>
      </w:pPr>
      <w:r w:rsidRPr="0047091A">
        <w:rPr>
          <w:rStyle w:val="FootnoteReference"/>
        </w:rPr>
        <w:footnoteRef/>
      </w:r>
      <w:r w:rsidRPr="0047091A">
        <w:t xml:space="preserve"> JRC</w:t>
      </w:r>
      <w:r w:rsidR="00D432FF" w:rsidRPr="0047091A">
        <w:t xml:space="preserve"> study</w:t>
      </w:r>
      <w:r w:rsidRPr="0047091A">
        <w:t xml:space="preserve"> 2022 </w:t>
      </w:r>
    </w:p>
  </w:footnote>
  <w:footnote w:id="98">
    <w:p w14:paraId="53D2624E" w14:textId="77777777" w:rsidR="00A74EE1" w:rsidRPr="0047091A" w:rsidRDefault="00A74EE1" w:rsidP="00A74EE1">
      <w:pPr>
        <w:pStyle w:val="FootnoteText"/>
      </w:pPr>
      <w:r w:rsidRPr="0047091A">
        <w:rPr>
          <w:rStyle w:val="FootnoteReference"/>
        </w:rPr>
        <w:footnoteRef/>
      </w:r>
      <w:r w:rsidRPr="0047091A">
        <w:t xml:space="preserve"> This estimation is an approximation as it does not take into account whether the invoices with long payment terms are more likely to be issued by an SME. However, according to the European Payment Report, there are relatively small differences between SMEs and large companies when setting long payment terms, so this approximation probably holds.</w:t>
      </w:r>
    </w:p>
  </w:footnote>
  <w:footnote w:id="99">
    <w:p w14:paraId="34A744F7" w14:textId="77777777" w:rsidR="008D073E" w:rsidRPr="0047091A" w:rsidRDefault="008D073E" w:rsidP="008D073E">
      <w:pPr>
        <w:pStyle w:val="FootnoteText"/>
        <w:jc w:val="left"/>
      </w:pPr>
      <w:r w:rsidRPr="0047091A">
        <w:rPr>
          <w:rStyle w:val="FootnoteReference"/>
        </w:rPr>
        <w:footnoteRef/>
      </w:r>
      <w:r w:rsidRPr="0047091A">
        <w:t xml:space="preserve"> Intrum, </w:t>
      </w:r>
      <w:hyperlink r:id="rId48" w:history="1">
        <w:r w:rsidRPr="0047091A">
          <w:rPr>
            <w:rStyle w:val="Hyperlink"/>
          </w:rPr>
          <w:t>European Payment Report 2022</w:t>
        </w:r>
      </w:hyperlink>
    </w:p>
  </w:footnote>
  <w:footnote w:id="100">
    <w:p w14:paraId="5BE53745" w14:textId="77777777" w:rsidR="00A74EE1" w:rsidRPr="0047091A" w:rsidRDefault="00A74EE1" w:rsidP="00A74EE1">
      <w:pPr>
        <w:pStyle w:val="FootnoteText"/>
      </w:pPr>
      <w:r w:rsidRPr="0047091A">
        <w:rPr>
          <w:rStyle w:val="FootnoteReference"/>
        </w:rPr>
        <w:footnoteRef/>
      </w:r>
      <w:r w:rsidRPr="0047091A">
        <w:t xml:space="preserve"> https://www.sage.com/en-gb/blog/wp-content/uploads/sites/10/2017/12/Domino-Effect-Late-Payments-Research-Sage.pdf</w:t>
      </w:r>
    </w:p>
  </w:footnote>
  <w:footnote w:id="101">
    <w:p w14:paraId="03864B61" w14:textId="77777777" w:rsidR="00A74EE1" w:rsidRPr="0047091A" w:rsidRDefault="00A74EE1" w:rsidP="00A74EE1">
      <w:pPr>
        <w:pStyle w:val="FootnoteText"/>
      </w:pPr>
      <w:r w:rsidRPr="0047091A">
        <w:rPr>
          <w:rStyle w:val="FootnoteReference"/>
        </w:rPr>
        <w:footnoteRef/>
      </w:r>
      <w:r w:rsidRPr="0047091A">
        <w:t xml:space="preserve"> </w:t>
      </w:r>
      <w:hyperlink r:id="rId49" w:history="1">
        <w:r w:rsidRPr="0047091A">
          <w:rPr>
            <w:rStyle w:val="Hyperlink"/>
          </w:rPr>
          <w:t>https://www.ecb.europa.eu/paym/intro/mip-online/2016/html/mip_qr_1_article_4_e-invoicing.en.html</w:t>
        </w:r>
      </w:hyperlink>
      <w:r w:rsidRPr="0047091A">
        <w:t xml:space="preserve"> </w:t>
      </w:r>
    </w:p>
  </w:footnote>
  <w:footnote w:id="102">
    <w:p w14:paraId="52067EA3" w14:textId="77777777" w:rsidR="00A74EE1" w:rsidRPr="0047091A" w:rsidRDefault="00A74EE1" w:rsidP="00A74EE1">
      <w:pPr>
        <w:pStyle w:val="FootnoteText"/>
      </w:pPr>
      <w:r w:rsidRPr="0047091A">
        <w:rPr>
          <w:rStyle w:val="FootnoteReference"/>
        </w:rPr>
        <w:footnoteRef/>
      </w:r>
      <w:r w:rsidRPr="0047091A">
        <w:t xml:space="preserve"> </w:t>
      </w:r>
      <w:hyperlink r:id="rId50" w:history="1">
        <w:r w:rsidRPr="0047091A">
          <w:rPr>
            <w:rStyle w:val="Hyperlink"/>
          </w:rPr>
          <w:t>https://ec.europa.eu/transparency/documents-register/detail?ref=SWD(2021)279&amp;lang=en</w:t>
        </w:r>
      </w:hyperlink>
      <w:r w:rsidRPr="0047091A">
        <w:t xml:space="preserve"> </w:t>
      </w:r>
    </w:p>
  </w:footnote>
  <w:footnote w:id="103">
    <w:p w14:paraId="5E35081B" w14:textId="1777A087" w:rsidR="00A74EE1" w:rsidRPr="0047091A" w:rsidRDefault="00A74EE1" w:rsidP="00A74EE1">
      <w:pPr>
        <w:pStyle w:val="FootnoteText"/>
      </w:pPr>
      <w:r w:rsidRPr="0047091A">
        <w:rPr>
          <w:rStyle w:val="FootnoteReference"/>
        </w:rPr>
        <w:footnoteRef/>
      </w:r>
      <w:r w:rsidRPr="0047091A">
        <w:t xml:space="preserve"> </w:t>
      </w:r>
      <w:r w:rsidR="004F6389" w:rsidRPr="0047091A">
        <w:t>Average EU-27 hourly labour rate</w:t>
      </w:r>
      <w:r w:rsidR="00E54440" w:rsidRPr="0047091A">
        <w:t xml:space="preserve"> </w:t>
      </w:r>
      <w:r w:rsidR="004F6389" w:rsidRPr="0047091A">
        <w:t>of EUR 25.70, applied under the OIOO approach</w:t>
      </w:r>
    </w:p>
  </w:footnote>
  <w:footnote w:id="104">
    <w:p w14:paraId="3384EC4B" w14:textId="77777777" w:rsidR="00A74EE1" w:rsidRPr="0047091A" w:rsidRDefault="00A74EE1" w:rsidP="00A74EE1">
      <w:pPr>
        <w:pStyle w:val="FootnoteText"/>
      </w:pPr>
      <w:r w:rsidRPr="0047091A">
        <w:rPr>
          <w:rStyle w:val="FootnoteReference"/>
        </w:rPr>
        <w:footnoteRef/>
      </w:r>
      <w:r w:rsidRPr="0047091A">
        <w:t xml:space="preserve"> </w:t>
      </w:r>
      <w:hyperlink r:id="rId51" w:history="1">
        <w:r w:rsidRPr="0047091A">
          <w:rPr>
            <w:rStyle w:val="Hyperlink"/>
          </w:rPr>
          <w:t>https://oia.pmc.gov.au/sites/default/files/posts/2020/05/payment_times_reporting_scheme_ris.pdf</w:t>
        </w:r>
      </w:hyperlink>
      <w:r w:rsidRPr="0047091A">
        <w:t xml:space="preserve"> </w:t>
      </w:r>
    </w:p>
  </w:footnote>
  <w:footnote w:id="105">
    <w:p w14:paraId="1981E5E3" w14:textId="77777777" w:rsidR="00A74EE1" w:rsidRPr="0047091A" w:rsidRDefault="00A74EE1" w:rsidP="00A74EE1">
      <w:pPr>
        <w:spacing w:after="0"/>
      </w:pPr>
      <w:r w:rsidRPr="0047091A">
        <w:rPr>
          <w:rStyle w:val="FootnoteReference"/>
        </w:rPr>
        <w:footnoteRef/>
      </w:r>
      <w:r w:rsidRPr="0047091A">
        <w:t xml:space="preserve"> </w:t>
      </w:r>
      <w:r w:rsidRPr="0047091A">
        <w:rPr>
          <w:i/>
          <w:sz w:val="20"/>
          <w:szCs w:val="20"/>
        </w:rPr>
        <w:t xml:space="preserve">Assessing the economic impact of faster payments in B2B commercial transactions. Final Report, JRC Study </w:t>
      </w:r>
      <w:hyperlink r:id="rId52" w:history="1">
        <w:r w:rsidRPr="0047091A">
          <w:rPr>
            <w:color w:val="0000FF" w:themeColor="hyperlink"/>
            <w:sz w:val="20"/>
            <w:szCs w:val="20"/>
            <w:u w:val="single"/>
          </w:rPr>
          <w:t>https://publications.jrc.ec.europa.eu/repository/handle/JRC130205</w:t>
        </w:r>
      </w:hyperlink>
      <w:r w:rsidRPr="0047091A">
        <w:rPr>
          <w:color w:val="0000FF" w:themeColor="hyperlink"/>
          <w:sz w:val="20"/>
          <w:szCs w:val="20"/>
          <w:u w:val="single"/>
        </w:rPr>
        <w:t xml:space="preserve"> </w:t>
      </w:r>
    </w:p>
  </w:footnote>
  <w:footnote w:id="106">
    <w:p w14:paraId="630D98E5" w14:textId="73F7A182" w:rsidR="00A74EE1" w:rsidRPr="0047091A" w:rsidRDefault="00A74EE1" w:rsidP="00A74EE1">
      <w:pPr>
        <w:pStyle w:val="FootnoteText"/>
      </w:pPr>
      <w:r w:rsidRPr="0047091A">
        <w:rPr>
          <w:rStyle w:val="FootnoteReference"/>
        </w:rPr>
        <w:footnoteRef/>
      </w:r>
      <w:r w:rsidRPr="0047091A">
        <w:t xml:space="preserve"> Ex-Post Evaluation </w:t>
      </w:r>
      <w:r w:rsidR="008E4EB7" w:rsidRPr="0047091A">
        <w:t>2015</w:t>
      </w:r>
    </w:p>
  </w:footnote>
  <w:footnote w:id="107">
    <w:p w14:paraId="31872B17" w14:textId="4EAC9403" w:rsidR="00A74EE1" w:rsidRPr="0047091A" w:rsidRDefault="00A74EE1" w:rsidP="00A74EE1">
      <w:pPr>
        <w:pStyle w:val="FootnoteText"/>
      </w:pPr>
      <w:r w:rsidRPr="0047091A">
        <w:rPr>
          <w:rStyle w:val="FootnoteReference"/>
        </w:rPr>
        <w:footnoteRef/>
      </w:r>
      <w:r w:rsidRPr="0047091A">
        <w:t xml:space="preserve"> </w:t>
      </w:r>
      <w:r w:rsidR="00D7174B" w:rsidRPr="0047091A">
        <w:t>European Commission based on EPR 2022 data</w:t>
      </w:r>
    </w:p>
  </w:footnote>
  <w:footnote w:id="108">
    <w:p w14:paraId="298CDFF5" w14:textId="59A97E76" w:rsidR="00A74EE1" w:rsidRPr="0047091A" w:rsidRDefault="00A74EE1" w:rsidP="00A74EE1">
      <w:pPr>
        <w:pStyle w:val="FootnoteText"/>
      </w:pPr>
      <w:r w:rsidRPr="0047091A">
        <w:rPr>
          <w:rStyle w:val="FootnoteReference"/>
        </w:rPr>
        <w:footnoteRef/>
      </w:r>
      <w:r w:rsidRPr="0047091A">
        <w:t xml:space="preserve"> </w:t>
      </w:r>
      <w:r w:rsidR="005A7463" w:rsidRPr="0047091A">
        <w:t xml:space="preserve">B2B and G2B. </w:t>
      </w:r>
      <w:r w:rsidRPr="0047091A">
        <w:t>Total amount of late payments has gone down since Impact Assessment</w:t>
      </w:r>
      <w:r w:rsidR="007C6294" w:rsidRPr="0047091A">
        <w:t xml:space="preserve"> </w:t>
      </w:r>
      <w:r w:rsidR="00DF0D27" w:rsidRPr="0047091A">
        <w:t xml:space="preserve">2009, </w:t>
      </w:r>
      <w:r w:rsidR="007C6294" w:rsidRPr="0047091A">
        <w:t xml:space="preserve">but </w:t>
      </w:r>
      <w:r w:rsidRPr="0047091A">
        <w:t>total turnover has increased. For an order-of-magnitude estimate, this is therefore still a reasonable assumption.</w:t>
      </w:r>
    </w:p>
  </w:footnote>
  <w:footnote w:id="109">
    <w:p w14:paraId="1C78823D" w14:textId="1F0BE237" w:rsidR="00A74EE1" w:rsidRPr="0047091A" w:rsidRDefault="00A74EE1" w:rsidP="00A74EE1">
      <w:pPr>
        <w:pStyle w:val="FootnoteText"/>
      </w:pPr>
      <w:r w:rsidRPr="0047091A">
        <w:rPr>
          <w:rStyle w:val="FootnoteReference"/>
        </w:rPr>
        <w:footnoteRef/>
      </w:r>
      <w:r w:rsidRPr="0047091A">
        <w:t xml:space="preserve"> </w:t>
      </w:r>
      <w:r w:rsidR="003C765A" w:rsidRPr="0047091A">
        <w:t xml:space="preserve">Our conservative estimate assumes the minimum possible interest rate of 8%, which was in place for much of the past decade. </w:t>
      </w:r>
      <w:r w:rsidRPr="0047091A">
        <w:t xml:space="preserve">The current rate </w:t>
      </w:r>
      <w:r w:rsidR="003C765A" w:rsidRPr="0047091A">
        <w:t xml:space="preserve">equals </w:t>
      </w:r>
      <w:r w:rsidRPr="0047091A">
        <w:t xml:space="preserve">10.5%. </w:t>
      </w:r>
    </w:p>
  </w:footnote>
  <w:footnote w:id="110">
    <w:p w14:paraId="56291588" w14:textId="77777777" w:rsidR="00A74EE1" w:rsidRPr="0047091A" w:rsidRDefault="00A74EE1" w:rsidP="00A74EE1">
      <w:pPr>
        <w:pStyle w:val="FootnoteText"/>
      </w:pPr>
      <w:r w:rsidRPr="0047091A">
        <w:rPr>
          <w:rStyle w:val="FootnoteReference"/>
        </w:rPr>
        <w:footnoteRef/>
      </w:r>
      <w:r w:rsidRPr="0047091A">
        <w:t xml:space="preserve"> D&amp;B Payment Practices, 2022 - </w:t>
      </w:r>
      <w:hyperlink r:id="rId53" w:history="1">
        <w:r w:rsidRPr="0047091A">
          <w:rPr>
            <w:rStyle w:val="Hyperlink"/>
          </w:rPr>
          <w:t>https://www.dnb.com/en-ch/knowledge/study/payment-study-2022-download/</w:t>
        </w:r>
      </w:hyperlink>
      <w:r w:rsidRPr="0047091A">
        <w:t xml:space="preserve"> </w:t>
      </w:r>
    </w:p>
  </w:footnote>
  <w:footnote w:id="111">
    <w:p w14:paraId="012BE52A" w14:textId="4E6511A5" w:rsidR="00A74EE1" w:rsidRPr="0090056C" w:rsidRDefault="00A74EE1" w:rsidP="00A74EE1">
      <w:pPr>
        <w:pStyle w:val="FootnoteText"/>
        <w:rPr>
          <w:lang w:val="pt-PT"/>
        </w:rPr>
      </w:pPr>
      <w:r w:rsidRPr="0047091A">
        <w:rPr>
          <w:rStyle w:val="FootnoteReference"/>
        </w:rPr>
        <w:footnoteRef/>
      </w:r>
      <w:r w:rsidRPr="0090056C">
        <w:rPr>
          <w:lang w:val="pt-PT"/>
        </w:rPr>
        <w:t xml:space="preserve"> </w:t>
      </w:r>
      <w:r w:rsidR="00FE33AF" w:rsidRPr="0090056C">
        <w:rPr>
          <w:lang w:val="pt-PT"/>
        </w:rPr>
        <w:t>EPR 2022</w:t>
      </w:r>
    </w:p>
  </w:footnote>
  <w:footnote w:id="112">
    <w:p w14:paraId="0C033F2C" w14:textId="77777777" w:rsidR="00A74EE1" w:rsidRPr="0090056C" w:rsidRDefault="00A74EE1" w:rsidP="00A74EE1">
      <w:pPr>
        <w:pStyle w:val="FootnoteText"/>
        <w:rPr>
          <w:lang w:val="pt-PT"/>
        </w:rPr>
      </w:pPr>
      <w:r w:rsidRPr="0047091A">
        <w:rPr>
          <w:rStyle w:val="FootnoteReference"/>
        </w:rPr>
        <w:footnoteRef/>
      </w:r>
      <w:r w:rsidRPr="0090056C">
        <w:rPr>
          <w:lang w:val="pt-PT"/>
        </w:rPr>
        <w:t xml:space="preserve"> </w:t>
      </w:r>
      <w:hyperlink r:id="rId54" w:history="1">
        <w:r w:rsidRPr="0090056C">
          <w:rPr>
            <w:rStyle w:val="Hyperlink"/>
            <w:lang w:val="pt-PT"/>
          </w:rPr>
          <w:t>https://www.senat.fr/questions/base/2018/qSEQ181007212.html</w:t>
        </w:r>
      </w:hyperlink>
      <w:r w:rsidRPr="0090056C">
        <w:rPr>
          <w:lang w:val="pt-PT"/>
        </w:rPr>
        <w:t xml:space="preserve"> </w:t>
      </w:r>
    </w:p>
  </w:footnote>
  <w:footnote w:id="113">
    <w:p w14:paraId="739B3653" w14:textId="77777777" w:rsidR="00A74EE1" w:rsidRPr="0090056C" w:rsidRDefault="00A74EE1" w:rsidP="00A74EE1">
      <w:pPr>
        <w:pStyle w:val="FootnoteText"/>
        <w:rPr>
          <w:lang w:val="pt-PT"/>
        </w:rPr>
      </w:pPr>
      <w:r w:rsidRPr="0047091A">
        <w:rPr>
          <w:rStyle w:val="FootnoteReference"/>
        </w:rPr>
        <w:footnoteRef/>
      </w:r>
      <w:r w:rsidRPr="0090056C">
        <w:rPr>
          <w:lang w:val="pt-PT"/>
        </w:rPr>
        <w:t xml:space="preserve"> https://www.gov.uk/guidance/prompt-payment-policy</w:t>
      </w:r>
    </w:p>
  </w:footnote>
  <w:footnote w:id="114">
    <w:p w14:paraId="24801477" w14:textId="77777777" w:rsidR="00A74EE1" w:rsidRPr="0090056C" w:rsidRDefault="00A74EE1" w:rsidP="00A74EE1">
      <w:pPr>
        <w:pStyle w:val="FootnoteText"/>
        <w:rPr>
          <w:lang w:val="pt-PT"/>
        </w:rPr>
      </w:pPr>
      <w:r w:rsidRPr="0047091A">
        <w:rPr>
          <w:rStyle w:val="FootnoteReference"/>
        </w:rPr>
        <w:footnoteRef/>
      </w:r>
      <w:r w:rsidRPr="0090056C">
        <w:rPr>
          <w:lang w:val="pt-PT"/>
        </w:rPr>
        <w:t xml:space="preserve"> https://www.tpsgc-pwgsc.gc.ca/biens-property/divulgation-disclosure/psdic-ppci-eng.html</w:t>
      </w:r>
    </w:p>
  </w:footnote>
  <w:footnote w:id="115">
    <w:p w14:paraId="609DD04D" w14:textId="77777777" w:rsidR="00A74EE1" w:rsidRPr="0090056C" w:rsidRDefault="00A74EE1" w:rsidP="00A74EE1">
      <w:pPr>
        <w:pStyle w:val="FootnoteText"/>
        <w:rPr>
          <w:lang w:val="pt-PT"/>
        </w:rPr>
      </w:pPr>
      <w:r w:rsidRPr="0047091A">
        <w:rPr>
          <w:rStyle w:val="FootnoteReference"/>
        </w:rPr>
        <w:footnoteRef/>
      </w:r>
      <w:r w:rsidRPr="0090056C">
        <w:rPr>
          <w:lang w:val="pt-PT"/>
        </w:rPr>
        <w:t xml:space="preserve"> https://www.sage.com/en-gb/blog/wp-content/uploads/sites/10/2017/12/Domino-Effect-Late-Payments-Research-Sage.pdf</w:t>
      </w:r>
    </w:p>
  </w:footnote>
  <w:footnote w:id="116">
    <w:p w14:paraId="214D0738" w14:textId="77777777" w:rsidR="00A74EE1" w:rsidRPr="0047091A" w:rsidRDefault="00A74EE1" w:rsidP="00A74EE1">
      <w:pPr>
        <w:pStyle w:val="FootnoteText"/>
      </w:pPr>
      <w:r w:rsidRPr="0047091A">
        <w:rPr>
          <w:rStyle w:val="FootnoteReference"/>
        </w:rPr>
        <w:footnoteRef/>
      </w:r>
      <w:r w:rsidRPr="0047091A">
        <w:t xml:space="preserve"> JRC estimates for 2022 based on Eurostat Structural Business Statistics.</w:t>
      </w:r>
    </w:p>
  </w:footnote>
  <w:footnote w:id="117">
    <w:p w14:paraId="231AC2BE" w14:textId="77777777" w:rsidR="00A74EE1" w:rsidRPr="0047091A" w:rsidRDefault="00A74EE1" w:rsidP="00A74EE1">
      <w:pPr>
        <w:pStyle w:val="FootnoteText"/>
      </w:pPr>
      <w:r w:rsidRPr="0047091A">
        <w:rPr>
          <w:rStyle w:val="FootnoteReference"/>
        </w:rPr>
        <w:footnoteRef/>
      </w:r>
      <w:r w:rsidRPr="0047091A">
        <w:t xml:space="preserve"> European Construction Industry Federation, Statistical Report, </w:t>
      </w:r>
      <w:hyperlink r:id="rId55" w:history="1">
        <w:r w:rsidRPr="0047091A">
          <w:rPr>
            <w:rStyle w:val="Hyperlink"/>
          </w:rPr>
          <w:t>https://fiec-statistical-report.eu/</w:t>
        </w:r>
      </w:hyperlink>
      <w:r w:rsidRPr="0047091A">
        <w:t xml:space="preserve"> </w:t>
      </w:r>
    </w:p>
  </w:footnote>
  <w:footnote w:id="118">
    <w:p w14:paraId="54ADACDE" w14:textId="77777777" w:rsidR="00A74EE1" w:rsidRPr="0047091A" w:rsidRDefault="00A74EE1" w:rsidP="00A74EE1">
      <w:pPr>
        <w:pStyle w:val="FootnoteText"/>
      </w:pPr>
      <w:r w:rsidRPr="0047091A">
        <w:rPr>
          <w:rStyle w:val="FootnoteReference"/>
        </w:rPr>
        <w:footnoteRef/>
      </w:r>
      <w:r w:rsidRPr="0047091A">
        <w:t xml:space="preserve"> European Construction Industry Federation, case study</w:t>
      </w:r>
    </w:p>
  </w:footnote>
  <w:footnote w:id="119">
    <w:p w14:paraId="7F3DD222" w14:textId="3EB2D86B" w:rsidR="00C66210" w:rsidRPr="0047091A" w:rsidRDefault="00C66210">
      <w:pPr>
        <w:pStyle w:val="FootnoteText"/>
      </w:pPr>
      <w:r w:rsidRPr="0047091A">
        <w:rPr>
          <w:rStyle w:val="FootnoteReference"/>
        </w:rPr>
        <w:footnoteRef/>
      </w:r>
      <w:r w:rsidRPr="0047091A">
        <w:t xml:space="preserve"> https://www.trade.gov/methods-payment</w:t>
      </w:r>
    </w:p>
  </w:footnote>
  <w:footnote w:id="120">
    <w:p w14:paraId="4957E736" w14:textId="77777777" w:rsidR="009F52A5" w:rsidRPr="0047091A" w:rsidRDefault="009F52A5" w:rsidP="009F52A5">
      <w:pPr>
        <w:pStyle w:val="FootnoteText"/>
      </w:pPr>
      <w:r w:rsidRPr="0047091A">
        <w:rPr>
          <w:rStyle w:val="FootnoteReference"/>
        </w:rPr>
        <w:footnoteRef/>
      </w:r>
      <w:r w:rsidRPr="0047091A">
        <w:t xml:space="preserve"> https://www.tpsgc-pwgsc.gc.ca/biens-property/divulgation-disclosure/psdic-ppci-eng.html</w:t>
      </w:r>
    </w:p>
  </w:footnote>
  <w:footnote w:id="121">
    <w:p w14:paraId="4CE5E66E" w14:textId="48168B25" w:rsidR="0056450C" w:rsidRPr="0047091A" w:rsidRDefault="0056450C" w:rsidP="0056450C">
      <w:pPr>
        <w:pStyle w:val="FootnoteText"/>
      </w:pPr>
      <w:r w:rsidRPr="0047091A">
        <w:rPr>
          <w:rStyle w:val="FootnoteReference"/>
        </w:rPr>
        <w:footnoteRef/>
      </w:r>
      <w:r w:rsidRPr="0047091A">
        <w:t xml:space="preserve"> Plum Consulting 2017</w:t>
      </w:r>
    </w:p>
  </w:footnote>
  <w:footnote w:id="122">
    <w:p w14:paraId="2AC5D6D7" w14:textId="77777777" w:rsidR="0056450C" w:rsidRPr="0047091A" w:rsidRDefault="0056450C" w:rsidP="0056450C">
      <w:pPr>
        <w:pStyle w:val="FootnoteText"/>
      </w:pPr>
      <w:r w:rsidRPr="0047091A">
        <w:rPr>
          <w:rStyle w:val="FootnoteReference"/>
        </w:rPr>
        <w:footnoteRef/>
      </w:r>
      <w:r w:rsidRPr="0047091A">
        <w:t xml:space="preserve"> Office of the Small Business Commissioner, Annual Report and Accounts 2021-2022, </w:t>
      </w:r>
      <w:hyperlink r:id="rId56" w:history="1">
        <w:r w:rsidRPr="0047091A">
          <w:rPr>
            <w:rStyle w:val="Hyperlink"/>
          </w:rPr>
          <w:t>https://assets.publishing.service.gov.uk/government/uploads/system/uploads/attachment_data/file/1130182/Office_of_the_Small_Business_Commissioner_Annual_Report_and_Accounts_2021-22.pdf</w:t>
        </w:r>
      </w:hyperlink>
      <w:r w:rsidRPr="0047091A">
        <w:t xml:space="preserve"> </w:t>
      </w:r>
    </w:p>
  </w:footnote>
  <w:footnote w:id="123">
    <w:p w14:paraId="02CFB786" w14:textId="77777777" w:rsidR="0056450C" w:rsidRPr="0047091A" w:rsidRDefault="0056450C" w:rsidP="0056450C">
      <w:pPr>
        <w:pStyle w:val="FootnoteText"/>
      </w:pPr>
      <w:r w:rsidRPr="0047091A">
        <w:rPr>
          <w:rStyle w:val="FootnoteReference"/>
        </w:rPr>
        <w:footnoteRef/>
      </w:r>
      <w:r w:rsidRPr="0047091A">
        <w:t xml:space="preserve"> </w:t>
      </w:r>
      <w:hyperlink r:id="rId57" w:history="1">
        <w:r w:rsidRPr="0047091A">
          <w:rPr>
            <w:rStyle w:val="Hyperlink"/>
          </w:rPr>
          <w:t>https://www.economie.gouv.fr/mediateur-entreprises-bilan-activite-2021</w:t>
        </w:r>
      </w:hyperlink>
      <w:r w:rsidRPr="0047091A">
        <w:t xml:space="preserve"> </w:t>
      </w:r>
    </w:p>
  </w:footnote>
  <w:footnote w:id="124">
    <w:p w14:paraId="75C032BE" w14:textId="77777777" w:rsidR="0056450C" w:rsidRPr="0047091A" w:rsidRDefault="0056450C" w:rsidP="00AA63EB">
      <w:pPr>
        <w:pStyle w:val="FootnoteText"/>
        <w:jc w:val="left"/>
      </w:pPr>
      <w:r w:rsidRPr="0047091A">
        <w:rPr>
          <w:rStyle w:val="FootnoteReference"/>
        </w:rPr>
        <w:footnoteRef/>
      </w:r>
      <w:r w:rsidRPr="0047091A">
        <w:t xml:space="preserve"> Based on the 2021 EU Justice Scoreboard, </w:t>
      </w:r>
      <w:hyperlink r:id="rId58" w:history="1">
        <w:r w:rsidRPr="0047091A">
          <w:rPr>
            <w:rStyle w:val="Hyperlink"/>
          </w:rPr>
          <w:t>https://op.europa.eu/en/publication-detail/-/publication/b2a115fd-3d1d-11ec-89db-01aa75ed71a1</w:t>
        </w:r>
      </w:hyperlink>
      <w:r w:rsidRPr="0047091A">
        <w:t xml:space="preserve"> </w:t>
      </w:r>
    </w:p>
  </w:footnote>
  <w:footnote w:id="125">
    <w:p w14:paraId="22DE29D1" w14:textId="77777777" w:rsidR="00B67FEE" w:rsidRPr="0047091A" w:rsidRDefault="00B67FEE" w:rsidP="00B67FEE">
      <w:pPr>
        <w:pStyle w:val="FootnoteText"/>
        <w:rPr>
          <w:sz w:val="16"/>
          <w:szCs w:val="16"/>
        </w:rPr>
      </w:pPr>
      <w:r w:rsidRPr="0047091A">
        <w:rPr>
          <w:rStyle w:val="FootnoteReference"/>
          <w:sz w:val="20"/>
          <w:szCs w:val="20"/>
        </w:rPr>
        <w:footnoteRef/>
      </w:r>
      <w:r w:rsidRPr="0047091A">
        <w:rPr>
          <w:sz w:val="16"/>
          <w:szCs w:val="16"/>
        </w:rPr>
        <w:t xml:space="preserve"> </w:t>
      </w:r>
      <w:hyperlink r:id="rId59" w:history="1">
        <w:r w:rsidRPr="0047091A">
          <w:rPr>
            <w:rFonts w:eastAsiaTheme="minorHAnsi"/>
            <w:color w:val="0000FF"/>
            <w:u w:val="single"/>
          </w:rPr>
          <w:t>Services - 127264-2023 - TED Tenders Electronic Daily (europa.eu)</w:t>
        </w:r>
      </w:hyperlink>
    </w:p>
  </w:footnote>
  <w:footnote w:id="126">
    <w:p w14:paraId="40CCBFE5" w14:textId="77777777" w:rsidR="0056450C" w:rsidRPr="0047091A" w:rsidRDefault="0056450C" w:rsidP="0056450C">
      <w:pPr>
        <w:pStyle w:val="FootnoteText"/>
      </w:pPr>
      <w:r w:rsidRPr="0047091A">
        <w:rPr>
          <w:rStyle w:val="FootnoteReference"/>
        </w:rPr>
        <w:footnoteRef/>
      </w:r>
      <w:r w:rsidRPr="0047091A">
        <w:t xml:space="preserve"> Global Entrepreneurship Monitor 2022/2023 Global Report, Table A3 - </w:t>
      </w:r>
      <w:hyperlink r:id="rId60" w:history="1">
        <w:r w:rsidRPr="0047091A">
          <w:rPr>
            <w:rStyle w:val="Hyperlink"/>
          </w:rPr>
          <w:t>https://www.gemconsortium.org/reports/latest-global-report</w:t>
        </w:r>
      </w:hyperlink>
    </w:p>
    <w:p w14:paraId="09EA9424" w14:textId="77777777" w:rsidR="0056450C" w:rsidRPr="0047091A" w:rsidRDefault="0056450C" w:rsidP="0056450C">
      <w:pPr>
        <w:pStyle w:val="FootnoteText"/>
      </w:pPr>
    </w:p>
  </w:footnote>
  <w:footnote w:id="127">
    <w:p w14:paraId="6AA1410E" w14:textId="5C53D932" w:rsidR="00663A30" w:rsidRPr="00F867B4" w:rsidRDefault="00663A30" w:rsidP="00663A30">
      <w:pPr>
        <w:pStyle w:val="FootnoteText"/>
        <w:rPr>
          <w:rFonts w:cstheme="minorHAnsi"/>
          <w:lang w:val="fr-BE"/>
        </w:rPr>
      </w:pPr>
      <w:r w:rsidRPr="0047091A">
        <w:rPr>
          <w:rStyle w:val="FootnoteReference"/>
        </w:rPr>
        <w:footnoteRef/>
      </w:r>
      <w:r w:rsidRPr="00F867B4">
        <w:rPr>
          <w:rStyle w:val="FootnoteReference"/>
          <w:lang w:val="fr-BE"/>
        </w:rPr>
        <w:t xml:space="preserve"> </w:t>
      </w:r>
      <w:r w:rsidRPr="00F867B4">
        <w:rPr>
          <w:rFonts w:eastAsia="Times New Roman"/>
          <w:lang w:val="fr-BE"/>
        </w:rPr>
        <w:t>SAFE Survey, 2022</w:t>
      </w:r>
    </w:p>
  </w:footnote>
  <w:footnote w:id="128">
    <w:p w14:paraId="41152FB2" w14:textId="233312AB" w:rsidR="00B53470" w:rsidRPr="00F867B4" w:rsidRDefault="00995CF4" w:rsidP="00B53470">
      <w:pPr>
        <w:pStyle w:val="FootnoteText"/>
        <w:rPr>
          <w:lang w:val="fr-BE"/>
        </w:rPr>
      </w:pPr>
      <w:r w:rsidRPr="0047091A">
        <w:rPr>
          <w:rStyle w:val="FootnoteReference"/>
        </w:rPr>
        <w:footnoteRef/>
      </w:r>
      <w:r w:rsidRPr="00F867B4">
        <w:rPr>
          <w:lang w:val="fr-BE"/>
        </w:rPr>
        <w:t xml:space="preserve"> France: Rapport Annuel de l’Observatoire des délais de paiement (Banque de France) https://publications.banque-france.fr/liste-chronologique/rapport-de-lobservatoire-des-delais-de-paiement</w:t>
      </w:r>
      <w:r w:rsidR="00B53470" w:rsidRPr="00F867B4">
        <w:rPr>
          <w:lang w:val="fr-BE"/>
        </w:rPr>
        <w:t xml:space="preserve"> Spain: </w:t>
      </w:r>
      <w:hyperlink r:id="rId61" w:history="1">
        <w:r w:rsidR="00B53470" w:rsidRPr="00F867B4">
          <w:rPr>
            <w:lang w:val="fr-BE"/>
          </w:rPr>
          <w:t>https://www.hacienda.gob.es/es ES/CDI/Paginas/PeriodoMedioPago/PeriodoMedioPago.aspx</w:t>
        </w:r>
      </w:hyperlink>
    </w:p>
    <w:p w14:paraId="64D38B6A" w14:textId="77777777" w:rsidR="00B53470" w:rsidRPr="0090056C" w:rsidRDefault="00B53470" w:rsidP="00B53470">
      <w:pPr>
        <w:pStyle w:val="FootnoteText"/>
        <w:rPr>
          <w:lang w:val="pt-PT"/>
        </w:rPr>
      </w:pPr>
      <w:r w:rsidRPr="0090056C">
        <w:rPr>
          <w:lang w:val="pt-PT"/>
        </w:rPr>
        <w:t xml:space="preserve">Portugal : </w:t>
      </w:r>
      <w:hyperlink r:id="rId62" w:history="1">
        <w:r w:rsidRPr="0090056C">
          <w:rPr>
            <w:lang w:val="pt-PT"/>
          </w:rPr>
          <w:t>https://www.dgo.gov.pt/noticias/Paginas/PMP.aspx</w:t>
        </w:r>
      </w:hyperlink>
    </w:p>
    <w:p w14:paraId="229853DA" w14:textId="77777777" w:rsidR="00B53470" w:rsidRPr="00F867B4" w:rsidRDefault="00B53470" w:rsidP="00B53470">
      <w:pPr>
        <w:pStyle w:val="FootnoteText"/>
        <w:rPr>
          <w:lang w:val="fr-BE"/>
        </w:rPr>
      </w:pPr>
      <w:r w:rsidRPr="00F867B4">
        <w:rPr>
          <w:lang w:val="fr-BE"/>
        </w:rPr>
        <w:t xml:space="preserve">Italy: </w:t>
      </w:r>
      <w:hyperlink r:id="rId63" w:history="1">
        <w:r w:rsidRPr="00F867B4">
          <w:rPr>
            <w:lang w:val="fr-BE"/>
          </w:rPr>
          <w:t>https://www.mef.gov.it/operazione-trasparenza/pagamenti/ind_temp/index.html</w:t>
        </w:r>
      </w:hyperlink>
    </w:p>
    <w:p w14:paraId="48D58CB7" w14:textId="77777777" w:rsidR="00B53470" w:rsidRPr="00F867B4" w:rsidRDefault="00B53470" w:rsidP="00B53470">
      <w:pPr>
        <w:pStyle w:val="FootnoteText"/>
        <w:rPr>
          <w:lang w:val="fr-BE"/>
        </w:rPr>
      </w:pPr>
      <w:r w:rsidRPr="00F867B4">
        <w:rPr>
          <w:lang w:val="fr-BE"/>
        </w:rPr>
        <w:t xml:space="preserve">Italy: </w:t>
      </w:r>
      <w:hyperlink r:id="rId64" w:history="1">
        <w:r w:rsidRPr="00F867B4">
          <w:rPr>
            <w:lang w:val="fr-BE"/>
          </w:rPr>
          <w:t>https://www.mef.gov.it/focus/Pagamento-debiti-della-PA-ai-creditori/</w:t>
        </w:r>
      </w:hyperlink>
    </w:p>
    <w:p w14:paraId="43841D00" w14:textId="77777777" w:rsidR="00B53470" w:rsidRPr="00F867B4" w:rsidRDefault="00B53470" w:rsidP="00B53470">
      <w:pPr>
        <w:pStyle w:val="FootnoteText"/>
        <w:rPr>
          <w:lang w:val="fr-BE"/>
        </w:rPr>
      </w:pPr>
      <w:r w:rsidRPr="00F867B4">
        <w:rPr>
          <w:lang w:val="fr-BE"/>
        </w:rPr>
        <w:t>Belgium:</w:t>
      </w:r>
      <w:hyperlink r:id="rId65" w:history="1">
        <w:r w:rsidRPr="00F867B4">
          <w:rPr>
            <w:lang w:val="fr-BE"/>
          </w:rPr>
          <w:t>https://bosa.belgium.be/fr/themes/budget-et-comptabilite/la-comptabilite-publique/suivi-des-delais-de-paiement</w:t>
        </w:r>
      </w:hyperlink>
    </w:p>
    <w:p w14:paraId="356841D0" w14:textId="3E595EA5" w:rsidR="00995CF4" w:rsidRPr="0047091A" w:rsidRDefault="00B53470" w:rsidP="00B53470">
      <w:pPr>
        <w:pStyle w:val="FootnoteText"/>
      </w:pPr>
      <w:r w:rsidRPr="0047091A">
        <w:t>Netherlands: the Ministry for the Economy reports regularly to the Parliament information about the payment performance of the Dutch provinces.</w:t>
      </w:r>
    </w:p>
  </w:footnote>
  <w:footnote w:id="129">
    <w:p w14:paraId="38E0E6E0" w14:textId="69B93F8E" w:rsidR="00584DFB" w:rsidRPr="00584DFB" w:rsidRDefault="00584DFB">
      <w:pPr>
        <w:pStyle w:val="FootnoteText"/>
        <w:rPr>
          <w:lang w:val="pl-PL"/>
        </w:rPr>
      </w:pPr>
      <w:r>
        <w:rPr>
          <w:rStyle w:val="FootnoteReference"/>
        </w:rPr>
        <w:footnoteRef/>
      </w:r>
      <w:r>
        <w:t xml:space="preserve"> </w:t>
      </w:r>
      <w:hyperlink r:id="rId66" w:history="1">
        <w:r w:rsidRPr="00E12030">
          <w:rPr>
            <w:rStyle w:val="Hyperlink"/>
          </w:rPr>
          <w:t>https://ec.europa.eu/info/law/better-regulation/have-your-say/initiatives/13665-Late-payments-update-of-EU-rules/public-consultation_en</w:t>
        </w:r>
      </w:hyperlink>
      <w:r>
        <w:t xml:space="preserve"> </w:t>
      </w:r>
    </w:p>
  </w:footnote>
  <w:footnote w:id="130">
    <w:p w14:paraId="1B0F8504" w14:textId="77777777" w:rsidR="0008123E" w:rsidRPr="0047091A" w:rsidRDefault="0008123E" w:rsidP="0008123E">
      <w:pPr>
        <w:pStyle w:val="FootnoteText"/>
      </w:pPr>
      <w:r w:rsidRPr="0047091A">
        <w:rPr>
          <w:rStyle w:val="FootnoteReference"/>
        </w:rPr>
        <w:footnoteRef/>
      </w:r>
      <w:r w:rsidRPr="0047091A">
        <w:t xml:space="preserve"> The SME panel is a tool that allows Commission service to reach SMEs in a targeted way and are organised in cooperation with the partners in the Enterprise Europe Network, a support network for small and medium-sized enterprises (SMEs) bringing together, among others, chambers of commerce and industry, regional development organisations or innovation support organisations.</w:t>
      </w:r>
    </w:p>
  </w:footnote>
  <w:footnote w:id="131">
    <w:p w14:paraId="69684C18" w14:textId="77777777" w:rsidR="00FC29AE" w:rsidRPr="0047091A" w:rsidRDefault="00FC29AE" w:rsidP="00FC29AE">
      <w:pPr>
        <w:pStyle w:val="FootnoteText"/>
      </w:pPr>
      <w:r w:rsidRPr="0047091A">
        <w:rPr>
          <w:rStyle w:val="FootnoteReference"/>
        </w:rPr>
        <w:footnoteRef/>
      </w:r>
      <w:r w:rsidRPr="0047091A">
        <w:t xml:space="preserve"> </w:t>
      </w:r>
      <w:hyperlink r:id="rId67" w:history="1">
        <w:r w:rsidRPr="0047091A">
          <w:rPr>
            <w:rStyle w:val="Hyperlink"/>
          </w:rPr>
          <w:t>Register of Commission expert groups and other similar entities (europa.eu)</w:t>
        </w:r>
      </w:hyperlink>
    </w:p>
  </w:footnote>
  <w:footnote w:id="132">
    <w:p w14:paraId="0BF4747B" w14:textId="77777777" w:rsidR="009E1FA9" w:rsidRPr="0047091A" w:rsidRDefault="009E1FA9" w:rsidP="009E1FA9">
      <w:pPr>
        <w:pStyle w:val="FootnoteText"/>
      </w:pPr>
      <w:r w:rsidRPr="0047091A">
        <w:rPr>
          <w:rStyle w:val="FootnoteReference"/>
        </w:rPr>
        <w:footnoteRef/>
      </w:r>
      <w:r w:rsidRPr="0047091A">
        <w:t xml:space="preserve"> </w:t>
      </w:r>
      <w:hyperlink r:id="rId68" w:history="1">
        <w:r w:rsidRPr="0047091A">
          <w:rPr>
            <w:rStyle w:val="Hyperlink"/>
          </w:rPr>
          <w:t>https://op.europa.eu/en/publication-detail/-/publication/fa844000-356a-11ed-9c68-01aa75ed71a1/language-en/format-PDF/source-search</w:t>
        </w:r>
      </w:hyperlink>
      <w:r w:rsidRPr="0047091A">
        <w:t xml:space="preserve"> </w:t>
      </w:r>
    </w:p>
  </w:footnote>
  <w:footnote w:id="133">
    <w:p w14:paraId="3C253826" w14:textId="77777777" w:rsidR="009E1FA9" w:rsidRPr="0047091A" w:rsidRDefault="009E1FA9" w:rsidP="009E1FA9">
      <w:pPr>
        <w:pStyle w:val="FootnoteText"/>
      </w:pPr>
      <w:r w:rsidRPr="0047091A">
        <w:rPr>
          <w:rStyle w:val="FootnoteReference"/>
        </w:rPr>
        <w:footnoteRef/>
      </w:r>
      <w:r w:rsidRPr="0047091A">
        <w:t xml:space="preserve"> </w:t>
      </w:r>
      <w:hyperlink r:id="rId69" w:history="1">
        <w:r w:rsidRPr="0047091A">
          <w:rPr>
            <w:rStyle w:val="Hyperlink"/>
          </w:rPr>
          <w:t>https://eur-lex.europa.eu/legal-content/EN/TXT/PDF/?uri=CELEX:52009SC0315&amp;from=EN</w:t>
        </w:r>
      </w:hyperlink>
      <w:r w:rsidRPr="0047091A">
        <w:t xml:space="preserve"> </w:t>
      </w:r>
    </w:p>
  </w:footnote>
  <w:footnote w:id="134">
    <w:p w14:paraId="7AE7DCBF" w14:textId="77777777" w:rsidR="009E1FA9" w:rsidRPr="0047091A" w:rsidRDefault="009E1FA9" w:rsidP="009E1FA9">
      <w:pPr>
        <w:pStyle w:val="FootnoteText"/>
      </w:pPr>
      <w:r w:rsidRPr="0047091A">
        <w:rPr>
          <w:rStyle w:val="FootnoteReference"/>
        </w:rPr>
        <w:footnoteRef/>
      </w:r>
      <w:r w:rsidRPr="0047091A">
        <w:t xml:space="preserve"> </w:t>
      </w:r>
      <w:hyperlink r:id="rId70" w:history="1">
        <w:r w:rsidRPr="0047091A">
          <w:rPr>
            <w:rStyle w:val="Hyperlink"/>
          </w:rPr>
          <w:t>http://sdw.ecb.europa.eu/reports.do?node=1000002883</w:t>
        </w:r>
      </w:hyperlink>
      <w:r w:rsidRPr="0047091A">
        <w:t xml:space="preserve"> </w:t>
      </w:r>
    </w:p>
  </w:footnote>
  <w:footnote w:id="135">
    <w:p w14:paraId="0878AFC3" w14:textId="77777777" w:rsidR="002343A1" w:rsidRPr="0047091A" w:rsidRDefault="002343A1" w:rsidP="002343A1">
      <w:pPr>
        <w:pStyle w:val="FootnoteText"/>
      </w:pPr>
      <w:r w:rsidRPr="0047091A">
        <w:rPr>
          <w:rStyle w:val="FootnoteReference"/>
        </w:rPr>
        <w:footnoteRef/>
      </w:r>
      <w:r w:rsidRPr="0047091A">
        <w:t xml:space="preserve"> BE: </w:t>
      </w:r>
      <w:hyperlink r:id="rId71" w:history="1">
        <w:r w:rsidRPr="0047091A">
          <w:rPr>
            <w:rStyle w:val="Hyperlink"/>
          </w:rPr>
          <w:t>https://justice.belgium.be/fr/nouvelles/communiques_de_presse/lutte_contre_le_retard_de_paiement_dans_les_transactions_0</w:t>
        </w:r>
      </w:hyperlink>
      <w:r w:rsidRPr="0047091A">
        <w:t>; FR: https://www.latribune.fr/economie/france/entreprises-25-des-faillites-sont-liees-a-des-retards-de-paiement-483579.html</w:t>
      </w:r>
    </w:p>
  </w:footnote>
  <w:footnote w:id="136">
    <w:p w14:paraId="18FB9319" w14:textId="77777777" w:rsidR="002343A1" w:rsidRPr="0047091A" w:rsidRDefault="002343A1" w:rsidP="002343A1">
      <w:pPr>
        <w:pStyle w:val="FootnoteText"/>
      </w:pPr>
      <w:r w:rsidRPr="0047091A">
        <w:rPr>
          <w:rStyle w:val="FootnoteReference"/>
        </w:rPr>
        <w:footnoteRef/>
      </w:r>
      <w:r w:rsidRPr="0047091A">
        <w:t xml:space="preserve"> https://publications.banque-france.fr/les-retards-de-paiement-des-clients-impactent-ils-la-probabilite-de-defaillance-des-entreprises</w:t>
      </w:r>
    </w:p>
  </w:footnote>
  <w:footnote w:id="137">
    <w:p w14:paraId="0646F5F6" w14:textId="77777777" w:rsidR="002343A1" w:rsidRPr="0047091A" w:rsidRDefault="002343A1" w:rsidP="002343A1">
      <w:pPr>
        <w:pStyle w:val="FootnoteText"/>
      </w:pPr>
      <w:r w:rsidRPr="0047091A">
        <w:rPr>
          <w:rStyle w:val="FootnoteReference"/>
        </w:rPr>
        <w:footnoteRef/>
      </w:r>
      <w:r w:rsidRPr="0047091A">
        <w:t xml:space="preserve"> European Construction Sector Observatory, Late Payments in the Construction Sector: Analytical Report, 2020, https://www.fiec.eu/application/files/6616/0259/5873/2020_Analytical_Report_Late_Payment_in_Construction.pdf</w:t>
      </w:r>
    </w:p>
  </w:footnote>
  <w:footnote w:id="138">
    <w:p w14:paraId="7E1BF963" w14:textId="77777777" w:rsidR="009E1FA9" w:rsidRPr="0047091A" w:rsidRDefault="009E1FA9" w:rsidP="009E1FA9">
      <w:pPr>
        <w:pStyle w:val="FootnoteText"/>
      </w:pPr>
      <w:r w:rsidRPr="0047091A">
        <w:rPr>
          <w:rStyle w:val="FootnoteReference"/>
        </w:rPr>
        <w:footnoteRef/>
      </w:r>
      <w:r w:rsidRPr="0047091A">
        <w:t xml:space="preserve"> Study on the evaluation of invoicing rules of Directive 2006/112/EC, 2019, https://op.europa.eu/en/publication-detail/-/publication/486f3631-2db1-11e9-8d04-01aa75ed71a1/language-en/format-PDF</w:t>
      </w:r>
    </w:p>
  </w:footnote>
  <w:footnote w:id="139">
    <w:p w14:paraId="61E342AC" w14:textId="77777777" w:rsidR="0020692C" w:rsidRPr="0047091A" w:rsidRDefault="0020692C" w:rsidP="0020692C">
      <w:pPr>
        <w:pStyle w:val="FootnoteText"/>
      </w:pPr>
      <w:r w:rsidRPr="0047091A">
        <w:rPr>
          <w:rStyle w:val="FootnoteReference"/>
        </w:rPr>
        <w:footnoteRef/>
      </w:r>
      <w:r w:rsidRPr="0047091A">
        <w:t xml:space="preserve"> https://www.ecb.europa.eu/paym/intro/mip-online/2016/html/mip_qr_1_article_4_e-invoicing.en.html</w:t>
      </w:r>
    </w:p>
  </w:footnote>
  <w:footnote w:id="140">
    <w:p w14:paraId="6681B9F1" w14:textId="77777777" w:rsidR="0020692C" w:rsidRPr="0047091A" w:rsidRDefault="0020692C" w:rsidP="0020692C">
      <w:pPr>
        <w:pStyle w:val="FootnoteText"/>
      </w:pPr>
      <w:r w:rsidRPr="0047091A">
        <w:rPr>
          <w:rStyle w:val="FootnoteReference"/>
        </w:rPr>
        <w:footnoteRef/>
      </w:r>
      <w:r w:rsidRPr="0047091A">
        <w:t xml:space="preserve"> Study on the evaluation of invoicing rules of Directive 2006/112/EC, 2019, https://op.europa.eu/en/publication-detail/-/publication/486f3631-2db1-11e9-8d04-01aa75ed71a1/language-en/format-PDF</w:t>
      </w:r>
    </w:p>
  </w:footnote>
  <w:footnote w:id="141">
    <w:p w14:paraId="19C73D40" w14:textId="77777777" w:rsidR="0020692C" w:rsidRPr="0047091A" w:rsidRDefault="0020692C" w:rsidP="0020692C">
      <w:pPr>
        <w:pStyle w:val="FootnoteText"/>
      </w:pPr>
      <w:r w:rsidRPr="0047091A">
        <w:rPr>
          <w:rStyle w:val="FootnoteReference"/>
        </w:rPr>
        <w:footnoteRef/>
      </w:r>
      <w:r w:rsidRPr="0047091A">
        <w:t xml:space="preserve"> Atradius Payment Practices Barometer, </w:t>
      </w:r>
      <w:hyperlink r:id="rId72" w:history="1">
        <w:r w:rsidRPr="0047091A">
          <w:rPr>
            <w:rStyle w:val="Hyperlink"/>
          </w:rPr>
          <w:t>https://atradiuscollections.com/global/reports/payment-practices-barometer-b2b-payment-practices-trends-western-europe-2022.html</w:t>
        </w:r>
      </w:hyperlink>
      <w:r w:rsidRPr="0047091A">
        <w:t>, and https://group.atradius.com/publications/payment-practices-barometer/b2b-payment-practices-trends-eastern-europe-2022.html</w:t>
      </w:r>
    </w:p>
  </w:footnote>
  <w:footnote w:id="142">
    <w:p w14:paraId="0B858CE8" w14:textId="77777777" w:rsidR="0020692C" w:rsidRPr="0047091A" w:rsidRDefault="0020692C" w:rsidP="0020692C">
      <w:pPr>
        <w:pStyle w:val="FootnoteText"/>
      </w:pPr>
      <w:r w:rsidRPr="0047091A">
        <w:rPr>
          <w:rStyle w:val="FootnoteReference"/>
        </w:rPr>
        <w:footnoteRef/>
      </w:r>
      <w:r w:rsidRPr="0047091A">
        <w:t xml:space="preserve"> Cribis D&amp;B Payment Study 2022</w:t>
      </w:r>
    </w:p>
  </w:footnote>
  <w:footnote w:id="143">
    <w:p w14:paraId="1D7B4CCB" w14:textId="77777777" w:rsidR="0020692C" w:rsidRPr="0047091A" w:rsidRDefault="0020692C" w:rsidP="0020692C">
      <w:pPr>
        <w:pStyle w:val="FootnoteText"/>
      </w:pPr>
      <w:r w:rsidRPr="0047091A">
        <w:rPr>
          <w:rStyle w:val="FootnoteReference"/>
        </w:rPr>
        <w:footnoteRef/>
      </w:r>
      <w:r w:rsidRPr="0047091A">
        <w:t xml:space="preserve"> Intrum, European Payment Report 2022, https://www.intrum.com/publications/european-payment-report/</w:t>
      </w:r>
    </w:p>
  </w:footnote>
  <w:footnote w:id="144">
    <w:p w14:paraId="1E3DB72E" w14:textId="77777777" w:rsidR="0020692C" w:rsidRPr="0047091A" w:rsidRDefault="0020692C" w:rsidP="0020692C">
      <w:pPr>
        <w:pStyle w:val="FootnoteText"/>
      </w:pPr>
      <w:r w:rsidRPr="0047091A">
        <w:rPr>
          <w:rStyle w:val="FootnoteReference"/>
        </w:rPr>
        <w:footnoteRef/>
      </w:r>
      <w:r w:rsidRPr="0047091A">
        <w:t xml:space="preserve"> European Commission, Survey on the access to finance of enterprises, https://single-market-economy.ec.europa.eu/access-finance/data-and-surveys-safe_en</w:t>
      </w:r>
    </w:p>
  </w:footnote>
  <w:footnote w:id="145">
    <w:p w14:paraId="247B7695" w14:textId="77777777" w:rsidR="00672D7D" w:rsidRPr="0047091A" w:rsidRDefault="00672D7D" w:rsidP="00672D7D">
      <w:pPr>
        <w:pStyle w:val="FootnoteText"/>
      </w:pPr>
      <w:r w:rsidRPr="0047091A">
        <w:rPr>
          <w:rStyle w:val="FootnoteReference"/>
        </w:rPr>
        <w:footnoteRef/>
      </w:r>
      <w:r w:rsidRPr="0047091A">
        <w:t xml:space="preserve"> Intrum, European Payment Report 2022, https://www.intrum.com/publications/european-payment-report/</w:t>
      </w:r>
    </w:p>
    <w:p w14:paraId="2F80F245" w14:textId="77777777" w:rsidR="00672D7D" w:rsidRPr="0047091A" w:rsidRDefault="00672D7D" w:rsidP="00672D7D">
      <w:pPr>
        <w:pStyle w:val="FootnoteText"/>
      </w:pPr>
    </w:p>
  </w:footnote>
  <w:footnote w:id="146">
    <w:p w14:paraId="00DB0721" w14:textId="77777777" w:rsidR="00672D7D" w:rsidRPr="0047091A" w:rsidRDefault="00672D7D" w:rsidP="00672D7D">
      <w:pPr>
        <w:pStyle w:val="FootnoteText"/>
      </w:pPr>
      <w:r w:rsidRPr="0047091A">
        <w:rPr>
          <w:rStyle w:val="FootnoteReference"/>
        </w:rPr>
        <w:footnoteRef/>
      </w:r>
      <w:r w:rsidRPr="0047091A">
        <w:t xml:space="preserve"> Intrum, European Payment Report 2022, https://www.intrum.com/publications/european-payment-report/</w:t>
      </w:r>
    </w:p>
  </w:footnote>
  <w:footnote w:id="147">
    <w:p w14:paraId="25F885AC" w14:textId="77777777" w:rsidR="001C4FFB" w:rsidRPr="0047091A" w:rsidRDefault="001C4FFB" w:rsidP="001C4FFB">
      <w:pPr>
        <w:pStyle w:val="FootnoteText"/>
      </w:pPr>
      <w:r w:rsidRPr="0047091A">
        <w:rPr>
          <w:rStyle w:val="FootnoteReference"/>
        </w:rPr>
        <w:footnoteRef/>
      </w:r>
      <w:r w:rsidRPr="0047091A">
        <w:t xml:space="preserve"> https://www.sage.com/en-gb/blog/wp-content/uploads/sites/10/2017/12/Domino-Effect-Late-Payments-Research-Sage.pdf</w:t>
      </w:r>
    </w:p>
  </w:footnote>
  <w:footnote w:id="148">
    <w:p w14:paraId="4A2CE290" w14:textId="77777777" w:rsidR="001C4FFB" w:rsidRPr="0047091A" w:rsidRDefault="001C4FFB" w:rsidP="001C4FFB">
      <w:pPr>
        <w:pStyle w:val="FootnoteText"/>
      </w:pPr>
      <w:r w:rsidRPr="0047091A">
        <w:rPr>
          <w:rStyle w:val="FootnoteReference"/>
        </w:rPr>
        <w:footnoteRef/>
      </w:r>
      <w:r w:rsidRPr="0047091A">
        <w:t xml:space="preserve"> https://www.ecb.europa.eu/paym/intro/mip-online/2016/html/mip_qr_1_article_4_e-invoicing.en.html</w:t>
      </w:r>
    </w:p>
  </w:footnote>
  <w:footnote w:id="149">
    <w:p w14:paraId="36FC884D" w14:textId="77777777" w:rsidR="001C4FFB" w:rsidRPr="0047091A" w:rsidRDefault="001C4FFB" w:rsidP="001C4FFB">
      <w:pPr>
        <w:pStyle w:val="FootnoteText"/>
      </w:pPr>
      <w:r w:rsidRPr="0047091A">
        <w:rPr>
          <w:rStyle w:val="FootnoteReference"/>
        </w:rPr>
        <w:footnoteRef/>
      </w:r>
      <w:r w:rsidRPr="0047091A">
        <w:t xml:space="preserve"> https://ec.europa.eu/transparency/documents-register/detail?ref=SWD(2021)279&amp;lang=en</w:t>
      </w:r>
    </w:p>
  </w:footnote>
  <w:footnote w:id="150">
    <w:p w14:paraId="1105D196" w14:textId="05979AA8" w:rsidR="001C4FFB" w:rsidRPr="0047091A" w:rsidRDefault="001C4FFB" w:rsidP="001C4FFB">
      <w:pPr>
        <w:pStyle w:val="FootnoteText"/>
      </w:pPr>
      <w:r w:rsidRPr="0047091A">
        <w:rPr>
          <w:rStyle w:val="FootnoteReference"/>
        </w:rPr>
        <w:footnoteRef/>
      </w:r>
      <w:r w:rsidRPr="0047091A">
        <w:t xml:space="preserve"> </w:t>
      </w:r>
      <w:r w:rsidR="005F0907" w:rsidRPr="0047091A">
        <w:t>Average EU-27 rate used under the OIOO approach</w:t>
      </w:r>
      <w:r w:rsidR="00A077E1" w:rsidRPr="0047091A">
        <w:t xml:space="preserve"> </w:t>
      </w:r>
    </w:p>
  </w:footnote>
  <w:footnote w:id="151">
    <w:p w14:paraId="27461247" w14:textId="77777777" w:rsidR="001C4FFB" w:rsidRPr="0047091A" w:rsidRDefault="001C4FFB" w:rsidP="001C4FFB">
      <w:pPr>
        <w:pStyle w:val="FootnoteText"/>
      </w:pPr>
      <w:r w:rsidRPr="0047091A">
        <w:rPr>
          <w:rStyle w:val="FootnoteReference"/>
        </w:rPr>
        <w:footnoteRef/>
      </w:r>
      <w:r w:rsidRPr="0047091A">
        <w:t xml:space="preserve"> </w:t>
      </w:r>
      <w:hyperlink r:id="rId73" w:history="1">
        <w:r w:rsidRPr="0047091A">
          <w:rPr>
            <w:rStyle w:val="Hyperlink"/>
          </w:rPr>
          <w:t>https://oia.pmc.gov.au/sites/default/files/posts/2020/05/payment_times_reporting_scheme_ris.pdf</w:t>
        </w:r>
      </w:hyperlink>
      <w:r w:rsidRPr="0047091A">
        <w:t xml:space="preserve"> </w:t>
      </w:r>
    </w:p>
  </w:footnote>
  <w:footnote w:id="152">
    <w:p w14:paraId="4637FCC4" w14:textId="77777777" w:rsidR="001C4FFB" w:rsidRPr="0047091A" w:rsidRDefault="001C4FFB" w:rsidP="001C4FFB">
      <w:pPr>
        <w:pStyle w:val="FootnoteText"/>
      </w:pPr>
      <w:r w:rsidRPr="0047091A">
        <w:rPr>
          <w:rStyle w:val="FootnoteReference"/>
        </w:rPr>
        <w:footnoteRef/>
      </w:r>
      <w:r w:rsidRPr="0047091A">
        <w:t xml:space="preserve"> https://www.abs.gov.au/statistics/economy/business-indicators/counts-australian-businesses-including-entries-and-exits/latest-release</w:t>
      </w:r>
    </w:p>
  </w:footnote>
  <w:footnote w:id="153">
    <w:p w14:paraId="1BCDC02C" w14:textId="77777777" w:rsidR="00BC52A0" w:rsidRPr="0047091A" w:rsidRDefault="00BC52A0" w:rsidP="002C7CBA">
      <w:pPr>
        <w:pStyle w:val="FootnoteText"/>
      </w:pPr>
      <w:r w:rsidRPr="0047091A">
        <w:rPr>
          <w:rStyle w:val="FootnoteReference"/>
        </w:rPr>
        <w:footnoteRef/>
      </w:r>
      <w:r w:rsidRPr="0047091A">
        <w:t xml:space="preserve"> As estimated in the 2011 LPD Impact Assessment, </w:t>
      </w:r>
      <w:hyperlink r:id="rId74" w:history="1">
        <w:r w:rsidRPr="0047091A">
          <w:rPr>
            <w:rStyle w:val="Hyperlink"/>
          </w:rPr>
          <w:t>https://eur-lex.europa.eu/legal-content/EN/TXT/PDF/?uri=CELEX:52009SC0315&amp;from=EN</w:t>
        </w:r>
      </w:hyperlink>
      <w:r w:rsidRPr="0047091A">
        <w:t>. The value has likely increased since then due to increased company turnover, but still serves to provide an order of magnitude.</w:t>
      </w:r>
    </w:p>
  </w:footnote>
  <w:footnote w:id="154">
    <w:p w14:paraId="3F521760" w14:textId="77777777" w:rsidR="00BC52A0" w:rsidRPr="0047091A" w:rsidRDefault="00BC52A0" w:rsidP="002C7CBA">
      <w:pPr>
        <w:pStyle w:val="FootnoteText"/>
      </w:pPr>
      <w:r w:rsidRPr="0047091A">
        <w:rPr>
          <w:rStyle w:val="FootnoteReference"/>
        </w:rPr>
        <w:footnoteRef/>
      </w:r>
      <w:r w:rsidRPr="0047091A">
        <w:t xml:space="preserve"> </w:t>
      </w:r>
      <w:hyperlink r:id="rId75" w:history="1">
        <w:r w:rsidRPr="0047091A">
          <w:rPr>
            <w:rStyle w:val="Hyperlink"/>
          </w:rPr>
          <w:t>https://ec.europa.eu/eurostat/databrowser/view/prc_hicp_aind/default/table?lang=en</w:t>
        </w:r>
      </w:hyperlink>
      <w:r w:rsidRPr="0047091A">
        <w:t xml:space="preserve"> </w:t>
      </w:r>
    </w:p>
  </w:footnote>
  <w:footnote w:id="155">
    <w:p w14:paraId="4B578AFA" w14:textId="77777777" w:rsidR="00BC52A0" w:rsidRPr="0047091A" w:rsidRDefault="00BC52A0" w:rsidP="002C7CBA">
      <w:pPr>
        <w:pStyle w:val="FootnoteText"/>
      </w:pPr>
      <w:r w:rsidRPr="0047091A">
        <w:rPr>
          <w:rStyle w:val="FootnoteReference"/>
        </w:rPr>
        <w:footnoteRef/>
      </w:r>
      <w:r w:rsidRPr="0047091A">
        <w:t xml:space="preserve"> CRIBIS D&amp;B, Payment Study 2022</w:t>
      </w:r>
    </w:p>
  </w:footnote>
  <w:footnote w:id="156">
    <w:p w14:paraId="787B6F22" w14:textId="77777777" w:rsidR="00BC52A0" w:rsidRPr="0047091A" w:rsidRDefault="00BC52A0" w:rsidP="002C7CBA">
      <w:pPr>
        <w:pStyle w:val="FootnoteText"/>
      </w:pPr>
      <w:r w:rsidRPr="0047091A">
        <w:rPr>
          <w:rStyle w:val="FootnoteReference"/>
        </w:rPr>
        <w:footnoteRef/>
      </w:r>
      <w:r w:rsidRPr="0047091A">
        <w:t xml:space="preserve"> </w:t>
      </w:r>
      <w:hyperlink r:id="rId76" w:history="1">
        <w:r w:rsidRPr="0047091A">
          <w:rPr>
            <w:rStyle w:val="Hyperlink"/>
          </w:rPr>
          <w:t>https://www.senat.fr/questions/base/2018/qSEQ181007212.html</w:t>
        </w:r>
      </w:hyperlink>
      <w:r w:rsidRPr="0047091A">
        <w:t xml:space="preserve"> </w:t>
      </w:r>
    </w:p>
  </w:footnote>
  <w:footnote w:id="157">
    <w:p w14:paraId="24F520F7" w14:textId="77777777" w:rsidR="000639AA" w:rsidRPr="0047091A" w:rsidRDefault="000639AA" w:rsidP="000639AA">
      <w:pPr>
        <w:pStyle w:val="FootnoteText"/>
      </w:pPr>
      <w:r w:rsidRPr="0047091A">
        <w:rPr>
          <w:rStyle w:val="FootnoteReference"/>
        </w:rPr>
        <w:footnoteRef/>
      </w:r>
      <w:r w:rsidRPr="0047091A">
        <w:t xml:space="preserve"> https://www.gov.uk/guidance/prompt-payment-policy</w:t>
      </w:r>
    </w:p>
  </w:footnote>
  <w:footnote w:id="158">
    <w:p w14:paraId="63E06AE0" w14:textId="77777777" w:rsidR="009358B6" w:rsidRPr="0047091A" w:rsidRDefault="009358B6" w:rsidP="009358B6">
      <w:pPr>
        <w:pStyle w:val="FootnoteText"/>
      </w:pPr>
      <w:r w:rsidRPr="0047091A">
        <w:rPr>
          <w:rStyle w:val="FootnoteReference"/>
        </w:rPr>
        <w:footnoteRef/>
      </w:r>
      <w:r w:rsidRPr="0047091A">
        <w:t xml:space="preserve"> European Construction Industry Federation</w:t>
      </w:r>
    </w:p>
  </w:footnote>
  <w:footnote w:id="159">
    <w:p w14:paraId="32637525" w14:textId="06AE243E" w:rsidR="00BC52A0" w:rsidRPr="0047091A" w:rsidRDefault="00BC52A0" w:rsidP="002C7CBA">
      <w:pPr>
        <w:pStyle w:val="FootnoteText"/>
      </w:pPr>
      <w:r w:rsidRPr="0047091A">
        <w:rPr>
          <w:rStyle w:val="FootnoteReference"/>
        </w:rPr>
        <w:footnoteRef/>
      </w:r>
      <w:hyperlink r:id="rId77" w:history="1">
        <w:r w:rsidRPr="0047091A">
          <w:rPr>
            <w:rStyle w:val="Hyperlink"/>
          </w:rPr>
          <w:t>https://assets.publishing.service.gov.uk/government/uploads/system/uploads/attachment_data/file/1130182/Office_of_the_Small_Business_Commissioner_Annual_Report_and_Accounts_2021-22.pdf</w:t>
        </w:r>
      </w:hyperlink>
      <w:r w:rsidRPr="0047091A">
        <w:t xml:space="preserve"> </w:t>
      </w:r>
    </w:p>
  </w:footnote>
  <w:footnote w:id="160">
    <w:p w14:paraId="2C91E7C8" w14:textId="77777777" w:rsidR="00BC52A0" w:rsidRPr="0047091A" w:rsidRDefault="00BC52A0" w:rsidP="002C7CBA">
      <w:pPr>
        <w:pStyle w:val="FootnoteText"/>
      </w:pPr>
      <w:r w:rsidRPr="0047091A">
        <w:rPr>
          <w:rStyle w:val="FootnoteReference"/>
        </w:rPr>
        <w:footnoteRef/>
      </w:r>
      <w:r w:rsidRPr="0047091A">
        <w:t xml:space="preserve"> </w:t>
      </w:r>
      <w:hyperlink r:id="rId78" w:history="1">
        <w:r w:rsidRPr="0047091A">
          <w:rPr>
            <w:rStyle w:val="Hyperlink"/>
          </w:rPr>
          <w:t>https://presse.economie.gouv.fr/15-03-2022-le-mediateur-des-entreprises-publie-le-bilan-dactivite-2021-et-revient-sur-les-12-ans-daction-au-service-des-acteurs-economiques/</w:t>
        </w:r>
      </w:hyperlink>
      <w:r w:rsidRPr="0047091A">
        <w:t xml:space="preserve"> </w:t>
      </w:r>
    </w:p>
  </w:footnote>
  <w:footnote w:id="161">
    <w:p w14:paraId="7475A73D" w14:textId="77777777" w:rsidR="00BC52A0" w:rsidRPr="0047091A" w:rsidRDefault="00BC52A0" w:rsidP="002C7CBA">
      <w:pPr>
        <w:pStyle w:val="FootnoteText"/>
      </w:pPr>
      <w:r w:rsidRPr="0047091A">
        <w:rPr>
          <w:rStyle w:val="FootnoteReference"/>
        </w:rPr>
        <w:footnoteRef/>
      </w:r>
      <w:r w:rsidRPr="0047091A">
        <w:t xml:space="preserve"> </w:t>
      </w:r>
      <w:hyperlink r:id="rId79" w:history="1">
        <w:r w:rsidRPr="0047091A">
          <w:rPr>
            <w:rStyle w:val="Hyperlink"/>
          </w:rPr>
          <w:t>https://op.europa.eu/en/publication-detail/-/publication/b2a115fd-3d1d-11ec-89db-01aa75ed71a1</w:t>
        </w:r>
      </w:hyperlink>
      <w:r w:rsidRPr="0047091A">
        <w:t xml:space="preserve"> </w:t>
      </w:r>
    </w:p>
  </w:footnote>
  <w:footnote w:id="162">
    <w:p w14:paraId="3768E21F" w14:textId="77777777" w:rsidR="00003701" w:rsidRPr="0047091A" w:rsidRDefault="00003701" w:rsidP="00003701">
      <w:pPr>
        <w:pStyle w:val="FootnoteText"/>
      </w:pPr>
      <w:r w:rsidRPr="0047091A">
        <w:rPr>
          <w:rStyle w:val="FootnoteReference"/>
        </w:rPr>
        <w:footnoteRef/>
      </w:r>
      <w:r w:rsidRPr="0047091A">
        <w:t xml:space="preserve"> https://www.sage.com/en-gb/blog/wp-content/uploads/sites/10/2017/12/Domino-Effect-Late-Payments-Research-Sage.pdf</w:t>
      </w:r>
    </w:p>
  </w:footnote>
  <w:footnote w:id="163">
    <w:p w14:paraId="4C2F4D4B" w14:textId="77777777" w:rsidR="0097710C" w:rsidRPr="0047091A" w:rsidRDefault="0097710C" w:rsidP="0097710C">
      <w:pPr>
        <w:pStyle w:val="FootnoteText"/>
      </w:pPr>
      <w:r w:rsidRPr="0047091A">
        <w:rPr>
          <w:rStyle w:val="FootnoteReference"/>
        </w:rPr>
        <w:footnoteRef/>
      </w:r>
      <w:r w:rsidRPr="0047091A">
        <w:t xml:space="preserve"> https://www.trade.gov/methods-payment</w:t>
      </w:r>
    </w:p>
  </w:footnote>
  <w:footnote w:id="164">
    <w:p w14:paraId="60FADE4F" w14:textId="1AF1D37C" w:rsidR="005952A0" w:rsidRPr="0047091A" w:rsidRDefault="005952A0" w:rsidP="005952A0">
      <w:pPr>
        <w:pStyle w:val="FootnoteText"/>
      </w:pPr>
      <w:r w:rsidRPr="0047091A">
        <w:rPr>
          <w:rStyle w:val="FootnoteReference"/>
        </w:rPr>
        <w:footnoteRef/>
      </w:r>
      <w:r w:rsidRPr="0047091A">
        <w:t xml:space="preserve"> 2020 Eurobarometer survey</w:t>
      </w:r>
      <w:r w:rsidR="002E552C" w:rsidRPr="0047091A">
        <w:t xml:space="preserve"> </w:t>
      </w:r>
      <w:hyperlink r:id="rId80" w:history="1">
        <w:r w:rsidRPr="0047091A">
          <w:rPr>
            <w:rStyle w:val="Hyperlink"/>
          </w:rPr>
          <w:t>https://europa.eu/eurobarometer/surveys/detail/2244</w:t>
        </w:r>
      </w:hyperlink>
      <w:r w:rsidRPr="0047091A">
        <w:t xml:space="preserve"> </w:t>
      </w:r>
    </w:p>
  </w:footnote>
  <w:footnote w:id="165">
    <w:p w14:paraId="615EBFFD" w14:textId="77777777" w:rsidR="00BC52A0" w:rsidRPr="0047091A" w:rsidRDefault="00BC52A0" w:rsidP="00841D52">
      <w:pPr>
        <w:pStyle w:val="FootnoteText"/>
      </w:pPr>
      <w:r w:rsidRPr="0047091A">
        <w:rPr>
          <w:rStyle w:val="FootnoteReference"/>
        </w:rPr>
        <w:footnoteRef/>
      </w:r>
      <w:r w:rsidRPr="0047091A">
        <w:t xml:space="preserve"> SEC 1992 2214 of 18.11.1992 </w:t>
      </w:r>
    </w:p>
  </w:footnote>
  <w:footnote w:id="166">
    <w:p w14:paraId="0AF841E0" w14:textId="77777777" w:rsidR="00BC52A0" w:rsidRPr="0047091A" w:rsidRDefault="00BC52A0" w:rsidP="00841D52">
      <w:pPr>
        <w:pStyle w:val="FootnoteText"/>
      </w:pPr>
      <w:r w:rsidRPr="0047091A">
        <w:rPr>
          <w:rStyle w:val="FootnoteReference"/>
        </w:rPr>
        <w:footnoteRef/>
      </w:r>
      <w:r w:rsidRPr="0047091A">
        <w:t xml:space="preserve"> https://eur-lex.europa.eu/legal-content/EN/TXT/PDF/?uri=OJ:C:1993:150:FULL&amp;from=EN</w:t>
      </w:r>
    </w:p>
  </w:footnote>
  <w:footnote w:id="167">
    <w:p w14:paraId="7103F69A" w14:textId="77777777" w:rsidR="00BC52A0" w:rsidRPr="0047091A" w:rsidRDefault="00BC52A0" w:rsidP="00841D52">
      <w:pPr>
        <w:pStyle w:val="FootnoteText"/>
        <w:rPr>
          <w:i/>
        </w:rPr>
      </w:pPr>
      <w:r w:rsidRPr="0047091A">
        <w:rPr>
          <w:rStyle w:val="FootnoteReference"/>
        </w:rPr>
        <w:footnoteRef/>
      </w:r>
      <w:r w:rsidRPr="0047091A">
        <w:t xml:space="preserve"> Point 4.3.2 of the Opinion: “</w:t>
      </w:r>
      <w:r w:rsidRPr="0047091A">
        <w:rPr>
          <w:i/>
        </w:rPr>
        <w:t>When an imbalance in the relative strength of the parties, resulting from a dominant position, leads to unfair practices, consisting mainly of imposing inequitable trading conditions, it is up to the Commission to take action on the basis of article 86 of the Treaty”</w:t>
      </w:r>
    </w:p>
    <w:p w14:paraId="4018760B" w14:textId="77777777" w:rsidR="00BC52A0" w:rsidRPr="0047091A" w:rsidRDefault="00BC52A0" w:rsidP="00841D52">
      <w:pPr>
        <w:pStyle w:val="FootnoteText"/>
      </w:pPr>
      <w:r w:rsidRPr="0047091A">
        <w:t xml:space="preserve"> </w:t>
      </w:r>
      <w:hyperlink r:id="rId81" w:history="1">
        <w:r w:rsidRPr="0047091A">
          <w:rPr>
            <w:rStyle w:val="Hyperlink"/>
          </w:rPr>
          <w:t>https://eur-lex.europa.eu/legal-content/EN/TXT/PDF/?uri=CELEX:51993AC0714&amp;from=EN</w:t>
        </w:r>
      </w:hyperlink>
    </w:p>
  </w:footnote>
  <w:footnote w:id="168">
    <w:p w14:paraId="057566D5" w14:textId="77777777" w:rsidR="00BC52A0" w:rsidRPr="0047091A" w:rsidRDefault="00BC52A0" w:rsidP="00841D52">
      <w:pPr>
        <w:pStyle w:val="FootnoteText"/>
      </w:pPr>
      <w:r w:rsidRPr="0047091A">
        <w:rPr>
          <w:rStyle w:val="FootnoteReference"/>
        </w:rPr>
        <w:footnoteRef/>
      </w:r>
      <w:r w:rsidRPr="0047091A">
        <w:t xml:space="preserve"> </w:t>
      </w:r>
      <w:hyperlink r:id="rId82" w:history="1">
        <w:r w:rsidRPr="0047091A">
          <w:rPr>
            <w:rStyle w:val="Hyperlink"/>
          </w:rPr>
          <w:t>https://eur-lex.europa.eu/legal-content/EN/ALL/?uri=celex%3A31995H0198</w:t>
        </w:r>
      </w:hyperlink>
    </w:p>
  </w:footnote>
  <w:footnote w:id="169">
    <w:p w14:paraId="03F69CE6" w14:textId="77777777" w:rsidR="00BC52A0" w:rsidRPr="0047091A" w:rsidRDefault="00BC52A0" w:rsidP="00841D52">
      <w:pPr>
        <w:pStyle w:val="FootnoteText"/>
      </w:pPr>
      <w:r w:rsidRPr="0047091A">
        <w:rPr>
          <w:rStyle w:val="FootnoteReference"/>
        </w:rPr>
        <w:footnoteRef/>
      </w:r>
      <w:r w:rsidRPr="0047091A">
        <w:t xml:space="preserve"> A4-0161 /96 — Resolution on the Commission Recommendation on payment periods in commercial transactions (C(95) 1075-C4-0 198 /95)</w:t>
      </w:r>
    </w:p>
  </w:footnote>
  <w:footnote w:id="170">
    <w:p w14:paraId="26EDDAC7" w14:textId="77777777" w:rsidR="00BC52A0" w:rsidRPr="0047091A" w:rsidRDefault="00BC52A0" w:rsidP="00841D52">
      <w:pPr>
        <w:pStyle w:val="FootnoteText"/>
      </w:pPr>
      <w:r w:rsidRPr="0047091A">
        <w:rPr>
          <w:rStyle w:val="FootnoteReference"/>
        </w:rPr>
        <w:footnoteRef/>
      </w:r>
      <w:r w:rsidRPr="0047091A">
        <w:t xml:space="preserve"> </w:t>
      </w:r>
      <w:hyperlink r:id="rId83" w:history="1">
        <w:r w:rsidRPr="0047091A">
          <w:rPr>
            <w:rStyle w:val="Hyperlink"/>
          </w:rPr>
          <w:t>https://eur-lex.europa.eu/legal-content/EN/TXT/PDF/?uri=CELEX:C1997/216/07&amp;from=EN</w:t>
        </w:r>
      </w:hyperlink>
    </w:p>
  </w:footnote>
  <w:footnote w:id="171">
    <w:p w14:paraId="0DEED91D" w14:textId="77777777" w:rsidR="00BC52A0" w:rsidRPr="0047091A" w:rsidRDefault="00BC52A0" w:rsidP="00841D52">
      <w:pPr>
        <w:spacing w:after="0"/>
        <w:rPr>
          <w:sz w:val="20"/>
          <w:szCs w:val="20"/>
        </w:rPr>
      </w:pPr>
      <w:r w:rsidRPr="0047091A">
        <w:rPr>
          <w:sz w:val="20"/>
          <w:szCs w:val="20"/>
        </w:rPr>
        <w:footnoteRef/>
      </w:r>
      <w:r w:rsidRPr="0047091A">
        <w:rPr>
          <w:sz w:val="20"/>
          <w:szCs w:val="20"/>
        </w:rPr>
        <w:t xml:space="preserve"> </w:t>
      </w:r>
      <w:r w:rsidRPr="0047091A">
        <w:rPr>
          <w:rFonts w:eastAsia="Times New Roman"/>
          <w:sz w:val="20"/>
          <w:szCs w:val="20"/>
        </w:rPr>
        <w:t>The data indicated are quoted from the “Impact assessment accompanying the proposal for the recast of Directive 2000/35/EC” (SEC 2009 316)</w:t>
      </w:r>
    </w:p>
  </w:footnote>
  <w:footnote w:id="172">
    <w:p w14:paraId="0B26DF51" w14:textId="77777777" w:rsidR="000E147A" w:rsidRPr="0047091A" w:rsidRDefault="000E147A" w:rsidP="000E147A">
      <w:pPr>
        <w:pStyle w:val="FootnoteText"/>
      </w:pPr>
      <w:r w:rsidRPr="0047091A">
        <w:rPr>
          <w:rStyle w:val="FootnoteReference"/>
        </w:rPr>
        <w:footnoteRef/>
      </w:r>
      <w:r w:rsidRPr="0047091A">
        <w:t xml:space="preserve"> Ex-post evaluation </w:t>
      </w:r>
    </w:p>
  </w:footnote>
  <w:footnote w:id="173">
    <w:p w14:paraId="6D51DFE5" w14:textId="77777777" w:rsidR="000E147A" w:rsidRPr="0047091A" w:rsidRDefault="000E147A" w:rsidP="000E147A">
      <w:pPr>
        <w:pStyle w:val="FootnoteText"/>
      </w:pPr>
      <w:r w:rsidRPr="0047091A">
        <w:rPr>
          <w:rStyle w:val="FootnoteReference"/>
        </w:rPr>
        <w:footnoteRef/>
      </w:r>
      <w:r w:rsidRPr="0047091A">
        <w:t xml:space="preserve"> Commission Report to the EP and the Council </w:t>
      </w:r>
    </w:p>
  </w:footnote>
  <w:footnote w:id="174">
    <w:p w14:paraId="79073A3E" w14:textId="77777777" w:rsidR="000E147A" w:rsidRPr="0047091A" w:rsidRDefault="000E147A" w:rsidP="000E147A">
      <w:pPr>
        <w:pStyle w:val="FootnoteText"/>
        <w:jc w:val="left"/>
      </w:pPr>
      <w:r w:rsidRPr="0047091A">
        <w:rPr>
          <w:rStyle w:val="FootnoteReference"/>
        </w:rPr>
        <w:footnoteRef/>
      </w:r>
      <w:r w:rsidRPr="0047091A">
        <w:t xml:space="preserve"> JRC 2021 </w:t>
      </w:r>
    </w:p>
  </w:footnote>
  <w:footnote w:id="175">
    <w:p w14:paraId="255245A6" w14:textId="77777777" w:rsidR="000E147A" w:rsidRPr="0047091A" w:rsidRDefault="000E147A" w:rsidP="000E147A">
      <w:pPr>
        <w:pStyle w:val="FootnoteText"/>
      </w:pPr>
      <w:r w:rsidRPr="0047091A">
        <w:rPr>
          <w:rStyle w:val="FootnoteReference"/>
        </w:rPr>
        <w:footnoteRef/>
      </w:r>
      <w:r w:rsidRPr="0047091A">
        <w:t xml:space="preserve"> B2B comparative study 2018</w:t>
      </w:r>
    </w:p>
  </w:footnote>
  <w:footnote w:id="176">
    <w:p w14:paraId="6046C526" w14:textId="77777777" w:rsidR="000E147A" w:rsidRPr="0047091A" w:rsidRDefault="000E147A" w:rsidP="000E147A">
      <w:pPr>
        <w:pStyle w:val="FootnoteText"/>
      </w:pPr>
      <w:r w:rsidRPr="0047091A">
        <w:rPr>
          <w:rStyle w:val="FootnoteReference"/>
        </w:rPr>
        <w:footnoteRef/>
      </w:r>
      <w:r w:rsidRPr="0047091A">
        <w:t xml:space="preserve"> EP Resolution 2019</w:t>
      </w:r>
    </w:p>
  </w:footnote>
  <w:footnote w:id="177">
    <w:p w14:paraId="16062676" w14:textId="77777777" w:rsidR="000E147A" w:rsidRPr="0047091A" w:rsidRDefault="000E147A" w:rsidP="000E147A">
      <w:pPr>
        <w:pStyle w:val="FootnoteText"/>
      </w:pPr>
      <w:r w:rsidRPr="0047091A">
        <w:rPr>
          <w:rStyle w:val="FootnoteReference"/>
        </w:rPr>
        <w:footnoteRef/>
      </w:r>
      <w:r w:rsidRPr="0047091A">
        <w:t xml:space="preserve"> F4F Opinion 2021</w:t>
      </w:r>
    </w:p>
  </w:footnote>
  <w:footnote w:id="178">
    <w:p w14:paraId="04FE46AD" w14:textId="77777777" w:rsidR="000E147A" w:rsidRPr="0047091A" w:rsidRDefault="000E147A" w:rsidP="000E147A">
      <w:pPr>
        <w:pStyle w:val="FootnoteText"/>
      </w:pPr>
      <w:r w:rsidRPr="0047091A">
        <w:rPr>
          <w:rStyle w:val="FootnoteReference"/>
        </w:rPr>
        <w:footnoteRef/>
      </w:r>
      <w:r w:rsidRPr="0047091A">
        <w:t xml:space="preserve"> Commission Study 2021, JRC 2022 study</w:t>
      </w:r>
    </w:p>
  </w:footnote>
  <w:footnote w:id="179">
    <w:p w14:paraId="1579913A" w14:textId="25CB7296" w:rsidR="00BC52A0" w:rsidRPr="00F949A3" w:rsidRDefault="00BC52A0" w:rsidP="00580A0A">
      <w:pPr>
        <w:pStyle w:val="FootnoteText"/>
        <w:ind w:left="284" w:hanging="284"/>
        <w:rPr>
          <w:rStyle w:val="Hyperlink"/>
          <w:rFonts w:eastAsiaTheme="minorHAnsi"/>
          <w:sz w:val="18"/>
          <w:szCs w:val="18"/>
          <w:lang w:val="es-ES"/>
        </w:rPr>
      </w:pPr>
      <w:r w:rsidRPr="0047091A">
        <w:rPr>
          <w:rStyle w:val="FootnoteReference"/>
          <w:sz w:val="18"/>
          <w:szCs w:val="18"/>
        </w:rPr>
        <w:footnoteRef/>
      </w:r>
      <w:r w:rsidR="0091653A" w:rsidRPr="00F949A3">
        <w:rPr>
          <w:bCs/>
          <w:sz w:val="18"/>
          <w:szCs w:val="18"/>
          <w:lang w:val="es-ES"/>
        </w:rPr>
        <w:t xml:space="preserve"> </w:t>
      </w:r>
      <w:r w:rsidRPr="00F949A3">
        <w:rPr>
          <w:bCs/>
          <w:sz w:val="18"/>
          <w:szCs w:val="18"/>
          <w:lang w:val="es-ES"/>
        </w:rPr>
        <w:t>Spain:</w:t>
      </w:r>
      <w:r w:rsidRPr="00F949A3">
        <w:rPr>
          <w:bCs/>
          <w:sz w:val="18"/>
          <w:szCs w:val="18"/>
          <w:lang w:val="es-ES"/>
        </w:rPr>
        <w:tab/>
      </w:r>
      <w:hyperlink r:id="rId84" w:history="1">
        <w:r w:rsidRPr="00F949A3">
          <w:rPr>
            <w:rStyle w:val="Hyperlink"/>
            <w:sz w:val="18"/>
            <w:szCs w:val="18"/>
            <w:lang w:val="es-ES"/>
          </w:rPr>
          <w:t>https://www.hacienda.gob.es/es ES/CDI/Paginas/PeriodoMedioPago/PeriodoMedioPago.aspx</w:t>
        </w:r>
      </w:hyperlink>
    </w:p>
    <w:p w14:paraId="72F6A840" w14:textId="021B8879" w:rsidR="00BC52A0" w:rsidRPr="0090056C" w:rsidRDefault="00BC52A0" w:rsidP="00580A0A">
      <w:pPr>
        <w:pStyle w:val="FootnoteText"/>
        <w:rPr>
          <w:rStyle w:val="Hyperlink"/>
          <w:sz w:val="18"/>
          <w:szCs w:val="18"/>
          <w:lang w:val="pt-PT"/>
        </w:rPr>
      </w:pPr>
      <w:r w:rsidRPr="0090056C">
        <w:rPr>
          <w:bCs/>
          <w:sz w:val="18"/>
          <w:szCs w:val="18"/>
          <w:lang w:val="pt-PT"/>
        </w:rPr>
        <w:t>Portugal</w:t>
      </w:r>
      <w:r w:rsidRPr="0090056C">
        <w:rPr>
          <w:rStyle w:val="Hyperlink"/>
          <w:sz w:val="18"/>
          <w:szCs w:val="18"/>
          <w:lang w:val="pt-PT"/>
        </w:rPr>
        <w:t xml:space="preserve">: </w:t>
      </w:r>
      <w:r w:rsidRPr="0090056C">
        <w:rPr>
          <w:rStyle w:val="Hyperlink"/>
          <w:sz w:val="18"/>
          <w:szCs w:val="18"/>
          <w:lang w:val="pt-PT"/>
        </w:rPr>
        <w:tab/>
      </w:r>
      <w:r w:rsidRPr="0090056C">
        <w:rPr>
          <w:rStyle w:val="Hyperlink"/>
          <w:sz w:val="18"/>
          <w:szCs w:val="18"/>
          <w:lang w:val="pt-PT"/>
        </w:rPr>
        <w:tab/>
      </w:r>
      <w:hyperlink r:id="rId85" w:history="1">
        <w:r w:rsidRPr="0090056C">
          <w:rPr>
            <w:rStyle w:val="Hyperlink"/>
            <w:sz w:val="18"/>
            <w:szCs w:val="18"/>
            <w:lang w:val="pt-PT"/>
          </w:rPr>
          <w:t>https://www.dgo.gov.pt/noticias/Paginas/PMP.aspx</w:t>
        </w:r>
      </w:hyperlink>
    </w:p>
    <w:p w14:paraId="2F1F3F02" w14:textId="02540FDB" w:rsidR="00BC52A0" w:rsidRPr="0090056C" w:rsidRDefault="00BC52A0" w:rsidP="00580A0A">
      <w:pPr>
        <w:pStyle w:val="FootnoteText"/>
        <w:rPr>
          <w:rStyle w:val="Hyperlink"/>
          <w:sz w:val="18"/>
          <w:szCs w:val="18"/>
          <w:lang w:val="pt-PT"/>
        </w:rPr>
      </w:pPr>
      <w:r w:rsidRPr="0090056C">
        <w:rPr>
          <w:bCs/>
          <w:sz w:val="18"/>
          <w:szCs w:val="18"/>
          <w:lang w:val="pt-PT"/>
        </w:rPr>
        <w:t>Italy</w:t>
      </w:r>
      <w:r w:rsidRPr="0090056C">
        <w:rPr>
          <w:rStyle w:val="Hyperlink"/>
          <w:sz w:val="18"/>
          <w:szCs w:val="18"/>
          <w:lang w:val="pt-PT"/>
        </w:rPr>
        <w:t>:</w:t>
      </w:r>
      <w:r w:rsidRPr="0090056C">
        <w:rPr>
          <w:rStyle w:val="Hyperlink"/>
          <w:sz w:val="18"/>
          <w:szCs w:val="18"/>
          <w:lang w:val="pt-PT"/>
        </w:rPr>
        <w:tab/>
      </w:r>
      <w:r w:rsidRPr="0090056C">
        <w:rPr>
          <w:rStyle w:val="Hyperlink"/>
          <w:sz w:val="18"/>
          <w:szCs w:val="18"/>
          <w:lang w:val="pt-PT"/>
        </w:rPr>
        <w:tab/>
      </w:r>
      <w:hyperlink r:id="rId86" w:history="1">
        <w:r w:rsidRPr="0090056C">
          <w:rPr>
            <w:rStyle w:val="Hyperlink"/>
            <w:sz w:val="18"/>
            <w:szCs w:val="18"/>
            <w:lang w:val="pt-PT"/>
          </w:rPr>
          <w:t>https://www.mef.gov.it/operazione-trasparenza/pagamenti/ind_temp/index.html</w:t>
        </w:r>
      </w:hyperlink>
    </w:p>
    <w:p w14:paraId="2A9C0F5E" w14:textId="45ED06EE" w:rsidR="00BC52A0" w:rsidRPr="0090056C" w:rsidRDefault="00BC129D" w:rsidP="00580A0A">
      <w:pPr>
        <w:pStyle w:val="FootnoteText"/>
        <w:ind w:left="720" w:firstLine="720"/>
        <w:rPr>
          <w:rStyle w:val="Hyperlink"/>
          <w:sz w:val="18"/>
          <w:szCs w:val="18"/>
          <w:lang w:val="pt-PT"/>
        </w:rPr>
      </w:pPr>
      <w:hyperlink r:id="rId87" w:history="1">
        <w:r w:rsidR="00BC52A0" w:rsidRPr="0090056C">
          <w:rPr>
            <w:rStyle w:val="Hyperlink"/>
            <w:sz w:val="18"/>
            <w:szCs w:val="18"/>
            <w:lang w:val="pt-PT"/>
          </w:rPr>
          <w:t>https://www.mef.gov.it/focus/Pagamento-debiti-della-PA-ai-creditori/</w:t>
        </w:r>
      </w:hyperlink>
    </w:p>
    <w:p w14:paraId="4504A52E" w14:textId="66DC11BD" w:rsidR="00BC52A0" w:rsidRPr="0090056C" w:rsidRDefault="00BC52A0" w:rsidP="00580A0A">
      <w:pPr>
        <w:pStyle w:val="FootnoteText"/>
        <w:rPr>
          <w:color w:val="000000"/>
          <w:sz w:val="16"/>
          <w:szCs w:val="16"/>
          <w:lang w:val="pt-PT"/>
        </w:rPr>
      </w:pPr>
      <w:r w:rsidRPr="0090056C">
        <w:rPr>
          <w:bCs/>
          <w:sz w:val="18"/>
          <w:szCs w:val="18"/>
          <w:lang w:val="pt-PT"/>
        </w:rPr>
        <w:t>Belgium:</w:t>
      </w:r>
      <w:r w:rsidRPr="0090056C">
        <w:rPr>
          <w:bCs/>
          <w:sz w:val="18"/>
          <w:szCs w:val="18"/>
          <w:lang w:val="pt-PT"/>
        </w:rPr>
        <w:tab/>
      </w:r>
      <w:r w:rsidRPr="0090056C">
        <w:rPr>
          <w:rStyle w:val="Hyperlink"/>
          <w:sz w:val="18"/>
          <w:szCs w:val="18"/>
          <w:lang w:val="pt-PT"/>
        </w:rPr>
        <w:t>https://bosa.belgium.be/fr/themes/budget-et-comptabilite/la-comptabilite-publique/suivi-des-delais-de-paiement</w:t>
      </w:r>
    </w:p>
  </w:footnote>
  <w:footnote w:id="180">
    <w:p w14:paraId="5E41AAAE" w14:textId="77777777" w:rsidR="00BC52A0" w:rsidRPr="0090056C" w:rsidRDefault="00BC52A0" w:rsidP="002F76D9">
      <w:pPr>
        <w:pStyle w:val="FootnoteText"/>
        <w:ind w:left="284" w:hanging="284"/>
        <w:jc w:val="left"/>
        <w:rPr>
          <w:color w:val="000000"/>
          <w:sz w:val="18"/>
          <w:szCs w:val="18"/>
          <w:lang w:val="pt-PT"/>
        </w:rPr>
      </w:pPr>
      <w:r w:rsidRPr="0047091A">
        <w:rPr>
          <w:color w:val="337AB7"/>
          <w:sz w:val="18"/>
          <w:szCs w:val="18"/>
          <w:vertAlign w:val="superscript"/>
        </w:rPr>
        <w:footnoteRef/>
      </w:r>
      <w:r w:rsidRPr="0090056C">
        <w:rPr>
          <w:sz w:val="18"/>
          <w:szCs w:val="18"/>
          <w:lang w:val="pt-PT"/>
        </w:rPr>
        <w:t xml:space="preserve"> </w:t>
      </w:r>
      <w:hyperlink r:id="rId88" w:history="1">
        <w:r w:rsidRPr="0090056C">
          <w:rPr>
            <w:sz w:val="18"/>
            <w:szCs w:val="18"/>
            <w:lang w:val="pt-PT"/>
          </w:rPr>
          <w:t>https://publications.banque-france.fr/liste-chronologique/rapport-de-lobservatoire-des-delais-de-paiement</w:t>
        </w:r>
      </w:hyperlink>
    </w:p>
  </w:footnote>
  <w:footnote w:id="181">
    <w:p w14:paraId="183DAE4E" w14:textId="08F7B33F" w:rsidR="00BC52A0" w:rsidRPr="0047091A" w:rsidRDefault="00BC52A0" w:rsidP="002F76D9">
      <w:pPr>
        <w:pStyle w:val="FootnoteText"/>
        <w:ind w:left="284" w:hanging="284"/>
        <w:jc w:val="left"/>
        <w:rPr>
          <w:color w:val="000000" w:themeColor="text1"/>
          <w:sz w:val="18"/>
          <w:szCs w:val="18"/>
        </w:rPr>
      </w:pPr>
      <w:r w:rsidRPr="0047091A">
        <w:rPr>
          <w:color w:val="337AB7"/>
          <w:sz w:val="18"/>
          <w:szCs w:val="18"/>
          <w:vertAlign w:val="superscript"/>
        </w:rPr>
        <w:footnoteRef/>
      </w:r>
      <w:r w:rsidRPr="0047091A">
        <w:rPr>
          <w:color w:val="000000"/>
          <w:sz w:val="18"/>
          <w:szCs w:val="18"/>
        </w:rPr>
        <w:t xml:space="preserve"> </w:t>
      </w:r>
      <w:r w:rsidRPr="0047091A">
        <w:rPr>
          <w:sz w:val="18"/>
          <w:szCs w:val="18"/>
        </w:rPr>
        <w:t>For example D&amp;B, Atradius, Intrum, Euler Hermes, Graydon</w:t>
      </w:r>
      <w:r w:rsidR="0091653A" w:rsidRPr="0047091A">
        <w:rPr>
          <w:sz w:val="18"/>
          <w:szCs w:val="18"/>
        </w:rPr>
        <w:t xml:space="preserve"> </w:t>
      </w:r>
      <w:r w:rsidRPr="0047091A">
        <w:rPr>
          <w:sz w:val="18"/>
          <w:szCs w:val="18"/>
        </w:rPr>
        <w:t>and their subsidiaries in the Member States</w:t>
      </w:r>
    </w:p>
  </w:footnote>
  <w:footnote w:id="182">
    <w:p w14:paraId="115498B1" w14:textId="77777777" w:rsidR="00BC52A0" w:rsidRPr="0090056C" w:rsidRDefault="00BC52A0" w:rsidP="002F76D9">
      <w:pPr>
        <w:pStyle w:val="FootnoteText"/>
        <w:ind w:left="284" w:hanging="284"/>
        <w:jc w:val="left"/>
        <w:rPr>
          <w:color w:val="000000" w:themeColor="text1"/>
          <w:sz w:val="18"/>
          <w:szCs w:val="18"/>
        </w:rPr>
      </w:pPr>
      <w:r w:rsidRPr="0047091A">
        <w:rPr>
          <w:color w:val="337AB7"/>
          <w:sz w:val="18"/>
          <w:szCs w:val="18"/>
          <w:vertAlign w:val="superscript"/>
        </w:rPr>
        <w:footnoteRef/>
      </w:r>
      <w:r w:rsidRPr="0090056C">
        <w:rPr>
          <w:color w:val="337AB7"/>
          <w:sz w:val="18"/>
          <w:szCs w:val="18"/>
          <w:vertAlign w:val="superscript"/>
        </w:rPr>
        <w:t xml:space="preserve"> </w:t>
      </w:r>
      <w:r w:rsidRPr="0090056C">
        <w:rPr>
          <w:sz w:val="18"/>
          <w:szCs w:val="18"/>
        </w:rPr>
        <w:t xml:space="preserve">For example: Confindustria Dispositivi Medici (Italy): </w:t>
      </w:r>
      <w:hyperlink r:id="rId89" w:history="1">
        <w:r w:rsidRPr="0090056C">
          <w:rPr>
            <w:sz w:val="18"/>
            <w:szCs w:val="18"/>
          </w:rPr>
          <w:t>https://www.confindustriadm.it/tempi-di-pagamento/</w:t>
        </w:r>
      </w:hyperlink>
      <w:r w:rsidRPr="0090056C">
        <w:rPr>
          <w:sz w:val="18"/>
          <w:szCs w:val="18"/>
        </w:rPr>
        <w:t xml:space="preserve">; CGIA Mestre: </w:t>
      </w:r>
      <w:hyperlink r:id="rId90" w:history="1">
        <w:r w:rsidRPr="0090056C">
          <w:rPr>
            <w:sz w:val="18"/>
            <w:szCs w:val="18"/>
          </w:rPr>
          <w:t>http://www.cgiamestre.com/tag/ritardi-nei-pagamenti/</w:t>
        </w:r>
      </w:hyperlink>
    </w:p>
  </w:footnote>
  <w:footnote w:id="183">
    <w:p w14:paraId="7572742C" w14:textId="77777777" w:rsidR="00BC52A0" w:rsidRPr="0090056C" w:rsidRDefault="00BC52A0" w:rsidP="002F76D9">
      <w:pPr>
        <w:pStyle w:val="FootnoteText"/>
        <w:ind w:left="284" w:hanging="284"/>
        <w:jc w:val="left"/>
        <w:rPr>
          <w:color w:val="000000" w:themeColor="text1"/>
          <w:sz w:val="18"/>
          <w:szCs w:val="18"/>
        </w:rPr>
      </w:pPr>
      <w:r w:rsidRPr="0047091A">
        <w:rPr>
          <w:color w:val="337AB7"/>
          <w:sz w:val="18"/>
          <w:szCs w:val="18"/>
          <w:vertAlign w:val="superscript"/>
        </w:rPr>
        <w:footnoteRef/>
      </w:r>
      <w:r w:rsidRPr="0090056C">
        <w:rPr>
          <w:color w:val="337AB7"/>
          <w:sz w:val="18"/>
          <w:szCs w:val="18"/>
          <w:vertAlign w:val="superscript"/>
        </w:rPr>
        <w:t xml:space="preserve"> </w:t>
      </w:r>
      <w:r w:rsidRPr="0090056C">
        <w:rPr>
          <w:sz w:val="18"/>
          <w:szCs w:val="18"/>
        </w:rPr>
        <w:t xml:space="preserve">For example:E.g.: Plataforma Multisectorial contra la Morosidad (Spain): </w:t>
      </w:r>
      <w:hyperlink r:id="rId91" w:history="1">
        <w:r w:rsidRPr="0090056C">
          <w:rPr>
            <w:sz w:val="18"/>
            <w:szCs w:val="18"/>
          </w:rPr>
          <w:t>http://www.pmcm.es/</w:t>
        </w:r>
      </w:hyperlink>
    </w:p>
  </w:footnote>
  <w:footnote w:id="184">
    <w:p w14:paraId="42DFACD4" w14:textId="77777777" w:rsidR="00BC52A0" w:rsidRPr="0090056C" w:rsidRDefault="00BC52A0" w:rsidP="002F76D9">
      <w:pPr>
        <w:pStyle w:val="FootnoteText"/>
        <w:ind w:left="284" w:hanging="284"/>
        <w:jc w:val="left"/>
        <w:rPr>
          <w:i/>
          <w:iCs/>
          <w:color w:val="000000" w:themeColor="text1"/>
          <w:sz w:val="18"/>
          <w:szCs w:val="18"/>
        </w:rPr>
      </w:pPr>
      <w:r w:rsidRPr="0047091A">
        <w:rPr>
          <w:color w:val="337AB7"/>
          <w:sz w:val="18"/>
          <w:szCs w:val="18"/>
          <w:vertAlign w:val="superscript"/>
        </w:rPr>
        <w:footnoteRef/>
      </w:r>
      <w:r w:rsidRPr="0090056C">
        <w:rPr>
          <w:color w:val="337AB7"/>
          <w:sz w:val="18"/>
          <w:szCs w:val="18"/>
        </w:rPr>
        <w:t xml:space="preserve"> </w:t>
      </w:r>
      <w:r w:rsidRPr="0090056C">
        <w:rPr>
          <w:sz w:val="18"/>
          <w:szCs w:val="18"/>
        </w:rPr>
        <w:t xml:space="preserve">CGIA Mestre (Italy) </w:t>
      </w:r>
      <w:hyperlink r:id="rId92" w:history="1">
        <w:r w:rsidRPr="0090056C">
          <w:rPr>
            <w:sz w:val="18"/>
            <w:szCs w:val="18"/>
          </w:rPr>
          <w:t>http://www.cgiamestre.com/tag/ritardi-nei-pagamenti/</w:t>
        </w:r>
      </w:hyperlink>
    </w:p>
  </w:footnote>
  <w:footnote w:id="185">
    <w:p w14:paraId="65E24456" w14:textId="21A427B1" w:rsidR="00BC52A0" w:rsidRPr="0047091A" w:rsidRDefault="00BC52A0" w:rsidP="002F76D9">
      <w:pPr>
        <w:pStyle w:val="FootnoteText"/>
        <w:ind w:left="284" w:hanging="284"/>
        <w:jc w:val="left"/>
      </w:pPr>
      <w:r w:rsidRPr="0047091A">
        <w:rPr>
          <w:rStyle w:val="FootnoteReference"/>
        </w:rPr>
        <w:footnoteRef/>
      </w:r>
      <w:r w:rsidRPr="0047091A">
        <w:tab/>
      </w:r>
      <w:r w:rsidRPr="0047091A">
        <w:rPr>
          <w:color w:val="000000"/>
          <w:sz w:val="16"/>
          <w:szCs w:val="16"/>
        </w:rPr>
        <w:t>COM (2020) 103</w:t>
      </w:r>
      <w:r w:rsidR="0091653A" w:rsidRPr="0047091A">
        <w:rPr>
          <w:color w:val="000000"/>
          <w:sz w:val="16"/>
          <w:szCs w:val="16"/>
        </w:rPr>
        <w:t xml:space="preserve"> </w:t>
      </w:r>
      <w:r w:rsidRPr="0047091A">
        <w:rPr>
          <w:color w:val="000000"/>
          <w:sz w:val="16"/>
          <w:szCs w:val="16"/>
        </w:rPr>
        <w:t>- An SME Strategy for a sustainable and digital Europe</w:t>
      </w:r>
    </w:p>
  </w:footnote>
  <w:footnote w:id="186">
    <w:p w14:paraId="47FF0240" w14:textId="217021E6" w:rsidR="00BC52A0" w:rsidRPr="0047091A" w:rsidRDefault="00BC52A0">
      <w:pPr>
        <w:pStyle w:val="FootnoteText"/>
      </w:pPr>
      <w:r w:rsidRPr="0047091A">
        <w:rPr>
          <w:rStyle w:val="FootnoteReference"/>
        </w:rPr>
        <w:footnoteRef/>
      </w:r>
      <w:r w:rsidRPr="0047091A">
        <w:t xml:space="preserve"> </w:t>
      </w:r>
      <w:hyperlink r:id="rId93" w:history="1">
        <w:r w:rsidRPr="0047091A">
          <w:rPr>
            <w:rStyle w:val="Hyperlink"/>
          </w:rPr>
          <w:t>https://single-market-economy.ec.europa.eu/sectors/construction/observatory_en</w:t>
        </w:r>
      </w:hyperlink>
    </w:p>
  </w:footnote>
  <w:footnote w:id="187">
    <w:p w14:paraId="6357BD63" w14:textId="4B5C9E7A" w:rsidR="002265BC" w:rsidRPr="0047091A" w:rsidRDefault="00BC52A0" w:rsidP="00A75B30">
      <w:pPr>
        <w:pStyle w:val="FootnoteText"/>
        <w:ind w:left="284" w:hanging="284"/>
        <w:rPr>
          <w:color w:val="000000"/>
          <w:sz w:val="16"/>
          <w:szCs w:val="16"/>
        </w:rPr>
      </w:pPr>
      <w:r w:rsidRPr="0047091A">
        <w:rPr>
          <w:rStyle w:val="FootnoteReference"/>
        </w:rPr>
        <w:footnoteRef/>
      </w:r>
      <w:r w:rsidRPr="0047091A">
        <w:tab/>
      </w:r>
      <w:hyperlink r:id="rId94" w:history="1">
        <w:r w:rsidR="002265BC" w:rsidRPr="0047091A">
          <w:rPr>
            <w:rStyle w:val="Hyperlink"/>
          </w:rPr>
          <w:t>https://ec.europa.eu/commission/presscorner/detail/en/QANDA_21_1885</w:t>
        </w:r>
      </w:hyperlink>
      <w:r w:rsidR="002265BC" w:rsidRPr="0047091A">
        <w:rPr>
          <w:color w:val="000000"/>
          <w:sz w:val="16"/>
          <w:szCs w:val="16"/>
        </w:rPr>
        <w:t xml:space="preserve"> </w:t>
      </w:r>
    </w:p>
  </w:footnote>
  <w:footnote w:id="188">
    <w:p w14:paraId="0F33F5BA" w14:textId="5789378E" w:rsidR="002265BC" w:rsidRPr="0047091A" w:rsidRDefault="00BC52A0">
      <w:pPr>
        <w:pStyle w:val="FootnoteText"/>
      </w:pPr>
      <w:r w:rsidRPr="0047091A">
        <w:rPr>
          <w:rStyle w:val="FootnoteReference"/>
        </w:rPr>
        <w:footnoteRef/>
      </w:r>
      <w:r w:rsidRPr="0047091A">
        <w:t xml:space="preserve"> </w:t>
      </w:r>
      <w:hyperlink r:id="rId95" w:history="1">
        <w:r w:rsidR="002265BC" w:rsidRPr="0047091A">
          <w:rPr>
            <w:rStyle w:val="Hyperlink"/>
          </w:rPr>
          <w:t>https://www.boe.es/diario_boe/txt.php?id=BOE-A-2022-15818</w:t>
        </w:r>
      </w:hyperlink>
      <w:r w:rsidR="002265BC" w:rsidRPr="0047091A">
        <w:t xml:space="preserve"> </w:t>
      </w:r>
    </w:p>
  </w:footnote>
  <w:footnote w:id="189">
    <w:p w14:paraId="50C2209E" w14:textId="13C9CFC0" w:rsidR="00B6352C" w:rsidRPr="003932B0" w:rsidRDefault="00B6352C" w:rsidP="00B6352C">
      <w:pPr>
        <w:pStyle w:val="FootnoteText"/>
        <w:jc w:val="left"/>
        <w:rPr>
          <w:lang w:val="fr-BE"/>
        </w:rPr>
      </w:pPr>
      <w:r w:rsidRPr="0047091A">
        <w:rPr>
          <w:rStyle w:val="FootnoteReference"/>
        </w:rPr>
        <w:footnoteRef/>
      </w:r>
      <w:r w:rsidRPr="003932B0">
        <w:rPr>
          <w:lang w:val="fr-BE"/>
        </w:rPr>
        <w:t xml:space="preserve"> </w:t>
      </w:r>
      <w:r w:rsidRPr="003932B0">
        <w:rPr>
          <w:rStyle w:val="Hyperlink"/>
          <w:lang w:val="fr-BE"/>
        </w:rPr>
        <w:t xml:space="preserve">Directive 2011/07/EU: </w:t>
      </w:r>
      <w:hyperlink r:id="rId96" w:history="1">
        <w:r w:rsidRPr="003932B0">
          <w:rPr>
            <w:rStyle w:val="Hyperlink"/>
            <w:lang w:val="fr-BE"/>
          </w:rPr>
          <w:t>https://eur-lex.europa.eu/LexUriServ/LexUriServ.do?uri=OJ:L:2011:048:0001:0010:en:PDF</w:t>
        </w:r>
      </w:hyperlink>
    </w:p>
  </w:footnote>
  <w:footnote w:id="190">
    <w:p w14:paraId="59BB0115" w14:textId="02E8CCDE" w:rsidR="007A5E86" w:rsidRPr="003932B0" w:rsidRDefault="007A5E86">
      <w:pPr>
        <w:pStyle w:val="FootnoteText"/>
        <w:rPr>
          <w:lang w:val="fr-BE"/>
        </w:rPr>
      </w:pPr>
      <w:r w:rsidRPr="0047091A">
        <w:rPr>
          <w:rStyle w:val="FootnoteReference"/>
        </w:rPr>
        <w:footnoteRef/>
      </w:r>
      <w:r w:rsidRPr="003932B0">
        <w:rPr>
          <w:lang w:val="fr-BE"/>
        </w:rPr>
        <w:t xml:space="preserve"> Directive 2008/52/EC : </w:t>
      </w:r>
      <w:hyperlink r:id="rId97" w:history="1">
        <w:r w:rsidRPr="003932B0">
          <w:rPr>
            <w:rStyle w:val="Hyperlink"/>
            <w:lang w:val="fr-BE"/>
          </w:rPr>
          <w:t>https://eur-lex.europa.eu/legal-content/EN/ALL/?uri=celex%3A32008L0052</w:t>
        </w:r>
      </w:hyperlink>
    </w:p>
  </w:footnote>
  <w:footnote w:id="191">
    <w:p w14:paraId="0D645A8E" w14:textId="23B20573" w:rsidR="00BC52A0" w:rsidRPr="003932B0" w:rsidRDefault="00BC52A0" w:rsidP="007A5E86">
      <w:pPr>
        <w:pStyle w:val="FootnoteText"/>
        <w:jc w:val="left"/>
        <w:rPr>
          <w:color w:val="525E65"/>
          <w:sz w:val="18"/>
          <w:szCs w:val="18"/>
          <w:lang w:val="fr-BE"/>
        </w:rPr>
      </w:pPr>
      <w:r w:rsidRPr="0047091A">
        <w:rPr>
          <w:color w:val="525E65"/>
          <w:sz w:val="18"/>
          <w:szCs w:val="18"/>
        </w:rPr>
        <w:footnoteRef/>
      </w:r>
      <w:r w:rsidR="007A5E86" w:rsidRPr="003932B0">
        <w:rPr>
          <w:color w:val="525E65"/>
          <w:sz w:val="18"/>
          <w:szCs w:val="18"/>
          <w:lang w:val="fr-BE"/>
        </w:rPr>
        <w:t xml:space="preserve"> </w:t>
      </w:r>
      <w:r w:rsidR="007A5E86" w:rsidRPr="003932B0">
        <w:rPr>
          <w:lang w:val="fr-BE"/>
        </w:rPr>
        <w:t xml:space="preserve">EP Resolution “Combating Late Payments in commercial transactions” </w:t>
      </w:r>
      <w:hyperlink r:id="rId98" w:history="1">
        <w:r w:rsidR="007A5E86" w:rsidRPr="003932B0">
          <w:rPr>
            <w:color w:val="0000FF" w:themeColor="hyperlink"/>
            <w:u w:val="single"/>
            <w:lang w:val="fr-BE"/>
          </w:rPr>
          <w:t>https://www.europarl.europa.eu/doceo/document/TA-8-2019-0042_EN.html</w:t>
        </w:r>
      </w:hyperlink>
    </w:p>
    <w:p w14:paraId="043E61E9" w14:textId="77777777" w:rsidR="000C2F9F" w:rsidRPr="003932B0" w:rsidRDefault="000C2F9F" w:rsidP="00AF3009">
      <w:pPr>
        <w:pStyle w:val="FootnoteText"/>
        <w:rPr>
          <w:color w:val="525E65"/>
          <w:sz w:val="18"/>
          <w:szCs w:val="18"/>
          <w:lang w:val="fr-BE"/>
        </w:rPr>
      </w:pPr>
    </w:p>
    <w:p w14:paraId="5DF2AE55" w14:textId="77777777" w:rsidR="00BC52A0" w:rsidRPr="003932B0" w:rsidRDefault="00BC52A0" w:rsidP="00AF3009">
      <w:pPr>
        <w:pStyle w:val="FootnoteText"/>
        <w:rPr>
          <w:sz w:val="18"/>
          <w:szCs w:val="18"/>
          <w:lang w:val="fr-BE"/>
        </w:rPr>
      </w:pPr>
    </w:p>
  </w:footnote>
  <w:footnote w:id="192">
    <w:p w14:paraId="4216EE49" w14:textId="77777777" w:rsidR="00BC52A0" w:rsidRPr="0047091A" w:rsidRDefault="00BC52A0" w:rsidP="00AF3009">
      <w:pPr>
        <w:pStyle w:val="FootnoteText"/>
        <w:rPr>
          <w:sz w:val="18"/>
          <w:szCs w:val="18"/>
        </w:rPr>
      </w:pPr>
      <w:r w:rsidRPr="0047091A">
        <w:rPr>
          <w:rStyle w:val="FootnoteReference"/>
        </w:rPr>
        <w:footnoteRef/>
      </w:r>
      <w:r w:rsidRPr="0047091A">
        <w:rPr>
          <w:rStyle w:val="FootnoteReference"/>
        </w:rPr>
        <w:tab/>
      </w:r>
      <w:r w:rsidRPr="0047091A">
        <w:t>Directive 2011/7/EU on combating late payment in commercial transactions, adopted on 16 February 2011, recital 34.</w:t>
      </w:r>
    </w:p>
  </w:footnote>
  <w:footnote w:id="193">
    <w:p w14:paraId="04C04695" w14:textId="77777777" w:rsidR="00BC52A0" w:rsidRPr="0047091A" w:rsidRDefault="00BC52A0" w:rsidP="00AF3009">
      <w:pPr>
        <w:pStyle w:val="FootnoteText"/>
        <w:rPr>
          <w:sz w:val="18"/>
          <w:szCs w:val="18"/>
        </w:rPr>
      </w:pPr>
      <w:r w:rsidRPr="0047091A">
        <w:rPr>
          <w:rStyle w:val="FootnoteReference"/>
        </w:rPr>
        <w:footnoteRef/>
      </w:r>
      <w:r w:rsidRPr="0047091A">
        <w:rPr>
          <w:sz w:val="18"/>
          <w:szCs w:val="18"/>
        </w:rPr>
        <w:tab/>
      </w:r>
      <w:r w:rsidRPr="0047091A">
        <w:t>This included targeted interviews with stakeholders active in the ADR/Mediation sector, representatives of businesses and academics, a review of the existing literature on ADR/Mediation in commercial relationships, and a Targeted Consultation aimed at ADR/Mediation professionals. Milieu Consulting conducted a Targeted Consultation (TC) aimed at ADR/Mediation professionals in the European Union and in other neighbouring states (the UK) on the use of ADR/Mediation in B2B payment disputes. The targeted consultation results also suggest a strong effectiveness of ADR/Mediation in solving B2B payment disputes. To the question “What are the most common outcomes of payment disputes using ADR/Mediation?”, reaching a solution implemented by the parties was the most common outcome for 72% of respondents, while more than 88% reported that the most common outcome included the achievement of a solution (with or without knowledge of the implementation of the solution by the parties).</w:t>
      </w:r>
    </w:p>
  </w:footnote>
  <w:footnote w:id="194">
    <w:p w14:paraId="5F60705C" w14:textId="77777777" w:rsidR="00BC52A0" w:rsidRPr="0047091A" w:rsidRDefault="00BC52A0" w:rsidP="00AF3009">
      <w:pPr>
        <w:pStyle w:val="FootnoteText"/>
        <w:rPr>
          <w:color w:val="FF0000"/>
          <w:sz w:val="18"/>
          <w:szCs w:val="18"/>
        </w:rPr>
      </w:pPr>
      <w:r w:rsidRPr="0047091A">
        <w:rPr>
          <w:rStyle w:val="FootnoteReference"/>
        </w:rPr>
        <w:footnoteRef/>
      </w:r>
      <w:r w:rsidRPr="0047091A">
        <w:rPr>
          <w:sz w:val="18"/>
          <w:szCs w:val="18"/>
        </w:rPr>
        <w:tab/>
      </w:r>
      <w:r w:rsidRPr="0047091A">
        <w:t xml:space="preserve">European Commission, Directorate-General for Internal Market, Industry, Entrepreneurship and SMEs, Study on building a responsible payment culture in the EU : improving the effectiveness of the Late Payment Directive (2011/7/EU), Publications Office of the European Union, 2022, </w:t>
      </w:r>
      <w:hyperlink r:id="rId99" w:history="1">
        <w:r w:rsidRPr="0047091A">
          <w:rPr>
            <w:rStyle w:val="Hyperlink"/>
          </w:rPr>
          <w:t>https://data.europa.eu/doi/10.2873/34185</w:t>
        </w:r>
      </w:hyperlink>
    </w:p>
  </w:footnote>
  <w:footnote w:id="195">
    <w:p w14:paraId="11C35609" w14:textId="01E852EB" w:rsidR="00BC52A0" w:rsidRPr="0047091A" w:rsidRDefault="00BC52A0" w:rsidP="00AF3009">
      <w:pPr>
        <w:pStyle w:val="FootnoteText"/>
      </w:pPr>
      <w:r w:rsidRPr="0047091A">
        <w:rPr>
          <w:rStyle w:val="FootnoteReference"/>
        </w:rPr>
        <w:footnoteRef/>
      </w:r>
      <w:r w:rsidRPr="0047091A">
        <w:rPr>
          <w:rStyle w:val="FootnoteReference"/>
        </w:rPr>
        <w:t xml:space="preserve"> </w:t>
      </w:r>
      <w:r w:rsidR="00D275C8" w:rsidRPr="0047091A">
        <w:t xml:space="preserve">Business-to-business transactions: a comparative analysis of legal measures vs. soft-law instruments for improving payment behaviour </w:t>
      </w:r>
      <w:hyperlink r:id="rId100" w:history="1">
        <w:r w:rsidR="00D275C8" w:rsidRPr="0047091A">
          <w:rPr>
            <w:color w:val="0000FF" w:themeColor="hyperlink"/>
            <w:u w:val="single"/>
          </w:rPr>
          <w:t>https://publications.europa.eu/en/publication-detail/-/publication/c8b7391b-9b80-11e8-a408-01aa75ed71a1/language-en/format-PDF/source-103408786</w:t>
        </w:r>
      </w:hyperlink>
      <w:r w:rsidR="00D275C8" w:rsidRPr="0047091A">
        <w:rPr>
          <w:color w:val="0000FF" w:themeColor="hyperlink"/>
          <w:u w:val="single"/>
        </w:rPr>
        <w:t xml:space="preserve"> </w:t>
      </w:r>
      <w:r w:rsidR="00D275C8" w:rsidRPr="0047091A">
        <w:rPr>
          <w:color w:val="000000" w:themeColor="text1"/>
        </w:rPr>
        <w:t>- page 10</w:t>
      </w:r>
    </w:p>
  </w:footnote>
  <w:footnote w:id="196">
    <w:p w14:paraId="48CED7E1" w14:textId="35D2D979" w:rsidR="00F2281B" w:rsidRPr="0047091A" w:rsidRDefault="00F2281B">
      <w:pPr>
        <w:pStyle w:val="FootnoteText"/>
      </w:pPr>
      <w:r w:rsidRPr="0047091A">
        <w:rPr>
          <w:rStyle w:val="FootnoteReference"/>
        </w:rPr>
        <w:footnoteRef/>
      </w:r>
      <w:r w:rsidRPr="0047091A">
        <w:t xml:space="preserve"> DGCCCRF is also in charge of (a) detecting anticompetition and unfair practices and agreements, (b) ensuring correct behaviour of contracting authorities in public procurement, (c) consumer protection (safety and economic interests)</w:t>
      </w:r>
    </w:p>
  </w:footnote>
  <w:footnote w:id="197">
    <w:p w14:paraId="2CBB9D9F" w14:textId="77777777" w:rsidR="00BC52A0" w:rsidRPr="0047091A" w:rsidRDefault="00BC52A0" w:rsidP="00AB10E5">
      <w:pPr>
        <w:pStyle w:val="Default"/>
        <w:rPr>
          <w:rStyle w:val="Hyperlink"/>
          <w:rFonts w:eastAsiaTheme="minorEastAsia" w:cs="@Yu Mincho Light"/>
          <w:color w:val="auto"/>
          <w:sz w:val="20"/>
        </w:rPr>
      </w:pPr>
      <w:r w:rsidRPr="0047091A">
        <w:rPr>
          <w:rStyle w:val="FootnoteReference"/>
          <w:sz w:val="18"/>
          <w:szCs w:val="18"/>
        </w:rPr>
        <w:footnoteRef/>
      </w:r>
      <w:r w:rsidRPr="0047091A">
        <w:rPr>
          <w:sz w:val="18"/>
          <w:szCs w:val="18"/>
        </w:rPr>
        <w:t xml:space="preserve"> </w:t>
      </w:r>
      <w:r w:rsidRPr="0047091A">
        <w:rPr>
          <w:rStyle w:val="Hyperlink"/>
          <w:rFonts w:eastAsiaTheme="minorEastAsia" w:cs="@Yu Mincho Light"/>
          <w:color w:val="auto"/>
          <w:sz w:val="18"/>
          <w:szCs w:val="18"/>
        </w:rPr>
        <w:t>https://www.economie.gouv.fr/dgccrf/sanctions-delais-paiement#:~:text=L'article%20L.,euros%20pour%20une%20personne%20morale</w:t>
      </w:r>
      <w:r w:rsidRPr="0047091A">
        <w:rPr>
          <w:rStyle w:val="Hyperlink"/>
          <w:rFonts w:eastAsiaTheme="minorEastAsia" w:cs="@Yu Mincho Light"/>
          <w:color w:val="auto"/>
          <w:sz w:val="20"/>
        </w:rPr>
        <w:t>.</w:t>
      </w:r>
    </w:p>
  </w:footnote>
  <w:footnote w:id="198">
    <w:p w14:paraId="349AA2AC" w14:textId="77777777" w:rsidR="00BC52A0" w:rsidRPr="00F867B4" w:rsidRDefault="00BC52A0" w:rsidP="00AB10E5">
      <w:pPr>
        <w:pStyle w:val="Default"/>
        <w:rPr>
          <w:lang w:val="fr-BE"/>
        </w:rPr>
      </w:pPr>
      <w:r w:rsidRPr="0047091A">
        <w:rPr>
          <w:rStyle w:val="FootnoteReference"/>
        </w:rPr>
        <w:footnoteRef/>
      </w:r>
      <w:r w:rsidRPr="00F867B4">
        <w:rPr>
          <w:lang w:val="fr-BE"/>
        </w:rPr>
        <w:t xml:space="preserve"> </w:t>
      </w:r>
      <w:r w:rsidRPr="00F867B4">
        <w:rPr>
          <w:rStyle w:val="Hyperlink"/>
          <w:rFonts w:eastAsiaTheme="minorEastAsia" w:cs="Times New Roman"/>
          <w:sz w:val="20"/>
          <w:szCs w:val="20"/>
          <w:lang w:val="fr-BE"/>
        </w:rPr>
        <w:t>Loi n° 2016-1691 du 9 décembre 2016 relative à la transparence, à la lutte contre la corruption et à la modernisation de la vie économique</w:t>
      </w:r>
      <w:r w:rsidRPr="00F867B4">
        <w:rPr>
          <w:color w:val="auto"/>
          <w:sz w:val="18"/>
          <w:szCs w:val="18"/>
          <w:lang w:val="fr-BE"/>
        </w:rPr>
        <w:t xml:space="preserve"> </w:t>
      </w:r>
    </w:p>
  </w:footnote>
  <w:footnote w:id="199">
    <w:p w14:paraId="2B5F6605" w14:textId="77777777" w:rsidR="00BC52A0" w:rsidRPr="00F867B4" w:rsidRDefault="00BC52A0" w:rsidP="00AB10E5">
      <w:pPr>
        <w:pStyle w:val="FootnoteText"/>
        <w:rPr>
          <w:lang w:val="fr-BE"/>
        </w:rPr>
      </w:pPr>
      <w:r w:rsidRPr="0047091A">
        <w:rPr>
          <w:rStyle w:val="FootnoteReference"/>
        </w:rPr>
        <w:footnoteRef/>
      </w:r>
      <w:r w:rsidRPr="00F867B4">
        <w:rPr>
          <w:lang w:val="fr-BE"/>
        </w:rPr>
        <w:t xml:space="preserve"> </w:t>
      </w:r>
      <w:hyperlink r:id="rId101" w:history="1">
        <w:r w:rsidRPr="00F867B4">
          <w:rPr>
            <w:rStyle w:val="Hyperlink"/>
            <w:lang w:val="fr-BE"/>
          </w:rPr>
          <w:t>https://www.economie.gouv.fr/dgccrf/coordonnees-des-DREETS-DRIEETS</w:t>
        </w:r>
      </w:hyperlink>
    </w:p>
    <w:p w14:paraId="05D996E0" w14:textId="77777777" w:rsidR="00BC52A0" w:rsidRPr="00F867B4" w:rsidRDefault="00BC129D" w:rsidP="00AB10E5">
      <w:pPr>
        <w:pStyle w:val="FootnoteText"/>
        <w:rPr>
          <w:lang w:val="fr-BE"/>
        </w:rPr>
      </w:pPr>
      <w:hyperlink r:id="rId102" w:history="1">
        <w:r w:rsidR="00BC52A0" w:rsidRPr="00F867B4">
          <w:rPr>
            <w:rStyle w:val="Hyperlink"/>
            <w:lang w:val="fr-BE"/>
          </w:rPr>
          <w:t>https://www.economie.gouv.fr/dgccrf/coordonnees-des-DDPP-et-DDETSPP</w:t>
        </w:r>
      </w:hyperlink>
    </w:p>
    <w:p w14:paraId="077DC6AD" w14:textId="77777777" w:rsidR="00BC52A0" w:rsidRPr="00F867B4" w:rsidRDefault="00BC129D" w:rsidP="00AB10E5">
      <w:pPr>
        <w:pStyle w:val="FootnoteText"/>
        <w:rPr>
          <w:lang w:val="fr-BE"/>
        </w:rPr>
      </w:pPr>
      <w:hyperlink r:id="rId103" w:history="1">
        <w:r w:rsidR="00BC52A0" w:rsidRPr="00F867B4">
          <w:rPr>
            <w:rStyle w:val="Hyperlink"/>
            <w:lang w:val="fr-BE"/>
          </w:rPr>
          <w:t>https://hauts-de-france.dreets.gouv.fr/Controle-des-delais-de-paiement-interprofessionnels-dans-les-Hauts-de-France</w:t>
        </w:r>
      </w:hyperlink>
    </w:p>
  </w:footnote>
  <w:footnote w:id="200">
    <w:p w14:paraId="7F3B9045" w14:textId="77777777" w:rsidR="00BC52A0" w:rsidRPr="00F867B4" w:rsidRDefault="00BC52A0" w:rsidP="00AB10E5">
      <w:pPr>
        <w:spacing w:after="0"/>
        <w:rPr>
          <w:rStyle w:val="Hyperlink"/>
          <w:rFonts w:eastAsiaTheme="minorEastAsia"/>
          <w:sz w:val="20"/>
          <w:lang w:val="fr-BE"/>
        </w:rPr>
      </w:pPr>
      <w:r w:rsidRPr="0047091A">
        <w:rPr>
          <w:rStyle w:val="FootnoteReference"/>
        </w:rPr>
        <w:footnoteRef/>
      </w:r>
      <w:r w:rsidRPr="00F867B4">
        <w:rPr>
          <w:lang w:val="fr-BE"/>
        </w:rPr>
        <w:t xml:space="preserve"> </w:t>
      </w:r>
      <w:hyperlink r:id="rId104" w:history="1">
        <w:r w:rsidRPr="00F867B4">
          <w:rPr>
            <w:rStyle w:val="Hyperlink"/>
            <w:rFonts w:eastAsiaTheme="minorEastAsia"/>
            <w:sz w:val="20"/>
            <w:lang w:val="fr-BE"/>
          </w:rPr>
          <w:t>https://www.economie.gouv.fr/files/2021-05/controles-dgccrf-pouvoirs-enquete-sanction_0.pdf</w:t>
        </w:r>
      </w:hyperlink>
    </w:p>
    <w:p w14:paraId="2B1A9477" w14:textId="77777777" w:rsidR="00BC52A0" w:rsidRPr="00F867B4" w:rsidRDefault="00BC129D" w:rsidP="00AB10E5">
      <w:pPr>
        <w:pStyle w:val="FootnoteText"/>
        <w:rPr>
          <w:lang w:val="fr-BE"/>
        </w:rPr>
      </w:pPr>
      <w:hyperlink r:id="rId105" w:history="1">
        <w:r w:rsidR="00BC52A0" w:rsidRPr="00F867B4">
          <w:rPr>
            <w:rStyle w:val="Hyperlink"/>
            <w:lang w:val="fr-BE"/>
          </w:rPr>
          <w:t>https://www.berton-associes.fr/blog/droit-des-affaires/controles-de-la-repression-des-fraudes-dgccrf/</w:t>
        </w:r>
      </w:hyperlink>
    </w:p>
  </w:footnote>
  <w:footnote w:id="201">
    <w:p w14:paraId="35BE5433" w14:textId="77777777" w:rsidR="00BC52A0" w:rsidRPr="00F867B4" w:rsidRDefault="00BC52A0" w:rsidP="00AB10E5">
      <w:pPr>
        <w:pStyle w:val="FootnoteText"/>
        <w:rPr>
          <w:lang w:val="fr-BE"/>
        </w:rPr>
      </w:pPr>
      <w:r w:rsidRPr="0047091A">
        <w:rPr>
          <w:rStyle w:val="FootnoteReference"/>
        </w:rPr>
        <w:footnoteRef/>
      </w:r>
      <w:r w:rsidRPr="00F867B4">
        <w:rPr>
          <w:lang w:val="fr-BE"/>
        </w:rPr>
        <w:t xml:space="preserve"> </w:t>
      </w:r>
      <w:hyperlink r:id="rId106" w:history="1">
        <w:r w:rsidRPr="00F867B4">
          <w:rPr>
            <w:rStyle w:val="Hyperlink"/>
            <w:lang w:val="fr-BE"/>
          </w:rPr>
          <w:t>https://www.economie.gouv.fr/files/2022-07/ra-dgccrf-21-digital.pdf?v=1669741133</w:t>
        </w:r>
      </w:hyperlink>
    </w:p>
  </w:footnote>
  <w:footnote w:id="202">
    <w:p w14:paraId="61B1007E" w14:textId="77777777" w:rsidR="00BC52A0" w:rsidRPr="0047091A" w:rsidRDefault="00BC52A0" w:rsidP="00AB10E5">
      <w:pPr>
        <w:pStyle w:val="FootnoteText"/>
      </w:pPr>
      <w:r w:rsidRPr="0047091A">
        <w:rPr>
          <w:rStyle w:val="FootnoteReference"/>
        </w:rPr>
        <w:footnoteRef/>
      </w:r>
      <w:r w:rsidRPr="0047091A">
        <w:t xml:space="preserve"> Information provided by DGCCRF to the Commission services via the Late Payment Expert Group. </w:t>
      </w:r>
    </w:p>
  </w:footnote>
  <w:footnote w:id="203">
    <w:p w14:paraId="5E6CC50D" w14:textId="4FB675BC" w:rsidR="00BC52A0" w:rsidRPr="00F949A3" w:rsidRDefault="00BC52A0" w:rsidP="00AB10E5">
      <w:pPr>
        <w:pStyle w:val="FootnoteText"/>
        <w:rPr>
          <w:rStyle w:val="Hyperlink"/>
          <w:lang w:val="es-ES"/>
        </w:rPr>
      </w:pPr>
      <w:r w:rsidRPr="0047091A">
        <w:rPr>
          <w:rStyle w:val="FootnoteReference"/>
        </w:rPr>
        <w:footnoteRef/>
      </w:r>
      <w:r w:rsidRPr="00F949A3">
        <w:rPr>
          <w:lang w:val="es-ES"/>
        </w:rPr>
        <w:t xml:space="preserve"> Ley 13/2021 de Ordenación de los Transportes Terrestres,</w:t>
      </w:r>
      <w:r w:rsidR="0091653A" w:rsidRPr="00F949A3">
        <w:rPr>
          <w:lang w:val="es-ES"/>
        </w:rPr>
        <w:t xml:space="preserve"> </w:t>
      </w:r>
      <w:hyperlink r:id="rId107" w:history="1">
        <w:r w:rsidRPr="00F949A3">
          <w:rPr>
            <w:rStyle w:val="Hyperlink"/>
            <w:lang w:val="es-ES"/>
          </w:rPr>
          <w:t>https://www.boe.es/buscar/act.php?id=BOE-A-2021-16029</w:t>
        </w:r>
      </w:hyperlink>
    </w:p>
  </w:footnote>
  <w:footnote w:id="204">
    <w:p w14:paraId="0DD0776A" w14:textId="77777777" w:rsidR="00BC52A0" w:rsidRPr="00F949A3" w:rsidRDefault="00BC52A0" w:rsidP="00AB10E5">
      <w:pPr>
        <w:pStyle w:val="FootnoteText"/>
        <w:rPr>
          <w:rStyle w:val="Hyperlink"/>
          <w:lang w:val="es-ES"/>
        </w:rPr>
      </w:pPr>
      <w:r w:rsidRPr="0047091A">
        <w:footnoteRef/>
      </w:r>
      <w:r w:rsidRPr="00F949A3">
        <w:rPr>
          <w:lang w:val="es-ES"/>
        </w:rPr>
        <w:t xml:space="preserve"> Law 3/2004 por la que se establecen medidas de lucha contra la morosidad en las operaciones comerciales. </w:t>
      </w:r>
      <w:r w:rsidRPr="00F949A3">
        <w:rPr>
          <w:rStyle w:val="Hyperlink"/>
          <w:lang w:val="es-ES"/>
        </w:rPr>
        <w:t>https://www.boe.es/eli/es/l/2004/12/29/3/con</w:t>
      </w:r>
    </w:p>
    <w:p w14:paraId="1181E25F" w14:textId="77777777" w:rsidR="00BC52A0" w:rsidRPr="00F949A3" w:rsidRDefault="00BC52A0" w:rsidP="00AB10E5">
      <w:pPr>
        <w:pStyle w:val="FootnoteText"/>
        <w:rPr>
          <w:rStyle w:val="Hyperlink"/>
          <w:lang w:val="es-ES"/>
        </w:rPr>
      </w:pPr>
    </w:p>
  </w:footnote>
  <w:footnote w:id="205">
    <w:p w14:paraId="3ED60737" w14:textId="77777777" w:rsidR="00BC52A0" w:rsidRPr="00F949A3" w:rsidRDefault="00BC52A0" w:rsidP="00AB10E5">
      <w:pPr>
        <w:pStyle w:val="FootnoteText"/>
        <w:rPr>
          <w:lang w:val="es-ES"/>
        </w:rPr>
      </w:pPr>
      <w:r w:rsidRPr="0047091A">
        <w:rPr>
          <w:rStyle w:val="FootnoteReference"/>
        </w:rPr>
        <w:footnoteRef/>
      </w:r>
      <w:r w:rsidRPr="00F949A3">
        <w:rPr>
          <w:lang w:val="es-ES"/>
        </w:rPr>
        <w:t xml:space="preserve"> </w:t>
      </w:r>
      <w:hyperlink r:id="rId108" w:history="1">
        <w:r w:rsidRPr="00F949A3">
          <w:rPr>
            <w:rStyle w:val="Hyperlink"/>
            <w:lang w:val="es-ES"/>
          </w:rPr>
          <w:t>https://www.mitma.gob.es/el-ministerio/sala-de-prensa/noticias/jue-01122022-0944</w:t>
        </w:r>
      </w:hyperlink>
    </w:p>
    <w:p w14:paraId="33DFA55E" w14:textId="77777777" w:rsidR="00BC52A0" w:rsidRPr="00F949A3" w:rsidRDefault="00BC52A0" w:rsidP="00AB10E5">
      <w:pPr>
        <w:pStyle w:val="FootnoteText"/>
        <w:rPr>
          <w:lang w:val="es-ES"/>
        </w:rPr>
      </w:pPr>
    </w:p>
  </w:footnote>
  <w:footnote w:id="206">
    <w:p w14:paraId="11BC3635" w14:textId="3044BAD9" w:rsidR="00BC52A0" w:rsidRPr="0047091A" w:rsidRDefault="00BC52A0" w:rsidP="00C92FC5">
      <w:pPr>
        <w:pStyle w:val="FootnoteText"/>
      </w:pPr>
      <w:r w:rsidRPr="0047091A">
        <w:rPr>
          <w:rStyle w:val="FootnoteReference"/>
        </w:rPr>
        <w:footnoteRef/>
      </w:r>
      <w:r w:rsidRPr="0047091A">
        <w:t xml:space="preserve"> Swai, L., Arewa, A. and Ugulu, R. A. 2020. </w:t>
      </w:r>
      <w:hyperlink r:id="rId109" w:history="1">
        <w:r w:rsidRPr="0047091A">
          <w:rPr>
            <w:rStyle w:val="Hyperlink"/>
            <w:i/>
          </w:rPr>
          <w:t>Unfair Payment Issues in Construction: Re-thinking Alternative Payment Method for Tier-1 Contractors to Subcontractors</w:t>
        </w:r>
      </w:hyperlink>
      <w:r w:rsidRPr="0047091A">
        <w:t>. International Conference on Civil Infrastructure and Construction (CIC2020).</w:t>
      </w:r>
    </w:p>
  </w:footnote>
  <w:footnote w:id="207">
    <w:p w14:paraId="7C784EB7" w14:textId="77777777" w:rsidR="00BC52A0" w:rsidRPr="0047091A" w:rsidRDefault="00BC52A0" w:rsidP="00C92FC5">
      <w:pPr>
        <w:pStyle w:val="FootnoteText"/>
      </w:pPr>
      <w:r w:rsidRPr="0047091A">
        <w:rPr>
          <w:rStyle w:val="FootnoteReference"/>
        </w:rPr>
        <w:footnoteRef/>
      </w:r>
      <w:r w:rsidRPr="0047091A">
        <w:t xml:space="preserve"> Information provided to the Commission services by SME United and national business associations in the Member States: UNIZO (Belgium), PIMEC (Spain), Plataforma Multisectorial contra la Morosidad (Spain), ANCE (Italy) </w:t>
      </w:r>
    </w:p>
  </w:footnote>
  <w:footnote w:id="208">
    <w:p w14:paraId="2E70BCEA" w14:textId="77777777" w:rsidR="00BC52A0" w:rsidRPr="0047091A" w:rsidRDefault="00BC52A0" w:rsidP="00C92FC5">
      <w:pPr>
        <w:pStyle w:val="FootnoteText"/>
      </w:pPr>
      <w:r w:rsidRPr="0047091A">
        <w:rPr>
          <w:rStyle w:val="FootnoteReference"/>
        </w:rPr>
        <w:footnoteRef/>
      </w:r>
      <w:r w:rsidRPr="0047091A">
        <w:t xml:space="preserve"> </w:t>
      </w:r>
      <w:hyperlink r:id="rId110" w:history="1">
        <w:r w:rsidRPr="0047091A">
          <w:rPr>
            <w:rStyle w:val="Hyperlink"/>
          </w:rPr>
          <w:t>https://www.law.kuleuven.be/personal/mstorme/european-private-law_en.pdf</w:t>
        </w:r>
      </w:hyperlink>
      <w:r w:rsidRPr="0047091A">
        <w:t xml:space="preserve">, </w:t>
      </w:r>
    </w:p>
    <w:p w14:paraId="360C2F5B" w14:textId="77777777" w:rsidR="00BC52A0" w:rsidRPr="0047091A" w:rsidRDefault="00BC129D" w:rsidP="00C92FC5">
      <w:pPr>
        <w:pStyle w:val="FootnoteText"/>
        <w:rPr>
          <w:rStyle w:val="Hyperlink"/>
        </w:rPr>
      </w:pPr>
      <w:hyperlink r:id="rId111">
        <w:r w:rsidR="00BC52A0" w:rsidRPr="0047091A">
          <w:rPr>
            <w:rStyle w:val="Hyperlink"/>
          </w:rPr>
          <w:t>https://assets.publishing.service.gov.uk/government/uploads/system/uploads/attachment_data/file/436040/bis-15-248-challenging-grossly-unfair-payment-terms-and-practices-summary-of-responses.pdf</w:t>
        </w:r>
      </w:hyperlink>
    </w:p>
    <w:p w14:paraId="0C818171" w14:textId="77777777" w:rsidR="00BC52A0" w:rsidRPr="0047091A" w:rsidRDefault="00BC129D" w:rsidP="00C92FC5">
      <w:pPr>
        <w:pStyle w:val="FootnoteText"/>
      </w:pPr>
      <w:hyperlink r:id="rId112" w:history="1">
        <w:r w:rsidR="00BC52A0" w:rsidRPr="0047091A">
          <w:rPr>
            <w:rStyle w:val="Hyperlink"/>
          </w:rPr>
          <w:t>https://assets.publishing.service.gov.uk/government/uploads/system/uploads/attachment_data/file/745639/creating-a-responsible-payment-culture-call-for-evidence.pdf</w:t>
        </w:r>
      </w:hyperlink>
    </w:p>
    <w:p w14:paraId="5F4F752F" w14:textId="77777777" w:rsidR="00BC52A0" w:rsidRPr="0047091A" w:rsidRDefault="00BC129D" w:rsidP="00C92FC5">
      <w:pPr>
        <w:pStyle w:val="FootnoteText"/>
      </w:pPr>
      <w:hyperlink r:id="rId113">
        <w:r w:rsidR="00BC52A0" w:rsidRPr="0047091A">
          <w:rPr>
            <w:rStyle w:val="Hyperlink"/>
          </w:rPr>
          <w:t>https://www.economie.gouv.fr/files/directions_services/cepc/etude0902051.pdf</w:t>
        </w:r>
      </w:hyperlink>
    </w:p>
    <w:p w14:paraId="064F8191" w14:textId="77777777" w:rsidR="00BC52A0" w:rsidRPr="0047091A" w:rsidRDefault="00BC129D" w:rsidP="00C92FC5">
      <w:pPr>
        <w:pStyle w:val="FootnoteText"/>
        <w:rPr>
          <w:rStyle w:val="Hyperlink"/>
        </w:rPr>
      </w:pPr>
      <w:hyperlink r:id="rId114">
        <w:r w:rsidR="00BC52A0" w:rsidRPr="0047091A">
          <w:rPr>
            <w:rStyle w:val="Hyperlink"/>
          </w:rPr>
          <w:t>https://www.lexpress.fr/entrepreneurs/gestion-fiscalite/retard-de-paiement-les-faux-pretextes-et-comment-s-en-proteger_1518967.html</w:t>
        </w:r>
      </w:hyperlink>
    </w:p>
    <w:p w14:paraId="332A43F6" w14:textId="77777777" w:rsidR="00BC52A0" w:rsidRPr="0047091A" w:rsidRDefault="00BC129D" w:rsidP="00C92FC5">
      <w:pPr>
        <w:pStyle w:val="FootnoteText"/>
      </w:pPr>
      <w:hyperlink r:id="rId115" w:history="1">
        <w:r w:rsidR="00BC52A0" w:rsidRPr="0047091A">
          <w:rPr>
            <w:rStyle w:val="Hyperlink"/>
          </w:rPr>
          <w:t>https://www.keglerbrown.com/content/uploads/2019/10/Contingent-Payment-Clauses-in-the-50-States-2020.pdf</w:t>
        </w:r>
      </w:hyperlink>
    </w:p>
    <w:p w14:paraId="777DF541" w14:textId="77777777" w:rsidR="00BC52A0" w:rsidRPr="0047091A" w:rsidRDefault="00BC52A0" w:rsidP="00C92FC5">
      <w:pPr>
        <w:pStyle w:val="FootnoteText"/>
      </w:pPr>
      <w:r w:rsidRPr="0047091A">
        <w:t xml:space="preserve">Omotayo, TS and Danvers-Watson, O and Oyegoke, AS, 2022 </w:t>
      </w:r>
      <w:r w:rsidRPr="0047091A">
        <w:rPr>
          <w:i/>
        </w:rPr>
        <w:t>Subcontractor trust issues on payment and valuation practices in UK private projects.</w:t>
      </w:r>
      <w:r w:rsidRPr="0047091A">
        <w:t xml:space="preserve"> Journal of Financial Management of Property and Construction. </w:t>
      </w:r>
    </w:p>
  </w:footnote>
  <w:footnote w:id="209">
    <w:p w14:paraId="3636A3FE" w14:textId="77777777" w:rsidR="00BC52A0" w:rsidRPr="0047091A" w:rsidRDefault="00BC52A0" w:rsidP="00C92FC5">
      <w:pPr>
        <w:pStyle w:val="FootnoteText"/>
      </w:pPr>
      <w:r w:rsidRPr="0047091A">
        <w:rPr>
          <w:rStyle w:val="FootnoteReference"/>
        </w:rPr>
        <w:footnoteRef/>
      </w:r>
      <w:r w:rsidRPr="0047091A">
        <w:t xml:space="preserve"> EBC (European Builders’ Confederation) - Call for Evidence Feedback: </w:t>
      </w:r>
      <w:r w:rsidRPr="0047091A">
        <w:rPr>
          <w:rFonts w:ascii="Arial" w:hAnsi="Arial" w:cs="Arial"/>
          <w:color w:val="333333"/>
          <w:sz w:val="21"/>
          <w:szCs w:val="21"/>
          <w:shd w:val="clear" w:color="auto" w:fill="FFFFFF"/>
        </w:rPr>
        <w:t>F3389200</w:t>
      </w:r>
    </w:p>
  </w:footnote>
  <w:footnote w:id="210">
    <w:p w14:paraId="693E17F8" w14:textId="77777777" w:rsidR="00BC52A0" w:rsidRPr="0047091A" w:rsidRDefault="00BC52A0" w:rsidP="00C92FC5">
      <w:pPr>
        <w:pStyle w:val="FootnoteText"/>
      </w:pPr>
      <w:r w:rsidRPr="0047091A">
        <w:rPr>
          <w:rStyle w:val="FootnoteReference"/>
        </w:rPr>
        <w:footnoteRef/>
      </w:r>
      <w:r w:rsidRPr="0047091A">
        <w:t xml:space="preserve"> The LPD explicitly prohibits this practice in G2B transactions (Article 4(3) (b) of the LPD). Nevertheless, despite the prohibition, this practice is quite common – see ANCE : Osservatorio Congiunturale pagamenti della PA, 2018</w:t>
      </w:r>
    </w:p>
  </w:footnote>
  <w:footnote w:id="211">
    <w:p w14:paraId="0E2A76FD" w14:textId="77777777" w:rsidR="00BC52A0" w:rsidRPr="0047091A" w:rsidRDefault="00BC52A0" w:rsidP="00C92FC5">
      <w:pPr>
        <w:pStyle w:val="FootnoteText"/>
      </w:pPr>
      <w:r w:rsidRPr="0047091A">
        <w:rPr>
          <w:rStyle w:val="FootnoteReference"/>
        </w:rPr>
        <w:footnoteRef/>
      </w:r>
      <w:r w:rsidRPr="0047091A">
        <w:t xml:space="preserve"> The practice of “</w:t>
      </w:r>
      <w:r w:rsidRPr="0047091A">
        <w:rPr>
          <w:i/>
        </w:rPr>
        <w:t>confirming con anticipo obligatorio</w:t>
      </w:r>
      <w:r w:rsidRPr="0047091A">
        <w:t xml:space="preserve">” in payments B2B in Spain </w:t>
      </w:r>
      <w:hyperlink r:id="rId116" w:history="1">
        <w:r w:rsidRPr="0047091A">
          <w:rPr>
            <w:rStyle w:val="Hyperlink"/>
            <w:szCs w:val="24"/>
          </w:rPr>
          <w:t>http://www.pmcm.es/blog/post/pmcm-denuncia-nueva-modalidad-de-confirming-anticipo-obligatorio-que-elude-las-obligaciones-de-pago-a-proveedores</w:t>
        </w:r>
      </w:hyperlink>
    </w:p>
    <w:p w14:paraId="0E237EFC" w14:textId="77777777" w:rsidR="00BC52A0" w:rsidRPr="0047091A" w:rsidRDefault="00BC129D" w:rsidP="00C92FC5">
      <w:pPr>
        <w:pStyle w:val="FootnoteText"/>
      </w:pPr>
      <w:hyperlink r:id="rId117" w:history="1">
        <w:r w:rsidR="00BC52A0" w:rsidRPr="0047091A">
          <w:rPr>
            <w:rStyle w:val="Hyperlink"/>
          </w:rPr>
          <w:t>https://pmcm.es/la-pmcm-constata-un-abuso-del-confirming-por-parte-de-las-companias-espanolas/</w:t>
        </w:r>
      </w:hyperlink>
    </w:p>
    <w:p w14:paraId="02CB506F" w14:textId="26C777ED" w:rsidR="00BC52A0" w:rsidRPr="0047091A" w:rsidRDefault="00BC52A0" w:rsidP="00C92FC5">
      <w:pPr>
        <w:pStyle w:val="FootnoteText"/>
      </w:pPr>
      <w:r w:rsidRPr="0047091A">
        <w:t>In these cases, a financial institution (e.g. a bank, instructed by the debtor) is in charge of managing and paying the invoices of the debtor. However, the creditor, in order to claim its payment to the financial institution within the deadline agreed with the debtor, has to pay excessive fees or discounts. These fees diminish progressively in time: the later the creditor claims its payment, the lesser the fees or discounts to be paid. The effect of this practice is negative under two points of view:</w:t>
      </w:r>
      <w:r w:rsidR="0091653A" w:rsidRPr="0047091A">
        <w:t xml:space="preserve"> </w:t>
      </w:r>
      <w:r w:rsidRPr="0047091A">
        <w:t>1)</w:t>
      </w:r>
      <w:r w:rsidR="0091653A" w:rsidRPr="0047091A">
        <w:t xml:space="preserve"> </w:t>
      </w:r>
      <w:r w:rsidRPr="0047091A">
        <w:t>Payment periods are extended inordinately ( see</w:t>
      </w:r>
      <w:r w:rsidR="0091653A" w:rsidRPr="0047091A">
        <w:t xml:space="preserve"> </w:t>
      </w:r>
      <w:r w:rsidRPr="0047091A">
        <w:t xml:space="preserve">Call for Evidence, Feedback reference: F3386750) - A payment negotiated at 60 days in reality is paid after 120 or even 240 days ( 4 times more the agreed payment term). 2) In the accounts of the debtor, the invoice appears as having been paid the moment the “confirming” or the instruction to the financial institution has been made. In this way the debt is not detected in any statistics or calculation of average payment periods, or reporting. Furthermore, in the debtor’s balance, these operations are not even considered as “financial debt”. </w:t>
      </w:r>
    </w:p>
  </w:footnote>
  <w:footnote w:id="212">
    <w:p w14:paraId="4CD95F5B" w14:textId="77777777" w:rsidR="00BC52A0" w:rsidRPr="0047091A" w:rsidRDefault="00BC52A0" w:rsidP="00C92FC5">
      <w:pPr>
        <w:pStyle w:val="FootnoteText"/>
      </w:pPr>
      <w:r w:rsidRPr="0047091A">
        <w:rPr>
          <w:rStyle w:val="FootnoteReference"/>
        </w:rPr>
        <w:footnoteRef/>
      </w:r>
      <w:r w:rsidRPr="0047091A">
        <w:t xml:space="preserve"> Public authorities often proceed with abusive rejections of payments if there is any difference between the amount requested by the contractor and the amount initially accepted, which obliges the enterprise to issue a new invoice with a new payment deadline, thus artificially prolonging the overall payment time. This situation is unfortunately very common, where a problem with the rounding of a few cents or euros results in the rejection of the invoice, which leads the company to issue a new invoice with a new payment deadline. (EBC- Call for Evidence)</w:t>
      </w:r>
    </w:p>
  </w:footnote>
  <w:footnote w:id="213">
    <w:p w14:paraId="336960E8" w14:textId="109BDF61" w:rsidR="00194CF6" w:rsidRPr="0047091A" w:rsidRDefault="00194CF6" w:rsidP="00194CF6">
      <w:pPr>
        <w:pStyle w:val="FootnoteText"/>
      </w:pPr>
      <w:r w:rsidRPr="0047091A">
        <w:rPr>
          <w:rStyle w:val="FootnoteReference"/>
        </w:rPr>
        <w:footnoteRef/>
      </w:r>
      <w:r w:rsidRPr="0047091A">
        <w:t xml:space="preserve"> EP Resolution 2019</w:t>
      </w:r>
    </w:p>
  </w:footnote>
  <w:footnote w:id="214">
    <w:p w14:paraId="6CB78396" w14:textId="50ECB908" w:rsidR="00194CF6" w:rsidRPr="0047091A" w:rsidRDefault="00194CF6" w:rsidP="00194CF6">
      <w:pPr>
        <w:pStyle w:val="FootnoteText"/>
      </w:pPr>
      <w:r w:rsidRPr="0047091A">
        <w:rPr>
          <w:rStyle w:val="FootnoteReference"/>
        </w:rPr>
        <w:footnoteRef/>
      </w:r>
      <w:r w:rsidRPr="0047091A">
        <w:t xml:space="preserve"> 93% of respondents in the SME panel agreed that prompt payment should be included as a criteri</w:t>
      </w:r>
      <w:r w:rsidR="009B4E5F" w:rsidRPr="0047091A">
        <w:t>on</w:t>
      </w:r>
      <w:r w:rsidRPr="0047091A">
        <w:t xml:space="preserve"> for obtaining financial support. The Spanish law Crea y Crece already includes such requirement. </w:t>
      </w:r>
    </w:p>
  </w:footnote>
  <w:footnote w:id="215">
    <w:p w14:paraId="5740137E" w14:textId="188C5488" w:rsidR="00194CF6" w:rsidRPr="0047091A" w:rsidRDefault="00194CF6" w:rsidP="00194CF6">
      <w:pPr>
        <w:pStyle w:val="FootnoteText"/>
      </w:pPr>
      <w:r w:rsidRPr="0047091A">
        <w:rPr>
          <w:rStyle w:val="FootnoteReference"/>
        </w:rPr>
        <w:footnoteRef/>
      </w:r>
      <w:r w:rsidRPr="0047091A">
        <w:t xml:space="preserve"> Almost 90% of respondents in the SME panel agreed that prompt payment performance should be included as a criteri</w:t>
      </w:r>
      <w:r w:rsidR="009B4E5F" w:rsidRPr="0047091A">
        <w:t>on</w:t>
      </w:r>
      <w:r w:rsidRPr="0047091A">
        <w:t xml:space="preserve"> for participating in public procurement tenders. </w:t>
      </w:r>
    </w:p>
  </w:footnote>
  <w:footnote w:id="216">
    <w:p w14:paraId="5038A84E" w14:textId="3AC7B757" w:rsidR="00194CF6" w:rsidRPr="0047091A" w:rsidRDefault="00194CF6" w:rsidP="00194CF6">
      <w:pPr>
        <w:pStyle w:val="FootnoteText"/>
      </w:pPr>
      <w:r w:rsidRPr="0047091A">
        <w:rPr>
          <w:rStyle w:val="FootnoteReference"/>
        </w:rPr>
        <w:footnoteRef/>
      </w:r>
      <w:r w:rsidRPr="0047091A">
        <w:t xml:space="preserve"> Almost 72% of respondents in the SME panel agreed that</w:t>
      </w:r>
      <w:r w:rsidR="002E552C" w:rsidRPr="0047091A">
        <w:t xml:space="preserve"> </w:t>
      </w:r>
      <w:r w:rsidRPr="0047091A">
        <w:t>this measure is very useful/useful</w:t>
      </w:r>
    </w:p>
  </w:footnote>
  <w:footnote w:id="217">
    <w:p w14:paraId="7A1D4690" w14:textId="77777777" w:rsidR="00BC52A0" w:rsidRPr="0047091A" w:rsidRDefault="00BC52A0" w:rsidP="000C28C3">
      <w:pPr>
        <w:pStyle w:val="FootnoteText"/>
      </w:pPr>
      <w:r w:rsidRPr="0047091A">
        <w:rPr>
          <w:rStyle w:val="FootnoteReference"/>
        </w:rPr>
        <w:footnoteRef/>
      </w:r>
      <w:r w:rsidRPr="0047091A">
        <w:t xml:space="preserve"> C 701/22, C677/22, C 419/22, C-406/21, C-370/21, C-585/20, C-327/20, C-299/19, C-199/19, C-722/18, C-131/18, C-328/17, C-287/17, C-330/16, C-324/16, C-256/15, C-555/14, C-104/14</w:t>
      </w:r>
    </w:p>
  </w:footnote>
  <w:footnote w:id="218">
    <w:p w14:paraId="776B6BC6" w14:textId="6B7540F7" w:rsidR="00BC52A0" w:rsidRPr="00F949A3" w:rsidRDefault="00BC52A0" w:rsidP="008C53D1">
      <w:pPr>
        <w:pStyle w:val="FootnoteText"/>
        <w:rPr>
          <w:rStyle w:val="Hyperlink"/>
          <w:lang w:val="es-ES"/>
        </w:rPr>
      </w:pPr>
      <w:r w:rsidRPr="0047091A">
        <w:rPr>
          <w:rStyle w:val="FootnoteReference"/>
        </w:rPr>
        <w:footnoteRef/>
      </w:r>
      <w:r w:rsidRPr="00F949A3">
        <w:rPr>
          <w:lang w:val="es-ES"/>
        </w:rPr>
        <w:t xml:space="preserve"> </w:t>
      </w:r>
      <w:r w:rsidRPr="00F949A3">
        <w:rPr>
          <w:i/>
          <w:lang w:val="es-ES"/>
        </w:rPr>
        <w:t>BFF Finance Iberia SAU vs Gerencia Regional de Salud de la Junta de Castilla y León,</w:t>
      </w:r>
    </w:p>
  </w:footnote>
  <w:footnote w:id="219">
    <w:p w14:paraId="058BAAD2" w14:textId="1B33614B" w:rsidR="00BC52A0" w:rsidRPr="00365442" w:rsidRDefault="00BC52A0" w:rsidP="008C53D1">
      <w:pPr>
        <w:pStyle w:val="FootnoteText"/>
        <w:rPr>
          <w:rStyle w:val="Hyperlink"/>
          <w:lang w:val="it-IT"/>
        </w:rPr>
      </w:pPr>
      <w:r w:rsidRPr="0047091A">
        <w:rPr>
          <w:rStyle w:val="FootnoteReference"/>
        </w:rPr>
        <w:footnoteRef/>
      </w:r>
      <w:r w:rsidRPr="00365442">
        <w:rPr>
          <w:lang w:val="it-IT"/>
        </w:rPr>
        <w:t xml:space="preserve"> </w:t>
      </w:r>
      <w:r w:rsidRPr="00365442">
        <w:rPr>
          <w:i/>
          <w:lang w:val="it-IT"/>
        </w:rPr>
        <w:t>Commission vs Repubblica Italiana</w:t>
      </w:r>
      <w:r w:rsidRPr="00365442">
        <w:rPr>
          <w:lang w:val="it-IT"/>
        </w:rPr>
        <w:t xml:space="preserve"> </w:t>
      </w:r>
    </w:p>
  </w:footnote>
  <w:footnote w:id="220">
    <w:p w14:paraId="5F3BEA7C" w14:textId="5DBA92A3" w:rsidR="00BC52A0" w:rsidRPr="00365442" w:rsidRDefault="00BC52A0" w:rsidP="001569BE">
      <w:pPr>
        <w:spacing w:after="0"/>
        <w:rPr>
          <w:sz w:val="20"/>
          <w:szCs w:val="20"/>
          <w:lang w:val="it-IT"/>
        </w:rPr>
      </w:pPr>
      <w:r w:rsidRPr="0047091A">
        <w:rPr>
          <w:sz w:val="20"/>
          <w:szCs w:val="20"/>
        </w:rPr>
        <w:footnoteRef/>
      </w:r>
      <w:r w:rsidRPr="00365442">
        <w:rPr>
          <w:sz w:val="20"/>
          <w:szCs w:val="20"/>
          <w:lang w:val="it-IT"/>
        </w:rPr>
        <w:t xml:space="preserve"> Drago Nemec v Republika Slovenija</w:t>
      </w:r>
    </w:p>
  </w:footnote>
  <w:footnote w:id="221">
    <w:p w14:paraId="6E80433B" w14:textId="0E84D083" w:rsidR="00BC52A0" w:rsidRPr="0047091A" w:rsidRDefault="00BC52A0" w:rsidP="001569BE">
      <w:pPr>
        <w:spacing w:after="0"/>
        <w:rPr>
          <w:sz w:val="20"/>
          <w:szCs w:val="20"/>
        </w:rPr>
      </w:pPr>
      <w:r w:rsidRPr="0047091A">
        <w:rPr>
          <w:sz w:val="20"/>
          <w:szCs w:val="20"/>
        </w:rPr>
        <w:footnoteRef/>
      </w:r>
      <w:r w:rsidRPr="0047091A">
        <w:rPr>
          <w:sz w:val="20"/>
          <w:szCs w:val="20"/>
        </w:rPr>
        <w:t xml:space="preserve"> This principle is present in some</w:t>
      </w:r>
      <w:r w:rsidR="0091653A" w:rsidRPr="0047091A">
        <w:rPr>
          <w:sz w:val="20"/>
          <w:szCs w:val="20"/>
        </w:rPr>
        <w:t xml:space="preserve"> </w:t>
      </w:r>
      <w:r w:rsidRPr="0047091A">
        <w:rPr>
          <w:sz w:val="20"/>
          <w:szCs w:val="20"/>
        </w:rPr>
        <w:t>national civil or commercial codes, for example in Slovenia: Article 376 of the Obligacijski zakonik , or in Austria:</w:t>
      </w:r>
      <w:r w:rsidR="0091653A" w:rsidRPr="0047091A">
        <w:rPr>
          <w:sz w:val="20"/>
          <w:szCs w:val="20"/>
        </w:rPr>
        <w:t xml:space="preserve"> </w:t>
      </w:r>
      <w:r w:rsidRPr="0047091A">
        <w:rPr>
          <w:sz w:val="20"/>
          <w:szCs w:val="20"/>
        </w:rPr>
        <w:t xml:space="preserve">§ 1335 ABGB. </w:t>
      </w:r>
    </w:p>
  </w:footnote>
  <w:footnote w:id="222">
    <w:p w14:paraId="67AC2AD2" w14:textId="77777777" w:rsidR="00BC52A0" w:rsidRPr="0047091A" w:rsidRDefault="00BC52A0" w:rsidP="00876F80">
      <w:pPr>
        <w:pStyle w:val="FootnoteText"/>
        <w:rPr>
          <w:rFonts w:asciiTheme="minorHAnsi" w:hAnsiTheme="minorHAnsi" w:cstheme="minorHAnsi"/>
          <w:sz w:val="16"/>
          <w:szCs w:val="16"/>
        </w:rPr>
      </w:pPr>
      <w:r w:rsidRPr="0047091A">
        <w:rPr>
          <w:rStyle w:val="FootnoteReference"/>
          <w:rFonts w:cstheme="minorHAnsi"/>
          <w:szCs w:val="16"/>
        </w:rPr>
        <w:footnoteRef/>
      </w:r>
      <w:r w:rsidRPr="0047091A">
        <w:rPr>
          <w:rFonts w:cstheme="minorHAnsi"/>
          <w:szCs w:val="16"/>
        </w:rPr>
        <w:t xml:space="preserve"> See </w:t>
      </w:r>
      <w:hyperlink r:id="rId118" w:history="1">
        <w:r w:rsidRPr="0047091A">
          <w:rPr>
            <w:rStyle w:val="Hyperlink"/>
            <w:rFonts w:eastAsiaTheme="majorEastAsia" w:cstheme="minorHAnsi"/>
            <w:szCs w:val="16"/>
          </w:rPr>
          <w:t>www.cicm.com</w:t>
        </w:r>
      </w:hyperlink>
      <w:r w:rsidRPr="0047091A">
        <w:rPr>
          <w:rFonts w:cstheme="minorHAnsi"/>
          <w:szCs w:val="16"/>
        </w:rPr>
        <w:t xml:space="preserve"> </w:t>
      </w:r>
    </w:p>
  </w:footnote>
  <w:footnote w:id="223">
    <w:p w14:paraId="52F39FF7" w14:textId="77777777" w:rsidR="00BC52A0" w:rsidRPr="0047091A" w:rsidRDefault="00BC52A0" w:rsidP="00876F80">
      <w:pPr>
        <w:pStyle w:val="FootnoteText"/>
        <w:rPr>
          <w:rFonts w:cstheme="minorHAnsi"/>
          <w:szCs w:val="16"/>
        </w:rPr>
      </w:pPr>
      <w:r w:rsidRPr="0047091A">
        <w:rPr>
          <w:rStyle w:val="FootnoteReference"/>
          <w:rFonts w:cstheme="minorHAnsi"/>
          <w:szCs w:val="16"/>
        </w:rPr>
        <w:footnoteRef/>
      </w:r>
      <w:r w:rsidRPr="0047091A">
        <w:rPr>
          <w:rFonts w:cstheme="minorHAnsi"/>
          <w:szCs w:val="16"/>
        </w:rPr>
        <w:t xml:space="preserve"> See </w:t>
      </w:r>
      <w:hyperlink r:id="rId119" w:history="1">
        <w:r w:rsidRPr="0047091A">
          <w:rPr>
            <w:rStyle w:val="Hyperlink"/>
            <w:rFonts w:eastAsiaTheme="majorEastAsia" w:cstheme="minorHAnsi"/>
            <w:szCs w:val="16"/>
          </w:rPr>
          <w:t>https://www.fecma.eu/home</w:t>
        </w:r>
      </w:hyperlink>
      <w:r w:rsidRPr="0047091A">
        <w:rPr>
          <w:rFonts w:cstheme="minorHAnsi"/>
          <w:szCs w:val="16"/>
        </w:rPr>
        <w:t xml:space="preserve"> </w:t>
      </w:r>
    </w:p>
  </w:footnote>
  <w:footnote w:id="224">
    <w:p w14:paraId="674CB339" w14:textId="04D66D93" w:rsidR="00BC52A0" w:rsidRPr="0047091A" w:rsidRDefault="00BC52A0" w:rsidP="00876F80">
      <w:pPr>
        <w:pStyle w:val="FootnoteText"/>
      </w:pPr>
      <w:r w:rsidRPr="0047091A">
        <w:rPr>
          <w:rStyle w:val="FootnoteReference"/>
        </w:rPr>
        <w:footnoteRef/>
      </w:r>
      <w:r w:rsidRPr="0047091A">
        <w:t xml:space="preserve"> </w:t>
      </w:r>
      <w:r w:rsidR="000C2F9F" w:rsidRPr="0047091A">
        <w:t xml:space="preserve">Economisti Associati, Nomisma, Crif, Milieu : </w:t>
      </w:r>
      <w:hyperlink r:id="rId120" w:history="1">
        <w:r w:rsidR="000C2F9F" w:rsidRPr="0047091A">
          <w:rPr>
            <w:rStyle w:val="Hyperlink"/>
          </w:rPr>
          <w:t>Building a responsible payment culture in the EU</w:t>
        </w:r>
      </w:hyperlink>
      <w:r w:rsidR="000C2F9F" w:rsidRPr="0047091A">
        <w:t xml:space="preserve"> – Improving the effectiveness of the Late Payment Directive (2011/7/EU)</w:t>
      </w:r>
    </w:p>
  </w:footnote>
  <w:footnote w:id="225">
    <w:p w14:paraId="04849283" w14:textId="7CD2C5EE" w:rsidR="00BC52A0" w:rsidRPr="0047091A" w:rsidRDefault="00BC52A0" w:rsidP="00876F80">
      <w:pPr>
        <w:pStyle w:val="FootnoteText"/>
        <w:rPr>
          <w:rFonts w:cstheme="minorHAnsi"/>
          <w:szCs w:val="16"/>
        </w:rPr>
      </w:pPr>
      <w:r w:rsidRPr="0047091A">
        <w:rPr>
          <w:rStyle w:val="FootnoteReference"/>
          <w:rFonts w:cstheme="minorHAnsi"/>
          <w:szCs w:val="16"/>
        </w:rPr>
        <w:footnoteRef/>
      </w:r>
      <w:r w:rsidRPr="0047091A">
        <w:rPr>
          <w:rFonts w:cstheme="minorHAnsi"/>
          <w:szCs w:val="16"/>
        </w:rPr>
        <w:t xml:space="preserve"> </w:t>
      </w:r>
      <w:hyperlink r:id="rId121" w:history="1">
        <w:r w:rsidR="009A2D72" w:rsidRPr="0047091A">
          <w:rPr>
            <w:rStyle w:val="Hyperlink"/>
          </w:rPr>
          <w:t>https://www.gov.uk/government/organisations/ofqual</w:t>
        </w:r>
      </w:hyperlink>
    </w:p>
  </w:footnote>
  <w:footnote w:id="226">
    <w:p w14:paraId="6CF56848" w14:textId="77777777" w:rsidR="00BC52A0" w:rsidRPr="0047091A" w:rsidRDefault="00BC52A0" w:rsidP="00876F80">
      <w:pPr>
        <w:pStyle w:val="FootnoteText"/>
        <w:rPr>
          <w:rFonts w:cstheme="minorHAnsi"/>
          <w:szCs w:val="16"/>
        </w:rPr>
      </w:pPr>
      <w:r w:rsidRPr="0047091A">
        <w:rPr>
          <w:rStyle w:val="FootnoteReference"/>
          <w:rFonts w:cstheme="minorHAnsi"/>
          <w:szCs w:val="16"/>
        </w:rPr>
        <w:footnoteRef/>
      </w:r>
      <w:r w:rsidRPr="0047091A">
        <w:rPr>
          <w:rFonts w:cstheme="minorHAnsi"/>
          <w:szCs w:val="16"/>
        </w:rPr>
        <w:t xml:space="preserve"> See </w:t>
      </w:r>
      <w:hyperlink r:id="rId122" w:history="1">
        <w:r w:rsidRPr="0047091A">
          <w:rPr>
            <w:rStyle w:val="Hyperlink"/>
            <w:rFonts w:eastAsiaTheme="majorEastAsia" w:cstheme="minorHAnsi"/>
            <w:szCs w:val="16"/>
          </w:rPr>
          <w:t>www.crefia.de</w:t>
        </w:r>
      </w:hyperlink>
      <w:r w:rsidRPr="0047091A">
        <w:rPr>
          <w:rFonts w:cstheme="minorHAnsi"/>
          <w:szCs w:val="16"/>
        </w:rPr>
        <w:t xml:space="preserve"> </w:t>
      </w:r>
    </w:p>
  </w:footnote>
  <w:footnote w:id="227">
    <w:p w14:paraId="1DAE70F1" w14:textId="77777777" w:rsidR="00BC52A0" w:rsidRPr="0047091A" w:rsidRDefault="00BC52A0" w:rsidP="00876F80">
      <w:pPr>
        <w:pStyle w:val="FootnoteText"/>
        <w:rPr>
          <w:rFonts w:cstheme="minorHAnsi"/>
          <w:szCs w:val="16"/>
        </w:rPr>
      </w:pPr>
      <w:r w:rsidRPr="0047091A">
        <w:rPr>
          <w:rStyle w:val="FootnoteReference"/>
          <w:rFonts w:cstheme="minorHAnsi"/>
          <w:szCs w:val="16"/>
        </w:rPr>
        <w:footnoteRef/>
      </w:r>
      <w:r w:rsidRPr="0047091A">
        <w:rPr>
          <w:rFonts w:cstheme="minorHAnsi"/>
          <w:szCs w:val="16"/>
        </w:rPr>
        <w:t xml:space="preserve"> See </w:t>
      </w:r>
      <w:hyperlink r:id="rId123" w:history="1">
        <w:r w:rsidRPr="0047091A">
          <w:rPr>
            <w:rStyle w:val="Hyperlink"/>
            <w:rFonts w:eastAsiaTheme="majorEastAsia" w:cstheme="minorHAnsi"/>
            <w:szCs w:val="16"/>
          </w:rPr>
          <w:t>https://businessschool.luiss.it/program-credit-management/</w:t>
        </w:r>
      </w:hyperlink>
      <w:r w:rsidRPr="0047091A">
        <w:rPr>
          <w:rFonts w:cstheme="minorHAnsi"/>
          <w:szCs w:val="16"/>
        </w:rPr>
        <w:t xml:space="preserve"> </w:t>
      </w:r>
    </w:p>
  </w:footnote>
  <w:footnote w:id="228">
    <w:p w14:paraId="482F9ED9" w14:textId="77777777" w:rsidR="00BC52A0" w:rsidRPr="0047091A" w:rsidRDefault="00BC52A0" w:rsidP="00876F80">
      <w:pPr>
        <w:pStyle w:val="FootnoteText"/>
        <w:rPr>
          <w:rFonts w:cstheme="minorHAnsi"/>
          <w:szCs w:val="16"/>
        </w:rPr>
      </w:pPr>
      <w:r w:rsidRPr="0047091A">
        <w:rPr>
          <w:rStyle w:val="FootnoteReference"/>
          <w:rFonts w:cstheme="minorHAnsi"/>
          <w:szCs w:val="16"/>
        </w:rPr>
        <w:footnoteRef/>
      </w:r>
      <w:r w:rsidRPr="0047091A">
        <w:rPr>
          <w:rFonts w:cstheme="minorHAnsi"/>
          <w:szCs w:val="16"/>
        </w:rPr>
        <w:t xml:space="preserve"> See </w:t>
      </w:r>
      <w:hyperlink r:id="rId124" w:history="1">
        <w:r w:rsidRPr="0047091A">
          <w:rPr>
            <w:rStyle w:val="Hyperlink"/>
            <w:rFonts w:eastAsiaTheme="majorEastAsia" w:cstheme="minorHAnsi"/>
            <w:szCs w:val="16"/>
          </w:rPr>
          <w:t>https://verenigingvoorcreditmanagement.nl/</w:t>
        </w:r>
      </w:hyperlink>
    </w:p>
  </w:footnote>
  <w:footnote w:id="229">
    <w:p w14:paraId="65EDC7BE" w14:textId="77777777" w:rsidR="00BC52A0" w:rsidRPr="0047091A" w:rsidRDefault="00BC52A0" w:rsidP="00876F80">
      <w:pPr>
        <w:pStyle w:val="FootnoteText"/>
        <w:rPr>
          <w:rFonts w:cstheme="minorHAnsi"/>
          <w:szCs w:val="16"/>
        </w:rPr>
      </w:pPr>
      <w:r w:rsidRPr="0047091A">
        <w:rPr>
          <w:rStyle w:val="FootnoteReference"/>
          <w:rFonts w:cstheme="minorHAnsi"/>
          <w:szCs w:val="16"/>
        </w:rPr>
        <w:footnoteRef/>
      </w:r>
      <w:r w:rsidRPr="0047091A">
        <w:rPr>
          <w:rFonts w:cstheme="minorHAnsi"/>
          <w:szCs w:val="16"/>
        </w:rPr>
        <w:t xml:space="preserve"> See </w:t>
      </w:r>
      <w:hyperlink r:id="rId125" w:history="1">
        <w:r w:rsidRPr="0047091A">
          <w:rPr>
            <w:rStyle w:val="Hyperlink"/>
            <w:rFonts w:eastAsiaTheme="majorEastAsia" w:cstheme="minorHAnsi"/>
            <w:szCs w:val="16"/>
          </w:rPr>
          <w:t>https://picm.pl/en/</w:t>
        </w:r>
      </w:hyperlink>
      <w:r w:rsidRPr="0047091A">
        <w:rPr>
          <w:rStyle w:val="Hyperlink"/>
          <w:rFonts w:eastAsiaTheme="majorEastAsia" w:cstheme="minorHAnsi"/>
          <w:szCs w:val="16"/>
        </w:rPr>
        <w:t xml:space="preserve"> </w:t>
      </w:r>
    </w:p>
  </w:footnote>
  <w:footnote w:id="230">
    <w:p w14:paraId="6E14A6DA" w14:textId="77777777" w:rsidR="00BC52A0" w:rsidRPr="0047091A" w:rsidRDefault="00BC52A0" w:rsidP="00876F80">
      <w:pPr>
        <w:pStyle w:val="FootnoteText"/>
        <w:rPr>
          <w:rFonts w:cstheme="minorHAnsi"/>
          <w:szCs w:val="16"/>
        </w:rPr>
      </w:pPr>
      <w:r w:rsidRPr="0047091A">
        <w:rPr>
          <w:rStyle w:val="FootnoteReference"/>
          <w:rFonts w:cstheme="minorHAnsi"/>
          <w:szCs w:val="16"/>
        </w:rPr>
        <w:footnoteRef/>
      </w:r>
      <w:r w:rsidRPr="0047091A">
        <w:rPr>
          <w:rFonts w:cstheme="minorHAnsi"/>
          <w:szCs w:val="16"/>
        </w:rPr>
        <w:t xml:space="preserve"> See full catalogue: </w:t>
      </w:r>
      <w:hyperlink r:id="rId126" w:history="1">
        <w:r w:rsidRPr="0047091A">
          <w:rPr>
            <w:rStyle w:val="Hyperlink"/>
            <w:rFonts w:eastAsiaTheme="majorEastAsia" w:cstheme="minorHAnsi"/>
            <w:szCs w:val="16"/>
          </w:rPr>
          <w:t>https://www.afdcc.fr/wp-content/uploads/2021/11/CF2022/</w:t>
        </w:r>
      </w:hyperlink>
      <w:r w:rsidRPr="0047091A">
        <w:rPr>
          <w:rFonts w:cstheme="minorHAnsi"/>
          <w:szCs w:val="16"/>
        </w:rPr>
        <w:t xml:space="preserve"> </w:t>
      </w:r>
    </w:p>
  </w:footnote>
  <w:footnote w:id="231">
    <w:p w14:paraId="2951E971" w14:textId="268F34D2" w:rsidR="00BC52A0" w:rsidRPr="0047091A" w:rsidRDefault="00BC52A0" w:rsidP="00876F80">
      <w:pPr>
        <w:pStyle w:val="FootnoteText"/>
        <w:rPr>
          <w:rFonts w:ascii="Verdana" w:hAnsi="Verdana"/>
          <w:szCs w:val="16"/>
        </w:rPr>
      </w:pPr>
      <w:r w:rsidRPr="0047091A">
        <w:rPr>
          <w:rStyle w:val="FootnoteReference"/>
          <w:rFonts w:ascii="Verdana" w:hAnsi="Verdana"/>
          <w:szCs w:val="16"/>
        </w:rPr>
        <w:footnoteRef/>
      </w:r>
      <w:r w:rsidRPr="0047091A">
        <w:rPr>
          <w:rFonts w:ascii="Verdana" w:hAnsi="Verdana"/>
          <w:szCs w:val="16"/>
        </w:rPr>
        <w:t xml:space="preserve"> </w:t>
      </w:r>
      <w:r w:rsidRPr="0047091A">
        <w:t xml:space="preserve">For more details, </w:t>
      </w:r>
      <w:hyperlink r:id="rId127" w:history="1">
        <w:r w:rsidRPr="0047091A">
          <w:rPr>
            <w:rStyle w:val="Hyperlink"/>
          </w:rPr>
          <w:t>Economisti Study 2022</w:t>
        </w:r>
      </w:hyperlink>
    </w:p>
  </w:footnote>
  <w:footnote w:id="232">
    <w:p w14:paraId="46754B6C" w14:textId="5EED1CEE" w:rsidR="00BC52A0" w:rsidRPr="0047091A" w:rsidRDefault="00BC52A0" w:rsidP="00876F80">
      <w:pPr>
        <w:pStyle w:val="FootnoteText"/>
      </w:pPr>
      <w:r w:rsidRPr="0047091A">
        <w:rPr>
          <w:rStyle w:val="FootnoteReference"/>
        </w:rPr>
        <w:footnoteRef/>
      </w:r>
      <w:r w:rsidRPr="0047091A">
        <w:t xml:space="preserve"> For more details, </w:t>
      </w:r>
      <w:hyperlink r:id="rId128" w:history="1">
        <w:r w:rsidR="00F07BDD" w:rsidRPr="0047091A">
          <w:rPr>
            <w:rStyle w:val="Hyperlink"/>
          </w:rPr>
          <w:t>Economisti Study 2022</w:t>
        </w:r>
      </w:hyperlink>
    </w:p>
  </w:footnote>
  <w:footnote w:id="233">
    <w:p w14:paraId="1CDB50FE" w14:textId="77777777" w:rsidR="00BC52A0" w:rsidRPr="0047091A" w:rsidRDefault="00BC52A0" w:rsidP="00876F80">
      <w:pPr>
        <w:pStyle w:val="FootnoteText"/>
      </w:pPr>
      <w:r w:rsidRPr="0047091A">
        <w:rPr>
          <w:rStyle w:val="FootnoteReference"/>
        </w:rPr>
        <w:footnoteRef/>
      </w:r>
      <w:r w:rsidRPr="0047091A">
        <w:t xml:space="preserve"> </w:t>
      </w:r>
      <w:hyperlink r:id="rId129" w:history="1">
        <w:r w:rsidRPr="0047091A">
          <w:rPr>
            <w:rStyle w:val="Hyperlink"/>
          </w:rPr>
          <w:t>https://www.urssaf.fr/portail/home/espaces-dedies/contributions-de-formation-profe/la-contribution-a-la-formation-p.html</w:t>
        </w:r>
      </w:hyperlink>
    </w:p>
    <w:p w14:paraId="24BEE330" w14:textId="77777777" w:rsidR="00BC52A0" w:rsidRPr="0047091A" w:rsidRDefault="00BC52A0" w:rsidP="00876F80">
      <w:pPr>
        <w:pStyle w:val="FootnoteText"/>
      </w:pPr>
    </w:p>
  </w:footnote>
  <w:footnote w:id="234">
    <w:p w14:paraId="4A1E63C8" w14:textId="77777777" w:rsidR="00BC52A0" w:rsidRPr="0047091A" w:rsidRDefault="00BC52A0" w:rsidP="00876F80">
      <w:pPr>
        <w:pStyle w:val="FootnoteText"/>
        <w:rPr>
          <w:rFonts w:cstheme="minorHAnsi"/>
          <w:szCs w:val="16"/>
        </w:rPr>
      </w:pPr>
      <w:r w:rsidRPr="0047091A">
        <w:rPr>
          <w:rStyle w:val="FootnoteReference"/>
          <w:rFonts w:cstheme="minorHAnsi"/>
          <w:szCs w:val="16"/>
        </w:rPr>
        <w:footnoteRef/>
      </w:r>
      <w:r w:rsidRPr="0047091A">
        <w:rPr>
          <w:rFonts w:cstheme="minorHAnsi"/>
          <w:szCs w:val="16"/>
        </w:rPr>
        <w:t xml:space="preserve"> </w:t>
      </w:r>
      <w:hyperlink r:id="rId130" w:history="1">
        <w:r w:rsidRPr="0047091A">
          <w:rPr>
            <w:rStyle w:val="Hyperlink"/>
            <w:rFonts w:eastAsiaTheme="majorEastAsia" w:cstheme="minorHAnsi"/>
            <w:szCs w:val="16"/>
          </w:rPr>
          <w:t>https://www.macm.org.mt/home</w:t>
        </w:r>
      </w:hyperlink>
      <w:r w:rsidRPr="0047091A">
        <w:rPr>
          <w:rFonts w:cstheme="minorHAnsi"/>
          <w:szCs w:val="16"/>
        </w:rPr>
        <w:t xml:space="preserve"> </w:t>
      </w:r>
    </w:p>
  </w:footnote>
  <w:footnote w:id="235">
    <w:p w14:paraId="0AE6C41B" w14:textId="77777777" w:rsidR="00BC52A0" w:rsidRPr="0047091A" w:rsidRDefault="00BC52A0" w:rsidP="00876F80">
      <w:pPr>
        <w:pStyle w:val="FootnoteText"/>
        <w:rPr>
          <w:rFonts w:ascii="Verdana" w:hAnsi="Verdana"/>
          <w:szCs w:val="16"/>
        </w:rPr>
      </w:pPr>
      <w:r w:rsidRPr="0047091A">
        <w:rPr>
          <w:rStyle w:val="FootnoteReference"/>
          <w:rFonts w:ascii="Verdana" w:hAnsi="Verdana"/>
          <w:szCs w:val="16"/>
        </w:rPr>
        <w:footnoteRef/>
      </w:r>
      <w:r w:rsidRPr="0047091A">
        <w:rPr>
          <w:rStyle w:val="Hyperlink"/>
          <w:rFonts w:eastAsiaTheme="majorEastAsia" w:cstheme="minorHAnsi"/>
        </w:rPr>
        <w:t xml:space="preserve"> </w:t>
      </w:r>
      <w:hyperlink r:id="rId131" w:history="1">
        <w:r w:rsidRPr="0047091A">
          <w:rPr>
            <w:rStyle w:val="Hyperlink"/>
            <w:rFonts w:eastAsiaTheme="majorEastAsia" w:cstheme="minorHAnsi"/>
            <w:szCs w:val="16"/>
          </w:rPr>
          <w:t>https://www.macm.org.mt/macmlibrary?ag=Credit%20Guidelines</w:t>
        </w:r>
      </w:hyperlink>
    </w:p>
  </w:footnote>
  <w:footnote w:id="236">
    <w:p w14:paraId="51FDE81F" w14:textId="0624A57F" w:rsidR="00BC52A0" w:rsidRPr="00365442" w:rsidRDefault="00BC52A0" w:rsidP="00876F80">
      <w:pPr>
        <w:pStyle w:val="FootnoteText"/>
        <w:rPr>
          <w:lang w:val="it-IT"/>
        </w:rPr>
      </w:pPr>
      <w:r w:rsidRPr="0047091A">
        <w:rPr>
          <w:rStyle w:val="FootnoteReference"/>
        </w:rPr>
        <w:footnoteRef/>
      </w:r>
      <w:r w:rsidRPr="00365442">
        <w:rPr>
          <w:lang w:val="it-IT"/>
        </w:rPr>
        <w:t xml:space="preserve"> </w:t>
      </w:r>
      <w:hyperlink r:id="rId132" w:history="1">
        <w:r w:rsidR="00F07BDD" w:rsidRPr="00365442">
          <w:rPr>
            <w:rStyle w:val="Hyperlink"/>
            <w:lang w:val="it-IT"/>
          </w:rPr>
          <w:t>Economisti Study 2022</w:t>
        </w:r>
      </w:hyperlink>
    </w:p>
  </w:footnote>
  <w:footnote w:id="237">
    <w:p w14:paraId="3035500D" w14:textId="77777777" w:rsidR="00675856" w:rsidRPr="00365442" w:rsidRDefault="00675856" w:rsidP="00675856">
      <w:pPr>
        <w:pStyle w:val="FootnoteText"/>
        <w:rPr>
          <w:lang w:val="it-IT"/>
        </w:rPr>
      </w:pPr>
      <w:r w:rsidRPr="0047091A">
        <w:rPr>
          <w:rStyle w:val="FootnoteReference"/>
        </w:rPr>
        <w:footnoteRef/>
      </w:r>
      <w:r w:rsidRPr="00365442">
        <w:rPr>
          <w:lang w:val="it-IT"/>
        </w:rPr>
        <w:t xml:space="preserve"> https://eur-lex.europa.eu/legal-content/EN/TXT/?uri=CELEX%3A52022PC0701</w:t>
      </w:r>
    </w:p>
  </w:footnote>
  <w:footnote w:id="238">
    <w:p w14:paraId="7B2EACAC" w14:textId="77777777" w:rsidR="002342BA" w:rsidRPr="0047091A" w:rsidRDefault="002342BA" w:rsidP="002342BA">
      <w:pPr>
        <w:spacing w:after="0"/>
      </w:pPr>
      <w:r w:rsidRPr="0047091A">
        <w:rPr>
          <w:rStyle w:val="FootnoteReference"/>
        </w:rPr>
        <w:footnoteRef/>
      </w:r>
      <w:r w:rsidRPr="0047091A">
        <w:t xml:space="preserve"> </w:t>
      </w:r>
      <w:r w:rsidRPr="0047091A">
        <w:rPr>
          <w:rFonts w:eastAsiaTheme="minorEastAsia"/>
          <w:sz w:val="20"/>
          <w:szCs w:val="20"/>
        </w:rPr>
        <w:t xml:space="preserve">Economisti Study 2022 highlights that e-invoicing limits errors in the invoice and thus preventing possible payment disputes: “ </w:t>
      </w:r>
      <w:r w:rsidRPr="0047091A">
        <w:rPr>
          <w:rFonts w:eastAsiaTheme="minorEastAsia"/>
          <w:i/>
          <w:sz w:val="20"/>
          <w:szCs w:val="20"/>
        </w:rPr>
        <w:t>According to Freedz, an e-invoicing platform “the reliability of the data limits errors and invoice rejections, and therefore the sources of disputes with your suppliers”) as well as by Basware, a leading player in accounts payable automation and procure-to-pay solutions (“You’ll also decrease the likelihood of time-consuming invoice disputes since automated invoice processing uses automatic data extraction to ultimately reduce the chances of manual entry errors</w:t>
      </w:r>
      <w:r w:rsidRPr="0047091A">
        <w:rPr>
          <w:rFonts w:eastAsiaTheme="minorEastAsia"/>
          <w:sz w:val="20"/>
          <w:szCs w:val="20"/>
        </w:rPr>
        <w:t>”)</w:t>
      </w:r>
    </w:p>
  </w:footnote>
  <w:footnote w:id="239">
    <w:p w14:paraId="48A34CA7" w14:textId="77777777" w:rsidR="002342BA" w:rsidRPr="00F867B4" w:rsidRDefault="002342BA" w:rsidP="002342BA">
      <w:pPr>
        <w:pStyle w:val="FootnoteText"/>
        <w:rPr>
          <w:lang w:val="fr-BE"/>
        </w:rPr>
      </w:pPr>
      <w:r w:rsidRPr="0047091A">
        <w:rPr>
          <w:rStyle w:val="FootnoteReference"/>
        </w:rPr>
        <w:footnoteRef/>
      </w:r>
      <w:r w:rsidRPr="00F867B4">
        <w:rPr>
          <w:lang w:val="fr-BE"/>
        </w:rPr>
        <w:t xml:space="preserve"> Economisti Study 2022. In the Study refereferences are made to some dedicated studies carried out in France on htis matter 1) </w:t>
      </w:r>
      <w:r w:rsidRPr="00F867B4">
        <w:rPr>
          <w:rFonts w:cstheme="minorHAnsi"/>
          <w:szCs w:val="16"/>
          <w:lang w:val="fr-BE"/>
        </w:rPr>
        <w:t xml:space="preserve">Ministère de l'Économie, des Finances et de la Relance, Rapport de la Direction Générale des Finances publiques - La TVA à l’ère du digital en France, Octobre 2020 (page 53). </w:t>
      </w:r>
      <w:r w:rsidRPr="00F867B4">
        <w:rPr>
          <w:sz w:val="24"/>
          <w:lang w:val="fr-BE"/>
        </w:rPr>
        <w:t>which clearly guards against excessive expectations regarding the effects of e-invoicing on payment behaviour (“</w:t>
      </w:r>
      <w:r w:rsidRPr="00F867B4">
        <w:rPr>
          <w:i/>
          <w:sz w:val="24"/>
          <w:lang w:val="fr-BE"/>
        </w:rPr>
        <w:t>Or pour l’ensemble des acteurs rencontrés … le simple envoi dématérialisé des factures n’est pas de nature à diminuer mécaniquement la part des paiements excédant les délais légaux</w:t>
      </w:r>
      <w:r w:rsidRPr="00F867B4">
        <w:rPr>
          <w:sz w:val="24"/>
          <w:lang w:val="fr-BE"/>
        </w:rPr>
        <w:t>.“)</w:t>
      </w:r>
    </w:p>
  </w:footnote>
  <w:footnote w:id="240">
    <w:p w14:paraId="1670C42E" w14:textId="77777777" w:rsidR="00675856" w:rsidRPr="0047091A" w:rsidRDefault="00675856" w:rsidP="00675856">
      <w:pPr>
        <w:pStyle w:val="FootnoteText"/>
      </w:pPr>
      <w:r w:rsidRPr="0047091A">
        <w:rPr>
          <w:rStyle w:val="FootnoteReference"/>
          <w:rFonts w:cstheme="minorHAnsi"/>
          <w:szCs w:val="16"/>
        </w:rPr>
        <w:footnoteRef/>
      </w:r>
      <w:r w:rsidRPr="0047091A">
        <w:rPr>
          <w:rFonts w:cstheme="minorHAnsi"/>
          <w:szCs w:val="16"/>
        </w:rPr>
        <w:t xml:space="preserve"> O'Neill B, Late payment practices: is this the ticking time bomb of the UK Economy? An analysis into the payment practice data of UK large corporates, 28 January 2020, accessible at </w:t>
      </w:r>
      <w:hyperlink r:id="rId133" w:history="1">
        <w:r w:rsidRPr="0047091A">
          <w:rPr>
            <w:rStyle w:val="Hyperlink"/>
            <w:rFonts w:cstheme="minorHAnsi"/>
            <w:szCs w:val="16"/>
          </w:rPr>
          <w:t>https://towardsdatascience.com/late-payment-practices-is-this-the-ticking-time-bomb-of-the-uk-economy-5b958e4dd109</w:t>
        </w:r>
      </w:hyperlink>
      <w:r w:rsidRPr="0047091A">
        <w:rPr>
          <w:rFonts w:cstheme="minorHAnsi"/>
          <w:szCs w:val="16"/>
        </w:rPr>
        <w:t xml:space="preserve"> . </w:t>
      </w:r>
      <w:r w:rsidRPr="0047091A">
        <w:t>Published in early 2020 and based on the payment performance data declared by large companies under UK legislation, the study found that enterprises making use of e-invoicing had marginally longer payment times, with an average of 40 days, compared with 36 days for businesses not using e-invoices. At the same time, users of e-invoices were marginally more punctual in their payments to suppliers, with 28% of invoices paid late compared with 30% of late payments for enterprises not using e-invoices</w:t>
      </w:r>
    </w:p>
  </w:footnote>
  <w:footnote w:id="241">
    <w:p w14:paraId="187F2CD9" w14:textId="081D01CB" w:rsidR="00675856" w:rsidRPr="0047091A" w:rsidRDefault="00675856" w:rsidP="00D52CCA">
      <w:pPr>
        <w:pStyle w:val="LPDSub-Title"/>
        <w:rPr>
          <w:rFonts w:ascii="Times New Roman" w:eastAsiaTheme="minorEastAsia" w:hAnsi="Times New Roman" w:cs="Times New Roman"/>
          <w:b w:val="0"/>
          <w:i/>
          <w:color w:val="auto"/>
          <w:lang w:val="en-GB"/>
        </w:rPr>
      </w:pPr>
      <w:r w:rsidRPr="0047091A">
        <w:rPr>
          <w:rStyle w:val="FootnoteReference"/>
          <w:rFonts w:eastAsiaTheme="minorEastAsia"/>
          <w:b w:val="0"/>
          <w:color w:val="auto"/>
          <w:lang w:val="en-GB"/>
        </w:rPr>
        <w:footnoteRef/>
      </w:r>
      <w:r w:rsidRPr="0047091A">
        <w:rPr>
          <w:rStyle w:val="FootnoteReference"/>
          <w:rFonts w:eastAsiaTheme="minorEastAsia"/>
          <w:b w:val="0"/>
          <w:color w:val="auto"/>
          <w:lang w:val="en-GB"/>
        </w:rPr>
        <w:t xml:space="preserve"> </w:t>
      </w:r>
      <w:r w:rsidR="00D52CCA" w:rsidRPr="0047091A">
        <w:rPr>
          <w:rFonts w:ascii="Times New Roman" w:eastAsiaTheme="minorEastAsia" w:hAnsi="Times New Roman" w:cs="Times New Roman"/>
          <w:b w:val="0"/>
          <w:i/>
          <w:color w:val="auto"/>
          <w:lang w:val="en-GB"/>
        </w:rPr>
        <w:t>”O</w:t>
      </w:r>
      <w:r w:rsidRPr="0047091A">
        <w:rPr>
          <w:rFonts w:ascii="Times New Roman" w:eastAsiaTheme="minorEastAsia" w:hAnsi="Times New Roman" w:cs="Times New Roman"/>
          <w:b w:val="0"/>
          <w:i/>
          <w:color w:val="auto"/>
          <w:lang w:val="en-GB"/>
        </w:rPr>
        <w:t xml:space="preserve">verall, it can be concluded that in B2B transactions e-invoicing does contribute to create the conditions for prompt payments, but its role remains secondary, and the impact is likely to be small, if not supported by other accompanying measures and better enforcement of the rules.” </w:t>
      </w:r>
    </w:p>
  </w:footnote>
  <w:footnote w:id="242">
    <w:p w14:paraId="61E84D2F" w14:textId="13E7A69A" w:rsidR="00675856" w:rsidRPr="0047091A" w:rsidRDefault="00675856" w:rsidP="00675856">
      <w:pPr>
        <w:pStyle w:val="FootnoteText"/>
      </w:pPr>
      <w:r w:rsidRPr="0047091A">
        <w:rPr>
          <w:rStyle w:val="FootnoteReference"/>
        </w:rPr>
        <w:footnoteRef/>
      </w:r>
      <w:r w:rsidRPr="0047091A">
        <w:t xml:space="preserve"> “e-invoicing certifies the delay, but on its own it does not improve payment periods” in </w:t>
      </w:r>
      <w:r w:rsidRPr="0047091A">
        <w:rPr>
          <w:rFonts w:cstheme="minorHAnsi"/>
          <w:szCs w:val="16"/>
        </w:rPr>
        <w:t xml:space="preserve">Otiniano Pulido C, Enmiendas a Crea y Crece: lo que piden los negocios, CincoDías, 18 Enero 2022, accessible at </w:t>
      </w:r>
      <w:hyperlink r:id="rId134" w:history="1">
        <w:r w:rsidRPr="0047091A">
          <w:rPr>
            <w:rStyle w:val="Hyperlink"/>
            <w:rFonts w:cstheme="minorHAnsi"/>
            <w:szCs w:val="16"/>
          </w:rPr>
          <w:t>https://cincodias.elpais.com/cincodias/2022/01/17/companias/1642434771_076547.html</w:t>
        </w:r>
      </w:hyperlink>
    </w:p>
  </w:footnote>
  <w:footnote w:id="243">
    <w:p w14:paraId="27E5E170" w14:textId="2D11AA51" w:rsidR="00675856" w:rsidRPr="0047091A" w:rsidRDefault="00675856" w:rsidP="00675856">
      <w:pPr>
        <w:pStyle w:val="FootnoteText"/>
      </w:pPr>
      <w:r w:rsidRPr="0047091A">
        <w:rPr>
          <w:rStyle w:val="FootnoteReference"/>
        </w:rPr>
        <w:footnoteRef/>
      </w:r>
      <w:r w:rsidRPr="0047091A">
        <w:t xml:space="preserve"> The Commission opened an infringement procedure against Italy in 2014 and Spain in 2015 for payment delays of their public authorities. The procedures are still ongoing.</w:t>
      </w:r>
      <w:r w:rsidR="0091653A" w:rsidRPr="0047091A">
        <w:t xml:space="preserve"> </w:t>
      </w:r>
    </w:p>
  </w:footnote>
  <w:footnote w:id="244">
    <w:p w14:paraId="3906459A" w14:textId="19BFAEEF" w:rsidR="00675856" w:rsidRPr="0047091A" w:rsidRDefault="00675856" w:rsidP="00675856">
      <w:pPr>
        <w:pStyle w:val="FootnoteText"/>
      </w:pPr>
      <w:r w:rsidRPr="0047091A">
        <w:footnoteRef/>
      </w:r>
      <w:r w:rsidRPr="0047091A">
        <w:t xml:space="preserve"> Call for Evidence Feedbacks</w:t>
      </w:r>
      <w:r w:rsidR="0091653A" w:rsidRPr="0047091A">
        <w:t xml:space="preserve"> </w:t>
      </w:r>
      <w:r w:rsidRPr="0047091A">
        <w:t>F3389200, F3389163</w:t>
      </w:r>
    </w:p>
  </w:footnote>
  <w:footnote w:id="245">
    <w:p w14:paraId="40A8FC76" w14:textId="77777777" w:rsidR="00675856" w:rsidRPr="0047091A" w:rsidRDefault="00675856" w:rsidP="00675856">
      <w:pPr>
        <w:pStyle w:val="FootnoteText"/>
      </w:pPr>
      <w:r w:rsidRPr="0047091A">
        <w:rPr>
          <w:rStyle w:val="FootnoteReference"/>
        </w:rPr>
        <w:footnoteRef/>
      </w:r>
      <w:r w:rsidRPr="0047091A">
        <w:t xml:space="preserve"> https://www.europarl.europa.eu/factsheets/en/sheet/55/social-security-cover-in-other-eu-member-states</w:t>
      </w:r>
    </w:p>
  </w:footnote>
  <w:footnote w:id="246">
    <w:p w14:paraId="2DEA1AB4" w14:textId="69A6C191" w:rsidR="00675856" w:rsidRPr="0047091A" w:rsidRDefault="00675856" w:rsidP="00675856">
      <w:pPr>
        <w:pStyle w:val="FootnoteText"/>
      </w:pPr>
      <w:r w:rsidRPr="0047091A">
        <w:rPr>
          <w:rStyle w:val="FootnoteReference"/>
        </w:rPr>
        <w:footnoteRef/>
      </w:r>
      <w:r w:rsidRPr="0047091A">
        <w:t xml:space="preserve"> By, for example, invoking Article 352 TFEU, which requires</w:t>
      </w:r>
      <w:r w:rsidR="0091653A" w:rsidRPr="0047091A">
        <w:t xml:space="preserve"> </w:t>
      </w:r>
      <w:r w:rsidRPr="0047091A">
        <w:t xml:space="preserve">nevertheless unanimity in the Council </w:t>
      </w:r>
    </w:p>
  </w:footnote>
  <w:footnote w:id="247">
    <w:p w14:paraId="090F2B15" w14:textId="77777777" w:rsidR="00675856" w:rsidRPr="0047091A" w:rsidRDefault="00675856" w:rsidP="00675856">
      <w:pPr>
        <w:pStyle w:val="FootnoteText"/>
      </w:pPr>
      <w:r w:rsidRPr="0047091A">
        <w:rPr>
          <w:rStyle w:val="FootnoteReference"/>
        </w:rPr>
        <w:footnoteRef/>
      </w:r>
      <w:r w:rsidRPr="0047091A">
        <w:t xml:space="preserve"> EP Resolution 2019, point 4.</w:t>
      </w:r>
    </w:p>
  </w:footnote>
  <w:footnote w:id="248">
    <w:p w14:paraId="25F4873E" w14:textId="77777777" w:rsidR="00675856" w:rsidRPr="0047091A" w:rsidRDefault="00675856" w:rsidP="00675856">
      <w:pPr>
        <w:pStyle w:val="FootnoteText"/>
      </w:pPr>
      <w:r w:rsidRPr="0047091A">
        <w:rPr>
          <w:rStyle w:val="FootnoteReference"/>
        </w:rPr>
        <w:footnoteRef/>
      </w:r>
      <w:r w:rsidRPr="0047091A">
        <w:t xml:space="preserve"> </w:t>
      </w:r>
      <w:r w:rsidRPr="0047091A">
        <w:rPr>
          <w:rStyle w:val="Hyperlink"/>
        </w:rPr>
        <w:t>https://www.gov.uk/guidance/prompt-payment-policy</w:t>
      </w:r>
    </w:p>
  </w:footnote>
  <w:footnote w:id="249">
    <w:p w14:paraId="30F51B5C" w14:textId="77777777" w:rsidR="00675856" w:rsidRPr="0047091A" w:rsidRDefault="00675856" w:rsidP="00AA0C43">
      <w:pPr>
        <w:pStyle w:val="FootnoteText"/>
        <w:jc w:val="left"/>
        <w:rPr>
          <w:rStyle w:val="Hyperlink"/>
        </w:rPr>
      </w:pPr>
      <w:r w:rsidRPr="0047091A">
        <w:rPr>
          <w:rStyle w:val="FootnoteReference"/>
        </w:rPr>
        <w:footnoteRef/>
      </w:r>
      <w:r w:rsidRPr="0047091A">
        <w:t xml:space="preserve"> </w:t>
      </w:r>
      <w:r w:rsidRPr="0047091A">
        <w:rPr>
          <w:rStyle w:val="Hyperlink"/>
        </w:rPr>
        <w:t>https://assets.publishing.service.gov.uk/government/uploads/system/uploads/attachment_data/file/831507/payment-practices-performance-reporting-requirements.pdf</w:t>
      </w:r>
    </w:p>
  </w:footnote>
  <w:footnote w:id="250">
    <w:p w14:paraId="462756FD" w14:textId="77777777" w:rsidR="00675856" w:rsidRPr="0047091A" w:rsidRDefault="00675856" w:rsidP="00675856">
      <w:pPr>
        <w:pStyle w:val="FootnoteText"/>
      </w:pPr>
      <w:r w:rsidRPr="0047091A">
        <w:rPr>
          <w:rStyle w:val="FootnoteReference"/>
        </w:rPr>
        <w:footnoteRef/>
      </w:r>
      <w:r w:rsidRPr="0047091A">
        <w:t xml:space="preserve"> </w:t>
      </w:r>
      <w:r w:rsidRPr="0047091A">
        <w:rPr>
          <w:rStyle w:val="Hyperlink"/>
        </w:rPr>
        <w:t>https://www.gov.uk/government/publications/procurement-policy-note-0821/procurement-policy-note-0821-taking-account-of-a-bidders-approach-to-payment-in-the-procurement-of-major-government-contracts</w:t>
      </w:r>
    </w:p>
  </w:footnote>
  <w:footnote w:id="251">
    <w:p w14:paraId="4D072A47" w14:textId="64C88491" w:rsidR="00675856" w:rsidRPr="0047091A" w:rsidRDefault="00675856" w:rsidP="00675856">
      <w:pPr>
        <w:pStyle w:val="FootnoteText"/>
        <w:rPr>
          <w:color w:val="0000FF" w:themeColor="hyperlink"/>
          <w:u w:val="single"/>
        </w:rPr>
      </w:pPr>
      <w:r w:rsidRPr="0047091A">
        <w:rPr>
          <w:rStyle w:val="Hyperlink"/>
        </w:rPr>
        <w:footnoteRef/>
      </w:r>
      <w:r w:rsidRPr="0047091A">
        <w:rPr>
          <w:rStyle w:val="Hyperlink"/>
        </w:rPr>
        <w:t xml:space="preserve"> </w:t>
      </w:r>
      <w:hyperlink r:id="rId135" w:history="1">
        <w:r w:rsidRPr="0047091A">
          <w:rPr>
            <w:rStyle w:val="Hyperlink"/>
          </w:rPr>
          <w:t>https://www.biznes.gov.pl/pl/opisy-procedur/-/proc/125</w:t>
        </w:r>
      </w:hyperlink>
    </w:p>
  </w:footnote>
  <w:footnote w:id="252">
    <w:p w14:paraId="26EDC52E" w14:textId="77777777" w:rsidR="00675856" w:rsidRPr="0047091A" w:rsidRDefault="00675856" w:rsidP="00675856">
      <w:pPr>
        <w:pStyle w:val="FootnoteText"/>
      </w:pPr>
      <w:r w:rsidRPr="0047091A">
        <w:rPr>
          <w:rStyle w:val="FootnoteReference"/>
        </w:rPr>
        <w:footnoteRef/>
      </w:r>
      <w:r w:rsidRPr="0047091A">
        <w:t xml:space="preserve"> https://ec.europa.eu/commission/presscorner/detail/en/ip_23_1668</w:t>
      </w:r>
    </w:p>
  </w:footnote>
  <w:footnote w:id="253">
    <w:p w14:paraId="0AB231F5" w14:textId="77777777" w:rsidR="00675856" w:rsidRPr="0047091A" w:rsidRDefault="00675856" w:rsidP="00675856">
      <w:pPr>
        <w:pStyle w:val="FootnoteText"/>
      </w:pPr>
      <w:r w:rsidRPr="0047091A">
        <w:rPr>
          <w:rStyle w:val="FootnoteReference"/>
        </w:rPr>
        <w:footnoteRef/>
      </w:r>
      <w:r w:rsidRPr="0047091A">
        <w:t xml:space="preserve"> Directive (EU) 2022/2464 of the European Parliament and of the Council of 14 December 2022 amending Regulation (EU) No 537/2014, Directive 2004/109/EC, Directive 2006/43/EC and Directive 2013/34/EU, as regards corporate sustainability reporting </w:t>
      </w:r>
      <w:hyperlink r:id="rId136" w:history="1">
        <w:r w:rsidRPr="0047091A">
          <w:rPr>
            <w:rStyle w:val="Hyperlink"/>
          </w:rPr>
          <w:t>https://eur-lex.europa.eu/legal-content/EN/TXT/?uri=celex%3A32022L2464</w:t>
        </w:r>
      </w:hyperlink>
      <w:r w:rsidRPr="0047091A">
        <w:t xml:space="preserve"> </w:t>
      </w:r>
    </w:p>
  </w:footnote>
  <w:footnote w:id="254">
    <w:p w14:paraId="713338FA" w14:textId="77777777" w:rsidR="00675856" w:rsidRPr="0047091A" w:rsidRDefault="00675856" w:rsidP="00675856">
      <w:pPr>
        <w:pStyle w:val="FootnoteText"/>
      </w:pPr>
      <w:r w:rsidRPr="0047091A">
        <w:rPr>
          <w:rStyle w:val="FootnoteReference"/>
        </w:rPr>
        <w:footnoteRef/>
      </w:r>
      <w:r w:rsidRPr="0047091A">
        <w:t xml:space="preserve"> The disclosure requirements of the CSRD proposal would not apply to SMEs with transferable securities listed on SME growth markets or multilateral trading facilities.</w:t>
      </w:r>
    </w:p>
  </w:footnote>
  <w:footnote w:id="255">
    <w:p w14:paraId="551DB8C5" w14:textId="77777777" w:rsidR="00675856" w:rsidRPr="0047091A" w:rsidRDefault="00675856" w:rsidP="00675856">
      <w:pPr>
        <w:pStyle w:val="FootnoteText"/>
      </w:pPr>
      <w:r w:rsidRPr="0047091A">
        <w:rPr>
          <w:rStyle w:val="FootnoteReference"/>
        </w:rPr>
        <w:footnoteRef/>
      </w:r>
      <w:r w:rsidRPr="0047091A">
        <w:t xml:space="preserve"> </w:t>
      </w:r>
      <w:r w:rsidRPr="0047091A">
        <w:rPr>
          <w:rStyle w:val="Hyperlink"/>
        </w:rPr>
        <w:t>https://www.efrag.org/</w:t>
      </w:r>
    </w:p>
  </w:footnote>
  <w:footnote w:id="256">
    <w:p w14:paraId="70463169" w14:textId="77777777" w:rsidR="00675856" w:rsidRPr="0047091A" w:rsidRDefault="00675856" w:rsidP="00675856">
      <w:pPr>
        <w:pStyle w:val="FootnoteText"/>
        <w:rPr>
          <w:rFonts w:eastAsiaTheme="minorHAnsi"/>
          <w:sz w:val="24"/>
          <w:szCs w:val="24"/>
        </w:rPr>
      </w:pPr>
      <w:r w:rsidRPr="0047091A">
        <w:rPr>
          <w:rStyle w:val="FootnoteReference"/>
        </w:rPr>
        <w:footnoteRef/>
      </w:r>
      <w:r w:rsidRPr="0047091A">
        <w:rPr>
          <w:sz w:val="16"/>
          <w:szCs w:val="16"/>
        </w:rPr>
        <w:t xml:space="preserve"> </w:t>
      </w:r>
      <w:hyperlink r:id="rId137" w:history="1">
        <w:r w:rsidRPr="0047091A">
          <w:rPr>
            <w:rFonts w:eastAsiaTheme="minorHAnsi"/>
            <w:color w:val="0000FF"/>
            <w:u w:val="single"/>
          </w:rPr>
          <w:t>First Set of draft ESRS - EFRAG</w:t>
        </w:r>
      </w:hyperlink>
    </w:p>
    <w:p w14:paraId="4FE26CCC" w14:textId="77777777" w:rsidR="00675856" w:rsidRPr="0047091A" w:rsidRDefault="00675856" w:rsidP="00675856">
      <w:pPr>
        <w:pStyle w:val="FootnoteText"/>
      </w:pPr>
    </w:p>
  </w:footnote>
  <w:footnote w:id="257">
    <w:p w14:paraId="3C74BE6D" w14:textId="77777777" w:rsidR="00675856" w:rsidRPr="0047091A" w:rsidRDefault="00675856" w:rsidP="00675856">
      <w:pPr>
        <w:pStyle w:val="FootnoteText"/>
        <w:rPr>
          <w:rFonts w:cstheme="minorHAnsi"/>
          <w:szCs w:val="16"/>
        </w:rPr>
      </w:pPr>
      <w:r w:rsidRPr="0047091A">
        <w:rPr>
          <w:rStyle w:val="FootnoteReference"/>
          <w:rFonts w:cstheme="minorHAnsi"/>
          <w:szCs w:val="16"/>
        </w:rPr>
        <w:footnoteRef/>
      </w:r>
      <w:r w:rsidRPr="0047091A">
        <w:rPr>
          <w:rFonts w:cstheme="minorHAnsi"/>
          <w:szCs w:val="16"/>
        </w:rPr>
        <w:t xml:space="preserve"> Case C-267/18 of 3 October 2019, Delta, </w:t>
      </w:r>
      <w:hyperlink r:id="rId138" w:history="1">
        <w:r w:rsidRPr="0047091A">
          <w:rPr>
            <w:rStyle w:val="Hyperlink"/>
            <w:rFonts w:eastAsiaTheme="majorEastAsia" w:cstheme="minorHAnsi"/>
            <w:szCs w:val="16"/>
          </w:rPr>
          <w:t>https://eur-lex.europa.eu/legal-content/EN/TXT/?uri=CELEX%3A62018CJ0267</w:t>
        </w:r>
      </w:hyperlink>
      <w:r w:rsidRPr="0047091A">
        <w:rPr>
          <w:rFonts w:cstheme="minorHAnsi"/>
          <w:szCs w:val="16"/>
        </w:rPr>
        <w:t xml:space="preserve"> </w:t>
      </w:r>
    </w:p>
    <w:p w14:paraId="65BA4026" w14:textId="77777777" w:rsidR="00675856" w:rsidRPr="0047091A" w:rsidRDefault="00675856" w:rsidP="00675856">
      <w:pPr>
        <w:pStyle w:val="FootnoteText"/>
        <w:rPr>
          <w:rFonts w:cstheme="minorHAnsi"/>
          <w:szCs w:val="16"/>
        </w:rPr>
      </w:pPr>
    </w:p>
  </w:footnote>
  <w:footnote w:id="258">
    <w:p w14:paraId="38933940" w14:textId="77777777" w:rsidR="00641DD0" w:rsidRPr="0047091A" w:rsidRDefault="00641DD0" w:rsidP="00641DD0">
      <w:pPr>
        <w:pStyle w:val="FootnoteText"/>
      </w:pPr>
      <w:r w:rsidRPr="0047091A">
        <w:rPr>
          <w:rStyle w:val="FootnoteReference"/>
        </w:rPr>
        <w:footnoteRef/>
      </w:r>
      <w:r w:rsidRPr="0047091A">
        <w:t xml:space="preserve"> 83% of self-employed and 50% of micros ask to be paid within 30 days (around 30% for small and medium), 50% of small and medium-sized companies ask to be paid within 60 days (38% for micros and 18% for self-employed).</w:t>
      </w:r>
    </w:p>
  </w:footnote>
  <w:footnote w:id="259">
    <w:p w14:paraId="6B8FEC69" w14:textId="77777777" w:rsidR="00CA291F" w:rsidRPr="0047091A" w:rsidRDefault="00CA291F" w:rsidP="00CA291F">
      <w:pPr>
        <w:pStyle w:val="FootnoteText"/>
      </w:pPr>
      <w:r w:rsidRPr="0047091A">
        <w:rPr>
          <w:rStyle w:val="FootnoteReference"/>
        </w:rPr>
        <w:footnoteRef/>
      </w:r>
      <w:r w:rsidRPr="0047091A">
        <w:t xml:space="preserve"> 2022 SAFE survey report “Although the differences are relatively small, problems with late payments do increase with company size, ranging from 40% for micros to 48% for large enterprises.” https://single-market-economy.ec.europa.eu/access-finance/data-and-surveys-safe_en</w:t>
      </w:r>
    </w:p>
  </w:footnote>
  <w:footnote w:id="260">
    <w:p w14:paraId="0B6D6C36" w14:textId="6B9CFE8B" w:rsidR="00CA291F" w:rsidRPr="0047091A" w:rsidRDefault="00CA291F" w:rsidP="00CA291F">
      <w:pPr>
        <w:pStyle w:val="FootnoteText"/>
      </w:pPr>
      <w:r w:rsidRPr="0047091A">
        <w:rPr>
          <w:rStyle w:val="FootnoteReference"/>
        </w:rPr>
        <w:footnoteRef/>
      </w:r>
      <w:r w:rsidRPr="0047091A">
        <w:t xml:space="preserve"> 2020 Eurobarometer survey</w:t>
      </w:r>
      <w:r w:rsidR="002E552C" w:rsidRPr="0047091A">
        <w:t xml:space="preserve"> </w:t>
      </w:r>
      <w:hyperlink r:id="rId139" w:history="1">
        <w:r w:rsidRPr="0047091A">
          <w:rPr>
            <w:rStyle w:val="Hyperlink"/>
          </w:rPr>
          <w:t>https://europa.eu/eurobarometer/surveys/detail/2244</w:t>
        </w:r>
      </w:hyperlink>
      <w:r w:rsidRPr="0047091A">
        <w:t xml:space="preserve"> </w:t>
      </w:r>
    </w:p>
  </w:footnote>
  <w:footnote w:id="261">
    <w:p w14:paraId="7FDD1507" w14:textId="77777777" w:rsidR="00CA291F" w:rsidRPr="0047091A" w:rsidRDefault="00CA291F" w:rsidP="00CA291F">
      <w:pPr>
        <w:pStyle w:val="FootnoteText"/>
      </w:pPr>
      <w:r w:rsidRPr="0047091A">
        <w:rPr>
          <w:rStyle w:val="FootnoteReference"/>
        </w:rPr>
        <w:footnoteRef/>
      </w:r>
      <w:r w:rsidRPr="0047091A">
        <w:t xml:space="preserve"> 2022 SAFE survey report </w:t>
      </w:r>
      <w:hyperlink r:id="rId140" w:history="1">
        <w:r w:rsidRPr="0047091A">
          <w:rPr>
            <w:rStyle w:val="Hyperlink"/>
          </w:rPr>
          <w:t>https://single-market-economy.ec.europa.eu/access-finance/data-and-surveys-safe_en</w:t>
        </w:r>
      </w:hyperlink>
      <w:r w:rsidRPr="0047091A">
        <w:t xml:space="preserve"> </w:t>
      </w:r>
    </w:p>
  </w:footnote>
  <w:footnote w:id="262">
    <w:p w14:paraId="5F7C9D56" w14:textId="60C4D89A" w:rsidR="00CA291F" w:rsidRPr="0047091A" w:rsidRDefault="00CA291F" w:rsidP="00CA291F">
      <w:pPr>
        <w:pStyle w:val="FootnoteText"/>
      </w:pPr>
      <w:r w:rsidRPr="0047091A">
        <w:rPr>
          <w:rStyle w:val="FootnoteReference"/>
          <w:sz w:val="20"/>
        </w:rPr>
        <w:footnoteRef/>
      </w:r>
      <w:r w:rsidRPr="0047091A">
        <w:t xml:space="preserve"> “Under the </w:t>
      </w:r>
      <w:r w:rsidRPr="0047091A">
        <w:rPr>
          <w:i/>
        </w:rPr>
        <w:t>Portfolio of accounts receivable of Polish enterprises study</w:t>
      </w:r>
      <w:r w:rsidRPr="0047091A">
        <w:t xml:space="preserve"> the authors examined costs born by enterprises as a consequence of late payments. Within the framework of the study, costs of late payments to enterprises include: (1) losses resulting from non-payment, (2) costs of interest, (3) costs of debt monitoring and collection, (4) costs of extensive legal procedures designed to reduce the exposure to payment delays, (5) costs of withdrawing from some highly risky markets.” Payment delays: their reasons, scale and consequences, Waldemar</w:t>
      </w:r>
      <w:r w:rsidR="002E552C" w:rsidRPr="0047091A">
        <w:t xml:space="preserve"> </w:t>
      </w:r>
      <w:r w:rsidRPr="0047091A">
        <w:t>Rogowski 2017 (</w:t>
      </w:r>
      <w:hyperlink r:id="rId141" w:history="1">
        <w:r w:rsidRPr="0047091A">
          <w:rPr>
            <w:rStyle w:val="Hyperlink"/>
          </w:rPr>
          <w:t>(PDF) Payment Delays: Their Reasons, Scale and Consequences (researchgate.net)</w:t>
        </w:r>
      </w:hyperlink>
      <w:r w:rsidRPr="0047091A">
        <w:t>)</w:t>
      </w:r>
    </w:p>
  </w:footnote>
  <w:footnote w:id="263">
    <w:p w14:paraId="4AACC661" w14:textId="77777777" w:rsidR="00CA291F" w:rsidRPr="0047091A" w:rsidRDefault="00CA291F" w:rsidP="00CA291F">
      <w:pPr>
        <w:pStyle w:val="FootnoteText"/>
      </w:pPr>
      <w:r w:rsidRPr="0047091A">
        <w:rPr>
          <w:rStyle w:val="FootnoteReference"/>
          <w:sz w:val="20"/>
        </w:rPr>
        <w:footnoteRef/>
      </w:r>
      <w:r w:rsidRPr="0047091A">
        <w:t xml:space="preserve"> “The level of costs of small companies present in the study may be slightly overestimated as the study is based on companies using the services of the National Debt Register of Biuro Informacji Gospodarczej SA. While large companies automatically use this service, in the case of small companies it is possible that using the services of economic information bureaus occurs as a consequence of negative experiences with contractors, and often only companies that have encountered problems with debt recovery on a larger scale explore the customer assessment path in this way” </w:t>
      </w:r>
      <w:hyperlink r:id="rId142" w:history="1">
        <w:r w:rsidRPr="0047091A">
          <w:rPr>
            <w:rStyle w:val="Hyperlink"/>
          </w:rPr>
          <w:t>https://for.org.pl/pliki/artykuly/2628_zatoryraport.pdf</w:t>
        </w:r>
      </w:hyperlink>
      <w:r w:rsidRPr="0047091A">
        <w:t xml:space="preserve"> </w:t>
      </w:r>
    </w:p>
  </w:footnote>
  <w:footnote w:id="264">
    <w:p w14:paraId="614364C8" w14:textId="77777777" w:rsidR="00CA291F" w:rsidRPr="0047091A" w:rsidRDefault="00CA291F" w:rsidP="00CA291F">
      <w:pPr>
        <w:pStyle w:val="FootnoteText"/>
      </w:pPr>
      <w:r w:rsidRPr="0047091A">
        <w:rPr>
          <w:rStyle w:val="FootnoteReference"/>
        </w:rPr>
        <w:footnoteRef/>
      </w:r>
      <w:r w:rsidRPr="0047091A">
        <w:t xml:space="preserve"> D&amp;B 2022 Payment Study https://www.dnb.com/en-ch/knowledge/study/payment-study-2022-download/</w:t>
      </w:r>
    </w:p>
  </w:footnote>
  <w:footnote w:id="265">
    <w:p w14:paraId="717E3BEC" w14:textId="77777777" w:rsidR="00CA291F" w:rsidRPr="0047091A" w:rsidRDefault="00CA291F" w:rsidP="00CA291F">
      <w:pPr>
        <w:spacing w:after="0"/>
      </w:pPr>
      <w:r w:rsidRPr="0047091A">
        <w:rPr>
          <w:rStyle w:val="FootnoteReference"/>
          <w:rFonts w:eastAsiaTheme="minorEastAsia"/>
        </w:rPr>
        <w:footnoteRef/>
      </w:r>
      <w:r w:rsidRPr="0047091A">
        <w:rPr>
          <w:rStyle w:val="FootnoteReference"/>
          <w:rFonts w:eastAsiaTheme="minorEastAsia"/>
        </w:rPr>
        <w:t xml:space="preserve"> </w:t>
      </w:r>
      <w:hyperlink r:id="rId143">
        <w:r w:rsidRPr="0047091A">
          <w:rPr>
            <w:rStyle w:val="FootnoteTextChar"/>
          </w:rPr>
          <w:t>Global Trade Credit Payments Study - CRIBIS &amp; Dun &amp; Bradstreet (dnb.co.uk)</w:t>
        </w:r>
      </w:hyperlink>
      <w:r w:rsidRPr="0047091A">
        <w:rPr>
          <w:rStyle w:val="FootnoteTextChar"/>
        </w:rPr>
        <w:t xml:space="preserve"> </w:t>
      </w:r>
    </w:p>
  </w:footnote>
  <w:footnote w:id="266">
    <w:p w14:paraId="12CDC2D3" w14:textId="77777777" w:rsidR="00CA291F" w:rsidRPr="0047091A" w:rsidRDefault="00CA291F" w:rsidP="00CA291F">
      <w:pPr>
        <w:pStyle w:val="FootnoteText"/>
      </w:pPr>
      <w:r w:rsidRPr="0047091A">
        <w:rPr>
          <w:rStyle w:val="FootnoteReference"/>
        </w:rPr>
        <w:footnoteRef/>
      </w:r>
      <w:r w:rsidRPr="0047091A">
        <w:t xml:space="preserve"> Figures are influenced by the average composition of the clientele of different sizes of companies (for instance, self-employed might have less frequently contracts with large companies than with micros) and by the relative size of creditor and debtor.</w:t>
      </w:r>
    </w:p>
  </w:footnote>
  <w:footnote w:id="267">
    <w:p w14:paraId="7AB7D651" w14:textId="77777777" w:rsidR="00CA291F" w:rsidRPr="0047091A" w:rsidRDefault="00CA291F" w:rsidP="00CA291F">
      <w:pPr>
        <w:pStyle w:val="FootnoteText"/>
      </w:pPr>
      <w:r w:rsidRPr="0047091A">
        <w:rPr>
          <w:rStyle w:val="FootnoteReference"/>
        </w:rPr>
        <w:footnoteRef/>
      </w:r>
      <w:r w:rsidRPr="0047091A">
        <w:t xml:space="preserve"> 83% of self-employed and 50% of micros ask to be paid within 30 days (around 30% for small and medium), 50% of small and medium-sized companies ask to be paid within 60 days (38% for micros and 18% for self-employed).</w:t>
      </w:r>
    </w:p>
  </w:footnote>
  <w:footnote w:id="268">
    <w:p w14:paraId="79A5CE12" w14:textId="44A7B36B" w:rsidR="00CA291F" w:rsidRPr="0047091A" w:rsidRDefault="00CA291F" w:rsidP="00CA291F">
      <w:pPr>
        <w:pStyle w:val="FootnoteText"/>
      </w:pPr>
      <w:r w:rsidRPr="0047091A">
        <w:rPr>
          <w:rStyle w:val="FootnoteReference"/>
        </w:rPr>
        <w:footnoteRef/>
      </w:r>
      <w:r w:rsidRPr="0047091A">
        <w:t xml:space="preserve"> 2020 Eurobarometer survey</w:t>
      </w:r>
      <w:r w:rsidR="002E552C" w:rsidRPr="0047091A">
        <w:t xml:space="preserve"> </w:t>
      </w:r>
      <w:hyperlink r:id="rId144" w:history="1">
        <w:r w:rsidRPr="0047091A">
          <w:rPr>
            <w:rStyle w:val="Hyperlink"/>
          </w:rPr>
          <w:t>https://europa.eu/eurobarometer/surveys/detail/2244</w:t>
        </w:r>
      </w:hyperlink>
      <w:r w:rsidRPr="0047091A">
        <w:t xml:space="preserve"> </w:t>
      </w:r>
    </w:p>
  </w:footnote>
  <w:footnote w:id="269">
    <w:p w14:paraId="68DF7110" w14:textId="77777777" w:rsidR="00CA291F" w:rsidRPr="0047091A" w:rsidRDefault="00CA291F" w:rsidP="00CA291F">
      <w:pPr>
        <w:pStyle w:val="FootnoteText"/>
      </w:pPr>
      <w:r w:rsidRPr="0047091A">
        <w:rPr>
          <w:rStyle w:val="FootnoteReference"/>
        </w:rPr>
        <w:footnoteRef/>
      </w:r>
      <w:r w:rsidRPr="0047091A">
        <w:t xml:space="preserve"> SME panel report</w:t>
      </w:r>
    </w:p>
  </w:footnote>
  <w:footnote w:id="270">
    <w:p w14:paraId="5F015BA3" w14:textId="045AA1E5" w:rsidR="00CA291F" w:rsidRPr="0047091A" w:rsidRDefault="00CA291F" w:rsidP="00CA291F">
      <w:pPr>
        <w:pStyle w:val="FootnoteText"/>
      </w:pPr>
      <w:r w:rsidRPr="0047091A">
        <w:rPr>
          <w:rStyle w:val="FootnoteReference"/>
          <w:sz w:val="20"/>
        </w:rPr>
        <w:footnoteRef/>
      </w:r>
      <w:r w:rsidRPr="0047091A">
        <w:t xml:space="preserve"> Payment delays: their reasons, scale and consequences, Waldemar</w:t>
      </w:r>
      <w:r w:rsidR="002E552C" w:rsidRPr="0047091A">
        <w:t xml:space="preserve"> </w:t>
      </w:r>
      <w:r w:rsidRPr="0047091A">
        <w:t>Rogowski 2017 (</w:t>
      </w:r>
      <w:hyperlink r:id="rId145" w:history="1">
        <w:r w:rsidRPr="0047091A">
          <w:rPr>
            <w:rStyle w:val="Hyperlink"/>
          </w:rPr>
          <w:t>(PDF) Payment Delays: Their Reasons, Scale and Consequences (researchgate.net)</w:t>
        </w:r>
      </w:hyperlink>
      <w:r w:rsidRPr="0047091A">
        <w:t>)</w:t>
      </w:r>
    </w:p>
  </w:footnote>
  <w:footnote w:id="271">
    <w:p w14:paraId="52255A79" w14:textId="77777777" w:rsidR="00CA291F" w:rsidRPr="0047091A" w:rsidRDefault="00CA291F" w:rsidP="00CA291F">
      <w:pPr>
        <w:pStyle w:val="FootnoteText"/>
      </w:pPr>
      <w:r w:rsidRPr="0047091A">
        <w:rPr>
          <w:rStyle w:val="FootnoteReference"/>
        </w:rPr>
        <w:footnoteRef/>
      </w:r>
      <w:r w:rsidRPr="0047091A">
        <w:t xml:space="preserve"> SME panel report</w:t>
      </w:r>
    </w:p>
  </w:footnote>
  <w:footnote w:id="272">
    <w:p w14:paraId="7E0CC120" w14:textId="77777777" w:rsidR="00CA291F" w:rsidRPr="0047091A" w:rsidRDefault="00CA291F" w:rsidP="00CA291F">
      <w:pPr>
        <w:pStyle w:val="FootnoteText"/>
      </w:pPr>
      <w:r w:rsidRPr="0047091A">
        <w:rPr>
          <w:rStyle w:val="FootnoteReference"/>
        </w:rPr>
        <w:footnoteRef/>
      </w:r>
      <w:r w:rsidRPr="0047091A">
        <w:t xml:space="preserve"> SME panel report</w:t>
      </w:r>
    </w:p>
  </w:footnote>
  <w:footnote w:id="273">
    <w:p w14:paraId="4A59DB6A" w14:textId="77777777" w:rsidR="00CA291F" w:rsidRPr="0047091A" w:rsidRDefault="00CA291F" w:rsidP="00CA291F">
      <w:pPr>
        <w:pStyle w:val="FootnoteText"/>
      </w:pPr>
      <w:r w:rsidRPr="0047091A">
        <w:rPr>
          <w:rStyle w:val="FootnoteReference"/>
        </w:rPr>
        <w:footnoteRef/>
      </w:r>
      <w:r w:rsidRPr="0047091A">
        <w:t xml:space="preserve"> SME panel report</w:t>
      </w:r>
    </w:p>
  </w:footnote>
  <w:footnote w:id="274">
    <w:p w14:paraId="744355D5" w14:textId="77777777" w:rsidR="00CA291F" w:rsidRPr="0047091A" w:rsidRDefault="00CA291F" w:rsidP="00CA291F">
      <w:pPr>
        <w:pStyle w:val="FootnoteText"/>
      </w:pPr>
      <w:r w:rsidRPr="0047091A">
        <w:rPr>
          <w:rStyle w:val="FootnoteReference"/>
        </w:rPr>
        <w:footnoteRef/>
      </w:r>
      <w:r w:rsidRPr="0047091A">
        <w:t xml:space="preserve"> SME panel report</w:t>
      </w:r>
    </w:p>
  </w:footnote>
  <w:footnote w:id="275">
    <w:p w14:paraId="5640D4E6" w14:textId="66D2E612" w:rsidR="00CA291F" w:rsidRPr="0047091A" w:rsidRDefault="00CA291F" w:rsidP="00CA291F">
      <w:pPr>
        <w:pStyle w:val="FootnoteText"/>
      </w:pPr>
      <w:r w:rsidRPr="0047091A">
        <w:rPr>
          <w:rStyle w:val="FootnoteReference"/>
        </w:rPr>
        <w:footnoteRef/>
      </w:r>
      <w:r w:rsidRPr="0047091A">
        <w:t xml:space="preserve"> 2020 Eurobarometer survey</w:t>
      </w:r>
      <w:r w:rsidR="002E552C" w:rsidRPr="0047091A">
        <w:t xml:space="preserve"> </w:t>
      </w:r>
      <w:hyperlink r:id="rId146" w:history="1">
        <w:r w:rsidRPr="0047091A">
          <w:rPr>
            <w:rStyle w:val="Hyperlink"/>
          </w:rPr>
          <w:t>https://europa.eu/eurobarometer/surveys/detail/2244</w:t>
        </w:r>
      </w:hyperlink>
      <w:r w:rsidRPr="0047091A">
        <w:t xml:space="preserve"> </w:t>
      </w:r>
    </w:p>
  </w:footnote>
  <w:footnote w:id="276">
    <w:p w14:paraId="10345399" w14:textId="49CAF771" w:rsidR="00CA291F" w:rsidRPr="0047091A" w:rsidRDefault="00CA291F" w:rsidP="00CA291F">
      <w:pPr>
        <w:pStyle w:val="FootnoteText"/>
      </w:pPr>
      <w:r w:rsidRPr="0047091A">
        <w:rPr>
          <w:rStyle w:val="FootnoteReference"/>
          <w:sz w:val="20"/>
        </w:rPr>
        <w:footnoteRef/>
      </w:r>
      <w:r w:rsidRPr="0047091A">
        <w:t xml:space="preserve"> Payment delays: their reasons, scale and consequences, Waldemar</w:t>
      </w:r>
      <w:r w:rsidR="002E552C" w:rsidRPr="0047091A">
        <w:t xml:space="preserve"> </w:t>
      </w:r>
      <w:r w:rsidRPr="0047091A">
        <w:t>Rogowski 2017 (</w:t>
      </w:r>
      <w:hyperlink r:id="rId147" w:history="1">
        <w:r w:rsidRPr="0047091A">
          <w:rPr>
            <w:rStyle w:val="Hyperlink"/>
          </w:rPr>
          <w:t>(PDF) Payment Delays: Their Reasons, Scale and Consequences (researchgate.net)</w:t>
        </w:r>
      </w:hyperlink>
      <w:r w:rsidRPr="0047091A">
        <w:t>)</w:t>
      </w:r>
    </w:p>
  </w:footnote>
  <w:footnote w:id="277">
    <w:p w14:paraId="4277D878" w14:textId="734D8927" w:rsidR="00CA291F" w:rsidRPr="0047091A" w:rsidRDefault="00CA291F" w:rsidP="00CA291F">
      <w:pPr>
        <w:pStyle w:val="FootnoteText"/>
      </w:pPr>
      <w:r w:rsidRPr="0047091A">
        <w:rPr>
          <w:rStyle w:val="FootnoteReference"/>
        </w:rPr>
        <w:footnoteRef/>
      </w:r>
      <w:r w:rsidRPr="0047091A">
        <w:t xml:space="preserve"> 2020 Eurobarometer survey</w:t>
      </w:r>
      <w:r w:rsidR="002E552C" w:rsidRPr="0047091A">
        <w:t xml:space="preserve"> </w:t>
      </w:r>
      <w:hyperlink r:id="rId148" w:history="1">
        <w:r w:rsidRPr="0047091A">
          <w:rPr>
            <w:rStyle w:val="Hyperlink"/>
          </w:rPr>
          <w:t>https://europa.eu/eurobarometer/surveys/detail/2244</w:t>
        </w:r>
      </w:hyperlink>
      <w:r w:rsidRPr="0047091A">
        <w:t xml:space="preserve"> </w:t>
      </w:r>
    </w:p>
  </w:footnote>
  <w:footnote w:id="278">
    <w:p w14:paraId="19D4F243" w14:textId="77777777" w:rsidR="00F06180" w:rsidRPr="0047091A" w:rsidRDefault="00F06180" w:rsidP="00F06180">
      <w:pPr>
        <w:pStyle w:val="FootnoteText"/>
      </w:pPr>
      <w:r w:rsidRPr="0047091A">
        <w:rPr>
          <w:rStyle w:val="FootnoteReference"/>
        </w:rPr>
        <w:footnoteRef/>
      </w:r>
      <w:r w:rsidRPr="0047091A">
        <w:t xml:space="preserve"> 2022 SAFE survey report </w:t>
      </w:r>
      <w:hyperlink r:id="rId149" w:history="1">
        <w:r w:rsidRPr="0047091A">
          <w:rPr>
            <w:rStyle w:val="Hyperlink"/>
          </w:rPr>
          <w:t>https://single-market-economy.ec.europa.eu/access-finance/data-and-surveys-safe_en</w:t>
        </w:r>
      </w:hyperlink>
      <w:r w:rsidRPr="0047091A">
        <w:t xml:space="preserve"> </w:t>
      </w:r>
    </w:p>
  </w:footnote>
  <w:footnote w:id="279">
    <w:p w14:paraId="3B283918" w14:textId="77777777" w:rsidR="00B8535C" w:rsidRPr="0047091A" w:rsidRDefault="00B8535C" w:rsidP="00B8535C">
      <w:pPr>
        <w:pStyle w:val="FootnoteText"/>
      </w:pPr>
      <w:r w:rsidRPr="0047091A">
        <w:rPr>
          <w:rStyle w:val="FootnoteReference"/>
        </w:rPr>
        <w:footnoteRef/>
      </w:r>
      <w:r w:rsidRPr="0047091A">
        <w:t xml:space="preserve"> Bank for international settlements 2018 </w:t>
      </w:r>
      <w:hyperlink r:id="rId150" w:history="1">
        <w:r w:rsidRPr="0047091A">
          <w:rPr>
            <w:rStyle w:val="Hyperlink"/>
          </w:rPr>
          <w:t>https://www.bis.org/cpmi/publ/d173.pdf</w:t>
        </w:r>
      </w:hyperlink>
      <w:r w:rsidRPr="0047091A">
        <w:t xml:space="preserve"> </w:t>
      </w:r>
    </w:p>
  </w:footnote>
  <w:footnote w:id="280">
    <w:p w14:paraId="525B6959" w14:textId="77777777" w:rsidR="00F06180" w:rsidRPr="0047091A" w:rsidRDefault="00F06180" w:rsidP="00F06180">
      <w:pPr>
        <w:pStyle w:val="FootnoteText"/>
      </w:pPr>
      <w:r w:rsidRPr="0047091A">
        <w:rPr>
          <w:rStyle w:val="FootnoteReference"/>
        </w:rPr>
        <w:footnoteRef/>
      </w:r>
      <w:r w:rsidRPr="0047091A">
        <w:t xml:space="preserve"> World Trade Report 2016 </w:t>
      </w:r>
      <w:hyperlink r:id="rId151" w:history="1">
        <w:r w:rsidRPr="0047091A">
          <w:rPr>
            <w:rStyle w:val="Hyperlink"/>
          </w:rPr>
          <w:t>https://www.wto.org/english/res_e/booksp_e/world_trade_report16_e.pdf</w:t>
        </w:r>
      </w:hyperlink>
      <w:r w:rsidRPr="0047091A">
        <w:t xml:space="preserve"> </w:t>
      </w:r>
    </w:p>
  </w:footnote>
  <w:footnote w:id="281">
    <w:p w14:paraId="1DE903D9" w14:textId="77777777" w:rsidR="009867E1" w:rsidRPr="0047091A" w:rsidRDefault="009867E1" w:rsidP="009867E1">
      <w:pPr>
        <w:pStyle w:val="FootnoteText"/>
      </w:pPr>
      <w:r w:rsidRPr="0047091A">
        <w:rPr>
          <w:rStyle w:val="FootnoteReference"/>
        </w:rPr>
        <w:footnoteRef/>
      </w:r>
      <w:r w:rsidRPr="0047091A">
        <w:t xml:space="preserve"> According to the SME panel, the quota of SMEs that are not against the capping of payment terms and that support a 30 days capping is 37% (44% of micros, 31% of small and 27% of medium-sized companies); the quota of SMEs that ask for payments within 30 days is 44% (56% of micros, 32% of small and 30% of medium-sized companies) -we assume that this is the payment term they are comfortable with-. The estimate is the average between the two.</w:t>
      </w:r>
    </w:p>
  </w:footnote>
  <w:footnote w:id="282">
    <w:p w14:paraId="34295D3C" w14:textId="77777777" w:rsidR="009867E1" w:rsidRPr="0047091A" w:rsidRDefault="009867E1" w:rsidP="009867E1">
      <w:pPr>
        <w:pStyle w:val="FootnoteText"/>
      </w:pPr>
      <w:r w:rsidRPr="0047091A">
        <w:rPr>
          <w:rStyle w:val="FootnoteReference"/>
          <w:sz w:val="20"/>
        </w:rPr>
        <w:footnoteRef/>
      </w:r>
      <w:r w:rsidRPr="0047091A">
        <w:t xml:space="preserve"> “43% of companies have experienced a problem caused by a lack of competition when carrying out their business: the most common specific difficulties experienced are high prices and powerful suppliers being able to impose unfair selling conditions (both 57%).” Eurobarometer “SMEs' expectations for an effective competition policy” of October 2022</w:t>
      </w:r>
    </w:p>
  </w:footnote>
  <w:footnote w:id="283">
    <w:p w14:paraId="3294E9C1" w14:textId="77777777" w:rsidR="00CA291F" w:rsidRPr="0047091A" w:rsidRDefault="00CA291F" w:rsidP="00CA291F">
      <w:pPr>
        <w:pStyle w:val="FootnoteText"/>
      </w:pPr>
      <w:r w:rsidRPr="0047091A">
        <w:rPr>
          <w:rStyle w:val="FootnoteReference"/>
        </w:rPr>
        <w:footnoteRef/>
      </w:r>
      <w:r w:rsidRPr="0047091A">
        <w:t xml:space="preserve"> According to the SME panel, the quota of SMEs that are not against the capping of payment terms and that supports a 60 days capping is 28% (18% of micros, 37% of small and 31% of medium-sized companies); the quota of SMEs that ask for payments within 60 days is 42% (33% of micros, 49% of small and 53% of medium-sized companies) -we assume that this is the payment term they are comfortable with-. The estimate is the average between the two.</w:t>
      </w:r>
    </w:p>
  </w:footnote>
  <w:footnote w:id="284">
    <w:p w14:paraId="15D86B68" w14:textId="77777777" w:rsidR="00CA291F" w:rsidRPr="0047091A" w:rsidRDefault="00CA291F" w:rsidP="00CA291F">
      <w:pPr>
        <w:pStyle w:val="FootnoteText"/>
      </w:pPr>
      <w:r w:rsidRPr="0047091A">
        <w:rPr>
          <w:rStyle w:val="FootnoteReference"/>
        </w:rPr>
        <w:footnoteRef/>
      </w:r>
      <w:r w:rsidRPr="0047091A">
        <w:t xml:space="preserve"> In the SME panel, 66% of SMEs encountered at least once clients that deliberately delay the acceptance of services provided and/or of goods delivered, with 25% of SMEs encountering this practice always or often.</w:t>
      </w:r>
    </w:p>
  </w:footnote>
  <w:footnote w:id="285">
    <w:p w14:paraId="696925CB" w14:textId="6941AC5F" w:rsidR="00CA291F" w:rsidRPr="0047091A" w:rsidRDefault="00CA291F" w:rsidP="00CA291F">
      <w:pPr>
        <w:pStyle w:val="FootnoteText"/>
      </w:pPr>
      <w:r w:rsidRPr="0047091A">
        <w:rPr>
          <w:rStyle w:val="FootnoteReference"/>
        </w:rPr>
        <w:footnoteRef/>
      </w:r>
      <w:r w:rsidRPr="0047091A">
        <w:t xml:space="preserve"> </w:t>
      </w:r>
      <w:r w:rsidR="008B2B07" w:rsidRPr="0047091A">
        <w:t>EPR 2022</w:t>
      </w:r>
    </w:p>
  </w:footnote>
  <w:footnote w:id="286">
    <w:p w14:paraId="01DBD396" w14:textId="77777777" w:rsidR="00CA291F" w:rsidRPr="0047091A" w:rsidRDefault="00CA291F" w:rsidP="00CA291F">
      <w:pPr>
        <w:pStyle w:val="FootnoteText"/>
      </w:pPr>
      <w:r w:rsidRPr="0047091A">
        <w:rPr>
          <w:rStyle w:val="FootnoteReference"/>
        </w:rPr>
        <w:footnoteRef/>
      </w:r>
      <w:r w:rsidRPr="0047091A">
        <w:t xml:space="preserve"> SME panel</w:t>
      </w:r>
    </w:p>
  </w:footnote>
  <w:footnote w:id="287">
    <w:p w14:paraId="6950D81D" w14:textId="77777777" w:rsidR="00CA291F" w:rsidRPr="0047091A" w:rsidRDefault="00CA291F" w:rsidP="00CA291F">
      <w:pPr>
        <w:pStyle w:val="FootnoteText"/>
      </w:pPr>
      <w:r w:rsidRPr="0047091A">
        <w:rPr>
          <w:rStyle w:val="FootnoteReference"/>
        </w:rPr>
        <w:footnoteRef/>
      </w:r>
      <w:r w:rsidRPr="0047091A">
        <w:t xml:space="preserve"> In the SME panel, among those SMEs that are not opposed to banning practices and clauses that oblige creditors to waive their rights to late payment interest and compensation in exchange for immediate payment, only 6% of micros, 1% of small and 3% of medium-sized companies have all their invoices payed on time.</w:t>
      </w:r>
    </w:p>
  </w:footnote>
  <w:footnote w:id="288">
    <w:p w14:paraId="5D7FBA56" w14:textId="77777777" w:rsidR="00CA291F" w:rsidRPr="0047091A" w:rsidRDefault="00CA291F" w:rsidP="00CA291F">
      <w:pPr>
        <w:pStyle w:val="FootnoteText"/>
      </w:pPr>
      <w:r w:rsidRPr="0047091A">
        <w:rPr>
          <w:rStyle w:val="FootnoteReference"/>
        </w:rPr>
        <w:footnoteRef/>
      </w:r>
      <w:r w:rsidRPr="0047091A">
        <w:t xml:space="preserve"> Currently, 7% of SMEs preferred not to take any action at all the last time they had to solve a late payment issue.</w:t>
      </w:r>
    </w:p>
  </w:footnote>
  <w:footnote w:id="289">
    <w:p w14:paraId="081C5202" w14:textId="77777777" w:rsidR="00CA291F" w:rsidRPr="0047091A" w:rsidRDefault="00CA291F" w:rsidP="00CA291F">
      <w:pPr>
        <w:pStyle w:val="FootnoteText"/>
      </w:pPr>
      <w:r w:rsidRPr="0047091A">
        <w:rPr>
          <w:rStyle w:val="FootnoteReference"/>
        </w:rPr>
        <w:footnoteRef/>
      </w:r>
      <w:r w:rsidRPr="0047091A">
        <w:t xml:space="preserve"> 98% of small companies have invoices paid late, against 91% of micros and 95% of medium-sized companies.</w:t>
      </w:r>
    </w:p>
  </w:footnote>
  <w:footnote w:id="290">
    <w:p w14:paraId="4182C542" w14:textId="77777777" w:rsidR="00CA291F" w:rsidRPr="0047091A" w:rsidRDefault="00CA291F" w:rsidP="00CA291F">
      <w:pPr>
        <w:pStyle w:val="FootnoteText"/>
      </w:pPr>
      <w:r w:rsidRPr="0047091A">
        <w:rPr>
          <w:rStyle w:val="FootnoteReference"/>
          <w:sz w:val="20"/>
        </w:rPr>
        <w:footnoteRef/>
      </w:r>
      <w:r w:rsidRPr="0047091A">
        <w:t xml:space="preserve"> The proportion of above-threshold public procurement contracts awarded to SMEs in the EU28 in the 2011-2017 for above-threshold works is estimated at 73% (with a high share -32%- to small enterprises) for an overall aggregated value of 26% (13% to small enterprises). Although micro-enterprises would normally have insufficient resources to act as general contractors for above-threshold public works, they still have the opportunity to win parts of the construction when the contract has been broken down into lots. For contracts -not limited to works- above EU thresholds, the total direct and indirect participation of SMEs in terms of aggregated value was estimated to be 49% for the EU-28 (</w:t>
      </w:r>
      <w:hyperlink r:id="rId152" w:history="1">
        <w:r w:rsidRPr="0047091A">
          <w:rPr>
            <w:rStyle w:val="Hyperlink"/>
          </w:rPr>
          <w:t>Analysis of the SMEs' participation in public procurement and the measures to support it, 2019</w:t>
        </w:r>
      </w:hyperlink>
      <w:r w:rsidRPr="0047091A">
        <w:t>)</w:t>
      </w:r>
    </w:p>
  </w:footnote>
  <w:footnote w:id="291">
    <w:p w14:paraId="50D64719" w14:textId="7B00B876" w:rsidR="00CA291F" w:rsidRPr="0047091A" w:rsidRDefault="00CA291F" w:rsidP="00CA291F">
      <w:pPr>
        <w:pStyle w:val="FootnoteText"/>
      </w:pPr>
      <w:r w:rsidRPr="0047091A">
        <w:rPr>
          <w:rStyle w:val="FootnoteReference"/>
          <w:sz w:val="20"/>
        </w:rPr>
        <w:footnoteRef/>
      </w:r>
      <w:r w:rsidRPr="0047091A">
        <w:t xml:space="preserve"> The distribution of works contracts has itself two peaks: the first is at around </w:t>
      </w:r>
      <w:r w:rsidR="00B9110C" w:rsidRPr="0047091A">
        <w:t>EUR </w:t>
      </w:r>
      <w:r w:rsidRPr="0047091A">
        <w:t>500</w:t>
      </w:r>
      <w:r w:rsidR="00B9110C" w:rsidRPr="0047091A">
        <w:t> </w:t>
      </w:r>
      <w:r w:rsidRPr="0047091A">
        <w:t xml:space="preserve">000, and is to a large extent covering CANs that were broken down into lots, and the second is at </w:t>
      </w:r>
      <w:r w:rsidR="00B9110C" w:rsidRPr="0047091A">
        <w:t>EUR </w:t>
      </w:r>
      <w:r w:rsidRPr="0047091A">
        <w:t xml:space="preserve">5 million, dominated by contracts with no subdivision into lots. SMEs begin to become considerably disadvantaged with a contract value of around </w:t>
      </w:r>
      <w:r w:rsidR="00B9110C" w:rsidRPr="0047091A">
        <w:t>EUR </w:t>
      </w:r>
      <w:r w:rsidRPr="0047091A">
        <w:t>1 million for public works. Once the contract value becomes larger, on average main contractors are less likely to employ SMEs, regardless of their role as partner, subcontractor, or supplier. (</w:t>
      </w:r>
      <w:hyperlink r:id="rId153" w:history="1">
        <w:r w:rsidRPr="0047091A">
          <w:rPr>
            <w:rStyle w:val="Hyperlink"/>
          </w:rPr>
          <w:t>Analysis of the SMEs' participation in public procurement and the measures to support it, 2019</w:t>
        </w:r>
      </w:hyperlink>
      <w:r w:rsidRPr="0047091A">
        <w:t>)</w:t>
      </w:r>
    </w:p>
  </w:footnote>
  <w:footnote w:id="292">
    <w:p w14:paraId="477266EB" w14:textId="77777777" w:rsidR="00CA291F" w:rsidRPr="0047091A" w:rsidRDefault="00CA291F" w:rsidP="00CA291F">
      <w:pPr>
        <w:pStyle w:val="FootnoteText"/>
      </w:pPr>
      <w:r w:rsidRPr="0047091A">
        <w:rPr>
          <w:rStyle w:val="FootnoteReference"/>
        </w:rPr>
        <w:footnoteRef/>
      </w:r>
      <w:r w:rsidRPr="0047091A">
        <w:t xml:space="preserve"> The construction industry is dominated by a large number of small companies that provide subcontracting services to their larger counterparts (Edum-Fotwe and McCaffer, 1999); 45% of the micro firms in the construction sector are engaged in any subcontracting relation and about 51% of both small and medium-sized enterprises. It has been estimated that 26% of construction companies are main contractors in a subcontracting relationship and 28% are subcontractors (with an overlap between the two). (</w:t>
      </w:r>
      <w:hyperlink r:id="rId154" w:history="1">
        <w:r w:rsidRPr="0047091A">
          <w:rPr>
            <w:rStyle w:val="Hyperlink"/>
          </w:rPr>
          <w:t>Report on EU SMEs and subcontracting</w:t>
        </w:r>
      </w:hyperlink>
      <w:r w:rsidRPr="0047091A">
        <w:t>, 2009)</w:t>
      </w:r>
    </w:p>
  </w:footnote>
  <w:footnote w:id="293">
    <w:p w14:paraId="2017AB14" w14:textId="77777777" w:rsidR="001D088C" w:rsidRPr="0047091A" w:rsidRDefault="001D088C" w:rsidP="001D088C">
      <w:pPr>
        <w:pStyle w:val="FootnoteText"/>
      </w:pPr>
      <w:r w:rsidRPr="0047091A">
        <w:rPr>
          <w:rStyle w:val="FootnoteReference"/>
        </w:rPr>
        <w:footnoteRef/>
      </w:r>
      <w:r w:rsidRPr="0047091A">
        <w:t xml:space="preserve"> </w:t>
      </w:r>
      <w:hyperlink r:id="rId155" w:history="1">
        <w:r w:rsidRPr="0047091A">
          <w:rPr>
            <w:rStyle w:val="Hyperlink"/>
          </w:rPr>
          <w:t>https://single-market-economy.ec.europa.eu/smes/sme-strategy/late-payment-directive_en</w:t>
        </w:r>
      </w:hyperlink>
    </w:p>
  </w:footnote>
  <w:footnote w:id="294">
    <w:p w14:paraId="470AD50A" w14:textId="77777777" w:rsidR="001D088C" w:rsidRPr="0047091A" w:rsidRDefault="001D088C" w:rsidP="001D088C">
      <w:pPr>
        <w:pStyle w:val="FootnoteText"/>
      </w:pPr>
      <w:r w:rsidRPr="0047091A">
        <w:rPr>
          <w:rStyle w:val="FootnoteReference"/>
        </w:rPr>
        <w:footnoteRef/>
      </w:r>
      <w:r w:rsidRPr="0047091A">
        <w:t xml:space="preserve"> This included the 27 EU member states, UK, Iceland, Liechtenstein, Norway, Switzerland, Montenegro, North Macedonia, Albania, Serbia, Türkiye, Bosnia and Herzegovina, Ukraine and Moldova. </w:t>
      </w:r>
    </w:p>
  </w:footnote>
  <w:footnote w:id="295">
    <w:p w14:paraId="0C894327" w14:textId="77777777" w:rsidR="00A61727" w:rsidRPr="0047091A" w:rsidRDefault="00A61727" w:rsidP="00A61727">
      <w:pPr>
        <w:pStyle w:val="FootnoteText"/>
      </w:pPr>
      <w:r w:rsidRPr="0047091A">
        <w:rPr>
          <w:rStyle w:val="FootnoteReference"/>
        </w:rPr>
        <w:footnoteRef/>
      </w:r>
      <w:r w:rsidRPr="0047091A">
        <w:t xml:space="preserve"> Source: EPR 2022, average of actual payment duration in business-to-consumers, business-to-business and public authorities. Note: Cyprus, Luxembourg and Malta are not included in the 2022 report</w:t>
      </w:r>
    </w:p>
  </w:footnote>
  <w:footnote w:id="296">
    <w:p w14:paraId="2C66139B" w14:textId="0FD4E8E0" w:rsidR="006A29B9" w:rsidRPr="0047091A" w:rsidRDefault="006A29B9">
      <w:pPr>
        <w:pStyle w:val="FootnoteText"/>
      </w:pPr>
      <w:r w:rsidRPr="0047091A">
        <w:rPr>
          <w:rStyle w:val="FootnoteReference"/>
        </w:rPr>
        <w:footnoteRef/>
      </w:r>
      <w:r w:rsidRPr="0047091A">
        <w:t xml:space="preserve"> Source: D&amp;B payment survey 2022 </w:t>
      </w:r>
      <w:hyperlink r:id="rId156" w:history="1">
        <w:r w:rsidRPr="0047091A">
          <w:rPr>
            <w:rStyle w:val="Hyperlink"/>
          </w:rPr>
          <w:t>https://www.dnb.com/en-ch/knowledge/study/payment-study-2022-download/</w:t>
        </w:r>
      </w:hyperlink>
    </w:p>
  </w:footnote>
  <w:footnote w:id="297">
    <w:p w14:paraId="71E928E8" w14:textId="77777777" w:rsidR="00F47F22" w:rsidRPr="0047091A" w:rsidRDefault="00F47F22" w:rsidP="00F47F22">
      <w:pPr>
        <w:pStyle w:val="FootnoteText"/>
      </w:pPr>
      <w:r w:rsidRPr="0047091A">
        <w:rPr>
          <w:rStyle w:val="FootnoteReference"/>
        </w:rPr>
        <w:footnoteRef/>
      </w:r>
      <w:r w:rsidRPr="0047091A">
        <w:t xml:space="preserve"> </w:t>
      </w:r>
      <w:hyperlink r:id="rId157" w:history="1">
        <w:r w:rsidRPr="0047091A">
          <w:rPr>
            <w:rStyle w:val="Hyperlink"/>
          </w:rPr>
          <w:t>https://open.overheid.nl/documenten/ronl-7605121f-911b-4479-bd59-16bc5c05ef5b/pdf</w:t>
        </w:r>
      </w:hyperlink>
    </w:p>
  </w:footnote>
  <w:footnote w:id="298">
    <w:p w14:paraId="18D34358" w14:textId="77777777" w:rsidR="00F47F22" w:rsidRPr="0047091A" w:rsidRDefault="00F47F22" w:rsidP="00F47F22">
      <w:pPr>
        <w:pStyle w:val="FootnoteText"/>
      </w:pPr>
      <w:r w:rsidRPr="0047091A">
        <w:rPr>
          <w:rStyle w:val="FootnoteReference"/>
        </w:rPr>
        <w:footnoteRef/>
      </w:r>
      <w:r w:rsidRPr="0047091A">
        <w:t xml:space="preserve"> </w:t>
      </w:r>
      <w:hyperlink r:id="rId158" w:history="1">
        <w:r w:rsidRPr="0047091A">
          <w:rPr>
            <w:rStyle w:val="Hyperlink"/>
          </w:rPr>
          <w:t>https://business.gov.nl/amendment/legal-payment-term-large-companies-reduced-30-days/</w:t>
        </w:r>
      </w:hyperlink>
    </w:p>
  </w:footnote>
  <w:footnote w:id="299">
    <w:p w14:paraId="7BCB5291" w14:textId="77777777" w:rsidR="00F47F22" w:rsidRPr="0047091A" w:rsidRDefault="00F47F22" w:rsidP="00F47F22">
      <w:pPr>
        <w:rPr>
          <w:color w:val="0000FF" w:themeColor="hyperlink"/>
          <w:u w:val="single"/>
        </w:rPr>
      </w:pPr>
      <w:r w:rsidRPr="0047091A">
        <w:rPr>
          <w:rStyle w:val="FootnoteReference"/>
        </w:rPr>
        <w:footnoteRef/>
      </w:r>
      <w:r w:rsidRPr="0047091A">
        <w:t xml:space="preserve"> </w:t>
      </w:r>
      <w:hyperlink r:id="rId159" w:history="1">
        <w:r w:rsidRPr="0047091A">
          <w:rPr>
            <w:rStyle w:val="Hyperlink"/>
            <w:sz w:val="20"/>
            <w:szCs w:val="20"/>
          </w:rPr>
          <w:t>https://open.overheid.nl/documenten/ronl-7605121f-911b-4479-bd59-16bc5c05ef5b/pdf</w:t>
        </w:r>
      </w:hyperlink>
    </w:p>
  </w:footnote>
  <w:footnote w:id="300">
    <w:p w14:paraId="422B8F71" w14:textId="77777777" w:rsidR="00F47F22" w:rsidRPr="0047091A" w:rsidRDefault="00F47F22" w:rsidP="00F47F22">
      <w:pPr>
        <w:pStyle w:val="FootnoteText"/>
      </w:pPr>
      <w:r w:rsidRPr="0047091A">
        <w:rPr>
          <w:rStyle w:val="FootnoteReference"/>
        </w:rPr>
        <w:footnoteRef/>
      </w:r>
      <w:r w:rsidRPr="0047091A">
        <w:t xml:space="preserve"> Study under preparation by Andersson Elffers Felix – </w:t>
      </w:r>
      <w:hyperlink r:id="rId160" w:history="1">
        <w:r w:rsidRPr="0047091A">
          <w:rPr>
            <w:rStyle w:val="Hyperlink"/>
          </w:rPr>
          <w:t>www.aef.nl</w:t>
        </w:r>
      </w:hyperlink>
    </w:p>
  </w:footnote>
  <w:footnote w:id="301">
    <w:p w14:paraId="1C2ACB2D" w14:textId="77777777" w:rsidR="00F47F22" w:rsidRPr="0047091A" w:rsidRDefault="00F47F22" w:rsidP="00F47F22">
      <w:pPr>
        <w:pStyle w:val="FootnoteText"/>
      </w:pPr>
      <w:r w:rsidRPr="0047091A">
        <w:rPr>
          <w:rStyle w:val="FootnoteReference"/>
        </w:rPr>
        <w:footnoteRef/>
      </w:r>
      <w:r w:rsidRPr="0047091A">
        <w:t xml:space="preserve"> Swedish government, June 2016, Kartläggning av betalningstider i näringslivet. Available at: </w:t>
      </w:r>
      <w:hyperlink r:id="rId161">
        <w:r w:rsidRPr="0047091A">
          <w:rPr>
            <w:rStyle w:val="Hyperlink"/>
          </w:rPr>
          <w:t>http://www.regeringen.se/4ae354/contentassets/a63b746fefc7447194413dd08ad184c6/kartlaggning-av-betaltider-i-naringslivet-2016-slutlig-rapport.pdf</w:t>
        </w:r>
      </w:hyperlink>
    </w:p>
  </w:footnote>
  <w:footnote w:id="302">
    <w:p w14:paraId="07A4423E" w14:textId="77777777" w:rsidR="00344CB3" w:rsidRPr="0047091A" w:rsidRDefault="00344CB3" w:rsidP="00344CB3">
      <w:pPr>
        <w:pStyle w:val="FootnoteText"/>
      </w:pPr>
      <w:r w:rsidRPr="0047091A">
        <w:rPr>
          <w:rStyle w:val="FootnoteReference"/>
        </w:rPr>
        <w:footnoteRef/>
      </w:r>
      <w:r w:rsidRPr="0047091A">
        <w:t xml:space="preserve"> Source: Business-to-business transactions: a comparative analysis of legal measures vs. soft-law instruments for improving payment behaviour </w:t>
      </w:r>
      <w:hyperlink r:id="rId162" w:history="1">
        <w:r w:rsidRPr="0047091A">
          <w:rPr>
            <w:color w:val="0000FF" w:themeColor="hyperlink"/>
            <w:u w:val="single"/>
          </w:rPr>
          <w:t>https://publications.europa.eu/en/publication-detail/-/publication/c8b7391b-9b80-11e8-a408-01aa75ed71a1/language-en/format-PDF/source-103408786</w:t>
        </w:r>
      </w:hyperlink>
    </w:p>
  </w:footnote>
  <w:footnote w:id="303">
    <w:p w14:paraId="3CAB71F6" w14:textId="17E9F4ED" w:rsidR="0024507B" w:rsidRPr="0047091A" w:rsidRDefault="0024507B">
      <w:pPr>
        <w:pStyle w:val="FootnoteText"/>
      </w:pPr>
      <w:r w:rsidRPr="0047091A">
        <w:rPr>
          <w:rStyle w:val="FootnoteReference"/>
        </w:rPr>
        <w:footnoteRef/>
      </w:r>
      <w:r w:rsidRPr="0047091A">
        <w:t xml:space="preserve"> Source: Intrum, </w:t>
      </w:r>
      <w:hyperlink r:id="rId163" w:history="1">
        <w:r w:rsidRPr="0047091A">
          <w:rPr>
            <w:rStyle w:val="Hyperlink"/>
          </w:rPr>
          <w:t>European Payment Report 2022</w:t>
        </w:r>
      </w:hyperlink>
      <w:r w:rsidRPr="0047091A">
        <w:t>. Average actual payment times reported in business-to-business transactions. Note: Data is not available in Cyprus, Luxembourg and Malta.</w:t>
      </w:r>
    </w:p>
  </w:footnote>
  <w:footnote w:id="304">
    <w:p w14:paraId="5C1646BE" w14:textId="77777777" w:rsidR="006B3928" w:rsidRPr="0047091A" w:rsidRDefault="006B3928" w:rsidP="006B3928">
      <w:pPr>
        <w:pStyle w:val="Body"/>
        <w:rPr>
          <w:rFonts w:cs="Times New Roman"/>
          <w:sz w:val="16"/>
          <w:szCs w:val="16"/>
          <w:lang w:eastAsia="en-US"/>
        </w:rPr>
      </w:pPr>
      <w:r w:rsidRPr="0047091A">
        <w:rPr>
          <w:rStyle w:val="FootnoteReference"/>
        </w:rPr>
        <w:footnoteRef/>
      </w:r>
      <w:r w:rsidRPr="0047091A">
        <w:t xml:space="preserve"> </w:t>
      </w:r>
      <w:r w:rsidRPr="0047091A">
        <w:rPr>
          <w:rStyle w:val="FootnoteTextChar"/>
        </w:rPr>
        <w:t xml:space="preserve">Source: DG GROW based on </w:t>
      </w:r>
      <w:r w:rsidRPr="0047091A">
        <w:rPr>
          <w:sz w:val="20"/>
        </w:rPr>
        <w:t xml:space="preserve">D&amp;B Payment Survey, 2022 </w:t>
      </w:r>
      <w:hyperlink r:id="rId164" w:history="1">
        <w:r w:rsidRPr="0047091A">
          <w:rPr>
            <w:rStyle w:val="Hyperlink"/>
            <w:sz w:val="20"/>
          </w:rPr>
          <w:t>https://www.dnb.com/en-ch/knowledge/study/payment-study-2022-download/</w:t>
        </w:r>
      </w:hyperlink>
    </w:p>
    <w:p w14:paraId="5DA4D850" w14:textId="77777777" w:rsidR="006B3928" w:rsidRPr="0047091A" w:rsidRDefault="006B3928" w:rsidP="006B3928">
      <w:pPr>
        <w:pStyle w:val="FootnoteText"/>
      </w:pPr>
    </w:p>
  </w:footnote>
  <w:footnote w:id="305">
    <w:p w14:paraId="4E3C4416" w14:textId="77777777" w:rsidR="005F350B" w:rsidRPr="0047091A" w:rsidRDefault="005F350B" w:rsidP="005F350B">
      <w:pPr>
        <w:pStyle w:val="FootnoteText"/>
      </w:pPr>
      <w:r w:rsidRPr="0047091A">
        <w:rPr>
          <w:rStyle w:val="FootnoteReference"/>
        </w:rPr>
        <w:footnoteRef/>
      </w:r>
      <w:r w:rsidRPr="0047091A">
        <w:t xml:space="preserve"> Source: Business-to-business transactions: a comparative analysis of legal measures vs. soft-law instruments for improving payment behaviour </w:t>
      </w:r>
      <w:hyperlink r:id="rId165" w:history="1">
        <w:r w:rsidRPr="0047091A">
          <w:rPr>
            <w:color w:val="0000FF" w:themeColor="hyperlink"/>
            <w:u w:val="single"/>
          </w:rPr>
          <w:t>https://publications.europa.eu/en/publication-detail/-/publication/c8b7391b-9b80-11e8-a408-01aa75ed71a1/language-en/format-PDF/source-103408786</w:t>
        </w:r>
      </w:hyperlink>
    </w:p>
  </w:footnote>
  <w:footnote w:id="306">
    <w:p w14:paraId="58DCF2F2" w14:textId="68BE8F6B" w:rsidR="008F5759" w:rsidRPr="0047091A" w:rsidRDefault="008F5759">
      <w:pPr>
        <w:pStyle w:val="FootnoteText"/>
      </w:pPr>
      <w:r w:rsidRPr="0047091A">
        <w:rPr>
          <w:rStyle w:val="FootnoteReference"/>
        </w:rPr>
        <w:footnoteRef/>
      </w:r>
      <w:r w:rsidRPr="0047091A">
        <w:t xml:space="preserve"> Source: CRIBIS D&amp;B Payment Study 2022 - </w:t>
      </w:r>
      <w:hyperlink r:id="rId166" w:history="1">
        <w:r w:rsidRPr="0047091A">
          <w:rPr>
            <w:rStyle w:val="Hyperlink"/>
          </w:rPr>
          <w:t>https://www.dnb.com/en-ch/knowledge/study/payment-study-2022-download/</w:t>
        </w:r>
      </w:hyperlink>
    </w:p>
  </w:footnote>
  <w:footnote w:id="307">
    <w:p w14:paraId="3864D164" w14:textId="0392437B" w:rsidR="00A47DB3" w:rsidRPr="0047091A" w:rsidRDefault="00A47DB3">
      <w:pPr>
        <w:pStyle w:val="FootnoteText"/>
      </w:pPr>
      <w:r w:rsidRPr="0047091A">
        <w:rPr>
          <w:rStyle w:val="FootnoteReference"/>
        </w:rPr>
        <w:footnoteRef/>
      </w:r>
      <w:r w:rsidRPr="0047091A">
        <w:t xml:space="preserve"> SAFE Survey 2022</w:t>
      </w:r>
    </w:p>
  </w:footnote>
  <w:footnote w:id="308">
    <w:p w14:paraId="70B4294B" w14:textId="77777777" w:rsidR="00FE4108" w:rsidRPr="0047091A" w:rsidRDefault="00FE4108" w:rsidP="00FE4108">
      <w:pPr>
        <w:pStyle w:val="FootnoteText"/>
      </w:pPr>
      <w:r w:rsidRPr="0047091A">
        <w:rPr>
          <w:rStyle w:val="FootnoteReference"/>
        </w:rPr>
        <w:footnoteRef/>
      </w:r>
      <w:r w:rsidRPr="0047091A">
        <w:t xml:space="preserve"> Intrum, </w:t>
      </w:r>
      <w:hyperlink r:id="rId167" w:history="1">
        <w:r w:rsidRPr="0047091A">
          <w:rPr>
            <w:rStyle w:val="Hyperlink"/>
          </w:rPr>
          <w:t>European Payment Report 2021</w:t>
        </w:r>
      </w:hyperlink>
    </w:p>
  </w:footnote>
  <w:footnote w:id="309">
    <w:p w14:paraId="399C43FE" w14:textId="77777777" w:rsidR="00E10C50" w:rsidRPr="0047091A" w:rsidRDefault="00E10C50" w:rsidP="00E10C50">
      <w:pPr>
        <w:pStyle w:val="FootnoteText"/>
      </w:pPr>
      <w:r w:rsidRPr="0047091A">
        <w:rPr>
          <w:rStyle w:val="FootnoteReference"/>
        </w:rPr>
        <w:footnoteRef/>
      </w:r>
      <w:r w:rsidRPr="0047091A">
        <w:t xml:space="preserve"> </w:t>
      </w:r>
      <w:hyperlink r:id="rId168" w:history="1">
        <w:r w:rsidRPr="0047091A">
          <w:rPr>
            <w:rStyle w:val="Hyperlink"/>
          </w:rPr>
          <w:t>https://www.intrum.com/publications/european-payment-report/european-payment-report-2021/</w:t>
        </w:r>
      </w:hyperlink>
    </w:p>
  </w:footnote>
  <w:footnote w:id="310">
    <w:p w14:paraId="6C65D132" w14:textId="77777777" w:rsidR="007865B1" w:rsidRPr="0047091A" w:rsidRDefault="007865B1" w:rsidP="007865B1">
      <w:pPr>
        <w:pStyle w:val="FootnoteText"/>
      </w:pPr>
      <w:r w:rsidRPr="0047091A">
        <w:rPr>
          <w:rStyle w:val="FootnoteReference"/>
        </w:rPr>
        <w:footnoteRef/>
      </w:r>
      <w:r w:rsidRPr="0047091A">
        <w:t xml:space="preserve"> Days sales outstanding (DSO) is the average number of days it takes a company to receive payment and it is calculated as follows: DSO= (average amount of the account receivable/revenue) * 365 days. A high DSO number suggests that a company is experiencing delays in receiving payments, which can result in a cash flow problem. A low DSO indicates that the company is getting its payments quickly. The DSO has a direct impact on the Working Capital Requirement of a company, on the cash and on the overall risk to have unpaid invoices and bad debts. Lower is a company’s DSO, lower is its WCR. The results are better cash flow and profitability (source: Investopedia)</w:t>
      </w:r>
    </w:p>
  </w:footnote>
  <w:footnote w:id="311">
    <w:p w14:paraId="19174AB3" w14:textId="77777777" w:rsidR="007865B1" w:rsidRPr="0047091A" w:rsidRDefault="007865B1" w:rsidP="007865B1">
      <w:pPr>
        <w:pStyle w:val="FootnoteText"/>
        <w:jc w:val="left"/>
      </w:pPr>
      <w:r w:rsidRPr="0047091A">
        <w:rPr>
          <w:rStyle w:val="FootnoteReference"/>
        </w:rPr>
        <w:footnoteRef/>
      </w:r>
      <w:r w:rsidRPr="0047091A">
        <w:t xml:space="preserve"> </w:t>
      </w:r>
      <w:hyperlink r:id="rId169" w:history="1">
        <w:r w:rsidRPr="0047091A">
          <w:rPr>
            <w:rStyle w:val="Hyperlink"/>
          </w:rPr>
          <w:t>https://www.allianz.com/content/dam/onemarketing/azcom/Allianz_com/economic-research/publications/specials/en/2021/july/2021_07_22_WCR.pdf</w:t>
        </w:r>
      </w:hyperlink>
    </w:p>
  </w:footnote>
  <w:footnote w:id="312">
    <w:p w14:paraId="2D997F48" w14:textId="77777777" w:rsidR="007865B1" w:rsidRPr="0047091A" w:rsidRDefault="007865B1" w:rsidP="007865B1">
      <w:pPr>
        <w:pStyle w:val="FootnoteText"/>
      </w:pPr>
      <w:r w:rsidRPr="0047091A">
        <w:rPr>
          <w:rStyle w:val="FootnoteReference"/>
        </w:rPr>
        <w:footnoteRef/>
      </w:r>
      <w:r w:rsidRPr="0047091A">
        <w:t xml:space="preserve"> </w:t>
      </w:r>
      <w:hyperlink r:id="rId170" w:history="1">
        <w:r w:rsidRPr="0047091A">
          <w:rPr>
            <w:rStyle w:val="Hyperlink"/>
          </w:rPr>
          <w:t>https://www.ordermentum.com/blog/the-true-cost-of-late-payments</w:t>
        </w:r>
      </w:hyperlink>
    </w:p>
  </w:footnote>
  <w:footnote w:id="313">
    <w:p w14:paraId="74B4C738" w14:textId="77777777" w:rsidR="007865B1" w:rsidRPr="0047091A" w:rsidRDefault="007865B1" w:rsidP="007865B1">
      <w:pPr>
        <w:pStyle w:val="FootnoteText"/>
      </w:pPr>
      <w:r w:rsidRPr="0047091A">
        <w:rPr>
          <w:rStyle w:val="FootnoteReference"/>
        </w:rPr>
        <w:footnoteRef/>
      </w:r>
      <w:r w:rsidRPr="0047091A">
        <w:t xml:space="preserve"> </w:t>
      </w:r>
      <w:hyperlink r:id="rId171" w:history="1">
        <w:r w:rsidRPr="0047091A">
          <w:rPr>
            <w:rStyle w:val="Hyperlink"/>
          </w:rPr>
          <w:t>https://www.icaew.com/insights/viewpoints-on-the-news/2022/oct-2022/the-impact-of-late-payments-on-small-businesses</w:t>
        </w:r>
      </w:hyperlink>
      <w:r w:rsidRPr="0047091A">
        <w:t xml:space="preserve"> </w:t>
      </w:r>
    </w:p>
  </w:footnote>
  <w:footnote w:id="314">
    <w:p w14:paraId="564B95EB" w14:textId="77777777" w:rsidR="007865B1" w:rsidRPr="0047091A" w:rsidRDefault="007865B1" w:rsidP="007865B1">
      <w:pPr>
        <w:pStyle w:val="FootnoteText"/>
      </w:pPr>
      <w:r w:rsidRPr="0047091A">
        <w:rPr>
          <w:rStyle w:val="FootnoteReference"/>
        </w:rPr>
        <w:footnoteRef/>
      </w:r>
      <w:r w:rsidRPr="0047091A">
        <w:t xml:space="preserve"> </w:t>
      </w:r>
      <w:hyperlink r:id="rId172" w:history="1">
        <w:r w:rsidRPr="0047091A">
          <w:rPr>
            <w:rStyle w:val="Hyperlink"/>
          </w:rPr>
          <w:t>https://www.chaserhq.com/blog/87-of-businesses-paid-late-insights-from-2022-late-payments-report</w:t>
        </w:r>
      </w:hyperlink>
      <w:r w:rsidRPr="0047091A">
        <w:t xml:space="preserve"> </w:t>
      </w:r>
    </w:p>
  </w:footnote>
  <w:footnote w:id="315">
    <w:p w14:paraId="2CC34BD6" w14:textId="77777777" w:rsidR="007865B1" w:rsidRPr="0047091A" w:rsidRDefault="007865B1" w:rsidP="007865B1">
      <w:pPr>
        <w:pStyle w:val="FootnoteText"/>
      </w:pPr>
      <w:r w:rsidRPr="0047091A">
        <w:rPr>
          <w:rStyle w:val="FootnoteReference"/>
        </w:rPr>
        <w:footnoteRef/>
      </w:r>
      <w:r w:rsidRPr="0047091A">
        <w:t xml:space="preserve"> The revised GPA came into force in April 2014. The GPA intends to bring more competition, transparency and procedural fairness in the procurement markets it covers. The GPA also serves broader purposes of promoting good governance, the efficient and effective management of public resources, and the attainment of best value for money in national procurement systems. The basic approach of the GPA is to leave options for each government to decide on, as long as general principles of transparency and non- discrimination are complied with.</w:t>
      </w:r>
    </w:p>
  </w:footnote>
  <w:footnote w:id="316">
    <w:p w14:paraId="5B41270F" w14:textId="77777777" w:rsidR="007865B1" w:rsidRPr="0047091A" w:rsidRDefault="007865B1" w:rsidP="007865B1">
      <w:pPr>
        <w:pStyle w:val="FootnoteText"/>
      </w:pPr>
      <w:r w:rsidRPr="0047091A">
        <w:rPr>
          <w:rStyle w:val="FootnoteReference"/>
        </w:rPr>
        <w:footnoteRef/>
      </w:r>
      <w:r w:rsidRPr="0047091A">
        <w:t xml:space="preserve"> </w:t>
      </w:r>
      <w:hyperlink r:id="rId173" w:history="1">
        <w:r w:rsidRPr="0047091A">
          <w:rPr>
            <w:rStyle w:val="Hyperlink"/>
          </w:rPr>
          <w:t>https://open.overheid.nl/documenten/ronl-7605121f-911b-4479-bd59-16bc5c05ef5b/pdf</w:t>
        </w:r>
      </w:hyperlink>
    </w:p>
  </w:footnote>
  <w:footnote w:id="317">
    <w:p w14:paraId="6D844DE0" w14:textId="77777777" w:rsidR="007865B1" w:rsidRPr="0047091A" w:rsidRDefault="007865B1" w:rsidP="007865B1">
      <w:pPr>
        <w:pStyle w:val="FootnoteText"/>
      </w:pPr>
      <w:r w:rsidRPr="0047091A">
        <w:rPr>
          <w:rStyle w:val="FootnoteReference"/>
        </w:rPr>
        <w:footnoteRef/>
      </w:r>
      <w:r w:rsidRPr="0047091A">
        <w:t xml:space="preserve"> </w:t>
      </w:r>
      <w:hyperlink r:id="rId174" w:history="1">
        <w:r w:rsidRPr="0047091A">
          <w:rPr>
            <w:rStyle w:val="Hyperlink"/>
          </w:rPr>
          <w:t>https://www.bca.com.au/supplier_payment_code</w:t>
        </w:r>
      </w:hyperlink>
      <w:r w:rsidRPr="0047091A">
        <w:t xml:space="preserve"> </w:t>
      </w:r>
    </w:p>
  </w:footnote>
  <w:footnote w:id="318">
    <w:p w14:paraId="07AC8C01" w14:textId="77777777" w:rsidR="007865B1" w:rsidRPr="0047091A" w:rsidRDefault="007865B1" w:rsidP="007865B1">
      <w:pPr>
        <w:pStyle w:val="FootnoteText"/>
      </w:pPr>
      <w:r w:rsidRPr="0047091A">
        <w:rPr>
          <w:rStyle w:val="FootnoteReference"/>
        </w:rPr>
        <w:footnoteRef/>
      </w:r>
      <w:r w:rsidRPr="0047091A">
        <w:t xml:space="preserve"> </w:t>
      </w:r>
      <w:hyperlink r:id="rId175" w:history="1">
        <w:r w:rsidRPr="0047091A">
          <w:rPr>
            <w:rStyle w:val="Hyperlink"/>
          </w:rPr>
          <w:t>Review of the Australian Supplier Payment Code</w:t>
        </w:r>
      </w:hyperlink>
      <w:r w:rsidRPr="0047091A">
        <w:t>, January 2019</w:t>
      </w:r>
    </w:p>
  </w:footnote>
  <w:footnote w:id="319">
    <w:p w14:paraId="0183BF22" w14:textId="77777777" w:rsidR="007865B1" w:rsidRPr="0047091A" w:rsidRDefault="007865B1" w:rsidP="007865B1">
      <w:pPr>
        <w:pStyle w:val="FootnoteText"/>
      </w:pPr>
      <w:r w:rsidRPr="0047091A">
        <w:rPr>
          <w:rStyle w:val="FootnoteReference"/>
        </w:rPr>
        <w:footnoteRef/>
      </w:r>
      <w:r w:rsidRPr="0047091A">
        <w:t xml:space="preserve"> The review recommended the establishment of a small business register and to encourage signatories to adopt the ‘turnover’ definition of a small business and phasing out the ‘headcount’ definition.</w:t>
      </w:r>
    </w:p>
  </w:footnote>
  <w:footnote w:id="320">
    <w:p w14:paraId="36483ABE" w14:textId="77777777" w:rsidR="007865B1" w:rsidRPr="0047091A" w:rsidRDefault="007865B1" w:rsidP="007865B1">
      <w:pPr>
        <w:pStyle w:val="FootnoteText"/>
      </w:pPr>
      <w:r w:rsidRPr="0047091A">
        <w:rPr>
          <w:rStyle w:val="FootnoteReference"/>
        </w:rPr>
        <w:footnoteRef/>
      </w:r>
      <w:r w:rsidRPr="0047091A">
        <w:t xml:space="preserve"> The review recommended the application of the ‘mutually agreed terms’ exemption for payment beyond 30 days to be subject to a ‘good faith and fair dealings provision’ test, so that suppliers “are afforded both fairness of process (good faith) and fairness in outcomes (fair dealings)”. </w:t>
      </w:r>
    </w:p>
  </w:footnote>
  <w:footnote w:id="321">
    <w:p w14:paraId="0C025821" w14:textId="77777777" w:rsidR="007865B1" w:rsidRPr="0047091A" w:rsidRDefault="007865B1" w:rsidP="007865B1">
      <w:pPr>
        <w:pStyle w:val="FootnoteText"/>
      </w:pPr>
      <w:r w:rsidRPr="0047091A">
        <w:rPr>
          <w:rStyle w:val="FootnoteReference"/>
        </w:rPr>
        <w:footnoteRef/>
      </w:r>
      <w:r w:rsidRPr="0047091A">
        <w:t xml:space="preserve"> </w:t>
      </w:r>
      <w:hyperlink r:id="rId176" w:history="1">
        <w:r w:rsidRPr="0047091A">
          <w:rPr>
            <w:rStyle w:val="Hyperlink"/>
          </w:rPr>
          <w:t>https://www.finance.gov.au/publications/resource-management-guides/supplier-pay-time-or-pay-interest-policy-rmg-417/part-1-policy-and-practice</w:t>
        </w:r>
      </w:hyperlink>
      <w:r w:rsidRPr="0047091A">
        <w:t xml:space="preserve"> </w:t>
      </w:r>
    </w:p>
  </w:footnote>
  <w:footnote w:id="322">
    <w:p w14:paraId="50FBA568" w14:textId="77777777" w:rsidR="007865B1" w:rsidRPr="0047091A" w:rsidRDefault="007865B1" w:rsidP="007865B1">
      <w:pPr>
        <w:pStyle w:val="FootnoteText"/>
      </w:pPr>
      <w:r w:rsidRPr="0047091A">
        <w:rPr>
          <w:rStyle w:val="FootnoteReference"/>
        </w:rPr>
        <w:footnoteRef/>
      </w:r>
      <w:r w:rsidRPr="0047091A">
        <w:rPr>
          <w:rStyle w:val="FootnoteReference"/>
        </w:rPr>
        <w:t xml:space="preserve"> </w:t>
      </w:r>
      <w:hyperlink r:id="rId177">
        <w:r w:rsidRPr="0047091A">
          <w:t>Payment Times Reporting Scheme | Treasury.gov.au</w:t>
        </w:r>
      </w:hyperlink>
      <w:r w:rsidRPr="0047091A">
        <w:t xml:space="preserve"> - </w:t>
      </w:r>
      <w:hyperlink r:id="rId178" w:history="1">
        <w:r w:rsidRPr="0047091A">
          <w:rPr>
            <w:rStyle w:val="Hyperlink"/>
          </w:rPr>
          <w:t>https://treasury.gov.au/small-business/PTRS</w:t>
        </w:r>
      </w:hyperlink>
      <w:r w:rsidRPr="0047091A">
        <w:t xml:space="preserve"> </w:t>
      </w:r>
    </w:p>
    <w:p w14:paraId="61056231" w14:textId="77777777" w:rsidR="007865B1" w:rsidRPr="0047091A" w:rsidRDefault="00BC129D" w:rsidP="007865B1">
      <w:pPr>
        <w:pStyle w:val="FootnoteText"/>
      </w:pPr>
      <w:hyperlink r:id="rId179" w:history="1">
        <w:r w:rsidR="007865B1" w:rsidRPr="0047091A">
          <w:rPr>
            <w:rStyle w:val="Hyperlink"/>
          </w:rPr>
          <w:t>https://www.legislation.gov.au/Details/C2021C00531</w:t>
        </w:r>
      </w:hyperlink>
      <w:r w:rsidR="007865B1" w:rsidRPr="0047091A">
        <w:t xml:space="preserve"> </w:t>
      </w:r>
    </w:p>
  </w:footnote>
  <w:footnote w:id="323">
    <w:p w14:paraId="2694E2B8" w14:textId="77777777" w:rsidR="007865B1" w:rsidRPr="0047091A" w:rsidRDefault="007865B1" w:rsidP="007865B1">
      <w:pPr>
        <w:pStyle w:val="FootnoteText"/>
      </w:pPr>
      <w:r w:rsidRPr="0047091A">
        <w:rPr>
          <w:rStyle w:val="FootnoteReference"/>
        </w:rPr>
        <w:footnoteRef/>
      </w:r>
      <w:r w:rsidRPr="0047091A">
        <w:t xml:space="preserve"> Income greater than $100m p/a; or Income greater than $10m p/a if the entity is part of a group with a combined total income of greater than $100m p/a.</w:t>
      </w:r>
    </w:p>
  </w:footnote>
  <w:footnote w:id="324">
    <w:p w14:paraId="38CA7C6B" w14:textId="77777777" w:rsidR="007865B1" w:rsidRPr="0047091A" w:rsidRDefault="007865B1" w:rsidP="007865B1">
      <w:pPr>
        <w:pStyle w:val="FootnoteText"/>
      </w:pPr>
      <w:r w:rsidRPr="0047091A">
        <w:rPr>
          <w:rStyle w:val="FootnoteReference"/>
        </w:rPr>
        <w:footnoteRef/>
      </w:r>
      <w:r w:rsidRPr="0047091A">
        <w:rPr>
          <w:rStyle w:val="FootnoteReference"/>
        </w:rPr>
        <w:t xml:space="preserve"> </w:t>
      </w:r>
      <w:r w:rsidRPr="0047091A">
        <w:t>Reporting has to include: Standard payment periods to small businesses (including the most common, shortest &amp; longest). The proportion (by total number &amp; total value) of small business invoices paid within the following payment brackets from the issue date of invoice: less than 21 days, 21-30 days, 31-60 days, 61-90 days, 91-120 days, 120+ days. The proportion (by value) of procurement from small business suppliers. Details of use/offers of supply chain finance to small businesses.</w:t>
      </w:r>
    </w:p>
  </w:footnote>
  <w:footnote w:id="325">
    <w:p w14:paraId="4B13EAF7" w14:textId="77777777" w:rsidR="007865B1" w:rsidRPr="0047091A" w:rsidRDefault="007865B1" w:rsidP="007865B1">
      <w:pPr>
        <w:pStyle w:val="FootnoteText"/>
      </w:pPr>
      <w:r w:rsidRPr="0047091A">
        <w:rPr>
          <w:rStyle w:val="FootnoteReference"/>
        </w:rPr>
        <w:footnoteRef/>
      </w:r>
      <w:r w:rsidRPr="0047091A">
        <w:t xml:space="preserve"> </w:t>
      </w:r>
      <w:hyperlink r:id="rId180" w:history="1">
        <w:r w:rsidRPr="0047091A">
          <w:rPr>
            <w:rStyle w:val="Hyperlink"/>
          </w:rPr>
          <w:t>https://legislation.nsw.gov.au/view/html/inforce/current/act-1999-046</w:t>
        </w:r>
      </w:hyperlink>
      <w:r w:rsidRPr="0047091A">
        <w:t xml:space="preserve"> </w:t>
      </w:r>
    </w:p>
  </w:footnote>
  <w:footnote w:id="326">
    <w:p w14:paraId="5629D441" w14:textId="77777777" w:rsidR="007865B1" w:rsidRPr="0047091A" w:rsidRDefault="007865B1" w:rsidP="007865B1">
      <w:pPr>
        <w:pStyle w:val="FootnoteText"/>
      </w:pPr>
      <w:r w:rsidRPr="0047091A">
        <w:rPr>
          <w:rStyle w:val="FootnoteReference"/>
        </w:rPr>
        <w:footnoteRef/>
      </w:r>
      <w:r w:rsidRPr="0047091A">
        <w:t xml:space="preserve"> Singleton Reynolds Report, 2018, </w:t>
      </w:r>
      <w:hyperlink r:id="rId181" w:history="1">
        <w:r w:rsidRPr="0047091A">
          <w:rPr>
            <w:rStyle w:val="Hyperlink"/>
          </w:rPr>
          <w:t>https://www.cca-acc.com/wp-content/uploads/2020/09/Building-a-Federal-Framework-Report.pdf</w:t>
        </w:r>
      </w:hyperlink>
      <w:r w:rsidRPr="0047091A">
        <w:t xml:space="preserve"> </w:t>
      </w:r>
    </w:p>
  </w:footnote>
  <w:footnote w:id="327">
    <w:p w14:paraId="1DC0A93E" w14:textId="77777777" w:rsidR="007865B1" w:rsidRPr="0047091A" w:rsidRDefault="007865B1" w:rsidP="007865B1">
      <w:pPr>
        <w:pStyle w:val="FootnoteText"/>
      </w:pPr>
      <w:r w:rsidRPr="0047091A">
        <w:rPr>
          <w:rStyle w:val="FootnoteReference"/>
        </w:rPr>
        <w:footnoteRef/>
      </w:r>
      <w:r w:rsidRPr="0047091A">
        <w:t xml:space="preserve"> Limiting payment terms for federal projects to 42 days being, 28 days for payment to the prime contractor, 7 days for following payments to subcontractors and a further 7 days for those sub-contractors to pay their suppliers. </w:t>
      </w:r>
      <w:hyperlink r:id="rId182" w:history="1">
        <w:r w:rsidRPr="0047091A">
          <w:rPr>
            <w:rStyle w:val="Hyperlink"/>
          </w:rPr>
          <w:t>https://laws.justice.gc.ca/eng/acts/F-7.7/FullText.html</w:t>
        </w:r>
      </w:hyperlink>
      <w:r w:rsidRPr="0047091A">
        <w:t xml:space="preserve"> </w:t>
      </w:r>
    </w:p>
    <w:p w14:paraId="03296B05" w14:textId="77777777" w:rsidR="007865B1" w:rsidRPr="0047091A" w:rsidRDefault="00BC129D" w:rsidP="007865B1">
      <w:pPr>
        <w:pStyle w:val="FootnoteText"/>
      </w:pPr>
      <w:hyperlink r:id="rId183" w:history="1">
        <w:r w:rsidR="007865B1" w:rsidRPr="0047091A">
          <w:rPr>
            <w:rStyle w:val="Hyperlink"/>
          </w:rPr>
          <w:t>https://www.cca-acc.com/advocacy/critical-issues/prompt-payment</w:t>
        </w:r>
      </w:hyperlink>
      <w:r w:rsidR="007865B1" w:rsidRPr="0047091A">
        <w:t xml:space="preserve">/ </w:t>
      </w:r>
    </w:p>
  </w:footnote>
  <w:footnote w:id="328">
    <w:p w14:paraId="66FB5AD5" w14:textId="77777777" w:rsidR="007865B1" w:rsidRPr="0047091A" w:rsidRDefault="007865B1" w:rsidP="007865B1">
      <w:pPr>
        <w:pStyle w:val="FootnoteText"/>
      </w:pPr>
      <w:r w:rsidRPr="0047091A">
        <w:rPr>
          <w:rStyle w:val="FootnoteReference"/>
        </w:rPr>
        <w:footnoteRef/>
      </w:r>
      <w:r w:rsidRPr="0047091A">
        <w:t xml:space="preserve"> </w:t>
      </w:r>
      <w:hyperlink r:id="rId184" w:history="1">
        <w:r w:rsidRPr="0047091A">
          <w:rPr>
            <w:rStyle w:val="Hyperlink"/>
          </w:rPr>
          <w:t xml:space="preserve">https://www.osler.com/en/resources/in-focus/canadian-prompt-payment-and-construction-law-reforms </w:t>
        </w:r>
      </w:hyperlink>
      <w:r w:rsidRPr="0047091A">
        <w:t xml:space="preserve"> </w:t>
      </w:r>
    </w:p>
    <w:p w14:paraId="53D88A2D" w14:textId="77777777" w:rsidR="007865B1" w:rsidRPr="0047091A" w:rsidRDefault="00BC129D" w:rsidP="007865B1">
      <w:pPr>
        <w:pStyle w:val="FootnoteText"/>
      </w:pPr>
      <w:hyperlink r:id="rId185" w:history="1">
        <w:r w:rsidR="007865B1" w:rsidRPr="0047091A">
          <w:rPr>
            <w:rStyle w:val="Hyperlink"/>
          </w:rPr>
          <w:t xml:space="preserve">https://www.on-sitemag.com/features/prompt-payment-the-state-of-play-across-canada/ </w:t>
        </w:r>
      </w:hyperlink>
      <w:r w:rsidR="007865B1" w:rsidRPr="0047091A">
        <w:t xml:space="preserve"> </w:t>
      </w:r>
    </w:p>
  </w:footnote>
  <w:footnote w:id="329">
    <w:p w14:paraId="3539C74D" w14:textId="77777777" w:rsidR="007865B1" w:rsidRPr="0047091A" w:rsidRDefault="007865B1" w:rsidP="007865B1">
      <w:pPr>
        <w:pStyle w:val="FootnoteText"/>
      </w:pPr>
      <w:r w:rsidRPr="0047091A">
        <w:rPr>
          <w:rStyle w:val="FootnoteReference"/>
        </w:rPr>
        <w:footnoteRef/>
      </w:r>
      <w:r w:rsidRPr="0047091A">
        <w:t xml:space="preserve"> “The buyer shall effect the payment at the agreed time. If the time for payment is not stipulated or not clearly stipulated, nor can it be determined pursuant to the provisions of Article 61 of this Law, the buyer shall pay at the same time as it takes delivery of the targeted matter or receives the document for taking delivery of the targeted matter.” </w:t>
      </w:r>
      <w:hyperlink r:id="rId186" w:history="1">
        <w:r w:rsidRPr="0047091A">
          <w:rPr>
            <w:rStyle w:val="Hyperlink"/>
          </w:rPr>
          <w:t>http://www.china.org.cn/china/LegislationsForm2001-2010/2011-02/12/content_21908031.htm</w:t>
        </w:r>
      </w:hyperlink>
      <w:r w:rsidRPr="0047091A">
        <w:t xml:space="preserve"> </w:t>
      </w:r>
    </w:p>
  </w:footnote>
  <w:footnote w:id="330">
    <w:p w14:paraId="049F9E7B" w14:textId="77777777" w:rsidR="007865B1" w:rsidRPr="0047091A" w:rsidRDefault="007865B1" w:rsidP="007865B1">
      <w:pPr>
        <w:pStyle w:val="FootnoteText"/>
      </w:pPr>
      <w:r w:rsidRPr="0047091A">
        <w:rPr>
          <w:rStyle w:val="FootnoteReference"/>
        </w:rPr>
        <w:footnoteRef/>
      </w:r>
      <w:r w:rsidRPr="0047091A">
        <w:t xml:space="preserve"> </w:t>
      </w:r>
      <w:hyperlink r:id="rId187" w:history="1">
        <w:r w:rsidRPr="0047091A">
          <w:rPr>
            <w:rStyle w:val="Hyperlink"/>
          </w:rPr>
          <w:t>https://legislative.gov.in/sites/default/files/A2006-27.pdf</w:t>
        </w:r>
      </w:hyperlink>
      <w:r w:rsidRPr="0047091A">
        <w:t xml:space="preserve"> </w:t>
      </w:r>
    </w:p>
  </w:footnote>
  <w:footnote w:id="331">
    <w:p w14:paraId="7A8F8F6D" w14:textId="77777777" w:rsidR="007865B1" w:rsidRPr="0047091A" w:rsidRDefault="007865B1" w:rsidP="007865B1">
      <w:pPr>
        <w:pStyle w:val="FootnoteText"/>
      </w:pPr>
      <w:r w:rsidRPr="0047091A">
        <w:rPr>
          <w:rStyle w:val="FootnoteReference"/>
        </w:rPr>
        <w:footnoteRef/>
      </w:r>
      <w:r w:rsidRPr="0047091A">
        <w:t xml:space="preserve"> </w:t>
      </w:r>
      <w:hyperlink r:id="rId188" w:history="1">
        <w:r w:rsidRPr="0047091A">
          <w:rPr>
            <w:rStyle w:val="Hyperlink"/>
          </w:rPr>
          <w:t>https://economictimes.indiatimes.com/news/economy/policy/finance-ministry-to-levy-1-late-payment-interest-on-government-e-marketplace/articleshow/76775259.cms</w:t>
        </w:r>
      </w:hyperlink>
      <w:r w:rsidRPr="0047091A">
        <w:t xml:space="preserve"> </w:t>
      </w:r>
    </w:p>
  </w:footnote>
  <w:footnote w:id="332">
    <w:p w14:paraId="707E3205" w14:textId="77777777" w:rsidR="007865B1" w:rsidRPr="0047091A" w:rsidRDefault="007865B1" w:rsidP="007865B1">
      <w:pPr>
        <w:pStyle w:val="FootnoteText"/>
      </w:pPr>
      <w:r w:rsidRPr="0047091A">
        <w:rPr>
          <w:rStyle w:val="FootnoteReference"/>
        </w:rPr>
        <w:footnoteRef/>
      </w:r>
      <w:r w:rsidRPr="0047091A">
        <w:t xml:space="preserve"> </w:t>
      </w:r>
      <w:hyperlink r:id="rId189" w:history="1">
        <w:r w:rsidRPr="0047091A">
          <w:rPr>
            <w:rStyle w:val="Hyperlink"/>
          </w:rPr>
          <w:t>https://taulia.com/payment-terms/japan/</w:t>
        </w:r>
      </w:hyperlink>
      <w:r w:rsidRPr="0047091A">
        <w:t xml:space="preserve"> </w:t>
      </w:r>
    </w:p>
  </w:footnote>
  <w:footnote w:id="333">
    <w:p w14:paraId="3451D989" w14:textId="77777777" w:rsidR="007865B1" w:rsidRPr="0047091A" w:rsidRDefault="007865B1" w:rsidP="007865B1">
      <w:pPr>
        <w:pStyle w:val="FootnoteText"/>
      </w:pPr>
      <w:r w:rsidRPr="0047091A">
        <w:rPr>
          <w:rStyle w:val="FootnoteReference"/>
        </w:rPr>
        <w:footnoteRef/>
      </w:r>
      <w:r w:rsidRPr="0047091A">
        <w:t xml:space="preserve"> The statutory interest rate for commercial transactions is 3%, as set out in article 404 of the civil code. The rate is applicable to 31 March 2023, and is reviewed every three years. </w:t>
      </w:r>
    </w:p>
  </w:footnote>
  <w:footnote w:id="334">
    <w:p w14:paraId="43133004" w14:textId="77777777" w:rsidR="007865B1" w:rsidRPr="0047091A" w:rsidRDefault="007865B1" w:rsidP="007865B1">
      <w:pPr>
        <w:pStyle w:val="FootnoteText"/>
      </w:pPr>
      <w:r w:rsidRPr="0047091A">
        <w:rPr>
          <w:rStyle w:val="FootnoteReference"/>
        </w:rPr>
        <w:footnoteRef/>
      </w:r>
      <w:r w:rsidRPr="0047091A">
        <w:t xml:space="preserve"> Such as: refusing to receive the work from a subcontractor without reasons attributable to the subcontractor; failing to make payment of subcontract proceeds after the lapse of the date of payment; reducing the amount of subcontract proceeds without reasons attributable to the subcontractor; causing a subcontractor to take back the goods relating to its work after receiving the work from the said subcontractor without reasons attributable to the subcontractor; unjustly setting subcontract proceeds at a level conspicuously lower than the price ordinarily paid for the same or similar content of work; coercing the subcontractor to purchase designated goods or to use designated services except in such cases where it is necessary to standardize or to improve the content of the work performed by a subcontractor or where there are other justifiable grounds; or reducing the volume of transactions, suspending transactions or giving some other disadvantageous treatment because the subcontractor informed the Fair Trade Commission or the Director-General of the Small and Medium Sized Enterprise Agency of such a fact, etc.</w:t>
      </w:r>
    </w:p>
  </w:footnote>
  <w:footnote w:id="335">
    <w:p w14:paraId="5225DBB9" w14:textId="77777777" w:rsidR="007865B1" w:rsidRPr="0047091A" w:rsidRDefault="007865B1" w:rsidP="007865B1">
      <w:pPr>
        <w:pStyle w:val="FootnoteText"/>
      </w:pPr>
      <w:r w:rsidRPr="0047091A">
        <w:rPr>
          <w:rStyle w:val="FootnoteReference"/>
        </w:rPr>
        <w:footnoteRef/>
      </w:r>
      <w:r w:rsidRPr="0047091A">
        <w:t xml:space="preserve"> </w:t>
      </w:r>
      <w:hyperlink r:id="rId190" w:history="1">
        <w:r w:rsidRPr="0047091A">
          <w:rPr>
            <w:rStyle w:val="Hyperlink"/>
          </w:rPr>
          <w:t>https://www.legislation.govt.nz/act/public/2002/0046/latest/DLM163059.html</w:t>
        </w:r>
      </w:hyperlink>
      <w:r w:rsidRPr="0047091A">
        <w:t xml:space="preserve"> </w:t>
      </w:r>
    </w:p>
  </w:footnote>
  <w:footnote w:id="336">
    <w:p w14:paraId="116B32FC" w14:textId="77777777" w:rsidR="007865B1" w:rsidRPr="0047091A" w:rsidRDefault="007865B1" w:rsidP="007865B1">
      <w:pPr>
        <w:pStyle w:val="FootnoteText"/>
      </w:pPr>
      <w:r w:rsidRPr="0047091A">
        <w:rPr>
          <w:rStyle w:val="FootnoteReference"/>
        </w:rPr>
        <w:footnoteRef/>
      </w:r>
      <w:r w:rsidRPr="0047091A">
        <w:t xml:space="preserve"> If found guilty of unconscionable conduct, businesses can be convicted and fined up to $600,000 and individuals can be liable for fines of up to $200,000. New Zealand courts are likely to interpret the meaning of unconscionable conduct in a similar way to the Australian courts, as Australian law already includes a similar prohibition. They have interpreted unconscionable conduct as being serious misconduct that is so far outside accepted standards of commercial conduct as to be against good conscience. Good business conscience is measured against the values and norms of modern society and expectations of what is right and proper according to those values and norms. Those values and norms can include acting honestly, fairly and without deception or unfair pressure. This is conduct that is more than just hard commercial bargaining but clearly unfair and unreasonable. The courts may consider a range of factors in assessing whether certain conduct is unconscionable and some of these factors are listed in the legislation (s8(1) of the Fair Trading Act). In summary, these are: </w:t>
      </w:r>
    </w:p>
    <w:p w14:paraId="588F9ACD" w14:textId="452BDCF4" w:rsidR="007865B1" w:rsidRPr="0047091A" w:rsidRDefault="002E552C" w:rsidP="007865B1">
      <w:pPr>
        <w:pStyle w:val="FootnoteText"/>
      </w:pPr>
      <w:r w:rsidRPr="0047091A">
        <w:t xml:space="preserve">  </w:t>
      </w:r>
      <w:r w:rsidR="007865B1" w:rsidRPr="0047091A">
        <w:t>the relative bargaining strength of the parties</w:t>
      </w:r>
    </w:p>
    <w:p w14:paraId="18329F97" w14:textId="4E6BC1EB" w:rsidR="007865B1" w:rsidRPr="0047091A" w:rsidRDefault="002E552C" w:rsidP="007865B1">
      <w:pPr>
        <w:pStyle w:val="FootnoteText"/>
      </w:pPr>
      <w:r w:rsidRPr="0047091A">
        <w:t xml:space="preserve">  </w:t>
      </w:r>
      <w:r w:rsidR="007865B1" w:rsidRPr="0047091A">
        <w:t>the extent to which the parties acted in good faith</w:t>
      </w:r>
    </w:p>
    <w:p w14:paraId="692113A8" w14:textId="67883E6F" w:rsidR="007865B1" w:rsidRPr="0047091A" w:rsidRDefault="002E552C" w:rsidP="007865B1">
      <w:pPr>
        <w:pStyle w:val="FootnoteText"/>
      </w:pPr>
      <w:r w:rsidRPr="0047091A">
        <w:t xml:space="preserve">  </w:t>
      </w:r>
      <w:r w:rsidR="007865B1" w:rsidRPr="0047091A">
        <w:t>whether the affected party could protect their own interests given their characteristics and circumstances</w:t>
      </w:r>
    </w:p>
    <w:p w14:paraId="34FC0FE4" w14:textId="2C340C3F" w:rsidR="007865B1" w:rsidRPr="0047091A" w:rsidRDefault="002E552C" w:rsidP="007865B1">
      <w:pPr>
        <w:pStyle w:val="FootnoteText"/>
      </w:pPr>
      <w:r w:rsidRPr="0047091A">
        <w:t xml:space="preserve">  </w:t>
      </w:r>
      <w:r w:rsidR="007865B1" w:rsidRPr="0047091A">
        <w:t>whether the affected party could understand documents provided to them</w:t>
      </w:r>
    </w:p>
    <w:p w14:paraId="44FA5AF8" w14:textId="6A7901E5" w:rsidR="007865B1" w:rsidRPr="0047091A" w:rsidRDefault="002E552C" w:rsidP="007865B1">
      <w:pPr>
        <w:pStyle w:val="FootnoteText"/>
      </w:pPr>
      <w:r w:rsidRPr="0047091A">
        <w:t xml:space="preserve">  </w:t>
      </w:r>
      <w:r w:rsidR="007865B1" w:rsidRPr="0047091A">
        <w:t>the use of undue influence, pressure or unfair tactics by the business</w:t>
      </w:r>
    </w:p>
    <w:p w14:paraId="5380BE53" w14:textId="3C17C9E5" w:rsidR="007865B1" w:rsidRPr="0047091A" w:rsidRDefault="002E552C" w:rsidP="007865B1">
      <w:pPr>
        <w:pStyle w:val="FootnoteText"/>
      </w:pPr>
      <w:r w:rsidRPr="0047091A">
        <w:t xml:space="preserve">  </w:t>
      </w:r>
      <w:r w:rsidR="007865B1" w:rsidRPr="0047091A">
        <w:t>whether the business made clear to the affected person anything the business might do that would adversely impact the affected person’s interests or create a risk for them.</w:t>
      </w:r>
    </w:p>
  </w:footnote>
  <w:footnote w:id="337">
    <w:p w14:paraId="0D125504" w14:textId="77777777" w:rsidR="007865B1" w:rsidRPr="0047091A" w:rsidRDefault="007865B1" w:rsidP="007865B1">
      <w:pPr>
        <w:pStyle w:val="FootnoteText"/>
      </w:pPr>
      <w:r w:rsidRPr="0047091A">
        <w:rPr>
          <w:rStyle w:val="FootnoteReference"/>
        </w:rPr>
        <w:footnoteRef/>
      </w:r>
      <w:r w:rsidRPr="0047091A">
        <w:t xml:space="preserve"> </w:t>
      </w:r>
      <w:hyperlink r:id="rId191" w:history="1">
        <w:r w:rsidRPr="0047091A">
          <w:rPr>
            <w:rStyle w:val="Hyperlink"/>
          </w:rPr>
          <w:t>https://comcom.govt.nz/business/your-obligations-as-a-business/changes-to-fair-trading-laws</w:t>
        </w:r>
      </w:hyperlink>
      <w:r w:rsidRPr="0047091A">
        <w:t xml:space="preserve"> </w:t>
      </w:r>
    </w:p>
  </w:footnote>
  <w:footnote w:id="338">
    <w:p w14:paraId="13542C49" w14:textId="77777777" w:rsidR="007865B1" w:rsidRPr="0047091A" w:rsidRDefault="007865B1" w:rsidP="007865B1">
      <w:pPr>
        <w:pStyle w:val="FootnoteText"/>
      </w:pPr>
      <w:r w:rsidRPr="0047091A">
        <w:rPr>
          <w:rStyle w:val="FootnoteReference"/>
        </w:rPr>
        <w:footnoteRef/>
      </w:r>
      <w:r w:rsidRPr="0047091A">
        <w:t xml:space="preserve"> </w:t>
      </w:r>
      <w:hyperlink r:id="rId192" w:history="1">
        <w:r w:rsidRPr="0047091A">
          <w:rPr>
            <w:rStyle w:val="Hyperlink"/>
          </w:rPr>
          <w:t>https://bills.parliament.nz/v/6/c1f6efb7-814b-4def-a8d4-3b0d9407b9e2?Tab=history</w:t>
        </w:r>
      </w:hyperlink>
      <w:r w:rsidRPr="0047091A">
        <w:t xml:space="preserve"> </w:t>
      </w:r>
    </w:p>
  </w:footnote>
  <w:footnote w:id="339">
    <w:p w14:paraId="1F3397FB" w14:textId="77777777" w:rsidR="007865B1" w:rsidRPr="0047091A" w:rsidRDefault="007865B1" w:rsidP="007865B1">
      <w:pPr>
        <w:pStyle w:val="FootnoteText"/>
      </w:pPr>
      <w:r w:rsidRPr="0047091A">
        <w:rPr>
          <w:rStyle w:val="FootnoteReference"/>
        </w:rPr>
        <w:footnoteRef/>
      </w:r>
      <w:r w:rsidRPr="0047091A">
        <w:t xml:space="preserve"> </w:t>
      </w:r>
      <w:hyperlink r:id="rId193" w:history="1">
        <w:r w:rsidRPr="0047091A">
          <w:rPr>
            <w:rStyle w:val="Hyperlink"/>
          </w:rPr>
          <w:t>https://www.mbie.govt.nz/dmsdocument/11212-discussion-paper-improving-business-to-business-payment-practices</w:t>
        </w:r>
      </w:hyperlink>
      <w:r w:rsidRPr="0047091A">
        <w:t xml:space="preserve"> </w:t>
      </w:r>
    </w:p>
  </w:footnote>
  <w:footnote w:id="340">
    <w:p w14:paraId="195A3926" w14:textId="77777777" w:rsidR="007865B1" w:rsidRPr="0047091A" w:rsidRDefault="007865B1" w:rsidP="007865B1">
      <w:pPr>
        <w:pStyle w:val="FootnoteText"/>
      </w:pPr>
      <w:r w:rsidRPr="0047091A">
        <w:rPr>
          <w:rStyle w:val="FootnoteReference"/>
        </w:rPr>
        <w:footnoteRef/>
      </w:r>
      <w:r w:rsidRPr="0047091A">
        <w:t xml:space="preserve"> </w:t>
      </w:r>
      <w:hyperlink r:id="rId194" w:history="1">
        <w:r w:rsidRPr="0047091A">
          <w:rPr>
            <w:rStyle w:val="Hyperlink"/>
          </w:rPr>
          <w:t>https://www.xero.com/small-business-insights/wp-content/uploads/2019/06/xsbi-report-paying-the- price.pdf</w:t>
        </w:r>
      </w:hyperlink>
      <w:r w:rsidRPr="0047091A">
        <w:t xml:space="preserve"> </w:t>
      </w:r>
    </w:p>
  </w:footnote>
  <w:footnote w:id="341">
    <w:p w14:paraId="354F2CCA" w14:textId="77777777" w:rsidR="007865B1" w:rsidRPr="0047091A" w:rsidRDefault="007865B1" w:rsidP="007865B1">
      <w:pPr>
        <w:pStyle w:val="FootnoteText"/>
      </w:pPr>
      <w:r w:rsidRPr="0047091A">
        <w:rPr>
          <w:rStyle w:val="FootnoteReference"/>
        </w:rPr>
        <w:footnoteRef/>
      </w:r>
      <w:r w:rsidRPr="0047091A">
        <w:t xml:space="preserve"> The alternative (use the size of the two parties) would add contractual complexity in trying to define the size of business, and what provision to apply and would not take into account that poor payment practices, such as delayed payment terms, can also occur between small businesses.</w:t>
      </w:r>
    </w:p>
  </w:footnote>
  <w:footnote w:id="342">
    <w:p w14:paraId="39760DE3" w14:textId="77777777" w:rsidR="007865B1" w:rsidRPr="0047091A" w:rsidRDefault="007865B1" w:rsidP="007865B1">
      <w:pPr>
        <w:pStyle w:val="FootnoteText"/>
      </w:pPr>
      <w:r w:rsidRPr="0047091A">
        <w:rPr>
          <w:rStyle w:val="FootnoteReference"/>
        </w:rPr>
        <w:footnoteRef/>
      </w:r>
      <w:r w:rsidRPr="0047091A">
        <w:t xml:space="preserve"> This would protect entities in cases where there are imbalances of power, but would still allow for, say, two very large organisations to trade on terms mutually agreed through effective negotiation.</w:t>
      </w:r>
    </w:p>
  </w:footnote>
  <w:footnote w:id="343">
    <w:p w14:paraId="00FF8267" w14:textId="77777777" w:rsidR="007865B1" w:rsidRPr="0047091A" w:rsidRDefault="007865B1" w:rsidP="007865B1">
      <w:pPr>
        <w:pStyle w:val="FootnoteText"/>
      </w:pPr>
      <w:r w:rsidRPr="0047091A">
        <w:rPr>
          <w:rStyle w:val="FootnoteReference"/>
        </w:rPr>
        <w:footnoteRef/>
      </w:r>
      <w:r w:rsidRPr="0047091A">
        <w:t xml:space="preserve"> For instance, the construction sector, characterised by large and bespoke projects, and a retention regime, already has its own system for regulating payments under the Construction Contracts Act 2002, this includes a regime for dealing with disputes as an alternative to the Courts.</w:t>
      </w:r>
    </w:p>
  </w:footnote>
  <w:footnote w:id="344">
    <w:p w14:paraId="653A6116" w14:textId="77777777" w:rsidR="007865B1" w:rsidRPr="0047091A" w:rsidRDefault="007865B1" w:rsidP="007865B1">
      <w:pPr>
        <w:pStyle w:val="FootnoteText"/>
      </w:pPr>
      <w:r w:rsidRPr="0047091A">
        <w:rPr>
          <w:rStyle w:val="FootnoteReference"/>
        </w:rPr>
        <w:footnoteRef/>
      </w:r>
      <w:r w:rsidRPr="0047091A">
        <w:t xml:space="preserve"> New Zealand already has legislation that gives businesses the right to interest as compensation for late payments if a business takes civil proceedings (goes to court). The Interest on Money Claims Act 2016 provides “for the award of interest as compensation for a delay in the payment of debts, damages, and other money claims in respect of which civil proceedings are commenced”. That is, if a business take another business to court for a late payment, the Interest on Money Claims Act sets out how to calculate the interest one has to receive. The rate is intended to “reflect fairly and realistically the cost to a creditor of the delay in payment of a money claim by a debtor”.</w:t>
      </w:r>
    </w:p>
  </w:footnote>
  <w:footnote w:id="345">
    <w:p w14:paraId="0BAB87A0" w14:textId="77777777" w:rsidR="007865B1" w:rsidRPr="0047091A" w:rsidRDefault="007865B1" w:rsidP="007865B1">
      <w:pPr>
        <w:pStyle w:val="FootnoteText"/>
        <w:rPr>
          <w:rFonts w:ascii="Calibri" w:eastAsia="Calibri" w:hAnsi="Calibri" w:cs="Calibri"/>
          <w:sz w:val="22"/>
          <w:szCs w:val="22"/>
        </w:rPr>
      </w:pPr>
      <w:r w:rsidRPr="0047091A">
        <w:footnoteRef/>
      </w:r>
      <w:r w:rsidRPr="0047091A">
        <w:t xml:space="preserve"> Maximum payment term in a contract is 60 days starting from the due receipt of the invoice or goods/services or the end of the inspection term, as applicable. The parties can extend such maximum term with mutual agreement, provided that such extension does not cause a gross burden on the other party. However, the maximum term cannot be extended in any circumstances if any of the following apply: (1) the recipient of the payment is a small or mid-size enterprise (SME); or (2) the payment obligor is a large scale enterprise; or (3) the recipient is an agricultural or livestock producer.</w:t>
      </w:r>
    </w:p>
    <w:p w14:paraId="4E7EC304" w14:textId="77777777" w:rsidR="007865B1" w:rsidRPr="0047091A" w:rsidRDefault="007865B1" w:rsidP="007865B1">
      <w:pPr>
        <w:pStyle w:val="FootnoteText"/>
      </w:pPr>
      <w:r w:rsidRPr="0047091A">
        <w:t>In case of breach, the payment term will be deemed as 30 days starting from the receipt by the purchaser of the invoice/payment request, and the purchaser will be deemed in default as of the end of such 30 day period, default interest will begin to accrue automatically at the end of the 30 days with no requirement for further notice; contractual provisions indicating that the purchaser shall not be obliged to make a default interest payment to the supplier shall be null and void and, if the agreed default interest rate is grossly unfair, the applicable default interest to be paid by the purchaser shall be the statutory commercial interest rate determined by the Turkish Central Bank + 8%.</w:t>
      </w:r>
    </w:p>
  </w:footnote>
  <w:footnote w:id="346">
    <w:p w14:paraId="700C4BA3" w14:textId="77777777" w:rsidR="007865B1" w:rsidRPr="0047091A" w:rsidRDefault="007865B1" w:rsidP="007865B1">
      <w:pPr>
        <w:pStyle w:val="FootnoteText"/>
      </w:pPr>
      <w:r w:rsidRPr="0047091A">
        <w:rPr>
          <w:rStyle w:val="FootnoteReference"/>
        </w:rPr>
        <w:footnoteRef/>
      </w:r>
      <w:r w:rsidRPr="0047091A">
        <w:t xml:space="preserve"> The UK national legislation to combat late payments (“The Late Payment of Commercial Debts Regulation of 2013 </w:t>
      </w:r>
      <w:hyperlink r:id="rId195">
        <w:r w:rsidRPr="0047091A">
          <w:rPr>
            <w:rStyle w:val="Hyperlink"/>
          </w:rPr>
          <w:t>https://www.legislation.gov.uk/uksi/2013/395/contents/made</w:t>
        </w:r>
      </w:hyperlink>
      <w:r w:rsidRPr="0047091A">
        <w:t xml:space="preserve">) is the transposition in the UK of the LPD. </w:t>
      </w:r>
    </w:p>
  </w:footnote>
  <w:footnote w:id="347">
    <w:p w14:paraId="22BEAE98" w14:textId="77777777" w:rsidR="007865B1" w:rsidRPr="0047091A" w:rsidRDefault="007865B1" w:rsidP="007865B1">
      <w:pPr>
        <w:pStyle w:val="FootnoteText"/>
      </w:pPr>
      <w:r w:rsidRPr="0047091A">
        <w:rPr>
          <w:rStyle w:val="FootnoteReference"/>
        </w:rPr>
        <w:footnoteRef/>
      </w:r>
      <w:r w:rsidRPr="0047091A">
        <w:t xml:space="preserve"> </w:t>
      </w:r>
      <w:r w:rsidRPr="0047091A">
        <w:rPr>
          <w:rStyle w:val="Hyperlink"/>
        </w:rPr>
        <w:t>Amendments to the Payment Practices and Performance Regulations 2017 - (www.gov.uk)</w:t>
      </w:r>
    </w:p>
  </w:footnote>
  <w:footnote w:id="348">
    <w:p w14:paraId="083CB2CC" w14:textId="77777777" w:rsidR="007865B1" w:rsidRPr="0047091A" w:rsidRDefault="007865B1" w:rsidP="007865B1">
      <w:pPr>
        <w:pStyle w:val="FootnoteText"/>
      </w:pPr>
      <w:r w:rsidRPr="0047091A">
        <w:rPr>
          <w:rStyle w:val="FootnoteReference"/>
        </w:rPr>
        <w:footnoteRef/>
      </w:r>
      <w:r w:rsidRPr="0047091A">
        <w:t xml:space="preserve"> </w:t>
      </w:r>
      <w:hyperlink r:id="rId196" w:history="1">
        <w:r w:rsidRPr="0047091A">
          <w:rPr>
            <w:rStyle w:val="Hyperlink"/>
          </w:rPr>
          <w:t>https://www.smallbusinesscommissioner.gov.uk/ppc/about-us/</w:t>
        </w:r>
      </w:hyperlink>
      <w:r w:rsidRPr="0047091A">
        <w:t xml:space="preserve"> </w:t>
      </w:r>
    </w:p>
  </w:footnote>
  <w:footnote w:id="349">
    <w:p w14:paraId="1BA3EAB8" w14:textId="77777777" w:rsidR="007865B1" w:rsidRPr="0047091A" w:rsidRDefault="007865B1" w:rsidP="007865B1">
      <w:pPr>
        <w:pStyle w:val="FootnoteText"/>
      </w:pPr>
      <w:r w:rsidRPr="0047091A">
        <w:rPr>
          <w:rStyle w:val="FootnoteReference"/>
        </w:rPr>
        <w:footnoteRef/>
      </w:r>
      <w:r w:rsidRPr="0047091A">
        <w:t xml:space="preserve"> </w:t>
      </w:r>
      <w:hyperlink r:id="rId197" w:anchor="prompt-payment-in-government-contracting" w:history="1">
        <w:r w:rsidRPr="0047091A">
          <w:rPr>
            <w:rStyle w:val="Hyperlink"/>
          </w:rPr>
          <w:t>https://www.gov.uk/guidance/prompt-payment-policy#prompt-payment-in-government-contracting</w:t>
        </w:r>
      </w:hyperlink>
      <w:r w:rsidRPr="0047091A">
        <w:t xml:space="preserve"> </w:t>
      </w:r>
    </w:p>
  </w:footnote>
  <w:footnote w:id="350">
    <w:p w14:paraId="7A704791" w14:textId="77777777" w:rsidR="007865B1" w:rsidRPr="0047091A" w:rsidRDefault="007865B1" w:rsidP="007865B1">
      <w:pPr>
        <w:pStyle w:val="FootnoteText"/>
      </w:pPr>
      <w:r w:rsidRPr="0047091A">
        <w:rPr>
          <w:rStyle w:val="FootnoteReference"/>
        </w:rPr>
        <w:footnoteRef/>
      </w:r>
      <w:r w:rsidRPr="0047091A">
        <w:t xml:space="preserve"> </w:t>
      </w:r>
      <w:hyperlink r:id="rId198" w:history="1">
        <w:r w:rsidRPr="0047091A">
          <w:rPr>
            <w:rStyle w:val="Hyperlink"/>
          </w:rPr>
          <w:t>https://spendmatters.com/tfmatters/5-reaasons-why-obamas-supplierpay-isnt-working/</w:t>
        </w:r>
      </w:hyperlink>
      <w:r w:rsidRPr="0047091A">
        <w:t xml:space="preserve"> </w:t>
      </w:r>
    </w:p>
  </w:footnote>
  <w:footnote w:id="351">
    <w:p w14:paraId="407684C1" w14:textId="77777777" w:rsidR="007865B1" w:rsidRPr="0047091A" w:rsidRDefault="007865B1" w:rsidP="007865B1">
      <w:pPr>
        <w:pStyle w:val="FootnoteText"/>
      </w:pPr>
      <w:r w:rsidRPr="0047091A">
        <w:rPr>
          <w:rStyle w:val="FootnoteReference"/>
        </w:rPr>
        <w:footnoteRef/>
      </w:r>
      <w:r w:rsidRPr="0047091A">
        <w:t xml:space="preserve"> </w:t>
      </w:r>
      <w:hyperlink r:id="rId199" w:history="1">
        <w:r w:rsidRPr="0047091A">
          <w:rPr>
            <w:rStyle w:val="Hyperlink"/>
          </w:rPr>
          <w:t>https://taulia.com/payment-terms/united-states/</w:t>
        </w:r>
      </w:hyperlink>
      <w:r w:rsidRPr="0047091A">
        <w:t xml:space="preserve"> </w:t>
      </w:r>
    </w:p>
  </w:footnote>
  <w:footnote w:id="352">
    <w:p w14:paraId="1DCFBC5A" w14:textId="77777777" w:rsidR="007865B1" w:rsidRPr="0047091A" w:rsidRDefault="007865B1" w:rsidP="007865B1">
      <w:pPr>
        <w:pStyle w:val="FootnoteText"/>
      </w:pPr>
      <w:r w:rsidRPr="0047091A">
        <w:rPr>
          <w:rStyle w:val="FootnoteReference"/>
        </w:rPr>
        <w:footnoteRef/>
      </w:r>
      <w:r w:rsidRPr="0047091A">
        <w:rPr>
          <w:rStyle w:val="FootnoteReference"/>
        </w:rPr>
        <w:t xml:space="preserve"> </w:t>
      </w:r>
      <w:hyperlink r:id="rId200">
        <w:r w:rsidRPr="0047091A">
          <w:rPr>
            <w:rStyle w:val="Hyperlink"/>
          </w:rPr>
          <w:t>Prompt Payment (treasury.gov)</w:t>
        </w:r>
      </w:hyperlink>
    </w:p>
  </w:footnote>
  <w:footnote w:id="353">
    <w:p w14:paraId="4579932D" w14:textId="77777777" w:rsidR="007865B1" w:rsidRPr="0047091A" w:rsidRDefault="007865B1" w:rsidP="007865B1">
      <w:pPr>
        <w:rPr>
          <w:rStyle w:val="FootnoteTextChar"/>
        </w:rPr>
      </w:pPr>
      <w:r w:rsidRPr="0047091A">
        <w:rPr>
          <w:rStyle w:val="FootnoteReference"/>
        </w:rPr>
        <w:footnoteRef/>
      </w:r>
      <w:r w:rsidRPr="0047091A">
        <w:rPr>
          <w:rStyle w:val="FootnoteReference"/>
        </w:rPr>
        <w:t xml:space="preserve"> </w:t>
      </w:r>
      <w:hyperlink r:id="rId201" w:history="1">
        <w:r w:rsidRPr="0047091A">
          <w:rPr>
            <w:rStyle w:val="Hyperlink"/>
            <w:rFonts w:eastAsiaTheme="minorEastAsia"/>
            <w:sz w:val="20"/>
            <w:szCs w:val="20"/>
          </w:rPr>
          <w:t>https://www.levelset.com/prompt-payment</w:t>
        </w:r>
      </w:hyperlink>
      <w:r w:rsidRPr="0047091A">
        <w:rPr>
          <w:rStyle w:val="FootnoteTextChar"/>
        </w:rPr>
        <w:t xml:space="preserve"> </w:t>
      </w:r>
    </w:p>
  </w:footnote>
  <w:footnote w:id="354">
    <w:p w14:paraId="56037E31" w14:textId="77777777" w:rsidR="00E14610" w:rsidRPr="00F867B4" w:rsidRDefault="00E14610" w:rsidP="00E14610">
      <w:pPr>
        <w:spacing w:after="0"/>
        <w:rPr>
          <w:lang w:val="fr-BE"/>
        </w:rPr>
      </w:pPr>
      <w:r w:rsidRPr="0047091A">
        <w:rPr>
          <w:rStyle w:val="FootnoteReference"/>
          <w:sz w:val="20"/>
          <w:szCs w:val="20"/>
        </w:rPr>
        <w:footnoteRef/>
      </w:r>
      <w:r w:rsidRPr="00F867B4">
        <w:rPr>
          <w:sz w:val="20"/>
          <w:szCs w:val="20"/>
          <w:lang w:val="fr-BE"/>
        </w:rPr>
        <w:t xml:space="preserve"> </w:t>
      </w:r>
      <w:r w:rsidRPr="00F867B4">
        <w:rPr>
          <w:rFonts w:eastAsia="Times New Roman"/>
          <w:sz w:val="20"/>
          <w:szCs w:val="20"/>
          <w:lang w:val="fr-BE"/>
        </w:rPr>
        <w:t xml:space="preserve">Source: </w:t>
      </w:r>
      <w:hyperlink r:id="rId202" w:history="1">
        <w:r w:rsidRPr="00F867B4">
          <w:rPr>
            <w:rStyle w:val="Hyperlink"/>
            <w:rFonts w:eastAsia="Times New Roman"/>
            <w:sz w:val="20"/>
            <w:szCs w:val="20"/>
            <w:lang w:val="fr-BE"/>
          </w:rPr>
          <w:t>https://www.intrum.com/press/news-stories/the-damaging-effect-of-late-payment/</w:t>
        </w:r>
      </w:hyperlink>
    </w:p>
  </w:footnote>
  <w:footnote w:id="355">
    <w:p w14:paraId="0ED01FD1" w14:textId="77777777" w:rsidR="00DF5C01" w:rsidRPr="0047091A" w:rsidRDefault="00DF5C01" w:rsidP="00DF5C01">
      <w:pPr>
        <w:pStyle w:val="FootnoteText"/>
      </w:pPr>
      <w:r w:rsidRPr="0047091A">
        <w:rPr>
          <w:rStyle w:val="FootnoteReference"/>
        </w:rPr>
        <w:footnoteRef/>
      </w:r>
      <w:r w:rsidRPr="0047091A">
        <w:t xml:space="preserve"> Accounting departments maximise available cash and strong flow management, while procurement departments may care more about having strong suppliers that benefit from quick payment.</w:t>
      </w:r>
    </w:p>
  </w:footnote>
  <w:footnote w:id="356">
    <w:p w14:paraId="61614541" w14:textId="77777777" w:rsidR="00DF5C01" w:rsidRPr="0047091A" w:rsidRDefault="00DF5C01" w:rsidP="00DF5C01">
      <w:pPr>
        <w:pStyle w:val="FootnoteText"/>
      </w:pPr>
      <w:r w:rsidRPr="0047091A">
        <w:rPr>
          <w:rStyle w:val="FootnoteReference"/>
        </w:rPr>
        <w:footnoteRef/>
      </w:r>
      <w:r w:rsidRPr="0047091A">
        <w:t xml:space="preserve"> Investment in technologies, equipment, and workers throughout the supply chain ultimately benefits all firms in that system. If only one customer slows payment, the overall damage done to the supply chain is fairly small, as other firms will continue to fund the working capital needs of their common suppliers. However, if other companies find themselves at a competitive disadvantage, they may follow suit. Collectively, these large firms could diminish the investment capacity of their common supply chain. The choice of large firms not to pay quickly represents a classic collective action problem known as a prisoner’s dilemma.</w:t>
      </w:r>
    </w:p>
  </w:footnote>
  <w:footnote w:id="357">
    <w:p w14:paraId="6BAAAE85" w14:textId="77777777" w:rsidR="00DF5C01" w:rsidRPr="0047091A" w:rsidRDefault="00DF5C01" w:rsidP="00DF5C01">
      <w:pPr>
        <w:pStyle w:val="FootnoteText"/>
      </w:pPr>
      <w:r w:rsidRPr="0047091A">
        <w:rPr>
          <w:rStyle w:val="FootnoteReference"/>
        </w:rPr>
        <w:footnoteRef/>
      </w:r>
      <w:r w:rsidRPr="0047091A">
        <w:t xml:space="preserve"> </w:t>
      </w:r>
      <w:hyperlink r:id="rId203" w:history="1">
        <w:r w:rsidRPr="0047091A">
          <w:rPr>
            <w:rStyle w:val="Hyperlink"/>
          </w:rPr>
          <w:t>https://www.commerce.gov/sites/default/files/migrated/reports/supplierpayv25.pdf</w:t>
        </w:r>
      </w:hyperlink>
      <w:r w:rsidRPr="0047091A">
        <w:t xml:space="preserve"> </w:t>
      </w:r>
    </w:p>
  </w:footnote>
  <w:footnote w:id="358">
    <w:p w14:paraId="5F0D0726" w14:textId="77777777" w:rsidR="00E14610" w:rsidRPr="0047091A" w:rsidRDefault="00E14610" w:rsidP="00E14610">
      <w:pPr>
        <w:pStyle w:val="FootnoteText"/>
        <w:jc w:val="left"/>
      </w:pPr>
      <w:r w:rsidRPr="0047091A">
        <w:rPr>
          <w:rStyle w:val="FootnoteReference"/>
        </w:rPr>
        <w:footnoteRef/>
      </w:r>
      <w:r w:rsidRPr="0047091A">
        <w:t xml:space="preserve"> https://www.accaglobal.com/content/dam/acca/global/PDF-technical/small-business/pol-tp-elp-1stock.pdf</w:t>
      </w:r>
    </w:p>
  </w:footnote>
  <w:footnote w:id="359">
    <w:p w14:paraId="11D8257C" w14:textId="77777777" w:rsidR="00E14610" w:rsidRPr="0047091A" w:rsidRDefault="00E14610" w:rsidP="00E14610">
      <w:pPr>
        <w:pStyle w:val="FootnoteText"/>
      </w:pPr>
      <w:r w:rsidRPr="0047091A">
        <w:rPr>
          <w:rStyle w:val="FootnoteReference"/>
        </w:rPr>
        <w:footnoteRef/>
      </w:r>
      <w:r w:rsidRPr="0047091A">
        <w:t xml:space="preserve"> </w:t>
      </w:r>
      <w:hyperlink r:id="rId204" w:history="1">
        <w:r w:rsidRPr="0047091A">
          <w:rPr>
            <w:color w:val="0000FF" w:themeColor="hyperlink"/>
            <w:u w:val="single"/>
          </w:rPr>
          <w:t>https://www.sage.com/en-gb/blog/wp-content/uploads/sites/10/2017/12/Domino-Effect-Late-Payments-Research-Sage.pdf</w:t>
        </w:r>
      </w:hyperlink>
    </w:p>
  </w:footnote>
  <w:footnote w:id="360">
    <w:p w14:paraId="2C22B002" w14:textId="77777777" w:rsidR="00E14610" w:rsidRPr="0047091A" w:rsidRDefault="00E14610" w:rsidP="00E14610">
      <w:pPr>
        <w:pStyle w:val="FootnoteText"/>
        <w:jc w:val="left"/>
        <w:rPr>
          <w:rStyle w:val="Hyperlink"/>
          <w:rFonts w:eastAsiaTheme="minorHAnsi"/>
          <w:sz w:val="24"/>
          <w:szCs w:val="24"/>
        </w:rPr>
      </w:pPr>
      <w:r w:rsidRPr="0047091A">
        <w:rPr>
          <w:rStyle w:val="FootnoteReference"/>
        </w:rPr>
        <w:footnoteRef/>
      </w:r>
      <w:r w:rsidRPr="0047091A">
        <w:t xml:space="preserve"> </w:t>
      </w:r>
      <w:r w:rsidRPr="0047091A">
        <w:rPr>
          <w:i/>
        </w:rPr>
        <w:t>Commission Study: Building a responsible payment culture – improving the effectiveness of the Late Payment Directive.</w:t>
      </w:r>
      <w:hyperlink r:id="rId205" w:history="1">
        <w:r w:rsidRPr="0047091A">
          <w:rPr>
            <w:rStyle w:val="Hyperlink"/>
          </w:rPr>
          <w:t>https://op.europa.eu/en/publication-detail/-/publication/cb4bc1bd-1467-11ed-8fa0-01aa75ed71a1/language-en/format-PDF/source-search</w:t>
        </w:r>
      </w:hyperlink>
    </w:p>
    <w:p w14:paraId="49C70BC7" w14:textId="77777777" w:rsidR="00E14610" w:rsidRPr="0047091A" w:rsidRDefault="00E14610" w:rsidP="00E14610">
      <w:pPr>
        <w:pStyle w:val="FootnoteText"/>
        <w:jc w:val="left"/>
      </w:pPr>
      <w:r w:rsidRPr="0047091A">
        <w:rPr>
          <w:i/>
        </w:rPr>
        <w:t xml:space="preserve">Ferrara A., Ferraresi M. (2022), Assessing the economic impact of faster payments in B2B commercial transactions. Final Report, JRC Study </w:t>
      </w:r>
      <w:hyperlink r:id="rId206" w:history="1">
        <w:r w:rsidRPr="0047091A">
          <w:rPr>
            <w:rStyle w:val="Hyperlink"/>
          </w:rPr>
          <w:t>https://publications.jrc.ec.europa.eu/repository/handle/JRC130205</w:t>
        </w:r>
      </w:hyperlink>
      <w:r w:rsidRPr="0047091A">
        <w:rPr>
          <w:rStyle w:val="Hyperlink"/>
        </w:rPr>
        <w:t xml:space="preserve"> and </w:t>
      </w:r>
      <w:hyperlink r:id="rId207" w:history="1">
        <w:r w:rsidRPr="0047091A">
          <w:rPr>
            <w:rStyle w:val="Hyperlink"/>
          </w:rPr>
          <w:t>https://op.europa.eu/en/publication-detail/-/publication/fa844000-356a-11ed-9c68-01aa75ed71a1/language-en/format-PDF/source-283038902</w:t>
        </w:r>
      </w:hyperlink>
      <w:r w:rsidRPr="0047091A">
        <w:rPr>
          <w:rStyle w:val="Hyperlink"/>
        </w:rPr>
        <w:t xml:space="preserve"> </w:t>
      </w:r>
    </w:p>
  </w:footnote>
  <w:footnote w:id="361">
    <w:p w14:paraId="741B9CF8" w14:textId="77777777" w:rsidR="00E14610" w:rsidRPr="0047091A" w:rsidRDefault="00E14610" w:rsidP="00E14610">
      <w:pPr>
        <w:pStyle w:val="FootnoteText"/>
        <w:jc w:val="left"/>
      </w:pPr>
      <w:r w:rsidRPr="0047091A">
        <w:rPr>
          <w:rStyle w:val="FootnoteReference"/>
        </w:rPr>
        <w:footnoteRef/>
      </w:r>
      <w:r w:rsidRPr="0047091A">
        <w:t xml:space="preserve"> </w:t>
      </w:r>
      <w:r w:rsidRPr="0047091A">
        <w:rPr>
          <w:i/>
        </w:rPr>
        <w:t>Ex-post Evaluation of the Late Payment Directive</w:t>
      </w:r>
      <w:r w:rsidRPr="0047091A">
        <w:t xml:space="preserve"> </w:t>
      </w:r>
      <w:hyperlink r:id="rId208" w:history="1">
        <w:r w:rsidRPr="0047091A">
          <w:rPr>
            <w:rStyle w:val="Hyperlink"/>
          </w:rPr>
          <w:t>https://publications.europa.eu/en/publication-detail/-/publication/400ecc74-9a54-11e5-b3b7-01aa75ed71a1</w:t>
        </w:r>
      </w:hyperlink>
      <w:r w:rsidRPr="0047091A">
        <w:rPr>
          <w:rStyle w:val="Hyperlink"/>
        </w:rPr>
        <w:t xml:space="preserve"> </w:t>
      </w:r>
      <w:r w:rsidRPr="0047091A">
        <w:rPr>
          <w:rStyle w:val="Hyperlink"/>
          <w:color w:val="000000" w:themeColor="text1"/>
          <w:u w:val="none"/>
        </w:rPr>
        <w:t>The Evaluation was carried out in 2015 based on a model built on the results of a large company survey</w:t>
      </w:r>
    </w:p>
  </w:footnote>
  <w:footnote w:id="362">
    <w:p w14:paraId="6261C177" w14:textId="77777777" w:rsidR="00E14610" w:rsidRPr="0047091A" w:rsidRDefault="00E14610" w:rsidP="00E14610">
      <w:pPr>
        <w:pStyle w:val="FootnoteText"/>
        <w:jc w:val="left"/>
      </w:pPr>
      <w:r w:rsidRPr="0047091A">
        <w:rPr>
          <w:rStyle w:val="FootnoteReference"/>
        </w:rPr>
        <w:footnoteRef/>
      </w:r>
      <w:r w:rsidRPr="0047091A">
        <w:t xml:space="preserve"> Source : Intrum, European Payment Report 2022 </w:t>
      </w:r>
      <w:hyperlink r:id="rId209" w:history="1">
        <w:r w:rsidRPr="0047091A">
          <w:rPr>
            <w:rStyle w:val="Hyperlink"/>
          </w:rPr>
          <w:t>https://www.intrum.com/publications/european-payment-report/european-payment-report-2022/</w:t>
        </w:r>
      </w:hyperlink>
    </w:p>
  </w:footnote>
  <w:footnote w:id="363">
    <w:p w14:paraId="5B47D74F" w14:textId="77777777" w:rsidR="00E14610" w:rsidRPr="0047091A" w:rsidRDefault="00E14610" w:rsidP="00E14610">
      <w:pPr>
        <w:pStyle w:val="FootnoteText"/>
        <w:jc w:val="left"/>
      </w:pPr>
      <w:r w:rsidRPr="0047091A">
        <w:rPr>
          <w:rStyle w:val="FootnoteReference"/>
        </w:rPr>
        <w:footnoteRef/>
      </w:r>
      <w:r w:rsidRPr="0047091A">
        <w:t xml:space="preserve"> Intrum, European Payment Report 2022 </w:t>
      </w:r>
      <w:hyperlink r:id="rId210" w:history="1">
        <w:r w:rsidRPr="0047091A">
          <w:rPr>
            <w:rStyle w:val="Hyperlink"/>
          </w:rPr>
          <w:t>https://www.intrum.com/publications/european-payment-report/european-payment-report-2022/</w:t>
        </w:r>
      </w:hyperlink>
    </w:p>
  </w:footnote>
  <w:footnote w:id="364">
    <w:p w14:paraId="6E1BCCCF" w14:textId="77777777" w:rsidR="00E14610" w:rsidRPr="0047091A" w:rsidRDefault="00E14610" w:rsidP="00E14610">
      <w:pPr>
        <w:pStyle w:val="FootnoteText"/>
        <w:jc w:val="left"/>
      </w:pPr>
      <w:r w:rsidRPr="0047091A">
        <w:rPr>
          <w:rStyle w:val="FootnoteReference"/>
        </w:rPr>
        <w:footnoteRef/>
      </w:r>
      <w:r w:rsidRPr="0047091A">
        <w:t xml:space="preserve"> </w:t>
      </w:r>
      <w:hyperlink r:id="rId211" w:history="1">
        <w:r w:rsidRPr="0047091A">
          <w:rPr>
            <w:rStyle w:val="Hyperlink"/>
          </w:rPr>
          <w:t>https://europa.eu/eurobarometer/surveys/detail/2244</w:t>
        </w:r>
      </w:hyperlink>
      <w:r w:rsidRPr="0047091A">
        <w:t xml:space="preserve"> </w:t>
      </w:r>
    </w:p>
  </w:footnote>
  <w:footnote w:id="365">
    <w:p w14:paraId="3B8D1C9B" w14:textId="77777777" w:rsidR="00E14610" w:rsidRPr="0047091A" w:rsidRDefault="00E14610" w:rsidP="00E14610">
      <w:pPr>
        <w:pStyle w:val="FootnoteText"/>
        <w:jc w:val="left"/>
      </w:pPr>
      <w:r w:rsidRPr="0047091A">
        <w:rPr>
          <w:rStyle w:val="FootnoteReference"/>
        </w:rPr>
        <w:footnoteRef/>
      </w:r>
      <w:r w:rsidRPr="0047091A">
        <w:t xml:space="preserve"> Intrum, European Payment Report 2022 </w:t>
      </w:r>
      <w:hyperlink r:id="rId212" w:history="1">
        <w:r w:rsidRPr="0047091A">
          <w:rPr>
            <w:rStyle w:val="Hyperlink"/>
          </w:rPr>
          <w:t>https://www.intrum.com/publications/european-payment-report/european-payment-report-2022/</w:t>
        </w:r>
      </w:hyperlink>
    </w:p>
  </w:footnote>
  <w:footnote w:id="366">
    <w:p w14:paraId="2F8F4671" w14:textId="77777777" w:rsidR="00E14610" w:rsidRPr="0047091A" w:rsidRDefault="00E14610" w:rsidP="00E14610">
      <w:pPr>
        <w:pStyle w:val="FootnoteText"/>
        <w:jc w:val="left"/>
      </w:pPr>
      <w:r w:rsidRPr="0047091A">
        <w:rPr>
          <w:rStyle w:val="FootnoteReference"/>
        </w:rPr>
        <w:footnoteRef/>
      </w:r>
      <w:r w:rsidRPr="0047091A">
        <w:t xml:space="preserve"> A UK study concluded that chasing debtors can cost SMEs up to 3% of their turnover. The study found that an average UK SME is chasing five outstanding invoices at any one time, amounting to an average of £8,500 being owed. Chasing debtors costs the average UK SME 1.5 hours per day – or almost 900,000 hours in total, across all SMEs, per day</w:t>
      </w:r>
      <w:hyperlink r:id="rId213" w:history="1">
        <w:r w:rsidRPr="0047091A">
          <w:rPr>
            <w:rStyle w:val="Hyperlink"/>
          </w:rPr>
          <w:t>https://www.tide.co/blog/tide-update/new-research-uk-smes-chasing-50bn-in-late-payments/</w:t>
        </w:r>
      </w:hyperlink>
    </w:p>
  </w:footnote>
  <w:footnote w:id="367">
    <w:p w14:paraId="268E389D" w14:textId="77777777" w:rsidR="00E14610" w:rsidRPr="0047091A" w:rsidRDefault="00E14610" w:rsidP="00E14610">
      <w:pPr>
        <w:pStyle w:val="FootnoteText"/>
      </w:pPr>
      <w:r w:rsidRPr="0047091A">
        <w:rPr>
          <w:rStyle w:val="FootnoteReference"/>
        </w:rPr>
        <w:footnoteRef/>
      </w:r>
      <w:r w:rsidRPr="0047091A">
        <w:t xml:space="preserve"> 2017 UK study: “The Domino Effect: the impact of late payments”, </w:t>
      </w:r>
      <w:hyperlink r:id="rId214" w:history="1">
        <w:r w:rsidRPr="0047091A">
          <w:rPr>
            <w:rStyle w:val="Hyperlink"/>
          </w:rPr>
          <w:t>https://www.sage.com/en-gb/blog/wp-content/uploads/sites/10/2017/12/Domino-Effect-Late-Payments-Research-Sage.pdf</w:t>
        </w:r>
      </w:hyperlink>
    </w:p>
  </w:footnote>
  <w:footnote w:id="368">
    <w:p w14:paraId="391EB787" w14:textId="77777777" w:rsidR="00E14610" w:rsidRPr="0047091A" w:rsidRDefault="00E14610" w:rsidP="00E14610">
      <w:pPr>
        <w:pStyle w:val="FootnoteText"/>
        <w:jc w:val="left"/>
      </w:pPr>
      <w:r w:rsidRPr="0047091A">
        <w:rPr>
          <w:rStyle w:val="FootnoteReference"/>
        </w:rPr>
        <w:footnoteRef/>
      </w:r>
      <w:r w:rsidRPr="0047091A">
        <w:t xml:space="preserve"> D</w:t>
      </w:r>
      <w:r w:rsidRPr="0047091A">
        <w:rPr>
          <w:shd w:val="clear" w:color="auto" w:fill="FFFFFF"/>
        </w:rPr>
        <w:t>uring the 12 months of 2020, the cost of working capital finance for SMEs had increased by 30-35% in the UK, the Netherlands, Germany, the US, Italy and the Nordic region.</w:t>
      </w:r>
      <w:r w:rsidRPr="0047091A">
        <w:t xml:space="preserve"> </w:t>
      </w:r>
      <w:hyperlink r:id="rId215" w:history="1">
        <w:r w:rsidRPr="0047091A">
          <w:rPr>
            <w:rStyle w:val="Hyperlink"/>
          </w:rPr>
          <w:t>https://www.gtreview.com/news/global/cost-of-working-capital-finance-soars-for-smes-survey-finds/</w:t>
        </w:r>
      </w:hyperlink>
      <w:r w:rsidRPr="0047091A">
        <w:t xml:space="preserve"> </w:t>
      </w:r>
    </w:p>
  </w:footnote>
  <w:footnote w:id="369">
    <w:p w14:paraId="6A737D5F" w14:textId="77777777" w:rsidR="00E14610" w:rsidRPr="0047091A" w:rsidRDefault="00E14610" w:rsidP="00E14610">
      <w:pPr>
        <w:pStyle w:val="FootnoteText"/>
        <w:jc w:val="left"/>
      </w:pPr>
      <w:r w:rsidRPr="0047091A">
        <w:rPr>
          <w:rStyle w:val="FootnoteReference"/>
        </w:rPr>
        <w:footnoteRef/>
      </w:r>
      <w:r w:rsidRPr="0047091A">
        <w:t xml:space="preserve"> </w:t>
      </w:r>
      <w:hyperlink r:id="rId216" w:history="1">
        <w:r w:rsidRPr="0047091A">
          <w:rPr>
            <w:rStyle w:val="Hyperlink"/>
          </w:rPr>
          <w:t>https://www.efmaefm.org/0EFMAMEETINGS/EFMA%20ANNUAL%20MEETINGS/2022-Rome/papers/EFMA%202022_stage-3032_question-Full%20Paper_id-161.pdf</w:t>
        </w:r>
      </w:hyperlink>
      <w:r w:rsidRPr="0047091A">
        <w:t xml:space="preserve"> </w:t>
      </w:r>
    </w:p>
  </w:footnote>
  <w:footnote w:id="370">
    <w:p w14:paraId="6B9DA2B7" w14:textId="77777777" w:rsidR="00E14610" w:rsidRPr="0047091A" w:rsidRDefault="00E14610" w:rsidP="00E14610">
      <w:pPr>
        <w:pStyle w:val="FootnoteText"/>
        <w:jc w:val="left"/>
      </w:pPr>
      <w:r w:rsidRPr="0047091A">
        <w:rPr>
          <w:rStyle w:val="FootnoteReference"/>
        </w:rPr>
        <w:footnoteRef/>
      </w:r>
      <w:r w:rsidRPr="0047091A">
        <w:t xml:space="preserve"> </w:t>
      </w:r>
      <w:hyperlink r:id="rId217" w:history="1">
        <w:r w:rsidRPr="0047091A">
          <w:rPr>
            <w:rStyle w:val="Hyperlink"/>
          </w:rPr>
          <w:t>https://ec.europa.eu/economy_finance/publications/economic_paper/2014/pdf/ecp531_en.pdf</w:t>
        </w:r>
      </w:hyperlink>
      <w:r w:rsidRPr="0047091A">
        <w:t xml:space="preserve"> </w:t>
      </w:r>
    </w:p>
  </w:footnote>
  <w:footnote w:id="371">
    <w:p w14:paraId="19783454" w14:textId="77777777" w:rsidR="00E14610" w:rsidRPr="0047091A" w:rsidRDefault="00E14610" w:rsidP="00E14610">
      <w:pPr>
        <w:pStyle w:val="FootnoteText"/>
        <w:jc w:val="left"/>
      </w:pPr>
      <w:r w:rsidRPr="0047091A">
        <w:rPr>
          <w:rStyle w:val="FootnoteReference"/>
        </w:rPr>
        <w:footnoteRef/>
      </w:r>
      <w:r w:rsidRPr="0047091A">
        <w:t xml:space="preserve"> </w:t>
      </w:r>
      <w:hyperlink r:id="rId218" w:history="1">
        <w:r w:rsidRPr="0047091A">
          <w:rPr>
            <w:rStyle w:val="Hyperlink"/>
          </w:rPr>
          <w:t>https://publications.banque-france.fr/en/do-late-customer-payments-impact-companies-probability-default</w:t>
        </w:r>
      </w:hyperlink>
      <w:r w:rsidRPr="0047091A">
        <w:t xml:space="preserve"> </w:t>
      </w:r>
    </w:p>
  </w:footnote>
  <w:footnote w:id="372">
    <w:p w14:paraId="337C3915" w14:textId="77777777" w:rsidR="00E14610" w:rsidRPr="0047091A" w:rsidRDefault="00E14610" w:rsidP="00E14610">
      <w:pPr>
        <w:pStyle w:val="FootnoteText"/>
        <w:jc w:val="left"/>
      </w:pPr>
      <w:r w:rsidRPr="0047091A">
        <w:rPr>
          <w:rStyle w:val="FootnoteReference"/>
        </w:rPr>
        <w:footnoteRef/>
      </w:r>
      <w:r w:rsidRPr="0047091A">
        <w:t xml:space="preserve"> Inability to meet short-term obligations requires companies to file for bankruptcy.</w:t>
      </w:r>
    </w:p>
  </w:footnote>
  <w:footnote w:id="373">
    <w:p w14:paraId="3FA6A7CE" w14:textId="77777777" w:rsidR="00E14610" w:rsidRPr="0047091A" w:rsidRDefault="00E14610" w:rsidP="00E14610">
      <w:pPr>
        <w:pStyle w:val="FootnoteText"/>
      </w:pPr>
      <w:r w:rsidRPr="0047091A">
        <w:rPr>
          <w:rStyle w:val="FootnoteReference"/>
        </w:rPr>
        <w:footnoteRef/>
      </w:r>
      <w:r w:rsidRPr="0047091A">
        <w:t xml:space="preserve"> </w:t>
      </w:r>
      <w:hyperlink r:id="rId219" w:history="1">
        <w:r w:rsidRPr="0047091A">
          <w:rPr>
            <w:rStyle w:val="Hyperlink"/>
          </w:rPr>
          <w:t xml:space="preserve">W. Connell, </w:t>
        </w:r>
        <w:r w:rsidRPr="0047091A">
          <w:rPr>
            <w:rStyle w:val="Hyperlink"/>
            <w:i/>
          </w:rPr>
          <w:t>The Economic Impact of late payments,</w:t>
        </w:r>
      </w:hyperlink>
      <w:r w:rsidRPr="0047091A">
        <w:rPr>
          <w:i/>
        </w:rPr>
        <w:t xml:space="preserve"> DG ECFIN, Economic Papers 531</w:t>
      </w:r>
      <w:r w:rsidRPr="0047091A">
        <w:t xml:space="preserve">. </w:t>
      </w:r>
    </w:p>
    <w:p w14:paraId="7780671E" w14:textId="77777777" w:rsidR="00E14610" w:rsidRPr="0047091A" w:rsidRDefault="00BC129D" w:rsidP="00E14610">
      <w:pPr>
        <w:pStyle w:val="FootnoteText"/>
      </w:pPr>
      <w:hyperlink r:id="rId220" w:history="1">
        <w:r w:rsidR="00E14610" w:rsidRPr="0047091A">
          <w:rPr>
            <w:rStyle w:val="Hyperlink"/>
          </w:rPr>
          <w:t>https://ec.europa.eu/economy_finance/publications/economic_paper/2014/pdf/ecp531_en.pdf</w:t>
        </w:r>
      </w:hyperlink>
    </w:p>
  </w:footnote>
  <w:footnote w:id="374">
    <w:p w14:paraId="1400EF93" w14:textId="77777777" w:rsidR="00E14610" w:rsidRPr="0047091A" w:rsidRDefault="00E14610" w:rsidP="00E14610">
      <w:pPr>
        <w:pStyle w:val="FootnoteText"/>
      </w:pPr>
      <w:r w:rsidRPr="0047091A">
        <w:rPr>
          <w:rStyle w:val="FootnoteReference"/>
        </w:rPr>
        <w:footnoteRef/>
      </w:r>
      <w:r w:rsidRPr="0047091A">
        <w:t xml:space="preserve"> Business-to-business transactions: a comparative analysis of legal measures vs. soft-law instruments for improving payment behaviour </w:t>
      </w:r>
      <w:hyperlink r:id="rId221" w:history="1">
        <w:r w:rsidRPr="0047091A">
          <w:rPr>
            <w:color w:val="0000FF" w:themeColor="hyperlink"/>
            <w:u w:val="single"/>
          </w:rPr>
          <w:t>https://publications.europa.eu/en/publication-detail/-/publication/c8b7391b-9b80-11e8-a408-01aa75ed71a1/language-en/format-PDF/source-103408786</w:t>
        </w:r>
      </w:hyperlink>
    </w:p>
  </w:footnote>
  <w:footnote w:id="375">
    <w:p w14:paraId="02F38FAE" w14:textId="77777777" w:rsidR="00E14610" w:rsidRPr="00F867B4" w:rsidRDefault="00E14610" w:rsidP="00E14610">
      <w:pPr>
        <w:pStyle w:val="FootnoteText"/>
        <w:rPr>
          <w:rStyle w:val="Hyperlink"/>
          <w:iCs/>
          <w:lang w:val="fr-BE"/>
        </w:rPr>
      </w:pPr>
      <w:r w:rsidRPr="0047091A">
        <w:rPr>
          <w:rStyle w:val="FootnoteReference"/>
        </w:rPr>
        <w:footnoteRef/>
      </w:r>
      <w:r w:rsidRPr="00F867B4">
        <w:rPr>
          <w:iCs/>
          <w:lang w:val="fr-BE"/>
        </w:rPr>
        <w:t xml:space="preserve">Les retards de paiement des clients impactent-ils la probabilité de défaillance des entreprises ?, Bulletins de la Banque de France n. 227/8 - January -February 2020 </w:t>
      </w:r>
      <w:hyperlink r:id="rId222">
        <w:r w:rsidRPr="00F867B4">
          <w:rPr>
            <w:rStyle w:val="Hyperlink"/>
            <w:iCs/>
            <w:lang w:val="fr-BE"/>
          </w:rPr>
          <w:t xml:space="preserve">819416_bdf227-8_late_customer_payment_vfinale.pdf (banque-france.fr) </w:t>
        </w:r>
      </w:hyperlink>
    </w:p>
  </w:footnote>
  <w:footnote w:id="376">
    <w:p w14:paraId="54DBBF4E" w14:textId="77777777" w:rsidR="00E14610" w:rsidRPr="0047091A" w:rsidRDefault="00E14610" w:rsidP="00E14610">
      <w:pPr>
        <w:pStyle w:val="FootnoteText"/>
        <w:rPr>
          <w:iCs/>
        </w:rPr>
      </w:pPr>
      <w:r w:rsidRPr="0047091A">
        <w:rPr>
          <w:rStyle w:val="FootnoteReference"/>
          <w:iCs/>
        </w:rPr>
        <w:footnoteRef/>
      </w:r>
      <w:r w:rsidRPr="0047091A">
        <w:rPr>
          <w:iCs/>
        </w:rPr>
        <w:t xml:space="preserve"> W. Rogowski, </w:t>
      </w:r>
      <w:hyperlink r:id="rId223" w:history="1">
        <w:r w:rsidRPr="0047091A">
          <w:rPr>
            <w:rStyle w:val="Hyperlink"/>
            <w:iCs/>
          </w:rPr>
          <w:t>Payment delays : Reasons, Scale and Consequences,</w:t>
        </w:r>
      </w:hyperlink>
      <w:r w:rsidRPr="0047091A">
        <w:rPr>
          <w:iCs/>
        </w:rPr>
        <w:t xml:space="preserve"> Journal of Management and Financial Sciences, Warsaw School of Economics, 2017 </w:t>
      </w:r>
    </w:p>
  </w:footnote>
  <w:footnote w:id="377">
    <w:p w14:paraId="0D46FCEA" w14:textId="77777777" w:rsidR="00E14610" w:rsidRPr="00F949A3" w:rsidRDefault="00E14610" w:rsidP="00E14610">
      <w:pPr>
        <w:spacing w:after="0"/>
        <w:rPr>
          <w:rFonts w:eastAsia="@Yu Mincho Light"/>
          <w:iCs/>
          <w:sz w:val="20"/>
          <w:szCs w:val="20"/>
          <w:lang w:val="es-ES"/>
        </w:rPr>
      </w:pPr>
      <w:r w:rsidRPr="0047091A">
        <w:rPr>
          <w:rStyle w:val="FootnoteReference"/>
          <w:iCs/>
        </w:rPr>
        <w:footnoteRef/>
      </w:r>
      <w:r w:rsidRPr="00F949A3">
        <w:rPr>
          <w:iCs/>
          <w:lang w:val="es-ES"/>
        </w:rPr>
        <w:t xml:space="preserve"> </w:t>
      </w:r>
      <w:r w:rsidRPr="00F949A3">
        <w:rPr>
          <w:iCs/>
          <w:sz w:val="20"/>
          <w:szCs w:val="20"/>
          <w:lang w:val="es-ES"/>
        </w:rPr>
        <w:t xml:space="preserve">Estudio de la gestión del riesgo de crédito, CyC Atradius and Iberinform, November 2022 </w:t>
      </w:r>
      <w:hyperlink r:id="rId224">
        <w:r w:rsidRPr="00F949A3">
          <w:rPr>
            <w:rStyle w:val="Hyperlink"/>
            <w:rFonts w:eastAsia="@Yu Mincho Light"/>
            <w:iCs/>
            <w:sz w:val="20"/>
            <w:szCs w:val="20"/>
            <w:lang w:val="es-ES"/>
          </w:rPr>
          <w:t>171.000 empresas consideran que la morosidad amenaza su supervivencia (creditoycaucion.es)</w:t>
        </w:r>
      </w:hyperlink>
      <w:r w:rsidRPr="00F949A3">
        <w:rPr>
          <w:rFonts w:eastAsia="@Yu Mincho Light"/>
          <w:iCs/>
          <w:sz w:val="20"/>
          <w:szCs w:val="20"/>
          <w:lang w:val="es-ES"/>
        </w:rPr>
        <w:t xml:space="preserve"> </w:t>
      </w:r>
    </w:p>
  </w:footnote>
  <w:footnote w:id="378">
    <w:p w14:paraId="776164DC" w14:textId="2C1ECE38" w:rsidR="00E14610" w:rsidRPr="0047091A" w:rsidRDefault="00E14610" w:rsidP="00E14610">
      <w:pPr>
        <w:pStyle w:val="FootnoteText"/>
        <w:rPr>
          <w:iCs/>
        </w:rPr>
      </w:pPr>
      <w:r w:rsidRPr="0047091A">
        <w:rPr>
          <w:rStyle w:val="FootnoteReference"/>
          <w:iCs/>
        </w:rPr>
        <w:footnoteRef/>
      </w:r>
      <w:r w:rsidRPr="0047091A">
        <w:rPr>
          <w:iCs/>
        </w:rPr>
        <w:t xml:space="preserve"> </w:t>
      </w:r>
      <w:r w:rsidR="006C42B3" w:rsidRPr="0047091A">
        <w:rPr>
          <w:iCs/>
        </w:rPr>
        <w:t>JRC 2018</w:t>
      </w:r>
    </w:p>
  </w:footnote>
  <w:footnote w:id="379">
    <w:p w14:paraId="6E67538A" w14:textId="77777777" w:rsidR="00E14610" w:rsidRPr="0047091A" w:rsidRDefault="00E14610" w:rsidP="00E14610">
      <w:pPr>
        <w:pStyle w:val="FootnoteText"/>
        <w:rPr>
          <w:iCs/>
        </w:rPr>
      </w:pPr>
      <w:r w:rsidRPr="0047091A">
        <w:rPr>
          <w:rStyle w:val="FootnoteReference"/>
          <w:iCs/>
        </w:rPr>
        <w:footnoteRef/>
      </w:r>
      <w:r w:rsidRPr="0047091A">
        <w:rPr>
          <w:iCs/>
        </w:rPr>
        <w:t xml:space="preserve"> </w:t>
      </w:r>
      <w:hyperlink r:id="rId225" w:history="1">
        <w:r w:rsidRPr="0047091A">
          <w:rPr>
            <w:rStyle w:val="Hyperlink"/>
            <w:iCs/>
          </w:rPr>
          <w:t>https://www.journals.uchicago.edu/doi/epdf/10.1086/713502</w:t>
        </w:r>
      </w:hyperlink>
      <w:r w:rsidRPr="0047091A">
        <w:rPr>
          <w:iCs/>
        </w:rPr>
        <w:t xml:space="preserve"> </w:t>
      </w:r>
    </w:p>
  </w:footnote>
  <w:footnote w:id="380">
    <w:p w14:paraId="0CFCCCA6" w14:textId="77777777" w:rsidR="00E14610" w:rsidRPr="0047091A" w:rsidRDefault="00E14610" w:rsidP="00E14610">
      <w:pPr>
        <w:pStyle w:val="FootnoteText"/>
        <w:jc w:val="left"/>
      </w:pPr>
      <w:r w:rsidRPr="0047091A">
        <w:rPr>
          <w:rStyle w:val="FootnoteReference"/>
          <w:iCs/>
        </w:rPr>
        <w:footnoteRef/>
      </w:r>
      <w:r w:rsidRPr="0047091A">
        <w:rPr>
          <w:iCs/>
        </w:rPr>
        <w:t xml:space="preserve"> Commission study on public procurement 2019 - analysis of the SMEs' participation in public procurement and the measures to support it - </w:t>
      </w:r>
      <w:hyperlink r:id="rId226" w:history="1">
        <w:r w:rsidRPr="0047091A">
          <w:rPr>
            <w:rStyle w:val="Hyperlink"/>
            <w:iCs/>
          </w:rPr>
          <w:t>https://op.europa.eu/o/opportal-service/download-handler?identifier=eec8227c-ecc4-11ea-b3c6-01aa75ed71a1&amp;format=pdf&amp;language=en&amp;productionSystem=cellar&amp;part</w:t>
        </w:r>
      </w:hyperlink>
      <w:r w:rsidRPr="0047091A">
        <w:rPr>
          <w:iCs/>
        </w:rPr>
        <w:t>=</w:t>
      </w:r>
    </w:p>
  </w:footnote>
  <w:footnote w:id="381">
    <w:p w14:paraId="5943A4FD" w14:textId="77777777" w:rsidR="00E14610" w:rsidRPr="0047091A" w:rsidRDefault="00E14610" w:rsidP="00E14610">
      <w:pPr>
        <w:pStyle w:val="FootnoteText"/>
        <w:jc w:val="left"/>
      </w:pPr>
      <w:r w:rsidRPr="0047091A">
        <w:rPr>
          <w:rStyle w:val="FootnoteReference"/>
        </w:rPr>
        <w:footnoteRef/>
      </w:r>
      <w:r w:rsidRPr="0047091A">
        <w:t xml:space="preserve"> See the VVA reports for the European Commission on late payment, i.e. the Ex-post evaluation of the Late Payment Directive (2015); Study on late payment in B2B transactions (2018). Available at: </w:t>
      </w:r>
      <w:hyperlink r:id="rId227" w:history="1">
        <w:r w:rsidRPr="0047091A">
          <w:rPr>
            <w:rStyle w:val="Hyperlink"/>
          </w:rPr>
          <w:t>https://ec.europa.eu/growth/smes/support/late-payment_fr</w:t>
        </w:r>
      </w:hyperlink>
      <w:r w:rsidRPr="0047091A">
        <w:t xml:space="preserve">. </w:t>
      </w:r>
    </w:p>
  </w:footnote>
  <w:footnote w:id="382">
    <w:p w14:paraId="131D6FF4" w14:textId="77777777" w:rsidR="00E14610" w:rsidRPr="0047091A" w:rsidRDefault="00E14610" w:rsidP="00E14610">
      <w:pPr>
        <w:pStyle w:val="FootnoteText"/>
        <w:jc w:val="left"/>
        <w:rPr>
          <w:rStyle w:val="Hyperlink"/>
          <w:rFonts w:eastAsiaTheme="minorHAnsi"/>
          <w:sz w:val="24"/>
          <w:szCs w:val="24"/>
        </w:rPr>
      </w:pPr>
      <w:r w:rsidRPr="0047091A">
        <w:rPr>
          <w:rStyle w:val="FootnoteReference"/>
        </w:rPr>
        <w:footnoteRef/>
      </w:r>
      <w:r w:rsidRPr="0047091A">
        <w:t xml:space="preserve"> “</w:t>
      </w:r>
      <w:r w:rsidRPr="0047091A">
        <w:rPr>
          <w:i/>
          <w:iCs/>
        </w:rPr>
        <w:t>Late payments took me to a frightening place</w:t>
      </w:r>
      <w:r w:rsidRPr="0047091A">
        <w:t xml:space="preserve">”, The Guardian, May 2017 </w:t>
      </w:r>
      <w:hyperlink r:id="rId228" w:history="1">
        <w:r w:rsidRPr="0047091A">
          <w:rPr>
            <w:rStyle w:val="Hyperlink"/>
          </w:rPr>
          <w:t>https://www.theguardian.com/small-business-network/2017/may/23/late-payments-mental-health-stress-prompt-payment-directory-booking-live</w:t>
        </w:r>
      </w:hyperlink>
    </w:p>
    <w:p w14:paraId="6B5CA8A6" w14:textId="77777777" w:rsidR="00E14610" w:rsidRPr="00F867B4" w:rsidRDefault="00E14610" w:rsidP="00E14610">
      <w:pPr>
        <w:pStyle w:val="FootnoteText"/>
        <w:jc w:val="left"/>
        <w:rPr>
          <w:color w:val="0000FF" w:themeColor="hyperlink"/>
          <w:u w:val="single"/>
          <w:lang w:val="fr-BE"/>
        </w:rPr>
      </w:pPr>
      <w:r w:rsidRPr="00F867B4">
        <w:rPr>
          <w:i/>
          <w:iCs/>
          <w:lang w:val="fr-BE"/>
        </w:rPr>
        <w:t xml:space="preserve">Prévenir le suicide des chefs d’entreprise – </w:t>
      </w:r>
      <w:r w:rsidRPr="00F867B4">
        <w:rPr>
          <w:iCs/>
          <w:lang w:val="fr-BE"/>
        </w:rPr>
        <w:t>Essentiel Santè Magazine</w:t>
      </w:r>
      <w:r w:rsidRPr="00F867B4">
        <w:rPr>
          <w:i/>
          <w:iCs/>
          <w:lang w:val="fr-BE"/>
        </w:rPr>
        <w:t xml:space="preserve">, </w:t>
      </w:r>
      <w:r w:rsidRPr="00F867B4">
        <w:rPr>
          <w:iCs/>
          <w:lang w:val="fr-BE"/>
        </w:rPr>
        <w:t>12.12.2016</w:t>
      </w:r>
      <w:r w:rsidRPr="00F867B4">
        <w:rPr>
          <w:i/>
          <w:iCs/>
          <w:lang w:val="fr-BE"/>
        </w:rPr>
        <w:t xml:space="preserve"> </w:t>
      </w:r>
      <w:hyperlink r:id="rId229" w:history="1">
        <w:r w:rsidRPr="00F867B4">
          <w:rPr>
            <w:rStyle w:val="Hyperlink"/>
            <w:i/>
            <w:iCs/>
            <w:lang w:val="fr-BE"/>
          </w:rPr>
          <w:t>https://www.essentiel-sante-magazine.fr/sante/travail/apesa-france-aide-psychologique-entrepreuneur</w:t>
        </w:r>
      </w:hyperlink>
    </w:p>
    <w:p w14:paraId="5CBECD4E" w14:textId="77777777" w:rsidR="00E14610" w:rsidRPr="00365442" w:rsidRDefault="00E14610" w:rsidP="00E14610">
      <w:pPr>
        <w:pStyle w:val="FootnoteText"/>
        <w:jc w:val="left"/>
        <w:rPr>
          <w:lang w:val="it-IT"/>
        </w:rPr>
      </w:pPr>
      <w:r w:rsidRPr="00365442">
        <w:rPr>
          <w:lang w:val="it-IT"/>
        </w:rPr>
        <w:t xml:space="preserve">Giuseppe Bortolussi, </w:t>
      </w:r>
      <w:r w:rsidRPr="00365442">
        <w:rPr>
          <w:i/>
          <w:iCs/>
          <w:lang w:val="it-IT"/>
        </w:rPr>
        <w:t>L’economia dei suicidi- Piccoli imprenditori in crisi ,</w:t>
      </w:r>
      <w:r w:rsidRPr="00365442">
        <w:rPr>
          <w:lang w:val="it-IT"/>
        </w:rPr>
        <w:t xml:space="preserve"> Marcianum Press, 2012</w:t>
      </w:r>
    </w:p>
  </w:footnote>
  <w:footnote w:id="383">
    <w:p w14:paraId="1ED723D9" w14:textId="77777777" w:rsidR="00E14610" w:rsidRPr="0047091A" w:rsidRDefault="00E14610" w:rsidP="00E14610">
      <w:pPr>
        <w:pStyle w:val="FootnoteText"/>
        <w:jc w:val="left"/>
      </w:pPr>
      <w:r w:rsidRPr="0047091A">
        <w:rPr>
          <w:rStyle w:val="FootnoteReference"/>
        </w:rPr>
        <w:footnoteRef/>
      </w:r>
      <w:r w:rsidRPr="0047091A">
        <w:t xml:space="preserve"> “</w:t>
      </w:r>
      <w:r w:rsidRPr="0047091A">
        <w:rPr>
          <w:i/>
        </w:rPr>
        <w:t>The shocking impact of late payments on mental health</w:t>
      </w:r>
      <w:r w:rsidRPr="0047091A">
        <w:t xml:space="preserve">”, February 2022 </w:t>
      </w:r>
      <w:hyperlink r:id="rId230" w:history="1">
        <w:r w:rsidRPr="0047091A">
          <w:rPr>
            <w:rStyle w:val="Hyperlink"/>
          </w:rPr>
          <w:t>https://brodmin.com/payments/late-payments-and-mental-health/</w:t>
        </w:r>
      </w:hyperlink>
    </w:p>
    <w:p w14:paraId="3E86EEA2" w14:textId="77777777" w:rsidR="00E14610" w:rsidRPr="0047091A" w:rsidRDefault="00BC129D" w:rsidP="00E14610">
      <w:pPr>
        <w:pStyle w:val="FootnoteText"/>
        <w:jc w:val="left"/>
      </w:pPr>
      <w:hyperlink r:id="rId231" w:history="1">
        <w:r w:rsidR="00E14610" w:rsidRPr="0047091A">
          <w:rPr>
            <w:rStyle w:val="Hyperlink"/>
          </w:rPr>
          <w:t>https://www.verywellmind.com/the-relationship-between-debt-and-mental-health-5120085</w:t>
        </w:r>
      </w:hyperlink>
    </w:p>
  </w:footnote>
  <w:footnote w:id="384">
    <w:p w14:paraId="06F25895" w14:textId="77777777" w:rsidR="00364C73" w:rsidRPr="0047091A" w:rsidRDefault="00364C73" w:rsidP="00364C73">
      <w:pPr>
        <w:spacing w:after="0"/>
      </w:pPr>
      <w:r w:rsidRPr="0047091A">
        <w:rPr>
          <w:rStyle w:val="FootnoteReference"/>
        </w:rPr>
        <w:footnoteRef/>
      </w:r>
      <w:r w:rsidRPr="0047091A">
        <w:t xml:space="preserve"> </w:t>
      </w:r>
      <w:r w:rsidRPr="0047091A">
        <w:rPr>
          <w:rFonts w:eastAsiaTheme="minorEastAsia"/>
          <w:sz w:val="20"/>
          <w:szCs w:val="20"/>
        </w:rPr>
        <w:t>DPME (2020) “</w:t>
      </w:r>
      <w:hyperlink r:id="rId232" w:history="1">
        <w:r w:rsidRPr="0047091A">
          <w:rPr>
            <w:rStyle w:val="Hyperlink"/>
            <w:rFonts w:eastAsiaTheme="minorEastAsia"/>
            <w:sz w:val="20"/>
          </w:rPr>
          <w:t>Research on the Delays and Non-payment by Government on Small, Micro and Medium Enterprises - Full Report”, Pretoria: Department of Planning, Monitoring and Evaluation</w:t>
        </w:r>
      </w:hyperlink>
    </w:p>
  </w:footnote>
  <w:footnote w:id="385">
    <w:p w14:paraId="32997E4C" w14:textId="77777777" w:rsidR="00364C73" w:rsidRPr="0047091A" w:rsidRDefault="00364C73" w:rsidP="00364C73">
      <w:pPr>
        <w:pStyle w:val="FootnoteText"/>
      </w:pPr>
      <w:r w:rsidRPr="0047091A">
        <w:rPr>
          <w:rStyle w:val="FootnoteReference"/>
        </w:rPr>
        <w:footnoteRef/>
      </w:r>
      <w:r w:rsidRPr="0047091A">
        <w:t xml:space="preserve"> Call for Evidence, feedback F3388590</w:t>
      </w:r>
    </w:p>
  </w:footnote>
  <w:footnote w:id="386">
    <w:p w14:paraId="458F0878" w14:textId="77777777" w:rsidR="00364C73" w:rsidRPr="0047091A" w:rsidRDefault="00364C73" w:rsidP="00364C73">
      <w:pPr>
        <w:pStyle w:val="FootnoteText"/>
      </w:pPr>
      <w:r w:rsidRPr="0047091A">
        <w:rPr>
          <w:rStyle w:val="FootnoteReference"/>
        </w:rPr>
        <w:footnoteRef/>
      </w:r>
      <w:r w:rsidRPr="0047091A">
        <w:t xml:space="preserve"> Call for Evidence feedbacks F3388002, F3388677, F3375926</w:t>
      </w:r>
    </w:p>
  </w:footnote>
  <w:footnote w:id="387">
    <w:p w14:paraId="056C226F" w14:textId="77777777" w:rsidR="00364C73" w:rsidRPr="0047091A" w:rsidRDefault="00364C73" w:rsidP="00364C73">
      <w:pPr>
        <w:pStyle w:val="FootnoteText"/>
      </w:pPr>
      <w:r w:rsidRPr="0047091A">
        <w:rPr>
          <w:rStyle w:val="FootnoteReference"/>
        </w:rPr>
        <w:footnoteRef/>
      </w:r>
      <w:r w:rsidRPr="0047091A">
        <w:t xml:space="preserve"> Call for Evidence feedback F3388929</w:t>
      </w:r>
    </w:p>
  </w:footnote>
  <w:footnote w:id="388">
    <w:p w14:paraId="2071C24F" w14:textId="77777777" w:rsidR="00364C73" w:rsidRPr="0047091A" w:rsidRDefault="00364C73" w:rsidP="00364C73">
      <w:pPr>
        <w:pStyle w:val="FootnoteText"/>
      </w:pPr>
      <w:r w:rsidRPr="0047091A">
        <w:rPr>
          <w:rStyle w:val="FootnoteReference"/>
        </w:rPr>
        <w:footnoteRef/>
      </w:r>
      <w:r w:rsidRPr="0047091A">
        <w:t xml:space="preserve"> Call for Evidence feedbacks F3388141, F3388154</w:t>
      </w:r>
    </w:p>
  </w:footnote>
  <w:footnote w:id="389">
    <w:p w14:paraId="47381D33" w14:textId="77777777" w:rsidR="00364C73" w:rsidRPr="0047091A" w:rsidRDefault="00364C73" w:rsidP="00364C73">
      <w:pPr>
        <w:pStyle w:val="FootnoteText"/>
      </w:pPr>
      <w:r w:rsidRPr="0047091A">
        <w:rPr>
          <w:rStyle w:val="FootnoteReference"/>
        </w:rPr>
        <w:footnoteRef/>
      </w:r>
      <w:r w:rsidRPr="0047091A">
        <w:t xml:space="preserve"> Call for Evidence feedback F3388621</w:t>
      </w:r>
    </w:p>
  </w:footnote>
  <w:footnote w:id="390">
    <w:p w14:paraId="6406E6F6" w14:textId="77777777" w:rsidR="001F6CF5" w:rsidRPr="0047091A" w:rsidRDefault="001F6CF5" w:rsidP="001F6CF5">
      <w:pPr>
        <w:pStyle w:val="FootnoteText"/>
      </w:pPr>
      <w:r w:rsidRPr="0047091A">
        <w:rPr>
          <w:rStyle w:val="FootnoteReference"/>
        </w:rPr>
        <w:footnoteRef/>
      </w:r>
      <w:r w:rsidRPr="0047091A">
        <w:t xml:space="preserve"> European Commission, 2023. Call for evidence for the revision of the Late Payments Directive, available at: </w:t>
      </w:r>
      <w:hyperlink r:id="rId233" w:history="1">
        <w:r w:rsidRPr="0047091A">
          <w:rPr>
            <w:rStyle w:val="Hyperlink"/>
          </w:rPr>
          <w:t>https://ec.europa.eu/info/law/better-regulation/have-your-say/initiatives/13665-Late-payments-update-of-EU-rules_en</w:t>
        </w:r>
      </w:hyperlink>
    </w:p>
  </w:footnote>
  <w:footnote w:id="391">
    <w:p w14:paraId="77D767E5" w14:textId="77777777" w:rsidR="001F6CF5" w:rsidRPr="0047091A" w:rsidRDefault="001F6CF5" w:rsidP="001F6CF5">
      <w:pPr>
        <w:pStyle w:val="FootnoteText"/>
      </w:pPr>
      <w:r w:rsidRPr="0047091A">
        <w:rPr>
          <w:rStyle w:val="FootnoteReference"/>
        </w:rPr>
        <w:footnoteRef/>
      </w:r>
      <w:r w:rsidRPr="0047091A">
        <w:t xml:space="preserve"> </w:t>
      </w:r>
      <w:hyperlink r:id="rId234" w:history="1">
        <w:r w:rsidRPr="0047091A">
          <w:rPr>
            <w:rStyle w:val="Hyperlink"/>
          </w:rPr>
          <w:t>https://commission.europa.eu/funding-tenders/find-funding/eu-funding-programmes/connecting-europe-facility_en</w:t>
        </w:r>
      </w:hyperlink>
      <w:r w:rsidRPr="0047091A">
        <w:t xml:space="preserve"> </w:t>
      </w:r>
    </w:p>
  </w:footnote>
  <w:footnote w:id="392">
    <w:p w14:paraId="1DB9B80D" w14:textId="77777777" w:rsidR="001F6CF5" w:rsidRPr="0047091A" w:rsidRDefault="001F6CF5" w:rsidP="001F6CF5">
      <w:pPr>
        <w:pStyle w:val="FootnoteText"/>
      </w:pPr>
      <w:r w:rsidRPr="0047091A">
        <w:rPr>
          <w:rStyle w:val="FootnoteReference"/>
        </w:rPr>
        <w:footnoteRef/>
      </w:r>
      <w:r w:rsidRPr="0047091A">
        <w:t xml:space="preserve"> Economisti Associati, 2022. Study on building a responsible payment culture in the EU: improving the effectiveness of the Late Payment Directive (2011/7/EU).</w:t>
      </w:r>
    </w:p>
  </w:footnote>
  <w:footnote w:id="393">
    <w:p w14:paraId="4F14806D" w14:textId="77777777" w:rsidR="007D3EC2" w:rsidRPr="00F867B4" w:rsidRDefault="007D3EC2" w:rsidP="007D3EC2">
      <w:pPr>
        <w:pStyle w:val="FootnoteText"/>
        <w:rPr>
          <w:lang w:val="fr-BE"/>
        </w:rPr>
      </w:pPr>
      <w:r w:rsidRPr="0047091A">
        <w:rPr>
          <w:rStyle w:val="FootnoteReference"/>
        </w:rPr>
        <w:footnoteRef/>
      </w:r>
      <w:r w:rsidRPr="00F867B4">
        <w:rPr>
          <w:lang w:val="fr-BE"/>
        </w:rPr>
        <w:t xml:space="preserve"> ibid</w:t>
      </w:r>
    </w:p>
  </w:footnote>
  <w:footnote w:id="394">
    <w:p w14:paraId="78D687F0" w14:textId="77777777" w:rsidR="001F6CF5" w:rsidRPr="00F867B4" w:rsidRDefault="001F6CF5" w:rsidP="001F6CF5">
      <w:pPr>
        <w:pStyle w:val="FootnoteText"/>
        <w:rPr>
          <w:lang w:val="fr-BE"/>
        </w:rPr>
      </w:pPr>
      <w:r w:rsidRPr="0047091A">
        <w:rPr>
          <w:rStyle w:val="FootnoteReference"/>
        </w:rPr>
        <w:footnoteRef/>
      </w:r>
      <w:r w:rsidRPr="00F867B4">
        <w:rPr>
          <w:lang w:val="fr-BE"/>
        </w:rPr>
        <w:t xml:space="preserve"> Economisti Study 2022. In the Study refereferences are made to some dedicated studies carried out in France on htis matter 1) </w:t>
      </w:r>
      <w:r w:rsidRPr="00F867B4">
        <w:rPr>
          <w:rFonts w:cstheme="minorHAnsi"/>
          <w:lang w:val="fr-BE"/>
        </w:rPr>
        <w:t xml:space="preserve">Ministère de l'Économie, des Finances et de la Relance, Rapport de la Direction Générale des Finances publiques - La TVA à l’ère du digital en France, Octobre 2020 (page 53). </w:t>
      </w:r>
      <w:r w:rsidRPr="00F867B4">
        <w:rPr>
          <w:lang w:val="fr-BE"/>
        </w:rPr>
        <w:t>which clearly guards against excessive expectations regarding the effects of e-invoicing on payment behaviour (“</w:t>
      </w:r>
      <w:r w:rsidRPr="00F867B4">
        <w:rPr>
          <w:i/>
          <w:lang w:val="fr-BE"/>
        </w:rPr>
        <w:t>Or pour l’ensemble des acteurs rencontrés … le simple envoi dématérialisé des factures n’est pas de nature à diminuer mécaniquement la part des paiements excédant les délais légaux</w:t>
      </w:r>
      <w:r w:rsidRPr="00F867B4">
        <w:rPr>
          <w:lang w:val="fr-BE"/>
        </w:rPr>
        <w:t>.“)</w:t>
      </w:r>
    </w:p>
  </w:footnote>
  <w:footnote w:id="395">
    <w:p w14:paraId="5929EB63" w14:textId="77777777" w:rsidR="001F6CF5" w:rsidRPr="0047091A" w:rsidRDefault="001F6CF5" w:rsidP="001F6CF5">
      <w:pPr>
        <w:pStyle w:val="LPDSub-Title"/>
        <w:rPr>
          <w:rFonts w:ascii="Times New Roman" w:eastAsiaTheme="minorEastAsia" w:hAnsi="Times New Roman" w:cs="Times New Roman"/>
          <w:b w:val="0"/>
          <w:i/>
          <w:color w:val="auto"/>
          <w:lang w:val="en-GB"/>
        </w:rPr>
      </w:pPr>
      <w:r w:rsidRPr="0047091A">
        <w:rPr>
          <w:rStyle w:val="FootnoteReference"/>
          <w:rFonts w:eastAsiaTheme="minorEastAsia"/>
          <w:b w:val="0"/>
          <w:color w:val="auto"/>
          <w:lang w:val="en-GB"/>
        </w:rPr>
        <w:footnoteRef/>
      </w:r>
      <w:r w:rsidRPr="0047091A">
        <w:rPr>
          <w:rStyle w:val="FootnoteReference"/>
          <w:rFonts w:eastAsiaTheme="minorEastAsia"/>
          <w:b w:val="0"/>
          <w:color w:val="auto"/>
          <w:lang w:val="en-GB"/>
        </w:rPr>
        <w:t xml:space="preserve"> </w:t>
      </w:r>
      <w:r w:rsidRPr="0047091A">
        <w:rPr>
          <w:rFonts w:ascii="Times New Roman" w:eastAsiaTheme="minorEastAsia" w:hAnsi="Times New Roman" w:cs="Times New Roman"/>
          <w:b w:val="0"/>
          <w:i/>
          <w:color w:val="auto"/>
          <w:lang w:val="en-GB"/>
        </w:rPr>
        <w:t xml:space="preserve">”Overall, it can be concluded that in B2B transactions e-invoicing does contribute to create the conditions for prompt payments, but its role remains secondary, and the impact is likely to be small, if not supported by other accompanying measures and better enforcement of the rules.” </w:t>
      </w:r>
    </w:p>
  </w:footnote>
  <w:footnote w:id="396">
    <w:p w14:paraId="66505CD5" w14:textId="77777777" w:rsidR="00016E5D" w:rsidRPr="0047091A" w:rsidRDefault="00016E5D" w:rsidP="00016E5D">
      <w:pPr>
        <w:pStyle w:val="FootnoteText"/>
      </w:pPr>
      <w:r w:rsidRPr="0047091A">
        <w:rPr>
          <w:rStyle w:val="FootnoteReference"/>
        </w:rPr>
        <w:footnoteRef/>
      </w:r>
      <w:r w:rsidRPr="0047091A">
        <w:t xml:space="preserve"> COM(2023) 168 final</w:t>
      </w:r>
    </w:p>
  </w:footnote>
  <w:footnote w:id="397">
    <w:p w14:paraId="38380FB4" w14:textId="77777777" w:rsidR="001F6CF5" w:rsidRPr="0047091A" w:rsidRDefault="001F6CF5" w:rsidP="001F6CF5">
      <w:pPr>
        <w:pStyle w:val="FootnoteText"/>
      </w:pPr>
      <w:r w:rsidRPr="0047091A">
        <w:rPr>
          <w:rStyle w:val="FootnoteReference"/>
        </w:rPr>
        <w:footnoteRef/>
      </w:r>
      <w:r w:rsidRPr="0047091A">
        <w:t xml:space="preserve"> Taken to mean the ability of a business to utilise digital tools and working methods and operate inside a wider digital economy.</w:t>
      </w:r>
    </w:p>
  </w:footnote>
  <w:footnote w:id="398">
    <w:p w14:paraId="59BF44F4" w14:textId="77777777" w:rsidR="001F6CF5" w:rsidRPr="0047091A" w:rsidRDefault="001F6CF5" w:rsidP="001F6CF5">
      <w:pPr>
        <w:pStyle w:val="FootnoteText"/>
      </w:pPr>
      <w:r w:rsidRPr="0047091A">
        <w:rPr>
          <w:rStyle w:val="FootnoteReference"/>
        </w:rPr>
        <w:footnoteRef/>
      </w:r>
      <w:r w:rsidRPr="0047091A">
        <w:t xml:space="preserve"> https://digital-strategy.ec.europa.eu/en/activities/digital-programme</w:t>
      </w:r>
    </w:p>
  </w:footnote>
  <w:footnote w:id="399">
    <w:p w14:paraId="19C5394E" w14:textId="77777777" w:rsidR="001F6CF5" w:rsidRPr="0047091A" w:rsidRDefault="001F6CF5" w:rsidP="001F6CF5">
      <w:pPr>
        <w:pStyle w:val="FootnoteText"/>
      </w:pPr>
      <w:r w:rsidRPr="0047091A">
        <w:rPr>
          <w:rStyle w:val="FootnoteReference"/>
        </w:rPr>
        <w:footnoteRef/>
      </w:r>
      <w:r w:rsidRPr="0047091A">
        <w:t xml:space="preserve"> European Commission, 2022. Digital Economy and Society Index (DESI) 2022. Available at: </w:t>
      </w:r>
      <w:hyperlink r:id="rId235" w:history="1">
        <w:r w:rsidRPr="0047091A">
          <w:rPr>
            <w:rStyle w:val="Hyperlink"/>
          </w:rPr>
          <w:t>https://digital-strategy.ec.europa.eu/en/library/digital-economy-and-society-index-desi-2022</w:t>
        </w:r>
      </w:hyperlink>
    </w:p>
  </w:footnote>
  <w:footnote w:id="400">
    <w:p w14:paraId="3E34380F" w14:textId="77777777" w:rsidR="001F6CF5" w:rsidRPr="0047091A" w:rsidRDefault="001F6CF5" w:rsidP="001F6CF5">
      <w:pPr>
        <w:pStyle w:val="FootnoteText"/>
      </w:pPr>
      <w:r w:rsidRPr="0047091A">
        <w:rPr>
          <w:rStyle w:val="FootnoteReference"/>
        </w:rPr>
        <w:footnoteRef/>
      </w:r>
      <w:r w:rsidRPr="0047091A">
        <w:t xml:space="preserve"> European Commission, 2021. COMMUNICATION FROM THE COMMISSION TO THE EUROPEAN PARLIAMENT, THE COUNCIL, THE EUROPEAN ECONOMIC AND SOCIAL COMMITTEE AND THE COMMITTEE OF THE REGIONS: 2030 Digital Compass: the European way for the Digital Decade’. Available at: </w:t>
      </w:r>
      <w:hyperlink r:id="rId236" w:history="1">
        <w:r w:rsidRPr="0047091A">
          <w:rPr>
            <w:rStyle w:val="Hyperlink"/>
          </w:rPr>
          <w:t>https://commission.europa.eu/system/files/2023-01/cellar_12e835e2-81af-11eb-9ac9-01aa75ed71a1.0001.02_DOC_1.pdf</w:t>
        </w:r>
      </w:hyperlink>
    </w:p>
  </w:footnote>
  <w:footnote w:id="401">
    <w:p w14:paraId="74575F4D" w14:textId="77777777" w:rsidR="001F6CF5" w:rsidRPr="0047091A" w:rsidRDefault="001F6CF5" w:rsidP="001F6CF5">
      <w:pPr>
        <w:pStyle w:val="FootnoteText"/>
      </w:pPr>
      <w:r w:rsidRPr="0047091A">
        <w:rPr>
          <w:rStyle w:val="FootnoteReference"/>
        </w:rPr>
        <w:footnoteRef/>
      </w:r>
      <w:r w:rsidRPr="0047091A">
        <w:t xml:space="preserve"> European Commission, 2022. Digital Economy and Society Index (DESI) 2022. Available at: </w:t>
      </w:r>
      <w:hyperlink r:id="rId237" w:history="1">
        <w:r w:rsidRPr="0047091A">
          <w:rPr>
            <w:rStyle w:val="Hyperlink"/>
          </w:rPr>
          <w:t>https://digital-strategy.ec.europa.eu/en/library/digital-economy-and-society-index-desi-2022</w:t>
        </w:r>
      </w:hyperlink>
    </w:p>
  </w:footnote>
  <w:footnote w:id="402">
    <w:p w14:paraId="56F01498" w14:textId="77777777" w:rsidR="001F6CF5" w:rsidRPr="0047091A" w:rsidRDefault="001F6CF5" w:rsidP="001F6CF5">
      <w:pPr>
        <w:pStyle w:val="FootnoteText"/>
      </w:pPr>
      <w:r w:rsidRPr="0047091A">
        <w:rPr>
          <w:rStyle w:val="FootnoteReference"/>
        </w:rPr>
        <w:footnoteRef/>
      </w:r>
      <w:r w:rsidRPr="0047091A">
        <w:t xml:space="preserve"> European Commission, 2022. Proposal for a DECISION OF THE EUROPEAN PARLIAMENT AND OF THE COUNCIL on a European Year of Skills 2023. Available at: </w:t>
      </w:r>
      <w:hyperlink r:id="rId238" w:history="1">
        <w:r w:rsidRPr="0047091A">
          <w:rPr>
            <w:rStyle w:val="Hyperlink"/>
          </w:rPr>
          <w:t>https://ec.europa.eu/info/law/better-regulation/have-your-say/initiatives/13614-European-Year-of-Skills-2023_en</w:t>
        </w:r>
      </w:hyperlink>
    </w:p>
  </w:footnote>
  <w:footnote w:id="403">
    <w:p w14:paraId="5352DC5E" w14:textId="77777777" w:rsidR="001F6CF5" w:rsidRPr="0047091A" w:rsidRDefault="001F6CF5" w:rsidP="001F6CF5">
      <w:pPr>
        <w:pStyle w:val="FootnoteText"/>
        <w:rPr>
          <w:b/>
        </w:rPr>
      </w:pPr>
      <w:r w:rsidRPr="0047091A">
        <w:rPr>
          <w:rStyle w:val="FootnoteReference"/>
        </w:rPr>
        <w:footnoteRef/>
      </w:r>
      <w:r w:rsidRPr="0047091A">
        <w:t xml:space="preserve"> European Commission, 2022. Digital Economy and Society Index (DESI) 2022. Available at: </w:t>
      </w:r>
      <w:hyperlink r:id="rId239" w:history="1">
        <w:r w:rsidRPr="0047091A">
          <w:rPr>
            <w:rStyle w:val="Hyperlink"/>
          </w:rPr>
          <w:t>https://digital-strategy.ec.europa.eu/en/library/digital-economy-and-society-index-desi-2022</w:t>
        </w:r>
      </w:hyperlink>
    </w:p>
  </w:footnote>
  <w:footnote w:id="404">
    <w:p w14:paraId="2CDCD120" w14:textId="77777777" w:rsidR="001F6CF5" w:rsidRPr="0047091A" w:rsidRDefault="001F6CF5" w:rsidP="001F6CF5">
      <w:pPr>
        <w:pStyle w:val="FootnoteText"/>
      </w:pPr>
      <w:r w:rsidRPr="0047091A">
        <w:rPr>
          <w:rStyle w:val="FootnoteReference"/>
        </w:rPr>
        <w:footnoteRef/>
      </w:r>
      <w:r w:rsidRPr="0047091A">
        <w:t xml:space="preserve"> See, for instance, </w:t>
      </w:r>
      <w:r w:rsidRPr="0047091A">
        <w:rPr>
          <w:i/>
        </w:rPr>
        <w:t>Yuki</w:t>
      </w:r>
      <w:r w:rsidRPr="0047091A">
        <w:t xml:space="preserve">, </w:t>
      </w:r>
      <w:hyperlink r:id="rId240" w:history="1">
        <w:r w:rsidRPr="0047091A">
          <w:rPr>
            <w:rStyle w:val="Hyperlink"/>
          </w:rPr>
          <w:t>https://yukisoftware.es/</w:t>
        </w:r>
      </w:hyperlink>
    </w:p>
  </w:footnote>
  <w:footnote w:id="405">
    <w:p w14:paraId="2E4F7D56" w14:textId="77777777" w:rsidR="001F6CF5" w:rsidRPr="0047091A" w:rsidRDefault="001F6CF5" w:rsidP="001F6CF5">
      <w:pPr>
        <w:pStyle w:val="FootnoteText"/>
      </w:pPr>
      <w:r w:rsidRPr="0047091A">
        <w:rPr>
          <w:rStyle w:val="FootnoteReference"/>
        </w:rPr>
        <w:footnoteRef/>
      </w:r>
      <w:r w:rsidRPr="0047091A">
        <w:t xml:space="preserve"> Ibid.</w:t>
      </w:r>
    </w:p>
  </w:footnote>
  <w:footnote w:id="406">
    <w:p w14:paraId="3A88155F" w14:textId="77777777" w:rsidR="001F6CF5" w:rsidRPr="0047091A" w:rsidRDefault="001F6CF5" w:rsidP="001F6CF5">
      <w:pPr>
        <w:pStyle w:val="FootnoteText"/>
      </w:pPr>
      <w:r w:rsidRPr="0047091A">
        <w:rPr>
          <w:rStyle w:val="FootnoteReference"/>
        </w:rPr>
        <w:footnoteRef/>
      </w:r>
      <w:r w:rsidRPr="0047091A">
        <w:t xml:space="preserve"> See for instance </w:t>
      </w:r>
      <w:r w:rsidRPr="0047091A">
        <w:rPr>
          <w:i/>
        </w:rPr>
        <w:t>Coface,</w:t>
      </w:r>
      <w:r w:rsidRPr="0047091A">
        <w:t xml:space="preserve"> </w:t>
      </w:r>
      <w:hyperlink r:id="rId241" w:history="1">
        <w:r w:rsidRPr="0047091A">
          <w:rPr>
            <w:rStyle w:val="Hyperlink"/>
          </w:rPr>
          <w:t>https://www.coface.com/</w:t>
        </w:r>
      </w:hyperlink>
    </w:p>
  </w:footnote>
  <w:footnote w:id="407">
    <w:p w14:paraId="11A8C225" w14:textId="77777777" w:rsidR="001F6CF5" w:rsidRPr="0047091A" w:rsidRDefault="001F6CF5" w:rsidP="001F6CF5">
      <w:pPr>
        <w:pStyle w:val="FootnoteText"/>
      </w:pPr>
      <w:r w:rsidRPr="0047091A">
        <w:rPr>
          <w:rStyle w:val="FootnoteReference"/>
        </w:rPr>
        <w:footnoteRef/>
      </w:r>
      <w:r w:rsidRPr="0047091A">
        <w:t xml:space="preserve"> See for instance CreditSafe, </w:t>
      </w:r>
      <w:hyperlink r:id="rId242" w:history="1">
        <w:r w:rsidRPr="0047091A">
          <w:rPr>
            <w:rStyle w:val="Hyperlink"/>
          </w:rPr>
          <w:t>https://www.creditsafe.com/be/en.html?sp=true</w:t>
        </w:r>
      </w:hyperlink>
    </w:p>
  </w:footnote>
  <w:footnote w:id="408">
    <w:p w14:paraId="122CB6BF" w14:textId="77777777" w:rsidR="001F6CF5" w:rsidRPr="00F867B4" w:rsidRDefault="001F6CF5" w:rsidP="001F6CF5">
      <w:pPr>
        <w:pStyle w:val="FootnoteText"/>
        <w:rPr>
          <w:lang w:val="de-DE"/>
        </w:rPr>
      </w:pPr>
      <w:r w:rsidRPr="0047091A">
        <w:rPr>
          <w:rStyle w:val="FootnoteReference"/>
        </w:rPr>
        <w:footnoteRef/>
      </w:r>
      <w:r w:rsidRPr="00F867B4">
        <w:rPr>
          <w:lang w:val="de-DE"/>
        </w:rPr>
        <w:t xml:space="preserve"> Kit Digital, 2022. </w:t>
      </w:r>
      <w:hyperlink r:id="rId243" w:history="1">
        <w:r w:rsidRPr="00F867B4">
          <w:rPr>
            <w:rStyle w:val="Hyperlink"/>
            <w:lang w:val="de-DE"/>
          </w:rPr>
          <w:t>https://www.acelerapyme.gob.es/en/kit-digital</w:t>
        </w:r>
      </w:hyperlink>
    </w:p>
  </w:footnote>
  <w:footnote w:id="409">
    <w:p w14:paraId="7BF4F306" w14:textId="77777777" w:rsidR="005950F5" w:rsidRPr="0047091A" w:rsidRDefault="005950F5" w:rsidP="005950F5">
      <w:pPr>
        <w:pStyle w:val="FootnoteText"/>
      </w:pPr>
      <w:r w:rsidRPr="0047091A">
        <w:rPr>
          <w:rStyle w:val="FootnoteReference"/>
        </w:rPr>
        <w:footnoteRef/>
      </w:r>
      <w:r w:rsidRPr="0047091A">
        <w:t xml:space="preserve"> https://entrepreneurship4all.eu/</w:t>
      </w:r>
    </w:p>
  </w:footnote>
  <w:footnote w:id="410">
    <w:p w14:paraId="586B84CB" w14:textId="77777777" w:rsidR="001F6CF5" w:rsidRPr="0047091A" w:rsidRDefault="001F6CF5" w:rsidP="001F6CF5">
      <w:pPr>
        <w:pStyle w:val="FootnoteText"/>
      </w:pPr>
      <w:r w:rsidRPr="0047091A">
        <w:rPr>
          <w:rStyle w:val="FootnoteReference"/>
        </w:rPr>
        <w:footnoteRef/>
      </w:r>
      <w:r w:rsidRPr="0047091A">
        <w:t xml:space="preserve"> European Commission, Reform Support: Public administration and governance. Available at: </w:t>
      </w:r>
      <w:hyperlink r:id="rId244" w:anchor="digital-public-administration" w:history="1">
        <w:r w:rsidRPr="0047091A">
          <w:rPr>
            <w:rStyle w:val="Hyperlink"/>
          </w:rPr>
          <w:t>https://reform-support.ec.europa.eu/what-we-do/public-administration-and-governance_en#digital-public-administration</w:t>
        </w:r>
      </w:hyperlink>
    </w:p>
  </w:footnote>
  <w:footnote w:id="411">
    <w:p w14:paraId="2FD23D8F" w14:textId="77777777" w:rsidR="001F6CF5" w:rsidRPr="0047091A" w:rsidRDefault="001F6CF5" w:rsidP="001F6CF5">
      <w:pPr>
        <w:pStyle w:val="FootnoteText"/>
      </w:pPr>
      <w:r w:rsidRPr="0047091A">
        <w:rPr>
          <w:rStyle w:val="FootnoteReference"/>
        </w:rPr>
        <w:footnoteRef/>
      </w:r>
      <w:r w:rsidRPr="0047091A">
        <w:t xml:space="preserve"> </w:t>
      </w:r>
      <w:hyperlink r:id="rId245" w:history="1">
        <w:r w:rsidRPr="0047091A">
          <w:rPr>
            <w:rStyle w:val="Hyperlink"/>
          </w:rPr>
          <w:t>https://joinup.ec.europa.eu/interoperable-europe</w:t>
        </w:r>
      </w:hyperlink>
    </w:p>
    <w:p w14:paraId="2F905A50" w14:textId="77777777" w:rsidR="001F6CF5" w:rsidRPr="0047091A" w:rsidRDefault="001F6CF5" w:rsidP="001F6CF5">
      <w:pPr>
        <w:pStyle w:val="FootnoteText"/>
      </w:pPr>
    </w:p>
  </w:footnote>
  <w:footnote w:id="412">
    <w:p w14:paraId="552EA103" w14:textId="77777777" w:rsidR="00907279" w:rsidRPr="00907279" w:rsidRDefault="00907279" w:rsidP="00907279">
      <w:pPr>
        <w:pStyle w:val="FootnoteText"/>
        <w:rPr>
          <w:lang w:val="pl-PL"/>
        </w:rPr>
      </w:pPr>
      <w:r>
        <w:rPr>
          <w:rStyle w:val="FootnoteReference"/>
        </w:rPr>
        <w:footnoteRef/>
      </w:r>
      <w:r>
        <w:t xml:space="preserve"> </w:t>
      </w:r>
      <w:hyperlink r:id="rId246" w:history="1">
        <w:r w:rsidRPr="009F7D21">
          <w:rPr>
            <w:rStyle w:val="Hyperlink"/>
          </w:rPr>
          <w:t>https://finance.ec.europa.eu/capital-markets-union-and-financial-markets/capital-markets-union/capital-markets-union-2020-action-plan_en</w:t>
        </w:r>
      </w:hyperlink>
    </w:p>
  </w:footnote>
  <w:footnote w:id="413">
    <w:p w14:paraId="05E0720E" w14:textId="77777777" w:rsidR="00907279" w:rsidRPr="00A31BAD" w:rsidRDefault="00907279" w:rsidP="00907279">
      <w:pPr>
        <w:pStyle w:val="FootnoteText"/>
        <w:rPr>
          <w:lang w:val="pl-PL"/>
        </w:rPr>
      </w:pPr>
      <w:r>
        <w:rPr>
          <w:rStyle w:val="FootnoteReference"/>
        </w:rPr>
        <w:footnoteRef/>
      </w:r>
      <w:r w:rsidRPr="00F867B4">
        <w:rPr>
          <w:lang w:val="pl-PL"/>
        </w:rPr>
        <w:t xml:space="preserve"> </w:t>
      </w:r>
      <w:hyperlink r:id="rId247" w:history="1">
        <w:r w:rsidRPr="00F867B4">
          <w:rPr>
            <w:rStyle w:val="Hyperlink"/>
            <w:lang w:val="pl-PL"/>
          </w:rPr>
          <w:t>https://finance.ec.europa.eu/capital-markets-union-and-financial-markets/capital-markets-union/capital-markets-union-2020-action-plan/action-7-empowering-citizens-through-financial-literacy_en</w:t>
        </w:r>
      </w:hyperlink>
      <w:r w:rsidRPr="00F867B4">
        <w:rPr>
          <w:lang w:val="pl-PL"/>
        </w:rPr>
        <w:t xml:space="preserve"> </w:t>
      </w:r>
    </w:p>
  </w:footnote>
  <w:footnote w:id="414">
    <w:p w14:paraId="42FE253B" w14:textId="35A05E28" w:rsidR="00907279" w:rsidRPr="00907279" w:rsidRDefault="00907279">
      <w:pPr>
        <w:pStyle w:val="FootnoteText"/>
        <w:rPr>
          <w:lang w:val="pl-PL"/>
        </w:rPr>
      </w:pPr>
      <w:r>
        <w:rPr>
          <w:rStyle w:val="FootnoteReference"/>
        </w:rPr>
        <w:footnoteRef/>
      </w:r>
      <w:r w:rsidRPr="00F867B4">
        <w:rPr>
          <w:lang w:val="pl-PL"/>
        </w:rPr>
        <w:t xml:space="preserve"> </w:t>
      </w:r>
      <w:hyperlink r:id="rId248" w:history="1">
        <w:r w:rsidRPr="00F867B4">
          <w:rPr>
            <w:rStyle w:val="Hyperlink"/>
            <w:lang w:val="pl-PL"/>
          </w:rPr>
          <w:t>https://finance.ec.europa.eu/capital-markets-union-and-financial-markets/capital-markets-union/capital-markets-union-2020-action-plan/action-7-empowering-citizens-through-financial-literacy_en</w:t>
        </w:r>
      </w:hyperlink>
      <w:r w:rsidRPr="00F867B4">
        <w:rPr>
          <w:lang w:val="pl-PL"/>
        </w:rPr>
        <w:t xml:space="preserve"> </w:t>
      </w:r>
    </w:p>
  </w:footnote>
  <w:footnote w:id="415">
    <w:p w14:paraId="1811D8F4" w14:textId="5F25CF22" w:rsidR="00263D14" w:rsidRPr="00263D14" w:rsidRDefault="00263D14">
      <w:pPr>
        <w:pStyle w:val="FootnoteText"/>
        <w:rPr>
          <w:lang w:val="pl-PL"/>
        </w:rPr>
      </w:pPr>
      <w:r>
        <w:rPr>
          <w:rStyle w:val="FootnoteReference"/>
        </w:rPr>
        <w:footnoteRef/>
      </w:r>
      <w:r w:rsidRPr="00F867B4">
        <w:rPr>
          <w:lang w:val="pl-PL"/>
        </w:rPr>
        <w:t xml:space="preserve"> </w:t>
      </w:r>
      <w:hyperlink r:id="rId249" w:history="1">
        <w:r w:rsidRPr="00F867B4">
          <w:rPr>
            <w:rStyle w:val="Hyperlink"/>
            <w:lang w:val="pl-PL"/>
          </w:rPr>
          <w:t>https://reform-support.ec.europa.eu/what-we-do/finance-and-access-finance/strategy-financial-literacy-austria_en</w:t>
        </w:r>
      </w:hyperlink>
      <w:r w:rsidRPr="00F867B4">
        <w:rPr>
          <w:lang w:val="pl-PL"/>
        </w:rPr>
        <w:t xml:space="preserve"> </w:t>
      </w:r>
    </w:p>
  </w:footnote>
  <w:footnote w:id="416">
    <w:p w14:paraId="24E38FC3" w14:textId="77777777" w:rsidR="00D278E0" w:rsidRPr="0047091A" w:rsidRDefault="00D278E0" w:rsidP="00D278E0">
      <w:pPr>
        <w:spacing w:after="0"/>
        <w:rPr>
          <w:sz w:val="20"/>
          <w:szCs w:val="20"/>
        </w:rPr>
      </w:pPr>
      <w:r w:rsidRPr="0047091A">
        <w:rPr>
          <w:sz w:val="20"/>
          <w:szCs w:val="20"/>
          <w:vertAlign w:val="superscript"/>
        </w:rPr>
        <w:footnoteRef/>
      </w:r>
      <w:r w:rsidRPr="0047091A">
        <w:rPr>
          <w:sz w:val="20"/>
          <w:szCs w:val="20"/>
          <w:vertAlign w:val="superscript"/>
        </w:rPr>
        <w:t xml:space="preserve"> </w:t>
      </w:r>
      <w:r w:rsidRPr="0047091A">
        <w:rPr>
          <w:sz w:val="20"/>
          <w:szCs w:val="20"/>
        </w:rPr>
        <w:t>Sections 3 (1) and (2), and Section 3a of the Law no. 459 (consolidated version) ‘Interest Act’ - IA (Lovbekendtgørelse om renter og andre forhold ved forsinket betaling (renteloven)), Official Law Gazette 13 May 2014.</w:t>
      </w:r>
    </w:p>
  </w:footnote>
  <w:footnote w:id="417">
    <w:p w14:paraId="490F023B" w14:textId="77777777" w:rsidR="00D278E0" w:rsidRPr="0047091A" w:rsidRDefault="00D278E0" w:rsidP="00D278E0">
      <w:pPr>
        <w:spacing w:after="0"/>
        <w:rPr>
          <w:sz w:val="20"/>
          <w:szCs w:val="20"/>
        </w:rPr>
      </w:pPr>
      <w:r w:rsidRPr="0047091A">
        <w:rPr>
          <w:sz w:val="20"/>
          <w:szCs w:val="20"/>
          <w:vertAlign w:val="superscript"/>
        </w:rPr>
        <w:footnoteRef/>
      </w:r>
      <w:r w:rsidRPr="0047091A">
        <w:rPr>
          <w:sz w:val="20"/>
          <w:szCs w:val="20"/>
          <w:vertAlign w:val="superscript"/>
        </w:rPr>
        <w:t xml:space="preserve"> </w:t>
      </w:r>
      <w:r w:rsidRPr="0047091A">
        <w:rPr>
          <w:sz w:val="20"/>
          <w:szCs w:val="20"/>
        </w:rPr>
        <w:t>Section 5 of the Act on payment terms for commercial contracts (as last amended in 2015 by Act 385/2015). See also Government Bill Proposal, RP 356/2014.</w:t>
      </w:r>
    </w:p>
  </w:footnote>
  <w:footnote w:id="418">
    <w:p w14:paraId="5FD57BD5" w14:textId="77777777" w:rsidR="00D278E0" w:rsidRPr="0047091A" w:rsidRDefault="00D278E0" w:rsidP="00D278E0">
      <w:pPr>
        <w:spacing w:after="0"/>
        <w:rPr>
          <w:sz w:val="20"/>
          <w:szCs w:val="20"/>
        </w:rPr>
      </w:pPr>
      <w:r w:rsidRPr="0047091A">
        <w:rPr>
          <w:sz w:val="20"/>
          <w:szCs w:val="20"/>
          <w:vertAlign w:val="superscript"/>
        </w:rPr>
        <w:footnoteRef/>
      </w:r>
      <w:r w:rsidRPr="0047091A">
        <w:rPr>
          <w:sz w:val="20"/>
          <w:szCs w:val="20"/>
          <w:vertAlign w:val="superscript"/>
        </w:rPr>
        <w:t xml:space="preserve"> </w:t>
      </w:r>
      <w:r w:rsidRPr="0047091A">
        <w:rPr>
          <w:sz w:val="20"/>
          <w:szCs w:val="20"/>
        </w:rPr>
        <w:t xml:space="preserve">Article 6:119a (5) of the Civil Code, as amended by Act of 13 December 2012 modifying Book 6 of the Civil Code and some other acts in relation to the transposition of Directive 2011/7/EU </w:t>
      </w:r>
    </w:p>
  </w:footnote>
  <w:footnote w:id="419">
    <w:p w14:paraId="1BFC7186" w14:textId="77777777" w:rsidR="00D278E0" w:rsidRPr="0047091A" w:rsidRDefault="00D278E0" w:rsidP="00D278E0">
      <w:pPr>
        <w:spacing w:after="0"/>
        <w:rPr>
          <w:sz w:val="20"/>
          <w:szCs w:val="20"/>
        </w:rPr>
      </w:pPr>
      <w:r w:rsidRPr="0047091A">
        <w:rPr>
          <w:sz w:val="20"/>
          <w:szCs w:val="20"/>
          <w:vertAlign w:val="superscript"/>
        </w:rPr>
        <w:footnoteRef/>
      </w:r>
      <w:r w:rsidRPr="0047091A">
        <w:rPr>
          <w:sz w:val="20"/>
          <w:szCs w:val="20"/>
        </w:rPr>
        <w:t xml:space="preserve"> Section 2 a of the ‘Interest Act’ (Räntelag), SFS 1975:635.</w:t>
      </w:r>
    </w:p>
  </w:footnote>
  <w:footnote w:id="420">
    <w:p w14:paraId="3E9BDEAC" w14:textId="77777777" w:rsidR="00D278E0" w:rsidRPr="0047091A" w:rsidRDefault="00D278E0" w:rsidP="00D278E0">
      <w:pPr>
        <w:spacing w:after="0"/>
        <w:rPr>
          <w:sz w:val="20"/>
          <w:szCs w:val="20"/>
        </w:rPr>
      </w:pPr>
      <w:r w:rsidRPr="0047091A">
        <w:rPr>
          <w:sz w:val="20"/>
          <w:szCs w:val="20"/>
          <w:vertAlign w:val="superscript"/>
        </w:rPr>
        <w:footnoteRef/>
      </w:r>
      <w:r w:rsidRPr="0047091A">
        <w:rPr>
          <w:sz w:val="20"/>
          <w:szCs w:val="20"/>
          <w:vertAlign w:val="superscript"/>
        </w:rPr>
        <w:t xml:space="preserve"> </w:t>
      </w:r>
      <w:r w:rsidRPr="0047091A">
        <w:rPr>
          <w:sz w:val="20"/>
          <w:szCs w:val="20"/>
        </w:rPr>
        <w:t xml:space="preserve">Petersen, L. L., Renteloven (4th ed, Karnov Group, Copenhagen, 2013) 141. </w:t>
      </w:r>
    </w:p>
  </w:footnote>
  <w:footnote w:id="421">
    <w:p w14:paraId="7CBA40C6" w14:textId="77777777" w:rsidR="00D278E0" w:rsidRPr="0047091A" w:rsidRDefault="00D278E0" w:rsidP="00D278E0">
      <w:pPr>
        <w:spacing w:after="0"/>
        <w:rPr>
          <w:sz w:val="20"/>
          <w:szCs w:val="20"/>
        </w:rPr>
      </w:pPr>
      <w:r w:rsidRPr="0047091A">
        <w:rPr>
          <w:sz w:val="20"/>
          <w:szCs w:val="20"/>
          <w:vertAlign w:val="superscript"/>
        </w:rPr>
        <w:footnoteRef/>
      </w:r>
      <w:r w:rsidRPr="0047091A">
        <w:rPr>
          <w:sz w:val="20"/>
          <w:szCs w:val="20"/>
        </w:rPr>
        <w:t xml:space="preserve"> An adhesion clause is a contractual clause drafted by one party and signed by another party which, typically, does not have the power to negotiate or modify the ‘imposed’ terms.</w:t>
      </w:r>
    </w:p>
  </w:footnote>
  <w:footnote w:id="422">
    <w:p w14:paraId="1053F966" w14:textId="77777777" w:rsidR="00D278E0" w:rsidRPr="0047091A" w:rsidRDefault="00D278E0" w:rsidP="00D278E0">
      <w:pPr>
        <w:spacing w:after="0"/>
        <w:rPr>
          <w:rFonts w:eastAsia="Times New Roman"/>
          <w:sz w:val="20"/>
          <w:szCs w:val="20"/>
        </w:rPr>
      </w:pPr>
      <w:r w:rsidRPr="0047091A">
        <w:rPr>
          <w:rStyle w:val="FootnoteReference"/>
          <w:sz w:val="20"/>
          <w:szCs w:val="20"/>
        </w:rPr>
        <w:footnoteRef/>
      </w:r>
      <w:r w:rsidRPr="0047091A">
        <w:rPr>
          <w:rFonts w:eastAsia="Times New Roman"/>
          <w:sz w:val="20"/>
          <w:szCs w:val="20"/>
        </w:rPr>
        <w:t xml:space="preserve"> Making the explicit consent of both parties a condition for validating payment periods longer than 30 days avoids situations where, for example, the debtor merely refers to its previously applied business practice. A limitation of this approach should be considered: in Member States where contracts can be entered into orally (e.g. in Denmark) determining what is needed to establish that a creditor has ‘expressly’ accepted a payment period longer than 30 days is left to the interpretation of the courts (</w:t>
      </w:r>
      <w:r w:rsidRPr="0047091A">
        <w:rPr>
          <w:rStyle w:val="FootnoteReference"/>
          <w:sz w:val="20"/>
          <w:szCs w:val="20"/>
          <w:vertAlign w:val="baseline"/>
        </w:rPr>
        <w:t>Morten Qvist Fog Lund, ‘</w:t>
      </w:r>
      <w:r w:rsidRPr="0047091A">
        <w:rPr>
          <w:rStyle w:val="FootnoteReference"/>
          <w:i/>
          <w:sz w:val="20"/>
          <w:szCs w:val="20"/>
          <w:vertAlign w:val="baseline"/>
        </w:rPr>
        <w:t>Ny lovgivning: Implementering af Late Payment direktivet i Danmark’, (2013) 1-S Erhvervsjuridisk Tidsskrift</w:t>
      </w:r>
      <w:r w:rsidRPr="0047091A">
        <w:rPr>
          <w:rStyle w:val="FootnoteReference"/>
          <w:sz w:val="20"/>
          <w:szCs w:val="20"/>
          <w:vertAlign w:val="baseline"/>
        </w:rPr>
        <w:t xml:space="preserve"> 43, 44.</w:t>
      </w:r>
      <w:r w:rsidRPr="0047091A">
        <w:rPr>
          <w:rFonts w:eastAsia="Times New Roman"/>
          <w:sz w:val="20"/>
          <w:szCs w:val="20"/>
        </w:rPr>
        <w:t>).</w:t>
      </w:r>
    </w:p>
  </w:footnote>
  <w:footnote w:id="423">
    <w:p w14:paraId="00936F23" w14:textId="77777777" w:rsidR="00D278E0" w:rsidRPr="0047091A" w:rsidRDefault="00D278E0" w:rsidP="00D278E0">
      <w:pPr>
        <w:spacing w:after="0"/>
        <w:rPr>
          <w:rFonts w:eastAsia="Times New Roman"/>
          <w:sz w:val="20"/>
          <w:szCs w:val="20"/>
        </w:rPr>
      </w:pPr>
      <w:r w:rsidRPr="0047091A">
        <w:rPr>
          <w:rStyle w:val="FootnoteReference"/>
          <w:sz w:val="20"/>
          <w:szCs w:val="20"/>
        </w:rPr>
        <w:footnoteRef/>
      </w:r>
      <w:r w:rsidRPr="0047091A">
        <w:rPr>
          <w:rFonts w:eastAsia="Times New Roman"/>
          <w:sz w:val="20"/>
          <w:szCs w:val="20"/>
        </w:rPr>
        <w:t xml:space="preserve"> Commercial Code of 18 September 2000, Official Journal of the French Republic of 21 September 2000, as last amended by Law n° 2008-776 of 4 August 2008.</w:t>
      </w:r>
    </w:p>
  </w:footnote>
  <w:footnote w:id="424">
    <w:p w14:paraId="331B4438" w14:textId="77777777" w:rsidR="00D278E0" w:rsidRPr="0047091A" w:rsidRDefault="00D278E0" w:rsidP="00D278E0">
      <w:pPr>
        <w:spacing w:after="0"/>
        <w:rPr>
          <w:rFonts w:eastAsia="Times New Roman"/>
          <w:sz w:val="20"/>
          <w:szCs w:val="20"/>
        </w:rPr>
      </w:pPr>
      <w:r w:rsidRPr="0047091A">
        <w:rPr>
          <w:rStyle w:val="FootnoteReference"/>
          <w:sz w:val="20"/>
          <w:szCs w:val="20"/>
        </w:rPr>
        <w:footnoteRef/>
      </w:r>
      <w:r w:rsidRPr="0047091A">
        <w:rPr>
          <w:rFonts w:eastAsia="Times New Roman"/>
          <w:sz w:val="20"/>
          <w:szCs w:val="20"/>
        </w:rPr>
        <w:t xml:space="preserve"> Article L. 441-6, I, Section 9 of the French Commercial Code. It implies that the maximum payment term is, therefore, up to 75 days (if the invoice is received the first day of the month and is paid 45 days from the end of the month).</w:t>
      </w:r>
    </w:p>
  </w:footnote>
  <w:footnote w:id="425">
    <w:p w14:paraId="3814DC28" w14:textId="77777777" w:rsidR="00D278E0" w:rsidRPr="0047091A" w:rsidRDefault="00D278E0" w:rsidP="00D278E0">
      <w:pPr>
        <w:spacing w:after="0"/>
        <w:rPr>
          <w:rFonts w:eastAsia="Times New Roman"/>
          <w:sz w:val="20"/>
          <w:szCs w:val="20"/>
        </w:rPr>
      </w:pPr>
      <w:r w:rsidRPr="0047091A">
        <w:rPr>
          <w:rStyle w:val="FootnoteReference"/>
          <w:sz w:val="20"/>
          <w:szCs w:val="20"/>
        </w:rPr>
        <w:footnoteRef/>
      </w:r>
      <w:r w:rsidRPr="0047091A">
        <w:rPr>
          <w:rFonts w:eastAsia="Times New Roman"/>
          <w:sz w:val="20"/>
          <w:szCs w:val="20"/>
        </w:rPr>
        <w:t xml:space="preserve"> Article 4 (3), Act on Late Payment in Commercial Transactions (ALCPT).</w:t>
      </w:r>
    </w:p>
  </w:footnote>
  <w:footnote w:id="426">
    <w:p w14:paraId="134EB846" w14:textId="77777777" w:rsidR="00D278E0" w:rsidRPr="0047091A" w:rsidRDefault="00D278E0" w:rsidP="00D278E0">
      <w:pPr>
        <w:spacing w:after="0"/>
        <w:rPr>
          <w:rFonts w:eastAsia="Times New Roman"/>
          <w:sz w:val="20"/>
          <w:szCs w:val="20"/>
        </w:rPr>
      </w:pPr>
      <w:r w:rsidRPr="0047091A">
        <w:rPr>
          <w:rStyle w:val="FootnoteReference"/>
          <w:sz w:val="20"/>
          <w:szCs w:val="20"/>
        </w:rPr>
        <w:footnoteRef/>
      </w:r>
      <w:r w:rsidRPr="0047091A">
        <w:rPr>
          <w:rFonts w:eastAsia="Times New Roman"/>
          <w:sz w:val="20"/>
          <w:szCs w:val="20"/>
        </w:rPr>
        <w:t xml:space="preserve"> Article 11(2) of the Act on Financial Operations and Pre-Bankruptcy Settlement, (Official Gazzette no. 108/2012.</w:t>
      </w:r>
    </w:p>
  </w:footnote>
  <w:footnote w:id="427">
    <w:p w14:paraId="4E000708" w14:textId="77777777" w:rsidR="00D278E0" w:rsidRPr="0047091A" w:rsidRDefault="00D278E0" w:rsidP="00D278E0">
      <w:pPr>
        <w:spacing w:after="0"/>
        <w:rPr>
          <w:rFonts w:eastAsia="Times New Roman"/>
          <w:sz w:val="20"/>
          <w:szCs w:val="20"/>
        </w:rPr>
      </w:pPr>
      <w:r w:rsidRPr="0047091A">
        <w:rPr>
          <w:rStyle w:val="FootnoteReference"/>
          <w:sz w:val="20"/>
          <w:szCs w:val="20"/>
        </w:rPr>
        <w:footnoteRef/>
      </w:r>
      <w:r w:rsidRPr="0047091A">
        <w:rPr>
          <w:rFonts w:eastAsia="Times New Roman"/>
          <w:sz w:val="20"/>
          <w:szCs w:val="20"/>
        </w:rPr>
        <w:t xml:space="preserve"> Sections 904, 907a, and 1334 of the General Civil Code </w:t>
      </w:r>
      <w:r w:rsidRPr="0047091A">
        <w:rPr>
          <w:i/>
          <w:sz w:val="20"/>
          <w:szCs w:val="20"/>
        </w:rPr>
        <w:t xml:space="preserve">(Allgemeines bürgerliches Gesetzbuch – ABGB), JGS Nr 946/1811 </w:t>
      </w:r>
      <w:r w:rsidRPr="0047091A">
        <w:rPr>
          <w:rFonts w:eastAsia="Times New Roman"/>
          <w:sz w:val="20"/>
          <w:szCs w:val="20"/>
        </w:rPr>
        <w:t>as amended by Federal Law Gazette published on 9 August 2002,</w:t>
      </w:r>
      <w:r w:rsidRPr="0047091A">
        <w:rPr>
          <w:i/>
          <w:sz w:val="20"/>
          <w:szCs w:val="20"/>
        </w:rPr>
        <w:t xml:space="preserve"> BGBl I 118/2002.</w:t>
      </w:r>
    </w:p>
  </w:footnote>
  <w:footnote w:id="428">
    <w:p w14:paraId="721AA12F" w14:textId="77777777" w:rsidR="00D278E0" w:rsidRPr="0047091A" w:rsidRDefault="00D278E0" w:rsidP="00D278E0">
      <w:pPr>
        <w:spacing w:after="0"/>
        <w:rPr>
          <w:rFonts w:eastAsia="Times New Roman"/>
          <w:sz w:val="20"/>
          <w:szCs w:val="20"/>
        </w:rPr>
      </w:pPr>
      <w:r w:rsidRPr="0047091A">
        <w:rPr>
          <w:rStyle w:val="FootnoteReference"/>
          <w:sz w:val="20"/>
          <w:szCs w:val="20"/>
        </w:rPr>
        <w:footnoteRef/>
      </w:r>
      <w:r w:rsidRPr="0047091A">
        <w:rPr>
          <w:rFonts w:eastAsia="Times New Roman"/>
          <w:sz w:val="20"/>
          <w:szCs w:val="20"/>
        </w:rPr>
        <w:t xml:space="preserve"> Article 303a, Sec. 3 Commerce Act, ‘Bill for Amendment and Supplementation of the Commerce Act’ (</w:t>
      </w:r>
      <w:r w:rsidRPr="0047091A">
        <w:rPr>
          <w:i/>
          <w:sz w:val="20"/>
          <w:szCs w:val="20"/>
        </w:rPr>
        <w:t>Закон за изменение и допълнение на Търговския закон</w:t>
      </w:r>
      <w:r w:rsidRPr="0047091A">
        <w:rPr>
          <w:rFonts w:eastAsia="Times New Roman"/>
          <w:sz w:val="20"/>
          <w:szCs w:val="20"/>
        </w:rPr>
        <w:t>), State Gazette issue 20 of 28 February 2013, in force as of 4 March 2013.</w:t>
      </w:r>
    </w:p>
  </w:footnote>
  <w:footnote w:id="429">
    <w:p w14:paraId="02A67BC4" w14:textId="77777777" w:rsidR="00D278E0" w:rsidRPr="0047091A" w:rsidRDefault="00D278E0" w:rsidP="00D278E0">
      <w:pPr>
        <w:spacing w:after="0"/>
        <w:rPr>
          <w:rFonts w:eastAsia="Times New Roman"/>
          <w:sz w:val="20"/>
          <w:szCs w:val="20"/>
        </w:rPr>
      </w:pPr>
      <w:r w:rsidRPr="0047091A">
        <w:rPr>
          <w:rStyle w:val="FootnoteReference"/>
          <w:sz w:val="20"/>
          <w:szCs w:val="20"/>
        </w:rPr>
        <w:footnoteRef/>
      </w:r>
      <w:r w:rsidRPr="0047091A">
        <w:rPr>
          <w:sz w:val="20"/>
          <w:szCs w:val="20"/>
        </w:rPr>
        <w:t xml:space="preserve"> </w:t>
      </w:r>
      <w:r w:rsidRPr="0047091A">
        <w:rPr>
          <w:rFonts w:eastAsia="Times New Roman"/>
          <w:sz w:val="20"/>
          <w:szCs w:val="20"/>
        </w:rPr>
        <w:t xml:space="preserve">Article 271 Paragraph 1 of the Civil Code, available at </w:t>
      </w:r>
      <w:hyperlink r:id="rId250" w:history="1">
        <w:r w:rsidRPr="0047091A">
          <w:rPr>
            <w:rStyle w:val="Hyperlink"/>
            <w:color w:val="auto"/>
            <w:sz w:val="20"/>
            <w:szCs w:val="20"/>
          </w:rPr>
          <w:t>https://www.gesetze-im-internet.de/englisch_bgb/englisch_bgb.pdf</w:t>
        </w:r>
      </w:hyperlink>
      <w:r w:rsidRPr="0047091A">
        <w:rPr>
          <w:rFonts w:eastAsia="Times New Roman"/>
          <w:sz w:val="20"/>
          <w:szCs w:val="20"/>
        </w:rPr>
        <w:t>. The German provision does not imply that the debtor is automatically on delay once he has received the invoice by the creditor. The receipt of the invoice represents only the date starting from which the payment is due (if no other agreement has been reached by the parties in this respect).</w:t>
      </w:r>
    </w:p>
  </w:footnote>
  <w:footnote w:id="430">
    <w:p w14:paraId="47E6D310" w14:textId="77777777" w:rsidR="00D278E0" w:rsidRPr="0047091A" w:rsidRDefault="00D278E0" w:rsidP="00D278E0">
      <w:pPr>
        <w:spacing w:after="0"/>
        <w:rPr>
          <w:rFonts w:eastAsia="Times New Roman"/>
          <w:sz w:val="20"/>
          <w:szCs w:val="20"/>
        </w:rPr>
      </w:pPr>
      <w:r w:rsidRPr="0047091A">
        <w:rPr>
          <w:rFonts w:eastAsia="Times New Roman"/>
          <w:sz w:val="20"/>
          <w:szCs w:val="20"/>
        </w:rPr>
        <w:footnoteRef/>
      </w:r>
      <w:r w:rsidRPr="0047091A">
        <w:rPr>
          <w:rFonts w:eastAsia="Times New Roman"/>
          <w:sz w:val="20"/>
          <w:szCs w:val="20"/>
        </w:rPr>
        <w:t xml:space="preserve"> </w:t>
      </w:r>
      <w:hyperlink r:id="rId251">
        <w:r w:rsidRPr="0047091A">
          <w:rPr>
            <w:rStyle w:val="Hyperlink"/>
            <w:rFonts w:eastAsia="Times New Roman"/>
            <w:color w:val="auto"/>
            <w:sz w:val="20"/>
            <w:szCs w:val="20"/>
          </w:rPr>
          <w:t>Prompt Payment Official Notice Reminder - DETE (enterprise.gov.ie)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C2827" w14:textId="77777777" w:rsidR="00BC129D" w:rsidRDefault="00BC129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F9300" w14:textId="77777777" w:rsidR="001C7B47" w:rsidRDefault="001C7B47" w:rsidP="000E308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5CEF7" w14:textId="77777777" w:rsidR="001C7B47" w:rsidRDefault="001C7B47" w:rsidP="00B946E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AEBC3" w14:textId="77777777" w:rsidR="001C7B47" w:rsidRDefault="001C7B47" w:rsidP="000E30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C28A6" w14:textId="2C747B2A" w:rsidR="00E90DE3" w:rsidRPr="00BC129D" w:rsidRDefault="00BC129D" w:rsidP="00BC129D">
    <w:pPr>
      <w:pStyle w:val="HeaderCouncilLarge"/>
    </w:pPr>
    <w:r>
      <w: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AC2D4" w14:textId="1D8519A8" w:rsidR="00E90DE3" w:rsidRPr="00BC129D" w:rsidRDefault="00BC129D" w:rsidP="00BC129D">
    <w:pPr>
      <w:pStyle w:val="HeaderCouncil"/>
    </w:pPr>
    <w:r>
      <w:t>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A9B23" w14:textId="77777777" w:rsidR="003517B0" w:rsidRPr="00E90DE3" w:rsidRDefault="003517B0" w:rsidP="00E90DE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ABCC9" w14:textId="77777777" w:rsidR="003517B0" w:rsidRPr="00E90DE3" w:rsidRDefault="003517B0" w:rsidP="00E90DE3">
    <w:pPr>
      <w:pStyle w:val="HeaderCoverPag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46D5E" w14:textId="77777777" w:rsidR="003517B0" w:rsidRPr="00E90DE3" w:rsidRDefault="003517B0" w:rsidP="00E90DE3">
    <w:pPr>
      <w:pStyle w:val="HeaderCoverPag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E226F" w14:textId="77777777" w:rsidR="001C7B47" w:rsidRDefault="001C7B47" w:rsidP="000E308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4CEAD" w14:textId="77777777" w:rsidR="001C7B47" w:rsidRDefault="001C7B47" w:rsidP="00B946E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D9125" w14:textId="77777777" w:rsidR="001C7B47" w:rsidRDefault="001C7B47" w:rsidP="000E3086">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578A254"/>
    <w:lvl w:ilvl="0">
      <w:start w:val="1"/>
      <w:numFmt w:val="decimal"/>
      <w:pStyle w:val="ListNumber"/>
      <w:lvlText w:val="%1."/>
      <w:lvlJc w:val="left"/>
      <w:pPr>
        <w:tabs>
          <w:tab w:val="num" w:pos="360"/>
        </w:tabs>
        <w:ind w:left="360" w:hanging="360"/>
      </w:pPr>
    </w:lvl>
  </w:abstractNum>
  <w:abstractNum w:abstractNumId="1" w15:restartNumberingAfterBreak="0">
    <w:nsid w:val="01E9745D"/>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9187DDE"/>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04F4D3B"/>
    <w:multiLevelType w:val="hybridMultilevel"/>
    <w:tmpl w:val="2C0891F2"/>
    <w:lvl w:ilvl="0" w:tplc="FFFFFFFF">
      <w:start w:val="1"/>
      <w:numFmt w:val="decimal"/>
      <w:lvlText w:val="%1."/>
      <w:lvlJc w:val="left"/>
      <w:pPr>
        <w:ind w:left="720" w:hanging="720"/>
      </w:pPr>
      <w:rPr>
        <w:rFonts w:hint="default"/>
        <w:b w:val="0"/>
        <w:color w:val="595959" w:themeColor="text1" w:themeTint="A6"/>
        <w:vertAlign w:val="baseline"/>
        <w:lang w:val="en-IE"/>
      </w:rPr>
    </w:lvl>
    <w:lvl w:ilvl="1" w:tplc="18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6825A2"/>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11E57DC"/>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44F409A"/>
    <w:multiLevelType w:val="multilevel"/>
    <w:tmpl w:val="16644AC8"/>
    <w:lvl w:ilvl="0">
      <w:start w:val="1"/>
      <w:numFmt w:val="decimal"/>
      <w:pStyle w:val="Heading1"/>
      <w:lvlText w:val="%1"/>
      <w:lvlJc w:val="left"/>
      <w:pPr>
        <w:ind w:left="432" w:hanging="432"/>
      </w:pPr>
    </w:lvl>
    <w:lvl w:ilvl="1">
      <w:start w:val="1"/>
      <w:numFmt w:val="decimal"/>
      <w:pStyle w:val="Heading2"/>
      <w:lvlText w:val="%1.%2"/>
      <w:lvlJc w:val="left"/>
      <w:pPr>
        <w:ind w:left="576" w:hanging="576"/>
      </w:pPr>
      <w:rPr>
        <w:lang w:val="en-IE"/>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528424D"/>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5896E65"/>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8B16BF2"/>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8B763AE"/>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AC40593"/>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B0123AE"/>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B0C52CC"/>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CDF5AC8"/>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CE073D6"/>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CE371DE"/>
    <w:multiLevelType w:val="hybridMultilevel"/>
    <w:tmpl w:val="12D008CC"/>
    <w:lvl w:ilvl="0" w:tplc="FFFFFFFF">
      <w:start w:val="1"/>
      <w:numFmt w:val="decimal"/>
      <w:lvlText w:val="%1."/>
      <w:lvlJc w:val="left"/>
      <w:pPr>
        <w:ind w:left="720" w:hanging="720"/>
      </w:pPr>
      <w:rPr>
        <w:rFonts w:hint="default"/>
        <w:b w:val="0"/>
        <w:color w:val="595959" w:themeColor="text1" w:themeTint="A6"/>
        <w:vertAlign w:val="baseline"/>
        <w:lang w:val="en-IE"/>
      </w:rPr>
    </w:lvl>
    <w:lvl w:ilvl="1" w:tplc="18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EA67E71"/>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FDA1BE8"/>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09E7C2B"/>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2DD3599"/>
    <w:multiLevelType w:val="multilevel"/>
    <w:tmpl w:val="4EAA5BA6"/>
    <w:lvl w:ilvl="0">
      <w:start w:val="1"/>
      <w:numFmt w:val="decimal"/>
      <w:lvlText w:val="%1."/>
      <w:lvlJc w:val="left"/>
      <w:pPr>
        <w:tabs>
          <w:tab w:val="num" w:pos="709"/>
        </w:tabs>
        <w:ind w:left="709" w:hanging="709"/>
      </w:pPr>
    </w:lvl>
    <w:lvl w:ilvl="1">
      <w:start w:val="1"/>
      <w:numFmt w:val="decimal"/>
      <w:pStyle w:val="ListNumber1"/>
      <w:lvlText w:val="%1.%2."/>
      <w:lvlJc w:val="left"/>
      <w:pPr>
        <w:tabs>
          <w:tab w:val="num" w:pos="1134"/>
        </w:tabs>
        <w:ind w:left="1134" w:hanging="708"/>
      </w:pPr>
    </w:lvl>
    <w:lvl w:ilvl="2">
      <w:start w:val="1"/>
      <w:numFmt w:val="decimal"/>
      <w:pStyle w:val="ListNumber1Level2"/>
      <w:lvlText w:val="%1.%2.%3."/>
      <w:lvlJc w:val="left"/>
      <w:pPr>
        <w:tabs>
          <w:tab w:val="num" w:pos="2126"/>
        </w:tabs>
        <w:ind w:left="2126" w:hanging="709"/>
      </w:pPr>
    </w:lvl>
    <w:lvl w:ilvl="3">
      <w:start w:val="1"/>
      <w:numFmt w:val="decimal"/>
      <w:pStyle w:val="ListNumber1Level3"/>
      <w:lvlText w:val="%1.%2.%3.%4."/>
      <w:lvlJc w:val="left"/>
      <w:pPr>
        <w:tabs>
          <w:tab w:val="num" w:pos="2835"/>
        </w:tabs>
        <w:ind w:left="2835" w:hanging="709"/>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21" w15:restartNumberingAfterBreak="0">
    <w:nsid w:val="294453A5"/>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D596DF6"/>
    <w:multiLevelType w:val="hybridMultilevel"/>
    <w:tmpl w:val="F8DEF9DA"/>
    <w:lvl w:ilvl="0" w:tplc="FFFFFFFF">
      <w:start w:val="1"/>
      <w:numFmt w:val="decimal"/>
      <w:lvlText w:val="%1."/>
      <w:lvlJc w:val="left"/>
      <w:pPr>
        <w:ind w:left="720" w:hanging="720"/>
      </w:pPr>
      <w:rPr>
        <w:rFonts w:hint="default"/>
        <w:b w:val="0"/>
        <w:color w:val="595959" w:themeColor="text1" w:themeTint="A6"/>
        <w:vertAlign w:val="baseline"/>
        <w:lang w:val="en-IE"/>
      </w:rPr>
    </w:lvl>
    <w:lvl w:ilvl="1" w:tplc="18090011">
      <w:start w:val="1"/>
      <w:numFmt w:val="decimal"/>
      <w:lvlText w:val="%2)"/>
      <w:lvlJc w:val="left"/>
      <w:pPr>
        <w:ind w:left="2486"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D5C4B9B"/>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0822ED6"/>
    <w:multiLevelType w:val="hybridMultilevel"/>
    <w:tmpl w:val="E28CD71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5" w15:restartNumberingAfterBreak="0">
    <w:nsid w:val="324A6D09"/>
    <w:multiLevelType w:val="hybridMultilevel"/>
    <w:tmpl w:val="FF1C9764"/>
    <w:lvl w:ilvl="0" w:tplc="FFFFFFFF">
      <w:start w:val="1"/>
      <w:numFmt w:val="decimal"/>
      <w:lvlText w:val="%1."/>
      <w:lvlJc w:val="left"/>
      <w:pPr>
        <w:ind w:left="720" w:hanging="720"/>
      </w:pPr>
      <w:rPr>
        <w:rFonts w:hint="default"/>
        <w:b w:val="0"/>
        <w:color w:val="595959" w:themeColor="text1" w:themeTint="A6"/>
        <w:vertAlign w:val="baseline"/>
        <w:lang w:val="en-IE"/>
      </w:rPr>
    </w:lvl>
    <w:lvl w:ilvl="1" w:tplc="18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4880BE3"/>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71725BB"/>
    <w:multiLevelType w:val="hybridMultilevel"/>
    <w:tmpl w:val="517A44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37503F2F"/>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395128B6"/>
    <w:multiLevelType w:val="singleLevel"/>
    <w:tmpl w:val="4F70CA0A"/>
    <w:name w:val="Tiret 2"/>
    <w:lvl w:ilvl="0">
      <w:start w:val="1"/>
      <w:numFmt w:val="bullet"/>
      <w:lvlRestart w:val="0"/>
      <w:lvlText w:val="–"/>
      <w:lvlJc w:val="left"/>
      <w:pPr>
        <w:tabs>
          <w:tab w:val="num" w:pos="1984"/>
        </w:tabs>
        <w:ind w:left="1984" w:hanging="567"/>
      </w:pPr>
    </w:lvl>
  </w:abstractNum>
  <w:abstractNum w:abstractNumId="30" w15:restartNumberingAfterBreak="0">
    <w:nsid w:val="39B342DB"/>
    <w:multiLevelType w:val="hybridMultilevel"/>
    <w:tmpl w:val="274E5D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32" w15:restartNumberingAfterBreak="0">
    <w:nsid w:val="3CF5394C"/>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3D2C099F"/>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3E3E16D0"/>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43206935"/>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4773589A"/>
    <w:multiLevelType w:val="hybridMultilevel"/>
    <w:tmpl w:val="AC967F56"/>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Yu Mincho Light" w:hAnsi="@Yu Mincho Light" w:cs="@Yu Mincho Light" w:hint="default"/>
      </w:rPr>
    </w:lvl>
    <w:lvl w:ilvl="2" w:tplc="FFFFFFFF" w:tentative="1">
      <w:start w:val="1"/>
      <w:numFmt w:val="bullet"/>
      <w:lvlText w:val=""/>
      <w:lvlJc w:val="left"/>
      <w:pPr>
        <w:ind w:left="2160" w:hanging="360"/>
      </w:pPr>
      <w:rPr>
        <w:rFonts w:ascii="@Yu Mincho Light" w:hAnsi="@Yu Mincho Light" w:hint="default"/>
      </w:rPr>
    </w:lvl>
    <w:lvl w:ilvl="3" w:tplc="FFFFFFFF" w:tentative="1">
      <w:start w:val="1"/>
      <w:numFmt w:val="bullet"/>
      <w:lvlText w:val=""/>
      <w:lvlJc w:val="left"/>
      <w:pPr>
        <w:ind w:left="2880" w:hanging="360"/>
      </w:pPr>
      <w:rPr>
        <w:rFonts w:ascii="@Yu Mincho Light" w:hAnsi="@Yu Mincho Light" w:hint="default"/>
      </w:rPr>
    </w:lvl>
    <w:lvl w:ilvl="4" w:tplc="FFFFFFFF" w:tentative="1">
      <w:start w:val="1"/>
      <w:numFmt w:val="bullet"/>
      <w:lvlText w:val="o"/>
      <w:lvlJc w:val="left"/>
      <w:pPr>
        <w:ind w:left="3600" w:hanging="360"/>
      </w:pPr>
      <w:rPr>
        <w:rFonts w:ascii="@Yu Mincho Light" w:hAnsi="@Yu Mincho Light" w:cs="@Yu Mincho Light" w:hint="default"/>
      </w:rPr>
    </w:lvl>
    <w:lvl w:ilvl="5" w:tplc="FFFFFFFF" w:tentative="1">
      <w:start w:val="1"/>
      <w:numFmt w:val="bullet"/>
      <w:lvlText w:val=""/>
      <w:lvlJc w:val="left"/>
      <w:pPr>
        <w:ind w:left="4320" w:hanging="360"/>
      </w:pPr>
      <w:rPr>
        <w:rFonts w:ascii="@Yu Mincho Light" w:hAnsi="@Yu Mincho Light" w:hint="default"/>
      </w:rPr>
    </w:lvl>
    <w:lvl w:ilvl="6" w:tplc="FFFFFFFF" w:tentative="1">
      <w:start w:val="1"/>
      <w:numFmt w:val="bullet"/>
      <w:lvlText w:val=""/>
      <w:lvlJc w:val="left"/>
      <w:pPr>
        <w:ind w:left="5040" w:hanging="360"/>
      </w:pPr>
      <w:rPr>
        <w:rFonts w:ascii="@Yu Mincho Light" w:hAnsi="@Yu Mincho Light" w:hint="default"/>
      </w:rPr>
    </w:lvl>
    <w:lvl w:ilvl="7" w:tplc="FFFFFFFF" w:tentative="1">
      <w:start w:val="1"/>
      <w:numFmt w:val="bullet"/>
      <w:lvlText w:val="o"/>
      <w:lvlJc w:val="left"/>
      <w:pPr>
        <w:ind w:left="5760" w:hanging="360"/>
      </w:pPr>
      <w:rPr>
        <w:rFonts w:ascii="@Yu Mincho Light" w:hAnsi="@Yu Mincho Light" w:cs="@Yu Mincho Light" w:hint="default"/>
      </w:rPr>
    </w:lvl>
    <w:lvl w:ilvl="8" w:tplc="FFFFFFFF" w:tentative="1">
      <w:start w:val="1"/>
      <w:numFmt w:val="bullet"/>
      <w:lvlText w:val=""/>
      <w:lvlJc w:val="left"/>
      <w:pPr>
        <w:ind w:left="6480" w:hanging="360"/>
      </w:pPr>
      <w:rPr>
        <w:rFonts w:ascii="@Yu Mincho Light" w:hAnsi="@Yu Mincho Light" w:hint="default"/>
      </w:rPr>
    </w:lvl>
  </w:abstractNum>
  <w:abstractNum w:abstractNumId="37" w15:restartNumberingAfterBreak="0">
    <w:nsid w:val="496A3B7F"/>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4B5F30E4"/>
    <w:multiLevelType w:val="hybridMultilevel"/>
    <w:tmpl w:val="CF9E9F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4F064D06"/>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4F511789"/>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4F814770"/>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4FAA6D52"/>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53E0010A"/>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55D93205"/>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58CF351E"/>
    <w:multiLevelType w:val="multilevel"/>
    <w:tmpl w:val="4E98B1D8"/>
    <w:lvl w:ilvl="0">
      <w:start w:val="1"/>
      <w:numFmt w:val="decimal"/>
      <w:lvlText w:val="%1)"/>
      <w:lvlJc w:val="left"/>
      <w:pPr>
        <w:ind w:left="360" w:hanging="360"/>
      </w:pPr>
      <w:rPr>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59FF4E02"/>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8" w15:restartNumberingAfterBreak="0">
    <w:nsid w:val="608053D9"/>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62301070"/>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63A33A61"/>
    <w:multiLevelType w:val="hybridMultilevel"/>
    <w:tmpl w:val="C5E0B52E"/>
    <w:lvl w:ilvl="0" w:tplc="290AAB3C">
      <w:start w:val="1"/>
      <w:numFmt w:val="decimal"/>
      <w:pStyle w:val="NormalPara"/>
      <w:lvlText w:val="%1."/>
      <w:lvlJc w:val="left"/>
      <w:pPr>
        <w:ind w:left="720" w:hanging="720"/>
      </w:pPr>
      <w:rPr>
        <w:rFonts w:hint="default"/>
        <w:b w:val="0"/>
        <w:color w:val="595959" w:themeColor="text1" w:themeTint="A6"/>
        <w:vertAlign w:val="baseline"/>
        <w:lang w:val="en-IE"/>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1" w15:restartNumberingAfterBreak="0">
    <w:nsid w:val="66AE17B2"/>
    <w:multiLevelType w:val="hybridMultilevel"/>
    <w:tmpl w:val="80F248BE"/>
    <w:lvl w:ilvl="0" w:tplc="1F6E2F18">
      <w:start w:val="1"/>
      <w:numFmt w:val="bullet"/>
      <w:lvlText w:val=""/>
      <w:lvlJc w:val="left"/>
      <w:pPr>
        <w:ind w:left="720" w:hanging="360"/>
      </w:pPr>
      <w:rPr>
        <w:rFonts w:ascii="@Yu Mincho Light" w:hAnsi="@Yu Mincho Light" w:hint="default"/>
      </w:rPr>
    </w:lvl>
    <w:lvl w:ilvl="1" w:tplc="2C4A7880">
      <w:start w:val="1"/>
      <w:numFmt w:val="bullet"/>
      <w:lvlText w:val="o"/>
      <w:lvlJc w:val="left"/>
      <w:pPr>
        <w:ind w:left="1440" w:hanging="360"/>
      </w:pPr>
      <w:rPr>
        <w:rFonts w:ascii="@Yu Mincho Light" w:hAnsi="@Yu Mincho Light" w:hint="default"/>
      </w:rPr>
    </w:lvl>
    <w:lvl w:ilvl="2" w:tplc="3E50F32A">
      <w:start w:val="1"/>
      <w:numFmt w:val="bullet"/>
      <w:lvlText w:val=""/>
      <w:lvlJc w:val="left"/>
      <w:pPr>
        <w:ind w:left="2160" w:hanging="360"/>
      </w:pPr>
      <w:rPr>
        <w:rFonts w:ascii="@Yu Mincho Light" w:hAnsi="@Yu Mincho Light" w:hint="default"/>
      </w:rPr>
    </w:lvl>
    <w:lvl w:ilvl="3" w:tplc="254C3958">
      <w:start w:val="1"/>
      <w:numFmt w:val="bullet"/>
      <w:lvlText w:val=""/>
      <w:lvlJc w:val="left"/>
      <w:pPr>
        <w:ind w:left="2880" w:hanging="360"/>
      </w:pPr>
      <w:rPr>
        <w:rFonts w:ascii="@Yu Mincho Light" w:hAnsi="@Yu Mincho Light" w:hint="default"/>
      </w:rPr>
    </w:lvl>
    <w:lvl w:ilvl="4" w:tplc="71484386">
      <w:start w:val="1"/>
      <w:numFmt w:val="bullet"/>
      <w:lvlText w:val="o"/>
      <w:lvlJc w:val="left"/>
      <w:pPr>
        <w:ind w:left="3600" w:hanging="360"/>
      </w:pPr>
      <w:rPr>
        <w:rFonts w:ascii="@Yu Mincho Light" w:hAnsi="@Yu Mincho Light" w:hint="default"/>
      </w:rPr>
    </w:lvl>
    <w:lvl w:ilvl="5" w:tplc="FAAC22F4">
      <w:start w:val="1"/>
      <w:numFmt w:val="bullet"/>
      <w:lvlText w:val=""/>
      <w:lvlJc w:val="left"/>
      <w:pPr>
        <w:ind w:left="4320" w:hanging="360"/>
      </w:pPr>
      <w:rPr>
        <w:rFonts w:ascii="@Yu Mincho Light" w:hAnsi="@Yu Mincho Light" w:hint="default"/>
      </w:rPr>
    </w:lvl>
    <w:lvl w:ilvl="6" w:tplc="3142F7D0">
      <w:start w:val="1"/>
      <w:numFmt w:val="bullet"/>
      <w:lvlText w:val=""/>
      <w:lvlJc w:val="left"/>
      <w:pPr>
        <w:ind w:left="5040" w:hanging="360"/>
      </w:pPr>
      <w:rPr>
        <w:rFonts w:ascii="@Yu Mincho Light" w:hAnsi="@Yu Mincho Light" w:hint="default"/>
      </w:rPr>
    </w:lvl>
    <w:lvl w:ilvl="7" w:tplc="6804E142">
      <w:start w:val="1"/>
      <w:numFmt w:val="bullet"/>
      <w:lvlText w:val="o"/>
      <w:lvlJc w:val="left"/>
      <w:pPr>
        <w:ind w:left="5760" w:hanging="360"/>
      </w:pPr>
      <w:rPr>
        <w:rFonts w:ascii="@Yu Mincho Light" w:hAnsi="@Yu Mincho Light" w:hint="default"/>
      </w:rPr>
    </w:lvl>
    <w:lvl w:ilvl="8" w:tplc="22488AAE">
      <w:start w:val="1"/>
      <w:numFmt w:val="bullet"/>
      <w:lvlText w:val=""/>
      <w:lvlJc w:val="left"/>
      <w:pPr>
        <w:ind w:left="6480" w:hanging="360"/>
      </w:pPr>
      <w:rPr>
        <w:rFonts w:ascii="@Yu Mincho Light" w:hAnsi="@Yu Mincho Light" w:hint="default"/>
      </w:rPr>
    </w:lvl>
  </w:abstractNum>
  <w:abstractNum w:abstractNumId="52" w15:restartNumberingAfterBreak="0">
    <w:nsid w:val="66C322DA"/>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67991EE7"/>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69287E26"/>
    <w:multiLevelType w:val="multilevel"/>
    <w:tmpl w:val="6EF08C14"/>
    <w:lvl w:ilvl="0">
      <w:start w:val="1"/>
      <w:numFmt w:val="upperLetter"/>
      <w:pStyle w:val="AnnexTitle"/>
      <w:lvlText w:val="%1."/>
      <w:lvlJc w:val="left"/>
      <w:pPr>
        <w:tabs>
          <w:tab w:val="num" w:pos="480"/>
        </w:tabs>
        <w:ind w:left="480" w:hanging="480"/>
      </w:pPr>
      <w:rPr>
        <w:rFonts w:hint="default"/>
      </w:rPr>
    </w:lvl>
    <w:lvl w:ilvl="1">
      <w:start w:val="1"/>
      <w:numFmt w:val="decimal"/>
      <w:pStyle w:val="AnnexLevel1"/>
      <w:lvlText w:val="%2."/>
      <w:lvlJc w:val="left"/>
      <w:pPr>
        <w:tabs>
          <w:tab w:val="num" w:pos="1200"/>
        </w:tabs>
        <w:ind w:left="1200" w:hanging="720"/>
      </w:pPr>
      <w:rPr>
        <w:rFonts w:hint="default"/>
      </w:rPr>
    </w:lvl>
    <w:lvl w:ilvl="2">
      <w:start w:val="1"/>
      <w:numFmt w:val="decimal"/>
      <w:pStyle w:val="AnnexLevel2"/>
      <w:lvlText w:val="%2.%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5" w15:restartNumberingAfterBreak="0">
    <w:nsid w:val="6D0B0440"/>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6D5C3DCE"/>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6EF73739"/>
    <w:multiLevelType w:val="hybridMultilevel"/>
    <w:tmpl w:val="79D6A5F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8" w15:restartNumberingAfterBreak="0">
    <w:nsid w:val="714E1A3A"/>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719E7A57"/>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71F76B70"/>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789534F5"/>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7C3260A5"/>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050021">
    <w:abstractNumId w:val="51"/>
  </w:num>
  <w:num w:numId="2" w16cid:durableId="1586918189">
    <w:abstractNumId w:val="20"/>
  </w:num>
  <w:num w:numId="3" w16cid:durableId="1552377635">
    <w:abstractNumId w:val="36"/>
  </w:num>
  <w:num w:numId="4" w16cid:durableId="1265112408">
    <w:abstractNumId w:val="31"/>
  </w:num>
  <w:num w:numId="5" w16cid:durableId="1435006951">
    <w:abstractNumId w:val="47"/>
  </w:num>
  <w:num w:numId="6" w16cid:durableId="159345987">
    <w:abstractNumId w:val="50"/>
  </w:num>
  <w:num w:numId="7" w16cid:durableId="239602271">
    <w:abstractNumId w:val="19"/>
  </w:num>
  <w:num w:numId="8" w16cid:durableId="387531235">
    <w:abstractNumId w:val="15"/>
  </w:num>
  <w:num w:numId="9" w16cid:durableId="623579230">
    <w:abstractNumId w:val="7"/>
  </w:num>
  <w:num w:numId="10" w16cid:durableId="71127863">
    <w:abstractNumId w:val="54"/>
  </w:num>
  <w:num w:numId="11" w16cid:durableId="734353918">
    <w:abstractNumId w:val="59"/>
  </w:num>
  <w:num w:numId="12" w16cid:durableId="1294336734">
    <w:abstractNumId w:val="10"/>
  </w:num>
  <w:num w:numId="13" w16cid:durableId="1252817339">
    <w:abstractNumId w:val="61"/>
  </w:num>
  <w:num w:numId="14" w16cid:durableId="68161305">
    <w:abstractNumId w:val="37"/>
  </w:num>
  <w:num w:numId="15" w16cid:durableId="741756667">
    <w:abstractNumId w:val="5"/>
  </w:num>
  <w:num w:numId="16" w16cid:durableId="1372924350">
    <w:abstractNumId w:val="56"/>
  </w:num>
  <w:num w:numId="17" w16cid:durableId="475417781">
    <w:abstractNumId w:val="6"/>
  </w:num>
  <w:num w:numId="18" w16cid:durableId="1782262620">
    <w:abstractNumId w:val="55"/>
  </w:num>
  <w:num w:numId="19" w16cid:durableId="1298561229">
    <w:abstractNumId w:val="41"/>
  </w:num>
  <w:num w:numId="20" w16cid:durableId="1028095724">
    <w:abstractNumId w:val="46"/>
  </w:num>
  <w:num w:numId="21" w16cid:durableId="1702976063">
    <w:abstractNumId w:val="18"/>
  </w:num>
  <w:num w:numId="22" w16cid:durableId="19404416">
    <w:abstractNumId w:val="17"/>
  </w:num>
  <w:num w:numId="23" w16cid:durableId="2097286213">
    <w:abstractNumId w:val="14"/>
  </w:num>
  <w:num w:numId="24" w16cid:durableId="914900177">
    <w:abstractNumId w:val="58"/>
  </w:num>
  <w:num w:numId="25" w16cid:durableId="955873957">
    <w:abstractNumId w:val="53"/>
  </w:num>
  <w:num w:numId="26" w16cid:durableId="29499417">
    <w:abstractNumId w:val="23"/>
  </w:num>
  <w:num w:numId="27" w16cid:durableId="400055337">
    <w:abstractNumId w:val="42"/>
  </w:num>
  <w:num w:numId="28" w16cid:durableId="43607985">
    <w:abstractNumId w:val="43"/>
  </w:num>
  <w:num w:numId="29" w16cid:durableId="2099211559">
    <w:abstractNumId w:val="33"/>
  </w:num>
  <w:num w:numId="30" w16cid:durableId="1479106747">
    <w:abstractNumId w:val="52"/>
  </w:num>
  <w:num w:numId="31" w16cid:durableId="1974749455">
    <w:abstractNumId w:val="27"/>
  </w:num>
  <w:num w:numId="32" w16cid:durableId="1090197823">
    <w:abstractNumId w:val="30"/>
  </w:num>
  <w:num w:numId="33" w16cid:durableId="1009719283">
    <w:abstractNumId w:val="24"/>
  </w:num>
  <w:num w:numId="34" w16cid:durableId="742533143">
    <w:abstractNumId w:val="57"/>
  </w:num>
  <w:num w:numId="35" w16cid:durableId="809397856">
    <w:abstractNumId w:val="9"/>
  </w:num>
  <w:num w:numId="36" w16cid:durableId="1237593970">
    <w:abstractNumId w:val="45"/>
  </w:num>
  <w:num w:numId="37" w16cid:durableId="1606234695">
    <w:abstractNumId w:val="8"/>
  </w:num>
  <w:num w:numId="38" w16cid:durableId="1992830074">
    <w:abstractNumId w:val="48"/>
  </w:num>
  <w:num w:numId="39" w16cid:durableId="550386117">
    <w:abstractNumId w:val="62"/>
  </w:num>
  <w:num w:numId="40" w16cid:durableId="1118453079">
    <w:abstractNumId w:val="12"/>
  </w:num>
  <w:num w:numId="41" w16cid:durableId="1749496226">
    <w:abstractNumId w:val="34"/>
  </w:num>
  <w:num w:numId="42" w16cid:durableId="208030175">
    <w:abstractNumId w:val="13"/>
  </w:num>
  <w:num w:numId="43" w16cid:durableId="520096285">
    <w:abstractNumId w:val="4"/>
  </w:num>
  <w:num w:numId="44" w16cid:durableId="1510952184">
    <w:abstractNumId w:val="44"/>
  </w:num>
  <w:num w:numId="45" w16cid:durableId="1788427566">
    <w:abstractNumId w:val="39"/>
  </w:num>
  <w:num w:numId="46" w16cid:durableId="1674146449">
    <w:abstractNumId w:val="35"/>
  </w:num>
  <w:num w:numId="47" w16cid:durableId="755327757">
    <w:abstractNumId w:val="32"/>
  </w:num>
  <w:num w:numId="48" w16cid:durableId="531501232">
    <w:abstractNumId w:val="1"/>
  </w:num>
  <w:num w:numId="49" w16cid:durableId="757210121">
    <w:abstractNumId w:val="2"/>
  </w:num>
  <w:num w:numId="50" w16cid:durableId="166990022">
    <w:abstractNumId w:val="26"/>
  </w:num>
  <w:num w:numId="51" w16cid:durableId="1549608604">
    <w:abstractNumId w:val="21"/>
  </w:num>
  <w:num w:numId="52" w16cid:durableId="305621312">
    <w:abstractNumId w:val="11"/>
  </w:num>
  <w:num w:numId="53" w16cid:durableId="1306157087">
    <w:abstractNumId w:val="28"/>
  </w:num>
  <w:num w:numId="54" w16cid:durableId="2128547087">
    <w:abstractNumId w:val="60"/>
  </w:num>
  <w:num w:numId="55" w16cid:durableId="1093673111">
    <w:abstractNumId w:val="49"/>
  </w:num>
  <w:num w:numId="56" w16cid:durableId="1111389098">
    <w:abstractNumId w:val="40"/>
  </w:num>
  <w:num w:numId="57" w16cid:durableId="1209222570">
    <w:abstractNumId w:val="38"/>
  </w:num>
  <w:num w:numId="58" w16cid:durableId="1885829946">
    <w:abstractNumId w:val="0"/>
  </w:num>
  <w:num w:numId="59" w16cid:durableId="1888175068">
    <w:abstractNumId w:val="3"/>
  </w:num>
  <w:num w:numId="60" w16cid:durableId="735249094">
    <w:abstractNumId w:val="16"/>
  </w:num>
  <w:num w:numId="61" w16cid:durableId="2042129393">
    <w:abstractNumId w:val="25"/>
  </w:num>
  <w:num w:numId="62" w16cid:durableId="1170488708">
    <w:abstractNumId w:val="22"/>
  </w:num>
  <w:num w:numId="63" w16cid:durableId="2086143381">
    <w:abstractNumId w:val="50"/>
  </w:num>
  <w:num w:numId="64" w16cid:durableId="303121742">
    <w:abstractNumId w:val="50"/>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ICHER Acki">
    <w15:presenceInfo w15:providerId="AD" w15:userId="S::EICHEAC@int.consilium.europa.eu::ef019f43-145b-4c6a-bdf5-d08a3bbd243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de-DE" w:vendorID="64" w:dllVersion="0" w:nlCheck="1" w:checkStyle="0"/>
  <w:activeWritingStyle w:appName="MSWord" w:lang="en-GB" w:vendorID="64" w:dllVersion="6" w:nlCheck="1" w:checkStyle="1"/>
  <w:activeWritingStyle w:appName="MSWord" w:lang="en-IE" w:vendorID="64" w:dllVersion="6" w:nlCheck="1" w:checkStyle="1"/>
  <w:activeWritingStyle w:appName="MSWord" w:lang="it-IT" w:vendorID="64" w:dllVersion="6" w:nlCheck="1" w:checkStyle="0"/>
  <w:activeWritingStyle w:appName="MSWord" w:lang="en-US" w:vendorID="64" w:dllVersion="6" w:nlCheck="1" w:checkStyle="1"/>
  <w:activeWritingStyle w:appName="MSWord" w:lang="fr-BE" w:vendorID="64" w:dllVersion="6" w:nlCheck="1" w:checkStyle="0"/>
  <w:activeWritingStyle w:appName="MSWord" w:lang="es-ES" w:vendorID="64" w:dllVersion="6" w:nlCheck="1" w:checkStyle="0"/>
  <w:activeWritingStyle w:appName="MSWord" w:lang="fr-FR" w:vendorID="64" w:dllVersion="6" w:nlCheck="1" w:checkStyle="0"/>
  <w:activeWritingStyle w:appName="MSWord" w:lang="pt-PT" w:vendorID="64" w:dllVersion="6" w:nlCheck="1" w:checkStyle="0"/>
  <w:activeWritingStyle w:appName="MSWord" w:lang="nl-BE" w:vendorID="64" w:dllVersion="6" w:nlCheck="1" w:checkStyle="0"/>
  <w:activeWritingStyle w:appName="MSWord" w:lang="en-GB" w:vendorID="64" w:dllVersion="0" w:nlCheck="1" w:checkStyle="0"/>
  <w:activeWritingStyle w:appName="MSWord" w:lang="en-IE" w:vendorID="64" w:dllVersion="0" w:nlCheck="1" w:checkStyle="0"/>
  <w:activeWritingStyle w:appName="MSWord" w:lang="it-IT" w:vendorID="64" w:dllVersion="0" w:nlCheck="1" w:checkStyle="0"/>
  <w:activeWritingStyle w:appName="MSWord" w:lang="en-US" w:vendorID="64" w:dllVersion="0" w:nlCheck="1" w:checkStyle="0"/>
  <w:activeWritingStyle w:appName="MSWord" w:lang="fr-BE" w:vendorID="64" w:dllVersion="0" w:nlCheck="1" w:checkStyle="0"/>
  <w:activeWritingStyle w:appName="MSWord" w:lang="es-ES" w:vendorID="64" w:dllVersion="0" w:nlCheck="1" w:checkStyle="0"/>
  <w:activeWritingStyle w:appName="MSWord" w:lang="fr-FR" w:vendorID="64" w:dllVersion="0" w:nlCheck="1" w:checkStyle="0"/>
  <w:activeWritingStyle w:appName="MSWord" w:lang="cs-CZ" w:vendorID="64" w:dllVersion="0" w:nlCheck="1" w:checkStyle="0"/>
  <w:activeWritingStyle w:appName="MSWord" w:lang="pt-PT" w:vendorID="64" w:dllVersion="0" w:nlCheck="1" w:checkStyle="0"/>
  <w:activeWritingStyle w:appName="MSWord" w:lang="pl-PL"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pt-PT" w:vendorID="64" w:dllVersion="4096" w:nlCheck="1" w:checkStyle="0"/>
  <w:activeWritingStyle w:appName="MSWord" w:lang="it-IT"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nl-BE" w:vendorID="64" w:dllVersion="0" w:nlCheck="1" w:checkStyle="0"/>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uncil" w:val="true"/>
    <w:docVar w:name="CoverPageOnWordDoc" w:val="true"/>
    <w:docVar w:name="CR_RefLast" w:val="0"/>
    <w:docVar w:name="DocStatus" w:val="Green"/>
    <w:docVar w:name="DocuWriteMetaData" w:val="&lt;metadataset docuwriteversion=&quot;4.8.2&quot; technicalblockguid=&quot;4678068569106618624&quot;&gt;_x000d__x000a_  &lt;metadata key=&quot;md_DocumentLanguages&quot;&gt;_x000d__x000a_    &lt;basicdatatypelist&gt;_x000d__x000a_      &lt;language key=&quot;EN&quot; text=&quot;EN&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DocumentLanguagesAutomatic&quot;&gt;_x000d__x000a_    &lt;text&gt;&lt;/text&gt;_x000d__x000a_  &lt;/metadata&gt;_x000d__x000a_  &lt;metadata key=&quot;md_UniqueHeading&quot;&gt;_x000d__x000a_    &lt;basicdatatype&gt;_x000d__x000a_      &lt;heading key=&quot;uh_64&quot; text=&quot;COVER NOTE&quot; /&gt;_x000d__x000a_    &lt;/basicdatatype&gt;_x000d__x000a_  &lt;/metadata&gt;_x000d__x000a_  &lt;metadata key=&quot;md_HeadingText&quot;&gt;_x000d__x000a_    &lt;headingtext text=&quot;COVER NOTE&quot;&gt;_x000d__x000a_      &lt;formattedtext&gt;_x000d__x000a_        &lt;xaml text=&quot;COVER NOTE&quot;&gt;&amp;lt;FlowDocument xmlns=&quot;http://schemas.microsoft.com/winfx/2006/xaml/presentation&quot;&amp;gt;&amp;lt;Paragraph&amp;gt;COVER NOTE&amp;lt;/Paragraph&amp;gt;&amp;lt;/FlowDocument&amp;gt;&lt;/xaml&gt;_x000d__x000a_      &lt;/formattedtext&gt;_x000d__x000a_    &lt;/headingtext&gt;_x000d__x000a_  &lt;/metadata&gt;_x000d__x000a_  &lt;metadata key=&quot;md_CustomFootnote&quot; /&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Council of the European Union&quot; institution=&quot;instfr_institution&quot; acronym=&quot;instfr_acronym&quot; /&gt;_x000d__x000a_    &lt;/basicdatatype&gt;_x000d__x000a_  &lt;/metadata&gt;_x000d__x000a_  &lt;metadata key=&quot;md_DraftNote&quot; /&gt;_x000d__x000a_  &lt;metadata key=&quot;md_DGName&quot;&gt;_x000d__x000a_    &lt;basicdatatype&gt;_x000d__x000a_      &lt;dgname key=&quot;&quot; /&gt;_x000d__x000a_    &lt;/basicdatatype&gt;_x000d__x000a_  &lt;/metadata&gt;_x000d__x000a_  &lt;metadata key=&quot;md_ContributingService&quot;&gt;_x000d__x000a_    &lt;text&gt;&lt;/text&gt;_x000d__x000a_  &lt;/metadata&gt;_x000d__x000a_  &lt;metadata key=&quot;md_DocumentLocation&quot;&gt;_x000d__x000a_    &lt;basicdatatype&gt;_x000d__x000a_      &lt;location key=&quot;loc_01&quot; text=&quot;Brussels&quot; /&gt;_x000d__x000a_    &lt;/basicdatatype&gt;_x000d__x000a_  &lt;/metadata&gt;_x000d__x000a_  &lt;metadata key=&quot;md_DocumentDate&quot;&gt;_x000d__x000a_    &lt;text&gt;2023-09-14&lt;/text&gt;_x000d__x000a_  &lt;/metadata&gt;_x000d__x000a_  &lt;metadata key=&quot;md_Prefix&quot;&gt;_x000d__x000a_    &lt;text&gt;&lt;/text&gt;_x000d__x000a_  &lt;/metadata&gt;_x000d__x000a_  &lt;metadata key=&quot;md_DocumentNumber&quot;&gt;_x000d__x000a_    &lt;text&gt;12976&lt;/text&gt;_x000d__x000a_  &lt;/metadata&gt;_x000d__x000a_  &lt;metadata key=&quot;md_YearDocumentNumber&quot;&gt;_x000d__x000a_    &lt;text&gt;2023&lt;/text&gt;_x000d__x000a_  &lt;/metadata&gt;_x000d__x000a_  &lt;metadata key=&quot;md_Suffixes&quot;&gt;_x000d__x000a_    &lt;text&gt;ADD 4&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COMPET 873&lt;/text&gt;_x000d__x000a_      &lt;text&gt;MI 742&lt;/text&gt;_x000d__x000a_      &lt;text&gt;IND 467&lt;/text&gt;_x000d__x000a_      &lt;text&gt;ECOFIN 873&lt;/text&gt;_x000d__x000a_      &lt;text&gt;FIN 922&lt;/text&gt;_x000d__x000a_      &lt;text&gt;CODEC 1594&lt;/text&gt;_x000d__x000a_      &lt;text&gt;IA 225&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typeofhead_06&quot; text=&quot;Other&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gt;_x000d__x000a_      &lt;text&gt;2023/0323(COD)&lt;/text&gt;_x000d__x000a_    &lt;/textlist&gt;_x000d__x000a_  &lt;/metadata&gt;_x000d__x000a_  &lt;metadata key=&quot;md_AdditionalReferences&quot;&gt;_x000d__x000a_    &lt;textlist /&gt;_x000d__x000a_  &lt;/metadata&gt;_x000d__x000a_  &lt;metadata key=&quot;md_LEXNumber&quot;&gt;_x000d__x000a_    &lt;text&gt;&lt;/text&gt;_x000d__x000a_  &lt;/metadata&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33&quot; text=&quot;Secretary-General of the European Commission, signed by Ms Martine DEPREZ, Director&quot; /&gt;_x000d__x000a_    &lt;/basicdatatype&gt;_x000d__x000a_  &lt;/metadata&gt;_x000d__x000a_  &lt;metadata key=&quot;md_Recipient&quot;&gt;_x000d__x000a_    &lt;basicdatatype&gt;_x000d__x000a_      &lt;recipient key=&quot;re_47&quot; text=&quot;Ms Thérèse BLANCHET, Secretary-General of the Council of the European Union&quot; /&gt;_x000d__x000a_    &lt;/basicdatatype&gt;_x000d__x000a_  &lt;/metadata&gt;_x000d__x000a_  &lt;metadata key=&quot;md_DateOfReceipt&quot;&gt;_x000d__x000a_    &lt;text&gt;2023-09-13&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gt;_x000d__x000a_      &lt;text&gt;SWD(2023) 314 final&lt;/text&gt;_x000d__x000a_    &lt;/textlist&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Prefix&quot;&gt;_x000d__x000a_    &lt;text&gt;&lt;/text&gt;_x000d__x000a_  &lt;/metadata&gt;_x000d__x000a_  &lt;metadata key=&quot;md_Subject&quot;&gt;_x000d__x000a_    &lt;xaml text=&quot;COMMISSION STAFF WORKING DOCUMENT IMPACT ASSESSMENT REPORT Accompanying the document Proposal for a Regulation of the European Parliament and the Council on combating late payments in commercial transactions&quot;&gt;&amp;lt;FlowDocument FontFamily=&quot;Segoe UI&quot; FontSize=&quot;12&quot; PagePadding=&quot;2,2,2,2&quot; AllowDrop=&quot;False&quot; xmlns=&quot;http://schemas.microsoft.com/winfx/2006/xaml/presentation&quot;&amp;gt;&amp;lt;Paragraph&amp;gt;COMMISSION STAFF WORKING DOCUMENT IMPACT ASSESSMENT REPORT Accompanying the document Proposal for a Regulation of the European Parliament and the Council on combating late payments in commercial transactions&amp;lt;/Paragraph&amp;gt;&amp;lt;/FlowDocument&amp;gt;&lt;/xaml&gt;_x000d__x000a_  &lt;/metadata&gt;_x000d__x000a_  &lt;metadata key=&quot;md_SubjectFootnote&quot; /&gt;_x000d__x000a_  &lt;metadata key=&quot;md_DG&quot;&gt;_x000d__x000a_    &lt;text&gt;COMPET.1&lt;/text&gt;_x000d__x000a_  &lt;/metadata&gt;_x000d__x000a_  &lt;metadata key=&quot;md_Initials&quot;&gt;_x000d__x000a_    &lt;text&gt;TP/ae&lt;/text&gt;_x000d__x000a_  &lt;/metadata&gt;_x000d__x000a_  &lt;metadata key=&quot;md_SensitivityLabel&quot;&gt;_x000d__x000a_    &lt;basicdatatype&gt;_x000d__x000a_      &lt;sensitivity_label key=&quot;senslabel_02&quot; text=&quot;NON-PUBLIC&quot; labelid=&quot;b1df41d6-74a9-4a97-809c-213cd32520cc&quot; siteid=&quot;03ad1c97-0a4d-4e82-8f93-27291a6a0767&quot; isdefault=&quot;true&quot; /&gt;_x000d__x000a_    &lt;/basicdatatype&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23&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2023&lt;/text&gt;_x000d__x000a_  &lt;/metadata&gt;_x000d__x000a_  &lt;metadata key=&quot;md_Rectif_Source2_Suffixes&quot;&gt;_x000d__x000a_    &lt;text&gt;&lt;/text&gt;_x000d__x000a_  &lt;/metadata&gt;_x000d__x000a_  &lt;metadata key=&quot;md_CoverPageDocWithCouncilFooter&quot;&gt;_x000d__x000a_    &lt;text&gt;false&lt;/text&gt;_x000d__x000a_  &lt;/metadata&gt;_x000d__x000a_  &lt;metadata key=&quot;md_SourceDocLanguage&quot;&gt;_x000d__x000a_    &lt;text&gt;EN&lt;/text&gt;_x000d__x000a_  &lt;/metadata&gt;_x000d__x000a_  &lt;metadata key=&quot;md_SourceDocType&quot;&gt;_x000d__x000a_    &lt;text&gt;COMMISSION STAFF WORKING DOCUMENT_x000d__x000a__x000d__x000a_IMPACT ASSESSMENT REPORT_x000d__x000a_&lt;/text&gt;_x000d__x000a_  &lt;/metadata&gt;_x000d__x000a_  &lt;metadata key=&quot;md_SourceDocTitle&quot;&gt;_x000d__x000a_    &lt;text&gt;Accompanying the document _x000d__x000a__x000d__x000a_Proposal for a Regulation of the European Parliament and the Council _x000d__x000a_on combating late payments in commercial transactions&lt;/text&gt;_x000d__x000a_  &lt;/metadata&gt;_x000d__x000a_  &lt;metadata key=&quot;md_SourceDocIsCECDoc&quot;&gt;_x000d__x000a_    &lt;text&gt;true&lt;/text&gt;_x000d__x000a_  &lt;/metadata&gt;_x000d__x000a_  &lt;metadata key=&quot;md_NB1&quot; /&gt;_x000d__x000a_  &lt;metadata key=&quot;md_NB2&quot; /&gt;_x000d__x000a_  &lt;metadata key=&quot;md_NB3&quot; /&gt;_x000d__x000a_  &lt;metadata key=&quot;md_NB4&quot; /&gt;_x000d__x000a_  &lt;metadata key=&quot;md_NB5&quot; /&gt;_x000d__x000a_  &lt;metadata key=&quot;md_CustomNB&quot; /&gt;_x000d__x000a_  &lt;metadata key=&quot;md_Meetings&quot;&gt;_x000d__x000a_    &lt;meetings /&gt;_x000d__x000a_  &lt;/metadata&gt;_x000d__x000a_  &lt;metadata key=&quot;md_VisualRepresentation&quot;&gt;_x000d__x000a_    &lt;basicdatatype&gt;_x000d__x000a_      &lt;visualrepresentation key=&quot;visrep_02&quot; text=&quot;New visual identity&quot; /&gt;_x000d__x000a_    &lt;/basicdatatype&gt;_x000d__x000a_  &lt;/metadata&gt;_x000d__x000a_  &lt;metadata key=&quot;md_LetterData&quot; /&gt;_x000d__x000a_  &lt;metadata key=&quot;md_InstFrSubWordmark&quot;&gt;_x000d__x000a_    &lt;xaml text=&quot;&quot;&gt;&amp;lt;FlowDocument FontFamily=&quot;Segoe UI&quot; FontSize=&quot;12&quot; PagePadding=&quot;2,2,2,2&quot; AllowDrop=&quot;False&quot; xmlns=&quot;http://schemas.microsoft.com/winfx/2006/xaml/presentation&quot; /&amp;gt;&lt;/xaml&gt;_x000d__x000a_  &lt;/metadata&gt;_x000d__x000a_  &lt;metadata key=&quot;md_WorkflowLinkStatus&quot;&gt;_x000d__x000a_    &lt;text&gt;Linked&lt;/text&gt;_x000d__x000a_  &lt;/metadata&gt;_x000d__x000a_  &lt;metadata key=&quot;md_eAgendaLinkStatus&quot; /&gt;_x000d__x000a_  &lt;metadata key=&quot;md_Caveat&quot;&gt;_x000d__x000a_    &lt;text&gt;&lt;/text&gt;_x000d__x000a_  &lt;/metadata&gt;_x000d__x000a_  &lt;metadata key=&quot;md_TechnicalKey&quot; /&gt;_x000d__x000a_&lt;/metadataset&gt;"/>
    <w:docVar w:name="LW_ACCOMPAGNANT.CP" w:val="Accompanying the document"/>
    <w:docVar w:name="LW_CORRIGENDUM" w:val="&lt;UNUSED&gt;"/>
    <w:docVar w:name="LW_COVERPAGE_EXISTS" w:val="True"/>
    <w:docVar w:name="LW_COVERPAGE_GUID" w:val="299D9404-0A03-41FD-909A-261AEFC9DE9B"/>
    <w:docVar w:name="LW_COVERPAGE_TYPE" w:val="1"/>
    <w:docVar w:name="LW_CROSSREFERENCE" w:val="{COM(2023) 533 final} - {SEC(2023) 313 final} - {SWD(2023) 312 final} - {SWD(2023) 313 final}"/>
    <w:docVar w:name="LW_DocType" w:val="NORMAL"/>
    <w:docVar w:name="LW_EMISSION" w:val="12.9.2023"/>
    <w:docVar w:name="LW_EMISSION_ISODATE" w:val="2023-09-12"/>
    <w:docVar w:name="LW_EMISSION_LOCATION" w:val="STR"/>
    <w:docVar w:name="LW_EMISSION_PREFIX" w:val="Strasbourg,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on combating late payments in commercial transactions"/>
    <w:docVar w:name="LW_PART_NBR" w:val="1"/>
    <w:docVar w:name="LW_PART_NBR_TOTAL" w:val="1"/>
    <w:docVar w:name="LW_REF.INST.NEW" w:val="SWD"/>
    <w:docVar w:name="LW_REF.INST.NEW_ADOPTED" w:val="final"/>
    <w:docVar w:name="LW_REF.INST.NEW_TEXT" w:val="(2023) 314"/>
    <w:docVar w:name="LW_REF.INTERNE" w:val="&lt;UNUSED&gt;"/>
    <w:docVar w:name="LW_SENSITIVITY" w:val="&lt;?xml version=&quot;1.0&quot; encoding=&quot;utf-8&quot;?&gt;_x000d__x000a_&lt;SensitivityLevel xmlns:xsd=&quot;http://www.w3.org/2001/XMLSchema&quot; xmlns:xsi=&quot;http://www.w3.org/2001/XMLSchema-instance&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 REPORT_x000b_"/>
    <w:docVar w:name="LW_TYPEACTEPRINCIPAL.CP" w:val="_x000b_Proposal for a Regulation of the European Parliament and the Council "/>
    <w:docVar w:name="LwApiVersions" w:val="LW4CoDe 1.23.2.0; LW 8.0, Build 20211117"/>
  </w:docVars>
  <w:rsids>
    <w:rsidRoot w:val="006B087E"/>
    <w:rsid w:val="00000181"/>
    <w:rsid w:val="000003F9"/>
    <w:rsid w:val="0000083F"/>
    <w:rsid w:val="00000882"/>
    <w:rsid w:val="000009A2"/>
    <w:rsid w:val="00000C1F"/>
    <w:rsid w:val="00000C6F"/>
    <w:rsid w:val="00001068"/>
    <w:rsid w:val="00001193"/>
    <w:rsid w:val="00001755"/>
    <w:rsid w:val="00001B24"/>
    <w:rsid w:val="000021CF"/>
    <w:rsid w:val="0000220A"/>
    <w:rsid w:val="00002218"/>
    <w:rsid w:val="000023BB"/>
    <w:rsid w:val="000023CD"/>
    <w:rsid w:val="000028B1"/>
    <w:rsid w:val="00002A77"/>
    <w:rsid w:val="00002C7F"/>
    <w:rsid w:val="00003391"/>
    <w:rsid w:val="00003701"/>
    <w:rsid w:val="0000378D"/>
    <w:rsid w:val="00003A5C"/>
    <w:rsid w:val="00003B39"/>
    <w:rsid w:val="00003BE6"/>
    <w:rsid w:val="00003E4A"/>
    <w:rsid w:val="00003F5B"/>
    <w:rsid w:val="00003FA4"/>
    <w:rsid w:val="00003FCB"/>
    <w:rsid w:val="000043FD"/>
    <w:rsid w:val="00004755"/>
    <w:rsid w:val="000049CF"/>
    <w:rsid w:val="00004A1D"/>
    <w:rsid w:val="00004AF1"/>
    <w:rsid w:val="00004D72"/>
    <w:rsid w:val="00004D9D"/>
    <w:rsid w:val="00004E69"/>
    <w:rsid w:val="00005423"/>
    <w:rsid w:val="000057A6"/>
    <w:rsid w:val="00005EE7"/>
    <w:rsid w:val="00005F9F"/>
    <w:rsid w:val="0000613F"/>
    <w:rsid w:val="0000744F"/>
    <w:rsid w:val="000078BE"/>
    <w:rsid w:val="00007AE5"/>
    <w:rsid w:val="00007C6E"/>
    <w:rsid w:val="00010708"/>
    <w:rsid w:val="00010C6F"/>
    <w:rsid w:val="00010DF7"/>
    <w:rsid w:val="000110D5"/>
    <w:rsid w:val="00011435"/>
    <w:rsid w:val="0001192B"/>
    <w:rsid w:val="00011A59"/>
    <w:rsid w:val="0001215E"/>
    <w:rsid w:val="000121FA"/>
    <w:rsid w:val="000122B7"/>
    <w:rsid w:val="000127EA"/>
    <w:rsid w:val="00012931"/>
    <w:rsid w:val="00012F78"/>
    <w:rsid w:val="00012F9B"/>
    <w:rsid w:val="00013129"/>
    <w:rsid w:val="00013154"/>
    <w:rsid w:val="00013627"/>
    <w:rsid w:val="000138AF"/>
    <w:rsid w:val="00014416"/>
    <w:rsid w:val="0001442E"/>
    <w:rsid w:val="00014806"/>
    <w:rsid w:val="000149F0"/>
    <w:rsid w:val="00014B0A"/>
    <w:rsid w:val="00014E18"/>
    <w:rsid w:val="00015016"/>
    <w:rsid w:val="00015178"/>
    <w:rsid w:val="000152F2"/>
    <w:rsid w:val="00015673"/>
    <w:rsid w:val="00015D4C"/>
    <w:rsid w:val="000160BC"/>
    <w:rsid w:val="00016230"/>
    <w:rsid w:val="00016AC6"/>
    <w:rsid w:val="00016E5D"/>
    <w:rsid w:val="00017778"/>
    <w:rsid w:val="00017CB0"/>
    <w:rsid w:val="00017D19"/>
    <w:rsid w:val="00017D69"/>
    <w:rsid w:val="00017EB1"/>
    <w:rsid w:val="00017FD3"/>
    <w:rsid w:val="00020106"/>
    <w:rsid w:val="000202CB"/>
    <w:rsid w:val="0002036F"/>
    <w:rsid w:val="00020CD8"/>
    <w:rsid w:val="00020E13"/>
    <w:rsid w:val="0002105E"/>
    <w:rsid w:val="0002117B"/>
    <w:rsid w:val="000213D5"/>
    <w:rsid w:val="000219B5"/>
    <w:rsid w:val="00022293"/>
    <w:rsid w:val="00022333"/>
    <w:rsid w:val="00022508"/>
    <w:rsid w:val="0002253C"/>
    <w:rsid w:val="000225A6"/>
    <w:rsid w:val="00022B3A"/>
    <w:rsid w:val="00022E82"/>
    <w:rsid w:val="00022EA0"/>
    <w:rsid w:val="0002385A"/>
    <w:rsid w:val="00023965"/>
    <w:rsid w:val="00023DAA"/>
    <w:rsid w:val="0002485F"/>
    <w:rsid w:val="00024898"/>
    <w:rsid w:val="00024B90"/>
    <w:rsid w:val="00024EC2"/>
    <w:rsid w:val="00024F09"/>
    <w:rsid w:val="00025388"/>
    <w:rsid w:val="00025495"/>
    <w:rsid w:val="00025528"/>
    <w:rsid w:val="00025B29"/>
    <w:rsid w:val="00025B6B"/>
    <w:rsid w:val="00025CBC"/>
    <w:rsid w:val="00025D6B"/>
    <w:rsid w:val="00025DB2"/>
    <w:rsid w:val="00025E88"/>
    <w:rsid w:val="00025EA1"/>
    <w:rsid w:val="00025FD3"/>
    <w:rsid w:val="00026147"/>
    <w:rsid w:val="0002614D"/>
    <w:rsid w:val="00026A71"/>
    <w:rsid w:val="00026B27"/>
    <w:rsid w:val="0002700D"/>
    <w:rsid w:val="0002753E"/>
    <w:rsid w:val="000275C2"/>
    <w:rsid w:val="00027CD6"/>
    <w:rsid w:val="00030694"/>
    <w:rsid w:val="00030CFA"/>
    <w:rsid w:val="0003110C"/>
    <w:rsid w:val="0003151B"/>
    <w:rsid w:val="000315FB"/>
    <w:rsid w:val="0003175A"/>
    <w:rsid w:val="00031DF2"/>
    <w:rsid w:val="000323E2"/>
    <w:rsid w:val="0003260A"/>
    <w:rsid w:val="000327B9"/>
    <w:rsid w:val="0003280B"/>
    <w:rsid w:val="000328E9"/>
    <w:rsid w:val="00032A55"/>
    <w:rsid w:val="00033024"/>
    <w:rsid w:val="00033418"/>
    <w:rsid w:val="000337D1"/>
    <w:rsid w:val="00033ACD"/>
    <w:rsid w:val="0003402E"/>
    <w:rsid w:val="00035116"/>
    <w:rsid w:val="000351F3"/>
    <w:rsid w:val="00035866"/>
    <w:rsid w:val="00035B28"/>
    <w:rsid w:val="00035CC9"/>
    <w:rsid w:val="00036518"/>
    <w:rsid w:val="00036548"/>
    <w:rsid w:val="000367ED"/>
    <w:rsid w:val="000368AD"/>
    <w:rsid w:val="00036987"/>
    <w:rsid w:val="00036C9B"/>
    <w:rsid w:val="000372D9"/>
    <w:rsid w:val="000375CC"/>
    <w:rsid w:val="0003773D"/>
    <w:rsid w:val="00037C30"/>
    <w:rsid w:val="00037EAB"/>
    <w:rsid w:val="00040055"/>
    <w:rsid w:val="00040678"/>
    <w:rsid w:val="00040A7F"/>
    <w:rsid w:val="00040F0C"/>
    <w:rsid w:val="00041095"/>
    <w:rsid w:val="000410E3"/>
    <w:rsid w:val="000412E3"/>
    <w:rsid w:val="0004132E"/>
    <w:rsid w:val="00041416"/>
    <w:rsid w:val="000415AC"/>
    <w:rsid w:val="00041801"/>
    <w:rsid w:val="00042225"/>
    <w:rsid w:val="000423FA"/>
    <w:rsid w:val="00042DB4"/>
    <w:rsid w:val="00042DD1"/>
    <w:rsid w:val="00043135"/>
    <w:rsid w:val="00043491"/>
    <w:rsid w:val="0004371D"/>
    <w:rsid w:val="0004377A"/>
    <w:rsid w:val="00043792"/>
    <w:rsid w:val="00043A06"/>
    <w:rsid w:val="0004451E"/>
    <w:rsid w:val="000445F9"/>
    <w:rsid w:val="000446F5"/>
    <w:rsid w:val="0004495B"/>
    <w:rsid w:val="000449E1"/>
    <w:rsid w:val="000453E4"/>
    <w:rsid w:val="00045590"/>
    <w:rsid w:val="00045FD4"/>
    <w:rsid w:val="00046273"/>
    <w:rsid w:val="00046F21"/>
    <w:rsid w:val="0004703C"/>
    <w:rsid w:val="00047252"/>
    <w:rsid w:val="000472BA"/>
    <w:rsid w:val="00047647"/>
    <w:rsid w:val="00047856"/>
    <w:rsid w:val="0004788B"/>
    <w:rsid w:val="000478DE"/>
    <w:rsid w:val="00047BDA"/>
    <w:rsid w:val="00047F42"/>
    <w:rsid w:val="00047FDE"/>
    <w:rsid w:val="000500D1"/>
    <w:rsid w:val="000502E2"/>
    <w:rsid w:val="00050592"/>
    <w:rsid w:val="00050598"/>
    <w:rsid w:val="0005062E"/>
    <w:rsid w:val="00050723"/>
    <w:rsid w:val="00050EF4"/>
    <w:rsid w:val="00050FEA"/>
    <w:rsid w:val="000510AD"/>
    <w:rsid w:val="000512C9"/>
    <w:rsid w:val="0005169C"/>
    <w:rsid w:val="000517E9"/>
    <w:rsid w:val="000519A4"/>
    <w:rsid w:val="00051BD7"/>
    <w:rsid w:val="00051FAB"/>
    <w:rsid w:val="00052311"/>
    <w:rsid w:val="0005282A"/>
    <w:rsid w:val="00052C00"/>
    <w:rsid w:val="00052C51"/>
    <w:rsid w:val="00052C97"/>
    <w:rsid w:val="00052F18"/>
    <w:rsid w:val="0005356B"/>
    <w:rsid w:val="00053D75"/>
    <w:rsid w:val="000541D1"/>
    <w:rsid w:val="00054826"/>
    <w:rsid w:val="000549CE"/>
    <w:rsid w:val="00054AC3"/>
    <w:rsid w:val="00054B50"/>
    <w:rsid w:val="00054C98"/>
    <w:rsid w:val="00055537"/>
    <w:rsid w:val="00055FB6"/>
    <w:rsid w:val="0005633F"/>
    <w:rsid w:val="000568F8"/>
    <w:rsid w:val="00056A3E"/>
    <w:rsid w:val="00056DD3"/>
    <w:rsid w:val="00056EAC"/>
    <w:rsid w:val="00057256"/>
    <w:rsid w:val="00057614"/>
    <w:rsid w:val="00057617"/>
    <w:rsid w:val="00057C0C"/>
    <w:rsid w:val="00057CA9"/>
    <w:rsid w:val="0005FD14"/>
    <w:rsid w:val="00060BE5"/>
    <w:rsid w:val="0006147F"/>
    <w:rsid w:val="00061678"/>
    <w:rsid w:val="000617D4"/>
    <w:rsid w:val="000618BE"/>
    <w:rsid w:val="00061ABC"/>
    <w:rsid w:val="00061B9C"/>
    <w:rsid w:val="00061F6E"/>
    <w:rsid w:val="00062173"/>
    <w:rsid w:val="00062225"/>
    <w:rsid w:val="000623C4"/>
    <w:rsid w:val="00062B84"/>
    <w:rsid w:val="00062D98"/>
    <w:rsid w:val="00062E05"/>
    <w:rsid w:val="00062FAF"/>
    <w:rsid w:val="000630ED"/>
    <w:rsid w:val="0006316F"/>
    <w:rsid w:val="00063695"/>
    <w:rsid w:val="000639AA"/>
    <w:rsid w:val="00063BE6"/>
    <w:rsid w:val="00063E58"/>
    <w:rsid w:val="00063F3C"/>
    <w:rsid w:val="00064050"/>
    <w:rsid w:val="000642FD"/>
    <w:rsid w:val="0006460D"/>
    <w:rsid w:val="000646D3"/>
    <w:rsid w:val="00064D51"/>
    <w:rsid w:val="00064DFA"/>
    <w:rsid w:val="00064E2D"/>
    <w:rsid w:val="00064F31"/>
    <w:rsid w:val="000657F8"/>
    <w:rsid w:val="0006668E"/>
    <w:rsid w:val="0006669F"/>
    <w:rsid w:val="00066713"/>
    <w:rsid w:val="000667B6"/>
    <w:rsid w:val="0006681D"/>
    <w:rsid w:val="000668A1"/>
    <w:rsid w:val="00066CB3"/>
    <w:rsid w:val="00066EBB"/>
    <w:rsid w:val="00067497"/>
    <w:rsid w:val="000675A7"/>
    <w:rsid w:val="00067EB1"/>
    <w:rsid w:val="00068E95"/>
    <w:rsid w:val="000705F5"/>
    <w:rsid w:val="000710B2"/>
    <w:rsid w:val="000714B4"/>
    <w:rsid w:val="0007150F"/>
    <w:rsid w:val="0007162A"/>
    <w:rsid w:val="000717DD"/>
    <w:rsid w:val="00071A6C"/>
    <w:rsid w:val="00071B18"/>
    <w:rsid w:val="000720B2"/>
    <w:rsid w:val="000720BB"/>
    <w:rsid w:val="00072474"/>
    <w:rsid w:val="00072979"/>
    <w:rsid w:val="00073320"/>
    <w:rsid w:val="00073328"/>
    <w:rsid w:val="000736AD"/>
    <w:rsid w:val="00073ADE"/>
    <w:rsid w:val="00073B6C"/>
    <w:rsid w:val="00073C18"/>
    <w:rsid w:val="00073D25"/>
    <w:rsid w:val="00073F86"/>
    <w:rsid w:val="0007440C"/>
    <w:rsid w:val="000744A2"/>
    <w:rsid w:val="00074771"/>
    <w:rsid w:val="000756EE"/>
    <w:rsid w:val="00075A41"/>
    <w:rsid w:val="00075E66"/>
    <w:rsid w:val="00076052"/>
    <w:rsid w:val="00076326"/>
    <w:rsid w:val="000765F5"/>
    <w:rsid w:val="000766E1"/>
    <w:rsid w:val="00076A8C"/>
    <w:rsid w:val="000775D7"/>
    <w:rsid w:val="0007760B"/>
    <w:rsid w:val="000776C9"/>
    <w:rsid w:val="00077836"/>
    <w:rsid w:val="000778E2"/>
    <w:rsid w:val="00077954"/>
    <w:rsid w:val="00077A71"/>
    <w:rsid w:val="00077BB7"/>
    <w:rsid w:val="0008020E"/>
    <w:rsid w:val="0008060A"/>
    <w:rsid w:val="00080698"/>
    <w:rsid w:val="0008092D"/>
    <w:rsid w:val="0008123E"/>
    <w:rsid w:val="0008196F"/>
    <w:rsid w:val="00081A2A"/>
    <w:rsid w:val="00081A2E"/>
    <w:rsid w:val="00081AE2"/>
    <w:rsid w:val="00082055"/>
    <w:rsid w:val="0008224E"/>
    <w:rsid w:val="0008231E"/>
    <w:rsid w:val="0008246C"/>
    <w:rsid w:val="00082748"/>
    <w:rsid w:val="00082816"/>
    <w:rsid w:val="00082B92"/>
    <w:rsid w:val="00082F52"/>
    <w:rsid w:val="00082FB8"/>
    <w:rsid w:val="00083242"/>
    <w:rsid w:val="000834FA"/>
    <w:rsid w:val="000839A3"/>
    <w:rsid w:val="00083A1B"/>
    <w:rsid w:val="00083D11"/>
    <w:rsid w:val="000840CF"/>
    <w:rsid w:val="00084532"/>
    <w:rsid w:val="00084D92"/>
    <w:rsid w:val="00084E24"/>
    <w:rsid w:val="000852B3"/>
    <w:rsid w:val="000855C8"/>
    <w:rsid w:val="000855F7"/>
    <w:rsid w:val="000857EA"/>
    <w:rsid w:val="00085C0B"/>
    <w:rsid w:val="00085D8E"/>
    <w:rsid w:val="00085DDD"/>
    <w:rsid w:val="0008609A"/>
    <w:rsid w:val="000861D4"/>
    <w:rsid w:val="00086566"/>
    <w:rsid w:val="000867CF"/>
    <w:rsid w:val="00086873"/>
    <w:rsid w:val="00086B4C"/>
    <w:rsid w:val="00086E40"/>
    <w:rsid w:val="0008725B"/>
    <w:rsid w:val="000877AD"/>
    <w:rsid w:val="00087CB4"/>
    <w:rsid w:val="00090A65"/>
    <w:rsid w:val="00091065"/>
    <w:rsid w:val="000913B4"/>
    <w:rsid w:val="000917A1"/>
    <w:rsid w:val="00091CAD"/>
    <w:rsid w:val="00091F71"/>
    <w:rsid w:val="00092A4C"/>
    <w:rsid w:val="00092B7A"/>
    <w:rsid w:val="00092C98"/>
    <w:rsid w:val="00092DEB"/>
    <w:rsid w:val="00092EB9"/>
    <w:rsid w:val="00092F23"/>
    <w:rsid w:val="00092FC2"/>
    <w:rsid w:val="000933D7"/>
    <w:rsid w:val="000936F8"/>
    <w:rsid w:val="0009384D"/>
    <w:rsid w:val="00093A80"/>
    <w:rsid w:val="00093F52"/>
    <w:rsid w:val="00094102"/>
    <w:rsid w:val="0009479C"/>
    <w:rsid w:val="00094C24"/>
    <w:rsid w:val="00094E37"/>
    <w:rsid w:val="00095658"/>
    <w:rsid w:val="00095784"/>
    <w:rsid w:val="00095AC6"/>
    <w:rsid w:val="00096268"/>
    <w:rsid w:val="00096286"/>
    <w:rsid w:val="000972EF"/>
    <w:rsid w:val="000973AF"/>
    <w:rsid w:val="0009773C"/>
    <w:rsid w:val="0009786A"/>
    <w:rsid w:val="00097CF2"/>
    <w:rsid w:val="000A04FC"/>
    <w:rsid w:val="000A07C3"/>
    <w:rsid w:val="000A07C4"/>
    <w:rsid w:val="000A0F0F"/>
    <w:rsid w:val="000A0F53"/>
    <w:rsid w:val="000A149D"/>
    <w:rsid w:val="000A16B3"/>
    <w:rsid w:val="000A1ADF"/>
    <w:rsid w:val="000A1BA6"/>
    <w:rsid w:val="000A1FA3"/>
    <w:rsid w:val="000A1FFB"/>
    <w:rsid w:val="000A229F"/>
    <w:rsid w:val="000A241E"/>
    <w:rsid w:val="000A2810"/>
    <w:rsid w:val="000A2841"/>
    <w:rsid w:val="000A2E06"/>
    <w:rsid w:val="000A2E71"/>
    <w:rsid w:val="000A331C"/>
    <w:rsid w:val="000A3647"/>
    <w:rsid w:val="000A3768"/>
    <w:rsid w:val="000A391A"/>
    <w:rsid w:val="000A3CF3"/>
    <w:rsid w:val="000A3E47"/>
    <w:rsid w:val="000A4564"/>
    <w:rsid w:val="000A4783"/>
    <w:rsid w:val="000A4B2F"/>
    <w:rsid w:val="000A4DDA"/>
    <w:rsid w:val="000A4F60"/>
    <w:rsid w:val="000A505D"/>
    <w:rsid w:val="000A5162"/>
    <w:rsid w:val="000A59BD"/>
    <w:rsid w:val="000A6657"/>
    <w:rsid w:val="000A6AEB"/>
    <w:rsid w:val="000A6BE1"/>
    <w:rsid w:val="000A737C"/>
    <w:rsid w:val="000A7C3F"/>
    <w:rsid w:val="000A7EFC"/>
    <w:rsid w:val="000A7F82"/>
    <w:rsid w:val="000A7FB9"/>
    <w:rsid w:val="000B03D6"/>
    <w:rsid w:val="000B0561"/>
    <w:rsid w:val="000B09E3"/>
    <w:rsid w:val="000B0BBD"/>
    <w:rsid w:val="000B0C0A"/>
    <w:rsid w:val="000B0E18"/>
    <w:rsid w:val="000B1034"/>
    <w:rsid w:val="000B118D"/>
    <w:rsid w:val="000B1308"/>
    <w:rsid w:val="000B16ED"/>
    <w:rsid w:val="000B16FD"/>
    <w:rsid w:val="000B1AE5"/>
    <w:rsid w:val="000B1F1B"/>
    <w:rsid w:val="000B1F7A"/>
    <w:rsid w:val="000B2023"/>
    <w:rsid w:val="000B27C3"/>
    <w:rsid w:val="000B315F"/>
    <w:rsid w:val="000B34B4"/>
    <w:rsid w:val="000B358C"/>
    <w:rsid w:val="000B442E"/>
    <w:rsid w:val="000B458E"/>
    <w:rsid w:val="000B4D0C"/>
    <w:rsid w:val="000B4D9F"/>
    <w:rsid w:val="000B4E71"/>
    <w:rsid w:val="000B5061"/>
    <w:rsid w:val="000B5375"/>
    <w:rsid w:val="000B564E"/>
    <w:rsid w:val="000B5704"/>
    <w:rsid w:val="000B5741"/>
    <w:rsid w:val="000B6268"/>
    <w:rsid w:val="000B62DD"/>
    <w:rsid w:val="000B63BE"/>
    <w:rsid w:val="000B663F"/>
    <w:rsid w:val="000B66B1"/>
    <w:rsid w:val="000B6702"/>
    <w:rsid w:val="000B6809"/>
    <w:rsid w:val="000B68B5"/>
    <w:rsid w:val="000B6A11"/>
    <w:rsid w:val="000B6A8F"/>
    <w:rsid w:val="000B719F"/>
    <w:rsid w:val="000B74E6"/>
    <w:rsid w:val="000B75F8"/>
    <w:rsid w:val="000B76A5"/>
    <w:rsid w:val="000B7D0C"/>
    <w:rsid w:val="000BA478"/>
    <w:rsid w:val="000C070E"/>
    <w:rsid w:val="000C0873"/>
    <w:rsid w:val="000C089A"/>
    <w:rsid w:val="000C0EE1"/>
    <w:rsid w:val="000C1208"/>
    <w:rsid w:val="000C2165"/>
    <w:rsid w:val="000C21DE"/>
    <w:rsid w:val="000C28C3"/>
    <w:rsid w:val="000C2A82"/>
    <w:rsid w:val="000C2AFB"/>
    <w:rsid w:val="000C2F9F"/>
    <w:rsid w:val="000C311F"/>
    <w:rsid w:val="000C38BF"/>
    <w:rsid w:val="000C3E0E"/>
    <w:rsid w:val="000C40FB"/>
    <w:rsid w:val="000C420C"/>
    <w:rsid w:val="000C435B"/>
    <w:rsid w:val="000C4641"/>
    <w:rsid w:val="000C4784"/>
    <w:rsid w:val="000C47F0"/>
    <w:rsid w:val="000C4F42"/>
    <w:rsid w:val="000C5796"/>
    <w:rsid w:val="000C5C07"/>
    <w:rsid w:val="000C5FC5"/>
    <w:rsid w:val="000C630E"/>
    <w:rsid w:val="000C69C9"/>
    <w:rsid w:val="000C6C8C"/>
    <w:rsid w:val="000C7995"/>
    <w:rsid w:val="000C7C21"/>
    <w:rsid w:val="000C7EDA"/>
    <w:rsid w:val="000C9516"/>
    <w:rsid w:val="000D0197"/>
    <w:rsid w:val="000D07B1"/>
    <w:rsid w:val="000D0AD5"/>
    <w:rsid w:val="000D0DB7"/>
    <w:rsid w:val="000D13B3"/>
    <w:rsid w:val="000D13FE"/>
    <w:rsid w:val="000D1798"/>
    <w:rsid w:val="000D1AAE"/>
    <w:rsid w:val="000D2542"/>
    <w:rsid w:val="000D284F"/>
    <w:rsid w:val="000D29B8"/>
    <w:rsid w:val="000D2C6B"/>
    <w:rsid w:val="000D2F8D"/>
    <w:rsid w:val="000D3177"/>
    <w:rsid w:val="000D31DE"/>
    <w:rsid w:val="000D323C"/>
    <w:rsid w:val="000D3A95"/>
    <w:rsid w:val="000D42D0"/>
    <w:rsid w:val="000D43B7"/>
    <w:rsid w:val="000D44E7"/>
    <w:rsid w:val="000D44F8"/>
    <w:rsid w:val="000D4924"/>
    <w:rsid w:val="000D4DA9"/>
    <w:rsid w:val="000D5296"/>
    <w:rsid w:val="000D5456"/>
    <w:rsid w:val="000D571B"/>
    <w:rsid w:val="000D57C2"/>
    <w:rsid w:val="000D57C6"/>
    <w:rsid w:val="000D61C5"/>
    <w:rsid w:val="000D6959"/>
    <w:rsid w:val="000D6CCF"/>
    <w:rsid w:val="000D6E24"/>
    <w:rsid w:val="000D7035"/>
    <w:rsid w:val="000D70B8"/>
    <w:rsid w:val="000D73CE"/>
    <w:rsid w:val="000D7721"/>
    <w:rsid w:val="000D7C47"/>
    <w:rsid w:val="000E0642"/>
    <w:rsid w:val="000E0D20"/>
    <w:rsid w:val="000E118F"/>
    <w:rsid w:val="000E1366"/>
    <w:rsid w:val="000E137B"/>
    <w:rsid w:val="000E147A"/>
    <w:rsid w:val="000E1AF5"/>
    <w:rsid w:val="000E1B11"/>
    <w:rsid w:val="000E1E98"/>
    <w:rsid w:val="000E2065"/>
    <w:rsid w:val="000E25F9"/>
    <w:rsid w:val="000E2707"/>
    <w:rsid w:val="000E27DD"/>
    <w:rsid w:val="000E27DF"/>
    <w:rsid w:val="000E2B01"/>
    <w:rsid w:val="000E2B6D"/>
    <w:rsid w:val="000E301F"/>
    <w:rsid w:val="000E3086"/>
    <w:rsid w:val="000E36AC"/>
    <w:rsid w:val="000E39C4"/>
    <w:rsid w:val="000E3D96"/>
    <w:rsid w:val="000E463A"/>
    <w:rsid w:val="000E47FD"/>
    <w:rsid w:val="000E5196"/>
    <w:rsid w:val="000E577B"/>
    <w:rsid w:val="000E5B7C"/>
    <w:rsid w:val="000E5C08"/>
    <w:rsid w:val="000E5D25"/>
    <w:rsid w:val="000E61C1"/>
    <w:rsid w:val="000E62EF"/>
    <w:rsid w:val="000E69F8"/>
    <w:rsid w:val="000E6B52"/>
    <w:rsid w:val="000E75C9"/>
    <w:rsid w:val="000E7E91"/>
    <w:rsid w:val="000E7FAD"/>
    <w:rsid w:val="000F03EF"/>
    <w:rsid w:val="000F0779"/>
    <w:rsid w:val="000F0AA0"/>
    <w:rsid w:val="000F0E21"/>
    <w:rsid w:val="000F0FD8"/>
    <w:rsid w:val="000F1451"/>
    <w:rsid w:val="000F1457"/>
    <w:rsid w:val="000F152A"/>
    <w:rsid w:val="000F15CA"/>
    <w:rsid w:val="000F1AA9"/>
    <w:rsid w:val="000F1C9C"/>
    <w:rsid w:val="000F23A8"/>
    <w:rsid w:val="000F2545"/>
    <w:rsid w:val="000F25F9"/>
    <w:rsid w:val="000F2A96"/>
    <w:rsid w:val="000F2B6C"/>
    <w:rsid w:val="000F2C22"/>
    <w:rsid w:val="000F2E6F"/>
    <w:rsid w:val="000F3698"/>
    <w:rsid w:val="000F384E"/>
    <w:rsid w:val="000F3BD2"/>
    <w:rsid w:val="000F442C"/>
    <w:rsid w:val="000F46E3"/>
    <w:rsid w:val="000F477F"/>
    <w:rsid w:val="000F4EA7"/>
    <w:rsid w:val="000F5152"/>
    <w:rsid w:val="000F592D"/>
    <w:rsid w:val="000F6380"/>
    <w:rsid w:val="000F656D"/>
    <w:rsid w:val="000F664E"/>
    <w:rsid w:val="000F6C1D"/>
    <w:rsid w:val="000F6EF0"/>
    <w:rsid w:val="000F7019"/>
    <w:rsid w:val="000F73BB"/>
    <w:rsid w:val="000F7594"/>
    <w:rsid w:val="000F7994"/>
    <w:rsid w:val="000F7B74"/>
    <w:rsid w:val="000F7FA6"/>
    <w:rsid w:val="0010009E"/>
    <w:rsid w:val="00100176"/>
    <w:rsid w:val="00100618"/>
    <w:rsid w:val="00100A69"/>
    <w:rsid w:val="001010E1"/>
    <w:rsid w:val="00101159"/>
    <w:rsid w:val="00101D4F"/>
    <w:rsid w:val="00101EC9"/>
    <w:rsid w:val="001020EF"/>
    <w:rsid w:val="00102579"/>
    <w:rsid w:val="001027AA"/>
    <w:rsid w:val="001029DE"/>
    <w:rsid w:val="00103301"/>
    <w:rsid w:val="00103313"/>
    <w:rsid w:val="00103C46"/>
    <w:rsid w:val="00103DFF"/>
    <w:rsid w:val="001043ED"/>
    <w:rsid w:val="00104606"/>
    <w:rsid w:val="001046A3"/>
    <w:rsid w:val="00104A5F"/>
    <w:rsid w:val="00104B1E"/>
    <w:rsid w:val="00104C00"/>
    <w:rsid w:val="0010551C"/>
    <w:rsid w:val="0010565E"/>
    <w:rsid w:val="0010569B"/>
    <w:rsid w:val="00105CFD"/>
    <w:rsid w:val="00105D6F"/>
    <w:rsid w:val="00105EEE"/>
    <w:rsid w:val="001060E6"/>
    <w:rsid w:val="0010652A"/>
    <w:rsid w:val="0010696D"/>
    <w:rsid w:val="00106B41"/>
    <w:rsid w:val="00106B98"/>
    <w:rsid w:val="00106E9F"/>
    <w:rsid w:val="00107398"/>
    <w:rsid w:val="00107534"/>
    <w:rsid w:val="001077E4"/>
    <w:rsid w:val="00107811"/>
    <w:rsid w:val="0010789D"/>
    <w:rsid w:val="00107982"/>
    <w:rsid w:val="00107A7E"/>
    <w:rsid w:val="0010D6C5"/>
    <w:rsid w:val="001103AA"/>
    <w:rsid w:val="0011110F"/>
    <w:rsid w:val="00111228"/>
    <w:rsid w:val="001119BC"/>
    <w:rsid w:val="00111C30"/>
    <w:rsid w:val="00111D5E"/>
    <w:rsid w:val="00112507"/>
    <w:rsid w:val="00112EC4"/>
    <w:rsid w:val="0011382B"/>
    <w:rsid w:val="00113A24"/>
    <w:rsid w:val="00113A3A"/>
    <w:rsid w:val="00113DEF"/>
    <w:rsid w:val="00113EF4"/>
    <w:rsid w:val="00114362"/>
    <w:rsid w:val="001150DB"/>
    <w:rsid w:val="001151DE"/>
    <w:rsid w:val="001155CF"/>
    <w:rsid w:val="0011572B"/>
    <w:rsid w:val="00115849"/>
    <w:rsid w:val="00115A99"/>
    <w:rsid w:val="00115C22"/>
    <w:rsid w:val="00115D9E"/>
    <w:rsid w:val="00115EE4"/>
    <w:rsid w:val="0011607E"/>
    <w:rsid w:val="001160A3"/>
    <w:rsid w:val="00116294"/>
    <w:rsid w:val="00116413"/>
    <w:rsid w:val="00116665"/>
    <w:rsid w:val="001169A7"/>
    <w:rsid w:val="001170B7"/>
    <w:rsid w:val="001172B7"/>
    <w:rsid w:val="00117656"/>
    <w:rsid w:val="00117754"/>
    <w:rsid w:val="0012009F"/>
    <w:rsid w:val="001200CF"/>
    <w:rsid w:val="0012047C"/>
    <w:rsid w:val="00120604"/>
    <w:rsid w:val="00120809"/>
    <w:rsid w:val="00120A02"/>
    <w:rsid w:val="00120A66"/>
    <w:rsid w:val="00121319"/>
    <w:rsid w:val="00121601"/>
    <w:rsid w:val="00121E04"/>
    <w:rsid w:val="001220F0"/>
    <w:rsid w:val="001222DC"/>
    <w:rsid w:val="00122372"/>
    <w:rsid w:val="001229CF"/>
    <w:rsid w:val="00122A7F"/>
    <w:rsid w:val="00122CE0"/>
    <w:rsid w:val="00122D59"/>
    <w:rsid w:val="00122DC2"/>
    <w:rsid w:val="00122DE1"/>
    <w:rsid w:val="00122DF3"/>
    <w:rsid w:val="001234F6"/>
    <w:rsid w:val="00123814"/>
    <w:rsid w:val="0012441F"/>
    <w:rsid w:val="001244FA"/>
    <w:rsid w:val="00124824"/>
    <w:rsid w:val="00124E6C"/>
    <w:rsid w:val="00124EF5"/>
    <w:rsid w:val="00125241"/>
    <w:rsid w:val="001255DA"/>
    <w:rsid w:val="00125DCE"/>
    <w:rsid w:val="00125EA3"/>
    <w:rsid w:val="001260DC"/>
    <w:rsid w:val="00126455"/>
    <w:rsid w:val="001268C4"/>
    <w:rsid w:val="00126A51"/>
    <w:rsid w:val="00126B7D"/>
    <w:rsid w:val="00126DBB"/>
    <w:rsid w:val="00126DFD"/>
    <w:rsid w:val="00126E64"/>
    <w:rsid w:val="001272C5"/>
    <w:rsid w:val="001275CA"/>
    <w:rsid w:val="00127E59"/>
    <w:rsid w:val="0012EB55"/>
    <w:rsid w:val="00130146"/>
    <w:rsid w:val="0013018C"/>
    <w:rsid w:val="001305D4"/>
    <w:rsid w:val="00130C9C"/>
    <w:rsid w:val="00130CCF"/>
    <w:rsid w:val="00130CED"/>
    <w:rsid w:val="00130F0F"/>
    <w:rsid w:val="001312E8"/>
    <w:rsid w:val="0013133D"/>
    <w:rsid w:val="001315D1"/>
    <w:rsid w:val="00131DD0"/>
    <w:rsid w:val="00131F36"/>
    <w:rsid w:val="00131FB8"/>
    <w:rsid w:val="00132305"/>
    <w:rsid w:val="001326A1"/>
    <w:rsid w:val="00132E1C"/>
    <w:rsid w:val="00132E50"/>
    <w:rsid w:val="00132FDD"/>
    <w:rsid w:val="00133000"/>
    <w:rsid w:val="00133125"/>
    <w:rsid w:val="001331E6"/>
    <w:rsid w:val="001336D3"/>
    <w:rsid w:val="001336E1"/>
    <w:rsid w:val="00133C3F"/>
    <w:rsid w:val="00133C76"/>
    <w:rsid w:val="00133EC7"/>
    <w:rsid w:val="00133FFB"/>
    <w:rsid w:val="00134515"/>
    <w:rsid w:val="0013487E"/>
    <w:rsid w:val="00134940"/>
    <w:rsid w:val="00134B83"/>
    <w:rsid w:val="00134D3E"/>
    <w:rsid w:val="00135367"/>
    <w:rsid w:val="00135E3B"/>
    <w:rsid w:val="00136632"/>
    <w:rsid w:val="001369C2"/>
    <w:rsid w:val="00136C8C"/>
    <w:rsid w:val="00136D72"/>
    <w:rsid w:val="001370D3"/>
    <w:rsid w:val="00137ACE"/>
    <w:rsid w:val="00140316"/>
    <w:rsid w:val="00140588"/>
    <w:rsid w:val="00140646"/>
    <w:rsid w:val="0014066B"/>
    <w:rsid w:val="001406BF"/>
    <w:rsid w:val="0014073A"/>
    <w:rsid w:val="00140B91"/>
    <w:rsid w:val="00141344"/>
    <w:rsid w:val="001415A2"/>
    <w:rsid w:val="00141A4B"/>
    <w:rsid w:val="00141D82"/>
    <w:rsid w:val="00141DF0"/>
    <w:rsid w:val="001421AD"/>
    <w:rsid w:val="00142221"/>
    <w:rsid w:val="0014247D"/>
    <w:rsid w:val="00142554"/>
    <w:rsid w:val="00142828"/>
    <w:rsid w:val="00142EB5"/>
    <w:rsid w:val="0014304D"/>
    <w:rsid w:val="001430F5"/>
    <w:rsid w:val="00143177"/>
    <w:rsid w:val="001432B8"/>
    <w:rsid w:val="001434C3"/>
    <w:rsid w:val="0014383C"/>
    <w:rsid w:val="00143C77"/>
    <w:rsid w:val="00144305"/>
    <w:rsid w:val="0014462C"/>
    <w:rsid w:val="001446D1"/>
    <w:rsid w:val="001448EA"/>
    <w:rsid w:val="0014575A"/>
    <w:rsid w:val="00145A26"/>
    <w:rsid w:val="00146159"/>
    <w:rsid w:val="0014638C"/>
    <w:rsid w:val="00146B33"/>
    <w:rsid w:val="00146B5E"/>
    <w:rsid w:val="00146CB1"/>
    <w:rsid w:val="00147231"/>
    <w:rsid w:val="00147279"/>
    <w:rsid w:val="001501B7"/>
    <w:rsid w:val="00150B74"/>
    <w:rsid w:val="0015122A"/>
    <w:rsid w:val="0015157E"/>
    <w:rsid w:val="0015199C"/>
    <w:rsid w:val="00151ABC"/>
    <w:rsid w:val="00152791"/>
    <w:rsid w:val="00152980"/>
    <w:rsid w:val="00152B5F"/>
    <w:rsid w:val="00152B84"/>
    <w:rsid w:val="001537C6"/>
    <w:rsid w:val="001548A9"/>
    <w:rsid w:val="00154BA2"/>
    <w:rsid w:val="00154CAC"/>
    <w:rsid w:val="00154EB4"/>
    <w:rsid w:val="00154F2B"/>
    <w:rsid w:val="00155027"/>
    <w:rsid w:val="001552E5"/>
    <w:rsid w:val="00155368"/>
    <w:rsid w:val="0015548E"/>
    <w:rsid w:val="00155699"/>
    <w:rsid w:val="00155948"/>
    <w:rsid w:val="00155992"/>
    <w:rsid w:val="00155A98"/>
    <w:rsid w:val="00155DC0"/>
    <w:rsid w:val="00155E44"/>
    <w:rsid w:val="0015637F"/>
    <w:rsid w:val="00156467"/>
    <w:rsid w:val="001565F1"/>
    <w:rsid w:val="00156625"/>
    <w:rsid w:val="00156694"/>
    <w:rsid w:val="00156699"/>
    <w:rsid w:val="001566F7"/>
    <w:rsid w:val="001569BE"/>
    <w:rsid w:val="00156FDD"/>
    <w:rsid w:val="00156FE1"/>
    <w:rsid w:val="001570F2"/>
    <w:rsid w:val="00157391"/>
    <w:rsid w:val="0015751A"/>
    <w:rsid w:val="001578B5"/>
    <w:rsid w:val="00157AD2"/>
    <w:rsid w:val="00157B8A"/>
    <w:rsid w:val="00157D84"/>
    <w:rsid w:val="00157FA4"/>
    <w:rsid w:val="001602B0"/>
    <w:rsid w:val="00160580"/>
    <w:rsid w:val="00160F0F"/>
    <w:rsid w:val="00160FF4"/>
    <w:rsid w:val="001610CF"/>
    <w:rsid w:val="001611E6"/>
    <w:rsid w:val="001617B9"/>
    <w:rsid w:val="00161CCE"/>
    <w:rsid w:val="00162032"/>
    <w:rsid w:val="0016216F"/>
    <w:rsid w:val="001625F9"/>
    <w:rsid w:val="00162E41"/>
    <w:rsid w:val="00162E47"/>
    <w:rsid w:val="001630CF"/>
    <w:rsid w:val="001632C3"/>
    <w:rsid w:val="00163923"/>
    <w:rsid w:val="001639BF"/>
    <w:rsid w:val="00163A47"/>
    <w:rsid w:val="00163C8D"/>
    <w:rsid w:val="00163CA1"/>
    <w:rsid w:val="0016442E"/>
    <w:rsid w:val="0016446B"/>
    <w:rsid w:val="0016462C"/>
    <w:rsid w:val="00164661"/>
    <w:rsid w:val="0016467C"/>
    <w:rsid w:val="001648BB"/>
    <w:rsid w:val="00164A6B"/>
    <w:rsid w:val="00164C4A"/>
    <w:rsid w:val="00164CA4"/>
    <w:rsid w:val="00164E06"/>
    <w:rsid w:val="00164F21"/>
    <w:rsid w:val="00164F75"/>
    <w:rsid w:val="001650F7"/>
    <w:rsid w:val="00165280"/>
    <w:rsid w:val="00165436"/>
    <w:rsid w:val="00165490"/>
    <w:rsid w:val="00165D6B"/>
    <w:rsid w:val="00165FB3"/>
    <w:rsid w:val="00166161"/>
    <w:rsid w:val="001661C8"/>
    <w:rsid w:val="0016642C"/>
    <w:rsid w:val="00166FD7"/>
    <w:rsid w:val="0016701A"/>
    <w:rsid w:val="00167146"/>
    <w:rsid w:val="001673EA"/>
    <w:rsid w:val="001674DD"/>
    <w:rsid w:val="00167617"/>
    <w:rsid w:val="00167836"/>
    <w:rsid w:val="00167984"/>
    <w:rsid w:val="00167EA9"/>
    <w:rsid w:val="00170091"/>
    <w:rsid w:val="0017087D"/>
    <w:rsid w:val="0017097A"/>
    <w:rsid w:val="00171020"/>
    <w:rsid w:val="0017122B"/>
    <w:rsid w:val="0017123C"/>
    <w:rsid w:val="00171683"/>
    <w:rsid w:val="00171B29"/>
    <w:rsid w:val="00171DC7"/>
    <w:rsid w:val="00171F7B"/>
    <w:rsid w:val="00172114"/>
    <w:rsid w:val="00172174"/>
    <w:rsid w:val="00172BCF"/>
    <w:rsid w:val="00172C94"/>
    <w:rsid w:val="00172DB4"/>
    <w:rsid w:val="00172E91"/>
    <w:rsid w:val="001730B5"/>
    <w:rsid w:val="00173C6B"/>
    <w:rsid w:val="00173CBD"/>
    <w:rsid w:val="001741A0"/>
    <w:rsid w:val="00174B45"/>
    <w:rsid w:val="00174BB7"/>
    <w:rsid w:val="00174C6C"/>
    <w:rsid w:val="00175111"/>
    <w:rsid w:val="0017534F"/>
    <w:rsid w:val="00175418"/>
    <w:rsid w:val="001759FF"/>
    <w:rsid w:val="00175AB6"/>
    <w:rsid w:val="00175D16"/>
    <w:rsid w:val="00175E8B"/>
    <w:rsid w:val="0017601C"/>
    <w:rsid w:val="00176196"/>
    <w:rsid w:val="001762A2"/>
    <w:rsid w:val="0017667B"/>
    <w:rsid w:val="00176A02"/>
    <w:rsid w:val="00176B47"/>
    <w:rsid w:val="00176B96"/>
    <w:rsid w:val="00176C0E"/>
    <w:rsid w:val="00176D08"/>
    <w:rsid w:val="00177431"/>
    <w:rsid w:val="00177486"/>
    <w:rsid w:val="001775B4"/>
    <w:rsid w:val="0017769F"/>
    <w:rsid w:val="00177828"/>
    <w:rsid w:val="00180067"/>
    <w:rsid w:val="00180350"/>
    <w:rsid w:val="00180468"/>
    <w:rsid w:val="00180B9F"/>
    <w:rsid w:val="00180C3A"/>
    <w:rsid w:val="00180EFE"/>
    <w:rsid w:val="00180F03"/>
    <w:rsid w:val="001812BE"/>
    <w:rsid w:val="0018135D"/>
    <w:rsid w:val="00181BD8"/>
    <w:rsid w:val="00181CB4"/>
    <w:rsid w:val="001821A4"/>
    <w:rsid w:val="00182249"/>
    <w:rsid w:val="001826FE"/>
    <w:rsid w:val="001827A3"/>
    <w:rsid w:val="001827F7"/>
    <w:rsid w:val="00182B1F"/>
    <w:rsid w:val="00182BFC"/>
    <w:rsid w:val="00183154"/>
    <w:rsid w:val="001832E0"/>
    <w:rsid w:val="00183352"/>
    <w:rsid w:val="001833DB"/>
    <w:rsid w:val="00183552"/>
    <w:rsid w:val="001837AE"/>
    <w:rsid w:val="00183D8F"/>
    <w:rsid w:val="00183DD2"/>
    <w:rsid w:val="00183F7F"/>
    <w:rsid w:val="0018412A"/>
    <w:rsid w:val="001846F5"/>
    <w:rsid w:val="00184946"/>
    <w:rsid w:val="00184AC8"/>
    <w:rsid w:val="00184B53"/>
    <w:rsid w:val="001853AE"/>
    <w:rsid w:val="001855BA"/>
    <w:rsid w:val="0018570D"/>
    <w:rsid w:val="0018589F"/>
    <w:rsid w:val="001858F4"/>
    <w:rsid w:val="00185BC2"/>
    <w:rsid w:val="00185C2B"/>
    <w:rsid w:val="0018600B"/>
    <w:rsid w:val="0018642F"/>
    <w:rsid w:val="00186632"/>
    <w:rsid w:val="00186C6B"/>
    <w:rsid w:val="00186CAC"/>
    <w:rsid w:val="00186CCE"/>
    <w:rsid w:val="00186D17"/>
    <w:rsid w:val="00187440"/>
    <w:rsid w:val="00187AA7"/>
    <w:rsid w:val="001900FD"/>
    <w:rsid w:val="0019083B"/>
    <w:rsid w:val="0019091D"/>
    <w:rsid w:val="00190A3A"/>
    <w:rsid w:val="00191136"/>
    <w:rsid w:val="00191227"/>
    <w:rsid w:val="0019138B"/>
    <w:rsid w:val="00191736"/>
    <w:rsid w:val="00191883"/>
    <w:rsid w:val="00191887"/>
    <w:rsid w:val="00191A26"/>
    <w:rsid w:val="00191FF0"/>
    <w:rsid w:val="00192035"/>
    <w:rsid w:val="00192135"/>
    <w:rsid w:val="001927D8"/>
    <w:rsid w:val="0019296B"/>
    <w:rsid w:val="0019298A"/>
    <w:rsid w:val="00192E7F"/>
    <w:rsid w:val="001932A5"/>
    <w:rsid w:val="001932C8"/>
    <w:rsid w:val="0019370D"/>
    <w:rsid w:val="001937EC"/>
    <w:rsid w:val="00193803"/>
    <w:rsid w:val="00194133"/>
    <w:rsid w:val="00194928"/>
    <w:rsid w:val="0019494A"/>
    <w:rsid w:val="00194A42"/>
    <w:rsid w:val="00194CF6"/>
    <w:rsid w:val="00195604"/>
    <w:rsid w:val="00195813"/>
    <w:rsid w:val="00195D12"/>
    <w:rsid w:val="00195D22"/>
    <w:rsid w:val="00196112"/>
    <w:rsid w:val="001961EE"/>
    <w:rsid w:val="0019623C"/>
    <w:rsid w:val="0019665D"/>
    <w:rsid w:val="00196AF3"/>
    <w:rsid w:val="00196E49"/>
    <w:rsid w:val="00196F95"/>
    <w:rsid w:val="0019724B"/>
    <w:rsid w:val="00197BE5"/>
    <w:rsid w:val="001A00AD"/>
    <w:rsid w:val="001A0224"/>
    <w:rsid w:val="001A02DA"/>
    <w:rsid w:val="001A057E"/>
    <w:rsid w:val="001A1697"/>
    <w:rsid w:val="001A1B27"/>
    <w:rsid w:val="001A2047"/>
    <w:rsid w:val="001A27BD"/>
    <w:rsid w:val="001A29E7"/>
    <w:rsid w:val="001A2B65"/>
    <w:rsid w:val="001A2D71"/>
    <w:rsid w:val="001A3E7D"/>
    <w:rsid w:val="001A40B4"/>
    <w:rsid w:val="001A4455"/>
    <w:rsid w:val="001A47C9"/>
    <w:rsid w:val="001A4858"/>
    <w:rsid w:val="001A4AE0"/>
    <w:rsid w:val="001A4B76"/>
    <w:rsid w:val="001A500C"/>
    <w:rsid w:val="001A578D"/>
    <w:rsid w:val="001A5854"/>
    <w:rsid w:val="001A5AC6"/>
    <w:rsid w:val="001A5C1D"/>
    <w:rsid w:val="001A661C"/>
    <w:rsid w:val="001A6EA8"/>
    <w:rsid w:val="001A7083"/>
    <w:rsid w:val="001A72D1"/>
    <w:rsid w:val="001A7315"/>
    <w:rsid w:val="001A7533"/>
    <w:rsid w:val="001A75B7"/>
    <w:rsid w:val="001A780F"/>
    <w:rsid w:val="001A7827"/>
    <w:rsid w:val="001A786C"/>
    <w:rsid w:val="001A7EBD"/>
    <w:rsid w:val="001B0051"/>
    <w:rsid w:val="001B00B3"/>
    <w:rsid w:val="001B0161"/>
    <w:rsid w:val="001B0184"/>
    <w:rsid w:val="001B09CD"/>
    <w:rsid w:val="001B0D79"/>
    <w:rsid w:val="001B1BD7"/>
    <w:rsid w:val="001B1CAB"/>
    <w:rsid w:val="001B204E"/>
    <w:rsid w:val="001B22B0"/>
    <w:rsid w:val="001B27ED"/>
    <w:rsid w:val="001B29B5"/>
    <w:rsid w:val="001B2AA2"/>
    <w:rsid w:val="001B2F4E"/>
    <w:rsid w:val="001B2F6C"/>
    <w:rsid w:val="001B2F9E"/>
    <w:rsid w:val="001B32A1"/>
    <w:rsid w:val="001B374E"/>
    <w:rsid w:val="001B3CA0"/>
    <w:rsid w:val="001B3D5C"/>
    <w:rsid w:val="001B4FE5"/>
    <w:rsid w:val="001B533A"/>
    <w:rsid w:val="001B57A5"/>
    <w:rsid w:val="001B58CB"/>
    <w:rsid w:val="001B5DD8"/>
    <w:rsid w:val="001B5E11"/>
    <w:rsid w:val="001B7042"/>
    <w:rsid w:val="001B704E"/>
    <w:rsid w:val="001B7345"/>
    <w:rsid w:val="001B741C"/>
    <w:rsid w:val="001B78C1"/>
    <w:rsid w:val="001B7D47"/>
    <w:rsid w:val="001B7E35"/>
    <w:rsid w:val="001B7F78"/>
    <w:rsid w:val="001C003C"/>
    <w:rsid w:val="001C069A"/>
    <w:rsid w:val="001C09F8"/>
    <w:rsid w:val="001C101E"/>
    <w:rsid w:val="001C124E"/>
    <w:rsid w:val="001C134B"/>
    <w:rsid w:val="001C16F1"/>
    <w:rsid w:val="001C1756"/>
    <w:rsid w:val="001C1778"/>
    <w:rsid w:val="001C1AE7"/>
    <w:rsid w:val="001C1FA8"/>
    <w:rsid w:val="001C2098"/>
    <w:rsid w:val="001C2DDD"/>
    <w:rsid w:val="001C3432"/>
    <w:rsid w:val="001C3FF1"/>
    <w:rsid w:val="001C4033"/>
    <w:rsid w:val="001C4401"/>
    <w:rsid w:val="001C4910"/>
    <w:rsid w:val="001C49AF"/>
    <w:rsid w:val="001C4C01"/>
    <w:rsid w:val="001C4FFB"/>
    <w:rsid w:val="001C55C8"/>
    <w:rsid w:val="001C60FA"/>
    <w:rsid w:val="001C6CE3"/>
    <w:rsid w:val="001C6D89"/>
    <w:rsid w:val="001C7111"/>
    <w:rsid w:val="001C7620"/>
    <w:rsid w:val="001C7B47"/>
    <w:rsid w:val="001D004B"/>
    <w:rsid w:val="001D00A6"/>
    <w:rsid w:val="001D00D2"/>
    <w:rsid w:val="001D0356"/>
    <w:rsid w:val="001D064E"/>
    <w:rsid w:val="001D085A"/>
    <w:rsid w:val="001D088C"/>
    <w:rsid w:val="001D0A63"/>
    <w:rsid w:val="001D0AC9"/>
    <w:rsid w:val="001D0C1E"/>
    <w:rsid w:val="001D0EFC"/>
    <w:rsid w:val="001D1B93"/>
    <w:rsid w:val="001D2196"/>
    <w:rsid w:val="001D21E6"/>
    <w:rsid w:val="001D329D"/>
    <w:rsid w:val="001D3728"/>
    <w:rsid w:val="001D378D"/>
    <w:rsid w:val="001D3958"/>
    <w:rsid w:val="001D3984"/>
    <w:rsid w:val="001D3AE8"/>
    <w:rsid w:val="001D3F8E"/>
    <w:rsid w:val="001D47FF"/>
    <w:rsid w:val="001D56F0"/>
    <w:rsid w:val="001D597A"/>
    <w:rsid w:val="001D5AE7"/>
    <w:rsid w:val="001D5C9F"/>
    <w:rsid w:val="001D5F4A"/>
    <w:rsid w:val="001D64FC"/>
    <w:rsid w:val="001D64FF"/>
    <w:rsid w:val="001D654E"/>
    <w:rsid w:val="001D669F"/>
    <w:rsid w:val="001D6734"/>
    <w:rsid w:val="001D6884"/>
    <w:rsid w:val="001D68EF"/>
    <w:rsid w:val="001D7460"/>
    <w:rsid w:val="001D7553"/>
    <w:rsid w:val="001D76D4"/>
    <w:rsid w:val="001D7C6B"/>
    <w:rsid w:val="001D7D6A"/>
    <w:rsid w:val="001D7E9D"/>
    <w:rsid w:val="001D7EE7"/>
    <w:rsid w:val="001E0085"/>
    <w:rsid w:val="001E0803"/>
    <w:rsid w:val="001E0C9D"/>
    <w:rsid w:val="001E100A"/>
    <w:rsid w:val="001E100B"/>
    <w:rsid w:val="001E103F"/>
    <w:rsid w:val="001E11EC"/>
    <w:rsid w:val="001E14D6"/>
    <w:rsid w:val="001E18F6"/>
    <w:rsid w:val="001E1969"/>
    <w:rsid w:val="001E196E"/>
    <w:rsid w:val="001E19CC"/>
    <w:rsid w:val="001E2417"/>
    <w:rsid w:val="001E295E"/>
    <w:rsid w:val="001E3191"/>
    <w:rsid w:val="001E3559"/>
    <w:rsid w:val="001E40BE"/>
    <w:rsid w:val="001E4401"/>
    <w:rsid w:val="001E44B2"/>
    <w:rsid w:val="001E4576"/>
    <w:rsid w:val="001E4A0C"/>
    <w:rsid w:val="001E4B10"/>
    <w:rsid w:val="001E4BC8"/>
    <w:rsid w:val="001E4CF1"/>
    <w:rsid w:val="001E4DB2"/>
    <w:rsid w:val="001E508A"/>
    <w:rsid w:val="001E58B5"/>
    <w:rsid w:val="001E596E"/>
    <w:rsid w:val="001E5A60"/>
    <w:rsid w:val="001E5B78"/>
    <w:rsid w:val="001E6581"/>
    <w:rsid w:val="001E679F"/>
    <w:rsid w:val="001E6D36"/>
    <w:rsid w:val="001E7178"/>
    <w:rsid w:val="001E752D"/>
    <w:rsid w:val="001E7BB8"/>
    <w:rsid w:val="001E7FD9"/>
    <w:rsid w:val="001F08EB"/>
    <w:rsid w:val="001F0999"/>
    <w:rsid w:val="001F0C30"/>
    <w:rsid w:val="001F0EBF"/>
    <w:rsid w:val="001F0ED5"/>
    <w:rsid w:val="001F0EEA"/>
    <w:rsid w:val="001F0F11"/>
    <w:rsid w:val="001F167A"/>
    <w:rsid w:val="001F174E"/>
    <w:rsid w:val="001F17B1"/>
    <w:rsid w:val="001F1D58"/>
    <w:rsid w:val="001F2618"/>
    <w:rsid w:val="001F287E"/>
    <w:rsid w:val="001F2AE7"/>
    <w:rsid w:val="001F2C9B"/>
    <w:rsid w:val="001F2EB8"/>
    <w:rsid w:val="001F30FD"/>
    <w:rsid w:val="001F3320"/>
    <w:rsid w:val="001F3659"/>
    <w:rsid w:val="001F36D7"/>
    <w:rsid w:val="001F375E"/>
    <w:rsid w:val="001F385E"/>
    <w:rsid w:val="001F38D5"/>
    <w:rsid w:val="001F3E7C"/>
    <w:rsid w:val="001F47BB"/>
    <w:rsid w:val="001F4B54"/>
    <w:rsid w:val="001F4C3E"/>
    <w:rsid w:val="001F5134"/>
    <w:rsid w:val="001F5224"/>
    <w:rsid w:val="001F536B"/>
    <w:rsid w:val="001F566A"/>
    <w:rsid w:val="001F582A"/>
    <w:rsid w:val="001F5930"/>
    <w:rsid w:val="001F5E1B"/>
    <w:rsid w:val="001F6198"/>
    <w:rsid w:val="001F61C3"/>
    <w:rsid w:val="001F66BC"/>
    <w:rsid w:val="001F68F0"/>
    <w:rsid w:val="001F6CF5"/>
    <w:rsid w:val="001F7798"/>
    <w:rsid w:val="001F785A"/>
    <w:rsid w:val="001F7F73"/>
    <w:rsid w:val="001F7FF9"/>
    <w:rsid w:val="00200519"/>
    <w:rsid w:val="0020091A"/>
    <w:rsid w:val="00200A8A"/>
    <w:rsid w:val="00200B91"/>
    <w:rsid w:val="00200C32"/>
    <w:rsid w:val="00201351"/>
    <w:rsid w:val="002017A1"/>
    <w:rsid w:val="00201B86"/>
    <w:rsid w:val="00201FF7"/>
    <w:rsid w:val="0020228F"/>
    <w:rsid w:val="002022E7"/>
    <w:rsid w:val="0020234E"/>
    <w:rsid w:val="002023AD"/>
    <w:rsid w:val="00202687"/>
    <w:rsid w:val="00202F34"/>
    <w:rsid w:val="00203669"/>
    <w:rsid w:val="0020388C"/>
    <w:rsid w:val="00203A8C"/>
    <w:rsid w:val="00203D2F"/>
    <w:rsid w:val="00204442"/>
    <w:rsid w:val="0020453C"/>
    <w:rsid w:val="00204565"/>
    <w:rsid w:val="00204790"/>
    <w:rsid w:val="00204ACC"/>
    <w:rsid w:val="00204D50"/>
    <w:rsid w:val="0020502F"/>
    <w:rsid w:val="00205073"/>
    <w:rsid w:val="002050A0"/>
    <w:rsid w:val="00205493"/>
    <w:rsid w:val="00205790"/>
    <w:rsid w:val="00205C66"/>
    <w:rsid w:val="00205DB5"/>
    <w:rsid w:val="0020692C"/>
    <w:rsid w:val="00206943"/>
    <w:rsid w:val="0020697F"/>
    <w:rsid w:val="00206AEA"/>
    <w:rsid w:val="002073B6"/>
    <w:rsid w:val="00207613"/>
    <w:rsid w:val="00207CAC"/>
    <w:rsid w:val="00207E09"/>
    <w:rsid w:val="00210095"/>
    <w:rsid w:val="00210517"/>
    <w:rsid w:val="00210550"/>
    <w:rsid w:val="00210753"/>
    <w:rsid w:val="0021097C"/>
    <w:rsid w:val="00210B5C"/>
    <w:rsid w:val="00210E40"/>
    <w:rsid w:val="00211286"/>
    <w:rsid w:val="0021143A"/>
    <w:rsid w:val="00211763"/>
    <w:rsid w:val="00211807"/>
    <w:rsid w:val="0021192F"/>
    <w:rsid w:val="00211BB9"/>
    <w:rsid w:val="00212273"/>
    <w:rsid w:val="00212564"/>
    <w:rsid w:val="00212628"/>
    <w:rsid w:val="002128FB"/>
    <w:rsid w:val="00212E21"/>
    <w:rsid w:val="002132F1"/>
    <w:rsid w:val="002133AA"/>
    <w:rsid w:val="00213530"/>
    <w:rsid w:val="0021353B"/>
    <w:rsid w:val="00213566"/>
    <w:rsid w:val="00213675"/>
    <w:rsid w:val="002136AB"/>
    <w:rsid w:val="002136EF"/>
    <w:rsid w:val="00213860"/>
    <w:rsid w:val="00213881"/>
    <w:rsid w:val="00214873"/>
    <w:rsid w:val="0021495D"/>
    <w:rsid w:val="0021514C"/>
    <w:rsid w:val="002151B7"/>
    <w:rsid w:val="002153CA"/>
    <w:rsid w:val="002154F9"/>
    <w:rsid w:val="00215AC8"/>
    <w:rsid w:val="00215D23"/>
    <w:rsid w:val="00215F6D"/>
    <w:rsid w:val="0021615E"/>
    <w:rsid w:val="00216593"/>
    <w:rsid w:val="002165CF"/>
    <w:rsid w:val="0021673D"/>
    <w:rsid w:val="002167E4"/>
    <w:rsid w:val="00216828"/>
    <w:rsid w:val="0021689D"/>
    <w:rsid w:val="00216FE0"/>
    <w:rsid w:val="00217422"/>
    <w:rsid w:val="0021768E"/>
    <w:rsid w:val="00217AE6"/>
    <w:rsid w:val="00217CD8"/>
    <w:rsid w:val="00217D6A"/>
    <w:rsid w:val="00217FF9"/>
    <w:rsid w:val="0022120C"/>
    <w:rsid w:val="0022175B"/>
    <w:rsid w:val="00221817"/>
    <w:rsid w:val="00221A7B"/>
    <w:rsid w:val="00221AD2"/>
    <w:rsid w:val="00221C41"/>
    <w:rsid w:val="00221D8B"/>
    <w:rsid w:val="00221DF0"/>
    <w:rsid w:val="002223C2"/>
    <w:rsid w:val="0022241A"/>
    <w:rsid w:val="00222959"/>
    <w:rsid w:val="00222982"/>
    <w:rsid w:val="00222B09"/>
    <w:rsid w:val="00222B92"/>
    <w:rsid w:val="002232CE"/>
    <w:rsid w:val="002237E1"/>
    <w:rsid w:val="002239FC"/>
    <w:rsid w:val="00224143"/>
    <w:rsid w:val="0022471C"/>
    <w:rsid w:val="00224896"/>
    <w:rsid w:val="00224CDD"/>
    <w:rsid w:val="002252CF"/>
    <w:rsid w:val="002254A4"/>
    <w:rsid w:val="002254D0"/>
    <w:rsid w:val="002257CB"/>
    <w:rsid w:val="002259CA"/>
    <w:rsid w:val="00225A98"/>
    <w:rsid w:val="00226329"/>
    <w:rsid w:val="00226384"/>
    <w:rsid w:val="002263E9"/>
    <w:rsid w:val="00226538"/>
    <w:rsid w:val="002265BC"/>
    <w:rsid w:val="002265D4"/>
    <w:rsid w:val="0022695C"/>
    <w:rsid w:val="002269B8"/>
    <w:rsid w:val="00226E1C"/>
    <w:rsid w:val="00227188"/>
    <w:rsid w:val="002271A9"/>
    <w:rsid w:val="00227769"/>
    <w:rsid w:val="00227AEE"/>
    <w:rsid w:val="00227F09"/>
    <w:rsid w:val="002301DE"/>
    <w:rsid w:val="002303ED"/>
    <w:rsid w:val="00230436"/>
    <w:rsid w:val="0023046A"/>
    <w:rsid w:val="00230AB7"/>
    <w:rsid w:val="00230D2F"/>
    <w:rsid w:val="00230ED8"/>
    <w:rsid w:val="00231374"/>
    <w:rsid w:val="00231716"/>
    <w:rsid w:val="00231D89"/>
    <w:rsid w:val="00231F19"/>
    <w:rsid w:val="00232E62"/>
    <w:rsid w:val="00232F7B"/>
    <w:rsid w:val="00233219"/>
    <w:rsid w:val="0023390E"/>
    <w:rsid w:val="0023399F"/>
    <w:rsid w:val="00233E33"/>
    <w:rsid w:val="002342BA"/>
    <w:rsid w:val="002343A1"/>
    <w:rsid w:val="00234556"/>
    <w:rsid w:val="002346D4"/>
    <w:rsid w:val="002347DB"/>
    <w:rsid w:val="002349C9"/>
    <w:rsid w:val="00234D6C"/>
    <w:rsid w:val="0023508A"/>
    <w:rsid w:val="00235246"/>
    <w:rsid w:val="002356E9"/>
    <w:rsid w:val="00235E44"/>
    <w:rsid w:val="002362A0"/>
    <w:rsid w:val="00236B84"/>
    <w:rsid w:val="00236F47"/>
    <w:rsid w:val="002370E0"/>
    <w:rsid w:val="002371FE"/>
    <w:rsid w:val="0023748E"/>
    <w:rsid w:val="00237BE9"/>
    <w:rsid w:val="00237C8A"/>
    <w:rsid w:val="00237FA7"/>
    <w:rsid w:val="00240360"/>
    <w:rsid w:val="00240B75"/>
    <w:rsid w:val="00240C02"/>
    <w:rsid w:val="00240CE1"/>
    <w:rsid w:val="00240EEF"/>
    <w:rsid w:val="002412B4"/>
    <w:rsid w:val="002418F8"/>
    <w:rsid w:val="00241C3F"/>
    <w:rsid w:val="0024207B"/>
    <w:rsid w:val="002421AF"/>
    <w:rsid w:val="002428E6"/>
    <w:rsid w:val="002429A8"/>
    <w:rsid w:val="00242F16"/>
    <w:rsid w:val="0024340E"/>
    <w:rsid w:val="002434DD"/>
    <w:rsid w:val="0024358D"/>
    <w:rsid w:val="0024365D"/>
    <w:rsid w:val="002439AD"/>
    <w:rsid w:val="00243BE4"/>
    <w:rsid w:val="00244FD3"/>
    <w:rsid w:val="0024507B"/>
    <w:rsid w:val="002453BA"/>
    <w:rsid w:val="00245833"/>
    <w:rsid w:val="00245A6A"/>
    <w:rsid w:val="00245A6E"/>
    <w:rsid w:val="00245B96"/>
    <w:rsid w:val="002460C6"/>
    <w:rsid w:val="00246193"/>
    <w:rsid w:val="002461B7"/>
    <w:rsid w:val="00246431"/>
    <w:rsid w:val="002468D7"/>
    <w:rsid w:val="00246A7D"/>
    <w:rsid w:val="00246ACD"/>
    <w:rsid w:val="00246C5A"/>
    <w:rsid w:val="00247100"/>
    <w:rsid w:val="00247293"/>
    <w:rsid w:val="00247462"/>
    <w:rsid w:val="00247D0A"/>
    <w:rsid w:val="00247EF7"/>
    <w:rsid w:val="0025006E"/>
    <w:rsid w:val="002505BD"/>
    <w:rsid w:val="00250B42"/>
    <w:rsid w:val="00251125"/>
    <w:rsid w:val="00251486"/>
    <w:rsid w:val="00251A59"/>
    <w:rsid w:val="002529F8"/>
    <w:rsid w:val="00252ACE"/>
    <w:rsid w:val="00252CDD"/>
    <w:rsid w:val="00253005"/>
    <w:rsid w:val="00253C6D"/>
    <w:rsid w:val="00253DFE"/>
    <w:rsid w:val="00253EED"/>
    <w:rsid w:val="00253F93"/>
    <w:rsid w:val="0025459D"/>
    <w:rsid w:val="00254752"/>
    <w:rsid w:val="00254807"/>
    <w:rsid w:val="00254942"/>
    <w:rsid w:val="00254B84"/>
    <w:rsid w:val="00254C0C"/>
    <w:rsid w:val="00254E7F"/>
    <w:rsid w:val="002550B6"/>
    <w:rsid w:val="0025540E"/>
    <w:rsid w:val="00256122"/>
    <w:rsid w:val="0025657B"/>
    <w:rsid w:val="00256A09"/>
    <w:rsid w:val="00256E2D"/>
    <w:rsid w:val="002571B4"/>
    <w:rsid w:val="00257349"/>
    <w:rsid w:val="002577BB"/>
    <w:rsid w:val="00257920"/>
    <w:rsid w:val="00260512"/>
    <w:rsid w:val="002607B3"/>
    <w:rsid w:val="00260A2E"/>
    <w:rsid w:val="00260C01"/>
    <w:rsid w:val="00260D20"/>
    <w:rsid w:val="00261AB5"/>
    <w:rsid w:val="00261DD2"/>
    <w:rsid w:val="00261F9C"/>
    <w:rsid w:val="0026215A"/>
    <w:rsid w:val="00262464"/>
    <w:rsid w:val="0026294A"/>
    <w:rsid w:val="00262B13"/>
    <w:rsid w:val="00262CC7"/>
    <w:rsid w:val="00262D68"/>
    <w:rsid w:val="00262E0F"/>
    <w:rsid w:val="00263688"/>
    <w:rsid w:val="002637B2"/>
    <w:rsid w:val="00263A19"/>
    <w:rsid w:val="00263D14"/>
    <w:rsid w:val="00264129"/>
    <w:rsid w:val="00264B98"/>
    <w:rsid w:val="00265164"/>
    <w:rsid w:val="00265512"/>
    <w:rsid w:val="0026566F"/>
    <w:rsid w:val="00265677"/>
    <w:rsid w:val="00265876"/>
    <w:rsid w:val="00265BAE"/>
    <w:rsid w:val="00265CEE"/>
    <w:rsid w:val="00265FB9"/>
    <w:rsid w:val="00266049"/>
    <w:rsid w:val="00266100"/>
    <w:rsid w:val="00266D3C"/>
    <w:rsid w:val="00266D73"/>
    <w:rsid w:val="00266FDE"/>
    <w:rsid w:val="0026709B"/>
    <w:rsid w:val="00267BA0"/>
    <w:rsid w:val="00267FCF"/>
    <w:rsid w:val="00267FEC"/>
    <w:rsid w:val="00270143"/>
    <w:rsid w:val="0027032A"/>
    <w:rsid w:val="00270EA3"/>
    <w:rsid w:val="00270ECF"/>
    <w:rsid w:val="00270F6A"/>
    <w:rsid w:val="00270FD8"/>
    <w:rsid w:val="00271705"/>
    <w:rsid w:val="00272360"/>
    <w:rsid w:val="00272551"/>
    <w:rsid w:val="0027286B"/>
    <w:rsid w:val="002729CA"/>
    <w:rsid w:val="00272ABD"/>
    <w:rsid w:val="00272B14"/>
    <w:rsid w:val="00272C1D"/>
    <w:rsid w:val="00272CA6"/>
    <w:rsid w:val="00272EF9"/>
    <w:rsid w:val="002734D0"/>
    <w:rsid w:val="00273661"/>
    <w:rsid w:val="002737C8"/>
    <w:rsid w:val="002744BA"/>
    <w:rsid w:val="00274BDA"/>
    <w:rsid w:val="002751FD"/>
    <w:rsid w:val="00275662"/>
    <w:rsid w:val="00275A98"/>
    <w:rsid w:val="00275DBE"/>
    <w:rsid w:val="00276593"/>
    <w:rsid w:val="00276928"/>
    <w:rsid w:val="00276D81"/>
    <w:rsid w:val="00276DFA"/>
    <w:rsid w:val="00277050"/>
    <w:rsid w:val="002770D0"/>
    <w:rsid w:val="00277700"/>
    <w:rsid w:val="00277783"/>
    <w:rsid w:val="00277788"/>
    <w:rsid w:val="00277A33"/>
    <w:rsid w:val="00277F64"/>
    <w:rsid w:val="0027EC59"/>
    <w:rsid w:val="00280033"/>
    <w:rsid w:val="0028066E"/>
    <w:rsid w:val="0028070E"/>
    <w:rsid w:val="0028081A"/>
    <w:rsid w:val="00280C4A"/>
    <w:rsid w:val="00280D50"/>
    <w:rsid w:val="0028124E"/>
    <w:rsid w:val="002813F6"/>
    <w:rsid w:val="00281573"/>
    <w:rsid w:val="00281B41"/>
    <w:rsid w:val="00281DA8"/>
    <w:rsid w:val="00282138"/>
    <w:rsid w:val="0028257F"/>
    <w:rsid w:val="002825C6"/>
    <w:rsid w:val="002826EA"/>
    <w:rsid w:val="002828A8"/>
    <w:rsid w:val="00282BED"/>
    <w:rsid w:val="00282D3D"/>
    <w:rsid w:val="00282D67"/>
    <w:rsid w:val="00282E91"/>
    <w:rsid w:val="00282F18"/>
    <w:rsid w:val="00283294"/>
    <w:rsid w:val="002832BC"/>
    <w:rsid w:val="00283375"/>
    <w:rsid w:val="00283AA6"/>
    <w:rsid w:val="002840A8"/>
    <w:rsid w:val="002844C8"/>
    <w:rsid w:val="00284704"/>
    <w:rsid w:val="002848A1"/>
    <w:rsid w:val="00284A16"/>
    <w:rsid w:val="00284E27"/>
    <w:rsid w:val="002851DF"/>
    <w:rsid w:val="002857E5"/>
    <w:rsid w:val="00285909"/>
    <w:rsid w:val="00285E05"/>
    <w:rsid w:val="00285F6B"/>
    <w:rsid w:val="0028607D"/>
    <w:rsid w:val="002865F9"/>
    <w:rsid w:val="0028693F"/>
    <w:rsid w:val="00286E5C"/>
    <w:rsid w:val="002871D2"/>
    <w:rsid w:val="00287206"/>
    <w:rsid w:val="0028737C"/>
    <w:rsid w:val="00287559"/>
    <w:rsid w:val="0028759A"/>
    <w:rsid w:val="002876E2"/>
    <w:rsid w:val="00287A1A"/>
    <w:rsid w:val="00287E01"/>
    <w:rsid w:val="0028B156"/>
    <w:rsid w:val="0029003F"/>
    <w:rsid w:val="0029029D"/>
    <w:rsid w:val="002905F7"/>
    <w:rsid w:val="00290A67"/>
    <w:rsid w:val="00290CF9"/>
    <w:rsid w:val="00290E6A"/>
    <w:rsid w:val="00291B41"/>
    <w:rsid w:val="00291E72"/>
    <w:rsid w:val="002923EF"/>
    <w:rsid w:val="002923FF"/>
    <w:rsid w:val="0029242E"/>
    <w:rsid w:val="002924C8"/>
    <w:rsid w:val="00292519"/>
    <w:rsid w:val="00292676"/>
    <w:rsid w:val="002929BF"/>
    <w:rsid w:val="00292B10"/>
    <w:rsid w:val="00292C4B"/>
    <w:rsid w:val="00293205"/>
    <w:rsid w:val="0029331F"/>
    <w:rsid w:val="0029357B"/>
    <w:rsid w:val="0029380A"/>
    <w:rsid w:val="00293CCF"/>
    <w:rsid w:val="00293EA3"/>
    <w:rsid w:val="0029416E"/>
    <w:rsid w:val="0029592B"/>
    <w:rsid w:val="00295A69"/>
    <w:rsid w:val="00295EEC"/>
    <w:rsid w:val="00296108"/>
    <w:rsid w:val="002961A7"/>
    <w:rsid w:val="0029644E"/>
    <w:rsid w:val="00296B44"/>
    <w:rsid w:val="00296C37"/>
    <w:rsid w:val="002971DD"/>
    <w:rsid w:val="002971FD"/>
    <w:rsid w:val="00297269"/>
    <w:rsid w:val="002972BE"/>
    <w:rsid w:val="002975A3"/>
    <w:rsid w:val="00297F61"/>
    <w:rsid w:val="002A0394"/>
    <w:rsid w:val="002A047B"/>
    <w:rsid w:val="002A0660"/>
    <w:rsid w:val="002A066C"/>
    <w:rsid w:val="002A0932"/>
    <w:rsid w:val="002A0CC0"/>
    <w:rsid w:val="002A0D56"/>
    <w:rsid w:val="002A0FA3"/>
    <w:rsid w:val="002A1539"/>
    <w:rsid w:val="002A1558"/>
    <w:rsid w:val="002A1595"/>
    <w:rsid w:val="002A15BE"/>
    <w:rsid w:val="002A15FC"/>
    <w:rsid w:val="002A19B7"/>
    <w:rsid w:val="002A2063"/>
    <w:rsid w:val="002A215B"/>
    <w:rsid w:val="002A2AE1"/>
    <w:rsid w:val="002A2BC0"/>
    <w:rsid w:val="002A319B"/>
    <w:rsid w:val="002A32C8"/>
    <w:rsid w:val="002A342E"/>
    <w:rsid w:val="002A3596"/>
    <w:rsid w:val="002A36F7"/>
    <w:rsid w:val="002A3C51"/>
    <w:rsid w:val="002A3F7D"/>
    <w:rsid w:val="002A454F"/>
    <w:rsid w:val="002A4798"/>
    <w:rsid w:val="002A4C8D"/>
    <w:rsid w:val="002A4E45"/>
    <w:rsid w:val="002A4E66"/>
    <w:rsid w:val="002A4F60"/>
    <w:rsid w:val="002A60BA"/>
    <w:rsid w:val="002A62A6"/>
    <w:rsid w:val="002A62EC"/>
    <w:rsid w:val="002A64E0"/>
    <w:rsid w:val="002A6788"/>
    <w:rsid w:val="002A7273"/>
    <w:rsid w:val="002A75D8"/>
    <w:rsid w:val="002A77E2"/>
    <w:rsid w:val="002A7CBC"/>
    <w:rsid w:val="002A7DB9"/>
    <w:rsid w:val="002A7FF4"/>
    <w:rsid w:val="002B003E"/>
    <w:rsid w:val="002B0105"/>
    <w:rsid w:val="002B017E"/>
    <w:rsid w:val="002B0E28"/>
    <w:rsid w:val="002B0E82"/>
    <w:rsid w:val="002B147C"/>
    <w:rsid w:val="002B14A4"/>
    <w:rsid w:val="002B14FC"/>
    <w:rsid w:val="002B1524"/>
    <w:rsid w:val="002B1ABA"/>
    <w:rsid w:val="002B1E67"/>
    <w:rsid w:val="002B1EFE"/>
    <w:rsid w:val="002B1F91"/>
    <w:rsid w:val="002B219E"/>
    <w:rsid w:val="002B2798"/>
    <w:rsid w:val="002B2813"/>
    <w:rsid w:val="002B2C44"/>
    <w:rsid w:val="002B2CAE"/>
    <w:rsid w:val="002B30E9"/>
    <w:rsid w:val="002B358D"/>
    <w:rsid w:val="002B4D37"/>
    <w:rsid w:val="002B4DA9"/>
    <w:rsid w:val="002B4EA8"/>
    <w:rsid w:val="002B50C4"/>
    <w:rsid w:val="002B541F"/>
    <w:rsid w:val="002B54BE"/>
    <w:rsid w:val="002B5568"/>
    <w:rsid w:val="002B5701"/>
    <w:rsid w:val="002B590B"/>
    <w:rsid w:val="002B59AE"/>
    <w:rsid w:val="002B5E09"/>
    <w:rsid w:val="002B5E0F"/>
    <w:rsid w:val="002B6204"/>
    <w:rsid w:val="002B6776"/>
    <w:rsid w:val="002B6822"/>
    <w:rsid w:val="002B6CC3"/>
    <w:rsid w:val="002B708A"/>
    <w:rsid w:val="002B71DF"/>
    <w:rsid w:val="002B7C9C"/>
    <w:rsid w:val="002B7F84"/>
    <w:rsid w:val="002C01FE"/>
    <w:rsid w:val="002C076E"/>
    <w:rsid w:val="002C0AC8"/>
    <w:rsid w:val="002C0E80"/>
    <w:rsid w:val="002C1323"/>
    <w:rsid w:val="002C20E4"/>
    <w:rsid w:val="002C221F"/>
    <w:rsid w:val="002C23E7"/>
    <w:rsid w:val="002C290C"/>
    <w:rsid w:val="002C2F56"/>
    <w:rsid w:val="002C307C"/>
    <w:rsid w:val="002C3154"/>
    <w:rsid w:val="002C3445"/>
    <w:rsid w:val="002C3457"/>
    <w:rsid w:val="002C3AAD"/>
    <w:rsid w:val="002C3E65"/>
    <w:rsid w:val="002C4640"/>
    <w:rsid w:val="002C46C7"/>
    <w:rsid w:val="002C4898"/>
    <w:rsid w:val="002C5651"/>
    <w:rsid w:val="002C5831"/>
    <w:rsid w:val="002C5A7E"/>
    <w:rsid w:val="002C5BF8"/>
    <w:rsid w:val="002C5C92"/>
    <w:rsid w:val="002C5D1D"/>
    <w:rsid w:val="002C6424"/>
    <w:rsid w:val="002C6425"/>
    <w:rsid w:val="002C64CA"/>
    <w:rsid w:val="002C650D"/>
    <w:rsid w:val="002C6D40"/>
    <w:rsid w:val="002C6EC0"/>
    <w:rsid w:val="002C7034"/>
    <w:rsid w:val="002C72ED"/>
    <w:rsid w:val="002C776D"/>
    <w:rsid w:val="002C77F7"/>
    <w:rsid w:val="002C7CBA"/>
    <w:rsid w:val="002C7F6B"/>
    <w:rsid w:val="002D01E0"/>
    <w:rsid w:val="002D0B29"/>
    <w:rsid w:val="002D0C2E"/>
    <w:rsid w:val="002D0F25"/>
    <w:rsid w:val="002D1039"/>
    <w:rsid w:val="002D11BE"/>
    <w:rsid w:val="002D1873"/>
    <w:rsid w:val="002D1DF0"/>
    <w:rsid w:val="002D272D"/>
    <w:rsid w:val="002D2969"/>
    <w:rsid w:val="002D3404"/>
    <w:rsid w:val="002D3537"/>
    <w:rsid w:val="002D37D5"/>
    <w:rsid w:val="002D3C2B"/>
    <w:rsid w:val="002D3E9A"/>
    <w:rsid w:val="002D49A4"/>
    <w:rsid w:val="002D5296"/>
    <w:rsid w:val="002D5AD3"/>
    <w:rsid w:val="002D5CF0"/>
    <w:rsid w:val="002D5FC3"/>
    <w:rsid w:val="002D6239"/>
    <w:rsid w:val="002D6E6E"/>
    <w:rsid w:val="002D7160"/>
    <w:rsid w:val="002DBC98"/>
    <w:rsid w:val="002E03A0"/>
    <w:rsid w:val="002E04C1"/>
    <w:rsid w:val="002E08A6"/>
    <w:rsid w:val="002E0D93"/>
    <w:rsid w:val="002E0E09"/>
    <w:rsid w:val="002E10B0"/>
    <w:rsid w:val="002E1410"/>
    <w:rsid w:val="002E1607"/>
    <w:rsid w:val="002E1AAA"/>
    <w:rsid w:val="002E1D29"/>
    <w:rsid w:val="002E1DB4"/>
    <w:rsid w:val="002E1EB6"/>
    <w:rsid w:val="002E28CC"/>
    <w:rsid w:val="002E2960"/>
    <w:rsid w:val="002E2F82"/>
    <w:rsid w:val="002E342B"/>
    <w:rsid w:val="002E3537"/>
    <w:rsid w:val="002E3773"/>
    <w:rsid w:val="002E4476"/>
    <w:rsid w:val="002E45A3"/>
    <w:rsid w:val="002E479A"/>
    <w:rsid w:val="002E50F9"/>
    <w:rsid w:val="002E519B"/>
    <w:rsid w:val="002E552C"/>
    <w:rsid w:val="002E57BC"/>
    <w:rsid w:val="002E5D27"/>
    <w:rsid w:val="002E5E71"/>
    <w:rsid w:val="002E6139"/>
    <w:rsid w:val="002E642D"/>
    <w:rsid w:val="002E64B6"/>
    <w:rsid w:val="002E6570"/>
    <w:rsid w:val="002E65AC"/>
    <w:rsid w:val="002E669D"/>
    <w:rsid w:val="002E6A89"/>
    <w:rsid w:val="002E6B97"/>
    <w:rsid w:val="002E6DAC"/>
    <w:rsid w:val="002E72F6"/>
    <w:rsid w:val="002E74F6"/>
    <w:rsid w:val="002E7576"/>
    <w:rsid w:val="002E780F"/>
    <w:rsid w:val="002E79E3"/>
    <w:rsid w:val="002F0A2E"/>
    <w:rsid w:val="002F1069"/>
    <w:rsid w:val="002F1259"/>
    <w:rsid w:val="002F132F"/>
    <w:rsid w:val="002F1392"/>
    <w:rsid w:val="002F185E"/>
    <w:rsid w:val="002F1989"/>
    <w:rsid w:val="002F1E76"/>
    <w:rsid w:val="002F2403"/>
    <w:rsid w:val="002F251E"/>
    <w:rsid w:val="002F2848"/>
    <w:rsid w:val="002F2AC2"/>
    <w:rsid w:val="002F2CC1"/>
    <w:rsid w:val="002F2DBC"/>
    <w:rsid w:val="002F3466"/>
    <w:rsid w:val="002F364D"/>
    <w:rsid w:val="002F3782"/>
    <w:rsid w:val="002F389E"/>
    <w:rsid w:val="002F39BF"/>
    <w:rsid w:val="002F39C2"/>
    <w:rsid w:val="002F3B48"/>
    <w:rsid w:val="002F3D69"/>
    <w:rsid w:val="002F40E8"/>
    <w:rsid w:val="002F42DA"/>
    <w:rsid w:val="002F4375"/>
    <w:rsid w:val="002F4624"/>
    <w:rsid w:val="002F47A5"/>
    <w:rsid w:val="002F47D3"/>
    <w:rsid w:val="002F4955"/>
    <w:rsid w:val="002F4D07"/>
    <w:rsid w:val="002F4D6F"/>
    <w:rsid w:val="002F4EDE"/>
    <w:rsid w:val="002F4F27"/>
    <w:rsid w:val="002F5340"/>
    <w:rsid w:val="002F5609"/>
    <w:rsid w:val="002F5706"/>
    <w:rsid w:val="002F5D89"/>
    <w:rsid w:val="002F5E5D"/>
    <w:rsid w:val="002F64EC"/>
    <w:rsid w:val="002F6682"/>
    <w:rsid w:val="002F6714"/>
    <w:rsid w:val="002F6B79"/>
    <w:rsid w:val="002F717B"/>
    <w:rsid w:val="002F73AE"/>
    <w:rsid w:val="002F75C9"/>
    <w:rsid w:val="002F76D9"/>
    <w:rsid w:val="002F7BC9"/>
    <w:rsid w:val="002F7BEC"/>
    <w:rsid w:val="002F7D00"/>
    <w:rsid w:val="00300136"/>
    <w:rsid w:val="003005FC"/>
    <w:rsid w:val="003008A4"/>
    <w:rsid w:val="003009A4"/>
    <w:rsid w:val="00300B33"/>
    <w:rsid w:val="0030179D"/>
    <w:rsid w:val="00301821"/>
    <w:rsid w:val="00301873"/>
    <w:rsid w:val="00301D04"/>
    <w:rsid w:val="0030293D"/>
    <w:rsid w:val="00302ED8"/>
    <w:rsid w:val="00303323"/>
    <w:rsid w:val="00303573"/>
    <w:rsid w:val="003037F8"/>
    <w:rsid w:val="00303807"/>
    <w:rsid w:val="00303A4D"/>
    <w:rsid w:val="00303DFA"/>
    <w:rsid w:val="00304259"/>
    <w:rsid w:val="00304332"/>
    <w:rsid w:val="0030480F"/>
    <w:rsid w:val="00304B30"/>
    <w:rsid w:val="00304DDE"/>
    <w:rsid w:val="00304F7B"/>
    <w:rsid w:val="003051D6"/>
    <w:rsid w:val="003052DE"/>
    <w:rsid w:val="003055C8"/>
    <w:rsid w:val="003056A7"/>
    <w:rsid w:val="003057C2"/>
    <w:rsid w:val="0030641B"/>
    <w:rsid w:val="00306665"/>
    <w:rsid w:val="00306A29"/>
    <w:rsid w:val="00306D3B"/>
    <w:rsid w:val="00306E4F"/>
    <w:rsid w:val="00306E79"/>
    <w:rsid w:val="00307020"/>
    <w:rsid w:val="00307D34"/>
    <w:rsid w:val="00307D7E"/>
    <w:rsid w:val="003102EA"/>
    <w:rsid w:val="003104B4"/>
    <w:rsid w:val="00310AC8"/>
    <w:rsid w:val="00310B25"/>
    <w:rsid w:val="00310D52"/>
    <w:rsid w:val="00310E45"/>
    <w:rsid w:val="00310F95"/>
    <w:rsid w:val="003112D8"/>
    <w:rsid w:val="0031174D"/>
    <w:rsid w:val="0031175F"/>
    <w:rsid w:val="00311881"/>
    <w:rsid w:val="00311F5D"/>
    <w:rsid w:val="00312C5A"/>
    <w:rsid w:val="00312EAB"/>
    <w:rsid w:val="0031317B"/>
    <w:rsid w:val="0031321E"/>
    <w:rsid w:val="0031337E"/>
    <w:rsid w:val="00313ECD"/>
    <w:rsid w:val="00314180"/>
    <w:rsid w:val="0031452F"/>
    <w:rsid w:val="0031458F"/>
    <w:rsid w:val="003145FB"/>
    <w:rsid w:val="00314B4E"/>
    <w:rsid w:val="00314E0F"/>
    <w:rsid w:val="00314F20"/>
    <w:rsid w:val="00315227"/>
    <w:rsid w:val="00315E92"/>
    <w:rsid w:val="003160A7"/>
    <w:rsid w:val="00316618"/>
    <w:rsid w:val="00316D67"/>
    <w:rsid w:val="00316F23"/>
    <w:rsid w:val="003171B5"/>
    <w:rsid w:val="00317BB8"/>
    <w:rsid w:val="00317F6A"/>
    <w:rsid w:val="00320206"/>
    <w:rsid w:val="00320680"/>
    <w:rsid w:val="003206C1"/>
    <w:rsid w:val="003219E9"/>
    <w:rsid w:val="00321B29"/>
    <w:rsid w:val="00321FFE"/>
    <w:rsid w:val="00322649"/>
    <w:rsid w:val="0032292B"/>
    <w:rsid w:val="003229C0"/>
    <w:rsid w:val="00322C2A"/>
    <w:rsid w:val="00323373"/>
    <w:rsid w:val="0032351C"/>
    <w:rsid w:val="00323C97"/>
    <w:rsid w:val="00323F77"/>
    <w:rsid w:val="003240D6"/>
    <w:rsid w:val="00324C59"/>
    <w:rsid w:val="00324F4C"/>
    <w:rsid w:val="0032519E"/>
    <w:rsid w:val="003252AC"/>
    <w:rsid w:val="00325779"/>
    <w:rsid w:val="003258FC"/>
    <w:rsid w:val="00325B2D"/>
    <w:rsid w:val="003261B9"/>
    <w:rsid w:val="0032661C"/>
    <w:rsid w:val="00326A80"/>
    <w:rsid w:val="00326EB1"/>
    <w:rsid w:val="00327A6C"/>
    <w:rsid w:val="00327C23"/>
    <w:rsid w:val="00327E32"/>
    <w:rsid w:val="00327ED2"/>
    <w:rsid w:val="00330319"/>
    <w:rsid w:val="0033038F"/>
    <w:rsid w:val="0033083A"/>
    <w:rsid w:val="00330845"/>
    <w:rsid w:val="00330EF4"/>
    <w:rsid w:val="003311B0"/>
    <w:rsid w:val="00331963"/>
    <w:rsid w:val="00332171"/>
    <w:rsid w:val="0033266A"/>
    <w:rsid w:val="0033270E"/>
    <w:rsid w:val="00332756"/>
    <w:rsid w:val="00332B7C"/>
    <w:rsid w:val="00332CFA"/>
    <w:rsid w:val="00332F2D"/>
    <w:rsid w:val="0033308C"/>
    <w:rsid w:val="00333511"/>
    <w:rsid w:val="003335C0"/>
    <w:rsid w:val="0033370C"/>
    <w:rsid w:val="0033372D"/>
    <w:rsid w:val="00333793"/>
    <w:rsid w:val="00333F5D"/>
    <w:rsid w:val="003342BD"/>
    <w:rsid w:val="00334693"/>
    <w:rsid w:val="00334761"/>
    <w:rsid w:val="0033552F"/>
    <w:rsid w:val="00335768"/>
    <w:rsid w:val="0033579F"/>
    <w:rsid w:val="00335E05"/>
    <w:rsid w:val="003360BE"/>
    <w:rsid w:val="00336339"/>
    <w:rsid w:val="00336376"/>
    <w:rsid w:val="00336612"/>
    <w:rsid w:val="0033691B"/>
    <w:rsid w:val="00336B9F"/>
    <w:rsid w:val="00336CDA"/>
    <w:rsid w:val="00336ED3"/>
    <w:rsid w:val="0033701A"/>
    <w:rsid w:val="003370DD"/>
    <w:rsid w:val="003372D6"/>
    <w:rsid w:val="00337864"/>
    <w:rsid w:val="003402DD"/>
    <w:rsid w:val="00340B2F"/>
    <w:rsid w:val="00340DB0"/>
    <w:rsid w:val="00340E2A"/>
    <w:rsid w:val="00340FBD"/>
    <w:rsid w:val="00341144"/>
    <w:rsid w:val="003412C1"/>
    <w:rsid w:val="003415D3"/>
    <w:rsid w:val="003416A3"/>
    <w:rsid w:val="00341A07"/>
    <w:rsid w:val="00341B5E"/>
    <w:rsid w:val="00341D69"/>
    <w:rsid w:val="00341FD8"/>
    <w:rsid w:val="00342085"/>
    <w:rsid w:val="003421D7"/>
    <w:rsid w:val="00342E9C"/>
    <w:rsid w:val="0034308E"/>
    <w:rsid w:val="00343843"/>
    <w:rsid w:val="0034399B"/>
    <w:rsid w:val="00343C78"/>
    <w:rsid w:val="00343FA3"/>
    <w:rsid w:val="00344C5A"/>
    <w:rsid w:val="00344CB3"/>
    <w:rsid w:val="00345076"/>
    <w:rsid w:val="003453C4"/>
    <w:rsid w:val="00345E0B"/>
    <w:rsid w:val="00346274"/>
    <w:rsid w:val="003462B0"/>
    <w:rsid w:val="0034634E"/>
    <w:rsid w:val="003464F5"/>
    <w:rsid w:val="00346A15"/>
    <w:rsid w:val="00346A5F"/>
    <w:rsid w:val="00346F30"/>
    <w:rsid w:val="0034706D"/>
    <w:rsid w:val="003470AD"/>
    <w:rsid w:val="003473ED"/>
    <w:rsid w:val="00347A4A"/>
    <w:rsid w:val="00347B79"/>
    <w:rsid w:val="00347BDA"/>
    <w:rsid w:val="0035036C"/>
    <w:rsid w:val="0035134F"/>
    <w:rsid w:val="003513FE"/>
    <w:rsid w:val="003517B0"/>
    <w:rsid w:val="003517B2"/>
    <w:rsid w:val="003519AD"/>
    <w:rsid w:val="00351BF2"/>
    <w:rsid w:val="0035215F"/>
    <w:rsid w:val="003525C8"/>
    <w:rsid w:val="00352D38"/>
    <w:rsid w:val="00352D95"/>
    <w:rsid w:val="00352E18"/>
    <w:rsid w:val="0035332E"/>
    <w:rsid w:val="003534F3"/>
    <w:rsid w:val="00353CC2"/>
    <w:rsid w:val="00354326"/>
    <w:rsid w:val="00354364"/>
    <w:rsid w:val="00354714"/>
    <w:rsid w:val="00354814"/>
    <w:rsid w:val="003548E6"/>
    <w:rsid w:val="00354B8E"/>
    <w:rsid w:val="00354DB5"/>
    <w:rsid w:val="00354F25"/>
    <w:rsid w:val="00355894"/>
    <w:rsid w:val="0035593C"/>
    <w:rsid w:val="00355AEB"/>
    <w:rsid w:val="00355B9D"/>
    <w:rsid w:val="00355C31"/>
    <w:rsid w:val="00355DC6"/>
    <w:rsid w:val="00355EFE"/>
    <w:rsid w:val="0035602E"/>
    <w:rsid w:val="0035609D"/>
    <w:rsid w:val="003561EE"/>
    <w:rsid w:val="003563A2"/>
    <w:rsid w:val="00357134"/>
    <w:rsid w:val="0035715B"/>
    <w:rsid w:val="00357186"/>
    <w:rsid w:val="00357191"/>
    <w:rsid w:val="003572FE"/>
    <w:rsid w:val="0035763B"/>
    <w:rsid w:val="00357A9B"/>
    <w:rsid w:val="00357E42"/>
    <w:rsid w:val="00357F6B"/>
    <w:rsid w:val="00357F88"/>
    <w:rsid w:val="00360038"/>
    <w:rsid w:val="00360290"/>
    <w:rsid w:val="003605FA"/>
    <w:rsid w:val="00360C13"/>
    <w:rsid w:val="00360C97"/>
    <w:rsid w:val="00361092"/>
    <w:rsid w:val="0036173C"/>
    <w:rsid w:val="003617EE"/>
    <w:rsid w:val="00361C2C"/>
    <w:rsid w:val="00361D76"/>
    <w:rsid w:val="00361FB3"/>
    <w:rsid w:val="003623F0"/>
    <w:rsid w:val="00362C4F"/>
    <w:rsid w:val="00362C93"/>
    <w:rsid w:val="00363868"/>
    <w:rsid w:val="003638CB"/>
    <w:rsid w:val="00363CC2"/>
    <w:rsid w:val="003648A3"/>
    <w:rsid w:val="003648CD"/>
    <w:rsid w:val="00364C73"/>
    <w:rsid w:val="00364F1D"/>
    <w:rsid w:val="003651DC"/>
    <w:rsid w:val="00365442"/>
    <w:rsid w:val="003655BB"/>
    <w:rsid w:val="0036584A"/>
    <w:rsid w:val="00366B5D"/>
    <w:rsid w:val="00366FC3"/>
    <w:rsid w:val="00367083"/>
    <w:rsid w:val="003673EF"/>
    <w:rsid w:val="0036740B"/>
    <w:rsid w:val="00367570"/>
    <w:rsid w:val="003676F8"/>
    <w:rsid w:val="00367967"/>
    <w:rsid w:val="00367C59"/>
    <w:rsid w:val="00367D58"/>
    <w:rsid w:val="00367FBE"/>
    <w:rsid w:val="00370355"/>
    <w:rsid w:val="00370368"/>
    <w:rsid w:val="0037040A"/>
    <w:rsid w:val="003705BF"/>
    <w:rsid w:val="00370755"/>
    <w:rsid w:val="003707E1"/>
    <w:rsid w:val="00370877"/>
    <w:rsid w:val="00370928"/>
    <w:rsid w:val="00371004"/>
    <w:rsid w:val="0037154B"/>
    <w:rsid w:val="00371620"/>
    <w:rsid w:val="0037184D"/>
    <w:rsid w:val="00371D94"/>
    <w:rsid w:val="0037232B"/>
    <w:rsid w:val="003724D8"/>
    <w:rsid w:val="00372779"/>
    <w:rsid w:val="00372992"/>
    <w:rsid w:val="003729B5"/>
    <w:rsid w:val="00372B5E"/>
    <w:rsid w:val="00372BB8"/>
    <w:rsid w:val="00372D06"/>
    <w:rsid w:val="00372D5A"/>
    <w:rsid w:val="00372E62"/>
    <w:rsid w:val="003734F3"/>
    <w:rsid w:val="00373597"/>
    <w:rsid w:val="003737F4"/>
    <w:rsid w:val="00374526"/>
    <w:rsid w:val="00374707"/>
    <w:rsid w:val="00374709"/>
    <w:rsid w:val="00374AC4"/>
    <w:rsid w:val="00374E28"/>
    <w:rsid w:val="0037534A"/>
    <w:rsid w:val="003754A5"/>
    <w:rsid w:val="00375795"/>
    <w:rsid w:val="003759F9"/>
    <w:rsid w:val="00375A7F"/>
    <w:rsid w:val="00375F1F"/>
    <w:rsid w:val="00375FCD"/>
    <w:rsid w:val="0037602E"/>
    <w:rsid w:val="00376315"/>
    <w:rsid w:val="00376361"/>
    <w:rsid w:val="00376503"/>
    <w:rsid w:val="0037655A"/>
    <w:rsid w:val="00376744"/>
    <w:rsid w:val="00376C38"/>
    <w:rsid w:val="00376D1F"/>
    <w:rsid w:val="0037713D"/>
    <w:rsid w:val="00377367"/>
    <w:rsid w:val="00377CB0"/>
    <w:rsid w:val="00377D9F"/>
    <w:rsid w:val="003803CF"/>
    <w:rsid w:val="00380672"/>
    <w:rsid w:val="003807B7"/>
    <w:rsid w:val="00380883"/>
    <w:rsid w:val="00381772"/>
    <w:rsid w:val="003817F6"/>
    <w:rsid w:val="00381EBF"/>
    <w:rsid w:val="0038232F"/>
    <w:rsid w:val="0038244A"/>
    <w:rsid w:val="003825CB"/>
    <w:rsid w:val="003829CD"/>
    <w:rsid w:val="00382B22"/>
    <w:rsid w:val="00382BAB"/>
    <w:rsid w:val="00382DD0"/>
    <w:rsid w:val="00382E1A"/>
    <w:rsid w:val="003830F6"/>
    <w:rsid w:val="003833BE"/>
    <w:rsid w:val="0038349C"/>
    <w:rsid w:val="003834F4"/>
    <w:rsid w:val="003839F4"/>
    <w:rsid w:val="00383C39"/>
    <w:rsid w:val="00383F3D"/>
    <w:rsid w:val="00383F6E"/>
    <w:rsid w:val="0038431F"/>
    <w:rsid w:val="0038443F"/>
    <w:rsid w:val="00384B1C"/>
    <w:rsid w:val="00384CBB"/>
    <w:rsid w:val="00384CC9"/>
    <w:rsid w:val="00385222"/>
    <w:rsid w:val="00385290"/>
    <w:rsid w:val="003855C1"/>
    <w:rsid w:val="00385711"/>
    <w:rsid w:val="0038577E"/>
    <w:rsid w:val="003857FA"/>
    <w:rsid w:val="00385F0F"/>
    <w:rsid w:val="00385FC5"/>
    <w:rsid w:val="003861A4"/>
    <w:rsid w:val="00386218"/>
    <w:rsid w:val="003862F0"/>
    <w:rsid w:val="00386570"/>
    <w:rsid w:val="00386623"/>
    <w:rsid w:val="003867C1"/>
    <w:rsid w:val="00386CF1"/>
    <w:rsid w:val="00386E93"/>
    <w:rsid w:val="00386EEE"/>
    <w:rsid w:val="00386F40"/>
    <w:rsid w:val="00386F66"/>
    <w:rsid w:val="003877FB"/>
    <w:rsid w:val="0038789F"/>
    <w:rsid w:val="003878EA"/>
    <w:rsid w:val="00387F0F"/>
    <w:rsid w:val="00387FFD"/>
    <w:rsid w:val="0039038C"/>
    <w:rsid w:val="003905D7"/>
    <w:rsid w:val="00390829"/>
    <w:rsid w:val="003909B9"/>
    <w:rsid w:val="003909D3"/>
    <w:rsid w:val="00390A33"/>
    <w:rsid w:val="00390C9F"/>
    <w:rsid w:val="003911C4"/>
    <w:rsid w:val="003911CD"/>
    <w:rsid w:val="00391213"/>
    <w:rsid w:val="00391306"/>
    <w:rsid w:val="003915BD"/>
    <w:rsid w:val="00391A3D"/>
    <w:rsid w:val="00391B40"/>
    <w:rsid w:val="00391F1C"/>
    <w:rsid w:val="003922CB"/>
    <w:rsid w:val="003922F7"/>
    <w:rsid w:val="00392332"/>
    <w:rsid w:val="00392B01"/>
    <w:rsid w:val="0039307F"/>
    <w:rsid w:val="00393208"/>
    <w:rsid w:val="003932B0"/>
    <w:rsid w:val="0039376A"/>
    <w:rsid w:val="00393B50"/>
    <w:rsid w:val="00393BE2"/>
    <w:rsid w:val="00393D30"/>
    <w:rsid w:val="00394024"/>
    <w:rsid w:val="003940AF"/>
    <w:rsid w:val="003941CF"/>
    <w:rsid w:val="00394579"/>
    <w:rsid w:val="00394594"/>
    <w:rsid w:val="003947E6"/>
    <w:rsid w:val="00394845"/>
    <w:rsid w:val="00394962"/>
    <w:rsid w:val="00394ADC"/>
    <w:rsid w:val="00394C14"/>
    <w:rsid w:val="00394C1B"/>
    <w:rsid w:val="00394FF9"/>
    <w:rsid w:val="00395386"/>
    <w:rsid w:val="003955CD"/>
    <w:rsid w:val="00396860"/>
    <w:rsid w:val="00396D2D"/>
    <w:rsid w:val="00396D75"/>
    <w:rsid w:val="003977E2"/>
    <w:rsid w:val="00397EB3"/>
    <w:rsid w:val="003A0171"/>
    <w:rsid w:val="003A055F"/>
    <w:rsid w:val="003A0B18"/>
    <w:rsid w:val="003A0C1B"/>
    <w:rsid w:val="003A0EB9"/>
    <w:rsid w:val="003A1136"/>
    <w:rsid w:val="003A157F"/>
    <w:rsid w:val="003A2788"/>
    <w:rsid w:val="003A2FB6"/>
    <w:rsid w:val="003A305B"/>
    <w:rsid w:val="003A36C9"/>
    <w:rsid w:val="003A3D97"/>
    <w:rsid w:val="003A4299"/>
    <w:rsid w:val="003A4C0F"/>
    <w:rsid w:val="003A4CAC"/>
    <w:rsid w:val="003A4D31"/>
    <w:rsid w:val="003A4DBF"/>
    <w:rsid w:val="003A4F0B"/>
    <w:rsid w:val="003A5158"/>
    <w:rsid w:val="003A5873"/>
    <w:rsid w:val="003A5E36"/>
    <w:rsid w:val="003A60E6"/>
    <w:rsid w:val="003A60EC"/>
    <w:rsid w:val="003A6EAB"/>
    <w:rsid w:val="003A709F"/>
    <w:rsid w:val="003A7347"/>
    <w:rsid w:val="003A7C51"/>
    <w:rsid w:val="003B0144"/>
    <w:rsid w:val="003B0740"/>
    <w:rsid w:val="003B0B44"/>
    <w:rsid w:val="003B0E9B"/>
    <w:rsid w:val="003B0F43"/>
    <w:rsid w:val="003B1046"/>
    <w:rsid w:val="003B166B"/>
    <w:rsid w:val="003B1EA3"/>
    <w:rsid w:val="003B2473"/>
    <w:rsid w:val="003B2E5F"/>
    <w:rsid w:val="003B3015"/>
    <w:rsid w:val="003B302E"/>
    <w:rsid w:val="003B3448"/>
    <w:rsid w:val="003B353A"/>
    <w:rsid w:val="003B36B7"/>
    <w:rsid w:val="003B392E"/>
    <w:rsid w:val="003B3D4E"/>
    <w:rsid w:val="003B3F16"/>
    <w:rsid w:val="003B4033"/>
    <w:rsid w:val="003B4980"/>
    <w:rsid w:val="003B499D"/>
    <w:rsid w:val="003B4A75"/>
    <w:rsid w:val="003B4B1C"/>
    <w:rsid w:val="003B4C83"/>
    <w:rsid w:val="003B519E"/>
    <w:rsid w:val="003B5340"/>
    <w:rsid w:val="003B5A2C"/>
    <w:rsid w:val="003B5AA6"/>
    <w:rsid w:val="003B5D6F"/>
    <w:rsid w:val="003B6A6E"/>
    <w:rsid w:val="003B6EA0"/>
    <w:rsid w:val="003B6F17"/>
    <w:rsid w:val="003B7140"/>
    <w:rsid w:val="003B744A"/>
    <w:rsid w:val="003B7BFB"/>
    <w:rsid w:val="003B7E1D"/>
    <w:rsid w:val="003C03C6"/>
    <w:rsid w:val="003C0B2B"/>
    <w:rsid w:val="003C0CC1"/>
    <w:rsid w:val="003C10D1"/>
    <w:rsid w:val="003C11EF"/>
    <w:rsid w:val="003C14B6"/>
    <w:rsid w:val="003C15C2"/>
    <w:rsid w:val="003C236D"/>
    <w:rsid w:val="003C23F5"/>
    <w:rsid w:val="003C243E"/>
    <w:rsid w:val="003C2737"/>
    <w:rsid w:val="003C2F5B"/>
    <w:rsid w:val="003C3009"/>
    <w:rsid w:val="003C3129"/>
    <w:rsid w:val="003C344C"/>
    <w:rsid w:val="003C3A26"/>
    <w:rsid w:val="003C42AF"/>
    <w:rsid w:val="003C42D6"/>
    <w:rsid w:val="003C4661"/>
    <w:rsid w:val="003C4A28"/>
    <w:rsid w:val="003C4E95"/>
    <w:rsid w:val="003C4FEF"/>
    <w:rsid w:val="003C5025"/>
    <w:rsid w:val="003C530C"/>
    <w:rsid w:val="003C55C2"/>
    <w:rsid w:val="003C5697"/>
    <w:rsid w:val="003C5B6B"/>
    <w:rsid w:val="003C627D"/>
    <w:rsid w:val="003C633C"/>
    <w:rsid w:val="003C64CC"/>
    <w:rsid w:val="003C64E7"/>
    <w:rsid w:val="003C64FD"/>
    <w:rsid w:val="003C6D03"/>
    <w:rsid w:val="003C6E6E"/>
    <w:rsid w:val="003C6F86"/>
    <w:rsid w:val="003C6FB8"/>
    <w:rsid w:val="003C6FBD"/>
    <w:rsid w:val="003C724E"/>
    <w:rsid w:val="003C743C"/>
    <w:rsid w:val="003C749D"/>
    <w:rsid w:val="003C765A"/>
    <w:rsid w:val="003C77C6"/>
    <w:rsid w:val="003C7ABF"/>
    <w:rsid w:val="003C7E84"/>
    <w:rsid w:val="003D0029"/>
    <w:rsid w:val="003D02B5"/>
    <w:rsid w:val="003D0D92"/>
    <w:rsid w:val="003D1192"/>
    <w:rsid w:val="003D139B"/>
    <w:rsid w:val="003D15A5"/>
    <w:rsid w:val="003D16F0"/>
    <w:rsid w:val="003D17CE"/>
    <w:rsid w:val="003D1879"/>
    <w:rsid w:val="003D19BA"/>
    <w:rsid w:val="003D2007"/>
    <w:rsid w:val="003D25AF"/>
    <w:rsid w:val="003D2AF8"/>
    <w:rsid w:val="003D2D0C"/>
    <w:rsid w:val="003D2F7A"/>
    <w:rsid w:val="003D2F92"/>
    <w:rsid w:val="003D3057"/>
    <w:rsid w:val="003D3109"/>
    <w:rsid w:val="003D337E"/>
    <w:rsid w:val="003D363C"/>
    <w:rsid w:val="003D39CB"/>
    <w:rsid w:val="003D3EC5"/>
    <w:rsid w:val="003D3FFB"/>
    <w:rsid w:val="003D4361"/>
    <w:rsid w:val="003D4609"/>
    <w:rsid w:val="003D4975"/>
    <w:rsid w:val="003D49F2"/>
    <w:rsid w:val="003D527B"/>
    <w:rsid w:val="003D5438"/>
    <w:rsid w:val="003D58C9"/>
    <w:rsid w:val="003D5E2B"/>
    <w:rsid w:val="003D5E8A"/>
    <w:rsid w:val="003D6535"/>
    <w:rsid w:val="003D66CB"/>
    <w:rsid w:val="003D6B17"/>
    <w:rsid w:val="003D6DF2"/>
    <w:rsid w:val="003D6E8A"/>
    <w:rsid w:val="003D7108"/>
    <w:rsid w:val="003D7181"/>
    <w:rsid w:val="003D7B49"/>
    <w:rsid w:val="003D7F87"/>
    <w:rsid w:val="003E00E9"/>
    <w:rsid w:val="003E0195"/>
    <w:rsid w:val="003E0254"/>
    <w:rsid w:val="003E0680"/>
    <w:rsid w:val="003E0BC8"/>
    <w:rsid w:val="003E0D13"/>
    <w:rsid w:val="003E0E54"/>
    <w:rsid w:val="003E0F19"/>
    <w:rsid w:val="003E1623"/>
    <w:rsid w:val="003E18E0"/>
    <w:rsid w:val="003E1EFD"/>
    <w:rsid w:val="003E1F9C"/>
    <w:rsid w:val="003E2309"/>
    <w:rsid w:val="003E27AF"/>
    <w:rsid w:val="003E2E59"/>
    <w:rsid w:val="003E3004"/>
    <w:rsid w:val="003E33D7"/>
    <w:rsid w:val="003E3456"/>
    <w:rsid w:val="003E34D1"/>
    <w:rsid w:val="003E39D2"/>
    <w:rsid w:val="003E4C68"/>
    <w:rsid w:val="003E4DBD"/>
    <w:rsid w:val="003E4DC8"/>
    <w:rsid w:val="003E50F9"/>
    <w:rsid w:val="003E53F5"/>
    <w:rsid w:val="003E5452"/>
    <w:rsid w:val="003E5469"/>
    <w:rsid w:val="003E547A"/>
    <w:rsid w:val="003E554A"/>
    <w:rsid w:val="003E573B"/>
    <w:rsid w:val="003E5834"/>
    <w:rsid w:val="003E5ABD"/>
    <w:rsid w:val="003E5BFF"/>
    <w:rsid w:val="003E5FBC"/>
    <w:rsid w:val="003E614D"/>
    <w:rsid w:val="003E62B6"/>
    <w:rsid w:val="003E679C"/>
    <w:rsid w:val="003E68D9"/>
    <w:rsid w:val="003E6ADE"/>
    <w:rsid w:val="003E6DF2"/>
    <w:rsid w:val="003E7313"/>
    <w:rsid w:val="003E747C"/>
    <w:rsid w:val="003E7808"/>
    <w:rsid w:val="003E7AC8"/>
    <w:rsid w:val="003E7B68"/>
    <w:rsid w:val="003F04CB"/>
    <w:rsid w:val="003F09BB"/>
    <w:rsid w:val="003F09F4"/>
    <w:rsid w:val="003F0E3F"/>
    <w:rsid w:val="003F1703"/>
    <w:rsid w:val="003F1E5F"/>
    <w:rsid w:val="003F2391"/>
    <w:rsid w:val="003F2C74"/>
    <w:rsid w:val="003F318B"/>
    <w:rsid w:val="003F3365"/>
    <w:rsid w:val="003F38D7"/>
    <w:rsid w:val="003F38E7"/>
    <w:rsid w:val="003F3CCD"/>
    <w:rsid w:val="003F4163"/>
    <w:rsid w:val="003F4177"/>
    <w:rsid w:val="003F44D1"/>
    <w:rsid w:val="003F45C3"/>
    <w:rsid w:val="003F4719"/>
    <w:rsid w:val="003F4D9D"/>
    <w:rsid w:val="003F4E48"/>
    <w:rsid w:val="003F4F2A"/>
    <w:rsid w:val="003F5065"/>
    <w:rsid w:val="003F50D1"/>
    <w:rsid w:val="003F520B"/>
    <w:rsid w:val="003F54B7"/>
    <w:rsid w:val="003F5506"/>
    <w:rsid w:val="003F5AF4"/>
    <w:rsid w:val="003F5D3D"/>
    <w:rsid w:val="003F62C4"/>
    <w:rsid w:val="003F63A3"/>
    <w:rsid w:val="003F6CE3"/>
    <w:rsid w:val="003F7008"/>
    <w:rsid w:val="003F78F9"/>
    <w:rsid w:val="003F7CC0"/>
    <w:rsid w:val="00400226"/>
    <w:rsid w:val="004005F4"/>
    <w:rsid w:val="0040068C"/>
    <w:rsid w:val="00400E84"/>
    <w:rsid w:val="00401A07"/>
    <w:rsid w:val="00401AE6"/>
    <w:rsid w:val="00401EA9"/>
    <w:rsid w:val="0040233B"/>
    <w:rsid w:val="00402658"/>
    <w:rsid w:val="00402A0A"/>
    <w:rsid w:val="00402A0E"/>
    <w:rsid w:val="00402A24"/>
    <w:rsid w:val="00402CE0"/>
    <w:rsid w:val="00402D4D"/>
    <w:rsid w:val="00403014"/>
    <w:rsid w:val="004031FB"/>
    <w:rsid w:val="004037D1"/>
    <w:rsid w:val="00403B11"/>
    <w:rsid w:val="00403CBA"/>
    <w:rsid w:val="00404228"/>
    <w:rsid w:val="0040424A"/>
    <w:rsid w:val="004048E2"/>
    <w:rsid w:val="00404BCD"/>
    <w:rsid w:val="00404EA8"/>
    <w:rsid w:val="00405E53"/>
    <w:rsid w:val="004060A3"/>
    <w:rsid w:val="00406218"/>
    <w:rsid w:val="00406225"/>
    <w:rsid w:val="00406AE2"/>
    <w:rsid w:val="00407101"/>
    <w:rsid w:val="00407452"/>
    <w:rsid w:val="0040746F"/>
    <w:rsid w:val="00407A0E"/>
    <w:rsid w:val="004100D8"/>
    <w:rsid w:val="00410211"/>
    <w:rsid w:val="0041022B"/>
    <w:rsid w:val="004102DB"/>
    <w:rsid w:val="004108CB"/>
    <w:rsid w:val="00410B1E"/>
    <w:rsid w:val="00410DE0"/>
    <w:rsid w:val="00411075"/>
    <w:rsid w:val="0041118E"/>
    <w:rsid w:val="004111E8"/>
    <w:rsid w:val="00411402"/>
    <w:rsid w:val="00411D74"/>
    <w:rsid w:val="00412306"/>
    <w:rsid w:val="004128BC"/>
    <w:rsid w:val="00412A23"/>
    <w:rsid w:val="00412D9F"/>
    <w:rsid w:val="0041461E"/>
    <w:rsid w:val="00414C71"/>
    <w:rsid w:val="00414F2C"/>
    <w:rsid w:val="0041516B"/>
    <w:rsid w:val="00415C25"/>
    <w:rsid w:val="00415E8F"/>
    <w:rsid w:val="0041608A"/>
    <w:rsid w:val="00416145"/>
    <w:rsid w:val="004165AE"/>
    <w:rsid w:val="004169C1"/>
    <w:rsid w:val="00416A30"/>
    <w:rsid w:val="00416C51"/>
    <w:rsid w:val="00416D5E"/>
    <w:rsid w:val="00416DDD"/>
    <w:rsid w:val="0041717D"/>
    <w:rsid w:val="004171EE"/>
    <w:rsid w:val="00417625"/>
    <w:rsid w:val="00417DB1"/>
    <w:rsid w:val="0042009E"/>
    <w:rsid w:val="00420181"/>
    <w:rsid w:val="0042018D"/>
    <w:rsid w:val="0042023F"/>
    <w:rsid w:val="0042048C"/>
    <w:rsid w:val="00420874"/>
    <w:rsid w:val="00420973"/>
    <w:rsid w:val="00420C08"/>
    <w:rsid w:val="00420C09"/>
    <w:rsid w:val="00420DCE"/>
    <w:rsid w:val="00420E0F"/>
    <w:rsid w:val="0042136F"/>
    <w:rsid w:val="004214AF"/>
    <w:rsid w:val="004214F8"/>
    <w:rsid w:val="004214FE"/>
    <w:rsid w:val="0042179E"/>
    <w:rsid w:val="00421B3C"/>
    <w:rsid w:val="00421DF4"/>
    <w:rsid w:val="004221EC"/>
    <w:rsid w:val="00422850"/>
    <w:rsid w:val="004228DF"/>
    <w:rsid w:val="0042295E"/>
    <w:rsid w:val="00422FEF"/>
    <w:rsid w:val="004231C6"/>
    <w:rsid w:val="00423467"/>
    <w:rsid w:val="004234C0"/>
    <w:rsid w:val="0042356F"/>
    <w:rsid w:val="00423775"/>
    <w:rsid w:val="00423924"/>
    <w:rsid w:val="004239BE"/>
    <w:rsid w:val="00423AC6"/>
    <w:rsid w:val="00423EAF"/>
    <w:rsid w:val="00423EFE"/>
    <w:rsid w:val="00424033"/>
    <w:rsid w:val="004240F2"/>
    <w:rsid w:val="004242A0"/>
    <w:rsid w:val="004242AA"/>
    <w:rsid w:val="00424365"/>
    <w:rsid w:val="004246CD"/>
    <w:rsid w:val="00424AD6"/>
    <w:rsid w:val="00425109"/>
    <w:rsid w:val="004256B7"/>
    <w:rsid w:val="00425862"/>
    <w:rsid w:val="004259F1"/>
    <w:rsid w:val="00425AC8"/>
    <w:rsid w:val="00425DFE"/>
    <w:rsid w:val="00426431"/>
    <w:rsid w:val="00426593"/>
    <w:rsid w:val="00426736"/>
    <w:rsid w:val="00426773"/>
    <w:rsid w:val="0042683A"/>
    <w:rsid w:val="00426E68"/>
    <w:rsid w:val="00426E88"/>
    <w:rsid w:val="00427139"/>
    <w:rsid w:val="0042783F"/>
    <w:rsid w:val="00427858"/>
    <w:rsid w:val="00427AB2"/>
    <w:rsid w:val="00427C32"/>
    <w:rsid w:val="00427FF6"/>
    <w:rsid w:val="00430695"/>
    <w:rsid w:val="00430697"/>
    <w:rsid w:val="00430EBA"/>
    <w:rsid w:val="00430FDB"/>
    <w:rsid w:val="00431462"/>
    <w:rsid w:val="004318E7"/>
    <w:rsid w:val="00431FCC"/>
    <w:rsid w:val="00432186"/>
    <w:rsid w:val="00432299"/>
    <w:rsid w:val="004322BD"/>
    <w:rsid w:val="00432B6B"/>
    <w:rsid w:val="0043343D"/>
    <w:rsid w:val="004335CD"/>
    <w:rsid w:val="00433889"/>
    <w:rsid w:val="00433E98"/>
    <w:rsid w:val="00434148"/>
    <w:rsid w:val="00434B1F"/>
    <w:rsid w:val="00434CF0"/>
    <w:rsid w:val="00435159"/>
    <w:rsid w:val="00435214"/>
    <w:rsid w:val="004352CE"/>
    <w:rsid w:val="004353A6"/>
    <w:rsid w:val="0043552B"/>
    <w:rsid w:val="00435BA7"/>
    <w:rsid w:val="004361DD"/>
    <w:rsid w:val="004361DE"/>
    <w:rsid w:val="00436539"/>
    <w:rsid w:val="00436636"/>
    <w:rsid w:val="004370FF"/>
    <w:rsid w:val="00437A4F"/>
    <w:rsid w:val="00437C73"/>
    <w:rsid w:val="00437D6A"/>
    <w:rsid w:val="00437FBE"/>
    <w:rsid w:val="00440140"/>
    <w:rsid w:val="004405AC"/>
    <w:rsid w:val="00440A1F"/>
    <w:rsid w:val="00440AFF"/>
    <w:rsid w:val="00441130"/>
    <w:rsid w:val="004411F1"/>
    <w:rsid w:val="004413D5"/>
    <w:rsid w:val="0044193B"/>
    <w:rsid w:val="00441A32"/>
    <w:rsid w:val="00442BC4"/>
    <w:rsid w:val="00442C37"/>
    <w:rsid w:val="00442D17"/>
    <w:rsid w:val="00442FB4"/>
    <w:rsid w:val="00443535"/>
    <w:rsid w:val="004436E5"/>
    <w:rsid w:val="00443B11"/>
    <w:rsid w:val="00443C27"/>
    <w:rsid w:val="0044402F"/>
    <w:rsid w:val="00444177"/>
    <w:rsid w:val="00444320"/>
    <w:rsid w:val="00444433"/>
    <w:rsid w:val="0044521D"/>
    <w:rsid w:val="0044524D"/>
    <w:rsid w:val="0044535C"/>
    <w:rsid w:val="004456CA"/>
    <w:rsid w:val="004457B2"/>
    <w:rsid w:val="004459A9"/>
    <w:rsid w:val="004464BC"/>
    <w:rsid w:val="00446710"/>
    <w:rsid w:val="00446758"/>
    <w:rsid w:val="00446AA9"/>
    <w:rsid w:val="0044703E"/>
    <w:rsid w:val="004470C5"/>
    <w:rsid w:val="00447837"/>
    <w:rsid w:val="00447ED9"/>
    <w:rsid w:val="00447F81"/>
    <w:rsid w:val="004501E4"/>
    <w:rsid w:val="004504C4"/>
    <w:rsid w:val="004504DD"/>
    <w:rsid w:val="00450559"/>
    <w:rsid w:val="004507B8"/>
    <w:rsid w:val="00450C7C"/>
    <w:rsid w:val="00451400"/>
    <w:rsid w:val="00451606"/>
    <w:rsid w:val="00451987"/>
    <w:rsid w:val="00451C87"/>
    <w:rsid w:val="00452018"/>
    <w:rsid w:val="00452101"/>
    <w:rsid w:val="004528AA"/>
    <w:rsid w:val="004528E4"/>
    <w:rsid w:val="00452F62"/>
    <w:rsid w:val="0045314D"/>
    <w:rsid w:val="0045319D"/>
    <w:rsid w:val="0045355C"/>
    <w:rsid w:val="00453861"/>
    <w:rsid w:val="00453DD4"/>
    <w:rsid w:val="0045455F"/>
    <w:rsid w:val="00454BFD"/>
    <w:rsid w:val="00454D67"/>
    <w:rsid w:val="00455057"/>
    <w:rsid w:val="004552A4"/>
    <w:rsid w:val="00455750"/>
    <w:rsid w:val="00455934"/>
    <w:rsid w:val="004559BA"/>
    <w:rsid w:val="00455A94"/>
    <w:rsid w:val="00455EE6"/>
    <w:rsid w:val="004569A3"/>
    <w:rsid w:val="004569F9"/>
    <w:rsid w:val="00457093"/>
    <w:rsid w:val="004570C1"/>
    <w:rsid w:val="00457190"/>
    <w:rsid w:val="004577C5"/>
    <w:rsid w:val="004602AD"/>
    <w:rsid w:val="004605E2"/>
    <w:rsid w:val="00460672"/>
    <w:rsid w:val="00460BB5"/>
    <w:rsid w:val="0046185D"/>
    <w:rsid w:val="00461E49"/>
    <w:rsid w:val="00461F23"/>
    <w:rsid w:val="004622C3"/>
    <w:rsid w:val="00462451"/>
    <w:rsid w:val="004624F6"/>
    <w:rsid w:val="00462699"/>
    <w:rsid w:val="004629F8"/>
    <w:rsid w:val="0046307A"/>
    <w:rsid w:val="004635BC"/>
    <w:rsid w:val="0046380D"/>
    <w:rsid w:val="00463A5C"/>
    <w:rsid w:val="00463C1B"/>
    <w:rsid w:val="00464231"/>
    <w:rsid w:val="00464345"/>
    <w:rsid w:val="004645A6"/>
    <w:rsid w:val="0046460B"/>
    <w:rsid w:val="00464A73"/>
    <w:rsid w:val="00464D9B"/>
    <w:rsid w:val="00464E5F"/>
    <w:rsid w:val="0046505B"/>
    <w:rsid w:val="0046569B"/>
    <w:rsid w:val="00466312"/>
    <w:rsid w:val="00466612"/>
    <w:rsid w:val="004666A6"/>
    <w:rsid w:val="0046696F"/>
    <w:rsid w:val="00466B3B"/>
    <w:rsid w:val="00466DA1"/>
    <w:rsid w:val="00466DF9"/>
    <w:rsid w:val="004670F8"/>
    <w:rsid w:val="00467806"/>
    <w:rsid w:val="00467CAA"/>
    <w:rsid w:val="0047003D"/>
    <w:rsid w:val="00470193"/>
    <w:rsid w:val="0047030E"/>
    <w:rsid w:val="0047091A"/>
    <w:rsid w:val="00470AFB"/>
    <w:rsid w:val="00471088"/>
    <w:rsid w:val="00471641"/>
    <w:rsid w:val="004716F5"/>
    <w:rsid w:val="00471726"/>
    <w:rsid w:val="00471779"/>
    <w:rsid w:val="00471BE2"/>
    <w:rsid w:val="0047224B"/>
    <w:rsid w:val="0047237B"/>
    <w:rsid w:val="00472471"/>
    <w:rsid w:val="00472BE0"/>
    <w:rsid w:val="00472CD7"/>
    <w:rsid w:val="00473121"/>
    <w:rsid w:val="0047315A"/>
    <w:rsid w:val="00473367"/>
    <w:rsid w:val="004738E4"/>
    <w:rsid w:val="00473E2E"/>
    <w:rsid w:val="00473FA9"/>
    <w:rsid w:val="004746C3"/>
    <w:rsid w:val="00474E78"/>
    <w:rsid w:val="004750DA"/>
    <w:rsid w:val="0047524C"/>
    <w:rsid w:val="00475575"/>
    <w:rsid w:val="00475728"/>
    <w:rsid w:val="0047574F"/>
    <w:rsid w:val="0047613A"/>
    <w:rsid w:val="00476962"/>
    <w:rsid w:val="00476996"/>
    <w:rsid w:val="00476F07"/>
    <w:rsid w:val="00477402"/>
    <w:rsid w:val="004776E4"/>
    <w:rsid w:val="004778EE"/>
    <w:rsid w:val="00477B76"/>
    <w:rsid w:val="00477C7A"/>
    <w:rsid w:val="00477F9C"/>
    <w:rsid w:val="00480225"/>
    <w:rsid w:val="00480715"/>
    <w:rsid w:val="00480831"/>
    <w:rsid w:val="00480C7D"/>
    <w:rsid w:val="00480CD1"/>
    <w:rsid w:val="00481369"/>
    <w:rsid w:val="0048145F"/>
    <w:rsid w:val="004816B3"/>
    <w:rsid w:val="004817F0"/>
    <w:rsid w:val="00481D70"/>
    <w:rsid w:val="00481E9F"/>
    <w:rsid w:val="00482310"/>
    <w:rsid w:val="0048239F"/>
    <w:rsid w:val="00482431"/>
    <w:rsid w:val="00482553"/>
    <w:rsid w:val="004828B5"/>
    <w:rsid w:val="004828CE"/>
    <w:rsid w:val="00482986"/>
    <w:rsid w:val="00482B54"/>
    <w:rsid w:val="00482EF5"/>
    <w:rsid w:val="0048318C"/>
    <w:rsid w:val="0048326E"/>
    <w:rsid w:val="00483412"/>
    <w:rsid w:val="004835F8"/>
    <w:rsid w:val="0048370A"/>
    <w:rsid w:val="00483D6C"/>
    <w:rsid w:val="00483F00"/>
    <w:rsid w:val="0048432B"/>
    <w:rsid w:val="0048447E"/>
    <w:rsid w:val="00484973"/>
    <w:rsid w:val="00484C57"/>
    <w:rsid w:val="00485354"/>
    <w:rsid w:val="004856FF"/>
    <w:rsid w:val="00485851"/>
    <w:rsid w:val="00485987"/>
    <w:rsid w:val="00485B11"/>
    <w:rsid w:val="00485BCF"/>
    <w:rsid w:val="00485FFD"/>
    <w:rsid w:val="004863DB"/>
    <w:rsid w:val="00486586"/>
    <w:rsid w:val="0048666F"/>
    <w:rsid w:val="004867EC"/>
    <w:rsid w:val="00486CC0"/>
    <w:rsid w:val="00486DB8"/>
    <w:rsid w:val="00487641"/>
    <w:rsid w:val="00487A07"/>
    <w:rsid w:val="00487A44"/>
    <w:rsid w:val="00490050"/>
    <w:rsid w:val="004906BD"/>
    <w:rsid w:val="00490D41"/>
    <w:rsid w:val="00490D98"/>
    <w:rsid w:val="004912D1"/>
    <w:rsid w:val="004912F6"/>
    <w:rsid w:val="00491412"/>
    <w:rsid w:val="00491601"/>
    <w:rsid w:val="00491850"/>
    <w:rsid w:val="0049189A"/>
    <w:rsid w:val="00491ABD"/>
    <w:rsid w:val="00492113"/>
    <w:rsid w:val="004929D1"/>
    <w:rsid w:val="00492B24"/>
    <w:rsid w:val="00492EBE"/>
    <w:rsid w:val="00492FA0"/>
    <w:rsid w:val="00493060"/>
    <w:rsid w:val="00493569"/>
    <w:rsid w:val="00493E9F"/>
    <w:rsid w:val="00494202"/>
    <w:rsid w:val="00494286"/>
    <w:rsid w:val="004942BC"/>
    <w:rsid w:val="004943FB"/>
    <w:rsid w:val="004946E3"/>
    <w:rsid w:val="00494B18"/>
    <w:rsid w:val="00494D7E"/>
    <w:rsid w:val="0049595F"/>
    <w:rsid w:val="00495A5F"/>
    <w:rsid w:val="00495E35"/>
    <w:rsid w:val="00495F9C"/>
    <w:rsid w:val="00495FAE"/>
    <w:rsid w:val="004962A9"/>
    <w:rsid w:val="004967B1"/>
    <w:rsid w:val="00496A6C"/>
    <w:rsid w:val="00496E7C"/>
    <w:rsid w:val="00496ECD"/>
    <w:rsid w:val="00497667"/>
    <w:rsid w:val="004976C3"/>
    <w:rsid w:val="004977CC"/>
    <w:rsid w:val="004978D6"/>
    <w:rsid w:val="00498216"/>
    <w:rsid w:val="004A0140"/>
    <w:rsid w:val="004A0290"/>
    <w:rsid w:val="004A073E"/>
    <w:rsid w:val="004A0D57"/>
    <w:rsid w:val="004A112F"/>
    <w:rsid w:val="004A15B9"/>
    <w:rsid w:val="004A1683"/>
    <w:rsid w:val="004A16D8"/>
    <w:rsid w:val="004A1702"/>
    <w:rsid w:val="004A1795"/>
    <w:rsid w:val="004A1806"/>
    <w:rsid w:val="004A18EA"/>
    <w:rsid w:val="004A1BAB"/>
    <w:rsid w:val="004A1E23"/>
    <w:rsid w:val="004A24B4"/>
    <w:rsid w:val="004A293A"/>
    <w:rsid w:val="004A2A7D"/>
    <w:rsid w:val="004A2CB5"/>
    <w:rsid w:val="004A30D9"/>
    <w:rsid w:val="004A324B"/>
    <w:rsid w:val="004A3B37"/>
    <w:rsid w:val="004A3C06"/>
    <w:rsid w:val="004A3D75"/>
    <w:rsid w:val="004A4248"/>
    <w:rsid w:val="004A4479"/>
    <w:rsid w:val="004A461A"/>
    <w:rsid w:val="004A4940"/>
    <w:rsid w:val="004A49C5"/>
    <w:rsid w:val="004A4A07"/>
    <w:rsid w:val="004A4C5A"/>
    <w:rsid w:val="004A4D3E"/>
    <w:rsid w:val="004A4DFB"/>
    <w:rsid w:val="004A4E54"/>
    <w:rsid w:val="004A4ED9"/>
    <w:rsid w:val="004A502E"/>
    <w:rsid w:val="004A58C7"/>
    <w:rsid w:val="004A5A80"/>
    <w:rsid w:val="004A5BFD"/>
    <w:rsid w:val="004A5FEC"/>
    <w:rsid w:val="004A5FFB"/>
    <w:rsid w:val="004A6102"/>
    <w:rsid w:val="004A6270"/>
    <w:rsid w:val="004A6820"/>
    <w:rsid w:val="004A6B99"/>
    <w:rsid w:val="004A6CC0"/>
    <w:rsid w:val="004A736A"/>
    <w:rsid w:val="004A761C"/>
    <w:rsid w:val="004A78F5"/>
    <w:rsid w:val="004A7CF4"/>
    <w:rsid w:val="004A7D4D"/>
    <w:rsid w:val="004B01F6"/>
    <w:rsid w:val="004B0383"/>
    <w:rsid w:val="004B0A9D"/>
    <w:rsid w:val="004B0ACB"/>
    <w:rsid w:val="004B0C41"/>
    <w:rsid w:val="004B0DA0"/>
    <w:rsid w:val="004B0F26"/>
    <w:rsid w:val="004B181D"/>
    <w:rsid w:val="004B1E48"/>
    <w:rsid w:val="004B2014"/>
    <w:rsid w:val="004B221E"/>
    <w:rsid w:val="004B25AA"/>
    <w:rsid w:val="004B28E2"/>
    <w:rsid w:val="004B2951"/>
    <w:rsid w:val="004B29C7"/>
    <w:rsid w:val="004B2BE2"/>
    <w:rsid w:val="004B2C36"/>
    <w:rsid w:val="004B2C6D"/>
    <w:rsid w:val="004B31E0"/>
    <w:rsid w:val="004B3625"/>
    <w:rsid w:val="004B3782"/>
    <w:rsid w:val="004B3909"/>
    <w:rsid w:val="004B39AB"/>
    <w:rsid w:val="004B39CD"/>
    <w:rsid w:val="004B3BF8"/>
    <w:rsid w:val="004B3DBC"/>
    <w:rsid w:val="004B3E2A"/>
    <w:rsid w:val="004B450D"/>
    <w:rsid w:val="004B4B49"/>
    <w:rsid w:val="004B4FB8"/>
    <w:rsid w:val="004B530C"/>
    <w:rsid w:val="004B55AF"/>
    <w:rsid w:val="004B5630"/>
    <w:rsid w:val="004B5641"/>
    <w:rsid w:val="004B602A"/>
    <w:rsid w:val="004B6780"/>
    <w:rsid w:val="004B68FA"/>
    <w:rsid w:val="004B6B39"/>
    <w:rsid w:val="004B6E71"/>
    <w:rsid w:val="004B7133"/>
    <w:rsid w:val="004B7AAB"/>
    <w:rsid w:val="004B7F60"/>
    <w:rsid w:val="004C0277"/>
    <w:rsid w:val="004C06D2"/>
    <w:rsid w:val="004C081D"/>
    <w:rsid w:val="004C0B8D"/>
    <w:rsid w:val="004C0D41"/>
    <w:rsid w:val="004C12AA"/>
    <w:rsid w:val="004C12E2"/>
    <w:rsid w:val="004C1938"/>
    <w:rsid w:val="004C1AE9"/>
    <w:rsid w:val="004C1B7A"/>
    <w:rsid w:val="004C1BE7"/>
    <w:rsid w:val="004C1E6C"/>
    <w:rsid w:val="004C1F3A"/>
    <w:rsid w:val="004C297D"/>
    <w:rsid w:val="004C2A57"/>
    <w:rsid w:val="004C2ADB"/>
    <w:rsid w:val="004C2BFB"/>
    <w:rsid w:val="004C2E8D"/>
    <w:rsid w:val="004C31AD"/>
    <w:rsid w:val="004C40A1"/>
    <w:rsid w:val="004C4144"/>
    <w:rsid w:val="004C414A"/>
    <w:rsid w:val="004C4188"/>
    <w:rsid w:val="004C448B"/>
    <w:rsid w:val="004C44D6"/>
    <w:rsid w:val="004C48CF"/>
    <w:rsid w:val="004C49A4"/>
    <w:rsid w:val="004C524A"/>
    <w:rsid w:val="004C52FD"/>
    <w:rsid w:val="004C5597"/>
    <w:rsid w:val="004C6121"/>
    <w:rsid w:val="004C650C"/>
    <w:rsid w:val="004C677D"/>
    <w:rsid w:val="004C6A6B"/>
    <w:rsid w:val="004C6D67"/>
    <w:rsid w:val="004C6D96"/>
    <w:rsid w:val="004C741D"/>
    <w:rsid w:val="004C75BB"/>
    <w:rsid w:val="004C7673"/>
    <w:rsid w:val="004C7EB2"/>
    <w:rsid w:val="004C7F92"/>
    <w:rsid w:val="004D0310"/>
    <w:rsid w:val="004D03B0"/>
    <w:rsid w:val="004D0CC7"/>
    <w:rsid w:val="004D0DE2"/>
    <w:rsid w:val="004D0FF9"/>
    <w:rsid w:val="004D102B"/>
    <w:rsid w:val="004D11D1"/>
    <w:rsid w:val="004D1747"/>
    <w:rsid w:val="004D195F"/>
    <w:rsid w:val="004D1ED2"/>
    <w:rsid w:val="004D24F7"/>
    <w:rsid w:val="004D2831"/>
    <w:rsid w:val="004D284B"/>
    <w:rsid w:val="004D299B"/>
    <w:rsid w:val="004D2EC7"/>
    <w:rsid w:val="004D2F26"/>
    <w:rsid w:val="004D3251"/>
    <w:rsid w:val="004D339E"/>
    <w:rsid w:val="004D33D0"/>
    <w:rsid w:val="004D378D"/>
    <w:rsid w:val="004D3821"/>
    <w:rsid w:val="004D3AF3"/>
    <w:rsid w:val="004D3FF9"/>
    <w:rsid w:val="004D40CC"/>
    <w:rsid w:val="004D40E4"/>
    <w:rsid w:val="004D41A3"/>
    <w:rsid w:val="004D4367"/>
    <w:rsid w:val="004D4656"/>
    <w:rsid w:val="004D4703"/>
    <w:rsid w:val="004D496D"/>
    <w:rsid w:val="004D4DA3"/>
    <w:rsid w:val="004D4E2A"/>
    <w:rsid w:val="004D4F4F"/>
    <w:rsid w:val="004D5306"/>
    <w:rsid w:val="004D5424"/>
    <w:rsid w:val="004D5B4F"/>
    <w:rsid w:val="004D5E44"/>
    <w:rsid w:val="004D6227"/>
    <w:rsid w:val="004D6990"/>
    <w:rsid w:val="004D6E38"/>
    <w:rsid w:val="004D6F3D"/>
    <w:rsid w:val="004D7124"/>
    <w:rsid w:val="004D732E"/>
    <w:rsid w:val="004D7A7C"/>
    <w:rsid w:val="004D7B39"/>
    <w:rsid w:val="004E00FC"/>
    <w:rsid w:val="004E022D"/>
    <w:rsid w:val="004E0233"/>
    <w:rsid w:val="004E06E4"/>
    <w:rsid w:val="004E076B"/>
    <w:rsid w:val="004E0D7A"/>
    <w:rsid w:val="004E0E40"/>
    <w:rsid w:val="004E104B"/>
    <w:rsid w:val="004E1645"/>
    <w:rsid w:val="004E178D"/>
    <w:rsid w:val="004E19B4"/>
    <w:rsid w:val="004E1C4E"/>
    <w:rsid w:val="004E1D43"/>
    <w:rsid w:val="004E203C"/>
    <w:rsid w:val="004E2131"/>
    <w:rsid w:val="004E2431"/>
    <w:rsid w:val="004E24A9"/>
    <w:rsid w:val="004E3A38"/>
    <w:rsid w:val="004E3DBE"/>
    <w:rsid w:val="004E41FE"/>
    <w:rsid w:val="004E42A5"/>
    <w:rsid w:val="004E458F"/>
    <w:rsid w:val="004E4813"/>
    <w:rsid w:val="004E4BD9"/>
    <w:rsid w:val="004E546A"/>
    <w:rsid w:val="004E59FB"/>
    <w:rsid w:val="004E5A9B"/>
    <w:rsid w:val="004E5DF5"/>
    <w:rsid w:val="004E5E76"/>
    <w:rsid w:val="004E5E97"/>
    <w:rsid w:val="004E64EE"/>
    <w:rsid w:val="004E655D"/>
    <w:rsid w:val="004E6653"/>
    <w:rsid w:val="004E6675"/>
    <w:rsid w:val="004E676F"/>
    <w:rsid w:val="004E694F"/>
    <w:rsid w:val="004E697F"/>
    <w:rsid w:val="004E698E"/>
    <w:rsid w:val="004E698F"/>
    <w:rsid w:val="004E6B65"/>
    <w:rsid w:val="004E70E4"/>
    <w:rsid w:val="004E73D4"/>
    <w:rsid w:val="004E7570"/>
    <w:rsid w:val="004E7A5E"/>
    <w:rsid w:val="004E7DF8"/>
    <w:rsid w:val="004E7F10"/>
    <w:rsid w:val="004F03BB"/>
    <w:rsid w:val="004F0A4B"/>
    <w:rsid w:val="004F0BC4"/>
    <w:rsid w:val="004F0D12"/>
    <w:rsid w:val="004F16A1"/>
    <w:rsid w:val="004F1AAB"/>
    <w:rsid w:val="004F1B51"/>
    <w:rsid w:val="004F1EF5"/>
    <w:rsid w:val="004F1FD2"/>
    <w:rsid w:val="004F259D"/>
    <w:rsid w:val="004F278C"/>
    <w:rsid w:val="004F2F56"/>
    <w:rsid w:val="004F340F"/>
    <w:rsid w:val="004F3431"/>
    <w:rsid w:val="004F346E"/>
    <w:rsid w:val="004F35B6"/>
    <w:rsid w:val="004F36AC"/>
    <w:rsid w:val="004F3B71"/>
    <w:rsid w:val="004F3CBB"/>
    <w:rsid w:val="004F3D36"/>
    <w:rsid w:val="004F3D60"/>
    <w:rsid w:val="004F42D7"/>
    <w:rsid w:val="004F43DC"/>
    <w:rsid w:val="004F4883"/>
    <w:rsid w:val="004F5100"/>
    <w:rsid w:val="004F5520"/>
    <w:rsid w:val="004F566D"/>
    <w:rsid w:val="004F599A"/>
    <w:rsid w:val="004F617D"/>
    <w:rsid w:val="004F62E4"/>
    <w:rsid w:val="004F6389"/>
    <w:rsid w:val="004F6485"/>
    <w:rsid w:val="004F6B98"/>
    <w:rsid w:val="004F6CD1"/>
    <w:rsid w:val="004F6D07"/>
    <w:rsid w:val="004F748F"/>
    <w:rsid w:val="004F7C3D"/>
    <w:rsid w:val="00500238"/>
    <w:rsid w:val="0050089A"/>
    <w:rsid w:val="00500CBB"/>
    <w:rsid w:val="00500E0C"/>
    <w:rsid w:val="00500FE6"/>
    <w:rsid w:val="00501076"/>
    <w:rsid w:val="00501201"/>
    <w:rsid w:val="00501280"/>
    <w:rsid w:val="00501512"/>
    <w:rsid w:val="005015F9"/>
    <w:rsid w:val="00501997"/>
    <w:rsid w:val="005019EF"/>
    <w:rsid w:val="00501C99"/>
    <w:rsid w:val="00501F13"/>
    <w:rsid w:val="0050271D"/>
    <w:rsid w:val="00502974"/>
    <w:rsid w:val="00502C61"/>
    <w:rsid w:val="005030B4"/>
    <w:rsid w:val="00503655"/>
    <w:rsid w:val="005037CC"/>
    <w:rsid w:val="0050395D"/>
    <w:rsid w:val="00503D84"/>
    <w:rsid w:val="00504097"/>
    <w:rsid w:val="00504138"/>
    <w:rsid w:val="00504164"/>
    <w:rsid w:val="005041D3"/>
    <w:rsid w:val="0050450C"/>
    <w:rsid w:val="00504746"/>
    <w:rsid w:val="00504856"/>
    <w:rsid w:val="00504A66"/>
    <w:rsid w:val="005055EB"/>
    <w:rsid w:val="00505750"/>
    <w:rsid w:val="00505E13"/>
    <w:rsid w:val="0050607F"/>
    <w:rsid w:val="00506702"/>
    <w:rsid w:val="005067EA"/>
    <w:rsid w:val="005068C4"/>
    <w:rsid w:val="00506A1D"/>
    <w:rsid w:val="00506D76"/>
    <w:rsid w:val="0050724C"/>
    <w:rsid w:val="005074A2"/>
    <w:rsid w:val="0050774D"/>
    <w:rsid w:val="00507B60"/>
    <w:rsid w:val="00507E26"/>
    <w:rsid w:val="0051048B"/>
    <w:rsid w:val="00510AE3"/>
    <w:rsid w:val="00510D7C"/>
    <w:rsid w:val="00510E82"/>
    <w:rsid w:val="0051236B"/>
    <w:rsid w:val="005124DD"/>
    <w:rsid w:val="0051281E"/>
    <w:rsid w:val="00512A63"/>
    <w:rsid w:val="00512C27"/>
    <w:rsid w:val="00512C2E"/>
    <w:rsid w:val="00512C63"/>
    <w:rsid w:val="00512E56"/>
    <w:rsid w:val="00513726"/>
    <w:rsid w:val="00513899"/>
    <w:rsid w:val="00513B02"/>
    <w:rsid w:val="00513C7E"/>
    <w:rsid w:val="00513F06"/>
    <w:rsid w:val="00513FB5"/>
    <w:rsid w:val="005140E9"/>
    <w:rsid w:val="005143C7"/>
    <w:rsid w:val="0051442C"/>
    <w:rsid w:val="00514720"/>
    <w:rsid w:val="00514923"/>
    <w:rsid w:val="00514F41"/>
    <w:rsid w:val="0051509A"/>
    <w:rsid w:val="00515361"/>
    <w:rsid w:val="00515485"/>
    <w:rsid w:val="005159F0"/>
    <w:rsid w:val="00515C89"/>
    <w:rsid w:val="00515D51"/>
    <w:rsid w:val="00515EB9"/>
    <w:rsid w:val="00516277"/>
    <w:rsid w:val="0051684C"/>
    <w:rsid w:val="00516AFE"/>
    <w:rsid w:val="00516DF4"/>
    <w:rsid w:val="00517507"/>
    <w:rsid w:val="0051751F"/>
    <w:rsid w:val="005175E2"/>
    <w:rsid w:val="0051767E"/>
    <w:rsid w:val="005177DE"/>
    <w:rsid w:val="00517849"/>
    <w:rsid w:val="00517FBC"/>
    <w:rsid w:val="005206BD"/>
    <w:rsid w:val="005206C5"/>
    <w:rsid w:val="0052076D"/>
    <w:rsid w:val="005207D7"/>
    <w:rsid w:val="005210D0"/>
    <w:rsid w:val="0052125F"/>
    <w:rsid w:val="00521566"/>
    <w:rsid w:val="00522779"/>
    <w:rsid w:val="00522A16"/>
    <w:rsid w:val="00522C21"/>
    <w:rsid w:val="00522CBB"/>
    <w:rsid w:val="00522E31"/>
    <w:rsid w:val="00523051"/>
    <w:rsid w:val="00523273"/>
    <w:rsid w:val="00523488"/>
    <w:rsid w:val="00523520"/>
    <w:rsid w:val="00523923"/>
    <w:rsid w:val="0052398A"/>
    <w:rsid w:val="00523B8B"/>
    <w:rsid w:val="00523C16"/>
    <w:rsid w:val="005248C0"/>
    <w:rsid w:val="005249D6"/>
    <w:rsid w:val="00524CFE"/>
    <w:rsid w:val="0052524C"/>
    <w:rsid w:val="00525277"/>
    <w:rsid w:val="005252F7"/>
    <w:rsid w:val="00525D1E"/>
    <w:rsid w:val="00525EEE"/>
    <w:rsid w:val="005262CF"/>
    <w:rsid w:val="0052635A"/>
    <w:rsid w:val="00526626"/>
    <w:rsid w:val="005266E3"/>
    <w:rsid w:val="0052677B"/>
    <w:rsid w:val="005268A4"/>
    <w:rsid w:val="00526A35"/>
    <w:rsid w:val="00527130"/>
    <w:rsid w:val="005271A8"/>
    <w:rsid w:val="00527265"/>
    <w:rsid w:val="005272FF"/>
    <w:rsid w:val="00527380"/>
    <w:rsid w:val="00527A19"/>
    <w:rsid w:val="00530309"/>
    <w:rsid w:val="005304D2"/>
    <w:rsid w:val="00530672"/>
    <w:rsid w:val="0053079D"/>
    <w:rsid w:val="00530907"/>
    <w:rsid w:val="00530B91"/>
    <w:rsid w:val="005315EA"/>
    <w:rsid w:val="00531AB8"/>
    <w:rsid w:val="00532348"/>
    <w:rsid w:val="005323C0"/>
    <w:rsid w:val="005323D3"/>
    <w:rsid w:val="00532574"/>
    <w:rsid w:val="0053268C"/>
    <w:rsid w:val="005327FB"/>
    <w:rsid w:val="00532DCA"/>
    <w:rsid w:val="00532F48"/>
    <w:rsid w:val="0053316B"/>
    <w:rsid w:val="0053317B"/>
    <w:rsid w:val="00533596"/>
    <w:rsid w:val="00533C53"/>
    <w:rsid w:val="00534107"/>
    <w:rsid w:val="0053420E"/>
    <w:rsid w:val="0053475F"/>
    <w:rsid w:val="005351F9"/>
    <w:rsid w:val="00535410"/>
    <w:rsid w:val="00535477"/>
    <w:rsid w:val="005360F7"/>
    <w:rsid w:val="00536AD1"/>
    <w:rsid w:val="00536C3C"/>
    <w:rsid w:val="005371DA"/>
    <w:rsid w:val="005378D8"/>
    <w:rsid w:val="00537981"/>
    <w:rsid w:val="00537B0B"/>
    <w:rsid w:val="00537B99"/>
    <w:rsid w:val="0054021D"/>
    <w:rsid w:val="00540321"/>
    <w:rsid w:val="005405D5"/>
    <w:rsid w:val="005406AE"/>
    <w:rsid w:val="00540804"/>
    <w:rsid w:val="005408EC"/>
    <w:rsid w:val="005409C8"/>
    <w:rsid w:val="00540D5E"/>
    <w:rsid w:val="00540E52"/>
    <w:rsid w:val="00540E90"/>
    <w:rsid w:val="00540EC3"/>
    <w:rsid w:val="00540F31"/>
    <w:rsid w:val="00541448"/>
    <w:rsid w:val="005414C8"/>
    <w:rsid w:val="0054193D"/>
    <w:rsid w:val="005420FA"/>
    <w:rsid w:val="0054233A"/>
    <w:rsid w:val="0054240C"/>
    <w:rsid w:val="00542652"/>
    <w:rsid w:val="00542B32"/>
    <w:rsid w:val="00542B63"/>
    <w:rsid w:val="0054325F"/>
    <w:rsid w:val="0054348C"/>
    <w:rsid w:val="0054351F"/>
    <w:rsid w:val="005437B9"/>
    <w:rsid w:val="0054394E"/>
    <w:rsid w:val="00543B79"/>
    <w:rsid w:val="00543FFD"/>
    <w:rsid w:val="0054404B"/>
    <w:rsid w:val="005444C2"/>
    <w:rsid w:val="00544958"/>
    <w:rsid w:val="00544C4D"/>
    <w:rsid w:val="0054517F"/>
    <w:rsid w:val="005452AD"/>
    <w:rsid w:val="00545BA8"/>
    <w:rsid w:val="00546054"/>
    <w:rsid w:val="00546076"/>
    <w:rsid w:val="0054629B"/>
    <w:rsid w:val="0054678A"/>
    <w:rsid w:val="00546A5D"/>
    <w:rsid w:val="00546C92"/>
    <w:rsid w:val="005478E6"/>
    <w:rsid w:val="00547BB0"/>
    <w:rsid w:val="00547C8B"/>
    <w:rsid w:val="005502DD"/>
    <w:rsid w:val="005506F0"/>
    <w:rsid w:val="00550F57"/>
    <w:rsid w:val="00551554"/>
    <w:rsid w:val="0055182B"/>
    <w:rsid w:val="005518CC"/>
    <w:rsid w:val="00551B2F"/>
    <w:rsid w:val="00551D8D"/>
    <w:rsid w:val="00551F30"/>
    <w:rsid w:val="00552181"/>
    <w:rsid w:val="005523DE"/>
    <w:rsid w:val="0055280C"/>
    <w:rsid w:val="0055282B"/>
    <w:rsid w:val="00552A41"/>
    <w:rsid w:val="00552B50"/>
    <w:rsid w:val="00552C15"/>
    <w:rsid w:val="00552D58"/>
    <w:rsid w:val="00552EBD"/>
    <w:rsid w:val="00553A96"/>
    <w:rsid w:val="00553F9B"/>
    <w:rsid w:val="00554034"/>
    <w:rsid w:val="00554260"/>
    <w:rsid w:val="005545DA"/>
    <w:rsid w:val="005545DC"/>
    <w:rsid w:val="00554D03"/>
    <w:rsid w:val="00555139"/>
    <w:rsid w:val="00555733"/>
    <w:rsid w:val="00555784"/>
    <w:rsid w:val="00555AA5"/>
    <w:rsid w:val="00555BB7"/>
    <w:rsid w:val="00556099"/>
    <w:rsid w:val="005567FF"/>
    <w:rsid w:val="00556893"/>
    <w:rsid w:val="00556BD2"/>
    <w:rsid w:val="0055774D"/>
    <w:rsid w:val="0055798D"/>
    <w:rsid w:val="00557A99"/>
    <w:rsid w:val="0056004F"/>
    <w:rsid w:val="005600D8"/>
    <w:rsid w:val="00560DDF"/>
    <w:rsid w:val="00561168"/>
    <w:rsid w:val="00561188"/>
    <w:rsid w:val="00561CF6"/>
    <w:rsid w:val="00562488"/>
    <w:rsid w:val="00562DD2"/>
    <w:rsid w:val="00563258"/>
    <w:rsid w:val="0056386A"/>
    <w:rsid w:val="00563A7C"/>
    <w:rsid w:val="00563FB9"/>
    <w:rsid w:val="005643E7"/>
    <w:rsid w:val="0056450C"/>
    <w:rsid w:val="00564934"/>
    <w:rsid w:val="0056496A"/>
    <w:rsid w:val="00564D93"/>
    <w:rsid w:val="00565013"/>
    <w:rsid w:val="005650D0"/>
    <w:rsid w:val="005652C3"/>
    <w:rsid w:val="005654AE"/>
    <w:rsid w:val="0056565A"/>
    <w:rsid w:val="00565BF3"/>
    <w:rsid w:val="00566A8B"/>
    <w:rsid w:val="00566D34"/>
    <w:rsid w:val="00566D81"/>
    <w:rsid w:val="00566DBF"/>
    <w:rsid w:val="00566F0F"/>
    <w:rsid w:val="00566F85"/>
    <w:rsid w:val="00567238"/>
    <w:rsid w:val="0056726A"/>
    <w:rsid w:val="00567301"/>
    <w:rsid w:val="00567A60"/>
    <w:rsid w:val="00570175"/>
    <w:rsid w:val="0057054B"/>
    <w:rsid w:val="005705BD"/>
    <w:rsid w:val="00570785"/>
    <w:rsid w:val="00570D12"/>
    <w:rsid w:val="00570EE9"/>
    <w:rsid w:val="00570EEC"/>
    <w:rsid w:val="005711F4"/>
    <w:rsid w:val="00571382"/>
    <w:rsid w:val="0057142D"/>
    <w:rsid w:val="00572075"/>
    <w:rsid w:val="00572197"/>
    <w:rsid w:val="00572336"/>
    <w:rsid w:val="00572467"/>
    <w:rsid w:val="0057248E"/>
    <w:rsid w:val="005725B6"/>
    <w:rsid w:val="0057267C"/>
    <w:rsid w:val="00572C60"/>
    <w:rsid w:val="005736E2"/>
    <w:rsid w:val="00573ACE"/>
    <w:rsid w:val="00573F8C"/>
    <w:rsid w:val="005741E1"/>
    <w:rsid w:val="005742D6"/>
    <w:rsid w:val="005747DA"/>
    <w:rsid w:val="005749AE"/>
    <w:rsid w:val="00574BEF"/>
    <w:rsid w:val="00574DD1"/>
    <w:rsid w:val="00574E84"/>
    <w:rsid w:val="00574F5B"/>
    <w:rsid w:val="00575359"/>
    <w:rsid w:val="005755F3"/>
    <w:rsid w:val="00575749"/>
    <w:rsid w:val="00575A62"/>
    <w:rsid w:val="00575B80"/>
    <w:rsid w:val="005763F9"/>
    <w:rsid w:val="00576707"/>
    <w:rsid w:val="00576719"/>
    <w:rsid w:val="0057677D"/>
    <w:rsid w:val="0057690C"/>
    <w:rsid w:val="00576E84"/>
    <w:rsid w:val="00577440"/>
    <w:rsid w:val="00577F72"/>
    <w:rsid w:val="0058000B"/>
    <w:rsid w:val="005804D1"/>
    <w:rsid w:val="0058060D"/>
    <w:rsid w:val="005808EB"/>
    <w:rsid w:val="00580A0A"/>
    <w:rsid w:val="00580D38"/>
    <w:rsid w:val="00580E7A"/>
    <w:rsid w:val="005811D7"/>
    <w:rsid w:val="005812AA"/>
    <w:rsid w:val="0058131C"/>
    <w:rsid w:val="00581BA9"/>
    <w:rsid w:val="0058202A"/>
    <w:rsid w:val="005820AF"/>
    <w:rsid w:val="005823A9"/>
    <w:rsid w:val="00582690"/>
    <w:rsid w:val="005826BF"/>
    <w:rsid w:val="00582931"/>
    <w:rsid w:val="00582A85"/>
    <w:rsid w:val="00582A8D"/>
    <w:rsid w:val="00582B1F"/>
    <w:rsid w:val="00582D8A"/>
    <w:rsid w:val="005830C3"/>
    <w:rsid w:val="005837C1"/>
    <w:rsid w:val="0058398E"/>
    <w:rsid w:val="00583DA4"/>
    <w:rsid w:val="00583FBD"/>
    <w:rsid w:val="005842AB"/>
    <w:rsid w:val="005844E3"/>
    <w:rsid w:val="00584803"/>
    <w:rsid w:val="00584AE6"/>
    <w:rsid w:val="00584DFB"/>
    <w:rsid w:val="00584F00"/>
    <w:rsid w:val="00584FC4"/>
    <w:rsid w:val="005851F4"/>
    <w:rsid w:val="00585489"/>
    <w:rsid w:val="0058561C"/>
    <w:rsid w:val="00585E0D"/>
    <w:rsid w:val="00585E47"/>
    <w:rsid w:val="005864AF"/>
    <w:rsid w:val="0058677E"/>
    <w:rsid w:val="00586C8A"/>
    <w:rsid w:val="00586EAD"/>
    <w:rsid w:val="0058772B"/>
    <w:rsid w:val="00587AFB"/>
    <w:rsid w:val="00587D9F"/>
    <w:rsid w:val="00587F4D"/>
    <w:rsid w:val="0059000A"/>
    <w:rsid w:val="00590493"/>
    <w:rsid w:val="00590657"/>
    <w:rsid w:val="005906E9"/>
    <w:rsid w:val="00590BBF"/>
    <w:rsid w:val="0059104B"/>
    <w:rsid w:val="005914D9"/>
    <w:rsid w:val="00591762"/>
    <w:rsid w:val="0059182F"/>
    <w:rsid w:val="005919CB"/>
    <w:rsid w:val="00591AFE"/>
    <w:rsid w:val="00591BBF"/>
    <w:rsid w:val="00591C11"/>
    <w:rsid w:val="00591EB3"/>
    <w:rsid w:val="005920CB"/>
    <w:rsid w:val="00592231"/>
    <w:rsid w:val="00592CDE"/>
    <w:rsid w:val="00592DB7"/>
    <w:rsid w:val="00592E62"/>
    <w:rsid w:val="00593116"/>
    <w:rsid w:val="0059351A"/>
    <w:rsid w:val="00593950"/>
    <w:rsid w:val="00593B81"/>
    <w:rsid w:val="00594315"/>
    <w:rsid w:val="0059469B"/>
    <w:rsid w:val="005947D4"/>
    <w:rsid w:val="00594AC9"/>
    <w:rsid w:val="005950F5"/>
    <w:rsid w:val="005951ED"/>
    <w:rsid w:val="00595216"/>
    <w:rsid w:val="00595252"/>
    <w:rsid w:val="005952A0"/>
    <w:rsid w:val="005953C6"/>
    <w:rsid w:val="00595528"/>
    <w:rsid w:val="00595621"/>
    <w:rsid w:val="00595682"/>
    <w:rsid w:val="00595923"/>
    <w:rsid w:val="00595954"/>
    <w:rsid w:val="00595F04"/>
    <w:rsid w:val="00595F71"/>
    <w:rsid w:val="0059602A"/>
    <w:rsid w:val="00596487"/>
    <w:rsid w:val="0059657C"/>
    <w:rsid w:val="005968F9"/>
    <w:rsid w:val="00596B79"/>
    <w:rsid w:val="005974E6"/>
    <w:rsid w:val="005976E9"/>
    <w:rsid w:val="005979AE"/>
    <w:rsid w:val="005A023C"/>
    <w:rsid w:val="005A051C"/>
    <w:rsid w:val="005A05B1"/>
    <w:rsid w:val="005A0AC8"/>
    <w:rsid w:val="005A115D"/>
    <w:rsid w:val="005A1885"/>
    <w:rsid w:val="005A1957"/>
    <w:rsid w:val="005A1C53"/>
    <w:rsid w:val="005A1CDA"/>
    <w:rsid w:val="005A1D21"/>
    <w:rsid w:val="005A21EC"/>
    <w:rsid w:val="005A22A3"/>
    <w:rsid w:val="005A2405"/>
    <w:rsid w:val="005A2437"/>
    <w:rsid w:val="005A2550"/>
    <w:rsid w:val="005A2579"/>
    <w:rsid w:val="005A2A16"/>
    <w:rsid w:val="005A2AC6"/>
    <w:rsid w:val="005A2EAE"/>
    <w:rsid w:val="005A371C"/>
    <w:rsid w:val="005A41B3"/>
    <w:rsid w:val="005A42AC"/>
    <w:rsid w:val="005A45DC"/>
    <w:rsid w:val="005A4E0B"/>
    <w:rsid w:val="005A515A"/>
    <w:rsid w:val="005A53A0"/>
    <w:rsid w:val="005A58B8"/>
    <w:rsid w:val="005A5C48"/>
    <w:rsid w:val="005A6802"/>
    <w:rsid w:val="005A6B54"/>
    <w:rsid w:val="005A6B83"/>
    <w:rsid w:val="005A6C24"/>
    <w:rsid w:val="005A7463"/>
    <w:rsid w:val="005A7688"/>
    <w:rsid w:val="005A7B45"/>
    <w:rsid w:val="005A7C9E"/>
    <w:rsid w:val="005A7F02"/>
    <w:rsid w:val="005A7F59"/>
    <w:rsid w:val="005B03FA"/>
    <w:rsid w:val="005B079C"/>
    <w:rsid w:val="005B0F44"/>
    <w:rsid w:val="005B140F"/>
    <w:rsid w:val="005B178A"/>
    <w:rsid w:val="005B1DCB"/>
    <w:rsid w:val="005B2589"/>
    <w:rsid w:val="005B25B4"/>
    <w:rsid w:val="005B2855"/>
    <w:rsid w:val="005B29A4"/>
    <w:rsid w:val="005B3384"/>
    <w:rsid w:val="005B370D"/>
    <w:rsid w:val="005B374C"/>
    <w:rsid w:val="005B3A59"/>
    <w:rsid w:val="005B3DCD"/>
    <w:rsid w:val="005B420D"/>
    <w:rsid w:val="005B4283"/>
    <w:rsid w:val="005B4639"/>
    <w:rsid w:val="005B5228"/>
    <w:rsid w:val="005B52C1"/>
    <w:rsid w:val="005B5364"/>
    <w:rsid w:val="005B54E6"/>
    <w:rsid w:val="005B55DA"/>
    <w:rsid w:val="005B5B79"/>
    <w:rsid w:val="005B63FA"/>
    <w:rsid w:val="005B6A6D"/>
    <w:rsid w:val="005B6FB8"/>
    <w:rsid w:val="005B7104"/>
    <w:rsid w:val="005B7697"/>
    <w:rsid w:val="005B77C6"/>
    <w:rsid w:val="005B7C22"/>
    <w:rsid w:val="005C0005"/>
    <w:rsid w:val="005C025D"/>
    <w:rsid w:val="005C06E4"/>
    <w:rsid w:val="005C0782"/>
    <w:rsid w:val="005C0B55"/>
    <w:rsid w:val="005C0C2C"/>
    <w:rsid w:val="005C11E2"/>
    <w:rsid w:val="005C13FB"/>
    <w:rsid w:val="005C15C5"/>
    <w:rsid w:val="005C1927"/>
    <w:rsid w:val="005C1DEE"/>
    <w:rsid w:val="005C1F1B"/>
    <w:rsid w:val="005C1F41"/>
    <w:rsid w:val="005C21A3"/>
    <w:rsid w:val="005C26C4"/>
    <w:rsid w:val="005C2757"/>
    <w:rsid w:val="005C2923"/>
    <w:rsid w:val="005C29CF"/>
    <w:rsid w:val="005C2B2E"/>
    <w:rsid w:val="005C2EA4"/>
    <w:rsid w:val="005C2FFB"/>
    <w:rsid w:val="005C35B7"/>
    <w:rsid w:val="005C3C21"/>
    <w:rsid w:val="005C3D90"/>
    <w:rsid w:val="005C3DF2"/>
    <w:rsid w:val="005C3E36"/>
    <w:rsid w:val="005C401A"/>
    <w:rsid w:val="005C41A6"/>
    <w:rsid w:val="005C48E3"/>
    <w:rsid w:val="005C4966"/>
    <w:rsid w:val="005C4AEB"/>
    <w:rsid w:val="005C4B20"/>
    <w:rsid w:val="005C4B71"/>
    <w:rsid w:val="005C4DB9"/>
    <w:rsid w:val="005C4EC3"/>
    <w:rsid w:val="005C50E9"/>
    <w:rsid w:val="005C53BB"/>
    <w:rsid w:val="005C596F"/>
    <w:rsid w:val="005C5D03"/>
    <w:rsid w:val="005C5D0E"/>
    <w:rsid w:val="005C5D64"/>
    <w:rsid w:val="005C5D91"/>
    <w:rsid w:val="005C5ED0"/>
    <w:rsid w:val="005C5FEC"/>
    <w:rsid w:val="005C62AC"/>
    <w:rsid w:val="005C6532"/>
    <w:rsid w:val="005C6697"/>
    <w:rsid w:val="005C67E9"/>
    <w:rsid w:val="005C6DF2"/>
    <w:rsid w:val="005C6EB2"/>
    <w:rsid w:val="005C6F90"/>
    <w:rsid w:val="005C6FEE"/>
    <w:rsid w:val="005C70B0"/>
    <w:rsid w:val="005C716D"/>
    <w:rsid w:val="005C71E1"/>
    <w:rsid w:val="005C77BF"/>
    <w:rsid w:val="005C789C"/>
    <w:rsid w:val="005C7AA9"/>
    <w:rsid w:val="005C7EFA"/>
    <w:rsid w:val="005C7FE5"/>
    <w:rsid w:val="005D0565"/>
    <w:rsid w:val="005D0F14"/>
    <w:rsid w:val="005D152D"/>
    <w:rsid w:val="005D216A"/>
    <w:rsid w:val="005D2CC4"/>
    <w:rsid w:val="005D35DC"/>
    <w:rsid w:val="005D391F"/>
    <w:rsid w:val="005D3B5A"/>
    <w:rsid w:val="005D3ED3"/>
    <w:rsid w:val="005D3F34"/>
    <w:rsid w:val="005D497E"/>
    <w:rsid w:val="005D4AD6"/>
    <w:rsid w:val="005D4ADE"/>
    <w:rsid w:val="005D5DE1"/>
    <w:rsid w:val="005D6280"/>
    <w:rsid w:val="005D717A"/>
    <w:rsid w:val="005D72A1"/>
    <w:rsid w:val="005D7397"/>
    <w:rsid w:val="005D7582"/>
    <w:rsid w:val="005D79F5"/>
    <w:rsid w:val="005DA94D"/>
    <w:rsid w:val="005E00FB"/>
    <w:rsid w:val="005E090B"/>
    <w:rsid w:val="005E0AC7"/>
    <w:rsid w:val="005E0B81"/>
    <w:rsid w:val="005E0C7E"/>
    <w:rsid w:val="005E0E22"/>
    <w:rsid w:val="005E0EB3"/>
    <w:rsid w:val="005E1380"/>
    <w:rsid w:val="005E170D"/>
    <w:rsid w:val="005E18CC"/>
    <w:rsid w:val="005E1CDA"/>
    <w:rsid w:val="005E1E72"/>
    <w:rsid w:val="005E20BE"/>
    <w:rsid w:val="005E225D"/>
    <w:rsid w:val="005E2396"/>
    <w:rsid w:val="005E29A6"/>
    <w:rsid w:val="005E2F80"/>
    <w:rsid w:val="005E3213"/>
    <w:rsid w:val="005E3A50"/>
    <w:rsid w:val="005E3BD5"/>
    <w:rsid w:val="005E3D6A"/>
    <w:rsid w:val="005E40EF"/>
    <w:rsid w:val="005E4876"/>
    <w:rsid w:val="005E4BB2"/>
    <w:rsid w:val="005E53D9"/>
    <w:rsid w:val="005E573C"/>
    <w:rsid w:val="005E6226"/>
    <w:rsid w:val="005E646D"/>
    <w:rsid w:val="005E655C"/>
    <w:rsid w:val="005E6D5B"/>
    <w:rsid w:val="005E7433"/>
    <w:rsid w:val="005E7AEB"/>
    <w:rsid w:val="005F00EA"/>
    <w:rsid w:val="005F0369"/>
    <w:rsid w:val="005F03CC"/>
    <w:rsid w:val="005F0420"/>
    <w:rsid w:val="005F06B9"/>
    <w:rsid w:val="005F0907"/>
    <w:rsid w:val="005F0D09"/>
    <w:rsid w:val="005F0EE8"/>
    <w:rsid w:val="005F0F4E"/>
    <w:rsid w:val="005F15F6"/>
    <w:rsid w:val="005F1AFA"/>
    <w:rsid w:val="005F1D89"/>
    <w:rsid w:val="005F2369"/>
    <w:rsid w:val="005F2667"/>
    <w:rsid w:val="005F269B"/>
    <w:rsid w:val="005F2769"/>
    <w:rsid w:val="005F2B22"/>
    <w:rsid w:val="005F2E17"/>
    <w:rsid w:val="005F2FBF"/>
    <w:rsid w:val="005F338B"/>
    <w:rsid w:val="005F350B"/>
    <w:rsid w:val="005F382D"/>
    <w:rsid w:val="005F3856"/>
    <w:rsid w:val="005F409D"/>
    <w:rsid w:val="005F4164"/>
    <w:rsid w:val="005F45F5"/>
    <w:rsid w:val="005F491B"/>
    <w:rsid w:val="005F49F0"/>
    <w:rsid w:val="005F4AF6"/>
    <w:rsid w:val="005F4C90"/>
    <w:rsid w:val="005F5275"/>
    <w:rsid w:val="005F541A"/>
    <w:rsid w:val="005F5515"/>
    <w:rsid w:val="005F5549"/>
    <w:rsid w:val="005F5863"/>
    <w:rsid w:val="005F5A96"/>
    <w:rsid w:val="005F5B76"/>
    <w:rsid w:val="005F6039"/>
    <w:rsid w:val="005F69B6"/>
    <w:rsid w:val="005F69F3"/>
    <w:rsid w:val="005F6CCC"/>
    <w:rsid w:val="005F6D76"/>
    <w:rsid w:val="005F6EDD"/>
    <w:rsid w:val="005F707A"/>
    <w:rsid w:val="005F72C5"/>
    <w:rsid w:val="005F772C"/>
    <w:rsid w:val="005F7796"/>
    <w:rsid w:val="005F7BED"/>
    <w:rsid w:val="005F7E3D"/>
    <w:rsid w:val="005F7FC8"/>
    <w:rsid w:val="00600FD6"/>
    <w:rsid w:val="0060123F"/>
    <w:rsid w:val="0060128D"/>
    <w:rsid w:val="00601301"/>
    <w:rsid w:val="00601A7F"/>
    <w:rsid w:val="00601ACA"/>
    <w:rsid w:val="00601BFF"/>
    <w:rsid w:val="00601C88"/>
    <w:rsid w:val="00601D93"/>
    <w:rsid w:val="00601E81"/>
    <w:rsid w:val="0060202F"/>
    <w:rsid w:val="00602170"/>
    <w:rsid w:val="00602256"/>
    <w:rsid w:val="00602332"/>
    <w:rsid w:val="006029C1"/>
    <w:rsid w:val="00602A1D"/>
    <w:rsid w:val="00602A40"/>
    <w:rsid w:val="00602E8F"/>
    <w:rsid w:val="00602F0A"/>
    <w:rsid w:val="006030A7"/>
    <w:rsid w:val="00603476"/>
    <w:rsid w:val="006035FE"/>
    <w:rsid w:val="00603D73"/>
    <w:rsid w:val="00603D93"/>
    <w:rsid w:val="00603EFF"/>
    <w:rsid w:val="00604144"/>
    <w:rsid w:val="00604202"/>
    <w:rsid w:val="00604464"/>
    <w:rsid w:val="00604675"/>
    <w:rsid w:val="006046BD"/>
    <w:rsid w:val="00604A13"/>
    <w:rsid w:val="00604ADE"/>
    <w:rsid w:val="00604E23"/>
    <w:rsid w:val="00605058"/>
    <w:rsid w:val="00605148"/>
    <w:rsid w:val="00605164"/>
    <w:rsid w:val="006052A0"/>
    <w:rsid w:val="0060565D"/>
    <w:rsid w:val="006058C3"/>
    <w:rsid w:val="00605B5D"/>
    <w:rsid w:val="00605B85"/>
    <w:rsid w:val="00605D4D"/>
    <w:rsid w:val="00605E9D"/>
    <w:rsid w:val="00606049"/>
    <w:rsid w:val="0060670C"/>
    <w:rsid w:val="006067E6"/>
    <w:rsid w:val="0060698E"/>
    <w:rsid w:val="006069BF"/>
    <w:rsid w:val="00606AE3"/>
    <w:rsid w:val="00606BC3"/>
    <w:rsid w:val="00606F3C"/>
    <w:rsid w:val="00606FCC"/>
    <w:rsid w:val="0060766D"/>
    <w:rsid w:val="006076AC"/>
    <w:rsid w:val="0060790C"/>
    <w:rsid w:val="00607DBD"/>
    <w:rsid w:val="00607E56"/>
    <w:rsid w:val="00607E7F"/>
    <w:rsid w:val="00610052"/>
    <w:rsid w:val="006104DC"/>
    <w:rsid w:val="00610859"/>
    <w:rsid w:val="00610998"/>
    <w:rsid w:val="00611F2B"/>
    <w:rsid w:val="00611FD6"/>
    <w:rsid w:val="006121DF"/>
    <w:rsid w:val="006121FF"/>
    <w:rsid w:val="006126BC"/>
    <w:rsid w:val="006127C0"/>
    <w:rsid w:val="006128A0"/>
    <w:rsid w:val="00612B49"/>
    <w:rsid w:val="00612C9F"/>
    <w:rsid w:val="00612D4B"/>
    <w:rsid w:val="00612DE8"/>
    <w:rsid w:val="00612E21"/>
    <w:rsid w:val="006130DA"/>
    <w:rsid w:val="00613246"/>
    <w:rsid w:val="0061341C"/>
    <w:rsid w:val="006135D4"/>
    <w:rsid w:val="006136EF"/>
    <w:rsid w:val="00613CE3"/>
    <w:rsid w:val="00613EA4"/>
    <w:rsid w:val="006141AF"/>
    <w:rsid w:val="0061426B"/>
    <w:rsid w:val="00614623"/>
    <w:rsid w:val="0061472C"/>
    <w:rsid w:val="00614CF3"/>
    <w:rsid w:val="00614D43"/>
    <w:rsid w:val="00614E56"/>
    <w:rsid w:val="00615DD6"/>
    <w:rsid w:val="00616645"/>
    <w:rsid w:val="00616678"/>
    <w:rsid w:val="006168D1"/>
    <w:rsid w:val="00617053"/>
    <w:rsid w:val="006173B2"/>
    <w:rsid w:val="006177A4"/>
    <w:rsid w:val="0061783E"/>
    <w:rsid w:val="00617D70"/>
    <w:rsid w:val="00617F9C"/>
    <w:rsid w:val="00620249"/>
    <w:rsid w:val="006203E9"/>
    <w:rsid w:val="00620A20"/>
    <w:rsid w:val="00621065"/>
    <w:rsid w:val="00621271"/>
    <w:rsid w:val="0062143B"/>
    <w:rsid w:val="00621576"/>
    <w:rsid w:val="0062164F"/>
    <w:rsid w:val="00621925"/>
    <w:rsid w:val="00621ABE"/>
    <w:rsid w:val="00622CB5"/>
    <w:rsid w:val="00622EC0"/>
    <w:rsid w:val="00622EE7"/>
    <w:rsid w:val="00623148"/>
    <w:rsid w:val="0062321E"/>
    <w:rsid w:val="00623D76"/>
    <w:rsid w:val="00623E0B"/>
    <w:rsid w:val="00623E26"/>
    <w:rsid w:val="006247DF"/>
    <w:rsid w:val="00624890"/>
    <w:rsid w:val="00624979"/>
    <w:rsid w:val="00624EED"/>
    <w:rsid w:val="0062525A"/>
    <w:rsid w:val="0062537A"/>
    <w:rsid w:val="00625CEB"/>
    <w:rsid w:val="00625EDA"/>
    <w:rsid w:val="006260C3"/>
    <w:rsid w:val="00626369"/>
    <w:rsid w:val="0062655C"/>
    <w:rsid w:val="00626AEE"/>
    <w:rsid w:val="00626BBB"/>
    <w:rsid w:val="00626E85"/>
    <w:rsid w:val="00627017"/>
    <w:rsid w:val="00627362"/>
    <w:rsid w:val="00627549"/>
    <w:rsid w:val="006278A4"/>
    <w:rsid w:val="00627B27"/>
    <w:rsid w:val="00627DAC"/>
    <w:rsid w:val="0063003F"/>
    <w:rsid w:val="00630067"/>
    <w:rsid w:val="00630863"/>
    <w:rsid w:val="00630EFE"/>
    <w:rsid w:val="006311E5"/>
    <w:rsid w:val="00631441"/>
    <w:rsid w:val="006319CF"/>
    <w:rsid w:val="00631EC7"/>
    <w:rsid w:val="00632515"/>
    <w:rsid w:val="00632A44"/>
    <w:rsid w:val="00632B3D"/>
    <w:rsid w:val="00632D12"/>
    <w:rsid w:val="00632D4D"/>
    <w:rsid w:val="00632D90"/>
    <w:rsid w:val="00632DD0"/>
    <w:rsid w:val="00632EB9"/>
    <w:rsid w:val="00633245"/>
    <w:rsid w:val="0063387F"/>
    <w:rsid w:val="006339F4"/>
    <w:rsid w:val="00633ED7"/>
    <w:rsid w:val="00634603"/>
    <w:rsid w:val="00634826"/>
    <w:rsid w:val="00634831"/>
    <w:rsid w:val="0063576B"/>
    <w:rsid w:val="0063594A"/>
    <w:rsid w:val="006359EE"/>
    <w:rsid w:val="00635BC7"/>
    <w:rsid w:val="006364E9"/>
    <w:rsid w:val="006368E2"/>
    <w:rsid w:val="006369C5"/>
    <w:rsid w:val="00637873"/>
    <w:rsid w:val="00637995"/>
    <w:rsid w:val="00637D26"/>
    <w:rsid w:val="00637D2F"/>
    <w:rsid w:val="0063AD3F"/>
    <w:rsid w:val="0063F696"/>
    <w:rsid w:val="0064055C"/>
    <w:rsid w:val="0064087D"/>
    <w:rsid w:val="00640B3D"/>
    <w:rsid w:val="0064133B"/>
    <w:rsid w:val="0064154A"/>
    <w:rsid w:val="006415F0"/>
    <w:rsid w:val="00641938"/>
    <w:rsid w:val="00641DD0"/>
    <w:rsid w:val="00641EAF"/>
    <w:rsid w:val="00641F07"/>
    <w:rsid w:val="0064265F"/>
    <w:rsid w:val="00642A3B"/>
    <w:rsid w:val="0064322F"/>
    <w:rsid w:val="006432EE"/>
    <w:rsid w:val="006434B4"/>
    <w:rsid w:val="006435A2"/>
    <w:rsid w:val="00643B3D"/>
    <w:rsid w:val="00643FD2"/>
    <w:rsid w:val="006441E7"/>
    <w:rsid w:val="00644366"/>
    <w:rsid w:val="00644A0B"/>
    <w:rsid w:val="00644A39"/>
    <w:rsid w:val="00644E75"/>
    <w:rsid w:val="00645177"/>
    <w:rsid w:val="006454FA"/>
    <w:rsid w:val="00645691"/>
    <w:rsid w:val="006456DF"/>
    <w:rsid w:val="006462A0"/>
    <w:rsid w:val="006465EB"/>
    <w:rsid w:val="0064661A"/>
    <w:rsid w:val="006467E2"/>
    <w:rsid w:val="006469ED"/>
    <w:rsid w:val="00646A2A"/>
    <w:rsid w:val="00646BFD"/>
    <w:rsid w:val="00646D15"/>
    <w:rsid w:val="00646DB2"/>
    <w:rsid w:val="00646E2C"/>
    <w:rsid w:val="00646FB2"/>
    <w:rsid w:val="006474A8"/>
    <w:rsid w:val="0064F463"/>
    <w:rsid w:val="006502E3"/>
    <w:rsid w:val="00650519"/>
    <w:rsid w:val="006507C5"/>
    <w:rsid w:val="006511E8"/>
    <w:rsid w:val="006517C1"/>
    <w:rsid w:val="00651C8A"/>
    <w:rsid w:val="00652483"/>
    <w:rsid w:val="006524AB"/>
    <w:rsid w:val="0065259E"/>
    <w:rsid w:val="006526EF"/>
    <w:rsid w:val="00652759"/>
    <w:rsid w:val="00652AD7"/>
    <w:rsid w:val="00652B61"/>
    <w:rsid w:val="00652FE2"/>
    <w:rsid w:val="00653011"/>
    <w:rsid w:val="0065322F"/>
    <w:rsid w:val="0065362B"/>
    <w:rsid w:val="006536FF"/>
    <w:rsid w:val="006539F0"/>
    <w:rsid w:val="00653A41"/>
    <w:rsid w:val="00653A6F"/>
    <w:rsid w:val="00653CA7"/>
    <w:rsid w:val="00653D3A"/>
    <w:rsid w:val="00653E64"/>
    <w:rsid w:val="006543F5"/>
    <w:rsid w:val="0065469B"/>
    <w:rsid w:val="006549C4"/>
    <w:rsid w:val="00654A3C"/>
    <w:rsid w:val="00654B1F"/>
    <w:rsid w:val="00654C7A"/>
    <w:rsid w:val="00654F6B"/>
    <w:rsid w:val="006551E6"/>
    <w:rsid w:val="00655292"/>
    <w:rsid w:val="006552EA"/>
    <w:rsid w:val="006555D3"/>
    <w:rsid w:val="00655816"/>
    <w:rsid w:val="0065626E"/>
    <w:rsid w:val="006565CF"/>
    <w:rsid w:val="00656A16"/>
    <w:rsid w:val="00656C7E"/>
    <w:rsid w:val="00656DEF"/>
    <w:rsid w:val="00656F5A"/>
    <w:rsid w:val="006571C9"/>
    <w:rsid w:val="00657559"/>
    <w:rsid w:val="006579CD"/>
    <w:rsid w:val="0065DE57"/>
    <w:rsid w:val="006600B7"/>
    <w:rsid w:val="006601F6"/>
    <w:rsid w:val="0066066A"/>
    <w:rsid w:val="0066084B"/>
    <w:rsid w:val="006609F6"/>
    <w:rsid w:val="00661098"/>
    <w:rsid w:val="00661254"/>
    <w:rsid w:val="006612D5"/>
    <w:rsid w:val="00661300"/>
    <w:rsid w:val="00661347"/>
    <w:rsid w:val="00661855"/>
    <w:rsid w:val="00661CB2"/>
    <w:rsid w:val="00661CC1"/>
    <w:rsid w:val="00661F2D"/>
    <w:rsid w:val="0066279F"/>
    <w:rsid w:val="0066286F"/>
    <w:rsid w:val="00662B51"/>
    <w:rsid w:val="00662B95"/>
    <w:rsid w:val="00662E92"/>
    <w:rsid w:val="006631E2"/>
    <w:rsid w:val="006635AD"/>
    <w:rsid w:val="00663A30"/>
    <w:rsid w:val="00663A4B"/>
    <w:rsid w:val="00663E1E"/>
    <w:rsid w:val="00663E73"/>
    <w:rsid w:val="00664058"/>
    <w:rsid w:val="00664417"/>
    <w:rsid w:val="00664442"/>
    <w:rsid w:val="006646E8"/>
    <w:rsid w:val="006647BD"/>
    <w:rsid w:val="00664C33"/>
    <w:rsid w:val="00664D1D"/>
    <w:rsid w:val="00664F6C"/>
    <w:rsid w:val="00665462"/>
    <w:rsid w:val="00665605"/>
    <w:rsid w:val="006656EB"/>
    <w:rsid w:val="0066624E"/>
    <w:rsid w:val="00666A4B"/>
    <w:rsid w:val="0066705B"/>
    <w:rsid w:val="0066713D"/>
    <w:rsid w:val="00667299"/>
    <w:rsid w:val="006672CE"/>
    <w:rsid w:val="00667397"/>
    <w:rsid w:val="00667407"/>
    <w:rsid w:val="0066770B"/>
    <w:rsid w:val="00667875"/>
    <w:rsid w:val="00667993"/>
    <w:rsid w:val="00667EF3"/>
    <w:rsid w:val="0066BC56"/>
    <w:rsid w:val="00670759"/>
    <w:rsid w:val="006708D3"/>
    <w:rsid w:val="00670933"/>
    <w:rsid w:val="00670B03"/>
    <w:rsid w:val="00671081"/>
    <w:rsid w:val="0067135D"/>
    <w:rsid w:val="0067154A"/>
    <w:rsid w:val="00671C08"/>
    <w:rsid w:val="00671CD9"/>
    <w:rsid w:val="00671F5D"/>
    <w:rsid w:val="00672820"/>
    <w:rsid w:val="00672934"/>
    <w:rsid w:val="00672CA9"/>
    <w:rsid w:val="00672D7D"/>
    <w:rsid w:val="00672FAF"/>
    <w:rsid w:val="00673219"/>
    <w:rsid w:val="006733D2"/>
    <w:rsid w:val="0067350F"/>
    <w:rsid w:val="00673511"/>
    <w:rsid w:val="00673C92"/>
    <w:rsid w:val="00673F6F"/>
    <w:rsid w:val="00674987"/>
    <w:rsid w:val="006749EA"/>
    <w:rsid w:val="00674D46"/>
    <w:rsid w:val="0067566C"/>
    <w:rsid w:val="00675856"/>
    <w:rsid w:val="00675E28"/>
    <w:rsid w:val="00675E3B"/>
    <w:rsid w:val="00675F4D"/>
    <w:rsid w:val="00675FE3"/>
    <w:rsid w:val="006764DA"/>
    <w:rsid w:val="00676705"/>
    <w:rsid w:val="00676BBD"/>
    <w:rsid w:val="006772BC"/>
    <w:rsid w:val="00677602"/>
    <w:rsid w:val="00677698"/>
    <w:rsid w:val="00677857"/>
    <w:rsid w:val="0068050C"/>
    <w:rsid w:val="006809E9"/>
    <w:rsid w:val="00680B49"/>
    <w:rsid w:val="00680C88"/>
    <w:rsid w:val="00680DDA"/>
    <w:rsid w:val="00681341"/>
    <w:rsid w:val="00681BD5"/>
    <w:rsid w:val="00681C3F"/>
    <w:rsid w:val="00681E08"/>
    <w:rsid w:val="00681E67"/>
    <w:rsid w:val="00682224"/>
    <w:rsid w:val="006822B3"/>
    <w:rsid w:val="00682A16"/>
    <w:rsid w:val="006831E4"/>
    <w:rsid w:val="0068347A"/>
    <w:rsid w:val="00683980"/>
    <w:rsid w:val="006839F1"/>
    <w:rsid w:val="0068428B"/>
    <w:rsid w:val="006843B9"/>
    <w:rsid w:val="00684FBE"/>
    <w:rsid w:val="006852DF"/>
    <w:rsid w:val="00685455"/>
    <w:rsid w:val="006860D4"/>
    <w:rsid w:val="00686433"/>
    <w:rsid w:val="00686566"/>
    <w:rsid w:val="00686BCB"/>
    <w:rsid w:val="006879A5"/>
    <w:rsid w:val="00687A1A"/>
    <w:rsid w:val="00687B92"/>
    <w:rsid w:val="0069019F"/>
    <w:rsid w:val="006902FE"/>
    <w:rsid w:val="00690438"/>
    <w:rsid w:val="00690762"/>
    <w:rsid w:val="00690D26"/>
    <w:rsid w:val="00690F4B"/>
    <w:rsid w:val="00690FCA"/>
    <w:rsid w:val="006911A2"/>
    <w:rsid w:val="006911A4"/>
    <w:rsid w:val="0069125C"/>
    <w:rsid w:val="0069144A"/>
    <w:rsid w:val="00691B22"/>
    <w:rsid w:val="0069293A"/>
    <w:rsid w:val="0069301A"/>
    <w:rsid w:val="006933E3"/>
    <w:rsid w:val="00693722"/>
    <w:rsid w:val="00693915"/>
    <w:rsid w:val="00693A34"/>
    <w:rsid w:val="00693B63"/>
    <w:rsid w:val="00693D1A"/>
    <w:rsid w:val="00693F66"/>
    <w:rsid w:val="0069484A"/>
    <w:rsid w:val="00694A45"/>
    <w:rsid w:val="00694DA0"/>
    <w:rsid w:val="00695394"/>
    <w:rsid w:val="006953F2"/>
    <w:rsid w:val="00695492"/>
    <w:rsid w:val="00695912"/>
    <w:rsid w:val="006959FD"/>
    <w:rsid w:val="00695B40"/>
    <w:rsid w:val="00695DFE"/>
    <w:rsid w:val="00695EC2"/>
    <w:rsid w:val="00695EEB"/>
    <w:rsid w:val="00695F01"/>
    <w:rsid w:val="00696176"/>
    <w:rsid w:val="00696286"/>
    <w:rsid w:val="00696ADE"/>
    <w:rsid w:val="00697076"/>
    <w:rsid w:val="0069711D"/>
    <w:rsid w:val="00697390"/>
    <w:rsid w:val="006973E4"/>
    <w:rsid w:val="00697944"/>
    <w:rsid w:val="00697972"/>
    <w:rsid w:val="00697DC1"/>
    <w:rsid w:val="006A032D"/>
    <w:rsid w:val="006A0768"/>
    <w:rsid w:val="006A0961"/>
    <w:rsid w:val="006A0A65"/>
    <w:rsid w:val="006A0FDA"/>
    <w:rsid w:val="006A1505"/>
    <w:rsid w:val="006A150A"/>
    <w:rsid w:val="006A152D"/>
    <w:rsid w:val="006A1590"/>
    <w:rsid w:val="006A1DFC"/>
    <w:rsid w:val="006A21C0"/>
    <w:rsid w:val="006A21F4"/>
    <w:rsid w:val="006A284A"/>
    <w:rsid w:val="006A28F5"/>
    <w:rsid w:val="006A28FA"/>
    <w:rsid w:val="006A29B9"/>
    <w:rsid w:val="006A2A9E"/>
    <w:rsid w:val="006A2B4B"/>
    <w:rsid w:val="006A2B91"/>
    <w:rsid w:val="006A2DC5"/>
    <w:rsid w:val="006A2DDF"/>
    <w:rsid w:val="006A3064"/>
    <w:rsid w:val="006A35E8"/>
    <w:rsid w:val="006A3679"/>
    <w:rsid w:val="006A3983"/>
    <w:rsid w:val="006A39EF"/>
    <w:rsid w:val="006A3AF0"/>
    <w:rsid w:val="006A3E63"/>
    <w:rsid w:val="006A4040"/>
    <w:rsid w:val="006A41FF"/>
    <w:rsid w:val="006A420E"/>
    <w:rsid w:val="006A43F1"/>
    <w:rsid w:val="006A4C66"/>
    <w:rsid w:val="006A4D59"/>
    <w:rsid w:val="006A4DE9"/>
    <w:rsid w:val="006A4E4E"/>
    <w:rsid w:val="006A4E8F"/>
    <w:rsid w:val="006A568A"/>
    <w:rsid w:val="006A5AE2"/>
    <w:rsid w:val="006A6076"/>
    <w:rsid w:val="006A631D"/>
    <w:rsid w:val="006A6720"/>
    <w:rsid w:val="006A701C"/>
    <w:rsid w:val="006A7471"/>
    <w:rsid w:val="006A7C0E"/>
    <w:rsid w:val="006A7CE3"/>
    <w:rsid w:val="006A7D64"/>
    <w:rsid w:val="006A7D74"/>
    <w:rsid w:val="006A7E63"/>
    <w:rsid w:val="006A7F47"/>
    <w:rsid w:val="006A7FD0"/>
    <w:rsid w:val="006B009D"/>
    <w:rsid w:val="006B00FF"/>
    <w:rsid w:val="006B01FE"/>
    <w:rsid w:val="006B040F"/>
    <w:rsid w:val="006B05C2"/>
    <w:rsid w:val="006B086D"/>
    <w:rsid w:val="006B087E"/>
    <w:rsid w:val="006B09AB"/>
    <w:rsid w:val="006B0A93"/>
    <w:rsid w:val="006B0AA7"/>
    <w:rsid w:val="006B0B6C"/>
    <w:rsid w:val="006B0F5F"/>
    <w:rsid w:val="006B1237"/>
    <w:rsid w:val="006B15FC"/>
    <w:rsid w:val="006B1D86"/>
    <w:rsid w:val="006B1F3E"/>
    <w:rsid w:val="006B27DC"/>
    <w:rsid w:val="006B2C60"/>
    <w:rsid w:val="006B3479"/>
    <w:rsid w:val="006B35D7"/>
    <w:rsid w:val="006B3928"/>
    <w:rsid w:val="006B3BAF"/>
    <w:rsid w:val="006B43BA"/>
    <w:rsid w:val="006B49B1"/>
    <w:rsid w:val="006B4FD5"/>
    <w:rsid w:val="006B5048"/>
    <w:rsid w:val="006B50B8"/>
    <w:rsid w:val="006B5120"/>
    <w:rsid w:val="006B5AEA"/>
    <w:rsid w:val="006B5B56"/>
    <w:rsid w:val="006B5D25"/>
    <w:rsid w:val="006B5EEE"/>
    <w:rsid w:val="006B5F67"/>
    <w:rsid w:val="006B625D"/>
    <w:rsid w:val="006B695A"/>
    <w:rsid w:val="006B76B4"/>
    <w:rsid w:val="006B7858"/>
    <w:rsid w:val="006B7AE7"/>
    <w:rsid w:val="006BAA09"/>
    <w:rsid w:val="006C00EB"/>
    <w:rsid w:val="006C0182"/>
    <w:rsid w:val="006C062B"/>
    <w:rsid w:val="006C0727"/>
    <w:rsid w:val="006C07A1"/>
    <w:rsid w:val="006C0CB8"/>
    <w:rsid w:val="006C0D64"/>
    <w:rsid w:val="006C0E16"/>
    <w:rsid w:val="006C1326"/>
    <w:rsid w:val="006C1536"/>
    <w:rsid w:val="006C15BC"/>
    <w:rsid w:val="006C1CF1"/>
    <w:rsid w:val="006C1F20"/>
    <w:rsid w:val="006C2294"/>
    <w:rsid w:val="006C2695"/>
    <w:rsid w:val="006C2A4E"/>
    <w:rsid w:val="006C303D"/>
    <w:rsid w:val="006C33B8"/>
    <w:rsid w:val="006C33D4"/>
    <w:rsid w:val="006C35C5"/>
    <w:rsid w:val="006C376F"/>
    <w:rsid w:val="006C3D5D"/>
    <w:rsid w:val="006C41E9"/>
    <w:rsid w:val="006C42B3"/>
    <w:rsid w:val="006C4507"/>
    <w:rsid w:val="006C4702"/>
    <w:rsid w:val="006C4AF1"/>
    <w:rsid w:val="006C502B"/>
    <w:rsid w:val="006C51D5"/>
    <w:rsid w:val="006C5452"/>
    <w:rsid w:val="006C5500"/>
    <w:rsid w:val="006C5BF9"/>
    <w:rsid w:val="006C5D75"/>
    <w:rsid w:val="006C6189"/>
    <w:rsid w:val="006C64AC"/>
    <w:rsid w:val="006C67FC"/>
    <w:rsid w:val="006C696B"/>
    <w:rsid w:val="006C6D31"/>
    <w:rsid w:val="006C6F26"/>
    <w:rsid w:val="006C70CF"/>
    <w:rsid w:val="006C7343"/>
    <w:rsid w:val="006C738A"/>
    <w:rsid w:val="006C7434"/>
    <w:rsid w:val="006C7488"/>
    <w:rsid w:val="006C7E22"/>
    <w:rsid w:val="006C7E23"/>
    <w:rsid w:val="006D00D2"/>
    <w:rsid w:val="006D042E"/>
    <w:rsid w:val="006D0511"/>
    <w:rsid w:val="006D0988"/>
    <w:rsid w:val="006D0A85"/>
    <w:rsid w:val="006D0E6F"/>
    <w:rsid w:val="006D0EC0"/>
    <w:rsid w:val="006D0F28"/>
    <w:rsid w:val="006D1162"/>
    <w:rsid w:val="006D1465"/>
    <w:rsid w:val="006D1A49"/>
    <w:rsid w:val="006D227A"/>
    <w:rsid w:val="006D22E3"/>
    <w:rsid w:val="006D238A"/>
    <w:rsid w:val="006D25AD"/>
    <w:rsid w:val="006D272C"/>
    <w:rsid w:val="006D298D"/>
    <w:rsid w:val="006D299E"/>
    <w:rsid w:val="006D2A3E"/>
    <w:rsid w:val="006D36A3"/>
    <w:rsid w:val="006D3B65"/>
    <w:rsid w:val="006D4753"/>
    <w:rsid w:val="006D528B"/>
    <w:rsid w:val="006D544A"/>
    <w:rsid w:val="006D5BF2"/>
    <w:rsid w:val="006D6768"/>
    <w:rsid w:val="006D6823"/>
    <w:rsid w:val="006D6BB1"/>
    <w:rsid w:val="006D6E17"/>
    <w:rsid w:val="006D739E"/>
    <w:rsid w:val="006D7676"/>
    <w:rsid w:val="006D7B16"/>
    <w:rsid w:val="006D7F85"/>
    <w:rsid w:val="006D7FD0"/>
    <w:rsid w:val="006E034C"/>
    <w:rsid w:val="006E0355"/>
    <w:rsid w:val="006E03BC"/>
    <w:rsid w:val="006E059F"/>
    <w:rsid w:val="006E0A74"/>
    <w:rsid w:val="006E0E3A"/>
    <w:rsid w:val="006E0FEB"/>
    <w:rsid w:val="006E1790"/>
    <w:rsid w:val="006E18E0"/>
    <w:rsid w:val="006E1A8D"/>
    <w:rsid w:val="006E22E3"/>
    <w:rsid w:val="006E24F5"/>
    <w:rsid w:val="006E284C"/>
    <w:rsid w:val="006E303B"/>
    <w:rsid w:val="006E3326"/>
    <w:rsid w:val="006E386F"/>
    <w:rsid w:val="006E4418"/>
    <w:rsid w:val="006E44F6"/>
    <w:rsid w:val="006E450C"/>
    <w:rsid w:val="006E49EE"/>
    <w:rsid w:val="006E4BB5"/>
    <w:rsid w:val="006E4C6F"/>
    <w:rsid w:val="006E4EE4"/>
    <w:rsid w:val="006E4FD9"/>
    <w:rsid w:val="006E541D"/>
    <w:rsid w:val="006E56CA"/>
    <w:rsid w:val="006E57A3"/>
    <w:rsid w:val="006E59C6"/>
    <w:rsid w:val="006E5A53"/>
    <w:rsid w:val="006E5B5D"/>
    <w:rsid w:val="006E5CFD"/>
    <w:rsid w:val="006E5DEE"/>
    <w:rsid w:val="006E6DE3"/>
    <w:rsid w:val="006E7068"/>
    <w:rsid w:val="006E76EE"/>
    <w:rsid w:val="006E7B79"/>
    <w:rsid w:val="006F0046"/>
    <w:rsid w:val="006F05FA"/>
    <w:rsid w:val="006F0B86"/>
    <w:rsid w:val="006F0D47"/>
    <w:rsid w:val="006F1239"/>
    <w:rsid w:val="006F14AB"/>
    <w:rsid w:val="006F1B29"/>
    <w:rsid w:val="006F1B72"/>
    <w:rsid w:val="006F2130"/>
    <w:rsid w:val="006F24D0"/>
    <w:rsid w:val="006F27D5"/>
    <w:rsid w:val="006F2808"/>
    <w:rsid w:val="006F28FB"/>
    <w:rsid w:val="006F2D85"/>
    <w:rsid w:val="006F328D"/>
    <w:rsid w:val="006F33C1"/>
    <w:rsid w:val="006F3800"/>
    <w:rsid w:val="006F3AD0"/>
    <w:rsid w:val="006F40FC"/>
    <w:rsid w:val="006F4341"/>
    <w:rsid w:val="006F4454"/>
    <w:rsid w:val="006F4486"/>
    <w:rsid w:val="006F4702"/>
    <w:rsid w:val="006F4864"/>
    <w:rsid w:val="006F4B79"/>
    <w:rsid w:val="006F4C42"/>
    <w:rsid w:val="006F50CB"/>
    <w:rsid w:val="006F5167"/>
    <w:rsid w:val="006F51D5"/>
    <w:rsid w:val="006F5334"/>
    <w:rsid w:val="006F5410"/>
    <w:rsid w:val="006F57B7"/>
    <w:rsid w:val="006F5831"/>
    <w:rsid w:val="006F5BF7"/>
    <w:rsid w:val="006F5FF2"/>
    <w:rsid w:val="006F67ED"/>
    <w:rsid w:val="006F6C3C"/>
    <w:rsid w:val="006F6E8F"/>
    <w:rsid w:val="006F70AC"/>
    <w:rsid w:val="006F7459"/>
    <w:rsid w:val="006F7721"/>
    <w:rsid w:val="006F77EC"/>
    <w:rsid w:val="006F7A7F"/>
    <w:rsid w:val="006F7C0C"/>
    <w:rsid w:val="006F7D28"/>
    <w:rsid w:val="00700177"/>
    <w:rsid w:val="00700243"/>
    <w:rsid w:val="00700A85"/>
    <w:rsid w:val="00700A8B"/>
    <w:rsid w:val="00700C38"/>
    <w:rsid w:val="007016C4"/>
    <w:rsid w:val="00701C10"/>
    <w:rsid w:val="007022F1"/>
    <w:rsid w:val="007022FB"/>
    <w:rsid w:val="0070231D"/>
    <w:rsid w:val="00702654"/>
    <w:rsid w:val="0070284C"/>
    <w:rsid w:val="007029A4"/>
    <w:rsid w:val="00702CBD"/>
    <w:rsid w:val="00703029"/>
    <w:rsid w:val="007033AE"/>
    <w:rsid w:val="0070372A"/>
    <w:rsid w:val="00703A1B"/>
    <w:rsid w:val="00703B28"/>
    <w:rsid w:val="00703B53"/>
    <w:rsid w:val="00703FEE"/>
    <w:rsid w:val="007040AB"/>
    <w:rsid w:val="00704575"/>
    <w:rsid w:val="007045C4"/>
    <w:rsid w:val="007045E2"/>
    <w:rsid w:val="0070482A"/>
    <w:rsid w:val="00704AD6"/>
    <w:rsid w:val="00704F71"/>
    <w:rsid w:val="00705183"/>
    <w:rsid w:val="00705424"/>
    <w:rsid w:val="00705B45"/>
    <w:rsid w:val="00705E20"/>
    <w:rsid w:val="00705E2E"/>
    <w:rsid w:val="0070604F"/>
    <w:rsid w:val="00706146"/>
    <w:rsid w:val="00706187"/>
    <w:rsid w:val="00706B4E"/>
    <w:rsid w:val="00706FD7"/>
    <w:rsid w:val="0070734F"/>
    <w:rsid w:val="00707459"/>
    <w:rsid w:val="007076B9"/>
    <w:rsid w:val="00707894"/>
    <w:rsid w:val="00707AD1"/>
    <w:rsid w:val="00707B33"/>
    <w:rsid w:val="00707F18"/>
    <w:rsid w:val="00707FA5"/>
    <w:rsid w:val="0070C29B"/>
    <w:rsid w:val="00710458"/>
    <w:rsid w:val="007106E0"/>
    <w:rsid w:val="00710B6A"/>
    <w:rsid w:val="00710F46"/>
    <w:rsid w:val="00711031"/>
    <w:rsid w:val="0071110B"/>
    <w:rsid w:val="00711874"/>
    <w:rsid w:val="007118F5"/>
    <w:rsid w:val="00711BA6"/>
    <w:rsid w:val="00711DE6"/>
    <w:rsid w:val="00711EB3"/>
    <w:rsid w:val="00711F9B"/>
    <w:rsid w:val="00712070"/>
    <w:rsid w:val="007121A1"/>
    <w:rsid w:val="007127AD"/>
    <w:rsid w:val="00712D94"/>
    <w:rsid w:val="00713007"/>
    <w:rsid w:val="007132B4"/>
    <w:rsid w:val="0071342A"/>
    <w:rsid w:val="00713B24"/>
    <w:rsid w:val="00713C9E"/>
    <w:rsid w:val="00713D02"/>
    <w:rsid w:val="00713F5C"/>
    <w:rsid w:val="00714BAF"/>
    <w:rsid w:val="00714C62"/>
    <w:rsid w:val="0071535A"/>
    <w:rsid w:val="007155BB"/>
    <w:rsid w:val="0071592D"/>
    <w:rsid w:val="00715ABA"/>
    <w:rsid w:val="00715B4E"/>
    <w:rsid w:val="00715C37"/>
    <w:rsid w:val="00715F9B"/>
    <w:rsid w:val="0071654E"/>
    <w:rsid w:val="00716D4C"/>
    <w:rsid w:val="00716DE2"/>
    <w:rsid w:val="007170B7"/>
    <w:rsid w:val="00717217"/>
    <w:rsid w:val="00717278"/>
    <w:rsid w:val="0071731D"/>
    <w:rsid w:val="00717326"/>
    <w:rsid w:val="007178DB"/>
    <w:rsid w:val="007179EA"/>
    <w:rsid w:val="00717EE3"/>
    <w:rsid w:val="007200CE"/>
    <w:rsid w:val="00720348"/>
    <w:rsid w:val="00720405"/>
    <w:rsid w:val="00720484"/>
    <w:rsid w:val="007208C9"/>
    <w:rsid w:val="0072095B"/>
    <w:rsid w:val="00720C06"/>
    <w:rsid w:val="00720DF3"/>
    <w:rsid w:val="00721197"/>
    <w:rsid w:val="00721794"/>
    <w:rsid w:val="00721928"/>
    <w:rsid w:val="00721AC4"/>
    <w:rsid w:val="00721D11"/>
    <w:rsid w:val="00721FEA"/>
    <w:rsid w:val="0072229F"/>
    <w:rsid w:val="00722483"/>
    <w:rsid w:val="00722BF1"/>
    <w:rsid w:val="00722C27"/>
    <w:rsid w:val="00722DB6"/>
    <w:rsid w:val="00722EE6"/>
    <w:rsid w:val="00722F0B"/>
    <w:rsid w:val="00722FE9"/>
    <w:rsid w:val="0072324E"/>
    <w:rsid w:val="00723521"/>
    <w:rsid w:val="007236B2"/>
    <w:rsid w:val="0072394A"/>
    <w:rsid w:val="00723956"/>
    <w:rsid w:val="0072426C"/>
    <w:rsid w:val="007244ED"/>
    <w:rsid w:val="007247E4"/>
    <w:rsid w:val="00724A36"/>
    <w:rsid w:val="00724C56"/>
    <w:rsid w:val="00725069"/>
    <w:rsid w:val="00725293"/>
    <w:rsid w:val="00725457"/>
    <w:rsid w:val="00725674"/>
    <w:rsid w:val="0072567B"/>
    <w:rsid w:val="007256A5"/>
    <w:rsid w:val="00725862"/>
    <w:rsid w:val="0072590A"/>
    <w:rsid w:val="00725977"/>
    <w:rsid w:val="00725A71"/>
    <w:rsid w:val="00725B74"/>
    <w:rsid w:val="00726175"/>
    <w:rsid w:val="007266FB"/>
    <w:rsid w:val="007268B1"/>
    <w:rsid w:val="0072701C"/>
    <w:rsid w:val="007279B8"/>
    <w:rsid w:val="00727A0F"/>
    <w:rsid w:val="00727F04"/>
    <w:rsid w:val="0072BC6C"/>
    <w:rsid w:val="007300CA"/>
    <w:rsid w:val="0073036D"/>
    <w:rsid w:val="007304A1"/>
    <w:rsid w:val="00730531"/>
    <w:rsid w:val="00730872"/>
    <w:rsid w:val="007308EF"/>
    <w:rsid w:val="00730A79"/>
    <w:rsid w:val="00730AF2"/>
    <w:rsid w:val="00730B88"/>
    <w:rsid w:val="00730C5B"/>
    <w:rsid w:val="00730D22"/>
    <w:rsid w:val="00730DD9"/>
    <w:rsid w:val="0073136D"/>
    <w:rsid w:val="00731412"/>
    <w:rsid w:val="007316F5"/>
    <w:rsid w:val="00731721"/>
    <w:rsid w:val="0073202A"/>
    <w:rsid w:val="007321B2"/>
    <w:rsid w:val="0073239F"/>
    <w:rsid w:val="0073246A"/>
    <w:rsid w:val="00732901"/>
    <w:rsid w:val="00732A9F"/>
    <w:rsid w:val="00732D34"/>
    <w:rsid w:val="00732FEF"/>
    <w:rsid w:val="0073361F"/>
    <w:rsid w:val="00733789"/>
    <w:rsid w:val="007337E4"/>
    <w:rsid w:val="007339A1"/>
    <w:rsid w:val="00733D27"/>
    <w:rsid w:val="00733EF3"/>
    <w:rsid w:val="0073408E"/>
    <w:rsid w:val="00734147"/>
    <w:rsid w:val="007341E0"/>
    <w:rsid w:val="00734323"/>
    <w:rsid w:val="00734454"/>
    <w:rsid w:val="007344FA"/>
    <w:rsid w:val="00734532"/>
    <w:rsid w:val="007348B3"/>
    <w:rsid w:val="007349A0"/>
    <w:rsid w:val="00734BDF"/>
    <w:rsid w:val="00734C27"/>
    <w:rsid w:val="00735E30"/>
    <w:rsid w:val="00735E47"/>
    <w:rsid w:val="00735E7E"/>
    <w:rsid w:val="00736C7C"/>
    <w:rsid w:val="00736CAE"/>
    <w:rsid w:val="00736E04"/>
    <w:rsid w:val="00736E4D"/>
    <w:rsid w:val="00736F4D"/>
    <w:rsid w:val="00736F93"/>
    <w:rsid w:val="007371ED"/>
    <w:rsid w:val="007375D3"/>
    <w:rsid w:val="0074026F"/>
    <w:rsid w:val="00740277"/>
    <w:rsid w:val="0074053B"/>
    <w:rsid w:val="00740B9F"/>
    <w:rsid w:val="00740D1D"/>
    <w:rsid w:val="00740EE8"/>
    <w:rsid w:val="0074150D"/>
    <w:rsid w:val="00741549"/>
    <w:rsid w:val="0074154E"/>
    <w:rsid w:val="00741911"/>
    <w:rsid w:val="00741B11"/>
    <w:rsid w:val="00741BED"/>
    <w:rsid w:val="007420F2"/>
    <w:rsid w:val="0074238B"/>
    <w:rsid w:val="007423BD"/>
    <w:rsid w:val="00742898"/>
    <w:rsid w:val="00742C2A"/>
    <w:rsid w:val="00743008"/>
    <w:rsid w:val="0074300C"/>
    <w:rsid w:val="007433B4"/>
    <w:rsid w:val="00743536"/>
    <w:rsid w:val="00743744"/>
    <w:rsid w:val="00743924"/>
    <w:rsid w:val="00743B22"/>
    <w:rsid w:val="00743B5B"/>
    <w:rsid w:val="00743B62"/>
    <w:rsid w:val="00744446"/>
    <w:rsid w:val="00744640"/>
    <w:rsid w:val="0074474E"/>
    <w:rsid w:val="00744CA0"/>
    <w:rsid w:val="00745259"/>
    <w:rsid w:val="007455CB"/>
    <w:rsid w:val="0074572A"/>
    <w:rsid w:val="007461D1"/>
    <w:rsid w:val="00746241"/>
    <w:rsid w:val="007466C9"/>
    <w:rsid w:val="00746781"/>
    <w:rsid w:val="00746AB9"/>
    <w:rsid w:val="00746F5B"/>
    <w:rsid w:val="0074709D"/>
    <w:rsid w:val="00747188"/>
    <w:rsid w:val="0074748E"/>
    <w:rsid w:val="0074751A"/>
    <w:rsid w:val="00747BF1"/>
    <w:rsid w:val="00747C4D"/>
    <w:rsid w:val="00747DEB"/>
    <w:rsid w:val="00750425"/>
    <w:rsid w:val="00750426"/>
    <w:rsid w:val="00750AB9"/>
    <w:rsid w:val="00750F32"/>
    <w:rsid w:val="007511B1"/>
    <w:rsid w:val="00751A4D"/>
    <w:rsid w:val="00751DFD"/>
    <w:rsid w:val="0075213B"/>
    <w:rsid w:val="007521A7"/>
    <w:rsid w:val="007526D4"/>
    <w:rsid w:val="00752776"/>
    <w:rsid w:val="00752963"/>
    <w:rsid w:val="0075297A"/>
    <w:rsid w:val="00753A79"/>
    <w:rsid w:val="00753C4C"/>
    <w:rsid w:val="007541EE"/>
    <w:rsid w:val="007542FB"/>
    <w:rsid w:val="0075501E"/>
    <w:rsid w:val="0075520D"/>
    <w:rsid w:val="007552E9"/>
    <w:rsid w:val="00755BB5"/>
    <w:rsid w:val="00755F0C"/>
    <w:rsid w:val="007563B9"/>
    <w:rsid w:val="0075668B"/>
    <w:rsid w:val="007569E1"/>
    <w:rsid w:val="00756B6D"/>
    <w:rsid w:val="00756EE7"/>
    <w:rsid w:val="007573CA"/>
    <w:rsid w:val="00757AEC"/>
    <w:rsid w:val="00757D9C"/>
    <w:rsid w:val="00757FC9"/>
    <w:rsid w:val="0075EBF1"/>
    <w:rsid w:val="0076020C"/>
    <w:rsid w:val="00760816"/>
    <w:rsid w:val="00760A13"/>
    <w:rsid w:val="00760AAE"/>
    <w:rsid w:val="00760D3D"/>
    <w:rsid w:val="00760D64"/>
    <w:rsid w:val="00760DC1"/>
    <w:rsid w:val="00760DCD"/>
    <w:rsid w:val="00761022"/>
    <w:rsid w:val="007611F1"/>
    <w:rsid w:val="0076133F"/>
    <w:rsid w:val="00761449"/>
    <w:rsid w:val="00761C89"/>
    <w:rsid w:val="00761CB6"/>
    <w:rsid w:val="007624AC"/>
    <w:rsid w:val="00762B67"/>
    <w:rsid w:val="00762B8E"/>
    <w:rsid w:val="00762BF4"/>
    <w:rsid w:val="00762CC4"/>
    <w:rsid w:val="00762CD3"/>
    <w:rsid w:val="007631AE"/>
    <w:rsid w:val="007634EC"/>
    <w:rsid w:val="00763603"/>
    <w:rsid w:val="00763829"/>
    <w:rsid w:val="00763A6E"/>
    <w:rsid w:val="00763B67"/>
    <w:rsid w:val="0076425F"/>
    <w:rsid w:val="0076470F"/>
    <w:rsid w:val="007648D0"/>
    <w:rsid w:val="00764B77"/>
    <w:rsid w:val="00764DDD"/>
    <w:rsid w:val="00764EF0"/>
    <w:rsid w:val="007656AE"/>
    <w:rsid w:val="00765831"/>
    <w:rsid w:val="00765A32"/>
    <w:rsid w:val="00765B1B"/>
    <w:rsid w:val="00765F47"/>
    <w:rsid w:val="007665B4"/>
    <w:rsid w:val="007666E3"/>
    <w:rsid w:val="00766771"/>
    <w:rsid w:val="00766941"/>
    <w:rsid w:val="00766B0C"/>
    <w:rsid w:val="00766C6C"/>
    <w:rsid w:val="0076729C"/>
    <w:rsid w:val="00767540"/>
    <w:rsid w:val="00767589"/>
    <w:rsid w:val="007676B9"/>
    <w:rsid w:val="00767AE3"/>
    <w:rsid w:val="00767C05"/>
    <w:rsid w:val="00767D9E"/>
    <w:rsid w:val="00770015"/>
    <w:rsid w:val="00770B2E"/>
    <w:rsid w:val="00770D07"/>
    <w:rsid w:val="0077101C"/>
    <w:rsid w:val="0077111E"/>
    <w:rsid w:val="007711B3"/>
    <w:rsid w:val="007715A9"/>
    <w:rsid w:val="00771930"/>
    <w:rsid w:val="00771953"/>
    <w:rsid w:val="00771977"/>
    <w:rsid w:val="00771DB5"/>
    <w:rsid w:val="0077218A"/>
    <w:rsid w:val="0077220F"/>
    <w:rsid w:val="0077264B"/>
    <w:rsid w:val="00772E43"/>
    <w:rsid w:val="00772FFF"/>
    <w:rsid w:val="00773AAB"/>
    <w:rsid w:val="00773C7F"/>
    <w:rsid w:val="00773DEB"/>
    <w:rsid w:val="00773F57"/>
    <w:rsid w:val="00774681"/>
    <w:rsid w:val="007749E2"/>
    <w:rsid w:val="00774A6E"/>
    <w:rsid w:val="00774C9B"/>
    <w:rsid w:val="00774EBA"/>
    <w:rsid w:val="00774F63"/>
    <w:rsid w:val="007753D6"/>
    <w:rsid w:val="0077542C"/>
    <w:rsid w:val="00775651"/>
    <w:rsid w:val="007756EB"/>
    <w:rsid w:val="0077588D"/>
    <w:rsid w:val="00775997"/>
    <w:rsid w:val="00775CF0"/>
    <w:rsid w:val="00776244"/>
    <w:rsid w:val="00776611"/>
    <w:rsid w:val="00776DBB"/>
    <w:rsid w:val="00776FEF"/>
    <w:rsid w:val="007775AA"/>
    <w:rsid w:val="00777972"/>
    <w:rsid w:val="00777C7D"/>
    <w:rsid w:val="0077DF4F"/>
    <w:rsid w:val="0078003F"/>
    <w:rsid w:val="007800CB"/>
    <w:rsid w:val="00780357"/>
    <w:rsid w:val="007803F6"/>
    <w:rsid w:val="007805A4"/>
    <w:rsid w:val="007805C4"/>
    <w:rsid w:val="00780A36"/>
    <w:rsid w:val="00780AD6"/>
    <w:rsid w:val="00781293"/>
    <w:rsid w:val="007818FB"/>
    <w:rsid w:val="00781914"/>
    <w:rsid w:val="00781B08"/>
    <w:rsid w:val="00781B57"/>
    <w:rsid w:val="00781EB9"/>
    <w:rsid w:val="007828B2"/>
    <w:rsid w:val="00782A13"/>
    <w:rsid w:val="00782BE8"/>
    <w:rsid w:val="00782C4F"/>
    <w:rsid w:val="00782D04"/>
    <w:rsid w:val="00782D1E"/>
    <w:rsid w:val="00782F21"/>
    <w:rsid w:val="007833E9"/>
    <w:rsid w:val="00783617"/>
    <w:rsid w:val="007839A3"/>
    <w:rsid w:val="00783CDF"/>
    <w:rsid w:val="0078403A"/>
    <w:rsid w:val="007840D8"/>
    <w:rsid w:val="00784594"/>
    <w:rsid w:val="00784878"/>
    <w:rsid w:val="00784CDE"/>
    <w:rsid w:val="00784D47"/>
    <w:rsid w:val="00784F22"/>
    <w:rsid w:val="00784F6A"/>
    <w:rsid w:val="00785001"/>
    <w:rsid w:val="007852BB"/>
    <w:rsid w:val="007854DF"/>
    <w:rsid w:val="00785BCB"/>
    <w:rsid w:val="00786365"/>
    <w:rsid w:val="007865B1"/>
    <w:rsid w:val="007870A5"/>
    <w:rsid w:val="00787139"/>
    <w:rsid w:val="007872AB"/>
    <w:rsid w:val="00787371"/>
    <w:rsid w:val="007876A3"/>
    <w:rsid w:val="00787731"/>
    <w:rsid w:val="0079048A"/>
    <w:rsid w:val="007904EC"/>
    <w:rsid w:val="007904F6"/>
    <w:rsid w:val="00790693"/>
    <w:rsid w:val="00790703"/>
    <w:rsid w:val="00790722"/>
    <w:rsid w:val="00790828"/>
    <w:rsid w:val="007910EF"/>
    <w:rsid w:val="00791162"/>
    <w:rsid w:val="007911A6"/>
    <w:rsid w:val="00791307"/>
    <w:rsid w:val="00791569"/>
    <w:rsid w:val="007915A5"/>
    <w:rsid w:val="00791678"/>
    <w:rsid w:val="0079168F"/>
    <w:rsid w:val="007918E3"/>
    <w:rsid w:val="00791DE9"/>
    <w:rsid w:val="0079226F"/>
    <w:rsid w:val="00792320"/>
    <w:rsid w:val="00792DB5"/>
    <w:rsid w:val="00792DD3"/>
    <w:rsid w:val="00792E5A"/>
    <w:rsid w:val="00792F07"/>
    <w:rsid w:val="0079381B"/>
    <w:rsid w:val="0079451F"/>
    <w:rsid w:val="00794A7F"/>
    <w:rsid w:val="00794FBF"/>
    <w:rsid w:val="0079541D"/>
    <w:rsid w:val="007955A9"/>
    <w:rsid w:val="007956A9"/>
    <w:rsid w:val="007964B1"/>
    <w:rsid w:val="007964D0"/>
    <w:rsid w:val="00796B91"/>
    <w:rsid w:val="00796C2D"/>
    <w:rsid w:val="007975D8"/>
    <w:rsid w:val="0079781D"/>
    <w:rsid w:val="007978DE"/>
    <w:rsid w:val="0079DA1F"/>
    <w:rsid w:val="007A034A"/>
    <w:rsid w:val="007A04A2"/>
    <w:rsid w:val="007A04AA"/>
    <w:rsid w:val="007A0551"/>
    <w:rsid w:val="007A063E"/>
    <w:rsid w:val="007A0FD6"/>
    <w:rsid w:val="007A10E3"/>
    <w:rsid w:val="007A16C8"/>
    <w:rsid w:val="007A1F9E"/>
    <w:rsid w:val="007A2379"/>
    <w:rsid w:val="007A2459"/>
    <w:rsid w:val="007A245B"/>
    <w:rsid w:val="007A25A5"/>
    <w:rsid w:val="007A25F6"/>
    <w:rsid w:val="007A2B0B"/>
    <w:rsid w:val="007A2C5E"/>
    <w:rsid w:val="007A2EDB"/>
    <w:rsid w:val="007A2EFF"/>
    <w:rsid w:val="007A31C7"/>
    <w:rsid w:val="007A3270"/>
    <w:rsid w:val="007A3496"/>
    <w:rsid w:val="007A3504"/>
    <w:rsid w:val="007A381D"/>
    <w:rsid w:val="007A3936"/>
    <w:rsid w:val="007A3DBF"/>
    <w:rsid w:val="007A3E6D"/>
    <w:rsid w:val="007A3F37"/>
    <w:rsid w:val="007A4213"/>
    <w:rsid w:val="007A44A1"/>
    <w:rsid w:val="007A569D"/>
    <w:rsid w:val="007A5912"/>
    <w:rsid w:val="007A5DBC"/>
    <w:rsid w:val="007A5E41"/>
    <w:rsid w:val="007A5E86"/>
    <w:rsid w:val="007A63FB"/>
    <w:rsid w:val="007A6DA8"/>
    <w:rsid w:val="007A73F9"/>
    <w:rsid w:val="007A7515"/>
    <w:rsid w:val="007A7806"/>
    <w:rsid w:val="007A7A8A"/>
    <w:rsid w:val="007A7C0A"/>
    <w:rsid w:val="007B041A"/>
    <w:rsid w:val="007B0823"/>
    <w:rsid w:val="007B0DB1"/>
    <w:rsid w:val="007B0EA3"/>
    <w:rsid w:val="007B1189"/>
    <w:rsid w:val="007B1349"/>
    <w:rsid w:val="007B1B9A"/>
    <w:rsid w:val="007B1FB4"/>
    <w:rsid w:val="007B239B"/>
    <w:rsid w:val="007B2454"/>
    <w:rsid w:val="007B2510"/>
    <w:rsid w:val="007B2A97"/>
    <w:rsid w:val="007B2CD8"/>
    <w:rsid w:val="007B2F69"/>
    <w:rsid w:val="007B2F9F"/>
    <w:rsid w:val="007B30D6"/>
    <w:rsid w:val="007B31E5"/>
    <w:rsid w:val="007B32DC"/>
    <w:rsid w:val="007B332C"/>
    <w:rsid w:val="007B38BC"/>
    <w:rsid w:val="007B39CC"/>
    <w:rsid w:val="007B43E0"/>
    <w:rsid w:val="007B4463"/>
    <w:rsid w:val="007B45CC"/>
    <w:rsid w:val="007B46F0"/>
    <w:rsid w:val="007B4705"/>
    <w:rsid w:val="007B4C89"/>
    <w:rsid w:val="007B4DD0"/>
    <w:rsid w:val="007B5D82"/>
    <w:rsid w:val="007B5FE1"/>
    <w:rsid w:val="007B6373"/>
    <w:rsid w:val="007B6594"/>
    <w:rsid w:val="007B65B2"/>
    <w:rsid w:val="007B738B"/>
    <w:rsid w:val="007B7942"/>
    <w:rsid w:val="007B79F1"/>
    <w:rsid w:val="007B7F42"/>
    <w:rsid w:val="007C0014"/>
    <w:rsid w:val="007C088A"/>
    <w:rsid w:val="007C0E7A"/>
    <w:rsid w:val="007C1098"/>
    <w:rsid w:val="007C162E"/>
    <w:rsid w:val="007C16E3"/>
    <w:rsid w:val="007C191A"/>
    <w:rsid w:val="007C1A13"/>
    <w:rsid w:val="007C2066"/>
    <w:rsid w:val="007C2457"/>
    <w:rsid w:val="007C26B5"/>
    <w:rsid w:val="007C27D0"/>
    <w:rsid w:val="007C2DA8"/>
    <w:rsid w:val="007C2DEE"/>
    <w:rsid w:val="007C3262"/>
    <w:rsid w:val="007C330C"/>
    <w:rsid w:val="007C3380"/>
    <w:rsid w:val="007C34AB"/>
    <w:rsid w:val="007C37BE"/>
    <w:rsid w:val="007C3CDF"/>
    <w:rsid w:val="007C3DF9"/>
    <w:rsid w:val="007C420F"/>
    <w:rsid w:val="007C44A5"/>
    <w:rsid w:val="007C460C"/>
    <w:rsid w:val="007C4619"/>
    <w:rsid w:val="007C4EC7"/>
    <w:rsid w:val="007C554E"/>
    <w:rsid w:val="007C559F"/>
    <w:rsid w:val="007C57E5"/>
    <w:rsid w:val="007C58AA"/>
    <w:rsid w:val="007C5C7A"/>
    <w:rsid w:val="007C6081"/>
    <w:rsid w:val="007C6294"/>
    <w:rsid w:val="007C6756"/>
    <w:rsid w:val="007C6CBB"/>
    <w:rsid w:val="007C6D35"/>
    <w:rsid w:val="007C703C"/>
    <w:rsid w:val="007C7228"/>
    <w:rsid w:val="007C731D"/>
    <w:rsid w:val="007D1119"/>
    <w:rsid w:val="007D15DD"/>
    <w:rsid w:val="007D1C76"/>
    <w:rsid w:val="007D1D47"/>
    <w:rsid w:val="007D1E17"/>
    <w:rsid w:val="007D1E55"/>
    <w:rsid w:val="007D22F2"/>
    <w:rsid w:val="007D23D5"/>
    <w:rsid w:val="007D24B8"/>
    <w:rsid w:val="007D2526"/>
    <w:rsid w:val="007D27CF"/>
    <w:rsid w:val="007D2C91"/>
    <w:rsid w:val="007D2D4B"/>
    <w:rsid w:val="007D2F94"/>
    <w:rsid w:val="007D3A4C"/>
    <w:rsid w:val="007D3EC2"/>
    <w:rsid w:val="007D3F16"/>
    <w:rsid w:val="007D409E"/>
    <w:rsid w:val="007D41A6"/>
    <w:rsid w:val="007D44EF"/>
    <w:rsid w:val="007D467D"/>
    <w:rsid w:val="007D4B40"/>
    <w:rsid w:val="007D4B87"/>
    <w:rsid w:val="007D4F4B"/>
    <w:rsid w:val="007D5185"/>
    <w:rsid w:val="007D51F0"/>
    <w:rsid w:val="007D5FAB"/>
    <w:rsid w:val="007D6082"/>
    <w:rsid w:val="007D6128"/>
    <w:rsid w:val="007D65D3"/>
    <w:rsid w:val="007D6E8E"/>
    <w:rsid w:val="007D71F1"/>
    <w:rsid w:val="007D7A7F"/>
    <w:rsid w:val="007E0157"/>
    <w:rsid w:val="007E07D6"/>
    <w:rsid w:val="007E084F"/>
    <w:rsid w:val="007E0874"/>
    <w:rsid w:val="007E0907"/>
    <w:rsid w:val="007E0933"/>
    <w:rsid w:val="007E0D95"/>
    <w:rsid w:val="007E0EE7"/>
    <w:rsid w:val="007E1E50"/>
    <w:rsid w:val="007E1F0B"/>
    <w:rsid w:val="007E1F8D"/>
    <w:rsid w:val="007E2146"/>
    <w:rsid w:val="007E2685"/>
    <w:rsid w:val="007E286F"/>
    <w:rsid w:val="007E2B37"/>
    <w:rsid w:val="007E2F9F"/>
    <w:rsid w:val="007E3067"/>
    <w:rsid w:val="007E3412"/>
    <w:rsid w:val="007E3823"/>
    <w:rsid w:val="007E3CA3"/>
    <w:rsid w:val="007E3FCA"/>
    <w:rsid w:val="007E418F"/>
    <w:rsid w:val="007E4235"/>
    <w:rsid w:val="007E44EF"/>
    <w:rsid w:val="007E45D7"/>
    <w:rsid w:val="007E48AF"/>
    <w:rsid w:val="007E48DD"/>
    <w:rsid w:val="007E4E22"/>
    <w:rsid w:val="007E4F00"/>
    <w:rsid w:val="007E50B9"/>
    <w:rsid w:val="007E5280"/>
    <w:rsid w:val="007E5B73"/>
    <w:rsid w:val="007E62CA"/>
    <w:rsid w:val="007E63F7"/>
    <w:rsid w:val="007E68DB"/>
    <w:rsid w:val="007E6E43"/>
    <w:rsid w:val="007E702C"/>
    <w:rsid w:val="007E78EB"/>
    <w:rsid w:val="007E7B19"/>
    <w:rsid w:val="007F0206"/>
    <w:rsid w:val="007F0460"/>
    <w:rsid w:val="007F0626"/>
    <w:rsid w:val="007F080E"/>
    <w:rsid w:val="007F1074"/>
    <w:rsid w:val="007F14EE"/>
    <w:rsid w:val="007F1841"/>
    <w:rsid w:val="007F1B77"/>
    <w:rsid w:val="007F1B9F"/>
    <w:rsid w:val="007F1CBD"/>
    <w:rsid w:val="007F21F8"/>
    <w:rsid w:val="007F2251"/>
    <w:rsid w:val="007F238F"/>
    <w:rsid w:val="007F2834"/>
    <w:rsid w:val="007F28A7"/>
    <w:rsid w:val="007F28F2"/>
    <w:rsid w:val="007F291D"/>
    <w:rsid w:val="007F2B1C"/>
    <w:rsid w:val="007F2DEE"/>
    <w:rsid w:val="007F3448"/>
    <w:rsid w:val="007F3DED"/>
    <w:rsid w:val="007F3F62"/>
    <w:rsid w:val="007F4077"/>
    <w:rsid w:val="007F4F42"/>
    <w:rsid w:val="007F5186"/>
    <w:rsid w:val="007F559D"/>
    <w:rsid w:val="007F567A"/>
    <w:rsid w:val="007F5F8E"/>
    <w:rsid w:val="007F6162"/>
    <w:rsid w:val="007F65EE"/>
    <w:rsid w:val="007F6812"/>
    <w:rsid w:val="007F6DF9"/>
    <w:rsid w:val="007F744A"/>
    <w:rsid w:val="007F7548"/>
    <w:rsid w:val="007F7897"/>
    <w:rsid w:val="007F7BC3"/>
    <w:rsid w:val="007F7D49"/>
    <w:rsid w:val="007F7DC3"/>
    <w:rsid w:val="007F7E76"/>
    <w:rsid w:val="007F7F61"/>
    <w:rsid w:val="00800127"/>
    <w:rsid w:val="008001AD"/>
    <w:rsid w:val="008006A5"/>
    <w:rsid w:val="00800A35"/>
    <w:rsid w:val="00800D8A"/>
    <w:rsid w:val="00801048"/>
    <w:rsid w:val="00801260"/>
    <w:rsid w:val="00801268"/>
    <w:rsid w:val="00801F5F"/>
    <w:rsid w:val="00802198"/>
    <w:rsid w:val="0080281D"/>
    <w:rsid w:val="008028E2"/>
    <w:rsid w:val="00802D4C"/>
    <w:rsid w:val="008031EC"/>
    <w:rsid w:val="00803286"/>
    <w:rsid w:val="008035F0"/>
    <w:rsid w:val="00803B51"/>
    <w:rsid w:val="00803C69"/>
    <w:rsid w:val="0080421E"/>
    <w:rsid w:val="0080507E"/>
    <w:rsid w:val="008051F6"/>
    <w:rsid w:val="00805CB5"/>
    <w:rsid w:val="00805DEB"/>
    <w:rsid w:val="00805FA8"/>
    <w:rsid w:val="008063D6"/>
    <w:rsid w:val="0080656B"/>
    <w:rsid w:val="008066B5"/>
    <w:rsid w:val="008066E0"/>
    <w:rsid w:val="00806D5B"/>
    <w:rsid w:val="00806E40"/>
    <w:rsid w:val="008072DF"/>
    <w:rsid w:val="008077E3"/>
    <w:rsid w:val="0080792A"/>
    <w:rsid w:val="00807A0C"/>
    <w:rsid w:val="00807A3A"/>
    <w:rsid w:val="00807F3B"/>
    <w:rsid w:val="00807F3E"/>
    <w:rsid w:val="00807F65"/>
    <w:rsid w:val="00810ADB"/>
    <w:rsid w:val="00810D5C"/>
    <w:rsid w:val="008110EF"/>
    <w:rsid w:val="0081134F"/>
    <w:rsid w:val="00811736"/>
    <w:rsid w:val="00811B8D"/>
    <w:rsid w:val="00811D47"/>
    <w:rsid w:val="00812400"/>
    <w:rsid w:val="00812691"/>
    <w:rsid w:val="008127F2"/>
    <w:rsid w:val="00812B6F"/>
    <w:rsid w:val="008130AF"/>
    <w:rsid w:val="008131D8"/>
    <w:rsid w:val="0081322D"/>
    <w:rsid w:val="008136D8"/>
    <w:rsid w:val="0081396D"/>
    <w:rsid w:val="00813A23"/>
    <w:rsid w:val="00813A32"/>
    <w:rsid w:val="00813B2E"/>
    <w:rsid w:val="00813CE6"/>
    <w:rsid w:val="00813EA5"/>
    <w:rsid w:val="008145B3"/>
    <w:rsid w:val="008149E5"/>
    <w:rsid w:val="00814C44"/>
    <w:rsid w:val="008152E0"/>
    <w:rsid w:val="00815807"/>
    <w:rsid w:val="008159DF"/>
    <w:rsid w:val="00815B16"/>
    <w:rsid w:val="00815ECA"/>
    <w:rsid w:val="00815F3A"/>
    <w:rsid w:val="00815FE0"/>
    <w:rsid w:val="0081605E"/>
    <w:rsid w:val="008160DB"/>
    <w:rsid w:val="008166AD"/>
    <w:rsid w:val="0081673D"/>
    <w:rsid w:val="00816A93"/>
    <w:rsid w:val="00816C75"/>
    <w:rsid w:val="0081702F"/>
    <w:rsid w:val="00817299"/>
    <w:rsid w:val="00817835"/>
    <w:rsid w:val="00817866"/>
    <w:rsid w:val="00817AF5"/>
    <w:rsid w:val="0082066C"/>
    <w:rsid w:val="008209DE"/>
    <w:rsid w:val="00820BE6"/>
    <w:rsid w:val="00820D43"/>
    <w:rsid w:val="00821280"/>
    <w:rsid w:val="008214F9"/>
    <w:rsid w:val="00821859"/>
    <w:rsid w:val="00821ECF"/>
    <w:rsid w:val="0082233B"/>
    <w:rsid w:val="00822F35"/>
    <w:rsid w:val="008230F9"/>
    <w:rsid w:val="008233BD"/>
    <w:rsid w:val="00823904"/>
    <w:rsid w:val="00823A8F"/>
    <w:rsid w:val="00823C33"/>
    <w:rsid w:val="00823F68"/>
    <w:rsid w:val="00824700"/>
    <w:rsid w:val="008248A8"/>
    <w:rsid w:val="00824BB0"/>
    <w:rsid w:val="00824F50"/>
    <w:rsid w:val="00825156"/>
    <w:rsid w:val="0082519A"/>
    <w:rsid w:val="00825236"/>
    <w:rsid w:val="008252E9"/>
    <w:rsid w:val="008253A7"/>
    <w:rsid w:val="008258BE"/>
    <w:rsid w:val="00825FF2"/>
    <w:rsid w:val="008260C7"/>
    <w:rsid w:val="0082619D"/>
    <w:rsid w:val="008263FA"/>
    <w:rsid w:val="008266E9"/>
    <w:rsid w:val="00826877"/>
    <w:rsid w:val="00826B10"/>
    <w:rsid w:val="00826D69"/>
    <w:rsid w:val="00826F60"/>
    <w:rsid w:val="00827158"/>
    <w:rsid w:val="00827195"/>
    <w:rsid w:val="008272F1"/>
    <w:rsid w:val="008274AB"/>
    <w:rsid w:val="00827857"/>
    <w:rsid w:val="00827A6F"/>
    <w:rsid w:val="00827D92"/>
    <w:rsid w:val="0082FCB8"/>
    <w:rsid w:val="008301F9"/>
    <w:rsid w:val="00830B0D"/>
    <w:rsid w:val="00830D4C"/>
    <w:rsid w:val="00830E07"/>
    <w:rsid w:val="00831602"/>
    <w:rsid w:val="008316B6"/>
    <w:rsid w:val="008318E7"/>
    <w:rsid w:val="00831CAA"/>
    <w:rsid w:val="00831E44"/>
    <w:rsid w:val="008321C7"/>
    <w:rsid w:val="00832232"/>
    <w:rsid w:val="00832308"/>
    <w:rsid w:val="00832AE6"/>
    <w:rsid w:val="00832F57"/>
    <w:rsid w:val="00833211"/>
    <w:rsid w:val="00833663"/>
    <w:rsid w:val="00833685"/>
    <w:rsid w:val="0083380D"/>
    <w:rsid w:val="00833A62"/>
    <w:rsid w:val="00834396"/>
    <w:rsid w:val="00834E3C"/>
    <w:rsid w:val="008350FF"/>
    <w:rsid w:val="0083516C"/>
    <w:rsid w:val="0083562D"/>
    <w:rsid w:val="00835700"/>
    <w:rsid w:val="0083574A"/>
    <w:rsid w:val="008358C1"/>
    <w:rsid w:val="00835CA1"/>
    <w:rsid w:val="00835D73"/>
    <w:rsid w:val="0083605F"/>
    <w:rsid w:val="0083681B"/>
    <w:rsid w:val="00836D39"/>
    <w:rsid w:val="00836EA1"/>
    <w:rsid w:val="00837030"/>
    <w:rsid w:val="008375E6"/>
    <w:rsid w:val="008377F2"/>
    <w:rsid w:val="00837910"/>
    <w:rsid w:val="008379BF"/>
    <w:rsid w:val="00837D43"/>
    <w:rsid w:val="00837F0D"/>
    <w:rsid w:val="0084004B"/>
    <w:rsid w:val="00840B6F"/>
    <w:rsid w:val="00840DCC"/>
    <w:rsid w:val="00840FAC"/>
    <w:rsid w:val="0084123C"/>
    <w:rsid w:val="008413CB"/>
    <w:rsid w:val="008413F0"/>
    <w:rsid w:val="00841D52"/>
    <w:rsid w:val="00842559"/>
    <w:rsid w:val="00842759"/>
    <w:rsid w:val="00842F6C"/>
    <w:rsid w:val="00842F9D"/>
    <w:rsid w:val="00843933"/>
    <w:rsid w:val="00843969"/>
    <w:rsid w:val="00843D3E"/>
    <w:rsid w:val="00843E02"/>
    <w:rsid w:val="008442B8"/>
    <w:rsid w:val="0084433C"/>
    <w:rsid w:val="00844D44"/>
    <w:rsid w:val="00844EB4"/>
    <w:rsid w:val="00844EC5"/>
    <w:rsid w:val="00845466"/>
    <w:rsid w:val="008459A1"/>
    <w:rsid w:val="00845C9F"/>
    <w:rsid w:val="008461A1"/>
    <w:rsid w:val="00846346"/>
    <w:rsid w:val="00846425"/>
    <w:rsid w:val="008466BC"/>
    <w:rsid w:val="00846706"/>
    <w:rsid w:val="00846841"/>
    <w:rsid w:val="00846A03"/>
    <w:rsid w:val="00847499"/>
    <w:rsid w:val="0084753B"/>
    <w:rsid w:val="00847A46"/>
    <w:rsid w:val="00847DFB"/>
    <w:rsid w:val="00847E44"/>
    <w:rsid w:val="00847E5E"/>
    <w:rsid w:val="00847F0C"/>
    <w:rsid w:val="00847F86"/>
    <w:rsid w:val="0085051B"/>
    <w:rsid w:val="00850555"/>
    <w:rsid w:val="0085060F"/>
    <w:rsid w:val="00851207"/>
    <w:rsid w:val="00851485"/>
    <w:rsid w:val="008514DC"/>
    <w:rsid w:val="00851555"/>
    <w:rsid w:val="00851D18"/>
    <w:rsid w:val="00851DE0"/>
    <w:rsid w:val="00852116"/>
    <w:rsid w:val="0085226D"/>
    <w:rsid w:val="0085276E"/>
    <w:rsid w:val="00852913"/>
    <w:rsid w:val="00852917"/>
    <w:rsid w:val="00852A01"/>
    <w:rsid w:val="00852A29"/>
    <w:rsid w:val="00852E6A"/>
    <w:rsid w:val="00852EB7"/>
    <w:rsid w:val="008531E5"/>
    <w:rsid w:val="0085383A"/>
    <w:rsid w:val="00853A75"/>
    <w:rsid w:val="00853BDF"/>
    <w:rsid w:val="0085414C"/>
    <w:rsid w:val="0085444F"/>
    <w:rsid w:val="0085450F"/>
    <w:rsid w:val="00854899"/>
    <w:rsid w:val="008548B9"/>
    <w:rsid w:val="008549B4"/>
    <w:rsid w:val="00854BBA"/>
    <w:rsid w:val="00855247"/>
    <w:rsid w:val="008554C5"/>
    <w:rsid w:val="0085558F"/>
    <w:rsid w:val="0085574E"/>
    <w:rsid w:val="00855786"/>
    <w:rsid w:val="008557D2"/>
    <w:rsid w:val="0085621D"/>
    <w:rsid w:val="008562FA"/>
    <w:rsid w:val="00856341"/>
    <w:rsid w:val="00856414"/>
    <w:rsid w:val="008566F8"/>
    <w:rsid w:val="00856920"/>
    <w:rsid w:val="00856B7A"/>
    <w:rsid w:val="00857325"/>
    <w:rsid w:val="00857799"/>
    <w:rsid w:val="00857DFC"/>
    <w:rsid w:val="00857F1E"/>
    <w:rsid w:val="00860018"/>
    <w:rsid w:val="0086134C"/>
    <w:rsid w:val="00861350"/>
    <w:rsid w:val="00861368"/>
    <w:rsid w:val="00861431"/>
    <w:rsid w:val="00861491"/>
    <w:rsid w:val="0086150F"/>
    <w:rsid w:val="008615FB"/>
    <w:rsid w:val="00861A5E"/>
    <w:rsid w:val="00861A8D"/>
    <w:rsid w:val="00861FFC"/>
    <w:rsid w:val="00862066"/>
    <w:rsid w:val="008624C1"/>
    <w:rsid w:val="008625F0"/>
    <w:rsid w:val="00862604"/>
    <w:rsid w:val="00862608"/>
    <w:rsid w:val="00862ABC"/>
    <w:rsid w:val="00863192"/>
    <w:rsid w:val="008632D1"/>
    <w:rsid w:val="0086342D"/>
    <w:rsid w:val="0086368A"/>
    <w:rsid w:val="0086387F"/>
    <w:rsid w:val="00863C3B"/>
    <w:rsid w:val="00863CD4"/>
    <w:rsid w:val="0086411E"/>
    <w:rsid w:val="00864204"/>
    <w:rsid w:val="0086420D"/>
    <w:rsid w:val="008647AF"/>
    <w:rsid w:val="008647CF"/>
    <w:rsid w:val="0086483D"/>
    <w:rsid w:val="00864F39"/>
    <w:rsid w:val="00865117"/>
    <w:rsid w:val="008652F3"/>
    <w:rsid w:val="008653EA"/>
    <w:rsid w:val="00865554"/>
    <w:rsid w:val="00865793"/>
    <w:rsid w:val="00865CBA"/>
    <w:rsid w:val="008664DA"/>
    <w:rsid w:val="00866F5F"/>
    <w:rsid w:val="00866FDC"/>
    <w:rsid w:val="00867084"/>
    <w:rsid w:val="00867667"/>
    <w:rsid w:val="00867AAC"/>
    <w:rsid w:val="00867BA8"/>
    <w:rsid w:val="00867E05"/>
    <w:rsid w:val="008704C3"/>
    <w:rsid w:val="00870B6B"/>
    <w:rsid w:val="00870DF7"/>
    <w:rsid w:val="00870E3E"/>
    <w:rsid w:val="00870F25"/>
    <w:rsid w:val="00870F5A"/>
    <w:rsid w:val="008710B4"/>
    <w:rsid w:val="00871440"/>
    <w:rsid w:val="00871518"/>
    <w:rsid w:val="008715FB"/>
    <w:rsid w:val="00871758"/>
    <w:rsid w:val="00871895"/>
    <w:rsid w:val="00872033"/>
    <w:rsid w:val="0087212A"/>
    <w:rsid w:val="008722CC"/>
    <w:rsid w:val="0087289A"/>
    <w:rsid w:val="0087299F"/>
    <w:rsid w:val="00872A51"/>
    <w:rsid w:val="00872AF0"/>
    <w:rsid w:val="00872E40"/>
    <w:rsid w:val="00872F71"/>
    <w:rsid w:val="0087306B"/>
    <w:rsid w:val="00873453"/>
    <w:rsid w:val="008734AC"/>
    <w:rsid w:val="00873A3B"/>
    <w:rsid w:val="00873CE2"/>
    <w:rsid w:val="00873D22"/>
    <w:rsid w:val="00873D36"/>
    <w:rsid w:val="00873EE4"/>
    <w:rsid w:val="008743F6"/>
    <w:rsid w:val="00874630"/>
    <w:rsid w:val="00874D3C"/>
    <w:rsid w:val="0087546A"/>
    <w:rsid w:val="008754ED"/>
    <w:rsid w:val="008755A3"/>
    <w:rsid w:val="008756CE"/>
    <w:rsid w:val="008756FE"/>
    <w:rsid w:val="00875AE0"/>
    <w:rsid w:val="00875D46"/>
    <w:rsid w:val="00875F93"/>
    <w:rsid w:val="008760A5"/>
    <w:rsid w:val="008766AB"/>
    <w:rsid w:val="008767E3"/>
    <w:rsid w:val="00876F80"/>
    <w:rsid w:val="00877114"/>
    <w:rsid w:val="00877195"/>
    <w:rsid w:val="00877756"/>
    <w:rsid w:val="008779C9"/>
    <w:rsid w:val="00877D38"/>
    <w:rsid w:val="0088027A"/>
    <w:rsid w:val="008808FE"/>
    <w:rsid w:val="00880923"/>
    <w:rsid w:val="00880C77"/>
    <w:rsid w:val="00880CC8"/>
    <w:rsid w:val="00880F36"/>
    <w:rsid w:val="00880F4B"/>
    <w:rsid w:val="0088112B"/>
    <w:rsid w:val="00881BC8"/>
    <w:rsid w:val="00881CD6"/>
    <w:rsid w:val="00881E1E"/>
    <w:rsid w:val="00881E51"/>
    <w:rsid w:val="008820FA"/>
    <w:rsid w:val="00882490"/>
    <w:rsid w:val="008825A6"/>
    <w:rsid w:val="008829C5"/>
    <w:rsid w:val="0088335D"/>
    <w:rsid w:val="00883DCB"/>
    <w:rsid w:val="00883E6F"/>
    <w:rsid w:val="00883FB3"/>
    <w:rsid w:val="0088454A"/>
    <w:rsid w:val="0088458D"/>
    <w:rsid w:val="008847E2"/>
    <w:rsid w:val="00884995"/>
    <w:rsid w:val="00884DD7"/>
    <w:rsid w:val="00884E86"/>
    <w:rsid w:val="00884EC4"/>
    <w:rsid w:val="0088502B"/>
    <w:rsid w:val="0088533E"/>
    <w:rsid w:val="00885733"/>
    <w:rsid w:val="00885876"/>
    <w:rsid w:val="0088598E"/>
    <w:rsid w:val="00885999"/>
    <w:rsid w:val="00885AFB"/>
    <w:rsid w:val="00885C4B"/>
    <w:rsid w:val="00886E04"/>
    <w:rsid w:val="00886EC6"/>
    <w:rsid w:val="00887117"/>
    <w:rsid w:val="0088731F"/>
    <w:rsid w:val="008876FF"/>
    <w:rsid w:val="00887779"/>
    <w:rsid w:val="008903E4"/>
    <w:rsid w:val="00890837"/>
    <w:rsid w:val="00890842"/>
    <w:rsid w:val="00890894"/>
    <w:rsid w:val="00890C67"/>
    <w:rsid w:val="00890CB8"/>
    <w:rsid w:val="00891318"/>
    <w:rsid w:val="0089176B"/>
    <w:rsid w:val="0089185C"/>
    <w:rsid w:val="0089191B"/>
    <w:rsid w:val="00892759"/>
    <w:rsid w:val="00892D96"/>
    <w:rsid w:val="00892E52"/>
    <w:rsid w:val="008939C6"/>
    <w:rsid w:val="00893BC4"/>
    <w:rsid w:val="00894095"/>
    <w:rsid w:val="008941B0"/>
    <w:rsid w:val="008941F6"/>
    <w:rsid w:val="008942A3"/>
    <w:rsid w:val="008942BE"/>
    <w:rsid w:val="008945F0"/>
    <w:rsid w:val="00894818"/>
    <w:rsid w:val="00894848"/>
    <w:rsid w:val="00894964"/>
    <w:rsid w:val="008949CB"/>
    <w:rsid w:val="00894A33"/>
    <w:rsid w:val="008951FB"/>
    <w:rsid w:val="008953CE"/>
    <w:rsid w:val="0089634B"/>
    <w:rsid w:val="0089685A"/>
    <w:rsid w:val="008968A4"/>
    <w:rsid w:val="00896A95"/>
    <w:rsid w:val="00896C28"/>
    <w:rsid w:val="00897115"/>
    <w:rsid w:val="0089766C"/>
    <w:rsid w:val="008A06A9"/>
    <w:rsid w:val="008A0722"/>
    <w:rsid w:val="008A099C"/>
    <w:rsid w:val="008A0EEE"/>
    <w:rsid w:val="008A1B5E"/>
    <w:rsid w:val="008A1C71"/>
    <w:rsid w:val="008A1D86"/>
    <w:rsid w:val="008A1F87"/>
    <w:rsid w:val="008A20EA"/>
    <w:rsid w:val="008A219F"/>
    <w:rsid w:val="008A2588"/>
    <w:rsid w:val="008A25B2"/>
    <w:rsid w:val="008A2F30"/>
    <w:rsid w:val="008A2FE6"/>
    <w:rsid w:val="008A3628"/>
    <w:rsid w:val="008A3A90"/>
    <w:rsid w:val="008A3E1C"/>
    <w:rsid w:val="008A40BA"/>
    <w:rsid w:val="008A4A54"/>
    <w:rsid w:val="008A4A8C"/>
    <w:rsid w:val="008A4C5A"/>
    <w:rsid w:val="008A523D"/>
    <w:rsid w:val="008A5310"/>
    <w:rsid w:val="008A5735"/>
    <w:rsid w:val="008A5B00"/>
    <w:rsid w:val="008A5C93"/>
    <w:rsid w:val="008A615D"/>
    <w:rsid w:val="008A72B4"/>
    <w:rsid w:val="008B01F7"/>
    <w:rsid w:val="008B0B48"/>
    <w:rsid w:val="008B10F2"/>
    <w:rsid w:val="008B10F8"/>
    <w:rsid w:val="008B1225"/>
    <w:rsid w:val="008B1430"/>
    <w:rsid w:val="008B149A"/>
    <w:rsid w:val="008B15B3"/>
    <w:rsid w:val="008B1FEF"/>
    <w:rsid w:val="008B2144"/>
    <w:rsid w:val="008B22F0"/>
    <w:rsid w:val="008B24FA"/>
    <w:rsid w:val="008B2536"/>
    <w:rsid w:val="008B2758"/>
    <w:rsid w:val="008B2A85"/>
    <w:rsid w:val="008B2B07"/>
    <w:rsid w:val="008B3730"/>
    <w:rsid w:val="008B4131"/>
    <w:rsid w:val="008B4180"/>
    <w:rsid w:val="008B4350"/>
    <w:rsid w:val="008B4855"/>
    <w:rsid w:val="008B4D5E"/>
    <w:rsid w:val="008B4E81"/>
    <w:rsid w:val="008B5276"/>
    <w:rsid w:val="008B57D6"/>
    <w:rsid w:val="008B57E1"/>
    <w:rsid w:val="008B5886"/>
    <w:rsid w:val="008B6580"/>
    <w:rsid w:val="008B660D"/>
    <w:rsid w:val="008B6A1D"/>
    <w:rsid w:val="008B6D0F"/>
    <w:rsid w:val="008B7572"/>
    <w:rsid w:val="008B7DDA"/>
    <w:rsid w:val="008C0040"/>
    <w:rsid w:val="008C0256"/>
    <w:rsid w:val="008C05AB"/>
    <w:rsid w:val="008C08A6"/>
    <w:rsid w:val="008C0BA3"/>
    <w:rsid w:val="008C0D3A"/>
    <w:rsid w:val="008C1387"/>
    <w:rsid w:val="008C13F7"/>
    <w:rsid w:val="008C140A"/>
    <w:rsid w:val="008C1528"/>
    <w:rsid w:val="008C17D0"/>
    <w:rsid w:val="008C191C"/>
    <w:rsid w:val="008C1A70"/>
    <w:rsid w:val="008C2052"/>
    <w:rsid w:val="008C2280"/>
    <w:rsid w:val="008C22BD"/>
    <w:rsid w:val="008C26A9"/>
    <w:rsid w:val="008C2A11"/>
    <w:rsid w:val="008C2BB2"/>
    <w:rsid w:val="008C2D34"/>
    <w:rsid w:val="008C3006"/>
    <w:rsid w:val="008C316C"/>
    <w:rsid w:val="008C3283"/>
    <w:rsid w:val="008C365D"/>
    <w:rsid w:val="008C36F3"/>
    <w:rsid w:val="008C3764"/>
    <w:rsid w:val="008C37A0"/>
    <w:rsid w:val="008C3A72"/>
    <w:rsid w:val="008C3C7D"/>
    <w:rsid w:val="008C3ED8"/>
    <w:rsid w:val="008C3F31"/>
    <w:rsid w:val="008C3FFE"/>
    <w:rsid w:val="008C4176"/>
    <w:rsid w:val="008C4FC2"/>
    <w:rsid w:val="008C5118"/>
    <w:rsid w:val="008C53D1"/>
    <w:rsid w:val="008C58B9"/>
    <w:rsid w:val="008C6202"/>
    <w:rsid w:val="008C62FC"/>
    <w:rsid w:val="008C6349"/>
    <w:rsid w:val="008C6B72"/>
    <w:rsid w:val="008C70E6"/>
    <w:rsid w:val="008C7156"/>
    <w:rsid w:val="008C723B"/>
    <w:rsid w:val="008C764F"/>
    <w:rsid w:val="008C7BAA"/>
    <w:rsid w:val="008D02D6"/>
    <w:rsid w:val="008D073E"/>
    <w:rsid w:val="008D0855"/>
    <w:rsid w:val="008D12AE"/>
    <w:rsid w:val="008D16BA"/>
    <w:rsid w:val="008D173D"/>
    <w:rsid w:val="008D18E5"/>
    <w:rsid w:val="008D1A6C"/>
    <w:rsid w:val="008D28AC"/>
    <w:rsid w:val="008D2933"/>
    <w:rsid w:val="008D2E1B"/>
    <w:rsid w:val="008D2F67"/>
    <w:rsid w:val="008D303E"/>
    <w:rsid w:val="008D33A7"/>
    <w:rsid w:val="008D3580"/>
    <w:rsid w:val="008D38CA"/>
    <w:rsid w:val="008D3CBE"/>
    <w:rsid w:val="008D3D6D"/>
    <w:rsid w:val="008D3F41"/>
    <w:rsid w:val="008D4272"/>
    <w:rsid w:val="008D4528"/>
    <w:rsid w:val="008D47B0"/>
    <w:rsid w:val="008D4B82"/>
    <w:rsid w:val="008D4B9B"/>
    <w:rsid w:val="008D4F62"/>
    <w:rsid w:val="008D5561"/>
    <w:rsid w:val="008D560B"/>
    <w:rsid w:val="008D563A"/>
    <w:rsid w:val="008D5D0F"/>
    <w:rsid w:val="008D5E11"/>
    <w:rsid w:val="008D5F31"/>
    <w:rsid w:val="008D60B6"/>
    <w:rsid w:val="008D65CB"/>
    <w:rsid w:val="008D66F9"/>
    <w:rsid w:val="008D6C9E"/>
    <w:rsid w:val="008D70AB"/>
    <w:rsid w:val="008D7249"/>
    <w:rsid w:val="008D7323"/>
    <w:rsid w:val="008D732E"/>
    <w:rsid w:val="008D7330"/>
    <w:rsid w:val="008D73AC"/>
    <w:rsid w:val="008D74A7"/>
    <w:rsid w:val="008D7B3E"/>
    <w:rsid w:val="008D7C77"/>
    <w:rsid w:val="008D7DA9"/>
    <w:rsid w:val="008D7FF1"/>
    <w:rsid w:val="008E02CF"/>
    <w:rsid w:val="008E0367"/>
    <w:rsid w:val="008E099C"/>
    <w:rsid w:val="008E0EB4"/>
    <w:rsid w:val="008E0F5E"/>
    <w:rsid w:val="008E1048"/>
    <w:rsid w:val="008E11B3"/>
    <w:rsid w:val="008E14E6"/>
    <w:rsid w:val="008E1DAF"/>
    <w:rsid w:val="008E2190"/>
    <w:rsid w:val="008E23C8"/>
    <w:rsid w:val="008E26A3"/>
    <w:rsid w:val="008E2869"/>
    <w:rsid w:val="008E2982"/>
    <w:rsid w:val="008E2AE3"/>
    <w:rsid w:val="008E2BF4"/>
    <w:rsid w:val="008E2C49"/>
    <w:rsid w:val="008E2D5C"/>
    <w:rsid w:val="008E2ECE"/>
    <w:rsid w:val="008E431C"/>
    <w:rsid w:val="008E453E"/>
    <w:rsid w:val="008E4639"/>
    <w:rsid w:val="008E495F"/>
    <w:rsid w:val="008E4A18"/>
    <w:rsid w:val="008E4BD3"/>
    <w:rsid w:val="008E4D2C"/>
    <w:rsid w:val="008E4E6C"/>
    <w:rsid w:val="008E4EB7"/>
    <w:rsid w:val="008E5517"/>
    <w:rsid w:val="008E592E"/>
    <w:rsid w:val="008E5C31"/>
    <w:rsid w:val="008E5D92"/>
    <w:rsid w:val="008E6269"/>
    <w:rsid w:val="008E636B"/>
    <w:rsid w:val="008E651A"/>
    <w:rsid w:val="008E6663"/>
    <w:rsid w:val="008E6925"/>
    <w:rsid w:val="008E6B62"/>
    <w:rsid w:val="008E7035"/>
    <w:rsid w:val="008E7044"/>
    <w:rsid w:val="008E7151"/>
    <w:rsid w:val="008E7171"/>
    <w:rsid w:val="008E73E6"/>
    <w:rsid w:val="008E7513"/>
    <w:rsid w:val="008E7524"/>
    <w:rsid w:val="008E7870"/>
    <w:rsid w:val="008E78B8"/>
    <w:rsid w:val="008E7DEC"/>
    <w:rsid w:val="008E7F4B"/>
    <w:rsid w:val="008F00D0"/>
    <w:rsid w:val="008F0449"/>
    <w:rsid w:val="008F0995"/>
    <w:rsid w:val="008F0A74"/>
    <w:rsid w:val="008F0B12"/>
    <w:rsid w:val="008F0B68"/>
    <w:rsid w:val="008F0B7C"/>
    <w:rsid w:val="008F0BDA"/>
    <w:rsid w:val="008F0CCF"/>
    <w:rsid w:val="008F0F42"/>
    <w:rsid w:val="008F0F56"/>
    <w:rsid w:val="008F1A7E"/>
    <w:rsid w:val="008F1F28"/>
    <w:rsid w:val="008F24CE"/>
    <w:rsid w:val="008F2947"/>
    <w:rsid w:val="008F2E49"/>
    <w:rsid w:val="008F3220"/>
    <w:rsid w:val="008F34D2"/>
    <w:rsid w:val="008F364B"/>
    <w:rsid w:val="008F370F"/>
    <w:rsid w:val="008F3832"/>
    <w:rsid w:val="008F3C3A"/>
    <w:rsid w:val="008F4038"/>
    <w:rsid w:val="008F4256"/>
    <w:rsid w:val="008F4BD8"/>
    <w:rsid w:val="008F4C6E"/>
    <w:rsid w:val="008F4D17"/>
    <w:rsid w:val="008F500D"/>
    <w:rsid w:val="008F532A"/>
    <w:rsid w:val="008F5371"/>
    <w:rsid w:val="008F54B6"/>
    <w:rsid w:val="008F5693"/>
    <w:rsid w:val="008F5759"/>
    <w:rsid w:val="008F5D87"/>
    <w:rsid w:val="008F5DED"/>
    <w:rsid w:val="008F60D9"/>
    <w:rsid w:val="008F6376"/>
    <w:rsid w:val="008F66D6"/>
    <w:rsid w:val="008F670A"/>
    <w:rsid w:val="008F68DE"/>
    <w:rsid w:val="008F6E0D"/>
    <w:rsid w:val="008F6E1C"/>
    <w:rsid w:val="008F6F26"/>
    <w:rsid w:val="008F6FFC"/>
    <w:rsid w:val="008F7238"/>
    <w:rsid w:val="008F7BA5"/>
    <w:rsid w:val="008F7C8C"/>
    <w:rsid w:val="008F7DCA"/>
    <w:rsid w:val="008F7E29"/>
    <w:rsid w:val="008F7FC9"/>
    <w:rsid w:val="008FD888"/>
    <w:rsid w:val="00900012"/>
    <w:rsid w:val="0090014C"/>
    <w:rsid w:val="009003A3"/>
    <w:rsid w:val="0090056C"/>
    <w:rsid w:val="009008C0"/>
    <w:rsid w:val="00900CB1"/>
    <w:rsid w:val="00901388"/>
    <w:rsid w:val="00901DAC"/>
    <w:rsid w:val="00901DC2"/>
    <w:rsid w:val="00902245"/>
    <w:rsid w:val="0090234A"/>
    <w:rsid w:val="00902461"/>
    <w:rsid w:val="00902A81"/>
    <w:rsid w:val="00902C4C"/>
    <w:rsid w:val="00902FB6"/>
    <w:rsid w:val="0090315F"/>
    <w:rsid w:val="00903272"/>
    <w:rsid w:val="00903558"/>
    <w:rsid w:val="00903612"/>
    <w:rsid w:val="00903D2A"/>
    <w:rsid w:val="0090431A"/>
    <w:rsid w:val="0090447D"/>
    <w:rsid w:val="009046EB"/>
    <w:rsid w:val="0090491C"/>
    <w:rsid w:val="009050F0"/>
    <w:rsid w:val="00905299"/>
    <w:rsid w:val="00905F2D"/>
    <w:rsid w:val="009066FB"/>
    <w:rsid w:val="009068E5"/>
    <w:rsid w:val="00906AE9"/>
    <w:rsid w:val="00906FFF"/>
    <w:rsid w:val="009070CC"/>
    <w:rsid w:val="00907279"/>
    <w:rsid w:val="009072C1"/>
    <w:rsid w:val="00907875"/>
    <w:rsid w:val="0090798B"/>
    <w:rsid w:val="0090799D"/>
    <w:rsid w:val="00907E1D"/>
    <w:rsid w:val="00907F4C"/>
    <w:rsid w:val="009108B3"/>
    <w:rsid w:val="00910E2C"/>
    <w:rsid w:val="00910E7A"/>
    <w:rsid w:val="009112D6"/>
    <w:rsid w:val="009114B8"/>
    <w:rsid w:val="009115A6"/>
    <w:rsid w:val="00911AB0"/>
    <w:rsid w:val="00911F4F"/>
    <w:rsid w:val="009120B0"/>
    <w:rsid w:val="00912522"/>
    <w:rsid w:val="009127AB"/>
    <w:rsid w:val="0091288E"/>
    <w:rsid w:val="00912C97"/>
    <w:rsid w:val="00912EA3"/>
    <w:rsid w:val="009136F9"/>
    <w:rsid w:val="00913754"/>
    <w:rsid w:val="00913870"/>
    <w:rsid w:val="00913D44"/>
    <w:rsid w:val="00913D92"/>
    <w:rsid w:val="00913EF8"/>
    <w:rsid w:val="00913F07"/>
    <w:rsid w:val="00914194"/>
    <w:rsid w:val="00914C2B"/>
    <w:rsid w:val="009155A8"/>
    <w:rsid w:val="00915647"/>
    <w:rsid w:val="009158BA"/>
    <w:rsid w:val="00915FFB"/>
    <w:rsid w:val="0091624F"/>
    <w:rsid w:val="0091629A"/>
    <w:rsid w:val="0091653A"/>
    <w:rsid w:val="009166C7"/>
    <w:rsid w:val="009167A5"/>
    <w:rsid w:val="00917484"/>
    <w:rsid w:val="00917F0D"/>
    <w:rsid w:val="00917F2C"/>
    <w:rsid w:val="00920BF0"/>
    <w:rsid w:val="00920C63"/>
    <w:rsid w:val="00921952"/>
    <w:rsid w:val="00921E64"/>
    <w:rsid w:val="00922050"/>
    <w:rsid w:val="00922601"/>
    <w:rsid w:val="0092298A"/>
    <w:rsid w:val="00922A4B"/>
    <w:rsid w:val="00922BB6"/>
    <w:rsid w:val="00922D85"/>
    <w:rsid w:val="00923063"/>
    <w:rsid w:val="00923408"/>
    <w:rsid w:val="00923841"/>
    <w:rsid w:val="00923E92"/>
    <w:rsid w:val="009241D2"/>
    <w:rsid w:val="00924351"/>
    <w:rsid w:val="00924355"/>
    <w:rsid w:val="00924963"/>
    <w:rsid w:val="00924BCA"/>
    <w:rsid w:val="00924E55"/>
    <w:rsid w:val="009252F7"/>
    <w:rsid w:val="009255AC"/>
    <w:rsid w:val="0092575C"/>
    <w:rsid w:val="009257B6"/>
    <w:rsid w:val="00925D0E"/>
    <w:rsid w:val="00925E78"/>
    <w:rsid w:val="0092606A"/>
    <w:rsid w:val="009264F3"/>
    <w:rsid w:val="00926F0F"/>
    <w:rsid w:val="00926FDF"/>
    <w:rsid w:val="00927258"/>
    <w:rsid w:val="009274C8"/>
    <w:rsid w:val="009279A1"/>
    <w:rsid w:val="00927E3A"/>
    <w:rsid w:val="00927FDA"/>
    <w:rsid w:val="009307BD"/>
    <w:rsid w:val="00930A9C"/>
    <w:rsid w:val="00930DE6"/>
    <w:rsid w:val="0093130C"/>
    <w:rsid w:val="00931856"/>
    <w:rsid w:val="00931D5A"/>
    <w:rsid w:val="009322F1"/>
    <w:rsid w:val="00932765"/>
    <w:rsid w:val="009329BC"/>
    <w:rsid w:val="00932BA2"/>
    <w:rsid w:val="00932BB0"/>
    <w:rsid w:val="00932DFD"/>
    <w:rsid w:val="00933158"/>
    <w:rsid w:val="009331B3"/>
    <w:rsid w:val="00933295"/>
    <w:rsid w:val="00933306"/>
    <w:rsid w:val="00933493"/>
    <w:rsid w:val="009338B4"/>
    <w:rsid w:val="00933A79"/>
    <w:rsid w:val="00933C7B"/>
    <w:rsid w:val="00933DAC"/>
    <w:rsid w:val="00933F92"/>
    <w:rsid w:val="00934305"/>
    <w:rsid w:val="0093488D"/>
    <w:rsid w:val="009351D2"/>
    <w:rsid w:val="009351E8"/>
    <w:rsid w:val="009351EF"/>
    <w:rsid w:val="009352C9"/>
    <w:rsid w:val="00935702"/>
    <w:rsid w:val="0093583D"/>
    <w:rsid w:val="009358B6"/>
    <w:rsid w:val="009358BA"/>
    <w:rsid w:val="00935E58"/>
    <w:rsid w:val="00935F56"/>
    <w:rsid w:val="00935F66"/>
    <w:rsid w:val="00935FF2"/>
    <w:rsid w:val="009360A9"/>
    <w:rsid w:val="009365CA"/>
    <w:rsid w:val="009366FA"/>
    <w:rsid w:val="00936E15"/>
    <w:rsid w:val="009371A9"/>
    <w:rsid w:val="00937437"/>
    <w:rsid w:val="00937552"/>
    <w:rsid w:val="009377D9"/>
    <w:rsid w:val="00937A84"/>
    <w:rsid w:val="0093A3C9"/>
    <w:rsid w:val="009403D8"/>
    <w:rsid w:val="00940536"/>
    <w:rsid w:val="009406BF"/>
    <w:rsid w:val="00940948"/>
    <w:rsid w:val="009409F1"/>
    <w:rsid w:val="00940AB4"/>
    <w:rsid w:val="0094136D"/>
    <w:rsid w:val="0094165A"/>
    <w:rsid w:val="00941723"/>
    <w:rsid w:val="00941C00"/>
    <w:rsid w:val="00942247"/>
    <w:rsid w:val="009422E2"/>
    <w:rsid w:val="00942517"/>
    <w:rsid w:val="0094259A"/>
    <w:rsid w:val="0094263D"/>
    <w:rsid w:val="00942BF8"/>
    <w:rsid w:val="00942D52"/>
    <w:rsid w:val="00942FA0"/>
    <w:rsid w:val="009430B3"/>
    <w:rsid w:val="0094336A"/>
    <w:rsid w:val="009435FC"/>
    <w:rsid w:val="009436DD"/>
    <w:rsid w:val="00943864"/>
    <w:rsid w:val="00943920"/>
    <w:rsid w:val="00943D18"/>
    <w:rsid w:val="0094480F"/>
    <w:rsid w:val="009448C4"/>
    <w:rsid w:val="00944955"/>
    <w:rsid w:val="00944A20"/>
    <w:rsid w:val="00944BC4"/>
    <w:rsid w:val="00944E9C"/>
    <w:rsid w:val="009457BE"/>
    <w:rsid w:val="009458A3"/>
    <w:rsid w:val="00945BF6"/>
    <w:rsid w:val="0094638D"/>
    <w:rsid w:val="0094692C"/>
    <w:rsid w:val="00946A36"/>
    <w:rsid w:val="009471BD"/>
    <w:rsid w:val="009476BB"/>
    <w:rsid w:val="00947A9D"/>
    <w:rsid w:val="00947CC9"/>
    <w:rsid w:val="00947CED"/>
    <w:rsid w:val="0095042E"/>
    <w:rsid w:val="009505D0"/>
    <w:rsid w:val="009505FA"/>
    <w:rsid w:val="009506E1"/>
    <w:rsid w:val="009507B3"/>
    <w:rsid w:val="00950BD6"/>
    <w:rsid w:val="009512AF"/>
    <w:rsid w:val="00951A69"/>
    <w:rsid w:val="0095206D"/>
    <w:rsid w:val="009521C2"/>
    <w:rsid w:val="00952227"/>
    <w:rsid w:val="00952275"/>
    <w:rsid w:val="00952E76"/>
    <w:rsid w:val="00953247"/>
    <w:rsid w:val="00953880"/>
    <w:rsid w:val="00953EA2"/>
    <w:rsid w:val="0095401A"/>
    <w:rsid w:val="009545A7"/>
    <w:rsid w:val="009547AC"/>
    <w:rsid w:val="00954960"/>
    <w:rsid w:val="009549CF"/>
    <w:rsid w:val="00955097"/>
    <w:rsid w:val="00955A45"/>
    <w:rsid w:val="00955C03"/>
    <w:rsid w:val="00955DDA"/>
    <w:rsid w:val="00955FEB"/>
    <w:rsid w:val="0095634A"/>
    <w:rsid w:val="009564A4"/>
    <w:rsid w:val="00956D0C"/>
    <w:rsid w:val="0095753D"/>
    <w:rsid w:val="009576B1"/>
    <w:rsid w:val="009576BC"/>
    <w:rsid w:val="009578B5"/>
    <w:rsid w:val="0095796B"/>
    <w:rsid w:val="00957993"/>
    <w:rsid w:val="00957BA5"/>
    <w:rsid w:val="00957C10"/>
    <w:rsid w:val="00957F1A"/>
    <w:rsid w:val="009601FA"/>
    <w:rsid w:val="00960372"/>
    <w:rsid w:val="00960602"/>
    <w:rsid w:val="00960676"/>
    <w:rsid w:val="009606F1"/>
    <w:rsid w:val="00960EF5"/>
    <w:rsid w:val="00961044"/>
    <w:rsid w:val="0096118A"/>
    <w:rsid w:val="009619B1"/>
    <w:rsid w:val="00961AE8"/>
    <w:rsid w:val="00961C49"/>
    <w:rsid w:val="00961D0F"/>
    <w:rsid w:val="00962073"/>
    <w:rsid w:val="00962353"/>
    <w:rsid w:val="00962406"/>
    <w:rsid w:val="009626CB"/>
    <w:rsid w:val="009629A9"/>
    <w:rsid w:val="00962BCB"/>
    <w:rsid w:val="009633AA"/>
    <w:rsid w:val="00963820"/>
    <w:rsid w:val="009643E7"/>
    <w:rsid w:val="0096486D"/>
    <w:rsid w:val="00964D5D"/>
    <w:rsid w:val="00964D99"/>
    <w:rsid w:val="0096507D"/>
    <w:rsid w:val="00965421"/>
    <w:rsid w:val="00965519"/>
    <w:rsid w:val="00965E5C"/>
    <w:rsid w:val="00965F04"/>
    <w:rsid w:val="00965F82"/>
    <w:rsid w:val="0096605E"/>
    <w:rsid w:val="009665BF"/>
    <w:rsid w:val="00966ADA"/>
    <w:rsid w:val="00966C7C"/>
    <w:rsid w:val="00966D6A"/>
    <w:rsid w:val="00966EAC"/>
    <w:rsid w:val="0096716D"/>
    <w:rsid w:val="00967382"/>
    <w:rsid w:val="009706D8"/>
    <w:rsid w:val="00970EED"/>
    <w:rsid w:val="00970FBF"/>
    <w:rsid w:val="00971106"/>
    <w:rsid w:val="0097155C"/>
    <w:rsid w:val="00971858"/>
    <w:rsid w:val="00971EFB"/>
    <w:rsid w:val="009722D9"/>
    <w:rsid w:val="009728D6"/>
    <w:rsid w:val="009729B8"/>
    <w:rsid w:val="00972AAF"/>
    <w:rsid w:val="00972D3A"/>
    <w:rsid w:val="00973080"/>
    <w:rsid w:val="009730E0"/>
    <w:rsid w:val="009731F0"/>
    <w:rsid w:val="00973391"/>
    <w:rsid w:val="00973C4B"/>
    <w:rsid w:val="00973CB6"/>
    <w:rsid w:val="00973D0E"/>
    <w:rsid w:val="00973DF2"/>
    <w:rsid w:val="00973DF9"/>
    <w:rsid w:val="00973EBA"/>
    <w:rsid w:val="0097436D"/>
    <w:rsid w:val="00974599"/>
    <w:rsid w:val="009746E1"/>
    <w:rsid w:val="00974848"/>
    <w:rsid w:val="00974972"/>
    <w:rsid w:val="00974AD6"/>
    <w:rsid w:val="00974D36"/>
    <w:rsid w:val="00975214"/>
    <w:rsid w:val="0097530D"/>
    <w:rsid w:val="00975C06"/>
    <w:rsid w:val="00975D1D"/>
    <w:rsid w:val="00975E53"/>
    <w:rsid w:val="00976167"/>
    <w:rsid w:val="0097633D"/>
    <w:rsid w:val="00976559"/>
    <w:rsid w:val="00976C96"/>
    <w:rsid w:val="009770F8"/>
    <w:rsid w:val="0097710C"/>
    <w:rsid w:val="0097732F"/>
    <w:rsid w:val="00977474"/>
    <w:rsid w:val="009776A3"/>
    <w:rsid w:val="0097774A"/>
    <w:rsid w:val="009779C5"/>
    <w:rsid w:val="00977D6A"/>
    <w:rsid w:val="00977DF8"/>
    <w:rsid w:val="0098015F"/>
    <w:rsid w:val="00980847"/>
    <w:rsid w:val="00980A0F"/>
    <w:rsid w:val="00980B6A"/>
    <w:rsid w:val="00980C6C"/>
    <w:rsid w:val="00982404"/>
    <w:rsid w:val="009824D0"/>
    <w:rsid w:val="00982566"/>
    <w:rsid w:val="0098290A"/>
    <w:rsid w:val="00982D21"/>
    <w:rsid w:val="00982F5C"/>
    <w:rsid w:val="00983108"/>
    <w:rsid w:val="0098368D"/>
    <w:rsid w:val="00983799"/>
    <w:rsid w:val="0098394F"/>
    <w:rsid w:val="009840A8"/>
    <w:rsid w:val="00984680"/>
    <w:rsid w:val="0098469F"/>
    <w:rsid w:val="00984800"/>
    <w:rsid w:val="00984CB8"/>
    <w:rsid w:val="009850CD"/>
    <w:rsid w:val="00985381"/>
    <w:rsid w:val="009854E3"/>
    <w:rsid w:val="009859E0"/>
    <w:rsid w:val="009861F7"/>
    <w:rsid w:val="009867E1"/>
    <w:rsid w:val="00986E45"/>
    <w:rsid w:val="00986E4A"/>
    <w:rsid w:val="00986F7F"/>
    <w:rsid w:val="00987086"/>
    <w:rsid w:val="009878B3"/>
    <w:rsid w:val="00987E3B"/>
    <w:rsid w:val="009900F7"/>
    <w:rsid w:val="00990394"/>
    <w:rsid w:val="0099152F"/>
    <w:rsid w:val="0099162B"/>
    <w:rsid w:val="0099189B"/>
    <w:rsid w:val="00991CCC"/>
    <w:rsid w:val="00991DA6"/>
    <w:rsid w:val="00991E67"/>
    <w:rsid w:val="00992019"/>
    <w:rsid w:val="009920F2"/>
    <w:rsid w:val="00992307"/>
    <w:rsid w:val="00992423"/>
    <w:rsid w:val="0099242A"/>
    <w:rsid w:val="00992635"/>
    <w:rsid w:val="0099277C"/>
    <w:rsid w:val="00992803"/>
    <w:rsid w:val="00992A54"/>
    <w:rsid w:val="00992D9B"/>
    <w:rsid w:val="00992F66"/>
    <w:rsid w:val="00992FC8"/>
    <w:rsid w:val="009941BA"/>
    <w:rsid w:val="009943AE"/>
    <w:rsid w:val="009946AE"/>
    <w:rsid w:val="009948A9"/>
    <w:rsid w:val="0099491C"/>
    <w:rsid w:val="00994FB9"/>
    <w:rsid w:val="00994FE1"/>
    <w:rsid w:val="009950BA"/>
    <w:rsid w:val="00995190"/>
    <w:rsid w:val="009951A5"/>
    <w:rsid w:val="009954E4"/>
    <w:rsid w:val="009956B3"/>
    <w:rsid w:val="00995884"/>
    <w:rsid w:val="00995C25"/>
    <w:rsid w:val="00995CF4"/>
    <w:rsid w:val="00996169"/>
    <w:rsid w:val="0099635B"/>
    <w:rsid w:val="00996530"/>
    <w:rsid w:val="00996933"/>
    <w:rsid w:val="009969D3"/>
    <w:rsid w:val="00996F70"/>
    <w:rsid w:val="00997071"/>
    <w:rsid w:val="00997085"/>
    <w:rsid w:val="009970A4"/>
    <w:rsid w:val="009970F0"/>
    <w:rsid w:val="009974F4"/>
    <w:rsid w:val="00997890"/>
    <w:rsid w:val="009978A3"/>
    <w:rsid w:val="009979B8"/>
    <w:rsid w:val="009979CE"/>
    <w:rsid w:val="00997A1F"/>
    <w:rsid w:val="00997D93"/>
    <w:rsid w:val="009A03B0"/>
    <w:rsid w:val="009A04F6"/>
    <w:rsid w:val="009A0AAC"/>
    <w:rsid w:val="009A0DED"/>
    <w:rsid w:val="009A0E8F"/>
    <w:rsid w:val="009A1189"/>
    <w:rsid w:val="009A151D"/>
    <w:rsid w:val="009A152E"/>
    <w:rsid w:val="009A178F"/>
    <w:rsid w:val="009A19E8"/>
    <w:rsid w:val="009A1A02"/>
    <w:rsid w:val="009A1C20"/>
    <w:rsid w:val="009A1CB3"/>
    <w:rsid w:val="009A200B"/>
    <w:rsid w:val="009A2165"/>
    <w:rsid w:val="009A2716"/>
    <w:rsid w:val="009A2C7C"/>
    <w:rsid w:val="009A2D72"/>
    <w:rsid w:val="009A3049"/>
    <w:rsid w:val="009A31D5"/>
    <w:rsid w:val="009A3245"/>
    <w:rsid w:val="009A3337"/>
    <w:rsid w:val="009A3656"/>
    <w:rsid w:val="009A3986"/>
    <w:rsid w:val="009A3A7E"/>
    <w:rsid w:val="009A3CAF"/>
    <w:rsid w:val="009A4262"/>
    <w:rsid w:val="009A42BB"/>
    <w:rsid w:val="009A43FA"/>
    <w:rsid w:val="009A47EE"/>
    <w:rsid w:val="009A48E6"/>
    <w:rsid w:val="009A5232"/>
    <w:rsid w:val="009A537E"/>
    <w:rsid w:val="009A5646"/>
    <w:rsid w:val="009A5921"/>
    <w:rsid w:val="009A5E1F"/>
    <w:rsid w:val="009A61E3"/>
    <w:rsid w:val="009A621C"/>
    <w:rsid w:val="009A63E7"/>
    <w:rsid w:val="009A640D"/>
    <w:rsid w:val="009A6F2E"/>
    <w:rsid w:val="009A7778"/>
    <w:rsid w:val="009A7936"/>
    <w:rsid w:val="009B0321"/>
    <w:rsid w:val="009B0639"/>
    <w:rsid w:val="009B0C8B"/>
    <w:rsid w:val="009B0D0C"/>
    <w:rsid w:val="009B1694"/>
    <w:rsid w:val="009B17B2"/>
    <w:rsid w:val="009B19EE"/>
    <w:rsid w:val="009B1D03"/>
    <w:rsid w:val="009B236A"/>
    <w:rsid w:val="009B2549"/>
    <w:rsid w:val="009B28FA"/>
    <w:rsid w:val="009B2D17"/>
    <w:rsid w:val="009B37F8"/>
    <w:rsid w:val="009B3909"/>
    <w:rsid w:val="009B3C24"/>
    <w:rsid w:val="009B4117"/>
    <w:rsid w:val="009B4CF3"/>
    <w:rsid w:val="009B4E5F"/>
    <w:rsid w:val="009B5AFE"/>
    <w:rsid w:val="009B5C64"/>
    <w:rsid w:val="009B5E3D"/>
    <w:rsid w:val="009B5F65"/>
    <w:rsid w:val="009B688E"/>
    <w:rsid w:val="009B6B08"/>
    <w:rsid w:val="009B6CE0"/>
    <w:rsid w:val="009B71D1"/>
    <w:rsid w:val="009B743D"/>
    <w:rsid w:val="009B7A58"/>
    <w:rsid w:val="009B7BE2"/>
    <w:rsid w:val="009B7F92"/>
    <w:rsid w:val="009C0113"/>
    <w:rsid w:val="009C025D"/>
    <w:rsid w:val="009C0662"/>
    <w:rsid w:val="009C0798"/>
    <w:rsid w:val="009C08B8"/>
    <w:rsid w:val="009C0A22"/>
    <w:rsid w:val="009C0AB9"/>
    <w:rsid w:val="009C0AEC"/>
    <w:rsid w:val="009C1208"/>
    <w:rsid w:val="009C1587"/>
    <w:rsid w:val="009C1837"/>
    <w:rsid w:val="009C2128"/>
    <w:rsid w:val="009C2959"/>
    <w:rsid w:val="009C2FE6"/>
    <w:rsid w:val="009C30A4"/>
    <w:rsid w:val="009C377B"/>
    <w:rsid w:val="009C3870"/>
    <w:rsid w:val="009C3B1B"/>
    <w:rsid w:val="009C3BE6"/>
    <w:rsid w:val="009C3D78"/>
    <w:rsid w:val="009C3ECC"/>
    <w:rsid w:val="009C3F7A"/>
    <w:rsid w:val="009C3FE1"/>
    <w:rsid w:val="009C4465"/>
    <w:rsid w:val="009C478A"/>
    <w:rsid w:val="009C47AC"/>
    <w:rsid w:val="009C4E54"/>
    <w:rsid w:val="009C5059"/>
    <w:rsid w:val="009C55A2"/>
    <w:rsid w:val="009C5707"/>
    <w:rsid w:val="009C5DA3"/>
    <w:rsid w:val="009C5ECA"/>
    <w:rsid w:val="009C6280"/>
    <w:rsid w:val="009C6496"/>
    <w:rsid w:val="009C6829"/>
    <w:rsid w:val="009C759E"/>
    <w:rsid w:val="009C7662"/>
    <w:rsid w:val="009C7A49"/>
    <w:rsid w:val="009D0E69"/>
    <w:rsid w:val="009D102D"/>
    <w:rsid w:val="009D11D4"/>
    <w:rsid w:val="009D1361"/>
    <w:rsid w:val="009D13CA"/>
    <w:rsid w:val="009D14BF"/>
    <w:rsid w:val="009D15B5"/>
    <w:rsid w:val="009D199D"/>
    <w:rsid w:val="009D258B"/>
    <w:rsid w:val="009D290C"/>
    <w:rsid w:val="009D2CDD"/>
    <w:rsid w:val="009D2DB0"/>
    <w:rsid w:val="009D2FD6"/>
    <w:rsid w:val="009D3018"/>
    <w:rsid w:val="009D31A9"/>
    <w:rsid w:val="009D32A1"/>
    <w:rsid w:val="009D3467"/>
    <w:rsid w:val="009D3901"/>
    <w:rsid w:val="009D3DC7"/>
    <w:rsid w:val="009D4168"/>
    <w:rsid w:val="009D432F"/>
    <w:rsid w:val="009D4337"/>
    <w:rsid w:val="009D43AE"/>
    <w:rsid w:val="009D457E"/>
    <w:rsid w:val="009D4607"/>
    <w:rsid w:val="009D46F9"/>
    <w:rsid w:val="009D4C15"/>
    <w:rsid w:val="009D4D3C"/>
    <w:rsid w:val="009D4FC6"/>
    <w:rsid w:val="009D538A"/>
    <w:rsid w:val="009D5427"/>
    <w:rsid w:val="009D562C"/>
    <w:rsid w:val="009D5A1C"/>
    <w:rsid w:val="009D5DBD"/>
    <w:rsid w:val="009D5F5B"/>
    <w:rsid w:val="009D60ED"/>
    <w:rsid w:val="009D61A6"/>
    <w:rsid w:val="009D6212"/>
    <w:rsid w:val="009D6241"/>
    <w:rsid w:val="009D62E3"/>
    <w:rsid w:val="009D640F"/>
    <w:rsid w:val="009D641A"/>
    <w:rsid w:val="009D65EB"/>
    <w:rsid w:val="009D69DA"/>
    <w:rsid w:val="009D6FB5"/>
    <w:rsid w:val="009D740E"/>
    <w:rsid w:val="009D77FB"/>
    <w:rsid w:val="009D7954"/>
    <w:rsid w:val="009D7964"/>
    <w:rsid w:val="009D7B05"/>
    <w:rsid w:val="009DF70A"/>
    <w:rsid w:val="009E043D"/>
    <w:rsid w:val="009E0A01"/>
    <w:rsid w:val="009E0A22"/>
    <w:rsid w:val="009E0C94"/>
    <w:rsid w:val="009E1511"/>
    <w:rsid w:val="009E169A"/>
    <w:rsid w:val="009E1FA9"/>
    <w:rsid w:val="009E20DE"/>
    <w:rsid w:val="009E2882"/>
    <w:rsid w:val="009E29B8"/>
    <w:rsid w:val="009E2E6F"/>
    <w:rsid w:val="009E2E91"/>
    <w:rsid w:val="009E2F9B"/>
    <w:rsid w:val="009E32F3"/>
    <w:rsid w:val="009E33EB"/>
    <w:rsid w:val="009E3C63"/>
    <w:rsid w:val="009E3CBB"/>
    <w:rsid w:val="009E3DAD"/>
    <w:rsid w:val="009E4467"/>
    <w:rsid w:val="009E475C"/>
    <w:rsid w:val="009E4AB9"/>
    <w:rsid w:val="009E52C0"/>
    <w:rsid w:val="009E545C"/>
    <w:rsid w:val="009E5778"/>
    <w:rsid w:val="009E5B48"/>
    <w:rsid w:val="009E5DCA"/>
    <w:rsid w:val="009E5EA0"/>
    <w:rsid w:val="009E61A8"/>
    <w:rsid w:val="009E6306"/>
    <w:rsid w:val="009E66A6"/>
    <w:rsid w:val="009E68F0"/>
    <w:rsid w:val="009E6A9B"/>
    <w:rsid w:val="009E6ED6"/>
    <w:rsid w:val="009E6FF1"/>
    <w:rsid w:val="009E7041"/>
    <w:rsid w:val="009E7056"/>
    <w:rsid w:val="009E7543"/>
    <w:rsid w:val="009E75A2"/>
    <w:rsid w:val="009E76F3"/>
    <w:rsid w:val="009E77BE"/>
    <w:rsid w:val="009E79AE"/>
    <w:rsid w:val="009E79E6"/>
    <w:rsid w:val="009E7A90"/>
    <w:rsid w:val="009E7D15"/>
    <w:rsid w:val="009E7DF1"/>
    <w:rsid w:val="009E7E7D"/>
    <w:rsid w:val="009E7FDD"/>
    <w:rsid w:val="009F0A29"/>
    <w:rsid w:val="009F0B61"/>
    <w:rsid w:val="009F1241"/>
    <w:rsid w:val="009F145E"/>
    <w:rsid w:val="009F15D4"/>
    <w:rsid w:val="009F1691"/>
    <w:rsid w:val="009F1962"/>
    <w:rsid w:val="009F1D82"/>
    <w:rsid w:val="009F1DB5"/>
    <w:rsid w:val="009F1FF7"/>
    <w:rsid w:val="009F2377"/>
    <w:rsid w:val="009F26EF"/>
    <w:rsid w:val="009F3038"/>
    <w:rsid w:val="009F323C"/>
    <w:rsid w:val="009F32CA"/>
    <w:rsid w:val="009F3B28"/>
    <w:rsid w:val="009F4058"/>
    <w:rsid w:val="009F431B"/>
    <w:rsid w:val="009F437F"/>
    <w:rsid w:val="009F526D"/>
    <w:rsid w:val="009F52A5"/>
    <w:rsid w:val="009F53C1"/>
    <w:rsid w:val="009F5578"/>
    <w:rsid w:val="009F5605"/>
    <w:rsid w:val="009F59AF"/>
    <w:rsid w:val="009F5BCC"/>
    <w:rsid w:val="009F5CC4"/>
    <w:rsid w:val="009F6BE8"/>
    <w:rsid w:val="009F7132"/>
    <w:rsid w:val="009F7137"/>
    <w:rsid w:val="009F7759"/>
    <w:rsid w:val="009F7828"/>
    <w:rsid w:val="009F7A76"/>
    <w:rsid w:val="009F7EEC"/>
    <w:rsid w:val="00A00492"/>
    <w:rsid w:val="00A006BF"/>
    <w:rsid w:val="00A009A0"/>
    <w:rsid w:val="00A01439"/>
    <w:rsid w:val="00A01764"/>
    <w:rsid w:val="00A017EF"/>
    <w:rsid w:val="00A0185E"/>
    <w:rsid w:val="00A0186C"/>
    <w:rsid w:val="00A01B49"/>
    <w:rsid w:val="00A01E1A"/>
    <w:rsid w:val="00A02407"/>
    <w:rsid w:val="00A024BD"/>
    <w:rsid w:val="00A0286B"/>
    <w:rsid w:val="00A0295A"/>
    <w:rsid w:val="00A03046"/>
    <w:rsid w:val="00A0313E"/>
    <w:rsid w:val="00A03149"/>
    <w:rsid w:val="00A0328C"/>
    <w:rsid w:val="00A03683"/>
    <w:rsid w:val="00A03C67"/>
    <w:rsid w:val="00A03C85"/>
    <w:rsid w:val="00A03FB1"/>
    <w:rsid w:val="00A0445D"/>
    <w:rsid w:val="00A04595"/>
    <w:rsid w:val="00A04CAD"/>
    <w:rsid w:val="00A05579"/>
    <w:rsid w:val="00A05910"/>
    <w:rsid w:val="00A0595C"/>
    <w:rsid w:val="00A059ED"/>
    <w:rsid w:val="00A062BF"/>
    <w:rsid w:val="00A0658A"/>
    <w:rsid w:val="00A0675E"/>
    <w:rsid w:val="00A067A2"/>
    <w:rsid w:val="00A06B03"/>
    <w:rsid w:val="00A06DEA"/>
    <w:rsid w:val="00A07123"/>
    <w:rsid w:val="00A071CD"/>
    <w:rsid w:val="00A07640"/>
    <w:rsid w:val="00A07763"/>
    <w:rsid w:val="00A077E1"/>
    <w:rsid w:val="00A079AB"/>
    <w:rsid w:val="00A079E8"/>
    <w:rsid w:val="00A07CA9"/>
    <w:rsid w:val="00A07E01"/>
    <w:rsid w:val="00A07E75"/>
    <w:rsid w:val="00A1065F"/>
    <w:rsid w:val="00A10661"/>
    <w:rsid w:val="00A10936"/>
    <w:rsid w:val="00A1096D"/>
    <w:rsid w:val="00A10D37"/>
    <w:rsid w:val="00A112E1"/>
    <w:rsid w:val="00A1160C"/>
    <w:rsid w:val="00A118FA"/>
    <w:rsid w:val="00A11DDE"/>
    <w:rsid w:val="00A121A7"/>
    <w:rsid w:val="00A122F5"/>
    <w:rsid w:val="00A12330"/>
    <w:rsid w:val="00A12337"/>
    <w:rsid w:val="00A1273A"/>
    <w:rsid w:val="00A127A5"/>
    <w:rsid w:val="00A12A57"/>
    <w:rsid w:val="00A12C84"/>
    <w:rsid w:val="00A12DA4"/>
    <w:rsid w:val="00A12F57"/>
    <w:rsid w:val="00A13193"/>
    <w:rsid w:val="00A1368A"/>
    <w:rsid w:val="00A1374C"/>
    <w:rsid w:val="00A137EC"/>
    <w:rsid w:val="00A13811"/>
    <w:rsid w:val="00A13843"/>
    <w:rsid w:val="00A1400B"/>
    <w:rsid w:val="00A14075"/>
    <w:rsid w:val="00A14429"/>
    <w:rsid w:val="00A14493"/>
    <w:rsid w:val="00A14897"/>
    <w:rsid w:val="00A14E3A"/>
    <w:rsid w:val="00A156DB"/>
    <w:rsid w:val="00A159A8"/>
    <w:rsid w:val="00A159D8"/>
    <w:rsid w:val="00A161FC"/>
    <w:rsid w:val="00A16536"/>
    <w:rsid w:val="00A17D3D"/>
    <w:rsid w:val="00A17F68"/>
    <w:rsid w:val="00A202C1"/>
    <w:rsid w:val="00A2049F"/>
    <w:rsid w:val="00A20C33"/>
    <w:rsid w:val="00A20CC5"/>
    <w:rsid w:val="00A21400"/>
    <w:rsid w:val="00A21883"/>
    <w:rsid w:val="00A2194D"/>
    <w:rsid w:val="00A21B01"/>
    <w:rsid w:val="00A21B71"/>
    <w:rsid w:val="00A21D67"/>
    <w:rsid w:val="00A22273"/>
    <w:rsid w:val="00A2285B"/>
    <w:rsid w:val="00A22B46"/>
    <w:rsid w:val="00A233E9"/>
    <w:rsid w:val="00A23467"/>
    <w:rsid w:val="00A23A91"/>
    <w:rsid w:val="00A23ACF"/>
    <w:rsid w:val="00A23FE4"/>
    <w:rsid w:val="00A243DC"/>
    <w:rsid w:val="00A2450C"/>
    <w:rsid w:val="00A24A3E"/>
    <w:rsid w:val="00A24AAE"/>
    <w:rsid w:val="00A24BD1"/>
    <w:rsid w:val="00A24E48"/>
    <w:rsid w:val="00A24FD2"/>
    <w:rsid w:val="00A25301"/>
    <w:rsid w:val="00A256E0"/>
    <w:rsid w:val="00A25763"/>
    <w:rsid w:val="00A25A51"/>
    <w:rsid w:val="00A26188"/>
    <w:rsid w:val="00A266E1"/>
    <w:rsid w:val="00A269BE"/>
    <w:rsid w:val="00A26F70"/>
    <w:rsid w:val="00A270A9"/>
    <w:rsid w:val="00A271B6"/>
    <w:rsid w:val="00A272CA"/>
    <w:rsid w:val="00A27453"/>
    <w:rsid w:val="00A27969"/>
    <w:rsid w:val="00A27996"/>
    <w:rsid w:val="00A27CA3"/>
    <w:rsid w:val="00A27E7E"/>
    <w:rsid w:val="00A27F7D"/>
    <w:rsid w:val="00A27FB0"/>
    <w:rsid w:val="00A300D6"/>
    <w:rsid w:val="00A30254"/>
    <w:rsid w:val="00A303EB"/>
    <w:rsid w:val="00A306F8"/>
    <w:rsid w:val="00A30A64"/>
    <w:rsid w:val="00A30B5B"/>
    <w:rsid w:val="00A30C55"/>
    <w:rsid w:val="00A311B9"/>
    <w:rsid w:val="00A317AF"/>
    <w:rsid w:val="00A31A85"/>
    <w:rsid w:val="00A31B70"/>
    <w:rsid w:val="00A31BAD"/>
    <w:rsid w:val="00A3205C"/>
    <w:rsid w:val="00A3281C"/>
    <w:rsid w:val="00A3282C"/>
    <w:rsid w:val="00A32C49"/>
    <w:rsid w:val="00A32E87"/>
    <w:rsid w:val="00A330C5"/>
    <w:rsid w:val="00A332D7"/>
    <w:rsid w:val="00A3342D"/>
    <w:rsid w:val="00A33862"/>
    <w:rsid w:val="00A33959"/>
    <w:rsid w:val="00A33993"/>
    <w:rsid w:val="00A33FBB"/>
    <w:rsid w:val="00A342E6"/>
    <w:rsid w:val="00A342F9"/>
    <w:rsid w:val="00A34395"/>
    <w:rsid w:val="00A343FC"/>
    <w:rsid w:val="00A343FF"/>
    <w:rsid w:val="00A3445F"/>
    <w:rsid w:val="00A350CD"/>
    <w:rsid w:val="00A3573D"/>
    <w:rsid w:val="00A35D48"/>
    <w:rsid w:val="00A35EA0"/>
    <w:rsid w:val="00A3612B"/>
    <w:rsid w:val="00A362FF"/>
    <w:rsid w:val="00A36314"/>
    <w:rsid w:val="00A3675F"/>
    <w:rsid w:val="00A3679C"/>
    <w:rsid w:val="00A36ACD"/>
    <w:rsid w:val="00A36BF0"/>
    <w:rsid w:val="00A371CD"/>
    <w:rsid w:val="00A37205"/>
    <w:rsid w:val="00A37B44"/>
    <w:rsid w:val="00A37CE2"/>
    <w:rsid w:val="00A37FBB"/>
    <w:rsid w:val="00A3CDFE"/>
    <w:rsid w:val="00A40802"/>
    <w:rsid w:val="00A4085B"/>
    <w:rsid w:val="00A41247"/>
    <w:rsid w:val="00A4129B"/>
    <w:rsid w:val="00A41894"/>
    <w:rsid w:val="00A41FDC"/>
    <w:rsid w:val="00A41FFC"/>
    <w:rsid w:val="00A42929"/>
    <w:rsid w:val="00A42B2C"/>
    <w:rsid w:val="00A42DF1"/>
    <w:rsid w:val="00A43436"/>
    <w:rsid w:val="00A43C80"/>
    <w:rsid w:val="00A4456B"/>
    <w:rsid w:val="00A4478F"/>
    <w:rsid w:val="00A449C8"/>
    <w:rsid w:val="00A44B2E"/>
    <w:rsid w:val="00A44E3D"/>
    <w:rsid w:val="00A44F68"/>
    <w:rsid w:val="00A453A2"/>
    <w:rsid w:val="00A4541A"/>
    <w:rsid w:val="00A45DDB"/>
    <w:rsid w:val="00A46144"/>
    <w:rsid w:val="00A46400"/>
    <w:rsid w:val="00A4676B"/>
    <w:rsid w:val="00A467E3"/>
    <w:rsid w:val="00A46C72"/>
    <w:rsid w:val="00A4705D"/>
    <w:rsid w:val="00A4738C"/>
    <w:rsid w:val="00A47518"/>
    <w:rsid w:val="00A47602"/>
    <w:rsid w:val="00A47615"/>
    <w:rsid w:val="00A47924"/>
    <w:rsid w:val="00A47DB3"/>
    <w:rsid w:val="00A47E7D"/>
    <w:rsid w:val="00A47F15"/>
    <w:rsid w:val="00A4C1C8"/>
    <w:rsid w:val="00A5036D"/>
    <w:rsid w:val="00A503C7"/>
    <w:rsid w:val="00A5042D"/>
    <w:rsid w:val="00A50682"/>
    <w:rsid w:val="00A50A51"/>
    <w:rsid w:val="00A50C19"/>
    <w:rsid w:val="00A50C75"/>
    <w:rsid w:val="00A50DEF"/>
    <w:rsid w:val="00A5123E"/>
    <w:rsid w:val="00A513CD"/>
    <w:rsid w:val="00A515F7"/>
    <w:rsid w:val="00A51B5A"/>
    <w:rsid w:val="00A51DA9"/>
    <w:rsid w:val="00A51FF9"/>
    <w:rsid w:val="00A522E6"/>
    <w:rsid w:val="00A5234B"/>
    <w:rsid w:val="00A52454"/>
    <w:rsid w:val="00A524B2"/>
    <w:rsid w:val="00A52BFF"/>
    <w:rsid w:val="00A52EF8"/>
    <w:rsid w:val="00A52F91"/>
    <w:rsid w:val="00A534CA"/>
    <w:rsid w:val="00A54A4A"/>
    <w:rsid w:val="00A54B75"/>
    <w:rsid w:val="00A54DE3"/>
    <w:rsid w:val="00A554FB"/>
    <w:rsid w:val="00A557B0"/>
    <w:rsid w:val="00A55A8E"/>
    <w:rsid w:val="00A55F1A"/>
    <w:rsid w:val="00A56184"/>
    <w:rsid w:val="00A56BEB"/>
    <w:rsid w:val="00A56D9F"/>
    <w:rsid w:val="00A56E65"/>
    <w:rsid w:val="00A56FD5"/>
    <w:rsid w:val="00A573F5"/>
    <w:rsid w:val="00A57420"/>
    <w:rsid w:val="00A57818"/>
    <w:rsid w:val="00A57B7E"/>
    <w:rsid w:val="00A57C08"/>
    <w:rsid w:val="00A57E21"/>
    <w:rsid w:val="00A5DB16"/>
    <w:rsid w:val="00A6054B"/>
    <w:rsid w:val="00A60878"/>
    <w:rsid w:val="00A60F17"/>
    <w:rsid w:val="00A61079"/>
    <w:rsid w:val="00A610EC"/>
    <w:rsid w:val="00A6135A"/>
    <w:rsid w:val="00A6152D"/>
    <w:rsid w:val="00A615AE"/>
    <w:rsid w:val="00A61727"/>
    <w:rsid w:val="00A61A85"/>
    <w:rsid w:val="00A62339"/>
    <w:rsid w:val="00A623F6"/>
    <w:rsid w:val="00A624AF"/>
    <w:rsid w:val="00A6265B"/>
    <w:rsid w:val="00A62B5B"/>
    <w:rsid w:val="00A632FD"/>
    <w:rsid w:val="00A63508"/>
    <w:rsid w:val="00A63AF1"/>
    <w:rsid w:val="00A63B35"/>
    <w:rsid w:val="00A6419C"/>
    <w:rsid w:val="00A6495D"/>
    <w:rsid w:val="00A6496E"/>
    <w:rsid w:val="00A649C3"/>
    <w:rsid w:val="00A64C16"/>
    <w:rsid w:val="00A65374"/>
    <w:rsid w:val="00A654FC"/>
    <w:rsid w:val="00A6569C"/>
    <w:rsid w:val="00A6581F"/>
    <w:rsid w:val="00A65E50"/>
    <w:rsid w:val="00A65E5E"/>
    <w:rsid w:val="00A65FBE"/>
    <w:rsid w:val="00A66315"/>
    <w:rsid w:val="00A6664F"/>
    <w:rsid w:val="00A666A5"/>
    <w:rsid w:val="00A666BE"/>
    <w:rsid w:val="00A66B90"/>
    <w:rsid w:val="00A66E8F"/>
    <w:rsid w:val="00A670E6"/>
    <w:rsid w:val="00A67614"/>
    <w:rsid w:val="00A67C70"/>
    <w:rsid w:val="00A7044C"/>
    <w:rsid w:val="00A70E58"/>
    <w:rsid w:val="00A71EC7"/>
    <w:rsid w:val="00A71F67"/>
    <w:rsid w:val="00A71F9B"/>
    <w:rsid w:val="00A72983"/>
    <w:rsid w:val="00A72A80"/>
    <w:rsid w:val="00A731B7"/>
    <w:rsid w:val="00A732D9"/>
    <w:rsid w:val="00A7394E"/>
    <w:rsid w:val="00A73A17"/>
    <w:rsid w:val="00A73E44"/>
    <w:rsid w:val="00A74370"/>
    <w:rsid w:val="00A7459D"/>
    <w:rsid w:val="00A74EE1"/>
    <w:rsid w:val="00A75297"/>
    <w:rsid w:val="00A75405"/>
    <w:rsid w:val="00A756F2"/>
    <w:rsid w:val="00A7597F"/>
    <w:rsid w:val="00A75B30"/>
    <w:rsid w:val="00A75E4C"/>
    <w:rsid w:val="00A75EF0"/>
    <w:rsid w:val="00A76134"/>
    <w:rsid w:val="00A7660E"/>
    <w:rsid w:val="00A76996"/>
    <w:rsid w:val="00A76ADF"/>
    <w:rsid w:val="00A76C96"/>
    <w:rsid w:val="00A76E52"/>
    <w:rsid w:val="00A771E7"/>
    <w:rsid w:val="00A7730C"/>
    <w:rsid w:val="00A777AB"/>
    <w:rsid w:val="00A778D2"/>
    <w:rsid w:val="00A77AA6"/>
    <w:rsid w:val="00A77D27"/>
    <w:rsid w:val="00A77E9F"/>
    <w:rsid w:val="00A77EFC"/>
    <w:rsid w:val="00A80879"/>
    <w:rsid w:val="00A80BCE"/>
    <w:rsid w:val="00A80F67"/>
    <w:rsid w:val="00A8124D"/>
    <w:rsid w:val="00A8193C"/>
    <w:rsid w:val="00A819E7"/>
    <w:rsid w:val="00A81FB4"/>
    <w:rsid w:val="00A82298"/>
    <w:rsid w:val="00A822F1"/>
    <w:rsid w:val="00A824C5"/>
    <w:rsid w:val="00A83182"/>
    <w:rsid w:val="00A835E1"/>
    <w:rsid w:val="00A8376C"/>
    <w:rsid w:val="00A83A41"/>
    <w:rsid w:val="00A83B6F"/>
    <w:rsid w:val="00A83BAC"/>
    <w:rsid w:val="00A8415F"/>
    <w:rsid w:val="00A84240"/>
    <w:rsid w:val="00A842D0"/>
    <w:rsid w:val="00A843A0"/>
    <w:rsid w:val="00A84A61"/>
    <w:rsid w:val="00A84BC8"/>
    <w:rsid w:val="00A84C77"/>
    <w:rsid w:val="00A8560D"/>
    <w:rsid w:val="00A85737"/>
    <w:rsid w:val="00A858EB"/>
    <w:rsid w:val="00A85DC4"/>
    <w:rsid w:val="00A86151"/>
    <w:rsid w:val="00A862FC"/>
    <w:rsid w:val="00A864F2"/>
    <w:rsid w:val="00A8662F"/>
    <w:rsid w:val="00A869DB"/>
    <w:rsid w:val="00A86A22"/>
    <w:rsid w:val="00A8704C"/>
    <w:rsid w:val="00A87402"/>
    <w:rsid w:val="00A875F6"/>
    <w:rsid w:val="00A878A8"/>
    <w:rsid w:val="00A87952"/>
    <w:rsid w:val="00A87B59"/>
    <w:rsid w:val="00A87B9A"/>
    <w:rsid w:val="00A87C5E"/>
    <w:rsid w:val="00A90301"/>
    <w:rsid w:val="00A9034C"/>
    <w:rsid w:val="00A911AD"/>
    <w:rsid w:val="00A91216"/>
    <w:rsid w:val="00A913E7"/>
    <w:rsid w:val="00A91FD9"/>
    <w:rsid w:val="00A92415"/>
    <w:rsid w:val="00A9252D"/>
    <w:rsid w:val="00A92D0B"/>
    <w:rsid w:val="00A93210"/>
    <w:rsid w:val="00A9330D"/>
    <w:rsid w:val="00A93454"/>
    <w:rsid w:val="00A939FD"/>
    <w:rsid w:val="00A93DDC"/>
    <w:rsid w:val="00A94866"/>
    <w:rsid w:val="00A94D90"/>
    <w:rsid w:val="00A94E61"/>
    <w:rsid w:val="00A950A0"/>
    <w:rsid w:val="00A950BE"/>
    <w:rsid w:val="00A951E8"/>
    <w:rsid w:val="00A95237"/>
    <w:rsid w:val="00A953D3"/>
    <w:rsid w:val="00A95831"/>
    <w:rsid w:val="00A959B3"/>
    <w:rsid w:val="00A95C43"/>
    <w:rsid w:val="00A96002"/>
    <w:rsid w:val="00A961E0"/>
    <w:rsid w:val="00A96498"/>
    <w:rsid w:val="00A9657A"/>
    <w:rsid w:val="00A96A46"/>
    <w:rsid w:val="00A97E69"/>
    <w:rsid w:val="00AA00AE"/>
    <w:rsid w:val="00AA0337"/>
    <w:rsid w:val="00AA0592"/>
    <w:rsid w:val="00AA0B42"/>
    <w:rsid w:val="00AA0C43"/>
    <w:rsid w:val="00AA0E15"/>
    <w:rsid w:val="00AA0E26"/>
    <w:rsid w:val="00AA142E"/>
    <w:rsid w:val="00AA1665"/>
    <w:rsid w:val="00AA18D8"/>
    <w:rsid w:val="00AA1D5A"/>
    <w:rsid w:val="00AA1E0F"/>
    <w:rsid w:val="00AA221C"/>
    <w:rsid w:val="00AA2418"/>
    <w:rsid w:val="00AA24AE"/>
    <w:rsid w:val="00AA2773"/>
    <w:rsid w:val="00AA2820"/>
    <w:rsid w:val="00AA2AFD"/>
    <w:rsid w:val="00AA2E4C"/>
    <w:rsid w:val="00AA3086"/>
    <w:rsid w:val="00AA31CC"/>
    <w:rsid w:val="00AA3B10"/>
    <w:rsid w:val="00AA3B6E"/>
    <w:rsid w:val="00AA4B05"/>
    <w:rsid w:val="00AA5623"/>
    <w:rsid w:val="00AA5F28"/>
    <w:rsid w:val="00AA63EB"/>
    <w:rsid w:val="00AA642B"/>
    <w:rsid w:val="00AA6BF8"/>
    <w:rsid w:val="00AA6C1C"/>
    <w:rsid w:val="00AA6C29"/>
    <w:rsid w:val="00AA6CE7"/>
    <w:rsid w:val="00AA6E01"/>
    <w:rsid w:val="00AA704B"/>
    <w:rsid w:val="00AA710E"/>
    <w:rsid w:val="00AA7232"/>
    <w:rsid w:val="00AA7A1D"/>
    <w:rsid w:val="00AA7C9C"/>
    <w:rsid w:val="00AA7CCA"/>
    <w:rsid w:val="00AB0246"/>
    <w:rsid w:val="00AB046B"/>
    <w:rsid w:val="00AB0B23"/>
    <w:rsid w:val="00AB0DC2"/>
    <w:rsid w:val="00AB0EF3"/>
    <w:rsid w:val="00AB105E"/>
    <w:rsid w:val="00AB10E5"/>
    <w:rsid w:val="00AB1521"/>
    <w:rsid w:val="00AB15E9"/>
    <w:rsid w:val="00AB1FB1"/>
    <w:rsid w:val="00AB24B7"/>
    <w:rsid w:val="00AB28B5"/>
    <w:rsid w:val="00AB2928"/>
    <w:rsid w:val="00AB2AC1"/>
    <w:rsid w:val="00AB31F9"/>
    <w:rsid w:val="00AB3616"/>
    <w:rsid w:val="00AB3715"/>
    <w:rsid w:val="00AB3960"/>
    <w:rsid w:val="00AB39F9"/>
    <w:rsid w:val="00AB4672"/>
    <w:rsid w:val="00AB5194"/>
    <w:rsid w:val="00AB51F0"/>
    <w:rsid w:val="00AB5646"/>
    <w:rsid w:val="00AB5966"/>
    <w:rsid w:val="00AB5A5A"/>
    <w:rsid w:val="00AB5D6F"/>
    <w:rsid w:val="00AB637E"/>
    <w:rsid w:val="00AB69E9"/>
    <w:rsid w:val="00AB6C3A"/>
    <w:rsid w:val="00AB7062"/>
    <w:rsid w:val="00AB7737"/>
    <w:rsid w:val="00AB7AF8"/>
    <w:rsid w:val="00AB7CE7"/>
    <w:rsid w:val="00AB7E24"/>
    <w:rsid w:val="00AB7F79"/>
    <w:rsid w:val="00AC03D1"/>
    <w:rsid w:val="00AC09E9"/>
    <w:rsid w:val="00AC0C7A"/>
    <w:rsid w:val="00AC0F81"/>
    <w:rsid w:val="00AC10AE"/>
    <w:rsid w:val="00AC157C"/>
    <w:rsid w:val="00AC16C3"/>
    <w:rsid w:val="00AC1C0C"/>
    <w:rsid w:val="00AC1DB5"/>
    <w:rsid w:val="00AC1E3B"/>
    <w:rsid w:val="00AC1F2C"/>
    <w:rsid w:val="00AC312A"/>
    <w:rsid w:val="00AC3BD1"/>
    <w:rsid w:val="00AC3E3C"/>
    <w:rsid w:val="00AC4215"/>
    <w:rsid w:val="00AC4A54"/>
    <w:rsid w:val="00AC4D8C"/>
    <w:rsid w:val="00AC4F04"/>
    <w:rsid w:val="00AC51C2"/>
    <w:rsid w:val="00AC64B1"/>
    <w:rsid w:val="00AC6525"/>
    <w:rsid w:val="00AC65E3"/>
    <w:rsid w:val="00AC682B"/>
    <w:rsid w:val="00AC6F57"/>
    <w:rsid w:val="00AC6FB7"/>
    <w:rsid w:val="00AC6FEA"/>
    <w:rsid w:val="00AC751A"/>
    <w:rsid w:val="00AC75D7"/>
    <w:rsid w:val="00AC7813"/>
    <w:rsid w:val="00AC7A4E"/>
    <w:rsid w:val="00AC7ACB"/>
    <w:rsid w:val="00AC7D2F"/>
    <w:rsid w:val="00AD0459"/>
    <w:rsid w:val="00AD0895"/>
    <w:rsid w:val="00AD09E3"/>
    <w:rsid w:val="00AD0A7F"/>
    <w:rsid w:val="00AD0CF2"/>
    <w:rsid w:val="00AD1607"/>
    <w:rsid w:val="00AD1912"/>
    <w:rsid w:val="00AD1B26"/>
    <w:rsid w:val="00AD1D70"/>
    <w:rsid w:val="00AD1DB0"/>
    <w:rsid w:val="00AD1E7D"/>
    <w:rsid w:val="00AD1F75"/>
    <w:rsid w:val="00AD2177"/>
    <w:rsid w:val="00AD21C2"/>
    <w:rsid w:val="00AD2258"/>
    <w:rsid w:val="00AD25FE"/>
    <w:rsid w:val="00AD32AE"/>
    <w:rsid w:val="00AD33C2"/>
    <w:rsid w:val="00AD3451"/>
    <w:rsid w:val="00AD3935"/>
    <w:rsid w:val="00AD3BA0"/>
    <w:rsid w:val="00AD3CC8"/>
    <w:rsid w:val="00AD3FF3"/>
    <w:rsid w:val="00AD4054"/>
    <w:rsid w:val="00AD43A7"/>
    <w:rsid w:val="00AD48EA"/>
    <w:rsid w:val="00AD4F47"/>
    <w:rsid w:val="00AD5043"/>
    <w:rsid w:val="00AD55FA"/>
    <w:rsid w:val="00AD5701"/>
    <w:rsid w:val="00AD5A22"/>
    <w:rsid w:val="00AD5CB3"/>
    <w:rsid w:val="00AD5FFB"/>
    <w:rsid w:val="00AD6443"/>
    <w:rsid w:val="00AD66F9"/>
    <w:rsid w:val="00AD714A"/>
    <w:rsid w:val="00AD731B"/>
    <w:rsid w:val="00AD797C"/>
    <w:rsid w:val="00AD79D8"/>
    <w:rsid w:val="00AD7A84"/>
    <w:rsid w:val="00AD7BCD"/>
    <w:rsid w:val="00AD7F49"/>
    <w:rsid w:val="00AE00D4"/>
    <w:rsid w:val="00AE00F8"/>
    <w:rsid w:val="00AE011E"/>
    <w:rsid w:val="00AE06CD"/>
    <w:rsid w:val="00AE087C"/>
    <w:rsid w:val="00AE08BD"/>
    <w:rsid w:val="00AE0D1E"/>
    <w:rsid w:val="00AE1215"/>
    <w:rsid w:val="00AE1318"/>
    <w:rsid w:val="00AE19DE"/>
    <w:rsid w:val="00AE1B3D"/>
    <w:rsid w:val="00AE1CED"/>
    <w:rsid w:val="00AE24AD"/>
    <w:rsid w:val="00AE2B74"/>
    <w:rsid w:val="00AE2CC4"/>
    <w:rsid w:val="00AE2D2C"/>
    <w:rsid w:val="00AE2E20"/>
    <w:rsid w:val="00AE3356"/>
    <w:rsid w:val="00AE3466"/>
    <w:rsid w:val="00AE3744"/>
    <w:rsid w:val="00AE3884"/>
    <w:rsid w:val="00AE3900"/>
    <w:rsid w:val="00AE431C"/>
    <w:rsid w:val="00AE4598"/>
    <w:rsid w:val="00AE4708"/>
    <w:rsid w:val="00AE4902"/>
    <w:rsid w:val="00AE4C94"/>
    <w:rsid w:val="00AE4CD5"/>
    <w:rsid w:val="00AE4D6E"/>
    <w:rsid w:val="00AE539C"/>
    <w:rsid w:val="00AE5E08"/>
    <w:rsid w:val="00AE5E9A"/>
    <w:rsid w:val="00AE6484"/>
    <w:rsid w:val="00AE6850"/>
    <w:rsid w:val="00AE691B"/>
    <w:rsid w:val="00AE6AB9"/>
    <w:rsid w:val="00AE6D13"/>
    <w:rsid w:val="00AE749D"/>
    <w:rsid w:val="00AE74DC"/>
    <w:rsid w:val="00AE7575"/>
    <w:rsid w:val="00AE791B"/>
    <w:rsid w:val="00AE791E"/>
    <w:rsid w:val="00AE7975"/>
    <w:rsid w:val="00AE7BA6"/>
    <w:rsid w:val="00AE7C79"/>
    <w:rsid w:val="00AE7FED"/>
    <w:rsid w:val="00AF02E8"/>
    <w:rsid w:val="00AF0413"/>
    <w:rsid w:val="00AF074C"/>
    <w:rsid w:val="00AF11A1"/>
    <w:rsid w:val="00AF1485"/>
    <w:rsid w:val="00AF1523"/>
    <w:rsid w:val="00AF1546"/>
    <w:rsid w:val="00AF1600"/>
    <w:rsid w:val="00AF1621"/>
    <w:rsid w:val="00AF1CBC"/>
    <w:rsid w:val="00AF1E7F"/>
    <w:rsid w:val="00AF22C6"/>
    <w:rsid w:val="00AF24CA"/>
    <w:rsid w:val="00AF2873"/>
    <w:rsid w:val="00AF28E4"/>
    <w:rsid w:val="00AF3009"/>
    <w:rsid w:val="00AF314C"/>
    <w:rsid w:val="00AF33E9"/>
    <w:rsid w:val="00AF3592"/>
    <w:rsid w:val="00AF36DA"/>
    <w:rsid w:val="00AF3A47"/>
    <w:rsid w:val="00AF4009"/>
    <w:rsid w:val="00AF4190"/>
    <w:rsid w:val="00AF4347"/>
    <w:rsid w:val="00AF4989"/>
    <w:rsid w:val="00AF4A6C"/>
    <w:rsid w:val="00AF4E25"/>
    <w:rsid w:val="00AF4E74"/>
    <w:rsid w:val="00AF50CB"/>
    <w:rsid w:val="00AF57F3"/>
    <w:rsid w:val="00AF5944"/>
    <w:rsid w:val="00AF5A3F"/>
    <w:rsid w:val="00AF5C75"/>
    <w:rsid w:val="00AF5EFE"/>
    <w:rsid w:val="00AF60B1"/>
    <w:rsid w:val="00AF6619"/>
    <w:rsid w:val="00AF67F7"/>
    <w:rsid w:val="00AF6B1C"/>
    <w:rsid w:val="00AF7097"/>
    <w:rsid w:val="00AF727A"/>
    <w:rsid w:val="00AF7C10"/>
    <w:rsid w:val="00AF7F63"/>
    <w:rsid w:val="00AF7F92"/>
    <w:rsid w:val="00AF7FA0"/>
    <w:rsid w:val="00B0018B"/>
    <w:rsid w:val="00B0053E"/>
    <w:rsid w:val="00B00EAB"/>
    <w:rsid w:val="00B01047"/>
    <w:rsid w:val="00B0136E"/>
    <w:rsid w:val="00B013AE"/>
    <w:rsid w:val="00B01DAC"/>
    <w:rsid w:val="00B01EAA"/>
    <w:rsid w:val="00B0271F"/>
    <w:rsid w:val="00B027F8"/>
    <w:rsid w:val="00B02F55"/>
    <w:rsid w:val="00B0316B"/>
    <w:rsid w:val="00B03458"/>
    <w:rsid w:val="00B04344"/>
    <w:rsid w:val="00B04352"/>
    <w:rsid w:val="00B043C6"/>
    <w:rsid w:val="00B0440C"/>
    <w:rsid w:val="00B046F9"/>
    <w:rsid w:val="00B047D9"/>
    <w:rsid w:val="00B04C00"/>
    <w:rsid w:val="00B04C46"/>
    <w:rsid w:val="00B053EB"/>
    <w:rsid w:val="00B056FE"/>
    <w:rsid w:val="00B057D0"/>
    <w:rsid w:val="00B058F4"/>
    <w:rsid w:val="00B05A80"/>
    <w:rsid w:val="00B05AC7"/>
    <w:rsid w:val="00B05BC2"/>
    <w:rsid w:val="00B05CCC"/>
    <w:rsid w:val="00B05ED0"/>
    <w:rsid w:val="00B05F53"/>
    <w:rsid w:val="00B05F9A"/>
    <w:rsid w:val="00B06534"/>
    <w:rsid w:val="00B06642"/>
    <w:rsid w:val="00B0665C"/>
    <w:rsid w:val="00B066E3"/>
    <w:rsid w:val="00B0679A"/>
    <w:rsid w:val="00B06A8D"/>
    <w:rsid w:val="00B06B00"/>
    <w:rsid w:val="00B06BAA"/>
    <w:rsid w:val="00B06C67"/>
    <w:rsid w:val="00B07109"/>
    <w:rsid w:val="00B07882"/>
    <w:rsid w:val="00B07A44"/>
    <w:rsid w:val="00B07BD1"/>
    <w:rsid w:val="00B07CD7"/>
    <w:rsid w:val="00B07E54"/>
    <w:rsid w:val="00B07E8B"/>
    <w:rsid w:val="00B10D25"/>
    <w:rsid w:val="00B10EAA"/>
    <w:rsid w:val="00B11129"/>
    <w:rsid w:val="00B111F9"/>
    <w:rsid w:val="00B11206"/>
    <w:rsid w:val="00B11316"/>
    <w:rsid w:val="00B11498"/>
    <w:rsid w:val="00B1206C"/>
    <w:rsid w:val="00B122C4"/>
    <w:rsid w:val="00B1262B"/>
    <w:rsid w:val="00B127D1"/>
    <w:rsid w:val="00B12E25"/>
    <w:rsid w:val="00B13728"/>
    <w:rsid w:val="00B13964"/>
    <w:rsid w:val="00B13A3D"/>
    <w:rsid w:val="00B13B4E"/>
    <w:rsid w:val="00B13B73"/>
    <w:rsid w:val="00B14303"/>
    <w:rsid w:val="00B1445A"/>
    <w:rsid w:val="00B14706"/>
    <w:rsid w:val="00B14EAD"/>
    <w:rsid w:val="00B1507D"/>
    <w:rsid w:val="00B150EA"/>
    <w:rsid w:val="00B1577A"/>
    <w:rsid w:val="00B15E8D"/>
    <w:rsid w:val="00B161E8"/>
    <w:rsid w:val="00B16726"/>
    <w:rsid w:val="00B16824"/>
    <w:rsid w:val="00B16B39"/>
    <w:rsid w:val="00B16BE1"/>
    <w:rsid w:val="00B16F02"/>
    <w:rsid w:val="00B17091"/>
    <w:rsid w:val="00B172AA"/>
    <w:rsid w:val="00B17521"/>
    <w:rsid w:val="00B17BFB"/>
    <w:rsid w:val="00B17C13"/>
    <w:rsid w:val="00B17F54"/>
    <w:rsid w:val="00B17F6A"/>
    <w:rsid w:val="00B17FF8"/>
    <w:rsid w:val="00B20138"/>
    <w:rsid w:val="00B2016C"/>
    <w:rsid w:val="00B2048F"/>
    <w:rsid w:val="00B20630"/>
    <w:rsid w:val="00B2068B"/>
    <w:rsid w:val="00B20ABB"/>
    <w:rsid w:val="00B21337"/>
    <w:rsid w:val="00B215E6"/>
    <w:rsid w:val="00B219CA"/>
    <w:rsid w:val="00B21A23"/>
    <w:rsid w:val="00B21D9E"/>
    <w:rsid w:val="00B21FDB"/>
    <w:rsid w:val="00B220F6"/>
    <w:rsid w:val="00B223F3"/>
    <w:rsid w:val="00B22475"/>
    <w:rsid w:val="00B228A3"/>
    <w:rsid w:val="00B22AC3"/>
    <w:rsid w:val="00B22B00"/>
    <w:rsid w:val="00B22CE7"/>
    <w:rsid w:val="00B23367"/>
    <w:rsid w:val="00B234CE"/>
    <w:rsid w:val="00B234D2"/>
    <w:rsid w:val="00B2355A"/>
    <w:rsid w:val="00B23BD2"/>
    <w:rsid w:val="00B2490D"/>
    <w:rsid w:val="00B24C94"/>
    <w:rsid w:val="00B24DED"/>
    <w:rsid w:val="00B24FAF"/>
    <w:rsid w:val="00B25F88"/>
    <w:rsid w:val="00B26072"/>
    <w:rsid w:val="00B2644E"/>
    <w:rsid w:val="00B265C7"/>
    <w:rsid w:val="00B265EF"/>
    <w:rsid w:val="00B26786"/>
    <w:rsid w:val="00B267F3"/>
    <w:rsid w:val="00B267FD"/>
    <w:rsid w:val="00B26955"/>
    <w:rsid w:val="00B26FC1"/>
    <w:rsid w:val="00B26FC8"/>
    <w:rsid w:val="00B27352"/>
    <w:rsid w:val="00B2794E"/>
    <w:rsid w:val="00B27BF7"/>
    <w:rsid w:val="00B27D06"/>
    <w:rsid w:val="00B27EE1"/>
    <w:rsid w:val="00B30670"/>
    <w:rsid w:val="00B308E9"/>
    <w:rsid w:val="00B30E42"/>
    <w:rsid w:val="00B30E59"/>
    <w:rsid w:val="00B315BD"/>
    <w:rsid w:val="00B31FDC"/>
    <w:rsid w:val="00B32550"/>
    <w:rsid w:val="00B325F3"/>
    <w:rsid w:val="00B328D1"/>
    <w:rsid w:val="00B33131"/>
    <w:rsid w:val="00B33447"/>
    <w:rsid w:val="00B335C1"/>
    <w:rsid w:val="00B337AA"/>
    <w:rsid w:val="00B3388B"/>
    <w:rsid w:val="00B3395A"/>
    <w:rsid w:val="00B33A41"/>
    <w:rsid w:val="00B34307"/>
    <w:rsid w:val="00B345C4"/>
    <w:rsid w:val="00B3464B"/>
    <w:rsid w:val="00B351E6"/>
    <w:rsid w:val="00B35A76"/>
    <w:rsid w:val="00B35B3A"/>
    <w:rsid w:val="00B35D29"/>
    <w:rsid w:val="00B35EA8"/>
    <w:rsid w:val="00B36057"/>
    <w:rsid w:val="00B3632F"/>
    <w:rsid w:val="00B368C7"/>
    <w:rsid w:val="00B36929"/>
    <w:rsid w:val="00B36AC7"/>
    <w:rsid w:val="00B36B79"/>
    <w:rsid w:val="00B36B84"/>
    <w:rsid w:val="00B36C20"/>
    <w:rsid w:val="00B36D3B"/>
    <w:rsid w:val="00B36D5A"/>
    <w:rsid w:val="00B37472"/>
    <w:rsid w:val="00B378D6"/>
    <w:rsid w:val="00B379F2"/>
    <w:rsid w:val="00B37D01"/>
    <w:rsid w:val="00B37FD5"/>
    <w:rsid w:val="00B403D1"/>
    <w:rsid w:val="00B40854"/>
    <w:rsid w:val="00B40A95"/>
    <w:rsid w:val="00B40D86"/>
    <w:rsid w:val="00B41349"/>
    <w:rsid w:val="00B41409"/>
    <w:rsid w:val="00B4167B"/>
    <w:rsid w:val="00B41AE9"/>
    <w:rsid w:val="00B41B7F"/>
    <w:rsid w:val="00B42204"/>
    <w:rsid w:val="00B42237"/>
    <w:rsid w:val="00B42451"/>
    <w:rsid w:val="00B427A7"/>
    <w:rsid w:val="00B428EE"/>
    <w:rsid w:val="00B42960"/>
    <w:rsid w:val="00B43044"/>
    <w:rsid w:val="00B43479"/>
    <w:rsid w:val="00B43630"/>
    <w:rsid w:val="00B437E8"/>
    <w:rsid w:val="00B43CD8"/>
    <w:rsid w:val="00B43D43"/>
    <w:rsid w:val="00B43E2D"/>
    <w:rsid w:val="00B43EBF"/>
    <w:rsid w:val="00B43FEE"/>
    <w:rsid w:val="00B443CA"/>
    <w:rsid w:val="00B444A8"/>
    <w:rsid w:val="00B44594"/>
    <w:rsid w:val="00B44AA1"/>
    <w:rsid w:val="00B44C0E"/>
    <w:rsid w:val="00B44D43"/>
    <w:rsid w:val="00B44FA5"/>
    <w:rsid w:val="00B450EC"/>
    <w:rsid w:val="00B452AB"/>
    <w:rsid w:val="00B453D2"/>
    <w:rsid w:val="00B45604"/>
    <w:rsid w:val="00B459D5"/>
    <w:rsid w:val="00B45A7C"/>
    <w:rsid w:val="00B45C08"/>
    <w:rsid w:val="00B45CA4"/>
    <w:rsid w:val="00B46459"/>
    <w:rsid w:val="00B4659D"/>
    <w:rsid w:val="00B46A39"/>
    <w:rsid w:val="00B46AA8"/>
    <w:rsid w:val="00B470F5"/>
    <w:rsid w:val="00B4732B"/>
    <w:rsid w:val="00B476BA"/>
    <w:rsid w:val="00B47802"/>
    <w:rsid w:val="00B47A07"/>
    <w:rsid w:val="00B47AA3"/>
    <w:rsid w:val="00B47D8D"/>
    <w:rsid w:val="00B47ED1"/>
    <w:rsid w:val="00B50465"/>
    <w:rsid w:val="00B50501"/>
    <w:rsid w:val="00B507FC"/>
    <w:rsid w:val="00B50E04"/>
    <w:rsid w:val="00B50F99"/>
    <w:rsid w:val="00B5108C"/>
    <w:rsid w:val="00B513A9"/>
    <w:rsid w:val="00B513FF"/>
    <w:rsid w:val="00B5149E"/>
    <w:rsid w:val="00B5151F"/>
    <w:rsid w:val="00B51AA9"/>
    <w:rsid w:val="00B51C3F"/>
    <w:rsid w:val="00B51C98"/>
    <w:rsid w:val="00B51D72"/>
    <w:rsid w:val="00B52347"/>
    <w:rsid w:val="00B53470"/>
    <w:rsid w:val="00B53534"/>
    <w:rsid w:val="00B5367B"/>
    <w:rsid w:val="00B53A00"/>
    <w:rsid w:val="00B53C4C"/>
    <w:rsid w:val="00B53C97"/>
    <w:rsid w:val="00B53D29"/>
    <w:rsid w:val="00B53E36"/>
    <w:rsid w:val="00B544F8"/>
    <w:rsid w:val="00B54528"/>
    <w:rsid w:val="00B545AE"/>
    <w:rsid w:val="00B5477B"/>
    <w:rsid w:val="00B54A29"/>
    <w:rsid w:val="00B54DD4"/>
    <w:rsid w:val="00B55099"/>
    <w:rsid w:val="00B550A8"/>
    <w:rsid w:val="00B55173"/>
    <w:rsid w:val="00B559FD"/>
    <w:rsid w:val="00B55A9A"/>
    <w:rsid w:val="00B55B67"/>
    <w:rsid w:val="00B55C5D"/>
    <w:rsid w:val="00B5620B"/>
    <w:rsid w:val="00B562C0"/>
    <w:rsid w:val="00B56879"/>
    <w:rsid w:val="00B56916"/>
    <w:rsid w:val="00B56931"/>
    <w:rsid w:val="00B5694A"/>
    <w:rsid w:val="00B569FF"/>
    <w:rsid w:val="00B572AE"/>
    <w:rsid w:val="00B574D7"/>
    <w:rsid w:val="00B57523"/>
    <w:rsid w:val="00B5BA55"/>
    <w:rsid w:val="00B6002A"/>
    <w:rsid w:val="00B602EB"/>
    <w:rsid w:val="00B609FB"/>
    <w:rsid w:val="00B60F47"/>
    <w:rsid w:val="00B61462"/>
    <w:rsid w:val="00B619E8"/>
    <w:rsid w:val="00B61BCF"/>
    <w:rsid w:val="00B61DA8"/>
    <w:rsid w:val="00B61FE3"/>
    <w:rsid w:val="00B622BC"/>
    <w:rsid w:val="00B62D77"/>
    <w:rsid w:val="00B6310D"/>
    <w:rsid w:val="00B6352C"/>
    <w:rsid w:val="00B637DE"/>
    <w:rsid w:val="00B6380A"/>
    <w:rsid w:val="00B63CF0"/>
    <w:rsid w:val="00B64124"/>
    <w:rsid w:val="00B64370"/>
    <w:rsid w:val="00B646FE"/>
    <w:rsid w:val="00B6480F"/>
    <w:rsid w:val="00B64A6A"/>
    <w:rsid w:val="00B64BC2"/>
    <w:rsid w:val="00B64C23"/>
    <w:rsid w:val="00B64DE9"/>
    <w:rsid w:val="00B650AF"/>
    <w:rsid w:val="00B658BD"/>
    <w:rsid w:val="00B65BAD"/>
    <w:rsid w:val="00B65F05"/>
    <w:rsid w:val="00B65F41"/>
    <w:rsid w:val="00B661B4"/>
    <w:rsid w:val="00B663BB"/>
    <w:rsid w:val="00B6661A"/>
    <w:rsid w:val="00B666DA"/>
    <w:rsid w:val="00B66772"/>
    <w:rsid w:val="00B66D16"/>
    <w:rsid w:val="00B66FAF"/>
    <w:rsid w:val="00B678CD"/>
    <w:rsid w:val="00B67AE3"/>
    <w:rsid w:val="00B67D69"/>
    <w:rsid w:val="00B67FEE"/>
    <w:rsid w:val="00B70117"/>
    <w:rsid w:val="00B70184"/>
    <w:rsid w:val="00B70345"/>
    <w:rsid w:val="00B705E6"/>
    <w:rsid w:val="00B7064E"/>
    <w:rsid w:val="00B706C4"/>
    <w:rsid w:val="00B70769"/>
    <w:rsid w:val="00B708A0"/>
    <w:rsid w:val="00B70D08"/>
    <w:rsid w:val="00B70D3C"/>
    <w:rsid w:val="00B70D61"/>
    <w:rsid w:val="00B71059"/>
    <w:rsid w:val="00B71498"/>
    <w:rsid w:val="00B719E3"/>
    <w:rsid w:val="00B720B3"/>
    <w:rsid w:val="00B720E3"/>
    <w:rsid w:val="00B72B1E"/>
    <w:rsid w:val="00B72EF2"/>
    <w:rsid w:val="00B7344D"/>
    <w:rsid w:val="00B73CD1"/>
    <w:rsid w:val="00B73E92"/>
    <w:rsid w:val="00B7419D"/>
    <w:rsid w:val="00B741B0"/>
    <w:rsid w:val="00B742F4"/>
    <w:rsid w:val="00B749C5"/>
    <w:rsid w:val="00B751B4"/>
    <w:rsid w:val="00B7553E"/>
    <w:rsid w:val="00B755B6"/>
    <w:rsid w:val="00B755DD"/>
    <w:rsid w:val="00B75950"/>
    <w:rsid w:val="00B75A09"/>
    <w:rsid w:val="00B75D9A"/>
    <w:rsid w:val="00B7636B"/>
    <w:rsid w:val="00B7636E"/>
    <w:rsid w:val="00B7653D"/>
    <w:rsid w:val="00B76B39"/>
    <w:rsid w:val="00B76F70"/>
    <w:rsid w:val="00B775B8"/>
    <w:rsid w:val="00B77784"/>
    <w:rsid w:val="00B77961"/>
    <w:rsid w:val="00B77B09"/>
    <w:rsid w:val="00B80625"/>
    <w:rsid w:val="00B815D2"/>
    <w:rsid w:val="00B81DDF"/>
    <w:rsid w:val="00B822D6"/>
    <w:rsid w:val="00B82612"/>
    <w:rsid w:val="00B82BC7"/>
    <w:rsid w:val="00B82F45"/>
    <w:rsid w:val="00B830B4"/>
    <w:rsid w:val="00B83630"/>
    <w:rsid w:val="00B8363F"/>
    <w:rsid w:val="00B83686"/>
    <w:rsid w:val="00B83689"/>
    <w:rsid w:val="00B83AFD"/>
    <w:rsid w:val="00B83C70"/>
    <w:rsid w:val="00B83FA8"/>
    <w:rsid w:val="00B84015"/>
    <w:rsid w:val="00B845F5"/>
    <w:rsid w:val="00B847EC"/>
    <w:rsid w:val="00B84935"/>
    <w:rsid w:val="00B84BF0"/>
    <w:rsid w:val="00B84C0D"/>
    <w:rsid w:val="00B85166"/>
    <w:rsid w:val="00B8535C"/>
    <w:rsid w:val="00B86181"/>
    <w:rsid w:val="00B861CF"/>
    <w:rsid w:val="00B861EC"/>
    <w:rsid w:val="00B8651F"/>
    <w:rsid w:val="00B86692"/>
    <w:rsid w:val="00B8676A"/>
    <w:rsid w:val="00B869AD"/>
    <w:rsid w:val="00B86CF2"/>
    <w:rsid w:val="00B86E0F"/>
    <w:rsid w:val="00B86F42"/>
    <w:rsid w:val="00B8704A"/>
    <w:rsid w:val="00B87578"/>
    <w:rsid w:val="00B90210"/>
    <w:rsid w:val="00B9044F"/>
    <w:rsid w:val="00B90511"/>
    <w:rsid w:val="00B90610"/>
    <w:rsid w:val="00B90810"/>
    <w:rsid w:val="00B90C80"/>
    <w:rsid w:val="00B90D9D"/>
    <w:rsid w:val="00B90F52"/>
    <w:rsid w:val="00B9110C"/>
    <w:rsid w:val="00B913BF"/>
    <w:rsid w:val="00B91553"/>
    <w:rsid w:val="00B915F6"/>
    <w:rsid w:val="00B919AE"/>
    <w:rsid w:val="00B91A1D"/>
    <w:rsid w:val="00B91E44"/>
    <w:rsid w:val="00B922BF"/>
    <w:rsid w:val="00B923D2"/>
    <w:rsid w:val="00B92CA1"/>
    <w:rsid w:val="00B92DE1"/>
    <w:rsid w:val="00B93820"/>
    <w:rsid w:val="00B939FA"/>
    <w:rsid w:val="00B93B8B"/>
    <w:rsid w:val="00B93C1F"/>
    <w:rsid w:val="00B93CA7"/>
    <w:rsid w:val="00B94166"/>
    <w:rsid w:val="00B9443A"/>
    <w:rsid w:val="00B94674"/>
    <w:rsid w:val="00B946E4"/>
    <w:rsid w:val="00B9473C"/>
    <w:rsid w:val="00B948C6"/>
    <w:rsid w:val="00B95928"/>
    <w:rsid w:val="00B95CD2"/>
    <w:rsid w:val="00B95EDD"/>
    <w:rsid w:val="00B96150"/>
    <w:rsid w:val="00B962CC"/>
    <w:rsid w:val="00B967CF"/>
    <w:rsid w:val="00B9688B"/>
    <w:rsid w:val="00B96899"/>
    <w:rsid w:val="00B968BF"/>
    <w:rsid w:val="00B96BCE"/>
    <w:rsid w:val="00B96D6B"/>
    <w:rsid w:val="00B96FBF"/>
    <w:rsid w:val="00B97120"/>
    <w:rsid w:val="00B97964"/>
    <w:rsid w:val="00B97DEC"/>
    <w:rsid w:val="00BA01E4"/>
    <w:rsid w:val="00BA07A4"/>
    <w:rsid w:val="00BA0B71"/>
    <w:rsid w:val="00BA0C16"/>
    <w:rsid w:val="00BA0C35"/>
    <w:rsid w:val="00BA153B"/>
    <w:rsid w:val="00BA1635"/>
    <w:rsid w:val="00BA16BF"/>
    <w:rsid w:val="00BA17C8"/>
    <w:rsid w:val="00BA1B12"/>
    <w:rsid w:val="00BA1FC4"/>
    <w:rsid w:val="00BA2426"/>
    <w:rsid w:val="00BA24FD"/>
    <w:rsid w:val="00BA2790"/>
    <w:rsid w:val="00BA2BB4"/>
    <w:rsid w:val="00BA2C39"/>
    <w:rsid w:val="00BA2FE9"/>
    <w:rsid w:val="00BA33C1"/>
    <w:rsid w:val="00BA3AE7"/>
    <w:rsid w:val="00BA3B33"/>
    <w:rsid w:val="00BA3FDE"/>
    <w:rsid w:val="00BA4520"/>
    <w:rsid w:val="00BA4829"/>
    <w:rsid w:val="00BA4D65"/>
    <w:rsid w:val="00BA50CD"/>
    <w:rsid w:val="00BA516D"/>
    <w:rsid w:val="00BA5479"/>
    <w:rsid w:val="00BA56A3"/>
    <w:rsid w:val="00BA577D"/>
    <w:rsid w:val="00BA58AB"/>
    <w:rsid w:val="00BA59E3"/>
    <w:rsid w:val="00BA5B87"/>
    <w:rsid w:val="00BA5F6C"/>
    <w:rsid w:val="00BA5F94"/>
    <w:rsid w:val="00BA61AD"/>
    <w:rsid w:val="00BA64F7"/>
    <w:rsid w:val="00BA68FD"/>
    <w:rsid w:val="00BA6A9E"/>
    <w:rsid w:val="00BA6B5A"/>
    <w:rsid w:val="00BA6DF2"/>
    <w:rsid w:val="00BA74D0"/>
    <w:rsid w:val="00BA7A0C"/>
    <w:rsid w:val="00BA7BA0"/>
    <w:rsid w:val="00BB0240"/>
    <w:rsid w:val="00BB036F"/>
    <w:rsid w:val="00BB0599"/>
    <w:rsid w:val="00BB0D03"/>
    <w:rsid w:val="00BB1044"/>
    <w:rsid w:val="00BB153C"/>
    <w:rsid w:val="00BB15DA"/>
    <w:rsid w:val="00BB17D6"/>
    <w:rsid w:val="00BB184F"/>
    <w:rsid w:val="00BB1895"/>
    <w:rsid w:val="00BB1E10"/>
    <w:rsid w:val="00BB1E8C"/>
    <w:rsid w:val="00BB1E95"/>
    <w:rsid w:val="00BB1EBD"/>
    <w:rsid w:val="00BB22CE"/>
    <w:rsid w:val="00BB259D"/>
    <w:rsid w:val="00BB29D8"/>
    <w:rsid w:val="00BB2B1B"/>
    <w:rsid w:val="00BB2BFF"/>
    <w:rsid w:val="00BB2C31"/>
    <w:rsid w:val="00BB3199"/>
    <w:rsid w:val="00BB32AC"/>
    <w:rsid w:val="00BB37E7"/>
    <w:rsid w:val="00BB3F13"/>
    <w:rsid w:val="00BB40BB"/>
    <w:rsid w:val="00BB4317"/>
    <w:rsid w:val="00BB4697"/>
    <w:rsid w:val="00BB470D"/>
    <w:rsid w:val="00BB4895"/>
    <w:rsid w:val="00BB4C30"/>
    <w:rsid w:val="00BB4D6C"/>
    <w:rsid w:val="00BB52F9"/>
    <w:rsid w:val="00BB5475"/>
    <w:rsid w:val="00BB5822"/>
    <w:rsid w:val="00BB5997"/>
    <w:rsid w:val="00BB5A4F"/>
    <w:rsid w:val="00BB5FB0"/>
    <w:rsid w:val="00BB6303"/>
    <w:rsid w:val="00BB63AA"/>
    <w:rsid w:val="00BB6523"/>
    <w:rsid w:val="00BB66A0"/>
    <w:rsid w:val="00BB6B48"/>
    <w:rsid w:val="00BB6EFE"/>
    <w:rsid w:val="00BC0044"/>
    <w:rsid w:val="00BC05C7"/>
    <w:rsid w:val="00BC08F1"/>
    <w:rsid w:val="00BC1253"/>
    <w:rsid w:val="00BC129D"/>
    <w:rsid w:val="00BC1348"/>
    <w:rsid w:val="00BC2305"/>
    <w:rsid w:val="00BC23BF"/>
    <w:rsid w:val="00BC23FA"/>
    <w:rsid w:val="00BC24F2"/>
    <w:rsid w:val="00BC257A"/>
    <w:rsid w:val="00BC2B9A"/>
    <w:rsid w:val="00BC301A"/>
    <w:rsid w:val="00BC31A0"/>
    <w:rsid w:val="00BC35C6"/>
    <w:rsid w:val="00BC3A9D"/>
    <w:rsid w:val="00BC3ACB"/>
    <w:rsid w:val="00BC4486"/>
    <w:rsid w:val="00BC459E"/>
    <w:rsid w:val="00BC46A6"/>
    <w:rsid w:val="00BC50F6"/>
    <w:rsid w:val="00BC5133"/>
    <w:rsid w:val="00BC522A"/>
    <w:rsid w:val="00BC52A0"/>
    <w:rsid w:val="00BC5370"/>
    <w:rsid w:val="00BC54D7"/>
    <w:rsid w:val="00BC59D7"/>
    <w:rsid w:val="00BC5F84"/>
    <w:rsid w:val="00BC62A4"/>
    <w:rsid w:val="00BC6E7E"/>
    <w:rsid w:val="00BC769D"/>
    <w:rsid w:val="00BC76FA"/>
    <w:rsid w:val="00BC771C"/>
    <w:rsid w:val="00BC7F2A"/>
    <w:rsid w:val="00BD0421"/>
    <w:rsid w:val="00BD055F"/>
    <w:rsid w:val="00BD06A8"/>
    <w:rsid w:val="00BD08B2"/>
    <w:rsid w:val="00BD08F5"/>
    <w:rsid w:val="00BD0954"/>
    <w:rsid w:val="00BD0ECA"/>
    <w:rsid w:val="00BD1740"/>
    <w:rsid w:val="00BD1948"/>
    <w:rsid w:val="00BD1A54"/>
    <w:rsid w:val="00BD1B10"/>
    <w:rsid w:val="00BD237C"/>
    <w:rsid w:val="00BD29AB"/>
    <w:rsid w:val="00BD2DF8"/>
    <w:rsid w:val="00BD2FCF"/>
    <w:rsid w:val="00BD302C"/>
    <w:rsid w:val="00BD3179"/>
    <w:rsid w:val="00BD36B8"/>
    <w:rsid w:val="00BD37EA"/>
    <w:rsid w:val="00BD3957"/>
    <w:rsid w:val="00BD3C34"/>
    <w:rsid w:val="00BD3D69"/>
    <w:rsid w:val="00BD3DFF"/>
    <w:rsid w:val="00BD4263"/>
    <w:rsid w:val="00BD43BF"/>
    <w:rsid w:val="00BD45E6"/>
    <w:rsid w:val="00BD46DF"/>
    <w:rsid w:val="00BD536C"/>
    <w:rsid w:val="00BD5494"/>
    <w:rsid w:val="00BD5A60"/>
    <w:rsid w:val="00BD5D28"/>
    <w:rsid w:val="00BD5D4B"/>
    <w:rsid w:val="00BD5E41"/>
    <w:rsid w:val="00BD67CB"/>
    <w:rsid w:val="00BD68C4"/>
    <w:rsid w:val="00BD695C"/>
    <w:rsid w:val="00BD6B86"/>
    <w:rsid w:val="00BD6C77"/>
    <w:rsid w:val="00BD6E84"/>
    <w:rsid w:val="00BD7684"/>
    <w:rsid w:val="00BD771A"/>
    <w:rsid w:val="00BD78F6"/>
    <w:rsid w:val="00BD7EFD"/>
    <w:rsid w:val="00BE0159"/>
    <w:rsid w:val="00BE034C"/>
    <w:rsid w:val="00BE07CA"/>
    <w:rsid w:val="00BE0821"/>
    <w:rsid w:val="00BE0BE9"/>
    <w:rsid w:val="00BE0CED"/>
    <w:rsid w:val="00BE0E90"/>
    <w:rsid w:val="00BE12F4"/>
    <w:rsid w:val="00BE1637"/>
    <w:rsid w:val="00BE1771"/>
    <w:rsid w:val="00BE18A8"/>
    <w:rsid w:val="00BE1CAB"/>
    <w:rsid w:val="00BE1FF6"/>
    <w:rsid w:val="00BE21E3"/>
    <w:rsid w:val="00BE2840"/>
    <w:rsid w:val="00BE2877"/>
    <w:rsid w:val="00BE28EB"/>
    <w:rsid w:val="00BE295B"/>
    <w:rsid w:val="00BE317E"/>
    <w:rsid w:val="00BE32CA"/>
    <w:rsid w:val="00BE3B3F"/>
    <w:rsid w:val="00BE3B85"/>
    <w:rsid w:val="00BE3F82"/>
    <w:rsid w:val="00BE4085"/>
    <w:rsid w:val="00BE41BC"/>
    <w:rsid w:val="00BE420D"/>
    <w:rsid w:val="00BE4272"/>
    <w:rsid w:val="00BE42EA"/>
    <w:rsid w:val="00BE46F5"/>
    <w:rsid w:val="00BE4D2F"/>
    <w:rsid w:val="00BE504A"/>
    <w:rsid w:val="00BE570C"/>
    <w:rsid w:val="00BE5B50"/>
    <w:rsid w:val="00BE5BE7"/>
    <w:rsid w:val="00BE5C74"/>
    <w:rsid w:val="00BE6563"/>
    <w:rsid w:val="00BE6F31"/>
    <w:rsid w:val="00BE705E"/>
    <w:rsid w:val="00BE71DF"/>
    <w:rsid w:val="00BE7439"/>
    <w:rsid w:val="00BE747E"/>
    <w:rsid w:val="00BE7965"/>
    <w:rsid w:val="00BF0D37"/>
    <w:rsid w:val="00BF1662"/>
    <w:rsid w:val="00BF19ED"/>
    <w:rsid w:val="00BF1B6C"/>
    <w:rsid w:val="00BF1C05"/>
    <w:rsid w:val="00BF1DD2"/>
    <w:rsid w:val="00BF1E07"/>
    <w:rsid w:val="00BF248D"/>
    <w:rsid w:val="00BF2830"/>
    <w:rsid w:val="00BF2A2D"/>
    <w:rsid w:val="00BF3442"/>
    <w:rsid w:val="00BF44E2"/>
    <w:rsid w:val="00BF4571"/>
    <w:rsid w:val="00BF50C4"/>
    <w:rsid w:val="00BF53DF"/>
    <w:rsid w:val="00BF575F"/>
    <w:rsid w:val="00BF5C33"/>
    <w:rsid w:val="00BF5CA7"/>
    <w:rsid w:val="00BF6034"/>
    <w:rsid w:val="00BF6105"/>
    <w:rsid w:val="00BF63D1"/>
    <w:rsid w:val="00BF6B96"/>
    <w:rsid w:val="00BF6BCF"/>
    <w:rsid w:val="00BF76D4"/>
    <w:rsid w:val="00BF7B98"/>
    <w:rsid w:val="00C00807"/>
    <w:rsid w:val="00C008D6"/>
    <w:rsid w:val="00C00DF9"/>
    <w:rsid w:val="00C00EA7"/>
    <w:rsid w:val="00C00F01"/>
    <w:rsid w:val="00C00FFC"/>
    <w:rsid w:val="00C0122A"/>
    <w:rsid w:val="00C01646"/>
    <w:rsid w:val="00C016CB"/>
    <w:rsid w:val="00C01AAC"/>
    <w:rsid w:val="00C02233"/>
    <w:rsid w:val="00C02294"/>
    <w:rsid w:val="00C02A99"/>
    <w:rsid w:val="00C02F02"/>
    <w:rsid w:val="00C0312D"/>
    <w:rsid w:val="00C0338A"/>
    <w:rsid w:val="00C03431"/>
    <w:rsid w:val="00C03712"/>
    <w:rsid w:val="00C039D3"/>
    <w:rsid w:val="00C0419F"/>
    <w:rsid w:val="00C04319"/>
    <w:rsid w:val="00C04911"/>
    <w:rsid w:val="00C04978"/>
    <w:rsid w:val="00C049EF"/>
    <w:rsid w:val="00C04BF8"/>
    <w:rsid w:val="00C04F9B"/>
    <w:rsid w:val="00C05438"/>
    <w:rsid w:val="00C0553F"/>
    <w:rsid w:val="00C0557B"/>
    <w:rsid w:val="00C05585"/>
    <w:rsid w:val="00C05D92"/>
    <w:rsid w:val="00C06039"/>
    <w:rsid w:val="00C06052"/>
    <w:rsid w:val="00C060A2"/>
    <w:rsid w:val="00C0640E"/>
    <w:rsid w:val="00C0658F"/>
    <w:rsid w:val="00C06D55"/>
    <w:rsid w:val="00C0723C"/>
    <w:rsid w:val="00C075C0"/>
    <w:rsid w:val="00C077FD"/>
    <w:rsid w:val="00C0796D"/>
    <w:rsid w:val="00C07AB0"/>
    <w:rsid w:val="00C07BFB"/>
    <w:rsid w:val="00C100EA"/>
    <w:rsid w:val="00C106FF"/>
    <w:rsid w:val="00C108D5"/>
    <w:rsid w:val="00C10BD1"/>
    <w:rsid w:val="00C11768"/>
    <w:rsid w:val="00C11870"/>
    <w:rsid w:val="00C11A09"/>
    <w:rsid w:val="00C11A0D"/>
    <w:rsid w:val="00C11AAA"/>
    <w:rsid w:val="00C11AEA"/>
    <w:rsid w:val="00C11B45"/>
    <w:rsid w:val="00C11FD3"/>
    <w:rsid w:val="00C12047"/>
    <w:rsid w:val="00C1216A"/>
    <w:rsid w:val="00C12906"/>
    <w:rsid w:val="00C1299D"/>
    <w:rsid w:val="00C12A1D"/>
    <w:rsid w:val="00C12E02"/>
    <w:rsid w:val="00C13118"/>
    <w:rsid w:val="00C13661"/>
    <w:rsid w:val="00C13888"/>
    <w:rsid w:val="00C14303"/>
    <w:rsid w:val="00C14997"/>
    <w:rsid w:val="00C14D45"/>
    <w:rsid w:val="00C152E2"/>
    <w:rsid w:val="00C154C7"/>
    <w:rsid w:val="00C15502"/>
    <w:rsid w:val="00C15503"/>
    <w:rsid w:val="00C16281"/>
    <w:rsid w:val="00C1631B"/>
    <w:rsid w:val="00C16718"/>
    <w:rsid w:val="00C16DC5"/>
    <w:rsid w:val="00C1750B"/>
    <w:rsid w:val="00C17E93"/>
    <w:rsid w:val="00C20193"/>
    <w:rsid w:val="00C20239"/>
    <w:rsid w:val="00C204B4"/>
    <w:rsid w:val="00C206C8"/>
    <w:rsid w:val="00C20A2B"/>
    <w:rsid w:val="00C20C3A"/>
    <w:rsid w:val="00C20D8E"/>
    <w:rsid w:val="00C20FE5"/>
    <w:rsid w:val="00C21392"/>
    <w:rsid w:val="00C21552"/>
    <w:rsid w:val="00C21616"/>
    <w:rsid w:val="00C219F7"/>
    <w:rsid w:val="00C21BFB"/>
    <w:rsid w:val="00C21E84"/>
    <w:rsid w:val="00C220E7"/>
    <w:rsid w:val="00C2221B"/>
    <w:rsid w:val="00C223F6"/>
    <w:rsid w:val="00C2260A"/>
    <w:rsid w:val="00C22ADA"/>
    <w:rsid w:val="00C22F17"/>
    <w:rsid w:val="00C23298"/>
    <w:rsid w:val="00C23426"/>
    <w:rsid w:val="00C2357C"/>
    <w:rsid w:val="00C2385E"/>
    <w:rsid w:val="00C23AC0"/>
    <w:rsid w:val="00C23DC0"/>
    <w:rsid w:val="00C2431E"/>
    <w:rsid w:val="00C243A5"/>
    <w:rsid w:val="00C245AA"/>
    <w:rsid w:val="00C2473B"/>
    <w:rsid w:val="00C248FD"/>
    <w:rsid w:val="00C24948"/>
    <w:rsid w:val="00C24B75"/>
    <w:rsid w:val="00C252A3"/>
    <w:rsid w:val="00C254CC"/>
    <w:rsid w:val="00C25789"/>
    <w:rsid w:val="00C25825"/>
    <w:rsid w:val="00C25D53"/>
    <w:rsid w:val="00C25DC4"/>
    <w:rsid w:val="00C25DFC"/>
    <w:rsid w:val="00C25E1A"/>
    <w:rsid w:val="00C26283"/>
    <w:rsid w:val="00C26D91"/>
    <w:rsid w:val="00C2703B"/>
    <w:rsid w:val="00C2726E"/>
    <w:rsid w:val="00C276A2"/>
    <w:rsid w:val="00C301F7"/>
    <w:rsid w:val="00C30331"/>
    <w:rsid w:val="00C30DCA"/>
    <w:rsid w:val="00C30F09"/>
    <w:rsid w:val="00C311D7"/>
    <w:rsid w:val="00C311EB"/>
    <w:rsid w:val="00C313B9"/>
    <w:rsid w:val="00C3140F"/>
    <w:rsid w:val="00C319B3"/>
    <w:rsid w:val="00C31AC9"/>
    <w:rsid w:val="00C3223D"/>
    <w:rsid w:val="00C32648"/>
    <w:rsid w:val="00C3264E"/>
    <w:rsid w:val="00C32808"/>
    <w:rsid w:val="00C3290B"/>
    <w:rsid w:val="00C32D00"/>
    <w:rsid w:val="00C33290"/>
    <w:rsid w:val="00C33C73"/>
    <w:rsid w:val="00C33E45"/>
    <w:rsid w:val="00C344D0"/>
    <w:rsid w:val="00C345FE"/>
    <w:rsid w:val="00C34647"/>
    <w:rsid w:val="00C34E93"/>
    <w:rsid w:val="00C34FDE"/>
    <w:rsid w:val="00C351D5"/>
    <w:rsid w:val="00C352A2"/>
    <w:rsid w:val="00C35A8C"/>
    <w:rsid w:val="00C35B58"/>
    <w:rsid w:val="00C36516"/>
    <w:rsid w:val="00C3652D"/>
    <w:rsid w:val="00C36BEF"/>
    <w:rsid w:val="00C36C1D"/>
    <w:rsid w:val="00C36CDC"/>
    <w:rsid w:val="00C36DE8"/>
    <w:rsid w:val="00C3707B"/>
    <w:rsid w:val="00C37100"/>
    <w:rsid w:val="00C374CA"/>
    <w:rsid w:val="00C375DB"/>
    <w:rsid w:val="00C37776"/>
    <w:rsid w:val="00C37C5E"/>
    <w:rsid w:val="00C37EED"/>
    <w:rsid w:val="00C399CB"/>
    <w:rsid w:val="00C40168"/>
    <w:rsid w:val="00C402C5"/>
    <w:rsid w:val="00C404DA"/>
    <w:rsid w:val="00C40654"/>
    <w:rsid w:val="00C40DFD"/>
    <w:rsid w:val="00C410BA"/>
    <w:rsid w:val="00C4132F"/>
    <w:rsid w:val="00C41465"/>
    <w:rsid w:val="00C4160F"/>
    <w:rsid w:val="00C4170A"/>
    <w:rsid w:val="00C41774"/>
    <w:rsid w:val="00C417EC"/>
    <w:rsid w:val="00C41992"/>
    <w:rsid w:val="00C41CF5"/>
    <w:rsid w:val="00C41D34"/>
    <w:rsid w:val="00C421D7"/>
    <w:rsid w:val="00C425BF"/>
    <w:rsid w:val="00C42681"/>
    <w:rsid w:val="00C42783"/>
    <w:rsid w:val="00C4290A"/>
    <w:rsid w:val="00C42A85"/>
    <w:rsid w:val="00C42ABD"/>
    <w:rsid w:val="00C42C65"/>
    <w:rsid w:val="00C43009"/>
    <w:rsid w:val="00C433CD"/>
    <w:rsid w:val="00C439C8"/>
    <w:rsid w:val="00C43A26"/>
    <w:rsid w:val="00C43DCC"/>
    <w:rsid w:val="00C4453D"/>
    <w:rsid w:val="00C44DE3"/>
    <w:rsid w:val="00C44F32"/>
    <w:rsid w:val="00C44F72"/>
    <w:rsid w:val="00C45122"/>
    <w:rsid w:val="00C45129"/>
    <w:rsid w:val="00C45287"/>
    <w:rsid w:val="00C45743"/>
    <w:rsid w:val="00C458EA"/>
    <w:rsid w:val="00C45C20"/>
    <w:rsid w:val="00C45CC4"/>
    <w:rsid w:val="00C45ED0"/>
    <w:rsid w:val="00C46263"/>
    <w:rsid w:val="00C46507"/>
    <w:rsid w:val="00C46548"/>
    <w:rsid w:val="00C46770"/>
    <w:rsid w:val="00C470BE"/>
    <w:rsid w:val="00C47A2C"/>
    <w:rsid w:val="00C47AAF"/>
    <w:rsid w:val="00C5035E"/>
    <w:rsid w:val="00C50851"/>
    <w:rsid w:val="00C50C4E"/>
    <w:rsid w:val="00C510F0"/>
    <w:rsid w:val="00C51301"/>
    <w:rsid w:val="00C514FA"/>
    <w:rsid w:val="00C51520"/>
    <w:rsid w:val="00C51AB0"/>
    <w:rsid w:val="00C51BEF"/>
    <w:rsid w:val="00C51BF8"/>
    <w:rsid w:val="00C51D3F"/>
    <w:rsid w:val="00C51DBC"/>
    <w:rsid w:val="00C51E78"/>
    <w:rsid w:val="00C52574"/>
    <w:rsid w:val="00C5269B"/>
    <w:rsid w:val="00C528F7"/>
    <w:rsid w:val="00C52989"/>
    <w:rsid w:val="00C52997"/>
    <w:rsid w:val="00C52B58"/>
    <w:rsid w:val="00C52CB2"/>
    <w:rsid w:val="00C534E6"/>
    <w:rsid w:val="00C535CA"/>
    <w:rsid w:val="00C53BBD"/>
    <w:rsid w:val="00C53FA4"/>
    <w:rsid w:val="00C54124"/>
    <w:rsid w:val="00C54D01"/>
    <w:rsid w:val="00C54E4B"/>
    <w:rsid w:val="00C550CF"/>
    <w:rsid w:val="00C55100"/>
    <w:rsid w:val="00C559BC"/>
    <w:rsid w:val="00C559D9"/>
    <w:rsid w:val="00C572C6"/>
    <w:rsid w:val="00C57312"/>
    <w:rsid w:val="00C5760A"/>
    <w:rsid w:val="00C576BD"/>
    <w:rsid w:val="00C577E0"/>
    <w:rsid w:val="00C57B6E"/>
    <w:rsid w:val="00C6003A"/>
    <w:rsid w:val="00C600BB"/>
    <w:rsid w:val="00C60585"/>
    <w:rsid w:val="00C60A9E"/>
    <w:rsid w:val="00C60D85"/>
    <w:rsid w:val="00C60ED2"/>
    <w:rsid w:val="00C613D7"/>
    <w:rsid w:val="00C61433"/>
    <w:rsid w:val="00C61E62"/>
    <w:rsid w:val="00C62B09"/>
    <w:rsid w:val="00C6357A"/>
    <w:rsid w:val="00C637BC"/>
    <w:rsid w:val="00C63A63"/>
    <w:rsid w:val="00C63CA3"/>
    <w:rsid w:val="00C63EC8"/>
    <w:rsid w:val="00C63FAA"/>
    <w:rsid w:val="00C64915"/>
    <w:rsid w:val="00C64964"/>
    <w:rsid w:val="00C64A09"/>
    <w:rsid w:val="00C656D0"/>
    <w:rsid w:val="00C6614B"/>
    <w:rsid w:val="00C661BA"/>
    <w:rsid w:val="00C66210"/>
    <w:rsid w:val="00C662E4"/>
    <w:rsid w:val="00C66631"/>
    <w:rsid w:val="00C6670C"/>
    <w:rsid w:val="00C66D96"/>
    <w:rsid w:val="00C67A71"/>
    <w:rsid w:val="00C67A94"/>
    <w:rsid w:val="00C67B91"/>
    <w:rsid w:val="00C67C47"/>
    <w:rsid w:val="00C700CA"/>
    <w:rsid w:val="00C70622"/>
    <w:rsid w:val="00C706A0"/>
    <w:rsid w:val="00C7180D"/>
    <w:rsid w:val="00C71A1C"/>
    <w:rsid w:val="00C72901"/>
    <w:rsid w:val="00C73190"/>
    <w:rsid w:val="00C733A5"/>
    <w:rsid w:val="00C7342D"/>
    <w:rsid w:val="00C735CE"/>
    <w:rsid w:val="00C735EC"/>
    <w:rsid w:val="00C73702"/>
    <w:rsid w:val="00C737AA"/>
    <w:rsid w:val="00C73918"/>
    <w:rsid w:val="00C73980"/>
    <w:rsid w:val="00C739F2"/>
    <w:rsid w:val="00C73D68"/>
    <w:rsid w:val="00C74628"/>
    <w:rsid w:val="00C7538D"/>
    <w:rsid w:val="00C758B1"/>
    <w:rsid w:val="00C75D41"/>
    <w:rsid w:val="00C75D94"/>
    <w:rsid w:val="00C75E6D"/>
    <w:rsid w:val="00C760C5"/>
    <w:rsid w:val="00C7613E"/>
    <w:rsid w:val="00C761B8"/>
    <w:rsid w:val="00C762DB"/>
    <w:rsid w:val="00C76555"/>
    <w:rsid w:val="00C76F16"/>
    <w:rsid w:val="00C76FBE"/>
    <w:rsid w:val="00C770A9"/>
    <w:rsid w:val="00C775C6"/>
    <w:rsid w:val="00C775D2"/>
    <w:rsid w:val="00C776CC"/>
    <w:rsid w:val="00C77832"/>
    <w:rsid w:val="00C779CA"/>
    <w:rsid w:val="00C77BE9"/>
    <w:rsid w:val="00C803DD"/>
    <w:rsid w:val="00C80AB5"/>
    <w:rsid w:val="00C80B37"/>
    <w:rsid w:val="00C80E38"/>
    <w:rsid w:val="00C80EE8"/>
    <w:rsid w:val="00C80F18"/>
    <w:rsid w:val="00C81022"/>
    <w:rsid w:val="00C813B3"/>
    <w:rsid w:val="00C817C1"/>
    <w:rsid w:val="00C81AF8"/>
    <w:rsid w:val="00C825D1"/>
    <w:rsid w:val="00C82DF3"/>
    <w:rsid w:val="00C8319F"/>
    <w:rsid w:val="00C83931"/>
    <w:rsid w:val="00C83E31"/>
    <w:rsid w:val="00C84129"/>
    <w:rsid w:val="00C84138"/>
    <w:rsid w:val="00C8486C"/>
    <w:rsid w:val="00C85128"/>
    <w:rsid w:val="00C852BD"/>
    <w:rsid w:val="00C8549B"/>
    <w:rsid w:val="00C85624"/>
    <w:rsid w:val="00C85662"/>
    <w:rsid w:val="00C856A5"/>
    <w:rsid w:val="00C85794"/>
    <w:rsid w:val="00C858B8"/>
    <w:rsid w:val="00C858F1"/>
    <w:rsid w:val="00C8625F"/>
    <w:rsid w:val="00C8629B"/>
    <w:rsid w:val="00C8668D"/>
    <w:rsid w:val="00C86990"/>
    <w:rsid w:val="00C869F0"/>
    <w:rsid w:val="00C86B85"/>
    <w:rsid w:val="00C86F7D"/>
    <w:rsid w:val="00C87159"/>
    <w:rsid w:val="00C872EF"/>
    <w:rsid w:val="00C8744D"/>
    <w:rsid w:val="00C87512"/>
    <w:rsid w:val="00C87BEB"/>
    <w:rsid w:val="00C87C28"/>
    <w:rsid w:val="00C87D8E"/>
    <w:rsid w:val="00C8E591"/>
    <w:rsid w:val="00C9024D"/>
    <w:rsid w:val="00C90AA5"/>
    <w:rsid w:val="00C910DB"/>
    <w:rsid w:val="00C915C5"/>
    <w:rsid w:val="00C91647"/>
    <w:rsid w:val="00C91BB0"/>
    <w:rsid w:val="00C91E2C"/>
    <w:rsid w:val="00C91F9F"/>
    <w:rsid w:val="00C92311"/>
    <w:rsid w:val="00C924DE"/>
    <w:rsid w:val="00C92710"/>
    <w:rsid w:val="00C9280B"/>
    <w:rsid w:val="00C92B27"/>
    <w:rsid w:val="00C92BAE"/>
    <w:rsid w:val="00C92D82"/>
    <w:rsid w:val="00C92F4A"/>
    <w:rsid w:val="00C92FC5"/>
    <w:rsid w:val="00C92FF7"/>
    <w:rsid w:val="00C9303C"/>
    <w:rsid w:val="00C93244"/>
    <w:rsid w:val="00C93305"/>
    <w:rsid w:val="00C93392"/>
    <w:rsid w:val="00C93412"/>
    <w:rsid w:val="00C93D9D"/>
    <w:rsid w:val="00C9427A"/>
    <w:rsid w:val="00C94516"/>
    <w:rsid w:val="00C9456E"/>
    <w:rsid w:val="00C949F8"/>
    <w:rsid w:val="00C94C46"/>
    <w:rsid w:val="00C94E85"/>
    <w:rsid w:val="00C94F86"/>
    <w:rsid w:val="00C9504D"/>
    <w:rsid w:val="00C952DA"/>
    <w:rsid w:val="00C95DCE"/>
    <w:rsid w:val="00C95F55"/>
    <w:rsid w:val="00C96258"/>
    <w:rsid w:val="00C96375"/>
    <w:rsid w:val="00C963C0"/>
    <w:rsid w:val="00C96A7C"/>
    <w:rsid w:val="00C96BDD"/>
    <w:rsid w:val="00C96D57"/>
    <w:rsid w:val="00C96F05"/>
    <w:rsid w:val="00C96F77"/>
    <w:rsid w:val="00C97081"/>
    <w:rsid w:val="00C97124"/>
    <w:rsid w:val="00C97216"/>
    <w:rsid w:val="00C97387"/>
    <w:rsid w:val="00C9758A"/>
    <w:rsid w:val="00C975D6"/>
    <w:rsid w:val="00C9786D"/>
    <w:rsid w:val="00C979B8"/>
    <w:rsid w:val="00C97BF9"/>
    <w:rsid w:val="00C97FFE"/>
    <w:rsid w:val="00CA02E6"/>
    <w:rsid w:val="00CA031E"/>
    <w:rsid w:val="00CA04C7"/>
    <w:rsid w:val="00CA04DB"/>
    <w:rsid w:val="00CA0600"/>
    <w:rsid w:val="00CA0EBA"/>
    <w:rsid w:val="00CA1065"/>
    <w:rsid w:val="00CA11C5"/>
    <w:rsid w:val="00CA124D"/>
    <w:rsid w:val="00CA1877"/>
    <w:rsid w:val="00CA19B4"/>
    <w:rsid w:val="00CA1AA7"/>
    <w:rsid w:val="00CA1C70"/>
    <w:rsid w:val="00CA1F74"/>
    <w:rsid w:val="00CA2239"/>
    <w:rsid w:val="00CA26F4"/>
    <w:rsid w:val="00CA291F"/>
    <w:rsid w:val="00CA2AD3"/>
    <w:rsid w:val="00CA2E0D"/>
    <w:rsid w:val="00CA2E27"/>
    <w:rsid w:val="00CA2FDD"/>
    <w:rsid w:val="00CA3222"/>
    <w:rsid w:val="00CA344D"/>
    <w:rsid w:val="00CA3688"/>
    <w:rsid w:val="00CA4347"/>
    <w:rsid w:val="00CA54E2"/>
    <w:rsid w:val="00CA5BC1"/>
    <w:rsid w:val="00CA5E50"/>
    <w:rsid w:val="00CA5EBD"/>
    <w:rsid w:val="00CA6079"/>
    <w:rsid w:val="00CA6164"/>
    <w:rsid w:val="00CA640D"/>
    <w:rsid w:val="00CA6414"/>
    <w:rsid w:val="00CA65B5"/>
    <w:rsid w:val="00CA68DA"/>
    <w:rsid w:val="00CA72E4"/>
    <w:rsid w:val="00CA746D"/>
    <w:rsid w:val="00CA75FD"/>
    <w:rsid w:val="00CA7673"/>
    <w:rsid w:val="00CA771D"/>
    <w:rsid w:val="00CA77A6"/>
    <w:rsid w:val="00CA7B89"/>
    <w:rsid w:val="00CA7C95"/>
    <w:rsid w:val="00CA8780"/>
    <w:rsid w:val="00CA9E6B"/>
    <w:rsid w:val="00CB038A"/>
    <w:rsid w:val="00CB098E"/>
    <w:rsid w:val="00CB0D70"/>
    <w:rsid w:val="00CB0DB2"/>
    <w:rsid w:val="00CB0F48"/>
    <w:rsid w:val="00CB12CF"/>
    <w:rsid w:val="00CB14B2"/>
    <w:rsid w:val="00CB187C"/>
    <w:rsid w:val="00CB1AE4"/>
    <w:rsid w:val="00CB1CAB"/>
    <w:rsid w:val="00CB22CB"/>
    <w:rsid w:val="00CB275D"/>
    <w:rsid w:val="00CB2C6C"/>
    <w:rsid w:val="00CB2DC7"/>
    <w:rsid w:val="00CB2E0C"/>
    <w:rsid w:val="00CB325B"/>
    <w:rsid w:val="00CB3347"/>
    <w:rsid w:val="00CB34D1"/>
    <w:rsid w:val="00CB35E8"/>
    <w:rsid w:val="00CB36A5"/>
    <w:rsid w:val="00CB3911"/>
    <w:rsid w:val="00CB39DF"/>
    <w:rsid w:val="00CB3BAA"/>
    <w:rsid w:val="00CB3CFB"/>
    <w:rsid w:val="00CB4219"/>
    <w:rsid w:val="00CB4A8D"/>
    <w:rsid w:val="00CB4C15"/>
    <w:rsid w:val="00CB522D"/>
    <w:rsid w:val="00CB571A"/>
    <w:rsid w:val="00CB58AA"/>
    <w:rsid w:val="00CB5990"/>
    <w:rsid w:val="00CB5AE0"/>
    <w:rsid w:val="00CB5EDF"/>
    <w:rsid w:val="00CB60DD"/>
    <w:rsid w:val="00CB627A"/>
    <w:rsid w:val="00CB633B"/>
    <w:rsid w:val="00CB6435"/>
    <w:rsid w:val="00CB670B"/>
    <w:rsid w:val="00CB686E"/>
    <w:rsid w:val="00CB68C1"/>
    <w:rsid w:val="00CB6B1C"/>
    <w:rsid w:val="00CB6CCB"/>
    <w:rsid w:val="00CB6D25"/>
    <w:rsid w:val="00CB6F72"/>
    <w:rsid w:val="00CB7000"/>
    <w:rsid w:val="00CB70B7"/>
    <w:rsid w:val="00CB71A6"/>
    <w:rsid w:val="00CB73BF"/>
    <w:rsid w:val="00CB778D"/>
    <w:rsid w:val="00CB77EB"/>
    <w:rsid w:val="00CB7824"/>
    <w:rsid w:val="00CC0013"/>
    <w:rsid w:val="00CC07CF"/>
    <w:rsid w:val="00CC08EE"/>
    <w:rsid w:val="00CC096A"/>
    <w:rsid w:val="00CC0D28"/>
    <w:rsid w:val="00CC10B6"/>
    <w:rsid w:val="00CC14CC"/>
    <w:rsid w:val="00CC150A"/>
    <w:rsid w:val="00CC1D07"/>
    <w:rsid w:val="00CC1D74"/>
    <w:rsid w:val="00CC1DE0"/>
    <w:rsid w:val="00CC2155"/>
    <w:rsid w:val="00CC23C5"/>
    <w:rsid w:val="00CC2B86"/>
    <w:rsid w:val="00CC2BBA"/>
    <w:rsid w:val="00CC2D9D"/>
    <w:rsid w:val="00CC2DA8"/>
    <w:rsid w:val="00CC3035"/>
    <w:rsid w:val="00CC3290"/>
    <w:rsid w:val="00CC342C"/>
    <w:rsid w:val="00CC36B6"/>
    <w:rsid w:val="00CC3AAC"/>
    <w:rsid w:val="00CC3E18"/>
    <w:rsid w:val="00CC419F"/>
    <w:rsid w:val="00CC49D1"/>
    <w:rsid w:val="00CC4CB0"/>
    <w:rsid w:val="00CC4D43"/>
    <w:rsid w:val="00CC4E15"/>
    <w:rsid w:val="00CC50BA"/>
    <w:rsid w:val="00CC50C5"/>
    <w:rsid w:val="00CC53AC"/>
    <w:rsid w:val="00CC545E"/>
    <w:rsid w:val="00CC5711"/>
    <w:rsid w:val="00CC5B85"/>
    <w:rsid w:val="00CC6532"/>
    <w:rsid w:val="00CC672F"/>
    <w:rsid w:val="00CC67D1"/>
    <w:rsid w:val="00CC6849"/>
    <w:rsid w:val="00CC68E5"/>
    <w:rsid w:val="00CC6EAE"/>
    <w:rsid w:val="00CC7058"/>
    <w:rsid w:val="00CC7102"/>
    <w:rsid w:val="00CC712E"/>
    <w:rsid w:val="00CC7755"/>
    <w:rsid w:val="00CC777B"/>
    <w:rsid w:val="00CC7817"/>
    <w:rsid w:val="00CC7898"/>
    <w:rsid w:val="00CC7981"/>
    <w:rsid w:val="00CCFE50"/>
    <w:rsid w:val="00CD01DD"/>
    <w:rsid w:val="00CD02E0"/>
    <w:rsid w:val="00CD066D"/>
    <w:rsid w:val="00CD07C3"/>
    <w:rsid w:val="00CD0AD1"/>
    <w:rsid w:val="00CD100E"/>
    <w:rsid w:val="00CD113D"/>
    <w:rsid w:val="00CD11D7"/>
    <w:rsid w:val="00CD151B"/>
    <w:rsid w:val="00CD1E96"/>
    <w:rsid w:val="00CD25B9"/>
    <w:rsid w:val="00CD25FD"/>
    <w:rsid w:val="00CD2620"/>
    <w:rsid w:val="00CD296B"/>
    <w:rsid w:val="00CD2A84"/>
    <w:rsid w:val="00CD2BA7"/>
    <w:rsid w:val="00CD2FA8"/>
    <w:rsid w:val="00CD30B6"/>
    <w:rsid w:val="00CD34C4"/>
    <w:rsid w:val="00CD3D26"/>
    <w:rsid w:val="00CD3FED"/>
    <w:rsid w:val="00CD4296"/>
    <w:rsid w:val="00CD42D5"/>
    <w:rsid w:val="00CD4338"/>
    <w:rsid w:val="00CD436F"/>
    <w:rsid w:val="00CD44AE"/>
    <w:rsid w:val="00CD46EA"/>
    <w:rsid w:val="00CD482E"/>
    <w:rsid w:val="00CD4894"/>
    <w:rsid w:val="00CD4BC7"/>
    <w:rsid w:val="00CD5430"/>
    <w:rsid w:val="00CD5728"/>
    <w:rsid w:val="00CD5D9E"/>
    <w:rsid w:val="00CD60E4"/>
    <w:rsid w:val="00CD6465"/>
    <w:rsid w:val="00CD6B17"/>
    <w:rsid w:val="00CD6CAB"/>
    <w:rsid w:val="00CD6CEF"/>
    <w:rsid w:val="00CD7796"/>
    <w:rsid w:val="00CD7D6B"/>
    <w:rsid w:val="00CE0318"/>
    <w:rsid w:val="00CE034B"/>
    <w:rsid w:val="00CE05C1"/>
    <w:rsid w:val="00CE07E9"/>
    <w:rsid w:val="00CE09BE"/>
    <w:rsid w:val="00CE0B34"/>
    <w:rsid w:val="00CE0D97"/>
    <w:rsid w:val="00CE0E8B"/>
    <w:rsid w:val="00CE1688"/>
    <w:rsid w:val="00CE209B"/>
    <w:rsid w:val="00CE2588"/>
    <w:rsid w:val="00CE2A3F"/>
    <w:rsid w:val="00CE2A7B"/>
    <w:rsid w:val="00CE2B5B"/>
    <w:rsid w:val="00CE33B5"/>
    <w:rsid w:val="00CE350D"/>
    <w:rsid w:val="00CE38EE"/>
    <w:rsid w:val="00CE3A7E"/>
    <w:rsid w:val="00CE3C5D"/>
    <w:rsid w:val="00CE3D52"/>
    <w:rsid w:val="00CE426E"/>
    <w:rsid w:val="00CE43C0"/>
    <w:rsid w:val="00CE4556"/>
    <w:rsid w:val="00CE480E"/>
    <w:rsid w:val="00CE4B12"/>
    <w:rsid w:val="00CE4B35"/>
    <w:rsid w:val="00CE4BA0"/>
    <w:rsid w:val="00CE5442"/>
    <w:rsid w:val="00CE597C"/>
    <w:rsid w:val="00CE619A"/>
    <w:rsid w:val="00CE64CD"/>
    <w:rsid w:val="00CE6B90"/>
    <w:rsid w:val="00CE6F3B"/>
    <w:rsid w:val="00CE724C"/>
    <w:rsid w:val="00CE7459"/>
    <w:rsid w:val="00CE7788"/>
    <w:rsid w:val="00CE77AC"/>
    <w:rsid w:val="00CE77AE"/>
    <w:rsid w:val="00CE77CA"/>
    <w:rsid w:val="00CE7B98"/>
    <w:rsid w:val="00CE7C66"/>
    <w:rsid w:val="00CE7CAF"/>
    <w:rsid w:val="00CE7D2A"/>
    <w:rsid w:val="00CE7FDA"/>
    <w:rsid w:val="00CF00AD"/>
    <w:rsid w:val="00CF0566"/>
    <w:rsid w:val="00CF0C75"/>
    <w:rsid w:val="00CF10EA"/>
    <w:rsid w:val="00CF16C1"/>
    <w:rsid w:val="00CF1A63"/>
    <w:rsid w:val="00CF1F46"/>
    <w:rsid w:val="00CF2232"/>
    <w:rsid w:val="00CF2464"/>
    <w:rsid w:val="00CF24E8"/>
    <w:rsid w:val="00CF2AD0"/>
    <w:rsid w:val="00CF2AFC"/>
    <w:rsid w:val="00CF2B67"/>
    <w:rsid w:val="00CF2CFD"/>
    <w:rsid w:val="00CF3046"/>
    <w:rsid w:val="00CF3576"/>
    <w:rsid w:val="00CF3626"/>
    <w:rsid w:val="00CF3F6A"/>
    <w:rsid w:val="00CF431C"/>
    <w:rsid w:val="00CF4355"/>
    <w:rsid w:val="00CF43E4"/>
    <w:rsid w:val="00CF46C7"/>
    <w:rsid w:val="00CF4B81"/>
    <w:rsid w:val="00CF4BC4"/>
    <w:rsid w:val="00CF5021"/>
    <w:rsid w:val="00CF5198"/>
    <w:rsid w:val="00CF57C6"/>
    <w:rsid w:val="00CF5A35"/>
    <w:rsid w:val="00CF5BDC"/>
    <w:rsid w:val="00CF5CB6"/>
    <w:rsid w:val="00CF5F28"/>
    <w:rsid w:val="00CF6876"/>
    <w:rsid w:val="00CF6A40"/>
    <w:rsid w:val="00CF6F23"/>
    <w:rsid w:val="00CF6F28"/>
    <w:rsid w:val="00CF7320"/>
    <w:rsid w:val="00CF78FE"/>
    <w:rsid w:val="00CF7B35"/>
    <w:rsid w:val="00CF7BAD"/>
    <w:rsid w:val="00D00170"/>
    <w:rsid w:val="00D00417"/>
    <w:rsid w:val="00D0078C"/>
    <w:rsid w:val="00D00B0D"/>
    <w:rsid w:val="00D00C2A"/>
    <w:rsid w:val="00D01293"/>
    <w:rsid w:val="00D017D2"/>
    <w:rsid w:val="00D01A71"/>
    <w:rsid w:val="00D01D01"/>
    <w:rsid w:val="00D01D9A"/>
    <w:rsid w:val="00D02660"/>
    <w:rsid w:val="00D02956"/>
    <w:rsid w:val="00D02A0D"/>
    <w:rsid w:val="00D02EF1"/>
    <w:rsid w:val="00D03306"/>
    <w:rsid w:val="00D0332E"/>
    <w:rsid w:val="00D0338E"/>
    <w:rsid w:val="00D0342B"/>
    <w:rsid w:val="00D038B7"/>
    <w:rsid w:val="00D038F1"/>
    <w:rsid w:val="00D03D77"/>
    <w:rsid w:val="00D03F57"/>
    <w:rsid w:val="00D042BE"/>
    <w:rsid w:val="00D044A9"/>
    <w:rsid w:val="00D0462A"/>
    <w:rsid w:val="00D047EF"/>
    <w:rsid w:val="00D05335"/>
    <w:rsid w:val="00D05458"/>
    <w:rsid w:val="00D05611"/>
    <w:rsid w:val="00D0595A"/>
    <w:rsid w:val="00D05A48"/>
    <w:rsid w:val="00D05E2B"/>
    <w:rsid w:val="00D0658B"/>
    <w:rsid w:val="00D068F6"/>
    <w:rsid w:val="00D06942"/>
    <w:rsid w:val="00D06C53"/>
    <w:rsid w:val="00D06DDF"/>
    <w:rsid w:val="00D06FF3"/>
    <w:rsid w:val="00D0700E"/>
    <w:rsid w:val="00D071ED"/>
    <w:rsid w:val="00D07706"/>
    <w:rsid w:val="00D0783B"/>
    <w:rsid w:val="00D07843"/>
    <w:rsid w:val="00D07993"/>
    <w:rsid w:val="00D102F8"/>
    <w:rsid w:val="00D1064A"/>
    <w:rsid w:val="00D1077D"/>
    <w:rsid w:val="00D10A28"/>
    <w:rsid w:val="00D1131B"/>
    <w:rsid w:val="00D11588"/>
    <w:rsid w:val="00D119AA"/>
    <w:rsid w:val="00D119AE"/>
    <w:rsid w:val="00D11C69"/>
    <w:rsid w:val="00D11DE2"/>
    <w:rsid w:val="00D12374"/>
    <w:rsid w:val="00D1250A"/>
    <w:rsid w:val="00D1283E"/>
    <w:rsid w:val="00D1290D"/>
    <w:rsid w:val="00D12937"/>
    <w:rsid w:val="00D12A85"/>
    <w:rsid w:val="00D12B47"/>
    <w:rsid w:val="00D12F83"/>
    <w:rsid w:val="00D1340C"/>
    <w:rsid w:val="00D134BC"/>
    <w:rsid w:val="00D13D25"/>
    <w:rsid w:val="00D13DF3"/>
    <w:rsid w:val="00D13E2C"/>
    <w:rsid w:val="00D13E38"/>
    <w:rsid w:val="00D1447C"/>
    <w:rsid w:val="00D14CB4"/>
    <w:rsid w:val="00D15750"/>
    <w:rsid w:val="00D15901"/>
    <w:rsid w:val="00D15EE5"/>
    <w:rsid w:val="00D1610E"/>
    <w:rsid w:val="00D162F3"/>
    <w:rsid w:val="00D169CC"/>
    <w:rsid w:val="00D16A50"/>
    <w:rsid w:val="00D16F08"/>
    <w:rsid w:val="00D17052"/>
    <w:rsid w:val="00D17056"/>
    <w:rsid w:val="00D1724B"/>
    <w:rsid w:val="00D1727A"/>
    <w:rsid w:val="00D1740B"/>
    <w:rsid w:val="00D176C0"/>
    <w:rsid w:val="00D17869"/>
    <w:rsid w:val="00D17C50"/>
    <w:rsid w:val="00D202AC"/>
    <w:rsid w:val="00D20501"/>
    <w:rsid w:val="00D20EDD"/>
    <w:rsid w:val="00D20FD1"/>
    <w:rsid w:val="00D21324"/>
    <w:rsid w:val="00D214D6"/>
    <w:rsid w:val="00D21514"/>
    <w:rsid w:val="00D22077"/>
    <w:rsid w:val="00D22239"/>
    <w:rsid w:val="00D222B6"/>
    <w:rsid w:val="00D2234F"/>
    <w:rsid w:val="00D22481"/>
    <w:rsid w:val="00D2380A"/>
    <w:rsid w:val="00D239F9"/>
    <w:rsid w:val="00D23AC6"/>
    <w:rsid w:val="00D23B9D"/>
    <w:rsid w:val="00D23D1E"/>
    <w:rsid w:val="00D24487"/>
    <w:rsid w:val="00D24C1C"/>
    <w:rsid w:val="00D24FC8"/>
    <w:rsid w:val="00D251F8"/>
    <w:rsid w:val="00D2567B"/>
    <w:rsid w:val="00D2568C"/>
    <w:rsid w:val="00D25EAB"/>
    <w:rsid w:val="00D26436"/>
    <w:rsid w:val="00D26A80"/>
    <w:rsid w:val="00D26C87"/>
    <w:rsid w:val="00D26C88"/>
    <w:rsid w:val="00D27445"/>
    <w:rsid w:val="00D275C8"/>
    <w:rsid w:val="00D27890"/>
    <w:rsid w:val="00D278E0"/>
    <w:rsid w:val="00D2799F"/>
    <w:rsid w:val="00D27B69"/>
    <w:rsid w:val="00D27D56"/>
    <w:rsid w:val="00D27FF5"/>
    <w:rsid w:val="00D3037D"/>
    <w:rsid w:val="00D3049A"/>
    <w:rsid w:val="00D30BBD"/>
    <w:rsid w:val="00D30BD5"/>
    <w:rsid w:val="00D30D1D"/>
    <w:rsid w:val="00D30D33"/>
    <w:rsid w:val="00D30D68"/>
    <w:rsid w:val="00D30F3F"/>
    <w:rsid w:val="00D3133E"/>
    <w:rsid w:val="00D31988"/>
    <w:rsid w:val="00D31A2A"/>
    <w:rsid w:val="00D31F31"/>
    <w:rsid w:val="00D32004"/>
    <w:rsid w:val="00D3241B"/>
    <w:rsid w:val="00D3251B"/>
    <w:rsid w:val="00D33153"/>
    <w:rsid w:val="00D332A7"/>
    <w:rsid w:val="00D332CE"/>
    <w:rsid w:val="00D334DB"/>
    <w:rsid w:val="00D33CF1"/>
    <w:rsid w:val="00D341D7"/>
    <w:rsid w:val="00D345B1"/>
    <w:rsid w:val="00D34779"/>
    <w:rsid w:val="00D348C1"/>
    <w:rsid w:val="00D34D1D"/>
    <w:rsid w:val="00D357F5"/>
    <w:rsid w:val="00D35C12"/>
    <w:rsid w:val="00D35D49"/>
    <w:rsid w:val="00D3628F"/>
    <w:rsid w:val="00D36341"/>
    <w:rsid w:val="00D36351"/>
    <w:rsid w:val="00D36391"/>
    <w:rsid w:val="00D364DA"/>
    <w:rsid w:val="00D36EEA"/>
    <w:rsid w:val="00D376AC"/>
    <w:rsid w:val="00D37AD7"/>
    <w:rsid w:val="00D37CA0"/>
    <w:rsid w:val="00D37D37"/>
    <w:rsid w:val="00D40078"/>
    <w:rsid w:val="00D402AD"/>
    <w:rsid w:val="00D405C8"/>
    <w:rsid w:val="00D4095F"/>
    <w:rsid w:val="00D40FF8"/>
    <w:rsid w:val="00D41103"/>
    <w:rsid w:val="00D4223B"/>
    <w:rsid w:val="00D427D7"/>
    <w:rsid w:val="00D42B39"/>
    <w:rsid w:val="00D42B44"/>
    <w:rsid w:val="00D42F74"/>
    <w:rsid w:val="00D432FF"/>
    <w:rsid w:val="00D437F0"/>
    <w:rsid w:val="00D43A83"/>
    <w:rsid w:val="00D43E61"/>
    <w:rsid w:val="00D44081"/>
    <w:rsid w:val="00D44285"/>
    <w:rsid w:val="00D4430D"/>
    <w:rsid w:val="00D446A1"/>
    <w:rsid w:val="00D446CA"/>
    <w:rsid w:val="00D446D6"/>
    <w:rsid w:val="00D44799"/>
    <w:rsid w:val="00D44A1D"/>
    <w:rsid w:val="00D44AFC"/>
    <w:rsid w:val="00D456A0"/>
    <w:rsid w:val="00D45A5D"/>
    <w:rsid w:val="00D45C08"/>
    <w:rsid w:val="00D46036"/>
    <w:rsid w:val="00D460F1"/>
    <w:rsid w:val="00D46599"/>
    <w:rsid w:val="00D46E86"/>
    <w:rsid w:val="00D46F01"/>
    <w:rsid w:val="00D46F8B"/>
    <w:rsid w:val="00D46FBB"/>
    <w:rsid w:val="00D477C1"/>
    <w:rsid w:val="00D479EE"/>
    <w:rsid w:val="00D47C19"/>
    <w:rsid w:val="00D4956D"/>
    <w:rsid w:val="00D501A8"/>
    <w:rsid w:val="00D50475"/>
    <w:rsid w:val="00D504F7"/>
    <w:rsid w:val="00D505A9"/>
    <w:rsid w:val="00D50726"/>
    <w:rsid w:val="00D50845"/>
    <w:rsid w:val="00D50AC3"/>
    <w:rsid w:val="00D50C22"/>
    <w:rsid w:val="00D519C3"/>
    <w:rsid w:val="00D51C62"/>
    <w:rsid w:val="00D52321"/>
    <w:rsid w:val="00D5236C"/>
    <w:rsid w:val="00D52379"/>
    <w:rsid w:val="00D52562"/>
    <w:rsid w:val="00D52697"/>
    <w:rsid w:val="00D5299A"/>
    <w:rsid w:val="00D52CCA"/>
    <w:rsid w:val="00D52EBA"/>
    <w:rsid w:val="00D52FDA"/>
    <w:rsid w:val="00D53B15"/>
    <w:rsid w:val="00D53F31"/>
    <w:rsid w:val="00D5417F"/>
    <w:rsid w:val="00D544C8"/>
    <w:rsid w:val="00D5479D"/>
    <w:rsid w:val="00D54900"/>
    <w:rsid w:val="00D54B39"/>
    <w:rsid w:val="00D54C01"/>
    <w:rsid w:val="00D54CBA"/>
    <w:rsid w:val="00D552DE"/>
    <w:rsid w:val="00D55D2F"/>
    <w:rsid w:val="00D55E07"/>
    <w:rsid w:val="00D56897"/>
    <w:rsid w:val="00D56B2E"/>
    <w:rsid w:val="00D5737F"/>
    <w:rsid w:val="00D573B2"/>
    <w:rsid w:val="00D575EA"/>
    <w:rsid w:val="00D6059A"/>
    <w:rsid w:val="00D60621"/>
    <w:rsid w:val="00D6081E"/>
    <w:rsid w:val="00D6087D"/>
    <w:rsid w:val="00D608A6"/>
    <w:rsid w:val="00D609BC"/>
    <w:rsid w:val="00D60B12"/>
    <w:rsid w:val="00D60EE7"/>
    <w:rsid w:val="00D610AE"/>
    <w:rsid w:val="00D611CD"/>
    <w:rsid w:val="00D613B8"/>
    <w:rsid w:val="00D6164E"/>
    <w:rsid w:val="00D61765"/>
    <w:rsid w:val="00D617EC"/>
    <w:rsid w:val="00D618E4"/>
    <w:rsid w:val="00D61CB1"/>
    <w:rsid w:val="00D61EA1"/>
    <w:rsid w:val="00D6226F"/>
    <w:rsid w:val="00D62358"/>
    <w:rsid w:val="00D62645"/>
    <w:rsid w:val="00D626E9"/>
    <w:rsid w:val="00D6283A"/>
    <w:rsid w:val="00D62B3A"/>
    <w:rsid w:val="00D62BBA"/>
    <w:rsid w:val="00D62FE3"/>
    <w:rsid w:val="00D63117"/>
    <w:rsid w:val="00D634E4"/>
    <w:rsid w:val="00D635CB"/>
    <w:rsid w:val="00D639F0"/>
    <w:rsid w:val="00D63C81"/>
    <w:rsid w:val="00D63CB8"/>
    <w:rsid w:val="00D63E79"/>
    <w:rsid w:val="00D64029"/>
    <w:rsid w:val="00D643B4"/>
    <w:rsid w:val="00D64423"/>
    <w:rsid w:val="00D6453D"/>
    <w:rsid w:val="00D645AF"/>
    <w:rsid w:val="00D64840"/>
    <w:rsid w:val="00D64A03"/>
    <w:rsid w:val="00D65393"/>
    <w:rsid w:val="00D654FF"/>
    <w:rsid w:val="00D6591D"/>
    <w:rsid w:val="00D65B0B"/>
    <w:rsid w:val="00D65C0D"/>
    <w:rsid w:val="00D65EBA"/>
    <w:rsid w:val="00D66935"/>
    <w:rsid w:val="00D66999"/>
    <w:rsid w:val="00D669D6"/>
    <w:rsid w:val="00D66A26"/>
    <w:rsid w:val="00D66D77"/>
    <w:rsid w:val="00D671DA"/>
    <w:rsid w:val="00D671E8"/>
    <w:rsid w:val="00D6743E"/>
    <w:rsid w:val="00D67740"/>
    <w:rsid w:val="00D67DCC"/>
    <w:rsid w:val="00D7025D"/>
    <w:rsid w:val="00D709DA"/>
    <w:rsid w:val="00D70AEF"/>
    <w:rsid w:val="00D70B4F"/>
    <w:rsid w:val="00D712E1"/>
    <w:rsid w:val="00D7174B"/>
    <w:rsid w:val="00D71AFF"/>
    <w:rsid w:val="00D71E01"/>
    <w:rsid w:val="00D7231C"/>
    <w:rsid w:val="00D7260C"/>
    <w:rsid w:val="00D72B20"/>
    <w:rsid w:val="00D72C17"/>
    <w:rsid w:val="00D72E0B"/>
    <w:rsid w:val="00D7315B"/>
    <w:rsid w:val="00D731E8"/>
    <w:rsid w:val="00D73C94"/>
    <w:rsid w:val="00D74100"/>
    <w:rsid w:val="00D74130"/>
    <w:rsid w:val="00D74279"/>
    <w:rsid w:val="00D742AB"/>
    <w:rsid w:val="00D74BA7"/>
    <w:rsid w:val="00D74C0E"/>
    <w:rsid w:val="00D75048"/>
    <w:rsid w:val="00D7567A"/>
    <w:rsid w:val="00D756F7"/>
    <w:rsid w:val="00D757FE"/>
    <w:rsid w:val="00D75D48"/>
    <w:rsid w:val="00D75DA7"/>
    <w:rsid w:val="00D75EED"/>
    <w:rsid w:val="00D7609F"/>
    <w:rsid w:val="00D76288"/>
    <w:rsid w:val="00D762DA"/>
    <w:rsid w:val="00D76E4B"/>
    <w:rsid w:val="00D77006"/>
    <w:rsid w:val="00D77984"/>
    <w:rsid w:val="00D80355"/>
    <w:rsid w:val="00D80655"/>
    <w:rsid w:val="00D80771"/>
    <w:rsid w:val="00D80AAC"/>
    <w:rsid w:val="00D80D8F"/>
    <w:rsid w:val="00D80E4B"/>
    <w:rsid w:val="00D811F3"/>
    <w:rsid w:val="00D8131D"/>
    <w:rsid w:val="00D8143E"/>
    <w:rsid w:val="00D8192F"/>
    <w:rsid w:val="00D81BE2"/>
    <w:rsid w:val="00D820B0"/>
    <w:rsid w:val="00D821FE"/>
    <w:rsid w:val="00D823DB"/>
    <w:rsid w:val="00D82799"/>
    <w:rsid w:val="00D82D01"/>
    <w:rsid w:val="00D834EE"/>
    <w:rsid w:val="00D83CBC"/>
    <w:rsid w:val="00D842A7"/>
    <w:rsid w:val="00D842FC"/>
    <w:rsid w:val="00D84350"/>
    <w:rsid w:val="00D84E96"/>
    <w:rsid w:val="00D85017"/>
    <w:rsid w:val="00D854CE"/>
    <w:rsid w:val="00D85654"/>
    <w:rsid w:val="00D8594E"/>
    <w:rsid w:val="00D85B41"/>
    <w:rsid w:val="00D85C08"/>
    <w:rsid w:val="00D85CDE"/>
    <w:rsid w:val="00D8604C"/>
    <w:rsid w:val="00D8611F"/>
    <w:rsid w:val="00D86359"/>
    <w:rsid w:val="00D8668B"/>
    <w:rsid w:val="00D866D9"/>
    <w:rsid w:val="00D866FA"/>
    <w:rsid w:val="00D8680C"/>
    <w:rsid w:val="00D868AE"/>
    <w:rsid w:val="00D86982"/>
    <w:rsid w:val="00D869D6"/>
    <w:rsid w:val="00D86A5B"/>
    <w:rsid w:val="00D86B87"/>
    <w:rsid w:val="00D86EF8"/>
    <w:rsid w:val="00D87512"/>
    <w:rsid w:val="00D8761E"/>
    <w:rsid w:val="00D87FCB"/>
    <w:rsid w:val="00D87FFE"/>
    <w:rsid w:val="00D891B0"/>
    <w:rsid w:val="00D9070D"/>
    <w:rsid w:val="00D907CE"/>
    <w:rsid w:val="00D90D2B"/>
    <w:rsid w:val="00D90DB0"/>
    <w:rsid w:val="00D9102F"/>
    <w:rsid w:val="00D9198B"/>
    <w:rsid w:val="00D92113"/>
    <w:rsid w:val="00D921D5"/>
    <w:rsid w:val="00D922F7"/>
    <w:rsid w:val="00D923B6"/>
    <w:rsid w:val="00D92458"/>
    <w:rsid w:val="00D924A8"/>
    <w:rsid w:val="00D929F1"/>
    <w:rsid w:val="00D92B3C"/>
    <w:rsid w:val="00D92DC9"/>
    <w:rsid w:val="00D9374A"/>
    <w:rsid w:val="00D93A4E"/>
    <w:rsid w:val="00D9429E"/>
    <w:rsid w:val="00D9447A"/>
    <w:rsid w:val="00D946EA"/>
    <w:rsid w:val="00D946F4"/>
    <w:rsid w:val="00D9494E"/>
    <w:rsid w:val="00D949AC"/>
    <w:rsid w:val="00D94DCC"/>
    <w:rsid w:val="00D9528A"/>
    <w:rsid w:val="00D95615"/>
    <w:rsid w:val="00D95749"/>
    <w:rsid w:val="00D9635F"/>
    <w:rsid w:val="00D9669B"/>
    <w:rsid w:val="00D966B0"/>
    <w:rsid w:val="00D9675A"/>
    <w:rsid w:val="00D96B95"/>
    <w:rsid w:val="00D96C60"/>
    <w:rsid w:val="00D970C8"/>
    <w:rsid w:val="00D971B9"/>
    <w:rsid w:val="00D972E0"/>
    <w:rsid w:val="00D97369"/>
    <w:rsid w:val="00D97A99"/>
    <w:rsid w:val="00D97B35"/>
    <w:rsid w:val="00D97BE4"/>
    <w:rsid w:val="00D97E4E"/>
    <w:rsid w:val="00DA0502"/>
    <w:rsid w:val="00DA0683"/>
    <w:rsid w:val="00DA0B34"/>
    <w:rsid w:val="00DA0E0F"/>
    <w:rsid w:val="00DA18E2"/>
    <w:rsid w:val="00DA1B86"/>
    <w:rsid w:val="00DA1C44"/>
    <w:rsid w:val="00DA26C5"/>
    <w:rsid w:val="00DA295C"/>
    <w:rsid w:val="00DA34B2"/>
    <w:rsid w:val="00DA377D"/>
    <w:rsid w:val="00DA387A"/>
    <w:rsid w:val="00DA397B"/>
    <w:rsid w:val="00DA3D11"/>
    <w:rsid w:val="00DA458A"/>
    <w:rsid w:val="00DA46E6"/>
    <w:rsid w:val="00DA4782"/>
    <w:rsid w:val="00DA4E1E"/>
    <w:rsid w:val="00DA4E2D"/>
    <w:rsid w:val="00DA4EDE"/>
    <w:rsid w:val="00DA505F"/>
    <w:rsid w:val="00DA51EB"/>
    <w:rsid w:val="00DA60C8"/>
    <w:rsid w:val="00DA637C"/>
    <w:rsid w:val="00DA68E4"/>
    <w:rsid w:val="00DA6AF2"/>
    <w:rsid w:val="00DA6BC1"/>
    <w:rsid w:val="00DA6D1A"/>
    <w:rsid w:val="00DA7170"/>
    <w:rsid w:val="00DA7436"/>
    <w:rsid w:val="00DA754D"/>
    <w:rsid w:val="00DA78AF"/>
    <w:rsid w:val="00DA78BE"/>
    <w:rsid w:val="00DA79E4"/>
    <w:rsid w:val="00DA7BF5"/>
    <w:rsid w:val="00DB00CD"/>
    <w:rsid w:val="00DB010C"/>
    <w:rsid w:val="00DB02C0"/>
    <w:rsid w:val="00DB04C8"/>
    <w:rsid w:val="00DB071D"/>
    <w:rsid w:val="00DB0C88"/>
    <w:rsid w:val="00DB1099"/>
    <w:rsid w:val="00DB145F"/>
    <w:rsid w:val="00DB146A"/>
    <w:rsid w:val="00DB1500"/>
    <w:rsid w:val="00DB1841"/>
    <w:rsid w:val="00DB19B2"/>
    <w:rsid w:val="00DB28B9"/>
    <w:rsid w:val="00DB2D7C"/>
    <w:rsid w:val="00DB2E92"/>
    <w:rsid w:val="00DB34DA"/>
    <w:rsid w:val="00DB3DCB"/>
    <w:rsid w:val="00DB3E32"/>
    <w:rsid w:val="00DB3E99"/>
    <w:rsid w:val="00DB43B2"/>
    <w:rsid w:val="00DB45D5"/>
    <w:rsid w:val="00DB473F"/>
    <w:rsid w:val="00DB491C"/>
    <w:rsid w:val="00DB493B"/>
    <w:rsid w:val="00DB4A1A"/>
    <w:rsid w:val="00DB4C01"/>
    <w:rsid w:val="00DB4DB0"/>
    <w:rsid w:val="00DB582F"/>
    <w:rsid w:val="00DB58D7"/>
    <w:rsid w:val="00DB58FA"/>
    <w:rsid w:val="00DB5A37"/>
    <w:rsid w:val="00DB5B4B"/>
    <w:rsid w:val="00DB5C34"/>
    <w:rsid w:val="00DB5C3E"/>
    <w:rsid w:val="00DB5C5B"/>
    <w:rsid w:val="00DB5F92"/>
    <w:rsid w:val="00DB6870"/>
    <w:rsid w:val="00DB6EF6"/>
    <w:rsid w:val="00DB76EC"/>
    <w:rsid w:val="00DB7CAE"/>
    <w:rsid w:val="00DB7E32"/>
    <w:rsid w:val="00DB7F2E"/>
    <w:rsid w:val="00DB7F7B"/>
    <w:rsid w:val="00DC01F4"/>
    <w:rsid w:val="00DC045D"/>
    <w:rsid w:val="00DC0630"/>
    <w:rsid w:val="00DC0872"/>
    <w:rsid w:val="00DC097A"/>
    <w:rsid w:val="00DC0D1C"/>
    <w:rsid w:val="00DC0DAB"/>
    <w:rsid w:val="00DC0E06"/>
    <w:rsid w:val="00DC0EB0"/>
    <w:rsid w:val="00DC1376"/>
    <w:rsid w:val="00DC15C4"/>
    <w:rsid w:val="00DC17E9"/>
    <w:rsid w:val="00DC1E1F"/>
    <w:rsid w:val="00DC20C9"/>
    <w:rsid w:val="00DC217C"/>
    <w:rsid w:val="00DC2233"/>
    <w:rsid w:val="00DC2510"/>
    <w:rsid w:val="00DC2648"/>
    <w:rsid w:val="00DC27B0"/>
    <w:rsid w:val="00DC29C5"/>
    <w:rsid w:val="00DC2EE5"/>
    <w:rsid w:val="00DC361F"/>
    <w:rsid w:val="00DC368B"/>
    <w:rsid w:val="00DC3DB8"/>
    <w:rsid w:val="00DC3DBC"/>
    <w:rsid w:val="00DC4030"/>
    <w:rsid w:val="00DC41B2"/>
    <w:rsid w:val="00DC4906"/>
    <w:rsid w:val="00DC4B10"/>
    <w:rsid w:val="00DC4F0A"/>
    <w:rsid w:val="00DC50C0"/>
    <w:rsid w:val="00DC54A5"/>
    <w:rsid w:val="00DC566A"/>
    <w:rsid w:val="00DC580A"/>
    <w:rsid w:val="00DC59D7"/>
    <w:rsid w:val="00DC6193"/>
    <w:rsid w:val="00DC6C02"/>
    <w:rsid w:val="00DC6CE4"/>
    <w:rsid w:val="00DC6DF2"/>
    <w:rsid w:val="00DC6DF7"/>
    <w:rsid w:val="00DC7351"/>
    <w:rsid w:val="00DC7C0C"/>
    <w:rsid w:val="00DC9776"/>
    <w:rsid w:val="00DD01DC"/>
    <w:rsid w:val="00DD0990"/>
    <w:rsid w:val="00DD0BAC"/>
    <w:rsid w:val="00DD0D29"/>
    <w:rsid w:val="00DD0F07"/>
    <w:rsid w:val="00DD1215"/>
    <w:rsid w:val="00DD148A"/>
    <w:rsid w:val="00DD17AB"/>
    <w:rsid w:val="00DD1A1A"/>
    <w:rsid w:val="00DD204D"/>
    <w:rsid w:val="00DD2DB2"/>
    <w:rsid w:val="00DD2DEC"/>
    <w:rsid w:val="00DD30C8"/>
    <w:rsid w:val="00DD3138"/>
    <w:rsid w:val="00DD3201"/>
    <w:rsid w:val="00DD33D5"/>
    <w:rsid w:val="00DD3889"/>
    <w:rsid w:val="00DD388C"/>
    <w:rsid w:val="00DD3C68"/>
    <w:rsid w:val="00DD3FB3"/>
    <w:rsid w:val="00DD40D4"/>
    <w:rsid w:val="00DD43C3"/>
    <w:rsid w:val="00DD44FC"/>
    <w:rsid w:val="00DD452E"/>
    <w:rsid w:val="00DD459B"/>
    <w:rsid w:val="00DD4670"/>
    <w:rsid w:val="00DD4AA0"/>
    <w:rsid w:val="00DD4F0E"/>
    <w:rsid w:val="00DD4F43"/>
    <w:rsid w:val="00DD50F1"/>
    <w:rsid w:val="00DD5361"/>
    <w:rsid w:val="00DD55D1"/>
    <w:rsid w:val="00DD5A8F"/>
    <w:rsid w:val="00DD6589"/>
    <w:rsid w:val="00DD65DE"/>
    <w:rsid w:val="00DD69FA"/>
    <w:rsid w:val="00DD69FC"/>
    <w:rsid w:val="00DD6CD1"/>
    <w:rsid w:val="00DD7448"/>
    <w:rsid w:val="00DD74BF"/>
    <w:rsid w:val="00DD7DAA"/>
    <w:rsid w:val="00DE00C5"/>
    <w:rsid w:val="00DE02FA"/>
    <w:rsid w:val="00DE054C"/>
    <w:rsid w:val="00DE0B45"/>
    <w:rsid w:val="00DE0C07"/>
    <w:rsid w:val="00DE0EA0"/>
    <w:rsid w:val="00DE0FFE"/>
    <w:rsid w:val="00DE13F2"/>
    <w:rsid w:val="00DE14EC"/>
    <w:rsid w:val="00DE1537"/>
    <w:rsid w:val="00DE229E"/>
    <w:rsid w:val="00DE2FA0"/>
    <w:rsid w:val="00DE3183"/>
    <w:rsid w:val="00DE32A9"/>
    <w:rsid w:val="00DE344B"/>
    <w:rsid w:val="00DE37CB"/>
    <w:rsid w:val="00DE37EE"/>
    <w:rsid w:val="00DE3963"/>
    <w:rsid w:val="00DE3B8B"/>
    <w:rsid w:val="00DE3D93"/>
    <w:rsid w:val="00DE3E42"/>
    <w:rsid w:val="00DE4474"/>
    <w:rsid w:val="00DE455D"/>
    <w:rsid w:val="00DE4B93"/>
    <w:rsid w:val="00DE57F8"/>
    <w:rsid w:val="00DE5D2D"/>
    <w:rsid w:val="00DE5F00"/>
    <w:rsid w:val="00DE6377"/>
    <w:rsid w:val="00DE6473"/>
    <w:rsid w:val="00DE6690"/>
    <w:rsid w:val="00DE7368"/>
    <w:rsid w:val="00DE74FE"/>
    <w:rsid w:val="00DE76F4"/>
    <w:rsid w:val="00DE7BB0"/>
    <w:rsid w:val="00DF0075"/>
    <w:rsid w:val="00DF024E"/>
    <w:rsid w:val="00DF0255"/>
    <w:rsid w:val="00DF02E6"/>
    <w:rsid w:val="00DF04D0"/>
    <w:rsid w:val="00DF06B0"/>
    <w:rsid w:val="00DF0B84"/>
    <w:rsid w:val="00DF0D27"/>
    <w:rsid w:val="00DF0F4C"/>
    <w:rsid w:val="00DF11D1"/>
    <w:rsid w:val="00DF171C"/>
    <w:rsid w:val="00DF1730"/>
    <w:rsid w:val="00DF1AA6"/>
    <w:rsid w:val="00DF1B36"/>
    <w:rsid w:val="00DF1EB7"/>
    <w:rsid w:val="00DF2077"/>
    <w:rsid w:val="00DF2C4C"/>
    <w:rsid w:val="00DF2E3B"/>
    <w:rsid w:val="00DF3183"/>
    <w:rsid w:val="00DF32F3"/>
    <w:rsid w:val="00DF368E"/>
    <w:rsid w:val="00DF39E3"/>
    <w:rsid w:val="00DF3DA2"/>
    <w:rsid w:val="00DF459E"/>
    <w:rsid w:val="00DF485C"/>
    <w:rsid w:val="00DF4B83"/>
    <w:rsid w:val="00DF4D88"/>
    <w:rsid w:val="00DF4EAE"/>
    <w:rsid w:val="00DF5053"/>
    <w:rsid w:val="00DF5213"/>
    <w:rsid w:val="00DF566C"/>
    <w:rsid w:val="00DF5735"/>
    <w:rsid w:val="00DF5C01"/>
    <w:rsid w:val="00DF60C3"/>
    <w:rsid w:val="00DF66C7"/>
    <w:rsid w:val="00DF6889"/>
    <w:rsid w:val="00DF6A98"/>
    <w:rsid w:val="00DF6E08"/>
    <w:rsid w:val="00DF715F"/>
    <w:rsid w:val="00DF7524"/>
    <w:rsid w:val="00DF78E7"/>
    <w:rsid w:val="00DF7979"/>
    <w:rsid w:val="00DF79CD"/>
    <w:rsid w:val="00DFC97B"/>
    <w:rsid w:val="00E000C0"/>
    <w:rsid w:val="00E003BF"/>
    <w:rsid w:val="00E00462"/>
    <w:rsid w:val="00E0054E"/>
    <w:rsid w:val="00E0089E"/>
    <w:rsid w:val="00E00E59"/>
    <w:rsid w:val="00E01112"/>
    <w:rsid w:val="00E01407"/>
    <w:rsid w:val="00E01604"/>
    <w:rsid w:val="00E01799"/>
    <w:rsid w:val="00E017A5"/>
    <w:rsid w:val="00E019C3"/>
    <w:rsid w:val="00E01D55"/>
    <w:rsid w:val="00E01E6B"/>
    <w:rsid w:val="00E02261"/>
    <w:rsid w:val="00E029D8"/>
    <w:rsid w:val="00E02CE9"/>
    <w:rsid w:val="00E03446"/>
    <w:rsid w:val="00E0391F"/>
    <w:rsid w:val="00E039CF"/>
    <w:rsid w:val="00E03AE5"/>
    <w:rsid w:val="00E03DF9"/>
    <w:rsid w:val="00E042BF"/>
    <w:rsid w:val="00E0434E"/>
    <w:rsid w:val="00E04CD0"/>
    <w:rsid w:val="00E04CD6"/>
    <w:rsid w:val="00E05465"/>
    <w:rsid w:val="00E05527"/>
    <w:rsid w:val="00E05C18"/>
    <w:rsid w:val="00E06184"/>
    <w:rsid w:val="00E064C5"/>
    <w:rsid w:val="00E065F8"/>
    <w:rsid w:val="00E067ED"/>
    <w:rsid w:val="00E069C0"/>
    <w:rsid w:val="00E06C25"/>
    <w:rsid w:val="00E0709D"/>
    <w:rsid w:val="00E074DD"/>
    <w:rsid w:val="00E07AA8"/>
    <w:rsid w:val="00E07B0A"/>
    <w:rsid w:val="00E07BDB"/>
    <w:rsid w:val="00E07EF0"/>
    <w:rsid w:val="00E07FF4"/>
    <w:rsid w:val="00E09ABE"/>
    <w:rsid w:val="00E104C4"/>
    <w:rsid w:val="00E10962"/>
    <w:rsid w:val="00E10C50"/>
    <w:rsid w:val="00E10F7F"/>
    <w:rsid w:val="00E11012"/>
    <w:rsid w:val="00E11024"/>
    <w:rsid w:val="00E11274"/>
    <w:rsid w:val="00E11442"/>
    <w:rsid w:val="00E1180B"/>
    <w:rsid w:val="00E11810"/>
    <w:rsid w:val="00E11BBF"/>
    <w:rsid w:val="00E11E26"/>
    <w:rsid w:val="00E121B4"/>
    <w:rsid w:val="00E122C4"/>
    <w:rsid w:val="00E12335"/>
    <w:rsid w:val="00E123E3"/>
    <w:rsid w:val="00E123FE"/>
    <w:rsid w:val="00E124D3"/>
    <w:rsid w:val="00E1259F"/>
    <w:rsid w:val="00E12EDD"/>
    <w:rsid w:val="00E133C5"/>
    <w:rsid w:val="00E13DC7"/>
    <w:rsid w:val="00E13EFF"/>
    <w:rsid w:val="00E13F63"/>
    <w:rsid w:val="00E14142"/>
    <w:rsid w:val="00E144E3"/>
    <w:rsid w:val="00E14610"/>
    <w:rsid w:val="00E150E8"/>
    <w:rsid w:val="00E15333"/>
    <w:rsid w:val="00E1579D"/>
    <w:rsid w:val="00E15918"/>
    <w:rsid w:val="00E15DF9"/>
    <w:rsid w:val="00E16268"/>
    <w:rsid w:val="00E166CF"/>
    <w:rsid w:val="00E169C6"/>
    <w:rsid w:val="00E16A3A"/>
    <w:rsid w:val="00E16BE5"/>
    <w:rsid w:val="00E17016"/>
    <w:rsid w:val="00E17222"/>
    <w:rsid w:val="00E17B05"/>
    <w:rsid w:val="00E17D29"/>
    <w:rsid w:val="00E17E69"/>
    <w:rsid w:val="00E201E6"/>
    <w:rsid w:val="00E20795"/>
    <w:rsid w:val="00E20D4C"/>
    <w:rsid w:val="00E20DE3"/>
    <w:rsid w:val="00E210F5"/>
    <w:rsid w:val="00E214C0"/>
    <w:rsid w:val="00E2155E"/>
    <w:rsid w:val="00E215C0"/>
    <w:rsid w:val="00E2185A"/>
    <w:rsid w:val="00E21A44"/>
    <w:rsid w:val="00E21AB5"/>
    <w:rsid w:val="00E2215D"/>
    <w:rsid w:val="00E221C2"/>
    <w:rsid w:val="00E226DE"/>
    <w:rsid w:val="00E22D5F"/>
    <w:rsid w:val="00E22E71"/>
    <w:rsid w:val="00E23267"/>
    <w:rsid w:val="00E23337"/>
    <w:rsid w:val="00E23D6F"/>
    <w:rsid w:val="00E23E3E"/>
    <w:rsid w:val="00E24205"/>
    <w:rsid w:val="00E245C4"/>
    <w:rsid w:val="00E2475F"/>
    <w:rsid w:val="00E24C31"/>
    <w:rsid w:val="00E2578B"/>
    <w:rsid w:val="00E25AAE"/>
    <w:rsid w:val="00E25C0B"/>
    <w:rsid w:val="00E2674C"/>
    <w:rsid w:val="00E2676D"/>
    <w:rsid w:val="00E26C68"/>
    <w:rsid w:val="00E26E43"/>
    <w:rsid w:val="00E27248"/>
    <w:rsid w:val="00E272B3"/>
    <w:rsid w:val="00E27CC0"/>
    <w:rsid w:val="00E27E9F"/>
    <w:rsid w:val="00E27F95"/>
    <w:rsid w:val="00E30119"/>
    <w:rsid w:val="00E3011D"/>
    <w:rsid w:val="00E30311"/>
    <w:rsid w:val="00E306C4"/>
    <w:rsid w:val="00E30AD8"/>
    <w:rsid w:val="00E30D2B"/>
    <w:rsid w:val="00E31108"/>
    <w:rsid w:val="00E316E6"/>
    <w:rsid w:val="00E3227A"/>
    <w:rsid w:val="00E3286B"/>
    <w:rsid w:val="00E32C41"/>
    <w:rsid w:val="00E33321"/>
    <w:rsid w:val="00E336D8"/>
    <w:rsid w:val="00E33A08"/>
    <w:rsid w:val="00E33EA6"/>
    <w:rsid w:val="00E34216"/>
    <w:rsid w:val="00E34917"/>
    <w:rsid w:val="00E34A2F"/>
    <w:rsid w:val="00E34C5E"/>
    <w:rsid w:val="00E34EA9"/>
    <w:rsid w:val="00E34FB2"/>
    <w:rsid w:val="00E35615"/>
    <w:rsid w:val="00E35BB4"/>
    <w:rsid w:val="00E35EF1"/>
    <w:rsid w:val="00E35FBC"/>
    <w:rsid w:val="00E37378"/>
    <w:rsid w:val="00E37951"/>
    <w:rsid w:val="00E37AD0"/>
    <w:rsid w:val="00E37B90"/>
    <w:rsid w:val="00E37BED"/>
    <w:rsid w:val="00E37E6F"/>
    <w:rsid w:val="00E40156"/>
    <w:rsid w:val="00E404D7"/>
    <w:rsid w:val="00E4064B"/>
    <w:rsid w:val="00E4164E"/>
    <w:rsid w:val="00E41AFA"/>
    <w:rsid w:val="00E41C4B"/>
    <w:rsid w:val="00E41DE1"/>
    <w:rsid w:val="00E4223B"/>
    <w:rsid w:val="00E426A9"/>
    <w:rsid w:val="00E4273B"/>
    <w:rsid w:val="00E4278D"/>
    <w:rsid w:val="00E4282A"/>
    <w:rsid w:val="00E42B19"/>
    <w:rsid w:val="00E42E7E"/>
    <w:rsid w:val="00E43524"/>
    <w:rsid w:val="00E437DF"/>
    <w:rsid w:val="00E43912"/>
    <w:rsid w:val="00E43A30"/>
    <w:rsid w:val="00E43B07"/>
    <w:rsid w:val="00E441E0"/>
    <w:rsid w:val="00E4424C"/>
    <w:rsid w:val="00E44475"/>
    <w:rsid w:val="00E44496"/>
    <w:rsid w:val="00E4470F"/>
    <w:rsid w:val="00E44D2C"/>
    <w:rsid w:val="00E452D5"/>
    <w:rsid w:val="00E457F4"/>
    <w:rsid w:val="00E45CA7"/>
    <w:rsid w:val="00E45F35"/>
    <w:rsid w:val="00E45FA7"/>
    <w:rsid w:val="00E46ACC"/>
    <w:rsid w:val="00E46DDB"/>
    <w:rsid w:val="00E46E28"/>
    <w:rsid w:val="00E46FE6"/>
    <w:rsid w:val="00E47003"/>
    <w:rsid w:val="00E47075"/>
    <w:rsid w:val="00E47271"/>
    <w:rsid w:val="00E47328"/>
    <w:rsid w:val="00E47BF5"/>
    <w:rsid w:val="00E47E42"/>
    <w:rsid w:val="00E50158"/>
    <w:rsid w:val="00E50201"/>
    <w:rsid w:val="00E50286"/>
    <w:rsid w:val="00E50659"/>
    <w:rsid w:val="00E50701"/>
    <w:rsid w:val="00E511BA"/>
    <w:rsid w:val="00E5129B"/>
    <w:rsid w:val="00E513CE"/>
    <w:rsid w:val="00E51721"/>
    <w:rsid w:val="00E51B8E"/>
    <w:rsid w:val="00E51DA0"/>
    <w:rsid w:val="00E5232B"/>
    <w:rsid w:val="00E52B03"/>
    <w:rsid w:val="00E52B3C"/>
    <w:rsid w:val="00E532F7"/>
    <w:rsid w:val="00E534AA"/>
    <w:rsid w:val="00E541C8"/>
    <w:rsid w:val="00E54440"/>
    <w:rsid w:val="00E54B73"/>
    <w:rsid w:val="00E54D48"/>
    <w:rsid w:val="00E5509A"/>
    <w:rsid w:val="00E5539E"/>
    <w:rsid w:val="00E554F1"/>
    <w:rsid w:val="00E5585E"/>
    <w:rsid w:val="00E55BF8"/>
    <w:rsid w:val="00E55EBD"/>
    <w:rsid w:val="00E56468"/>
    <w:rsid w:val="00E5646A"/>
    <w:rsid w:val="00E56562"/>
    <w:rsid w:val="00E567D4"/>
    <w:rsid w:val="00E56879"/>
    <w:rsid w:val="00E56A18"/>
    <w:rsid w:val="00E56C2B"/>
    <w:rsid w:val="00E56D84"/>
    <w:rsid w:val="00E56DD6"/>
    <w:rsid w:val="00E56E0A"/>
    <w:rsid w:val="00E5721D"/>
    <w:rsid w:val="00E57672"/>
    <w:rsid w:val="00E57AA3"/>
    <w:rsid w:val="00E57AB8"/>
    <w:rsid w:val="00E57BB6"/>
    <w:rsid w:val="00E57F1A"/>
    <w:rsid w:val="00E606B0"/>
    <w:rsid w:val="00E60B36"/>
    <w:rsid w:val="00E60FA6"/>
    <w:rsid w:val="00E60FC0"/>
    <w:rsid w:val="00E6130D"/>
    <w:rsid w:val="00E6133C"/>
    <w:rsid w:val="00E61379"/>
    <w:rsid w:val="00E614B4"/>
    <w:rsid w:val="00E61776"/>
    <w:rsid w:val="00E61C83"/>
    <w:rsid w:val="00E61CAA"/>
    <w:rsid w:val="00E62042"/>
    <w:rsid w:val="00E62324"/>
    <w:rsid w:val="00E6238B"/>
    <w:rsid w:val="00E62806"/>
    <w:rsid w:val="00E62A02"/>
    <w:rsid w:val="00E62DE9"/>
    <w:rsid w:val="00E62EB0"/>
    <w:rsid w:val="00E632F7"/>
    <w:rsid w:val="00E63CE0"/>
    <w:rsid w:val="00E63CE6"/>
    <w:rsid w:val="00E647E4"/>
    <w:rsid w:val="00E64F29"/>
    <w:rsid w:val="00E64F8C"/>
    <w:rsid w:val="00E6509B"/>
    <w:rsid w:val="00E653EA"/>
    <w:rsid w:val="00E65982"/>
    <w:rsid w:val="00E659EE"/>
    <w:rsid w:val="00E65B81"/>
    <w:rsid w:val="00E65BE6"/>
    <w:rsid w:val="00E65D76"/>
    <w:rsid w:val="00E65F3F"/>
    <w:rsid w:val="00E667B9"/>
    <w:rsid w:val="00E66A14"/>
    <w:rsid w:val="00E66A1D"/>
    <w:rsid w:val="00E66A68"/>
    <w:rsid w:val="00E67257"/>
    <w:rsid w:val="00E67433"/>
    <w:rsid w:val="00E6747A"/>
    <w:rsid w:val="00E67ABA"/>
    <w:rsid w:val="00E67BE0"/>
    <w:rsid w:val="00E7042A"/>
    <w:rsid w:val="00E70A8A"/>
    <w:rsid w:val="00E70CE1"/>
    <w:rsid w:val="00E70EC9"/>
    <w:rsid w:val="00E70FEA"/>
    <w:rsid w:val="00E71112"/>
    <w:rsid w:val="00E71232"/>
    <w:rsid w:val="00E71282"/>
    <w:rsid w:val="00E7146D"/>
    <w:rsid w:val="00E7151B"/>
    <w:rsid w:val="00E718EF"/>
    <w:rsid w:val="00E71926"/>
    <w:rsid w:val="00E7196C"/>
    <w:rsid w:val="00E71B29"/>
    <w:rsid w:val="00E721AD"/>
    <w:rsid w:val="00E72637"/>
    <w:rsid w:val="00E72C2B"/>
    <w:rsid w:val="00E73115"/>
    <w:rsid w:val="00E73CA9"/>
    <w:rsid w:val="00E73DAD"/>
    <w:rsid w:val="00E73F6E"/>
    <w:rsid w:val="00E7401E"/>
    <w:rsid w:val="00E746AC"/>
    <w:rsid w:val="00E7470A"/>
    <w:rsid w:val="00E74849"/>
    <w:rsid w:val="00E74CF0"/>
    <w:rsid w:val="00E752E7"/>
    <w:rsid w:val="00E753DF"/>
    <w:rsid w:val="00E75464"/>
    <w:rsid w:val="00E75CD5"/>
    <w:rsid w:val="00E75D1D"/>
    <w:rsid w:val="00E7638B"/>
    <w:rsid w:val="00E76B4B"/>
    <w:rsid w:val="00E76CA6"/>
    <w:rsid w:val="00E77311"/>
    <w:rsid w:val="00E7743A"/>
    <w:rsid w:val="00E77493"/>
    <w:rsid w:val="00E7755F"/>
    <w:rsid w:val="00E776B2"/>
    <w:rsid w:val="00E77DCC"/>
    <w:rsid w:val="00E8039C"/>
    <w:rsid w:val="00E80C32"/>
    <w:rsid w:val="00E80E44"/>
    <w:rsid w:val="00E80FAD"/>
    <w:rsid w:val="00E810E3"/>
    <w:rsid w:val="00E81BC9"/>
    <w:rsid w:val="00E81C5B"/>
    <w:rsid w:val="00E820EB"/>
    <w:rsid w:val="00E82CA3"/>
    <w:rsid w:val="00E82CD7"/>
    <w:rsid w:val="00E8350C"/>
    <w:rsid w:val="00E83577"/>
    <w:rsid w:val="00E83DAD"/>
    <w:rsid w:val="00E840B1"/>
    <w:rsid w:val="00E84134"/>
    <w:rsid w:val="00E8445C"/>
    <w:rsid w:val="00E844AE"/>
    <w:rsid w:val="00E84533"/>
    <w:rsid w:val="00E84746"/>
    <w:rsid w:val="00E84AC3"/>
    <w:rsid w:val="00E84BCA"/>
    <w:rsid w:val="00E84C05"/>
    <w:rsid w:val="00E84D53"/>
    <w:rsid w:val="00E84D8C"/>
    <w:rsid w:val="00E853F2"/>
    <w:rsid w:val="00E853F3"/>
    <w:rsid w:val="00E85509"/>
    <w:rsid w:val="00E85A20"/>
    <w:rsid w:val="00E85CDF"/>
    <w:rsid w:val="00E85CF5"/>
    <w:rsid w:val="00E8601B"/>
    <w:rsid w:val="00E86590"/>
    <w:rsid w:val="00E86916"/>
    <w:rsid w:val="00E86B7F"/>
    <w:rsid w:val="00E871EE"/>
    <w:rsid w:val="00E87379"/>
    <w:rsid w:val="00E8754A"/>
    <w:rsid w:val="00E8781B"/>
    <w:rsid w:val="00E87AE0"/>
    <w:rsid w:val="00E87C30"/>
    <w:rsid w:val="00E87D36"/>
    <w:rsid w:val="00E87E8F"/>
    <w:rsid w:val="00E8F29A"/>
    <w:rsid w:val="00E90800"/>
    <w:rsid w:val="00E9094A"/>
    <w:rsid w:val="00E90CDB"/>
    <w:rsid w:val="00E90DE3"/>
    <w:rsid w:val="00E90FE8"/>
    <w:rsid w:val="00E91159"/>
    <w:rsid w:val="00E914C1"/>
    <w:rsid w:val="00E917DE"/>
    <w:rsid w:val="00E9196B"/>
    <w:rsid w:val="00E91C7E"/>
    <w:rsid w:val="00E92033"/>
    <w:rsid w:val="00E924E9"/>
    <w:rsid w:val="00E926BF"/>
    <w:rsid w:val="00E928A5"/>
    <w:rsid w:val="00E9296F"/>
    <w:rsid w:val="00E92A12"/>
    <w:rsid w:val="00E92A16"/>
    <w:rsid w:val="00E92C50"/>
    <w:rsid w:val="00E93233"/>
    <w:rsid w:val="00E93725"/>
    <w:rsid w:val="00E93A80"/>
    <w:rsid w:val="00E93CBD"/>
    <w:rsid w:val="00E93E7A"/>
    <w:rsid w:val="00E93F90"/>
    <w:rsid w:val="00E947B5"/>
    <w:rsid w:val="00E947CA"/>
    <w:rsid w:val="00E94C2D"/>
    <w:rsid w:val="00E95043"/>
    <w:rsid w:val="00E950ED"/>
    <w:rsid w:val="00E9510F"/>
    <w:rsid w:val="00E95164"/>
    <w:rsid w:val="00E9535B"/>
    <w:rsid w:val="00E95487"/>
    <w:rsid w:val="00E9590F"/>
    <w:rsid w:val="00E95B3B"/>
    <w:rsid w:val="00E95E88"/>
    <w:rsid w:val="00E960EF"/>
    <w:rsid w:val="00E96255"/>
    <w:rsid w:val="00E96815"/>
    <w:rsid w:val="00E96983"/>
    <w:rsid w:val="00E96AC0"/>
    <w:rsid w:val="00E96E19"/>
    <w:rsid w:val="00E970C8"/>
    <w:rsid w:val="00E970EE"/>
    <w:rsid w:val="00E9733A"/>
    <w:rsid w:val="00E974E5"/>
    <w:rsid w:val="00E975C6"/>
    <w:rsid w:val="00E97E8F"/>
    <w:rsid w:val="00EA0164"/>
    <w:rsid w:val="00EA0383"/>
    <w:rsid w:val="00EA03B3"/>
    <w:rsid w:val="00EA09E3"/>
    <w:rsid w:val="00EA0BC4"/>
    <w:rsid w:val="00EA11FA"/>
    <w:rsid w:val="00EA1266"/>
    <w:rsid w:val="00EA1546"/>
    <w:rsid w:val="00EA15ED"/>
    <w:rsid w:val="00EA162C"/>
    <w:rsid w:val="00EA1826"/>
    <w:rsid w:val="00EA205D"/>
    <w:rsid w:val="00EA2306"/>
    <w:rsid w:val="00EA2509"/>
    <w:rsid w:val="00EA26C8"/>
    <w:rsid w:val="00EA29B7"/>
    <w:rsid w:val="00EA2B0E"/>
    <w:rsid w:val="00EA311B"/>
    <w:rsid w:val="00EA327A"/>
    <w:rsid w:val="00EA32E0"/>
    <w:rsid w:val="00EA36C0"/>
    <w:rsid w:val="00EA3788"/>
    <w:rsid w:val="00EA3925"/>
    <w:rsid w:val="00EA3B9C"/>
    <w:rsid w:val="00EA3F8E"/>
    <w:rsid w:val="00EA4679"/>
    <w:rsid w:val="00EA485C"/>
    <w:rsid w:val="00EA4F82"/>
    <w:rsid w:val="00EA5E05"/>
    <w:rsid w:val="00EA5F27"/>
    <w:rsid w:val="00EA602E"/>
    <w:rsid w:val="00EA6502"/>
    <w:rsid w:val="00EA6627"/>
    <w:rsid w:val="00EA674F"/>
    <w:rsid w:val="00EA67E6"/>
    <w:rsid w:val="00EA6B34"/>
    <w:rsid w:val="00EA6B6A"/>
    <w:rsid w:val="00EA7208"/>
    <w:rsid w:val="00EA726A"/>
    <w:rsid w:val="00EA7395"/>
    <w:rsid w:val="00EA7627"/>
    <w:rsid w:val="00EA7846"/>
    <w:rsid w:val="00EA7915"/>
    <w:rsid w:val="00EA794A"/>
    <w:rsid w:val="00EA7AC3"/>
    <w:rsid w:val="00EA7C80"/>
    <w:rsid w:val="00EA7E64"/>
    <w:rsid w:val="00EB05D9"/>
    <w:rsid w:val="00EB064A"/>
    <w:rsid w:val="00EB07F4"/>
    <w:rsid w:val="00EB0AE2"/>
    <w:rsid w:val="00EB0C1F"/>
    <w:rsid w:val="00EB0F99"/>
    <w:rsid w:val="00EB1174"/>
    <w:rsid w:val="00EB1391"/>
    <w:rsid w:val="00EB13E8"/>
    <w:rsid w:val="00EB15E5"/>
    <w:rsid w:val="00EB19B6"/>
    <w:rsid w:val="00EB1D0F"/>
    <w:rsid w:val="00EB1DBD"/>
    <w:rsid w:val="00EB26DB"/>
    <w:rsid w:val="00EB2A71"/>
    <w:rsid w:val="00EB304A"/>
    <w:rsid w:val="00EB305F"/>
    <w:rsid w:val="00EB3229"/>
    <w:rsid w:val="00EB32BC"/>
    <w:rsid w:val="00EB32EF"/>
    <w:rsid w:val="00EB345C"/>
    <w:rsid w:val="00EB3710"/>
    <w:rsid w:val="00EB3769"/>
    <w:rsid w:val="00EB3DD6"/>
    <w:rsid w:val="00EB44DF"/>
    <w:rsid w:val="00EB4749"/>
    <w:rsid w:val="00EB48FB"/>
    <w:rsid w:val="00EB4A02"/>
    <w:rsid w:val="00EB4A12"/>
    <w:rsid w:val="00EB4A76"/>
    <w:rsid w:val="00EB4CFF"/>
    <w:rsid w:val="00EB4E62"/>
    <w:rsid w:val="00EB5042"/>
    <w:rsid w:val="00EB50F8"/>
    <w:rsid w:val="00EB5128"/>
    <w:rsid w:val="00EB53A9"/>
    <w:rsid w:val="00EB54CC"/>
    <w:rsid w:val="00EB57BC"/>
    <w:rsid w:val="00EB5A2D"/>
    <w:rsid w:val="00EB5F12"/>
    <w:rsid w:val="00EB5F6F"/>
    <w:rsid w:val="00EB6DC4"/>
    <w:rsid w:val="00EB6FD0"/>
    <w:rsid w:val="00EB7009"/>
    <w:rsid w:val="00EB704F"/>
    <w:rsid w:val="00EB7A7C"/>
    <w:rsid w:val="00EB7D53"/>
    <w:rsid w:val="00EB7E99"/>
    <w:rsid w:val="00EC040B"/>
    <w:rsid w:val="00EC0469"/>
    <w:rsid w:val="00EC0B70"/>
    <w:rsid w:val="00EC0D4B"/>
    <w:rsid w:val="00EC0EE0"/>
    <w:rsid w:val="00EC124A"/>
    <w:rsid w:val="00EC15B9"/>
    <w:rsid w:val="00EC1B9B"/>
    <w:rsid w:val="00EC1BCF"/>
    <w:rsid w:val="00EC1E77"/>
    <w:rsid w:val="00EC1ED3"/>
    <w:rsid w:val="00EC234C"/>
    <w:rsid w:val="00EC23E6"/>
    <w:rsid w:val="00EC2A55"/>
    <w:rsid w:val="00EC2FDF"/>
    <w:rsid w:val="00EC2FF5"/>
    <w:rsid w:val="00EC3484"/>
    <w:rsid w:val="00EC362B"/>
    <w:rsid w:val="00EC41A9"/>
    <w:rsid w:val="00EC461E"/>
    <w:rsid w:val="00EC4A6C"/>
    <w:rsid w:val="00EC4BEF"/>
    <w:rsid w:val="00EC5351"/>
    <w:rsid w:val="00EC53AB"/>
    <w:rsid w:val="00EC5612"/>
    <w:rsid w:val="00EC5676"/>
    <w:rsid w:val="00EC5B1B"/>
    <w:rsid w:val="00EC5B28"/>
    <w:rsid w:val="00EC5D62"/>
    <w:rsid w:val="00EC5DBD"/>
    <w:rsid w:val="00EC5F53"/>
    <w:rsid w:val="00EC6109"/>
    <w:rsid w:val="00EC670F"/>
    <w:rsid w:val="00EC6E00"/>
    <w:rsid w:val="00EC70A1"/>
    <w:rsid w:val="00EC7159"/>
    <w:rsid w:val="00EC7974"/>
    <w:rsid w:val="00EC7C5D"/>
    <w:rsid w:val="00EC7D42"/>
    <w:rsid w:val="00ED000A"/>
    <w:rsid w:val="00ED043E"/>
    <w:rsid w:val="00ED05FB"/>
    <w:rsid w:val="00ED0707"/>
    <w:rsid w:val="00ED0D32"/>
    <w:rsid w:val="00ED0FDD"/>
    <w:rsid w:val="00ED14C4"/>
    <w:rsid w:val="00ED15C1"/>
    <w:rsid w:val="00ED1605"/>
    <w:rsid w:val="00ED169F"/>
    <w:rsid w:val="00ED1716"/>
    <w:rsid w:val="00ED17CA"/>
    <w:rsid w:val="00ED250C"/>
    <w:rsid w:val="00ED25EE"/>
    <w:rsid w:val="00ED2A9C"/>
    <w:rsid w:val="00ED2C28"/>
    <w:rsid w:val="00ED3005"/>
    <w:rsid w:val="00ED301F"/>
    <w:rsid w:val="00ED3ACC"/>
    <w:rsid w:val="00ED3C43"/>
    <w:rsid w:val="00ED3D2F"/>
    <w:rsid w:val="00ED40CC"/>
    <w:rsid w:val="00ED41B0"/>
    <w:rsid w:val="00ED4531"/>
    <w:rsid w:val="00ED4BFC"/>
    <w:rsid w:val="00ED4DB3"/>
    <w:rsid w:val="00ED51A6"/>
    <w:rsid w:val="00ED51DD"/>
    <w:rsid w:val="00ED53B3"/>
    <w:rsid w:val="00ED5409"/>
    <w:rsid w:val="00ED541C"/>
    <w:rsid w:val="00ED585F"/>
    <w:rsid w:val="00ED60E3"/>
    <w:rsid w:val="00ED6213"/>
    <w:rsid w:val="00ED62B7"/>
    <w:rsid w:val="00ED6346"/>
    <w:rsid w:val="00ED6597"/>
    <w:rsid w:val="00ED65FE"/>
    <w:rsid w:val="00ED67EB"/>
    <w:rsid w:val="00ED6C74"/>
    <w:rsid w:val="00ED70F1"/>
    <w:rsid w:val="00ED7603"/>
    <w:rsid w:val="00EE0140"/>
    <w:rsid w:val="00EE03F4"/>
    <w:rsid w:val="00EE05B4"/>
    <w:rsid w:val="00EE079E"/>
    <w:rsid w:val="00EE0C53"/>
    <w:rsid w:val="00EE0CE7"/>
    <w:rsid w:val="00EE0E99"/>
    <w:rsid w:val="00EE163D"/>
    <w:rsid w:val="00EE17A4"/>
    <w:rsid w:val="00EE1861"/>
    <w:rsid w:val="00EE1A6B"/>
    <w:rsid w:val="00EE1E9B"/>
    <w:rsid w:val="00EE1EC5"/>
    <w:rsid w:val="00EE2045"/>
    <w:rsid w:val="00EE2894"/>
    <w:rsid w:val="00EE2BC1"/>
    <w:rsid w:val="00EE2C41"/>
    <w:rsid w:val="00EE2F67"/>
    <w:rsid w:val="00EE3C2A"/>
    <w:rsid w:val="00EE3D42"/>
    <w:rsid w:val="00EE3FF8"/>
    <w:rsid w:val="00EE40A3"/>
    <w:rsid w:val="00EE428A"/>
    <w:rsid w:val="00EE4804"/>
    <w:rsid w:val="00EE50C6"/>
    <w:rsid w:val="00EE5374"/>
    <w:rsid w:val="00EE5628"/>
    <w:rsid w:val="00EE5712"/>
    <w:rsid w:val="00EE595E"/>
    <w:rsid w:val="00EE5A0F"/>
    <w:rsid w:val="00EE5AAC"/>
    <w:rsid w:val="00EE601D"/>
    <w:rsid w:val="00EE68BF"/>
    <w:rsid w:val="00EE696F"/>
    <w:rsid w:val="00EE6B5B"/>
    <w:rsid w:val="00EE6F89"/>
    <w:rsid w:val="00EE733F"/>
    <w:rsid w:val="00EE7593"/>
    <w:rsid w:val="00EE7D7F"/>
    <w:rsid w:val="00EE7DB3"/>
    <w:rsid w:val="00EE7FEB"/>
    <w:rsid w:val="00EF0427"/>
    <w:rsid w:val="00EF09D9"/>
    <w:rsid w:val="00EF0F42"/>
    <w:rsid w:val="00EF1290"/>
    <w:rsid w:val="00EF1937"/>
    <w:rsid w:val="00EF19B9"/>
    <w:rsid w:val="00EF1ED0"/>
    <w:rsid w:val="00EF2000"/>
    <w:rsid w:val="00EF2074"/>
    <w:rsid w:val="00EF2282"/>
    <w:rsid w:val="00EF2761"/>
    <w:rsid w:val="00EF2954"/>
    <w:rsid w:val="00EF2F0A"/>
    <w:rsid w:val="00EF34E8"/>
    <w:rsid w:val="00EF3565"/>
    <w:rsid w:val="00EF3AA2"/>
    <w:rsid w:val="00EF3ABC"/>
    <w:rsid w:val="00EF3C47"/>
    <w:rsid w:val="00EF3E3A"/>
    <w:rsid w:val="00EF44A0"/>
    <w:rsid w:val="00EF4517"/>
    <w:rsid w:val="00EF4C18"/>
    <w:rsid w:val="00EF4D86"/>
    <w:rsid w:val="00EF50DC"/>
    <w:rsid w:val="00EF5188"/>
    <w:rsid w:val="00EF5608"/>
    <w:rsid w:val="00EF5825"/>
    <w:rsid w:val="00EF5DCA"/>
    <w:rsid w:val="00EF615D"/>
    <w:rsid w:val="00EF640F"/>
    <w:rsid w:val="00EF64D4"/>
    <w:rsid w:val="00EF64D6"/>
    <w:rsid w:val="00EF66A2"/>
    <w:rsid w:val="00EF67A6"/>
    <w:rsid w:val="00EF67F2"/>
    <w:rsid w:val="00EF70D2"/>
    <w:rsid w:val="00EF70F8"/>
    <w:rsid w:val="00EF7429"/>
    <w:rsid w:val="00EF78DA"/>
    <w:rsid w:val="00EF790B"/>
    <w:rsid w:val="00EF7B73"/>
    <w:rsid w:val="00EF7CCD"/>
    <w:rsid w:val="00F005D6"/>
    <w:rsid w:val="00F00630"/>
    <w:rsid w:val="00F00978"/>
    <w:rsid w:val="00F00AEC"/>
    <w:rsid w:val="00F00EC7"/>
    <w:rsid w:val="00F00FE8"/>
    <w:rsid w:val="00F010E1"/>
    <w:rsid w:val="00F01451"/>
    <w:rsid w:val="00F029D2"/>
    <w:rsid w:val="00F029E9"/>
    <w:rsid w:val="00F02D7C"/>
    <w:rsid w:val="00F0318D"/>
    <w:rsid w:val="00F03234"/>
    <w:rsid w:val="00F032A0"/>
    <w:rsid w:val="00F03682"/>
    <w:rsid w:val="00F03C61"/>
    <w:rsid w:val="00F04107"/>
    <w:rsid w:val="00F04575"/>
    <w:rsid w:val="00F04708"/>
    <w:rsid w:val="00F04B3E"/>
    <w:rsid w:val="00F04CE6"/>
    <w:rsid w:val="00F04D07"/>
    <w:rsid w:val="00F0546A"/>
    <w:rsid w:val="00F054DD"/>
    <w:rsid w:val="00F05505"/>
    <w:rsid w:val="00F055B4"/>
    <w:rsid w:val="00F058DA"/>
    <w:rsid w:val="00F05B4A"/>
    <w:rsid w:val="00F05BFC"/>
    <w:rsid w:val="00F06180"/>
    <w:rsid w:val="00F069C5"/>
    <w:rsid w:val="00F06AF8"/>
    <w:rsid w:val="00F07023"/>
    <w:rsid w:val="00F071AE"/>
    <w:rsid w:val="00F076FB"/>
    <w:rsid w:val="00F07BDD"/>
    <w:rsid w:val="00F1019A"/>
    <w:rsid w:val="00F101F0"/>
    <w:rsid w:val="00F1026C"/>
    <w:rsid w:val="00F1035A"/>
    <w:rsid w:val="00F1065D"/>
    <w:rsid w:val="00F10692"/>
    <w:rsid w:val="00F109A0"/>
    <w:rsid w:val="00F10A89"/>
    <w:rsid w:val="00F1128E"/>
    <w:rsid w:val="00F11395"/>
    <w:rsid w:val="00F1157E"/>
    <w:rsid w:val="00F1191D"/>
    <w:rsid w:val="00F11C1A"/>
    <w:rsid w:val="00F12441"/>
    <w:rsid w:val="00F124F2"/>
    <w:rsid w:val="00F12523"/>
    <w:rsid w:val="00F12798"/>
    <w:rsid w:val="00F12A11"/>
    <w:rsid w:val="00F12FC1"/>
    <w:rsid w:val="00F12FD8"/>
    <w:rsid w:val="00F12FF7"/>
    <w:rsid w:val="00F1305A"/>
    <w:rsid w:val="00F133BC"/>
    <w:rsid w:val="00F1392E"/>
    <w:rsid w:val="00F13D26"/>
    <w:rsid w:val="00F14110"/>
    <w:rsid w:val="00F142B8"/>
    <w:rsid w:val="00F14377"/>
    <w:rsid w:val="00F145A0"/>
    <w:rsid w:val="00F1475C"/>
    <w:rsid w:val="00F14F68"/>
    <w:rsid w:val="00F152CA"/>
    <w:rsid w:val="00F1549B"/>
    <w:rsid w:val="00F15A32"/>
    <w:rsid w:val="00F15BFC"/>
    <w:rsid w:val="00F16C2E"/>
    <w:rsid w:val="00F17086"/>
    <w:rsid w:val="00F1723A"/>
    <w:rsid w:val="00F204D1"/>
    <w:rsid w:val="00F20B77"/>
    <w:rsid w:val="00F20C79"/>
    <w:rsid w:val="00F210D2"/>
    <w:rsid w:val="00F218C7"/>
    <w:rsid w:val="00F21E9D"/>
    <w:rsid w:val="00F2212B"/>
    <w:rsid w:val="00F2225B"/>
    <w:rsid w:val="00F22460"/>
    <w:rsid w:val="00F22574"/>
    <w:rsid w:val="00F2281B"/>
    <w:rsid w:val="00F22DD9"/>
    <w:rsid w:val="00F23136"/>
    <w:rsid w:val="00F23145"/>
    <w:rsid w:val="00F231F4"/>
    <w:rsid w:val="00F2372C"/>
    <w:rsid w:val="00F2381F"/>
    <w:rsid w:val="00F23D8B"/>
    <w:rsid w:val="00F2409C"/>
    <w:rsid w:val="00F241F7"/>
    <w:rsid w:val="00F245A1"/>
    <w:rsid w:val="00F245DB"/>
    <w:rsid w:val="00F24C8F"/>
    <w:rsid w:val="00F24D17"/>
    <w:rsid w:val="00F25396"/>
    <w:rsid w:val="00F25426"/>
    <w:rsid w:val="00F2565F"/>
    <w:rsid w:val="00F25E26"/>
    <w:rsid w:val="00F26DB2"/>
    <w:rsid w:val="00F2736E"/>
    <w:rsid w:val="00F2759D"/>
    <w:rsid w:val="00F275DB"/>
    <w:rsid w:val="00F27600"/>
    <w:rsid w:val="00F276B5"/>
    <w:rsid w:val="00F277A3"/>
    <w:rsid w:val="00F27EBD"/>
    <w:rsid w:val="00F3049C"/>
    <w:rsid w:val="00F30B59"/>
    <w:rsid w:val="00F30B9F"/>
    <w:rsid w:val="00F30E12"/>
    <w:rsid w:val="00F30E5A"/>
    <w:rsid w:val="00F30E80"/>
    <w:rsid w:val="00F31151"/>
    <w:rsid w:val="00F3133C"/>
    <w:rsid w:val="00F314BE"/>
    <w:rsid w:val="00F316DC"/>
    <w:rsid w:val="00F3188A"/>
    <w:rsid w:val="00F31995"/>
    <w:rsid w:val="00F31A50"/>
    <w:rsid w:val="00F3203D"/>
    <w:rsid w:val="00F3217F"/>
    <w:rsid w:val="00F321C6"/>
    <w:rsid w:val="00F32704"/>
    <w:rsid w:val="00F3317E"/>
    <w:rsid w:val="00F33E7B"/>
    <w:rsid w:val="00F33E94"/>
    <w:rsid w:val="00F341FB"/>
    <w:rsid w:val="00F3434A"/>
    <w:rsid w:val="00F343D4"/>
    <w:rsid w:val="00F34448"/>
    <w:rsid w:val="00F3466F"/>
    <w:rsid w:val="00F34809"/>
    <w:rsid w:val="00F34BFA"/>
    <w:rsid w:val="00F34D9C"/>
    <w:rsid w:val="00F34E11"/>
    <w:rsid w:val="00F34E23"/>
    <w:rsid w:val="00F3586F"/>
    <w:rsid w:val="00F35F7C"/>
    <w:rsid w:val="00F36071"/>
    <w:rsid w:val="00F361F8"/>
    <w:rsid w:val="00F36345"/>
    <w:rsid w:val="00F36B92"/>
    <w:rsid w:val="00F36DCC"/>
    <w:rsid w:val="00F36ECB"/>
    <w:rsid w:val="00F372B5"/>
    <w:rsid w:val="00F37332"/>
    <w:rsid w:val="00F375E5"/>
    <w:rsid w:val="00F37744"/>
    <w:rsid w:val="00F37761"/>
    <w:rsid w:val="00F37770"/>
    <w:rsid w:val="00F37823"/>
    <w:rsid w:val="00F379EA"/>
    <w:rsid w:val="00F37FDE"/>
    <w:rsid w:val="00F40403"/>
    <w:rsid w:val="00F40464"/>
    <w:rsid w:val="00F40A99"/>
    <w:rsid w:val="00F40D06"/>
    <w:rsid w:val="00F40DBD"/>
    <w:rsid w:val="00F410AF"/>
    <w:rsid w:val="00F41D99"/>
    <w:rsid w:val="00F4205F"/>
    <w:rsid w:val="00F4209B"/>
    <w:rsid w:val="00F423C6"/>
    <w:rsid w:val="00F42661"/>
    <w:rsid w:val="00F42787"/>
    <w:rsid w:val="00F42B0F"/>
    <w:rsid w:val="00F42E15"/>
    <w:rsid w:val="00F42FBE"/>
    <w:rsid w:val="00F43385"/>
    <w:rsid w:val="00F4357A"/>
    <w:rsid w:val="00F437F2"/>
    <w:rsid w:val="00F4384C"/>
    <w:rsid w:val="00F43E59"/>
    <w:rsid w:val="00F43EA2"/>
    <w:rsid w:val="00F440BF"/>
    <w:rsid w:val="00F4417A"/>
    <w:rsid w:val="00F44396"/>
    <w:rsid w:val="00F443B7"/>
    <w:rsid w:val="00F443CA"/>
    <w:rsid w:val="00F44466"/>
    <w:rsid w:val="00F445DE"/>
    <w:rsid w:val="00F44934"/>
    <w:rsid w:val="00F44975"/>
    <w:rsid w:val="00F44E5E"/>
    <w:rsid w:val="00F45037"/>
    <w:rsid w:val="00F451A5"/>
    <w:rsid w:val="00F4561B"/>
    <w:rsid w:val="00F45713"/>
    <w:rsid w:val="00F45CA4"/>
    <w:rsid w:val="00F45F42"/>
    <w:rsid w:val="00F46313"/>
    <w:rsid w:val="00F4637C"/>
    <w:rsid w:val="00F46551"/>
    <w:rsid w:val="00F46619"/>
    <w:rsid w:val="00F467CB"/>
    <w:rsid w:val="00F46B3C"/>
    <w:rsid w:val="00F46D81"/>
    <w:rsid w:val="00F46E45"/>
    <w:rsid w:val="00F46FA1"/>
    <w:rsid w:val="00F47169"/>
    <w:rsid w:val="00F4750D"/>
    <w:rsid w:val="00F475BB"/>
    <w:rsid w:val="00F478A0"/>
    <w:rsid w:val="00F4797B"/>
    <w:rsid w:val="00F47F22"/>
    <w:rsid w:val="00F4ECD6"/>
    <w:rsid w:val="00F50321"/>
    <w:rsid w:val="00F5034E"/>
    <w:rsid w:val="00F50887"/>
    <w:rsid w:val="00F50B04"/>
    <w:rsid w:val="00F50CD7"/>
    <w:rsid w:val="00F51096"/>
    <w:rsid w:val="00F510B3"/>
    <w:rsid w:val="00F51155"/>
    <w:rsid w:val="00F51680"/>
    <w:rsid w:val="00F51876"/>
    <w:rsid w:val="00F519D3"/>
    <w:rsid w:val="00F5208B"/>
    <w:rsid w:val="00F5224E"/>
    <w:rsid w:val="00F52393"/>
    <w:rsid w:val="00F52D0A"/>
    <w:rsid w:val="00F52D58"/>
    <w:rsid w:val="00F52D60"/>
    <w:rsid w:val="00F532BA"/>
    <w:rsid w:val="00F53B9F"/>
    <w:rsid w:val="00F53D28"/>
    <w:rsid w:val="00F541DA"/>
    <w:rsid w:val="00F54389"/>
    <w:rsid w:val="00F54947"/>
    <w:rsid w:val="00F54D9D"/>
    <w:rsid w:val="00F55140"/>
    <w:rsid w:val="00F55524"/>
    <w:rsid w:val="00F556E0"/>
    <w:rsid w:val="00F55D53"/>
    <w:rsid w:val="00F560A0"/>
    <w:rsid w:val="00F5639D"/>
    <w:rsid w:val="00F567A9"/>
    <w:rsid w:val="00F56CA6"/>
    <w:rsid w:val="00F56FB3"/>
    <w:rsid w:val="00F56FCE"/>
    <w:rsid w:val="00F571B2"/>
    <w:rsid w:val="00F571D3"/>
    <w:rsid w:val="00F5725B"/>
    <w:rsid w:val="00F5739E"/>
    <w:rsid w:val="00F5754A"/>
    <w:rsid w:val="00F5755A"/>
    <w:rsid w:val="00F57994"/>
    <w:rsid w:val="00F6007D"/>
    <w:rsid w:val="00F6008B"/>
    <w:rsid w:val="00F6014C"/>
    <w:rsid w:val="00F601AF"/>
    <w:rsid w:val="00F601CF"/>
    <w:rsid w:val="00F6038B"/>
    <w:rsid w:val="00F6046A"/>
    <w:rsid w:val="00F60736"/>
    <w:rsid w:val="00F6079C"/>
    <w:rsid w:val="00F60E13"/>
    <w:rsid w:val="00F60FA1"/>
    <w:rsid w:val="00F610F0"/>
    <w:rsid w:val="00F6112A"/>
    <w:rsid w:val="00F61251"/>
    <w:rsid w:val="00F6135D"/>
    <w:rsid w:val="00F618EE"/>
    <w:rsid w:val="00F62178"/>
    <w:rsid w:val="00F6244E"/>
    <w:rsid w:val="00F62C66"/>
    <w:rsid w:val="00F62E0A"/>
    <w:rsid w:val="00F62F51"/>
    <w:rsid w:val="00F62FB5"/>
    <w:rsid w:val="00F635EB"/>
    <w:rsid w:val="00F6392B"/>
    <w:rsid w:val="00F63E0E"/>
    <w:rsid w:val="00F6423E"/>
    <w:rsid w:val="00F64CD8"/>
    <w:rsid w:val="00F64D66"/>
    <w:rsid w:val="00F65089"/>
    <w:rsid w:val="00F651AF"/>
    <w:rsid w:val="00F654A3"/>
    <w:rsid w:val="00F65BB4"/>
    <w:rsid w:val="00F65D92"/>
    <w:rsid w:val="00F65DB4"/>
    <w:rsid w:val="00F66042"/>
    <w:rsid w:val="00F663D2"/>
    <w:rsid w:val="00F66914"/>
    <w:rsid w:val="00F6691B"/>
    <w:rsid w:val="00F66A62"/>
    <w:rsid w:val="00F671DC"/>
    <w:rsid w:val="00F678C8"/>
    <w:rsid w:val="00F67C36"/>
    <w:rsid w:val="00F67D34"/>
    <w:rsid w:val="00F6F134"/>
    <w:rsid w:val="00F700A1"/>
    <w:rsid w:val="00F70160"/>
    <w:rsid w:val="00F703CA"/>
    <w:rsid w:val="00F709E5"/>
    <w:rsid w:val="00F70A8E"/>
    <w:rsid w:val="00F70DC0"/>
    <w:rsid w:val="00F70FEA"/>
    <w:rsid w:val="00F71206"/>
    <w:rsid w:val="00F71208"/>
    <w:rsid w:val="00F7131E"/>
    <w:rsid w:val="00F71369"/>
    <w:rsid w:val="00F71519"/>
    <w:rsid w:val="00F717B1"/>
    <w:rsid w:val="00F71C69"/>
    <w:rsid w:val="00F71D1B"/>
    <w:rsid w:val="00F71EFC"/>
    <w:rsid w:val="00F722E5"/>
    <w:rsid w:val="00F723B0"/>
    <w:rsid w:val="00F723E3"/>
    <w:rsid w:val="00F724E7"/>
    <w:rsid w:val="00F7260B"/>
    <w:rsid w:val="00F72694"/>
    <w:rsid w:val="00F72DF4"/>
    <w:rsid w:val="00F73012"/>
    <w:rsid w:val="00F732BA"/>
    <w:rsid w:val="00F733AA"/>
    <w:rsid w:val="00F73447"/>
    <w:rsid w:val="00F7371A"/>
    <w:rsid w:val="00F73BCB"/>
    <w:rsid w:val="00F73CE1"/>
    <w:rsid w:val="00F73D2B"/>
    <w:rsid w:val="00F73D2D"/>
    <w:rsid w:val="00F74221"/>
    <w:rsid w:val="00F74320"/>
    <w:rsid w:val="00F74342"/>
    <w:rsid w:val="00F74878"/>
    <w:rsid w:val="00F74C6C"/>
    <w:rsid w:val="00F74D36"/>
    <w:rsid w:val="00F75175"/>
    <w:rsid w:val="00F760E0"/>
    <w:rsid w:val="00F766CC"/>
    <w:rsid w:val="00F767B6"/>
    <w:rsid w:val="00F767D2"/>
    <w:rsid w:val="00F76AC8"/>
    <w:rsid w:val="00F772CF"/>
    <w:rsid w:val="00F77336"/>
    <w:rsid w:val="00F77520"/>
    <w:rsid w:val="00F7757C"/>
    <w:rsid w:val="00F77B7B"/>
    <w:rsid w:val="00F77D69"/>
    <w:rsid w:val="00F80134"/>
    <w:rsid w:val="00F80313"/>
    <w:rsid w:val="00F8032C"/>
    <w:rsid w:val="00F80356"/>
    <w:rsid w:val="00F80431"/>
    <w:rsid w:val="00F80AAA"/>
    <w:rsid w:val="00F80F27"/>
    <w:rsid w:val="00F8149F"/>
    <w:rsid w:val="00F81828"/>
    <w:rsid w:val="00F81A0C"/>
    <w:rsid w:val="00F81CBE"/>
    <w:rsid w:val="00F81D32"/>
    <w:rsid w:val="00F81D69"/>
    <w:rsid w:val="00F81F59"/>
    <w:rsid w:val="00F82170"/>
    <w:rsid w:val="00F823E3"/>
    <w:rsid w:val="00F82511"/>
    <w:rsid w:val="00F82BDB"/>
    <w:rsid w:val="00F830D7"/>
    <w:rsid w:val="00F83246"/>
    <w:rsid w:val="00F833CD"/>
    <w:rsid w:val="00F83EA8"/>
    <w:rsid w:val="00F8464D"/>
    <w:rsid w:val="00F84740"/>
    <w:rsid w:val="00F847FB"/>
    <w:rsid w:val="00F84B4C"/>
    <w:rsid w:val="00F84B64"/>
    <w:rsid w:val="00F85034"/>
    <w:rsid w:val="00F85188"/>
    <w:rsid w:val="00F851D9"/>
    <w:rsid w:val="00F8523C"/>
    <w:rsid w:val="00F85371"/>
    <w:rsid w:val="00F854D7"/>
    <w:rsid w:val="00F85537"/>
    <w:rsid w:val="00F85AFA"/>
    <w:rsid w:val="00F85BE4"/>
    <w:rsid w:val="00F860FF"/>
    <w:rsid w:val="00F861D3"/>
    <w:rsid w:val="00F86438"/>
    <w:rsid w:val="00F86539"/>
    <w:rsid w:val="00F86604"/>
    <w:rsid w:val="00F8667C"/>
    <w:rsid w:val="00F867B4"/>
    <w:rsid w:val="00F86C66"/>
    <w:rsid w:val="00F86CDF"/>
    <w:rsid w:val="00F86EDF"/>
    <w:rsid w:val="00F87059"/>
    <w:rsid w:val="00F87B29"/>
    <w:rsid w:val="00F87DCF"/>
    <w:rsid w:val="00F9048D"/>
    <w:rsid w:val="00F9082E"/>
    <w:rsid w:val="00F90898"/>
    <w:rsid w:val="00F90B1C"/>
    <w:rsid w:val="00F90B9B"/>
    <w:rsid w:val="00F90C4A"/>
    <w:rsid w:val="00F91050"/>
    <w:rsid w:val="00F91139"/>
    <w:rsid w:val="00F912CB"/>
    <w:rsid w:val="00F9178D"/>
    <w:rsid w:val="00F924A0"/>
    <w:rsid w:val="00F924BA"/>
    <w:rsid w:val="00F92B33"/>
    <w:rsid w:val="00F92B77"/>
    <w:rsid w:val="00F92B88"/>
    <w:rsid w:val="00F92BC9"/>
    <w:rsid w:val="00F92E27"/>
    <w:rsid w:val="00F92EAE"/>
    <w:rsid w:val="00F9361D"/>
    <w:rsid w:val="00F93D33"/>
    <w:rsid w:val="00F94364"/>
    <w:rsid w:val="00F943E5"/>
    <w:rsid w:val="00F9441A"/>
    <w:rsid w:val="00F9499A"/>
    <w:rsid w:val="00F949A3"/>
    <w:rsid w:val="00F94BC1"/>
    <w:rsid w:val="00F95020"/>
    <w:rsid w:val="00F95130"/>
    <w:rsid w:val="00F951E6"/>
    <w:rsid w:val="00F9521C"/>
    <w:rsid w:val="00F9545F"/>
    <w:rsid w:val="00F95671"/>
    <w:rsid w:val="00F9574D"/>
    <w:rsid w:val="00F959B8"/>
    <w:rsid w:val="00F9647C"/>
    <w:rsid w:val="00F964A7"/>
    <w:rsid w:val="00F96BB0"/>
    <w:rsid w:val="00F96D06"/>
    <w:rsid w:val="00F96D2E"/>
    <w:rsid w:val="00F97433"/>
    <w:rsid w:val="00F97907"/>
    <w:rsid w:val="00F9790A"/>
    <w:rsid w:val="00F979BB"/>
    <w:rsid w:val="00F97A0E"/>
    <w:rsid w:val="00F97BAD"/>
    <w:rsid w:val="00F97E91"/>
    <w:rsid w:val="00F97F25"/>
    <w:rsid w:val="00F97FA8"/>
    <w:rsid w:val="00FA000F"/>
    <w:rsid w:val="00FA02F2"/>
    <w:rsid w:val="00FA03AB"/>
    <w:rsid w:val="00FA0490"/>
    <w:rsid w:val="00FA0B6D"/>
    <w:rsid w:val="00FA1187"/>
    <w:rsid w:val="00FA1841"/>
    <w:rsid w:val="00FA1B55"/>
    <w:rsid w:val="00FA1C4A"/>
    <w:rsid w:val="00FA1C67"/>
    <w:rsid w:val="00FA288A"/>
    <w:rsid w:val="00FA294E"/>
    <w:rsid w:val="00FA2E27"/>
    <w:rsid w:val="00FA37F8"/>
    <w:rsid w:val="00FA408C"/>
    <w:rsid w:val="00FA4193"/>
    <w:rsid w:val="00FA43FA"/>
    <w:rsid w:val="00FA4529"/>
    <w:rsid w:val="00FA473E"/>
    <w:rsid w:val="00FA4764"/>
    <w:rsid w:val="00FA48C5"/>
    <w:rsid w:val="00FA5211"/>
    <w:rsid w:val="00FA55C2"/>
    <w:rsid w:val="00FA5760"/>
    <w:rsid w:val="00FA587D"/>
    <w:rsid w:val="00FA5CE1"/>
    <w:rsid w:val="00FA5DE0"/>
    <w:rsid w:val="00FA5E77"/>
    <w:rsid w:val="00FA6039"/>
    <w:rsid w:val="00FA6191"/>
    <w:rsid w:val="00FA633D"/>
    <w:rsid w:val="00FA6362"/>
    <w:rsid w:val="00FA65E8"/>
    <w:rsid w:val="00FA6741"/>
    <w:rsid w:val="00FA6C7D"/>
    <w:rsid w:val="00FA72C2"/>
    <w:rsid w:val="00FA73DC"/>
    <w:rsid w:val="00FA7B59"/>
    <w:rsid w:val="00FA7C7C"/>
    <w:rsid w:val="00FA7EBF"/>
    <w:rsid w:val="00FAC61B"/>
    <w:rsid w:val="00FB0344"/>
    <w:rsid w:val="00FB047C"/>
    <w:rsid w:val="00FB0A7C"/>
    <w:rsid w:val="00FB0D56"/>
    <w:rsid w:val="00FB0D73"/>
    <w:rsid w:val="00FB1030"/>
    <w:rsid w:val="00FB1133"/>
    <w:rsid w:val="00FB115F"/>
    <w:rsid w:val="00FB11D5"/>
    <w:rsid w:val="00FB16CE"/>
    <w:rsid w:val="00FB17AC"/>
    <w:rsid w:val="00FB1F69"/>
    <w:rsid w:val="00FB206B"/>
    <w:rsid w:val="00FB227F"/>
    <w:rsid w:val="00FB2998"/>
    <w:rsid w:val="00FB2D3B"/>
    <w:rsid w:val="00FB3078"/>
    <w:rsid w:val="00FB3567"/>
    <w:rsid w:val="00FB38A3"/>
    <w:rsid w:val="00FB397F"/>
    <w:rsid w:val="00FB3D01"/>
    <w:rsid w:val="00FB3D7F"/>
    <w:rsid w:val="00FB3F09"/>
    <w:rsid w:val="00FB3FDE"/>
    <w:rsid w:val="00FB4194"/>
    <w:rsid w:val="00FB4457"/>
    <w:rsid w:val="00FB4EFE"/>
    <w:rsid w:val="00FB540C"/>
    <w:rsid w:val="00FB565D"/>
    <w:rsid w:val="00FB5AC5"/>
    <w:rsid w:val="00FB5D02"/>
    <w:rsid w:val="00FB5EA8"/>
    <w:rsid w:val="00FB620F"/>
    <w:rsid w:val="00FB6397"/>
    <w:rsid w:val="00FB6734"/>
    <w:rsid w:val="00FB68B0"/>
    <w:rsid w:val="00FB68FA"/>
    <w:rsid w:val="00FB6927"/>
    <w:rsid w:val="00FB6A1E"/>
    <w:rsid w:val="00FB6A35"/>
    <w:rsid w:val="00FB6B63"/>
    <w:rsid w:val="00FB6C2E"/>
    <w:rsid w:val="00FB6D66"/>
    <w:rsid w:val="00FB6DB0"/>
    <w:rsid w:val="00FB7DC0"/>
    <w:rsid w:val="00FC037C"/>
    <w:rsid w:val="00FC06C5"/>
    <w:rsid w:val="00FC094E"/>
    <w:rsid w:val="00FC0C8E"/>
    <w:rsid w:val="00FC0CF0"/>
    <w:rsid w:val="00FC104A"/>
    <w:rsid w:val="00FC15FC"/>
    <w:rsid w:val="00FC1BC3"/>
    <w:rsid w:val="00FC1C71"/>
    <w:rsid w:val="00FC1E5B"/>
    <w:rsid w:val="00FC20AC"/>
    <w:rsid w:val="00FC29AE"/>
    <w:rsid w:val="00FC29ED"/>
    <w:rsid w:val="00FC2B0E"/>
    <w:rsid w:val="00FC33D3"/>
    <w:rsid w:val="00FC34E8"/>
    <w:rsid w:val="00FC35EC"/>
    <w:rsid w:val="00FC3709"/>
    <w:rsid w:val="00FC370D"/>
    <w:rsid w:val="00FC3CB0"/>
    <w:rsid w:val="00FC3CF1"/>
    <w:rsid w:val="00FC4043"/>
    <w:rsid w:val="00FC411A"/>
    <w:rsid w:val="00FC4483"/>
    <w:rsid w:val="00FC45F4"/>
    <w:rsid w:val="00FC4856"/>
    <w:rsid w:val="00FC4B1F"/>
    <w:rsid w:val="00FC4C83"/>
    <w:rsid w:val="00FC4D59"/>
    <w:rsid w:val="00FC52CB"/>
    <w:rsid w:val="00FC5452"/>
    <w:rsid w:val="00FC5546"/>
    <w:rsid w:val="00FC5961"/>
    <w:rsid w:val="00FC5A9A"/>
    <w:rsid w:val="00FC5C6C"/>
    <w:rsid w:val="00FC6570"/>
    <w:rsid w:val="00FC6F5C"/>
    <w:rsid w:val="00FC70E6"/>
    <w:rsid w:val="00FC711E"/>
    <w:rsid w:val="00FC7165"/>
    <w:rsid w:val="00FC74DD"/>
    <w:rsid w:val="00FC7842"/>
    <w:rsid w:val="00FC7B29"/>
    <w:rsid w:val="00FC7DCA"/>
    <w:rsid w:val="00FD01BF"/>
    <w:rsid w:val="00FD02AE"/>
    <w:rsid w:val="00FD0316"/>
    <w:rsid w:val="00FD0502"/>
    <w:rsid w:val="00FD0A63"/>
    <w:rsid w:val="00FD0B07"/>
    <w:rsid w:val="00FD0E36"/>
    <w:rsid w:val="00FD1077"/>
    <w:rsid w:val="00FD201D"/>
    <w:rsid w:val="00FD2086"/>
    <w:rsid w:val="00FD2110"/>
    <w:rsid w:val="00FD2222"/>
    <w:rsid w:val="00FD2568"/>
    <w:rsid w:val="00FD2589"/>
    <w:rsid w:val="00FD2B74"/>
    <w:rsid w:val="00FD2E14"/>
    <w:rsid w:val="00FD2F23"/>
    <w:rsid w:val="00FD3447"/>
    <w:rsid w:val="00FD3546"/>
    <w:rsid w:val="00FD3FFE"/>
    <w:rsid w:val="00FD410E"/>
    <w:rsid w:val="00FD45E9"/>
    <w:rsid w:val="00FD4AFD"/>
    <w:rsid w:val="00FD4BF4"/>
    <w:rsid w:val="00FD4D87"/>
    <w:rsid w:val="00FD5021"/>
    <w:rsid w:val="00FD517A"/>
    <w:rsid w:val="00FD553A"/>
    <w:rsid w:val="00FD58F2"/>
    <w:rsid w:val="00FD5B8B"/>
    <w:rsid w:val="00FD5F86"/>
    <w:rsid w:val="00FD63C1"/>
    <w:rsid w:val="00FD665E"/>
    <w:rsid w:val="00FD67DB"/>
    <w:rsid w:val="00FD72BC"/>
    <w:rsid w:val="00FD7452"/>
    <w:rsid w:val="00FDAF6E"/>
    <w:rsid w:val="00FE007E"/>
    <w:rsid w:val="00FE032C"/>
    <w:rsid w:val="00FE06A1"/>
    <w:rsid w:val="00FE07DB"/>
    <w:rsid w:val="00FE0AA7"/>
    <w:rsid w:val="00FE0E65"/>
    <w:rsid w:val="00FE0EF4"/>
    <w:rsid w:val="00FE14D0"/>
    <w:rsid w:val="00FE15F0"/>
    <w:rsid w:val="00FE1742"/>
    <w:rsid w:val="00FE1B76"/>
    <w:rsid w:val="00FE1E35"/>
    <w:rsid w:val="00FE1F3F"/>
    <w:rsid w:val="00FE219D"/>
    <w:rsid w:val="00FE2B99"/>
    <w:rsid w:val="00FE2D52"/>
    <w:rsid w:val="00FE2DF5"/>
    <w:rsid w:val="00FE2F12"/>
    <w:rsid w:val="00FE30F5"/>
    <w:rsid w:val="00FE33AF"/>
    <w:rsid w:val="00FE3CDC"/>
    <w:rsid w:val="00FE4108"/>
    <w:rsid w:val="00FE43E0"/>
    <w:rsid w:val="00FE464A"/>
    <w:rsid w:val="00FE477D"/>
    <w:rsid w:val="00FE4B09"/>
    <w:rsid w:val="00FE518A"/>
    <w:rsid w:val="00FE5262"/>
    <w:rsid w:val="00FE5355"/>
    <w:rsid w:val="00FE5793"/>
    <w:rsid w:val="00FE579A"/>
    <w:rsid w:val="00FE5ACE"/>
    <w:rsid w:val="00FE5ED3"/>
    <w:rsid w:val="00FE60C2"/>
    <w:rsid w:val="00FE6258"/>
    <w:rsid w:val="00FE631F"/>
    <w:rsid w:val="00FE65B8"/>
    <w:rsid w:val="00FE65C1"/>
    <w:rsid w:val="00FE692B"/>
    <w:rsid w:val="00FE69C5"/>
    <w:rsid w:val="00FE6BF2"/>
    <w:rsid w:val="00FE6D79"/>
    <w:rsid w:val="00FE6E76"/>
    <w:rsid w:val="00FE7012"/>
    <w:rsid w:val="00FE748B"/>
    <w:rsid w:val="00FE767B"/>
    <w:rsid w:val="00FE780F"/>
    <w:rsid w:val="00FE7B9F"/>
    <w:rsid w:val="00FE7F5D"/>
    <w:rsid w:val="00FF019E"/>
    <w:rsid w:val="00FF0427"/>
    <w:rsid w:val="00FF0631"/>
    <w:rsid w:val="00FF0698"/>
    <w:rsid w:val="00FF0E65"/>
    <w:rsid w:val="00FF11F9"/>
    <w:rsid w:val="00FF15DB"/>
    <w:rsid w:val="00FF1AAC"/>
    <w:rsid w:val="00FF1B5B"/>
    <w:rsid w:val="00FF1EC6"/>
    <w:rsid w:val="00FF2567"/>
    <w:rsid w:val="00FF290E"/>
    <w:rsid w:val="00FF2CAA"/>
    <w:rsid w:val="00FF2CAE"/>
    <w:rsid w:val="00FF3348"/>
    <w:rsid w:val="00FF3ACA"/>
    <w:rsid w:val="00FF3CB3"/>
    <w:rsid w:val="00FF3CE5"/>
    <w:rsid w:val="00FF46BC"/>
    <w:rsid w:val="00FF477C"/>
    <w:rsid w:val="00FF4A71"/>
    <w:rsid w:val="00FF4C66"/>
    <w:rsid w:val="00FF4F1B"/>
    <w:rsid w:val="00FF5237"/>
    <w:rsid w:val="00FF52AD"/>
    <w:rsid w:val="00FF5507"/>
    <w:rsid w:val="00FF55DF"/>
    <w:rsid w:val="00FF5673"/>
    <w:rsid w:val="00FF567F"/>
    <w:rsid w:val="00FF5702"/>
    <w:rsid w:val="00FF5B77"/>
    <w:rsid w:val="00FF5EE2"/>
    <w:rsid w:val="00FF6212"/>
    <w:rsid w:val="00FF6444"/>
    <w:rsid w:val="00FF64DD"/>
    <w:rsid w:val="00FF6B9D"/>
    <w:rsid w:val="00FF6C0D"/>
    <w:rsid w:val="00FF761F"/>
    <w:rsid w:val="00FF7CB4"/>
    <w:rsid w:val="01010525"/>
    <w:rsid w:val="01029BFB"/>
    <w:rsid w:val="010565A2"/>
    <w:rsid w:val="0106BCE0"/>
    <w:rsid w:val="01078580"/>
    <w:rsid w:val="010B5725"/>
    <w:rsid w:val="010E6F89"/>
    <w:rsid w:val="0111F226"/>
    <w:rsid w:val="01188626"/>
    <w:rsid w:val="011936E7"/>
    <w:rsid w:val="011D225C"/>
    <w:rsid w:val="011F1DDC"/>
    <w:rsid w:val="011FC075"/>
    <w:rsid w:val="01203A51"/>
    <w:rsid w:val="0123388C"/>
    <w:rsid w:val="01307FD1"/>
    <w:rsid w:val="0135BB15"/>
    <w:rsid w:val="0135DAD0"/>
    <w:rsid w:val="013CBE6A"/>
    <w:rsid w:val="013D4883"/>
    <w:rsid w:val="014558FF"/>
    <w:rsid w:val="0145F155"/>
    <w:rsid w:val="014660A0"/>
    <w:rsid w:val="0148B7E5"/>
    <w:rsid w:val="01492E1E"/>
    <w:rsid w:val="014CAEF1"/>
    <w:rsid w:val="0150110B"/>
    <w:rsid w:val="0152F56F"/>
    <w:rsid w:val="01547975"/>
    <w:rsid w:val="015536E1"/>
    <w:rsid w:val="015604D9"/>
    <w:rsid w:val="0157E445"/>
    <w:rsid w:val="015AEAB5"/>
    <w:rsid w:val="015AFC1B"/>
    <w:rsid w:val="015C3137"/>
    <w:rsid w:val="0160F29C"/>
    <w:rsid w:val="0163701A"/>
    <w:rsid w:val="016A3AB0"/>
    <w:rsid w:val="016B22EE"/>
    <w:rsid w:val="016C2785"/>
    <w:rsid w:val="016D6F01"/>
    <w:rsid w:val="016D9421"/>
    <w:rsid w:val="016ED3D0"/>
    <w:rsid w:val="016F9134"/>
    <w:rsid w:val="01725B02"/>
    <w:rsid w:val="01776409"/>
    <w:rsid w:val="017A9C80"/>
    <w:rsid w:val="017C14F6"/>
    <w:rsid w:val="017F0953"/>
    <w:rsid w:val="0181A8FF"/>
    <w:rsid w:val="0182B613"/>
    <w:rsid w:val="0188195C"/>
    <w:rsid w:val="01882CB1"/>
    <w:rsid w:val="0189880B"/>
    <w:rsid w:val="018B7BDA"/>
    <w:rsid w:val="018D2323"/>
    <w:rsid w:val="018E614F"/>
    <w:rsid w:val="0190250F"/>
    <w:rsid w:val="01916F59"/>
    <w:rsid w:val="01942E87"/>
    <w:rsid w:val="019448A0"/>
    <w:rsid w:val="0194DAAE"/>
    <w:rsid w:val="0196D345"/>
    <w:rsid w:val="0197E46D"/>
    <w:rsid w:val="0197F329"/>
    <w:rsid w:val="0198189E"/>
    <w:rsid w:val="0198C26A"/>
    <w:rsid w:val="019A7E32"/>
    <w:rsid w:val="019C379D"/>
    <w:rsid w:val="019DBE09"/>
    <w:rsid w:val="019DDBE0"/>
    <w:rsid w:val="019F8056"/>
    <w:rsid w:val="01A188D5"/>
    <w:rsid w:val="01A6E5AA"/>
    <w:rsid w:val="01AA71EB"/>
    <w:rsid w:val="01AB99FF"/>
    <w:rsid w:val="01AB9B70"/>
    <w:rsid w:val="01ACD044"/>
    <w:rsid w:val="01ADA5FF"/>
    <w:rsid w:val="01B2AFEF"/>
    <w:rsid w:val="01B358A0"/>
    <w:rsid w:val="01B3E507"/>
    <w:rsid w:val="01B7C893"/>
    <w:rsid w:val="01B88743"/>
    <w:rsid w:val="01B9121B"/>
    <w:rsid w:val="01BA094C"/>
    <w:rsid w:val="01BAE54E"/>
    <w:rsid w:val="01C1A2FD"/>
    <w:rsid w:val="01C3888F"/>
    <w:rsid w:val="01C5C053"/>
    <w:rsid w:val="01C5F261"/>
    <w:rsid w:val="01C6B428"/>
    <w:rsid w:val="01C8113A"/>
    <w:rsid w:val="01C8F8CC"/>
    <w:rsid w:val="01CCE0F9"/>
    <w:rsid w:val="01CEBD88"/>
    <w:rsid w:val="01CEBEC1"/>
    <w:rsid w:val="01D8F30C"/>
    <w:rsid w:val="01DC0AF4"/>
    <w:rsid w:val="01DC41FD"/>
    <w:rsid w:val="01E18952"/>
    <w:rsid w:val="01E3C1BE"/>
    <w:rsid w:val="01E967DE"/>
    <w:rsid w:val="01EADA61"/>
    <w:rsid w:val="01EB77E1"/>
    <w:rsid w:val="01F1A909"/>
    <w:rsid w:val="01F3C93D"/>
    <w:rsid w:val="01F4FEA8"/>
    <w:rsid w:val="01F5FF71"/>
    <w:rsid w:val="01F85BC9"/>
    <w:rsid w:val="01FF473B"/>
    <w:rsid w:val="0204BF2E"/>
    <w:rsid w:val="0204CD26"/>
    <w:rsid w:val="020AFF65"/>
    <w:rsid w:val="020B694C"/>
    <w:rsid w:val="02115E68"/>
    <w:rsid w:val="0211BCAA"/>
    <w:rsid w:val="02143082"/>
    <w:rsid w:val="0217240D"/>
    <w:rsid w:val="021A0876"/>
    <w:rsid w:val="021DF740"/>
    <w:rsid w:val="021EE4DE"/>
    <w:rsid w:val="0221C7FA"/>
    <w:rsid w:val="0222A12A"/>
    <w:rsid w:val="0222D553"/>
    <w:rsid w:val="02231EA3"/>
    <w:rsid w:val="0223BDBD"/>
    <w:rsid w:val="0226AB7F"/>
    <w:rsid w:val="022721C7"/>
    <w:rsid w:val="0228E19C"/>
    <w:rsid w:val="022A382C"/>
    <w:rsid w:val="022BAF1D"/>
    <w:rsid w:val="022BD284"/>
    <w:rsid w:val="022C9270"/>
    <w:rsid w:val="02337008"/>
    <w:rsid w:val="023A1D38"/>
    <w:rsid w:val="023AB02B"/>
    <w:rsid w:val="023B00F5"/>
    <w:rsid w:val="023BDFA1"/>
    <w:rsid w:val="023CBA21"/>
    <w:rsid w:val="023FE50F"/>
    <w:rsid w:val="0241166F"/>
    <w:rsid w:val="0242E2A2"/>
    <w:rsid w:val="0243B9A0"/>
    <w:rsid w:val="02453FE2"/>
    <w:rsid w:val="0246EDF7"/>
    <w:rsid w:val="0247E259"/>
    <w:rsid w:val="02492CED"/>
    <w:rsid w:val="024A8826"/>
    <w:rsid w:val="024E9DC5"/>
    <w:rsid w:val="02520D05"/>
    <w:rsid w:val="0255001E"/>
    <w:rsid w:val="0256F274"/>
    <w:rsid w:val="0257DE7C"/>
    <w:rsid w:val="025954C2"/>
    <w:rsid w:val="025B5763"/>
    <w:rsid w:val="025CE121"/>
    <w:rsid w:val="0263728C"/>
    <w:rsid w:val="026C2ECF"/>
    <w:rsid w:val="027202F8"/>
    <w:rsid w:val="02721CFD"/>
    <w:rsid w:val="0275DB56"/>
    <w:rsid w:val="027A4ED0"/>
    <w:rsid w:val="027B3ED4"/>
    <w:rsid w:val="027F7753"/>
    <w:rsid w:val="0281BA82"/>
    <w:rsid w:val="0284E12A"/>
    <w:rsid w:val="028568A7"/>
    <w:rsid w:val="0286B0D8"/>
    <w:rsid w:val="02878B8E"/>
    <w:rsid w:val="02879CD3"/>
    <w:rsid w:val="0288AE20"/>
    <w:rsid w:val="028AEA50"/>
    <w:rsid w:val="028BA0DB"/>
    <w:rsid w:val="028FF515"/>
    <w:rsid w:val="02927C9F"/>
    <w:rsid w:val="02947BEE"/>
    <w:rsid w:val="02951B59"/>
    <w:rsid w:val="02986692"/>
    <w:rsid w:val="02A2BF4A"/>
    <w:rsid w:val="02A2E661"/>
    <w:rsid w:val="02A32CA0"/>
    <w:rsid w:val="02A6DC08"/>
    <w:rsid w:val="02A8B9B8"/>
    <w:rsid w:val="02A9EB36"/>
    <w:rsid w:val="02AA9D0A"/>
    <w:rsid w:val="02ABAFDE"/>
    <w:rsid w:val="02AF139F"/>
    <w:rsid w:val="02AFD31E"/>
    <w:rsid w:val="02BF53F2"/>
    <w:rsid w:val="02BFD3F0"/>
    <w:rsid w:val="02C1A8F9"/>
    <w:rsid w:val="02C45165"/>
    <w:rsid w:val="02C52D16"/>
    <w:rsid w:val="02C7DE8E"/>
    <w:rsid w:val="02C9A904"/>
    <w:rsid w:val="02C9C855"/>
    <w:rsid w:val="02CFC575"/>
    <w:rsid w:val="02D39290"/>
    <w:rsid w:val="02D43B3E"/>
    <w:rsid w:val="02DE339F"/>
    <w:rsid w:val="02E775E0"/>
    <w:rsid w:val="02E98983"/>
    <w:rsid w:val="02EB907A"/>
    <w:rsid w:val="02F128F8"/>
    <w:rsid w:val="02F2F0E4"/>
    <w:rsid w:val="02F38BA5"/>
    <w:rsid w:val="02F5163B"/>
    <w:rsid w:val="02F785E8"/>
    <w:rsid w:val="02FA37D0"/>
    <w:rsid w:val="02FDA123"/>
    <w:rsid w:val="02FE9050"/>
    <w:rsid w:val="030645A5"/>
    <w:rsid w:val="0308F049"/>
    <w:rsid w:val="030D00BF"/>
    <w:rsid w:val="030D55D8"/>
    <w:rsid w:val="03103C49"/>
    <w:rsid w:val="03108FA5"/>
    <w:rsid w:val="031D0472"/>
    <w:rsid w:val="031EDA26"/>
    <w:rsid w:val="032127B9"/>
    <w:rsid w:val="03269899"/>
    <w:rsid w:val="032989AA"/>
    <w:rsid w:val="032A8328"/>
    <w:rsid w:val="03305214"/>
    <w:rsid w:val="03307E76"/>
    <w:rsid w:val="0330F610"/>
    <w:rsid w:val="03344B4A"/>
    <w:rsid w:val="033764C1"/>
    <w:rsid w:val="033A185D"/>
    <w:rsid w:val="033A7CD8"/>
    <w:rsid w:val="03441C66"/>
    <w:rsid w:val="0346530C"/>
    <w:rsid w:val="034745E5"/>
    <w:rsid w:val="034EF507"/>
    <w:rsid w:val="034F001D"/>
    <w:rsid w:val="035195BC"/>
    <w:rsid w:val="03565081"/>
    <w:rsid w:val="03566BD1"/>
    <w:rsid w:val="035F917D"/>
    <w:rsid w:val="03603E3C"/>
    <w:rsid w:val="0363652B"/>
    <w:rsid w:val="03652A15"/>
    <w:rsid w:val="036DDEF4"/>
    <w:rsid w:val="0370D2E6"/>
    <w:rsid w:val="037351E0"/>
    <w:rsid w:val="0374C71E"/>
    <w:rsid w:val="03771BFB"/>
    <w:rsid w:val="03786606"/>
    <w:rsid w:val="0378C6A7"/>
    <w:rsid w:val="03793669"/>
    <w:rsid w:val="037B987A"/>
    <w:rsid w:val="037D6199"/>
    <w:rsid w:val="037DE703"/>
    <w:rsid w:val="0380603D"/>
    <w:rsid w:val="0388DB08"/>
    <w:rsid w:val="038960B8"/>
    <w:rsid w:val="038DAA65"/>
    <w:rsid w:val="038EEB8E"/>
    <w:rsid w:val="039274EC"/>
    <w:rsid w:val="0393F162"/>
    <w:rsid w:val="03948000"/>
    <w:rsid w:val="03950DCD"/>
    <w:rsid w:val="039601BC"/>
    <w:rsid w:val="0397B51D"/>
    <w:rsid w:val="039900F4"/>
    <w:rsid w:val="0399DEF1"/>
    <w:rsid w:val="039A0802"/>
    <w:rsid w:val="039A475E"/>
    <w:rsid w:val="039B4E58"/>
    <w:rsid w:val="03A23C74"/>
    <w:rsid w:val="03A522C8"/>
    <w:rsid w:val="03A834EA"/>
    <w:rsid w:val="03AC3F37"/>
    <w:rsid w:val="03AD53A5"/>
    <w:rsid w:val="03B34FD8"/>
    <w:rsid w:val="03B55780"/>
    <w:rsid w:val="03B6C22E"/>
    <w:rsid w:val="03B719DF"/>
    <w:rsid w:val="03B76D2E"/>
    <w:rsid w:val="03B8C9D9"/>
    <w:rsid w:val="03B93C01"/>
    <w:rsid w:val="03BC47EC"/>
    <w:rsid w:val="03BD3B17"/>
    <w:rsid w:val="03BFC665"/>
    <w:rsid w:val="03C2E16C"/>
    <w:rsid w:val="03C363C0"/>
    <w:rsid w:val="03C68C78"/>
    <w:rsid w:val="03C6D8AD"/>
    <w:rsid w:val="03CA719D"/>
    <w:rsid w:val="03CAB506"/>
    <w:rsid w:val="03CDAB8C"/>
    <w:rsid w:val="03CDD872"/>
    <w:rsid w:val="03CDEC63"/>
    <w:rsid w:val="03D040EA"/>
    <w:rsid w:val="03D9A2C2"/>
    <w:rsid w:val="03E0C502"/>
    <w:rsid w:val="03E20CA5"/>
    <w:rsid w:val="03E29B44"/>
    <w:rsid w:val="03E3F3E9"/>
    <w:rsid w:val="03E502CB"/>
    <w:rsid w:val="03E661CD"/>
    <w:rsid w:val="03E8BB54"/>
    <w:rsid w:val="03EAB00B"/>
    <w:rsid w:val="03EDAA4E"/>
    <w:rsid w:val="03EE226D"/>
    <w:rsid w:val="03EE673D"/>
    <w:rsid w:val="03EE8825"/>
    <w:rsid w:val="03EFFCC0"/>
    <w:rsid w:val="03F445B6"/>
    <w:rsid w:val="03F655B3"/>
    <w:rsid w:val="03FB45EB"/>
    <w:rsid w:val="03FDFEDA"/>
    <w:rsid w:val="0401FA83"/>
    <w:rsid w:val="040788D7"/>
    <w:rsid w:val="040D1791"/>
    <w:rsid w:val="040DBE32"/>
    <w:rsid w:val="040E2944"/>
    <w:rsid w:val="040FC47D"/>
    <w:rsid w:val="0411C7AF"/>
    <w:rsid w:val="04135B46"/>
    <w:rsid w:val="0419D490"/>
    <w:rsid w:val="041A8B6D"/>
    <w:rsid w:val="041E310E"/>
    <w:rsid w:val="041FFBAE"/>
    <w:rsid w:val="0423F126"/>
    <w:rsid w:val="042A7259"/>
    <w:rsid w:val="042D8680"/>
    <w:rsid w:val="042E915C"/>
    <w:rsid w:val="04357CDF"/>
    <w:rsid w:val="04392B56"/>
    <w:rsid w:val="043BD0D4"/>
    <w:rsid w:val="043E60E6"/>
    <w:rsid w:val="043F83B8"/>
    <w:rsid w:val="0442B44A"/>
    <w:rsid w:val="0444A437"/>
    <w:rsid w:val="0450FE01"/>
    <w:rsid w:val="04552C10"/>
    <w:rsid w:val="0459E065"/>
    <w:rsid w:val="045ACC8B"/>
    <w:rsid w:val="045BA201"/>
    <w:rsid w:val="045CF48A"/>
    <w:rsid w:val="045F070D"/>
    <w:rsid w:val="045F815C"/>
    <w:rsid w:val="04623016"/>
    <w:rsid w:val="0462EEEA"/>
    <w:rsid w:val="046B3053"/>
    <w:rsid w:val="046DE9AE"/>
    <w:rsid w:val="04719B03"/>
    <w:rsid w:val="04739AAD"/>
    <w:rsid w:val="0475DDBB"/>
    <w:rsid w:val="04763D92"/>
    <w:rsid w:val="04781EBF"/>
    <w:rsid w:val="04781FCF"/>
    <w:rsid w:val="04793DC4"/>
    <w:rsid w:val="047AD875"/>
    <w:rsid w:val="047B8BE9"/>
    <w:rsid w:val="047E1773"/>
    <w:rsid w:val="047F53A9"/>
    <w:rsid w:val="04806D74"/>
    <w:rsid w:val="04859129"/>
    <w:rsid w:val="048821D5"/>
    <w:rsid w:val="048AFEF3"/>
    <w:rsid w:val="048C453B"/>
    <w:rsid w:val="048D759B"/>
    <w:rsid w:val="048DD953"/>
    <w:rsid w:val="0490FF1E"/>
    <w:rsid w:val="04976A5B"/>
    <w:rsid w:val="049912EC"/>
    <w:rsid w:val="0499D0AF"/>
    <w:rsid w:val="049A0DB2"/>
    <w:rsid w:val="049C6DC8"/>
    <w:rsid w:val="04A24810"/>
    <w:rsid w:val="04A9C936"/>
    <w:rsid w:val="04AA5042"/>
    <w:rsid w:val="04AC367E"/>
    <w:rsid w:val="04ACF25E"/>
    <w:rsid w:val="04AF2B66"/>
    <w:rsid w:val="04B07709"/>
    <w:rsid w:val="04B382A6"/>
    <w:rsid w:val="04B5494F"/>
    <w:rsid w:val="04BCA50C"/>
    <w:rsid w:val="04BCA573"/>
    <w:rsid w:val="04BD3EB3"/>
    <w:rsid w:val="04BFE972"/>
    <w:rsid w:val="04C04FCF"/>
    <w:rsid w:val="04C2DA27"/>
    <w:rsid w:val="04C325E0"/>
    <w:rsid w:val="04C42C6D"/>
    <w:rsid w:val="04C7713B"/>
    <w:rsid w:val="04C8BD7B"/>
    <w:rsid w:val="04C996CF"/>
    <w:rsid w:val="04CD4F66"/>
    <w:rsid w:val="04CF3900"/>
    <w:rsid w:val="04D01DC3"/>
    <w:rsid w:val="04D0AF8D"/>
    <w:rsid w:val="04D496DE"/>
    <w:rsid w:val="04D5A35B"/>
    <w:rsid w:val="04D7FD97"/>
    <w:rsid w:val="04D9DCA1"/>
    <w:rsid w:val="04DAC24E"/>
    <w:rsid w:val="04DB127E"/>
    <w:rsid w:val="04DC288C"/>
    <w:rsid w:val="04E2CC97"/>
    <w:rsid w:val="04E42B77"/>
    <w:rsid w:val="04E675B1"/>
    <w:rsid w:val="04EDA17A"/>
    <w:rsid w:val="04F02DD0"/>
    <w:rsid w:val="04F4C376"/>
    <w:rsid w:val="04F4D535"/>
    <w:rsid w:val="04F75197"/>
    <w:rsid w:val="04F8AE99"/>
    <w:rsid w:val="04FD3D74"/>
    <w:rsid w:val="04FE3793"/>
    <w:rsid w:val="04FF7778"/>
    <w:rsid w:val="05068D7F"/>
    <w:rsid w:val="05072299"/>
    <w:rsid w:val="0508273D"/>
    <w:rsid w:val="050A7E9D"/>
    <w:rsid w:val="050B20C1"/>
    <w:rsid w:val="050EF5C8"/>
    <w:rsid w:val="050F482F"/>
    <w:rsid w:val="050FDFA5"/>
    <w:rsid w:val="0510771D"/>
    <w:rsid w:val="0510D12C"/>
    <w:rsid w:val="051518AE"/>
    <w:rsid w:val="05153167"/>
    <w:rsid w:val="0515E9B0"/>
    <w:rsid w:val="051A8B23"/>
    <w:rsid w:val="051D5E23"/>
    <w:rsid w:val="0523C3DD"/>
    <w:rsid w:val="0523ED7D"/>
    <w:rsid w:val="0525FCCB"/>
    <w:rsid w:val="052672B0"/>
    <w:rsid w:val="05269F8A"/>
    <w:rsid w:val="05284843"/>
    <w:rsid w:val="052A1831"/>
    <w:rsid w:val="053142BB"/>
    <w:rsid w:val="0533F0A3"/>
    <w:rsid w:val="0534D155"/>
    <w:rsid w:val="0534D3F6"/>
    <w:rsid w:val="0535EE0D"/>
    <w:rsid w:val="053C74A6"/>
    <w:rsid w:val="054208AF"/>
    <w:rsid w:val="054476B9"/>
    <w:rsid w:val="054A1CEA"/>
    <w:rsid w:val="055494E0"/>
    <w:rsid w:val="055A7095"/>
    <w:rsid w:val="055AEE5B"/>
    <w:rsid w:val="055BB287"/>
    <w:rsid w:val="05611566"/>
    <w:rsid w:val="05614F1C"/>
    <w:rsid w:val="05631985"/>
    <w:rsid w:val="0566D255"/>
    <w:rsid w:val="056B9679"/>
    <w:rsid w:val="056BFF29"/>
    <w:rsid w:val="056C7C52"/>
    <w:rsid w:val="056C8D4D"/>
    <w:rsid w:val="056FBB04"/>
    <w:rsid w:val="0579C3AA"/>
    <w:rsid w:val="057AE4FC"/>
    <w:rsid w:val="057BC411"/>
    <w:rsid w:val="057D43C3"/>
    <w:rsid w:val="05874648"/>
    <w:rsid w:val="05875A8F"/>
    <w:rsid w:val="0587F877"/>
    <w:rsid w:val="058873EF"/>
    <w:rsid w:val="05893A17"/>
    <w:rsid w:val="0589EDE1"/>
    <w:rsid w:val="058C11F7"/>
    <w:rsid w:val="058DA724"/>
    <w:rsid w:val="058E831F"/>
    <w:rsid w:val="05900518"/>
    <w:rsid w:val="05912CCB"/>
    <w:rsid w:val="0595439C"/>
    <w:rsid w:val="05A04E46"/>
    <w:rsid w:val="05A0BEF5"/>
    <w:rsid w:val="05A22D80"/>
    <w:rsid w:val="05A44423"/>
    <w:rsid w:val="05A89BD9"/>
    <w:rsid w:val="05A961F8"/>
    <w:rsid w:val="05AF501A"/>
    <w:rsid w:val="05B08769"/>
    <w:rsid w:val="05B95389"/>
    <w:rsid w:val="05BBEA1D"/>
    <w:rsid w:val="05C33BE1"/>
    <w:rsid w:val="05C5EF1C"/>
    <w:rsid w:val="05C71401"/>
    <w:rsid w:val="05C76686"/>
    <w:rsid w:val="05C7BF9A"/>
    <w:rsid w:val="05CA1427"/>
    <w:rsid w:val="05CA953E"/>
    <w:rsid w:val="05CB5AB2"/>
    <w:rsid w:val="05CDB5C1"/>
    <w:rsid w:val="05CFB0D0"/>
    <w:rsid w:val="05D0429A"/>
    <w:rsid w:val="05D0686C"/>
    <w:rsid w:val="05D786A9"/>
    <w:rsid w:val="05DA9BEE"/>
    <w:rsid w:val="05DB0C69"/>
    <w:rsid w:val="05DB3926"/>
    <w:rsid w:val="05DE9676"/>
    <w:rsid w:val="05DFA504"/>
    <w:rsid w:val="05E00713"/>
    <w:rsid w:val="05E0542F"/>
    <w:rsid w:val="05E1EBB9"/>
    <w:rsid w:val="05E37F37"/>
    <w:rsid w:val="05EB450D"/>
    <w:rsid w:val="05EB90CA"/>
    <w:rsid w:val="05EDB6E4"/>
    <w:rsid w:val="05EE39DC"/>
    <w:rsid w:val="05F123A1"/>
    <w:rsid w:val="05F9AF9D"/>
    <w:rsid w:val="05FDAE4B"/>
    <w:rsid w:val="05FE3FE9"/>
    <w:rsid w:val="05FF146C"/>
    <w:rsid w:val="05FFEF04"/>
    <w:rsid w:val="06023F31"/>
    <w:rsid w:val="0606721C"/>
    <w:rsid w:val="0609597C"/>
    <w:rsid w:val="06098268"/>
    <w:rsid w:val="060BE7F2"/>
    <w:rsid w:val="060C0B21"/>
    <w:rsid w:val="060FD891"/>
    <w:rsid w:val="06106800"/>
    <w:rsid w:val="0615FE22"/>
    <w:rsid w:val="061E6AC9"/>
    <w:rsid w:val="061FCDF6"/>
    <w:rsid w:val="061FE7FF"/>
    <w:rsid w:val="0621BF25"/>
    <w:rsid w:val="06236152"/>
    <w:rsid w:val="0629B45E"/>
    <w:rsid w:val="062A2A80"/>
    <w:rsid w:val="062BA373"/>
    <w:rsid w:val="062F6B5E"/>
    <w:rsid w:val="0631E5E5"/>
    <w:rsid w:val="0633735D"/>
    <w:rsid w:val="0633B0CF"/>
    <w:rsid w:val="063A20A9"/>
    <w:rsid w:val="063E8789"/>
    <w:rsid w:val="0641DAB2"/>
    <w:rsid w:val="0641E684"/>
    <w:rsid w:val="06429639"/>
    <w:rsid w:val="06478A3A"/>
    <w:rsid w:val="06484EE5"/>
    <w:rsid w:val="0649472A"/>
    <w:rsid w:val="064BF1F4"/>
    <w:rsid w:val="065DA3FA"/>
    <w:rsid w:val="065E64F9"/>
    <w:rsid w:val="065F5D77"/>
    <w:rsid w:val="065FF9A4"/>
    <w:rsid w:val="0662ED60"/>
    <w:rsid w:val="066395B6"/>
    <w:rsid w:val="0665643B"/>
    <w:rsid w:val="066B51B3"/>
    <w:rsid w:val="066EC180"/>
    <w:rsid w:val="06705264"/>
    <w:rsid w:val="06711DA7"/>
    <w:rsid w:val="06748E71"/>
    <w:rsid w:val="0674BAD4"/>
    <w:rsid w:val="0676A2C3"/>
    <w:rsid w:val="067AE63D"/>
    <w:rsid w:val="067C5884"/>
    <w:rsid w:val="067FD36F"/>
    <w:rsid w:val="0680817F"/>
    <w:rsid w:val="0680A48A"/>
    <w:rsid w:val="0681A744"/>
    <w:rsid w:val="06846391"/>
    <w:rsid w:val="0684BD5D"/>
    <w:rsid w:val="068AFCE6"/>
    <w:rsid w:val="068C4CAA"/>
    <w:rsid w:val="069330BA"/>
    <w:rsid w:val="0693E117"/>
    <w:rsid w:val="0693E332"/>
    <w:rsid w:val="069465CF"/>
    <w:rsid w:val="06957B29"/>
    <w:rsid w:val="069C02EA"/>
    <w:rsid w:val="06A0017B"/>
    <w:rsid w:val="06A26ADA"/>
    <w:rsid w:val="06A35E22"/>
    <w:rsid w:val="06A8B52E"/>
    <w:rsid w:val="06A9813F"/>
    <w:rsid w:val="06AA0943"/>
    <w:rsid w:val="06AD2719"/>
    <w:rsid w:val="06ADB773"/>
    <w:rsid w:val="06B12A7C"/>
    <w:rsid w:val="06B1A194"/>
    <w:rsid w:val="06B622AA"/>
    <w:rsid w:val="06B78550"/>
    <w:rsid w:val="06BE5A94"/>
    <w:rsid w:val="06C0BEB4"/>
    <w:rsid w:val="06C11342"/>
    <w:rsid w:val="06C6F164"/>
    <w:rsid w:val="06C8AEAD"/>
    <w:rsid w:val="06CC847A"/>
    <w:rsid w:val="06CE1B3E"/>
    <w:rsid w:val="06CE6B19"/>
    <w:rsid w:val="06CF36EF"/>
    <w:rsid w:val="06CFAA7D"/>
    <w:rsid w:val="06D4E962"/>
    <w:rsid w:val="06D5451A"/>
    <w:rsid w:val="06D731A0"/>
    <w:rsid w:val="06D7C514"/>
    <w:rsid w:val="06D8A1B7"/>
    <w:rsid w:val="06D97855"/>
    <w:rsid w:val="06DCF293"/>
    <w:rsid w:val="06E0B9EC"/>
    <w:rsid w:val="06E2A33F"/>
    <w:rsid w:val="06E648EA"/>
    <w:rsid w:val="06EA4C6F"/>
    <w:rsid w:val="06EA6A4B"/>
    <w:rsid w:val="06EA82C2"/>
    <w:rsid w:val="06EF83D5"/>
    <w:rsid w:val="06EFB699"/>
    <w:rsid w:val="06F8153B"/>
    <w:rsid w:val="06F91C89"/>
    <w:rsid w:val="06FC584A"/>
    <w:rsid w:val="06FE085D"/>
    <w:rsid w:val="0701FC16"/>
    <w:rsid w:val="0703F590"/>
    <w:rsid w:val="07073409"/>
    <w:rsid w:val="07074E94"/>
    <w:rsid w:val="0709500D"/>
    <w:rsid w:val="0709B383"/>
    <w:rsid w:val="070DAEBB"/>
    <w:rsid w:val="071057D7"/>
    <w:rsid w:val="07113EB7"/>
    <w:rsid w:val="07154800"/>
    <w:rsid w:val="07163287"/>
    <w:rsid w:val="071C941A"/>
    <w:rsid w:val="071EEF5A"/>
    <w:rsid w:val="07200758"/>
    <w:rsid w:val="0720DF44"/>
    <w:rsid w:val="0722696D"/>
    <w:rsid w:val="0724F945"/>
    <w:rsid w:val="0728A0E5"/>
    <w:rsid w:val="07299432"/>
    <w:rsid w:val="0729AE0D"/>
    <w:rsid w:val="072A6C40"/>
    <w:rsid w:val="072FFA8A"/>
    <w:rsid w:val="0732C062"/>
    <w:rsid w:val="073BF2FE"/>
    <w:rsid w:val="073D3F72"/>
    <w:rsid w:val="073D4B55"/>
    <w:rsid w:val="073ED135"/>
    <w:rsid w:val="0743560F"/>
    <w:rsid w:val="074599AC"/>
    <w:rsid w:val="07459F4B"/>
    <w:rsid w:val="0746E626"/>
    <w:rsid w:val="0747476C"/>
    <w:rsid w:val="074EA1A9"/>
    <w:rsid w:val="074F1FB0"/>
    <w:rsid w:val="0754A0BD"/>
    <w:rsid w:val="0758B533"/>
    <w:rsid w:val="075E0AAD"/>
    <w:rsid w:val="075E9612"/>
    <w:rsid w:val="0761CE3E"/>
    <w:rsid w:val="07650845"/>
    <w:rsid w:val="07654861"/>
    <w:rsid w:val="07654A5B"/>
    <w:rsid w:val="07668A1C"/>
    <w:rsid w:val="0766B41B"/>
    <w:rsid w:val="07670C64"/>
    <w:rsid w:val="0769B812"/>
    <w:rsid w:val="076CD3F5"/>
    <w:rsid w:val="076D8C5B"/>
    <w:rsid w:val="076F1D47"/>
    <w:rsid w:val="076F54D5"/>
    <w:rsid w:val="077044AF"/>
    <w:rsid w:val="077125DF"/>
    <w:rsid w:val="07733890"/>
    <w:rsid w:val="0774F24D"/>
    <w:rsid w:val="0776DA21"/>
    <w:rsid w:val="07773CDC"/>
    <w:rsid w:val="0779A34C"/>
    <w:rsid w:val="077AB84D"/>
    <w:rsid w:val="077B3081"/>
    <w:rsid w:val="077C0366"/>
    <w:rsid w:val="07813DC7"/>
    <w:rsid w:val="0782B055"/>
    <w:rsid w:val="07833608"/>
    <w:rsid w:val="0785E92F"/>
    <w:rsid w:val="0787D32E"/>
    <w:rsid w:val="0787F04A"/>
    <w:rsid w:val="078B6431"/>
    <w:rsid w:val="079325B8"/>
    <w:rsid w:val="07966CCF"/>
    <w:rsid w:val="07976EF3"/>
    <w:rsid w:val="0798B089"/>
    <w:rsid w:val="079C5760"/>
    <w:rsid w:val="079DC7E8"/>
    <w:rsid w:val="079E0F92"/>
    <w:rsid w:val="07A1A4C6"/>
    <w:rsid w:val="07A2FAF4"/>
    <w:rsid w:val="07A81101"/>
    <w:rsid w:val="07AA356F"/>
    <w:rsid w:val="07AB0C21"/>
    <w:rsid w:val="07AFF97D"/>
    <w:rsid w:val="07AFFE87"/>
    <w:rsid w:val="07B1041B"/>
    <w:rsid w:val="07B73BD4"/>
    <w:rsid w:val="07BA2BF2"/>
    <w:rsid w:val="07BBD9D3"/>
    <w:rsid w:val="07BCE1AE"/>
    <w:rsid w:val="07C28BB2"/>
    <w:rsid w:val="07C464A9"/>
    <w:rsid w:val="07C4FEC2"/>
    <w:rsid w:val="07C5803B"/>
    <w:rsid w:val="07C5FF97"/>
    <w:rsid w:val="07C76982"/>
    <w:rsid w:val="07C9CB70"/>
    <w:rsid w:val="07CB369C"/>
    <w:rsid w:val="07CD1677"/>
    <w:rsid w:val="07CE0F95"/>
    <w:rsid w:val="07CF7B8B"/>
    <w:rsid w:val="07CF7BEC"/>
    <w:rsid w:val="07D0F8AA"/>
    <w:rsid w:val="07D112CA"/>
    <w:rsid w:val="07D187ED"/>
    <w:rsid w:val="07D20264"/>
    <w:rsid w:val="07D5FA6E"/>
    <w:rsid w:val="07D6F538"/>
    <w:rsid w:val="07D76BF5"/>
    <w:rsid w:val="07DCE8FA"/>
    <w:rsid w:val="07DEAFDC"/>
    <w:rsid w:val="07E13EE7"/>
    <w:rsid w:val="07E78C15"/>
    <w:rsid w:val="07E88C61"/>
    <w:rsid w:val="07EB707F"/>
    <w:rsid w:val="07EBD526"/>
    <w:rsid w:val="07EE86DD"/>
    <w:rsid w:val="07EFD1CE"/>
    <w:rsid w:val="07F1A545"/>
    <w:rsid w:val="07F2908B"/>
    <w:rsid w:val="07F48442"/>
    <w:rsid w:val="07F4855C"/>
    <w:rsid w:val="07F49641"/>
    <w:rsid w:val="07F4B893"/>
    <w:rsid w:val="07FA9558"/>
    <w:rsid w:val="0800F1A9"/>
    <w:rsid w:val="08063EBB"/>
    <w:rsid w:val="0807968C"/>
    <w:rsid w:val="08089C12"/>
    <w:rsid w:val="080D190E"/>
    <w:rsid w:val="080E8F57"/>
    <w:rsid w:val="08126556"/>
    <w:rsid w:val="08132F24"/>
    <w:rsid w:val="081562F8"/>
    <w:rsid w:val="08178C46"/>
    <w:rsid w:val="0819CD3A"/>
    <w:rsid w:val="081B28C2"/>
    <w:rsid w:val="081EDFC1"/>
    <w:rsid w:val="082E6537"/>
    <w:rsid w:val="082E9CC8"/>
    <w:rsid w:val="082FB178"/>
    <w:rsid w:val="082FCFF6"/>
    <w:rsid w:val="08382842"/>
    <w:rsid w:val="083C3B2F"/>
    <w:rsid w:val="083C8B56"/>
    <w:rsid w:val="083EE068"/>
    <w:rsid w:val="083FBBDB"/>
    <w:rsid w:val="0841291D"/>
    <w:rsid w:val="084B937F"/>
    <w:rsid w:val="084B9FDA"/>
    <w:rsid w:val="085292E5"/>
    <w:rsid w:val="0855F9B2"/>
    <w:rsid w:val="085601BD"/>
    <w:rsid w:val="085880EA"/>
    <w:rsid w:val="085BA106"/>
    <w:rsid w:val="085E30E0"/>
    <w:rsid w:val="08602A79"/>
    <w:rsid w:val="0861205F"/>
    <w:rsid w:val="0861AFB0"/>
    <w:rsid w:val="0863A217"/>
    <w:rsid w:val="08652974"/>
    <w:rsid w:val="08697B64"/>
    <w:rsid w:val="0869E415"/>
    <w:rsid w:val="086AD0A2"/>
    <w:rsid w:val="086E7F04"/>
    <w:rsid w:val="086F2FE5"/>
    <w:rsid w:val="08704A39"/>
    <w:rsid w:val="0871210B"/>
    <w:rsid w:val="08734461"/>
    <w:rsid w:val="0878571A"/>
    <w:rsid w:val="087AC053"/>
    <w:rsid w:val="087CE9F1"/>
    <w:rsid w:val="0881AB9E"/>
    <w:rsid w:val="088418B0"/>
    <w:rsid w:val="0889E7AD"/>
    <w:rsid w:val="088BAD28"/>
    <w:rsid w:val="089B7ABC"/>
    <w:rsid w:val="08A0E95B"/>
    <w:rsid w:val="08A43F67"/>
    <w:rsid w:val="08A5D6E4"/>
    <w:rsid w:val="08A86548"/>
    <w:rsid w:val="08A8D179"/>
    <w:rsid w:val="08AAE3D9"/>
    <w:rsid w:val="08AB0F30"/>
    <w:rsid w:val="08AD2616"/>
    <w:rsid w:val="08B10700"/>
    <w:rsid w:val="08B277C8"/>
    <w:rsid w:val="08B5FB51"/>
    <w:rsid w:val="08B778C0"/>
    <w:rsid w:val="08BA7C3C"/>
    <w:rsid w:val="08BDAB25"/>
    <w:rsid w:val="08C19FDE"/>
    <w:rsid w:val="08C6283C"/>
    <w:rsid w:val="08C63C7E"/>
    <w:rsid w:val="08C662F6"/>
    <w:rsid w:val="08C756AB"/>
    <w:rsid w:val="08CCCA76"/>
    <w:rsid w:val="08CF4069"/>
    <w:rsid w:val="08D1A424"/>
    <w:rsid w:val="08D48AA7"/>
    <w:rsid w:val="08D97815"/>
    <w:rsid w:val="08DC5842"/>
    <w:rsid w:val="08E31080"/>
    <w:rsid w:val="08E51E41"/>
    <w:rsid w:val="08EBA229"/>
    <w:rsid w:val="08EDDDCD"/>
    <w:rsid w:val="08EE336E"/>
    <w:rsid w:val="08F0678B"/>
    <w:rsid w:val="08F490B8"/>
    <w:rsid w:val="08F49A0D"/>
    <w:rsid w:val="08F5B88D"/>
    <w:rsid w:val="08F73F70"/>
    <w:rsid w:val="08FD065F"/>
    <w:rsid w:val="08FF4D51"/>
    <w:rsid w:val="09023D8E"/>
    <w:rsid w:val="0905D0D2"/>
    <w:rsid w:val="09095468"/>
    <w:rsid w:val="090ED071"/>
    <w:rsid w:val="091111A9"/>
    <w:rsid w:val="09126883"/>
    <w:rsid w:val="0912EE61"/>
    <w:rsid w:val="0914C4A7"/>
    <w:rsid w:val="091730C3"/>
    <w:rsid w:val="0918D934"/>
    <w:rsid w:val="0919EE52"/>
    <w:rsid w:val="091C541B"/>
    <w:rsid w:val="092245B3"/>
    <w:rsid w:val="09244466"/>
    <w:rsid w:val="092A0208"/>
    <w:rsid w:val="092BC761"/>
    <w:rsid w:val="092D907E"/>
    <w:rsid w:val="092F990E"/>
    <w:rsid w:val="093194E1"/>
    <w:rsid w:val="09331D96"/>
    <w:rsid w:val="093585FB"/>
    <w:rsid w:val="093911D0"/>
    <w:rsid w:val="0939DFF3"/>
    <w:rsid w:val="093F0195"/>
    <w:rsid w:val="09406913"/>
    <w:rsid w:val="09409339"/>
    <w:rsid w:val="0940B405"/>
    <w:rsid w:val="09472FBF"/>
    <w:rsid w:val="094D2A3B"/>
    <w:rsid w:val="094E210C"/>
    <w:rsid w:val="094E5DE4"/>
    <w:rsid w:val="094FF8F3"/>
    <w:rsid w:val="09504613"/>
    <w:rsid w:val="095D3422"/>
    <w:rsid w:val="0961F2C3"/>
    <w:rsid w:val="096A997E"/>
    <w:rsid w:val="096BB413"/>
    <w:rsid w:val="096D7CCC"/>
    <w:rsid w:val="096FCA74"/>
    <w:rsid w:val="0974B0D6"/>
    <w:rsid w:val="097A1EC8"/>
    <w:rsid w:val="097B425B"/>
    <w:rsid w:val="097B64E1"/>
    <w:rsid w:val="0981CBF0"/>
    <w:rsid w:val="09849566"/>
    <w:rsid w:val="0988E17A"/>
    <w:rsid w:val="098AB2B0"/>
    <w:rsid w:val="098C946F"/>
    <w:rsid w:val="098CBF01"/>
    <w:rsid w:val="098E0029"/>
    <w:rsid w:val="098F9FED"/>
    <w:rsid w:val="09984735"/>
    <w:rsid w:val="099BC0DD"/>
    <w:rsid w:val="099DE328"/>
    <w:rsid w:val="09A03D86"/>
    <w:rsid w:val="09A049B3"/>
    <w:rsid w:val="09A1FE99"/>
    <w:rsid w:val="09A495E7"/>
    <w:rsid w:val="09A738E6"/>
    <w:rsid w:val="09AB9DCC"/>
    <w:rsid w:val="09BCBCE9"/>
    <w:rsid w:val="09BEA881"/>
    <w:rsid w:val="09BF3CED"/>
    <w:rsid w:val="09C1BE3F"/>
    <w:rsid w:val="09C301D3"/>
    <w:rsid w:val="09C388D4"/>
    <w:rsid w:val="09C7C7AC"/>
    <w:rsid w:val="09CF8261"/>
    <w:rsid w:val="09CFD87C"/>
    <w:rsid w:val="09D21419"/>
    <w:rsid w:val="09D22204"/>
    <w:rsid w:val="09D42C15"/>
    <w:rsid w:val="09D501C9"/>
    <w:rsid w:val="09D757AB"/>
    <w:rsid w:val="09D93152"/>
    <w:rsid w:val="09DAA11B"/>
    <w:rsid w:val="09E10350"/>
    <w:rsid w:val="09E23D00"/>
    <w:rsid w:val="09E450F0"/>
    <w:rsid w:val="09E4682A"/>
    <w:rsid w:val="09E49F97"/>
    <w:rsid w:val="09E5B1B6"/>
    <w:rsid w:val="09EDA89E"/>
    <w:rsid w:val="09EE7F81"/>
    <w:rsid w:val="09F12963"/>
    <w:rsid w:val="09F17D27"/>
    <w:rsid w:val="09F1984F"/>
    <w:rsid w:val="09F205FD"/>
    <w:rsid w:val="09F64CE6"/>
    <w:rsid w:val="09F67CD4"/>
    <w:rsid w:val="09F7CAD2"/>
    <w:rsid w:val="09F9A273"/>
    <w:rsid w:val="09FBCC50"/>
    <w:rsid w:val="09FD1011"/>
    <w:rsid w:val="09FDA1FA"/>
    <w:rsid w:val="0A009727"/>
    <w:rsid w:val="0A01D74C"/>
    <w:rsid w:val="0A04309A"/>
    <w:rsid w:val="0A04CD4C"/>
    <w:rsid w:val="0A0695BE"/>
    <w:rsid w:val="0A07ADA1"/>
    <w:rsid w:val="0A09B7ED"/>
    <w:rsid w:val="0A0D8CCD"/>
    <w:rsid w:val="0A0DE1FB"/>
    <w:rsid w:val="0A0F4E51"/>
    <w:rsid w:val="0A1260FF"/>
    <w:rsid w:val="0A1606C1"/>
    <w:rsid w:val="0A1AF982"/>
    <w:rsid w:val="0A1ECDE5"/>
    <w:rsid w:val="0A21ED31"/>
    <w:rsid w:val="0A299B72"/>
    <w:rsid w:val="0A2B7C50"/>
    <w:rsid w:val="0A2DB8C0"/>
    <w:rsid w:val="0A387793"/>
    <w:rsid w:val="0A3B0281"/>
    <w:rsid w:val="0A3BA4B4"/>
    <w:rsid w:val="0A40109F"/>
    <w:rsid w:val="0A411FD7"/>
    <w:rsid w:val="0A41AD7D"/>
    <w:rsid w:val="0A42D5D9"/>
    <w:rsid w:val="0A462A39"/>
    <w:rsid w:val="0A467E6D"/>
    <w:rsid w:val="0A52A59E"/>
    <w:rsid w:val="0A53A163"/>
    <w:rsid w:val="0A53C760"/>
    <w:rsid w:val="0A54DA8D"/>
    <w:rsid w:val="0A5C649C"/>
    <w:rsid w:val="0A5E922E"/>
    <w:rsid w:val="0A5F3043"/>
    <w:rsid w:val="0A5F571D"/>
    <w:rsid w:val="0A62E5C9"/>
    <w:rsid w:val="0A6478F2"/>
    <w:rsid w:val="0A6A98EE"/>
    <w:rsid w:val="0A6B3972"/>
    <w:rsid w:val="0A6CBF3B"/>
    <w:rsid w:val="0A714364"/>
    <w:rsid w:val="0A734185"/>
    <w:rsid w:val="0A75D38F"/>
    <w:rsid w:val="0A7A8488"/>
    <w:rsid w:val="0A7E666E"/>
    <w:rsid w:val="0A86F975"/>
    <w:rsid w:val="0A88F71D"/>
    <w:rsid w:val="0A8A7F4C"/>
    <w:rsid w:val="0A8C9758"/>
    <w:rsid w:val="0A8FBC0D"/>
    <w:rsid w:val="0A91E22E"/>
    <w:rsid w:val="0A9804D5"/>
    <w:rsid w:val="0A997837"/>
    <w:rsid w:val="0A9ACD2E"/>
    <w:rsid w:val="0AA784AB"/>
    <w:rsid w:val="0AA892E2"/>
    <w:rsid w:val="0AAABD1E"/>
    <w:rsid w:val="0AB19A43"/>
    <w:rsid w:val="0AB35F10"/>
    <w:rsid w:val="0ABAE54D"/>
    <w:rsid w:val="0ABDD003"/>
    <w:rsid w:val="0AC30E14"/>
    <w:rsid w:val="0AC3B14E"/>
    <w:rsid w:val="0AC41196"/>
    <w:rsid w:val="0AC45137"/>
    <w:rsid w:val="0AC6C638"/>
    <w:rsid w:val="0AD0C5E8"/>
    <w:rsid w:val="0AD0E76D"/>
    <w:rsid w:val="0AD1E825"/>
    <w:rsid w:val="0AD64A6D"/>
    <w:rsid w:val="0AD7C174"/>
    <w:rsid w:val="0ADE857B"/>
    <w:rsid w:val="0ADFE02B"/>
    <w:rsid w:val="0AE161CB"/>
    <w:rsid w:val="0AE23203"/>
    <w:rsid w:val="0AE30F56"/>
    <w:rsid w:val="0AE38FF3"/>
    <w:rsid w:val="0AE68AE4"/>
    <w:rsid w:val="0AE7836C"/>
    <w:rsid w:val="0AE8B434"/>
    <w:rsid w:val="0AE93257"/>
    <w:rsid w:val="0AEC03F2"/>
    <w:rsid w:val="0AEFCA52"/>
    <w:rsid w:val="0AF14EB9"/>
    <w:rsid w:val="0AF657A3"/>
    <w:rsid w:val="0AF6F7B3"/>
    <w:rsid w:val="0AF799FA"/>
    <w:rsid w:val="0AF7D10C"/>
    <w:rsid w:val="0AFC056B"/>
    <w:rsid w:val="0AFE03FA"/>
    <w:rsid w:val="0B0024B6"/>
    <w:rsid w:val="0B0042DB"/>
    <w:rsid w:val="0B01255D"/>
    <w:rsid w:val="0B02889C"/>
    <w:rsid w:val="0B06E7AE"/>
    <w:rsid w:val="0B079535"/>
    <w:rsid w:val="0B09FB50"/>
    <w:rsid w:val="0B0DC29E"/>
    <w:rsid w:val="0B11E6E8"/>
    <w:rsid w:val="0B140127"/>
    <w:rsid w:val="0B15448A"/>
    <w:rsid w:val="0B194975"/>
    <w:rsid w:val="0B243959"/>
    <w:rsid w:val="0B290B5C"/>
    <w:rsid w:val="0B2CAFCD"/>
    <w:rsid w:val="0B2DAF83"/>
    <w:rsid w:val="0B3EA78F"/>
    <w:rsid w:val="0B3F296E"/>
    <w:rsid w:val="0B3FBDD4"/>
    <w:rsid w:val="0B40D38C"/>
    <w:rsid w:val="0B425529"/>
    <w:rsid w:val="0B48AF78"/>
    <w:rsid w:val="0B48B378"/>
    <w:rsid w:val="0B59C365"/>
    <w:rsid w:val="0B5A0651"/>
    <w:rsid w:val="0B5D8AF4"/>
    <w:rsid w:val="0B5DBB5C"/>
    <w:rsid w:val="0B613F3B"/>
    <w:rsid w:val="0B615BA8"/>
    <w:rsid w:val="0B639C70"/>
    <w:rsid w:val="0B63C420"/>
    <w:rsid w:val="0B6A8C21"/>
    <w:rsid w:val="0B6C14A5"/>
    <w:rsid w:val="0B6CB0E7"/>
    <w:rsid w:val="0B714E06"/>
    <w:rsid w:val="0B732A96"/>
    <w:rsid w:val="0B76E3DE"/>
    <w:rsid w:val="0B7AFF2E"/>
    <w:rsid w:val="0B7B9B44"/>
    <w:rsid w:val="0B7C1F93"/>
    <w:rsid w:val="0B7D7A52"/>
    <w:rsid w:val="0B81F5A4"/>
    <w:rsid w:val="0B8208A2"/>
    <w:rsid w:val="0B84DFC6"/>
    <w:rsid w:val="0B8A4E0F"/>
    <w:rsid w:val="0B8AFCCD"/>
    <w:rsid w:val="0B8C8243"/>
    <w:rsid w:val="0B938CE4"/>
    <w:rsid w:val="0B93BCBD"/>
    <w:rsid w:val="0BA000FB"/>
    <w:rsid w:val="0BA6FF3F"/>
    <w:rsid w:val="0BA7BCD5"/>
    <w:rsid w:val="0BAA6FF5"/>
    <w:rsid w:val="0BAE1F74"/>
    <w:rsid w:val="0BB0229D"/>
    <w:rsid w:val="0BB0EFB0"/>
    <w:rsid w:val="0BB1AD74"/>
    <w:rsid w:val="0BB4B2A1"/>
    <w:rsid w:val="0BB4C9EB"/>
    <w:rsid w:val="0BB9325B"/>
    <w:rsid w:val="0BBB5388"/>
    <w:rsid w:val="0BBBC6E6"/>
    <w:rsid w:val="0BBCA420"/>
    <w:rsid w:val="0BBEA4D7"/>
    <w:rsid w:val="0BBEB2F0"/>
    <w:rsid w:val="0BBFAF7D"/>
    <w:rsid w:val="0BC1DAE7"/>
    <w:rsid w:val="0BC57D18"/>
    <w:rsid w:val="0BD38D82"/>
    <w:rsid w:val="0BD47072"/>
    <w:rsid w:val="0BD52119"/>
    <w:rsid w:val="0BDBAE30"/>
    <w:rsid w:val="0BE02C7B"/>
    <w:rsid w:val="0BE60770"/>
    <w:rsid w:val="0BE72F6C"/>
    <w:rsid w:val="0BE79DE1"/>
    <w:rsid w:val="0BEA85FB"/>
    <w:rsid w:val="0BED8A4E"/>
    <w:rsid w:val="0BF01343"/>
    <w:rsid w:val="0BF1D989"/>
    <w:rsid w:val="0BF92793"/>
    <w:rsid w:val="0BFB58B7"/>
    <w:rsid w:val="0BFEE730"/>
    <w:rsid w:val="0BFF1D90"/>
    <w:rsid w:val="0BFF583A"/>
    <w:rsid w:val="0C01FBBD"/>
    <w:rsid w:val="0C020563"/>
    <w:rsid w:val="0C048339"/>
    <w:rsid w:val="0C0563F9"/>
    <w:rsid w:val="0C07F5D5"/>
    <w:rsid w:val="0C09C5B4"/>
    <w:rsid w:val="0C156669"/>
    <w:rsid w:val="0C1A6FB9"/>
    <w:rsid w:val="0C20ACCB"/>
    <w:rsid w:val="0C24038F"/>
    <w:rsid w:val="0C2B1066"/>
    <w:rsid w:val="0C2BC4CE"/>
    <w:rsid w:val="0C2BF4EF"/>
    <w:rsid w:val="0C2EB8D1"/>
    <w:rsid w:val="0C33A660"/>
    <w:rsid w:val="0C36A027"/>
    <w:rsid w:val="0C374AAA"/>
    <w:rsid w:val="0C3A3242"/>
    <w:rsid w:val="0C3F9206"/>
    <w:rsid w:val="0C40BE59"/>
    <w:rsid w:val="0C44ED05"/>
    <w:rsid w:val="0C45D575"/>
    <w:rsid w:val="0C4835AB"/>
    <w:rsid w:val="0C4A50CC"/>
    <w:rsid w:val="0C4AD6FB"/>
    <w:rsid w:val="0C51A80B"/>
    <w:rsid w:val="0C5291A9"/>
    <w:rsid w:val="0C60FEAD"/>
    <w:rsid w:val="0C61F0D9"/>
    <w:rsid w:val="0C6218B2"/>
    <w:rsid w:val="0C633065"/>
    <w:rsid w:val="0C640B85"/>
    <w:rsid w:val="0C6BC865"/>
    <w:rsid w:val="0C70E411"/>
    <w:rsid w:val="0C735BF2"/>
    <w:rsid w:val="0C738E2C"/>
    <w:rsid w:val="0C76CDD3"/>
    <w:rsid w:val="0C7BD221"/>
    <w:rsid w:val="0C7E5A24"/>
    <w:rsid w:val="0C838B84"/>
    <w:rsid w:val="0C8507AF"/>
    <w:rsid w:val="0C85587B"/>
    <w:rsid w:val="0C878413"/>
    <w:rsid w:val="0C8C9A92"/>
    <w:rsid w:val="0C8E747F"/>
    <w:rsid w:val="0C8EBB8A"/>
    <w:rsid w:val="0C8FF4CB"/>
    <w:rsid w:val="0C9173B3"/>
    <w:rsid w:val="0C95ED4E"/>
    <w:rsid w:val="0C962340"/>
    <w:rsid w:val="0C98C26A"/>
    <w:rsid w:val="0C98C356"/>
    <w:rsid w:val="0C9D544D"/>
    <w:rsid w:val="0C9E281B"/>
    <w:rsid w:val="0CA19A67"/>
    <w:rsid w:val="0CA3C1C2"/>
    <w:rsid w:val="0CA67A43"/>
    <w:rsid w:val="0CA86A4F"/>
    <w:rsid w:val="0CAC8B38"/>
    <w:rsid w:val="0CAE296A"/>
    <w:rsid w:val="0CB8E212"/>
    <w:rsid w:val="0CBC03C5"/>
    <w:rsid w:val="0CC0A1D2"/>
    <w:rsid w:val="0CC41A83"/>
    <w:rsid w:val="0CC67615"/>
    <w:rsid w:val="0CC69C57"/>
    <w:rsid w:val="0CC9966D"/>
    <w:rsid w:val="0CCAAE30"/>
    <w:rsid w:val="0CCB55B0"/>
    <w:rsid w:val="0CCC1F00"/>
    <w:rsid w:val="0CCCAC38"/>
    <w:rsid w:val="0CD1E817"/>
    <w:rsid w:val="0CD3FB94"/>
    <w:rsid w:val="0CD72867"/>
    <w:rsid w:val="0CD89963"/>
    <w:rsid w:val="0CE0488F"/>
    <w:rsid w:val="0CE07C37"/>
    <w:rsid w:val="0CE10B1C"/>
    <w:rsid w:val="0CE31CEF"/>
    <w:rsid w:val="0CE31F0A"/>
    <w:rsid w:val="0CE3E4D7"/>
    <w:rsid w:val="0CE942FE"/>
    <w:rsid w:val="0CE95929"/>
    <w:rsid w:val="0CF3BF74"/>
    <w:rsid w:val="0CF5C4E8"/>
    <w:rsid w:val="0CF8231F"/>
    <w:rsid w:val="0CFF0E44"/>
    <w:rsid w:val="0CFF16E0"/>
    <w:rsid w:val="0D01AC49"/>
    <w:rsid w:val="0D041C75"/>
    <w:rsid w:val="0D0743A3"/>
    <w:rsid w:val="0D0B4412"/>
    <w:rsid w:val="0D0B9965"/>
    <w:rsid w:val="0D0C8051"/>
    <w:rsid w:val="0D0DE593"/>
    <w:rsid w:val="0D118BF8"/>
    <w:rsid w:val="0D130FF8"/>
    <w:rsid w:val="0D157369"/>
    <w:rsid w:val="0D1AC37B"/>
    <w:rsid w:val="0D1EABFC"/>
    <w:rsid w:val="0D201DDB"/>
    <w:rsid w:val="0D23B488"/>
    <w:rsid w:val="0D29CBA2"/>
    <w:rsid w:val="0D29F8ED"/>
    <w:rsid w:val="0D2C94A4"/>
    <w:rsid w:val="0D3079E9"/>
    <w:rsid w:val="0D336221"/>
    <w:rsid w:val="0D39BFB8"/>
    <w:rsid w:val="0D3A7999"/>
    <w:rsid w:val="0D3C0D33"/>
    <w:rsid w:val="0D3D1A0E"/>
    <w:rsid w:val="0D406B31"/>
    <w:rsid w:val="0D430519"/>
    <w:rsid w:val="0D43AC3C"/>
    <w:rsid w:val="0D4A106A"/>
    <w:rsid w:val="0D4DA3C4"/>
    <w:rsid w:val="0D501B4D"/>
    <w:rsid w:val="0D51014E"/>
    <w:rsid w:val="0D51EB9C"/>
    <w:rsid w:val="0D52D9E1"/>
    <w:rsid w:val="0D5403FC"/>
    <w:rsid w:val="0D55137B"/>
    <w:rsid w:val="0D5A8245"/>
    <w:rsid w:val="0D5F8B4D"/>
    <w:rsid w:val="0D60228D"/>
    <w:rsid w:val="0D6283C2"/>
    <w:rsid w:val="0D645595"/>
    <w:rsid w:val="0D65C3C2"/>
    <w:rsid w:val="0D68D746"/>
    <w:rsid w:val="0D6C81E6"/>
    <w:rsid w:val="0D6F557B"/>
    <w:rsid w:val="0D7014B6"/>
    <w:rsid w:val="0D738B03"/>
    <w:rsid w:val="0D7520B1"/>
    <w:rsid w:val="0D75E1BA"/>
    <w:rsid w:val="0D7698ED"/>
    <w:rsid w:val="0D76F05F"/>
    <w:rsid w:val="0D77F61C"/>
    <w:rsid w:val="0D7B7FC6"/>
    <w:rsid w:val="0D84AAF4"/>
    <w:rsid w:val="0D8C91EF"/>
    <w:rsid w:val="0D8D400A"/>
    <w:rsid w:val="0D8DEBEB"/>
    <w:rsid w:val="0D929905"/>
    <w:rsid w:val="0D94F10D"/>
    <w:rsid w:val="0D986614"/>
    <w:rsid w:val="0D993437"/>
    <w:rsid w:val="0D9F86B0"/>
    <w:rsid w:val="0DA007FD"/>
    <w:rsid w:val="0DA5D241"/>
    <w:rsid w:val="0DAA0AF0"/>
    <w:rsid w:val="0DAA63D7"/>
    <w:rsid w:val="0DAA7AFD"/>
    <w:rsid w:val="0DAB62BF"/>
    <w:rsid w:val="0DACB42B"/>
    <w:rsid w:val="0DAFFD40"/>
    <w:rsid w:val="0DBD099F"/>
    <w:rsid w:val="0DBF894E"/>
    <w:rsid w:val="0DC32994"/>
    <w:rsid w:val="0DCBAB69"/>
    <w:rsid w:val="0DCD947C"/>
    <w:rsid w:val="0DD218D3"/>
    <w:rsid w:val="0DD8BBE9"/>
    <w:rsid w:val="0DDA35C8"/>
    <w:rsid w:val="0DDBD21B"/>
    <w:rsid w:val="0DDD698C"/>
    <w:rsid w:val="0DDEA561"/>
    <w:rsid w:val="0DDF8086"/>
    <w:rsid w:val="0DE1F9AC"/>
    <w:rsid w:val="0DE31D1C"/>
    <w:rsid w:val="0DE3DE30"/>
    <w:rsid w:val="0DE4D144"/>
    <w:rsid w:val="0DE644D0"/>
    <w:rsid w:val="0DEC8663"/>
    <w:rsid w:val="0DEF41D9"/>
    <w:rsid w:val="0DF98F85"/>
    <w:rsid w:val="0DFA79B6"/>
    <w:rsid w:val="0DFAE74F"/>
    <w:rsid w:val="0DFE66FA"/>
    <w:rsid w:val="0E002ABE"/>
    <w:rsid w:val="0E047FD0"/>
    <w:rsid w:val="0E05A1AC"/>
    <w:rsid w:val="0E072FA4"/>
    <w:rsid w:val="0E0A0F7B"/>
    <w:rsid w:val="0E0AD5B3"/>
    <w:rsid w:val="0E0C7D54"/>
    <w:rsid w:val="0E0C9F99"/>
    <w:rsid w:val="0E0E8E91"/>
    <w:rsid w:val="0E14678A"/>
    <w:rsid w:val="0E165715"/>
    <w:rsid w:val="0E183A25"/>
    <w:rsid w:val="0E1CE613"/>
    <w:rsid w:val="0E25B6AD"/>
    <w:rsid w:val="0E2B35DE"/>
    <w:rsid w:val="0E2C7346"/>
    <w:rsid w:val="0E2F7CAF"/>
    <w:rsid w:val="0E3393F5"/>
    <w:rsid w:val="0E370B8F"/>
    <w:rsid w:val="0E3E353F"/>
    <w:rsid w:val="0E3EF6CE"/>
    <w:rsid w:val="0E3F2D60"/>
    <w:rsid w:val="0E40DA5D"/>
    <w:rsid w:val="0E423FC6"/>
    <w:rsid w:val="0E42AC9D"/>
    <w:rsid w:val="0E42F58F"/>
    <w:rsid w:val="0E434BEB"/>
    <w:rsid w:val="0E44B7EE"/>
    <w:rsid w:val="0E49165B"/>
    <w:rsid w:val="0E4A00F2"/>
    <w:rsid w:val="0E4D0A35"/>
    <w:rsid w:val="0E4EE49B"/>
    <w:rsid w:val="0E4F38C6"/>
    <w:rsid w:val="0E4FF936"/>
    <w:rsid w:val="0E532CC3"/>
    <w:rsid w:val="0E584045"/>
    <w:rsid w:val="0E5B5955"/>
    <w:rsid w:val="0E5BFEEB"/>
    <w:rsid w:val="0E60E136"/>
    <w:rsid w:val="0E611D05"/>
    <w:rsid w:val="0E61BF9E"/>
    <w:rsid w:val="0E64C0DD"/>
    <w:rsid w:val="0E6BB149"/>
    <w:rsid w:val="0E6BDEE5"/>
    <w:rsid w:val="0E6C0D9D"/>
    <w:rsid w:val="0E703B6E"/>
    <w:rsid w:val="0E745C93"/>
    <w:rsid w:val="0E74E7F7"/>
    <w:rsid w:val="0E74FF36"/>
    <w:rsid w:val="0E7596D5"/>
    <w:rsid w:val="0E7A160F"/>
    <w:rsid w:val="0E7D193F"/>
    <w:rsid w:val="0E7EA9D9"/>
    <w:rsid w:val="0E802290"/>
    <w:rsid w:val="0E81F781"/>
    <w:rsid w:val="0E827B6E"/>
    <w:rsid w:val="0E82D81A"/>
    <w:rsid w:val="0E83BFF7"/>
    <w:rsid w:val="0E83C6E0"/>
    <w:rsid w:val="0E85EC6A"/>
    <w:rsid w:val="0E8D1AD0"/>
    <w:rsid w:val="0E8DAF14"/>
    <w:rsid w:val="0E939EE7"/>
    <w:rsid w:val="0E94E3D4"/>
    <w:rsid w:val="0E9CC6FF"/>
    <w:rsid w:val="0E9DFAB7"/>
    <w:rsid w:val="0E9F5A6F"/>
    <w:rsid w:val="0EA011B1"/>
    <w:rsid w:val="0EA38B99"/>
    <w:rsid w:val="0EA4B9CF"/>
    <w:rsid w:val="0EA67764"/>
    <w:rsid w:val="0EAD75EC"/>
    <w:rsid w:val="0EB08EBD"/>
    <w:rsid w:val="0EB12F56"/>
    <w:rsid w:val="0EB3D1C4"/>
    <w:rsid w:val="0EB6B381"/>
    <w:rsid w:val="0EB79566"/>
    <w:rsid w:val="0EB8F916"/>
    <w:rsid w:val="0EB9763E"/>
    <w:rsid w:val="0EBA6746"/>
    <w:rsid w:val="0EBB539A"/>
    <w:rsid w:val="0EBB5E9E"/>
    <w:rsid w:val="0EBB8469"/>
    <w:rsid w:val="0EBD07B1"/>
    <w:rsid w:val="0EBDB17A"/>
    <w:rsid w:val="0EBFAAE5"/>
    <w:rsid w:val="0EC016F5"/>
    <w:rsid w:val="0EC5395E"/>
    <w:rsid w:val="0EC56F18"/>
    <w:rsid w:val="0EC64AAE"/>
    <w:rsid w:val="0ECE3F52"/>
    <w:rsid w:val="0ED22BA1"/>
    <w:rsid w:val="0ED29CEE"/>
    <w:rsid w:val="0ED5EAAD"/>
    <w:rsid w:val="0ED79F2D"/>
    <w:rsid w:val="0EDA2FFF"/>
    <w:rsid w:val="0EDCE63E"/>
    <w:rsid w:val="0EDDB014"/>
    <w:rsid w:val="0EE001C2"/>
    <w:rsid w:val="0EE026A6"/>
    <w:rsid w:val="0EE33AA8"/>
    <w:rsid w:val="0EE495A0"/>
    <w:rsid w:val="0EE5EABC"/>
    <w:rsid w:val="0EE7A5D5"/>
    <w:rsid w:val="0EE872A5"/>
    <w:rsid w:val="0EE9246C"/>
    <w:rsid w:val="0EEA2169"/>
    <w:rsid w:val="0EEA2F87"/>
    <w:rsid w:val="0EECA5D7"/>
    <w:rsid w:val="0EEDA33C"/>
    <w:rsid w:val="0EEF38CA"/>
    <w:rsid w:val="0EF25502"/>
    <w:rsid w:val="0EF29319"/>
    <w:rsid w:val="0EF7BD8C"/>
    <w:rsid w:val="0EFABE0D"/>
    <w:rsid w:val="0EFCD3B7"/>
    <w:rsid w:val="0F015D43"/>
    <w:rsid w:val="0F06BDC8"/>
    <w:rsid w:val="0F086BBD"/>
    <w:rsid w:val="0F0916E9"/>
    <w:rsid w:val="0F0A2BA6"/>
    <w:rsid w:val="0F0AD05B"/>
    <w:rsid w:val="0F0BC5BC"/>
    <w:rsid w:val="0F13E043"/>
    <w:rsid w:val="0F1791B0"/>
    <w:rsid w:val="0F18716C"/>
    <w:rsid w:val="0F1BB41F"/>
    <w:rsid w:val="0F1FB09F"/>
    <w:rsid w:val="0F21740F"/>
    <w:rsid w:val="0F21B448"/>
    <w:rsid w:val="0F2A2A15"/>
    <w:rsid w:val="0F30199F"/>
    <w:rsid w:val="0F303113"/>
    <w:rsid w:val="0F321933"/>
    <w:rsid w:val="0F349E19"/>
    <w:rsid w:val="0F36FE28"/>
    <w:rsid w:val="0F392CBF"/>
    <w:rsid w:val="0F3D81C5"/>
    <w:rsid w:val="0F3F9E1E"/>
    <w:rsid w:val="0F40C5B7"/>
    <w:rsid w:val="0F420CB5"/>
    <w:rsid w:val="0F430BD1"/>
    <w:rsid w:val="0F526B92"/>
    <w:rsid w:val="0F57140D"/>
    <w:rsid w:val="0F5C6145"/>
    <w:rsid w:val="0F5CF7CA"/>
    <w:rsid w:val="0F5DD0AA"/>
    <w:rsid w:val="0F6789CB"/>
    <w:rsid w:val="0F69D975"/>
    <w:rsid w:val="0F6D7B75"/>
    <w:rsid w:val="0F774076"/>
    <w:rsid w:val="0F7F7BC0"/>
    <w:rsid w:val="0F831087"/>
    <w:rsid w:val="0F8387A9"/>
    <w:rsid w:val="0F850789"/>
    <w:rsid w:val="0F87CA55"/>
    <w:rsid w:val="0F8CE75C"/>
    <w:rsid w:val="0F8D9266"/>
    <w:rsid w:val="0F903A76"/>
    <w:rsid w:val="0F91A510"/>
    <w:rsid w:val="0F996651"/>
    <w:rsid w:val="0F9EF5F7"/>
    <w:rsid w:val="0FA3611F"/>
    <w:rsid w:val="0FA7D558"/>
    <w:rsid w:val="0FAD85BC"/>
    <w:rsid w:val="0FAFE1B3"/>
    <w:rsid w:val="0FB561AB"/>
    <w:rsid w:val="0FB97A7F"/>
    <w:rsid w:val="0FB97F38"/>
    <w:rsid w:val="0FBAC79F"/>
    <w:rsid w:val="0FBC7ED9"/>
    <w:rsid w:val="0FC44D94"/>
    <w:rsid w:val="0FC81F69"/>
    <w:rsid w:val="0FC86DC4"/>
    <w:rsid w:val="0FCD3947"/>
    <w:rsid w:val="0FD17EC2"/>
    <w:rsid w:val="0FD26A3E"/>
    <w:rsid w:val="0FD360C3"/>
    <w:rsid w:val="0FD6C814"/>
    <w:rsid w:val="0FD6D715"/>
    <w:rsid w:val="0FD9BD62"/>
    <w:rsid w:val="0FD9D30D"/>
    <w:rsid w:val="0FDA8BED"/>
    <w:rsid w:val="0FDC4772"/>
    <w:rsid w:val="0FDE00D3"/>
    <w:rsid w:val="0FDE2991"/>
    <w:rsid w:val="0FDF4FD5"/>
    <w:rsid w:val="0FE510B7"/>
    <w:rsid w:val="0FE73685"/>
    <w:rsid w:val="0FE75A99"/>
    <w:rsid w:val="0FF313B0"/>
    <w:rsid w:val="0FF82A11"/>
    <w:rsid w:val="0FFDBCCA"/>
    <w:rsid w:val="0FFDE6F7"/>
    <w:rsid w:val="1004754A"/>
    <w:rsid w:val="100A74B8"/>
    <w:rsid w:val="100AFD79"/>
    <w:rsid w:val="100D212A"/>
    <w:rsid w:val="10104943"/>
    <w:rsid w:val="10146F44"/>
    <w:rsid w:val="1014FC03"/>
    <w:rsid w:val="1019C857"/>
    <w:rsid w:val="101B0FC8"/>
    <w:rsid w:val="1020584B"/>
    <w:rsid w:val="10210D85"/>
    <w:rsid w:val="1022954B"/>
    <w:rsid w:val="1023CA88"/>
    <w:rsid w:val="10262AA0"/>
    <w:rsid w:val="102B7AA8"/>
    <w:rsid w:val="102DD5E4"/>
    <w:rsid w:val="102FCC96"/>
    <w:rsid w:val="10327708"/>
    <w:rsid w:val="1035EE81"/>
    <w:rsid w:val="1035F897"/>
    <w:rsid w:val="1037EC16"/>
    <w:rsid w:val="103F34CF"/>
    <w:rsid w:val="1041AA34"/>
    <w:rsid w:val="104498A8"/>
    <w:rsid w:val="1045BEFE"/>
    <w:rsid w:val="10469B2A"/>
    <w:rsid w:val="1055E3F8"/>
    <w:rsid w:val="1056E416"/>
    <w:rsid w:val="10578D9D"/>
    <w:rsid w:val="105C11B3"/>
    <w:rsid w:val="105E43BF"/>
    <w:rsid w:val="105EB4CA"/>
    <w:rsid w:val="10604523"/>
    <w:rsid w:val="1060B52A"/>
    <w:rsid w:val="106191A0"/>
    <w:rsid w:val="1067330C"/>
    <w:rsid w:val="10687CCB"/>
    <w:rsid w:val="1068F822"/>
    <w:rsid w:val="106BE8A5"/>
    <w:rsid w:val="106D3112"/>
    <w:rsid w:val="1071AE13"/>
    <w:rsid w:val="1075D742"/>
    <w:rsid w:val="107E0063"/>
    <w:rsid w:val="108209A1"/>
    <w:rsid w:val="10839564"/>
    <w:rsid w:val="1083A2C0"/>
    <w:rsid w:val="1083ACB9"/>
    <w:rsid w:val="108BDF5C"/>
    <w:rsid w:val="108D6DBB"/>
    <w:rsid w:val="108D9CE8"/>
    <w:rsid w:val="10916778"/>
    <w:rsid w:val="10923CCB"/>
    <w:rsid w:val="109265F5"/>
    <w:rsid w:val="10963D38"/>
    <w:rsid w:val="1096998C"/>
    <w:rsid w:val="10987C85"/>
    <w:rsid w:val="1099EFE0"/>
    <w:rsid w:val="109DCABA"/>
    <w:rsid w:val="109F79D0"/>
    <w:rsid w:val="10A23C0C"/>
    <w:rsid w:val="10A60FD7"/>
    <w:rsid w:val="10A6A285"/>
    <w:rsid w:val="10A729F4"/>
    <w:rsid w:val="10A7FFC3"/>
    <w:rsid w:val="10A8A5AA"/>
    <w:rsid w:val="10A903FB"/>
    <w:rsid w:val="10AF410C"/>
    <w:rsid w:val="10B37BDB"/>
    <w:rsid w:val="10B42C5A"/>
    <w:rsid w:val="10B8DA33"/>
    <w:rsid w:val="10B9E589"/>
    <w:rsid w:val="10BB2C7E"/>
    <w:rsid w:val="10C0EC76"/>
    <w:rsid w:val="10C15122"/>
    <w:rsid w:val="10C22979"/>
    <w:rsid w:val="10C2635E"/>
    <w:rsid w:val="10C4A284"/>
    <w:rsid w:val="10C55237"/>
    <w:rsid w:val="10C757E5"/>
    <w:rsid w:val="10C7B712"/>
    <w:rsid w:val="10C7EB54"/>
    <w:rsid w:val="10C8D243"/>
    <w:rsid w:val="10C9FB0C"/>
    <w:rsid w:val="10CB4E29"/>
    <w:rsid w:val="10CC7443"/>
    <w:rsid w:val="10D75CE4"/>
    <w:rsid w:val="10D8008D"/>
    <w:rsid w:val="10D9FB0C"/>
    <w:rsid w:val="10DF45DE"/>
    <w:rsid w:val="10DFAAAB"/>
    <w:rsid w:val="10E1BFD3"/>
    <w:rsid w:val="10E1D85A"/>
    <w:rsid w:val="10E335DF"/>
    <w:rsid w:val="10E401B8"/>
    <w:rsid w:val="10E66214"/>
    <w:rsid w:val="10E81EB1"/>
    <w:rsid w:val="10F27C84"/>
    <w:rsid w:val="10F39CD3"/>
    <w:rsid w:val="10F4039A"/>
    <w:rsid w:val="10F43561"/>
    <w:rsid w:val="10F49E77"/>
    <w:rsid w:val="10F87650"/>
    <w:rsid w:val="10FCDF68"/>
    <w:rsid w:val="10FE9C37"/>
    <w:rsid w:val="10FFEF67"/>
    <w:rsid w:val="1100A0EC"/>
    <w:rsid w:val="11012C7A"/>
    <w:rsid w:val="1101FCF0"/>
    <w:rsid w:val="1102DEE7"/>
    <w:rsid w:val="11042416"/>
    <w:rsid w:val="110DEED0"/>
    <w:rsid w:val="110DF48D"/>
    <w:rsid w:val="1112D2B6"/>
    <w:rsid w:val="1114CD32"/>
    <w:rsid w:val="1116E735"/>
    <w:rsid w:val="1117662B"/>
    <w:rsid w:val="11179C38"/>
    <w:rsid w:val="111964FD"/>
    <w:rsid w:val="1119B15B"/>
    <w:rsid w:val="1119FF28"/>
    <w:rsid w:val="111B5C4E"/>
    <w:rsid w:val="111BA633"/>
    <w:rsid w:val="111CD35A"/>
    <w:rsid w:val="111E6C79"/>
    <w:rsid w:val="111F580A"/>
    <w:rsid w:val="111F83AB"/>
    <w:rsid w:val="112293D4"/>
    <w:rsid w:val="11239419"/>
    <w:rsid w:val="1125A650"/>
    <w:rsid w:val="1125C231"/>
    <w:rsid w:val="1126FE59"/>
    <w:rsid w:val="1129929B"/>
    <w:rsid w:val="112F589D"/>
    <w:rsid w:val="1130BE12"/>
    <w:rsid w:val="113107A4"/>
    <w:rsid w:val="1134E7FB"/>
    <w:rsid w:val="113607BC"/>
    <w:rsid w:val="11377C4C"/>
    <w:rsid w:val="113C611F"/>
    <w:rsid w:val="113FA69C"/>
    <w:rsid w:val="1140490E"/>
    <w:rsid w:val="1145B223"/>
    <w:rsid w:val="114A23D8"/>
    <w:rsid w:val="114A2A82"/>
    <w:rsid w:val="114B6398"/>
    <w:rsid w:val="114DD02D"/>
    <w:rsid w:val="114EFB2E"/>
    <w:rsid w:val="11506CD3"/>
    <w:rsid w:val="1154A019"/>
    <w:rsid w:val="1154A3AD"/>
    <w:rsid w:val="1156C6C8"/>
    <w:rsid w:val="11575E40"/>
    <w:rsid w:val="11578993"/>
    <w:rsid w:val="1157F9D5"/>
    <w:rsid w:val="11586D68"/>
    <w:rsid w:val="115940F2"/>
    <w:rsid w:val="115A4BE2"/>
    <w:rsid w:val="115E775D"/>
    <w:rsid w:val="1160E8FA"/>
    <w:rsid w:val="1169CEC5"/>
    <w:rsid w:val="116C936F"/>
    <w:rsid w:val="116E5EC9"/>
    <w:rsid w:val="116FD603"/>
    <w:rsid w:val="117156A9"/>
    <w:rsid w:val="1173291F"/>
    <w:rsid w:val="1173361B"/>
    <w:rsid w:val="11758502"/>
    <w:rsid w:val="11769E2D"/>
    <w:rsid w:val="1177A878"/>
    <w:rsid w:val="1177E469"/>
    <w:rsid w:val="11790BB0"/>
    <w:rsid w:val="117996A8"/>
    <w:rsid w:val="117D92B2"/>
    <w:rsid w:val="1183DF1A"/>
    <w:rsid w:val="11895479"/>
    <w:rsid w:val="118B50DD"/>
    <w:rsid w:val="118EA62D"/>
    <w:rsid w:val="11933DB8"/>
    <w:rsid w:val="1197CA88"/>
    <w:rsid w:val="1197CCC9"/>
    <w:rsid w:val="11994197"/>
    <w:rsid w:val="1199A76B"/>
    <w:rsid w:val="119B3986"/>
    <w:rsid w:val="119B839D"/>
    <w:rsid w:val="119C35A5"/>
    <w:rsid w:val="119CF0C4"/>
    <w:rsid w:val="11A0EAA0"/>
    <w:rsid w:val="11A16959"/>
    <w:rsid w:val="11A23009"/>
    <w:rsid w:val="11A29F58"/>
    <w:rsid w:val="11A37B85"/>
    <w:rsid w:val="11A9CB28"/>
    <w:rsid w:val="11A9D868"/>
    <w:rsid w:val="11AE4AF6"/>
    <w:rsid w:val="11AF0849"/>
    <w:rsid w:val="11B104E9"/>
    <w:rsid w:val="11B14179"/>
    <w:rsid w:val="11B1DC1D"/>
    <w:rsid w:val="11B221DE"/>
    <w:rsid w:val="11B466AA"/>
    <w:rsid w:val="11B5ECCB"/>
    <w:rsid w:val="11BA0DFD"/>
    <w:rsid w:val="11BBA132"/>
    <w:rsid w:val="11BC159C"/>
    <w:rsid w:val="11BD3DC1"/>
    <w:rsid w:val="11C12730"/>
    <w:rsid w:val="11C9EA16"/>
    <w:rsid w:val="11CBFBBE"/>
    <w:rsid w:val="11CC8B37"/>
    <w:rsid w:val="11CD4736"/>
    <w:rsid w:val="11CE0F68"/>
    <w:rsid w:val="11D52BE1"/>
    <w:rsid w:val="11D57379"/>
    <w:rsid w:val="11D59E1A"/>
    <w:rsid w:val="11D637F3"/>
    <w:rsid w:val="11D92253"/>
    <w:rsid w:val="11E15270"/>
    <w:rsid w:val="11E228B3"/>
    <w:rsid w:val="11E43F0C"/>
    <w:rsid w:val="11E729E4"/>
    <w:rsid w:val="11E7DECD"/>
    <w:rsid w:val="11EC027F"/>
    <w:rsid w:val="11ED657C"/>
    <w:rsid w:val="11EE33E5"/>
    <w:rsid w:val="11F05711"/>
    <w:rsid w:val="11F39006"/>
    <w:rsid w:val="11F3FF38"/>
    <w:rsid w:val="11F60B16"/>
    <w:rsid w:val="11F6C956"/>
    <w:rsid w:val="11FAFFE1"/>
    <w:rsid w:val="1206D2AC"/>
    <w:rsid w:val="120775F8"/>
    <w:rsid w:val="1208EE37"/>
    <w:rsid w:val="12096B0D"/>
    <w:rsid w:val="120D03B3"/>
    <w:rsid w:val="120DF439"/>
    <w:rsid w:val="12112155"/>
    <w:rsid w:val="12122B1F"/>
    <w:rsid w:val="121283A1"/>
    <w:rsid w:val="12130EFD"/>
    <w:rsid w:val="1214A7BD"/>
    <w:rsid w:val="1215337B"/>
    <w:rsid w:val="12156285"/>
    <w:rsid w:val="1216D4B4"/>
    <w:rsid w:val="121A2C1A"/>
    <w:rsid w:val="121AC1E5"/>
    <w:rsid w:val="121B42DE"/>
    <w:rsid w:val="12202710"/>
    <w:rsid w:val="122063B6"/>
    <w:rsid w:val="1226E3D1"/>
    <w:rsid w:val="122A72E7"/>
    <w:rsid w:val="122A8FFF"/>
    <w:rsid w:val="122BC720"/>
    <w:rsid w:val="122E692E"/>
    <w:rsid w:val="122EA685"/>
    <w:rsid w:val="122EF9ED"/>
    <w:rsid w:val="12353CAE"/>
    <w:rsid w:val="123622E1"/>
    <w:rsid w:val="12383DA4"/>
    <w:rsid w:val="123C6D2B"/>
    <w:rsid w:val="12423122"/>
    <w:rsid w:val="1243390F"/>
    <w:rsid w:val="124361A9"/>
    <w:rsid w:val="1243B5B4"/>
    <w:rsid w:val="12446A8E"/>
    <w:rsid w:val="124732DA"/>
    <w:rsid w:val="1249D651"/>
    <w:rsid w:val="124A34AF"/>
    <w:rsid w:val="124AAF1C"/>
    <w:rsid w:val="124AEA88"/>
    <w:rsid w:val="124B116D"/>
    <w:rsid w:val="125190D9"/>
    <w:rsid w:val="1254AAA9"/>
    <w:rsid w:val="125754FF"/>
    <w:rsid w:val="125BFD26"/>
    <w:rsid w:val="125FB50E"/>
    <w:rsid w:val="12625BB5"/>
    <w:rsid w:val="1265B640"/>
    <w:rsid w:val="1265BDC4"/>
    <w:rsid w:val="12698FCC"/>
    <w:rsid w:val="126A85B2"/>
    <w:rsid w:val="126D0E91"/>
    <w:rsid w:val="126D6655"/>
    <w:rsid w:val="1272E758"/>
    <w:rsid w:val="127B9E56"/>
    <w:rsid w:val="1282A41B"/>
    <w:rsid w:val="128600DF"/>
    <w:rsid w:val="1292E459"/>
    <w:rsid w:val="12956AC5"/>
    <w:rsid w:val="129CFB03"/>
    <w:rsid w:val="129D88C8"/>
    <w:rsid w:val="129DDC54"/>
    <w:rsid w:val="12A03A2E"/>
    <w:rsid w:val="12A28CD8"/>
    <w:rsid w:val="12A48585"/>
    <w:rsid w:val="12A4C69E"/>
    <w:rsid w:val="12A618AC"/>
    <w:rsid w:val="12AA13E7"/>
    <w:rsid w:val="12AA7995"/>
    <w:rsid w:val="12B2055B"/>
    <w:rsid w:val="12B459FB"/>
    <w:rsid w:val="12B68E3F"/>
    <w:rsid w:val="12B6FAB0"/>
    <w:rsid w:val="12B9DBBE"/>
    <w:rsid w:val="12BB3296"/>
    <w:rsid w:val="12BB973D"/>
    <w:rsid w:val="12BC5E5C"/>
    <w:rsid w:val="12C33D19"/>
    <w:rsid w:val="12C3F065"/>
    <w:rsid w:val="12C92C3A"/>
    <w:rsid w:val="12CD5860"/>
    <w:rsid w:val="12CF8A8C"/>
    <w:rsid w:val="12D0320C"/>
    <w:rsid w:val="12D11ECC"/>
    <w:rsid w:val="12D17E67"/>
    <w:rsid w:val="12D1D81D"/>
    <w:rsid w:val="12D7450F"/>
    <w:rsid w:val="12E86B66"/>
    <w:rsid w:val="12EBB7F0"/>
    <w:rsid w:val="12EBE8E4"/>
    <w:rsid w:val="12F48682"/>
    <w:rsid w:val="12F83BFF"/>
    <w:rsid w:val="12FAB39E"/>
    <w:rsid w:val="12FB0592"/>
    <w:rsid w:val="12FB183F"/>
    <w:rsid w:val="12FF2E16"/>
    <w:rsid w:val="1301F3EB"/>
    <w:rsid w:val="130488D3"/>
    <w:rsid w:val="13090E0E"/>
    <w:rsid w:val="130B5EE3"/>
    <w:rsid w:val="130F47CE"/>
    <w:rsid w:val="13119389"/>
    <w:rsid w:val="1318E99F"/>
    <w:rsid w:val="131F7876"/>
    <w:rsid w:val="13263409"/>
    <w:rsid w:val="1328B034"/>
    <w:rsid w:val="1329A151"/>
    <w:rsid w:val="132B327A"/>
    <w:rsid w:val="132C17CB"/>
    <w:rsid w:val="13303EC8"/>
    <w:rsid w:val="13316086"/>
    <w:rsid w:val="13342723"/>
    <w:rsid w:val="1334C7B7"/>
    <w:rsid w:val="1339D8FE"/>
    <w:rsid w:val="133ACE81"/>
    <w:rsid w:val="133C04F9"/>
    <w:rsid w:val="13439C64"/>
    <w:rsid w:val="13440BC6"/>
    <w:rsid w:val="1344B7B3"/>
    <w:rsid w:val="13461C90"/>
    <w:rsid w:val="1346DDB3"/>
    <w:rsid w:val="1347E03E"/>
    <w:rsid w:val="13491636"/>
    <w:rsid w:val="134A74F5"/>
    <w:rsid w:val="134A818B"/>
    <w:rsid w:val="134B960E"/>
    <w:rsid w:val="134C3904"/>
    <w:rsid w:val="134F7FCC"/>
    <w:rsid w:val="1356196D"/>
    <w:rsid w:val="13588482"/>
    <w:rsid w:val="135956CF"/>
    <w:rsid w:val="135A2CF2"/>
    <w:rsid w:val="135B08FA"/>
    <w:rsid w:val="135D07BA"/>
    <w:rsid w:val="135D0C18"/>
    <w:rsid w:val="135DAE0A"/>
    <w:rsid w:val="135E9E0B"/>
    <w:rsid w:val="1362D2CD"/>
    <w:rsid w:val="1365294E"/>
    <w:rsid w:val="1368CFAA"/>
    <w:rsid w:val="136F289E"/>
    <w:rsid w:val="13712788"/>
    <w:rsid w:val="137254CC"/>
    <w:rsid w:val="13741E02"/>
    <w:rsid w:val="137CA151"/>
    <w:rsid w:val="137D0F75"/>
    <w:rsid w:val="137DAEC9"/>
    <w:rsid w:val="137F5561"/>
    <w:rsid w:val="138A626B"/>
    <w:rsid w:val="138CC7DC"/>
    <w:rsid w:val="138D12D4"/>
    <w:rsid w:val="139CD64A"/>
    <w:rsid w:val="139D6EF6"/>
    <w:rsid w:val="13A27917"/>
    <w:rsid w:val="13AB3C84"/>
    <w:rsid w:val="13AB828B"/>
    <w:rsid w:val="13AC5835"/>
    <w:rsid w:val="13AC868B"/>
    <w:rsid w:val="13AE83C6"/>
    <w:rsid w:val="13AF816E"/>
    <w:rsid w:val="13B75F64"/>
    <w:rsid w:val="13BBD49A"/>
    <w:rsid w:val="13BBD9D5"/>
    <w:rsid w:val="13C0543B"/>
    <w:rsid w:val="13C28569"/>
    <w:rsid w:val="13C2E8A6"/>
    <w:rsid w:val="13C4CD70"/>
    <w:rsid w:val="13C679CC"/>
    <w:rsid w:val="13C6F515"/>
    <w:rsid w:val="13C9CFD1"/>
    <w:rsid w:val="13CA7AF5"/>
    <w:rsid w:val="13CB6089"/>
    <w:rsid w:val="13D1146D"/>
    <w:rsid w:val="13D3C5F4"/>
    <w:rsid w:val="13D5B690"/>
    <w:rsid w:val="13D7C5E1"/>
    <w:rsid w:val="13DBD906"/>
    <w:rsid w:val="13DC7D2E"/>
    <w:rsid w:val="13DE4680"/>
    <w:rsid w:val="13E0E76C"/>
    <w:rsid w:val="13ECAAD9"/>
    <w:rsid w:val="13F141C2"/>
    <w:rsid w:val="13F56E5D"/>
    <w:rsid w:val="13F7AB75"/>
    <w:rsid w:val="13F93ED5"/>
    <w:rsid w:val="13FBEB68"/>
    <w:rsid w:val="14009993"/>
    <w:rsid w:val="1401DA89"/>
    <w:rsid w:val="14031BF4"/>
    <w:rsid w:val="14038079"/>
    <w:rsid w:val="1403D8EE"/>
    <w:rsid w:val="1408114C"/>
    <w:rsid w:val="1408A9F4"/>
    <w:rsid w:val="140C3915"/>
    <w:rsid w:val="140D0DA2"/>
    <w:rsid w:val="140E8652"/>
    <w:rsid w:val="1411C715"/>
    <w:rsid w:val="14142FB1"/>
    <w:rsid w:val="141519B4"/>
    <w:rsid w:val="14175999"/>
    <w:rsid w:val="14261100"/>
    <w:rsid w:val="142F8B1C"/>
    <w:rsid w:val="14302B2C"/>
    <w:rsid w:val="1430EBAB"/>
    <w:rsid w:val="14316AE1"/>
    <w:rsid w:val="1436888B"/>
    <w:rsid w:val="14389F4E"/>
    <w:rsid w:val="1439129C"/>
    <w:rsid w:val="143F4B8B"/>
    <w:rsid w:val="1440D09C"/>
    <w:rsid w:val="1440EBD2"/>
    <w:rsid w:val="14432CF0"/>
    <w:rsid w:val="14476A76"/>
    <w:rsid w:val="1449CDB8"/>
    <w:rsid w:val="144A1483"/>
    <w:rsid w:val="14542B97"/>
    <w:rsid w:val="14591401"/>
    <w:rsid w:val="145A7E78"/>
    <w:rsid w:val="145C4160"/>
    <w:rsid w:val="145DF037"/>
    <w:rsid w:val="145E0E15"/>
    <w:rsid w:val="145FB554"/>
    <w:rsid w:val="146071ED"/>
    <w:rsid w:val="1460D559"/>
    <w:rsid w:val="1462DAC1"/>
    <w:rsid w:val="14662284"/>
    <w:rsid w:val="14669FBF"/>
    <w:rsid w:val="146758D4"/>
    <w:rsid w:val="1468F9BC"/>
    <w:rsid w:val="146A6863"/>
    <w:rsid w:val="146EB68A"/>
    <w:rsid w:val="146EE639"/>
    <w:rsid w:val="1471DC04"/>
    <w:rsid w:val="14731854"/>
    <w:rsid w:val="1474F92E"/>
    <w:rsid w:val="14751C4F"/>
    <w:rsid w:val="147B9C2A"/>
    <w:rsid w:val="147D283A"/>
    <w:rsid w:val="1482E7B4"/>
    <w:rsid w:val="14831933"/>
    <w:rsid w:val="1484D382"/>
    <w:rsid w:val="14862A9C"/>
    <w:rsid w:val="148B1BA8"/>
    <w:rsid w:val="1493AAD0"/>
    <w:rsid w:val="1493D2BE"/>
    <w:rsid w:val="14960E59"/>
    <w:rsid w:val="149B9EEB"/>
    <w:rsid w:val="149F8B2E"/>
    <w:rsid w:val="14A1551B"/>
    <w:rsid w:val="14A2FD99"/>
    <w:rsid w:val="14A4DA03"/>
    <w:rsid w:val="14A5943E"/>
    <w:rsid w:val="14A59D6C"/>
    <w:rsid w:val="14A87E38"/>
    <w:rsid w:val="14ABDD72"/>
    <w:rsid w:val="14AD5BDF"/>
    <w:rsid w:val="14B3711A"/>
    <w:rsid w:val="14B47A2D"/>
    <w:rsid w:val="14BC1BDF"/>
    <w:rsid w:val="14BC8CBD"/>
    <w:rsid w:val="14BF2D0D"/>
    <w:rsid w:val="14C215B1"/>
    <w:rsid w:val="14C4280F"/>
    <w:rsid w:val="14C50320"/>
    <w:rsid w:val="14C59F88"/>
    <w:rsid w:val="14C95BA2"/>
    <w:rsid w:val="14CB44C2"/>
    <w:rsid w:val="14CCAA7B"/>
    <w:rsid w:val="14CD17E0"/>
    <w:rsid w:val="14CD5B63"/>
    <w:rsid w:val="14CE6959"/>
    <w:rsid w:val="14D1E3A3"/>
    <w:rsid w:val="14D36123"/>
    <w:rsid w:val="14D53002"/>
    <w:rsid w:val="14D53892"/>
    <w:rsid w:val="14D8D5DF"/>
    <w:rsid w:val="14D94061"/>
    <w:rsid w:val="14DB2C86"/>
    <w:rsid w:val="14DD86E4"/>
    <w:rsid w:val="14DE6F38"/>
    <w:rsid w:val="14DEA031"/>
    <w:rsid w:val="14DF8BD4"/>
    <w:rsid w:val="14E3861A"/>
    <w:rsid w:val="14E3D462"/>
    <w:rsid w:val="14E7946B"/>
    <w:rsid w:val="14E8908A"/>
    <w:rsid w:val="14EA817C"/>
    <w:rsid w:val="14EA843D"/>
    <w:rsid w:val="14EADCDF"/>
    <w:rsid w:val="14EC5AC3"/>
    <w:rsid w:val="14F0336E"/>
    <w:rsid w:val="14F113F2"/>
    <w:rsid w:val="14F1462B"/>
    <w:rsid w:val="14F3377B"/>
    <w:rsid w:val="14F4F4A0"/>
    <w:rsid w:val="14F5436D"/>
    <w:rsid w:val="14F9BDDC"/>
    <w:rsid w:val="1500FDE4"/>
    <w:rsid w:val="1502D56C"/>
    <w:rsid w:val="15041034"/>
    <w:rsid w:val="150790BE"/>
    <w:rsid w:val="15138F0A"/>
    <w:rsid w:val="1516DA31"/>
    <w:rsid w:val="1519633D"/>
    <w:rsid w:val="151A7F7C"/>
    <w:rsid w:val="151D2F88"/>
    <w:rsid w:val="151D92B3"/>
    <w:rsid w:val="151FE5DA"/>
    <w:rsid w:val="15262164"/>
    <w:rsid w:val="152623BD"/>
    <w:rsid w:val="1526C7AF"/>
    <w:rsid w:val="1529F9E5"/>
    <w:rsid w:val="152A604B"/>
    <w:rsid w:val="152A9848"/>
    <w:rsid w:val="152C0FAB"/>
    <w:rsid w:val="152CCAF6"/>
    <w:rsid w:val="1533F929"/>
    <w:rsid w:val="15344E1F"/>
    <w:rsid w:val="15364DC9"/>
    <w:rsid w:val="1539689E"/>
    <w:rsid w:val="15396E6D"/>
    <w:rsid w:val="1539D7B7"/>
    <w:rsid w:val="1539F394"/>
    <w:rsid w:val="153AF3A6"/>
    <w:rsid w:val="1540CB02"/>
    <w:rsid w:val="1540F8F2"/>
    <w:rsid w:val="1543F691"/>
    <w:rsid w:val="1545EA62"/>
    <w:rsid w:val="154607DC"/>
    <w:rsid w:val="15497945"/>
    <w:rsid w:val="154F9969"/>
    <w:rsid w:val="15505428"/>
    <w:rsid w:val="1551B1A5"/>
    <w:rsid w:val="15555572"/>
    <w:rsid w:val="1555C102"/>
    <w:rsid w:val="155AB10E"/>
    <w:rsid w:val="155C7BED"/>
    <w:rsid w:val="155CF9FC"/>
    <w:rsid w:val="155DEBC6"/>
    <w:rsid w:val="1561BA90"/>
    <w:rsid w:val="1562765B"/>
    <w:rsid w:val="1565FA14"/>
    <w:rsid w:val="15670F93"/>
    <w:rsid w:val="156B96D5"/>
    <w:rsid w:val="156CE5EB"/>
    <w:rsid w:val="1570A3DF"/>
    <w:rsid w:val="1570D91F"/>
    <w:rsid w:val="157980B2"/>
    <w:rsid w:val="157C4874"/>
    <w:rsid w:val="157C7A5E"/>
    <w:rsid w:val="157CD840"/>
    <w:rsid w:val="157E9BD5"/>
    <w:rsid w:val="157F50BD"/>
    <w:rsid w:val="15808F19"/>
    <w:rsid w:val="1580E3B3"/>
    <w:rsid w:val="15829201"/>
    <w:rsid w:val="1587DF24"/>
    <w:rsid w:val="1588486E"/>
    <w:rsid w:val="158851F2"/>
    <w:rsid w:val="15885F9F"/>
    <w:rsid w:val="15887862"/>
    <w:rsid w:val="158C37B5"/>
    <w:rsid w:val="158DB9E4"/>
    <w:rsid w:val="1590C43E"/>
    <w:rsid w:val="15914FBC"/>
    <w:rsid w:val="1599658D"/>
    <w:rsid w:val="1599E9DE"/>
    <w:rsid w:val="159CA02A"/>
    <w:rsid w:val="15A004C1"/>
    <w:rsid w:val="15A06B6F"/>
    <w:rsid w:val="15A192EA"/>
    <w:rsid w:val="15A2DA1A"/>
    <w:rsid w:val="15A6A301"/>
    <w:rsid w:val="15A724A3"/>
    <w:rsid w:val="15A891CA"/>
    <w:rsid w:val="15A9A9D4"/>
    <w:rsid w:val="15AE2355"/>
    <w:rsid w:val="15AFF449"/>
    <w:rsid w:val="15B02EB6"/>
    <w:rsid w:val="15B37161"/>
    <w:rsid w:val="15B75D18"/>
    <w:rsid w:val="15BEEDD8"/>
    <w:rsid w:val="15BF8612"/>
    <w:rsid w:val="15C0C06A"/>
    <w:rsid w:val="15C0C2CC"/>
    <w:rsid w:val="15C478C5"/>
    <w:rsid w:val="15CD9B5C"/>
    <w:rsid w:val="15CE43EE"/>
    <w:rsid w:val="15CE7C7C"/>
    <w:rsid w:val="15CF9E12"/>
    <w:rsid w:val="15D3A5E0"/>
    <w:rsid w:val="15D4E2FD"/>
    <w:rsid w:val="15D8AB5E"/>
    <w:rsid w:val="15DAEAFD"/>
    <w:rsid w:val="15DDC3F6"/>
    <w:rsid w:val="15DF9AD3"/>
    <w:rsid w:val="15E6062B"/>
    <w:rsid w:val="15E75E42"/>
    <w:rsid w:val="15E7DC86"/>
    <w:rsid w:val="15EA1B3B"/>
    <w:rsid w:val="15F0369D"/>
    <w:rsid w:val="15F680D2"/>
    <w:rsid w:val="1607EE7A"/>
    <w:rsid w:val="160B1767"/>
    <w:rsid w:val="160B7689"/>
    <w:rsid w:val="160C1298"/>
    <w:rsid w:val="160CB71A"/>
    <w:rsid w:val="160D6D2A"/>
    <w:rsid w:val="1615345E"/>
    <w:rsid w:val="161B09BA"/>
    <w:rsid w:val="161D5DCA"/>
    <w:rsid w:val="161DBF99"/>
    <w:rsid w:val="161EC338"/>
    <w:rsid w:val="1620A3E3"/>
    <w:rsid w:val="16260534"/>
    <w:rsid w:val="16271778"/>
    <w:rsid w:val="1629D142"/>
    <w:rsid w:val="162D3FFA"/>
    <w:rsid w:val="16393F4C"/>
    <w:rsid w:val="163AFB33"/>
    <w:rsid w:val="163C61A8"/>
    <w:rsid w:val="163F05B1"/>
    <w:rsid w:val="163F2DFB"/>
    <w:rsid w:val="16400D86"/>
    <w:rsid w:val="1643F173"/>
    <w:rsid w:val="16469A3F"/>
    <w:rsid w:val="16481F6D"/>
    <w:rsid w:val="164820D0"/>
    <w:rsid w:val="1649471B"/>
    <w:rsid w:val="164CD92D"/>
    <w:rsid w:val="164CEB6E"/>
    <w:rsid w:val="164E9BC8"/>
    <w:rsid w:val="164F9553"/>
    <w:rsid w:val="1653EA64"/>
    <w:rsid w:val="16567809"/>
    <w:rsid w:val="16597200"/>
    <w:rsid w:val="16634995"/>
    <w:rsid w:val="16648ED3"/>
    <w:rsid w:val="16678A13"/>
    <w:rsid w:val="1667E902"/>
    <w:rsid w:val="166BB1F3"/>
    <w:rsid w:val="166D0CA1"/>
    <w:rsid w:val="166EEF13"/>
    <w:rsid w:val="1671F1E5"/>
    <w:rsid w:val="16730CDB"/>
    <w:rsid w:val="16743251"/>
    <w:rsid w:val="16749E63"/>
    <w:rsid w:val="1677274C"/>
    <w:rsid w:val="16779A97"/>
    <w:rsid w:val="167A15BE"/>
    <w:rsid w:val="167AF188"/>
    <w:rsid w:val="167CD53A"/>
    <w:rsid w:val="16815379"/>
    <w:rsid w:val="1682432E"/>
    <w:rsid w:val="16835398"/>
    <w:rsid w:val="1688888F"/>
    <w:rsid w:val="168A6905"/>
    <w:rsid w:val="168A8368"/>
    <w:rsid w:val="168AF2D7"/>
    <w:rsid w:val="168AFD6F"/>
    <w:rsid w:val="168B88B4"/>
    <w:rsid w:val="168C6771"/>
    <w:rsid w:val="168E8259"/>
    <w:rsid w:val="168F4C03"/>
    <w:rsid w:val="168FE31F"/>
    <w:rsid w:val="16962C7C"/>
    <w:rsid w:val="16982C73"/>
    <w:rsid w:val="169957D4"/>
    <w:rsid w:val="169A7836"/>
    <w:rsid w:val="169B318F"/>
    <w:rsid w:val="169FE7F2"/>
    <w:rsid w:val="16A27F18"/>
    <w:rsid w:val="16A4D52B"/>
    <w:rsid w:val="16A7B925"/>
    <w:rsid w:val="16A828F3"/>
    <w:rsid w:val="16A9C573"/>
    <w:rsid w:val="16AA6167"/>
    <w:rsid w:val="16AB5E62"/>
    <w:rsid w:val="16B4EB3D"/>
    <w:rsid w:val="16B4FB01"/>
    <w:rsid w:val="16B783CC"/>
    <w:rsid w:val="16BC2CD0"/>
    <w:rsid w:val="16BD4334"/>
    <w:rsid w:val="16BDBD54"/>
    <w:rsid w:val="16BDEFCF"/>
    <w:rsid w:val="16C320F8"/>
    <w:rsid w:val="16C4604E"/>
    <w:rsid w:val="16C5675E"/>
    <w:rsid w:val="16C5E3C9"/>
    <w:rsid w:val="16C7C686"/>
    <w:rsid w:val="16CA7355"/>
    <w:rsid w:val="16CA8680"/>
    <w:rsid w:val="16CEA7BC"/>
    <w:rsid w:val="16D23C63"/>
    <w:rsid w:val="16D2DF50"/>
    <w:rsid w:val="16D4046D"/>
    <w:rsid w:val="16D8AC31"/>
    <w:rsid w:val="16DD0F40"/>
    <w:rsid w:val="16DEF664"/>
    <w:rsid w:val="16E015C2"/>
    <w:rsid w:val="16E333A0"/>
    <w:rsid w:val="16E8C1A0"/>
    <w:rsid w:val="16E9D8BB"/>
    <w:rsid w:val="16EAA128"/>
    <w:rsid w:val="16EF8592"/>
    <w:rsid w:val="16F22900"/>
    <w:rsid w:val="16F23DC1"/>
    <w:rsid w:val="16F364D9"/>
    <w:rsid w:val="16F70639"/>
    <w:rsid w:val="16FEC267"/>
    <w:rsid w:val="17070E43"/>
    <w:rsid w:val="170790AB"/>
    <w:rsid w:val="1708B8D9"/>
    <w:rsid w:val="170B1D06"/>
    <w:rsid w:val="170C35AD"/>
    <w:rsid w:val="170EF0D9"/>
    <w:rsid w:val="170FA048"/>
    <w:rsid w:val="17115A7E"/>
    <w:rsid w:val="1712B65B"/>
    <w:rsid w:val="17155302"/>
    <w:rsid w:val="1716791E"/>
    <w:rsid w:val="171A2AF3"/>
    <w:rsid w:val="171C9FAD"/>
    <w:rsid w:val="171F0F5A"/>
    <w:rsid w:val="17259C48"/>
    <w:rsid w:val="17290ABD"/>
    <w:rsid w:val="172B534B"/>
    <w:rsid w:val="1732FD1B"/>
    <w:rsid w:val="1733A96C"/>
    <w:rsid w:val="1735C285"/>
    <w:rsid w:val="1737A73D"/>
    <w:rsid w:val="173A1BB5"/>
    <w:rsid w:val="173E2E0F"/>
    <w:rsid w:val="173F44AA"/>
    <w:rsid w:val="1741D775"/>
    <w:rsid w:val="17422559"/>
    <w:rsid w:val="1746368B"/>
    <w:rsid w:val="174670C3"/>
    <w:rsid w:val="1748FD95"/>
    <w:rsid w:val="174A2F69"/>
    <w:rsid w:val="174AF078"/>
    <w:rsid w:val="174C6E00"/>
    <w:rsid w:val="174E65CD"/>
    <w:rsid w:val="174EF297"/>
    <w:rsid w:val="174F678D"/>
    <w:rsid w:val="1756DE9A"/>
    <w:rsid w:val="175A0027"/>
    <w:rsid w:val="175E28E1"/>
    <w:rsid w:val="1765CE59"/>
    <w:rsid w:val="176638F5"/>
    <w:rsid w:val="1766C224"/>
    <w:rsid w:val="176982A0"/>
    <w:rsid w:val="176AB568"/>
    <w:rsid w:val="176B5A4C"/>
    <w:rsid w:val="176E55F0"/>
    <w:rsid w:val="17701E87"/>
    <w:rsid w:val="1770B35E"/>
    <w:rsid w:val="1770D705"/>
    <w:rsid w:val="177668D7"/>
    <w:rsid w:val="17766F12"/>
    <w:rsid w:val="1778BBB2"/>
    <w:rsid w:val="177C397F"/>
    <w:rsid w:val="17800F08"/>
    <w:rsid w:val="1780F75B"/>
    <w:rsid w:val="1784AB86"/>
    <w:rsid w:val="178635EA"/>
    <w:rsid w:val="17871776"/>
    <w:rsid w:val="178A65FC"/>
    <w:rsid w:val="178B34E1"/>
    <w:rsid w:val="1790C05E"/>
    <w:rsid w:val="17950EA4"/>
    <w:rsid w:val="1796B95A"/>
    <w:rsid w:val="17995CF6"/>
    <w:rsid w:val="17A0EF89"/>
    <w:rsid w:val="17A399F5"/>
    <w:rsid w:val="17A61A7C"/>
    <w:rsid w:val="17A6BD76"/>
    <w:rsid w:val="17A80613"/>
    <w:rsid w:val="17A816BB"/>
    <w:rsid w:val="17A87B5F"/>
    <w:rsid w:val="17ACA4FD"/>
    <w:rsid w:val="17ADE660"/>
    <w:rsid w:val="17ADFE42"/>
    <w:rsid w:val="17B012B0"/>
    <w:rsid w:val="17B29E8C"/>
    <w:rsid w:val="17B38A8D"/>
    <w:rsid w:val="17B6370D"/>
    <w:rsid w:val="17B936B3"/>
    <w:rsid w:val="17BABA38"/>
    <w:rsid w:val="17BDE198"/>
    <w:rsid w:val="17C1CAA1"/>
    <w:rsid w:val="17C45269"/>
    <w:rsid w:val="17C9D7C7"/>
    <w:rsid w:val="17CBD97F"/>
    <w:rsid w:val="17CD625E"/>
    <w:rsid w:val="17CD8595"/>
    <w:rsid w:val="17D1BA28"/>
    <w:rsid w:val="17D8E5D9"/>
    <w:rsid w:val="17DAEF4E"/>
    <w:rsid w:val="17DAF2FE"/>
    <w:rsid w:val="17DC4D71"/>
    <w:rsid w:val="17DDA04D"/>
    <w:rsid w:val="17DED59F"/>
    <w:rsid w:val="17DFB94E"/>
    <w:rsid w:val="17E3137F"/>
    <w:rsid w:val="17E6320A"/>
    <w:rsid w:val="17EB890B"/>
    <w:rsid w:val="17F22AB7"/>
    <w:rsid w:val="17F718DE"/>
    <w:rsid w:val="1800A579"/>
    <w:rsid w:val="18012266"/>
    <w:rsid w:val="1804FF0F"/>
    <w:rsid w:val="180538EA"/>
    <w:rsid w:val="1806CDDF"/>
    <w:rsid w:val="1809D4DF"/>
    <w:rsid w:val="180A16F3"/>
    <w:rsid w:val="180F0E8B"/>
    <w:rsid w:val="18109FC0"/>
    <w:rsid w:val="181109B3"/>
    <w:rsid w:val="181114FA"/>
    <w:rsid w:val="18197B5F"/>
    <w:rsid w:val="181EC65B"/>
    <w:rsid w:val="18277D2F"/>
    <w:rsid w:val="182B63A5"/>
    <w:rsid w:val="1833287A"/>
    <w:rsid w:val="18338997"/>
    <w:rsid w:val="183583F4"/>
    <w:rsid w:val="183846B2"/>
    <w:rsid w:val="183BA7D5"/>
    <w:rsid w:val="183E3C12"/>
    <w:rsid w:val="18404573"/>
    <w:rsid w:val="18405339"/>
    <w:rsid w:val="1841A26B"/>
    <w:rsid w:val="18430016"/>
    <w:rsid w:val="18495ED2"/>
    <w:rsid w:val="1849A7CE"/>
    <w:rsid w:val="1849DAF6"/>
    <w:rsid w:val="184EC8D7"/>
    <w:rsid w:val="18545508"/>
    <w:rsid w:val="18569AFB"/>
    <w:rsid w:val="185CA0B8"/>
    <w:rsid w:val="185D538B"/>
    <w:rsid w:val="185DCE70"/>
    <w:rsid w:val="1869DB3A"/>
    <w:rsid w:val="186A92F8"/>
    <w:rsid w:val="186D5EB8"/>
    <w:rsid w:val="186E6679"/>
    <w:rsid w:val="1871DC45"/>
    <w:rsid w:val="1872BC42"/>
    <w:rsid w:val="1874F3BA"/>
    <w:rsid w:val="1874FF2E"/>
    <w:rsid w:val="187CC547"/>
    <w:rsid w:val="1880A4DC"/>
    <w:rsid w:val="18837477"/>
    <w:rsid w:val="18852520"/>
    <w:rsid w:val="1885A088"/>
    <w:rsid w:val="18867189"/>
    <w:rsid w:val="1886E894"/>
    <w:rsid w:val="188811B6"/>
    <w:rsid w:val="1889C08B"/>
    <w:rsid w:val="188DC8C3"/>
    <w:rsid w:val="1890AD8F"/>
    <w:rsid w:val="1891A836"/>
    <w:rsid w:val="1892908B"/>
    <w:rsid w:val="1892C60E"/>
    <w:rsid w:val="18963BD1"/>
    <w:rsid w:val="18993E65"/>
    <w:rsid w:val="1899BF38"/>
    <w:rsid w:val="18A61883"/>
    <w:rsid w:val="18A7F64F"/>
    <w:rsid w:val="18B211DC"/>
    <w:rsid w:val="18B2E119"/>
    <w:rsid w:val="18B3E117"/>
    <w:rsid w:val="18B5582C"/>
    <w:rsid w:val="18B68FDF"/>
    <w:rsid w:val="18BAA702"/>
    <w:rsid w:val="18BC3B25"/>
    <w:rsid w:val="18C1FA7B"/>
    <w:rsid w:val="18C2A6B0"/>
    <w:rsid w:val="18C34F7E"/>
    <w:rsid w:val="18CA9A40"/>
    <w:rsid w:val="18CBDB9C"/>
    <w:rsid w:val="18CECB7A"/>
    <w:rsid w:val="18CFA488"/>
    <w:rsid w:val="18D3DF60"/>
    <w:rsid w:val="18D48544"/>
    <w:rsid w:val="18D512E7"/>
    <w:rsid w:val="18D6BA07"/>
    <w:rsid w:val="18DD9614"/>
    <w:rsid w:val="18DFE7C1"/>
    <w:rsid w:val="18E5AE94"/>
    <w:rsid w:val="18E64041"/>
    <w:rsid w:val="18EAA980"/>
    <w:rsid w:val="18EBF0ED"/>
    <w:rsid w:val="18EC33F1"/>
    <w:rsid w:val="18EEF30D"/>
    <w:rsid w:val="18EFAA2C"/>
    <w:rsid w:val="18EFB5EC"/>
    <w:rsid w:val="18F0D2D9"/>
    <w:rsid w:val="18F32AC5"/>
    <w:rsid w:val="18F5DCE9"/>
    <w:rsid w:val="18F9B79C"/>
    <w:rsid w:val="18FDB8C4"/>
    <w:rsid w:val="18FEC252"/>
    <w:rsid w:val="18FEEDB1"/>
    <w:rsid w:val="190492E5"/>
    <w:rsid w:val="1906CE94"/>
    <w:rsid w:val="1907187D"/>
    <w:rsid w:val="190722B3"/>
    <w:rsid w:val="1907DDA9"/>
    <w:rsid w:val="19087925"/>
    <w:rsid w:val="190A71DE"/>
    <w:rsid w:val="190F67D5"/>
    <w:rsid w:val="19149529"/>
    <w:rsid w:val="191AA9A8"/>
    <w:rsid w:val="191B7C7F"/>
    <w:rsid w:val="191C3D40"/>
    <w:rsid w:val="191D4112"/>
    <w:rsid w:val="19218F4A"/>
    <w:rsid w:val="1923947E"/>
    <w:rsid w:val="1923EEDE"/>
    <w:rsid w:val="19279858"/>
    <w:rsid w:val="192A6373"/>
    <w:rsid w:val="192B092E"/>
    <w:rsid w:val="193002F7"/>
    <w:rsid w:val="1930D577"/>
    <w:rsid w:val="19317008"/>
    <w:rsid w:val="193533BF"/>
    <w:rsid w:val="1935A0C9"/>
    <w:rsid w:val="19384494"/>
    <w:rsid w:val="19396DB7"/>
    <w:rsid w:val="193B6F19"/>
    <w:rsid w:val="193EDD91"/>
    <w:rsid w:val="193F42AF"/>
    <w:rsid w:val="194134BB"/>
    <w:rsid w:val="1943B448"/>
    <w:rsid w:val="194ABBDA"/>
    <w:rsid w:val="194CF433"/>
    <w:rsid w:val="194E7BF2"/>
    <w:rsid w:val="19504DF2"/>
    <w:rsid w:val="1950659B"/>
    <w:rsid w:val="1950F747"/>
    <w:rsid w:val="1952119C"/>
    <w:rsid w:val="195363EC"/>
    <w:rsid w:val="19565328"/>
    <w:rsid w:val="195A27A7"/>
    <w:rsid w:val="195A42D8"/>
    <w:rsid w:val="195A50C9"/>
    <w:rsid w:val="195B8A04"/>
    <w:rsid w:val="195BF44B"/>
    <w:rsid w:val="195EDF7B"/>
    <w:rsid w:val="1961F3BC"/>
    <w:rsid w:val="1965192C"/>
    <w:rsid w:val="19665028"/>
    <w:rsid w:val="1967C197"/>
    <w:rsid w:val="19682709"/>
    <w:rsid w:val="196AB921"/>
    <w:rsid w:val="196B7992"/>
    <w:rsid w:val="196D4973"/>
    <w:rsid w:val="196E131C"/>
    <w:rsid w:val="196F664D"/>
    <w:rsid w:val="19766749"/>
    <w:rsid w:val="1978E847"/>
    <w:rsid w:val="197B0665"/>
    <w:rsid w:val="197DB70D"/>
    <w:rsid w:val="19802F2B"/>
    <w:rsid w:val="1984BD75"/>
    <w:rsid w:val="1984DD59"/>
    <w:rsid w:val="198887D3"/>
    <w:rsid w:val="19892F82"/>
    <w:rsid w:val="198FB375"/>
    <w:rsid w:val="19942006"/>
    <w:rsid w:val="1998BC4A"/>
    <w:rsid w:val="1998E2D5"/>
    <w:rsid w:val="199B2EA8"/>
    <w:rsid w:val="199CA144"/>
    <w:rsid w:val="19A072D2"/>
    <w:rsid w:val="19A12D71"/>
    <w:rsid w:val="19A7F17E"/>
    <w:rsid w:val="19A8A21B"/>
    <w:rsid w:val="19A96610"/>
    <w:rsid w:val="19B52292"/>
    <w:rsid w:val="19B7B742"/>
    <w:rsid w:val="19B7DC3E"/>
    <w:rsid w:val="19B9CE4E"/>
    <w:rsid w:val="19B9FEDA"/>
    <w:rsid w:val="19BAC1C6"/>
    <w:rsid w:val="19BAD56C"/>
    <w:rsid w:val="19C12329"/>
    <w:rsid w:val="19C4E26D"/>
    <w:rsid w:val="19C6C17E"/>
    <w:rsid w:val="19C93CF7"/>
    <w:rsid w:val="19CA4D53"/>
    <w:rsid w:val="19CBBFB2"/>
    <w:rsid w:val="19CC0355"/>
    <w:rsid w:val="19CD1B2E"/>
    <w:rsid w:val="19D59B2A"/>
    <w:rsid w:val="19D633BE"/>
    <w:rsid w:val="19D693A9"/>
    <w:rsid w:val="19E115E7"/>
    <w:rsid w:val="19E315CD"/>
    <w:rsid w:val="19E497BB"/>
    <w:rsid w:val="19E63240"/>
    <w:rsid w:val="19EE5314"/>
    <w:rsid w:val="19EFB707"/>
    <w:rsid w:val="19F094BE"/>
    <w:rsid w:val="19F1E8D4"/>
    <w:rsid w:val="19F3B31F"/>
    <w:rsid w:val="19F42826"/>
    <w:rsid w:val="19F5A8B3"/>
    <w:rsid w:val="19FB720B"/>
    <w:rsid w:val="1A061606"/>
    <w:rsid w:val="1A06F310"/>
    <w:rsid w:val="1A097815"/>
    <w:rsid w:val="1A10DF8D"/>
    <w:rsid w:val="1A13E04D"/>
    <w:rsid w:val="1A1A403C"/>
    <w:rsid w:val="1A1ADFAF"/>
    <w:rsid w:val="1A20EFD9"/>
    <w:rsid w:val="1A2241EA"/>
    <w:rsid w:val="1A25E7E8"/>
    <w:rsid w:val="1A262398"/>
    <w:rsid w:val="1A2B7727"/>
    <w:rsid w:val="1A2DAA7F"/>
    <w:rsid w:val="1A2FA163"/>
    <w:rsid w:val="1A317119"/>
    <w:rsid w:val="1A34EBE8"/>
    <w:rsid w:val="1A37B315"/>
    <w:rsid w:val="1A3DE40A"/>
    <w:rsid w:val="1A41FC12"/>
    <w:rsid w:val="1A4239E0"/>
    <w:rsid w:val="1A4924E6"/>
    <w:rsid w:val="1A4A5D23"/>
    <w:rsid w:val="1A4FB3E4"/>
    <w:rsid w:val="1A505A8C"/>
    <w:rsid w:val="1A527E6B"/>
    <w:rsid w:val="1A62067A"/>
    <w:rsid w:val="1A622727"/>
    <w:rsid w:val="1A641BFD"/>
    <w:rsid w:val="1A65A3B0"/>
    <w:rsid w:val="1A6AE4D2"/>
    <w:rsid w:val="1A6B2CEC"/>
    <w:rsid w:val="1A6CC282"/>
    <w:rsid w:val="1A7008E1"/>
    <w:rsid w:val="1A703D3F"/>
    <w:rsid w:val="1A70896A"/>
    <w:rsid w:val="1A72B8D9"/>
    <w:rsid w:val="1A756952"/>
    <w:rsid w:val="1A878723"/>
    <w:rsid w:val="1A8954E5"/>
    <w:rsid w:val="1A8A1D2C"/>
    <w:rsid w:val="1A8A571B"/>
    <w:rsid w:val="1A8E2DC1"/>
    <w:rsid w:val="1A8E31D8"/>
    <w:rsid w:val="1A8E7392"/>
    <w:rsid w:val="1A909AA1"/>
    <w:rsid w:val="1A94996D"/>
    <w:rsid w:val="1A95737A"/>
    <w:rsid w:val="1A96F25E"/>
    <w:rsid w:val="1A99491C"/>
    <w:rsid w:val="1AA07772"/>
    <w:rsid w:val="1AA1BEBB"/>
    <w:rsid w:val="1AA70DCC"/>
    <w:rsid w:val="1AAB8BB4"/>
    <w:rsid w:val="1AAD7564"/>
    <w:rsid w:val="1AADAF43"/>
    <w:rsid w:val="1AAF004C"/>
    <w:rsid w:val="1AAFA7B6"/>
    <w:rsid w:val="1AB8D95D"/>
    <w:rsid w:val="1AB9E6F9"/>
    <w:rsid w:val="1AC4640E"/>
    <w:rsid w:val="1AC61A32"/>
    <w:rsid w:val="1AC74556"/>
    <w:rsid w:val="1AD07CB2"/>
    <w:rsid w:val="1AD106D4"/>
    <w:rsid w:val="1ADA956D"/>
    <w:rsid w:val="1ADE9C57"/>
    <w:rsid w:val="1AE0EF6D"/>
    <w:rsid w:val="1AE26981"/>
    <w:rsid w:val="1AE32375"/>
    <w:rsid w:val="1AE63C93"/>
    <w:rsid w:val="1AE80BEF"/>
    <w:rsid w:val="1AE8CDE0"/>
    <w:rsid w:val="1AE9D8BC"/>
    <w:rsid w:val="1AEB4255"/>
    <w:rsid w:val="1AEFCCC9"/>
    <w:rsid w:val="1AF08931"/>
    <w:rsid w:val="1AF0DF2E"/>
    <w:rsid w:val="1AF13CD1"/>
    <w:rsid w:val="1AF7860D"/>
    <w:rsid w:val="1B0136A9"/>
    <w:rsid w:val="1B02F8A4"/>
    <w:rsid w:val="1B083972"/>
    <w:rsid w:val="1B08A88A"/>
    <w:rsid w:val="1B0A87A4"/>
    <w:rsid w:val="1B0B94DD"/>
    <w:rsid w:val="1B0F22A0"/>
    <w:rsid w:val="1B12C797"/>
    <w:rsid w:val="1B14FFCF"/>
    <w:rsid w:val="1B168947"/>
    <w:rsid w:val="1B17AFEC"/>
    <w:rsid w:val="1B18D932"/>
    <w:rsid w:val="1B19023D"/>
    <w:rsid w:val="1B1A542C"/>
    <w:rsid w:val="1B1C4339"/>
    <w:rsid w:val="1B1C7009"/>
    <w:rsid w:val="1B1D01D2"/>
    <w:rsid w:val="1B1E4741"/>
    <w:rsid w:val="1B2277D5"/>
    <w:rsid w:val="1B24F56D"/>
    <w:rsid w:val="1B26ACE2"/>
    <w:rsid w:val="1B271C0D"/>
    <w:rsid w:val="1B27C767"/>
    <w:rsid w:val="1B2870E9"/>
    <w:rsid w:val="1B2A35EF"/>
    <w:rsid w:val="1B2C5452"/>
    <w:rsid w:val="1B2D3D04"/>
    <w:rsid w:val="1B3418F2"/>
    <w:rsid w:val="1B35E282"/>
    <w:rsid w:val="1B37A388"/>
    <w:rsid w:val="1B3CB9E5"/>
    <w:rsid w:val="1B3CC414"/>
    <w:rsid w:val="1B3EF7C4"/>
    <w:rsid w:val="1B4167AE"/>
    <w:rsid w:val="1B4320C4"/>
    <w:rsid w:val="1B47E5BF"/>
    <w:rsid w:val="1B4AF020"/>
    <w:rsid w:val="1B4B0547"/>
    <w:rsid w:val="1B4B574B"/>
    <w:rsid w:val="1B4BB356"/>
    <w:rsid w:val="1B4BC610"/>
    <w:rsid w:val="1B4D3129"/>
    <w:rsid w:val="1B4F8916"/>
    <w:rsid w:val="1B53439C"/>
    <w:rsid w:val="1B579CC1"/>
    <w:rsid w:val="1B57DC0A"/>
    <w:rsid w:val="1B6122BE"/>
    <w:rsid w:val="1B646811"/>
    <w:rsid w:val="1B6774A7"/>
    <w:rsid w:val="1B6779F0"/>
    <w:rsid w:val="1B67C383"/>
    <w:rsid w:val="1B6DEF40"/>
    <w:rsid w:val="1B710966"/>
    <w:rsid w:val="1B71E8D1"/>
    <w:rsid w:val="1B755B21"/>
    <w:rsid w:val="1B77065E"/>
    <w:rsid w:val="1B770952"/>
    <w:rsid w:val="1B77D6A2"/>
    <w:rsid w:val="1B7D4808"/>
    <w:rsid w:val="1B7DE7FD"/>
    <w:rsid w:val="1B870B39"/>
    <w:rsid w:val="1B8C2FE6"/>
    <w:rsid w:val="1B8EA11F"/>
    <w:rsid w:val="1B8EB283"/>
    <w:rsid w:val="1B8ED984"/>
    <w:rsid w:val="1B8F460E"/>
    <w:rsid w:val="1B920988"/>
    <w:rsid w:val="1B9908B1"/>
    <w:rsid w:val="1B9E6169"/>
    <w:rsid w:val="1BA3176F"/>
    <w:rsid w:val="1BA3CD36"/>
    <w:rsid w:val="1BA4EB56"/>
    <w:rsid w:val="1BA4F7C6"/>
    <w:rsid w:val="1BA73F1F"/>
    <w:rsid w:val="1BA9E004"/>
    <w:rsid w:val="1BAC4BC4"/>
    <w:rsid w:val="1BAC5E8B"/>
    <w:rsid w:val="1BB051AD"/>
    <w:rsid w:val="1BB14552"/>
    <w:rsid w:val="1BB74988"/>
    <w:rsid w:val="1BB9BBD1"/>
    <w:rsid w:val="1BC0F186"/>
    <w:rsid w:val="1BC292FD"/>
    <w:rsid w:val="1BC430CE"/>
    <w:rsid w:val="1BC5C44B"/>
    <w:rsid w:val="1BCCDFCF"/>
    <w:rsid w:val="1BCCF940"/>
    <w:rsid w:val="1BCD16B6"/>
    <w:rsid w:val="1BD04E26"/>
    <w:rsid w:val="1BD16455"/>
    <w:rsid w:val="1BD4026D"/>
    <w:rsid w:val="1BD91885"/>
    <w:rsid w:val="1BDC1C17"/>
    <w:rsid w:val="1BDC5B72"/>
    <w:rsid w:val="1BE22AC8"/>
    <w:rsid w:val="1BE4D8A9"/>
    <w:rsid w:val="1BE5B532"/>
    <w:rsid w:val="1BE7B1B1"/>
    <w:rsid w:val="1BE900C3"/>
    <w:rsid w:val="1BEED6F2"/>
    <w:rsid w:val="1BF30022"/>
    <w:rsid w:val="1BF5CCB7"/>
    <w:rsid w:val="1BF65176"/>
    <w:rsid w:val="1BF89342"/>
    <w:rsid w:val="1BFB08F0"/>
    <w:rsid w:val="1BFB0F61"/>
    <w:rsid w:val="1BFB54D3"/>
    <w:rsid w:val="1BFC7876"/>
    <w:rsid w:val="1BFE9527"/>
    <w:rsid w:val="1BFF3625"/>
    <w:rsid w:val="1C022AD9"/>
    <w:rsid w:val="1C0CAC64"/>
    <w:rsid w:val="1C10D68C"/>
    <w:rsid w:val="1C14D9F4"/>
    <w:rsid w:val="1C1601CA"/>
    <w:rsid w:val="1C188797"/>
    <w:rsid w:val="1C1CE4D9"/>
    <w:rsid w:val="1C1EF513"/>
    <w:rsid w:val="1C22DEFC"/>
    <w:rsid w:val="1C23CEC1"/>
    <w:rsid w:val="1C24CBE0"/>
    <w:rsid w:val="1C27401C"/>
    <w:rsid w:val="1C290FFF"/>
    <w:rsid w:val="1C294133"/>
    <w:rsid w:val="1C2AFD72"/>
    <w:rsid w:val="1C2E0772"/>
    <w:rsid w:val="1C2F33D4"/>
    <w:rsid w:val="1C35ABEE"/>
    <w:rsid w:val="1C36A80D"/>
    <w:rsid w:val="1C3C2579"/>
    <w:rsid w:val="1C3DE63C"/>
    <w:rsid w:val="1C40061D"/>
    <w:rsid w:val="1C42DB9F"/>
    <w:rsid w:val="1C431415"/>
    <w:rsid w:val="1C4494BB"/>
    <w:rsid w:val="1C47CDE5"/>
    <w:rsid w:val="1C4E4E03"/>
    <w:rsid w:val="1C4FEE10"/>
    <w:rsid w:val="1C5335F6"/>
    <w:rsid w:val="1C54318A"/>
    <w:rsid w:val="1C57CA71"/>
    <w:rsid w:val="1C5A3C1A"/>
    <w:rsid w:val="1C5CDF45"/>
    <w:rsid w:val="1C5E92C6"/>
    <w:rsid w:val="1C651364"/>
    <w:rsid w:val="1C67A3B9"/>
    <w:rsid w:val="1C6CD7FE"/>
    <w:rsid w:val="1C7428A4"/>
    <w:rsid w:val="1C75F85C"/>
    <w:rsid w:val="1C77AE47"/>
    <w:rsid w:val="1C79159E"/>
    <w:rsid w:val="1C7EA3BF"/>
    <w:rsid w:val="1C7F5645"/>
    <w:rsid w:val="1C841BA2"/>
    <w:rsid w:val="1C851A75"/>
    <w:rsid w:val="1C860FAF"/>
    <w:rsid w:val="1C867658"/>
    <w:rsid w:val="1C86A334"/>
    <w:rsid w:val="1C875CD5"/>
    <w:rsid w:val="1C881027"/>
    <w:rsid w:val="1C88FA56"/>
    <w:rsid w:val="1C89EBCB"/>
    <w:rsid w:val="1C8B90C3"/>
    <w:rsid w:val="1C8C247C"/>
    <w:rsid w:val="1C8E0C14"/>
    <w:rsid w:val="1C8E2A0E"/>
    <w:rsid w:val="1C91EE59"/>
    <w:rsid w:val="1C953BC4"/>
    <w:rsid w:val="1C968FB2"/>
    <w:rsid w:val="1C9DAA25"/>
    <w:rsid w:val="1C9FB861"/>
    <w:rsid w:val="1CA9096B"/>
    <w:rsid w:val="1CA9FBD4"/>
    <w:rsid w:val="1CAEBC37"/>
    <w:rsid w:val="1CB0C125"/>
    <w:rsid w:val="1CB84084"/>
    <w:rsid w:val="1CB8A18F"/>
    <w:rsid w:val="1CBC5C57"/>
    <w:rsid w:val="1CC1ED25"/>
    <w:rsid w:val="1CC23282"/>
    <w:rsid w:val="1CC91291"/>
    <w:rsid w:val="1CCBA036"/>
    <w:rsid w:val="1CD0AF4E"/>
    <w:rsid w:val="1CDA0AD6"/>
    <w:rsid w:val="1CDBAE60"/>
    <w:rsid w:val="1CDEC028"/>
    <w:rsid w:val="1CE551FF"/>
    <w:rsid w:val="1CE63E6B"/>
    <w:rsid w:val="1CE7EBA8"/>
    <w:rsid w:val="1CEDA506"/>
    <w:rsid w:val="1CF2A39B"/>
    <w:rsid w:val="1CF6373A"/>
    <w:rsid w:val="1CF63AC4"/>
    <w:rsid w:val="1CF8FFE3"/>
    <w:rsid w:val="1CFA2905"/>
    <w:rsid w:val="1CFAE90A"/>
    <w:rsid w:val="1D028FE2"/>
    <w:rsid w:val="1D047B32"/>
    <w:rsid w:val="1D05BC53"/>
    <w:rsid w:val="1D065CFC"/>
    <w:rsid w:val="1D0C33ED"/>
    <w:rsid w:val="1D0D0CA7"/>
    <w:rsid w:val="1D0D2F77"/>
    <w:rsid w:val="1D17A49F"/>
    <w:rsid w:val="1D1885F3"/>
    <w:rsid w:val="1D18BD25"/>
    <w:rsid w:val="1D2023D0"/>
    <w:rsid w:val="1D23A9FB"/>
    <w:rsid w:val="1D243B33"/>
    <w:rsid w:val="1D2AEF2B"/>
    <w:rsid w:val="1D2CF359"/>
    <w:rsid w:val="1D2E252D"/>
    <w:rsid w:val="1D33A1D2"/>
    <w:rsid w:val="1D36B13F"/>
    <w:rsid w:val="1D37D468"/>
    <w:rsid w:val="1D3F5951"/>
    <w:rsid w:val="1D3F6004"/>
    <w:rsid w:val="1D461042"/>
    <w:rsid w:val="1D46F5EA"/>
    <w:rsid w:val="1D4AE8AC"/>
    <w:rsid w:val="1D5134DB"/>
    <w:rsid w:val="1D55003F"/>
    <w:rsid w:val="1D59E2AC"/>
    <w:rsid w:val="1D5ABB24"/>
    <w:rsid w:val="1D60F8D7"/>
    <w:rsid w:val="1D62B342"/>
    <w:rsid w:val="1D657545"/>
    <w:rsid w:val="1D65F372"/>
    <w:rsid w:val="1D689145"/>
    <w:rsid w:val="1D69CA23"/>
    <w:rsid w:val="1D6B5798"/>
    <w:rsid w:val="1D6B735C"/>
    <w:rsid w:val="1D6B87C8"/>
    <w:rsid w:val="1D6B8BEA"/>
    <w:rsid w:val="1D6C5318"/>
    <w:rsid w:val="1D6CF450"/>
    <w:rsid w:val="1D6E38D8"/>
    <w:rsid w:val="1D778935"/>
    <w:rsid w:val="1D798E1F"/>
    <w:rsid w:val="1D7A8D4C"/>
    <w:rsid w:val="1D7BFFB3"/>
    <w:rsid w:val="1D7C2079"/>
    <w:rsid w:val="1D7F460C"/>
    <w:rsid w:val="1D807551"/>
    <w:rsid w:val="1D83C27B"/>
    <w:rsid w:val="1D841554"/>
    <w:rsid w:val="1D842ECC"/>
    <w:rsid w:val="1D8B6F23"/>
    <w:rsid w:val="1D8C7CB1"/>
    <w:rsid w:val="1D8D6A5E"/>
    <w:rsid w:val="1D8E6C45"/>
    <w:rsid w:val="1D91CB14"/>
    <w:rsid w:val="1D94B910"/>
    <w:rsid w:val="1D99911C"/>
    <w:rsid w:val="1D9BD0FC"/>
    <w:rsid w:val="1DA16A04"/>
    <w:rsid w:val="1DA7EA92"/>
    <w:rsid w:val="1DAB8EC3"/>
    <w:rsid w:val="1DACB8DE"/>
    <w:rsid w:val="1DADBDD6"/>
    <w:rsid w:val="1DB0A758"/>
    <w:rsid w:val="1DB3477F"/>
    <w:rsid w:val="1DB8AF66"/>
    <w:rsid w:val="1DC0D076"/>
    <w:rsid w:val="1DCCC306"/>
    <w:rsid w:val="1DCD99B2"/>
    <w:rsid w:val="1DD0E6D2"/>
    <w:rsid w:val="1DD32F06"/>
    <w:rsid w:val="1DD37618"/>
    <w:rsid w:val="1DD5048C"/>
    <w:rsid w:val="1DD5ED2F"/>
    <w:rsid w:val="1DDA07ED"/>
    <w:rsid w:val="1DDA3F37"/>
    <w:rsid w:val="1DDB49F7"/>
    <w:rsid w:val="1DDD3745"/>
    <w:rsid w:val="1DDF8170"/>
    <w:rsid w:val="1DE36141"/>
    <w:rsid w:val="1DE42BDA"/>
    <w:rsid w:val="1DE83988"/>
    <w:rsid w:val="1DEC08EB"/>
    <w:rsid w:val="1DECCBE0"/>
    <w:rsid w:val="1DEDA501"/>
    <w:rsid w:val="1DEDB87A"/>
    <w:rsid w:val="1DEECD99"/>
    <w:rsid w:val="1DF07149"/>
    <w:rsid w:val="1DF40D26"/>
    <w:rsid w:val="1DF8D30A"/>
    <w:rsid w:val="1DFCBDE5"/>
    <w:rsid w:val="1E007664"/>
    <w:rsid w:val="1E0134FB"/>
    <w:rsid w:val="1E027B65"/>
    <w:rsid w:val="1E05F03C"/>
    <w:rsid w:val="1E08BFC3"/>
    <w:rsid w:val="1E185402"/>
    <w:rsid w:val="1E19834B"/>
    <w:rsid w:val="1E19F1D2"/>
    <w:rsid w:val="1E1F2A7C"/>
    <w:rsid w:val="1E219473"/>
    <w:rsid w:val="1E25B846"/>
    <w:rsid w:val="1E279A42"/>
    <w:rsid w:val="1E288DA7"/>
    <w:rsid w:val="1E2B61EB"/>
    <w:rsid w:val="1E310C25"/>
    <w:rsid w:val="1E38A288"/>
    <w:rsid w:val="1E3B2883"/>
    <w:rsid w:val="1E3F5F0C"/>
    <w:rsid w:val="1E4288B8"/>
    <w:rsid w:val="1E42A457"/>
    <w:rsid w:val="1E47CA19"/>
    <w:rsid w:val="1E48100C"/>
    <w:rsid w:val="1E4A3482"/>
    <w:rsid w:val="1E4AD4A4"/>
    <w:rsid w:val="1E4B7B66"/>
    <w:rsid w:val="1E4F419A"/>
    <w:rsid w:val="1E4F750A"/>
    <w:rsid w:val="1E515C2D"/>
    <w:rsid w:val="1E57F727"/>
    <w:rsid w:val="1E592D29"/>
    <w:rsid w:val="1E5C4A24"/>
    <w:rsid w:val="1E5D39FC"/>
    <w:rsid w:val="1E5D72B1"/>
    <w:rsid w:val="1E5EE6CD"/>
    <w:rsid w:val="1E610DCA"/>
    <w:rsid w:val="1E617BA8"/>
    <w:rsid w:val="1E6466F4"/>
    <w:rsid w:val="1E64DF4D"/>
    <w:rsid w:val="1E68CCDF"/>
    <w:rsid w:val="1E6EE6F7"/>
    <w:rsid w:val="1E70054C"/>
    <w:rsid w:val="1E705F5B"/>
    <w:rsid w:val="1E710EBD"/>
    <w:rsid w:val="1E74A8F1"/>
    <w:rsid w:val="1E756954"/>
    <w:rsid w:val="1E7573C8"/>
    <w:rsid w:val="1E77800D"/>
    <w:rsid w:val="1E7BD023"/>
    <w:rsid w:val="1E7F5C54"/>
    <w:rsid w:val="1E82D73F"/>
    <w:rsid w:val="1E835C7A"/>
    <w:rsid w:val="1E89EC4D"/>
    <w:rsid w:val="1E8A66AB"/>
    <w:rsid w:val="1E8CC108"/>
    <w:rsid w:val="1E918EA1"/>
    <w:rsid w:val="1E92DF90"/>
    <w:rsid w:val="1E935AF2"/>
    <w:rsid w:val="1E94E46D"/>
    <w:rsid w:val="1E9D6B3B"/>
    <w:rsid w:val="1E9E4FBF"/>
    <w:rsid w:val="1EA18288"/>
    <w:rsid w:val="1EA6C255"/>
    <w:rsid w:val="1EA8B812"/>
    <w:rsid w:val="1EB00883"/>
    <w:rsid w:val="1EB1D4E4"/>
    <w:rsid w:val="1EB2CB6D"/>
    <w:rsid w:val="1EB483C7"/>
    <w:rsid w:val="1EB75BA5"/>
    <w:rsid w:val="1EBE5609"/>
    <w:rsid w:val="1EBFC801"/>
    <w:rsid w:val="1EC1F484"/>
    <w:rsid w:val="1EC33B73"/>
    <w:rsid w:val="1EC71A9E"/>
    <w:rsid w:val="1ECE7E64"/>
    <w:rsid w:val="1ED3709D"/>
    <w:rsid w:val="1ED3DB7C"/>
    <w:rsid w:val="1ED62588"/>
    <w:rsid w:val="1EDB639D"/>
    <w:rsid w:val="1EE0C855"/>
    <w:rsid w:val="1EE0CBC8"/>
    <w:rsid w:val="1EE261BC"/>
    <w:rsid w:val="1EE3D86B"/>
    <w:rsid w:val="1EE42515"/>
    <w:rsid w:val="1EE48F8B"/>
    <w:rsid w:val="1EE4E4AC"/>
    <w:rsid w:val="1EE6BFE1"/>
    <w:rsid w:val="1EE70CF6"/>
    <w:rsid w:val="1EE9B472"/>
    <w:rsid w:val="1EEC0748"/>
    <w:rsid w:val="1EEF6848"/>
    <w:rsid w:val="1EEF9B19"/>
    <w:rsid w:val="1EEFED78"/>
    <w:rsid w:val="1EF22DDD"/>
    <w:rsid w:val="1EF32551"/>
    <w:rsid w:val="1EF4D7F7"/>
    <w:rsid w:val="1EF56B36"/>
    <w:rsid w:val="1EFA76D5"/>
    <w:rsid w:val="1EFC3421"/>
    <w:rsid w:val="1F01D096"/>
    <w:rsid w:val="1F02318A"/>
    <w:rsid w:val="1F04A68B"/>
    <w:rsid w:val="1F05D1E0"/>
    <w:rsid w:val="1F08943C"/>
    <w:rsid w:val="1F09869D"/>
    <w:rsid w:val="1F0B908A"/>
    <w:rsid w:val="1F0D9A6C"/>
    <w:rsid w:val="1F1075A6"/>
    <w:rsid w:val="1F10FF5A"/>
    <w:rsid w:val="1F124EB6"/>
    <w:rsid w:val="1F16A2FC"/>
    <w:rsid w:val="1F16A802"/>
    <w:rsid w:val="1F17F878"/>
    <w:rsid w:val="1F17FCB3"/>
    <w:rsid w:val="1F1B2A67"/>
    <w:rsid w:val="1F1E1734"/>
    <w:rsid w:val="1F1EAC6F"/>
    <w:rsid w:val="1F1F5273"/>
    <w:rsid w:val="1F21811E"/>
    <w:rsid w:val="1F232432"/>
    <w:rsid w:val="1F250E56"/>
    <w:rsid w:val="1F25B2C4"/>
    <w:rsid w:val="1F265952"/>
    <w:rsid w:val="1F282CEE"/>
    <w:rsid w:val="1F2AB678"/>
    <w:rsid w:val="1F2C887F"/>
    <w:rsid w:val="1F2D96D7"/>
    <w:rsid w:val="1F33277B"/>
    <w:rsid w:val="1F357391"/>
    <w:rsid w:val="1F387DA7"/>
    <w:rsid w:val="1F39834F"/>
    <w:rsid w:val="1F4238AE"/>
    <w:rsid w:val="1F4424E9"/>
    <w:rsid w:val="1F44FEDF"/>
    <w:rsid w:val="1F45097F"/>
    <w:rsid w:val="1F48FDDC"/>
    <w:rsid w:val="1F4C76F8"/>
    <w:rsid w:val="1F50F5F0"/>
    <w:rsid w:val="1F5814CD"/>
    <w:rsid w:val="1F61434E"/>
    <w:rsid w:val="1F6426C4"/>
    <w:rsid w:val="1F646C64"/>
    <w:rsid w:val="1F64C2B9"/>
    <w:rsid w:val="1F66D1FC"/>
    <w:rsid w:val="1F69D662"/>
    <w:rsid w:val="1F712DE3"/>
    <w:rsid w:val="1F714ADA"/>
    <w:rsid w:val="1F724189"/>
    <w:rsid w:val="1F731034"/>
    <w:rsid w:val="1F762DA6"/>
    <w:rsid w:val="1F76D173"/>
    <w:rsid w:val="1F7897CF"/>
    <w:rsid w:val="1F7A0CB3"/>
    <w:rsid w:val="1F7B1964"/>
    <w:rsid w:val="1F7CB464"/>
    <w:rsid w:val="1F7D1F56"/>
    <w:rsid w:val="1F7E8ECB"/>
    <w:rsid w:val="1F7E9C71"/>
    <w:rsid w:val="1F7F1329"/>
    <w:rsid w:val="1F7F1A06"/>
    <w:rsid w:val="1F7F460A"/>
    <w:rsid w:val="1F86D0C0"/>
    <w:rsid w:val="1F8B00EA"/>
    <w:rsid w:val="1F8B2723"/>
    <w:rsid w:val="1F8C2F70"/>
    <w:rsid w:val="1F8CB13A"/>
    <w:rsid w:val="1F8D564F"/>
    <w:rsid w:val="1F96050B"/>
    <w:rsid w:val="1F967BB5"/>
    <w:rsid w:val="1F99ABE3"/>
    <w:rsid w:val="1F99D396"/>
    <w:rsid w:val="1F9CDDF4"/>
    <w:rsid w:val="1F9E08DA"/>
    <w:rsid w:val="1F9F2985"/>
    <w:rsid w:val="1FA01A04"/>
    <w:rsid w:val="1FA15787"/>
    <w:rsid w:val="1FA38492"/>
    <w:rsid w:val="1FA40469"/>
    <w:rsid w:val="1FA49024"/>
    <w:rsid w:val="1FA4E7B8"/>
    <w:rsid w:val="1FA61DAD"/>
    <w:rsid w:val="1FAF2F7D"/>
    <w:rsid w:val="1FAF3B15"/>
    <w:rsid w:val="1FB0FFD6"/>
    <w:rsid w:val="1FB3C80C"/>
    <w:rsid w:val="1FB933A9"/>
    <w:rsid w:val="1FBD1CD3"/>
    <w:rsid w:val="1FC2DFA1"/>
    <w:rsid w:val="1FC52958"/>
    <w:rsid w:val="1FC5D4F9"/>
    <w:rsid w:val="1FC6EB1D"/>
    <w:rsid w:val="1FCA3F99"/>
    <w:rsid w:val="1FCC0069"/>
    <w:rsid w:val="1FCCDC86"/>
    <w:rsid w:val="1FCE80EB"/>
    <w:rsid w:val="1FCEC11D"/>
    <w:rsid w:val="1FD5A609"/>
    <w:rsid w:val="1FD841CE"/>
    <w:rsid w:val="1FD95799"/>
    <w:rsid w:val="1FDA6F8D"/>
    <w:rsid w:val="1FE604E3"/>
    <w:rsid w:val="1FE8A29B"/>
    <w:rsid w:val="1FEAE4F5"/>
    <w:rsid w:val="1FEBB416"/>
    <w:rsid w:val="1FF216D3"/>
    <w:rsid w:val="1FF41A1E"/>
    <w:rsid w:val="1FF740C3"/>
    <w:rsid w:val="1FF74282"/>
    <w:rsid w:val="1FF8CE28"/>
    <w:rsid w:val="1FF8E901"/>
    <w:rsid w:val="1FF96984"/>
    <w:rsid w:val="1FFD6FE8"/>
    <w:rsid w:val="1FFE40C0"/>
    <w:rsid w:val="1FFE5430"/>
    <w:rsid w:val="1FFE9671"/>
    <w:rsid w:val="20092B6C"/>
    <w:rsid w:val="200978C8"/>
    <w:rsid w:val="200B84A9"/>
    <w:rsid w:val="200DFCBA"/>
    <w:rsid w:val="2011EEC3"/>
    <w:rsid w:val="20125E6A"/>
    <w:rsid w:val="20134FEB"/>
    <w:rsid w:val="201E87E1"/>
    <w:rsid w:val="201F9D2C"/>
    <w:rsid w:val="201FCFFD"/>
    <w:rsid w:val="20227F49"/>
    <w:rsid w:val="2024B76C"/>
    <w:rsid w:val="2026A98B"/>
    <w:rsid w:val="2027DD20"/>
    <w:rsid w:val="202AE0E9"/>
    <w:rsid w:val="202C94E0"/>
    <w:rsid w:val="202E0E91"/>
    <w:rsid w:val="202E58DC"/>
    <w:rsid w:val="202ED96C"/>
    <w:rsid w:val="202F7010"/>
    <w:rsid w:val="20325616"/>
    <w:rsid w:val="2037DCDB"/>
    <w:rsid w:val="20386AE6"/>
    <w:rsid w:val="203BB9D1"/>
    <w:rsid w:val="203DB3F1"/>
    <w:rsid w:val="20458A7F"/>
    <w:rsid w:val="20468BB8"/>
    <w:rsid w:val="204AA15A"/>
    <w:rsid w:val="2053EC42"/>
    <w:rsid w:val="2054CB8E"/>
    <w:rsid w:val="20561600"/>
    <w:rsid w:val="20574D13"/>
    <w:rsid w:val="2059A274"/>
    <w:rsid w:val="205B6C81"/>
    <w:rsid w:val="205D066C"/>
    <w:rsid w:val="2062FE44"/>
    <w:rsid w:val="20641F57"/>
    <w:rsid w:val="20689809"/>
    <w:rsid w:val="2074C312"/>
    <w:rsid w:val="207541A3"/>
    <w:rsid w:val="20759751"/>
    <w:rsid w:val="207597F0"/>
    <w:rsid w:val="207712BB"/>
    <w:rsid w:val="20774B38"/>
    <w:rsid w:val="207A11DE"/>
    <w:rsid w:val="207A6C15"/>
    <w:rsid w:val="207BB688"/>
    <w:rsid w:val="207C6642"/>
    <w:rsid w:val="207CC059"/>
    <w:rsid w:val="207F7732"/>
    <w:rsid w:val="2081E426"/>
    <w:rsid w:val="20844640"/>
    <w:rsid w:val="2087F943"/>
    <w:rsid w:val="208B2FA3"/>
    <w:rsid w:val="208C9A26"/>
    <w:rsid w:val="208F914F"/>
    <w:rsid w:val="2095B021"/>
    <w:rsid w:val="20963669"/>
    <w:rsid w:val="20A7F21D"/>
    <w:rsid w:val="20ACA64E"/>
    <w:rsid w:val="20AD61DA"/>
    <w:rsid w:val="20AE4E38"/>
    <w:rsid w:val="20AF9A80"/>
    <w:rsid w:val="20B1A53A"/>
    <w:rsid w:val="20B62670"/>
    <w:rsid w:val="20BB22D4"/>
    <w:rsid w:val="20C012F5"/>
    <w:rsid w:val="20C2D424"/>
    <w:rsid w:val="20CA2D03"/>
    <w:rsid w:val="20CA994E"/>
    <w:rsid w:val="20CDDA21"/>
    <w:rsid w:val="20CE4037"/>
    <w:rsid w:val="20CE7ADF"/>
    <w:rsid w:val="20CEF9BD"/>
    <w:rsid w:val="20D0D670"/>
    <w:rsid w:val="20D6DBCF"/>
    <w:rsid w:val="20D9D4DE"/>
    <w:rsid w:val="20DABD6F"/>
    <w:rsid w:val="20E84B17"/>
    <w:rsid w:val="20EA650E"/>
    <w:rsid w:val="20EB7758"/>
    <w:rsid w:val="20EC118A"/>
    <w:rsid w:val="20EE0674"/>
    <w:rsid w:val="20EFDFDB"/>
    <w:rsid w:val="20F3042D"/>
    <w:rsid w:val="20F37094"/>
    <w:rsid w:val="20F705BB"/>
    <w:rsid w:val="20F705FC"/>
    <w:rsid w:val="20F90F45"/>
    <w:rsid w:val="20FBC0C1"/>
    <w:rsid w:val="20FCC347"/>
    <w:rsid w:val="2100CD5B"/>
    <w:rsid w:val="2104007F"/>
    <w:rsid w:val="210FA8D6"/>
    <w:rsid w:val="21118786"/>
    <w:rsid w:val="21124608"/>
    <w:rsid w:val="21144042"/>
    <w:rsid w:val="211CF36B"/>
    <w:rsid w:val="211D718E"/>
    <w:rsid w:val="211FEEED"/>
    <w:rsid w:val="2120C370"/>
    <w:rsid w:val="2122CF62"/>
    <w:rsid w:val="212DA501"/>
    <w:rsid w:val="21316BF8"/>
    <w:rsid w:val="2132E43F"/>
    <w:rsid w:val="21343B7B"/>
    <w:rsid w:val="21347816"/>
    <w:rsid w:val="2137D1B8"/>
    <w:rsid w:val="21389196"/>
    <w:rsid w:val="21399839"/>
    <w:rsid w:val="213C7033"/>
    <w:rsid w:val="213D27E8"/>
    <w:rsid w:val="213D5581"/>
    <w:rsid w:val="2141B7B5"/>
    <w:rsid w:val="21424820"/>
    <w:rsid w:val="2144866F"/>
    <w:rsid w:val="2145CBD1"/>
    <w:rsid w:val="2147A769"/>
    <w:rsid w:val="214D4C2E"/>
    <w:rsid w:val="214E697D"/>
    <w:rsid w:val="214E8873"/>
    <w:rsid w:val="21511315"/>
    <w:rsid w:val="2151C118"/>
    <w:rsid w:val="2155E2DE"/>
    <w:rsid w:val="21570D02"/>
    <w:rsid w:val="21571085"/>
    <w:rsid w:val="215ACDF8"/>
    <w:rsid w:val="215BE59F"/>
    <w:rsid w:val="215C38C6"/>
    <w:rsid w:val="21607B7F"/>
    <w:rsid w:val="2162BB7E"/>
    <w:rsid w:val="21641E32"/>
    <w:rsid w:val="2164224F"/>
    <w:rsid w:val="2165F554"/>
    <w:rsid w:val="216CC514"/>
    <w:rsid w:val="2170692E"/>
    <w:rsid w:val="2175D33C"/>
    <w:rsid w:val="21782BD2"/>
    <w:rsid w:val="217ABC84"/>
    <w:rsid w:val="217C0118"/>
    <w:rsid w:val="217EE315"/>
    <w:rsid w:val="218159AA"/>
    <w:rsid w:val="21816F05"/>
    <w:rsid w:val="21826E52"/>
    <w:rsid w:val="2184BD18"/>
    <w:rsid w:val="218B8D83"/>
    <w:rsid w:val="2190282B"/>
    <w:rsid w:val="21903976"/>
    <w:rsid w:val="21908BE7"/>
    <w:rsid w:val="2194C931"/>
    <w:rsid w:val="21976CDC"/>
    <w:rsid w:val="219C19E1"/>
    <w:rsid w:val="219C766D"/>
    <w:rsid w:val="21A0325F"/>
    <w:rsid w:val="21A4EFA4"/>
    <w:rsid w:val="21A9B3F1"/>
    <w:rsid w:val="21AAEB4F"/>
    <w:rsid w:val="21AAEC40"/>
    <w:rsid w:val="21AFFF66"/>
    <w:rsid w:val="21B15722"/>
    <w:rsid w:val="21B5ED80"/>
    <w:rsid w:val="21B8DB4C"/>
    <w:rsid w:val="21BD59E1"/>
    <w:rsid w:val="21C2FDF4"/>
    <w:rsid w:val="21C7BE3F"/>
    <w:rsid w:val="21CA1AC4"/>
    <w:rsid w:val="21CA6108"/>
    <w:rsid w:val="21CA8260"/>
    <w:rsid w:val="21D48A54"/>
    <w:rsid w:val="21DB532E"/>
    <w:rsid w:val="21DFC84B"/>
    <w:rsid w:val="21E0DA4F"/>
    <w:rsid w:val="21E1AD74"/>
    <w:rsid w:val="21E3F8EB"/>
    <w:rsid w:val="21E4F9FE"/>
    <w:rsid w:val="21E575E9"/>
    <w:rsid w:val="21EC8930"/>
    <w:rsid w:val="21F07852"/>
    <w:rsid w:val="21F2D198"/>
    <w:rsid w:val="21F36EBF"/>
    <w:rsid w:val="21F3D413"/>
    <w:rsid w:val="21F59811"/>
    <w:rsid w:val="21F69391"/>
    <w:rsid w:val="21F842DA"/>
    <w:rsid w:val="21FDC426"/>
    <w:rsid w:val="21FDD866"/>
    <w:rsid w:val="22005CD7"/>
    <w:rsid w:val="2203C189"/>
    <w:rsid w:val="2213F6BB"/>
    <w:rsid w:val="2216BF4D"/>
    <w:rsid w:val="221845D6"/>
    <w:rsid w:val="221AAC92"/>
    <w:rsid w:val="221DCC47"/>
    <w:rsid w:val="221E118F"/>
    <w:rsid w:val="221E374B"/>
    <w:rsid w:val="22264DF7"/>
    <w:rsid w:val="22293DE5"/>
    <w:rsid w:val="222D994B"/>
    <w:rsid w:val="222DC53E"/>
    <w:rsid w:val="2230609C"/>
    <w:rsid w:val="22310BF8"/>
    <w:rsid w:val="22311604"/>
    <w:rsid w:val="223499A7"/>
    <w:rsid w:val="2235C604"/>
    <w:rsid w:val="22371DA6"/>
    <w:rsid w:val="223A47B2"/>
    <w:rsid w:val="223A9493"/>
    <w:rsid w:val="223B3312"/>
    <w:rsid w:val="223C12BB"/>
    <w:rsid w:val="223C6ECE"/>
    <w:rsid w:val="223DCAD8"/>
    <w:rsid w:val="22415A30"/>
    <w:rsid w:val="2244B90F"/>
    <w:rsid w:val="2248E64A"/>
    <w:rsid w:val="2248FA2F"/>
    <w:rsid w:val="2249C02A"/>
    <w:rsid w:val="224CC0F7"/>
    <w:rsid w:val="224EFF07"/>
    <w:rsid w:val="22533C75"/>
    <w:rsid w:val="22534AE4"/>
    <w:rsid w:val="22536F14"/>
    <w:rsid w:val="2253A1E5"/>
    <w:rsid w:val="22556E44"/>
    <w:rsid w:val="225F1913"/>
    <w:rsid w:val="2264532A"/>
    <w:rsid w:val="22670679"/>
    <w:rsid w:val="22677D62"/>
    <w:rsid w:val="2269D52F"/>
    <w:rsid w:val="226CD018"/>
    <w:rsid w:val="226D7AFC"/>
    <w:rsid w:val="226E38DD"/>
    <w:rsid w:val="22702BB0"/>
    <w:rsid w:val="2272ED6A"/>
    <w:rsid w:val="22731614"/>
    <w:rsid w:val="22734B89"/>
    <w:rsid w:val="227B0419"/>
    <w:rsid w:val="227F9FDA"/>
    <w:rsid w:val="2282389B"/>
    <w:rsid w:val="2285222F"/>
    <w:rsid w:val="228AD12B"/>
    <w:rsid w:val="228B9877"/>
    <w:rsid w:val="228C4ED4"/>
    <w:rsid w:val="22910083"/>
    <w:rsid w:val="229167BA"/>
    <w:rsid w:val="229485E7"/>
    <w:rsid w:val="22949189"/>
    <w:rsid w:val="22968880"/>
    <w:rsid w:val="22984F25"/>
    <w:rsid w:val="229A1A27"/>
    <w:rsid w:val="229A8BE6"/>
    <w:rsid w:val="229FB5EA"/>
    <w:rsid w:val="22A020B8"/>
    <w:rsid w:val="22A0F551"/>
    <w:rsid w:val="22A22DCF"/>
    <w:rsid w:val="22A25F38"/>
    <w:rsid w:val="22A62876"/>
    <w:rsid w:val="22A67B74"/>
    <w:rsid w:val="22A6C242"/>
    <w:rsid w:val="22A74C72"/>
    <w:rsid w:val="22AA2535"/>
    <w:rsid w:val="22AA4C58"/>
    <w:rsid w:val="22AC0D83"/>
    <w:rsid w:val="22AE5FC3"/>
    <w:rsid w:val="22B13C0B"/>
    <w:rsid w:val="22B1A806"/>
    <w:rsid w:val="22BE9EFA"/>
    <w:rsid w:val="22C638BF"/>
    <w:rsid w:val="22CAAB11"/>
    <w:rsid w:val="22CCDB4B"/>
    <w:rsid w:val="22D0CF06"/>
    <w:rsid w:val="22D0F119"/>
    <w:rsid w:val="22D100B4"/>
    <w:rsid w:val="22D81B15"/>
    <w:rsid w:val="22DA022A"/>
    <w:rsid w:val="22DB8341"/>
    <w:rsid w:val="22DE342C"/>
    <w:rsid w:val="22DE3F92"/>
    <w:rsid w:val="22E2E19F"/>
    <w:rsid w:val="22E67543"/>
    <w:rsid w:val="22E8D64D"/>
    <w:rsid w:val="22E96E1C"/>
    <w:rsid w:val="22EAD0D9"/>
    <w:rsid w:val="22EC0046"/>
    <w:rsid w:val="22F0C427"/>
    <w:rsid w:val="22F1D830"/>
    <w:rsid w:val="22F2DA1A"/>
    <w:rsid w:val="22F6D24B"/>
    <w:rsid w:val="22F9CE4A"/>
    <w:rsid w:val="22FA2869"/>
    <w:rsid w:val="22FC03A5"/>
    <w:rsid w:val="22FD90B3"/>
    <w:rsid w:val="22FE0A09"/>
    <w:rsid w:val="23042D86"/>
    <w:rsid w:val="2307B1A7"/>
    <w:rsid w:val="230C6EA5"/>
    <w:rsid w:val="230FD4D1"/>
    <w:rsid w:val="2311D294"/>
    <w:rsid w:val="2311EB6B"/>
    <w:rsid w:val="23138C85"/>
    <w:rsid w:val="23158AFA"/>
    <w:rsid w:val="23165504"/>
    <w:rsid w:val="231781D2"/>
    <w:rsid w:val="23182900"/>
    <w:rsid w:val="2319CD39"/>
    <w:rsid w:val="2320AA08"/>
    <w:rsid w:val="23216BC2"/>
    <w:rsid w:val="232214FE"/>
    <w:rsid w:val="2327AA2A"/>
    <w:rsid w:val="232ADD6F"/>
    <w:rsid w:val="232BBAE0"/>
    <w:rsid w:val="232D1DEB"/>
    <w:rsid w:val="232FB81B"/>
    <w:rsid w:val="2330509A"/>
    <w:rsid w:val="23349CCC"/>
    <w:rsid w:val="2338E510"/>
    <w:rsid w:val="233BB122"/>
    <w:rsid w:val="234264DD"/>
    <w:rsid w:val="2343CC64"/>
    <w:rsid w:val="2346D6BA"/>
    <w:rsid w:val="23473964"/>
    <w:rsid w:val="2348BDD1"/>
    <w:rsid w:val="23497087"/>
    <w:rsid w:val="234AA6FE"/>
    <w:rsid w:val="234AAF51"/>
    <w:rsid w:val="234D6792"/>
    <w:rsid w:val="234EA628"/>
    <w:rsid w:val="23507D29"/>
    <w:rsid w:val="2357E033"/>
    <w:rsid w:val="235A07C3"/>
    <w:rsid w:val="235BC3B3"/>
    <w:rsid w:val="235C7468"/>
    <w:rsid w:val="23609162"/>
    <w:rsid w:val="2367B8BD"/>
    <w:rsid w:val="2368E7AD"/>
    <w:rsid w:val="236961FA"/>
    <w:rsid w:val="236C2345"/>
    <w:rsid w:val="236CCFED"/>
    <w:rsid w:val="23729316"/>
    <w:rsid w:val="2375B8E2"/>
    <w:rsid w:val="2375D7C3"/>
    <w:rsid w:val="237BD1A0"/>
    <w:rsid w:val="237C8DB9"/>
    <w:rsid w:val="237EB93F"/>
    <w:rsid w:val="237FD986"/>
    <w:rsid w:val="23811928"/>
    <w:rsid w:val="2382E4B8"/>
    <w:rsid w:val="2385DB7F"/>
    <w:rsid w:val="2386CFCB"/>
    <w:rsid w:val="23871263"/>
    <w:rsid w:val="238988C4"/>
    <w:rsid w:val="238DD538"/>
    <w:rsid w:val="238DFAF2"/>
    <w:rsid w:val="239BC019"/>
    <w:rsid w:val="239F9A1A"/>
    <w:rsid w:val="239FBD8A"/>
    <w:rsid w:val="239FD6AD"/>
    <w:rsid w:val="23A603D9"/>
    <w:rsid w:val="23A992A9"/>
    <w:rsid w:val="23AA47BD"/>
    <w:rsid w:val="23ABE6CB"/>
    <w:rsid w:val="23AD6056"/>
    <w:rsid w:val="23AE2954"/>
    <w:rsid w:val="23BAB4E3"/>
    <w:rsid w:val="23BBD1B1"/>
    <w:rsid w:val="23BC25B6"/>
    <w:rsid w:val="23BFD7F8"/>
    <w:rsid w:val="23C038F6"/>
    <w:rsid w:val="23C7F4C2"/>
    <w:rsid w:val="23C8E864"/>
    <w:rsid w:val="23CAB83F"/>
    <w:rsid w:val="23CBB813"/>
    <w:rsid w:val="23CCF968"/>
    <w:rsid w:val="23D01D9F"/>
    <w:rsid w:val="23D1D1A6"/>
    <w:rsid w:val="23D7166D"/>
    <w:rsid w:val="23DDFF72"/>
    <w:rsid w:val="23E9D5DC"/>
    <w:rsid w:val="23EE480F"/>
    <w:rsid w:val="23F5F703"/>
    <w:rsid w:val="23F764C9"/>
    <w:rsid w:val="23FC97EB"/>
    <w:rsid w:val="23FEB0D5"/>
    <w:rsid w:val="2406999D"/>
    <w:rsid w:val="240914D3"/>
    <w:rsid w:val="240C3900"/>
    <w:rsid w:val="240E4904"/>
    <w:rsid w:val="240F9F4D"/>
    <w:rsid w:val="241301A9"/>
    <w:rsid w:val="2417AC14"/>
    <w:rsid w:val="241F2C84"/>
    <w:rsid w:val="24209315"/>
    <w:rsid w:val="2421E6A3"/>
    <w:rsid w:val="2422871B"/>
    <w:rsid w:val="242D45F8"/>
    <w:rsid w:val="242E616F"/>
    <w:rsid w:val="242EF64E"/>
    <w:rsid w:val="2437DB0B"/>
    <w:rsid w:val="2445B8E5"/>
    <w:rsid w:val="2450CCAA"/>
    <w:rsid w:val="2451D86D"/>
    <w:rsid w:val="24521874"/>
    <w:rsid w:val="24560652"/>
    <w:rsid w:val="24565558"/>
    <w:rsid w:val="245A56EB"/>
    <w:rsid w:val="245B4ED1"/>
    <w:rsid w:val="245DFA96"/>
    <w:rsid w:val="24677D16"/>
    <w:rsid w:val="2467BCA3"/>
    <w:rsid w:val="246C807E"/>
    <w:rsid w:val="246CE1DF"/>
    <w:rsid w:val="246E79B4"/>
    <w:rsid w:val="24715354"/>
    <w:rsid w:val="24725058"/>
    <w:rsid w:val="247309C9"/>
    <w:rsid w:val="247E1CA5"/>
    <w:rsid w:val="247E431A"/>
    <w:rsid w:val="247EB52C"/>
    <w:rsid w:val="247F11DC"/>
    <w:rsid w:val="247F53EF"/>
    <w:rsid w:val="247F5AF9"/>
    <w:rsid w:val="2482365A"/>
    <w:rsid w:val="24830E0E"/>
    <w:rsid w:val="2483A468"/>
    <w:rsid w:val="2485058A"/>
    <w:rsid w:val="2486E3B1"/>
    <w:rsid w:val="248BBDD4"/>
    <w:rsid w:val="248CA648"/>
    <w:rsid w:val="248D00BF"/>
    <w:rsid w:val="248E39C6"/>
    <w:rsid w:val="248FB17F"/>
    <w:rsid w:val="249655BA"/>
    <w:rsid w:val="2498BC59"/>
    <w:rsid w:val="249D4C4B"/>
    <w:rsid w:val="24A4980A"/>
    <w:rsid w:val="24A66944"/>
    <w:rsid w:val="24A8965B"/>
    <w:rsid w:val="24AABD0A"/>
    <w:rsid w:val="24AEFFBF"/>
    <w:rsid w:val="24AF03AA"/>
    <w:rsid w:val="24B02DAC"/>
    <w:rsid w:val="24B48B00"/>
    <w:rsid w:val="24B9E0F5"/>
    <w:rsid w:val="24BECED6"/>
    <w:rsid w:val="24BECF2B"/>
    <w:rsid w:val="24BEF60F"/>
    <w:rsid w:val="24C3CEE0"/>
    <w:rsid w:val="24C49C2F"/>
    <w:rsid w:val="24C4F649"/>
    <w:rsid w:val="24C5C2E3"/>
    <w:rsid w:val="24C71D05"/>
    <w:rsid w:val="24C891AD"/>
    <w:rsid w:val="24C8D202"/>
    <w:rsid w:val="24CB84DA"/>
    <w:rsid w:val="24CD8CAF"/>
    <w:rsid w:val="24CF0BB4"/>
    <w:rsid w:val="24D9087B"/>
    <w:rsid w:val="24DE7022"/>
    <w:rsid w:val="24E060B1"/>
    <w:rsid w:val="24E0904B"/>
    <w:rsid w:val="24E1A727"/>
    <w:rsid w:val="24E31025"/>
    <w:rsid w:val="24E8F5F2"/>
    <w:rsid w:val="24F2A788"/>
    <w:rsid w:val="24F2CA84"/>
    <w:rsid w:val="24F66FD0"/>
    <w:rsid w:val="24F9351E"/>
    <w:rsid w:val="24FF4B7E"/>
    <w:rsid w:val="2500E5A1"/>
    <w:rsid w:val="250E129D"/>
    <w:rsid w:val="250E3D8B"/>
    <w:rsid w:val="25106997"/>
    <w:rsid w:val="2512F5D5"/>
    <w:rsid w:val="2516EF8D"/>
    <w:rsid w:val="2517D9FE"/>
    <w:rsid w:val="2518D3FE"/>
    <w:rsid w:val="251917E0"/>
    <w:rsid w:val="251F6D66"/>
    <w:rsid w:val="252355A6"/>
    <w:rsid w:val="252A5110"/>
    <w:rsid w:val="2530C91B"/>
    <w:rsid w:val="25336C8B"/>
    <w:rsid w:val="25396682"/>
    <w:rsid w:val="253B2B5A"/>
    <w:rsid w:val="253C324F"/>
    <w:rsid w:val="253D2870"/>
    <w:rsid w:val="2540B3DC"/>
    <w:rsid w:val="25415060"/>
    <w:rsid w:val="2542971D"/>
    <w:rsid w:val="254377BF"/>
    <w:rsid w:val="2545816F"/>
    <w:rsid w:val="254BC370"/>
    <w:rsid w:val="254C8CCA"/>
    <w:rsid w:val="254CEBFD"/>
    <w:rsid w:val="2555814C"/>
    <w:rsid w:val="25566C0B"/>
    <w:rsid w:val="2559919C"/>
    <w:rsid w:val="25599307"/>
    <w:rsid w:val="2559E212"/>
    <w:rsid w:val="255C54AD"/>
    <w:rsid w:val="255E0032"/>
    <w:rsid w:val="2560B0AB"/>
    <w:rsid w:val="2561EFAD"/>
    <w:rsid w:val="25655B7D"/>
    <w:rsid w:val="25668609"/>
    <w:rsid w:val="2573664A"/>
    <w:rsid w:val="25757449"/>
    <w:rsid w:val="2575DFF6"/>
    <w:rsid w:val="2577936E"/>
    <w:rsid w:val="2578623D"/>
    <w:rsid w:val="25787914"/>
    <w:rsid w:val="2588D503"/>
    <w:rsid w:val="258EAD4F"/>
    <w:rsid w:val="25908836"/>
    <w:rsid w:val="259143AD"/>
    <w:rsid w:val="259270E0"/>
    <w:rsid w:val="259679F6"/>
    <w:rsid w:val="2596BEB4"/>
    <w:rsid w:val="259AA8CE"/>
    <w:rsid w:val="259C3BED"/>
    <w:rsid w:val="25A4992A"/>
    <w:rsid w:val="25A52F26"/>
    <w:rsid w:val="25A8937F"/>
    <w:rsid w:val="25AF8194"/>
    <w:rsid w:val="25B041D8"/>
    <w:rsid w:val="25B195A2"/>
    <w:rsid w:val="25B224D4"/>
    <w:rsid w:val="25B2DBE1"/>
    <w:rsid w:val="25BBB5B2"/>
    <w:rsid w:val="25D2914F"/>
    <w:rsid w:val="25D2D74D"/>
    <w:rsid w:val="25D43E7E"/>
    <w:rsid w:val="25D59F92"/>
    <w:rsid w:val="25D6F731"/>
    <w:rsid w:val="25D786DC"/>
    <w:rsid w:val="25D8B86D"/>
    <w:rsid w:val="25DC1119"/>
    <w:rsid w:val="25DC8D4F"/>
    <w:rsid w:val="25E1F3B5"/>
    <w:rsid w:val="25E4FDF5"/>
    <w:rsid w:val="25E7CC98"/>
    <w:rsid w:val="25EA803B"/>
    <w:rsid w:val="25EB3AC7"/>
    <w:rsid w:val="25EC8BEC"/>
    <w:rsid w:val="25EDA465"/>
    <w:rsid w:val="25EED5E9"/>
    <w:rsid w:val="25EEF09E"/>
    <w:rsid w:val="25F2F44D"/>
    <w:rsid w:val="25F548AB"/>
    <w:rsid w:val="25F796B3"/>
    <w:rsid w:val="25F84698"/>
    <w:rsid w:val="25FB9797"/>
    <w:rsid w:val="25FDEC32"/>
    <w:rsid w:val="26000D7D"/>
    <w:rsid w:val="26029A5B"/>
    <w:rsid w:val="2603DD36"/>
    <w:rsid w:val="2605654B"/>
    <w:rsid w:val="2605C421"/>
    <w:rsid w:val="260E1135"/>
    <w:rsid w:val="26138C2F"/>
    <w:rsid w:val="2615FFD4"/>
    <w:rsid w:val="2616CEB3"/>
    <w:rsid w:val="2617A137"/>
    <w:rsid w:val="26182B26"/>
    <w:rsid w:val="26184FFE"/>
    <w:rsid w:val="26197F16"/>
    <w:rsid w:val="261B4D89"/>
    <w:rsid w:val="261C5EE0"/>
    <w:rsid w:val="26230DC9"/>
    <w:rsid w:val="262BEA46"/>
    <w:rsid w:val="262E3F1B"/>
    <w:rsid w:val="262E52BB"/>
    <w:rsid w:val="262E61B6"/>
    <w:rsid w:val="26308B40"/>
    <w:rsid w:val="2631D55B"/>
    <w:rsid w:val="26342DCF"/>
    <w:rsid w:val="2635739A"/>
    <w:rsid w:val="2637B96C"/>
    <w:rsid w:val="263C1E0A"/>
    <w:rsid w:val="263DBCA8"/>
    <w:rsid w:val="263DE933"/>
    <w:rsid w:val="263E1D78"/>
    <w:rsid w:val="2642B9F8"/>
    <w:rsid w:val="26499323"/>
    <w:rsid w:val="264D3EB8"/>
    <w:rsid w:val="2656253E"/>
    <w:rsid w:val="265C5D1B"/>
    <w:rsid w:val="26606B7D"/>
    <w:rsid w:val="2661FA3D"/>
    <w:rsid w:val="2664A007"/>
    <w:rsid w:val="2665452E"/>
    <w:rsid w:val="266865E8"/>
    <w:rsid w:val="266A2D90"/>
    <w:rsid w:val="266E508D"/>
    <w:rsid w:val="266EBF15"/>
    <w:rsid w:val="266F0015"/>
    <w:rsid w:val="266FB476"/>
    <w:rsid w:val="267270DC"/>
    <w:rsid w:val="26740146"/>
    <w:rsid w:val="2675213B"/>
    <w:rsid w:val="267924BE"/>
    <w:rsid w:val="2679FF81"/>
    <w:rsid w:val="267B0B46"/>
    <w:rsid w:val="267DA5DC"/>
    <w:rsid w:val="2681655C"/>
    <w:rsid w:val="2681DB99"/>
    <w:rsid w:val="2682FE6B"/>
    <w:rsid w:val="2684909F"/>
    <w:rsid w:val="26866FBE"/>
    <w:rsid w:val="268B9352"/>
    <w:rsid w:val="268BA362"/>
    <w:rsid w:val="268EBBCA"/>
    <w:rsid w:val="2691D7EB"/>
    <w:rsid w:val="2697699C"/>
    <w:rsid w:val="269996DB"/>
    <w:rsid w:val="2699A125"/>
    <w:rsid w:val="2699BCA0"/>
    <w:rsid w:val="269B7870"/>
    <w:rsid w:val="269D1CE0"/>
    <w:rsid w:val="269FA5A2"/>
    <w:rsid w:val="26A470DA"/>
    <w:rsid w:val="26AB733D"/>
    <w:rsid w:val="26AB8947"/>
    <w:rsid w:val="26AD293E"/>
    <w:rsid w:val="26AE2FC1"/>
    <w:rsid w:val="26B195D0"/>
    <w:rsid w:val="26B2D033"/>
    <w:rsid w:val="26B3D399"/>
    <w:rsid w:val="26B4E261"/>
    <w:rsid w:val="26B551BE"/>
    <w:rsid w:val="26B5B61B"/>
    <w:rsid w:val="26BB5926"/>
    <w:rsid w:val="26BBCA6C"/>
    <w:rsid w:val="26BE3859"/>
    <w:rsid w:val="26BEFE90"/>
    <w:rsid w:val="26C5C504"/>
    <w:rsid w:val="26C7040B"/>
    <w:rsid w:val="26C8F1E9"/>
    <w:rsid w:val="26C95CC0"/>
    <w:rsid w:val="26CAD6C0"/>
    <w:rsid w:val="26D1F23A"/>
    <w:rsid w:val="26D2A137"/>
    <w:rsid w:val="26D360DB"/>
    <w:rsid w:val="26D3A677"/>
    <w:rsid w:val="26D4071E"/>
    <w:rsid w:val="26D73791"/>
    <w:rsid w:val="26D87F81"/>
    <w:rsid w:val="26DA6012"/>
    <w:rsid w:val="26DFF2ED"/>
    <w:rsid w:val="26E35FE2"/>
    <w:rsid w:val="26E6D54F"/>
    <w:rsid w:val="26E96D7C"/>
    <w:rsid w:val="26E973DF"/>
    <w:rsid w:val="26EDE199"/>
    <w:rsid w:val="26EEBF37"/>
    <w:rsid w:val="26EEE90A"/>
    <w:rsid w:val="26F061A6"/>
    <w:rsid w:val="26F1C05E"/>
    <w:rsid w:val="26F3754C"/>
    <w:rsid w:val="26F962EF"/>
    <w:rsid w:val="26FDBB0A"/>
    <w:rsid w:val="2700C5CB"/>
    <w:rsid w:val="27041F1E"/>
    <w:rsid w:val="2704BC41"/>
    <w:rsid w:val="27077841"/>
    <w:rsid w:val="270A89BB"/>
    <w:rsid w:val="270DA801"/>
    <w:rsid w:val="270E15F8"/>
    <w:rsid w:val="270F0DF1"/>
    <w:rsid w:val="2712AE2D"/>
    <w:rsid w:val="27134EDD"/>
    <w:rsid w:val="271D75FF"/>
    <w:rsid w:val="271DA210"/>
    <w:rsid w:val="271ED014"/>
    <w:rsid w:val="2722020E"/>
    <w:rsid w:val="27251340"/>
    <w:rsid w:val="2725B993"/>
    <w:rsid w:val="272791A5"/>
    <w:rsid w:val="272C3F8C"/>
    <w:rsid w:val="272C5672"/>
    <w:rsid w:val="272D8068"/>
    <w:rsid w:val="272EFDD9"/>
    <w:rsid w:val="2735D528"/>
    <w:rsid w:val="27395E2D"/>
    <w:rsid w:val="27396B76"/>
    <w:rsid w:val="27397FDD"/>
    <w:rsid w:val="273A9EEB"/>
    <w:rsid w:val="273F808C"/>
    <w:rsid w:val="2740B595"/>
    <w:rsid w:val="274377BB"/>
    <w:rsid w:val="2745E289"/>
    <w:rsid w:val="2749BE95"/>
    <w:rsid w:val="274F4222"/>
    <w:rsid w:val="2750A787"/>
    <w:rsid w:val="2757118C"/>
    <w:rsid w:val="2758A816"/>
    <w:rsid w:val="2759D963"/>
    <w:rsid w:val="27617961"/>
    <w:rsid w:val="2763509C"/>
    <w:rsid w:val="2764E834"/>
    <w:rsid w:val="2765A8DA"/>
    <w:rsid w:val="2766CEDB"/>
    <w:rsid w:val="276D31F4"/>
    <w:rsid w:val="276D6B40"/>
    <w:rsid w:val="2771E6C7"/>
    <w:rsid w:val="2779B150"/>
    <w:rsid w:val="277FAB53"/>
    <w:rsid w:val="27804544"/>
    <w:rsid w:val="27819BA4"/>
    <w:rsid w:val="2781B1FB"/>
    <w:rsid w:val="2781C799"/>
    <w:rsid w:val="2783EFA6"/>
    <w:rsid w:val="27841C1C"/>
    <w:rsid w:val="27845EEC"/>
    <w:rsid w:val="2785DDAA"/>
    <w:rsid w:val="2787C518"/>
    <w:rsid w:val="2788EB49"/>
    <w:rsid w:val="278A24CD"/>
    <w:rsid w:val="278BAD64"/>
    <w:rsid w:val="278BD287"/>
    <w:rsid w:val="278D44CB"/>
    <w:rsid w:val="27959C1F"/>
    <w:rsid w:val="2795C43D"/>
    <w:rsid w:val="27974895"/>
    <w:rsid w:val="2799D06A"/>
    <w:rsid w:val="279B69E9"/>
    <w:rsid w:val="279DC255"/>
    <w:rsid w:val="279DF369"/>
    <w:rsid w:val="279E3A92"/>
    <w:rsid w:val="27A528EC"/>
    <w:rsid w:val="27A7022E"/>
    <w:rsid w:val="27AB78C4"/>
    <w:rsid w:val="27ABBE0B"/>
    <w:rsid w:val="27AC6D9C"/>
    <w:rsid w:val="27AF6C86"/>
    <w:rsid w:val="27B21EF2"/>
    <w:rsid w:val="27B3F878"/>
    <w:rsid w:val="27B4E623"/>
    <w:rsid w:val="27B95218"/>
    <w:rsid w:val="27BB36D6"/>
    <w:rsid w:val="27BF4513"/>
    <w:rsid w:val="27C65A31"/>
    <w:rsid w:val="27CC1B5A"/>
    <w:rsid w:val="27D0D163"/>
    <w:rsid w:val="27D1FD02"/>
    <w:rsid w:val="27DB2DDC"/>
    <w:rsid w:val="27DDCA45"/>
    <w:rsid w:val="27DF2E6F"/>
    <w:rsid w:val="27DFA48B"/>
    <w:rsid w:val="27E0CB87"/>
    <w:rsid w:val="27E0DA43"/>
    <w:rsid w:val="27E11B63"/>
    <w:rsid w:val="27E2D6E1"/>
    <w:rsid w:val="27EBC06B"/>
    <w:rsid w:val="27EC660F"/>
    <w:rsid w:val="27ED2619"/>
    <w:rsid w:val="27EFCB8B"/>
    <w:rsid w:val="27F1960D"/>
    <w:rsid w:val="27F1F188"/>
    <w:rsid w:val="27F20DBB"/>
    <w:rsid w:val="27F2C7DB"/>
    <w:rsid w:val="27F50549"/>
    <w:rsid w:val="27F789C8"/>
    <w:rsid w:val="27FC81D6"/>
    <w:rsid w:val="27FD122B"/>
    <w:rsid w:val="27FE3ABF"/>
    <w:rsid w:val="280161ED"/>
    <w:rsid w:val="2806E346"/>
    <w:rsid w:val="2807B968"/>
    <w:rsid w:val="28083196"/>
    <w:rsid w:val="280AF4CA"/>
    <w:rsid w:val="280B8EE0"/>
    <w:rsid w:val="280D8BA0"/>
    <w:rsid w:val="2812BD46"/>
    <w:rsid w:val="2812E9B6"/>
    <w:rsid w:val="281321EA"/>
    <w:rsid w:val="281539E6"/>
    <w:rsid w:val="28168D6F"/>
    <w:rsid w:val="281782B0"/>
    <w:rsid w:val="281CF3E6"/>
    <w:rsid w:val="28202B03"/>
    <w:rsid w:val="2821F311"/>
    <w:rsid w:val="282255F9"/>
    <w:rsid w:val="282D2E82"/>
    <w:rsid w:val="282E489C"/>
    <w:rsid w:val="28313CBD"/>
    <w:rsid w:val="28374CAB"/>
    <w:rsid w:val="283A505C"/>
    <w:rsid w:val="283CF0BE"/>
    <w:rsid w:val="283D01FA"/>
    <w:rsid w:val="283D5458"/>
    <w:rsid w:val="2841FA28"/>
    <w:rsid w:val="28439F71"/>
    <w:rsid w:val="2849D1A2"/>
    <w:rsid w:val="284C2057"/>
    <w:rsid w:val="284C5B84"/>
    <w:rsid w:val="284DF165"/>
    <w:rsid w:val="2856E71F"/>
    <w:rsid w:val="2856FB5E"/>
    <w:rsid w:val="28577ABD"/>
    <w:rsid w:val="285A3D44"/>
    <w:rsid w:val="285B9F66"/>
    <w:rsid w:val="285C94FD"/>
    <w:rsid w:val="285D65EC"/>
    <w:rsid w:val="286157A5"/>
    <w:rsid w:val="2861B936"/>
    <w:rsid w:val="28631F20"/>
    <w:rsid w:val="2864EBD0"/>
    <w:rsid w:val="2864FAE5"/>
    <w:rsid w:val="28667BC5"/>
    <w:rsid w:val="286C5AA2"/>
    <w:rsid w:val="286C8A1B"/>
    <w:rsid w:val="286FF960"/>
    <w:rsid w:val="28705301"/>
    <w:rsid w:val="28729E66"/>
    <w:rsid w:val="2875DA74"/>
    <w:rsid w:val="2878757E"/>
    <w:rsid w:val="2879D206"/>
    <w:rsid w:val="287CE875"/>
    <w:rsid w:val="287DB0CD"/>
    <w:rsid w:val="287E1F8D"/>
    <w:rsid w:val="28829D94"/>
    <w:rsid w:val="28905A98"/>
    <w:rsid w:val="289354DF"/>
    <w:rsid w:val="2897C731"/>
    <w:rsid w:val="28982B13"/>
    <w:rsid w:val="289890D9"/>
    <w:rsid w:val="28997607"/>
    <w:rsid w:val="289A632A"/>
    <w:rsid w:val="289A68AF"/>
    <w:rsid w:val="289E0FDB"/>
    <w:rsid w:val="289E5841"/>
    <w:rsid w:val="289E9C8F"/>
    <w:rsid w:val="289EA2FA"/>
    <w:rsid w:val="28A00523"/>
    <w:rsid w:val="28A0B1C9"/>
    <w:rsid w:val="28A241E6"/>
    <w:rsid w:val="28A406CC"/>
    <w:rsid w:val="28A4CB5D"/>
    <w:rsid w:val="28A81BD8"/>
    <w:rsid w:val="28A9A6CF"/>
    <w:rsid w:val="28AC926C"/>
    <w:rsid w:val="28AD165A"/>
    <w:rsid w:val="28AD32A4"/>
    <w:rsid w:val="28BBC92D"/>
    <w:rsid w:val="28BE7B29"/>
    <w:rsid w:val="28C14E0B"/>
    <w:rsid w:val="28C2A252"/>
    <w:rsid w:val="28C5BFF5"/>
    <w:rsid w:val="28C9B5DD"/>
    <w:rsid w:val="28CC209D"/>
    <w:rsid w:val="28CC9130"/>
    <w:rsid w:val="28CCB74B"/>
    <w:rsid w:val="28CE660A"/>
    <w:rsid w:val="28CE681A"/>
    <w:rsid w:val="28CF5640"/>
    <w:rsid w:val="28D07870"/>
    <w:rsid w:val="28D284DE"/>
    <w:rsid w:val="28D731A1"/>
    <w:rsid w:val="28D8EC06"/>
    <w:rsid w:val="28DA9902"/>
    <w:rsid w:val="28DBB9D9"/>
    <w:rsid w:val="28DFB994"/>
    <w:rsid w:val="28E28FF9"/>
    <w:rsid w:val="28E427F8"/>
    <w:rsid w:val="28E61CA6"/>
    <w:rsid w:val="28E9BA24"/>
    <w:rsid w:val="28EA82C4"/>
    <w:rsid w:val="28EE6252"/>
    <w:rsid w:val="28EF6C16"/>
    <w:rsid w:val="28F5DC95"/>
    <w:rsid w:val="28F6995A"/>
    <w:rsid w:val="28F85E03"/>
    <w:rsid w:val="28F8AB17"/>
    <w:rsid w:val="28FB6C76"/>
    <w:rsid w:val="28FE8B43"/>
    <w:rsid w:val="2903AF25"/>
    <w:rsid w:val="2906D66C"/>
    <w:rsid w:val="290902C2"/>
    <w:rsid w:val="290CDDC9"/>
    <w:rsid w:val="290D5023"/>
    <w:rsid w:val="291377F6"/>
    <w:rsid w:val="2914F119"/>
    <w:rsid w:val="2916E695"/>
    <w:rsid w:val="291763A0"/>
    <w:rsid w:val="2918C0B4"/>
    <w:rsid w:val="2919CA3A"/>
    <w:rsid w:val="291D4F34"/>
    <w:rsid w:val="29228BA1"/>
    <w:rsid w:val="29236886"/>
    <w:rsid w:val="2926402A"/>
    <w:rsid w:val="292695B8"/>
    <w:rsid w:val="292F0E35"/>
    <w:rsid w:val="29304F6B"/>
    <w:rsid w:val="2932E634"/>
    <w:rsid w:val="29379185"/>
    <w:rsid w:val="2938454A"/>
    <w:rsid w:val="293D86E1"/>
    <w:rsid w:val="293E8A01"/>
    <w:rsid w:val="2940CA59"/>
    <w:rsid w:val="29410E8A"/>
    <w:rsid w:val="2944346E"/>
    <w:rsid w:val="29452E0C"/>
    <w:rsid w:val="2949D504"/>
    <w:rsid w:val="2950FDDA"/>
    <w:rsid w:val="2954026A"/>
    <w:rsid w:val="29562D1E"/>
    <w:rsid w:val="2958708E"/>
    <w:rsid w:val="295892A4"/>
    <w:rsid w:val="295A1B20"/>
    <w:rsid w:val="295A7F4E"/>
    <w:rsid w:val="295C6BA2"/>
    <w:rsid w:val="296012FD"/>
    <w:rsid w:val="2960DE80"/>
    <w:rsid w:val="2961A22F"/>
    <w:rsid w:val="29648BAD"/>
    <w:rsid w:val="2964AA1C"/>
    <w:rsid w:val="29668A5A"/>
    <w:rsid w:val="2967B460"/>
    <w:rsid w:val="29695655"/>
    <w:rsid w:val="296C1C9D"/>
    <w:rsid w:val="2973F5A6"/>
    <w:rsid w:val="297B0B62"/>
    <w:rsid w:val="29820DCF"/>
    <w:rsid w:val="2983A8DD"/>
    <w:rsid w:val="2985361F"/>
    <w:rsid w:val="2987C5E5"/>
    <w:rsid w:val="298817A2"/>
    <w:rsid w:val="29883890"/>
    <w:rsid w:val="29884148"/>
    <w:rsid w:val="298F226A"/>
    <w:rsid w:val="298F74EE"/>
    <w:rsid w:val="2992D658"/>
    <w:rsid w:val="29936513"/>
    <w:rsid w:val="2995DF77"/>
    <w:rsid w:val="299EA7C3"/>
    <w:rsid w:val="29A75538"/>
    <w:rsid w:val="29B3AEA6"/>
    <w:rsid w:val="29B7A27B"/>
    <w:rsid w:val="29BA01F1"/>
    <w:rsid w:val="29BA67B4"/>
    <w:rsid w:val="29BA72A8"/>
    <w:rsid w:val="29BC7BE6"/>
    <w:rsid w:val="29BCA0C5"/>
    <w:rsid w:val="29BE2914"/>
    <w:rsid w:val="29C09D1A"/>
    <w:rsid w:val="29C1BE92"/>
    <w:rsid w:val="29C35A10"/>
    <w:rsid w:val="29C4B692"/>
    <w:rsid w:val="29C5001E"/>
    <w:rsid w:val="29C5423E"/>
    <w:rsid w:val="29C6C3C4"/>
    <w:rsid w:val="29C74982"/>
    <w:rsid w:val="29CEC158"/>
    <w:rsid w:val="29D1F5C3"/>
    <w:rsid w:val="29D5AB89"/>
    <w:rsid w:val="29DF3269"/>
    <w:rsid w:val="29E1E3CC"/>
    <w:rsid w:val="29E4F35F"/>
    <w:rsid w:val="29E5C2E0"/>
    <w:rsid w:val="29E6D6AA"/>
    <w:rsid w:val="29EA236D"/>
    <w:rsid w:val="29F0B7C0"/>
    <w:rsid w:val="29F12015"/>
    <w:rsid w:val="29F670FA"/>
    <w:rsid w:val="29F8EB24"/>
    <w:rsid w:val="29F9F886"/>
    <w:rsid w:val="29FA779F"/>
    <w:rsid w:val="29FC2A87"/>
    <w:rsid w:val="29FCE019"/>
    <w:rsid w:val="29FD3F2B"/>
    <w:rsid w:val="29FE8E7E"/>
    <w:rsid w:val="2A04C66C"/>
    <w:rsid w:val="2A0B019D"/>
    <w:rsid w:val="2A0C2440"/>
    <w:rsid w:val="2A0F2D28"/>
    <w:rsid w:val="2A105640"/>
    <w:rsid w:val="2A170950"/>
    <w:rsid w:val="2A1796D8"/>
    <w:rsid w:val="2A197388"/>
    <w:rsid w:val="2A203691"/>
    <w:rsid w:val="2A214FDD"/>
    <w:rsid w:val="2A21A047"/>
    <w:rsid w:val="2A23FB5C"/>
    <w:rsid w:val="2A253C4E"/>
    <w:rsid w:val="2A255D5B"/>
    <w:rsid w:val="2A26C23B"/>
    <w:rsid w:val="2A2935A9"/>
    <w:rsid w:val="2A2A4BD7"/>
    <w:rsid w:val="2A2C716A"/>
    <w:rsid w:val="2A2CD3BB"/>
    <w:rsid w:val="2A2D42D1"/>
    <w:rsid w:val="2A2E109C"/>
    <w:rsid w:val="2A2E5856"/>
    <w:rsid w:val="2A3031EB"/>
    <w:rsid w:val="2A3BFF61"/>
    <w:rsid w:val="2A3D1171"/>
    <w:rsid w:val="2A416547"/>
    <w:rsid w:val="2A418F07"/>
    <w:rsid w:val="2A46DE4F"/>
    <w:rsid w:val="2A4D0E25"/>
    <w:rsid w:val="2A4F52CC"/>
    <w:rsid w:val="2A5534E2"/>
    <w:rsid w:val="2A57F24A"/>
    <w:rsid w:val="2A5DE981"/>
    <w:rsid w:val="2A5F2DFA"/>
    <w:rsid w:val="2A60449D"/>
    <w:rsid w:val="2A6995AD"/>
    <w:rsid w:val="2A69BB99"/>
    <w:rsid w:val="2A6ADFFB"/>
    <w:rsid w:val="2A6FADA8"/>
    <w:rsid w:val="2A722BA5"/>
    <w:rsid w:val="2A759333"/>
    <w:rsid w:val="2A784C8E"/>
    <w:rsid w:val="2A79D717"/>
    <w:rsid w:val="2A7CC512"/>
    <w:rsid w:val="2A7FB08D"/>
    <w:rsid w:val="2A848DCA"/>
    <w:rsid w:val="2A897F14"/>
    <w:rsid w:val="2A8FD764"/>
    <w:rsid w:val="2A972D59"/>
    <w:rsid w:val="2A986985"/>
    <w:rsid w:val="2A9D4B9E"/>
    <w:rsid w:val="2A9EDF38"/>
    <w:rsid w:val="2AA1C659"/>
    <w:rsid w:val="2AA20AE7"/>
    <w:rsid w:val="2AA272AA"/>
    <w:rsid w:val="2AA7C461"/>
    <w:rsid w:val="2AA8AF3A"/>
    <w:rsid w:val="2AAC1E38"/>
    <w:rsid w:val="2AADED9A"/>
    <w:rsid w:val="2AB38CC8"/>
    <w:rsid w:val="2AB97ECB"/>
    <w:rsid w:val="2AB9DB79"/>
    <w:rsid w:val="2ABA310F"/>
    <w:rsid w:val="2ABC5A44"/>
    <w:rsid w:val="2AC0C349"/>
    <w:rsid w:val="2AC9BFAB"/>
    <w:rsid w:val="2ACDD6F2"/>
    <w:rsid w:val="2ACFCE2E"/>
    <w:rsid w:val="2AD0A64D"/>
    <w:rsid w:val="2AD65DC0"/>
    <w:rsid w:val="2AD9C910"/>
    <w:rsid w:val="2ADA4450"/>
    <w:rsid w:val="2ADE0BD7"/>
    <w:rsid w:val="2ADE1C9F"/>
    <w:rsid w:val="2ADE318E"/>
    <w:rsid w:val="2ADFEA68"/>
    <w:rsid w:val="2AE17D98"/>
    <w:rsid w:val="2AE742CB"/>
    <w:rsid w:val="2AE81DA1"/>
    <w:rsid w:val="2AE9B759"/>
    <w:rsid w:val="2AEC83DC"/>
    <w:rsid w:val="2AEDA1B7"/>
    <w:rsid w:val="2AF039D6"/>
    <w:rsid w:val="2AF13DD5"/>
    <w:rsid w:val="2AF5FF74"/>
    <w:rsid w:val="2AF9060E"/>
    <w:rsid w:val="2AFA13E0"/>
    <w:rsid w:val="2AFAF396"/>
    <w:rsid w:val="2AFC757B"/>
    <w:rsid w:val="2AFCA472"/>
    <w:rsid w:val="2AFEB6F9"/>
    <w:rsid w:val="2B01B89A"/>
    <w:rsid w:val="2B0854CF"/>
    <w:rsid w:val="2B09FA5B"/>
    <w:rsid w:val="2B0B9428"/>
    <w:rsid w:val="2B0BE002"/>
    <w:rsid w:val="2B0C0DED"/>
    <w:rsid w:val="2B133FAC"/>
    <w:rsid w:val="2B1538BF"/>
    <w:rsid w:val="2B15F25C"/>
    <w:rsid w:val="2B192BE9"/>
    <w:rsid w:val="2B19EDD3"/>
    <w:rsid w:val="2B1DD772"/>
    <w:rsid w:val="2B1F0368"/>
    <w:rsid w:val="2B2081CB"/>
    <w:rsid w:val="2B221B49"/>
    <w:rsid w:val="2B23162F"/>
    <w:rsid w:val="2B233AE5"/>
    <w:rsid w:val="2B237DF4"/>
    <w:rsid w:val="2B25106F"/>
    <w:rsid w:val="2B276A5F"/>
    <w:rsid w:val="2B27BBD1"/>
    <w:rsid w:val="2B2808F1"/>
    <w:rsid w:val="2B28DBBC"/>
    <w:rsid w:val="2B293F79"/>
    <w:rsid w:val="2B29B388"/>
    <w:rsid w:val="2B2F689E"/>
    <w:rsid w:val="2B30A1CD"/>
    <w:rsid w:val="2B31247E"/>
    <w:rsid w:val="2B3370AE"/>
    <w:rsid w:val="2B3727C5"/>
    <w:rsid w:val="2B39BC08"/>
    <w:rsid w:val="2B3A5ED8"/>
    <w:rsid w:val="2B3A7FB5"/>
    <w:rsid w:val="2B3CC286"/>
    <w:rsid w:val="2B3CC5F8"/>
    <w:rsid w:val="2B479C28"/>
    <w:rsid w:val="2B48E9B6"/>
    <w:rsid w:val="2B4AD23C"/>
    <w:rsid w:val="2B4CB1CB"/>
    <w:rsid w:val="2B4E69FD"/>
    <w:rsid w:val="2B50B5A1"/>
    <w:rsid w:val="2B511FC6"/>
    <w:rsid w:val="2B539CC2"/>
    <w:rsid w:val="2B53EAF4"/>
    <w:rsid w:val="2B540F1B"/>
    <w:rsid w:val="2B554393"/>
    <w:rsid w:val="2B579CCC"/>
    <w:rsid w:val="2B5887E0"/>
    <w:rsid w:val="2B59FFFC"/>
    <w:rsid w:val="2B5A1212"/>
    <w:rsid w:val="2B5C8F37"/>
    <w:rsid w:val="2B5E4E98"/>
    <w:rsid w:val="2B5F4880"/>
    <w:rsid w:val="2B5FB893"/>
    <w:rsid w:val="2B651A47"/>
    <w:rsid w:val="2B65452B"/>
    <w:rsid w:val="2B658DB0"/>
    <w:rsid w:val="2B6894C5"/>
    <w:rsid w:val="2B68CAC7"/>
    <w:rsid w:val="2B6CFE8E"/>
    <w:rsid w:val="2B6D8E4F"/>
    <w:rsid w:val="2B6EB814"/>
    <w:rsid w:val="2B72F15C"/>
    <w:rsid w:val="2B73EEE4"/>
    <w:rsid w:val="2B7543C8"/>
    <w:rsid w:val="2B754EF7"/>
    <w:rsid w:val="2B76DF7D"/>
    <w:rsid w:val="2B781905"/>
    <w:rsid w:val="2B79249B"/>
    <w:rsid w:val="2B794D21"/>
    <w:rsid w:val="2B7A08AB"/>
    <w:rsid w:val="2B7B7304"/>
    <w:rsid w:val="2B7EDE96"/>
    <w:rsid w:val="2B8229E1"/>
    <w:rsid w:val="2B91EB26"/>
    <w:rsid w:val="2B966747"/>
    <w:rsid w:val="2B96C94F"/>
    <w:rsid w:val="2B991280"/>
    <w:rsid w:val="2B993627"/>
    <w:rsid w:val="2B9CFB05"/>
    <w:rsid w:val="2B9D1AA8"/>
    <w:rsid w:val="2B9D2609"/>
    <w:rsid w:val="2B9FC7CD"/>
    <w:rsid w:val="2BA0BBA2"/>
    <w:rsid w:val="2BA14D49"/>
    <w:rsid w:val="2BA2107C"/>
    <w:rsid w:val="2BA5DC4A"/>
    <w:rsid w:val="2BA67AC2"/>
    <w:rsid w:val="2BA74414"/>
    <w:rsid w:val="2BA8EF32"/>
    <w:rsid w:val="2BA9CA8E"/>
    <w:rsid w:val="2BAA3AC8"/>
    <w:rsid w:val="2BB50740"/>
    <w:rsid w:val="2BB5F8F6"/>
    <w:rsid w:val="2BB86334"/>
    <w:rsid w:val="2BB8BA32"/>
    <w:rsid w:val="2BB9EB94"/>
    <w:rsid w:val="2BBAD11B"/>
    <w:rsid w:val="2BBE0EB2"/>
    <w:rsid w:val="2BBED8F9"/>
    <w:rsid w:val="2BC34EE7"/>
    <w:rsid w:val="2BC637F1"/>
    <w:rsid w:val="2BCDB4BF"/>
    <w:rsid w:val="2BCDCA2E"/>
    <w:rsid w:val="2BCEBB85"/>
    <w:rsid w:val="2BCFE11D"/>
    <w:rsid w:val="2BD6D850"/>
    <w:rsid w:val="2BDC28EE"/>
    <w:rsid w:val="2BDD2244"/>
    <w:rsid w:val="2BDE3CC0"/>
    <w:rsid w:val="2BDF855F"/>
    <w:rsid w:val="2BE278B1"/>
    <w:rsid w:val="2BE30061"/>
    <w:rsid w:val="2BE75455"/>
    <w:rsid w:val="2BF015DE"/>
    <w:rsid w:val="2BF3F714"/>
    <w:rsid w:val="2BF87FC4"/>
    <w:rsid w:val="2BFB4D79"/>
    <w:rsid w:val="2BFBA25F"/>
    <w:rsid w:val="2BFD408E"/>
    <w:rsid w:val="2BFF4683"/>
    <w:rsid w:val="2BFFE85D"/>
    <w:rsid w:val="2C02A951"/>
    <w:rsid w:val="2C0369F1"/>
    <w:rsid w:val="2C09A05B"/>
    <w:rsid w:val="2C0E192E"/>
    <w:rsid w:val="2C0E6B7A"/>
    <w:rsid w:val="2C0EB130"/>
    <w:rsid w:val="2C10DB37"/>
    <w:rsid w:val="2C1532AA"/>
    <w:rsid w:val="2C154F8B"/>
    <w:rsid w:val="2C166246"/>
    <w:rsid w:val="2C17399E"/>
    <w:rsid w:val="2C18F79D"/>
    <w:rsid w:val="2C1F0096"/>
    <w:rsid w:val="2C1F8466"/>
    <w:rsid w:val="2C218E40"/>
    <w:rsid w:val="2C23C22F"/>
    <w:rsid w:val="2C2763B5"/>
    <w:rsid w:val="2C279B1B"/>
    <w:rsid w:val="2C289B65"/>
    <w:rsid w:val="2C33D7B7"/>
    <w:rsid w:val="2C34F6F3"/>
    <w:rsid w:val="2C34FF35"/>
    <w:rsid w:val="2C353189"/>
    <w:rsid w:val="2C37C065"/>
    <w:rsid w:val="2C37D3D6"/>
    <w:rsid w:val="2C3945A0"/>
    <w:rsid w:val="2C41A2FF"/>
    <w:rsid w:val="2C4C53E9"/>
    <w:rsid w:val="2C4F1FE9"/>
    <w:rsid w:val="2C513539"/>
    <w:rsid w:val="2C5197CE"/>
    <w:rsid w:val="2C52C673"/>
    <w:rsid w:val="2C555D63"/>
    <w:rsid w:val="2C5592BB"/>
    <w:rsid w:val="2C5C2C30"/>
    <w:rsid w:val="2C5FC08D"/>
    <w:rsid w:val="2C6195F0"/>
    <w:rsid w:val="2C63E168"/>
    <w:rsid w:val="2C6767DB"/>
    <w:rsid w:val="2C6DBA5E"/>
    <w:rsid w:val="2C6DF555"/>
    <w:rsid w:val="2C72556C"/>
    <w:rsid w:val="2C728779"/>
    <w:rsid w:val="2C7462E9"/>
    <w:rsid w:val="2C77AC7E"/>
    <w:rsid w:val="2C79843C"/>
    <w:rsid w:val="2C7A488D"/>
    <w:rsid w:val="2C7CD703"/>
    <w:rsid w:val="2C820C5C"/>
    <w:rsid w:val="2C823E1E"/>
    <w:rsid w:val="2C82A3D4"/>
    <w:rsid w:val="2C86E253"/>
    <w:rsid w:val="2C8895D0"/>
    <w:rsid w:val="2C899B1E"/>
    <w:rsid w:val="2C8AD6BD"/>
    <w:rsid w:val="2C8BC652"/>
    <w:rsid w:val="2C8C10E0"/>
    <w:rsid w:val="2C8EF1F7"/>
    <w:rsid w:val="2C8F636D"/>
    <w:rsid w:val="2C903B71"/>
    <w:rsid w:val="2C94493D"/>
    <w:rsid w:val="2C9C4287"/>
    <w:rsid w:val="2C9DB676"/>
    <w:rsid w:val="2CA2E110"/>
    <w:rsid w:val="2CA51657"/>
    <w:rsid w:val="2CA6E27C"/>
    <w:rsid w:val="2CA8D2B8"/>
    <w:rsid w:val="2CA95BA7"/>
    <w:rsid w:val="2CAA27EB"/>
    <w:rsid w:val="2CAB4B51"/>
    <w:rsid w:val="2CAE955B"/>
    <w:rsid w:val="2CB0B89F"/>
    <w:rsid w:val="2CB162A6"/>
    <w:rsid w:val="2CB17A5E"/>
    <w:rsid w:val="2CB2AB51"/>
    <w:rsid w:val="2CB2E6B2"/>
    <w:rsid w:val="2CB3A4F4"/>
    <w:rsid w:val="2CB3B592"/>
    <w:rsid w:val="2CB4BA77"/>
    <w:rsid w:val="2CB8156B"/>
    <w:rsid w:val="2CBC81F2"/>
    <w:rsid w:val="2CBF318E"/>
    <w:rsid w:val="2CBFB088"/>
    <w:rsid w:val="2CBFE689"/>
    <w:rsid w:val="2CC25F72"/>
    <w:rsid w:val="2CC3A52F"/>
    <w:rsid w:val="2CC543E7"/>
    <w:rsid w:val="2CCE0A25"/>
    <w:rsid w:val="2CD06D98"/>
    <w:rsid w:val="2CD19308"/>
    <w:rsid w:val="2CD81727"/>
    <w:rsid w:val="2CD9C195"/>
    <w:rsid w:val="2CDB775E"/>
    <w:rsid w:val="2CDE6D0D"/>
    <w:rsid w:val="2CE11713"/>
    <w:rsid w:val="2CE165BC"/>
    <w:rsid w:val="2CEBA60C"/>
    <w:rsid w:val="2CEFDBAE"/>
    <w:rsid w:val="2CF20D24"/>
    <w:rsid w:val="2CF2401C"/>
    <w:rsid w:val="2CF6158B"/>
    <w:rsid w:val="2D02C345"/>
    <w:rsid w:val="2D054047"/>
    <w:rsid w:val="2D0805BF"/>
    <w:rsid w:val="2D097B6E"/>
    <w:rsid w:val="2D112913"/>
    <w:rsid w:val="2D1506A1"/>
    <w:rsid w:val="2D18CBD9"/>
    <w:rsid w:val="2D1A464A"/>
    <w:rsid w:val="2D1A62AA"/>
    <w:rsid w:val="2D1ACB29"/>
    <w:rsid w:val="2D1ADECE"/>
    <w:rsid w:val="2D1B1119"/>
    <w:rsid w:val="2D1E2D13"/>
    <w:rsid w:val="2D1F4943"/>
    <w:rsid w:val="2D24C198"/>
    <w:rsid w:val="2D2B2949"/>
    <w:rsid w:val="2D2E80E6"/>
    <w:rsid w:val="2D2FC29C"/>
    <w:rsid w:val="2D30E7B1"/>
    <w:rsid w:val="2D31B488"/>
    <w:rsid w:val="2D351CD4"/>
    <w:rsid w:val="2D352FB6"/>
    <w:rsid w:val="2D36A0E0"/>
    <w:rsid w:val="2D36D5DF"/>
    <w:rsid w:val="2D37844A"/>
    <w:rsid w:val="2D3AC085"/>
    <w:rsid w:val="2D3B22CB"/>
    <w:rsid w:val="2D3E873C"/>
    <w:rsid w:val="2D3FD3E2"/>
    <w:rsid w:val="2D401207"/>
    <w:rsid w:val="2D40E06D"/>
    <w:rsid w:val="2D4182C3"/>
    <w:rsid w:val="2D4183D7"/>
    <w:rsid w:val="2D45BB45"/>
    <w:rsid w:val="2D47FA24"/>
    <w:rsid w:val="2D487E9C"/>
    <w:rsid w:val="2D493774"/>
    <w:rsid w:val="2D4A0738"/>
    <w:rsid w:val="2D4D325E"/>
    <w:rsid w:val="2D4E849D"/>
    <w:rsid w:val="2D57345F"/>
    <w:rsid w:val="2D57390A"/>
    <w:rsid w:val="2D5DB7D1"/>
    <w:rsid w:val="2D5ED812"/>
    <w:rsid w:val="2D6688F6"/>
    <w:rsid w:val="2D66F774"/>
    <w:rsid w:val="2D683CF3"/>
    <w:rsid w:val="2D6978C3"/>
    <w:rsid w:val="2D744C93"/>
    <w:rsid w:val="2D75E6F4"/>
    <w:rsid w:val="2D769B3E"/>
    <w:rsid w:val="2D772354"/>
    <w:rsid w:val="2D7730F7"/>
    <w:rsid w:val="2D7819C7"/>
    <w:rsid w:val="2D7B1CDF"/>
    <w:rsid w:val="2D7D8112"/>
    <w:rsid w:val="2D813D0C"/>
    <w:rsid w:val="2D83E2DF"/>
    <w:rsid w:val="2D840F9C"/>
    <w:rsid w:val="2D8524F9"/>
    <w:rsid w:val="2D85CEF2"/>
    <w:rsid w:val="2D86206C"/>
    <w:rsid w:val="2D8A7CDC"/>
    <w:rsid w:val="2D8F1D1E"/>
    <w:rsid w:val="2D91EEAA"/>
    <w:rsid w:val="2D9303BC"/>
    <w:rsid w:val="2D965650"/>
    <w:rsid w:val="2D99768E"/>
    <w:rsid w:val="2D9F6300"/>
    <w:rsid w:val="2D9FB649"/>
    <w:rsid w:val="2DA19ADD"/>
    <w:rsid w:val="2DA31AE0"/>
    <w:rsid w:val="2DA35622"/>
    <w:rsid w:val="2DA3FBC1"/>
    <w:rsid w:val="2DAA5958"/>
    <w:rsid w:val="2DAA7E94"/>
    <w:rsid w:val="2DACEC38"/>
    <w:rsid w:val="2DB3F732"/>
    <w:rsid w:val="2DB95305"/>
    <w:rsid w:val="2DBB95F1"/>
    <w:rsid w:val="2DBEB95B"/>
    <w:rsid w:val="2DC0394B"/>
    <w:rsid w:val="2DC52E50"/>
    <w:rsid w:val="2DCFC3A1"/>
    <w:rsid w:val="2DD75F57"/>
    <w:rsid w:val="2DDC579E"/>
    <w:rsid w:val="2DDDDC5C"/>
    <w:rsid w:val="2DE1F836"/>
    <w:rsid w:val="2DE52D73"/>
    <w:rsid w:val="2DE61BA9"/>
    <w:rsid w:val="2DEC4797"/>
    <w:rsid w:val="2DEDA281"/>
    <w:rsid w:val="2DF959CE"/>
    <w:rsid w:val="2DFA672A"/>
    <w:rsid w:val="2DFE19DD"/>
    <w:rsid w:val="2E005948"/>
    <w:rsid w:val="2E023C30"/>
    <w:rsid w:val="2E039E98"/>
    <w:rsid w:val="2E04E314"/>
    <w:rsid w:val="2E04F4D0"/>
    <w:rsid w:val="2E098193"/>
    <w:rsid w:val="2E09A497"/>
    <w:rsid w:val="2E0A490D"/>
    <w:rsid w:val="2E0A663D"/>
    <w:rsid w:val="2E0EA1F1"/>
    <w:rsid w:val="2E10305C"/>
    <w:rsid w:val="2E11465C"/>
    <w:rsid w:val="2E115F4C"/>
    <w:rsid w:val="2E122DB7"/>
    <w:rsid w:val="2E169A56"/>
    <w:rsid w:val="2E17252B"/>
    <w:rsid w:val="2E1836EC"/>
    <w:rsid w:val="2E186405"/>
    <w:rsid w:val="2E1D03BF"/>
    <w:rsid w:val="2E221CB0"/>
    <w:rsid w:val="2E252560"/>
    <w:rsid w:val="2E26BDEE"/>
    <w:rsid w:val="2E2885B9"/>
    <w:rsid w:val="2E29DB58"/>
    <w:rsid w:val="2E2C2337"/>
    <w:rsid w:val="2E2CC1B3"/>
    <w:rsid w:val="2E318EA7"/>
    <w:rsid w:val="2E3232D7"/>
    <w:rsid w:val="2E3350AE"/>
    <w:rsid w:val="2E338774"/>
    <w:rsid w:val="2E34A73A"/>
    <w:rsid w:val="2E3B64C1"/>
    <w:rsid w:val="2E473AAB"/>
    <w:rsid w:val="2E47AEF4"/>
    <w:rsid w:val="2E492578"/>
    <w:rsid w:val="2E556F5D"/>
    <w:rsid w:val="2E56A216"/>
    <w:rsid w:val="2E58B835"/>
    <w:rsid w:val="2E5F37C6"/>
    <w:rsid w:val="2E5F594D"/>
    <w:rsid w:val="2E611F9B"/>
    <w:rsid w:val="2E61A3BC"/>
    <w:rsid w:val="2E620147"/>
    <w:rsid w:val="2E63059B"/>
    <w:rsid w:val="2E65428D"/>
    <w:rsid w:val="2E666E49"/>
    <w:rsid w:val="2E6A9FD2"/>
    <w:rsid w:val="2E6BBF14"/>
    <w:rsid w:val="2E6CA7E7"/>
    <w:rsid w:val="2E6D634D"/>
    <w:rsid w:val="2E6F238E"/>
    <w:rsid w:val="2E72145F"/>
    <w:rsid w:val="2E73754A"/>
    <w:rsid w:val="2E777B6D"/>
    <w:rsid w:val="2E7931E9"/>
    <w:rsid w:val="2E7B9D6B"/>
    <w:rsid w:val="2E7C5BB4"/>
    <w:rsid w:val="2E80FA40"/>
    <w:rsid w:val="2E82E0D0"/>
    <w:rsid w:val="2E834AA1"/>
    <w:rsid w:val="2E836381"/>
    <w:rsid w:val="2E8613E6"/>
    <w:rsid w:val="2E8D61F8"/>
    <w:rsid w:val="2E8F1B7B"/>
    <w:rsid w:val="2E8F27C9"/>
    <w:rsid w:val="2E8F618D"/>
    <w:rsid w:val="2E91E5BD"/>
    <w:rsid w:val="2E92DAD6"/>
    <w:rsid w:val="2E9397A1"/>
    <w:rsid w:val="2E949B41"/>
    <w:rsid w:val="2E959E75"/>
    <w:rsid w:val="2E96F70C"/>
    <w:rsid w:val="2E97CE2B"/>
    <w:rsid w:val="2E983A11"/>
    <w:rsid w:val="2E9ADC3B"/>
    <w:rsid w:val="2E9F0AD8"/>
    <w:rsid w:val="2E9FB221"/>
    <w:rsid w:val="2EA3E6B0"/>
    <w:rsid w:val="2EA612F7"/>
    <w:rsid w:val="2EA98BEB"/>
    <w:rsid w:val="2EAA573F"/>
    <w:rsid w:val="2EAC79E5"/>
    <w:rsid w:val="2EB0DE06"/>
    <w:rsid w:val="2EB19DA9"/>
    <w:rsid w:val="2EB23586"/>
    <w:rsid w:val="2EB61FCC"/>
    <w:rsid w:val="2EB92571"/>
    <w:rsid w:val="2EB92C35"/>
    <w:rsid w:val="2EBF3394"/>
    <w:rsid w:val="2EBF5977"/>
    <w:rsid w:val="2EC05E59"/>
    <w:rsid w:val="2EC086DB"/>
    <w:rsid w:val="2EC697D4"/>
    <w:rsid w:val="2EC829B3"/>
    <w:rsid w:val="2EC8961A"/>
    <w:rsid w:val="2ECB7063"/>
    <w:rsid w:val="2ECEC29C"/>
    <w:rsid w:val="2ED416FC"/>
    <w:rsid w:val="2EDB162C"/>
    <w:rsid w:val="2EDBB889"/>
    <w:rsid w:val="2EDD53ED"/>
    <w:rsid w:val="2EE06483"/>
    <w:rsid w:val="2EE2D62A"/>
    <w:rsid w:val="2EE3E8B3"/>
    <w:rsid w:val="2EE434FF"/>
    <w:rsid w:val="2EEB4C3F"/>
    <w:rsid w:val="2EECB89B"/>
    <w:rsid w:val="2EED84FF"/>
    <w:rsid w:val="2EFFFF7A"/>
    <w:rsid w:val="2F01C979"/>
    <w:rsid w:val="2F022F2B"/>
    <w:rsid w:val="2F04A4CC"/>
    <w:rsid w:val="2F04A81D"/>
    <w:rsid w:val="2F078E91"/>
    <w:rsid w:val="2F0799B3"/>
    <w:rsid w:val="2F084EAC"/>
    <w:rsid w:val="2F0D0163"/>
    <w:rsid w:val="2F0ED2D4"/>
    <w:rsid w:val="2F166086"/>
    <w:rsid w:val="2F166833"/>
    <w:rsid w:val="2F17DCB1"/>
    <w:rsid w:val="2F1B3C0B"/>
    <w:rsid w:val="2F22FE9B"/>
    <w:rsid w:val="2F260A6E"/>
    <w:rsid w:val="2F2A5F6F"/>
    <w:rsid w:val="2F2DAEFF"/>
    <w:rsid w:val="2F31277C"/>
    <w:rsid w:val="2F36C61A"/>
    <w:rsid w:val="2F3779F5"/>
    <w:rsid w:val="2F3F7EA1"/>
    <w:rsid w:val="2F3F97D1"/>
    <w:rsid w:val="2F4330C3"/>
    <w:rsid w:val="2F497B56"/>
    <w:rsid w:val="2F4DB652"/>
    <w:rsid w:val="2F5139FB"/>
    <w:rsid w:val="2F51C1AF"/>
    <w:rsid w:val="2F53EA91"/>
    <w:rsid w:val="2F59CA7B"/>
    <w:rsid w:val="2F6541C0"/>
    <w:rsid w:val="2F74113B"/>
    <w:rsid w:val="2F75E625"/>
    <w:rsid w:val="2F790D36"/>
    <w:rsid w:val="2F791D60"/>
    <w:rsid w:val="2F813684"/>
    <w:rsid w:val="2F88DC0B"/>
    <w:rsid w:val="2F89063F"/>
    <w:rsid w:val="2F8BAC81"/>
    <w:rsid w:val="2F8E16DD"/>
    <w:rsid w:val="2F951DF7"/>
    <w:rsid w:val="2F952BA8"/>
    <w:rsid w:val="2F95B82F"/>
    <w:rsid w:val="2F993D82"/>
    <w:rsid w:val="2F9A3550"/>
    <w:rsid w:val="2F9B8054"/>
    <w:rsid w:val="2F9BD987"/>
    <w:rsid w:val="2F9E58C1"/>
    <w:rsid w:val="2F9FDE94"/>
    <w:rsid w:val="2FA53C4E"/>
    <w:rsid w:val="2FA58EE3"/>
    <w:rsid w:val="2FAA4AF8"/>
    <w:rsid w:val="2FB50EBE"/>
    <w:rsid w:val="2FB63D72"/>
    <w:rsid w:val="2FC0BAC5"/>
    <w:rsid w:val="2FC2A9DD"/>
    <w:rsid w:val="2FC2E0A7"/>
    <w:rsid w:val="2FC5FDC0"/>
    <w:rsid w:val="2FC92633"/>
    <w:rsid w:val="2FCBEEC5"/>
    <w:rsid w:val="2FCD03F3"/>
    <w:rsid w:val="2FCFFE2D"/>
    <w:rsid w:val="2FD11EA7"/>
    <w:rsid w:val="2FD79676"/>
    <w:rsid w:val="2FD993AC"/>
    <w:rsid w:val="2FD9AF4F"/>
    <w:rsid w:val="2FDAA162"/>
    <w:rsid w:val="2FDF009F"/>
    <w:rsid w:val="2FDF4A99"/>
    <w:rsid w:val="2FE0D191"/>
    <w:rsid w:val="2FE1503F"/>
    <w:rsid w:val="2FE33324"/>
    <w:rsid w:val="2FE3EDF8"/>
    <w:rsid w:val="2FE42E26"/>
    <w:rsid w:val="2FE4DC41"/>
    <w:rsid w:val="2FE84558"/>
    <w:rsid w:val="2FE878D5"/>
    <w:rsid w:val="2FEAACD3"/>
    <w:rsid w:val="2FED4558"/>
    <w:rsid w:val="2FEF83B9"/>
    <w:rsid w:val="2FF0F7AC"/>
    <w:rsid w:val="2FF111B1"/>
    <w:rsid w:val="2FF649EC"/>
    <w:rsid w:val="2FFAA841"/>
    <w:rsid w:val="2FFD49C2"/>
    <w:rsid w:val="2FFD87CC"/>
    <w:rsid w:val="2FFEAB2E"/>
    <w:rsid w:val="2FFEB336"/>
    <w:rsid w:val="2FFFF2D3"/>
    <w:rsid w:val="2FFFF82F"/>
    <w:rsid w:val="30003F71"/>
    <w:rsid w:val="30024B61"/>
    <w:rsid w:val="300525BF"/>
    <w:rsid w:val="300620AA"/>
    <w:rsid w:val="30082D9B"/>
    <w:rsid w:val="300DAFFE"/>
    <w:rsid w:val="300F6EB1"/>
    <w:rsid w:val="3010EEE9"/>
    <w:rsid w:val="3020D2A5"/>
    <w:rsid w:val="30256796"/>
    <w:rsid w:val="3026B9F0"/>
    <w:rsid w:val="3027891D"/>
    <w:rsid w:val="3027A163"/>
    <w:rsid w:val="3029649F"/>
    <w:rsid w:val="302AA281"/>
    <w:rsid w:val="302C120C"/>
    <w:rsid w:val="3032D42E"/>
    <w:rsid w:val="30392588"/>
    <w:rsid w:val="30395631"/>
    <w:rsid w:val="303B2D82"/>
    <w:rsid w:val="303D3916"/>
    <w:rsid w:val="303EA5C6"/>
    <w:rsid w:val="30402B6F"/>
    <w:rsid w:val="304208C9"/>
    <w:rsid w:val="3042D991"/>
    <w:rsid w:val="3043914B"/>
    <w:rsid w:val="3043A5B6"/>
    <w:rsid w:val="30440E87"/>
    <w:rsid w:val="3044ADA7"/>
    <w:rsid w:val="30492139"/>
    <w:rsid w:val="304AAEA8"/>
    <w:rsid w:val="304E3A08"/>
    <w:rsid w:val="3053AEDA"/>
    <w:rsid w:val="3056FE6B"/>
    <w:rsid w:val="305CD2D5"/>
    <w:rsid w:val="305DFC29"/>
    <w:rsid w:val="305FAC23"/>
    <w:rsid w:val="305FCA25"/>
    <w:rsid w:val="3061D732"/>
    <w:rsid w:val="3061DC50"/>
    <w:rsid w:val="30621773"/>
    <w:rsid w:val="30623293"/>
    <w:rsid w:val="3066CAE7"/>
    <w:rsid w:val="306799E7"/>
    <w:rsid w:val="3068F02D"/>
    <w:rsid w:val="30697BBC"/>
    <w:rsid w:val="306B0B79"/>
    <w:rsid w:val="306C9852"/>
    <w:rsid w:val="306D6E85"/>
    <w:rsid w:val="3070FE07"/>
    <w:rsid w:val="30714F62"/>
    <w:rsid w:val="30719080"/>
    <w:rsid w:val="307428F6"/>
    <w:rsid w:val="3076CE8B"/>
    <w:rsid w:val="307780F3"/>
    <w:rsid w:val="3077A2EC"/>
    <w:rsid w:val="307D839A"/>
    <w:rsid w:val="307DAB0E"/>
    <w:rsid w:val="30800A68"/>
    <w:rsid w:val="3080D0D3"/>
    <w:rsid w:val="3081B713"/>
    <w:rsid w:val="3084AFD6"/>
    <w:rsid w:val="3087A08F"/>
    <w:rsid w:val="308A69D3"/>
    <w:rsid w:val="308AF69D"/>
    <w:rsid w:val="308B0832"/>
    <w:rsid w:val="308C2A8F"/>
    <w:rsid w:val="3092ED69"/>
    <w:rsid w:val="30999E44"/>
    <w:rsid w:val="309EF967"/>
    <w:rsid w:val="30A11FFE"/>
    <w:rsid w:val="30A1CDA0"/>
    <w:rsid w:val="30A51EF0"/>
    <w:rsid w:val="30A9B764"/>
    <w:rsid w:val="30AA201C"/>
    <w:rsid w:val="30AAD306"/>
    <w:rsid w:val="30AAEFBB"/>
    <w:rsid w:val="30AEE961"/>
    <w:rsid w:val="30B130B9"/>
    <w:rsid w:val="30B9C1D9"/>
    <w:rsid w:val="30BA2173"/>
    <w:rsid w:val="30BD4A22"/>
    <w:rsid w:val="30BF42E1"/>
    <w:rsid w:val="30BFC3AD"/>
    <w:rsid w:val="30BFFE08"/>
    <w:rsid w:val="30C08FD2"/>
    <w:rsid w:val="30C1E338"/>
    <w:rsid w:val="30C5359E"/>
    <w:rsid w:val="30C86B0B"/>
    <w:rsid w:val="30CCCA30"/>
    <w:rsid w:val="30CDF3FC"/>
    <w:rsid w:val="30CF77BB"/>
    <w:rsid w:val="30D5541B"/>
    <w:rsid w:val="30D60CDD"/>
    <w:rsid w:val="30D8E81D"/>
    <w:rsid w:val="30DA242A"/>
    <w:rsid w:val="30DB7903"/>
    <w:rsid w:val="30DBB8CE"/>
    <w:rsid w:val="30E606BE"/>
    <w:rsid w:val="30E6BBE2"/>
    <w:rsid w:val="30E72843"/>
    <w:rsid w:val="30EC1170"/>
    <w:rsid w:val="30EC1E3E"/>
    <w:rsid w:val="30EC8FE6"/>
    <w:rsid w:val="30ED87BC"/>
    <w:rsid w:val="30F0DC3D"/>
    <w:rsid w:val="30F1CBAB"/>
    <w:rsid w:val="30F65A1D"/>
    <w:rsid w:val="30F97C8F"/>
    <w:rsid w:val="30FC404C"/>
    <w:rsid w:val="30FD62B6"/>
    <w:rsid w:val="30FF46D4"/>
    <w:rsid w:val="30FF912C"/>
    <w:rsid w:val="31007354"/>
    <w:rsid w:val="31020419"/>
    <w:rsid w:val="310BF34C"/>
    <w:rsid w:val="310DCC5C"/>
    <w:rsid w:val="31102864"/>
    <w:rsid w:val="31157C14"/>
    <w:rsid w:val="3116903B"/>
    <w:rsid w:val="311ACC50"/>
    <w:rsid w:val="311BA0B0"/>
    <w:rsid w:val="311BA311"/>
    <w:rsid w:val="311C1763"/>
    <w:rsid w:val="311FCFA4"/>
    <w:rsid w:val="3120C9EB"/>
    <w:rsid w:val="3122302D"/>
    <w:rsid w:val="31249663"/>
    <w:rsid w:val="3124E125"/>
    <w:rsid w:val="31299824"/>
    <w:rsid w:val="312A0A4A"/>
    <w:rsid w:val="312D0133"/>
    <w:rsid w:val="312FE511"/>
    <w:rsid w:val="313059F1"/>
    <w:rsid w:val="3130FED6"/>
    <w:rsid w:val="3132E70E"/>
    <w:rsid w:val="3133D50A"/>
    <w:rsid w:val="31349308"/>
    <w:rsid w:val="313925FD"/>
    <w:rsid w:val="313A0919"/>
    <w:rsid w:val="313B83DD"/>
    <w:rsid w:val="313E1DEF"/>
    <w:rsid w:val="313F7D4B"/>
    <w:rsid w:val="31412611"/>
    <w:rsid w:val="3143B1AB"/>
    <w:rsid w:val="314462E2"/>
    <w:rsid w:val="3145AC3F"/>
    <w:rsid w:val="314878AF"/>
    <w:rsid w:val="314CFC1D"/>
    <w:rsid w:val="314E269B"/>
    <w:rsid w:val="314F5743"/>
    <w:rsid w:val="314F5DBF"/>
    <w:rsid w:val="314FA9DD"/>
    <w:rsid w:val="31506933"/>
    <w:rsid w:val="3154215F"/>
    <w:rsid w:val="3157B85C"/>
    <w:rsid w:val="3159D9DD"/>
    <w:rsid w:val="315BD914"/>
    <w:rsid w:val="315E4337"/>
    <w:rsid w:val="31686DE9"/>
    <w:rsid w:val="316965F6"/>
    <w:rsid w:val="316AE8C7"/>
    <w:rsid w:val="316BDF78"/>
    <w:rsid w:val="316D7F54"/>
    <w:rsid w:val="316E176C"/>
    <w:rsid w:val="316EDE2D"/>
    <w:rsid w:val="317523F1"/>
    <w:rsid w:val="31763061"/>
    <w:rsid w:val="3178D0F6"/>
    <w:rsid w:val="31792C87"/>
    <w:rsid w:val="317AE445"/>
    <w:rsid w:val="3184BC95"/>
    <w:rsid w:val="3185A9FC"/>
    <w:rsid w:val="31860127"/>
    <w:rsid w:val="3186C2CC"/>
    <w:rsid w:val="3187DB4E"/>
    <w:rsid w:val="318C4121"/>
    <w:rsid w:val="318E31AC"/>
    <w:rsid w:val="318F238F"/>
    <w:rsid w:val="318FD734"/>
    <w:rsid w:val="31915001"/>
    <w:rsid w:val="319150BA"/>
    <w:rsid w:val="31929A48"/>
    <w:rsid w:val="31934855"/>
    <w:rsid w:val="319690D6"/>
    <w:rsid w:val="3196F6C8"/>
    <w:rsid w:val="31978446"/>
    <w:rsid w:val="3199526B"/>
    <w:rsid w:val="319A82B2"/>
    <w:rsid w:val="319BA503"/>
    <w:rsid w:val="319D8671"/>
    <w:rsid w:val="319FED12"/>
    <w:rsid w:val="31A2079D"/>
    <w:rsid w:val="31A97940"/>
    <w:rsid w:val="31B68279"/>
    <w:rsid w:val="31B8F9A0"/>
    <w:rsid w:val="31B94B23"/>
    <w:rsid w:val="31BA27BF"/>
    <w:rsid w:val="31BB8B58"/>
    <w:rsid w:val="31BE4424"/>
    <w:rsid w:val="31C0B3A4"/>
    <w:rsid w:val="31C0E12B"/>
    <w:rsid w:val="31C23271"/>
    <w:rsid w:val="31C53898"/>
    <w:rsid w:val="31D20CA8"/>
    <w:rsid w:val="31D2D8D3"/>
    <w:rsid w:val="31D45B5D"/>
    <w:rsid w:val="31D8FE1D"/>
    <w:rsid w:val="31DA1F2D"/>
    <w:rsid w:val="31DAB384"/>
    <w:rsid w:val="31DE3E3E"/>
    <w:rsid w:val="31DE47D6"/>
    <w:rsid w:val="31E1FFB6"/>
    <w:rsid w:val="31E3CFE9"/>
    <w:rsid w:val="31E5B85A"/>
    <w:rsid w:val="31E91B9C"/>
    <w:rsid w:val="31E96CCC"/>
    <w:rsid w:val="31EE4AF5"/>
    <w:rsid w:val="31F80CA9"/>
    <w:rsid w:val="31FBCDAE"/>
    <w:rsid w:val="32016DE9"/>
    <w:rsid w:val="3201B02B"/>
    <w:rsid w:val="320270A0"/>
    <w:rsid w:val="3203EBF3"/>
    <w:rsid w:val="3209BB35"/>
    <w:rsid w:val="320ABCCD"/>
    <w:rsid w:val="320AC30F"/>
    <w:rsid w:val="320DEADD"/>
    <w:rsid w:val="320E0A82"/>
    <w:rsid w:val="3210075A"/>
    <w:rsid w:val="321357A0"/>
    <w:rsid w:val="32151EBD"/>
    <w:rsid w:val="32183A6D"/>
    <w:rsid w:val="321A78AB"/>
    <w:rsid w:val="321BB27C"/>
    <w:rsid w:val="321C5555"/>
    <w:rsid w:val="321FBE62"/>
    <w:rsid w:val="3221B709"/>
    <w:rsid w:val="3222D530"/>
    <w:rsid w:val="32254897"/>
    <w:rsid w:val="3225610C"/>
    <w:rsid w:val="32257F4F"/>
    <w:rsid w:val="3225F8B6"/>
    <w:rsid w:val="32263A34"/>
    <w:rsid w:val="3229BF21"/>
    <w:rsid w:val="3229F2F7"/>
    <w:rsid w:val="322DCC43"/>
    <w:rsid w:val="322FB826"/>
    <w:rsid w:val="3233F42B"/>
    <w:rsid w:val="3236EA57"/>
    <w:rsid w:val="323B750D"/>
    <w:rsid w:val="323C6605"/>
    <w:rsid w:val="323E696A"/>
    <w:rsid w:val="323F1442"/>
    <w:rsid w:val="323F23C0"/>
    <w:rsid w:val="323F2CD8"/>
    <w:rsid w:val="323F7DE8"/>
    <w:rsid w:val="32428DB2"/>
    <w:rsid w:val="3245092A"/>
    <w:rsid w:val="3245F24C"/>
    <w:rsid w:val="3246789B"/>
    <w:rsid w:val="32470EA5"/>
    <w:rsid w:val="324712EF"/>
    <w:rsid w:val="32471A06"/>
    <w:rsid w:val="32486200"/>
    <w:rsid w:val="324A440A"/>
    <w:rsid w:val="3251C557"/>
    <w:rsid w:val="3251DC78"/>
    <w:rsid w:val="3252497F"/>
    <w:rsid w:val="325327DC"/>
    <w:rsid w:val="3255D1D3"/>
    <w:rsid w:val="325952D4"/>
    <w:rsid w:val="325CCD3D"/>
    <w:rsid w:val="325CED09"/>
    <w:rsid w:val="3263739D"/>
    <w:rsid w:val="32678DA0"/>
    <w:rsid w:val="3267EF83"/>
    <w:rsid w:val="3269224D"/>
    <w:rsid w:val="326B60E0"/>
    <w:rsid w:val="3270F72F"/>
    <w:rsid w:val="3272DBFE"/>
    <w:rsid w:val="3273008E"/>
    <w:rsid w:val="32733E47"/>
    <w:rsid w:val="327540F3"/>
    <w:rsid w:val="3276023D"/>
    <w:rsid w:val="3278D577"/>
    <w:rsid w:val="327981C8"/>
    <w:rsid w:val="327D5181"/>
    <w:rsid w:val="327DD001"/>
    <w:rsid w:val="32808116"/>
    <w:rsid w:val="3283C94F"/>
    <w:rsid w:val="32892AEC"/>
    <w:rsid w:val="328C65F1"/>
    <w:rsid w:val="32909B4A"/>
    <w:rsid w:val="3290CF9A"/>
    <w:rsid w:val="3291CB03"/>
    <w:rsid w:val="3292D4DB"/>
    <w:rsid w:val="3293983E"/>
    <w:rsid w:val="3293A27D"/>
    <w:rsid w:val="3298173E"/>
    <w:rsid w:val="329A670D"/>
    <w:rsid w:val="329FE0C4"/>
    <w:rsid w:val="32A3147B"/>
    <w:rsid w:val="32A6F6BE"/>
    <w:rsid w:val="32A74E60"/>
    <w:rsid w:val="32A7F8DC"/>
    <w:rsid w:val="32A894DC"/>
    <w:rsid w:val="32ACD4B7"/>
    <w:rsid w:val="32AEFE38"/>
    <w:rsid w:val="32B3A641"/>
    <w:rsid w:val="32B52A2A"/>
    <w:rsid w:val="32BC25EF"/>
    <w:rsid w:val="32C34E92"/>
    <w:rsid w:val="32C37853"/>
    <w:rsid w:val="32C4AA0E"/>
    <w:rsid w:val="32C8A398"/>
    <w:rsid w:val="32D43798"/>
    <w:rsid w:val="32DCFBE2"/>
    <w:rsid w:val="32DDC737"/>
    <w:rsid w:val="32DDE003"/>
    <w:rsid w:val="32E09FB1"/>
    <w:rsid w:val="32E3818A"/>
    <w:rsid w:val="32F2025C"/>
    <w:rsid w:val="32F39BB4"/>
    <w:rsid w:val="32F821EE"/>
    <w:rsid w:val="32FA8B55"/>
    <w:rsid w:val="32FF3F57"/>
    <w:rsid w:val="32FF642A"/>
    <w:rsid w:val="33048806"/>
    <w:rsid w:val="3313667B"/>
    <w:rsid w:val="33139833"/>
    <w:rsid w:val="33166035"/>
    <w:rsid w:val="3319FD27"/>
    <w:rsid w:val="331A1A57"/>
    <w:rsid w:val="331DBAEE"/>
    <w:rsid w:val="331E80D4"/>
    <w:rsid w:val="331E8751"/>
    <w:rsid w:val="331F4F4E"/>
    <w:rsid w:val="3321F0F9"/>
    <w:rsid w:val="33244972"/>
    <w:rsid w:val="332464D6"/>
    <w:rsid w:val="332831DD"/>
    <w:rsid w:val="3329C7F0"/>
    <w:rsid w:val="3329E163"/>
    <w:rsid w:val="332B13D7"/>
    <w:rsid w:val="332BC29D"/>
    <w:rsid w:val="332D2D2E"/>
    <w:rsid w:val="332F18B6"/>
    <w:rsid w:val="3330E953"/>
    <w:rsid w:val="3331EDA2"/>
    <w:rsid w:val="3332085D"/>
    <w:rsid w:val="333748BB"/>
    <w:rsid w:val="33376AD0"/>
    <w:rsid w:val="3339A391"/>
    <w:rsid w:val="33408397"/>
    <w:rsid w:val="33418B0C"/>
    <w:rsid w:val="3346EACF"/>
    <w:rsid w:val="335B6937"/>
    <w:rsid w:val="335BCBE5"/>
    <w:rsid w:val="335F381D"/>
    <w:rsid w:val="33614121"/>
    <w:rsid w:val="33662F8F"/>
    <w:rsid w:val="3366355A"/>
    <w:rsid w:val="33672C1E"/>
    <w:rsid w:val="33680967"/>
    <w:rsid w:val="3368805E"/>
    <w:rsid w:val="336AFFA7"/>
    <w:rsid w:val="336B1CCD"/>
    <w:rsid w:val="3375CD78"/>
    <w:rsid w:val="33778271"/>
    <w:rsid w:val="3377AF59"/>
    <w:rsid w:val="3379FEEE"/>
    <w:rsid w:val="337E8B26"/>
    <w:rsid w:val="3387BF28"/>
    <w:rsid w:val="33886606"/>
    <w:rsid w:val="338A3FFC"/>
    <w:rsid w:val="338A4769"/>
    <w:rsid w:val="338B24E3"/>
    <w:rsid w:val="338B9908"/>
    <w:rsid w:val="339422D3"/>
    <w:rsid w:val="33959503"/>
    <w:rsid w:val="339814F3"/>
    <w:rsid w:val="3399A9FC"/>
    <w:rsid w:val="3399EAD2"/>
    <w:rsid w:val="33A446D2"/>
    <w:rsid w:val="33AB186D"/>
    <w:rsid w:val="33ABC558"/>
    <w:rsid w:val="33AC0F9D"/>
    <w:rsid w:val="33B0C510"/>
    <w:rsid w:val="33B2AD8D"/>
    <w:rsid w:val="33B348DC"/>
    <w:rsid w:val="33B77089"/>
    <w:rsid w:val="33B8B1CD"/>
    <w:rsid w:val="33B8D955"/>
    <w:rsid w:val="33BDF6EC"/>
    <w:rsid w:val="33C22647"/>
    <w:rsid w:val="33C446A1"/>
    <w:rsid w:val="33C6F048"/>
    <w:rsid w:val="33C775BC"/>
    <w:rsid w:val="33C7A39D"/>
    <w:rsid w:val="33C9BCFA"/>
    <w:rsid w:val="33C9CAF1"/>
    <w:rsid w:val="33C9FB13"/>
    <w:rsid w:val="33CE7D90"/>
    <w:rsid w:val="33D5356F"/>
    <w:rsid w:val="33D5CE21"/>
    <w:rsid w:val="33DC8385"/>
    <w:rsid w:val="33E0CAED"/>
    <w:rsid w:val="33E4F59B"/>
    <w:rsid w:val="33E549AD"/>
    <w:rsid w:val="33E9C94F"/>
    <w:rsid w:val="33F2E42F"/>
    <w:rsid w:val="33F55FD3"/>
    <w:rsid w:val="33FA1789"/>
    <w:rsid w:val="33FA2CCC"/>
    <w:rsid w:val="33FADA19"/>
    <w:rsid w:val="33FBF68E"/>
    <w:rsid w:val="33FC46FB"/>
    <w:rsid w:val="33FC93C1"/>
    <w:rsid w:val="33FF58EE"/>
    <w:rsid w:val="3402E5DC"/>
    <w:rsid w:val="3407B892"/>
    <w:rsid w:val="340FC283"/>
    <w:rsid w:val="34102032"/>
    <w:rsid w:val="341146AD"/>
    <w:rsid w:val="34139BB9"/>
    <w:rsid w:val="34140934"/>
    <w:rsid w:val="3417AEBC"/>
    <w:rsid w:val="34188637"/>
    <w:rsid w:val="3419B81F"/>
    <w:rsid w:val="3419FAE0"/>
    <w:rsid w:val="341B5CA1"/>
    <w:rsid w:val="341B77DF"/>
    <w:rsid w:val="341BEFAF"/>
    <w:rsid w:val="341E601C"/>
    <w:rsid w:val="3421A4B8"/>
    <w:rsid w:val="34230635"/>
    <w:rsid w:val="3423AB3E"/>
    <w:rsid w:val="3424DD5D"/>
    <w:rsid w:val="34268416"/>
    <w:rsid w:val="34273E56"/>
    <w:rsid w:val="3428DB73"/>
    <w:rsid w:val="3428EF9E"/>
    <w:rsid w:val="342AB19F"/>
    <w:rsid w:val="342C2986"/>
    <w:rsid w:val="342C9245"/>
    <w:rsid w:val="3432C91B"/>
    <w:rsid w:val="3438E410"/>
    <w:rsid w:val="343A8138"/>
    <w:rsid w:val="343CA802"/>
    <w:rsid w:val="343E6EC3"/>
    <w:rsid w:val="3441E9F2"/>
    <w:rsid w:val="3442F2F5"/>
    <w:rsid w:val="34441613"/>
    <w:rsid w:val="34478E78"/>
    <w:rsid w:val="3448A832"/>
    <w:rsid w:val="3448E3E6"/>
    <w:rsid w:val="344B2851"/>
    <w:rsid w:val="344E798F"/>
    <w:rsid w:val="344F4072"/>
    <w:rsid w:val="344FC98F"/>
    <w:rsid w:val="34514F32"/>
    <w:rsid w:val="3453A728"/>
    <w:rsid w:val="3455D237"/>
    <w:rsid w:val="3457273D"/>
    <w:rsid w:val="34584C7A"/>
    <w:rsid w:val="345E806D"/>
    <w:rsid w:val="34646BAA"/>
    <w:rsid w:val="346552C2"/>
    <w:rsid w:val="346D84CA"/>
    <w:rsid w:val="346FCAF7"/>
    <w:rsid w:val="34737794"/>
    <w:rsid w:val="3475B3D3"/>
    <w:rsid w:val="34775A24"/>
    <w:rsid w:val="347BD9B3"/>
    <w:rsid w:val="347DAF80"/>
    <w:rsid w:val="347DDE49"/>
    <w:rsid w:val="347F1C00"/>
    <w:rsid w:val="348259E0"/>
    <w:rsid w:val="34836B91"/>
    <w:rsid w:val="34842E8A"/>
    <w:rsid w:val="34844DC4"/>
    <w:rsid w:val="3486C54D"/>
    <w:rsid w:val="34888A56"/>
    <w:rsid w:val="3489E38C"/>
    <w:rsid w:val="348C9A2C"/>
    <w:rsid w:val="3490378E"/>
    <w:rsid w:val="3498B118"/>
    <w:rsid w:val="349AFCE0"/>
    <w:rsid w:val="349E488B"/>
    <w:rsid w:val="34A31335"/>
    <w:rsid w:val="34A51DBB"/>
    <w:rsid w:val="34A64CC5"/>
    <w:rsid w:val="34A6AD47"/>
    <w:rsid w:val="34A7B47D"/>
    <w:rsid w:val="34A8836F"/>
    <w:rsid w:val="34A8C91C"/>
    <w:rsid w:val="34A96760"/>
    <w:rsid w:val="34ACD263"/>
    <w:rsid w:val="34B12F9D"/>
    <w:rsid w:val="34B1A6EA"/>
    <w:rsid w:val="34B28784"/>
    <w:rsid w:val="34B2ACA8"/>
    <w:rsid w:val="34B2D7E7"/>
    <w:rsid w:val="34B9AAA4"/>
    <w:rsid w:val="34BAB37E"/>
    <w:rsid w:val="34BB9605"/>
    <w:rsid w:val="34BFC396"/>
    <w:rsid w:val="34C098D3"/>
    <w:rsid w:val="34C688AD"/>
    <w:rsid w:val="34C9B70F"/>
    <w:rsid w:val="34CAE431"/>
    <w:rsid w:val="34CAE917"/>
    <w:rsid w:val="34CAF3F5"/>
    <w:rsid w:val="34CD09A3"/>
    <w:rsid w:val="34CF3391"/>
    <w:rsid w:val="34CF7710"/>
    <w:rsid w:val="34D86754"/>
    <w:rsid w:val="34D93A93"/>
    <w:rsid w:val="34D9624C"/>
    <w:rsid w:val="34D99550"/>
    <w:rsid w:val="34D9B852"/>
    <w:rsid w:val="34DC7E28"/>
    <w:rsid w:val="34DDDFAD"/>
    <w:rsid w:val="34EB87FA"/>
    <w:rsid w:val="34EBBD72"/>
    <w:rsid w:val="34EC5476"/>
    <w:rsid w:val="34ED564B"/>
    <w:rsid w:val="34EF12DB"/>
    <w:rsid w:val="34F2B3C8"/>
    <w:rsid w:val="34F3CAAD"/>
    <w:rsid w:val="34F4600C"/>
    <w:rsid w:val="34F5C049"/>
    <w:rsid w:val="34F5CD96"/>
    <w:rsid w:val="34FAF7AF"/>
    <w:rsid w:val="34FBD890"/>
    <w:rsid w:val="34FCD148"/>
    <w:rsid w:val="34FCEE1F"/>
    <w:rsid w:val="34FDA775"/>
    <w:rsid w:val="3501D208"/>
    <w:rsid w:val="350385F9"/>
    <w:rsid w:val="35042E5C"/>
    <w:rsid w:val="3504A29B"/>
    <w:rsid w:val="35058E50"/>
    <w:rsid w:val="3505BB1D"/>
    <w:rsid w:val="350BFD66"/>
    <w:rsid w:val="350DD0E8"/>
    <w:rsid w:val="350FB8B2"/>
    <w:rsid w:val="35136391"/>
    <w:rsid w:val="3516F82E"/>
    <w:rsid w:val="35184A01"/>
    <w:rsid w:val="351DF42F"/>
    <w:rsid w:val="351E0A65"/>
    <w:rsid w:val="351E2B99"/>
    <w:rsid w:val="351E32BF"/>
    <w:rsid w:val="351FE180"/>
    <w:rsid w:val="3521D6C2"/>
    <w:rsid w:val="352279AE"/>
    <w:rsid w:val="3522F09C"/>
    <w:rsid w:val="352413F9"/>
    <w:rsid w:val="3524DF7B"/>
    <w:rsid w:val="3529336F"/>
    <w:rsid w:val="3529429A"/>
    <w:rsid w:val="3529F733"/>
    <w:rsid w:val="352A026A"/>
    <w:rsid w:val="352E6052"/>
    <w:rsid w:val="35333DE2"/>
    <w:rsid w:val="3533F19D"/>
    <w:rsid w:val="3535728C"/>
    <w:rsid w:val="3537900A"/>
    <w:rsid w:val="353E1D21"/>
    <w:rsid w:val="353E6BFA"/>
    <w:rsid w:val="353FF4C6"/>
    <w:rsid w:val="3544E77E"/>
    <w:rsid w:val="3546B55F"/>
    <w:rsid w:val="3546B5FD"/>
    <w:rsid w:val="354C1D4D"/>
    <w:rsid w:val="354F27DE"/>
    <w:rsid w:val="354FBF56"/>
    <w:rsid w:val="354FD957"/>
    <w:rsid w:val="354FDCA3"/>
    <w:rsid w:val="35508C49"/>
    <w:rsid w:val="35576F4C"/>
    <w:rsid w:val="355EF49C"/>
    <w:rsid w:val="35610240"/>
    <w:rsid w:val="35613416"/>
    <w:rsid w:val="356224B2"/>
    <w:rsid w:val="3563DF95"/>
    <w:rsid w:val="35678D7C"/>
    <w:rsid w:val="3568527E"/>
    <w:rsid w:val="3568B602"/>
    <w:rsid w:val="356AE005"/>
    <w:rsid w:val="356B1AA3"/>
    <w:rsid w:val="356CD033"/>
    <w:rsid w:val="356D0250"/>
    <w:rsid w:val="35745211"/>
    <w:rsid w:val="357955D3"/>
    <w:rsid w:val="357B25C1"/>
    <w:rsid w:val="357FF2B2"/>
    <w:rsid w:val="35803DAE"/>
    <w:rsid w:val="3580E3D5"/>
    <w:rsid w:val="3582C9DC"/>
    <w:rsid w:val="3583099A"/>
    <w:rsid w:val="358486CB"/>
    <w:rsid w:val="358513D2"/>
    <w:rsid w:val="359298FC"/>
    <w:rsid w:val="35988C75"/>
    <w:rsid w:val="359B682D"/>
    <w:rsid w:val="35A1895F"/>
    <w:rsid w:val="35A298EE"/>
    <w:rsid w:val="35A74101"/>
    <w:rsid w:val="35A952F6"/>
    <w:rsid w:val="35AC6CF1"/>
    <w:rsid w:val="35ACDCA2"/>
    <w:rsid w:val="35B21D69"/>
    <w:rsid w:val="35B2D864"/>
    <w:rsid w:val="35B428F5"/>
    <w:rsid w:val="35B47DB1"/>
    <w:rsid w:val="35B690A7"/>
    <w:rsid w:val="35B69B44"/>
    <w:rsid w:val="35BDD405"/>
    <w:rsid w:val="35BE147F"/>
    <w:rsid w:val="35C2515B"/>
    <w:rsid w:val="35C2CF1B"/>
    <w:rsid w:val="35C2DB32"/>
    <w:rsid w:val="35C2F4D9"/>
    <w:rsid w:val="35CA3D92"/>
    <w:rsid w:val="35CE124D"/>
    <w:rsid w:val="35CF129D"/>
    <w:rsid w:val="35D06E26"/>
    <w:rsid w:val="35D2BCDC"/>
    <w:rsid w:val="35D6F382"/>
    <w:rsid w:val="35D74F78"/>
    <w:rsid w:val="35D8A932"/>
    <w:rsid w:val="35DB6826"/>
    <w:rsid w:val="35DBDA57"/>
    <w:rsid w:val="35DC8377"/>
    <w:rsid w:val="35DE7F6C"/>
    <w:rsid w:val="35DFFC6D"/>
    <w:rsid w:val="35E125A1"/>
    <w:rsid w:val="35E68A1A"/>
    <w:rsid w:val="35E6C668"/>
    <w:rsid w:val="35E79ADF"/>
    <w:rsid w:val="35E8792C"/>
    <w:rsid w:val="35EEF761"/>
    <w:rsid w:val="35F03FFA"/>
    <w:rsid w:val="35F0BE52"/>
    <w:rsid w:val="35F2F8C6"/>
    <w:rsid w:val="35F358AE"/>
    <w:rsid w:val="35F3B219"/>
    <w:rsid w:val="35F3C170"/>
    <w:rsid w:val="35F54EC3"/>
    <w:rsid w:val="35FABA39"/>
    <w:rsid w:val="35FC8F9C"/>
    <w:rsid w:val="36004226"/>
    <w:rsid w:val="3600C46B"/>
    <w:rsid w:val="36010D53"/>
    <w:rsid w:val="3601D490"/>
    <w:rsid w:val="3603DBD3"/>
    <w:rsid w:val="36085789"/>
    <w:rsid w:val="36085C5F"/>
    <w:rsid w:val="360DD5EA"/>
    <w:rsid w:val="360EA8F6"/>
    <w:rsid w:val="361073C6"/>
    <w:rsid w:val="361299C8"/>
    <w:rsid w:val="361335D3"/>
    <w:rsid w:val="36134EE0"/>
    <w:rsid w:val="361649BA"/>
    <w:rsid w:val="36181DEF"/>
    <w:rsid w:val="3619C72D"/>
    <w:rsid w:val="361C026E"/>
    <w:rsid w:val="361E61DD"/>
    <w:rsid w:val="3623CAEB"/>
    <w:rsid w:val="362862CA"/>
    <w:rsid w:val="3628A48A"/>
    <w:rsid w:val="36309560"/>
    <w:rsid w:val="36332D9E"/>
    <w:rsid w:val="36374B22"/>
    <w:rsid w:val="363A7F0F"/>
    <w:rsid w:val="363D4196"/>
    <w:rsid w:val="363F19B0"/>
    <w:rsid w:val="36410BBC"/>
    <w:rsid w:val="36440B4B"/>
    <w:rsid w:val="36445E33"/>
    <w:rsid w:val="36487496"/>
    <w:rsid w:val="364D2D59"/>
    <w:rsid w:val="36546667"/>
    <w:rsid w:val="3655F328"/>
    <w:rsid w:val="36569EDA"/>
    <w:rsid w:val="365944E7"/>
    <w:rsid w:val="3659A051"/>
    <w:rsid w:val="365A2DA9"/>
    <w:rsid w:val="365C226C"/>
    <w:rsid w:val="365C9911"/>
    <w:rsid w:val="365CC99C"/>
    <w:rsid w:val="365CDB9B"/>
    <w:rsid w:val="3662F85E"/>
    <w:rsid w:val="36654192"/>
    <w:rsid w:val="3667A57A"/>
    <w:rsid w:val="36687039"/>
    <w:rsid w:val="366DB88F"/>
    <w:rsid w:val="366FB2FD"/>
    <w:rsid w:val="3671915D"/>
    <w:rsid w:val="3672094B"/>
    <w:rsid w:val="3672422A"/>
    <w:rsid w:val="3672ED53"/>
    <w:rsid w:val="3676D608"/>
    <w:rsid w:val="367755AA"/>
    <w:rsid w:val="36787093"/>
    <w:rsid w:val="367CF39B"/>
    <w:rsid w:val="367D34E5"/>
    <w:rsid w:val="36854E8A"/>
    <w:rsid w:val="36867E43"/>
    <w:rsid w:val="368A682C"/>
    <w:rsid w:val="368C8D70"/>
    <w:rsid w:val="368ECA43"/>
    <w:rsid w:val="368F107C"/>
    <w:rsid w:val="3693F573"/>
    <w:rsid w:val="36952812"/>
    <w:rsid w:val="369D591D"/>
    <w:rsid w:val="369E21C1"/>
    <w:rsid w:val="36A333BD"/>
    <w:rsid w:val="36A8C529"/>
    <w:rsid w:val="36AB9072"/>
    <w:rsid w:val="36AC08DC"/>
    <w:rsid w:val="36AC3A49"/>
    <w:rsid w:val="36B594FB"/>
    <w:rsid w:val="36BE6D41"/>
    <w:rsid w:val="36C3AC35"/>
    <w:rsid w:val="36CAF198"/>
    <w:rsid w:val="36D36733"/>
    <w:rsid w:val="36D914AE"/>
    <w:rsid w:val="36DA659A"/>
    <w:rsid w:val="36DA86E9"/>
    <w:rsid w:val="36DBC527"/>
    <w:rsid w:val="36DC3561"/>
    <w:rsid w:val="36DF9201"/>
    <w:rsid w:val="36E69F13"/>
    <w:rsid w:val="36E6E149"/>
    <w:rsid w:val="36E8EF7B"/>
    <w:rsid w:val="36EA110A"/>
    <w:rsid w:val="36EC0B94"/>
    <w:rsid w:val="36EE4900"/>
    <w:rsid w:val="36F01ABC"/>
    <w:rsid w:val="36F0F1D0"/>
    <w:rsid w:val="36F9B6D6"/>
    <w:rsid w:val="36FBD5F9"/>
    <w:rsid w:val="36FDEB23"/>
    <w:rsid w:val="36FE7809"/>
    <w:rsid w:val="36FF445F"/>
    <w:rsid w:val="36FFAB7A"/>
    <w:rsid w:val="36FFFA98"/>
    <w:rsid w:val="3701576B"/>
    <w:rsid w:val="3705844B"/>
    <w:rsid w:val="3705E718"/>
    <w:rsid w:val="3706A1B1"/>
    <w:rsid w:val="37073771"/>
    <w:rsid w:val="370AA47E"/>
    <w:rsid w:val="370AC4A2"/>
    <w:rsid w:val="37103FF5"/>
    <w:rsid w:val="3712D53E"/>
    <w:rsid w:val="371953B4"/>
    <w:rsid w:val="3719FC72"/>
    <w:rsid w:val="371CAAD7"/>
    <w:rsid w:val="371D7F41"/>
    <w:rsid w:val="371DCB0A"/>
    <w:rsid w:val="371DCF74"/>
    <w:rsid w:val="37208CE1"/>
    <w:rsid w:val="372722B1"/>
    <w:rsid w:val="3727860D"/>
    <w:rsid w:val="3728237B"/>
    <w:rsid w:val="372878C5"/>
    <w:rsid w:val="3728C266"/>
    <w:rsid w:val="3728E5E8"/>
    <w:rsid w:val="372E9B83"/>
    <w:rsid w:val="372EA6A9"/>
    <w:rsid w:val="372EC694"/>
    <w:rsid w:val="3730B98B"/>
    <w:rsid w:val="37343205"/>
    <w:rsid w:val="37347FD0"/>
    <w:rsid w:val="373703CA"/>
    <w:rsid w:val="37380025"/>
    <w:rsid w:val="373AB4AE"/>
    <w:rsid w:val="373F0EA6"/>
    <w:rsid w:val="3740135E"/>
    <w:rsid w:val="3742AC5A"/>
    <w:rsid w:val="37439F84"/>
    <w:rsid w:val="37453476"/>
    <w:rsid w:val="3746CF79"/>
    <w:rsid w:val="3749C17C"/>
    <w:rsid w:val="374B61F8"/>
    <w:rsid w:val="374F600C"/>
    <w:rsid w:val="3750FC33"/>
    <w:rsid w:val="37522DF9"/>
    <w:rsid w:val="375826DF"/>
    <w:rsid w:val="375A474E"/>
    <w:rsid w:val="375B7877"/>
    <w:rsid w:val="3762C149"/>
    <w:rsid w:val="37633EBC"/>
    <w:rsid w:val="37662222"/>
    <w:rsid w:val="376BDCC4"/>
    <w:rsid w:val="37704B26"/>
    <w:rsid w:val="37711F94"/>
    <w:rsid w:val="3772CEF0"/>
    <w:rsid w:val="377798E4"/>
    <w:rsid w:val="377A009E"/>
    <w:rsid w:val="378033BF"/>
    <w:rsid w:val="378248B9"/>
    <w:rsid w:val="37880758"/>
    <w:rsid w:val="378AFD44"/>
    <w:rsid w:val="378BCC88"/>
    <w:rsid w:val="3794FFDC"/>
    <w:rsid w:val="3798270A"/>
    <w:rsid w:val="3799A92D"/>
    <w:rsid w:val="3799D221"/>
    <w:rsid w:val="379A3379"/>
    <w:rsid w:val="379DAC37"/>
    <w:rsid w:val="379EF5F6"/>
    <w:rsid w:val="37A14E7E"/>
    <w:rsid w:val="37A3487A"/>
    <w:rsid w:val="37A6C294"/>
    <w:rsid w:val="37A7EE2B"/>
    <w:rsid w:val="37A9D3EF"/>
    <w:rsid w:val="37AA2BF5"/>
    <w:rsid w:val="37AB389F"/>
    <w:rsid w:val="37ACFE79"/>
    <w:rsid w:val="37B171EF"/>
    <w:rsid w:val="37B2E6BF"/>
    <w:rsid w:val="37B41BA4"/>
    <w:rsid w:val="37B42849"/>
    <w:rsid w:val="37B53469"/>
    <w:rsid w:val="37B72E1F"/>
    <w:rsid w:val="37BD17C6"/>
    <w:rsid w:val="37C34FFA"/>
    <w:rsid w:val="37C3B24B"/>
    <w:rsid w:val="37C4BDF4"/>
    <w:rsid w:val="37C58AF2"/>
    <w:rsid w:val="37CDB59D"/>
    <w:rsid w:val="37D083B4"/>
    <w:rsid w:val="37D130DE"/>
    <w:rsid w:val="37D1F00B"/>
    <w:rsid w:val="37D59AE8"/>
    <w:rsid w:val="37D9B79D"/>
    <w:rsid w:val="37DA3050"/>
    <w:rsid w:val="37DA8D48"/>
    <w:rsid w:val="37DB4AB1"/>
    <w:rsid w:val="37DE89A4"/>
    <w:rsid w:val="37DF10FA"/>
    <w:rsid w:val="37E2F0CD"/>
    <w:rsid w:val="37E30FF5"/>
    <w:rsid w:val="37E392C7"/>
    <w:rsid w:val="37E3E2B1"/>
    <w:rsid w:val="37E57ABF"/>
    <w:rsid w:val="37E736FA"/>
    <w:rsid w:val="37EC2DC1"/>
    <w:rsid w:val="37EF6459"/>
    <w:rsid w:val="37F2025B"/>
    <w:rsid w:val="37F3637C"/>
    <w:rsid w:val="37F6F880"/>
    <w:rsid w:val="37F752A6"/>
    <w:rsid w:val="37F7760A"/>
    <w:rsid w:val="37FA28EF"/>
    <w:rsid w:val="380331FA"/>
    <w:rsid w:val="38039580"/>
    <w:rsid w:val="3806029A"/>
    <w:rsid w:val="3806DC31"/>
    <w:rsid w:val="380953EC"/>
    <w:rsid w:val="380C6342"/>
    <w:rsid w:val="380F45FC"/>
    <w:rsid w:val="38169310"/>
    <w:rsid w:val="381BE682"/>
    <w:rsid w:val="381CDA05"/>
    <w:rsid w:val="3820A10D"/>
    <w:rsid w:val="3820A4DB"/>
    <w:rsid w:val="38217B3C"/>
    <w:rsid w:val="3824FAC7"/>
    <w:rsid w:val="38288368"/>
    <w:rsid w:val="38293EBA"/>
    <w:rsid w:val="3829E229"/>
    <w:rsid w:val="382B94B0"/>
    <w:rsid w:val="382E483A"/>
    <w:rsid w:val="382E9EB6"/>
    <w:rsid w:val="382EE79E"/>
    <w:rsid w:val="382F229E"/>
    <w:rsid w:val="382FE97D"/>
    <w:rsid w:val="3830BF9D"/>
    <w:rsid w:val="383420F3"/>
    <w:rsid w:val="38354D96"/>
    <w:rsid w:val="38387D80"/>
    <w:rsid w:val="383B20BA"/>
    <w:rsid w:val="383FFF92"/>
    <w:rsid w:val="3840FFE1"/>
    <w:rsid w:val="38414FCF"/>
    <w:rsid w:val="3845BA30"/>
    <w:rsid w:val="384FDDE7"/>
    <w:rsid w:val="3851AC55"/>
    <w:rsid w:val="3857375F"/>
    <w:rsid w:val="38580430"/>
    <w:rsid w:val="3859B189"/>
    <w:rsid w:val="385A3BAF"/>
    <w:rsid w:val="385A654B"/>
    <w:rsid w:val="385BC38F"/>
    <w:rsid w:val="38634872"/>
    <w:rsid w:val="3864FC8C"/>
    <w:rsid w:val="3866A0E0"/>
    <w:rsid w:val="3867002F"/>
    <w:rsid w:val="386831DD"/>
    <w:rsid w:val="38698F5C"/>
    <w:rsid w:val="386ED0FA"/>
    <w:rsid w:val="3871317C"/>
    <w:rsid w:val="38721047"/>
    <w:rsid w:val="3872F0C9"/>
    <w:rsid w:val="387525A2"/>
    <w:rsid w:val="3877F156"/>
    <w:rsid w:val="38792128"/>
    <w:rsid w:val="387E718D"/>
    <w:rsid w:val="3885450B"/>
    <w:rsid w:val="3886FB9E"/>
    <w:rsid w:val="38870226"/>
    <w:rsid w:val="388ABA2B"/>
    <w:rsid w:val="388C27FA"/>
    <w:rsid w:val="388EE019"/>
    <w:rsid w:val="38900F09"/>
    <w:rsid w:val="389804C5"/>
    <w:rsid w:val="38985295"/>
    <w:rsid w:val="389CD994"/>
    <w:rsid w:val="38A4A7B9"/>
    <w:rsid w:val="38A72242"/>
    <w:rsid w:val="38AA6875"/>
    <w:rsid w:val="38AA8086"/>
    <w:rsid w:val="38ABC758"/>
    <w:rsid w:val="38AC1056"/>
    <w:rsid w:val="38AF66A0"/>
    <w:rsid w:val="38AFC065"/>
    <w:rsid w:val="38AFE67C"/>
    <w:rsid w:val="38B02E53"/>
    <w:rsid w:val="38B5A267"/>
    <w:rsid w:val="38B72117"/>
    <w:rsid w:val="38B742F0"/>
    <w:rsid w:val="38B93C8F"/>
    <w:rsid w:val="38BB381B"/>
    <w:rsid w:val="38BB6028"/>
    <w:rsid w:val="38BBEE29"/>
    <w:rsid w:val="38BC74AC"/>
    <w:rsid w:val="38BDC46A"/>
    <w:rsid w:val="38BF2571"/>
    <w:rsid w:val="38BFCA99"/>
    <w:rsid w:val="38C172EE"/>
    <w:rsid w:val="38C692D3"/>
    <w:rsid w:val="38CA2941"/>
    <w:rsid w:val="38CD047B"/>
    <w:rsid w:val="38D2CA2F"/>
    <w:rsid w:val="38D6B616"/>
    <w:rsid w:val="38D88F30"/>
    <w:rsid w:val="38DA0A69"/>
    <w:rsid w:val="38DA336A"/>
    <w:rsid w:val="38DBC393"/>
    <w:rsid w:val="38DC7ECB"/>
    <w:rsid w:val="38DCFF1D"/>
    <w:rsid w:val="38DED738"/>
    <w:rsid w:val="38DFF1D4"/>
    <w:rsid w:val="38E3B910"/>
    <w:rsid w:val="38E5F946"/>
    <w:rsid w:val="38E7FDBD"/>
    <w:rsid w:val="38EAB0F2"/>
    <w:rsid w:val="38EE5081"/>
    <w:rsid w:val="38EE92FC"/>
    <w:rsid w:val="38F24C39"/>
    <w:rsid w:val="38F29437"/>
    <w:rsid w:val="38F2B64C"/>
    <w:rsid w:val="38F601B4"/>
    <w:rsid w:val="38F6240D"/>
    <w:rsid w:val="38F6EC11"/>
    <w:rsid w:val="38F736FD"/>
    <w:rsid w:val="38F887BB"/>
    <w:rsid w:val="38FDA392"/>
    <w:rsid w:val="39011AAB"/>
    <w:rsid w:val="39043680"/>
    <w:rsid w:val="390627DC"/>
    <w:rsid w:val="390A31D1"/>
    <w:rsid w:val="390DBD93"/>
    <w:rsid w:val="390E12F3"/>
    <w:rsid w:val="391093B1"/>
    <w:rsid w:val="39127F9B"/>
    <w:rsid w:val="39194B88"/>
    <w:rsid w:val="391A077F"/>
    <w:rsid w:val="391E75C6"/>
    <w:rsid w:val="392097A7"/>
    <w:rsid w:val="39225662"/>
    <w:rsid w:val="392284C4"/>
    <w:rsid w:val="3922FAEC"/>
    <w:rsid w:val="3924E3F6"/>
    <w:rsid w:val="392540DE"/>
    <w:rsid w:val="39260C34"/>
    <w:rsid w:val="39265B5F"/>
    <w:rsid w:val="39298DC0"/>
    <w:rsid w:val="392A29ED"/>
    <w:rsid w:val="392CF760"/>
    <w:rsid w:val="3932F7C7"/>
    <w:rsid w:val="3935512B"/>
    <w:rsid w:val="39367DC1"/>
    <w:rsid w:val="39398614"/>
    <w:rsid w:val="393B73C0"/>
    <w:rsid w:val="393EAEB1"/>
    <w:rsid w:val="394018F5"/>
    <w:rsid w:val="3941DCE3"/>
    <w:rsid w:val="39472C5C"/>
    <w:rsid w:val="39498E50"/>
    <w:rsid w:val="3949E932"/>
    <w:rsid w:val="394CC8E3"/>
    <w:rsid w:val="39515F05"/>
    <w:rsid w:val="3951D301"/>
    <w:rsid w:val="3951E8E6"/>
    <w:rsid w:val="39551CCE"/>
    <w:rsid w:val="39573ECC"/>
    <w:rsid w:val="39595D72"/>
    <w:rsid w:val="39609731"/>
    <w:rsid w:val="39630770"/>
    <w:rsid w:val="3967B78F"/>
    <w:rsid w:val="396B8697"/>
    <w:rsid w:val="396EEE0B"/>
    <w:rsid w:val="396F00B4"/>
    <w:rsid w:val="396F0366"/>
    <w:rsid w:val="3970B9E1"/>
    <w:rsid w:val="39751A3A"/>
    <w:rsid w:val="39765DC2"/>
    <w:rsid w:val="3977F7AE"/>
    <w:rsid w:val="397A868A"/>
    <w:rsid w:val="397F21EF"/>
    <w:rsid w:val="39842BE5"/>
    <w:rsid w:val="3986C87C"/>
    <w:rsid w:val="39889C85"/>
    <w:rsid w:val="398C6D20"/>
    <w:rsid w:val="398DFF8A"/>
    <w:rsid w:val="398F2E41"/>
    <w:rsid w:val="398F78E8"/>
    <w:rsid w:val="398FC200"/>
    <w:rsid w:val="3992B8F1"/>
    <w:rsid w:val="39948A9B"/>
    <w:rsid w:val="3994C6F1"/>
    <w:rsid w:val="3996DDD3"/>
    <w:rsid w:val="3997447C"/>
    <w:rsid w:val="39978F50"/>
    <w:rsid w:val="39982560"/>
    <w:rsid w:val="399926C2"/>
    <w:rsid w:val="399B47A1"/>
    <w:rsid w:val="399C6EB2"/>
    <w:rsid w:val="399C77F3"/>
    <w:rsid w:val="39A11450"/>
    <w:rsid w:val="39A60168"/>
    <w:rsid w:val="39A61ADA"/>
    <w:rsid w:val="39A6E513"/>
    <w:rsid w:val="39A6FCB0"/>
    <w:rsid w:val="39AAAE9D"/>
    <w:rsid w:val="39ABAD58"/>
    <w:rsid w:val="39AD2888"/>
    <w:rsid w:val="39B16171"/>
    <w:rsid w:val="39B23936"/>
    <w:rsid w:val="39BA8B4A"/>
    <w:rsid w:val="39BC6540"/>
    <w:rsid w:val="39BFF667"/>
    <w:rsid w:val="39C039DB"/>
    <w:rsid w:val="39C1D02D"/>
    <w:rsid w:val="39C3C26C"/>
    <w:rsid w:val="39C5D8BF"/>
    <w:rsid w:val="39C7F112"/>
    <w:rsid w:val="39CB5E55"/>
    <w:rsid w:val="39CCCBC3"/>
    <w:rsid w:val="39CD55F6"/>
    <w:rsid w:val="39CDE4ED"/>
    <w:rsid w:val="39D62F20"/>
    <w:rsid w:val="39D77193"/>
    <w:rsid w:val="39DAB7BC"/>
    <w:rsid w:val="39DE3203"/>
    <w:rsid w:val="39E03162"/>
    <w:rsid w:val="39E1421F"/>
    <w:rsid w:val="39E25AEA"/>
    <w:rsid w:val="39E2644B"/>
    <w:rsid w:val="39E729BE"/>
    <w:rsid w:val="39F16DC7"/>
    <w:rsid w:val="39F177E4"/>
    <w:rsid w:val="39F485AE"/>
    <w:rsid w:val="39F594D5"/>
    <w:rsid w:val="39FCE9AA"/>
    <w:rsid w:val="39FDA2FF"/>
    <w:rsid w:val="39FE29F0"/>
    <w:rsid w:val="3A00189B"/>
    <w:rsid w:val="3A013F38"/>
    <w:rsid w:val="3A017C36"/>
    <w:rsid w:val="3A02467F"/>
    <w:rsid w:val="3A035B4F"/>
    <w:rsid w:val="3A0518CC"/>
    <w:rsid w:val="3A0764AF"/>
    <w:rsid w:val="3A07FB61"/>
    <w:rsid w:val="3A098C9A"/>
    <w:rsid w:val="3A0A188D"/>
    <w:rsid w:val="3A0B2F1B"/>
    <w:rsid w:val="3A0E9823"/>
    <w:rsid w:val="3A110EBC"/>
    <w:rsid w:val="3A14577E"/>
    <w:rsid w:val="3A14E5B6"/>
    <w:rsid w:val="3A18A30A"/>
    <w:rsid w:val="3A19F44F"/>
    <w:rsid w:val="3A1D116E"/>
    <w:rsid w:val="3A1FD667"/>
    <w:rsid w:val="3A20BB4E"/>
    <w:rsid w:val="3A23474A"/>
    <w:rsid w:val="3A2590A7"/>
    <w:rsid w:val="3A25EB1D"/>
    <w:rsid w:val="3A26C52A"/>
    <w:rsid w:val="3A276E30"/>
    <w:rsid w:val="3A27AFD1"/>
    <w:rsid w:val="3A29E1A7"/>
    <w:rsid w:val="3A2A07EC"/>
    <w:rsid w:val="3A2A50FF"/>
    <w:rsid w:val="3A2AD047"/>
    <w:rsid w:val="3A2D9EB8"/>
    <w:rsid w:val="3A2DC966"/>
    <w:rsid w:val="3A2E7886"/>
    <w:rsid w:val="3A2F21B5"/>
    <w:rsid w:val="3A35B532"/>
    <w:rsid w:val="3A3BF026"/>
    <w:rsid w:val="3A3C4C8B"/>
    <w:rsid w:val="3A3C92A5"/>
    <w:rsid w:val="3A40C9A7"/>
    <w:rsid w:val="3A41EF8F"/>
    <w:rsid w:val="3A447AE7"/>
    <w:rsid w:val="3A448EB4"/>
    <w:rsid w:val="3A44E154"/>
    <w:rsid w:val="3A4943B7"/>
    <w:rsid w:val="3A499A53"/>
    <w:rsid w:val="3A4AF243"/>
    <w:rsid w:val="3A4E31B4"/>
    <w:rsid w:val="3A4E8746"/>
    <w:rsid w:val="3A4EEAFC"/>
    <w:rsid w:val="3A4EF666"/>
    <w:rsid w:val="3A4FBAB3"/>
    <w:rsid w:val="3A519013"/>
    <w:rsid w:val="3A51ABCB"/>
    <w:rsid w:val="3A51E6FB"/>
    <w:rsid w:val="3A5294A6"/>
    <w:rsid w:val="3A53BB73"/>
    <w:rsid w:val="3A54D798"/>
    <w:rsid w:val="3A55D6DD"/>
    <w:rsid w:val="3A578261"/>
    <w:rsid w:val="3A58E43E"/>
    <w:rsid w:val="3A5B93D1"/>
    <w:rsid w:val="3A5DA249"/>
    <w:rsid w:val="3A60A904"/>
    <w:rsid w:val="3A66F3A2"/>
    <w:rsid w:val="3A6AB4C5"/>
    <w:rsid w:val="3A6CA9AD"/>
    <w:rsid w:val="3A6D3985"/>
    <w:rsid w:val="3A6F0FF1"/>
    <w:rsid w:val="3A71DB9C"/>
    <w:rsid w:val="3A7552B6"/>
    <w:rsid w:val="3A765E2C"/>
    <w:rsid w:val="3A7CBD44"/>
    <w:rsid w:val="3A7DBD5A"/>
    <w:rsid w:val="3A7E87DC"/>
    <w:rsid w:val="3A80E48B"/>
    <w:rsid w:val="3A817E8A"/>
    <w:rsid w:val="3A8817D6"/>
    <w:rsid w:val="3A8ADC31"/>
    <w:rsid w:val="3A925CB4"/>
    <w:rsid w:val="3A97F6AF"/>
    <w:rsid w:val="3A9A53AA"/>
    <w:rsid w:val="3A9C4570"/>
    <w:rsid w:val="3A9FB2E2"/>
    <w:rsid w:val="3AAE53D6"/>
    <w:rsid w:val="3AAE5F5C"/>
    <w:rsid w:val="3AAFF927"/>
    <w:rsid w:val="3AB0FBB3"/>
    <w:rsid w:val="3AB768D6"/>
    <w:rsid w:val="3ABC9161"/>
    <w:rsid w:val="3ABEFF25"/>
    <w:rsid w:val="3AC05129"/>
    <w:rsid w:val="3AC144E3"/>
    <w:rsid w:val="3AC84B6E"/>
    <w:rsid w:val="3AC88D15"/>
    <w:rsid w:val="3ACFF868"/>
    <w:rsid w:val="3AD16E6B"/>
    <w:rsid w:val="3AD1D8EA"/>
    <w:rsid w:val="3AD2D735"/>
    <w:rsid w:val="3ADCAE10"/>
    <w:rsid w:val="3ADD5E97"/>
    <w:rsid w:val="3ADDD61C"/>
    <w:rsid w:val="3AE81D01"/>
    <w:rsid w:val="3AE958F6"/>
    <w:rsid w:val="3AEAF40E"/>
    <w:rsid w:val="3AED1D2C"/>
    <w:rsid w:val="3AED762C"/>
    <w:rsid w:val="3AF5DA7B"/>
    <w:rsid w:val="3AF8C6E0"/>
    <w:rsid w:val="3AFB40A5"/>
    <w:rsid w:val="3AFC9CAA"/>
    <w:rsid w:val="3AFD211F"/>
    <w:rsid w:val="3B00B55A"/>
    <w:rsid w:val="3B028997"/>
    <w:rsid w:val="3B02D55F"/>
    <w:rsid w:val="3B03EC4C"/>
    <w:rsid w:val="3B0417FF"/>
    <w:rsid w:val="3B04EA43"/>
    <w:rsid w:val="3B072C75"/>
    <w:rsid w:val="3B0FF03C"/>
    <w:rsid w:val="3B11A964"/>
    <w:rsid w:val="3B1258F5"/>
    <w:rsid w:val="3B168EF2"/>
    <w:rsid w:val="3B188608"/>
    <w:rsid w:val="3B1D2866"/>
    <w:rsid w:val="3B204257"/>
    <w:rsid w:val="3B21B487"/>
    <w:rsid w:val="3B27ECD1"/>
    <w:rsid w:val="3B2F998D"/>
    <w:rsid w:val="3B32D94C"/>
    <w:rsid w:val="3B332C73"/>
    <w:rsid w:val="3B3785CA"/>
    <w:rsid w:val="3B385AE1"/>
    <w:rsid w:val="3B39333B"/>
    <w:rsid w:val="3B3C09FD"/>
    <w:rsid w:val="3B3C4536"/>
    <w:rsid w:val="3B3D19A8"/>
    <w:rsid w:val="3B422DCC"/>
    <w:rsid w:val="3B4A1950"/>
    <w:rsid w:val="3B4EF493"/>
    <w:rsid w:val="3B4EFA2A"/>
    <w:rsid w:val="3B4FC1AE"/>
    <w:rsid w:val="3B5194A8"/>
    <w:rsid w:val="3B528CB2"/>
    <w:rsid w:val="3B5C471F"/>
    <w:rsid w:val="3B5F104B"/>
    <w:rsid w:val="3B67D3EE"/>
    <w:rsid w:val="3B6945DD"/>
    <w:rsid w:val="3B6BEBF0"/>
    <w:rsid w:val="3B6CD35B"/>
    <w:rsid w:val="3B71FC60"/>
    <w:rsid w:val="3B747737"/>
    <w:rsid w:val="3B75A7CD"/>
    <w:rsid w:val="3B78355A"/>
    <w:rsid w:val="3B783C1F"/>
    <w:rsid w:val="3B7A1CC1"/>
    <w:rsid w:val="3B7DA6C5"/>
    <w:rsid w:val="3B809B7E"/>
    <w:rsid w:val="3B846209"/>
    <w:rsid w:val="3B85C095"/>
    <w:rsid w:val="3B85EAA2"/>
    <w:rsid w:val="3B89FD40"/>
    <w:rsid w:val="3B8AC8A8"/>
    <w:rsid w:val="3B9011B6"/>
    <w:rsid w:val="3B901550"/>
    <w:rsid w:val="3B95E9DA"/>
    <w:rsid w:val="3B984353"/>
    <w:rsid w:val="3BA0082D"/>
    <w:rsid w:val="3BA1D586"/>
    <w:rsid w:val="3BA2963B"/>
    <w:rsid w:val="3BA2AA67"/>
    <w:rsid w:val="3BA3473D"/>
    <w:rsid w:val="3BA70F74"/>
    <w:rsid w:val="3BA7EC50"/>
    <w:rsid w:val="3BA98882"/>
    <w:rsid w:val="3BAA2AA4"/>
    <w:rsid w:val="3BAF124C"/>
    <w:rsid w:val="3BAFE7A3"/>
    <w:rsid w:val="3BB25816"/>
    <w:rsid w:val="3BB5B8A8"/>
    <w:rsid w:val="3BBC9B30"/>
    <w:rsid w:val="3BBE0399"/>
    <w:rsid w:val="3BC210DD"/>
    <w:rsid w:val="3BC31E9B"/>
    <w:rsid w:val="3BC84B1D"/>
    <w:rsid w:val="3BCAA0A0"/>
    <w:rsid w:val="3BCD3E8C"/>
    <w:rsid w:val="3BCFA26B"/>
    <w:rsid w:val="3BD0BE0D"/>
    <w:rsid w:val="3BD16D18"/>
    <w:rsid w:val="3BD1BCCD"/>
    <w:rsid w:val="3BD67FD7"/>
    <w:rsid w:val="3BD68F25"/>
    <w:rsid w:val="3BD7F573"/>
    <w:rsid w:val="3BD9C14E"/>
    <w:rsid w:val="3BDD0F78"/>
    <w:rsid w:val="3BDFCDD5"/>
    <w:rsid w:val="3BE0B51B"/>
    <w:rsid w:val="3BE144C6"/>
    <w:rsid w:val="3BE54F9C"/>
    <w:rsid w:val="3BE9BF63"/>
    <w:rsid w:val="3BEA37F8"/>
    <w:rsid w:val="3BEDFD88"/>
    <w:rsid w:val="3BEFE189"/>
    <w:rsid w:val="3BF00FB3"/>
    <w:rsid w:val="3BF81654"/>
    <w:rsid w:val="3BFAB259"/>
    <w:rsid w:val="3BFC599B"/>
    <w:rsid w:val="3BFE606F"/>
    <w:rsid w:val="3BFE63F0"/>
    <w:rsid w:val="3C0035A3"/>
    <w:rsid w:val="3C02835A"/>
    <w:rsid w:val="3C02FCD9"/>
    <w:rsid w:val="3C0392B0"/>
    <w:rsid w:val="3C04D571"/>
    <w:rsid w:val="3C04F218"/>
    <w:rsid w:val="3C0670FB"/>
    <w:rsid w:val="3C0DDC9C"/>
    <w:rsid w:val="3C0F47C0"/>
    <w:rsid w:val="3C0F9964"/>
    <w:rsid w:val="3C14EAB3"/>
    <w:rsid w:val="3C178103"/>
    <w:rsid w:val="3C1DEC29"/>
    <w:rsid w:val="3C2583B6"/>
    <w:rsid w:val="3C29C590"/>
    <w:rsid w:val="3C29C822"/>
    <w:rsid w:val="3C2CB93E"/>
    <w:rsid w:val="3C3606B5"/>
    <w:rsid w:val="3C39FC21"/>
    <w:rsid w:val="3C3B133D"/>
    <w:rsid w:val="3C3B8652"/>
    <w:rsid w:val="3C3D6BBB"/>
    <w:rsid w:val="3C3FD394"/>
    <w:rsid w:val="3C4043EC"/>
    <w:rsid w:val="3C41B2F5"/>
    <w:rsid w:val="3C491ED2"/>
    <w:rsid w:val="3C5076F3"/>
    <w:rsid w:val="3C513BD1"/>
    <w:rsid w:val="3C55E526"/>
    <w:rsid w:val="3C560239"/>
    <w:rsid w:val="3C5E4809"/>
    <w:rsid w:val="3C6900C7"/>
    <w:rsid w:val="3C722ADD"/>
    <w:rsid w:val="3C767096"/>
    <w:rsid w:val="3C7B700A"/>
    <w:rsid w:val="3C7CA9D5"/>
    <w:rsid w:val="3C7FBE4D"/>
    <w:rsid w:val="3C867762"/>
    <w:rsid w:val="3C8DE69D"/>
    <w:rsid w:val="3C91F3D8"/>
    <w:rsid w:val="3C9425FC"/>
    <w:rsid w:val="3C97947B"/>
    <w:rsid w:val="3C97B65D"/>
    <w:rsid w:val="3C97F6DA"/>
    <w:rsid w:val="3C98FA6F"/>
    <w:rsid w:val="3C9DB8CD"/>
    <w:rsid w:val="3CA1468C"/>
    <w:rsid w:val="3CA4E2F0"/>
    <w:rsid w:val="3CA69AB4"/>
    <w:rsid w:val="3CA7664F"/>
    <w:rsid w:val="3CA82EF5"/>
    <w:rsid w:val="3CA9A449"/>
    <w:rsid w:val="3CAB6D98"/>
    <w:rsid w:val="3CAE2863"/>
    <w:rsid w:val="3CAFCB67"/>
    <w:rsid w:val="3CB25F53"/>
    <w:rsid w:val="3CBA8BE6"/>
    <w:rsid w:val="3CBAE776"/>
    <w:rsid w:val="3CBC3FE6"/>
    <w:rsid w:val="3CC0BB13"/>
    <w:rsid w:val="3CC0DB31"/>
    <w:rsid w:val="3CC23E9F"/>
    <w:rsid w:val="3CC31660"/>
    <w:rsid w:val="3CC98C62"/>
    <w:rsid w:val="3CC9F7D9"/>
    <w:rsid w:val="3CCCAD11"/>
    <w:rsid w:val="3CD131A9"/>
    <w:rsid w:val="3CD2F4D7"/>
    <w:rsid w:val="3CD381F4"/>
    <w:rsid w:val="3CD4E650"/>
    <w:rsid w:val="3CD80F9F"/>
    <w:rsid w:val="3CD8772B"/>
    <w:rsid w:val="3CD8990D"/>
    <w:rsid w:val="3CDF3FD3"/>
    <w:rsid w:val="3CE0EF26"/>
    <w:rsid w:val="3CE1D8EB"/>
    <w:rsid w:val="3CE2EB32"/>
    <w:rsid w:val="3CE607CB"/>
    <w:rsid w:val="3CE63191"/>
    <w:rsid w:val="3CEABF7F"/>
    <w:rsid w:val="3CECC147"/>
    <w:rsid w:val="3CECD12D"/>
    <w:rsid w:val="3CEF2DDB"/>
    <w:rsid w:val="3CF2CE0A"/>
    <w:rsid w:val="3CF68C23"/>
    <w:rsid w:val="3CFBE958"/>
    <w:rsid w:val="3CFFFD41"/>
    <w:rsid w:val="3D011B81"/>
    <w:rsid w:val="3D05E601"/>
    <w:rsid w:val="3D05F902"/>
    <w:rsid w:val="3D07C50C"/>
    <w:rsid w:val="3D08ECB2"/>
    <w:rsid w:val="3D108187"/>
    <w:rsid w:val="3D15CCFD"/>
    <w:rsid w:val="3D17429C"/>
    <w:rsid w:val="3D1E3AEE"/>
    <w:rsid w:val="3D1E46F3"/>
    <w:rsid w:val="3D20FE3E"/>
    <w:rsid w:val="3D21FC6E"/>
    <w:rsid w:val="3D246189"/>
    <w:rsid w:val="3D24F44D"/>
    <w:rsid w:val="3D25253F"/>
    <w:rsid w:val="3D2D3597"/>
    <w:rsid w:val="3D30ABB4"/>
    <w:rsid w:val="3D341C26"/>
    <w:rsid w:val="3D3A4960"/>
    <w:rsid w:val="3D3C7EEE"/>
    <w:rsid w:val="3D3D9AFA"/>
    <w:rsid w:val="3D4316B2"/>
    <w:rsid w:val="3D437B87"/>
    <w:rsid w:val="3D451327"/>
    <w:rsid w:val="3D47556F"/>
    <w:rsid w:val="3D485632"/>
    <w:rsid w:val="3D4F53F0"/>
    <w:rsid w:val="3D5268AF"/>
    <w:rsid w:val="3D589531"/>
    <w:rsid w:val="3D5C0CDE"/>
    <w:rsid w:val="3D5C7207"/>
    <w:rsid w:val="3D5E100D"/>
    <w:rsid w:val="3D5FCAE6"/>
    <w:rsid w:val="3D6158AA"/>
    <w:rsid w:val="3D62396B"/>
    <w:rsid w:val="3D6469FD"/>
    <w:rsid w:val="3D682C50"/>
    <w:rsid w:val="3D6919EA"/>
    <w:rsid w:val="3D6A46B9"/>
    <w:rsid w:val="3D6ADA14"/>
    <w:rsid w:val="3D6B0209"/>
    <w:rsid w:val="3D6CD27F"/>
    <w:rsid w:val="3D702D8A"/>
    <w:rsid w:val="3D714896"/>
    <w:rsid w:val="3D718915"/>
    <w:rsid w:val="3D785A22"/>
    <w:rsid w:val="3D7AF3A5"/>
    <w:rsid w:val="3D7B6962"/>
    <w:rsid w:val="3D7D914B"/>
    <w:rsid w:val="3D7DAB90"/>
    <w:rsid w:val="3D7DFC16"/>
    <w:rsid w:val="3D7EC610"/>
    <w:rsid w:val="3D80F9B9"/>
    <w:rsid w:val="3D8572A3"/>
    <w:rsid w:val="3D86A029"/>
    <w:rsid w:val="3D87C2B6"/>
    <w:rsid w:val="3D8FA487"/>
    <w:rsid w:val="3D9094CF"/>
    <w:rsid w:val="3D9096E9"/>
    <w:rsid w:val="3D90B876"/>
    <w:rsid w:val="3D90CC09"/>
    <w:rsid w:val="3D91FE6C"/>
    <w:rsid w:val="3D9E8173"/>
    <w:rsid w:val="3D9ECBAB"/>
    <w:rsid w:val="3D9FDB89"/>
    <w:rsid w:val="3DA04291"/>
    <w:rsid w:val="3DA53BAD"/>
    <w:rsid w:val="3DA99459"/>
    <w:rsid w:val="3DAC847A"/>
    <w:rsid w:val="3DAE20C6"/>
    <w:rsid w:val="3DB06C98"/>
    <w:rsid w:val="3DB226BA"/>
    <w:rsid w:val="3DBCC946"/>
    <w:rsid w:val="3DBD0E26"/>
    <w:rsid w:val="3DBD2589"/>
    <w:rsid w:val="3DBF0321"/>
    <w:rsid w:val="3DC11FB4"/>
    <w:rsid w:val="3DC21589"/>
    <w:rsid w:val="3DC35B86"/>
    <w:rsid w:val="3DC54FEA"/>
    <w:rsid w:val="3DC93B7A"/>
    <w:rsid w:val="3DCA5FDE"/>
    <w:rsid w:val="3DCF2300"/>
    <w:rsid w:val="3DCFC515"/>
    <w:rsid w:val="3DD0BDB2"/>
    <w:rsid w:val="3DD5ED11"/>
    <w:rsid w:val="3DDA8A80"/>
    <w:rsid w:val="3DDDE92C"/>
    <w:rsid w:val="3DDF2CBC"/>
    <w:rsid w:val="3DDFED1D"/>
    <w:rsid w:val="3DE20833"/>
    <w:rsid w:val="3DE24FF7"/>
    <w:rsid w:val="3DE51B26"/>
    <w:rsid w:val="3DE5F494"/>
    <w:rsid w:val="3DE78981"/>
    <w:rsid w:val="3DEA4FC4"/>
    <w:rsid w:val="3DEA8971"/>
    <w:rsid w:val="3DEC4754"/>
    <w:rsid w:val="3DF0465B"/>
    <w:rsid w:val="3DF350A5"/>
    <w:rsid w:val="3DF3EB9B"/>
    <w:rsid w:val="3DF557C0"/>
    <w:rsid w:val="3DF6E9A2"/>
    <w:rsid w:val="3DF87824"/>
    <w:rsid w:val="3DFABC3F"/>
    <w:rsid w:val="3DFC62FD"/>
    <w:rsid w:val="3DFD7333"/>
    <w:rsid w:val="3DFFC693"/>
    <w:rsid w:val="3E046A5D"/>
    <w:rsid w:val="3E0D20BA"/>
    <w:rsid w:val="3E0F953F"/>
    <w:rsid w:val="3E13FA4E"/>
    <w:rsid w:val="3E14D528"/>
    <w:rsid w:val="3E15D5CA"/>
    <w:rsid w:val="3E17804A"/>
    <w:rsid w:val="3E1B6D74"/>
    <w:rsid w:val="3E1D63C3"/>
    <w:rsid w:val="3E1E60DD"/>
    <w:rsid w:val="3E1F2D76"/>
    <w:rsid w:val="3E23C2DB"/>
    <w:rsid w:val="3E27BCFB"/>
    <w:rsid w:val="3E27C38E"/>
    <w:rsid w:val="3E29E8ED"/>
    <w:rsid w:val="3E2A127E"/>
    <w:rsid w:val="3E2C5227"/>
    <w:rsid w:val="3E2FB438"/>
    <w:rsid w:val="3E302A0C"/>
    <w:rsid w:val="3E33C23C"/>
    <w:rsid w:val="3E35CE76"/>
    <w:rsid w:val="3E366431"/>
    <w:rsid w:val="3E3761F6"/>
    <w:rsid w:val="3E37E5A2"/>
    <w:rsid w:val="3E37F3A4"/>
    <w:rsid w:val="3E3E0DF3"/>
    <w:rsid w:val="3E4138D4"/>
    <w:rsid w:val="3E42F9FF"/>
    <w:rsid w:val="3E4CFD02"/>
    <w:rsid w:val="3E4D8DCE"/>
    <w:rsid w:val="3E4FC9AD"/>
    <w:rsid w:val="3E50CB27"/>
    <w:rsid w:val="3E510AEB"/>
    <w:rsid w:val="3E54D53B"/>
    <w:rsid w:val="3E5546EE"/>
    <w:rsid w:val="3E58AEF7"/>
    <w:rsid w:val="3E63FB2E"/>
    <w:rsid w:val="3E6CE013"/>
    <w:rsid w:val="3E6FD99B"/>
    <w:rsid w:val="3E71BDA1"/>
    <w:rsid w:val="3E720E0E"/>
    <w:rsid w:val="3E72240E"/>
    <w:rsid w:val="3E73E4C8"/>
    <w:rsid w:val="3E74774F"/>
    <w:rsid w:val="3E7B22C8"/>
    <w:rsid w:val="3E7D8538"/>
    <w:rsid w:val="3E7D8FA0"/>
    <w:rsid w:val="3E7E2EDD"/>
    <w:rsid w:val="3E800488"/>
    <w:rsid w:val="3E840DD0"/>
    <w:rsid w:val="3E847FAE"/>
    <w:rsid w:val="3E87B7D0"/>
    <w:rsid w:val="3E87EA3B"/>
    <w:rsid w:val="3E8887F8"/>
    <w:rsid w:val="3E8B6AAA"/>
    <w:rsid w:val="3E8CFCBD"/>
    <w:rsid w:val="3E8E8E3F"/>
    <w:rsid w:val="3E90F8B0"/>
    <w:rsid w:val="3E93B214"/>
    <w:rsid w:val="3E9630EF"/>
    <w:rsid w:val="3E9BBB6C"/>
    <w:rsid w:val="3E9D2675"/>
    <w:rsid w:val="3E9EEDF4"/>
    <w:rsid w:val="3EA5FCC5"/>
    <w:rsid w:val="3EA78831"/>
    <w:rsid w:val="3EAA0A1F"/>
    <w:rsid w:val="3EAD150A"/>
    <w:rsid w:val="3EAD7CD6"/>
    <w:rsid w:val="3EB3A8AE"/>
    <w:rsid w:val="3EB6B490"/>
    <w:rsid w:val="3EB94F3F"/>
    <w:rsid w:val="3EB9FA06"/>
    <w:rsid w:val="3EBBD0C6"/>
    <w:rsid w:val="3EBD077D"/>
    <w:rsid w:val="3EBEFAD9"/>
    <w:rsid w:val="3EBF7EA9"/>
    <w:rsid w:val="3EC02EE7"/>
    <w:rsid w:val="3EC496D0"/>
    <w:rsid w:val="3EC92300"/>
    <w:rsid w:val="3ECB3BDE"/>
    <w:rsid w:val="3ECCD21D"/>
    <w:rsid w:val="3ED67CDD"/>
    <w:rsid w:val="3ED9F954"/>
    <w:rsid w:val="3EDD5823"/>
    <w:rsid w:val="3EDDEE4D"/>
    <w:rsid w:val="3EDEED22"/>
    <w:rsid w:val="3EE90C5C"/>
    <w:rsid w:val="3EEA19A7"/>
    <w:rsid w:val="3EECE8C5"/>
    <w:rsid w:val="3EED1EE9"/>
    <w:rsid w:val="3EEF1C6D"/>
    <w:rsid w:val="3EF03532"/>
    <w:rsid w:val="3EF1B2EA"/>
    <w:rsid w:val="3EF2EE1C"/>
    <w:rsid w:val="3EF3D231"/>
    <w:rsid w:val="3EF50DD2"/>
    <w:rsid w:val="3EF7FA7F"/>
    <w:rsid w:val="3EF8C0D7"/>
    <w:rsid w:val="3EFC8F14"/>
    <w:rsid w:val="3F021730"/>
    <w:rsid w:val="3F0579AD"/>
    <w:rsid w:val="3F05FEFF"/>
    <w:rsid w:val="3F0DFC4E"/>
    <w:rsid w:val="3F138F6E"/>
    <w:rsid w:val="3F14E620"/>
    <w:rsid w:val="3F1B38B0"/>
    <w:rsid w:val="3F1E984F"/>
    <w:rsid w:val="3F1EC410"/>
    <w:rsid w:val="3F202A94"/>
    <w:rsid w:val="3F21FBE0"/>
    <w:rsid w:val="3F266649"/>
    <w:rsid w:val="3F2A235C"/>
    <w:rsid w:val="3F2C0D53"/>
    <w:rsid w:val="3F2C9E36"/>
    <w:rsid w:val="3F3249F6"/>
    <w:rsid w:val="3F32C9B7"/>
    <w:rsid w:val="3F335084"/>
    <w:rsid w:val="3F360690"/>
    <w:rsid w:val="3F37F6F8"/>
    <w:rsid w:val="3F3AB4AD"/>
    <w:rsid w:val="3F404FA7"/>
    <w:rsid w:val="3F457BDC"/>
    <w:rsid w:val="3F4712DC"/>
    <w:rsid w:val="3F487049"/>
    <w:rsid w:val="3F49DDC7"/>
    <w:rsid w:val="3F4CCB7F"/>
    <w:rsid w:val="3F55914E"/>
    <w:rsid w:val="3F5A5ED1"/>
    <w:rsid w:val="3F5B7FD5"/>
    <w:rsid w:val="3F603BFD"/>
    <w:rsid w:val="3F61BE7E"/>
    <w:rsid w:val="3F635BDC"/>
    <w:rsid w:val="3F63BD28"/>
    <w:rsid w:val="3F63D7FA"/>
    <w:rsid w:val="3F67AC10"/>
    <w:rsid w:val="3F6B0480"/>
    <w:rsid w:val="3F6DC011"/>
    <w:rsid w:val="3F702C64"/>
    <w:rsid w:val="3F7282E9"/>
    <w:rsid w:val="3F72D1D7"/>
    <w:rsid w:val="3F73135D"/>
    <w:rsid w:val="3F7382D3"/>
    <w:rsid w:val="3F76D899"/>
    <w:rsid w:val="3F79741E"/>
    <w:rsid w:val="3F7A10B2"/>
    <w:rsid w:val="3F7AFD1D"/>
    <w:rsid w:val="3F7B5C9B"/>
    <w:rsid w:val="3F7C3444"/>
    <w:rsid w:val="3F7C36A5"/>
    <w:rsid w:val="3F7C426D"/>
    <w:rsid w:val="3F7DECFA"/>
    <w:rsid w:val="3F816A5C"/>
    <w:rsid w:val="3F8BAE24"/>
    <w:rsid w:val="3F8BF1BD"/>
    <w:rsid w:val="3F8C58D6"/>
    <w:rsid w:val="3F8E0BD6"/>
    <w:rsid w:val="3F8E7C3C"/>
    <w:rsid w:val="3F92EFA4"/>
    <w:rsid w:val="3F9332A1"/>
    <w:rsid w:val="3F975673"/>
    <w:rsid w:val="3F978103"/>
    <w:rsid w:val="3F9912FF"/>
    <w:rsid w:val="3F9B84CE"/>
    <w:rsid w:val="3F9CCE45"/>
    <w:rsid w:val="3F9DCC27"/>
    <w:rsid w:val="3F9E3684"/>
    <w:rsid w:val="3F9EBF83"/>
    <w:rsid w:val="3FA473C0"/>
    <w:rsid w:val="3FA56DA0"/>
    <w:rsid w:val="3FA64089"/>
    <w:rsid w:val="3FB00E11"/>
    <w:rsid w:val="3FB036E9"/>
    <w:rsid w:val="3FB1F99C"/>
    <w:rsid w:val="3FB1FFD4"/>
    <w:rsid w:val="3FB4B905"/>
    <w:rsid w:val="3FB51259"/>
    <w:rsid w:val="3FB688C5"/>
    <w:rsid w:val="3FB71DC2"/>
    <w:rsid w:val="3FB96E73"/>
    <w:rsid w:val="3FB9C487"/>
    <w:rsid w:val="3FC08823"/>
    <w:rsid w:val="3FC0ECC1"/>
    <w:rsid w:val="3FC5C9F1"/>
    <w:rsid w:val="3FC7FA11"/>
    <w:rsid w:val="3FC80FB8"/>
    <w:rsid w:val="3FC818D4"/>
    <w:rsid w:val="3FCDCE1E"/>
    <w:rsid w:val="3FCF64C1"/>
    <w:rsid w:val="3FD00A34"/>
    <w:rsid w:val="3FD1423D"/>
    <w:rsid w:val="3FD16C4C"/>
    <w:rsid w:val="3FD36837"/>
    <w:rsid w:val="3FD5FCA9"/>
    <w:rsid w:val="3FD923CE"/>
    <w:rsid w:val="3FDA1306"/>
    <w:rsid w:val="3FE02CC9"/>
    <w:rsid w:val="3FE1A9B2"/>
    <w:rsid w:val="3FE2703B"/>
    <w:rsid w:val="3FE5F2DA"/>
    <w:rsid w:val="3FE6BFE0"/>
    <w:rsid w:val="3FE6DD48"/>
    <w:rsid w:val="3FE79D36"/>
    <w:rsid w:val="3FEC310A"/>
    <w:rsid w:val="3FED2C2D"/>
    <w:rsid w:val="3FED97AD"/>
    <w:rsid w:val="3FF0A59C"/>
    <w:rsid w:val="3FF19D3F"/>
    <w:rsid w:val="3FF38F48"/>
    <w:rsid w:val="3FFC532B"/>
    <w:rsid w:val="3FFC8CE4"/>
    <w:rsid w:val="3FFCBADB"/>
    <w:rsid w:val="3FFEF55C"/>
    <w:rsid w:val="400026B9"/>
    <w:rsid w:val="40004AF5"/>
    <w:rsid w:val="4007DB44"/>
    <w:rsid w:val="400EFFEB"/>
    <w:rsid w:val="400F8898"/>
    <w:rsid w:val="401419C7"/>
    <w:rsid w:val="40144504"/>
    <w:rsid w:val="401A41AC"/>
    <w:rsid w:val="401CFAD0"/>
    <w:rsid w:val="401F0002"/>
    <w:rsid w:val="4021DA86"/>
    <w:rsid w:val="4023081C"/>
    <w:rsid w:val="40263EC8"/>
    <w:rsid w:val="4028D52F"/>
    <w:rsid w:val="402B1782"/>
    <w:rsid w:val="402B6A6F"/>
    <w:rsid w:val="402E7A46"/>
    <w:rsid w:val="4031412E"/>
    <w:rsid w:val="40322D86"/>
    <w:rsid w:val="403516BB"/>
    <w:rsid w:val="4035D3D0"/>
    <w:rsid w:val="4038431E"/>
    <w:rsid w:val="403986CE"/>
    <w:rsid w:val="403A01F0"/>
    <w:rsid w:val="403D7647"/>
    <w:rsid w:val="403E9389"/>
    <w:rsid w:val="404587B4"/>
    <w:rsid w:val="40481CEF"/>
    <w:rsid w:val="4048F8F3"/>
    <w:rsid w:val="404BCD70"/>
    <w:rsid w:val="404BDE62"/>
    <w:rsid w:val="404CF250"/>
    <w:rsid w:val="4050D8C5"/>
    <w:rsid w:val="4057469D"/>
    <w:rsid w:val="4059890F"/>
    <w:rsid w:val="405B8F9D"/>
    <w:rsid w:val="405F04A7"/>
    <w:rsid w:val="405FC70E"/>
    <w:rsid w:val="40660C07"/>
    <w:rsid w:val="4066201C"/>
    <w:rsid w:val="406B98E2"/>
    <w:rsid w:val="406DDD91"/>
    <w:rsid w:val="406EB55F"/>
    <w:rsid w:val="406F276E"/>
    <w:rsid w:val="407112F9"/>
    <w:rsid w:val="40770E9B"/>
    <w:rsid w:val="4079ED02"/>
    <w:rsid w:val="407A0504"/>
    <w:rsid w:val="407CCA14"/>
    <w:rsid w:val="407CCAEB"/>
    <w:rsid w:val="407DF12E"/>
    <w:rsid w:val="407E6D17"/>
    <w:rsid w:val="4081BB87"/>
    <w:rsid w:val="408E24ED"/>
    <w:rsid w:val="4091AF3E"/>
    <w:rsid w:val="40934B84"/>
    <w:rsid w:val="40968DA6"/>
    <w:rsid w:val="409992CC"/>
    <w:rsid w:val="409D4910"/>
    <w:rsid w:val="409F8461"/>
    <w:rsid w:val="40A44873"/>
    <w:rsid w:val="40A4AE6C"/>
    <w:rsid w:val="40A78F38"/>
    <w:rsid w:val="40A7CFB1"/>
    <w:rsid w:val="40AA35B1"/>
    <w:rsid w:val="40AC3C31"/>
    <w:rsid w:val="40AC9E5A"/>
    <w:rsid w:val="40B3D038"/>
    <w:rsid w:val="40B996DC"/>
    <w:rsid w:val="40BAD235"/>
    <w:rsid w:val="40BAE60B"/>
    <w:rsid w:val="40C213E5"/>
    <w:rsid w:val="40C30FE8"/>
    <w:rsid w:val="40C6B015"/>
    <w:rsid w:val="40C8A5F4"/>
    <w:rsid w:val="40CA8EE9"/>
    <w:rsid w:val="40CC2F57"/>
    <w:rsid w:val="40CC8F11"/>
    <w:rsid w:val="40CD1BCA"/>
    <w:rsid w:val="40CDCD43"/>
    <w:rsid w:val="40D04D9B"/>
    <w:rsid w:val="40D78C21"/>
    <w:rsid w:val="40D7C5B0"/>
    <w:rsid w:val="40D9040D"/>
    <w:rsid w:val="40DB5022"/>
    <w:rsid w:val="40DCD776"/>
    <w:rsid w:val="40E80CEE"/>
    <w:rsid w:val="40EE9054"/>
    <w:rsid w:val="40F29391"/>
    <w:rsid w:val="40F43868"/>
    <w:rsid w:val="40F8D083"/>
    <w:rsid w:val="40FD263B"/>
    <w:rsid w:val="41046923"/>
    <w:rsid w:val="41060ABC"/>
    <w:rsid w:val="410DF2F3"/>
    <w:rsid w:val="4111AB23"/>
    <w:rsid w:val="4113C3C9"/>
    <w:rsid w:val="411912E1"/>
    <w:rsid w:val="411977B5"/>
    <w:rsid w:val="411A48C4"/>
    <w:rsid w:val="411B63AA"/>
    <w:rsid w:val="411D4914"/>
    <w:rsid w:val="411D6EDF"/>
    <w:rsid w:val="411E56EF"/>
    <w:rsid w:val="41220938"/>
    <w:rsid w:val="4125C6CD"/>
    <w:rsid w:val="41264D80"/>
    <w:rsid w:val="4129B29D"/>
    <w:rsid w:val="4138BECB"/>
    <w:rsid w:val="413B2E5D"/>
    <w:rsid w:val="4142D922"/>
    <w:rsid w:val="4142F872"/>
    <w:rsid w:val="41434474"/>
    <w:rsid w:val="414A3A18"/>
    <w:rsid w:val="414A8F95"/>
    <w:rsid w:val="414B156E"/>
    <w:rsid w:val="414B848B"/>
    <w:rsid w:val="41511D7C"/>
    <w:rsid w:val="4151F642"/>
    <w:rsid w:val="415358E4"/>
    <w:rsid w:val="4153AA7D"/>
    <w:rsid w:val="41570D2D"/>
    <w:rsid w:val="4157E6A4"/>
    <w:rsid w:val="41586E1B"/>
    <w:rsid w:val="4158D31E"/>
    <w:rsid w:val="41598244"/>
    <w:rsid w:val="415A5F65"/>
    <w:rsid w:val="415B5956"/>
    <w:rsid w:val="41612400"/>
    <w:rsid w:val="4167B273"/>
    <w:rsid w:val="41681B0A"/>
    <w:rsid w:val="416AD642"/>
    <w:rsid w:val="416C27AE"/>
    <w:rsid w:val="41708454"/>
    <w:rsid w:val="41717625"/>
    <w:rsid w:val="4175FA5B"/>
    <w:rsid w:val="41768E07"/>
    <w:rsid w:val="41781A14"/>
    <w:rsid w:val="417836A7"/>
    <w:rsid w:val="4178AF67"/>
    <w:rsid w:val="41792481"/>
    <w:rsid w:val="41799EC7"/>
    <w:rsid w:val="4182ED13"/>
    <w:rsid w:val="4183D459"/>
    <w:rsid w:val="41860EAB"/>
    <w:rsid w:val="4186EACB"/>
    <w:rsid w:val="418A3B37"/>
    <w:rsid w:val="418A5FC7"/>
    <w:rsid w:val="418E020B"/>
    <w:rsid w:val="41900B63"/>
    <w:rsid w:val="41964CC1"/>
    <w:rsid w:val="41A07640"/>
    <w:rsid w:val="41A6675B"/>
    <w:rsid w:val="41A7BC2C"/>
    <w:rsid w:val="41A8C6EB"/>
    <w:rsid w:val="41AE3967"/>
    <w:rsid w:val="41AF2D4E"/>
    <w:rsid w:val="41B278E8"/>
    <w:rsid w:val="41B44975"/>
    <w:rsid w:val="41B48BEC"/>
    <w:rsid w:val="41B48F4F"/>
    <w:rsid w:val="41BAB21A"/>
    <w:rsid w:val="41BC0E0A"/>
    <w:rsid w:val="41BFF9D6"/>
    <w:rsid w:val="41C35958"/>
    <w:rsid w:val="41C3A3E1"/>
    <w:rsid w:val="41C423A7"/>
    <w:rsid w:val="41CA972B"/>
    <w:rsid w:val="41D1B7FB"/>
    <w:rsid w:val="41D41C9C"/>
    <w:rsid w:val="41D57F95"/>
    <w:rsid w:val="41D604E4"/>
    <w:rsid w:val="41DA2956"/>
    <w:rsid w:val="41DC95BE"/>
    <w:rsid w:val="41DEF629"/>
    <w:rsid w:val="41E27E78"/>
    <w:rsid w:val="41E42D3A"/>
    <w:rsid w:val="41EA7A5F"/>
    <w:rsid w:val="41EC0094"/>
    <w:rsid w:val="41EE7327"/>
    <w:rsid w:val="41F32950"/>
    <w:rsid w:val="41F61074"/>
    <w:rsid w:val="41F89A65"/>
    <w:rsid w:val="41FAADF3"/>
    <w:rsid w:val="4200A542"/>
    <w:rsid w:val="4204C2AF"/>
    <w:rsid w:val="420D5A66"/>
    <w:rsid w:val="42121B20"/>
    <w:rsid w:val="42198DD4"/>
    <w:rsid w:val="421AFF64"/>
    <w:rsid w:val="421BD25E"/>
    <w:rsid w:val="421DBCD1"/>
    <w:rsid w:val="421F3DFA"/>
    <w:rsid w:val="4221CBAD"/>
    <w:rsid w:val="4225C9BF"/>
    <w:rsid w:val="42275B9C"/>
    <w:rsid w:val="422819AA"/>
    <w:rsid w:val="422B2D52"/>
    <w:rsid w:val="422C18A1"/>
    <w:rsid w:val="422E3A78"/>
    <w:rsid w:val="422EA542"/>
    <w:rsid w:val="423234CB"/>
    <w:rsid w:val="4232759E"/>
    <w:rsid w:val="42359EFB"/>
    <w:rsid w:val="423B39C6"/>
    <w:rsid w:val="423CA667"/>
    <w:rsid w:val="424191C0"/>
    <w:rsid w:val="4241AE3D"/>
    <w:rsid w:val="4241D2D9"/>
    <w:rsid w:val="4247973D"/>
    <w:rsid w:val="424A8983"/>
    <w:rsid w:val="424CF658"/>
    <w:rsid w:val="424DC8C0"/>
    <w:rsid w:val="42501D86"/>
    <w:rsid w:val="4252361A"/>
    <w:rsid w:val="4253BF86"/>
    <w:rsid w:val="425CD598"/>
    <w:rsid w:val="42638C6D"/>
    <w:rsid w:val="426BBD53"/>
    <w:rsid w:val="426EC043"/>
    <w:rsid w:val="426FAE79"/>
    <w:rsid w:val="4271A5E3"/>
    <w:rsid w:val="4275B551"/>
    <w:rsid w:val="4278CBD4"/>
    <w:rsid w:val="427ADDB5"/>
    <w:rsid w:val="427C7115"/>
    <w:rsid w:val="42847533"/>
    <w:rsid w:val="428D9311"/>
    <w:rsid w:val="428DBE67"/>
    <w:rsid w:val="4299A0E9"/>
    <w:rsid w:val="429F5E80"/>
    <w:rsid w:val="42A03B57"/>
    <w:rsid w:val="42A1D314"/>
    <w:rsid w:val="42A2534F"/>
    <w:rsid w:val="42A65085"/>
    <w:rsid w:val="42AD9913"/>
    <w:rsid w:val="42AFBE5B"/>
    <w:rsid w:val="42B12B2F"/>
    <w:rsid w:val="42B5C11A"/>
    <w:rsid w:val="42B672B0"/>
    <w:rsid w:val="42B84FD0"/>
    <w:rsid w:val="42BE7A37"/>
    <w:rsid w:val="42BECBDC"/>
    <w:rsid w:val="42BF4611"/>
    <w:rsid w:val="42C3FFF3"/>
    <w:rsid w:val="42C67781"/>
    <w:rsid w:val="42CC2A27"/>
    <w:rsid w:val="42CD5D8A"/>
    <w:rsid w:val="42CEA5C9"/>
    <w:rsid w:val="42CFC0F7"/>
    <w:rsid w:val="42D37ACD"/>
    <w:rsid w:val="42D562EB"/>
    <w:rsid w:val="42D6D645"/>
    <w:rsid w:val="42DAE702"/>
    <w:rsid w:val="42DB4B62"/>
    <w:rsid w:val="42DB5A1C"/>
    <w:rsid w:val="42DCD3B1"/>
    <w:rsid w:val="42DE2112"/>
    <w:rsid w:val="42DE3FAC"/>
    <w:rsid w:val="42DE9593"/>
    <w:rsid w:val="42DFCFEE"/>
    <w:rsid w:val="42E697E6"/>
    <w:rsid w:val="42EBE0D7"/>
    <w:rsid w:val="42EC1D16"/>
    <w:rsid w:val="42F72C34"/>
    <w:rsid w:val="42FA9B90"/>
    <w:rsid w:val="42FB472E"/>
    <w:rsid w:val="42FCB08A"/>
    <w:rsid w:val="42FF72B1"/>
    <w:rsid w:val="42FFA4DE"/>
    <w:rsid w:val="43009B93"/>
    <w:rsid w:val="430279BF"/>
    <w:rsid w:val="4302C8F3"/>
    <w:rsid w:val="4306A2B9"/>
    <w:rsid w:val="4306CDFF"/>
    <w:rsid w:val="4308CAE6"/>
    <w:rsid w:val="430B64C7"/>
    <w:rsid w:val="430CA912"/>
    <w:rsid w:val="430F79BB"/>
    <w:rsid w:val="4310578F"/>
    <w:rsid w:val="43145612"/>
    <w:rsid w:val="43177D7D"/>
    <w:rsid w:val="431E1153"/>
    <w:rsid w:val="431F8DDC"/>
    <w:rsid w:val="432273B7"/>
    <w:rsid w:val="432E9AD1"/>
    <w:rsid w:val="43310EAB"/>
    <w:rsid w:val="433200A2"/>
    <w:rsid w:val="433559F5"/>
    <w:rsid w:val="4339690D"/>
    <w:rsid w:val="433B7A99"/>
    <w:rsid w:val="433BB73D"/>
    <w:rsid w:val="433FCF71"/>
    <w:rsid w:val="433FDC2B"/>
    <w:rsid w:val="4345554F"/>
    <w:rsid w:val="434A751F"/>
    <w:rsid w:val="435160C7"/>
    <w:rsid w:val="4354158C"/>
    <w:rsid w:val="43579914"/>
    <w:rsid w:val="43579FB3"/>
    <w:rsid w:val="435DC367"/>
    <w:rsid w:val="435DFBA7"/>
    <w:rsid w:val="4360910F"/>
    <w:rsid w:val="43614327"/>
    <w:rsid w:val="4362C041"/>
    <w:rsid w:val="4363CF4D"/>
    <w:rsid w:val="4364D6FC"/>
    <w:rsid w:val="43651C43"/>
    <w:rsid w:val="43672EF8"/>
    <w:rsid w:val="4369C556"/>
    <w:rsid w:val="436DEF64"/>
    <w:rsid w:val="436EBB9B"/>
    <w:rsid w:val="436F713A"/>
    <w:rsid w:val="436F81FF"/>
    <w:rsid w:val="4371B333"/>
    <w:rsid w:val="4371D545"/>
    <w:rsid w:val="43812B0E"/>
    <w:rsid w:val="4381DD88"/>
    <w:rsid w:val="438448CF"/>
    <w:rsid w:val="438DE1E2"/>
    <w:rsid w:val="43900D2A"/>
    <w:rsid w:val="43935662"/>
    <w:rsid w:val="4394D95A"/>
    <w:rsid w:val="4395CE4B"/>
    <w:rsid w:val="439B7798"/>
    <w:rsid w:val="439C1932"/>
    <w:rsid w:val="439DF7A3"/>
    <w:rsid w:val="439EF6F7"/>
    <w:rsid w:val="43A3F2A9"/>
    <w:rsid w:val="43A62C3B"/>
    <w:rsid w:val="43A97433"/>
    <w:rsid w:val="43AB345E"/>
    <w:rsid w:val="43B56B6E"/>
    <w:rsid w:val="43B67CCB"/>
    <w:rsid w:val="43BB0E5B"/>
    <w:rsid w:val="43BCBAD4"/>
    <w:rsid w:val="43BE3556"/>
    <w:rsid w:val="43BEA60C"/>
    <w:rsid w:val="43BF750F"/>
    <w:rsid w:val="43C2787D"/>
    <w:rsid w:val="43C35C3C"/>
    <w:rsid w:val="43C50625"/>
    <w:rsid w:val="43C7172A"/>
    <w:rsid w:val="43D15FF0"/>
    <w:rsid w:val="43D2471F"/>
    <w:rsid w:val="43D2E3BC"/>
    <w:rsid w:val="43D2ECC8"/>
    <w:rsid w:val="43D3D235"/>
    <w:rsid w:val="43DA1EA6"/>
    <w:rsid w:val="43DA9955"/>
    <w:rsid w:val="43DD4D5E"/>
    <w:rsid w:val="43E03BDF"/>
    <w:rsid w:val="43F0D0F6"/>
    <w:rsid w:val="43F2840F"/>
    <w:rsid w:val="43F36029"/>
    <w:rsid w:val="43F40EC6"/>
    <w:rsid w:val="43F7F6C7"/>
    <w:rsid w:val="43FDE0F9"/>
    <w:rsid w:val="43FDF778"/>
    <w:rsid w:val="4400EEFE"/>
    <w:rsid w:val="4414F81A"/>
    <w:rsid w:val="44162A52"/>
    <w:rsid w:val="441817FB"/>
    <w:rsid w:val="441A084B"/>
    <w:rsid w:val="441C925B"/>
    <w:rsid w:val="44205E27"/>
    <w:rsid w:val="442454C6"/>
    <w:rsid w:val="4425596D"/>
    <w:rsid w:val="442C465B"/>
    <w:rsid w:val="44318C83"/>
    <w:rsid w:val="4433EC50"/>
    <w:rsid w:val="44368DD7"/>
    <w:rsid w:val="4436A7A8"/>
    <w:rsid w:val="44398D3C"/>
    <w:rsid w:val="443DC7FD"/>
    <w:rsid w:val="4440DEAF"/>
    <w:rsid w:val="44418CFC"/>
    <w:rsid w:val="4442E39F"/>
    <w:rsid w:val="4444FCE3"/>
    <w:rsid w:val="44451AC8"/>
    <w:rsid w:val="4445885F"/>
    <w:rsid w:val="44498C1D"/>
    <w:rsid w:val="4455E7A5"/>
    <w:rsid w:val="4456B6D7"/>
    <w:rsid w:val="4456FC84"/>
    <w:rsid w:val="445E900A"/>
    <w:rsid w:val="445FA917"/>
    <w:rsid w:val="445FBC3A"/>
    <w:rsid w:val="4460FDBE"/>
    <w:rsid w:val="4461E511"/>
    <w:rsid w:val="4463E9EC"/>
    <w:rsid w:val="44655F48"/>
    <w:rsid w:val="44694EA3"/>
    <w:rsid w:val="446B3276"/>
    <w:rsid w:val="446D9804"/>
    <w:rsid w:val="446F7319"/>
    <w:rsid w:val="44715F36"/>
    <w:rsid w:val="4477901F"/>
    <w:rsid w:val="447945D3"/>
    <w:rsid w:val="447AC689"/>
    <w:rsid w:val="447C804F"/>
    <w:rsid w:val="447CBDF7"/>
    <w:rsid w:val="447E2CF7"/>
    <w:rsid w:val="447F62B5"/>
    <w:rsid w:val="44818BE2"/>
    <w:rsid w:val="4485028F"/>
    <w:rsid w:val="4485F244"/>
    <w:rsid w:val="448AA08C"/>
    <w:rsid w:val="448D216B"/>
    <w:rsid w:val="448FA8CF"/>
    <w:rsid w:val="4497C992"/>
    <w:rsid w:val="449D558B"/>
    <w:rsid w:val="449D8939"/>
    <w:rsid w:val="44A096A2"/>
    <w:rsid w:val="44A0AE78"/>
    <w:rsid w:val="44A2F710"/>
    <w:rsid w:val="44A773EC"/>
    <w:rsid w:val="44A98D3F"/>
    <w:rsid w:val="44AA8A06"/>
    <w:rsid w:val="44ACE680"/>
    <w:rsid w:val="44AEB5C4"/>
    <w:rsid w:val="44AFED6F"/>
    <w:rsid w:val="44B34EC0"/>
    <w:rsid w:val="44BB19EC"/>
    <w:rsid w:val="44BBD96B"/>
    <w:rsid w:val="44BDC928"/>
    <w:rsid w:val="44BF171B"/>
    <w:rsid w:val="44BF3D47"/>
    <w:rsid w:val="44C3D1E0"/>
    <w:rsid w:val="44C50E62"/>
    <w:rsid w:val="44C92173"/>
    <w:rsid w:val="44CCFDA0"/>
    <w:rsid w:val="44CE3E5D"/>
    <w:rsid w:val="44CF605F"/>
    <w:rsid w:val="44D39D56"/>
    <w:rsid w:val="44D3A058"/>
    <w:rsid w:val="44D402D6"/>
    <w:rsid w:val="44D6EB6D"/>
    <w:rsid w:val="44D9EA8C"/>
    <w:rsid w:val="44E0BF31"/>
    <w:rsid w:val="44E711D7"/>
    <w:rsid w:val="44E77173"/>
    <w:rsid w:val="44E7D301"/>
    <w:rsid w:val="44E9D30C"/>
    <w:rsid w:val="44EA3D66"/>
    <w:rsid w:val="44EC1B4A"/>
    <w:rsid w:val="44F44321"/>
    <w:rsid w:val="44F4646C"/>
    <w:rsid w:val="44F94C7A"/>
    <w:rsid w:val="44FE7F1D"/>
    <w:rsid w:val="44FF6401"/>
    <w:rsid w:val="4500C8D0"/>
    <w:rsid w:val="450D10F8"/>
    <w:rsid w:val="450D83E2"/>
    <w:rsid w:val="450E2FE5"/>
    <w:rsid w:val="45103CD1"/>
    <w:rsid w:val="451258D8"/>
    <w:rsid w:val="45192999"/>
    <w:rsid w:val="45197898"/>
    <w:rsid w:val="451D0E87"/>
    <w:rsid w:val="451E129B"/>
    <w:rsid w:val="452067EB"/>
    <w:rsid w:val="4524CFAE"/>
    <w:rsid w:val="4527AF5A"/>
    <w:rsid w:val="4527FBD1"/>
    <w:rsid w:val="4537AA0A"/>
    <w:rsid w:val="453A6B87"/>
    <w:rsid w:val="453ADD62"/>
    <w:rsid w:val="453C561F"/>
    <w:rsid w:val="453D067D"/>
    <w:rsid w:val="453F28BC"/>
    <w:rsid w:val="4543D0E2"/>
    <w:rsid w:val="4546E187"/>
    <w:rsid w:val="454C1BC4"/>
    <w:rsid w:val="454D3287"/>
    <w:rsid w:val="454DA7FD"/>
    <w:rsid w:val="454FE31C"/>
    <w:rsid w:val="4552F2BB"/>
    <w:rsid w:val="4553A9AB"/>
    <w:rsid w:val="455A9003"/>
    <w:rsid w:val="455B209B"/>
    <w:rsid w:val="45635099"/>
    <w:rsid w:val="456A3765"/>
    <w:rsid w:val="456BD0A8"/>
    <w:rsid w:val="456EBA14"/>
    <w:rsid w:val="45702724"/>
    <w:rsid w:val="457037D3"/>
    <w:rsid w:val="457273B7"/>
    <w:rsid w:val="4573504A"/>
    <w:rsid w:val="4574D863"/>
    <w:rsid w:val="4577CBF1"/>
    <w:rsid w:val="457DC2FA"/>
    <w:rsid w:val="457FD7CA"/>
    <w:rsid w:val="458080F0"/>
    <w:rsid w:val="4581AA98"/>
    <w:rsid w:val="45825746"/>
    <w:rsid w:val="4582B42B"/>
    <w:rsid w:val="45873168"/>
    <w:rsid w:val="458E932B"/>
    <w:rsid w:val="4595D87C"/>
    <w:rsid w:val="4598D238"/>
    <w:rsid w:val="45990EAA"/>
    <w:rsid w:val="459C8AF6"/>
    <w:rsid w:val="45A1DF6B"/>
    <w:rsid w:val="45A77AC2"/>
    <w:rsid w:val="45AB8CE2"/>
    <w:rsid w:val="45B40174"/>
    <w:rsid w:val="45B6B868"/>
    <w:rsid w:val="45B85E05"/>
    <w:rsid w:val="45BA534C"/>
    <w:rsid w:val="45BC7009"/>
    <w:rsid w:val="45BD0488"/>
    <w:rsid w:val="45BD1918"/>
    <w:rsid w:val="45BFF1F1"/>
    <w:rsid w:val="45C29A01"/>
    <w:rsid w:val="45C2D264"/>
    <w:rsid w:val="45C2D390"/>
    <w:rsid w:val="45C46809"/>
    <w:rsid w:val="45C60049"/>
    <w:rsid w:val="45D4DF2B"/>
    <w:rsid w:val="45D60288"/>
    <w:rsid w:val="45D61A00"/>
    <w:rsid w:val="45D95FF6"/>
    <w:rsid w:val="45DAF119"/>
    <w:rsid w:val="45E053B1"/>
    <w:rsid w:val="45E36C96"/>
    <w:rsid w:val="45E82F4B"/>
    <w:rsid w:val="45EA7C0A"/>
    <w:rsid w:val="45ED61DC"/>
    <w:rsid w:val="45F17663"/>
    <w:rsid w:val="45F236BF"/>
    <w:rsid w:val="45F51C1B"/>
    <w:rsid w:val="45F7D6C5"/>
    <w:rsid w:val="45F9104D"/>
    <w:rsid w:val="45FB8E0E"/>
    <w:rsid w:val="45FED46C"/>
    <w:rsid w:val="4601135F"/>
    <w:rsid w:val="46027F20"/>
    <w:rsid w:val="46039193"/>
    <w:rsid w:val="4604D6F0"/>
    <w:rsid w:val="460837B4"/>
    <w:rsid w:val="460E7707"/>
    <w:rsid w:val="4610120A"/>
    <w:rsid w:val="46129CE3"/>
    <w:rsid w:val="46143D67"/>
    <w:rsid w:val="461B0C09"/>
    <w:rsid w:val="461DCF53"/>
    <w:rsid w:val="461E560E"/>
    <w:rsid w:val="461F3441"/>
    <w:rsid w:val="4625F31C"/>
    <w:rsid w:val="46284E6A"/>
    <w:rsid w:val="4629F90D"/>
    <w:rsid w:val="462AEB5C"/>
    <w:rsid w:val="462CD624"/>
    <w:rsid w:val="46342C9F"/>
    <w:rsid w:val="46360E96"/>
    <w:rsid w:val="46365D84"/>
    <w:rsid w:val="46370E4E"/>
    <w:rsid w:val="46374456"/>
    <w:rsid w:val="463B89D4"/>
    <w:rsid w:val="463F79B4"/>
    <w:rsid w:val="463FFB60"/>
    <w:rsid w:val="4644D4CA"/>
    <w:rsid w:val="46472B0A"/>
    <w:rsid w:val="4649136E"/>
    <w:rsid w:val="4649FF2A"/>
    <w:rsid w:val="464C8FC6"/>
    <w:rsid w:val="464D8FC7"/>
    <w:rsid w:val="464EF7FA"/>
    <w:rsid w:val="464F56AF"/>
    <w:rsid w:val="464FBA21"/>
    <w:rsid w:val="464FBD98"/>
    <w:rsid w:val="465369D9"/>
    <w:rsid w:val="4659BEF0"/>
    <w:rsid w:val="4659FAE7"/>
    <w:rsid w:val="465DA839"/>
    <w:rsid w:val="465EA4D0"/>
    <w:rsid w:val="466002E3"/>
    <w:rsid w:val="46603740"/>
    <w:rsid w:val="466A1B57"/>
    <w:rsid w:val="466CFAB7"/>
    <w:rsid w:val="466D679C"/>
    <w:rsid w:val="4671EDA3"/>
    <w:rsid w:val="4674F2D0"/>
    <w:rsid w:val="4675DB0A"/>
    <w:rsid w:val="467D8CE7"/>
    <w:rsid w:val="4680AF5C"/>
    <w:rsid w:val="4680FD9F"/>
    <w:rsid w:val="4683B47E"/>
    <w:rsid w:val="4684A576"/>
    <w:rsid w:val="46862219"/>
    <w:rsid w:val="46895636"/>
    <w:rsid w:val="4689CE56"/>
    <w:rsid w:val="468D528F"/>
    <w:rsid w:val="468D610B"/>
    <w:rsid w:val="468E0A5D"/>
    <w:rsid w:val="468FCD02"/>
    <w:rsid w:val="46900748"/>
    <w:rsid w:val="469771E2"/>
    <w:rsid w:val="469CA872"/>
    <w:rsid w:val="469CD291"/>
    <w:rsid w:val="469EF963"/>
    <w:rsid w:val="469F7538"/>
    <w:rsid w:val="469FD281"/>
    <w:rsid w:val="469FE433"/>
    <w:rsid w:val="46AEB370"/>
    <w:rsid w:val="46B1FB0D"/>
    <w:rsid w:val="46B4E6D0"/>
    <w:rsid w:val="46B6D3E4"/>
    <w:rsid w:val="46BBA955"/>
    <w:rsid w:val="46BC0A3C"/>
    <w:rsid w:val="46BC2E0C"/>
    <w:rsid w:val="46BCAD8E"/>
    <w:rsid w:val="46C3944E"/>
    <w:rsid w:val="46C3FF41"/>
    <w:rsid w:val="46C44A73"/>
    <w:rsid w:val="46C730B0"/>
    <w:rsid w:val="46CB5345"/>
    <w:rsid w:val="46D0B5CE"/>
    <w:rsid w:val="46D0F4A2"/>
    <w:rsid w:val="46D2AD74"/>
    <w:rsid w:val="46D3675B"/>
    <w:rsid w:val="46DA8BE3"/>
    <w:rsid w:val="46DB494E"/>
    <w:rsid w:val="46E0A16E"/>
    <w:rsid w:val="46E20668"/>
    <w:rsid w:val="46E322EE"/>
    <w:rsid w:val="46E38FE8"/>
    <w:rsid w:val="46E40836"/>
    <w:rsid w:val="46E5AF8A"/>
    <w:rsid w:val="46E8B66E"/>
    <w:rsid w:val="46EC9079"/>
    <w:rsid w:val="46F0E62D"/>
    <w:rsid w:val="46F10A41"/>
    <w:rsid w:val="46F3CD48"/>
    <w:rsid w:val="46F7EE18"/>
    <w:rsid w:val="46F9D677"/>
    <w:rsid w:val="46FA5E7A"/>
    <w:rsid w:val="46FC8882"/>
    <w:rsid w:val="46FF3A00"/>
    <w:rsid w:val="46FF7B0A"/>
    <w:rsid w:val="470137A3"/>
    <w:rsid w:val="47045B52"/>
    <w:rsid w:val="4704CE28"/>
    <w:rsid w:val="4705AE0B"/>
    <w:rsid w:val="470BF63A"/>
    <w:rsid w:val="470D58A2"/>
    <w:rsid w:val="4711A613"/>
    <w:rsid w:val="4711D452"/>
    <w:rsid w:val="4714A503"/>
    <w:rsid w:val="47155FAC"/>
    <w:rsid w:val="4715EB91"/>
    <w:rsid w:val="4717B507"/>
    <w:rsid w:val="4717D56E"/>
    <w:rsid w:val="47198B9A"/>
    <w:rsid w:val="471AB3D2"/>
    <w:rsid w:val="471C60CC"/>
    <w:rsid w:val="4720D281"/>
    <w:rsid w:val="4720FD1B"/>
    <w:rsid w:val="4721171E"/>
    <w:rsid w:val="472560FB"/>
    <w:rsid w:val="4726941F"/>
    <w:rsid w:val="4729F463"/>
    <w:rsid w:val="472B047F"/>
    <w:rsid w:val="472D7F05"/>
    <w:rsid w:val="472DEC15"/>
    <w:rsid w:val="472E4CE3"/>
    <w:rsid w:val="472F0ADC"/>
    <w:rsid w:val="472FCDEB"/>
    <w:rsid w:val="473515E1"/>
    <w:rsid w:val="473EF745"/>
    <w:rsid w:val="473FFCD0"/>
    <w:rsid w:val="4741BA57"/>
    <w:rsid w:val="4742E3C2"/>
    <w:rsid w:val="4744E35B"/>
    <w:rsid w:val="47485A54"/>
    <w:rsid w:val="474A832F"/>
    <w:rsid w:val="474AEDBA"/>
    <w:rsid w:val="474C033C"/>
    <w:rsid w:val="474C16EF"/>
    <w:rsid w:val="4753229F"/>
    <w:rsid w:val="47550609"/>
    <w:rsid w:val="47567F91"/>
    <w:rsid w:val="4757E40E"/>
    <w:rsid w:val="4759C23B"/>
    <w:rsid w:val="475AAD80"/>
    <w:rsid w:val="475C4AB8"/>
    <w:rsid w:val="4763F61C"/>
    <w:rsid w:val="47642F7A"/>
    <w:rsid w:val="4765698B"/>
    <w:rsid w:val="47675D66"/>
    <w:rsid w:val="4768DC67"/>
    <w:rsid w:val="476B292C"/>
    <w:rsid w:val="476CFD29"/>
    <w:rsid w:val="476DF17C"/>
    <w:rsid w:val="476EB01D"/>
    <w:rsid w:val="476F711F"/>
    <w:rsid w:val="476FC604"/>
    <w:rsid w:val="47709B23"/>
    <w:rsid w:val="477916E9"/>
    <w:rsid w:val="477AC2F6"/>
    <w:rsid w:val="477E56E2"/>
    <w:rsid w:val="478093FD"/>
    <w:rsid w:val="4782EB81"/>
    <w:rsid w:val="4783AAC4"/>
    <w:rsid w:val="4788E872"/>
    <w:rsid w:val="4789DAC7"/>
    <w:rsid w:val="4789ECAC"/>
    <w:rsid w:val="478D5310"/>
    <w:rsid w:val="478FF374"/>
    <w:rsid w:val="4795CA52"/>
    <w:rsid w:val="4798CB0B"/>
    <w:rsid w:val="479CC9EC"/>
    <w:rsid w:val="479D3907"/>
    <w:rsid w:val="479DC45D"/>
    <w:rsid w:val="47A61E22"/>
    <w:rsid w:val="47A8633F"/>
    <w:rsid w:val="47AB64FD"/>
    <w:rsid w:val="47B0919D"/>
    <w:rsid w:val="47B0A048"/>
    <w:rsid w:val="47B1D318"/>
    <w:rsid w:val="47B3DC58"/>
    <w:rsid w:val="47B78757"/>
    <w:rsid w:val="47B840C9"/>
    <w:rsid w:val="47BA8192"/>
    <w:rsid w:val="47BDC1FD"/>
    <w:rsid w:val="47C2091E"/>
    <w:rsid w:val="47C3AACD"/>
    <w:rsid w:val="47C65472"/>
    <w:rsid w:val="47C6C4AA"/>
    <w:rsid w:val="47C80B6D"/>
    <w:rsid w:val="47C8475D"/>
    <w:rsid w:val="47C9598A"/>
    <w:rsid w:val="47C9D5CE"/>
    <w:rsid w:val="47CF6B7F"/>
    <w:rsid w:val="47D054D5"/>
    <w:rsid w:val="47D3D2F0"/>
    <w:rsid w:val="47D48C15"/>
    <w:rsid w:val="47D7487C"/>
    <w:rsid w:val="47DE3D0F"/>
    <w:rsid w:val="47DF1415"/>
    <w:rsid w:val="47E03E50"/>
    <w:rsid w:val="47E0B3E1"/>
    <w:rsid w:val="47E23FB8"/>
    <w:rsid w:val="47E7127E"/>
    <w:rsid w:val="47E7F9F8"/>
    <w:rsid w:val="47E927F5"/>
    <w:rsid w:val="47ECBF29"/>
    <w:rsid w:val="47F0C2A2"/>
    <w:rsid w:val="47F4FD07"/>
    <w:rsid w:val="47F6B4A2"/>
    <w:rsid w:val="47FB8320"/>
    <w:rsid w:val="47FCF2B9"/>
    <w:rsid w:val="48014069"/>
    <w:rsid w:val="4802F437"/>
    <w:rsid w:val="4808FB74"/>
    <w:rsid w:val="4809F45D"/>
    <w:rsid w:val="480D90B8"/>
    <w:rsid w:val="4810E532"/>
    <w:rsid w:val="4817EC36"/>
    <w:rsid w:val="4818C154"/>
    <w:rsid w:val="48242B85"/>
    <w:rsid w:val="4827FB1A"/>
    <w:rsid w:val="4829D057"/>
    <w:rsid w:val="482CAC3F"/>
    <w:rsid w:val="482DDE5E"/>
    <w:rsid w:val="482E5541"/>
    <w:rsid w:val="48302BAE"/>
    <w:rsid w:val="483B4FED"/>
    <w:rsid w:val="483F7D97"/>
    <w:rsid w:val="48424095"/>
    <w:rsid w:val="48427B7D"/>
    <w:rsid w:val="4843248E"/>
    <w:rsid w:val="48449AEA"/>
    <w:rsid w:val="48459D90"/>
    <w:rsid w:val="484ABD9B"/>
    <w:rsid w:val="484AEE51"/>
    <w:rsid w:val="484BEB55"/>
    <w:rsid w:val="484F6D6F"/>
    <w:rsid w:val="4855C8B0"/>
    <w:rsid w:val="48570B7E"/>
    <w:rsid w:val="4857ED98"/>
    <w:rsid w:val="48580295"/>
    <w:rsid w:val="4858F924"/>
    <w:rsid w:val="485A5B00"/>
    <w:rsid w:val="485E6EC5"/>
    <w:rsid w:val="485FD460"/>
    <w:rsid w:val="486095CB"/>
    <w:rsid w:val="486A345D"/>
    <w:rsid w:val="486AE7AA"/>
    <w:rsid w:val="486B4D1D"/>
    <w:rsid w:val="48717C21"/>
    <w:rsid w:val="4873BDEE"/>
    <w:rsid w:val="48764509"/>
    <w:rsid w:val="487C7E7B"/>
    <w:rsid w:val="48817926"/>
    <w:rsid w:val="48821882"/>
    <w:rsid w:val="4885A16C"/>
    <w:rsid w:val="4887AFA4"/>
    <w:rsid w:val="4888209E"/>
    <w:rsid w:val="488A4FD2"/>
    <w:rsid w:val="488BFD59"/>
    <w:rsid w:val="488D134F"/>
    <w:rsid w:val="488D8F21"/>
    <w:rsid w:val="488D9B9A"/>
    <w:rsid w:val="48900A66"/>
    <w:rsid w:val="48910BF7"/>
    <w:rsid w:val="4894E7DD"/>
    <w:rsid w:val="4895A6D8"/>
    <w:rsid w:val="48966FE3"/>
    <w:rsid w:val="48979776"/>
    <w:rsid w:val="489798D8"/>
    <w:rsid w:val="489AB6C3"/>
    <w:rsid w:val="489B63C3"/>
    <w:rsid w:val="489FCBAB"/>
    <w:rsid w:val="48A00DA5"/>
    <w:rsid w:val="48A8B1A0"/>
    <w:rsid w:val="48AA0469"/>
    <w:rsid w:val="48AA57F7"/>
    <w:rsid w:val="48AA9F92"/>
    <w:rsid w:val="48AD5C61"/>
    <w:rsid w:val="48AFDE16"/>
    <w:rsid w:val="48B0CD5B"/>
    <w:rsid w:val="48B35E02"/>
    <w:rsid w:val="48B6459C"/>
    <w:rsid w:val="48B6C2C1"/>
    <w:rsid w:val="48B916E4"/>
    <w:rsid w:val="48BB5F0E"/>
    <w:rsid w:val="48BD8AE1"/>
    <w:rsid w:val="48C41D2E"/>
    <w:rsid w:val="48C67973"/>
    <w:rsid w:val="48C6F40C"/>
    <w:rsid w:val="48C86877"/>
    <w:rsid w:val="48C940A3"/>
    <w:rsid w:val="48C9B40D"/>
    <w:rsid w:val="48CDA1AF"/>
    <w:rsid w:val="48D1CD31"/>
    <w:rsid w:val="48D26079"/>
    <w:rsid w:val="48D47CFD"/>
    <w:rsid w:val="48D5F458"/>
    <w:rsid w:val="48D811C8"/>
    <w:rsid w:val="48D9DEB2"/>
    <w:rsid w:val="48E0A01A"/>
    <w:rsid w:val="48E3509A"/>
    <w:rsid w:val="48E6D5EC"/>
    <w:rsid w:val="48E6F4AD"/>
    <w:rsid w:val="48E8B411"/>
    <w:rsid w:val="48EA7041"/>
    <w:rsid w:val="48EEAFA9"/>
    <w:rsid w:val="48F2A295"/>
    <w:rsid w:val="48F34839"/>
    <w:rsid w:val="48F39494"/>
    <w:rsid w:val="48F6CCE2"/>
    <w:rsid w:val="48F9B8ED"/>
    <w:rsid w:val="48FB3048"/>
    <w:rsid w:val="48FE110A"/>
    <w:rsid w:val="48FFCA94"/>
    <w:rsid w:val="49052DA0"/>
    <w:rsid w:val="49076212"/>
    <w:rsid w:val="49077F66"/>
    <w:rsid w:val="49090357"/>
    <w:rsid w:val="490A8CDD"/>
    <w:rsid w:val="490AB720"/>
    <w:rsid w:val="4912871A"/>
    <w:rsid w:val="49136D88"/>
    <w:rsid w:val="49144FD2"/>
    <w:rsid w:val="4919A04D"/>
    <w:rsid w:val="491EE1A8"/>
    <w:rsid w:val="491F7009"/>
    <w:rsid w:val="491FF06B"/>
    <w:rsid w:val="4923EEA5"/>
    <w:rsid w:val="49265485"/>
    <w:rsid w:val="492700BD"/>
    <w:rsid w:val="492B7D48"/>
    <w:rsid w:val="492B9E8F"/>
    <w:rsid w:val="492F492F"/>
    <w:rsid w:val="492FFE4C"/>
    <w:rsid w:val="4933787C"/>
    <w:rsid w:val="4934F0A6"/>
    <w:rsid w:val="493817D4"/>
    <w:rsid w:val="493B07C0"/>
    <w:rsid w:val="493F8E62"/>
    <w:rsid w:val="49438BAA"/>
    <w:rsid w:val="494401C0"/>
    <w:rsid w:val="4944DC51"/>
    <w:rsid w:val="4946096B"/>
    <w:rsid w:val="494A97D4"/>
    <w:rsid w:val="494E2616"/>
    <w:rsid w:val="49547B2C"/>
    <w:rsid w:val="49550F14"/>
    <w:rsid w:val="49560ABA"/>
    <w:rsid w:val="49562CCF"/>
    <w:rsid w:val="4958064F"/>
    <w:rsid w:val="49594654"/>
    <w:rsid w:val="49622B09"/>
    <w:rsid w:val="4965F1C3"/>
    <w:rsid w:val="49755F56"/>
    <w:rsid w:val="4976B32E"/>
    <w:rsid w:val="497754FE"/>
    <w:rsid w:val="4977B9FE"/>
    <w:rsid w:val="497A8E72"/>
    <w:rsid w:val="497CC0F7"/>
    <w:rsid w:val="497E97DB"/>
    <w:rsid w:val="497FA1AA"/>
    <w:rsid w:val="498394DF"/>
    <w:rsid w:val="49862E44"/>
    <w:rsid w:val="4986F316"/>
    <w:rsid w:val="498B3733"/>
    <w:rsid w:val="498D98E9"/>
    <w:rsid w:val="498DCAF1"/>
    <w:rsid w:val="498E9670"/>
    <w:rsid w:val="498FB45E"/>
    <w:rsid w:val="498FDD31"/>
    <w:rsid w:val="499206E1"/>
    <w:rsid w:val="4992577B"/>
    <w:rsid w:val="4993B136"/>
    <w:rsid w:val="4994425A"/>
    <w:rsid w:val="499AFABE"/>
    <w:rsid w:val="499D0735"/>
    <w:rsid w:val="49A0AAAB"/>
    <w:rsid w:val="49A1421B"/>
    <w:rsid w:val="49A1DB37"/>
    <w:rsid w:val="49A4181B"/>
    <w:rsid w:val="49A5D7A2"/>
    <w:rsid w:val="49A6B7B5"/>
    <w:rsid w:val="49A8A0E7"/>
    <w:rsid w:val="49A96119"/>
    <w:rsid w:val="49A97BB2"/>
    <w:rsid w:val="49AA96C7"/>
    <w:rsid w:val="49AC6DFF"/>
    <w:rsid w:val="49AF10FC"/>
    <w:rsid w:val="49B03771"/>
    <w:rsid w:val="49B7E3FB"/>
    <w:rsid w:val="49B824C3"/>
    <w:rsid w:val="49B869A0"/>
    <w:rsid w:val="49B91F0A"/>
    <w:rsid w:val="49BADB46"/>
    <w:rsid w:val="49BB8322"/>
    <w:rsid w:val="49BE20C4"/>
    <w:rsid w:val="49BE470C"/>
    <w:rsid w:val="49C17CC3"/>
    <w:rsid w:val="49C203F3"/>
    <w:rsid w:val="49C4F8AC"/>
    <w:rsid w:val="49C6B302"/>
    <w:rsid w:val="49CB2537"/>
    <w:rsid w:val="49CF518E"/>
    <w:rsid w:val="49CFB510"/>
    <w:rsid w:val="49D03389"/>
    <w:rsid w:val="49D21710"/>
    <w:rsid w:val="49D27C67"/>
    <w:rsid w:val="49D39F12"/>
    <w:rsid w:val="49D81DD7"/>
    <w:rsid w:val="49D82C4D"/>
    <w:rsid w:val="49DAA9C6"/>
    <w:rsid w:val="49E33432"/>
    <w:rsid w:val="49E347AB"/>
    <w:rsid w:val="49E4C552"/>
    <w:rsid w:val="49E5109C"/>
    <w:rsid w:val="49E51BB1"/>
    <w:rsid w:val="49E6D73E"/>
    <w:rsid w:val="49E8A5F4"/>
    <w:rsid w:val="49E8CD98"/>
    <w:rsid w:val="49E9A65F"/>
    <w:rsid w:val="49F2A31D"/>
    <w:rsid w:val="49F414AC"/>
    <w:rsid w:val="49F43B60"/>
    <w:rsid w:val="49F45005"/>
    <w:rsid w:val="49FE0330"/>
    <w:rsid w:val="49FFC8EF"/>
    <w:rsid w:val="49FFE0A8"/>
    <w:rsid w:val="4A01182D"/>
    <w:rsid w:val="4A024978"/>
    <w:rsid w:val="4A060082"/>
    <w:rsid w:val="4A09D720"/>
    <w:rsid w:val="4A0B410D"/>
    <w:rsid w:val="4A12DCDF"/>
    <w:rsid w:val="4A150034"/>
    <w:rsid w:val="4A153AD5"/>
    <w:rsid w:val="4A199330"/>
    <w:rsid w:val="4A1CFB16"/>
    <w:rsid w:val="4A1D7020"/>
    <w:rsid w:val="4A205C2F"/>
    <w:rsid w:val="4A26B176"/>
    <w:rsid w:val="4A2C6AD3"/>
    <w:rsid w:val="4A2F4ECB"/>
    <w:rsid w:val="4A30E274"/>
    <w:rsid w:val="4A32169A"/>
    <w:rsid w:val="4A3447A9"/>
    <w:rsid w:val="4A37B79F"/>
    <w:rsid w:val="4A3A6CAF"/>
    <w:rsid w:val="4A3BE11D"/>
    <w:rsid w:val="4A3BF743"/>
    <w:rsid w:val="4A3CEE3E"/>
    <w:rsid w:val="4A3D7172"/>
    <w:rsid w:val="4A3E1A84"/>
    <w:rsid w:val="4A3EF956"/>
    <w:rsid w:val="4A43C99C"/>
    <w:rsid w:val="4A489D73"/>
    <w:rsid w:val="4A4D3724"/>
    <w:rsid w:val="4A523D30"/>
    <w:rsid w:val="4A539A28"/>
    <w:rsid w:val="4A55364C"/>
    <w:rsid w:val="4A592FE3"/>
    <w:rsid w:val="4A5B0293"/>
    <w:rsid w:val="4A5B9AD0"/>
    <w:rsid w:val="4A5C3FE5"/>
    <w:rsid w:val="4A5F2362"/>
    <w:rsid w:val="4A640FC2"/>
    <w:rsid w:val="4A65235A"/>
    <w:rsid w:val="4A69DEFA"/>
    <w:rsid w:val="4A6A7452"/>
    <w:rsid w:val="4A6B78BB"/>
    <w:rsid w:val="4A6CEFAC"/>
    <w:rsid w:val="4A6E4C9C"/>
    <w:rsid w:val="4A6FB2B4"/>
    <w:rsid w:val="4A756EFC"/>
    <w:rsid w:val="4A763B14"/>
    <w:rsid w:val="4A77BB64"/>
    <w:rsid w:val="4A78119C"/>
    <w:rsid w:val="4A7847E8"/>
    <w:rsid w:val="4A7B3ACB"/>
    <w:rsid w:val="4A7C4D13"/>
    <w:rsid w:val="4A7C9B30"/>
    <w:rsid w:val="4A7F1A32"/>
    <w:rsid w:val="4A84E2E1"/>
    <w:rsid w:val="4A8BAC95"/>
    <w:rsid w:val="4A8D5C6C"/>
    <w:rsid w:val="4A8E68FC"/>
    <w:rsid w:val="4A8F37E3"/>
    <w:rsid w:val="4A8F91C6"/>
    <w:rsid w:val="4A90B7AE"/>
    <w:rsid w:val="4A97CE2C"/>
    <w:rsid w:val="4A97CE67"/>
    <w:rsid w:val="4AA27319"/>
    <w:rsid w:val="4AA410C8"/>
    <w:rsid w:val="4AA4D540"/>
    <w:rsid w:val="4AAB2976"/>
    <w:rsid w:val="4AAD98D4"/>
    <w:rsid w:val="4AAF4B75"/>
    <w:rsid w:val="4AAFA1A7"/>
    <w:rsid w:val="4AAFD7F4"/>
    <w:rsid w:val="4AB2196C"/>
    <w:rsid w:val="4AB3061C"/>
    <w:rsid w:val="4AB5895A"/>
    <w:rsid w:val="4AC2FA34"/>
    <w:rsid w:val="4AC4577C"/>
    <w:rsid w:val="4AC55719"/>
    <w:rsid w:val="4AC74076"/>
    <w:rsid w:val="4ACB2985"/>
    <w:rsid w:val="4ACB9449"/>
    <w:rsid w:val="4ACD6B14"/>
    <w:rsid w:val="4ACDCAA9"/>
    <w:rsid w:val="4AD021F4"/>
    <w:rsid w:val="4AD0993F"/>
    <w:rsid w:val="4AD13326"/>
    <w:rsid w:val="4AD39EA9"/>
    <w:rsid w:val="4AD4D9BC"/>
    <w:rsid w:val="4AD54096"/>
    <w:rsid w:val="4AD69DF7"/>
    <w:rsid w:val="4AD6DFBA"/>
    <w:rsid w:val="4ADBE308"/>
    <w:rsid w:val="4ADDD7EE"/>
    <w:rsid w:val="4AE1D732"/>
    <w:rsid w:val="4AE2856C"/>
    <w:rsid w:val="4AE291B0"/>
    <w:rsid w:val="4AE37F78"/>
    <w:rsid w:val="4AE7640D"/>
    <w:rsid w:val="4AE8C022"/>
    <w:rsid w:val="4AEABB4D"/>
    <w:rsid w:val="4AEC6E85"/>
    <w:rsid w:val="4AECF6BA"/>
    <w:rsid w:val="4AED700C"/>
    <w:rsid w:val="4AEE64CC"/>
    <w:rsid w:val="4AF3708C"/>
    <w:rsid w:val="4AF691C0"/>
    <w:rsid w:val="4B02E41C"/>
    <w:rsid w:val="4B05939C"/>
    <w:rsid w:val="4B06A58D"/>
    <w:rsid w:val="4B081E2C"/>
    <w:rsid w:val="4B08B549"/>
    <w:rsid w:val="4B0A973A"/>
    <w:rsid w:val="4B0CD114"/>
    <w:rsid w:val="4B1023A3"/>
    <w:rsid w:val="4B1609CE"/>
    <w:rsid w:val="4B172F9B"/>
    <w:rsid w:val="4B187A7D"/>
    <w:rsid w:val="4B1C1263"/>
    <w:rsid w:val="4B21609C"/>
    <w:rsid w:val="4B2649FF"/>
    <w:rsid w:val="4B2CACB3"/>
    <w:rsid w:val="4B2D4A5E"/>
    <w:rsid w:val="4B2E0D12"/>
    <w:rsid w:val="4B2EE223"/>
    <w:rsid w:val="4B2F1526"/>
    <w:rsid w:val="4B3041B2"/>
    <w:rsid w:val="4B328DD6"/>
    <w:rsid w:val="4B330BDA"/>
    <w:rsid w:val="4B34CACF"/>
    <w:rsid w:val="4B3E14F1"/>
    <w:rsid w:val="4B430D40"/>
    <w:rsid w:val="4B457B6B"/>
    <w:rsid w:val="4B465EFC"/>
    <w:rsid w:val="4B46771B"/>
    <w:rsid w:val="4B4A7416"/>
    <w:rsid w:val="4B4ECED5"/>
    <w:rsid w:val="4B4F8B32"/>
    <w:rsid w:val="4B505A7D"/>
    <w:rsid w:val="4B520C72"/>
    <w:rsid w:val="4B52733B"/>
    <w:rsid w:val="4B52BFFC"/>
    <w:rsid w:val="4B533ABC"/>
    <w:rsid w:val="4B58C3E4"/>
    <w:rsid w:val="4B5915F3"/>
    <w:rsid w:val="4B5C9C8B"/>
    <w:rsid w:val="4B5E3F8F"/>
    <w:rsid w:val="4B5FD478"/>
    <w:rsid w:val="4B66BFB8"/>
    <w:rsid w:val="4B67F6E2"/>
    <w:rsid w:val="4B6EDFBE"/>
    <w:rsid w:val="4B741800"/>
    <w:rsid w:val="4B7502A2"/>
    <w:rsid w:val="4B76F809"/>
    <w:rsid w:val="4B7801F7"/>
    <w:rsid w:val="4B7CE72A"/>
    <w:rsid w:val="4B8071F6"/>
    <w:rsid w:val="4B8755B4"/>
    <w:rsid w:val="4B8865C0"/>
    <w:rsid w:val="4B8EB5A4"/>
    <w:rsid w:val="4B967FF8"/>
    <w:rsid w:val="4B9A8F63"/>
    <w:rsid w:val="4B9AB519"/>
    <w:rsid w:val="4B9AE15B"/>
    <w:rsid w:val="4B9F686B"/>
    <w:rsid w:val="4BA990C4"/>
    <w:rsid w:val="4BABC194"/>
    <w:rsid w:val="4BAC240F"/>
    <w:rsid w:val="4BADFE5E"/>
    <w:rsid w:val="4BAFE48C"/>
    <w:rsid w:val="4BB044BB"/>
    <w:rsid w:val="4BB12061"/>
    <w:rsid w:val="4BB4A214"/>
    <w:rsid w:val="4BB83D22"/>
    <w:rsid w:val="4BC03705"/>
    <w:rsid w:val="4BC0955B"/>
    <w:rsid w:val="4BC0E4B7"/>
    <w:rsid w:val="4BC28933"/>
    <w:rsid w:val="4BC527FB"/>
    <w:rsid w:val="4BCA66F1"/>
    <w:rsid w:val="4BCD2798"/>
    <w:rsid w:val="4BCD8791"/>
    <w:rsid w:val="4BCE2427"/>
    <w:rsid w:val="4BD07BB8"/>
    <w:rsid w:val="4BD2E3B0"/>
    <w:rsid w:val="4BD493A8"/>
    <w:rsid w:val="4BD4A8ED"/>
    <w:rsid w:val="4BD7C9A1"/>
    <w:rsid w:val="4BE1D4D0"/>
    <w:rsid w:val="4BE208E2"/>
    <w:rsid w:val="4BE4D546"/>
    <w:rsid w:val="4BE58C30"/>
    <w:rsid w:val="4BE60A4B"/>
    <w:rsid w:val="4BE9188F"/>
    <w:rsid w:val="4BE9AA9F"/>
    <w:rsid w:val="4BED3733"/>
    <w:rsid w:val="4BF16CF8"/>
    <w:rsid w:val="4BF79A52"/>
    <w:rsid w:val="4BFA1C06"/>
    <w:rsid w:val="4BFBCBE7"/>
    <w:rsid w:val="4BFE4570"/>
    <w:rsid w:val="4BFE45D2"/>
    <w:rsid w:val="4C02C999"/>
    <w:rsid w:val="4C043B08"/>
    <w:rsid w:val="4C04EE77"/>
    <w:rsid w:val="4C097C23"/>
    <w:rsid w:val="4C098D38"/>
    <w:rsid w:val="4C0DF2D9"/>
    <w:rsid w:val="4C0F4CD8"/>
    <w:rsid w:val="4C12B170"/>
    <w:rsid w:val="4C14C8F3"/>
    <w:rsid w:val="4C15A76A"/>
    <w:rsid w:val="4C162536"/>
    <w:rsid w:val="4C1A8F04"/>
    <w:rsid w:val="4C22DD4B"/>
    <w:rsid w:val="4C25031E"/>
    <w:rsid w:val="4C269C2F"/>
    <w:rsid w:val="4C32D2BB"/>
    <w:rsid w:val="4C332DD9"/>
    <w:rsid w:val="4C33A62B"/>
    <w:rsid w:val="4C34DC3E"/>
    <w:rsid w:val="4C367D4C"/>
    <w:rsid w:val="4C3C5E82"/>
    <w:rsid w:val="4C3EB639"/>
    <w:rsid w:val="4C3FAC0B"/>
    <w:rsid w:val="4C3FB466"/>
    <w:rsid w:val="4C41A914"/>
    <w:rsid w:val="4C42CB0D"/>
    <w:rsid w:val="4C431572"/>
    <w:rsid w:val="4C4AAA9C"/>
    <w:rsid w:val="4C4B1D05"/>
    <w:rsid w:val="4C4B453E"/>
    <w:rsid w:val="4C4D70BF"/>
    <w:rsid w:val="4C4FD97C"/>
    <w:rsid w:val="4C51C41E"/>
    <w:rsid w:val="4C5CF267"/>
    <w:rsid w:val="4C627965"/>
    <w:rsid w:val="4C629677"/>
    <w:rsid w:val="4C65B860"/>
    <w:rsid w:val="4C67747A"/>
    <w:rsid w:val="4C6B0CA4"/>
    <w:rsid w:val="4C6B1F4C"/>
    <w:rsid w:val="4C6F403B"/>
    <w:rsid w:val="4C73F14E"/>
    <w:rsid w:val="4C78AC74"/>
    <w:rsid w:val="4C79DF97"/>
    <w:rsid w:val="4C7A8D6A"/>
    <w:rsid w:val="4C7E8C94"/>
    <w:rsid w:val="4C7FFD75"/>
    <w:rsid w:val="4C81DBD8"/>
    <w:rsid w:val="4C8465B7"/>
    <w:rsid w:val="4C86EC0C"/>
    <w:rsid w:val="4C88D563"/>
    <w:rsid w:val="4C8943B5"/>
    <w:rsid w:val="4C912C87"/>
    <w:rsid w:val="4C92A2E1"/>
    <w:rsid w:val="4C934B26"/>
    <w:rsid w:val="4C93E95B"/>
    <w:rsid w:val="4C940D08"/>
    <w:rsid w:val="4C94E870"/>
    <w:rsid w:val="4CA1A546"/>
    <w:rsid w:val="4CA49729"/>
    <w:rsid w:val="4CA7491D"/>
    <w:rsid w:val="4CB2B4A6"/>
    <w:rsid w:val="4CB37B5B"/>
    <w:rsid w:val="4CB46BD3"/>
    <w:rsid w:val="4CB6F699"/>
    <w:rsid w:val="4CBAF91E"/>
    <w:rsid w:val="4CBCB8B8"/>
    <w:rsid w:val="4CC007DE"/>
    <w:rsid w:val="4CC38D77"/>
    <w:rsid w:val="4CC48EC2"/>
    <w:rsid w:val="4CC7EEFB"/>
    <w:rsid w:val="4CCAE0E4"/>
    <w:rsid w:val="4CCEADF9"/>
    <w:rsid w:val="4CCF5240"/>
    <w:rsid w:val="4CCFE165"/>
    <w:rsid w:val="4CD3BB01"/>
    <w:rsid w:val="4CD9E982"/>
    <w:rsid w:val="4CDB5254"/>
    <w:rsid w:val="4CDBC35D"/>
    <w:rsid w:val="4CDBEFC6"/>
    <w:rsid w:val="4CDD651E"/>
    <w:rsid w:val="4CE03B69"/>
    <w:rsid w:val="4CE18AF5"/>
    <w:rsid w:val="4CE59515"/>
    <w:rsid w:val="4CE7B147"/>
    <w:rsid w:val="4CEC87AF"/>
    <w:rsid w:val="4CEDB6A0"/>
    <w:rsid w:val="4CF12EFA"/>
    <w:rsid w:val="4CF30004"/>
    <w:rsid w:val="4CF41010"/>
    <w:rsid w:val="4CF5032C"/>
    <w:rsid w:val="4CF63F6C"/>
    <w:rsid w:val="4CF77867"/>
    <w:rsid w:val="4CF87402"/>
    <w:rsid w:val="4CF941CD"/>
    <w:rsid w:val="4CF956AE"/>
    <w:rsid w:val="4CFB5585"/>
    <w:rsid w:val="4CFBFE10"/>
    <w:rsid w:val="4CFC6171"/>
    <w:rsid w:val="4CFE1F48"/>
    <w:rsid w:val="4D0345AC"/>
    <w:rsid w:val="4D038C38"/>
    <w:rsid w:val="4D0656B6"/>
    <w:rsid w:val="4D09488A"/>
    <w:rsid w:val="4D0A489B"/>
    <w:rsid w:val="4D102F21"/>
    <w:rsid w:val="4D115255"/>
    <w:rsid w:val="4D12B2DB"/>
    <w:rsid w:val="4D1506F3"/>
    <w:rsid w:val="4D19A442"/>
    <w:rsid w:val="4D1C4381"/>
    <w:rsid w:val="4D1CF5D8"/>
    <w:rsid w:val="4D1DE002"/>
    <w:rsid w:val="4D20DA93"/>
    <w:rsid w:val="4D286A5E"/>
    <w:rsid w:val="4D2FBC79"/>
    <w:rsid w:val="4D335162"/>
    <w:rsid w:val="4D34DB1C"/>
    <w:rsid w:val="4D35C78B"/>
    <w:rsid w:val="4D393CFD"/>
    <w:rsid w:val="4D4615F3"/>
    <w:rsid w:val="4D462D63"/>
    <w:rsid w:val="4D47D2E3"/>
    <w:rsid w:val="4D489A3C"/>
    <w:rsid w:val="4D4BD13A"/>
    <w:rsid w:val="4D4D3DEC"/>
    <w:rsid w:val="4D4E8C1B"/>
    <w:rsid w:val="4D4FE4D5"/>
    <w:rsid w:val="4D536352"/>
    <w:rsid w:val="4D5B3541"/>
    <w:rsid w:val="4D5D8DDE"/>
    <w:rsid w:val="4D5E9132"/>
    <w:rsid w:val="4D5EBB58"/>
    <w:rsid w:val="4D610638"/>
    <w:rsid w:val="4D61087C"/>
    <w:rsid w:val="4D629B5E"/>
    <w:rsid w:val="4D661800"/>
    <w:rsid w:val="4D6B9AE5"/>
    <w:rsid w:val="4D6C356E"/>
    <w:rsid w:val="4D6CDBB6"/>
    <w:rsid w:val="4D6F7805"/>
    <w:rsid w:val="4D7175F9"/>
    <w:rsid w:val="4D7325C6"/>
    <w:rsid w:val="4D73FEAD"/>
    <w:rsid w:val="4D765F45"/>
    <w:rsid w:val="4D787BB2"/>
    <w:rsid w:val="4D866DFA"/>
    <w:rsid w:val="4D86F6F8"/>
    <w:rsid w:val="4D8767D7"/>
    <w:rsid w:val="4D8F71FB"/>
    <w:rsid w:val="4D907E37"/>
    <w:rsid w:val="4D95844F"/>
    <w:rsid w:val="4D95B377"/>
    <w:rsid w:val="4D97C2A1"/>
    <w:rsid w:val="4DA52F00"/>
    <w:rsid w:val="4DA8CB5F"/>
    <w:rsid w:val="4DA9C33A"/>
    <w:rsid w:val="4DAA97D7"/>
    <w:rsid w:val="4DABCC77"/>
    <w:rsid w:val="4DAC3EB3"/>
    <w:rsid w:val="4DAE766D"/>
    <w:rsid w:val="4DB5B2D5"/>
    <w:rsid w:val="4DB6580F"/>
    <w:rsid w:val="4DB6D0FB"/>
    <w:rsid w:val="4DB84E03"/>
    <w:rsid w:val="4DBB1C49"/>
    <w:rsid w:val="4DBC8118"/>
    <w:rsid w:val="4DBD6265"/>
    <w:rsid w:val="4DBEC1C7"/>
    <w:rsid w:val="4DC6BA41"/>
    <w:rsid w:val="4DCE9669"/>
    <w:rsid w:val="4DE2BA9D"/>
    <w:rsid w:val="4DE5464B"/>
    <w:rsid w:val="4DE6D056"/>
    <w:rsid w:val="4DE7751A"/>
    <w:rsid w:val="4DED28D8"/>
    <w:rsid w:val="4DF55086"/>
    <w:rsid w:val="4DF67BFB"/>
    <w:rsid w:val="4DF78A36"/>
    <w:rsid w:val="4DFC262C"/>
    <w:rsid w:val="4DFCEEE3"/>
    <w:rsid w:val="4E05FE26"/>
    <w:rsid w:val="4E08E8DB"/>
    <w:rsid w:val="4E08FBF0"/>
    <w:rsid w:val="4E098CFC"/>
    <w:rsid w:val="4E0CD1DC"/>
    <w:rsid w:val="4E108A5A"/>
    <w:rsid w:val="4E140F95"/>
    <w:rsid w:val="4E146804"/>
    <w:rsid w:val="4E14E711"/>
    <w:rsid w:val="4E175848"/>
    <w:rsid w:val="4E183939"/>
    <w:rsid w:val="4E1B76D5"/>
    <w:rsid w:val="4E1C7864"/>
    <w:rsid w:val="4E20BF2F"/>
    <w:rsid w:val="4E21D185"/>
    <w:rsid w:val="4E22F59F"/>
    <w:rsid w:val="4E22F7EE"/>
    <w:rsid w:val="4E24F3E9"/>
    <w:rsid w:val="4E25A862"/>
    <w:rsid w:val="4E2A75AD"/>
    <w:rsid w:val="4E2A91F1"/>
    <w:rsid w:val="4E2D317C"/>
    <w:rsid w:val="4E2E4376"/>
    <w:rsid w:val="4E2EA733"/>
    <w:rsid w:val="4E316B84"/>
    <w:rsid w:val="4E356D6C"/>
    <w:rsid w:val="4E39203F"/>
    <w:rsid w:val="4E44B0E4"/>
    <w:rsid w:val="4E4F7028"/>
    <w:rsid w:val="4E4FE86E"/>
    <w:rsid w:val="4E500956"/>
    <w:rsid w:val="4E50DDFA"/>
    <w:rsid w:val="4E515019"/>
    <w:rsid w:val="4E535BBA"/>
    <w:rsid w:val="4E5366F6"/>
    <w:rsid w:val="4E5721EF"/>
    <w:rsid w:val="4E585DB0"/>
    <w:rsid w:val="4E58D0A8"/>
    <w:rsid w:val="4E5CEC44"/>
    <w:rsid w:val="4E5E36CB"/>
    <w:rsid w:val="4E5E7566"/>
    <w:rsid w:val="4E64609A"/>
    <w:rsid w:val="4E6CB9E0"/>
    <w:rsid w:val="4E6D6683"/>
    <w:rsid w:val="4E7496C0"/>
    <w:rsid w:val="4E75FADA"/>
    <w:rsid w:val="4E7E5D25"/>
    <w:rsid w:val="4E81E2F3"/>
    <w:rsid w:val="4E8369DE"/>
    <w:rsid w:val="4E85BA7D"/>
    <w:rsid w:val="4E8A4A15"/>
    <w:rsid w:val="4E909C53"/>
    <w:rsid w:val="4E977996"/>
    <w:rsid w:val="4E98D4D5"/>
    <w:rsid w:val="4E9A824C"/>
    <w:rsid w:val="4E9AC959"/>
    <w:rsid w:val="4E9B26FB"/>
    <w:rsid w:val="4E9B5556"/>
    <w:rsid w:val="4E9C5489"/>
    <w:rsid w:val="4E9CE792"/>
    <w:rsid w:val="4E9DEA74"/>
    <w:rsid w:val="4E9E375C"/>
    <w:rsid w:val="4EA63B3D"/>
    <w:rsid w:val="4EA7C198"/>
    <w:rsid w:val="4EAAD76D"/>
    <w:rsid w:val="4EAB989A"/>
    <w:rsid w:val="4EAC2819"/>
    <w:rsid w:val="4EAD9BA0"/>
    <w:rsid w:val="4EB487EC"/>
    <w:rsid w:val="4EBABEF7"/>
    <w:rsid w:val="4EBAE1DB"/>
    <w:rsid w:val="4EBAEC73"/>
    <w:rsid w:val="4EBC7189"/>
    <w:rsid w:val="4EBC7572"/>
    <w:rsid w:val="4EBF9FF5"/>
    <w:rsid w:val="4EC49F2B"/>
    <w:rsid w:val="4EC91BD3"/>
    <w:rsid w:val="4EC98C23"/>
    <w:rsid w:val="4ECC90C6"/>
    <w:rsid w:val="4ECD137A"/>
    <w:rsid w:val="4ECE7E04"/>
    <w:rsid w:val="4ECF0B39"/>
    <w:rsid w:val="4ED07D68"/>
    <w:rsid w:val="4ED15ED2"/>
    <w:rsid w:val="4ED19ED9"/>
    <w:rsid w:val="4ED4782F"/>
    <w:rsid w:val="4ED50C76"/>
    <w:rsid w:val="4ED6A82A"/>
    <w:rsid w:val="4ED769B3"/>
    <w:rsid w:val="4EDB83E8"/>
    <w:rsid w:val="4EDD33A1"/>
    <w:rsid w:val="4EE3672D"/>
    <w:rsid w:val="4EE458DF"/>
    <w:rsid w:val="4EE60900"/>
    <w:rsid w:val="4EE6EB0D"/>
    <w:rsid w:val="4EE7A19B"/>
    <w:rsid w:val="4EF09173"/>
    <w:rsid w:val="4EF2B180"/>
    <w:rsid w:val="4EF491DE"/>
    <w:rsid w:val="4EF8741B"/>
    <w:rsid w:val="4EF8B1DD"/>
    <w:rsid w:val="4EFA5B22"/>
    <w:rsid w:val="4EFEFF2C"/>
    <w:rsid w:val="4EFF568F"/>
    <w:rsid w:val="4EFF8CAC"/>
    <w:rsid w:val="4F015C29"/>
    <w:rsid w:val="4F03C511"/>
    <w:rsid w:val="4F03FFB2"/>
    <w:rsid w:val="4F04DFF3"/>
    <w:rsid w:val="4F04E85C"/>
    <w:rsid w:val="4F06D3CE"/>
    <w:rsid w:val="4F07069F"/>
    <w:rsid w:val="4F090C18"/>
    <w:rsid w:val="4F0A2DCD"/>
    <w:rsid w:val="4F0B55FF"/>
    <w:rsid w:val="4F0D64BF"/>
    <w:rsid w:val="4F0D851D"/>
    <w:rsid w:val="4F0FED9D"/>
    <w:rsid w:val="4F10EF6E"/>
    <w:rsid w:val="4F112213"/>
    <w:rsid w:val="4F112365"/>
    <w:rsid w:val="4F121AB4"/>
    <w:rsid w:val="4F157C4E"/>
    <w:rsid w:val="4F157D30"/>
    <w:rsid w:val="4F18DE1A"/>
    <w:rsid w:val="4F1B733C"/>
    <w:rsid w:val="4F1FFF8C"/>
    <w:rsid w:val="4F20C690"/>
    <w:rsid w:val="4F20DF7E"/>
    <w:rsid w:val="4F222CFC"/>
    <w:rsid w:val="4F23BAD1"/>
    <w:rsid w:val="4F24BC83"/>
    <w:rsid w:val="4F27AD12"/>
    <w:rsid w:val="4F285E1C"/>
    <w:rsid w:val="4F2A7F59"/>
    <w:rsid w:val="4F2D43E5"/>
    <w:rsid w:val="4F2EBDA3"/>
    <w:rsid w:val="4F2EE5C0"/>
    <w:rsid w:val="4F31FFFD"/>
    <w:rsid w:val="4F32A467"/>
    <w:rsid w:val="4F371283"/>
    <w:rsid w:val="4F396C6A"/>
    <w:rsid w:val="4F3D29CB"/>
    <w:rsid w:val="4F418CDB"/>
    <w:rsid w:val="4F42E676"/>
    <w:rsid w:val="4F4700AA"/>
    <w:rsid w:val="4F494969"/>
    <w:rsid w:val="4F4D5907"/>
    <w:rsid w:val="4F54C7EB"/>
    <w:rsid w:val="4F55AFC8"/>
    <w:rsid w:val="4F5AEE4E"/>
    <w:rsid w:val="4F5AFC87"/>
    <w:rsid w:val="4F5BF257"/>
    <w:rsid w:val="4F5F30A3"/>
    <w:rsid w:val="4F606A2B"/>
    <w:rsid w:val="4F609E35"/>
    <w:rsid w:val="4F664581"/>
    <w:rsid w:val="4F6F42E7"/>
    <w:rsid w:val="4F7010D1"/>
    <w:rsid w:val="4F7145FB"/>
    <w:rsid w:val="4F71C947"/>
    <w:rsid w:val="4F73AA03"/>
    <w:rsid w:val="4F779F76"/>
    <w:rsid w:val="4F7823B7"/>
    <w:rsid w:val="4F78B8EB"/>
    <w:rsid w:val="4F7BEF6D"/>
    <w:rsid w:val="4F7EBA8A"/>
    <w:rsid w:val="4F80FAFB"/>
    <w:rsid w:val="4F826FED"/>
    <w:rsid w:val="4F84E172"/>
    <w:rsid w:val="4F883DA9"/>
    <w:rsid w:val="4F8BFE51"/>
    <w:rsid w:val="4F8FE845"/>
    <w:rsid w:val="4F96270D"/>
    <w:rsid w:val="4F9915DB"/>
    <w:rsid w:val="4F9B0A00"/>
    <w:rsid w:val="4F9C9981"/>
    <w:rsid w:val="4F9DE324"/>
    <w:rsid w:val="4FA26A03"/>
    <w:rsid w:val="4FA2AB1C"/>
    <w:rsid w:val="4FA725B3"/>
    <w:rsid w:val="4FA74F7B"/>
    <w:rsid w:val="4FA81CE3"/>
    <w:rsid w:val="4FA8BA31"/>
    <w:rsid w:val="4FAC3D8F"/>
    <w:rsid w:val="4FAD96AF"/>
    <w:rsid w:val="4FADA0F6"/>
    <w:rsid w:val="4FBBECED"/>
    <w:rsid w:val="4FBBEE2E"/>
    <w:rsid w:val="4FBC36C9"/>
    <w:rsid w:val="4FC679DC"/>
    <w:rsid w:val="4FCA75EB"/>
    <w:rsid w:val="4FCE8FFA"/>
    <w:rsid w:val="4FCF9BC3"/>
    <w:rsid w:val="4FD0B95A"/>
    <w:rsid w:val="4FD3E79B"/>
    <w:rsid w:val="4FD5673B"/>
    <w:rsid w:val="4FD57F95"/>
    <w:rsid w:val="4FDA6FD8"/>
    <w:rsid w:val="4FDB0615"/>
    <w:rsid w:val="4FE112F2"/>
    <w:rsid w:val="4FE75439"/>
    <w:rsid w:val="4FE7C195"/>
    <w:rsid w:val="4FE8A71A"/>
    <w:rsid w:val="4FEAF908"/>
    <w:rsid w:val="4FECE22C"/>
    <w:rsid w:val="4FEDDD20"/>
    <w:rsid w:val="4FEEFFCA"/>
    <w:rsid w:val="4FEF710F"/>
    <w:rsid w:val="4FF118B7"/>
    <w:rsid w:val="4FF24EE4"/>
    <w:rsid w:val="4FFFC07A"/>
    <w:rsid w:val="500015BA"/>
    <w:rsid w:val="500173CE"/>
    <w:rsid w:val="5002B0DE"/>
    <w:rsid w:val="5006CF5B"/>
    <w:rsid w:val="5006F2FD"/>
    <w:rsid w:val="5009C021"/>
    <w:rsid w:val="500E57CC"/>
    <w:rsid w:val="501453F5"/>
    <w:rsid w:val="50156B6C"/>
    <w:rsid w:val="50179937"/>
    <w:rsid w:val="501FA8AA"/>
    <w:rsid w:val="5024CE52"/>
    <w:rsid w:val="502AF21C"/>
    <w:rsid w:val="502F8B77"/>
    <w:rsid w:val="5030180C"/>
    <w:rsid w:val="50307540"/>
    <w:rsid w:val="5031B968"/>
    <w:rsid w:val="50325878"/>
    <w:rsid w:val="5032A802"/>
    <w:rsid w:val="5036D628"/>
    <w:rsid w:val="503DD15B"/>
    <w:rsid w:val="50401EED"/>
    <w:rsid w:val="504A7E05"/>
    <w:rsid w:val="504B5696"/>
    <w:rsid w:val="504E3530"/>
    <w:rsid w:val="505034D5"/>
    <w:rsid w:val="5050584D"/>
    <w:rsid w:val="5051CA56"/>
    <w:rsid w:val="50525C1E"/>
    <w:rsid w:val="5054872D"/>
    <w:rsid w:val="50558C25"/>
    <w:rsid w:val="50573E9E"/>
    <w:rsid w:val="5059F28D"/>
    <w:rsid w:val="505A1561"/>
    <w:rsid w:val="505CB518"/>
    <w:rsid w:val="505E7B63"/>
    <w:rsid w:val="5060DD47"/>
    <w:rsid w:val="50612144"/>
    <w:rsid w:val="506270DE"/>
    <w:rsid w:val="50641D24"/>
    <w:rsid w:val="506E2F33"/>
    <w:rsid w:val="506F34ED"/>
    <w:rsid w:val="506F59CD"/>
    <w:rsid w:val="5070DCD7"/>
    <w:rsid w:val="50713445"/>
    <w:rsid w:val="5074A888"/>
    <w:rsid w:val="50755FEF"/>
    <w:rsid w:val="5076A3C8"/>
    <w:rsid w:val="5078575F"/>
    <w:rsid w:val="50786276"/>
    <w:rsid w:val="50799D7E"/>
    <w:rsid w:val="507BF49B"/>
    <w:rsid w:val="507D4CA9"/>
    <w:rsid w:val="50817FAF"/>
    <w:rsid w:val="5082D83C"/>
    <w:rsid w:val="50884B7F"/>
    <w:rsid w:val="508C486C"/>
    <w:rsid w:val="508DD6DC"/>
    <w:rsid w:val="508EC84C"/>
    <w:rsid w:val="509C9646"/>
    <w:rsid w:val="509E3CBB"/>
    <w:rsid w:val="509F59C7"/>
    <w:rsid w:val="50A16725"/>
    <w:rsid w:val="50A1D731"/>
    <w:rsid w:val="50A28E51"/>
    <w:rsid w:val="50A3DADE"/>
    <w:rsid w:val="50B061E5"/>
    <w:rsid w:val="50B6D533"/>
    <w:rsid w:val="50B7766E"/>
    <w:rsid w:val="50B8EB78"/>
    <w:rsid w:val="50C40717"/>
    <w:rsid w:val="50C5D932"/>
    <w:rsid w:val="50C6A03B"/>
    <w:rsid w:val="50C9839E"/>
    <w:rsid w:val="50CE06B2"/>
    <w:rsid w:val="50D0ED57"/>
    <w:rsid w:val="50D3ABFB"/>
    <w:rsid w:val="50D65A4F"/>
    <w:rsid w:val="50D7D65E"/>
    <w:rsid w:val="50DC2AF8"/>
    <w:rsid w:val="50DCE96B"/>
    <w:rsid w:val="50E04A6E"/>
    <w:rsid w:val="50E3471A"/>
    <w:rsid w:val="50E4501F"/>
    <w:rsid w:val="50E9FCD8"/>
    <w:rsid w:val="50EA4D81"/>
    <w:rsid w:val="50EDC9BF"/>
    <w:rsid w:val="50EEF28A"/>
    <w:rsid w:val="50F5174F"/>
    <w:rsid w:val="50F7A324"/>
    <w:rsid w:val="50F828BE"/>
    <w:rsid w:val="50F8E692"/>
    <w:rsid w:val="50FC9D74"/>
    <w:rsid w:val="50FD8E32"/>
    <w:rsid w:val="50FDB5E9"/>
    <w:rsid w:val="50FE3082"/>
    <w:rsid w:val="50FE6502"/>
    <w:rsid w:val="50FE83D6"/>
    <w:rsid w:val="5100C37B"/>
    <w:rsid w:val="5100C57D"/>
    <w:rsid w:val="5101CCA3"/>
    <w:rsid w:val="5103622C"/>
    <w:rsid w:val="51038C63"/>
    <w:rsid w:val="5103F07B"/>
    <w:rsid w:val="51041F7C"/>
    <w:rsid w:val="51079238"/>
    <w:rsid w:val="5109AC25"/>
    <w:rsid w:val="510BE132"/>
    <w:rsid w:val="510E960B"/>
    <w:rsid w:val="510F4509"/>
    <w:rsid w:val="511081BA"/>
    <w:rsid w:val="5114FD4E"/>
    <w:rsid w:val="51165D51"/>
    <w:rsid w:val="5117E013"/>
    <w:rsid w:val="511A3A00"/>
    <w:rsid w:val="51250E8C"/>
    <w:rsid w:val="5128541C"/>
    <w:rsid w:val="512AA078"/>
    <w:rsid w:val="512CF148"/>
    <w:rsid w:val="512D28E6"/>
    <w:rsid w:val="5132E9F4"/>
    <w:rsid w:val="5139121F"/>
    <w:rsid w:val="5139ABEB"/>
    <w:rsid w:val="513AA112"/>
    <w:rsid w:val="5141111E"/>
    <w:rsid w:val="5143AD7B"/>
    <w:rsid w:val="5145D7DC"/>
    <w:rsid w:val="514776CD"/>
    <w:rsid w:val="514F2762"/>
    <w:rsid w:val="5156459A"/>
    <w:rsid w:val="51571565"/>
    <w:rsid w:val="515877BD"/>
    <w:rsid w:val="515A3289"/>
    <w:rsid w:val="515ADA9D"/>
    <w:rsid w:val="515E3987"/>
    <w:rsid w:val="515F2798"/>
    <w:rsid w:val="515FE0E8"/>
    <w:rsid w:val="516158BF"/>
    <w:rsid w:val="51661E2E"/>
    <w:rsid w:val="516728D6"/>
    <w:rsid w:val="51687D45"/>
    <w:rsid w:val="516950D4"/>
    <w:rsid w:val="51696434"/>
    <w:rsid w:val="516AB1F0"/>
    <w:rsid w:val="516BE7A4"/>
    <w:rsid w:val="516D197D"/>
    <w:rsid w:val="51740700"/>
    <w:rsid w:val="517A3FD0"/>
    <w:rsid w:val="517BDE50"/>
    <w:rsid w:val="517C4582"/>
    <w:rsid w:val="517DD9C6"/>
    <w:rsid w:val="518077F5"/>
    <w:rsid w:val="51810BE5"/>
    <w:rsid w:val="51844EB7"/>
    <w:rsid w:val="518522E1"/>
    <w:rsid w:val="5198D2FD"/>
    <w:rsid w:val="519933AB"/>
    <w:rsid w:val="519AE565"/>
    <w:rsid w:val="519C26DF"/>
    <w:rsid w:val="519D4790"/>
    <w:rsid w:val="519E81F7"/>
    <w:rsid w:val="519F395A"/>
    <w:rsid w:val="519F490E"/>
    <w:rsid w:val="51A146A7"/>
    <w:rsid w:val="51A2E493"/>
    <w:rsid w:val="51A3CBF7"/>
    <w:rsid w:val="51A4428E"/>
    <w:rsid w:val="51A7E07E"/>
    <w:rsid w:val="51AD042C"/>
    <w:rsid w:val="51B3AD47"/>
    <w:rsid w:val="51B69797"/>
    <w:rsid w:val="51B6F08E"/>
    <w:rsid w:val="51BB9D12"/>
    <w:rsid w:val="51C00612"/>
    <w:rsid w:val="51C02C20"/>
    <w:rsid w:val="51C137D6"/>
    <w:rsid w:val="51C293DC"/>
    <w:rsid w:val="51C7EC9B"/>
    <w:rsid w:val="51C96F78"/>
    <w:rsid w:val="51C9D504"/>
    <w:rsid w:val="51D68F0E"/>
    <w:rsid w:val="51DD4948"/>
    <w:rsid w:val="51DE9D8A"/>
    <w:rsid w:val="51E1E04F"/>
    <w:rsid w:val="51E1FC7C"/>
    <w:rsid w:val="51E27BC8"/>
    <w:rsid w:val="51E48FFA"/>
    <w:rsid w:val="51E56EED"/>
    <w:rsid w:val="51E73073"/>
    <w:rsid w:val="51E9619D"/>
    <w:rsid w:val="51EE7A05"/>
    <w:rsid w:val="51F0CBA2"/>
    <w:rsid w:val="51F85386"/>
    <w:rsid w:val="51FA3638"/>
    <w:rsid w:val="51FBB2C3"/>
    <w:rsid w:val="51FC382C"/>
    <w:rsid w:val="51FD7030"/>
    <w:rsid w:val="520A6CA8"/>
    <w:rsid w:val="520B3C29"/>
    <w:rsid w:val="520C9CBF"/>
    <w:rsid w:val="520D229B"/>
    <w:rsid w:val="52132EDE"/>
    <w:rsid w:val="52148A45"/>
    <w:rsid w:val="52157799"/>
    <w:rsid w:val="52165ED5"/>
    <w:rsid w:val="521AAC21"/>
    <w:rsid w:val="521BFB81"/>
    <w:rsid w:val="521C3FDA"/>
    <w:rsid w:val="521F0AC9"/>
    <w:rsid w:val="5221C8B8"/>
    <w:rsid w:val="5222D926"/>
    <w:rsid w:val="52267382"/>
    <w:rsid w:val="522AA497"/>
    <w:rsid w:val="522D93CB"/>
    <w:rsid w:val="5233E832"/>
    <w:rsid w:val="52364F1E"/>
    <w:rsid w:val="5236774E"/>
    <w:rsid w:val="52368A89"/>
    <w:rsid w:val="5238D67D"/>
    <w:rsid w:val="52407D12"/>
    <w:rsid w:val="5242C3F0"/>
    <w:rsid w:val="5245C548"/>
    <w:rsid w:val="5247F7AF"/>
    <w:rsid w:val="5249DEDD"/>
    <w:rsid w:val="524B0F46"/>
    <w:rsid w:val="524BA19E"/>
    <w:rsid w:val="5255CD69"/>
    <w:rsid w:val="5256EE5D"/>
    <w:rsid w:val="525997A7"/>
    <w:rsid w:val="5259DA8C"/>
    <w:rsid w:val="525A9955"/>
    <w:rsid w:val="525D21F1"/>
    <w:rsid w:val="52600F3E"/>
    <w:rsid w:val="5260F742"/>
    <w:rsid w:val="5262C013"/>
    <w:rsid w:val="52637A35"/>
    <w:rsid w:val="526F7D41"/>
    <w:rsid w:val="526FF443"/>
    <w:rsid w:val="5272954F"/>
    <w:rsid w:val="5278EC83"/>
    <w:rsid w:val="5279D9C2"/>
    <w:rsid w:val="527B6452"/>
    <w:rsid w:val="527D027E"/>
    <w:rsid w:val="527FAFD6"/>
    <w:rsid w:val="527FC172"/>
    <w:rsid w:val="5283AA51"/>
    <w:rsid w:val="528555CC"/>
    <w:rsid w:val="5286CD75"/>
    <w:rsid w:val="528DA061"/>
    <w:rsid w:val="52941820"/>
    <w:rsid w:val="5294A3A1"/>
    <w:rsid w:val="5297D04F"/>
    <w:rsid w:val="5297DD7A"/>
    <w:rsid w:val="52985DD3"/>
    <w:rsid w:val="529D93D5"/>
    <w:rsid w:val="529DBFBC"/>
    <w:rsid w:val="52A02C7D"/>
    <w:rsid w:val="52A3C743"/>
    <w:rsid w:val="52A70B8B"/>
    <w:rsid w:val="52A8A3B7"/>
    <w:rsid w:val="52A9191A"/>
    <w:rsid w:val="52A9FE34"/>
    <w:rsid w:val="52AABA5D"/>
    <w:rsid w:val="52AC2E31"/>
    <w:rsid w:val="52AD787E"/>
    <w:rsid w:val="52ADCD16"/>
    <w:rsid w:val="52AEDE9F"/>
    <w:rsid w:val="52AF3D92"/>
    <w:rsid w:val="52AFA9BD"/>
    <w:rsid w:val="52B3BC42"/>
    <w:rsid w:val="52B5E930"/>
    <w:rsid w:val="52B75A6E"/>
    <w:rsid w:val="52B8C580"/>
    <w:rsid w:val="52BB186F"/>
    <w:rsid w:val="52BD13A7"/>
    <w:rsid w:val="52BFAB9A"/>
    <w:rsid w:val="52C2ECCD"/>
    <w:rsid w:val="52C4041E"/>
    <w:rsid w:val="52C85EBE"/>
    <w:rsid w:val="52CD5F71"/>
    <w:rsid w:val="52D04138"/>
    <w:rsid w:val="52D0925D"/>
    <w:rsid w:val="52D16C37"/>
    <w:rsid w:val="52D175F5"/>
    <w:rsid w:val="52D5A7B1"/>
    <w:rsid w:val="52D87CF9"/>
    <w:rsid w:val="52D8D923"/>
    <w:rsid w:val="52D9873A"/>
    <w:rsid w:val="52D9D016"/>
    <w:rsid w:val="52E33583"/>
    <w:rsid w:val="52E97F90"/>
    <w:rsid w:val="52F01D20"/>
    <w:rsid w:val="52F2DB15"/>
    <w:rsid w:val="52F32F28"/>
    <w:rsid w:val="52F427A1"/>
    <w:rsid w:val="52F8766D"/>
    <w:rsid w:val="52FEB36A"/>
    <w:rsid w:val="530051DC"/>
    <w:rsid w:val="5301A76E"/>
    <w:rsid w:val="530390D1"/>
    <w:rsid w:val="5304BBC5"/>
    <w:rsid w:val="53050AEC"/>
    <w:rsid w:val="53061D54"/>
    <w:rsid w:val="5306C283"/>
    <w:rsid w:val="5308D543"/>
    <w:rsid w:val="530C7FFF"/>
    <w:rsid w:val="530E3CB0"/>
    <w:rsid w:val="530F5498"/>
    <w:rsid w:val="5313EF35"/>
    <w:rsid w:val="531D6544"/>
    <w:rsid w:val="531E9C44"/>
    <w:rsid w:val="532357EB"/>
    <w:rsid w:val="532668EE"/>
    <w:rsid w:val="5329145F"/>
    <w:rsid w:val="53303BF1"/>
    <w:rsid w:val="533885DF"/>
    <w:rsid w:val="533A8EDC"/>
    <w:rsid w:val="5340488B"/>
    <w:rsid w:val="534C7604"/>
    <w:rsid w:val="535443C0"/>
    <w:rsid w:val="53547C28"/>
    <w:rsid w:val="5356418B"/>
    <w:rsid w:val="53585905"/>
    <w:rsid w:val="535CD747"/>
    <w:rsid w:val="53606841"/>
    <w:rsid w:val="53673E1B"/>
    <w:rsid w:val="5367742E"/>
    <w:rsid w:val="536785F3"/>
    <w:rsid w:val="5369A9F2"/>
    <w:rsid w:val="536C92A7"/>
    <w:rsid w:val="536F51AB"/>
    <w:rsid w:val="536F5FFF"/>
    <w:rsid w:val="5370BA35"/>
    <w:rsid w:val="53775200"/>
    <w:rsid w:val="537F2943"/>
    <w:rsid w:val="5386F2FD"/>
    <w:rsid w:val="538A4A66"/>
    <w:rsid w:val="5390A2AA"/>
    <w:rsid w:val="5390A7F0"/>
    <w:rsid w:val="539BCF34"/>
    <w:rsid w:val="539D3E52"/>
    <w:rsid w:val="539E0C91"/>
    <w:rsid w:val="53A0154B"/>
    <w:rsid w:val="53A3F09B"/>
    <w:rsid w:val="53A49C21"/>
    <w:rsid w:val="53A5F3BB"/>
    <w:rsid w:val="53A8694B"/>
    <w:rsid w:val="53A8BD82"/>
    <w:rsid w:val="53AAA2FB"/>
    <w:rsid w:val="53AFBFB1"/>
    <w:rsid w:val="53B39DB8"/>
    <w:rsid w:val="53B3A966"/>
    <w:rsid w:val="53B5CCA3"/>
    <w:rsid w:val="53B5E5EA"/>
    <w:rsid w:val="53BA5461"/>
    <w:rsid w:val="53BA886B"/>
    <w:rsid w:val="53CA3631"/>
    <w:rsid w:val="53CE8193"/>
    <w:rsid w:val="53D141FB"/>
    <w:rsid w:val="53D3D9B9"/>
    <w:rsid w:val="53D6B6BE"/>
    <w:rsid w:val="53DC2566"/>
    <w:rsid w:val="53DF4135"/>
    <w:rsid w:val="53E31775"/>
    <w:rsid w:val="53E3DEAB"/>
    <w:rsid w:val="53EBB6B3"/>
    <w:rsid w:val="53EC4598"/>
    <w:rsid w:val="53EEFFCC"/>
    <w:rsid w:val="53F1149A"/>
    <w:rsid w:val="53F1476B"/>
    <w:rsid w:val="53F1C7F9"/>
    <w:rsid w:val="53F1E742"/>
    <w:rsid w:val="53F4475B"/>
    <w:rsid w:val="53F569A6"/>
    <w:rsid w:val="53F9A15F"/>
    <w:rsid w:val="53FAB851"/>
    <w:rsid w:val="53FB7DC2"/>
    <w:rsid w:val="53FF3CAF"/>
    <w:rsid w:val="53FF9E45"/>
    <w:rsid w:val="53FFDC61"/>
    <w:rsid w:val="54012460"/>
    <w:rsid w:val="54053169"/>
    <w:rsid w:val="54109FF9"/>
    <w:rsid w:val="54119672"/>
    <w:rsid w:val="54128BFA"/>
    <w:rsid w:val="541404C3"/>
    <w:rsid w:val="541C9C14"/>
    <w:rsid w:val="541CFD63"/>
    <w:rsid w:val="54224A05"/>
    <w:rsid w:val="5422B603"/>
    <w:rsid w:val="5424DDD4"/>
    <w:rsid w:val="5427BDBA"/>
    <w:rsid w:val="542850CE"/>
    <w:rsid w:val="54316BB3"/>
    <w:rsid w:val="5431BBE3"/>
    <w:rsid w:val="5431FAB4"/>
    <w:rsid w:val="543224A6"/>
    <w:rsid w:val="54328C1C"/>
    <w:rsid w:val="5433AD52"/>
    <w:rsid w:val="54353E15"/>
    <w:rsid w:val="54363B30"/>
    <w:rsid w:val="5448714D"/>
    <w:rsid w:val="544EA90B"/>
    <w:rsid w:val="544FFFF2"/>
    <w:rsid w:val="5452CA53"/>
    <w:rsid w:val="545F4DE8"/>
    <w:rsid w:val="54629A0B"/>
    <w:rsid w:val="5462AC16"/>
    <w:rsid w:val="54643732"/>
    <w:rsid w:val="5465C6A8"/>
    <w:rsid w:val="546807CE"/>
    <w:rsid w:val="54682E42"/>
    <w:rsid w:val="546E4D66"/>
    <w:rsid w:val="546FA2CB"/>
    <w:rsid w:val="546FA887"/>
    <w:rsid w:val="547872A0"/>
    <w:rsid w:val="54788B11"/>
    <w:rsid w:val="547E7D8F"/>
    <w:rsid w:val="5480380F"/>
    <w:rsid w:val="548531A9"/>
    <w:rsid w:val="548EC950"/>
    <w:rsid w:val="5490207E"/>
    <w:rsid w:val="54903082"/>
    <w:rsid w:val="549936FF"/>
    <w:rsid w:val="549A1E59"/>
    <w:rsid w:val="549CF82B"/>
    <w:rsid w:val="549FC047"/>
    <w:rsid w:val="54A1E4C5"/>
    <w:rsid w:val="54A29B9B"/>
    <w:rsid w:val="54A3AB33"/>
    <w:rsid w:val="54A3E655"/>
    <w:rsid w:val="54A6AC1E"/>
    <w:rsid w:val="54A8D2A6"/>
    <w:rsid w:val="54AAFCC3"/>
    <w:rsid w:val="54B5B659"/>
    <w:rsid w:val="54B6D95B"/>
    <w:rsid w:val="54B903B9"/>
    <w:rsid w:val="54BB03A3"/>
    <w:rsid w:val="54BDE9AC"/>
    <w:rsid w:val="54BE53BE"/>
    <w:rsid w:val="54BE7467"/>
    <w:rsid w:val="54BF4585"/>
    <w:rsid w:val="54C5F735"/>
    <w:rsid w:val="54CB6206"/>
    <w:rsid w:val="54CDA09C"/>
    <w:rsid w:val="54D0DA45"/>
    <w:rsid w:val="54D2B08F"/>
    <w:rsid w:val="54D609AD"/>
    <w:rsid w:val="54D6AE3C"/>
    <w:rsid w:val="54DE13CB"/>
    <w:rsid w:val="54DFACC0"/>
    <w:rsid w:val="54E753F3"/>
    <w:rsid w:val="54EA97A1"/>
    <w:rsid w:val="54EF1CCC"/>
    <w:rsid w:val="54EFAAE5"/>
    <w:rsid w:val="54F206EC"/>
    <w:rsid w:val="54F30FA2"/>
    <w:rsid w:val="54F318DB"/>
    <w:rsid w:val="54FC5B97"/>
    <w:rsid w:val="550216A3"/>
    <w:rsid w:val="55040408"/>
    <w:rsid w:val="5505F638"/>
    <w:rsid w:val="55068D33"/>
    <w:rsid w:val="5506D1B6"/>
    <w:rsid w:val="550FC716"/>
    <w:rsid w:val="5510AD7C"/>
    <w:rsid w:val="551AD4DA"/>
    <w:rsid w:val="551C8CE3"/>
    <w:rsid w:val="551F5549"/>
    <w:rsid w:val="5524B6AF"/>
    <w:rsid w:val="55256DC6"/>
    <w:rsid w:val="552919CB"/>
    <w:rsid w:val="552ABB5C"/>
    <w:rsid w:val="552B3FEC"/>
    <w:rsid w:val="553117A5"/>
    <w:rsid w:val="55367EB0"/>
    <w:rsid w:val="553897FF"/>
    <w:rsid w:val="55394B6A"/>
    <w:rsid w:val="553CB45B"/>
    <w:rsid w:val="553CCA8F"/>
    <w:rsid w:val="553E250E"/>
    <w:rsid w:val="55466698"/>
    <w:rsid w:val="554F7BB8"/>
    <w:rsid w:val="5550386C"/>
    <w:rsid w:val="555BA33B"/>
    <w:rsid w:val="555DB489"/>
    <w:rsid w:val="555FF46C"/>
    <w:rsid w:val="555FF8E2"/>
    <w:rsid w:val="556367FA"/>
    <w:rsid w:val="5564C7F5"/>
    <w:rsid w:val="55661750"/>
    <w:rsid w:val="5568663F"/>
    <w:rsid w:val="5568FCFD"/>
    <w:rsid w:val="556ADB0B"/>
    <w:rsid w:val="556EF020"/>
    <w:rsid w:val="556FBA76"/>
    <w:rsid w:val="5574C13C"/>
    <w:rsid w:val="55780E8B"/>
    <w:rsid w:val="5578D57B"/>
    <w:rsid w:val="557ABD8F"/>
    <w:rsid w:val="557D60FF"/>
    <w:rsid w:val="55812A06"/>
    <w:rsid w:val="5587497F"/>
    <w:rsid w:val="558B44EA"/>
    <w:rsid w:val="558D12A0"/>
    <w:rsid w:val="558D7397"/>
    <w:rsid w:val="558DAA18"/>
    <w:rsid w:val="55958FE5"/>
    <w:rsid w:val="55959E14"/>
    <w:rsid w:val="559683D7"/>
    <w:rsid w:val="5597E586"/>
    <w:rsid w:val="559BACC2"/>
    <w:rsid w:val="559BEB6A"/>
    <w:rsid w:val="559DF742"/>
    <w:rsid w:val="559F1BEE"/>
    <w:rsid w:val="55A35FF8"/>
    <w:rsid w:val="55A51820"/>
    <w:rsid w:val="55A58951"/>
    <w:rsid w:val="55A7FAE5"/>
    <w:rsid w:val="55A92F57"/>
    <w:rsid w:val="55B10DC6"/>
    <w:rsid w:val="55B223EB"/>
    <w:rsid w:val="55B31C06"/>
    <w:rsid w:val="55B91699"/>
    <w:rsid w:val="55BA404C"/>
    <w:rsid w:val="55BD184C"/>
    <w:rsid w:val="55BE888A"/>
    <w:rsid w:val="55BEB3C2"/>
    <w:rsid w:val="55BF3C33"/>
    <w:rsid w:val="55BF95A2"/>
    <w:rsid w:val="55C0E755"/>
    <w:rsid w:val="55C11A26"/>
    <w:rsid w:val="55C3DCAD"/>
    <w:rsid w:val="55C63285"/>
    <w:rsid w:val="55C9CB21"/>
    <w:rsid w:val="55CB567D"/>
    <w:rsid w:val="55CDB377"/>
    <w:rsid w:val="55D465AB"/>
    <w:rsid w:val="55D611CA"/>
    <w:rsid w:val="55DB2A36"/>
    <w:rsid w:val="55DD63E6"/>
    <w:rsid w:val="55DE3A86"/>
    <w:rsid w:val="55E01DE8"/>
    <w:rsid w:val="55E182D3"/>
    <w:rsid w:val="55E25C14"/>
    <w:rsid w:val="55E50ACE"/>
    <w:rsid w:val="55E6F4E0"/>
    <w:rsid w:val="55E85221"/>
    <w:rsid w:val="55EA2993"/>
    <w:rsid w:val="55EB07E8"/>
    <w:rsid w:val="55EB44BE"/>
    <w:rsid w:val="55EB563A"/>
    <w:rsid w:val="55EC6803"/>
    <w:rsid w:val="55EE17A8"/>
    <w:rsid w:val="55F26731"/>
    <w:rsid w:val="55F317A7"/>
    <w:rsid w:val="55F3B2F2"/>
    <w:rsid w:val="56002162"/>
    <w:rsid w:val="5604B783"/>
    <w:rsid w:val="56087A66"/>
    <w:rsid w:val="560DCD72"/>
    <w:rsid w:val="560F759D"/>
    <w:rsid w:val="5612EB0D"/>
    <w:rsid w:val="5615D65F"/>
    <w:rsid w:val="561D24FB"/>
    <w:rsid w:val="561F26C2"/>
    <w:rsid w:val="5621200F"/>
    <w:rsid w:val="56261248"/>
    <w:rsid w:val="562C8857"/>
    <w:rsid w:val="562F387D"/>
    <w:rsid w:val="562FF40D"/>
    <w:rsid w:val="56321B94"/>
    <w:rsid w:val="5632D871"/>
    <w:rsid w:val="5638B9BC"/>
    <w:rsid w:val="5638DDCC"/>
    <w:rsid w:val="563B2D3D"/>
    <w:rsid w:val="56402310"/>
    <w:rsid w:val="564568F3"/>
    <w:rsid w:val="564660CA"/>
    <w:rsid w:val="564D26CD"/>
    <w:rsid w:val="564EE81D"/>
    <w:rsid w:val="564F2B51"/>
    <w:rsid w:val="564F35B4"/>
    <w:rsid w:val="5655FDE1"/>
    <w:rsid w:val="565765A5"/>
    <w:rsid w:val="565810EC"/>
    <w:rsid w:val="56581949"/>
    <w:rsid w:val="565840DD"/>
    <w:rsid w:val="5659550A"/>
    <w:rsid w:val="565D2A8E"/>
    <w:rsid w:val="566151A1"/>
    <w:rsid w:val="5662CEA0"/>
    <w:rsid w:val="5662D69F"/>
    <w:rsid w:val="56639F19"/>
    <w:rsid w:val="566935A6"/>
    <w:rsid w:val="566AD2FC"/>
    <w:rsid w:val="566AE80E"/>
    <w:rsid w:val="566B0B98"/>
    <w:rsid w:val="566EA6D7"/>
    <w:rsid w:val="5670FB82"/>
    <w:rsid w:val="56716555"/>
    <w:rsid w:val="56743395"/>
    <w:rsid w:val="567633F2"/>
    <w:rsid w:val="5678DD75"/>
    <w:rsid w:val="5679AC79"/>
    <w:rsid w:val="567CD984"/>
    <w:rsid w:val="567D655C"/>
    <w:rsid w:val="5684C821"/>
    <w:rsid w:val="5687B24B"/>
    <w:rsid w:val="5687BCA0"/>
    <w:rsid w:val="568A4BFA"/>
    <w:rsid w:val="568D4810"/>
    <w:rsid w:val="5692453D"/>
    <w:rsid w:val="56933BDA"/>
    <w:rsid w:val="56942240"/>
    <w:rsid w:val="5698500C"/>
    <w:rsid w:val="56986C38"/>
    <w:rsid w:val="569A16FA"/>
    <w:rsid w:val="569CEA94"/>
    <w:rsid w:val="56A43369"/>
    <w:rsid w:val="56A45099"/>
    <w:rsid w:val="56A79DA6"/>
    <w:rsid w:val="56AA1DD7"/>
    <w:rsid w:val="56AB528D"/>
    <w:rsid w:val="56ABD879"/>
    <w:rsid w:val="56B5FD09"/>
    <w:rsid w:val="56B6A286"/>
    <w:rsid w:val="56BA8BB2"/>
    <w:rsid w:val="56BCC04B"/>
    <w:rsid w:val="56C1134F"/>
    <w:rsid w:val="56C98BA3"/>
    <w:rsid w:val="56CC1574"/>
    <w:rsid w:val="56D0A2F8"/>
    <w:rsid w:val="56D0F69F"/>
    <w:rsid w:val="56D1FD79"/>
    <w:rsid w:val="56D77609"/>
    <w:rsid w:val="56D90504"/>
    <w:rsid w:val="56DB5E42"/>
    <w:rsid w:val="56DDB8E5"/>
    <w:rsid w:val="56E1B98A"/>
    <w:rsid w:val="56E25E08"/>
    <w:rsid w:val="56E28B4C"/>
    <w:rsid w:val="56F25210"/>
    <w:rsid w:val="56F2B380"/>
    <w:rsid w:val="56F48F71"/>
    <w:rsid w:val="56FA6467"/>
    <w:rsid w:val="56FCD6FA"/>
    <w:rsid w:val="5700324B"/>
    <w:rsid w:val="57037268"/>
    <w:rsid w:val="570A8AF7"/>
    <w:rsid w:val="5711BE1F"/>
    <w:rsid w:val="57172E5C"/>
    <w:rsid w:val="57177559"/>
    <w:rsid w:val="571A3FDC"/>
    <w:rsid w:val="571CB3E2"/>
    <w:rsid w:val="57209537"/>
    <w:rsid w:val="57222940"/>
    <w:rsid w:val="5727A88A"/>
    <w:rsid w:val="5729C3C2"/>
    <w:rsid w:val="572CD37D"/>
    <w:rsid w:val="5730F451"/>
    <w:rsid w:val="57320804"/>
    <w:rsid w:val="573689B3"/>
    <w:rsid w:val="5736A7DA"/>
    <w:rsid w:val="5736D012"/>
    <w:rsid w:val="5738C522"/>
    <w:rsid w:val="573BF649"/>
    <w:rsid w:val="573C829C"/>
    <w:rsid w:val="573DE635"/>
    <w:rsid w:val="573DE7D3"/>
    <w:rsid w:val="57424B63"/>
    <w:rsid w:val="5742C02C"/>
    <w:rsid w:val="57438AC9"/>
    <w:rsid w:val="575301B2"/>
    <w:rsid w:val="5753EDF7"/>
    <w:rsid w:val="5755607F"/>
    <w:rsid w:val="5758280B"/>
    <w:rsid w:val="575D4C6D"/>
    <w:rsid w:val="575EDD6A"/>
    <w:rsid w:val="57607675"/>
    <w:rsid w:val="57625078"/>
    <w:rsid w:val="57650EDD"/>
    <w:rsid w:val="5766540E"/>
    <w:rsid w:val="5768B14C"/>
    <w:rsid w:val="5769CC43"/>
    <w:rsid w:val="5769E057"/>
    <w:rsid w:val="576E25CB"/>
    <w:rsid w:val="57708081"/>
    <w:rsid w:val="57758928"/>
    <w:rsid w:val="5777899F"/>
    <w:rsid w:val="57780B22"/>
    <w:rsid w:val="5778E7F6"/>
    <w:rsid w:val="577A2B94"/>
    <w:rsid w:val="577B22B6"/>
    <w:rsid w:val="578033EE"/>
    <w:rsid w:val="5784BA66"/>
    <w:rsid w:val="57863340"/>
    <w:rsid w:val="578A779D"/>
    <w:rsid w:val="578B2B77"/>
    <w:rsid w:val="578F12B0"/>
    <w:rsid w:val="57925818"/>
    <w:rsid w:val="57933DDC"/>
    <w:rsid w:val="5793CA8D"/>
    <w:rsid w:val="5795A6BC"/>
    <w:rsid w:val="57972F90"/>
    <w:rsid w:val="57995777"/>
    <w:rsid w:val="57998FCA"/>
    <w:rsid w:val="579C32CC"/>
    <w:rsid w:val="579EAF32"/>
    <w:rsid w:val="57A049FE"/>
    <w:rsid w:val="57A32C4F"/>
    <w:rsid w:val="57A4B9B6"/>
    <w:rsid w:val="57A699C4"/>
    <w:rsid w:val="57AD6DA3"/>
    <w:rsid w:val="57B13AEA"/>
    <w:rsid w:val="57B5011A"/>
    <w:rsid w:val="57B8370C"/>
    <w:rsid w:val="57B84D68"/>
    <w:rsid w:val="57BE61C8"/>
    <w:rsid w:val="57C1EFE7"/>
    <w:rsid w:val="57C30762"/>
    <w:rsid w:val="57C4123F"/>
    <w:rsid w:val="57C7EEF9"/>
    <w:rsid w:val="57C8E643"/>
    <w:rsid w:val="57CA61AA"/>
    <w:rsid w:val="57CA7618"/>
    <w:rsid w:val="57CBE070"/>
    <w:rsid w:val="57CD2073"/>
    <w:rsid w:val="57D12542"/>
    <w:rsid w:val="57D5659A"/>
    <w:rsid w:val="57D607E5"/>
    <w:rsid w:val="57DE5EEA"/>
    <w:rsid w:val="57E29922"/>
    <w:rsid w:val="57E60272"/>
    <w:rsid w:val="57E7D56C"/>
    <w:rsid w:val="57EBE89B"/>
    <w:rsid w:val="57EDAD7A"/>
    <w:rsid w:val="57EDB60D"/>
    <w:rsid w:val="57F19533"/>
    <w:rsid w:val="57F2CFA0"/>
    <w:rsid w:val="57F41EEF"/>
    <w:rsid w:val="57FCC01E"/>
    <w:rsid w:val="57FDA0AE"/>
    <w:rsid w:val="57FFD83C"/>
    <w:rsid w:val="57FFDF91"/>
    <w:rsid w:val="5806025C"/>
    <w:rsid w:val="5808EC4F"/>
    <w:rsid w:val="580977D0"/>
    <w:rsid w:val="58102205"/>
    <w:rsid w:val="581AC92B"/>
    <w:rsid w:val="581B2175"/>
    <w:rsid w:val="581CE0E9"/>
    <w:rsid w:val="581D2D60"/>
    <w:rsid w:val="5821CC80"/>
    <w:rsid w:val="5823F06F"/>
    <w:rsid w:val="582496F5"/>
    <w:rsid w:val="58259A13"/>
    <w:rsid w:val="5825AFBD"/>
    <w:rsid w:val="582A971E"/>
    <w:rsid w:val="582AC491"/>
    <w:rsid w:val="582B2ACD"/>
    <w:rsid w:val="582EAC74"/>
    <w:rsid w:val="582F500A"/>
    <w:rsid w:val="582F8A82"/>
    <w:rsid w:val="58311BC6"/>
    <w:rsid w:val="583196EA"/>
    <w:rsid w:val="5834730D"/>
    <w:rsid w:val="583CC297"/>
    <w:rsid w:val="583DEFC0"/>
    <w:rsid w:val="583E4668"/>
    <w:rsid w:val="584003CA"/>
    <w:rsid w:val="58413652"/>
    <w:rsid w:val="58455493"/>
    <w:rsid w:val="58470907"/>
    <w:rsid w:val="5848687C"/>
    <w:rsid w:val="584ABE7D"/>
    <w:rsid w:val="584ADA5C"/>
    <w:rsid w:val="584B4FAA"/>
    <w:rsid w:val="584B9A6E"/>
    <w:rsid w:val="58526E63"/>
    <w:rsid w:val="585284C0"/>
    <w:rsid w:val="58531810"/>
    <w:rsid w:val="5857F37F"/>
    <w:rsid w:val="5859FF99"/>
    <w:rsid w:val="585BCFD7"/>
    <w:rsid w:val="585FD5DC"/>
    <w:rsid w:val="586068D3"/>
    <w:rsid w:val="586069B3"/>
    <w:rsid w:val="586334DD"/>
    <w:rsid w:val="58681D18"/>
    <w:rsid w:val="586821D8"/>
    <w:rsid w:val="5869E49E"/>
    <w:rsid w:val="586EBCA7"/>
    <w:rsid w:val="587494FE"/>
    <w:rsid w:val="5874D131"/>
    <w:rsid w:val="5875FB2E"/>
    <w:rsid w:val="5877CAAA"/>
    <w:rsid w:val="587BEEBC"/>
    <w:rsid w:val="587E2D3F"/>
    <w:rsid w:val="587E3E0C"/>
    <w:rsid w:val="58828593"/>
    <w:rsid w:val="588460D4"/>
    <w:rsid w:val="5885FE88"/>
    <w:rsid w:val="5887FE83"/>
    <w:rsid w:val="5888048F"/>
    <w:rsid w:val="5889E17D"/>
    <w:rsid w:val="588B6EE5"/>
    <w:rsid w:val="588DAF5C"/>
    <w:rsid w:val="588EED5A"/>
    <w:rsid w:val="5892D40C"/>
    <w:rsid w:val="5896FA79"/>
    <w:rsid w:val="589779BB"/>
    <w:rsid w:val="5897AFC6"/>
    <w:rsid w:val="589B05C8"/>
    <w:rsid w:val="58A501AA"/>
    <w:rsid w:val="58A7DBCC"/>
    <w:rsid w:val="58A8B750"/>
    <w:rsid w:val="58A8DF4A"/>
    <w:rsid w:val="58AC12D8"/>
    <w:rsid w:val="58ACE400"/>
    <w:rsid w:val="58AD7DC0"/>
    <w:rsid w:val="58B2CEDD"/>
    <w:rsid w:val="58B3DE8E"/>
    <w:rsid w:val="58B459CD"/>
    <w:rsid w:val="58B62597"/>
    <w:rsid w:val="58B6E021"/>
    <w:rsid w:val="58C06D3A"/>
    <w:rsid w:val="58C1A5EC"/>
    <w:rsid w:val="58C5F599"/>
    <w:rsid w:val="58C98C06"/>
    <w:rsid w:val="58CDA90A"/>
    <w:rsid w:val="58D353EB"/>
    <w:rsid w:val="58D3CBF1"/>
    <w:rsid w:val="58D405DA"/>
    <w:rsid w:val="58D65A24"/>
    <w:rsid w:val="58DA1186"/>
    <w:rsid w:val="58E6769D"/>
    <w:rsid w:val="58E793AC"/>
    <w:rsid w:val="58F1E8E1"/>
    <w:rsid w:val="58F222DF"/>
    <w:rsid w:val="58F574B6"/>
    <w:rsid w:val="58F65916"/>
    <w:rsid w:val="58F6723C"/>
    <w:rsid w:val="58F6AE73"/>
    <w:rsid w:val="58F8410C"/>
    <w:rsid w:val="58F98978"/>
    <w:rsid w:val="58FAC8D3"/>
    <w:rsid w:val="58FC70B5"/>
    <w:rsid w:val="58FCC9FB"/>
    <w:rsid w:val="58FE305A"/>
    <w:rsid w:val="5902749B"/>
    <w:rsid w:val="5903688C"/>
    <w:rsid w:val="5903C141"/>
    <w:rsid w:val="5906759F"/>
    <w:rsid w:val="5908C0DE"/>
    <w:rsid w:val="59093667"/>
    <w:rsid w:val="590995BB"/>
    <w:rsid w:val="590B251C"/>
    <w:rsid w:val="590DE201"/>
    <w:rsid w:val="5910BBDC"/>
    <w:rsid w:val="5911CFCC"/>
    <w:rsid w:val="59142E47"/>
    <w:rsid w:val="5914A639"/>
    <w:rsid w:val="5916A31F"/>
    <w:rsid w:val="59192B8C"/>
    <w:rsid w:val="591FF8A0"/>
    <w:rsid w:val="5921D7C8"/>
    <w:rsid w:val="59226001"/>
    <w:rsid w:val="59236C28"/>
    <w:rsid w:val="5924B63D"/>
    <w:rsid w:val="59259814"/>
    <w:rsid w:val="592AD1AD"/>
    <w:rsid w:val="592C5AC7"/>
    <w:rsid w:val="592C95EB"/>
    <w:rsid w:val="59314AFE"/>
    <w:rsid w:val="59334C1B"/>
    <w:rsid w:val="59378B26"/>
    <w:rsid w:val="5939D2D1"/>
    <w:rsid w:val="593A7F1B"/>
    <w:rsid w:val="593F1405"/>
    <w:rsid w:val="59408D97"/>
    <w:rsid w:val="594260AF"/>
    <w:rsid w:val="594313EE"/>
    <w:rsid w:val="5944C8CE"/>
    <w:rsid w:val="5945D698"/>
    <w:rsid w:val="5946B8E6"/>
    <w:rsid w:val="59497769"/>
    <w:rsid w:val="594FC1EC"/>
    <w:rsid w:val="595034D7"/>
    <w:rsid w:val="5955F02D"/>
    <w:rsid w:val="5961EB76"/>
    <w:rsid w:val="596456D2"/>
    <w:rsid w:val="59645858"/>
    <w:rsid w:val="5965061B"/>
    <w:rsid w:val="5965FFA0"/>
    <w:rsid w:val="59674471"/>
    <w:rsid w:val="59682070"/>
    <w:rsid w:val="596B973E"/>
    <w:rsid w:val="59743E7C"/>
    <w:rsid w:val="5977BA85"/>
    <w:rsid w:val="59797908"/>
    <w:rsid w:val="597B5B3F"/>
    <w:rsid w:val="597E7AC3"/>
    <w:rsid w:val="597ECAD7"/>
    <w:rsid w:val="5982750B"/>
    <w:rsid w:val="5984DF7C"/>
    <w:rsid w:val="59854C55"/>
    <w:rsid w:val="598705F3"/>
    <w:rsid w:val="598C3301"/>
    <w:rsid w:val="5991FCDF"/>
    <w:rsid w:val="59937522"/>
    <w:rsid w:val="5993B0CC"/>
    <w:rsid w:val="599574BB"/>
    <w:rsid w:val="5995FA73"/>
    <w:rsid w:val="599827F8"/>
    <w:rsid w:val="599BC0E5"/>
    <w:rsid w:val="59A111BF"/>
    <w:rsid w:val="59A43A07"/>
    <w:rsid w:val="59A46AAF"/>
    <w:rsid w:val="59A6CCFC"/>
    <w:rsid w:val="59A8B4E1"/>
    <w:rsid w:val="59A91503"/>
    <w:rsid w:val="59AC8B46"/>
    <w:rsid w:val="59AD044F"/>
    <w:rsid w:val="59B0E0B5"/>
    <w:rsid w:val="59B3B214"/>
    <w:rsid w:val="59B5B170"/>
    <w:rsid w:val="59BB243D"/>
    <w:rsid w:val="59BD8AB7"/>
    <w:rsid w:val="59BDFD65"/>
    <w:rsid w:val="59BE50CA"/>
    <w:rsid w:val="59C24E68"/>
    <w:rsid w:val="59C65ACC"/>
    <w:rsid w:val="59C76DCF"/>
    <w:rsid w:val="59CBBD0A"/>
    <w:rsid w:val="59CDD533"/>
    <w:rsid w:val="59CFC952"/>
    <w:rsid w:val="59D2025E"/>
    <w:rsid w:val="59D288A9"/>
    <w:rsid w:val="59D5D071"/>
    <w:rsid w:val="59D88F9D"/>
    <w:rsid w:val="59DB4478"/>
    <w:rsid w:val="59DE38F7"/>
    <w:rsid w:val="59DEE9CE"/>
    <w:rsid w:val="59DF5AAD"/>
    <w:rsid w:val="59DF69CA"/>
    <w:rsid w:val="59DF8D29"/>
    <w:rsid w:val="59E662BE"/>
    <w:rsid w:val="59E88C86"/>
    <w:rsid w:val="59EAAA39"/>
    <w:rsid w:val="59ED001E"/>
    <w:rsid w:val="59EDB263"/>
    <w:rsid w:val="59EDE3E3"/>
    <w:rsid w:val="59EE932C"/>
    <w:rsid w:val="59F0DB75"/>
    <w:rsid w:val="59F4ED72"/>
    <w:rsid w:val="59F5907D"/>
    <w:rsid w:val="59F8236B"/>
    <w:rsid w:val="59F98BEA"/>
    <w:rsid w:val="59FA019E"/>
    <w:rsid w:val="59FA251D"/>
    <w:rsid w:val="59FB3F94"/>
    <w:rsid w:val="59FEF106"/>
    <w:rsid w:val="5A055311"/>
    <w:rsid w:val="5A070577"/>
    <w:rsid w:val="5A0A2458"/>
    <w:rsid w:val="5A0B8E0D"/>
    <w:rsid w:val="5A0BA111"/>
    <w:rsid w:val="5A0D8819"/>
    <w:rsid w:val="5A0FD610"/>
    <w:rsid w:val="5A12E26D"/>
    <w:rsid w:val="5A18631E"/>
    <w:rsid w:val="5A1AAABA"/>
    <w:rsid w:val="5A1BD705"/>
    <w:rsid w:val="5A2178A0"/>
    <w:rsid w:val="5A23FD7F"/>
    <w:rsid w:val="5A25A2F4"/>
    <w:rsid w:val="5A262415"/>
    <w:rsid w:val="5A29E312"/>
    <w:rsid w:val="5A2B861B"/>
    <w:rsid w:val="5A31EB14"/>
    <w:rsid w:val="5A33601B"/>
    <w:rsid w:val="5A33BCEC"/>
    <w:rsid w:val="5A37B13D"/>
    <w:rsid w:val="5A39E461"/>
    <w:rsid w:val="5A3D0158"/>
    <w:rsid w:val="5A3D3276"/>
    <w:rsid w:val="5A3E11EF"/>
    <w:rsid w:val="5A3EFD9E"/>
    <w:rsid w:val="5A3F47E8"/>
    <w:rsid w:val="5A40A096"/>
    <w:rsid w:val="5A434975"/>
    <w:rsid w:val="5A445A13"/>
    <w:rsid w:val="5A457B1B"/>
    <w:rsid w:val="5A4831F7"/>
    <w:rsid w:val="5A4850C7"/>
    <w:rsid w:val="5A48938B"/>
    <w:rsid w:val="5A4A300F"/>
    <w:rsid w:val="5A4B8857"/>
    <w:rsid w:val="5A4B9F60"/>
    <w:rsid w:val="5A4BD58F"/>
    <w:rsid w:val="5A4CF96D"/>
    <w:rsid w:val="5A4DAD4C"/>
    <w:rsid w:val="5A5258F9"/>
    <w:rsid w:val="5A555C44"/>
    <w:rsid w:val="5A5999D5"/>
    <w:rsid w:val="5A5D7E69"/>
    <w:rsid w:val="5A5F3EA6"/>
    <w:rsid w:val="5A615B32"/>
    <w:rsid w:val="5A683E78"/>
    <w:rsid w:val="5A68704E"/>
    <w:rsid w:val="5A699C98"/>
    <w:rsid w:val="5A6A90A5"/>
    <w:rsid w:val="5A6F1DE5"/>
    <w:rsid w:val="5A6F32BE"/>
    <w:rsid w:val="5A722FEE"/>
    <w:rsid w:val="5A75D710"/>
    <w:rsid w:val="5A763F16"/>
    <w:rsid w:val="5A76A7B7"/>
    <w:rsid w:val="5A7991D0"/>
    <w:rsid w:val="5A79985F"/>
    <w:rsid w:val="5A79EB16"/>
    <w:rsid w:val="5A79F851"/>
    <w:rsid w:val="5A88CC5E"/>
    <w:rsid w:val="5A9020D5"/>
    <w:rsid w:val="5A905E81"/>
    <w:rsid w:val="5A93D056"/>
    <w:rsid w:val="5A9CBA78"/>
    <w:rsid w:val="5A9D80EB"/>
    <w:rsid w:val="5AA02521"/>
    <w:rsid w:val="5AA10F80"/>
    <w:rsid w:val="5AA117BD"/>
    <w:rsid w:val="5AA55533"/>
    <w:rsid w:val="5AA71375"/>
    <w:rsid w:val="5AB186CF"/>
    <w:rsid w:val="5AB299F9"/>
    <w:rsid w:val="5AB34DE0"/>
    <w:rsid w:val="5AB43DE7"/>
    <w:rsid w:val="5ABA64D3"/>
    <w:rsid w:val="5ABC758E"/>
    <w:rsid w:val="5ABC8B94"/>
    <w:rsid w:val="5AC39326"/>
    <w:rsid w:val="5AC4361D"/>
    <w:rsid w:val="5AC647C1"/>
    <w:rsid w:val="5AC81690"/>
    <w:rsid w:val="5AC880AD"/>
    <w:rsid w:val="5ACF4B9A"/>
    <w:rsid w:val="5AD18DEA"/>
    <w:rsid w:val="5AD916F1"/>
    <w:rsid w:val="5ADA5EF4"/>
    <w:rsid w:val="5ADF28B9"/>
    <w:rsid w:val="5AE09109"/>
    <w:rsid w:val="5AE0F013"/>
    <w:rsid w:val="5AE59316"/>
    <w:rsid w:val="5AE9747E"/>
    <w:rsid w:val="5AE9C0F0"/>
    <w:rsid w:val="5AEBDB34"/>
    <w:rsid w:val="5AEC0912"/>
    <w:rsid w:val="5AED9FD4"/>
    <w:rsid w:val="5AF1967D"/>
    <w:rsid w:val="5AF9CFF1"/>
    <w:rsid w:val="5AFD1FEB"/>
    <w:rsid w:val="5AFE0C5A"/>
    <w:rsid w:val="5B004FC3"/>
    <w:rsid w:val="5B014607"/>
    <w:rsid w:val="5B05BA42"/>
    <w:rsid w:val="5B05EED5"/>
    <w:rsid w:val="5B08BD7B"/>
    <w:rsid w:val="5B095986"/>
    <w:rsid w:val="5B10F72B"/>
    <w:rsid w:val="5B15D949"/>
    <w:rsid w:val="5B16FBE2"/>
    <w:rsid w:val="5B19DB89"/>
    <w:rsid w:val="5B1CC957"/>
    <w:rsid w:val="5B1DCD29"/>
    <w:rsid w:val="5B211686"/>
    <w:rsid w:val="5B26A00A"/>
    <w:rsid w:val="5B273A2F"/>
    <w:rsid w:val="5B32E254"/>
    <w:rsid w:val="5B340B4E"/>
    <w:rsid w:val="5B3479FA"/>
    <w:rsid w:val="5B3519EF"/>
    <w:rsid w:val="5B369BDD"/>
    <w:rsid w:val="5B3B291E"/>
    <w:rsid w:val="5B3B5DF6"/>
    <w:rsid w:val="5B445857"/>
    <w:rsid w:val="5B46AE9B"/>
    <w:rsid w:val="5B48F499"/>
    <w:rsid w:val="5B49960F"/>
    <w:rsid w:val="5B53DE1C"/>
    <w:rsid w:val="5B5402E9"/>
    <w:rsid w:val="5B55008E"/>
    <w:rsid w:val="5B56E31C"/>
    <w:rsid w:val="5B58B8E0"/>
    <w:rsid w:val="5B61C98E"/>
    <w:rsid w:val="5B624F5F"/>
    <w:rsid w:val="5B668264"/>
    <w:rsid w:val="5B69355C"/>
    <w:rsid w:val="5B6F91E9"/>
    <w:rsid w:val="5B708430"/>
    <w:rsid w:val="5B718338"/>
    <w:rsid w:val="5B75E72A"/>
    <w:rsid w:val="5B780DB0"/>
    <w:rsid w:val="5B793A59"/>
    <w:rsid w:val="5B7A305E"/>
    <w:rsid w:val="5B7C2AE2"/>
    <w:rsid w:val="5B7DE647"/>
    <w:rsid w:val="5B80187D"/>
    <w:rsid w:val="5B824583"/>
    <w:rsid w:val="5B842174"/>
    <w:rsid w:val="5B852E24"/>
    <w:rsid w:val="5B854BD5"/>
    <w:rsid w:val="5B86864A"/>
    <w:rsid w:val="5B881A9F"/>
    <w:rsid w:val="5B8967F4"/>
    <w:rsid w:val="5B897DCE"/>
    <w:rsid w:val="5B8AA5D8"/>
    <w:rsid w:val="5B8B69C8"/>
    <w:rsid w:val="5B919DD0"/>
    <w:rsid w:val="5B930C08"/>
    <w:rsid w:val="5B939C1D"/>
    <w:rsid w:val="5B9567FC"/>
    <w:rsid w:val="5B98FA70"/>
    <w:rsid w:val="5B9A202C"/>
    <w:rsid w:val="5B9B6A14"/>
    <w:rsid w:val="5BA04816"/>
    <w:rsid w:val="5BA1176C"/>
    <w:rsid w:val="5BA29022"/>
    <w:rsid w:val="5BA29E45"/>
    <w:rsid w:val="5BA82571"/>
    <w:rsid w:val="5BAD3EDD"/>
    <w:rsid w:val="5BAD6CD9"/>
    <w:rsid w:val="5BB1E55C"/>
    <w:rsid w:val="5BB33EF8"/>
    <w:rsid w:val="5BB38F7E"/>
    <w:rsid w:val="5BB5FC6F"/>
    <w:rsid w:val="5BB7BB84"/>
    <w:rsid w:val="5BB7C63F"/>
    <w:rsid w:val="5BB933C5"/>
    <w:rsid w:val="5BBC9D04"/>
    <w:rsid w:val="5BBD48B4"/>
    <w:rsid w:val="5BBE1B2C"/>
    <w:rsid w:val="5BBE2343"/>
    <w:rsid w:val="5BBF2D7F"/>
    <w:rsid w:val="5BC46406"/>
    <w:rsid w:val="5BCB2347"/>
    <w:rsid w:val="5BD1AC53"/>
    <w:rsid w:val="5BD6F253"/>
    <w:rsid w:val="5BD82B0D"/>
    <w:rsid w:val="5BD8349D"/>
    <w:rsid w:val="5BD97717"/>
    <w:rsid w:val="5BDA037C"/>
    <w:rsid w:val="5BDAB225"/>
    <w:rsid w:val="5BDAED53"/>
    <w:rsid w:val="5BDB9670"/>
    <w:rsid w:val="5BDCBDF9"/>
    <w:rsid w:val="5BDF855F"/>
    <w:rsid w:val="5BE12862"/>
    <w:rsid w:val="5BE18FB5"/>
    <w:rsid w:val="5BE35797"/>
    <w:rsid w:val="5BE35E98"/>
    <w:rsid w:val="5BE3FB3C"/>
    <w:rsid w:val="5BE4F070"/>
    <w:rsid w:val="5BE624F9"/>
    <w:rsid w:val="5BF0E65E"/>
    <w:rsid w:val="5BF38622"/>
    <w:rsid w:val="5BF5A6E0"/>
    <w:rsid w:val="5BF67C7B"/>
    <w:rsid w:val="5BF6DD77"/>
    <w:rsid w:val="5BF80258"/>
    <w:rsid w:val="5BF987A5"/>
    <w:rsid w:val="5BFCA51B"/>
    <w:rsid w:val="5C00F2C1"/>
    <w:rsid w:val="5C01E3CA"/>
    <w:rsid w:val="5C022BA2"/>
    <w:rsid w:val="5C02ED35"/>
    <w:rsid w:val="5C04227A"/>
    <w:rsid w:val="5C0EFD6C"/>
    <w:rsid w:val="5C12892B"/>
    <w:rsid w:val="5C13BB99"/>
    <w:rsid w:val="5C13BD81"/>
    <w:rsid w:val="5C13EE16"/>
    <w:rsid w:val="5C14ED43"/>
    <w:rsid w:val="5C183A5D"/>
    <w:rsid w:val="5C1F038B"/>
    <w:rsid w:val="5C20D6B5"/>
    <w:rsid w:val="5C21831F"/>
    <w:rsid w:val="5C24B29F"/>
    <w:rsid w:val="5C25BA56"/>
    <w:rsid w:val="5C27413B"/>
    <w:rsid w:val="5C2995A3"/>
    <w:rsid w:val="5C29A805"/>
    <w:rsid w:val="5C29F940"/>
    <w:rsid w:val="5C2C2E32"/>
    <w:rsid w:val="5C2CB0D1"/>
    <w:rsid w:val="5C2E856D"/>
    <w:rsid w:val="5C2FEB6C"/>
    <w:rsid w:val="5C30D9FB"/>
    <w:rsid w:val="5C313AFF"/>
    <w:rsid w:val="5C321222"/>
    <w:rsid w:val="5C35DAED"/>
    <w:rsid w:val="5C39DD34"/>
    <w:rsid w:val="5C3A8A1F"/>
    <w:rsid w:val="5C3D52DE"/>
    <w:rsid w:val="5C425B6B"/>
    <w:rsid w:val="5C42C2FA"/>
    <w:rsid w:val="5C43DE0B"/>
    <w:rsid w:val="5C4666CF"/>
    <w:rsid w:val="5C46A151"/>
    <w:rsid w:val="5C4787BD"/>
    <w:rsid w:val="5C489CB7"/>
    <w:rsid w:val="5C497E3C"/>
    <w:rsid w:val="5C4A375E"/>
    <w:rsid w:val="5C4A51CD"/>
    <w:rsid w:val="5C4B316A"/>
    <w:rsid w:val="5C4DCB25"/>
    <w:rsid w:val="5C508900"/>
    <w:rsid w:val="5C536215"/>
    <w:rsid w:val="5C55DAC1"/>
    <w:rsid w:val="5C58B542"/>
    <w:rsid w:val="5C59F94E"/>
    <w:rsid w:val="5C5C108D"/>
    <w:rsid w:val="5C5E4133"/>
    <w:rsid w:val="5C6392C5"/>
    <w:rsid w:val="5C6438E8"/>
    <w:rsid w:val="5C661EA1"/>
    <w:rsid w:val="5C6B30D4"/>
    <w:rsid w:val="5C6BBDF0"/>
    <w:rsid w:val="5C6BF3EA"/>
    <w:rsid w:val="5C70B6ED"/>
    <w:rsid w:val="5C71DB50"/>
    <w:rsid w:val="5C73449D"/>
    <w:rsid w:val="5C735E69"/>
    <w:rsid w:val="5C74B126"/>
    <w:rsid w:val="5C74BC60"/>
    <w:rsid w:val="5C77D75E"/>
    <w:rsid w:val="5C7B2D4E"/>
    <w:rsid w:val="5C7D6FAC"/>
    <w:rsid w:val="5C7E1C10"/>
    <w:rsid w:val="5C7F11CF"/>
    <w:rsid w:val="5C84420B"/>
    <w:rsid w:val="5C873BC3"/>
    <w:rsid w:val="5C88E868"/>
    <w:rsid w:val="5C9000DF"/>
    <w:rsid w:val="5C9140DF"/>
    <w:rsid w:val="5C919546"/>
    <w:rsid w:val="5C960F80"/>
    <w:rsid w:val="5C9CB332"/>
    <w:rsid w:val="5C9D7328"/>
    <w:rsid w:val="5C9F3BA8"/>
    <w:rsid w:val="5C9FE55A"/>
    <w:rsid w:val="5CA575F2"/>
    <w:rsid w:val="5CA73463"/>
    <w:rsid w:val="5CB57954"/>
    <w:rsid w:val="5CB87CDE"/>
    <w:rsid w:val="5CBA67ED"/>
    <w:rsid w:val="5CBC3121"/>
    <w:rsid w:val="5CC285B8"/>
    <w:rsid w:val="5CCEC4C9"/>
    <w:rsid w:val="5CD0F8AE"/>
    <w:rsid w:val="5CD13222"/>
    <w:rsid w:val="5CD5566D"/>
    <w:rsid w:val="5CD63BB5"/>
    <w:rsid w:val="5CD6B727"/>
    <w:rsid w:val="5CD751FE"/>
    <w:rsid w:val="5CD8C678"/>
    <w:rsid w:val="5CDA4464"/>
    <w:rsid w:val="5CDAB28C"/>
    <w:rsid w:val="5CDB6497"/>
    <w:rsid w:val="5CDCA59E"/>
    <w:rsid w:val="5CDCAE77"/>
    <w:rsid w:val="5CE123B8"/>
    <w:rsid w:val="5CE43AB9"/>
    <w:rsid w:val="5CE56670"/>
    <w:rsid w:val="5CE736BC"/>
    <w:rsid w:val="5CE78988"/>
    <w:rsid w:val="5CEA3B67"/>
    <w:rsid w:val="5CECE8C1"/>
    <w:rsid w:val="5CF0525D"/>
    <w:rsid w:val="5CF23EC2"/>
    <w:rsid w:val="5CF6FCEB"/>
    <w:rsid w:val="5CF86D1E"/>
    <w:rsid w:val="5CFB0BCC"/>
    <w:rsid w:val="5CFB7123"/>
    <w:rsid w:val="5D00521F"/>
    <w:rsid w:val="5D01F7D8"/>
    <w:rsid w:val="5D0856DE"/>
    <w:rsid w:val="5D097133"/>
    <w:rsid w:val="5D098EA0"/>
    <w:rsid w:val="5D0B6F67"/>
    <w:rsid w:val="5D0CA49D"/>
    <w:rsid w:val="5D0DF092"/>
    <w:rsid w:val="5D101F38"/>
    <w:rsid w:val="5D1171A2"/>
    <w:rsid w:val="5D11B78B"/>
    <w:rsid w:val="5D158D1C"/>
    <w:rsid w:val="5D1DC616"/>
    <w:rsid w:val="5D209BDA"/>
    <w:rsid w:val="5D213128"/>
    <w:rsid w:val="5D23AC7E"/>
    <w:rsid w:val="5D2670F4"/>
    <w:rsid w:val="5D2A28CF"/>
    <w:rsid w:val="5D2E4580"/>
    <w:rsid w:val="5D2E9FF8"/>
    <w:rsid w:val="5D361F98"/>
    <w:rsid w:val="5D371B5E"/>
    <w:rsid w:val="5D382FAF"/>
    <w:rsid w:val="5D3CEE38"/>
    <w:rsid w:val="5D3FE516"/>
    <w:rsid w:val="5D413C43"/>
    <w:rsid w:val="5D42D009"/>
    <w:rsid w:val="5D43D692"/>
    <w:rsid w:val="5D44DA93"/>
    <w:rsid w:val="5D4631BC"/>
    <w:rsid w:val="5D4C7F80"/>
    <w:rsid w:val="5D4DBFEA"/>
    <w:rsid w:val="5D4FCFF1"/>
    <w:rsid w:val="5D56491C"/>
    <w:rsid w:val="5D59C9F0"/>
    <w:rsid w:val="5D5E38B5"/>
    <w:rsid w:val="5D5E414F"/>
    <w:rsid w:val="5D606E1C"/>
    <w:rsid w:val="5D6152FB"/>
    <w:rsid w:val="5D6A8295"/>
    <w:rsid w:val="5D6BD248"/>
    <w:rsid w:val="5D6D6C17"/>
    <w:rsid w:val="5D6DF97B"/>
    <w:rsid w:val="5D6F0806"/>
    <w:rsid w:val="5D6F2775"/>
    <w:rsid w:val="5D72886E"/>
    <w:rsid w:val="5D76DCDE"/>
    <w:rsid w:val="5D7717A0"/>
    <w:rsid w:val="5D7804FE"/>
    <w:rsid w:val="5D812741"/>
    <w:rsid w:val="5D852A04"/>
    <w:rsid w:val="5D868266"/>
    <w:rsid w:val="5D87DA50"/>
    <w:rsid w:val="5D8FC102"/>
    <w:rsid w:val="5D91083C"/>
    <w:rsid w:val="5D91E50E"/>
    <w:rsid w:val="5D92ADD8"/>
    <w:rsid w:val="5D93800D"/>
    <w:rsid w:val="5D93AA96"/>
    <w:rsid w:val="5D9AF639"/>
    <w:rsid w:val="5D9B327A"/>
    <w:rsid w:val="5D9C5EF3"/>
    <w:rsid w:val="5D9F614D"/>
    <w:rsid w:val="5DA09DF3"/>
    <w:rsid w:val="5DA0E423"/>
    <w:rsid w:val="5DA48DB0"/>
    <w:rsid w:val="5DADF576"/>
    <w:rsid w:val="5DAE98FA"/>
    <w:rsid w:val="5DB375EA"/>
    <w:rsid w:val="5DB48282"/>
    <w:rsid w:val="5DBCAA8D"/>
    <w:rsid w:val="5DC15DF5"/>
    <w:rsid w:val="5DC47179"/>
    <w:rsid w:val="5DC483D1"/>
    <w:rsid w:val="5DC488D0"/>
    <w:rsid w:val="5DC8C34A"/>
    <w:rsid w:val="5DC958F7"/>
    <w:rsid w:val="5DCA901D"/>
    <w:rsid w:val="5DCB1BB5"/>
    <w:rsid w:val="5DCCFA9B"/>
    <w:rsid w:val="5DCF163D"/>
    <w:rsid w:val="5DCF3A37"/>
    <w:rsid w:val="5DCFAF1D"/>
    <w:rsid w:val="5DD0D3E2"/>
    <w:rsid w:val="5DD220C5"/>
    <w:rsid w:val="5DD6C1E1"/>
    <w:rsid w:val="5DD99B2D"/>
    <w:rsid w:val="5DDD7FAE"/>
    <w:rsid w:val="5DDD90DA"/>
    <w:rsid w:val="5DDE6EE2"/>
    <w:rsid w:val="5DE43B2E"/>
    <w:rsid w:val="5DE5E864"/>
    <w:rsid w:val="5DE866A1"/>
    <w:rsid w:val="5DE95DB5"/>
    <w:rsid w:val="5DEA6C29"/>
    <w:rsid w:val="5DEDC0D5"/>
    <w:rsid w:val="5DF0C7D5"/>
    <w:rsid w:val="5DF3327F"/>
    <w:rsid w:val="5DF828F9"/>
    <w:rsid w:val="5DF875F1"/>
    <w:rsid w:val="5DFF4A5A"/>
    <w:rsid w:val="5E1291DD"/>
    <w:rsid w:val="5E12CE65"/>
    <w:rsid w:val="5E13BF10"/>
    <w:rsid w:val="5E1447B1"/>
    <w:rsid w:val="5E1472AB"/>
    <w:rsid w:val="5E1E3678"/>
    <w:rsid w:val="5E224C0B"/>
    <w:rsid w:val="5E243716"/>
    <w:rsid w:val="5E249929"/>
    <w:rsid w:val="5E2764A0"/>
    <w:rsid w:val="5E2878A5"/>
    <w:rsid w:val="5E28F5D9"/>
    <w:rsid w:val="5E28FEDC"/>
    <w:rsid w:val="5E2BC259"/>
    <w:rsid w:val="5E2C87B5"/>
    <w:rsid w:val="5E2EE911"/>
    <w:rsid w:val="5E34AE00"/>
    <w:rsid w:val="5E480413"/>
    <w:rsid w:val="5E49D334"/>
    <w:rsid w:val="5E4C3D41"/>
    <w:rsid w:val="5E4DDE8A"/>
    <w:rsid w:val="5E530536"/>
    <w:rsid w:val="5E53C79D"/>
    <w:rsid w:val="5E58711C"/>
    <w:rsid w:val="5E5BA7BD"/>
    <w:rsid w:val="5E5CAA9B"/>
    <w:rsid w:val="5E5F9A0B"/>
    <w:rsid w:val="5E5F9A78"/>
    <w:rsid w:val="5E60A538"/>
    <w:rsid w:val="5E6978DF"/>
    <w:rsid w:val="5E6B7DBB"/>
    <w:rsid w:val="5E6C0382"/>
    <w:rsid w:val="5E6CCF2F"/>
    <w:rsid w:val="5E6D17B0"/>
    <w:rsid w:val="5E72FEB8"/>
    <w:rsid w:val="5E7765E7"/>
    <w:rsid w:val="5E797A35"/>
    <w:rsid w:val="5E7B1369"/>
    <w:rsid w:val="5E7E30BB"/>
    <w:rsid w:val="5E7FB05D"/>
    <w:rsid w:val="5E83310F"/>
    <w:rsid w:val="5E840538"/>
    <w:rsid w:val="5E842DFC"/>
    <w:rsid w:val="5E8657D2"/>
    <w:rsid w:val="5E8B0925"/>
    <w:rsid w:val="5E91CC0D"/>
    <w:rsid w:val="5E967AB7"/>
    <w:rsid w:val="5E9761AA"/>
    <w:rsid w:val="5E9A9F2E"/>
    <w:rsid w:val="5E9FA41C"/>
    <w:rsid w:val="5EA9274A"/>
    <w:rsid w:val="5EA9AB3E"/>
    <w:rsid w:val="5EAB477D"/>
    <w:rsid w:val="5EAC1802"/>
    <w:rsid w:val="5EAF454E"/>
    <w:rsid w:val="5EB04ACF"/>
    <w:rsid w:val="5EB2B2EB"/>
    <w:rsid w:val="5EB2F0AD"/>
    <w:rsid w:val="5EB36DF1"/>
    <w:rsid w:val="5EB575BC"/>
    <w:rsid w:val="5EB7AB72"/>
    <w:rsid w:val="5EB813F3"/>
    <w:rsid w:val="5EBCA6B4"/>
    <w:rsid w:val="5EBCBB01"/>
    <w:rsid w:val="5EC21F21"/>
    <w:rsid w:val="5EC52DB6"/>
    <w:rsid w:val="5EC552B0"/>
    <w:rsid w:val="5EC72942"/>
    <w:rsid w:val="5EC8444D"/>
    <w:rsid w:val="5ECC59DB"/>
    <w:rsid w:val="5ED21F1B"/>
    <w:rsid w:val="5ED30759"/>
    <w:rsid w:val="5ED36547"/>
    <w:rsid w:val="5ED87D87"/>
    <w:rsid w:val="5ED9828E"/>
    <w:rsid w:val="5EDC2CE8"/>
    <w:rsid w:val="5EDC3B01"/>
    <w:rsid w:val="5EDDD2E4"/>
    <w:rsid w:val="5EE06BC4"/>
    <w:rsid w:val="5EE45348"/>
    <w:rsid w:val="5EE4ABBD"/>
    <w:rsid w:val="5EE4D2CA"/>
    <w:rsid w:val="5EE63EA2"/>
    <w:rsid w:val="5EE93033"/>
    <w:rsid w:val="5EED1FD9"/>
    <w:rsid w:val="5EEFB32D"/>
    <w:rsid w:val="5EF0918E"/>
    <w:rsid w:val="5EF30973"/>
    <w:rsid w:val="5EF75AED"/>
    <w:rsid w:val="5EF7E576"/>
    <w:rsid w:val="5EFA05D3"/>
    <w:rsid w:val="5EFB03D9"/>
    <w:rsid w:val="5EFF0F3C"/>
    <w:rsid w:val="5F003CA8"/>
    <w:rsid w:val="5F05DB04"/>
    <w:rsid w:val="5F060071"/>
    <w:rsid w:val="5F0DF4F9"/>
    <w:rsid w:val="5F0EED7A"/>
    <w:rsid w:val="5F133F15"/>
    <w:rsid w:val="5F164F02"/>
    <w:rsid w:val="5F1E9A6D"/>
    <w:rsid w:val="5F27FE18"/>
    <w:rsid w:val="5F297D93"/>
    <w:rsid w:val="5F2AAF47"/>
    <w:rsid w:val="5F2C00A2"/>
    <w:rsid w:val="5F2CD3AB"/>
    <w:rsid w:val="5F2D29BA"/>
    <w:rsid w:val="5F2EB8D1"/>
    <w:rsid w:val="5F2FDA20"/>
    <w:rsid w:val="5F36A9D8"/>
    <w:rsid w:val="5F38CD8A"/>
    <w:rsid w:val="5F38EF6D"/>
    <w:rsid w:val="5F39CCE9"/>
    <w:rsid w:val="5F3EA454"/>
    <w:rsid w:val="5F40CFB1"/>
    <w:rsid w:val="5F434120"/>
    <w:rsid w:val="5F43BF5B"/>
    <w:rsid w:val="5F469D46"/>
    <w:rsid w:val="5F47FCDC"/>
    <w:rsid w:val="5F4953AC"/>
    <w:rsid w:val="5F4AC852"/>
    <w:rsid w:val="5F4B36E2"/>
    <w:rsid w:val="5F5A8A4D"/>
    <w:rsid w:val="5F5AD9DD"/>
    <w:rsid w:val="5F5CD5F6"/>
    <w:rsid w:val="5F5FFB75"/>
    <w:rsid w:val="5F62E7F1"/>
    <w:rsid w:val="5F68BFAD"/>
    <w:rsid w:val="5F6A6569"/>
    <w:rsid w:val="5F6CD861"/>
    <w:rsid w:val="5F6CE1F6"/>
    <w:rsid w:val="5F6FD05A"/>
    <w:rsid w:val="5F6FFB72"/>
    <w:rsid w:val="5F78C3D9"/>
    <w:rsid w:val="5F794E1E"/>
    <w:rsid w:val="5F7CB0ED"/>
    <w:rsid w:val="5F81D58F"/>
    <w:rsid w:val="5F8212ED"/>
    <w:rsid w:val="5F8B4D55"/>
    <w:rsid w:val="5F93288B"/>
    <w:rsid w:val="5F944DB3"/>
    <w:rsid w:val="5F959944"/>
    <w:rsid w:val="5F96D205"/>
    <w:rsid w:val="5F98545A"/>
    <w:rsid w:val="5F989CD7"/>
    <w:rsid w:val="5F9A8C44"/>
    <w:rsid w:val="5F9B1D00"/>
    <w:rsid w:val="5F9C9B0B"/>
    <w:rsid w:val="5F9CCDDC"/>
    <w:rsid w:val="5F9D7DF1"/>
    <w:rsid w:val="5F9E9349"/>
    <w:rsid w:val="5FA073B6"/>
    <w:rsid w:val="5FA6F284"/>
    <w:rsid w:val="5FA7FB2D"/>
    <w:rsid w:val="5FAC7A48"/>
    <w:rsid w:val="5FACD722"/>
    <w:rsid w:val="5FB08658"/>
    <w:rsid w:val="5FB7F3A3"/>
    <w:rsid w:val="5FBAD49A"/>
    <w:rsid w:val="5FBC7594"/>
    <w:rsid w:val="5FBD3A34"/>
    <w:rsid w:val="5FC1F4EF"/>
    <w:rsid w:val="5FC297C4"/>
    <w:rsid w:val="5FC3A281"/>
    <w:rsid w:val="5FC4365D"/>
    <w:rsid w:val="5FC43DBA"/>
    <w:rsid w:val="5FC746A0"/>
    <w:rsid w:val="5FCC6C64"/>
    <w:rsid w:val="5FD24BB1"/>
    <w:rsid w:val="5FD6ADB9"/>
    <w:rsid w:val="5FD716E2"/>
    <w:rsid w:val="5FD81AE3"/>
    <w:rsid w:val="5FD93357"/>
    <w:rsid w:val="5FDD99C5"/>
    <w:rsid w:val="5FE92639"/>
    <w:rsid w:val="5FE98CC6"/>
    <w:rsid w:val="5FEED9F7"/>
    <w:rsid w:val="5FEF3F3D"/>
    <w:rsid w:val="5FF0904C"/>
    <w:rsid w:val="5FF2B1E3"/>
    <w:rsid w:val="5FF2BC32"/>
    <w:rsid w:val="5FF2D048"/>
    <w:rsid w:val="5FF38568"/>
    <w:rsid w:val="5FF4767E"/>
    <w:rsid w:val="5FF47BAE"/>
    <w:rsid w:val="5FF778F5"/>
    <w:rsid w:val="5FF951D8"/>
    <w:rsid w:val="5FFC7599"/>
    <w:rsid w:val="5FFCA6D3"/>
    <w:rsid w:val="6004CBDC"/>
    <w:rsid w:val="60053EF7"/>
    <w:rsid w:val="60054164"/>
    <w:rsid w:val="6009558E"/>
    <w:rsid w:val="60097EA1"/>
    <w:rsid w:val="600BCC23"/>
    <w:rsid w:val="60104A54"/>
    <w:rsid w:val="6011533C"/>
    <w:rsid w:val="6011BD81"/>
    <w:rsid w:val="60128A4D"/>
    <w:rsid w:val="6012FB2A"/>
    <w:rsid w:val="6013DC34"/>
    <w:rsid w:val="601424D4"/>
    <w:rsid w:val="60192AC6"/>
    <w:rsid w:val="601C21D5"/>
    <w:rsid w:val="601D1103"/>
    <w:rsid w:val="60296446"/>
    <w:rsid w:val="602967DF"/>
    <w:rsid w:val="60298272"/>
    <w:rsid w:val="602C3538"/>
    <w:rsid w:val="602F4420"/>
    <w:rsid w:val="602F9510"/>
    <w:rsid w:val="6031E0A0"/>
    <w:rsid w:val="60353C3E"/>
    <w:rsid w:val="6038F674"/>
    <w:rsid w:val="603912D4"/>
    <w:rsid w:val="603A7AB4"/>
    <w:rsid w:val="60428DB2"/>
    <w:rsid w:val="6045A2D9"/>
    <w:rsid w:val="60496813"/>
    <w:rsid w:val="604E274C"/>
    <w:rsid w:val="604F4287"/>
    <w:rsid w:val="60527C31"/>
    <w:rsid w:val="60530858"/>
    <w:rsid w:val="6058E815"/>
    <w:rsid w:val="605A7776"/>
    <w:rsid w:val="605A9535"/>
    <w:rsid w:val="605CB79C"/>
    <w:rsid w:val="605CDDF8"/>
    <w:rsid w:val="605F44F2"/>
    <w:rsid w:val="605FAD3C"/>
    <w:rsid w:val="6067B43C"/>
    <w:rsid w:val="606B036A"/>
    <w:rsid w:val="606F0AF8"/>
    <w:rsid w:val="6077097D"/>
    <w:rsid w:val="607988E9"/>
    <w:rsid w:val="607CEAAB"/>
    <w:rsid w:val="607D29EB"/>
    <w:rsid w:val="60856B44"/>
    <w:rsid w:val="6088A723"/>
    <w:rsid w:val="608CC696"/>
    <w:rsid w:val="608D541F"/>
    <w:rsid w:val="60911096"/>
    <w:rsid w:val="60914F85"/>
    <w:rsid w:val="60946422"/>
    <w:rsid w:val="6098975F"/>
    <w:rsid w:val="6099DE8A"/>
    <w:rsid w:val="609C92D4"/>
    <w:rsid w:val="609CF47D"/>
    <w:rsid w:val="609E7397"/>
    <w:rsid w:val="609F091F"/>
    <w:rsid w:val="60A1834C"/>
    <w:rsid w:val="60A32368"/>
    <w:rsid w:val="60A56676"/>
    <w:rsid w:val="60A88283"/>
    <w:rsid w:val="60AA8C70"/>
    <w:rsid w:val="60AED4E8"/>
    <w:rsid w:val="60B47277"/>
    <w:rsid w:val="60B8565C"/>
    <w:rsid w:val="60BA4257"/>
    <w:rsid w:val="60BBE55D"/>
    <w:rsid w:val="60BBF224"/>
    <w:rsid w:val="60BD2F91"/>
    <w:rsid w:val="60BD7E34"/>
    <w:rsid w:val="60C0F4FA"/>
    <w:rsid w:val="60C1F741"/>
    <w:rsid w:val="60C286B0"/>
    <w:rsid w:val="60C35C56"/>
    <w:rsid w:val="60C37C6D"/>
    <w:rsid w:val="60C387E0"/>
    <w:rsid w:val="60C7BE88"/>
    <w:rsid w:val="60CB2F09"/>
    <w:rsid w:val="60CCE3BC"/>
    <w:rsid w:val="60CEC26A"/>
    <w:rsid w:val="60D02F9D"/>
    <w:rsid w:val="60D1098A"/>
    <w:rsid w:val="60D24960"/>
    <w:rsid w:val="60D49C3E"/>
    <w:rsid w:val="60D756FD"/>
    <w:rsid w:val="60DA4A61"/>
    <w:rsid w:val="60DA982D"/>
    <w:rsid w:val="60DC1EC4"/>
    <w:rsid w:val="60E0B3A8"/>
    <w:rsid w:val="60E164C5"/>
    <w:rsid w:val="60E180FE"/>
    <w:rsid w:val="60E4EB5E"/>
    <w:rsid w:val="60EAF315"/>
    <w:rsid w:val="60EE324C"/>
    <w:rsid w:val="60F0175D"/>
    <w:rsid w:val="60F48AA1"/>
    <w:rsid w:val="60F9C5CB"/>
    <w:rsid w:val="60FBF1EE"/>
    <w:rsid w:val="60FE2736"/>
    <w:rsid w:val="61001A11"/>
    <w:rsid w:val="6108FDA3"/>
    <w:rsid w:val="610C5E14"/>
    <w:rsid w:val="61127B5E"/>
    <w:rsid w:val="6113C5FE"/>
    <w:rsid w:val="61171CFE"/>
    <w:rsid w:val="611848F2"/>
    <w:rsid w:val="61190420"/>
    <w:rsid w:val="611A1CE5"/>
    <w:rsid w:val="611DFC21"/>
    <w:rsid w:val="61209A3B"/>
    <w:rsid w:val="61279801"/>
    <w:rsid w:val="61289630"/>
    <w:rsid w:val="6128E4AC"/>
    <w:rsid w:val="612F5E6A"/>
    <w:rsid w:val="61329A9C"/>
    <w:rsid w:val="61355081"/>
    <w:rsid w:val="61399F88"/>
    <w:rsid w:val="613A5C9F"/>
    <w:rsid w:val="613BB723"/>
    <w:rsid w:val="613C1FB9"/>
    <w:rsid w:val="613C9A04"/>
    <w:rsid w:val="613FB5EA"/>
    <w:rsid w:val="61404026"/>
    <w:rsid w:val="61415E58"/>
    <w:rsid w:val="6141F063"/>
    <w:rsid w:val="6146B881"/>
    <w:rsid w:val="6148C429"/>
    <w:rsid w:val="614CDCDE"/>
    <w:rsid w:val="6151FA72"/>
    <w:rsid w:val="6156E606"/>
    <w:rsid w:val="6159238E"/>
    <w:rsid w:val="615B2B0C"/>
    <w:rsid w:val="615C1894"/>
    <w:rsid w:val="615C51D6"/>
    <w:rsid w:val="615CD714"/>
    <w:rsid w:val="61621453"/>
    <w:rsid w:val="61644329"/>
    <w:rsid w:val="6167F5EF"/>
    <w:rsid w:val="6167FF82"/>
    <w:rsid w:val="61687A8A"/>
    <w:rsid w:val="6171339A"/>
    <w:rsid w:val="6175EE44"/>
    <w:rsid w:val="617917BA"/>
    <w:rsid w:val="617A9E15"/>
    <w:rsid w:val="617B6DF7"/>
    <w:rsid w:val="617FE961"/>
    <w:rsid w:val="618C0BBD"/>
    <w:rsid w:val="6191E757"/>
    <w:rsid w:val="61940976"/>
    <w:rsid w:val="61981E4F"/>
    <w:rsid w:val="6199FF2A"/>
    <w:rsid w:val="619CCAE0"/>
    <w:rsid w:val="619CE45B"/>
    <w:rsid w:val="619DACFA"/>
    <w:rsid w:val="619EC419"/>
    <w:rsid w:val="61A2D9F6"/>
    <w:rsid w:val="61A3C980"/>
    <w:rsid w:val="61A68273"/>
    <w:rsid w:val="61A69BCB"/>
    <w:rsid w:val="61A6FBA2"/>
    <w:rsid w:val="61A8E17B"/>
    <w:rsid w:val="61ABFB2A"/>
    <w:rsid w:val="61ACE4A2"/>
    <w:rsid w:val="61AD239D"/>
    <w:rsid w:val="61AF841E"/>
    <w:rsid w:val="61B18C4F"/>
    <w:rsid w:val="61B6B12F"/>
    <w:rsid w:val="61B73B3E"/>
    <w:rsid w:val="61B9909F"/>
    <w:rsid w:val="61BB82E3"/>
    <w:rsid w:val="61C52ECB"/>
    <w:rsid w:val="61C5CC29"/>
    <w:rsid w:val="61C8FFE9"/>
    <w:rsid w:val="61C9741E"/>
    <w:rsid w:val="61CADFF7"/>
    <w:rsid w:val="61D1C553"/>
    <w:rsid w:val="61D396AE"/>
    <w:rsid w:val="61D786F4"/>
    <w:rsid w:val="61D8F11E"/>
    <w:rsid w:val="61E26061"/>
    <w:rsid w:val="61E40025"/>
    <w:rsid w:val="61E6380F"/>
    <w:rsid w:val="61E6E610"/>
    <w:rsid w:val="61E980A1"/>
    <w:rsid w:val="61ECE796"/>
    <w:rsid w:val="61EF23FB"/>
    <w:rsid w:val="61F103FB"/>
    <w:rsid w:val="61F3161C"/>
    <w:rsid w:val="61F776CE"/>
    <w:rsid w:val="61F812CC"/>
    <w:rsid w:val="61F87E8A"/>
    <w:rsid w:val="61F9BDE0"/>
    <w:rsid w:val="61FE640C"/>
    <w:rsid w:val="61FF791D"/>
    <w:rsid w:val="6203E0A3"/>
    <w:rsid w:val="62086A93"/>
    <w:rsid w:val="620A0A2A"/>
    <w:rsid w:val="620A7B41"/>
    <w:rsid w:val="62121626"/>
    <w:rsid w:val="6212A148"/>
    <w:rsid w:val="6213AF48"/>
    <w:rsid w:val="62174E70"/>
    <w:rsid w:val="621B5D56"/>
    <w:rsid w:val="621B74D5"/>
    <w:rsid w:val="621CBA76"/>
    <w:rsid w:val="621DC6AE"/>
    <w:rsid w:val="62216938"/>
    <w:rsid w:val="6222E3ED"/>
    <w:rsid w:val="622670BD"/>
    <w:rsid w:val="62298E24"/>
    <w:rsid w:val="622A3E5B"/>
    <w:rsid w:val="62307179"/>
    <w:rsid w:val="6232A49B"/>
    <w:rsid w:val="62391B7C"/>
    <w:rsid w:val="623AD80B"/>
    <w:rsid w:val="623BB532"/>
    <w:rsid w:val="623C8CCF"/>
    <w:rsid w:val="623CD6EA"/>
    <w:rsid w:val="623D09BB"/>
    <w:rsid w:val="623EC704"/>
    <w:rsid w:val="624067DC"/>
    <w:rsid w:val="6241F747"/>
    <w:rsid w:val="6243A2E9"/>
    <w:rsid w:val="6246523C"/>
    <w:rsid w:val="624AC91D"/>
    <w:rsid w:val="624F8386"/>
    <w:rsid w:val="6253F4C2"/>
    <w:rsid w:val="6254378D"/>
    <w:rsid w:val="6259A70F"/>
    <w:rsid w:val="625AF644"/>
    <w:rsid w:val="625BB102"/>
    <w:rsid w:val="625EBD9F"/>
    <w:rsid w:val="6260A92D"/>
    <w:rsid w:val="62625B85"/>
    <w:rsid w:val="62637A26"/>
    <w:rsid w:val="6267849D"/>
    <w:rsid w:val="6269BD2A"/>
    <w:rsid w:val="626DDA92"/>
    <w:rsid w:val="6270B462"/>
    <w:rsid w:val="62722547"/>
    <w:rsid w:val="62741A9D"/>
    <w:rsid w:val="6275AAB4"/>
    <w:rsid w:val="627BECFD"/>
    <w:rsid w:val="627D3D87"/>
    <w:rsid w:val="627DCAC9"/>
    <w:rsid w:val="62817AC4"/>
    <w:rsid w:val="628294FF"/>
    <w:rsid w:val="6285009A"/>
    <w:rsid w:val="62850375"/>
    <w:rsid w:val="628910FD"/>
    <w:rsid w:val="628DBD09"/>
    <w:rsid w:val="628DF9A4"/>
    <w:rsid w:val="62900C53"/>
    <w:rsid w:val="629180AC"/>
    <w:rsid w:val="62939C1D"/>
    <w:rsid w:val="6293A19A"/>
    <w:rsid w:val="62956777"/>
    <w:rsid w:val="62965EF4"/>
    <w:rsid w:val="62975225"/>
    <w:rsid w:val="6299E23E"/>
    <w:rsid w:val="629C5B01"/>
    <w:rsid w:val="629C8C98"/>
    <w:rsid w:val="629DC95A"/>
    <w:rsid w:val="629E1C12"/>
    <w:rsid w:val="629EBEAB"/>
    <w:rsid w:val="62A00C2C"/>
    <w:rsid w:val="62A192E9"/>
    <w:rsid w:val="62A34616"/>
    <w:rsid w:val="62A544D9"/>
    <w:rsid w:val="62AB4726"/>
    <w:rsid w:val="62ACBE87"/>
    <w:rsid w:val="62ACD911"/>
    <w:rsid w:val="62AECE7F"/>
    <w:rsid w:val="62B20790"/>
    <w:rsid w:val="62B423F5"/>
    <w:rsid w:val="62B56130"/>
    <w:rsid w:val="62B5B607"/>
    <w:rsid w:val="62B8B45C"/>
    <w:rsid w:val="62B8F196"/>
    <w:rsid w:val="62BAAC84"/>
    <w:rsid w:val="62BDFAC1"/>
    <w:rsid w:val="62BE73D0"/>
    <w:rsid w:val="62BF69D0"/>
    <w:rsid w:val="62BFCB91"/>
    <w:rsid w:val="62C3EDF9"/>
    <w:rsid w:val="62C77620"/>
    <w:rsid w:val="62C9C1A4"/>
    <w:rsid w:val="62C9EDCA"/>
    <w:rsid w:val="62CB41DC"/>
    <w:rsid w:val="62CDB3E2"/>
    <w:rsid w:val="62CDD749"/>
    <w:rsid w:val="62D0FAF6"/>
    <w:rsid w:val="62D107A9"/>
    <w:rsid w:val="62D2D453"/>
    <w:rsid w:val="62D4FD3A"/>
    <w:rsid w:val="62D5E331"/>
    <w:rsid w:val="62DB397D"/>
    <w:rsid w:val="62DB6E77"/>
    <w:rsid w:val="62E04CA0"/>
    <w:rsid w:val="62E077A9"/>
    <w:rsid w:val="62E4D494"/>
    <w:rsid w:val="62E62FE5"/>
    <w:rsid w:val="62E678EA"/>
    <w:rsid w:val="62E68C5B"/>
    <w:rsid w:val="62EEBCA0"/>
    <w:rsid w:val="62F0118F"/>
    <w:rsid w:val="62F19695"/>
    <w:rsid w:val="62F2ACA3"/>
    <w:rsid w:val="62F4F2DA"/>
    <w:rsid w:val="62F84489"/>
    <w:rsid w:val="62F860C2"/>
    <w:rsid w:val="62F906C5"/>
    <w:rsid w:val="6303DE9E"/>
    <w:rsid w:val="6306061A"/>
    <w:rsid w:val="6308D64B"/>
    <w:rsid w:val="6309B3E4"/>
    <w:rsid w:val="630F3B22"/>
    <w:rsid w:val="630F50FE"/>
    <w:rsid w:val="63124EFA"/>
    <w:rsid w:val="63141CEE"/>
    <w:rsid w:val="63179867"/>
    <w:rsid w:val="631890AC"/>
    <w:rsid w:val="63190663"/>
    <w:rsid w:val="631B4054"/>
    <w:rsid w:val="631E1994"/>
    <w:rsid w:val="6322340D"/>
    <w:rsid w:val="63238253"/>
    <w:rsid w:val="6323A6AF"/>
    <w:rsid w:val="63266382"/>
    <w:rsid w:val="632847B0"/>
    <w:rsid w:val="6328C189"/>
    <w:rsid w:val="632C4E00"/>
    <w:rsid w:val="632D947B"/>
    <w:rsid w:val="63326DEA"/>
    <w:rsid w:val="6334F9D4"/>
    <w:rsid w:val="633520A2"/>
    <w:rsid w:val="6336C0E4"/>
    <w:rsid w:val="63370D17"/>
    <w:rsid w:val="633F7F28"/>
    <w:rsid w:val="6340587B"/>
    <w:rsid w:val="6342A20B"/>
    <w:rsid w:val="6347E24C"/>
    <w:rsid w:val="634A975F"/>
    <w:rsid w:val="634C5D0E"/>
    <w:rsid w:val="63510143"/>
    <w:rsid w:val="63535DA2"/>
    <w:rsid w:val="6356DA25"/>
    <w:rsid w:val="63587B20"/>
    <w:rsid w:val="635A873F"/>
    <w:rsid w:val="635CFFE7"/>
    <w:rsid w:val="635D2D8C"/>
    <w:rsid w:val="635DFC87"/>
    <w:rsid w:val="635EE59A"/>
    <w:rsid w:val="635EF646"/>
    <w:rsid w:val="63601B2B"/>
    <w:rsid w:val="636365C0"/>
    <w:rsid w:val="63650F82"/>
    <w:rsid w:val="63661919"/>
    <w:rsid w:val="6370C5A4"/>
    <w:rsid w:val="63738ACC"/>
    <w:rsid w:val="63744AFE"/>
    <w:rsid w:val="637591D5"/>
    <w:rsid w:val="637F8044"/>
    <w:rsid w:val="63864E96"/>
    <w:rsid w:val="6388FA5F"/>
    <w:rsid w:val="63894937"/>
    <w:rsid w:val="63897A5D"/>
    <w:rsid w:val="6389F0D4"/>
    <w:rsid w:val="638AFBFD"/>
    <w:rsid w:val="638B8A15"/>
    <w:rsid w:val="638BBABA"/>
    <w:rsid w:val="638C8D51"/>
    <w:rsid w:val="6392DF41"/>
    <w:rsid w:val="639311F9"/>
    <w:rsid w:val="639A8713"/>
    <w:rsid w:val="639E5A42"/>
    <w:rsid w:val="63A018D9"/>
    <w:rsid w:val="63A061ED"/>
    <w:rsid w:val="63A0AE37"/>
    <w:rsid w:val="63AA2D40"/>
    <w:rsid w:val="63AA75AD"/>
    <w:rsid w:val="63AEED1E"/>
    <w:rsid w:val="63B324D3"/>
    <w:rsid w:val="63B9BD72"/>
    <w:rsid w:val="63B9CEB3"/>
    <w:rsid w:val="63BDCA0C"/>
    <w:rsid w:val="63BE3097"/>
    <w:rsid w:val="63BE4B24"/>
    <w:rsid w:val="63BFAB1B"/>
    <w:rsid w:val="63C0C1D8"/>
    <w:rsid w:val="63C291B6"/>
    <w:rsid w:val="63C9CD69"/>
    <w:rsid w:val="63CB178A"/>
    <w:rsid w:val="63CFE790"/>
    <w:rsid w:val="63D0F694"/>
    <w:rsid w:val="63D100FF"/>
    <w:rsid w:val="63D19628"/>
    <w:rsid w:val="63D361FA"/>
    <w:rsid w:val="63D3F8EE"/>
    <w:rsid w:val="63D4CCFB"/>
    <w:rsid w:val="63D703F0"/>
    <w:rsid w:val="63DAA9B7"/>
    <w:rsid w:val="63DFC55C"/>
    <w:rsid w:val="63E0C555"/>
    <w:rsid w:val="63E38A04"/>
    <w:rsid w:val="63E8148C"/>
    <w:rsid w:val="63EB0E10"/>
    <w:rsid w:val="63F5AC4A"/>
    <w:rsid w:val="63F95260"/>
    <w:rsid w:val="63FA2321"/>
    <w:rsid w:val="63FAD3BF"/>
    <w:rsid w:val="63FCD2F6"/>
    <w:rsid w:val="63FFF263"/>
    <w:rsid w:val="6400756C"/>
    <w:rsid w:val="6401CBB6"/>
    <w:rsid w:val="64036499"/>
    <w:rsid w:val="6405A38A"/>
    <w:rsid w:val="64072C7A"/>
    <w:rsid w:val="6408C419"/>
    <w:rsid w:val="640B3096"/>
    <w:rsid w:val="640F5AA4"/>
    <w:rsid w:val="6412B135"/>
    <w:rsid w:val="6414BF26"/>
    <w:rsid w:val="64191CEB"/>
    <w:rsid w:val="641A876C"/>
    <w:rsid w:val="641B6C18"/>
    <w:rsid w:val="641D0CC2"/>
    <w:rsid w:val="641E5259"/>
    <w:rsid w:val="64201957"/>
    <w:rsid w:val="64208D6B"/>
    <w:rsid w:val="6421647D"/>
    <w:rsid w:val="64221438"/>
    <w:rsid w:val="6423DAE1"/>
    <w:rsid w:val="6425579D"/>
    <w:rsid w:val="642EED7D"/>
    <w:rsid w:val="643179DC"/>
    <w:rsid w:val="64324D94"/>
    <w:rsid w:val="6432B153"/>
    <w:rsid w:val="643779A0"/>
    <w:rsid w:val="643A6461"/>
    <w:rsid w:val="6441DDE7"/>
    <w:rsid w:val="644799E3"/>
    <w:rsid w:val="644B6417"/>
    <w:rsid w:val="644E3A4F"/>
    <w:rsid w:val="6453A274"/>
    <w:rsid w:val="64542976"/>
    <w:rsid w:val="645B63F3"/>
    <w:rsid w:val="645B83CE"/>
    <w:rsid w:val="645B9401"/>
    <w:rsid w:val="645F0B1D"/>
    <w:rsid w:val="64612052"/>
    <w:rsid w:val="6463AD64"/>
    <w:rsid w:val="64709E84"/>
    <w:rsid w:val="64791AAD"/>
    <w:rsid w:val="647FA64B"/>
    <w:rsid w:val="6480BAF1"/>
    <w:rsid w:val="64869284"/>
    <w:rsid w:val="648DCC4D"/>
    <w:rsid w:val="64941A48"/>
    <w:rsid w:val="64999811"/>
    <w:rsid w:val="649E7B0A"/>
    <w:rsid w:val="649FBBD1"/>
    <w:rsid w:val="64A295A6"/>
    <w:rsid w:val="64A47620"/>
    <w:rsid w:val="64ABDB3F"/>
    <w:rsid w:val="64ADDE21"/>
    <w:rsid w:val="64AEA251"/>
    <w:rsid w:val="64B0D538"/>
    <w:rsid w:val="64B576B1"/>
    <w:rsid w:val="64BDA695"/>
    <w:rsid w:val="64C233E3"/>
    <w:rsid w:val="64C2BD2D"/>
    <w:rsid w:val="64C3AE3E"/>
    <w:rsid w:val="64C5593A"/>
    <w:rsid w:val="64C5B3EB"/>
    <w:rsid w:val="64C6BE4B"/>
    <w:rsid w:val="64CA7B1E"/>
    <w:rsid w:val="64CD84F1"/>
    <w:rsid w:val="64CF1133"/>
    <w:rsid w:val="64CF67B5"/>
    <w:rsid w:val="64D31157"/>
    <w:rsid w:val="64D61805"/>
    <w:rsid w:val="64DB5C1D"/>
    <w:rsid w:val="64E27C36"/>
    <w:rsid w:val="64E32DD0"/>
    <w:rsid w:val="64E4DD54"/>
    <w:rsid w:val="64E6B3E8"/>
    <w:rsid w:val="64EB1A5B"/>
    <w:rsid w:val="64F00007"/>
    <w:rsid w:val="64F8A6BF"/>
    <w:rsid w:val="64F9B6D8"/>
    <w:rsid w:val="64FAB9CB"/>
    <w:rsid w:val="64FD96A0"/>
    <w:rsid w:val="64FDFF55"/>
    <w:rsid w:val="65015B2F"/>
    <w:rsid w:val="650BBD49"/>
    <w:rsid w:val="650C5033"/>
    <w:rsid w:val="650EA7D1"/>
    <w:rsid w:val="6511BEE9"/>
    <w:rsid w:val="651268FF"/>
    <w:rsid w:val="6516E86B"/>
    <w:rsid w:val="6518BAD6"/>
    <w:rsid w:val="6518CBBC"/>
    <w:rsid w:val="651A958F"/>
    <w:rsid w:val="651B7DD4"/>
    <w:rsid w:val="651E20C0"/>
    <w:rsid w:val="651E238D"/>
    <w:rsid w:val="6525ED54"/>
    <w:rsid w:val="652B67FA"/>
    <w:rsid w:val="652FF615"/>
    <w:rsid w:val="6532A2B5"/>
    <w:rsid w:val="65339D7B"/>
    <w:rsid w:val="653A3C8A"/>
    <w:rsid w:val="653E72E5"/>
    <w:rsid w:val="653EBA7A"/>
    <w:rsid w:val="653F91E8"/>
    <w:rsid w:val="653FFA6C"/>
    <w:rsid w:val="65409A7B"/>
    <w:rsid w:val="65424266"/>
    <w:rsid w:val="6542E706"/>
    <w:rsid w:val="6543C2BA"/>
    <w:rsid w:val="6547B2EB"/>
    <w:rsid w:val="654E1DB9"/>
    <w:rsid w:val="654E6394"/>
    <w:rsid w:val="655231BB"/>
    <w:rsid w:val="655298AD"/>
    <w:rsid w:val="65546384"/>
    <w:rsid w:val="655D4A9E"/>
    <w:rsid w:val="656155C9"/>
    <w:rsid w:val="6562BBB5"/>
    <w:rsid w:val="65635EE7"/>
    <w:rsid w:val="65650BBA"/>
    <w:rsid w:val="6572310B"/>
    <w:rsid w:val="6578F0C6"/>
    <w:rsid w:val="657D5F23"/>
    <w:rsid w:val="657D8900"/>
    <w:rsid w:val="657EB16E"/>
    <w:rsid w:val="65802367"/>
    <w:rsid w:val="6583ADBA"/>
    <w:rsid w:val="658E4D73"/>
    <w:rsid w:val="6593A7C7"/>
    <w:rsid w:val="6594E038"/>
    <w:rsid w:val="6595FFDC"/>
    <w:rsid w:val="659692F4"/>
    <w:rsid w:val="6597989D"/>
    <w:rsid w:val="65985747"/>
    <w:rsid w:val="65985B97"/>
    <w:rsid w:val="659F2C0B"/>
    <w:rsid w:val="659F6CD3"/>
    <w:rsid w:val="65A769BA"/>
    <w:rsid w:val="65A9E1A8"/>
    <w:rsid w:val="65ACF6CC"/>
    <w:rsid w:val="65AD1609"/>
    <w:rsid w:val="65B0BC78"/>
    <w:rsid w:val="65B382FD"/>
    <w:rsid w:val="65BA400F"/>
    <w:rsid w:val="65C27D46"/>
    <w:rsid w:val="65C585E3"/>
    <w:rsid w:val="65C837CD"/>
    <w:rsid w:val="65CD8ADC"/>
    <w:rsid w:val="65D1AEB7"/>
    <w:rsid w:val="65D1E32B"/>
    <w:rsid w:val="65D45432"/>
    <w:rsid w:val="65D56099"/>
    <w:rsid w:val="65D5B983"/>
    <w:rsid w:val="65D6754F"/>
    <w:rsid w:val="65D6B434"/>
    <w:rsid w:val="65DB6F69"/>
    <w:rsid w:val="65E0B268"/>
    <w:rsid w:val="65E14CB1"/>
    <w:rsid w:val="65E19281"/>
    <w:rsid w:val="65EE1A3B"/>
    <w:rsid w:val="65EFE789"/>
    <w:rsid w:val="65F28BF0"/>
    <w:rsid w:val="65F2E703"/>
    <w:rsid w:val="65F3DCA4"/>
    <w:rsid w:val="65F60C86"/>
    <w:rsid w:val="65F73A99"/>
    <w:rsid w:val="65F92168"/>
    <w:rsid w:val="65FE6299"/>
    <w:rsid w:val="6600DE00"/>
    <w:rsid w:val="66043A03"/>
    <w:rsid w:val="6606D6CC"/>
    <w:rsid w:val="66135347"/>
    <w:rsid w:val="661594AE"/>
    <w:rsid w:val="66163FB1"/>
    <w:rsid w:val="661AAC59"/>
    <w:rsid w:val="661E34A4"/>
    <w:rsid w:val="6622A886"/>
    <w:rsid w:val="662408CD"/>
    <w:rsid w:val="66259C64"/>
    <w:rsid w:val="662629C5"/>
    <w:rsid w:val="6627151F"/>
    <w:rsid w:val="66272D41"/>
    <w:rsid w:val="66283600"/>
    <w:rsid w:val="662C8A2F"/>
    <w:rsid w:val="662DB9CA"/>
    <w:rsid w:val="662E4F45"/>
    <w:rsid w:val="662FE8EE"/>
    <w:rsid w:val="6632F207"/>
    <w:rsid w:val="66364560"/>
    <w:rsid w:val="66373D57"/>
    <w:rsid w:val="66379C6A"/>
    <w:rsid w:val="663B2FC0"/>
    <w:rsid w:val="6640F96D"/>
    <w:rsid w:val="6641C115"/>
    <w:rsid w:val="66440CFC"/>
    <w:rsid w:val="66443D6B"/>
    <w:rsid w:val="6645F231"/>
    <w:rsid w:val="6647A5F1"/>
    <w:rsid w:val="664872CC"/>
    <w:rsid w:val="664A7FB6"/>
    <w:rsid w:val="664B76A9"/>
    <w:rsid w:val="664E1A2C"/>
    <w:rsid w:val="664E79BC"/>
    <w:rsid w:val="66588E33"/>
    <w:rsid w:val="6659F2D3"/>
    <w:rsid w:val="665D2CB4"/>
    <w:rsid w:val="6661DC3C"/>
    <w:rsid w:val="66628C24"/>
    <w:rsid w:val="66639983"/>
    <w:rsid w:val="66660C66"/>
    <w:rsid w:val="66670BAF"/>
    <w:rsid w:val="6669A613"/>
    <w:rsid w:val="667322B4"/>
    <w:rsid w:val="6673A949"/>
    <w:rsid w:val="667A5A6C"/>
    <w:rsid w:val="667AD40B"/>
    <w:rsid w:val="667C622B"/>
    <w:rsid w:val="667D36E7"/>
    <w:rsid w:val="66812727"/>
    <w:rsid w:val="66836660"/>
    <w:rsid w:val="66842C64"/>
    <w:rsid w:val="6684C641"/>
    <w:rsid w:val="6686B804"/>
    <w:rsid w:val="6687151D"/>
    <w:rsid w:val="668D1399"/>
    <w:rsid w:val="668DBFB7"/>
    <w:rsid w:val="668FBCE7"/>
    <w:rsid w:val="669BE343"/>
    <w:rsid w:val="669C16E2"/>
    <w:rsid w:val="669CB91A"/>
    <w:rsid w:val="669E0609"/>
    <w:rsid w:val="669EB254"/>
    <w:rsid w:val="66A62BA7"/>
    <w:rsid w:val="66A82CDE"/>
    <w:rsid w:val="66A90F29"/>
    <w:rsid w:val="66B2C4B7"/>
    <w:rsid w:val="66B33E8E"/>
    <w:rsid w:val="66B5D25E"/>
    <w:rsid w:val="66B60AE1"/>
    <w:rsid w:val="66B6D592"/>
    <w:rsid w:val="66BA1EC0"/>
    <w:rsid w:val="66BD0BCD"/>
    <w:rsid w:val="66C88386"/>
    <w:rsid w:val="66CAB1C5"/>
    <w:rsid w:val="66D0A45D"/>
    <w:rsid w:val="66D42ED9"/>
    <w:rsid w:val="66DF92C5"/>
    <w:rsid w:val="66E0E87A"/>
    <w:rsid w:val="66E4A77F"/>
    <w:rsid w:val="66E77B6D"/>
    <w:rsid w:val="66E8F2A7"/>
    <w:rsid w:val="66ECED61"/>
    <w:rsid w:val="66ED563B"/>
    <w:rsid w:val="66EF2CD3"/>
    <w:rsid w:val="66F1BD3C"/>
    <w:rsid w:val="66F23A2C"/>
    <w:rsid w:val="66F2813A"/>
    <w:rsid w:val="66F70FEC"/>
    <w:rsid w:val="66F9AD37"/>
    <w:rsid w:val="66FD6773"/>
    <w:rsid w:val="66FEEED1"/>
    <w:rsid w:val="6700BBB5"/>
    <w:rsid w:val="6700C381"/>
    <w:rsid w:val="6700DC1B"/>
    <w:rsid w:val="6704C899"/>
    <w:rsid w:val="6707C258"/>
    <w:rsid w:val="670F13F1"/>
    <w:rsid w:val="670F87B2"/>
    <w:rsid w:val="67116B13"/>
    <w:rsid w:val="6720E49A"/>
    <w:rsid w:val="6725E0CF"/>
    <w:rsid w:val="672682D2"/>
    <w:rsid w:val="672880BA"/>
    <w:rsid w:val="672FD340"/>
    <w:rsid w:val="67323C17"/>
    <w:rsid w:val="6733AC30"/>
    <w:rsid w:val="673603ED"/>
    <w:rsid w:val="673AE0C4"/>
    <w:rsid w:val="673B3D34"/>
    <w:rsid w:val="673E4F1F"/>
    <w:rsid w:val="67405C08"/>
    <w:rsid w:val="67406AE3"/>
    <w:rsid w:val="67472DE7"/>
    <w:rsid w:val="674BCCF5"/>
    <w:rsid w:val="675145A4"/>
    <w:rsid w:val="6751FC7A"/>
    <w:rsid w:val="67527C75"/>
    <w:rsid w:val="6754D136"/>
    <w:rsid w:val="67573682"/>
    <w:rsid w:val="67598A69"/>
    <w:rsid w:val="6759CB0D"/>
    <w:rsid w:val="675C6CC8"/>
    <w:rsid w:val="675CC1B4"/>
    <w:rsid w:val="6760CD30"/>
    <w:rsid w:val="67611850"/>
    <w:rsid w:val="67611F87"/>
    <w:rsid w:val="67684DB7"/>
    <w:rsid w:val="676969FF"/>
    <w:rsid w:val="676A75E2"/>
    <w:rsid w:val="676B1266"/>
    <w:rsid w:val="676B735C"/>
    <w:rsid w:val="676DA427"/>
    <w:rsid w:val="676E3F83"/>
    <w:rsid w:val="676FBDFE"/>
    <w:rsid w:val="6771049D"/>
    <w:rsid w:val="6771DEF1"/>
    <w:rsid w:val="6774CCD8"/>
    <w:rsid w:val="67767258"/>
    <w:rsid w:val="677B6E27"/>
    <w:rsid w:val="677F3AA5"/>
    <w:rsid w:val="6780D00E"/>
    <w:rsid w:val="67826F4F"/>
    <w:rsid w:val="678B6F13"/>
    <w:rsid w:val="678CFD85"/>
    <w:rsid w:val="6795BF93"/>
    <w:rsid w:val="6798D527"/>
    <w:rsid w:val="679CF8A5"/>
    <w:rsid w:val="67A05FF5"/>
    <w:rsid w:val="67A15324"/>
    <w:rsid w:val="67A76F02"/>
    <w:rsid w:val="67A8A90F"/>
    <w:rsid w:val="67A8C0D4"/>
    <w:rsid w:val="67AD05B5"/>
    <w:rsid w:val="67AD9C39"/>
    <w:rsid w:val="67AE980E"/>
    <w:rsid w:val="67AF53AC"/>
    <w:rsid w:val="67AF6CD1"/>
    <w:rsid w:val="67B41EC3"/>
    <w:rsid w:val="67B5C099"/>
    <w:rsid w:val="67B95E13"/>
    <w:rsid w:val="67BB4B36"/>
    <w:rsid w:val="67C19EAC"/>
    <w:rsid w:val="67C387EE"/>
    <w:rsid w:val="67C5EDF2"/>
    <w:rsid w:val="67CC37A5"/>
    <w:rsid w:val="67CCDBB6"/>
    <w:rsid w:val="67CDAF6E"/>
    <w:rsid w:val="67CEE238"/>
    <w:rsid w:val="67CFE8EF"/>
    <w:rsid w:val="67D1466C"/>
    <w:rsid w:val="67D37611"/>
    <w:rsid w:val="67D4D2AB"/>
    <w:rsid w:val="67D52EAA"/>
    <w:rsid w:val="67D642DC"/>
    <w:rsid w:val="67D8D31D"/>
    <w:rsid w:val="67DAB546"/>
    <w:rsid w:val="67E07B55"/>
    <w:rsid w:val="67E16604"/>
    <w:rsid w:val="67E2332C"/>
    <w:rsid w:val="67E289E7"/>
    <w:rsid w:val="67E3B23D"/>
    <w:rsid w:val="67E725D0"/>
    <w:rsid w:val="67E8A0EC"/>
    <w:rsid w:val="67EA2C35"/>
    <w:rsid w:val="67F28121"/>
    <w:rsid w:val="67F5844B"/>
    <w:rsid w:val="67F5C03B"/>
    <w:rsid w:val="67F80332"/>
    <w:rsid w:val="67F9B23C"/>
    <w:rsid w:val="67FB4AFB"/>
    <w:rsid w:val="67FE31AB"/>
    <w:rsid w:val="6801B8A7"/>
    <w:rsid w:val="68092083"/>
    <w:rsid w:val="680BF0A0"/>
    <w:rsid w:val="680C0D1A"/>
    <w:rsid w:val="680FFC19"/>
    <w:rsid w:val="68111B9F"/>
    <w:rsid w:val="6811466E"/>
    <w:rsid w:val="6812E44E"/>
    <w:rsid w:val="6816C847"/>
    <w:rsid w:val="6817740C"/>
    <w:rsid w:val="681BCE2B"/>
    <w:rsid w:val="681C2626"/>
    <w:rsid w:val="681C8281"/>
    <w:rsid w:val="681D5A23"/>
    <w:rsid w:val="681DD3A8"/>
    <w:rsid w:val="68200CF7"/>
    <w:rsid w:val="682482DC"/>
    <w:rsid w:val="6828CDB2"/>
    <w:rsid w:val="6828E926"/>
    <w:rsid w:val="682A4AD4"/>
    <w:rsid w:val="682F53FD"/>
    <w:rsid w:val="6832FDC8"/>
    <w:rsid w:val="6837B355"/>
    <w:rsid w:val="68385A77"/>
    <w:rsid w:val="683927DE"/>
    <w:rsid w:val="6842E56F"/>
    <w:rsid w:val="684400D0"/>
    <w:rsid w:val="68440E10"/>
    <w:rsid w:val="6844C47B"/>
    <w:rsid w:val="6847D1AD"/>
    <w:rsid w:val="684840FE"/>
    <w:rsid w:val="684E89C8"/>
    <w:rsid w:val="68518D76"/>
    <w:rsid w:val="68521EB1"/>
    <w:rsid w:val="685844E1"/>
    <w:rsid w:val="685BC736"/>
    <w:rsid w:val="685E83BA"/>
    <w:rsid w:val="68665E44"/>
    <w:rsid w:val="68680F13"/>
    <w:rsid w:val="686861A6"/>
    <w:rsid w:val="686974AA"/>
    <w:rsid w:val="686B48D5"/>
    <w:rsid w:val="686BD40D"/>
    <w:rsid w:val="686BF66C"/>
    <w:rsid w:val="686C43F0"/>
    <w:rsid w:val="686E7949"/>
    <w:rsid w:val="686EBE3C"/>
    <w:rsid w:val="686F0E3C"/>
    <w:rsid w:val="687181B7"/>
    <w:rsid w:val="6871EFD8"/>
    <w:rsid w:val="68735D99"/>
    <w:rsid w:val="6875343E"/>
    <w:rsid w:val="687693BF"/>
    <w:rsid w:val="68773FD5"/>
    <w:rsid w:val="687CB045"/>
    <w:rsid w:val="687DB4FA"/>
    <w:rsid w:val="68870261"/>
    <w:rsid w:val="6888BDC2"/>
    <w:rsid w:val="688A3BA2"/>
    <w:rsid w:val="688A5207"/>
    <w:rsid w:val="688CF12C"/>
    <w:rsid w:val="688E3587"/>
    <w:rsid w:val="68909021"/>
    <w:rsid w:val="6893629B"/>
    <w:rsid w:val="689AA6CA"/>
    <w:rsid w:val="689FC803"/>
    <w:rsid w:val="68A430B3"/>
    <w:rsid w:val="68A81C48"/>
    <w:rsid w:val="68A8E575"/>
    <w:rsid w:val="68AD16BA"/>
    <w:rsid w:val="68B3A753"/>
    <w:rsid w:val="68B5B274"/>
    <w:rsid w:val="68B678C3"/>
    <w:rsid w:val="68B6CC5F"/>
    <w:rsid w:val="68BBED53"/>
    <w:rsid w:val="68BF1E10"/>
    <w:rsid w:val="68BFCED0"/>
    <w:rsid w:val="68BFE2E8"/>
    <w:rsid w:val="68C010A0"/>
    <w:rsid w:val="68C10EDD"/>
    <w:rsid w:val="68C2604C"/>
    <w:rsid w:val="68C733DA"/>
    <w:rsid w:val="68C9BB98"/>
    <w:rsid w:val="68CA9DA0"/>
    <w:rsid w:val="68CBE788"/>
    <w:rsid w:val="68D69580"/>
    <w:rsid w:val="68DB55D8"/>
    <w:rsid w:val="68DC9373"/>
    <w:rsid w:val="68DCD2C5"/>
    <w:rsid w:val="68E09227"/>
    <w:rsid w:val="68E0BA23"/>
    <w:rsid w:val="68E5500A"/>
    <w:rsid w:val="68E61A53"/>
    <w:rsid w:val="68E82DA1"/>
    <w:rsid w:val="68E86952"/>
    <w:rsid w:val="68E9878E"/>
    <w:rsid w:val="68EE1B86"/>
    <w:rsid w:val="68F36C2B"/>
    <w:rsid w:val="68F69736"/>
    <w:rsid w:val="68F8334A"/>
    <w:rsid w:val="68FC91FE"/>
    <w:rsid w:val="69027BA9"/>
    <w:rsid w:val="690296BD"/>
    <w:rsid w:val="69047C1E"/>
    <w:rsid w:val="6905B9A7"/>
    <w:rsid w:val="69088D45"/>
    <w:rsid w:val="6909B3B3"/>
    <w:rsid w:val="690BE848"/>
    <w:rsid w:val="690C696E"/>
    <w:rsid w:val="690CF800"/>
    <w:rsid w:val="690EBC75"/>
    <w:rsid w:val="69116521"/>
    <w:rsid w:val="6916DDB8"/>
    <w:rsid w:val="691854A9"/>
    <w:rsid w:val="691F6974"/>
    <w:rsid w:val="691FD01D"/>
    <w:rsid w:val="6924603D"/>
    <w:rsid w:val="6927808D"/>
    <w:rsid w:val="6927AF78"/>
    <w:rsid w:val="6927BEDA"/>
    <w:rsid w:val="6929F536"/>
    <w:rsid w:val="692A86C5"/>
    <w:rsid w:val="692D0E51"/>
    <w:rsid w:val="692D3180"/>
    <w:rsid w:val="6932B3E7"/>
    <w:rsid w:val="6932E936"/>
    <w:rsid w:val="693354C1"/>
    <w:rsid w:val="693418A6"/>
    <w:rsid w:val="693B6707"/>
    <w:rsid w:val="693BBD76"/>
    <w:rsid w:val="693E357E"/>
    <w:rsid w:val="693F157C"/>
    <w:rsid w:val="69463D7A"/>
    <w:rsid w:val="6948F6CF"/>
    <w:rsid w:val="6949245B"/>
    <w:rsid w:val="694C1061"/>
    <w:rsid w:val="694EAAA2"/>
    <w:rsid w:val="6950316D"/>
    <w:rsid w:val="695451C2"/>
    <w:rsid w:val="6955CE4C"/>
    <w:rsid w:val="6955F1E3"/>
    <w:rsid w:val="69561DC3"/>
    <w:rsid w:val="6957B469"/>
    <w:rsid w:val="6957C4A1"/>
    <w:rsid w:val="695E3B47"/>
    <w:rsid w:val="6966CF5E"/>
    <w:rsid w:val="69679603"/>
    <w:rsid w:val="6969951C"/>
    <w:rsid w:val="696E9202"/>
    <w:rsid w:val="696ECE6D"/>
    <w:rsid w:val="696F8AF9"/>
    <w:rsid w:val="69733941"/>
    <w:rsid w:val="697367BA"/>
    <w:rsid w:val="69756A6B"/>
    <w:rsid w:val="6975BBDC"/>
    <w:rsid w:val="69770085"/>
    <w:rsid w:val="697D3665"/>
    <w:rsid w:val="697EB7EE"/>
    <w:rsid w:val="698053A1"/>
    <w:rsid w:val="69817A75"/>
    <w:rsid w:val="69839ACD"/>
    <w:rsid w:val="6983FF4A"/>
    <w:rsid w:val="69843234"/>
    <w:rsid w:val="69849950"/>
    <w:rsid w:val="6984C0E2"/>
    <w:rsid w:val="6985295B"/>
    <w:rsid w:val="6989FEBB"/>
    <w:rsid w:val="698BC781"/>
    <w:rsid w:val="698C5E84"/>
    <w:rsid w:val="698D399D"/>
    <w:rsid w:val="6993F4B1"/>
    <w:rsid w:val="699750FA"/>
    <w:rsid w:val="69998429"/>
    <w:rsid w:val="6999D889"/>
    <w:rsid w:val="699B16EE"/>
    <w:rsid w:val="699CBAEA"/>
    <w:rsid w:val="699EB0A8"/>
    <w:rsid w:val="69A05F15"/>
    <w:rsid w:val="69A1D170"/>
    <w:rsid w:val="69A60D17"/>
    <w:rsid w:val="69AA684E"/>
    <w:rsid w:val="69AE6FA4"/>
    <w:rsid w:val="69B7F687"/>
    <w:rsid w:val="69B86B7D"/>
    <w:rsid w:val="69B90361"/>
    <w:rsid w:val="69B929AA"/>
    <w:rsid w:val="69BBB13C"/>
    <w:rsid w:val="69C100CB"/>
    <w:rsid w:val="69C41374"/>
    <w:rsid w:val="69CA31B0"/>
    <w:rsid w:val="69CB0E89"/>
    <w:rsid w:val="69CE1B44"/>
    <w:rsid w:val="69CECE29"/>
    <w:rsid w:val="69D2FB42"/>
    <w:rsid w:val="69D3594B"/>
    <w:rsid w:val="69D68EBA"/>
    <w:rsid w:val="69DA10D3"/>
    <w:rsid w:val="69DB7382"/>
    <w:rsid w:val="69DC4D84"/>
    <w:rsid w:val="69DE212C"/>
    <w:rsid w:val="69DFD9E0"/>
    <w:rsid w:val="69E02234"/>
    <w:rsid w:val="69E312E8"/>
    <w:rsid w:val="69E39B93"/>
    <w:rsid w:val="69E5649C"/>
    <w:rsid w:val="69E6C153"/>
    <w:rsid w:val="69E6C562"/>
    <w:rsid w:val="69EAE8AF"/>
    <w:rsid w:val="69EB432D"/>
    <w:rsid w:val="69EED761"/>
    <w:rsid w:val="69F12C68"/>
    <w:rsid w:val="69F4F36F"/>
    <w:rsid w:val="69F57083"/>
    <w:rsid w:val="69F633C7"/>
    <w:rsid w:val="69F68C02"/>
    <w:rsid w:val="69F87418"/>
    <w:rsid w:val="69FC5A31"/>
    <w:rsid w:val="69FD9543"/>
    <w:rsid w:val="6A063BA3"/>
    <w:rsid w:val="6A087A58"/>
    <w:rsid w:val="6A0DF8ED"/>
    <w:rsid w:val="6A0F5DB5"/>
    <w:rsid w:val="6A0FEFBD"/>
    <w:rsid w:val="6A137C78"/>
    <w:rsid w:val="6A13E316"/>
    <w:rsid w:val="6A13EB58"/>
    <w:rsid w:val="6A13F7B7"/>
    <w:rsid w:val="6A1AF989"/>
    <w:rsid w:val="6A1E6A26"/>
    <w:rsid w:val="6A22D2AC"/>
    <w:rsid w:val="6A230AA9"/>
    <w:rsid w:val="6A251753"/>
    <w:rsid w:val="6A273B6B"/>
    <w:rsid w:val="6A28FE2D"/>
    <w:rsid w:val="6A2A3F58"/>
    <w:rsid w:val="6A2A8142"/>
    <w:rsid w:val="6A2DE2E7"/>
    <w:rsid w:val="6A2EE1F1"/>
    <w:rsid w:val="6A3101F9"/>
    <w:rsid w:val="6A372563"/>
    <w:rsid w:val="6A3A635C"/>
    <w:rsid w:val="6A3B8D40"/>
    <w:rsid w:val="6A3EB676"/>
    <w:rsid w:val="6A427ADB"/>
    <w:rsid w:val="6A4449DA"/>
    <w:rsid w:val="6A46E784"/>
    <w:rsid w:val="6A4909C6"/>
    <w:rsid w:val="6A4AA847"/>
    <w:rsid w:val="6A4AF0BF"/>
    <w:rsid w:val="6A4E8775"/>
    <w:rsid w:val="6A5214D5"/>
    <w:rsid w:val="6A541CD1"/>
    <w:rsid w:val="6A60EA5B"/>
    <w:rsid w:val="6A640888"/>
    <w:rsid w:val="6A6607DB"/>
    <w:rsid w:val="6A679E13"/>
    <w:rsid w:val="6A685C7F"/>
    <w:rsid w:val="6A696933"/>
    <w:rsid w:val="6A6A6A8F"/>
    <w:rsid w:val="6A6AF8AC"/>
    <w:rsid w:val="6A6D27AE"/>
    <w:rsid w:val="6A708948"/>
    <w:rsid w:val="6A712397"/>
    <w:rsid w:val="6A712C06"/>
    <w:rsid w:val="6A71E56C"/>
    <w:rsid w:val="6A741119"/>
    <w:rsid w:val="6A7481AA"/>
    <w:rsid w:val="6A756EBB"/>
    <w:rsid w:val="6A799EE7"/>
    <w:rsid w:val="6A7B7931"/>
    <w:rsid w:val="6A7D497A"/>
    <w:rsid w:val="6A860590"/>
    <w:rsid w:val="6A86965D"/>
    <w:rsid w:val="6A874108"/>
    <w:rsid w:val="6A885DFA"/>
    <w:rsid w:val="6A8C96AA"/>
    <w:rsid w:val="6A8DA93E"/>
    <w:rsid w:val="6A8EB3A2"/>
    <w:rsid w:val="6A9050D0"/>
    <w:rsid w:val="6A91BC95"/>
    <w:rsid w:val="6A979948"/>
    <w:rsid w:val="6A99EFBE"/>
    <w:rsid w:val="6A9C1ED7"/>
    <w:rsid w:val="6AA47BB2"/>
    <w:rsid w:val="6AA512C4"/>
    <w:rsid w:val="6AA543F0"/>
    <w:rsid w:val="6AA5B0CE"/>
    <w:rsid w:val="6AA5D8C3"/>
    <w:rsid w:val="6AA6EFBA"/>
    <w:rsid w:val="6AA839CF"/>
    <w:rsid w:val="6AA96786"/>
    <w:rsid w:val="6AAAC1DC"/>
    <w:rsid w:val="6AAC1BBD"/>
    <w:rsid w:val="6AB0A3CD"/>
    <w:rsid w:val="6AB19474"/>
    <w:rsid w:val="6AB6767A"/>
    <w:rsid w:val="6AB7CED7"/>
    <w:rsid w:val="6ABF0776"/>
    <w:rsid w:val="6ABF67F5"/>
    <w:rsid w:val="6AC0701C"/>
    <w:rsid w:val="6AC0A333"/>
    <w:rsid w:val="6AC441B0"/>
    <w:rsid w:val="6AC593BE"/>
    <w:rsid w:val="6ACFA27F"/>
    <w:rsid w:val="6ACFB0B7"/>
    <w:rsid w:val="6AD16C82"/>
    <w:rsid w:val="6AD1F2FD"/>
    <w:rsid w:val="6AD58315"/>
    <w:rsid w:val="6AD8AD73"/>
    <w:rsid w:val="6AD95394"/>
    <w:rsid w:val="6ADC84AD"/>
    <w:rsid w:val="6AE01039"/>
    <w:rsid w:val="6AE12E96"/>
    <w:rsid w:val="6AE35D8B"/>
    <w:rsid w:val="6AE4CC02"/>
    <w:rsid w:val="6AE541FF"/>
    <w:rsid w:val="6AE573AF"/>
    <w:rsid w:val="6AE5F25E"/>
    <w:rsid w:val="6AE6761B"/>
    <w:rsid w:val="6AEDFF88"/>
    <w:rsid w:val="6AEE9CB1"/>
    <w:rsid w:val="6AF36DA9"/>
    <w:rsid w:val="6AF6F323"/>
    <w:rsid w:val="6AFB3A98"/>
    <w:rsid w:val="6AFC1151"/>
    <w:rsid w:val="6B0035BF"/>
    <w:rsid w:val="6B01EAF7"/>
    <w:rsid w:val="6B0218E8"/>
    <w:rsid w:val="6B05A689"/>
    <w:rsid w:val="6B06911D"/>
    <w:rsid w:val="6B09E8E3"/>
    <w:rsid w:val="6B10E47D"/>
    <w:rsid w:val="6B112C4B"/>
    <w:rsid w:val="6B11EFDF"/>
    <w:rsid w:val="6B127F51"/>
    <w:rsid w:val="6B13344C"/>
    <w:rsid w:val="6B14B69D"/>
    <w:rsid w:val="6B16FFA4"/>
    <w:rsid w:val="6B1853ED"/>
    <w:rsid w:val="6B190EF5"/>
    <w:rsid w:val="6B1B2770"/>
    <w:rsid w:val="6B24720B"/>
    <w:rsid w:val="6B25DC12"/>
    <w:rsid w:val="6B26E89D"/>
    <w:rsid w:val="6B2C9BA2"/>
    <w:rsid w:val="6B322BAD"/>
    <w:rsid w:val="6B32AB3F"/>
    <w:rsid w:val="6B356348"/>
    <w:rsid w:val="6B375CA7"/>
    <w:rsid w:val="6B3A30A4"/>
    <w:rsid w:val="6B3B6CC9"/>
    <w:rsid w:val="6B463D5B"/>
    <w:rsid w:val="6B4E64E2"/>
    <w:rsid w:val="6B539974"/>
    <w:rsid w:val="6B53C6E8"/>
    <w:rsid w:val="6B54377B"/>
    <w:rsid w:val="6B56700E"/>
    <w:rsid w:val="6B56BF49"/>
    <w:rsid w:val="6B5AF979"/>
    <w:rsid w:val="6B5E4857"/>
    <w:rsid w:val="6B5FF9CD"/>
    <w:rsid w:val="6B60E963"/>
    <w:rsid w:val="6B62166F"/>
    <w:rsid w:val="6B656FF4"/>
    <w:rsid w:val="6B66734F"/>
    <w:rsid w:val="6B66BF08"/>
    <w:rsid w:val="6B6F5FF4"/>
    <w:rsid w:val="6B77EA8B"/>
    <w:rsid w:val="6B78D466"/>
    <w:rsid w:val="6B7AC33D"/>
    <w:rsid w:val="6B803260"/>
    <w:rsid w:val="6B85AE50"/>
    <w:rsid w:val="6B86A38E"/>
    <w:rsid w:val="6B888352"/>
    <w:rsid w:val="6B891F2A"/>
    <w:rsid w:val="6B96247C"/>
    <w:rsid w:val="6B9AABD9"/>
    <w:rsid w:val="6B9AAD16"/>
    <w:rsid w:val="6B9C5D8F"/>
    <w:rsid w:val="6B9D1043"/>
    <w:rsid w:val="6B9F7042"/>
    <w:rsid w:val="6BA0FF45"/>
    <w:rsid w:val="6BAB2DC9"/>
    <w:rsid w:val="6BAB870E"/>
    <w:rsid w:val="6BAF2321"/>
    <w:rsid w:val="6BB1FF97"/>
    <w:rsid w:val="6BB2ABD2"/>
    <w:rsid w:val="6BB377BC"/>
    <w:rsid w:val="6BB3D1D8"/>
    <w:rsid w:val="6BBB4E6C"/>
    <w:rsid w:val="6BBBCAFD"/>
    <w:rsid w:val="6BBCE2CC"/>
    <w:rsid w:val="6BC05E84"/>
    <w:rsid w:val="6BC09E8E"/>
    <w:rsid w:val="6BC574E7"/>
    <w:rsid w:val="6BC6CB9E"/>
    <w:rsid w:val="6BC7E788"/>
    <w:rsid w:val="6BCA3DCD"/>
    <w:rsid w:val="6BCCE70F"/>
    <w:rsid w:val="6BD193BC"/>
    <w:rsid w:val="6BD4FE4E"/>
    <w:rsid w:val="6BD9A765"/>
    <w:rsid w:val="6BDC6E50"/>
    <w:rsid w:val="6BDD2D6B"/>
    <w:rsid w:val="6BDE4264"/>
    <w:rsid w:val="6BDEEC49"/>
    <w:rsid w:val="6BE0F877"/>
    <w:rsid w:val="6BE1B925"/>
    <w:rsid w:val="6BE20DE3"/>
    <w:rsid w:val="6BE26D43"/>
    <w:rsid w:val="6BE2779C"/>
    <w:rsid w:val="6BE36835"/>
    <w:rsid w:val="6BE5B117"/>
    <w:rsid w:val="6BE6ABB5"/>
    <w:rsid w:val="6BEB0879"/>
    <w:rsid w:val="6BF3E780"/>
    <w:rsid w:val="6BF4137C"/>
    <w:rsid w:val="6BF44F6D"/>
    <w:rsid w:val="6BF5674F"/>
    <w:rsid w:val="6BF5F00F"/>
    <w:rsid w:val="6BF7E433"/>
    <w:rsid w:val="6BF869F9"/>
    <w:rsid w:val="6BFC16EC"/>
    <w:rsid w:val="6BFFEE6E"/>
    <w:rsid w:val="6C02437F"/>
    <w:rsid w:val="6C042683"/>
    <w:rsid w:val="6C04BC83"/>
    <w:rsid w:val="6C07AB66"/>
    <w:rsid w:val="6C07E354"/>
    <w:rsid w:val="6C084CE1"/>
    <w:rsid w:val="6C09ADA6"/>
    <w:rsid w:val="6C09C31C"/>
    <w:rsid w:val="6C0BCD25"/>
    <w:rsid w:val="6C0D1A3D"/>
    <w:rsid w:val="6C0FDDFC"/>
    <w:rsid w:val="6C11773A"/>
    <w:rsid w:val="6C129DC3"/>
    <w:rsid w:val="6C185F15"/>
    <w:rsid w:val="6C19F455"/>
    <w:rsid w:val="6C1A0C82"/>
    <w:rsid w:val="6C1D864F"/>
    <w:rsid w:val="6C234389"/>
    <w:rsid w:val="6C25FEF3"/>
    <w:rsid w:val="6C281B68"/>
    <w:rsid w:val="6C2AE4D8"/>
    <w:rsid w:val="6C2CBC8E"/>
    <w:rsid w:val="6C2CE6DD"/>
    <w:rsid w:val="6C2D6657"/>
    <w:rsid w:val="6C39F953"/>
    <w:rsid w:val="6C3C8B1F"/>
    <w:rsid w:val="6C435878"/>
    <w:rsid w:val="6C442223"/>
    <w:rsid w:val="6C456E20"/>
    <w:rsid w:val="6C45C7A6"/>
    <w:rsid w:val="6C474DBA"/>
    <w:rsid w:val="6C5006EC"/>
    <w:rsid w:val="6C540A46"/>
    <w:rsid w:val="6C5BE6F4"/>
    <w:rsid w:val="6C5D3001"/>
    <w:rsid w:val="6C61E70F"/>
    <w:rsid w:val="6C64348A"/>
    <w:rsid w:val="6C6863E4"/>
    <w:rsid w:val="6C6C8C8A"/>
    <w:rsid w:val="6C7414E3"/>
    <w:rsid w:val="6C786793"/>
    <w:rsid w:val="6C794C1D"/>
    <w:rsid w:val="6C7AFF02"/>
    <w:rsid w:val="6C81FD12"/>
    <w:rsid w:val="6C84CD06"/>
    <w:rsid w:val="6C8BB6DA"/>
    <w:rsid w:val="6C8D0D84"/>
    <w:rsid w:val="6C8F1E8C"/>
    <w:rsid w:val="6C92E2F0"/>
    <w:rsid w:val="6C97A438"/>
    <w:rsid w:val="6C9AC083"/>
    <w:rsid w:val="6C9DD35B"/>
    <w:rsid w:val="6C9E720B"/>
    <w:rsid w:val="6CA4A8B9"/>
    <w:rsid w:val="6CA56769"/>
    <w:rsid w:val="6CA6E20D"/>
    <w:rsid w:val="6CA9C3BA"/>
    <w:rsid w:val="6CAC3CA3"/>
    <w:rsid w:val="6CAEE51E"/>
    <w:rsid w:val="6CAFF4BF"/>
    <w:rsid w:val="6CB04D31"/>
    <w:rsid w:val="6CB067BE"/>
    <w:rsid w:val="6CB612F4"/>
    <w:rsid w:val="6CB789BF"/>
    <w:rsid w:val="6CB96B55"/>
    <w:rsid w:val="6CBB54D1"/>
    <w:rsid w:val="6CC29DFA"/>
    <w:rsid w:val="6CC5346E"/>
    <w:rsid w:val="6CC57018"/>
    <w:rsid w:val="6CCFF2ED"/>
    <w:rsid w:val="6CD19D4C"/>
    <w:rsid w:val="6CD3742A"/>
    <w:rsid w:val="6CD76237"/>
    <w:rsid w:val="6CD82119"/>
    <w:rsid w:val="6CDA31E5"/>
    <w:rsid w:val="6CDE7416"/>
    <w:rsid w:val="6CE42DB4"/>
    <w:rsid w:val="6CE4A572"/>
    <w:rsid w:val="6CEC6D61"/>
    <w:rsid w:val="6CF0292A"/>
    <w:rsid w:val="6CF0534A"/>
    <w:rsid w:val="6CF0C695"/>
    <w:rsid w:val="6CF3C0FD"/>
    <w:rsid w:val="6CF9C51B"/>
    <w:rsid w:val="6CFAE8C4"/>
    <w:rsid w:val="6CFCEC95"/>
    <w:rsid w:val="6D0495DC"/>
    <w:rsid w:val="6D05759F"/>
    <w:rsid w:val="6D0794E9"/>
    <w:rsid w:val="6D0A1621"/>
    <w:rsid w:val="6D0B62DC"/>
    <w:rsid w:val="6D0C18AA"/>
    <w:rsid w:val="6D0C96DE"/>
    <w:rsid w:val="6D0C9901"/>
    <w:rsid w:val="6D133A79"/>
    <w:rsid w:val="6D19B7E8"/>
    <w:rsid w:val="6D1AEAFE"/>
    <w:rsid w:val="6D1B6F26"/>
    <w:rsid w:val="6D1BBC27"/>
    <w:rsid w:val="6D225B42"/>
    <w:rsid w:val="6D229E86"/>
    <w:rsid w:val="6D31C8F3"/>
    <w:rsid w:val="6D32EC27"/>
    <w:rsid w:val="6D36EBFB"/>
    <w:rsid w:val="6D3E6D3B"/>
    <w:rsid w:val="6D3FD112"/>
    <w:rsid w:val="6D430496"/>
    <w:rsid w:val="6D4B0BB9"/>
    <w:rsid w:val="6D4D9CDE"/>
    <w:rsid w:val="6D4F5D9A"/>
    <w:rsid w:val="6D4FF56E"/>
    <w:rsid w:val="6D526E5B"/>
    <w:rsid w:val="6D544AED"/>
    <w:rsid w:val="6D54EE9C"/>
    <w:rsid w:val="6D54F50D"/>
    <w:rsid w:val="6D55E748"/>
    <w:rsid w:val="6D5A0FD5"/>
    <w:rsid w:val="6D62CAC7"/>
    <w:rsid w:val="6D6C7831"/>
    <w:rsid w:val="6D6EACE6"/>
    <w:rsid w:val="6D701D9F"/>
    <w:rsid w:val="6D74FA19"/>
    <w:rsid w:val="6D756A6D"/>
    <w:rsid w:val="6D762B33"/>
    <w:rsid w:val="6D7952B0"/>
    <w:rsid w:val="6D7A057E"/>
    <w:rsid w:val="6D7BDB07"/>
    <w:rsid w:val="6D7DE4B8"/>
    <w:rsid w:val="6D7F2C0C"/>
    <w:rsid w:val="6D824673"/>
    <w:rsid w:val="6D8313FB"/>
    <w:rsid w:val="6D83BC09"/>
    <w:rsid w:val="6D8467B1"/>
    <w:rsid w:val="6D86233F"/>
    <w:rsid w:val="6D8A9821"/>
    <w:rsid w:val="6D8AD918"/>
    <w:rsid w:val="6D8B6F9A"/>
    <w:rsid w:val="6D8BC70E"/>
    <w:rsid w:val="6D8C6DF3"/>
    <w:rsid w:val="6D900FF3"/>
    <w:rsid w:val="6D90B4A4"/>
    <w:rsid w:val="6D96A346"/>
    <w:rsid w:val="6D9958C7"/>
    <w:rsid w:val="6D9EF94E"/>
    <w:rsid w:val="6D9FF52A"/>
    <w:rsid w:val="6DA06614"/>
    <w:rsid w:val="6DA2C43E"/>
    <w:rsid w:val="6DA2FAB9"/>
    <w:rsid w:val="6DA4B8DA"/>
    <w:rsid w:val="6DA6264A"/>
    <w:rsid w:val="6DA77A3F"/>
    <w:rsid w:val="6DAADC9E"/>
    <w:rsid w:val="6DAEDFC7"/>
    <w:rsid w:val="6DAF8E3E"/>
    <w:rsid w:val="6DB1F5CD"/>
    <w:rsid w:val="6DB23375"/>
    <w:rsid w:val="6DB52F9F"/>
    <w:rsid w:val="6DBA2CF6"/>
    <w:rsid w:val="6DC04D6F"/>
    <w:rsid w:val="6DC108BB"/>
    <w:rsid w:val="6DC65464"/>
    <w:rsid w:val="6DC7B121"/>
    <w:rsid w:val="6DCA3DCB"/>
    <w:rsid w:val="6DCABEE9"/>
    <w:rsid w:val="6DCD3642"/>
    <w:rsid w:val="6DD29934"/>
    <w:rsid w:val="6DDEC0DD"/>
    <w:rsid w:val="6DDF1866"/>
    <w:rsid w:val="6DE0F4AA"/>
    <w:rsid w:val="6DE12075"/>
    <w:rsid w:val="6DE497B6"/>
    <w:rsid w:val="6DE66C05"/>
    <w:rsid w:val="6DEFA88B"/>
    <w:rsid w:val="6DEFB743"/>
    <w:rsid w:val="6DF001BC"/>
    <w:rsid w:val="6DF40EA6"/>
    <w:rsid w:val="6DFACA16"/>
    <w:rsid w:val="6DFD9CBA"/>
    <w:rsid w:val="6DFF1626"/>
    <w:rsid w:val="6E00025F"/>
    <w:rsid w:val="6E0262EC"/>
    <w:rsid w:val="6E03A66D"/>
    <w:rsid w:val="6E04D4E8"/>
    <w:rsid w:val="6E05C65B"/>
    <w:rsid w:val="6E087B50"/>
    <w:rsid w:val="6E0C5C74"/>
    <w:rsid w:val="6E111DA4"/>
    <w:rsid w:val="6E1685DA"/>
    <w:rsid w:val="6E181F66"/>
    <w:rsid w:val="6E195A38"/>
    <w:rsid w:val="6E19982F"/>
    <w:rsid w:val="6E1AC43B"/>
    <w:rsid w:val="6E1AF035"/>
    <w:rsid w:val="6E1CC29D"/>
    <w:rsid w:val="6E28508C"/>
    <w:rsid w:val="6E285AB1"/>
    <w:rsid w:val="6E2A1C87"/>
    <w:rsid w:val="6E2D9ED5"/>
    <w:rsid w:val="6E2DED25"/>
    <w:rsid w:val="6E2E8D6A"/>
    <w:rsid w:val="6E314E93"/>
    <w:rsid w:val="6E31B32C"/>
    <w:rsid w:val="6E3734AA"/>
    <w:rsid w:val="6E3C6CC0"/>
    <w:rsid w:val="6E3D07C6"/>
    <w:rsid w:val="6E3D30EF"/>
    <w:rsid w:val="6E43E538"/>
    <w:rsid w:val="6E44F9F1"/>
    <w:rsid w:val="6E477AC8"/>
    <w:rsid w:val="6E47CB61"/>
    <w:rsid w:val="6E4B523B"/>
    <w:rsid w:val="6E4C6492"/>
    <w:rsid w:val="6E4C7D9E"/>
    <w:rsid w:val="6E4D723F"/>
    <w:rsid w:val="6E4F6C20"/>
    <w:rsid w:val="6E5265C6"/>
    <w:rsid w:val="6E52D271"/>
    <w:rsid w:val="6E53F8D4"/>
    <w:rsid w:val="6E593963"/>
    <w:rsid w:val="6E5A3900"/>
    <w:rsid w:val="6E5EA58C"/>
    <w:rsid w:val="6E639C68"/>
    <w:rsid w:val="6E68DDAE"/>
    <w:rsid w:val="6E6D7852"/>
    <w:rsid w:val="6E704DFC"/>
    <w:rsid w:val="6E71771D"/>
    <w:rsid w:val="6E79F37F"/>
    <w:rsid w:val="6E7B48B0"/>
    <w:rsid w:val="6E7DE47B"/>
    <w:rsid w:val="6E82F2FE"/>
    <w:rsid w:val="6E844885"/>
    <w:rsid w:val="6E855786"/>
    <w:rsid w:val="6E8800E8"/>
    <w:rsid w:val="6E8997DD"/>
    <w:rsid w:val="6E8D2BD5"/>
    <w:rsid w:val="6E8DBB89"/>
    <w:rsid w:val="6E9143E5"/>
    <w:rsid w:val="6E91E513"/>
    <w:rsid w:val="6E935530"/>
    <w:rsid w:val="6E98BACB"/>
    <w:rsid w:val="6E9909CC"/>
    <w:rsid w:val="6E9A80BD"/>
    <w:rsid w:val="6E9B67CF"/>
    <w:rsid w:val="6E9D5703"/>
    <w:rsid w:val="6EA002B5"/>
    <w:rsid w:val="6EA3905F"/>
    <w:rsid w:val="6EA6F353"/>
    <w:rsid w:val="6EAB0076"/>
    <w:rsid w:val="6EAE66F3"/>
    <w:rsid w:val="6EAEEBB6"/>
    <w:rsid w:val="6EB0D068"/>
    <w:rsid w:val="6EB357F6"/>
    <w:rsid w:val="6EB96A96"/>
    <w:rsid w:val="6EBAA747"/>
    <w:rsid w:val="6EBD90D9"/>
    <w:rsid w:val="6EC11B3B"/>
    <w:rsid w:val="6EC52C35"/>
    <w:rsid w:val="6EC6E575"/>
    <w:rsid w:val="6EC87641"/>
    <w:rsid w:val="6ECB45A3"/>
    <w:rsid w:val="6ECBEE2E"/>
    <w:rsid w:val="6ED455BF"/>
    <w:rsid w:val="6ED96C04"/>
    <w:rsid w:val="6EDA0CF9"/>
    <w:rsid w:val="6EDA81E0"/>
    <w:rsid w:val="6EDDA233"/>
    <w:rsid w:val="6EE1EAFF"/>
    <w:rsid w:val="6EE5BF5E"/>
    <w:rsid w:val="6EE76B91"/>
    <w:rsid w:val="6EEA2D39"/>
    <w:rsid w:val="6EEF5C42"/>
    <w:rsid w:val="6EF15076"/>
    <w:rsid w:val="6EF6FBD9"/>
    <w:rsid w:val="6EFB5284"/>
    <w:rsid w:val="6EFBECDF"/>
    <w:rsid w:val="6EFC32B0"/>
    <w:rsid w:val="6EFD8EA9"/>
    <w:rsid w:val="6EFFC6EE"/>
    <w:rsid w:val="6F06CA71"/>
    <w:rsid w:val="6F074371"/>
    <w:rsid w:val="6F0D9B99"/>
    <w:rsid w:val="6F117FBD"/>
    <w:rsid w:val="6F143189"/>
    <w:rsid w:val="6F15D19A"/>
    <w:rsid w:val="6F178DF9"/>
    <w:rsid w:val="6F1ACBCF"/>
    <w:rsid w:val="6F1F08DD"/>
    <w:rsid w:val="6F1F2739"/>
    <w:rsid w:val="6F1FBA51"/>
    <w:rsid w:val="6F21FFA0"/>
    <w:rsid w:val="6F238F0F"/>
    <w:rsid w:val="6F24CD60"/>
    <w:rsid w:val="6F2584BF"/>
    <w:rsid w:val="6F297310"/>
    <w:rsid w:val="6F30308F"/>
    <w:rsid w:val="6F305E39"/>
    <w:rsid w:val="6F332355"/>
    <w:rsid w:val="6F353941"/>
    <w:rsid w:val="6F378012"/>
    <w:rsid w:val="6F39F922"/>
    <w:rsid w:val="6F41010F"/>
    <w:rsid w:val="6F418346"/>
    <w:rsid w:val="6F43786B"/>
    <w:rsid w:val="6F444E85"/>
    <w:rsid w:val="6F47D976"/>
    <w:rsid w:val="6F4B4307"/>
    <w:rsid w:val="6F4FDB7A"/>
    <w:rsid w:val="6F5076D0"/>
    <w:rsid w:val="6F5333A7"/>
    <w:rsid w:val="6F5938C6"/>
    <w:rsid w:val="6F59EE80"/>
    <w:rsid w:val="6F5DB766"/>
    <w:rsid w:val="6F605C74"/>
    <w:rsid w:val="6F607517"/>
    <w:rsid w:val="6F6224C5"/>
    <w:rsid w:val="6F6230EF"/>
    <w:rsid w:val="6F623C27"/>
    <w:rsid w:val="6F6257C0"/>
    <w:rsid w:val="6F633B34"/>
    <w:rsid w:val="6F648723"/>
    <w:rsid w:val="6F688BC0"/>
    <w:rsid w:val="6F699622"/>
    <w:rsid w:val="6F6BDC9B"/>
    <w:rsid w:val="6F6E2420"/>
    <w:rsid w:val="6F743A6B"/>
    <w:rsid w:val="6F7F1873"/>
    <w:rsid w:val="6F81239C"/>
    <w:rsid w:val="6F814CFB"/>
    <w:rsid w:val="6F8187DC"/>
    <w:rsid w:val="6F82FF28"/>
    <w:rsid w:val="6F839878"/>
    <w:rsid w:val="6F84C8B9"/>
    <w:rsid w:val="6F8BF903"/>
    <w:rsid w:val="6F8E17E3"/>
    <w:rsid w:val="6F8FAB7A"/>
    <w:rsid w:val="6F90B231"/>
    <w:rsid w:val="6F9AEDB5"/>
    <w:rsid w:val="6F9D330C"/>
    <w:rsid w:val="6F9D6EB6"/>
    <w:rsid w:val="6F9F6C79"/>
    <w:rsid w:val="6FA954DB"/>
    <w:rsid w:val="6FABBEF8"/>
    <w:rsid w:val="6FB2525B"/>
    <w:rsid w:val="6FB2DFF4"/>
    <w:rsid w:val="6FB9E447"/>
    <w:rsid w:val="6FBA1F5D"/>
    <w:rsid w:val="6FBA5778"/>
    <w:rsid w:val="6FBABB3E"/>
    <w:rsid w:val="6FBAF1FE"/>
    <w:rsid w:val="6FBC8F19"/>
    <w:rsid w:val="6FC38C2C"/>
    <w:rsid w:val="6FC45897"/>
    <w:rsid w:val="6FC8B986"/>
    <w:rsid w:val="6FCE8DF3"/>
    <w:rsid w:val="6FD2FA0C"/>
    <w:rsid w:val="6FDBEEA0"/>
    <w:rsid w:val="6FDD9F6C"/>
    <w:rsid w:val="6FDF8A81"/>
    <w:rsid w:val="6FE04000"/>
    <w:rsid w:val="6FE2605F"/>
    <w:rsid w:val="6FE476AD"/>
    <w:rsid w:val="6FE5DE90"/>
    <w:rsid w:val="6FE779B1"/>
    <w:rsid w:val="6FE7982A"/>
    <w:rsid w:val="6FEBA189"/>
    <w:rsid w:val="6FEF31C1"/>
    <w:rsid w:val="6FF32FE6"/>
    <w:rsid w:val="6FF4B14A"/>
    <w:rsid w:val="6FF59B2D"/>
    <w:rsid w:val="6FF71A9C"/>
    <w:rsid w:val="6FF9768F"/>
    <w:rsid w:val="6FF9E022"/>
    <w:rsid w:val="6FFEA9C8"/>
    <w:rsid w:val="7001C6A0"/>
    <w:rsid w:val="70036144"/>
    <w:rsid w:val="700369CE"/>
    <w:rsid w:val="700459E7"/>
    <w:rsid w:val="70062756"/>
    <w:rsid w:val="700A1F9F"/>
    <w:rsid w:val="700ADFBD"/>
    <w:rsid w:val="700B83AD"/>
    <w:rsid w:val="700BD9CF"/>
    <w:rsid w:val="700C6C81"/>
    <w:rsid w:val="700FF793"/>
    <w:rsid w:val="701042F9"/>
    <w:rsid w:val="70108015"/>
    <w:rsid w:val="7010AFA8"/>
    <w:rsid w:val="70167CE1"/>
    <w:rsid w:val="701A86E9"/>
    <w:rsid w:val="7022E51E"/>
    <w:rsid w:val="702926BA"/>
    <w:rsid w:val="702BC4D1"/>
    <w:rsid w:val="702C907D"/>
    <w:rsid w:val="702E420C"/>
    <w:rsid w:val="7033A0FC"/>
    <w:rsid w:val="7034A02E"/>
    <w:rsid w:val="7034DC1C"/>
    <w:rsid w:val="7034F3AE"/>
    <w:rsid w:val="7034F991"/>
    <w:rsid w:val="7036398B"/>
    <w:rsid w:val="703B7BD6"/>
    <w:rsid w:val="703F11C5"/>
    <w:rsid w:val="70437F4E"/>
    <w:rsid w:val="704430E7"/>
    <w:rsid w:val="70519799"/>
    <w:rsid w:val="7054C02E"/>
    <w:rsid w:val="70574324"/>
    <w:rsid w:val="705835CF"/>
    <w:rsid w:val="705E1B2A"/>
    <w:rsid w:val="705F1A54"/>
    <w:rsid w:val="7062A19D"/>
    <w:rsid w:val="7063EE74"/>
    <w:rsid w:val="706920B4"/>
    <w:rsid w:val="706D6CB5"/>
    <w:rsid w:val="706D82E0"/>
    <w:rsid w:val="706E1A8E"/>
    <w:rsid w:val="7070085D"/>
    <w:rsid w:val="70708D81"/>
    <w:rsid w:val="7072329B"/>
    <w:rsid w:val="7073C74F"/>
    <w:rsid w:val="7074DBBC"/>
    <w:rsid w:val="707AB538"/>
    <w:rsid w:val="707CC579"/>
    <w:rsid w:val="707D3A9C"/>
    <w:rsid w:val="707DBB60"/>
    <w:rsid w:val="708029A8"/>
    <w:rsid w:val="7081BE40"/>
    <w:rsid w:val="70820DEB"/>
    <w:rsid w:val="70839839"/>
    <w:rsid w:val="70866696"/>
    <w:rsid w:val="7089226A"/>
    <w:rsid w:val="708B3CEF"/>
    <w:rsid w:val="708C9AB0"/>
    <w:rsid w:val="708FCB18"/>
    <w:rsid w:val="7091009F"/>
    <w:rsid w:val="70922DF2"/>
    <w:rsid w:val="70927BD4"/>
    <w:rsid w:val="7092DD6A"/>
    <w:rsid w:val="709383A0"/>
    <w:rsid w:val="70961B5D"/>
    <w:rsid w:val="70965BAD"/>
    <w:rsid w:val="709BA91A"/>
    <w:rsid w:val="70A2EE31"/>
    <w:rsid w:val="70A36883"/>
    <w:rsid w:val="70A42133"/>
    <w:rsid w:val="70A9F5CC"/>
    <w:rsid w:val="70AA5D97"/>
    <w:rsid w:val="70AC26FA"/>
    <w:rsid w:val="70AF2D09"/>
    <w:rsid w:val="70B2DE09"/>
    <w:rsid w:val="70B35DEB"/>
    <w:rsid w:val="70B64228"/>
    <w:rsid w:val="70B703C2"/>
    <w:rsid w:val="70B89D08"/>
    <w:rsid w:val="70B90A18"/>
    <w:rsid w:val="70BB82C1"/>
    <w:rsid w:val="70BF727D"/>
    <w:rsid w:val="70C124F0"/>
    <w:rsid w:val="70C21D7B"/>
    <w:rsid w:val="70C2DF5A"/>
    <w:rsid w:val="70C388EF"/>
    <w:rsid w:val="70C3CD72"/>
    <w:rsid w:val="70C6968D"/>
    <w:rsid w:val="70C8B217"/>
    <w:rsid w:val="70CB2D1D"/>
    <w:rsid w:val="70D1A71C"/>
    <w:rsid w:val="70D73B92"/>
    <w:rsid w:val="70D90984"/>
    <w:rsid w:val="70E36083"/>
    <w:rsid w:val="70E76783"/>
    <w:rsid w:val="70EBAFEB"/>
    <w:rsid w:val="70EE5B0D"/>
    <w:rsid w:val="70F806F2"/>
    <w:rsid w:val="70F8FDF7"/>
    <w:rsid w:val="70FCEF77"/>
    <w:rsid w:val="70FDF526"/>
    <w:rsid w:val="70FEEC32"/>
    <w:rsid w:val="71009B17"/>
    <w:rsid w:val="71019200"/>
    <w:rsid w:val="7106E0F1"/>
    <w:rsid w:val="710711C6"/>
    <w:rsid w:val="71079576"/>
    <w:rsid w:val="7107DC0D"/>
    <w:rsid w:val="710E2C92"/>
    <w:rsid w:val="71101EC6"/>
    <w:rsid w:val="711B7F64"/>
    <w:rsid w:val="711BAC5E"/>
    <w:rsid w:val="711CE734"/>
    <w:rsid w:val="711D4AB0"/>
    <w:rsid w:val="711FE322"/>
    <w:rsid w:val="71205E41"/>
    <w:rsid w:val="7123F72E"/>
    <w:rsid w:val="71249107"/>
    <w:rsid w:val="7124981A"/>
    <w:rsid w:val="7126A10A"/>
    <w:rsid w:val="712804AD"/>
    <w:rsid w:val="712E7BCB"/>
    <w:rsid w:val="71306CD1"/>
    <w:rsid w:val="713370CF"/>
    <w:rsid w:val="7133EF0A"/>
    <w:rsid w:val="71345081"/>
    <w:rsid w:val="7136A2E7"/>
    <w:rsid w:val="7138DF51"/>
    <w:rsid w:val="713EB270"/>
    <w:rsid w:val="713EC834"/>
    <w:rsid w:val="7142B8AA"/>
    <w:rsid w:val="71431F10"/>
    <w:rsid w:val="714444CB"/>
    <w:rsid w:val="71473B25"/>
    <w:rsid w:val="7147BBA4"/>
    <w:rsid w:val="714D79DE"/>
    <w:rsid w:val="714F0468"/>
    <w:rsid w:val="71593EA4"/>
    <w:rsid w:val="7159D9D6"/>
    <w:rsid w:val="715E3F73"/>
    <w:rsid w:val="716189B7"/>
    <w:rsid w:val="716A04FB"/>
    <w:rsid w:val="716F0CA3"/>
    <w:rsid w:val="7170C0E5"/>
    <w:rsid w:val="717645B5"/>
    <w:rsid w:val="7177BEEF"/>
    <w:rsid w:val="717870FC"/>
    <w:rsid w:val="717B0BC7"/>
    <w:rsid w:val="71805A2E"/>
    <w:rsid w:val="71829FD8"/>
    <w:rsid w:val="71836311"/>
    <w:rsid w:val="71883F32"/>
    <w:rsid w:val="718AAA2B"/>
    <w:rsid w:val="718AE52D"/>
    <w:rsid w:val="718C1D92"/>
    <w:rsid w:val="719550F0"/>
    <w:rsid w:val="71958160"/>
    <w:rsid w:val="719618D8"/>
    <w:rsid w:val="719B4D1D"/>
    <w:rsid w:val="719BD5B1"/>
    <w:rsid w:val="71A02216"/>
    <w:rsid w:val="71A78D45"/>
    <w:rsid w:val="71A8E4AC"/>
    <w:rsid w:val="71AAE3A0"/>
    <w:rsid w:val="71AC4E0C"/>
    <w:rsid w:val="71AE3C41"/>
    <w:rsid w:val="71B24202"/>
    <w:rsid w:val="71B39830"/>
    <w:rsid w:val="71B43B92"/>
    <w:rsid w:val="71B79135"/>
    <w:rsid w:val="71B7B089"/>
    <w:rsid w:val="71BE3C4E"/>
    <w:rsid w:val="71C209F8"/>
    <w:rsid w:val="71C34B8E"/>
    <w:rsid w:val="71C7BF0C"/>
    <w:rsid w:val="71C7C60F"/>
    <w:rsid w:val="71C9C112"/>
    <w:rsid w:val="71CF1AB2"/>
    <w:rsid w:val="71D50AAB"/>
    <w:rsid w:val="71D730A8"/>
    <w:rsid w:val="71D97087"/>
    <w:rsid w:val="71DAB466"/>
    <w:rsid w:val="71DE3DCE"/>
    <w:rsid w:val="71DE69CD"/>
    <w:rsid w:val="71E0FEB9"/>
    <w:rsid w:val="71E1988F"/>
    <w:rsid w:val="71E1D8CA"/>
    <w:rsid w:val="71E220F6"/>
    <w:rsid w:val="71E38138"/>
    <w:rsid w:val="71E3EA3A"/>
    <w:rsid w:val="71E77C31"/>
    <w:rsid w:val="71E81746"/>
    <w:rsid w:val="71EEFCEF"/>
    <w:rsid w:val="71F37413"/>
    <w:rsid w:val="71F3D282"/>
    <w:rsid w:val="71FB5F79"/>
    <w:rsid w:val="71FC2B99"/>
    <w:rsid w:val="7207655C"/>
    <w:rsid w:val="72079381"/>
    <w:rsid w:val="7207E5CD"/>
    <w:rsid w:val="720A5EE9"/>
    <w:rsid w:val="720D6955"/>
    <w:rsid w:val="720D9334"/>
    <w:rsid w:val="720F9B4C"/>
    <w:rsid w:val="7210A9D2"/>
    <w:rsid w:val="72129422"/>
    <w:rsid w:val="7215376C"/>
    <w:rsid w:val="721E8E5D"/>
    <w:rsid w:val="721ED26B"/>
    <w:rsid w:val="722CC4B3"/>
    <w:rsid w:val="722FA008"/>
    <w:rsid w:val="7237DB6C"/>
    <w:rsid w:val="723988EB"/>
    <w:rsid w:val="723D0272"/>
    <w:rsid w:val="724675D2"/>
    <w:rsid w:val="724718C6"/>
    <w:rsid w:val="7247A466"/>
    <w:rsid w:val="7250C441"/>
    <w:rsid w:val="7252EAF0"/>
    <w:rsid w:val="7259AEDB"/>
    <w:rsid w:val="725B0D41"/>
    <w:rsid w:val="725B3C62"/>
    <w:rsid w:val="725C8F42"/>
    <w:rsid w:val="725D616F"/>
    <w:rsid w:val="725FF95E"/>
    <w:rsid w:val="726245D4"/>
    <w:rsid w:val="726250DF"/>
    <w:rsid w:val="7262A7F9"/>
    <w:rsid w:val="726425C7"/>
    <w:rsid w:val="7264BEC3"/>
    <w:rsid w:val="7267607F"/>
    <w:rsid w:val="7268F6B7"/>
    <w:rsid w:val="726A0C87"/>
    <w:rsid w:val="726C38A2"/>
    <w:rsid w:val="726D700A"/>
    <w:rsid w:val="726EBC0D"/>
    <w:rsid w:val="7270B88A"/>
    <w:rsid w:val="7271A1F2"/>
    <w:rsid w:val="7273E5E9"/>
    <w:rsid w:val="7280482F"/>
    <w:rsid w:val="7280D9D0"/>
    <w:rsid w:val="72821079"/>
    <w:rsid w:val="72897427"/>
    <w:rsid w:val="728C4B96"/>
    <w:rsid w:val="728FF1C7"/>
    <w:rsid w:val="7290C6DC"/>
    <w:rsid w:val="7291A984"/>
    <w:rsid w:val="7291D780"/>
    <w:rsid w:val="7298411A"/>
    <w:rsid w:val="72997E3D"/>
    <w:rsid w:val="729CE29E"/>
    <w:rsid w:val="729EDAA3"/>
    <w:rsid w:val="72A03A01"/>
    <w:rsid w:val="72A1C514"/>
    <w:rsid w:val="72A3B7DC"/>
    <w:rsid w:val="72A42F20"/>
    <w:rsid w:val="72A85503"/>
    <w:rsid w:val="72A892FD"/>
    <w:rsid w:val="72A9DFE5"/>
    <w:rsid w:val="72AAF0DE"/>
    <w:rsid w:val="72AE3B3D"/>
    <w:rsid w:val="72AEBC3D"/>
    <w:rsid w:val="72B7BAE8"/>
    <w:rsid w:val="72BA17A7"/>
    <w:rsid w:val="72BF19D7"/>
    <w:rsid w:val="72C61186"/>
    <w:rsid w:val="72C63AB1"/>
    <w:rsid w:val="72CA9E7F"/>
    <w:rsid w:val="72CC0F14"/>
    <w:rsid w:val="72CC4720"/>
    <w:rsid w:val="72CD2156"/>
    <w:rsid w:val="72CF0070"/>
    <w:rsid w:val="72D19797"/>
    <w:rsid w:val="72D2174D"/>
    <w:rsid w:val="72D510E0"/>
    <w:rsid w:val="72D846AF"/>
    <w:rsid w:val="72DCD51E"/>
    <w:rsid w:val="72E0F04F"/>
    <w:rsid w:val="72E1DFF7"/>
    <w:rsid w:val="72E5CF0D"/>
    <w:rsid w:val="72E6FB00"/>
    <w:rsid w:val="72E7A8F1"/>
    <w:rsid w:val="72EAF0AB"/>
    <w:rsid w:val="72EF0290"/>
    <w:rsid w:val="72EF4206"/>
    <w:rsid w:val="72F2E00C"/>
    <w:rsid w:val="72F35A11"/>
    <w:rsid w:val="72F7FF78"/>
    <w:rsid w:val="72FBEBAD"/>
    <w:rsid w:val="72FD49B5"/>
    <w:rsid w:val="72FDC7C5"/>
    <w:rsid w:val="72FF4762"/>
    <w:rsid w:val="73057C82"/>
    <w:rsid w:val="7306CCFB"/>
    <w:rsid w:val="7307A3DE"/>
    <w:rsid w:val="7309674B"/>
    <w:rsid w:val="730A6418"/>
    <w:rsid w:val="730B57B0"/>
    <w:rsid w:val="730CDB6C"/>
    <w:rsid w:val="730EF616"/>
    <w:rsid w:val="730FE2E8"/>
    <w:rsid w:val="7312695D"/>
    <w:rsid w:val="73130D8C"/>
    <w:rsid w:val="73172F1D"/>
    <w:rsid w:val="73174B67"/>
    <w:rsid w:val="7319FAEA"/>
    <w:rsid w:val="731E86DA"/>
    <w:rsid w:val="731FF845"/>
    <w:rsid w:val="7328CE9B"/>
    <w:rsid w:val="73321656"/>
    <w:rsid w:val="73347016"/>
    <w:rsid w:val="73370883"/>
    <w:rsid w:val="7339F8D8"/>
    <w:rsid w:val="733B66FE"/>
    <w:rsid w:val="733C93A5"/>
    <w:rsid w:val="733E6929"/>
    <w:rsid w:val="734205CF"/>
    <w:rsid w:val="734612CC"/>
    <w:rsid w:val="734677CA"/>
    <w:rsid w:val="73483BAF"/>
    <w:rsid w:val="73493A9C"/>
    <w:rsid w:val="734DA49F"/>
    <w:rsid w:val="7350E736"/>
    <w:rsid w:val="73542538"/>
    <w:rsid w:val="7355A4E0"/>
    <w:rsid w:val="73588461"/>
    <w:rsid w:val="735D321E"/>
    <w:rsid w:val="735E2485"/>
    <w:rsid w:val="735E5C31"/>
    <w:rsid w:val="7360033F"/>
    <w:rsid w:val="7361667A"/>
    <w:rsid w:val="7364C286"/>
    <w:rsid w:val="7366C653"/>
    <w:rsid w:val="7366D346"/>
    <w:rsid w:val="73673823"/>
    <w:rsid w:val="736767C4"/>
    <w:rsid w:val="736B289B"/>
    <w:rsid w:val="736C11CF"/>
    <w:rsid w:val="73716DE5"/>
    <w:rsid w:val="7374677A"/>
    <w:rsid w:val="7374CDC0"/>
    <w:rsid w:val="7374ED27"/>
    <w:rsid w:val="7379052A"/>
    <w:rsid w:val="73797091"/>
    <w:rsid w:val="737B5A2E"/>
    <w:rsid w:val="737D7100"/>
    <w:rsid w:val="73812B6E"/>
    <w:rsid w:val="7381FC77"/>
    <w:rsid w:val="7385B45F"/>
    <w:rsid w:val="73892E2C"/>
    <w:rsid w:val="73893272"/>
    <w:rsid w:val="738DE0F3"/>
    <w:rsid w:val="738F05E6"/>
    <w:rsid w:val="738F8F92"/>
    <w:rsid w:val="738FBBA5"/>
    <w:rsid w:val="739200B8"/>
    <w:rsid w:val="7392D7D3"/>
    <w:rsid w:val="739482A5"/>
    <w:rsid w:val="7394850C"/>
    <w:rsid w:val="739591C5"/>
    <w:rsid w:val="7399D48D"/>
    <w:rsid w:val="739D4CA1"/>
    <w:rsid w:val="739E796E"/>
    <w:rsid w:val="73A13661"/>
    <w:rsid w:val="73A297C6"/>
    <w:rsid w:val="73A3707A"/>
    <w:rsid w:val="73A4AD30"/>
    <w:rsid w:val="73A68CE9"/>
    <w:rsid w:val="73A6EF68"/>
    <w:rsid w:val="73A76628"/>
    <w:rsid w:val="73AA2CE3"/>
    <w:rsid w:val="73AB1782"/>
    <w:rsid w:val="73AC91DD"/>
    <w:rsid w:val="73AF63CC"/>
    <w:rsid w:val="73B05ABF"/>
    <w:rsid w:val="73B12971"/>
    <w:rsid w:val="73B61A7C"/>
    <w:rsid w:val="73B8B526"/>
    <w:rsid w:val="73BB95D9"/>
    <w:rsid w:val="73BC7A8D"/>
    <w:rsid w:val="73BDD5CB"/>
    <w:rsid w:val="73BEEA4B"/>
    <w:rsid w:val="73C297DC"/>
    <w:rsid w:val="73D29289"/>
    <w:rsid w:val="73D3CE2E"/>
    <w:rsid w:val="73D5ACF2"/>
    <w:rsid w:val="73D88CB2"/>
    <w:rsid w:val="73DBEDDC"/>
    <w:rsid w:val="73DE8B94"/>
    <w:rsid w:val="73E00D33"/>
    <w:rsid w:val="73E22DA1"/>
    <w:rsid w:val="73E39151"/>
    <w:rsid w:val="73E40713"/>
    <w:rsid w:val="73E47B7E"/>
    <w:rsid w:val="73E7E1D5"/>
    <w:rsid w:val="73E83F87"/>
    <w:rsid w:val="73E8A64B"/>
    <w:rsid w:val="73EA07D2"/>
    <w:rsid w:val="73F19716"/>
    <w:rsid w:val="73F1ED17"/>
    <w:rsid w:val="73F3F6BB"/>
    <w:rsid w:val="73F5160E"/>
    <w:rsid w:val="73F5928E"/>
    <w:rsid w:val="73F5E767"/>
    <w:rsid w:val="73F81961"/>
    <w:rsid w:val="73FA6916"/>
    <w:rsid w:val="73FAE1C9"/>
    <w:rsid w:val="73FAED98"/>
    <w:rsid w:val="73FC4943"/>
    <w:rsid w:val="73FE1607"/>
    <w:rsid w:val="73FF0178"/>
    <w:rsid w:val="73FFD6E8"/>
    <w:rsid w:val="74003593"/>
    <w:rsid w:val="7402E307"/>
    <w:rsid w:val="74059030"/>
    <w:rsid w:val="7406289B"/>
    <w:rsid w:val="74089E93"/>
    <w:rsid w:val="740C713D"/>
    <w:rsid w:val="740D6375"/>
    <w:rsid w:val="740E4163"/>
    <w:rsid w:val="741127A0"/>
    <w:rsid w:val="74113B97"/>
    <w:rsid w:val="7411779D"/>
    <w:rsid w:val="741FF7FD"/>
    <w:rsid w:val="7425063A"/>
    <w:rsid w:val="74256FA0"/>
    <w:rsid w:val="74261A2C"/>
    <w:rsid w:val="742A3A15"/>
    <w:rsid w:val="742CCE6E"/>
    <w:rsid w:val="742FF97C"/>
    <w:rsid w:val="74304A7A"/>
    <w:rsid w:val="743268C2"/>
    <w:rsid w:val="74335831"/>
    <w:rsid w:val="743A04F5"/>
    <w:rsid w:val="743C81AF"/>
    <w:rsid w:val="743DBACC"/>
    <w:rsid w:val="743DE579"/>
    <w:rsid w:val="74400116"/>
    <w:rsid w:val="7446C8AF"/>
    <w:rsid w:val="74491279"/>
    <w:rsid w:val="7449E02F"/>
    <w:rsid w:val="744C5C73"/>
    <w:rsid w:val="7453B69D"/>
    <w:rsid w:val="7453EFA6"/>
    <w:rsid w:val="745531AB"/>
    <w:rsid w:val="74586C8E"/>
    <w:rsid w:val="745AF5E1"/>
    <w:rsid w:val="74605A16"/>
    <w:rsid w:val="74684D23"/>
    <w:rsid w:val="746C0981"/>
    <w:rsid w:val="746CF1B5"/>
    <w:rsid w:val="746F2885"/>
    <w:rsid w:val="7471177C"/>
    <w:rsid w:val="747332A0"/>
    <w:rsid w:val="74745459"/>
    <w:rsid w:val="74746C5F"/>
    <w:rsid w:val="74755E9D"/>
    <w:rsid w:val="7475FD80"/>
    <w:rsid w:val="7478C077"/>
    <w:rsid w:val="747A3DC6"/>
    <w:rsid w:val="7483597A"/>
    <w:rsid w:val="748399C4"/>
    <w:rsid w:val="7484016A"/>
    <w:rsid w:val="748444BA"/>
    <w:rsid w:val="74859CE3"/>
    <w:rsid w:val="74959F62"/>
    <w:rsid w:val="749AD492"/>
    <w:rsid w:val="749F9270"/>
    <w:rsid w:val="74A3813C"/>
    <w:rsid w:val="74A52D3F"/>
    <w:rsid w:val="74A5E06A"/>
    <w:rsid w:val="74B70B97"/>
    <w:rsid w:val="74BA22BA"/>
    <w:rsid w:val="74BA934C"/>
    <w:rsid w:val="74BCFA72"/>
    <w:rsid w:val="74C15B28"/>
    <w:rsid w:val="74C32503"/>
    <w:rsid w:val="74C5B869"/>
    <w:rsid w:val="74C70DEB"/>
    <w:rsid w:val="74CBCB24"/>
    <w:rsid w:val="74CD47FB"/>
    <w:rsid w:val="74CFE06B"/>
    <w:rsid w:val="74D0F729"/>
    <w:rsid w:val="74D5ECC0"/>
    <w:rsid w:val="74D96875"/>
    <w:rsid w:val="74D98AE0"/>
    <w:rsid w:val="74DB2768"/>
    <w:rsid w:val="74DC7C08"/>
    <w:rsid w:val="74DCDA32"/>
    <w:rsid w:val="74DD0D03"/>
    <w:rsid w:val="74E0C824"/>
    <w:rsid w:val="74E0FA71"/>
    <w:rsid w:val="74E71A6B"/>
    <w:rsid w:val="74E8672D"/>
    <w:rsid w:val="74EA7567"/>
    <w:rsid w:val="74ED24C8"/>
    <w:rsid w:val="74EE1958"/>
    <w:rsid w:val="74F137D7"/>
    <w:rsid w:val="74F1FD4B"/>
    <w:rsid w:val="74F52DAE"/>
    <w:rsid w:val="74F54CC0"/>
    <w:rsid w:val="74F630D7"/>
    <w:rsid w:val="74F68E31"/>
    <w:rsid w:val="74F7AE22"/>
    <w:rsid w:val="74F7D3D9"/>
    <w:rsid w:val="74F8A319"/>
    <w:rsid w:val="74F8E7F4"/>
    <w:rsid w:val="74F8FF0A"/>
    <w:rsid w:val="74FA2985"/>
    <w:rsid w:val="74FA74B4"/>
    <w:rsid w:val="74FF8A3B"/>
    <w:rsid w:val="7502FF74"/>
    <w:rsid w:val="75041EF5"/>
    <w:rsid w:val="7507D4EF"/>
    <w:rsid w:val="750C3F53"/>
    <w:rsid w:val="750C5B80"/>
    <w:rsid w:val="751052A9"/>
    <w:rsid w:val="7513DB63"/>
    <w:rsid w:val="7517A994"/>
    <w:rsid w:val="751B9BD1"/>
    <w:rsid w:val="751BA60D"/>
    <w:rsid w:val="751D8E72"/>
    <w:rsid w:val="7523C0C7"/>
    <w:rsid w:val="752760E7"/>
    <w:rsid w:val="75291104"/>
    <w:rsid w:val="752B47F0"/>
    <w:rsid w:val="752C87BD"/>
    <w:rsid w:val="7530F369"/>
    <w:rsid w:val="7534271B"/>
    <w:rsid w:val="75350414"/>
    <w:rsid w:val="75360AD7"/>
    <w:rsid w:val="7543137F"/>
    <w:rsid w:val="754420A9"/>
    <w:rsid w:val="75449B56"/>
    <w:rsid w:val="7544D25D"/>
    <w:rsid w:val="754B0F1B"/>
    <w:rsid w:val="75533194"/>
    <w:rsid w:val="75534AAD"/>
    <w:rsid w:val="7555C4A9"/>
    <w:rsid w:val="7558E738"/>
    <w:rsid w:val="755EA3EF"/>
    <w:rsid w:val="7560AE2A"/>
    <w:rsid w:val="7561F300"/>
    <w:rsid w:val="7562277F"/>
    <w:rsid w:val="756DAF0C"/>
    <w:rsid w:val="756DD982"/>
    <w:rsid w:val="7570C148"/>
    <w:rsid w:val="7571341C"/>
    <w:rsid w:val="7571DE51"/>
    <w:rsid w:val="75754793"/>
    <w:rsid w:val="7577AD46"/>
    <w:rsid w:val="7577F39E"/>
    <w:rsid w:val="7579C48D"/>
    <w:rsid w:val="75804521"/>
    <w:rsid w:val="7586ED26"/>
    <w:rsid w:val="75890133"/>
    <w:rsid w:val="758AF597"/>
    <w:rsid w:val="758D0387"/>
    <w:rsid w:val="7593B73C"/>
    <w:rsid w:val="7597A1C8"/>
    <w:rsid w:val="7598E210"/>
    <w:rsid w:val="759B36F4"/>
    <w:rsid w:val="759E19B3"/>
    <w:rsid w:val="759F2462"/>
    <w:rsid w:val="759F4367"/>
    <w:rsid w:val="75A0556A"/>
    <w:rsid w:val="75AE649D"/>
    <w:rsid w:val="75B2EB77"/>
    <w:rsid w:val="75B44E8C"/>
    <w:rsid w:val="75B9AE78"/>
    <w:rsid w:val="75BAE24C"/>
    <w:rsid w:val="75BF6819"/>
    <w:rsid w:val="75BFD903"/>
    <w:rsid w:val="75C0DBCC"/>
    <w:rsid w:val="75C2CF0A"/>
    <w:rsid w:val="75C7A6A5"/>
    <w:rsid w:val="75CA1A80"/>
    <w:rsid w:val="75CAAA5F"/>
    <w:rsid w:val="75CB8224"/>
    <w:rsid w:val="75CC954F"/>
    <w:rsid w:val="75CDFECE"/>
    <w:rsid w:val="75CE911A"/>
    <w:rsid w:val="75D1D24D"/>
    <w:rsid w:val="75D2ADFA"/>
    <w:rsid w:val="75D395D1"/>
    <w:rsid w:val="75D5F6EC"/>
    <w:rsid w:val="75D9185A"/>
    <w:rsid w:val="75DC74EF"/>
    <w:rsid w:val="75E23902"/>
    <w:rsid w:val="75E4CC81"/>
    <w:rsid w:val="75EA8A70"/>
    <w:rsid w:val="75EB1AA1"/>
    <w:rsid w:val="75EEFE8A"/>
    <w:rsid w:val="75F2D9FC"/>
    <w:rsid w:val="75F39681"/>
    <w:rsid w:val="75F4EBB6"/>
    <w:rsid w:val="75F74CE8"/>
    <w:rsid w:val="75FBC97D"/>
    <w:rsid w:val="7600E0D9"/>
    <w:rsid w:val="7600E9B2"/>
    <w:rsid w:val="760557D1"/>
    <w:rsid w:val="760A1517"/>
    <w:rsid w:val="760B2F30"/>
    <w:rsid w:val="761D960A"/>
    <w:rsid w:val="761E41AE"/>
    <w:rsid w:val="761F7D2C"/>
    <w:rsid w:val="761FA7BC"/>
    <w:rsid w:val="76211A54"/>
    <w:rsid w:val="76237634"/>
    <w:rsid w:val="7626F020"/>
    <w:rsid w:val="762D88AF"/>
    <w:rsid w:val="762EA8A9"/>
    <w:rsid w:val="76315A3D"/>
    <w:rsid w:val="7633F7E4"/>
    <w:rsid w:val="7634FD6D"/>
    <w:rsid w:val="7636904D"/>
    <w:rsid w:val="7637B877"/>
    <w:rsid w:val="7637CF49"/>
    <w:rsid w:val="7638DB11"/>
    <w:rsid w:val="763DE384"/>
    <w:rsid w:val="763E7EE1"/>
    <w:rsid w:val="763FBD5A"/>
    <w:rsid w:val="76403691"/>
    <w:rsid w:val="764072DC"/>
    <w:rsid w:val="76426B07"/>
    <w:rsid w:val="7643A21F"/>
    <w:rsid w:val="7644CAA4"/>
    <w:rsid w:val="765C0654"/>
    <w:rsid w:val="7661293D"/>
    <w:rsid w:val="7663B3D0"/>
    <w:rsid w:val="76644D24"/>
    <w:rsid w:val="7667D572"/>
    <w:rsid w:val="7668512E"/>
    <w:rsid w:val="7668FC9E"/>
    <w:rsid w:val="7669FF72"/>
    <w:rsid w:val="7670A010"/>
    <w:rsid w:val="76740D13"/>
    <w:rsid w:val="76752EB7"/>
    <w:rsid w:val="76766EB4"/>
    <w:rsid w:val="76776DB7"/>
    <w:rsid w:val="767FAC96"/>
    <w:rsid w:val="7680EA0B"/>
    <w:rsid w:val="768141CD"/>
    <w:rsid w:val="76831A80"/>
    <w:rsid w:val="76849428"/>
    <w:rsid w:val="7685369A"/>
    <w:rsid w:val="76882496"/>
    <w:rsid w:val="7688C82A"/>
    <w:rsid w:val="768A2623"/>
    <w:rsid w:val="768D68A8"/>
    <w:rsid w:val="768D7867"/>
    <w:rsid w:val="7692ACA1"/>
    <w:rsid w:val="76971171"/>
    <w:rsid w:val="76999BCD"/>
    <w:rsid w:val="769A6DD0"/>
    <w:rsid w:val="769AAAA9"/>
    <w:rsid w:val="769DDA8E"/>
    <w:rsid w:val="769F49E1"/>
    <w:rsid w:val="76A2781F"/>
    <w:rsid w:val="76A39D71"/>
    <w:rsid w:val="76A8260F"/>
    <w:rsid w:val="76ABC203"/>
    <w:rsid w:val="76B1D4DE"/>
    <w:rsid w:val="76B481AE"/>
    <w:rsid w:val="76B56C83"/>
    <w:rsid w:val="76BA4A63"/>
    <w:rsid w:val="76BAB737"/>
    <w:rsid w:val="76BD610B"/>
    <w:rsid w:val="76C21A43"/>
    <w:rsid w:val="76C2C250"/>
    <w:rsid w:val="76C2DCBA"/>
    <w:rsid w:val="76C2ED87"/>
    <w:rsid w:val="76C85496"/>
    <w:rsid w:val="76CCCC22"/>
    <w:rsid w:val="76CFA9F6"/>
    <w:rsid w:val="76D2679E"/>
    <w:rsid w:val="76D2FB46"/>
    <w:rsid w:val="76D390E6"/>
    <w:rsid w:val="76D5EEC6"/>
    <w:rsid w:val="76D8A882"/>
    <w:rsid w:val="76D8D723"/>
    <w:rsid w:val="76D905BE"/>
    <w:rsid w:val="76DF46F8"/>
    <w:rsid w:val="76E10722"/>
    <w:rsid w:val="76E416B0"/>
    <w:rsid w:val="76E4913F"/>
    <w:rsid w:val="76E5EA1C"/>
    <w:rsid w:val="76E7F8F9"/>
    <w:rsid w:val="76E84E86"/>
    <w:rsid w:val="76EA14E0"/>
    <w:rsid w:val="76EAB581"/>
    <w:rsid w:val="76EFA22B"/>
    <w:rsid w:val="76F5C412"/>
    <w:rsid w:val="76F6ADBB"/>
    <w:rsid w:val="76F95A18"/>
    <w:rsid w:val="76FC6678"/>
    <w:rsid w:val="76FD086F"/>
    <w:rsid w:val="76FE0E1A"/>
    <w:rsid w:val="7700982F"/>
    <w:rsid w:val="7702B977"/>
    <w:rsid w:val="7705C3E5"/>
    <w:rsid w:val="7706CEBE"/>
    <w:rsid w:val="77086EC5"/>
    <w:rsid w:val="770B6E49"/>
    <w:rsid w:val="770B7263"/>
    <w:rsid w:val="770C0DB8"/>
    <w:rsid w:val="770F321B"/>
    <w:rsid w:val="771029DE"/>
    <w:rsid w:val="77128F94"/>
    <w:rsid w:val="7716C3DF"/>
    <w:rsid w:val="77187F6C"/>
    <w:rsid w:val="77223E24"/>
    <w:rsid w:val="7723E3A5"/>
    <w:rsid w:val="77304EC1"/>
    <w:rsid w:val="77334166"/>
    <w:rsid w:val="7733FC0E"/>
    <w:rsid w:val="7737D961"/>
    <w:rsid w:val="77395949"/>
    <w:rsid w:val="7739DC87"/>
    <w:rsid w:val="773B43C2"/>
    <w:rsid w:val="773FD7E0"/>
    <w:rsid w:val="7740D445"/>
    <w:rsid w:val="774103D7"/>
    <w:rsid w:val="77415655"/>
    <w:rsid w:val="7741CBA5"/>
    <w:rsid w:val="7742F278"/>
    <w:rsid w:val="7744E31F"/>
    <w:rsid w:val="7744F9EE"/>
    <w:rsid w:val="77454E82"/>
    <w:rsid w:val="7746E416"/>
    <w:rsid w:val="7746F7E8"/>
    <w:rsid w:val="774D3954"/>
    <w:rsid w:val="774D3A5A"/>
    <w:rsid w:val="774D95B9"/>
    <w:rsid w:val="774E7F46"/>
    <w:rsid w:val="7753F82C"/>
    <w:rsid w:val="77550B0B"/>
    <w:rsid w:val="77555D66"/>
    <w:rsid w:val="7761132F"/>
    <w:rsid w:val="7766E2FF"/>
    <w:rsid w:val="77720861"/>
    <w:rsid w:val="777259AA"/>
    <w:rsid w:val="77731C29"/>
    <w:rsid w:val="77779FDE"/>
    <w:rsid w:val="7777EEA4"/>
    <w:rsid w:val="7779E65A"/>
    <w:rsid w:val="777D71E0"/>
    <w:rsid w:val="77803DAC"/>
    <w:rsid w:val="778156B4"/>
    <w:rsid w:val="7783039D"/>
    <w:rsid w:val="77857B5E"/>
    <w:rsid w:val="7786386B"/>
    <w:rsid w:val="778941DD"/>
    <w:rsid w:val="7789A79F"/>
    <w:rsid w:val="7789AD9D"/>
    <w:rsid w:val="778A700E"/>
    <w:rsid w:val="778B35FD"/>
    <w:rsid w:val="7795B4A5"/>
    <w:rsid w:val="779A1746"/>
    <w:rsid w:val="779AEFA7"/>
    <w:rsid w:val="77A4E05A"/>
    <w:rsid w:val="77A88DE0"/>
    <w:rsid w:val="77A930B1"/>
    <w:rsid w:val="77AD2D5B"/>
    <w:rsid w:val="77AE1041"/>
    <w:rsid w:val="77B20E52"/>
    <w:rsid w:val="77B3C298"/>
    <w:rsid w:val="77B3E841"/>
    <w:rsid w:val="77B64AD8"/>
    <w:rsid w:val="77BD0C98"/>
    <w:rsid w:val="77BF4C80"/>
    <w:rsid w:val="77C0792D"/>
    <w:rsid w:val="77C2B181"/>
    <w:rsid w:val="77C33FDD"/>
    <w:rsid w:val="77C3ACDE"/>
    <w:rsid w:val="77C3D724"/>
    <w:rsid w:val="77C914DF"/>
    <w:rsid w:val="77CDEA5C"/>
    <w:rsid w:val="77CE81E3"/>
    <w:rsid w:val="77CFBA2A"/>
    <w:rsid w:val="77D09637"/>
    <w:rsid w:val="77D2F783"/>
    <w:rsid w:val="77D563DE"/>
    <w:rsid w:val="77D5CFC9"/>
    <w:rsid w:val="77D632A8"/>
    <w:rsid w:val="77DA6517"/>
    <w:rsid w:val="77DF412D"/>
    <w:rsid w:val="77DF63E1"/>
    <w:rsid w:val="77DFDE65"/>
    <w:rsid w:val="77E21C0D"/>
    <w:rsid w:val="77E5FC6E"/>
    <w:rsid w:val="77E71F03"/>
    <w:rsid w:val="77E79DA2"/>
    <w:rsid w:val="77E7D0C5"/>
    <w:rsid w:val="77E8A1C1"/>
    <w:rsid w:val="77EC0E74"/>
    <w:rsid w:val="77F6ED81"/>
    <w:rsid w:val="77F71FAA"/>
    <w:rsid w:val="77F80C46"/>
    <w:rsid w:val="77F890D9"/>
    <w:rsid w:val="77F92883"/>
    <w:rsid w:val="77F93A56"/>
    <w:rsid w:val="77FAC1E5"/>
    <w:rsid w:val="77FBBF55"/>
    <w:rsid w:val="77FE240A"/>
    <w:rsid w:val="78029490"/>
    <w:rsid w:val="7803C16A"/>
    <w:rsid w:val="7807D2B6"/>
    <w:rsid w:val="780B4EC7"/>
    <w:rsid w:val="780D591D"/>
    <w:rsid w:val="780DB37E"/>
    <w:rsid w:val="780E77AF"/>
    <w:rsid w:val="781059B2"/>
    <w:rsid w:val="7811344C"/>
    <w:rsid w:val="78136132"/>
    <w:rsid w:val="7814B1B0"/>
    <w:rsid w:val="781A9EBA"/>
    <w:rsid w:val="7821913E"/>
    <w:rsid w:val="7824F6D2"/>
    <w:rsid w:val="7825F383"/>
    <w:rsid w:val="7826E75D"/>
    <w:rsid w:val="78273399"/>
    <w:rsid w:val="783212D8"/>
    <w:rsid w:val="78371F13"/>
    <w:rsid w:val="7838B800"/>
    <w:rsid w:val="783E35BB"/>
    <w:rsid w:val="7843C4C5"/>
    <w:rsid w:val="78448CD0"/>
    <w:rsid w:val="7845762F"/>
    <w:rsid w:val="7845E91F"/>
    <w:rsid w:val="784A687F"/>
    <w:rsid w:val="78512A3A"/>
    <w:rsid w:val="78526DAA"/>
    <w:rsid w:val="7857E255"/>
    <w:rsid w:val="7859AAEC"/>
    <w:rsid w:val="785ED483"/>
    <w:rsid w:val="785EE45E"/>
    <w:rsid w:val="785F0D0A"/>
    <w:rsid w:val="786218C4"/>
    <w:rsid w:val="7863299E"/>
    <w:rsid w:val="7864C85F"/>
    <w:rsid w:val="786F0C74"/>
    <w:rsid w:val="78700130"/>
    <w:rsid w:val="7874BB24"/>
    <w:rsid w:val="78773283"/>
    <w:rsid w:val="787A50D7"/>
    <w:rsid w:val="787BDE09"/>
    <w:rsid w:val="787C5D48"/>
    <w:rsid w:val="787C83A5"/>
    <w:rsid w:val="7885AC71"/>
    <w:rsid w:val="78898E59"/>
    <w:rsid w:val="7889B3B0"/>
    <w:rsid w:val="788BBE94"/>
    <w:rsid w:val="788C5165"/>
    <w:rsid w:val="788CDCCF"/>
    <w:rsid w:val="788DC270"/>
    <w:rsid w:val="788DC855"/>
    <w:rsid w:val="788DE1B1"/>
    <w:rsid w:val="788E7DF1"/>
    <w:rsid w:val="788EDA56"/>
    <w:rsid w:val="788EE229"/>
    <w:rsid w:val="7891DF8B"/>
    <w:rsid w:val="789200AA"/>
    <w:rsid w:val="7893717C"/>
    <w:rsid w:val="789407E5"/>
    <w:rsid w:val="7895838F"/>
    <w:rsid w:val="78960568"/>
    <w:rsid w:val="7896D742"/>
    <w:rsid w:val="7899ED35"/>
    <w:rsid w:val="789B31B1"/>
    <w:rsid w:val="789DDFFB"/>
    <w:rsid w:val="789EA1DB"/>
    <w:rsid w:val="78A77080"/>
    <w:rsid w:val="78A9F2FD"/>
    <w:rsid w:val="78AB027C"/>
    <w:rsid w:val="78AB5356"/>
    <w:rsid w:val="78AFCB86"/>
    <w:rsid w:val="78B283FB"/>
    <w:rsid w:val="78B3BE8A"/>
    <w:rsid w:val="78B71154"/>
    <w:rsid w:val="78B7649C"/>
    <w:rsid w:val="78B7F3BE"/>
    <w:rsid w:val="78BCE932"/>
    <w:rsid w:val="78C058D3"/>
    <w:rsid w:val="78C090FE"/>
    <w:rsid w:val="78C3FA8C"/>
    <w:rsid w:val="78CB76DB"/>
    <w:rsid w:val="78CC6151"/>
    <w:rsid w:val="78CC7F65"/>
    <w:rsid w:val="78CD4F9A"/>
    <w:rsid w:val="78D34847"/>
    <w:rsid w:val="78D47DF8"/>
    <w:rsid w:val="78D70452"/>
    <w:rsid w:val="78DB4BB0"/>
    <w:rsid w:val="78E3774D"/>
    <w:rsid w:val="78E51CF4"/>
    <w:rsid w:val="78E874A2"/>
    <w:rsid w:val="78EB509B"/>
    <w:rsid w:val="78EF2385"/>
    <w:rsid w:val="78F01A10"/>
    <w:rsid w:val="78F7B5DC"/>
    <w:rsid w:val="78FD304A"/>
    <w:rsid w:val="78FE6348"/>
    <w:rsid w:val="78FEBFC7"/>
    <w:rsid w:val="79044F2A"/>
    <w:rsid w:val="79093E21"/>
    <w:rsid w:val="7909B9DD"/>
    <w:rsid w:val="790AF498"/>
    <w:rsid w:val="790ED7A3"/>
    <w:rsid w:val="790EF6E0"/>
    <w:rsid w:val="790F0012"/>
    <w:rsid w:val="79115261"/>
    <w:rsid w:val="79233E72"/>
    <w:rsid w:val="79255088"/>
    <w:rsid w:val="79255476"/>
    <w:rsid w:val="7928F813"/>
    <w:rsid w:val="7929FD88"/>
    <w:rsid w:val="792D403D"/>
    <w:rsid w:val="7931006E"/>
    <w:rsid w:val="7931A02A"/>
    <w:rsid w:val="79328432"/>
    <w:rsid w:val="7934145E"/>
    <w:rsid w:val="7934E7AB"/>
    <w:rsid w:val="793789A9"/>
    <w:rsid w:val="793825FF"/>
    <w:rsid w:val="793B3559"/>
    <w:rsid w:val="7940DF8E"/>
    <w:rsid w:val="79413237"/>
    <w:rsid w:val="7944578E"/>
    <w:rsid w:val="7944A516"/>
    <w:rsid w:val="79499B0E"/>
    <w:rsid w:val="794C88B4"/>
    <w:rsid w:val="794DF991"/>
    <w:rsid w:val="7951BF11"/>
    <w:rsid w:val="7952EBAD"/>
    <w:rsid w:val="795436C5"/>
    <w:rsid w:val="79581BA2"/>
    <w:rsid w:val="796247AC"/>
    <w:rsid w:val="7962FB3D"/>
    <w:rsid w:val="79631D1D"/>
    <w:rsid w:val="7965574C"/>
    <w:rsid w:val="79686641"/>
    <w:rsid w:val="796CAB33"/>
    <w:rsid w:val="796F2FB2"/>
    <w:rsid w:val="796FB470"/>
    <w:rsid w:val="7972372C"/>
    <w:rsid w:val="79730ABB"/>
    <w:rsid w:val="7973C597"/>
    <w:rsid w:val="7975C70A"/>
    <w:rsid w:val="79765FE5"/>
    <w:rsid w:val="7976BF09"/>
    <w:rsid w:val="7979B786"/>
    <w:rsid w:val="797B0A54"/>
    <w:rsid w:val="797B74B9"/>
    <w:rsid w:val="797C76BC"/>
    <w:rsid w:val="797D6FFE"/>
    <w:rsid w:val="797DED27"/>
    <w:rsid w:val="797EB73E"/>
    <w:rsid w:val="797FBC9B"/>
    <w:rsid w:val="79867C8B"/>
    <w:rsid w:val="79894858"/>
    <w:rsid w:val="798ABE6C"/>
    <w:rsid w:val="798CC1AE"/>
    <w:rsid w:val="7993DE60"/>
    <w:rsid w:val="79A15C3D"/>
    <w:rsid w:val="79A3EA47"/>
    <w:rsid w:val="79A61716"/>
    <w:rsid w:val="79A776E5"/>
    <w:rsid w:val="79A874F0"/>
    <w:rsid w:val="79AADEE8"/>
    <w:rsid w:val="79ABA79D"/>
    <w:rsid w:val="79ACE97E"/>
    <w:rsid w:val="79BC36AF"/>
    <w:rsid w:val="79C27DEB"/>
    <w:rsid w:val="79C5498B"/>
    <w:rsid w:val="79C61D04"/>
    <w:rsid w:val="79C87793"/>
    <w:rsid w:val="79C8DF8E"/>
    <w:rsid w:val="79CA9341"/>
    <w:rsid w:val="79CBAE4E"/>
    <w:rsid w:val="79CBB08F"/>
    <w:rsid w:val="79CC5445"/>
    <w:rsid w:val="79CE9A37"/>
    <w:rsid w:val="79D011EA"/>
    <w:rsid w:val="79D145E1"/>
    <w:rsid w:val="79D1FB79"/>
    <w:rsid w:val="79D50D8D"/>
    <w:rsid w:val="79D5B56B"/>
    <w:rsid w:val="79D73D37"/>
    <w:rsid w:val="79DD3566"/>
    <w:rsid w:val="79DFF448"/>
    <w:rsid w:val="79E1F0CA"/>
    <w:rsid w:val="79E91821"/>
    <w:rsid w:val="79EB947E"/>
    <w:rsid w:val="79EBD596"/>
    <w:rsid w:val="79EC3C12"/>
    <w:rsid w:val="79F0C088"/>
    <w:rsid w:val="79F1E6A5"/>
    <w:rsid w:val="79F38A2E"/>
    <w:rsid w:val="79F53979"/>
    <w:rsid w:val="79F58BCC"/>
    <w:rsid w:val="79F73089"/>
    <w:rsid w:val="79F7835A"/>
    <w:rsid w:val="79FE476A"/>
    <w:rsid w:val="79FFA0C3"/>
    <w:rsid w:val="79FFCF8F"/>
    <w:rsid w:val="7A025CB4"/>
    <w:rsid w:val="7A08061A"/>
    <w:rsid w:val="7A0B0765"/>
    <w:rsid w:val="7A0B1363"/>
    <w:rsid w:val="7A0BDBF1"/>
    <w:rsid w:val="7A0C9945"/>
    <w:rsid w:val="7A1077E5"/>
    <w:rsid w:val="7A12D18F"/>
    <w:rsid w:val="7A13F4EC"/>
    <w:rsid w:val="7A146CB9"/>
    <w:rsid w:val="7A14C6E9"/>
    <w:rsid w:val="7A169A60"/>
    <w:rsid w:val="7A19F240"/>
    <w:rsid w:val="7A1A5F21"/>
    <w:rsid w:val="7A1B945E"/>
    <w:rsid w:val="7A20A21A"/>
    <w:rsid w:val="7A20DDFC"/>
    <w:rsid w:val="7A23C7BA"/>
    <w:rsid w:val="7A24062E"/>
    <w:rsid w:val="7A26B742"/>
    <w:rsid w:val="7A26FD78"/>
    <w:rsid w:val="7A2A45C5"/>
    <w:rsid w:val="7A2AB2BF"/>
    <w:rsid w:val="7A317438"/>
    <w:rsid w:val="7A323ADD"/>
    <w:rsid w:val="7A33F925"/>
    <w:rsid w:val="7A34C891"/>
    <w:rsid w:val="7A34DF6C"/>
    <w:rsid w:val="7A36A100"/>
    <w:rsid w:val="7A392B8E"/>
    <w:rsid w:val="7A3BF686"/>
    <w:rsid w:val="7A3CA80E"/>
    <w:rsid w:val="7A44D478"/>
    <w:rsid w:val="7A4559BC"/>
    <w:rsid w:val="7A456B04"/>
    <w:rsid w:val="7A46D2DD"/>
    <w:rsid w:val="7A50E2BE"/>
    <w:rsid w:val="7A50FA68"/>
    <w:rsid w:val="7A5804E8"/>
    <w:rsid w:val="7A582C24"/>
    <w:rsid w:val="7A6307EE"/>
    <w:rsid w:val="7A63FEB7"/>
    <w:rsid w:val="7A65A8E9"/>
    <w:rsid w:val="7A694872"/>
    <w:rsid w:val="7A6B1F35"/>
    <w:rsid w:val="7A6B3B0D"/>
    <w:rsid w:val="7A78CDF9"/>
    <w:rsid w:val="7A7BAEDA"/>
    <w:rsid w:val="7A7D66AC"/>
    <w:rsid w:val="7A806924"/>
    <w:rsid w:val="7A822171"/>
    <w:rsid w:val="7A856A78"/>
    <w:rsid w:val="7A85E017"/>
    <w:rsid w:val="7A87686D"/>
    <w:rsid w:val="7A879703"/>
    <w:rsid w:val="7A893F82"/>
    <w:rsid w:val="7A8AD51B"/>
    <w:rsid w:val="7A8B1AAB"/>
    <w:rsid w:val="7A8EE1C6"/>
    <w:rsid w:val="7A92F275"/>
    <w:rsid w:val="7A9424EA"/>
    <w:rsid w:val="7A99DF22"/>
    <w:rsid w:val="7A9A4B62"/>
    <w:rsid w:val="7A9DC6A0"/>
    <w:rsid w:val="7A9DD21E"/>
    <w:rsid w:val="7AA4CCBB"/>
    <w:rsid w:val="7AA87F58"/>
    <w:rsid w:val="7AAACEDB"/>
    <w:rsid w:val="7AAC37D6"/>
    <w:rsid w:val="7AB10B47"/>
    <w:rsid w:val="7ABAC598"/>
    <w:rsid w:val="7ABB4AAB"/>
    <w:rsid w:val="7ABC537C"/>
    <w:rsid w:val="7ABF16DF"/>
    <w:rsid w:val="7ABF2662"/>
    <w:rsid w:val="7AC131B9"/>
    <w:rsid w:val="7AC3691F"/>
    <w:rsid w:val="7AC39EC0"/>
    <w:rsid w:val="7AC4FC2C"/>
    <w:rsid w:val="7AC64B1F"/>
    <w:rsid w:val="7ACE6A38"/>
    <w:rsid w:val="7AD032BD"/>
    <w:rsid w:val="7AD0FE8A"/>
    <w:rsid w:val="7AD39835"/>
    <w:rsid w:val="7AD48F65"/>
    <w:rsid w:val="7AD5DED5"/>
    <w:rsid w:val="7AD86E2F"/>
    <w:rsid w:val="7AD8708D"/>
    <w:rsid w:val="7AE26FB8"/>
    <w:rsid w:val="7AE87113"/>
    <w:rsid w:val="7AE8FFBA"/>
    <w:rsid w:val="7AE918D3"/>
    <w:rsid w:val="7AEAD22B"/>
    <w:rsid w:val="7AEB4893"/>
    <w:rsid w:val="7AEC965E"/>
    <w:rsid w:val="7AEE8969"/>
    <w:rsid w:val="7AEEDA21"/>
    <w:rsid w:val="7AEF38AC"/>
    <w:rsid w:val="7AF2478B"/>
    <w:rsid w:val="7AF3EE5E"/>
    <w:rsid w:val="7AF97FD9"/>
    <w:rsid w:val="7B00EAD7"/>
    <w:rsid w:val="7B09CC2E"/>
    <w:rsid w:val="7B09FF38"/>
    <w:rsid w:val="7B0EE8CD"/>
    <w:rsid w:val="7B105455"/>
    <w:rsid w:val="7B128D3C"/>
    <w:rsid w:val="7B14420D"/>
    <w:rsid w:val="7B147062"/>
    <w:rsid w:val="7B19B4C9"/>
    <w:rsid w:val="7B19EAFB"/>
    <w:rsid w:val="7B1BE865"/>
    <w:rsid w:val="7B1CDC60"/>
    <w:rsid w:val="7B1CF6F8"/>
    <w:rsid w:val="7B218CE4"/>
    <w:rsid w:val="7B2563EB"/>
    <w:rsid w:val="7B2DB77C"/>
    <w:rsid w:val="7B2EB1A7"/>
    <w:rsid w:val="7B2F376D"/>
    <w:rsid w:val="7B307636"/>
    <w:rsid w:val="7B317D20"/>
    <w:rsid w:val="7B332CBD"/>
    <w:rsid w:val="7B351C8B"/>
    <w:rsid w:val="7B399EF3"/>
    <w:rsid w:val="7B3CA026"/>
    <w:rsid w:val="7B3D746E"/>
    <w:rsid w:val="7B3E8ED6"/>
    <w:rsid w:val="7B400EA3"/>
    <w:rsid w:val="7B4093EC"/>
    <w:rsid w:val="7B40FA5B"/>
    <w:rsid w:val="7B4396F7"/>
    <w:rsid w:val="7B452CE1"/>
    <w:rsid w:val="7B4B4275"/>
    <w:rsid w:val="7B4EEB8F"/>
    <w:rsid w:val="7B4F92CF"/>
    <w:rsid w:val="7B5081D6"/>
    <w:rsid w:val="7B50D36D"/>
    <w:rsid w:val="7B519325"/>
    <w:rsid w:val="7B547137"/>
    <w:rsid w:val="7B54D0A5"/>
    <w:rsid w:val="7B56F18D"/>
    <w:rsid w:val="7B5C127C"/>
    <w:rsid w:val="7B5FCCD2"/>
    <w:rsid w:val="7B668C3C"/>
    <w:rsid w:val="7B697EEC"/>
    <w:rsid w:val="7B6C8559"/>
    <w:rsid w:val="7B6CEA84"/>
    <w:rsid w:val="7B6F4324"/>
    <w:rsid w:val="7B6FB151"/>
    <w:rsid w:val="7B79E6F9"/>
    <w:rsid w:val="7B7A0701"/>
    <w:rsid w:val="7B7A9706"/>
    <w:rsid w:val="7B7C77F0"/>
    <w:rsid w:val="7B7D6895"/>
    <w:rsid w:val="7B7DE995"/>
    <w:rsid w:val="7B7EF812"/>
    <w:rsid w:val="7B7F63BD"/>
    <w:rsid w:val="7B80D222"/>
    <w:rsid w:val="7B830B61"/>
    <w:rsid w:val="7B85AABB"/>
    <w:rsid w:val="7B86D8F6"/>
    <w:rsid w:val="7B87B561"/>
    <w:rsid w:val="7B89A056"/>
    <w:rsid w:val="7B8ADF9D"/>
    <w:rsid w:val="7B8DEF0E"/>
    <w:rsid w:val="7B8FE980"/>
    <w:rsid w:val="7B90C33C"/>
    <w:rsid w:val="7B976F3E"/>
    <w:rsid w:val="7B99A307"/>
    <w:rsid w:val="7B9C1A31"/>
    <w:rsid w:val="7B9C8046"/>
    <w:rsid w:val="7BA6766E"/>
    <w:rsid w:val="7BA92B16"/>
    <w:rsid w:val="7BA93EFD"/>
    <w:rsid w:val="7BAA94B5"/>
    <w:rsid w:val="7BAC9CC6"/>
    <w:rsid w:val="7BACD51E"/>
    <w:rsid w:val="7BB5132E"/>
    <w:rsid w:val="7BB57B54"/>
    <w:rsid w:val="7BB68DBB"/>
    <w:rsid w:val="7BBD67DF"/>
    <w:rsid w:val="7BBE8E7F"/>
    <w:rsid w:val="7BC36345"/>
    <w:rsid w:val="7BC77DD7"/>
    <w:rsid w:val="7BC97357"/>
    <w:rsid w:val="7BC9E057"/>
    <w:rsid w:val="7BCD88E5"/>
    <w:rsid w:val="7BD30F34"/>
    <w:rsid w:val="7BD4AF06"/>
    <w:rsid w:val="7BD86AEB"/>
    <w:rsid w:val="7BD8AF3C"/>
    <w:rsid w:val="7BD8DCEB"/>
    <w:rsid w:val="7BDE08FA"/>
    <w:rsid w:val="7BDE4FEB"/>
    <w:rsid w:val="7BE006F0"/>
    <w:rsid w:val="7BE0490B"/>
    <w:rsid w:val="7BE448F1"/>
    <w:rsid w:val="7BE62B8D"/>
    <w:rsid w:val="7BEBE56A"/>
    <w:rsid w:val="7BED1D23"/>
    <w:rsid w:val="7BEF2827"/>
    <w:rsid w:val="7BF22616"/>
    <w:rsid w:val="7BF8849D"/>
    <w:rsid w:val="7BF8B1C4"/>
    <w:rsid w:val="7BF96A44"/>
    <w:rsid w:val="7BFA0DB5"/>
    <w:rsid w:val="7BFF31DB"/>
    <w:rsid w:val="7C010ADE"/>
    <w:rsid w:val="7C012FDE"/>
    <w:rsid w:val="7C047B4E"/>
    <w:rsid w:val="7C07AFB3"/>
    <w:rsid w:val="7C11B86F"/>
    <w:rsid w:val="7C12210B"/>
    <w:rsid w:val="7C1B9905"/>
    <w:rsid w:val="7C1CB0AF"/>
    <w:rsid w:val="7C1CFFF7"/>
    <w:rsid w:val="7C1DA6C1"/>
    <w:rsid w:val="7C1E6D7C"/>
    <w:rsid w:val="7C1F109F"/>
    <w:rsid w:val="7C1FFBBF"/>
    <w:rsid w:val="7C20B685"/>
    <w:rsid w:val="7C2A2F92"/>
    <w:rsid w:val="7C2BF5B7"/>
    <w:rsid w:val="7C2C64F6"/>
    <w:rsid w:val="7C322BD0"/>
    <w:rsid w:val="7C358DD8"/>
    <w:rsid w:val="7C38F191"/>
    <w:rsid w:val="7C3C57A4"/>
    <w:rsid w:val="7C3C9688"/>
    <w:rsid w:val="7C3C9AB7"/>
    <w:rsid w:val="7C3E0949"/>
    <w:rsid w:val="7C3FB597"/>
    <w:rsid w:val="7C40AAC2"/>
    <w:rsid w:val="7C40FBBD"/>
    <w:rsid w:val="7C42E43F"/>
    <w:rsid w:val="7C44C550"/>
    <w:rsid w:val="7C46A377"/>
    <w:rsid w:val="7C475795"/>
    <w:rsid w:val="7C478ABD"/>
    <w:rsid w:val="7C48AE5F"/>
    <w:rsid w:val="7C48EF8C"/>
    <w:rsid w:val="7C48F323"/>
    <w:rsid w:val="7C4A60EF"/>
    <w:rsid w:val="7C4A6B8E"/>
    <w:rsid w:val="7C510A91"/>
    <w:rsid w:val="7C523054"/>
    <w:rsid w:val="7C54C833"/>
    <w:rsid w:val="7C557A77"/>
    <w:rsid w:val="7C559CAB"/>
    <w:rsid w:val="7C58CE5B"/>
    <w:rsid w:val="7C5CBEC9"/>
    <w:rsid w:val="7C5CEF48"/>
    <w:rsid w:val="7C5E3EDA"/>
    <w:rsid w:val="7C5ECBD6"/>
    <w:rsid w:val="7C5F4235"/>
    <w:rsid w:val="7C6139EC"/>
    <w:rsid w:val="7C61659E"/>
    <w:rsid w:val="7C6236D5"/>
    <w:rsid w:val="7C663BF6"/>
    <w:rsid w:val="7C67AD55"/>
    <w:rsid w:val="7C686063"/>
    <w:rsid w:val="7C70965B"/>
    <w:rsid w:val="7C70C999"/>
    <w:rsid w:val="7C7405A0"/>
    <w:rsid w:val="7C772236"/>
    <w:rsid w:val="7C7769C4"/>
    <w:rsid w:val="7C7850B4"/>
    <w:rsid w:val="7C7E10DA"/>
    <w:rsid w:val="7C7ED367"/>
    <w:rsid w:val="7C8A73DF"/>
    <w:rsid w:val="7C8D0664"/>
    <w:rsid w:val="7C8E7EF0"/>
    <w:rsid w:val="7C910E3F"/>
    <w:rsid w:val="7C941C61"/>
    <w:rsid w:val="7C9573F9"/>
    <w:rsid w:val="7C95A293"/>
    <w:rsid w:val="7C96A55F"/>
    <w:rsid w:val="7C98CEED"/>
    <w:rsid w:val="7C9C38EF"/>
    <w:rsid w:val="7C9CD8ED"/>
    <w:rsid w:val="7C9D0336"/>
    <w:rsid w:val="7C9ED985"/>
    <w:rsid w:val="7CA09403"/>
    <w:rsid w:val="7CA3D7B7"/>
    <w:rsid w:val="7CA5896F"/>
    <w:rsid w:val="7CA63135"/>
    <w:rsid w:val="7CA6530D"/>
    <w:rsid w:val="7CA8E802"/>
    <w:rsid w:val="7CAC71E5"/>
    <w:rsid w:val="7CAD0E4E"/>
    <w:rsid w:val="7CAFC3D0"/>
    <w:rsid w:val="7CB2D504"/>
    <w:rsid w:val="7CB32A24"/>
    <w:rsid w:val="7CB445E7"/>
    <w:rsid w:val="7CB5C088"/>
    <w:rsid w:val="7CB685A5"/>
    <w:rsid w:val="7CB6EC4E"/>
    <w:rsid w:val="7CBAE873"/>
    <w:rsid w:val="7CBBDC51"/>
    <w:rsid w:val="7CBD2ACE"/>
    <w:rsid w:val="7CBDF70A"/>
    <w:rsid w:val="7CC42256"/>
    <w:rsid w:val="7CC648A9"/>
    <w:rsid w:val="7CC8121F"/>
    <w:rsid w:val="7CC9BC94"/>
    <w:rsid w:val="7CCCD157"/>
    <w:rsid w:val="7CCDB9F5"/>
    <w:rsid w:val="7CCF922E"/>
    <w:rsid w:val="7CD5098B"/>
    <w:rsid w:val="7CD5CF9A"/>
    <w:rsid w:val="7CDA011D"/>
    <w:rsid w:val="7CE1B03E"/>
    <w:rsid w:val="7CE1D6C4"/>
    <w:rsid w:val="7CE2B63D"/>
    <w:rsid w:val="7CE2E1DB"/>
    <w:rsid w:val="7CE37347"/>
    <w:rsid w:val="7CE5FF02"/>
    <w:rsid w:val="7CEC375B"/>
    <w:rsid w:val="7CEED661"/>
    <w:rsid w:val="7CEF982C"/>
    <w:rsid w:val="7CEFE8D2"/>
    <w:rsid w:val="7CF32A67"/>
    <w:rsid w:val="7CF3BBE7"/>
    <w:rsid w:val="7CF4808C"/>
    <w:rsid w:val="7CF4BB5D"/>
    <w:rsid w:val="7CF4C1D8"/>
    <w:rsid w:val="7CF5FB60"/>
    <w:rsid w:val="7CF9B8F1"/>
    <w:rsid w:val="7CFA9930"/>
    <w:rsid w:val="7CFE5093"/>
    <w:rsid w:val="7D009C00"/>
    <w:rsid w:val="7D03C1F3"/>
    <w:rsid w:val="7D03C559"/>
    <w:rsid w:val="7D03C57C"/>
    <w:rsid w:val="7D04362C"/>
    <w:rsid w:val="7D063100"/>
    <w:rsid w:val="7D09FCDF"/>
    <w:rsid w:val="7D0A4EF3"/>
    <w:rsid w:val="7D0E820D"/>
    <w:rsid w:val="7D0E8A83"/>
    <w:rsid w:val="7D0F8554"/>
    <w:rsid w:val="7D11AE04"/>
    <w:rsid w:val="7D12F3BE"/>
    <w:rsid w:val="7D149071"/>
    <w:rsid w:val="7D1C8DCC"/>
    <w:rsid w:val="7D1C937E"/>
    <w:rsid w:val="7D1CAA86"/>
    <w:rsid w:val="7D1D69C5"/>
    <w:rsid w:val="7D1DB6F4"/>
    <w:rsid w:val="7D1E3257"/>
    <w:rsid w:val="7D1F9CFA"/>
    <w:rsid w:val="7D23DB12"/>
    <w:rsid w:val="7D249B5A"/>
    <w:rsid w:val="7D28E5A5"/>
    <w:rsid w:val="7D298A37"/>
    <w:rsid w:val="7D2A8218"/>
    <w:rsid w:val="7D2AEFA7"/>
    <w:rsid w:val="7D31F408"/>
    <w:rsid w:val="7D328512"/>
    <w:rsid w:val="7D369699"/>
    <w:rsid w:val="7D37D39C"/>
    <w:rsid w:val="7D39CB21"/>
    <w:rsid w:val="7D3E9AA8"/>
    <w:rsid w:val="7D43803C"/>
    <w:rsid w:val="7D47364A"/>
    <w:rsid w:val="7D480A99"/>
    <w:rsid w:val="7D4A3F13"/>
    <w:rsid w:val="7D4A7EF6"/>
    <w:rsid w:val="7D4BC6BD"/>
    <w:rsid w:val="7D4C7B0B"/>
    <w:rsid w:val="7D4EF40D"/>
    <w:rsid w:val="7D51165A"/>
    <w:rsid w:val="7D5B3914"/>
    <w:rsid w:val="7D5C3A5F"/>
    <w:rsid w:val="7D5EF553"/>
    <w:rsid w:val="7D6044F6"/>
    <w:rsid w:val="7D61D446"/>
    <w:rsid w:val="7D62C5CD"/>
    <w:rsid w:val="7D658805"/>
    <w:rsid w:val="7D66AEBF"/>
    <w:rsid w:val="7D67AD8F"/>
    <w:rsid w:val="7D68C653"/>
    <w:rsid w:val="7D69C064"/>
    <w:rsid w:val="7D70CC0B"/>
    <w:rsid w:val="7D72ACDE"/>
    <w:rsid w:val="7D739265"/>
    <w:rsid w:val="7D73DCB7"/>
    <w:rsid w:val="7D74BF5A"/>
    <w:rsid w:val="7D772924"/>
    <w:rsid w:val="7D793DBC"/>
    <w:rsid w:val="7D7B125B"/>
    <w:rsid w:val="7D7ED6F4"/>
    <w:rsid w:val="7D82C60D"/>
    <w:rsid w:val="7D8393C1"/>
    <w:rsid w:val="7D84307A"/>
    <w:rsid w:val="7D85FE91"/>
    <w:rsid w:val="7D895E96"/>
    <w:rsid w:val="7D8C01E6"/>
    <w:rsid w:val="7D923CB7"/>
    <w:rsid w:val="7D94B6BD"/>
    <w:rsid w:val="7D95C324"/>
    <w:rsid w:val="7D96098B"/>
    <w:rsid w:val="7DA3D431"/>
    <w:rsid w:val="7DA578B2"/>
    <w:rsid w:val="7DA6A942"/>
    <w:rsid w:val="7DB27790"/>
    <w:rsid w:val="7DB2D212"/>
    <w:rsid w:val="7DB3E7CA"/>
    <w:rsid w:val="7DB69DAC"/>
    <w:rsid w:val="7DB809E6"/>
    <w:rsid w:val="7DBC3384"/>
    <w:rsid w:val="7DBCE961"/>
    <w:rsid w:val="7DC28C08"/>
    <w:rsid w:val="7DC71C3E"/>
    <w:rsid w:val="7DC78C89"/>
    <w:rsid w:val="7DC7B359"/>
    <w:rsid w:val="7DC8DEA5"/>
    <w:rsid w:val="7DC96649"/>
    <w:rsid w:val="7DCD31A3"/>
    <w:rsid w:val="7DD4A54C"/>
    <w:rsid w:val="7DDBE52F"/>
    <w:rsid w:val="7DE1F72E"/>
    <w:rsid w:val="7DE1F9AA"/>
    <w:rsid w:val="7DE5D225"/>
    <w:rsid w:val="7DE646E5"/>
    <w:rsid w:val="7DE7E196"/>
    <w:rsid w:val="7DE8F55C"/>
    <w:rsid w:val="7DE9FA88"/>
    <w:rsid w:val="7DEA789B"/>
    <w:rsid w:val="7DEC489A"/>
    <w:rsid w:val="7DEF0CB6"/>
    <w:rsid w:val="7DF27BE0"/>
    <w:rsid w:val="7DF611A5"/>
    <w:rsid w:val="7DF76C0E"/>
    <w:rsid w:val="7DF81DB8"/>
    <w:rsid w:val="7DF8C03F"/>
    <w:rsid w:val="7DF9297C"/>
    <w:rsid w:val="7DFC18AD"/>
    <w:rsid w:val="7DFE41E8"/>
    <w:rsid w:val="7E012EBA"/>
    <w:rsid w:val="7E01787F"/>
    <w:rsid w:val="7E01E35E"/>
    <w:rsid w:val="7E03530B"/>
    <w:rsid w:val="7E097B1E"/>
    <w:rsid w:val="7E0D6CCC"/>
    <w:rsid w:val="7E0F7A32"/>
    <w:rsid w:val="7E100DFE"/>
    <w:rsid w:val="7E10114F"/>
    <w:rsid w:val="7E10DAAA"/>
    <w:rsid w:val="7E11D461"/>
    <w:rsid w:val="7E121B66"/>
    <w:rsid w:val="7E174EA0"/>
    <w:rsid w:val="7E180BAD"/>
    <w:rsid w:val="7E1945E1"/>
    <w:rsid w:val="7E1B9CBC"/>
    <w:rsid w:val="7E1E9B4A"/>
    <w:rsid w:val="7E2161A1"/>
    <w:rsid w:val="7E2B62A2"/>
    <w:rsid w:val="7E2D3FA2"/>
    <w:rsid w:val="7E2E65A2"/>
    <w:rsid w:val="7E32354B"/>
    <w:rsid w:val="7E3424BA"/>
    <w:rsid w:val="7E351AFA"/>
    <w:rsid w:val="7E372EAD"/>
    <w:rsid w:val="7E39C481"/>
    <w:rsid w:val="7E3EE358"/>
    <w:rsid w:val="7E3F3417"/>
    <w:rsid w:val="7E404850"/>
    <w:rsid w:val="7E40B494"/>
    <w:rsid w:val="7E49A395"/>
    <w:rsid w:val="7E4B716B"/>
    <w:rsid w:val="7E4B8DB0"/>
    <w:rsid w:val="7E5265CA"/>
    <w:rsid w:val="7E53E5ED"/>
    <w:rsid w:val="7E58F19E"/>
    <w:rsid w:val="7E5E37E2"/>
    <w:rsid w:val="7E5E8228"/>
    <w:rsid w:val="7E6050E3"/>
    <w:rsid w:val="7E6443A9"/>
    <w:rsid w:val="7E690784"/>
    <w:rsid w:val="7E6981FE"/>
    <w:rsid w:val="7E6ED594"/>
    <w:rsid w:val="7E7C8D01"/>
    <w:rsid w:val="7E7CD8F1"/>
    <w:rsid w:val="7E7DB426"/>
    <w:rsid w:val="7E7EEDE6"/>
    <w:rsid w:val="7E825DB4"/>
    <w:rsid w:val="7E85E787"/>
    <w:rsid w:val="7E875E07"/>
    <w:rsid w:val="7E8894AE"/>
    <w:rsid w:val="7E8D957A"/>
    <w:rsid w:val="7E8DC55A"/>
    <w:rsid w:val="7E8DCFEB"/>
    <w:rsid w:val="7E8F976C"/>
    <w:rsid w:val="7E901991"/>
    <w:rsid w:val="7E90D5B3"/>
    <w:rsid w:val="7E92E84C"/>
    <w:rsid w:val="7E93381A"/>
    <w:rsid w:val="7E94AC4F"/>
    <w:rsid w:val="7E95C073"/>
    <w:rsid w:val="7EA01C66"/>
    <w:rsid w:val="7EA1F78E"/>
    <w:rsid w:val="7EA2E980"/>
    <w:rsid w:val="7EA702A1"/>
    <w:rsid w:val="7EA87DE5"/>
    <w:rsid w:val="7EB066C2"/>
    <w:rsid w:val="7EB3EF3F"/>
    <w:rsid w:val="7EB54D97"/>
    <w:rsid w:val="7EB68813"/>
    <w:rsid w:val="7EB7CE3F"/>
    <w:rsid w:val="7EB7D19F"/>
    <w:rsid w:val="7EB81B6C"/>
    <w:rsid w:val="7EB8BD02"/>
    <w:rsid w:val="7EBA162C"/>
    <w:rsid w:val="7EBB2C9E"/>
    <w:rsid w:val="7EBB9806"/>
    <w:rsid w:val="7EBD1829"/>
    <w:rsid w:val="7EC6DA2D"/>
    <w:rsid w:val="7EC82118"/>
    <w:rsid w:val="7ECE4471"/>
    <w:rsid w:val="7ECFEEB0"/>
    <w:rsid w:val="7ED05A4F"/>
    <w:rsid w:val="7ED143C9"/>
    <w:rsid w:val="7ED46EFB"/>
    <w:rsid w:val="7ED78403"/>
    <w:rsid w:val="7ED978C7"/>
    <w:rsid w:val="7EDD2497"/>
    <w:rsid w:val="7EDE0F09"/>
    <w:rsid w:val="7EE05D1A"/>
    <w:rsid w:val="7EEE9BE3"/>
    <w:rsid w:val="7EF0587D"/>
    <w:rsid w:val="7EF103F5"/>
    <w:rsid w:val="7EF5D7A4"/>
    <w:rsid w:val="7EF74E9C"/>
    <w:rsid w:val="7EFA8E8C"/>
    <w:rsid w:val="7F017726"/>
    <w:rsid w:val="7F076ADE"/>
    <w:rsid w:val="7F0F4557"/>
    <w:rsid w:val="7F14ED04"/>
    <w:rsid w:val="7F163731"/>
    <w:rsid w:val="7F1D85F9"/>
    <w:rsid w:val="7F1F7635"/>
    <w:rsid w:val="7F20A260"/>
    <w:rsid w:val="7F232B29"/>
    <w:rsid w:val="7F2343E2"/>
    <w:rsid w:val="7F249E6F"/>
    <w:rsid w:val="7F292B38"/>
    <w:rsid w:val="7F2BEFC5"/>
    <w:rsid w:val="7F2F8AE9"/>
    <w:rsid w:val="7F309AD2"/>
    <w:rsid w:val="7F31130D"/>
    <w:rsid w:val="7F327321"/>
    <w:rsid w:val="7F32985A"/>
    <w:rsid w:val="7F355855"/>
    <w:rsid w:val="7F364EAC"/>
    <w:rsid w:val="7F37B483"/>
    <w:rsid w:val="7F37CCAC"/>
    <w:rsid w:val="7F385207"/>
    <w:rsid w:val="7F399D18"/>
    <w:rsid w:val="7F3A0F15"/>
    <w:rsid w:val="7F3ADDFD"/>
    <w:rsid w:val="7F3B0805"/>
    <w:rsid w:val="7F3CDC7B"/>
    <w:rsid w:val="7F3FB84C"/>
    <w:rsid w:val="7F40E9EB"/>
    <w:rsid w:val="7F451235"/>
    <w:rsid w:val="7F460AB6"/>
    <w:rsid w:val="7F481098"/>
    <w:rsid w:val="7F49D9BF"/>
    <w:rsid w:val="7F4B4CC3"/>
    <w:rsid w:val="7F4E8430"/>
    <w:rsid w:val="7F4FD262"/>
    <w:rsid w:val="7F543E08"/>
    <w:rsid w:val="7F59E498"/>
    <w:rsid w:val="7F607325"/>
    <w:rsid w:val="7F649D30"/>
    <w:rsid w:val="7F66EF80"/>
    <w:rsid w:val="7F68C16D"/>
    <w:rsid w:val="7F6C6B49"/>
    <w:rsid w:val="7F7565CB"/>
    <w:rsid w:val="7F7822E3"/>
    <w:rsid w:val="7F84C8AE"/>
    <w:rsid w:val="7F88D279"/>
    <w:rsid w:val="7F8A5B34"/>
    <w:rsid w:val="7F8CC838"/>
    <w:rsid w:val="7F8D9443"/>
    <w:rsid w:val="7F8FAB92"/>
    <w:rsid w:val="7F919AB2"/>
    <w:rsid w:val="7F92FDAC"/>
    <w:rsid w:val="7F93019F"/>
    <w:rsid w:val="7F95E488"/>
    <w:rsid w:val="7F99B911"/>
    <w:rsid w:val="7F9E11A9"/>
    <w:rsid w:val="7FA0C412"/>
    <w:rsid w:val="7FA15BF7"/>
    <w:rsid w:val="7FA5BD22"/>
    <w:rsid w:val="7FAAAA43"/>
    <w:rsid w:val="7FAB62C1"/>
    <w:rsid w:val="7FABA9E2"/>
    <w:rsid w:val="7FAE6605"/>
    <w:rsid w:val="7FB08865"/>
    <w:rsid w:val="7FB24F56"/>
    <w:rsid w:val="7FB8A7C1"/>
    <w:rsid w:val="7FBBE0A3"/>
    <w:rsid w:val="7FBBFA99"/>
    <w:rsid w:val="7FC4C887"/>
    <w:rsid w:val="7FC64C2B"/>
    <w:rsid w:val="7FC9773F"/>
    <w:rsid w:val="7FCA576E"/>
    <w:rsid w:val="7FD221DA"/>
    <w:rsid w:val="7FD40E74"/>
    <w:rsid w:val="7FDC798B"/>
    <w:rsid w:val="7FDEDB63"/>
    <w:rsid w:val="7FDEF15D"/>
    <w:rsid w:val="7FE45581"/>
    <w:rsid w:val="7FF01BFA"/>
    <w:rsid w:val="7FF43032"/>
    <w:rsid w:val="7FF5FC48"/>
    <w:rsid w:val="7FF80B30"/>
    <w:rsid w:val="7FFD819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F636181"/>
  <w15:chartTrackingRefBased/>
  <w15:docId w15:val="{B4F67353-84E3-43A7-AE52-B0373A7B8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4F1D"/>
    <w:pPr>
      <w:spacing w:after="240" w:line="240" w:lineRule="auto"/>
      <w:jc w:val="both"/>
    </w:pPr>
    <w:rPr>
      <w:rFonts w:ascii="Times New Roman" w:hAnsi="Times New Roman" w:cs="Times New Roman"/>
      <w:sz w:val="24"/>
      <w:szCs w:val="24"/>
    </w:rPr>
  </w:style>
  <w:style w:type="paragraph" w:styleId="Heading1">
    <w:name w:val="heading 1"/>
    <w:basedOn w:val="Normal"/>
    <w:next w:val="NormalPara"/>
    <w:link w:val="Heading1Char"/>
    <w:qFormat/>
    <w:rsid w:val="00AE6D13"/>
    <w:pPr>
      <w:keepNext/>
      <w:numPr>
        <w:numId w:val="17"/>
      </w:numPr>
      <w:spacing w:before="240"/>
      <w:outlineLvl w:val="0"/>
    </w:pPr>
    <w:rPr>
      <w:rFonts w:eastAsia="Times New Roman"/>
      <w:b/>
      <w:smallCaps/>
      <w:szCs w:val="20"/>
    </w:rPr>
  </w:style>
  <w:style w:type="paragraph" w:styleId="Heading2">
    <w:name w:val="heading 2"/>
    <w:basedOn w:val="Normal"/>
    <w:next w:val="NormalPara"/>
    <w:link w:val="Heading2Char"/>
    <w:qFormat/>
    <w:rsid w:val="00AE6D13"/>
    <w:pPr>
      <w:keepNext/>
      <w:numPr>
        <w:ilvl w:val="1"/>
        <w:numId w:val="17"/>
      </w:numPr>
      <w:outlineLvl w:val="1"/>
    </w:pPr>
    <w:rPr>
      <w:rFonts w:eastAsia="Times New Roman"/>
      <w:b/>
      <w:szCs w:val="20"/>
    </w:rPr>
  </w:style>
  <w:style w:type="paragraph" w:styleId="Heading3">
    <w:name w:val="heading 3"/>
    <w:basedOn w:val="Normal"/>
    <w:next w:val="NormalPara"/>
    <w:link w:val="Heading3Char"/>
    <w:qFormat/>
    <w:rsid w:val="00AE6D13"/>
    <w:pPr>
      <w:keepNext/>
      <w:numPr>
        <w:ilvl w:val="2"/>
        <w:numId w:val="17"/>
      </w:numPr>
      <w:outlineLvl w:val="2"/>
    </w:pPr>
    <w:rPr>
      <w:rFonts w:eastAsia="Times New Roman"/>
      <w:i/>
      <w:szCs w:val="20"/>
    </w:rPr>
  </w:style>
  <w:style w:type="paragraph" w:styleId="Heading4">
    <w:name w:val="heading 4"/>
    <w:basedOn w:val="Normal"/>
    <w:next w:val="NormalPara"/>
    <w:link w:val="Heading4Char"/>
    <w:qFormat/>
    <w:rsid w:val="00AE6D13"/>
    <w:pPr>
      <w:keepNext/>
      <w:numPr>
        <w:ilvl w:val="3"/>
        <w:numId w:val="17"/>
      </w:numPr>
      <w:outlineLvl w:val="3"/>
    </w:pPr>
    <w:rPr>
      <w:rFonts w:eastAsia="Times New Roman"/>
      <w:szCs w:val="20"/>
    </w:rPr>
  </w:style>
  <w:style w:type="paragraph" w:styleId="Heading5">
    <w:name w:val="heading 5"/>
    <w:basedOn w:val="Normal"/>
    <w:next w:val="Normal"/>
    <w:link w:val="Heading5Char"/>
    <w:uiPriority w:val="9"/>
    <w:unhideWhenUsed/>
    <w:qFormat/>
    <w:rsid w:val="00DF7979"/>
    <w:pPr>
      <w:keepNext/>
      <w:keepLines/>
      <w:numPr>
        <w:ilvl w:val="4"/>
        <w:numId w:val="17"/>
      </w:numPr>
      <w:spacing w:after="120"/>
      <w:ind w:left="1009" w:hanging="1009"/>
      <w:outlineLvl w:val="4"/>
    </w:pPr>
    <w:rPr>
      <w:rFonts w:eastAsiaTheme="majorEastAsia"/>
      <w:i/>
      <w:iCs/>
      <w:color w:val="365F91" w:themeColor="accent1" w:themeShade="BF"/>
    </w:rPr>
  </w:style>
  <w:style w:type="paragraph" w:styleId="Heading6">
    <w:name w:val="heading 6"/>
    <w:basedOn w:val="Normal"/>
    <w:next w:val="Normal"/>
    <w:link w:val="Heading6Char"/>
    <w:uiPriority w:val="9"/>
    <w:semiHidden/>
    <w:unhideWhenUsed/>
    <w:qFormat/>
    <w:rsid w:val="00C93244"/>
    <w:pPr>
      <w:keepNext/>
      <w:keepLines/>
      <w:numPr>
        <w:ilvl w:val="5"/>
        <w:numId w:val="17"/>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C93244"/>
    <w:pPr>
      <w:keepNext/>
      <w:keepLines/>
      <w:numPr>
        <w:ilvl w:val="6"/>
        <w:numId w:val="17"/>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C93244"/>
    <w:pPr>
      <w:keepNext/>
      <w:keepLines/>
      <w:numPr>
        <w:ilvl w:val="7"/>
        <w:numId w:val="1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93244"/>
    <w:pPr>
      <w:keepNext/>
      <w:keepLines/>
      <w:numPr>
        <w:ilvl w:val="8"/>
        <w:numId w:val="1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E6D13"/>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sid w:val="00AE6D13"/>
    <w:rPr>
      <w:rFonts w:ascii="Times New Roman" w:eastAsia="Times New Roman" w:hAnsi="Times New Roman" w:cs="Times New Roman"/>
      <w:b/>
      <w:sz w:val="24"/>
      <w:szCs w:val="20"/>
    </w:rPr>
  </w:style>
  <w:style w:type="character" w:customStyle="1" w:styleId="Heading3Char">
    <w:name w:val="Heading 3 Char"/>
    <w:basedOn w:val="DefaultParagraphFont"/>
    <w:link w:val="Heading3"/>
    <w:rsid w:val="00AE6D13"/>
    <w:rPr>
      <w:rFonts w:ascii="Times New Roman" w:eastAsia="Times New Roman" w:hAnsi="Times New Roman" w:cs="Times New Roman"/>
      <w:i/>
      <w:sz w:val="24"/>
      <w:szCs w:val="20"/>
    </w:rPr>
  </w:style>
  <w:style w:type="character" w:customStyle="1" w:styleId="Heading4Char">
    <w:name w:val="Heading 4 Char"/>
    <w:basedOn w:val="DefaultParagraphFont"/>
    <w:link w:val="Heading4"/>
    <w:rsid w:val="00AE6D13"/>
    <w:rPr>
      <w:rFonts w:ascii="Times New Roman" w:eastAsia="Times New Roman" w:hAnsi="Times New Roman" w:cs="Times New Roman"/>
      <w:sz w:val="24"/>
      <w:szCs w:val="20"/>
    </w:rPr>
  </w:style>
  <w:style w:type="character" w:customStyle="1" w:styleId="Marker">
    <w:name w:val="Marker"/>
    <w:basedOn w:val="DefaultParagraphFont"/>
    <w:rsid w:val="003517B0"/>
    <w:rPr>
      <w:color w:val="0000FF"/>
      <w:bdr w:val="none" w:sz="0" w:space="0" w:color="auto"/>
      <w:shd w:val="clear" w:color="auto" w:fill="auto"/>
    </w:rPr>
  </w:style>
  <w:style w:type="paragraph" w:customStyle="1" w:styleId="Pagedecouverture">
    <w:name w:val="Page de couverture"/>
    <w:basedOn w:val="Normal"/>
    <w:next w:val="Normal"/>
    <w:rsid w:val="00AE6D13"/>
    <w:pPr>
      <w:spacing w:after="0"/>
    </w:pPr>
  </w:style>
  <w:style w:type="paragraph" w:styleId="Header">
    <w:name w:val="header"/>
    <w:basedOn w:val="Normal"/>
    <w:link w:val="HeaderChar"/>
    <w:uiPriority w:val="99"/>
    <w:unhideWhenUsed/>
    <w:rsid w:val="00AE6D13"/>
    <w:pPr>
      <w:tabs>
        <w:tab w:val="center" w:pos="4535"/>
        <w:tab w:val="right" w:pos="9071"/>
      </w:tabs>
      <w:spacing w:after="120"/>
    </w:pPr>
  </w:style>
  <w:style w:type="character" w:customStyle="1" w:styleId="HeaderChar">
    <w:name w:val="Header Char"/>
    <w:basedOn w:val="DefaultParagraphFont"/>
    <w:link w:val="Header"/>
    <w:uiPriority w:val="99"/>
    <w:rsid w:val="00AE6D13"/>
    <w:rPr>
      <w:rFonts w:ascii="Times New Roman" w:hAnsi="Times New Roman" w:cs="Times New Roman"/>
      <w:sz w:val="24"/>
      <w:szCs w:val="24"/>
    </w:rPr>
  </w:style>
  <w:style w:type="paragraph" w:styleId="Footer">
    <w:name w:val="footer"/>
    <w:basedOn w:val="Normal"/>
    <w:link w:val="FooterChar"/>
    <w:uiPriority w:val="99"/>
    <w:unhideWhenUsed/>
    <w:rsid w:val="00AE6D13"/>
    <w:pPr>
      <w:tabs>
        <w:tab w:val="center" w:pos="4535"/>
        <w:tab w:val="right" w:pos="9071"/>
        <w:tab w:val="right" w:pos="9921"/>
      </w:tabs>
      <w:spacing w:before="360" w:after="0"/>
      <w:ind w:left="-850" w:right="-850"/>
    </w:pPr>
  </w:style>
  <w:style w:type="character" w:customStyle="1" w:styleId="FooterChar">
    <w:name w:val="Footer Char"/>
    <w:basedOn w:val="DefaultParagraphFont"/>
    <w:link w:val="Footer"/>
    <w:uiPriority w:val="99"/>
    <w:rsid w:val="00AE6D13"/>
    <w:rPr>
      <w:rFonts w:ascii="Times New Roman" w:hAnsi="Times New Roman" w:cs="Times New Roman"/>
      <w:sz w:val="24"/>
      <w:szCs w:val="24"/>
    </w:rPr>
  </w:style>
  <w:style w:type="paragraph" w:customStyle="1" w:styleId="FooterCoverPage">
    <w:name w:val="Footer Cover Page"/>
    <w:basedOn w:val="Normal"/>
    <w:link w:val="FooterCoverPageChar"/>
    <w:rsid w:val="00AE6D13"/>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sid w:val="00AE6D13"/>
    <w:rPr>
      <w:rFonts w:ascii="Times New Roman" w:hAnsi="Times New Roman" w:cs="Times New Roman"/>
      <w:sz w:val="24"/>
      <w:szCs w:val="24"/>
    </w:rPr>
  </w:style>
  <w:style w:type="paragraph" w:customStyle="1" w:styleId="HeaderCoverPage">
    <w:name w:val="Header Cover Page"/>
    <w:basedOn w:val="Normal"/>
    <w:link w:val="HeaderCoverPageChar"/>
    <w:rsid w:val="00AE6D13"/>
    <w:pPr>
      <w:tabs>
        <w:tab w:val="center" w:pos="4535"/>
        <w:tab w:val="right" w:pos="9071"/>
      </w:tabs>
      <w:spacing w:after="120"/>
    </w:pPr>
  </w:style>
  <w:style w:type="character" w:customStyle="1" w:styleId="HeaderCoverPageChar">
    <w:name w:val="Header Cover Page Char"/>
    <w:basedOn w:val="DefaultParagraphFont"/>
    <w:link w:val="HeaderCoverPage"/>
    <w:rsid w:val="00AE6D13"/>
    <w:rPr>
      <w:rFonts w:ascii="Times New Roman" w:hAnsi="Times New Roman" w:cs="Times New Roman"/>
      <w:sz w:val="24"/>
      <w:szCs w:val="24"/>
    </w:rPr>
  </w:style>
  <w:style w:type="paragraph" w:customStyle="1" w:styleId="Text1">
    <w:name w:val="Text 1"/>
    <w:basedOn w:val="Normal"/>
    <w:uiPriority w:val="1"/>
    <w:qFormat/>
    <w:rsid w:val="00AE6D13"/>
    <w:pPr>
      <w:ind w:left="482"/>
    </w:pPr>
    <w:rPr>
      <w:rFonts w:eastAsia="Times New Roman"/>
      <w:szCs w:val="20"/>
    </w:rPr>
  </w:style>
  <w:style w:type="paragraph" w:customStyle="1" w:styleId="Text2">
    <w:name w:val="Text 2"/>
    <w:basedOn w:val="Normal"/>
    <w:rsid w:val="00AE6D13"/>
    <w:pPr>
      <w:tabs>
        <w:tab w:val="left" w:pos="2302"/>
      </w:tabs>
      <w:ind w:left="1202"/>
    </w:pPr>
    <w:rPr>
      <w:rFonts w:eastAsia="Times New Roman"/>
      <w:szCs w:val="20"/>
    </w:rPr>
  </w:style>
  <w:style w:type="paragraph" w:styleId="ListBullet">
    <w:name w:val="List Bullet"/>
    <w:basedOn w:val="Normal"/>
    <w:rsid w:val="00AE6D13"/>
    <w:pPr>
      <w:numPr>
        <w:numId w:val="4"/>
      </w:numPr>
    </w:pPr>
    <w:rPr>
      <w:rFonts w:eastAsia="Times New Roman"/>
      <w:szCs w:val="20"/>
    </w:rPr>
  </w:style>
  <w:style w:type="paragraph" w:customStyle="1" w:styleId="ListDash1">
    <w:name w:val="List Dash 1"/>
    <w:basedOn w:val="Text1"/>
    <w:rsid w:val="00AE6D13"/>
    <w:pPr>
      <w:numPr>
        <w:numId w:val="5"/>
      </w:numPr>
    </w:pPr>
  </w:style>
  <w:style w:type="table" w:styleId="TableGrid">
    <w:name w:val="Table Grid"/>
    <w:aliases w:val="Document Table,CV1"/>
    <w:basedOn w:val="TableNormal"/>
    <w:uiPriority w:val="59"/>
    <w:rsid w:val="00AE6D1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Heading1"/>
    <w:next w:val="Normal"/>
    <w:link w:val="AnnexTitleChar"/>
    <w:autoRedefine/>
    <w:qFormat/>
    <w:rsid w:val="00AF4E25"/>
    <w:pPr>
      <w:numPr>
        <w:numId w:val="10"/>
      </w:numPr>
      <w:spacing w:after="480"/>
      <w:jc w:val="center"/>
    </w:pPr>
    <w:rPr>
      <w:sz w:val="32"/>
    </w:rPr>
  </w:style>
  <w:style w:type="character" w:customStyle="1" w:styleId="AnnexTitleChar">
    <w:name w:val="Annex Title Char"/>
    <w:basedOn w:val="DefaultParagraphFont"/>
    <w:link w:val="AnnexTitle"/>
    <w:rsid w:val="00AF4E25"/>
    <w:rPr>
      <w:rFonts w:ascii="Times New Roman" w:eastAsia="Times New Roman" w:hAnsi="Times New Roman" w:cs="Times New Roman"/>
      <w:b/>
      <w:smallCaps/>
      <w:sz w:val="32"/>
      <w:szCs w:val="20"/>
    </w:rPr>
  </w:style>
  <w:style w:type="table" w:customStyle="1" w:styleId="CV11">
    <w:name w:val="CV11"/>
    <w:basedOn w:val="TableNormal"/>
    <w:next w:val="TableGrid"/>
    <w:uiPriority w:val="59"/>
    <w:rsid w:val="00AE6D1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rsid w:val="00AE6D1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sid w:val="00AE6D1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F73D2D"/>
    <w:pPr>
      <w:tabs>
        <w:tab w:val="right" w:leader="dot" w:pos="8640"/>
      </w:tabs>
      <w:spacing w:before="120" w:after="120"/>
      <w:ind w:left="482" w:right="-29" w:hanging="482"/>
    </w:pPr>
    <w:rPr>
      <w:rFonts w:eastAsia="Times New Roman"/>
      <w:caps/>
      <w:noProof/>
      <w:szCs w:val="20"/>
    </w:rPr>
  </w:style>
  <w:style w:type="paragraph" w:styleId="TOC2">
    <w:name w:val="toc 2"/>
    <w:basedOn w:val="Normal"/>
    <w:next w:val="Normal"/>
    <w:uiPriority w:val="39"/>
    <w:rsid w:val="00F73D2D"/>
    <w:pPr>
      <w:tabs>
        <w:tab w:val="left" w:pos="1077"/>
        <w:tab w:val="right" w:leader="dot" w:pos="8640"/>
      </w:tabs>
      <w:spacing w:before="60" w:after="60"/>
      <w:ind w:left="1077" w:right="-29" w:hanging="595"/>
    </w:pPr>
    <w:rPr>
      <w:rFonts w:eastAsia="Times New Roman"/>
      <w:noProof/>
      <w:szCs w:val="20"/>
    </w:rPr>
  </w:style>
  <w:style w:type="paragraph" w:styleId="TOCHeading">
    <w:name w:val="TOC Heading"/>
    <w:basedOn w:val="Normal"/>
    <w:next w:val="Normal"/>
    <w:qFormat/>
    <w:rsid w:val="00AE6D13"/>
    <w:pPr>
      <w:keepNext/>
      <w:spacing w:before="240"/>
      <w:jc w:val="center"/>
    </w:pPr>
    <w:rPr>
      <w:rFonts w:eastAsia="Times New Roman"/>
      <w:b/>
      <w:szCs w:val="20"/>
    </w:rPr>
  </w:style>
  <w:style w:type="character" w:styleId="Hyperlink">
    <w:name w:val="Hyperlink"/>
    <w:basedOn w:val="DefaultParagraphFont"/>
    <w:uiPriority w:val="99"/>
    <w:unhideWhenUsed/>
    <w:rsid w:val="002744BA"/>
    <w:rPr>
      <w:rFonts w:ascii="Times New Roman" w:hAnsi="Times New Roman"/>
      <w:color w:val="0000FF" w:themeColor="hyperlink"/>
      <w:u w:val="single"/>
    </w:rPr>
  </w:style>
  <w:style w:type="paragraph" w:styleId="BalloonText">
    <w:name w:val="Balloon Text"/>
    <w:basedOn w:val="Normal"/>
    <w:link w:val="BalloonTextChar"/>
    <w:uiPriority w:val="99"/>
    <w:semiHidden/>
    <w:unhideWhenUsed/>
    <w:rsid w:val="00AE6D1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6D13"/>
    <w:rPr>
      <w:rFonts w:ascii="Tahoma" w:hAnsi="Tahoma" w:cs="Tahoma"/>
      <w:sz w:val="16"/>
      <w:szCs w:val="16"/>
    </w:rPr>
  </w:style>
  <w:style w:type="paragraph" w:customStyle="1" w:styleId="Declassification">
    <w:name w:val="Declassification"/>
    <w:basedOn w:val="Normal"/>
    <w:next w:val="Normal"/>
    <w:rsid w:val="00AE6D13"/>
    <w:pPr>
      <w:spacing w:after="0"/>
    </w:pPr>
  </w:style>
  <w:style w:type="paragraph" w:customStyle="1" w:styleId="HeaderLandscape">
    <w:name w:val="HeaderLandscape"/>
    <w:basedOn w:val="Normal"/>
    <w:rsid w:val="00AE6D13"/>
    <w:pPr>
      <w:tabs>
        <w:tab w:val="center" w:pos="7285"/>
        <w:tab w:val="right" w:pos="14003"/>
      </w:tabs>
      <w:spacing w:after="120"/>
    </w:pPr>
  </w:style>
  <w:style w:type="paragraph" w:customStyle="1" w:styleId="HeaderSensitivity">
    <w:name w:val="Header Sensitivity"/>
    <w:basedOn w:val="Normal"/>
    <w:rsid w:val="00AE6D13"/>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rsid w:val="00AE6D13"/>
    <w:pPr>
      <w:tabs>
        <w:tab w:val="center" w:pos="7285"/>
        <w:tab w:val="center" w:pos="10913"/>
        <w:tab w:val="right" w:pos="15137"/>
      </w:tabs>
      <w:spacing w:before="360" w:after="0"/>
      <w:ind w:left="-567" w:right="-567"/>
    </w:pPr>
  </w:style>
  <w:style w:type="paragraph" w:customStyle="1" w:styleId="FooterSensitivity">
    <w:name w:val="Footer Sensitivity"/>
    <w:basedOn w:val="Normal"/>
    <w:rsid w:val="00AE6D13"/>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HeaderSensitivityRight">
    <w:name w:val="Header Sensitivity Right"/>
    <w:basedOn w:val="Normal"/>
    <w:link w:val="HeaderSensitivityRightChar"/>
    <w:rsid w:val="00AE6D13"/>
    <w:pPr>
      <w:spacing w:after="120"/>
      <w:jc w:val="right"/>
    </w:pPr>
    <w:rPr>
      <w:sz w:val="28"/>
    </w:rPr>
  </w:style>
  <w:style w:type="character" w:customStyle="1" w:styleId="HeaderSensitivityRightChar">
    <w:name w:val="Header Sensitivity Right Char"/>
    <w:basedOn w:val="DefaultParagraphFont"/>
    <w:link w:val="HeaderSensitivityRight"/>
    <w:rsid w:val="00AE6D13"/>
    <w:rPr>
      <w:rFonts w:ascii="Times New Roman" w:hAnsi="Times New Roman" w:cs="Times New Roman"/>
      <w:sz w:val="28"/>
      <w:szCs w:val="24"/>
    </w:rPr>
  </w:style>
  <w:style w:type="character" w:customStyle="1" w:styleId="Heading5Char">
    <w:name w:val="Heading 5 Char"/>
    <w:basedOn w:val="DefaultParagraphFont"/>
    <w:link w:val="Heading5"/>
    <w:uiPriority w:val="9"/>
    <w:rsid w:val="00DF7979"/>
    <w:rPr>
      <w:rFonts w:ascii="Times New Roman" w:eastAsiaTheme="majorEastAsia" w:hAnsi="Times New Roman" w:cs="Times New Roman"/>
      <w:i/>
      <w:iCs/>
      <w:color w:val="365F91" w:themeColor="accent1" w:themeShade="BF"/>
      <w:sz w:val="24"/>
      <w:szCs w:val="24"/>
    </w:rPr>
  </w:style>
  <w:style w:type="paragraph" w:styleId="Title">
    <w:name w:val="Title"/>
    <w:basedOn w:val="Normal"/>
    <w:next w:val="Normal"/>
    <w:link w:val="TitleChar"/>
    <w:uiPriority w:val="10"/>
    <w:qFormat/>
    <w:rsid w:val="00AE6D13"/>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6D13"/>
    <w:rPr>
      <w:rFonts w:asciiTheme="majorHAnsi" w:eastAsiaTheme="majorEastAsia" w:hAnsiTheme="majorHAnsi" w:cstheme="majorBidi"/>
      <w:spacing w:val="-10"/>
      <w:kern w:val="28"/>
      <w:sz w:val="56"/>
      <w:szCs w:val="56"/>
    </w:rPr>
  </w:style>
  <w:style w:type="paragraph" w:styleId="NoSpacing">
    <w:name w:val="No Spacing"/>
    <w:uiPriority w:val="1"/>
    <w:qFormat/>
    <w:rsid w:val="00AE6D13"/>
    <w:pPr>
      <w:spacing w:after="0" w:line="240" w:lineRule="auto"/>
    </w:pPr>
    <w:rPr>
      <w:rFonts w:eastAsiaTheme="minorEastAsia"/>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rsid w:val="00AE6D13"/>
    <w:pPr>
      <w:spacing w:after="0"/>
    </w:pPr>
    <w:rPr>
      <w:rFonts w:eastAsiaTheme="minorEastAsia"/>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sid w:val="00AE6D13"/>
    <w:rPr>
      <w:rFonts w:ascii="Times New Roman" w:eastAsiaTheme="minorEastAsia" w:hAnsi="Times New Roman" w:cs="Times New Roman"/>
      <w:sz w:val="20"/>
      <w:szCs w:val="20"/>
    </w:rPr>
  </w:style>
  <w:style w:type="character" w:styleId="FootnoteReference">
    <w:name w:val="footnote reference"/>
    <w:aliases w:val="Footnote symbol,Footnote reference number,note TESI,BVI fnr,Appel note de bas de p,Nota,SUPERS,Footnote number,Footnote Reference Superscript,EN Footnote Reference,-E Fußnotenzeichen,number Char Char,number,Ref,styl,styli,de nota al p"/>
    <w:basedOn w:val="DefaultParagraphFont"/>
    <w:link w:val="CharCharChar1"/>
    <w:uiPriority w:val="99"/>
    <w:unhideWhenUsed/>
    <w:qFormat/>
    <w:rsid w:val="00AE6D13"/>
    <w:rPr>
      <w:rFonts w:ascii="Times New Roman" w:hAnsi="Times New Roman" w:cs="Times New Roman"/>
      <w:sz w:val="24"/>
      <w:szCs w:val="24"/>
      <w:vertAlign w:val="superscript"/>
    </w:rPr>
  </w:style>
  <w:style w:type="paragraph" w:customStyle="1" w:styleId="CharCharChar1">
    <w:name w:val="Char Char Char1"/>
    <w:basedOn w:val="Normal"/>
    <w:link w:val="FootnoteReference"/>
    <w:uiPriority w:val="99"/>
    <w:rsid w:val="00AE6D13"/>
    <w:pPr>
      <w:spacing w:after="160" w:line="240" w:lineRule="exact"/>
    </w:pPr>
    <w:rPr>
      <w:vertAlign w:val="superscript"/>
    </w:rPr>
  </w:style>
  <w:style w:type="paragraph" w:styleId="ListParagraph">
    <w:name w:val="List Paragraph"/>
    <w:aliases w:val="Fiche List Paragraph,OBC Bullet,Dot pt,F5 List Paragraph,List Paragraph1,No Spacing1,List Paragraph Char Char Char,Indicator Text,Colorful List - Accent 11,Numbered Para 1,Bullet 1,Bullet Points,MAIN CONTENT,List Paragraph11,2,Bullet St,L"/>
    <w:basedOn w:val="Normal"/>
    <w:link w:val="ListParagraphChar"/>
    <w:uiPriority w:val="34"/>
    <w:qFormat/>
    <w:rsid w:val="00AE6D13"/>
    <w:pPr>
      <w:ind w:left="720"/>
      <w:contextualSpacing/>
    </w:pPr>
  </w:style>
  <w:style w:type="character" w:styleId="CommentReference">
    <w:name w:val="annotation reference"/>
    <w:basedOn w:val="DefaultParagraphFont"/>
    <w:unhideWhenUsed/>
    <w:qFormat/>
    <w:rsid w:val="00AE6D13"/>
    <w:rPr>
      <w:sz w:val="16"/>
      <w:szCs w:val="16"/>
    </w:rPr>
  </w:style>
  <w:style w:type="paragraph" w:styleId="CommentText">
    <w:name w:val="annotation text"/>
    <w:basedOn w:val="Normal"/>
    <w:link w:val="CommentTextChar"/>
    <w:unhideWhenUsed/>
    <w:qFormat/>
    <w:rsid w:val="00AE6D13"/>
    <w:rPr>
      <w:sz w:val="20"/>
      <w:szCs w:val="20"/>
    </w:rPr>
  </w:style>
  <w:style w:type="character" w:customStyle="1" w:styleId="CommentTextChar">
    <w:name w:val="Comment Text Char"/>
    <w:basedOn w:val="DefaultParagraphFont"/>
    <w:link w:val="CommentText"/>
    <w:rsid w:val="00AE6D1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E6D13"/>
    <w:rPr>
      <w:b/>
      <w:bCs/>
    </w:rPr>
  </w:style>
  <w:style w:type="character" w:customStyle="1" w:styleId="CommentSubjectChar">
    <w:name w:val="Comment Subject Char"/>
    <w:basedOn w:val="CommentTextChar"/>
    <w:link w:val="CommentSubject"/>
    <w:uiPriority w:val="99"/>
    <w:semiHidden/>
    <w:rsid w:val="00AE6D13"/>
    <w:rPr>
      <w:rFonts w:ascii="Times New Roman" w:hAnsi="Times New Roman" w:cs="Times New Roman"/>
      <w:b/>
      <w:bCs/>
      <w:sz w:val="20"/>
      <w:szCs w:val="20"/>
    </w:rPr>
  </w:style>
  <w:style w:type="paragraph" w:styleId="Revision">
    <w:name w:val="Revision"/>
    <w:hidden/>
    <w:uiPriority w:val="99"/>
    <w:semiHidden/>
    <w:rsid w:val="002252CF"/>
    <w:pPr>
      <w:spacing w:after="0" w:line="240" w:lineRule="auto"/>
    </w:pPr>
    <w:rPr>
      <w:rFonts w:ascii="@Yu Mincho Light" w:hAnsi="@Yu Mincho Light" w:cs="@Yu Mincho Light"/>
      <w:sz w:val="24"/>
      <w:szCs w:val="24"/>
    </w:rPr>
  </w:style>
  <w:style w:type="paragraph" w:styleId="ListContinue5">
    <w:name w:val="List Continue 5"/>
    <w:basedOn w:val="Normal"/>
    <w:rsid w:val="0086420D"/>
    <w:pPr>
      <w:tabs>
        <w:tab w:val="num" w:pos="709"/>
      </w:tabs>
      <w:spacing w:after="120"/>
      <w:ind w:left="709" w:hanging="709"/>
    </w:pPr>
    <w:rPr>
      <w:rFonts w:eastAsia="@Yu Mincho Light"/>
      <w:szCs w:val="20"/>
    </w:rPr>
  </w:style>
  <w:style w:type="paragraph" w:customStyle="1" w:styleId="ListNumber1">
    <w:name w:val="List Number 1"/>
    <w:basedOn w:val="Text1"/>
    <w:rsid w:val="0086420D"/>
    <w:pPr>
      <w:numPr>
        <w:ilvl w:val="1"/>
        <w:numId w:val="2"/>
      </w:numPr>
    </w:pPr>
  </w:style>
  <w:style w:type="paragraph" w:customStyle="1" w:styleId="ListNumber1Level2">
    <w:name w:val="List Number 1 (Level 2)"/>
    <w:basedOn w:val="Text1"/>
    <w:rsid w:val="0086420D"/>
    <w:pPr>
      <w:numPr>
        <w:ilvl w:val="2"/>
        <w:numId w:val="2"/>
      </w:numPr>
    </w:pPr>
  </w:style>
  <w:style w:type="paragraph" w:customStyle="1" w:styleId="ListNumber1Level3">
    <w:name w:val="List Number 1 (Level 3)"/>
    <w:basedOn w:val="Text1"/>
    <w:rsid w:val="0086420D"/>
    <w:pPr>
      <w:numPr>
        <w:ilvl w:val="3"/>
        <w:numId w:val="2"/>
      </w:numPr>
    </w:pPr>
  </w:style>
  <w:style w:type="paragraph" w:styleId="NormalWeb">
    <w:name w:val="Normal (Web)"/>
    <w:basedOn w:val="Normal"/>
    <w:uiPriority w:val="99"/>
    <w:rsid w:val="0086420D"/>
    <w:pPr>
      <w:spacing w:before="100" w:beforeAutospacing="1" w:after="100" w:afterAutospacing="1"/>
      <w:jc w:val="left"/>
    </w:pPr>
    <w:rPr>
      <w:rFonts w:eastAsia="Times New Roman"/>
      <w:lang w:eastAsia="en-GB"/>
    </w:rPr>
  </w:style>
  <w:style w:type="character" w:customStyle="1" w:styleId="ListParagraphChar">
    <w:name w:val="List Paragraph Char"/>
    <w:aliases w:val="Fiche List Paragraph Char,OBC Bullet Char,Dot pt Char,F5 List Paragraph Char,List Paragraph1 Char,No Spacing1 Char,List Paragraph Char Char Char Char,Indicator Text Char,Colorful List - Accent 11 Char,Numbered Para 1 Char,2 Char"/>
    <w:link w:val="ListParagraph"/>
    <w:uiPriority w:val="34"/>
    <w:qFormat/>
    <w:locked/>
    <w:rsid w:val="0086420D"/>
    <w:rPr>
      <w:rFonts w:ascii="Times New Roman" w:hAnsi="Times New Roman" w:cs="Times New Roman"/>
      <w:sz w:val="24"/>
      <w:szCs w:val="24"/>
    </w:rPr>
  </w:style>
  <w:style w:type="paragraph" w:customStyle="1" w:styleId="Text3">
    <w:name w:val="Text 3"/>
    <w:basedOn w:val="Normal"/>
    <w:rsid w:val="009066FB"/>
    <w:pPr>
      <w:spacing w:before="120" w:after="120"/>
      <w:ind w:left="850"/>
    </w:pPr>
    <w:rPr>
      <w:rFonts w:eastAsia="Times New Roman"/>
      <w:lang w:eastAsia="de-DE"/>
    </w:rPr>
  </w:style>
  <w:style w:type="paragraph" w:customStyle="1" w:styleId="Tiret2">
    <w:name w:val="Tiret 2"/>
    <w:basedOn w:val="Normal"/>
    <w:rsid w:val="009066FB"/>
    <w:pPr>
      <w:tabs>
        <w:tab w:val="num" w:pos="1984"/>
      </w:tabs>
      <w:spacing w:before="120" w:after="120"/>
      <w:ind w:left="1984" w:hanging="567"/>
    </w:pPr>
    <w:rPr>
      <w:rFonts w:eastAsia="Times New Roman"/>
      <w:lang w:eastAsia="de-DE"/>
    </w:rPr>
  </w:style>
  <w:style w:type="character" w:styleId="FollowedHyperlink">
    <w:name w:val="FollowedHyperlink"/>
    <w:basedOn w:val="DefaultParagraphFont"/>
    <w:uiPriority w:val="99"/>
    <w:semiHidden/>
    <w:unhideWhenUsed/>
    <w:rsid w:val="00AE6D13"/>
    <w:rPr>
      <w:color w:val="800080" w:themeColor="followedHyperlink"/>
      <w:u w:val="single"/>
    </w:rPr>
  </w:style>
  <w:style w:type="character" w:customStyle="1" w:styleId="UnresolvedMention1">
    <w:name w:val="Unresolved Mention1"/>
    <w:basedOn w:val="DefaultParagraphFont"/>
    <w:uiPriority w:val="99"/>
    <w:semiHidden/>
    <w:unhideWhenUsed/>
    <w:rsid w:val="00AE6D13"/>
    <w:rPr>
      <w:color w:val="605E5C"/>
      <w:shd w:val="clear" w:color="auto" w:fill="E1DFDD"/>
    </w:rPr>
  </w:style>
  <w:style w:type="paragraph" w:customStyle="1" w:styleId="Normal12Hanging">
    <w:name w:val="Normal12Hanging"/>
    <w:basedOn w:val="Normal"/>
    <w:link w:val="Normal12HangingChar"/>
    <w:rsid w:val="00E0089E"/>
    <w:pPr>
      <w:widowControl w:val="0"/>
      <w:ind w:left="567" w:hanging="567"/>
      <w:jc w:val="left"/>
    </w:pPr>
    <w:rPr>
      <w:rFonts w:eastAsia="Times New Roman"/>
      <w:szCs w:val="20"/>
      <w:lang w:eastAsia="en-GB"/>
    </w:rPr>
  </w:style>
  <w:style w:type="character" w:customStyle="1" w:styleId="Normal12HangingChar">
    <w:name w:val="Normal12Hanging Char"/>
    <w:link w:val="Normal12Hanging"/>
    <w:rsid w:val="00E0089E"/>
    <w:rPr>
      <w:rFonts w:ascii="Times New Roman" w:eastAsia="Times New Roman" w:hAnsi="Times New Roman" w:cs="Times New Roman"/>
      <w:sz w:val="24"/>
      <w:szCs w:val="20"/>
      <w:lang w:eastAsia="en-GB"/>
    </w:rPr>
  </w:style>
  <w:style w:type="paragraph" w:styleId="Caption">
    <w:name w:val="caption"/>
    <w:aliases w:val="Char Char Char,Caption1 Char Char Char Char Char Char Char Char,Caption1 Char Char Char Char Char Char Char Char Tegn Tegn Tegn Tegn Tegn,Caption1 Char Char Char Char Char Char Char Char Tegn Tegn Tegn,Char Car,Caption - Centre Graphic,Ch"/>
    <w:basedOn w:val="Normal"/>
    <w:next w:val="Normal"/>
    <w:uiPriority w:val="35"/>
    <w:qFormat/>
    <w:rsid w:val="007E084F"/>
    <w:pPr>
      <w:keepNext/>
      <w:spacing w:before="120" w:after="120"/>
    </w:pPr>
    <w:rPr>
      <w:rFonts w:eastAsia="@Yu Mincho Light"/>
      <w:b/>
      <w:color w:val="263673"/>
      <w:sz w:val="20"/>
      <w:szCs w:val="20"/>
      <w:lang w:val="fr-FR"/>
    </w:rPr>
  </w:style>
  <w:style w:type="paragraph" w:styleId="ListNumber5">
    <w:name w:val="List Number 5"/>
    <w:basedOn w:val="Normal"/>
    <w:rsid w:val="007E084F"/>
    <w:pPr>
      <w:tabs>
        <w:tab w:val="num" w:pos="1492"/>
      </w:tabs>
      <w:ind w:left="1492" w:hanging="360"/>
    </w:pPr>
    <w:rPr>
      <w:rFonts w:eastAsia="Times New Roman"/>
      <w:szCs w:val="20"/>
      <w:lang w:val="fr-FR"/>
    </w:rPr>
  </w:style>
  <w:style w:type="paragraph" w:customStyle="1" w:styleId="Body">
    <w:name w:val="Body"/>
    <w:basedOn w:val="Normal"/>
    <w:link w:val="BodyChar"/>
    <w:qFormat/>
    <w:rsid w:val="00C66631"/>
    <w:pPr>
      <w:spacing w:after="120"/>
    </w:pPr>
    <w:rPr>
      <w:rFonts w:eastAsia="Times New Roman" w:cs="Verdana"/>
      <w:szCs w:val="20"/>
      <w:lang w:eastAsia="nl-BE"/>
    </w:rPr>
  </w:style>
  <w:style w:type="character" w:customStyle="1" w:styleId="BodyChar">
    <w:name w:val="Body Char"/>
    <w:aliases w:val="Body Text Char,Body Text Char1 Char,Body Text Char Char Char,Body Text Char2 Char Char Char,Body Text Char1 Char Char Char Char,Body Text Char Char Char Char Char Char,Body Text Char2 Char Char Char Char Char Char,Bod Char,bt Char,b Char"/>
    <w:link w:val="Body"/>
    <w:rsid w:val="007E084F"/>
    <w:rPr>
      <w:rFonts w:ascii="Times New Roman" w:eastAsia="Times New Roman" w:hAnsi="Times New Roman" w:cs="Verdana"/>
      <w:sz w:val="24"/>
      <w:szCs w:val="20"/>
      <w:lang w:eastAsia="nl-B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rsid w:val="007E084F"/>
    <w:pPr>
      <w:spacing w:after="160" w:line="240" w:lineRule="exact"/>
    </w:pPr>
    <w:rPr>
      <w:rFonts w:eastAsia="Times New Roman"/>
      <w:sz w:val="20"/>
      <w:szCs w:val="20"/>
      <w:vertAlign w:val="superscript"/>
      <w:lang w:val="nl-BE" w:eastAsia="nl-BE"/>
    </w:rPr>
  </w:style>
  <w:style w:type="table" w:customStyle="1" w:styleId="TableGrid1">
    <w:name w:val="Table Grid1"/>
    <w:basedOn w:val="TableNormal"/>
    <w:next w:val="TableGrid"/>
    <w:uiPriority w:val="59"/>
    <w:rsid w:val="00CF43E4"/>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unhideWhenUsed/>
    <w:rPr>
      <w:color w:val="2B579A"/>
      <w:shd w:val="clear" w:color="auto" w:fill="E6E6E6"/>
    </w:rPr>
  </w:style>
  <w:style w:type="paragraph" w:customStyle="1" w:styleId="ingress">
    <w:name w:val="ingress"/>
    <w:basedOn w:val="Normal"/>
    <w:rsid w:val="00FA408C"/>
    <w:pPr>
      <w:spacing w:before="100" w:beforeAutospacing="1" w:after="100" w:afterAutospacing="1"/>
      <w:jc w:val="left"/>
    </w:pPr>
    <w:rPr>
      <w:rFonts w:eastAsia="Times New Roman"/>
      <w:lang w:eastAsia="en-GB"/>
    </w:rPr>
  </w:style>
  <w:style w:type="character" w:customStyle="1" w:styleId="UnresolvedMention2">
    <w:name w:val="Unresolved Mention2"/>
    <w:basedOn w:val="DefaultParagraphFont"/>
    <w:uiPriority w:val="99"/>
    <w:semiHidden/>
    <w:unhideWhenUsed/>
    <w:rsid w:val="001B1CAB"/>
    <w:rPr>
      <w:color w:val="605E5C"/>
      <w:shd w:val="clear" w:color="auto" w:fill="E1DFDD"/>
    </w:rPr>
  </w:style>
  <w:style w:type="paragraph" w:customStyle="1" w:styleId="paragraph">
    <w:name w:val="paragraph"/>
    <w:basedOn w:val="Normal"/>
    <w:rsid w:val="008C6B72"/>
    <w:pPr>
      <w:spacing w:before="100" w:beforeAutospacing="1" w:after="100" w:afterAutospacing="1"/>
      <w:jc w:val="left"/>
    </w:pPr>
    <w:rPr>
      <w:rFonts w:eastAsia="Times New Roman"/>
      <w:lang w:eastAsia="en-GB"/>
    </w:rPr>
  </w:style>
  <w:style w:type="character" w:customStyle="1" w:styleId="normaltextrun">
    <w:name w:val="normaltextrun"/>
    <w:basedOn w:val="DefaultParagraphFont"/>
    <w:rsid w:val="008C6B72"/>
  </w:style>
  <w:style w:type="character" w:customStyle="1" w:styleId="eop">
    <w:name w:val="eop"/>
    <w:basedOn w:val="DefaultParagraphFont"/>
    <w:rsid w:val="008C6B72"/>
  </w:style>
  <w:style w:type="character" w:customStyle="1" w:styleId="superscript">
    <w:name w:val="superscript"/>
    <w:basedOn w:val="DefaultParagraphFont"/>
    <w:rsid w:val="008C6B72"/>
  </w:style>
  <w:style w:type="paragraph" w:styleId="TOC3">
    <w:name w:val="toc 3"/>
    <w:basedOn w:val="Normal"/>
    <w:next w:val="Normal"/>
    <w:autoRedefine/>
    <w:uiPriority w:val="39"/>
    <w:unhideWhenUsed/>
    <w:rsid w:val="00F73D2D"/>
    <w:pPr>
      <w:tabs>
        <w:tab w:val="left" w:pos="1200"/>
        <w:tab w:val="right" w:leader="dot" w:pos="8608"/>
      </w:tabs>
      <w:spacing w:after="0"/>
      <w:ind w:left="480"/>
      <w:jc w:val="left"/>
    </w:pPr>
    <w:rPr>
      <w:rFonts w:cstheme="minorHAnsi"/>
      <w:iCs/>
      <w:noProof/>
      <w:sz w:val="20"/>
      <w:szCs w:val="20"/>
    </w:rPr>
  </w:style>
  <w:style w:type="character" w:customStyle="1" w:styleId="hwtze">
    <w:name w:val="hwtze"/>
    <w:basedOn w:val="DefaultParagraphFont"/>
    <w:rsid w:val="00E56562"/>
  </w:style>
  <w:style w:type="character" w:customStyle="1" w:styleId="rynqvb">
    <w:name w:val="rynqvb"/>
    <w:basedOn w:val="DefaultParagraphFont"/>
    <w:rsid w:val="00E56562"/>
  </w:style>
  <w:style w:type="character" w:customStyle="1" w:styleId="Heading6Char">
    <w:name w:val="Heading 6 Char"/>
    <w:basedOn w:val="DefaultParagraphFont"/>
    <w:link w:val="Heading6"/>
    <w:uiPriority w:val="9"/>
    <w:semiHidden/>
    <w:rsid w:val="00C93244"/>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uiPriority w:val="9"/>
    <w:semiHidden/>
    <w:rsid w:val="00C93244"/>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uiPriority w:val="9"/>
    <w:semiHidden/>
    <w:rsid w:val="00C9324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93244"/>
    <w:rPr>
      <w:rFonts w:asciiTheme="majorHAnsi" w:eastAsiaTheme="majorEastAsia" w:hAnsiTheme="majorHAnsi" w:cstheme="majorBidi"/>
      <w:i/>
      <w:iCs/>
      <w:color w:val="272727" w:themeColor="text1" w:themeTint="D8"/>
      <w:sz w:val="21"/>
      <w:szCs w:val="21"/>
    </w:rPr>
  </w:style>
  <w:style w:type="character" w:customStyle="1" w:styleId="UnresolvedMention3">
    <w:name w:val="Unresolved Mention3"/>
    <w:basedOn w:val="DefaultParagraphFont"/>
    <w:uiPriority w:val="99"/>
    <w:semiHidden/>
    <w:unhideWhenUsed/>
    <w:rsid w:val="00C93244"/>
    <w:rPr>
      <w:color w:val="605E5C"/>
      <w:shd w:val="clear" w:color="auto" w:fill="E1DFDD"/>
    </w:rPr>
  </w:style>
  <w:style w:type="paragraph" w:customStyle="1" w:styleId="c08dispositif">
    <w:name w:val="c08dispositif"/>
    <w:basedOn w:val="Normal"/>
    <w:rsid w:val="00C93244"/>
    <w:pPr>
      <w:spacing w:before="100" w:beforeAutospacing="1" w:after="100" w:afterAutospacing="1"/>
      <w:jc w:val="left"/>
    </w:pPr>
    <w:rPr>
      <w:rFonts w:eastAsia="Times New Roman"/>
      <w:lang w:eastAsia="en-GB"/>
    </w:rPr>
  </w:style>
  <w:style w:type="paragraph" w:customStyle="1" w:styleId="c32dispositifmarge1">
    <w:name w:val="c32dispositifmarge1"/>
    <w:basedOn w:val="Normal"/>
    <w:rsid w:val="00C93244"/>
    <w:pPr>
      <w:spacing w:before="100" w:beforeAutospacing="1" w:after="100" w:afterAutospacing="1"/>
      <w:jc w:val="left"/>
    </w:pPr>
    <w:rPr>
      <w:rFonts w:eastAsia="Times New Roman"/>
      <w:lang w:eastAsia="en-GB"/>
    </w:rPr>
  </w:style>
  <w:style w:type="character" w:styleId="Strong">
    <w:name w:val="Strong"/>
    <w:basedOn w:val="DefaultParagraphFont"/>
    <w:uiPriority w:val="22"/>
    <w:qFormat/>
    <w:rsid w:val="00C93244"/>
    <w:rPr>
      <w:b/>
      <w:bCs/>
    </w:rPr>
  </w:style>
  <w:style w:type="character" w:customStyle="1" w:styleId="sup">
    <w:name w:val="sup"/>
    <w:basedOn w:val="DefaultParagraphFont"/>
    <w:rsid w:val="00027CD6"/>
  </w:style>
  <w:style w:type="character" w:customStyle="1" w:styleId="StyleLatinArialBlack">
    <w:name w:val="Style (Latin) Arial Black"/>
    <w:basedOn w:val="DefaultParagraphFont"/>
    <w:rsid w:val="00C351D5"/>
    <w:rPr>
      <w:rFonts w:ascii="@Yu Mincho Light" w:hAnsi="@Yu Mincho Light"/>
      <w:color w:val="000000"/>
      <w:u w:val="single"/>
    </w:rPr>
  </w:style>
  <w:style w:type="character" w:customStyle="1" w:styleId="UnresolvedMention4">
    <w:name w:val="Unresolved Mention4"/>
    <w:basedOn w:val="DefaultParagraphFont"/>
    <w:uiPriority w:val="99"/>
    <w:semiHidden/>
    <w:unhideWhenUsed/>
    <w:rsid w:val="00C42681"/>
    <w:rPr>
      <w:color w:val="605E5C"/>
      <w:shd w:val="clear" w:color="auto" w:fill="E1DFDD"/>
    </w:rPr>
  </w:style>
  <w:style w:type="paragraph" w:styleId="TOC4">
    <w:name w:val="toc 4"/>
    <w:basedOn w:val="Normal"/>
    <w:next w:val="Normal"/>
    <w:autoRedefine/>
    <w:uiPriority w:val="39"/>
    <w:unhideWhenUsed/>
    <w:rsid w:val="002744BA"/>
    <w:pPr>
      <w:spacing w:after="0"/>
      <w:ind w:left="720"/>
      <w:jc w:val="left"/>
    </w:pPr>
    <w:rPr>
      <w:rFonts w:cstheme="minorHAnsi"/>
      <w:i/>
      <w:sz w:val="18"/>
      <w:szCs w:val="18"/>
    </w:rPr>
  </w:style>
  <w:style w:type="paragraph" w:styleId="TOC5">
    <w:name w:val="toc 5"/>
    <w:basedOn w:val="Normal"/>
    <w:next w:val="Normal"/>
    <w:autoRedefine/>
    <w:uiPriority w:val="39"/>
    <w:unhideWhenUsed/>
    <w:rsid w:val="00CE09BE"/>
    <w:pPr>
      <w:spacing w:after="0"/>
      <w:ind w:left="96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CE09BE"/>
    <w:pPr>
      <w:spacing w:after="0"/>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CE09BE"/>
    <w:pPr>
      <w:spacing w:after="0"/>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CE09BE"/>
    <w:pPr>
      <w:spacing w:after="0"/>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CE09BE"/>
    <w:pPr>
      <w:spacing w:after="0"/>
      <w:ind w:left="1920"/>
      <w:jc w:val="left"/>
    </w:pPr>
    <w:rPr>
      <w:rFonts w:asciiTheme="minorHAnsi" w:hAnsiTheme="minorHAnsi" w:cstheme="minorHAnsi"/>
      <w:sz w:val="18"/>
      <w:szCs w:val="18"/>
    </w:rPr>
  </w:style>
  <w:style w:type="paragraph" w:customStyle="1" w:styleId="c01pointnumerotealtn">
    <w:name w:val="c01pointnumerotealtn"/>
    <w:basedOn w:val="Normal"/>
    <w:rsid w:val="001A7EBD"/>
    <w:pPr>
      <w:spacing w:before="100" w:beforeAutospacing="1" w:after="100" w:afterAutospacing="1"/>
      <w:jc w:val="left"/>
    </w:pPr>
    <w:rPr>
      <w:rFonts w:eastAsia="Times New Roman"/>
      <w:lang w:eastAsia="en-GB"/>
    </w:rPr>
  </w:style>
  <w:style w:type="paragraph" w:customStyle="1" w:styleId="c02alineaalta">
    <w:name w:val="c02alineaalta"/>
    <w:basedOn w:val="Normal"/>
    <w:rsid w:val="001A7EBD"/>
    <w:pPr>
      <w:spacing w:before="100" w:beforeAutospacing="1" w:after="100" w:afterAutospacing="1"/>
      <w:jc w:val="left"/>
    </w:pPr>
    <w:rPr>
      <w:rFonts w:eastAsia="Times New Roman"/>
      <w:lang w:eastAsia="en-GB"/>
    </w:rPr>
  </w:style>
  <w:style w:type="paragraph" w:customStyle="1" w:styleId="c19centre">
    <w:name w:val="c19centre"/>
    <w:basedOn w:val="Normal"/>
    <w:rsid w:val="001A7EBD"/>
    <w:pPr>
      <w:spacing w:before="100" w:beforeAutospacing="1" w:after="100" w:afterAutospacing="1"/>
      <w:jc w:val="left"/>
    </w:pPr>
    <w:rPr>
      <w:rFonts w:eastAsia="Times New Roman"/>
      <w:lang w:eastAsia="en-GB"/>
    </w:rPr>
  </w:style>
  <w:style w:type="character" w:customStyle="1" w:styleId="FootnoteTextChar1CharChar1">
    <w:name w:val="Footnote Text Char1 Char Char1"/>
    <w:aliases w:val="Footnote Text Char Char Char Char1,Footnote Text Char1 Char Char Char Char1,Footnote Text Char Char Char Char Char Char1,Footnote Text Char1 Char1 Char Char1,Footnote Text Char Char Char1 Char Char1"/>
    <w:uiPriority w:val="99"/>
    <w:semiHidden/>
    <w:unhideWhenUsed/>
    <w:rsid w:val="001A7EBD"/>
    <w:rPr>
      <w:color w:val="525E65"/>
      <w:sz w:val="22"/>
    </w:rPr>
  </w:style>
  <w:style w:type="character" w:customStyle="1" w:styleId="UnresolvedMention5">
    <w:name w:val="Unresolved Mention5"/>
    <w:basedOn w:val="DefaultParagraphFont"/>
    <w:uiPriority w:val="99"/>
    <w:semiHidden/>
    <w:unhideWhenUsed/>
    <w:rsid w:val="00E11BBF"/>
    <w:rPr>
      <w:color w:val="605E5C"/>
      <w:shd w:val="clear" w:color="auto" w:fill="E1DFDD"/>
    </w:rPr>
  </w:style>
  <w:style w:type="character" w:customStyle="1" w:styleId="UnresolvedMention6">
    <w:name w:val="Unresolved Mention6"/>
    <w:basedOn w:val="DefaultParagraphFont"/>
    <w:uiPriority w:val="99"/>
    <w:semiHidden/>
    <w:unhideWhenUsed/>
    <w:rsid w:val="008110EF"/>
    <w:rPr>
      <w:color w:val="605E5C"/>
      <w:shd w:val="clear" w:color="auto" w:fill="E1DFDD"/>
    </w:rPr>
  </w:style>
  <w:style w:type="table" w:customStyle="1" w:styleId="Deloitte1">
    <w:name w:val="Deloitte1"/>
    <w:basedOn w:val="TableNormal"/>
    <w:next w:val="TableGrid"/>
    <w:uiPriority w:val="39"/>
    <w:rsid w:val="00AB10E5"/>
    <w:pPr>
      <w:spacing w:after="0" w:line="240" w:lineRule="auto"/>
    </w:pPr>
    <w:rPr>
      <w:rFonts w:ascii="@Yu Mincho Light" w:eastAsia="@Yu Mincho Light" w:hAnsi="@Yu Mincho Light" w:cs="@Yu Mincho Light"/>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B10E5"/>
    <w:pPr>
      <w:autoSpaceDE w:val="0"/>
      <w:autoSpaceDN w:val="0"/>
      <w:adjustRightInd w:val="0"/>
      <w:spacing w:after="0" w:line="240" w:lineRule="auto"/>
    </w:pPr>
    <w:rPr>
      <w:rFonts w:ascii="Arial" w:hAnsi="Arial" w:cs="Arial"/>
      <w:color w:val="000000"/>
      <w:sz w:val="24"/>
      <w:szCs w:val="24"/>
    </w:rPr>
  </w:style>
  <w:style w:type="table" w:styleId="GridTable3-Accent1">
    <w:name w:val="Grid Table 3 Accent 1"/>
    <w:basedOn w:val="TableNormal"/>
    <w:uiPriority w:val="48"/>
    <w:rsid w:val="002C7CB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1Light-Accent1">
    <w:name w:val="Grid Table 1 Light Accent 1"/>
    <w:basedOn w:val="TableNormal"/>
    <w:uiPriority w:val="46"/>
    <w:rsid w:val="003D3FFB"/>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visible-description">
    <w:name w:val="visible-description"/>
    <w:basedOn w:val="DefaultParagraphFont"/>
    <w:rsid w:val="002265BC"/>
  </w:style>
  <w:style w:type="character" w:customStyle="1" w:styleId="UnresolvedMention7">
    <w:name w:val="Unresolved Mention7"/>
    <w:basedOn w:val="DefaultParagraphFont"/>
    <w:uiPriority w:val="99"/>
    <w:semiHidden/>
    <w:unhideWhenUsed/>
    <w:rsid w:val="00310B25"/>
    <w:rPr>
      <w:color w:val="605E5C"/>
      <w:shd w:val="clear" w:color="auto" w:fill="E1DFDD"/>
    </w:rPr>
  </w:style>
  <w:style w:type="paragraph" w:customStyle="1" w:styleId="LPDSub-Title">
    <w:name w:val="LPD Sub-Title"/>
    <w:basedOn w:val="Normal"/>
    <w:link w:val="LPDSub-TitleCarattere"/>
    <w:qFormat/>
    <w:rsid w:val="00675856"/>
    <w:pPr>
      <w:spacing w:after="0"/>
    </w:pPr>
    <w:rPr>
      <w:rFonts w:ascii="Verdana" w:hAnsi="Verdana" w:cstheme="minorBidi"/>
      <w:b/>
      <w:color w:val="000099"/>
      <w:sz w:val="20"/>
      <w:szCs w:val="20"/>
      <w:lang w:val="en-US"/>
    </w:rPr>
  </w:style>
  <w:style w:type="character" w:customStyle="1" w:styleId="LPDSub-TitleCarattere">
    <w:name w:val="LPD Sub-Title Carattere"/>
    <w:basedOn w:val="DefaultParagraphFont"/>
    <w:link w:val="LPDSub-Title"/>
    <w:rsid w:val="00675856"/>
    <w:rPr>
      <w:rFonts w:ascii="Verdana" w:hAnsi="Verdana"/>
      <w:b/>
      <w:color w:val="000099"/>
      <w:sz w:val="20"/>
      <w:szCs w:val="20"/>
      <w:lang w:val="en-US"/>
    </w:rPr>
  </w:style>
  <w:style w:type="table" w:customStyle="1" w:styleId="CV121">
    <w:name w:val="CV121"/>
    <w:basedOn w:val="TableNormal"/>
    <w:next w:val="TableGrid"/>
    <w:uiPriority w:val="39"/>
    <w:rsid w:val="005A45D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1">
    <w:name w:val="CV111"/>
    <w:basedOn w:val="TableNormal"/>
    <w:next w:val="TableGrid"/>
    <w:uiPriority w:val="59"/>
    <w:rsid w:val="005A45D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ara">
    <w:name w:val="Normal # Para"/>
    <w:basedOn w:val="Normal"/>
    <w:qFormat/>
    <w:rsid w:val="00773DEB"/>
    <w:pPr>
      <w:numPr>
        <w:numId w:val="6"/>
      </w:numPr>
    </w:pPr>
    <w:rPr>
      <w:lang w:val="en-IE"/>
    </w:rPr>
  </w:style>
  <w:style w:type="paragraph" w:customStyle="1" w:styleId="AnnexLevel1">
    <w:name w:val="Annex Level 1"/>
    <w:basedOn w:val="Normal"/>
    <w:next w:val="NormalPara"/>
    <w:qFormat/>
    <w:rsid w:val="00F15BFC"/>
    <w:pPr>
      <w:keepNext/>
      <w:numPr>
        <w:ilvl w:val="1"/>
        <w:numId w:val="10"/>
      </w:numPr>
    </w:pPr>
    <w:rPr>
      <w:rFonts w:ascii="Times New Roman Bold" w:hAnsi="Times New Roman Bold"/>
      <w:b/>
      <w:bCs/>
      <w:smallCaps/>
      <w:lang w:val="en-IE"/>
    </w:rPr>
  </w:style>
  <w:style w:type="paragraph" w:customStyle="1" w:styleId="AnnexLevel2">
    <w:name w:val="Annex Level 2"/>
    <w:basedOn w:val="AnnexLevel1"/>
    <w:qFormat/>
    <w:rsid w:val="00F15BFC"/>
    <w:pPr>
      <w:numPr>
        <w:ilvl w:val="2"/>
      </w:numPr>
    </w:pPr>
    <w:rPr>
      <w:rFonts w:ascii="Times New Roman" w:hAnsi="Times New Roman"/>
      <w:b w:val="0"/>
    </w:rPr>
  </w:style>
  <w:style w:type="paragraph" w:customStyle="1" w:styleId="AnnexSubtitle">
    <w:name w:val="Annex Subtitle"/>
    <w:basedOn w:val="Normal"/>
    <w:next w:val="NormalPara"/>
    <w:qFormat/>
    <w:rsid w:val="004B1E48"/>
    <w:pPr>
      <w:jc w:val="center"/>
    </w:pPr>
    <w:rPr>
      <w:b/>
      <w:bCs/>
      <w:lang w:val="en-IE"/>
    </w:rPr>
  </w:style>
  <w:style w:type="character" w:customStyle="1" w:styleId="apple-converted-space">
    <w:name w:val="apple-converted-space"/>
    <w:basedOn w:val="DefaultParagraphFont"/>
    <w:rsid w:val="00774A6E"/>
  </w:style>
  <w:style w:type="character" w:customStyle="1" w:styleId="xmsofootnotereference">
    <w:name w:val="x_msofootnotereference"/>
    <w:basedOn w:val="DefaultParagraphFont"/>
    <w:rsid w:val="00774A6E"/>
  </w:style>
  <w:style w:type="character" w:customStyle="1" w:styleId="ui-provider">
    <w:name w:val="ui-provider"/>
    <w:basedOn w:val="DefaultParagraphFont"/>
    <w:rsid w:val="00D611CD"/>
  </w:style>
  <w:style w:type="character" w:customStyle="1" w:styleId="Hyperlink1">
    <w:name w:val="Hyperlink1"/>
    <w:basedOn w:val="DefaultParagraphFont"/>
    <w:uiPriority w:val="99"/>
    <w:unhideWhenUsed/>
    <w:rsid w:val="00282E91"/>
    <w:rPr>
      <w:rFonts w:ascii="Times New Roman" w:hAnsi="Times New Roman"/>
      <w:color w:val="0000FF"/>
      <w:u w:val="single"/>
    </w:rPr>
  </w:style>
  <w:style w:type="paragraph" w:styleId="ListNumber">
    <w:name w:val="List Number"/>
    <w:basedOn w:val="Normal"/>
    <w:uiPriority w:val="99"/>
    <w:semiHidden/>
    <w:unhideWhenUsed/>
    <w:rsid w:val="00F867B4"/>
    <w:pPr>
      <w:numPr>
        <w:numId w:val="58"/>
      </w:numPr>
      <w:contextualSpacing/>
    </w:pPr>
  </w:style>
  <w:style w:type="paragraph" w:customStyle="1" w:styleId="TechnicalBlock">
    <w:name w:val="Technical Block"/>
    <w:basedOn w:val="Normal"/>
    <w:link w:val="TechnicalBlockChar"/>
    <w:rsid w:val="003517B0"/>
    <w:pPr>
      <w:jc w:val="center"/>
    </w:pPr>
  </w:style>
  <w:style w:type="character" w:customStyle="1" w:styleId="TechnicalBlockChar">
    <w:name w:val="Technical Block Char"/>
    <w:basedOn w:val="DefaultParagraphFont"/>
    <w:link w:val="TechnicalBlock"/>
    <w:rsid w:val="003517B0"/>
    <w:rPr>
      <w:rFonts w:ascii="Times New Roman" w:hAnsi="Times New Roman" w:cs="Times New Roman"/>
      <w:sz w:val="24"/>
      <w:szCs w:val="24"/>
    </w:rPr>
  </w:style>
  <w:style w:type="paragraph" w:customStyle="1" w:styleId="EntText">
    <w:name w:val="EntText"/>
    <w:basedOn w:val="Normal"/>
    <w:rsid w:val="003517B0"/>
    <w:pPr>
      <w:spacing w:before="120" w:after="120" w:line="360" w:lineRule="auto"/>
      <w:jc w:val="left"/>
    </w:pPr>
    <w:rPr>
      <w:szCs w:val="22"/>
    </w:rPr>
  </w:style>
  <w:style w:type="paragraph" w:customStyle="1" w:styleId="Lignefinal">
    <w:name w:val="Ligne final"/>
    <w:basedOn w:val="Normal"/>
    <w:next w:val="Normal"/>
    <w:rsid w:val="003517B0"/>
    <w:pPr>
      <w:pBdr>
        <w:bottom w:val="single" w:sz="4" w:space="0" w:color="000000"/>
      </w:pBdr>
      <w:spacing w:before="360" w:after="120" w:line="360" w:lineRule="auto"/>
      <w:ind w:left="3400" w:right="3400"/>
      <w:jc w:val="center"/>
    </w:pPr>
    <w:rPr>
      <w:b/>
      <w:szCs w:val="22"/>
    </w:rPr>
  </w:style>
  <w:style w:type="paragraph" w:customStyle="1" w:styleId="pj">
    <w:name w:val="p.j."/>
    <w:basedOn w:val="Normal"/>
    <w:link w:val="pjChar"/>
    <w:rsid w:val="003517B0"/>
    <w:pPr>
      <w:spacing w:before="1200" w:after="120"/>
      <w:ind w:left="1440" w:hanging="1440"/>
      <w:jc w:val="left"/>
    </w:pPr>
  </w:style>
  <w:style w:type="character" w:customStyle="1" w:styleId="pjChar">
    <w:name w:val="p.j. Char"/>
    <w:basedOn w:val="TechnicalBlockChar"/>
    <w:link w:val="pj"/>
    <w:rsid w:val="003517B0"/>
    <w:rPr>
      <w:rFonts w:ascii="Times New Roman" w:hAnsi="Times New Roman" w:cs="Times New Roman"/>
      <w:sz w:val="24"/>
      <w:szCs w:val="24"/>
    </w:rPr>
  </w:style>
  <w:style w:type="paragraph" w:customStyle="1" w:styleId="nbbordered">
    <w:name w:val="nb bordered"/>
    <w:basedOn w:val="Normal"/>
    <w:link w:val="nbborderedChar"/>
    <w:rsid w:val="003517B0"/>
    <w:pPr>
      <w:pBdr>
        <w:top w:val="single" w:sz="4" w:space="1" w:color="auto"/>
        <w:left w:val="single" w:sz="4" w:space="4" w:color="auto"/>
        <w:bottom w:val="single" w:sz="4" w:space="1" w:color="auto"/>
        <w:right w:val="single" w:sz="4" w:space="4" w:color="auto"/>
        <w:between w:val="single" w:sz="4" w:space="0" w:color="auto"/>
      </w:pBdr>
      <w:spacing w:after="160"/>
      <w:ind w:left="480" w:hanging="480"/>
    </w:pPr>
    <w:rPr>
      <w:b/>
    </w:rPr>
  </w:style>
  <w:style w:type="character" w:customStyle="1" w:styleId="nbborderedChar">
    <w:name w:val="nb bordered Char"/>
    <w:basedOn w:val="TechnicalBlockChar"/>
    <w:link w:val="nbbordered"/>
    <w:rsid w:val="003517B0"/>
    <w:rPr>
      <w:rFonts w:ascii="Times New Roman" w:hAnsi="Times New Roman" w:cs="Times New Roman"/>
      <w:b/>
      <w:sz w:val="24"/>
      <w:szCs w:val="24"/>
    </w:rPr>
  </w:style>
  <w:style w:type="paragraph" w:customStyle="1" w:styleId="HeaderCouncil">
    <w:name w:val="Header Council"/>
    <w:basedOn w:val="Normal"/>
    <w:link w:val="HeaderCouncilChar"/>
    <w:rsid w:val="003517B0"/>
    <w:pPr>
      <w:spacing w:after="0"/>
    </w:pPr>
    <w:rPr>
      <w:noProof/>
      <w:sz w:val="2"/>
    </w:rPr>
  </w:style>
  <w:style w:type="character" w:customStyle="1" w:styleId="HeaderCouncilChar">
    <w:name w:val="Header Council Char"/>
    <w:basedOn w:val="DefaultParagraphFont"/>
    <w:link w:val="HeaderCouncil"/>
    <w:rsid w:val="003517B0"/>
    <w:rPr>
      <w:rFonts w:ascii="Times New Roman" w:hAnsi="Times New Roman" w:cs="Times New Roman"/>
      <w:noProof/>
      <w:sz w:val="2"/>
      <w:szCs w:val="24"/>
    </w:rPr>
  </w:style>
  <w:style w:type="paragraph" w:customStyle="1" w:styleId="HeaderCouncilLarge">
    <w:name w:val="Header Council Large"/>
    <w:basedOn w:val="Normal"/>
    <w:link w:val="HeaderCouncilLargeChar"/>
    <w:rsid w:val="003517B0"/>
    <w:pPr>
      <w:spacing w:after="440"/>
    </w:pPr>
    <w:rPr>
      <w:noProof/>
      <w:sz w:val="2"/>
    </w:rPr>
  </w:style>
  <w:style w:type="character" w:customStyle="1" w:styleId="HeaderCouncilLargeChar">
    <w:name w:val="Header Council Large Char"/>
    <w:basedOn w:val="DefaultParagraphFont"/>
    <w:link w:val="HeaderCouncilLarge"/>
    <w:rsid w:val="003517B0"/>
    <w:rPr>
      <w:rFonts w:ascii="Times New Roman" w:hAnsi="Times New Roman" w:cs="Times New Roman"/>
      <w:noProof/>
      <w:sz w:val="2"/>
      <w:szCs w:val="24"/>
    </w:rPr>
  </w:style>
  <w:style w:type="paragraph" w:customStyle="1" w:styleId="FooterCouncil">
    <w:name w:val="Footer Council"/>
    <w:basedOn w:val="Normal"/>
    <w:link w:val="FooterCouncilChar"/>
    <w:rsid w:val="003517B0"/>
    <w:pPr>
      <w:spacing w:after="0"/>
    </w:pPr>
    <w:rPr>
      <w:noProof/>
      <w:sz w:val="2"/>
    </w:rPr>
  </w:style>
  <w:style w:type="character" w:customStyle="1" w:styleId="FooterCouncilChar">
    <w:name w:val="Footer Council Char"/>
    <w:basedOn w:val="DefaultParagraphFont"/>
    <w:link w:val="FooterCouncil"/>
    <w:rsid w:val="003517B0"/>
    <w:rPr>
      <w:rFonts w:ascii="Times New Roman" w:hAnsi="Times New Roman" w:cs="Times New Roman"/>
      <w:noProof/>
      <w:sz w:val="2"/>
      <w:szCs w:val="24"/>
    </w:rPr>
  </w:style>
  <w:style w:type="paragraph" w:customStyle="1" w:styleId="FooterText">
    <w:name w:val="Footer Text"/>
    <w:basedOn w:val="Normal"/>
    <w:rsid w:val="003517B0"/>
    <w:pPr>
      <w:spacing w:after="0"/>
      <w:jc w:val="left"/>
    </w:pPr>
    <w:rPr>
      <w:rFonts w:eastAsia="Times New Roman"/>
    </w:rPr>
  </w:style>
  <w:style w:type="character" w:styleId="PlaceholderText">
    <w:name w:val="Placeholder Text"/>
    <w:basedOn w:val="DefaultParagraphFont"/>
    <w:uiPriority w:val="99"/>
    <w:semiHidden/>
    <w:rsid w:val="003517B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9470">
      <w:bodyDiv w:val="1"/>
      <w:marLeft w:val="0"/>
      <w:marRight w:val="0"/>
      <w:marTop w:val="0"/>
      <w:marBottom w:val="0"/>
      <w:divBdr>
        <w:top w:val="none" w:sz="0" w:space="0" w:color="auto"/>
        <w:left w:val="none" w:sz="0" w:space="0" w:color="auto"/>
        <w:bottom w:val="none" w:sz="0" w:space="0" w:color="auto"/>
        <w:right w:val="none" w:sz="0" w:space="0" w:color="auto"/>
      </w:divBdr>
    </w:div>
    <w:div w:id="48263535">
      <w:bodyDiv w:val="1"/>
      <w:marLeft w:val="0"/>
      <w:marRight w:val="0"/>
      <w:marTop w:val="0"/>
      <w:marBottom w:val="0"/>
      <w:divBdr>
        <w:top w:val="none" w:sz="0" w:space="0" w:color="auto"/>
        <w:left w:val="none" w:sz="0" w:space="0" w:color="auto"/>
        <w:bottom w:val="none" w:sz="0" w:space="0" w:color="auto"/>
        <w:right w:val="none" w:sz="0" w:space="0" w:color="auto"/>
      </w:divBdr>
    </w:div>
    <w:div w:id="95834288">
      <w:bodyDiv w:val="1"/>
      <w:marLeft w:val="0"/>
      <w:marRight w:val="0"/>
      <w:marTop w:val="0"/>
      <w:marBottom w:val="0"/>
      <w:divBdr>
        <w:top w:val="none" w:sz="0" w:space="0" w:color="auto"/>
        <w:left w:val="none" w:sz="0" w:space="0" w:color="auto"/>
        <w:bottom w:val="none" w:sz="0" w:space="0" w:color="auto"/>
        <w:right w:val="none" w:sz="0" w:space="0" w:color="auto"/>
      </w:divBdr>
    </w:div>
    <w:div w:id="124811380">
      <w:bodyDiv w:val="1"/>
      <w:marLeft w:val="0"/>
      <w:marRight w:val="0"/>
      <w:marTop w:val="0"/>
      <w:marBottom w:val="0"/>
      <w:divBdr>
        <w:top w:val="none" w:sz="0" w:space="0" w:color="auto"/>
        <w:left w:val="none" w:sz="0" w:space="0" w:color="auto"/>
        <w:bottom w:val="none" w:sz="0" w:space="0" w:color="auto"/>
        <w:right w:val="none" w:sz="0" w:space="0" w:color="auto"/>
      </w:divBdr>
    </w:div>
    <w:div w:id="169099430">
      <w:bodyDiv w:val="1"/>
      <w:marLeft w:val="0"/>
      <w:marRight w:val="0"/>
      <w:marTop w:val="0"/>
      <w:marBottom w:val="0"/>
      <w:divBdr>
        <w:top w:val="none" w:sz="0" w:space="0" w:color="auto"/>
        <w:left w:val="none" w:sz="0" w:space="0" w:color="auto"/>
        <w:bottom w:val="none" w:sz="0" w:space="0" w:color="auto"/>
        <w:right w:val="none" w:sz="0" w:space="0" w:color="auto"/>
      </w:divBdr>
    </w:div>
    <w:div w:id="197089516">
      <w:bodyDiv w:val="1"/>
      <w:marLeft w:val="0"/>
      <w:marRight w:val="0"/>
      <w:marTop w:val="0"/>
      <w:marBottom w:val="0"/>
      <w:divBdr>
        <w:top w:val="none" w:sz="0" w:space="0" w:color="auto"/>
        <w:left w:val="none" w:sz="0" w:space="0" w:color="auto"/>
        <w:bottom w:val="none" w:sz="0" w:space="0" w:color="auto"/>
        <w:right w:val="none" w:sz="0" w:space="0" w:color="auto"/>
      </w:divBdr>
    </w:div>
    <w:div w:id="200438110">
      <w:bodyDiv w:val="1"/>
      <w:marLeft w:val="0"/>
      <w:marRight w:val="0"/>
      <w:marTop w:val="0"/>
      <w:marBottom w:val="0"/>
      <w:divBdr>
        <w:top w:val="none" w:sz="0" w:space="0" w:color="auto"/>
        <w:left w:val="none" w:sz="0" w:space="0" w:color="auto"/>
        <w:bottom w:val="none" w:sz="0" w:space="0" w:color="auto"/>
        <w:right w:val="none" w:sz="0" w:space="0" w:color="auto"/>
      </w:divBdr>
    </w:div>
    <w:div w:id="263225264">
      <w:bodyDiv w:val="1"/>
      <w:marLeft w:val="0"/>
      <w:marRight w:val="0"/>
      <w:marTop w:val="0"/>
      <w:marBottom w:val="0"/>
      <w:divBdr>
        <w:top w:val="none" w:sz="0" w:space="0" w:color="auto"/>
        <w:left w:val="none" w:sz="0" w:space="0" w:color="auto"/>
        <w:bottom w:val="none" w:sz="0" w:space="0" w:color="auto"/>
        <w:right w:val="none" w:sz="0" w:space="0" w:color="auto"/>
      </w:divBdr>
    </w:div>
    <w:div w:id="276987462">
      <w:bodyDiv w:val="1"/>
      <w:marLeft w:val="0"/>
      <w:marRight w:val="0"/>
      <w:marTop w:val="0"/>
      <w:marBottom w:val="0"/>
      <w:divBdr>
        <w:top w:val="none" w:sz="0" w:space="0" w:color="auto"/>
        <w:left w:val="none" w:sz="0" w:space="0" w:color="auto"/>
        <w:bottom w:val="none" w:sz="0" w:space="0" w:color="auto"/>
        <w:right w:val="none" w:sz="0" w:space="0" w:color="auto"/>
      </w:divBdr>
    </w:div>
    <w:div w:id="283849587">
      <w:bodyDiv w:val="1"/>
      <w:marLeft w:val="0"/>
      <w:marRight w:val="0"/>
      <w:marTop w:val="0"/>
      <w:marBottom w:val="0"/>
      <w:divBdr>
        <w:top w:val="none" w:sz="0" w:space="0" w:color="auto"/>
        <w:left w:val="none" w:sz="0" w:space="0" w:color="auto"/>
        <w:bottom w:val="none" w:sz="0" w:space="0" w:color="auto"/>
        <w:right w:val="none" w:sz="0" w:space="0" w:color="auto"/>
      </w:divBdr>
    </w:div>
    <w:div w:id="290209571">
      <w:bodyDiv w:val="1"/>
      <w:marLeft w:val="0"/>
      <w:marRight w:val="0"/>
      <w:marTop w:val="0"/>
      <w:marBottom w:val="0"/>
      <w:divBdr>
        <w:top w:val="none" w:sz="0" w:space="0" w:color="auto"/>
        <w:left w:val="none" w:sz="0" w:space="0" w:color="auto"/>
        <w:bottom w:val="none" w:sz="0" w:space="0" w:color="auto"/>
        <w:right w:val="none" w:sz="0" w:space="0" w:color="auto"/>
      </w:divBdr>
    </w:div>
    <w:div w:id="311065052">
      <w:bodyDiv w:val="1"/>
      <w:marLeft w:val="0"/>
      <w:marRight w:val="0"/>
      <w:marTop w:val="0"/>
      <w:marBottom w:val="0"/>
      <w:divBdr>
        <w:top w:val="none" w:sz="0" w:space="0" w:color="auto"/>
        <w:left w:val="none" w:sz="0" w:space="0" w:color="auto"/>
        <w:bottom w:val="none" w:sz="0" w:space="0" w:color="auto"/>
        <w:right w:val="none" w:sz="0" w:space="0" w:color="auto"/>
      </w:divBdr>
    </w:div>
    <w:div w:id="335159381">
      <w:bodyDiv w:val="1"/>
      <w:marLeft w:val="0"/>
      <w:marRight w:val="0"/>
      <w:marTop w:val="0"/>
      <w:marBottom w:val="0"/>
      <w:divBdr>
        <w:top w:val="none" w:sz="0" w:space="0" w:color="auto"/>
        <w:left w:val="none" w:sz="0" w:space="0" w:color="auto"/>
        <w:bottom w:val="none" w:sz="0" w:space="0" w:color="auto"/>
        <w:right w:val="none" w:sz="0" w:space="0" w:color="auto"/>
      </w:divBdr>
    </w:div>
    <w:div w:id="413013735">
      <w:bodyDiv w:val="1"/>
      <w:marLeft w:val="0"/>
      <w:marRight w:val="0"/>
      <w:marTop w:val="0"/>
      <w:marBottom w:val="0"/>
      <w:divBdr>
        <w:top w:val="none" w:sz="0" w:space="0" w:color="auto"/>
        <w:left w:val="none" w:sz="0" w:space="0" w:color="auto"/>
        <w:bottom w:val="none" w:sz="0" w:space="0" w:color="auto"/>
        <w:right w:val="none" w:sz="0" w:space="0" w:color="auto"/>
      </w:divBdr>
    </w:div>
    <w:div w:id="433869251">
      <w:bodyDiv w:val="1"/>
      <w:marLeft w:val="0"/>
      <w:marRight w:val="0"/>
      <w:marTop w:val="0"/>
      <w:marBottom w:val="0"/>
      <w:divBdr>
        <w:top w:val="none" w:sz="0" w:space="0" w:color="auto"/>
        <w:left w:val="none" w:sz="0" w:space="0" w:color="auto"/>
        <w:bottom w:val="none" w:sz="0" w:space="0" w:color="auto"/>
        <w:right w:val="none" w:sz="0" w:space="0" w:color="auto"/>
      </w:divBdr>
    </w:div>
    <w:div w:id="445470157">
      <w:bodyDiv w:val="1"/>
      <w:marLeft w:val="0"/>
      <w:marRight w:val="0"/>
      <w:marTop w:val="0"/>
      <w:marBottom w:val="0"/>
      <w:divBdr>
        <w:top w:val="none" w:sz="0" w:space="0" w:color="auto"/>
        <w:left w:val="none" w:sz="0" w:space="0" w:color="auto"/>
        <w:bottom w:val="none" w:sz="0" w:space="0" w:color="auto"/>
        <w:right w:val="none" w:sz="0" w:space="0" w:color="auto"/>
      </w:divBdr>
    </w:div>
    <w:div w:id="466363767">
      <w:bodyDiv w:val="1"/>
      <w:marLeft w:val="0"/>
      <w:marRight w:val="0"/>
      <w:marTop w:val="0"/>
      <w:marBottom w:val="0"/>
      <w:divBdr>
        <w:top w:val="none" w:sz="0" w:space="0" w:color="auto"/>
        <w:left w:val="none" w:sz="0" w:space="0" w:color="auto"/>
        <w:bottom w:val="none" w:sz="0" w:space="0" w:color="auto"/>
        <w:right w:val="none" w:sz="0" w:space="0" w:color="auto"/>
      </w:divBdr>
    </w:div>
    <w:div w:id="494499014">
      <w:bodyDiv w:val="1"/>
      <w:marLeft w:val="0"/>
      <w:marRight w:val="0"/>
      <w:marTop w:val="0"/>
      <w:marBottom w:val="0"/>
      <w:divBdr>
        <w:top w:val="none" w:sz="0" w:space="0" w:color="auto"/>
        <w:left w:val="none" w:sz="0" w:space="0" w:color="auto"/>
        <w:bottom w:val="none" w:sz="0" w:space="0" w:color="auto"/>
        <w:right w:val="none" w:sz="0" w:space="0" w:color="auto"/>
      </w:divBdr>
      <w:divsChild>
        <w:div w:id="237830685">
          <w:marLeft w:val="0"/>
          <w:marRight w:val="0"/>
          <w:marTop w:val="0"/>
          <w:marBottom w:val="0"/>
          <w:divBdr>
            <w:top w:val="none" w:sz="0" w:space="0" w:color="auto"/>
            <w:left w:val="none" w:sz="0" w:space="0" w:color="auto"/>
            <w:bottom w:val="none" w:sz="0" w:space="0" w:color="auto"/>
            <w:right w:val="none" w:sz="0" w:space="0" w:color="auto"/>
          </w:divBdr>
        </w:div>
      </w:divsChild>
    </w:div>
    <w:div w:id="495462640">
      <w:bodyDiv w:val="1"/>
      <w:marLeft w:val="0"/>
      <w:marRight w:val="0"/>
      <w:marTop w:val="0"/>
      <w:marBottom w:val="0"/>
      <w:divBdr>
        <w:top w:val="none" w:sz="0" w:space="0" w:color="auto"/>
        <w:left w:val="none" w:sz="0" w:space="0" w:color="auto"/>
        <w:bottom w:val="none" w:sz="0" w:space="0" w:color="auto"/>
        <w:right w:val="none" w:sz="0" w:space="0" w:color="auto"/>
      </w:divBdr>
    </w:div>
    <w:div w:id="503207925">
      <w:bodyDiv w:val="1"/>
      <w:marLeft w:val="0"/>
      <w:marRight w:val="0"/>
      <w:marTop w:val="0"/>
      <w:marBottom w:val="0"/>
      <w:divBdr>
        <w:top w:val="none" w:sz="0" w:space="0" w:color="auto"/>
        <w:left w:val="none" w:sz="0" w:space="0" w:color="auto"/>
        <w:bottom w:val="none" w:sz="0" w:space="0" w:color="auto"/>
        <w:right w:val="none" w:sz="0" w:space="0" w:color="auto"/>
      </w:divBdr>
    </w:div>
    <w:div w:id="517045952">
      <w:bodyDiv w:val="1"/>
      <w:marLeft w:val="0"/>
      <w:marRight w:val="0"/>
      <w:marTop w:val="0"/>
      <w:marBottom w:val="0"/>
      <w:divBdr>
        <w:top w:val="none" w:sz="0" w:space="0" w:color="auto"/>
        <w:left w:val="none" w:sz="0" w:space="0" w:color="auto"/>
        <w:bottom w:val="none" w:sz="0" w:space="0" w:color="auto"/>
        <w:right w:val="none" w:sz="0" w:space="0" w:color="auto"/>
      </w:divBdr>
    </w:div>
    <w:div w:id="535241882">
      <w:bodyDiv w:val="1"/>
      <w:marLeft w:val="0"/>
      <w:marRight w:val="0"/>
      <w:marTop w:val="0"/>
      <w:marBottom w:val="0"/>
      <w:divBdr>
        <w:top w:val="none" w:sz="0" w:space="0" w:color="auto"/>
        <w:left w:val="none" w:sz="0" w:space="0" w:color="auto"/>
        <w:bottom w:val="none" w:sz="0" w:space="0" w:color="auto"/>
        <w:right w:val="none" w:sz="0" w:space="0" w:color="auto"/>
      </w:divBdr>
    </w:div>
    <w:div w:id="541789890">
      <w:bodyDiv w:val="1"/>
      <w:marLeft w:val="0"/>
      <w:marRight w:val="0"/>
      <w:marTop w:val="0"/>
      <w:marBottom w:val="0"/>
      <w:divBdr>
        <w:top w:val="none" w:sz="0" w:space="0" w:color="auto"/>
        <w:left w:val="none" w:sz="0" w:space="0" w:color="auto"/>
        <w:bottom w:val="none" w:sz="0" w:space="0" w:color="auto"/>
        <w:right w:val="none" w:sz="0" w:space="0" w:color="auto"/>
      </w:divBdr>
    </w:div>
    <w:div w:id="554703116">
      <w:bodyDiv w:val="1"/>
      <w:marLeft w:val="0"/>
      <w:marRight w:val="0"/>
      <w:marTop w:val="0"/>
      <w:marBottom w:val="0"/>
      <w:divBdr>
        <w:top w:val="none" w:sz="0" w:space="0" w:color="auto"/>
        <w:left w:val="none" w:sz="0" w:space="0" w:color="auto"/>
        <w:bottom w:val="none" w:sz="0" w:space="0" w:color="auto"/>
        <w:right w:val="none" w:sz="0" w:space="0" w:color="auto"/>
      </w:divBdr>
      <w:divsChild>
        <w:div w:id="143475890">
          <w:marLeft w:val="0"/>
          <w:marRight w:val="0"/>
          <w:marTop w:val="0"/>
          <w:marBottom w:val="0"/>
          <w:divBdr>
            <w:top w:val="none" w:sz="0" w:space="0" w:color="auto"/>
            <w:left w:val="none" w:sz="0" w:space="0" w:color="auto"/>
            <w:bottom w:val="none" w:sz="0" w:space="0" w:color="auto"/>
            <w:right w:val="none" w:sz="0" w:space="0" w:color="auto"/>
          </w:divBdr>
        </w:div>
        <w:div w:id="10569846">
          <w:marLeft w:val="0"/>
          <w:marRight w:val="0"/>
          <w:marTop w:val="0"/>
          <w:marBottom w:val="0"/>
          <w:divBdr>
            <w:top w:val="none" w:sz="0" w:space="0" w:color="auto"/>
            <w:left w:val="none" w:sz="0" w:space="0" w:color="auto"/>
            <w:bottom w:val="none" w:sz="0" w:space="0" w:color="auto"/>
            <w:right w:val="none" w:sz="0" w:space="0" w:color="auto"/>
          </w:divBdr>
          <w:divsChild>
            <w:div w:id="2079210283">
              <w:marLeft w:val="0"/>
              <w:marRight w:val="0"/>
              <w:marTop w:val="0"/>
              <w:marBottom w:val="0"/>
              <w:divBdr>
                <w:top w:val="none" w:sz="0" w:space="0" w:color="auto"/>
                <w:left w:val="none" w:sz="0" w:space="0" w:color="auto"/>
                <w:bottom w:val="none" w:sz="0" w:space="0" w:color="auto"/>
                <w:right w:val="none" w:sz="0" w:space="0" w:color="auto"/>
              </w:divBdr>
            </w:div>
          </w:divsChild>
        </w:div>
        <w:div w:id="889341404">
          <w:marLeft w:val="0"/>
          <w:marRight w:val="0"/>
          <w:marTop w:val="0"/>
          <w:marBottom w:val="0"/>
          <w:divBdr>
            <w:top w:val="none" w:sz="0" w:space="0" w:color="auto"/>
            <w:left w:val="none" w:sz="0" w:space="0" w:color="auto"/>
            <w:bottom w:val="none" w:sz="0" w:space="0" w:color="auto"/>
            <w:right w:val="none" w:sz="0" w:space="0" w:color="auto"/>
          </w:divBdr>
          <w:divsChild>
            <w:div w:id="2059236355">
              <w:marLeft w:val="0"/>
              <w:marRight w:val="0"/>
              <w:marTop w:val="0"/>
              <w:marBottom w:val="0"/>
              <w:divBdr>
                <w:top w:val="none" w:sz="0" w:space="0" w:color="auto"/>
                <w:left w:val="none" w:sz="0" w:space="0" w:color="auto"/>
                <w:bottom w:val="none" w:sz="0" w:space="0" w:color="auto"/>
                <w:right w:val="none" w:sz="0" w:space="0" w:color="auto"/>
              </w:divBdr>
              <w:divsChild>
                <w:div w:id="190698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226791">
      <w:bodyDiv w:val="1"/>
      <w:marLeft w:val="0"/>
      <w:marRight w:val="0"/>
      <w:marTop w:val="0"/>
      <w:marBottom w:val="0"/>
      <w:divBdr>
        <w:top w:val="none" w:sz="0" w:space="0" w:color="auto"/>
        <w:left w:val="none" w:sz="0" w:space="0" w:color="auto"/>
        <w:bottom w:val="none" w:sz="0" w:space="0" w:color="auto"/>
        <w:right w:val="none" w:sz="0" w:space="0" w:color="auto"/>
      </w:divBdr>
      <w:divsChild>
        <w:div w:id="144009371">
          <w:marLeft w:val="274"/>
          <w:marRight w:val="0"/>
          <w:marTop w:val="0"/>
          <w:marBottom w:val="0"/>
          <w:divBdr>
            <w:top w:val="none" w:sz="0" w:space="0" w:color="auto"/>
            <w:left w:val="none" w:sz="0" w:space="0" w:color="auto"/>
            <w:bottom w:val="none" w:sz="0" w:space="0" w:color="auto"/>
            <w:right w:val="none" w:sz="0" w:space="0" w:color="auto"/>
          </w:divBdr>
        </w:div>
        <w:div w:id="286938012">
          <w:marLeft w:val="274"/>
          <w:marRight w:val="0"/>
          <w:marTop w:val="0"/>
          <w:marBottom w:val="0"/>
          <w:divBdr>
            <w:top w:val="none" w:sz="0" w:space="0" w:color="auto"/>
            <w:left w:val="none" w:sz="0" w:space="0" w:color="auto"/>
            <w:bottom w:val="none" w:sz="0" w:space="0" w:color="auto"/>
            <w:right w:val="none" w:sz="0" w:space="0" w:color="auto"/>
          </w:divBdr>
        </w:div>
        <w:div w:id="550923580">
          <w:marLeft w:val="274"/>
          <w:marRight w:val="0"/>
          <w:marTop w:val="0"/>
          <w:marBottom w:val="0"/>
          <w:divBdr>
            <w:top w:val="none" w:sz="0" w:space="0" w:color="auto"/>
            <w:left w:val="none" w:sz="0" w:space="0" w:color="auto"/>
            <w:bottom w:val="none" w:sz="0" w:space="0" w:color="auto"/>
            <w:right w:val="none" w:sz="0" w:space="0" w:color="auto"/>
          </w:divBdr>
        </w:div>
        <w:div w:id="589463386">
          <w:marLeft w:val="274"/>
          <w:marRight w:val="0"/>
          <w:marTop w:val="0"/>
          <w:marBottom w:val="0"/>
          <w:divBdr>
            <w:top w:val="none" w:sz="0" w:space="0" w:color="auto"/>
            <w:left w:val="none" w:sz="0" w:space="0" w:color="auto"/>
            <w:bottom w:val="none" w:sz="0" w:space="0" w:color="auto"/>
            <w:right w:val="none" w:sz="0" w:space="0" w:color="auto"/>
          </w:divBdr>
        </w:div>
        <w:div w:id="658002812">
          <w:marLeft w:val="274"/>
          <w:marRight w:val="0"/>
          <w:marTop w:val="0"/>
          <w:marBottom w:val="0"/>
          <w:divBdr>
            <w:top w:val="none" w:sz="0" w:space="0" w:color="auto"/>
            <w:left w:val="none" w:sz="0" w:space="0" w:color="auto"/>
            <w:bottom w:val="none" w:sz="0" w:space="0" w:color="auto"/>
            <w:right w:val="none" w:sz="0" w:space="0" w:color="auto"/>
          </w:divBdr>
        </w:div>
        <w:div w:id="917901892">
          <w:marLeft w:val="274"/>
          <w:marRight w:val="0"/>
          <w:marTop w:val="0"/>
          <w:marBottom w:val="0"/>
          <w:divBdr>
            <w:top w:val="none" w:sz="0" w:space="0" w:color="auto"/>
            <w:left w:val="none" w:sz="0" w:space="0" w:color="auto"/>
            <w:bottom w:val="none" w:sz="0" w:space="0" w:color="auto"/>
            <w:right w:val="none" w:sz="0" w:space="0" w:color="auto"/>
          </w:divBdr>
        </w:div>
        <w:div w:id="941842504">
          <w:marLeft w:val="274"/>
          <w:marRight w:val="0"/>
          <w:marTop w:val="0"/>
          <w:marBottom w:val="0"/>
          <w:divBdr>
            <w:top w:val="none" w:sz="0" w:space="0" w:color="auto"/>
            <w:left w:val="none" w:sz="0" w:space="0" w:color="auto"/>
            <w:bottom w:val="none" w:sz="0" w:space="0" w:color="auto"/>
            <w:right w:val="none" w:sz="0" w:space="0" w:color="auto"/>
          </w:divBdr>
        </w:div>
        <w:div w:id="1113787203">
          <w:marLeft w:val="274"/>
          <w:marRight w:val="0"/>
          <w:marTop w:val="0"/>
          <w:marBottom w:val="0"/>
          <w:divBdr>
            <w:top w:val="none" w:sz="0" w:space="0" w:color="auto"/>
            <w:left w:val="none" w:sz="0" w:space="0" w:color="auto"/>
            <w:bottom w:val="none" w:sz="0" w:space="0" w:color="auto"/>
            <w:right w:val="none" w:sz="0" w:space="0" w:color="auto"/>
          </w:divBdr>
        </w:div>
        <w:div w:id="1439177275">
          <w:marLeft w:val="274"/>
          <w:marRight w:val="0"/>
          <w:marTop w:val="0"/>
          <w:marBottom w:val="0"/>
          <w:divBdr>
            <w:top w:val="none" w:sz="0" w:space="0" w:color="auto"/>
            <w:left w:val="none" w:sz="0" w:space="0" w:color="auto"/>
            <w:bottom w:val="none" w:sz="0" w:space="0" w:color="auto"/>
            <w:right w:val="none" w:sz="0" w:space="0" w:color="auto"/>
          </w:divBdr>
        </w:div>
        <w:div w:id="2046712586">
          <w:marLeft w:val="274"/>
          <w:marRight w:val="0"/>
          <w:marTop w:val="0"/>
          <w:marBottom w:val="0"/>
          <w:divBdr>
            <w:top w:val="none" w:sz="0" w:space="0" w:color="auto"/>
            <w:left w:val="none" w:sz="0" w:space="0" w:color="auto"/>
            <w:bottom w:val="none" w:sz="0" w:space="0" w:color="auto"/>
            <w:right w:val="none" w:sz="0" w:space="0" w:color="auto"/>
          </w:divBdr>
        </w:div>
      </w:divsChild>
    </w:div>
    <w:div w:id="595141013">
      <w:bodyDiv w:val="1"/>
      <w:marLeft w:val="0"/>
      <w:marRight w:val="0"/>
      <w:marTop w:val="0"/>
      <w:marBottom w:val="0"/>
      <w:divBdr>
        <w:top w:val="none" w:sz="0" w:space="0" w:color="auto"/>
        <w:left w:val="none" w:sz="0" w:space="0" w:color="auto"/>
        <w:bottom w:val="none" w:sz="0" w:space="0" w:color="auto"/>
        <w:right w:val="none" w:sz="0" w:space="0" w:color="auto"/>
      </w:divBdr>
    </w:div>
    <w:div w:id="615596551">
      <w:bodyDiv w:val="1"/>
      <w:marLeft w:val="0"/>
      <w:marRight w:val="0"/>
      <w:marTop w:val="0"/>
      <w:marBottom w:val="0"/>
      <w:divBdr>
        <w:top w:val="none" w:sz="0" w:space="0" w:color="auto"/>
        <w:left w:val="none" w:sz="0" w:space="0" w:color="auto"/>
        <w:bottom w:val="none" w:sz="0" w:space="0" w:color="auto"/>
        <w:right w:val="none" w:sz="0" w:space="0" w:color="auto"/>
      </w:divBdr>
    </w:div>
    <w:div w:id="633029481">
      <w:bodyDiv w:val="1"/>
      <w:marLeft w:val="0"/>
      <w:marRight w:val="0"/>
      <w:marTop w:val="0"/>
      <w:marBottom w:val="0"/>
      <w:divBdr>
        <w:top w:val="none" w:sz="0" w:space="0" w:color="auto"/>
        <w:left w:val="none" w:sz="0" w:space="0" w:color="auto"/>
        <w:bottom w:val="none" w:sz="0" w:space="0" w:color="auto"/>
        <w:right w:val="none" w:sz="0" w:space="0" w:color="auto"/>
      </w:divBdr>
    </w:div>
    <w:div w:id="651761111">
      <w:bodyDiv w:val="1"/>
      <w:marLeft w:val="0"/>
      <w:marRight w:val="0"/>
      <w:marTop w:val="0"/>
      <w:marBottom w:val="0"/>
      <w:divBdr>
        <w:top w:val="none" w:sz="0" w:space="0" w:color="auto"/>
        <w:left w:val="none" w:sz="0" w:space="0" w:color="auto"/>
        <w:bottom w:val="none" w:sz="0" w:space="0" w:color="auto"/>
        <w:right w:val="none" w:sz="0" w:space="0" w:color="auto"/>
      </w:divBdr>
    </w:div>
    <w:div w:id="687369403">
      <w:bodyDiv w:val="1"/>
      <w:marLeft w:val="0"/>
      <w:marRight w:val="0"/>
      <w:marTop w:val="0"/>
      <w:marBottom w:val="0"/>
      <w:divBdr>
        <w:top w:val="none" w:sz="0" w:space="0" w:color="auto"/>
        <w:left w:val="none" w:sz="0" w:space="0" w:color="auto"/>
        <w:bottom w:val="none" w:sz="0" w:space="0" w:color="auto"/>
        <w:right w:val="none" w:sz="0" w:space="0" w:color="auto"/>
      </w:divBdr>
      <w:divsChild>
        <w:div w:id="707727472">
          <w:marLeft w:val="0"/>
          <w:marRight w:val="0"/>
          <w:marTop w:val="0"/>
          <w:marBottom w:val="0"/>
          <w:divBdr>
            <w:top w:val="none" w:sz="0" w:space="0" w:color="auto"/>
            <w:left w:val="none" w:sz="0" w:space="0" w:color="auto"/>
            <w:bottom w:val="none" w:sz="0" w:space="0" w:color="auto"/>
            <w:right w:val="none" w:sz="0" w:space="0" w:color="auto"/>
          </w:divBdr>
        </w:div>
        <w:div w:id="743138469">
          <w:marLeft w:val="0"/>
          <w:marRight w:val="0"/>
          <w:marTop w:val="0"/>
          <w:marBottom w:val="0"/>
          <w:divBdr>
            <w:top w:val="none" w:sz="0" w:space="0" w:color="auto"/>
            <w:left w:val="none" w:sz="0" w:space="0" w:color="auto"/>
            <w:bottom w:val="none" w:sz="0" w:space="0" w:color="auto"/>
            <w:right w:val="none" w:sz="0" w:space="0" w:color="auto"/>
          </w:divBdr>
        </w:div>
      </w:divsChild>
    </w:div>
    <w:div w:id="719669802">
      <w:bodyDiv w:val="1"/>
      <w:marLeft w:val="0"/>
      <w:marRight w:val="0"/>
      <w:marTop w:val="0"/>
      <w:marBottom w:val="0"/>
      <w:divBdr>
        <w:top w:val="none" w:sz="0" w:space="0" w:color="auto"/>
        <w:left w:val="none" w:sz="0" w:space="0" w:color="auto"/>
        <w:bottom w:val="none" w:sz="0" w:space="0" w:color="auto"/>
        <w:right w:val="none" w:sz="0" w:space="0" w:color="auto"/>
      </w:divBdr>
    </w:div>
    <w:div w:id="721751528">
      <w:bodyDiv w:val="1"/>
      <w:marLeft w:val="0"/>
      <w:marRight w:val="0"/>
      <w:marTop w:val="0"/>
      <w:marBottom w:val="0"/>
      <w:divBdr>
        <w:top w:val="none" w:sz="0" w:space="0" w:color="auto"/>
        <w:left w:val="none" w:sz="0" w:space="0" w:color="auto"/>
        <w:bottom w:val="none" w:sz="0" w:space="0" w:color="auto"/>
        <w:right w:val="none" w:sz="0" w:space="0" w:color="auto"/>
      </w:divBdr>
      <w:divsChild>
        <w:div w:id="1893729866">
          <w:marLeft w:val="0"/>
          <w:marRight w:val="0"/>
          <w:marTop w:val="0"/>
          <w:marBottom w:val="0"/>
          <w:divBdr>
            <w:top w:val="none" w:sz="0" w:space="0" w:color="auto"/>
            <w:left w:val="none" w:sz="0" w:space="0" w:color="auto"/>
            <w:bottom w:val="none" w:sz="0" w:space="0" w:color="auto"/>
            <w:right w:val="none" w:sz="0" w:space="0" w:color="auto"/>
          </w:divBdr>
        </w:div>
        <w:div w:id="1061562912">
          <w:marLeft w:val="0"/>
          <w:marRight w:val="0"/>
          <w:marTop w:val="0"/>
          <w:marBottom w:val="0"/>
          <w:divBdr>
            <w:top w:val="none" w:sz="0" w:space="0" w:color="auto"/>
            <w:left w:val="none" w:sz="0" w:space="0" w:color="auto"/>
            <w:bottom w:val="none" w:sz="0" w:space="0" w:color="auto"/>
            <w:right w:val="none" w:sz="0" w:space="0" w:color="auto"/>
          </w:divBdr>
        </w:div>
      </w:divsChild>
    </w:div>
    <w:div w:id="779761707">
      <w:bodyDiv w:val="1"/>
      <w:marLeft w:val="0"/>
      <w:marRight w:val="0"/>
      <w:marTop w:val="0"/>
      <w:marBottom w:val="0"/>
      <w:divBdr>
        <w:top w:val="none" w:sz="0" w:space="0" w:color="auto"/>
        <w:left w:val="none" w:sz="0" w:space="0" w:color="auto"/>
        <w:bottom w:val="none" w:sz="0" w:space="0" w:color="auto"/>
        <w:right w:val="none" w:sz="0" w:space="0" w:color="auto"/>
      </w:divBdr>
      <w:divsChild>
        <w:div w:id="1034303530">
          <w:marLeft w:val="0"/>
          <w:marRight w:val="0"/>
          <w:marTop w:val="100"/>
          <w:marBottom w:val="100"/>
          <w:divBdr>
            <w:top w:val="none" w:sz="0" w:space="0" w:color="auto"/>
            <w:left w:val="none" w:sz="0" w:space="0" w:color="auto"/>
            <w:bottom w:val="none" w:sz="0" w:space="0" w:color="auto"/>
            <w:right w:val="none" w:sz="0" w:space="0" w:color="auto"/>
          </w:divBdr>
          <w:divsChild>
            <w:div w:id="1412694998">
              <w:marLeft w:val="0"/>
              <w:marRight w:val="0"/>
              <w:marTop w:val="0"/>
              <w:marBottom w:val="0"/>
              <w:divBdr>
                <w:top w:val="none" w:sz="0" w:space="0" w:color="auto"/>
                <w:left w:val="none" w:sz="0" w:space="0" w:color="auto"/>
                <w:bottom w:val="none" w:sz="0" w:space="0" w:color="auto"/>
                <w:right w:val="none" w:sz="0" w:space="0" w:color="auto"/>
              </w:divBdr>
              <w:divsChild>
                <w:div w:id="1194809956">
                  <w:marLeft w:val="0"/>
                  <w:marRight w:val="0"/>
                  <w:marTop w:val="0"/>
                  <w:marBottom w:val="0"/>
                  <w:divBdr>
                    <w:top w:val="none" w:sz="0" w:space="0" w:color="auto"/>
                    <w:left w:val="none" w:sz="0" w:space="0" w:color="auto"/>
                    <w:bottom w:val="none" w:sz="0" w:space="0" w:color="auto"/>
                    <w:right w:val="none" w:sz="0" w:space="0" w:color="auto"/>
                  </w:divBdr>
                  <w:divsChild>
                    <w:div w:id="1047339769">
                      <w:marLeft w:val="0"/>
                      <w:marRight w:val="0"/>
                      <w:marTop w:val="0"/>
                      <w:marBottom w:val="0"/>
                      <w:divBdr>
                        <w:top w:val="none" w:sz="0" w:space="0" w:color="auto"/>
                        <w:left w:val="none" w:sz="0" w:space="0" w:color="auto"/>
                        <w:bottom w:val="none" w:sz="0" w:space="0" w:color="auto"/>
                        <w:right w:val="none" w:sz="0" w:space="0" w:color="auto"/>
                      </w:divBdr>
                      <w:divsChild>
                        <w:div w:id="462620047">
                          <w:marLeft w:val="0"/>
                          <w:marRight w:val="0"/>
                          <w:marTop w:val="0"/>
                          <w:marBottom w:val="0"/>
                          <w:divBdr>
                            <w:top w:val="none" w:sz="0" w:space="0" w:color="auto"/>
                            <w:left w:val="none" w:sz="0" w:space="0" w:color="auto"/>
                            <w:bottom w:val="none" w:sz="0" w:space="0" w:color="auto"/>
                            <w:right w:val="none" w:sz="0" w:space="0" w:color="auto"/>
                          </w:divBdr>
                          <w:divsChild>
                            <w:div w:id="1327245923">
                              <w:marLeft w:val="-225"/>
                              <w:marRight w:val="-225"/>
                              <w:marTop w:val="0"/>
                              <w:marBottom w:val="0"/>
                              <w:divBdr>
                                <w:top w:val="none" w:sz="0" w:space="0" w:color="auto"/>
                                <w:left w:val="none" w:sz="0" w:space="0" w:color="auto"/>
                                <w:bottom w:val="none" w:sz="0" w:space="0" w:color="auto"/>
                                <w:right w:val="none" w:sz="0" w:space="0" w:color="auto"/>
                              </w:divBdr>
                              <w:divsChild>
                                <w:div w:id="1641573335">
                                  <w:marLeft w:val="0"/>
                                  <w:marRight w:val="0"/>
                                  <w:marTop w:val="0"/>
                                  <w:marBottom w:val="0"/>
                                  <w:divBdr>
                                    <w:top w:val="none" w:sz="0" w:space="0" w:color="auto"/>
                                    <w:left w:val="none" w:sz="0" w:space="0" w:color="auto"/>
                                    <w:bottom w:val="none" w:sz="0" w:space="0" w:color="auto"/>
                                    <w:right w:val="none" w:sz="0" w:space="0" w:color="auto"/>
                                  </w:divBdr>
                                  <w:divsChild>
                                    <w:div w:id="1870603252">
                                      <w:marLeft w:val="0"/>
                                      <w:marRight w:val="0"/>
                                      <w:marTop w:val="0"/>
                                      <w:marBottom w:val="0"/>
                                      <w:divBdr>
                                        <w:top w:val="none" w:sz="0" w:space="0" w:color="auto"/>
                                        <w:left w:val="none" w:sz="0" w:space="0" w:color="auto"/>
                                        <w:bottom w:val="none" w:sz="0" w:space="0" w:color="auto"/>
                                        <w:right w:val="none" w:sz="0" w:space="0" w:color="auto"/>
                                      </w:divBdr>
                                      <w:divsChild>
                                        <w:div w:id="610164101">
                                          <w:marLeft w:val="0"/>
                                          <w:marRight w:val="0"/>
                                          <w:marTop w:val="120"/>
                                          <w:marBottom w:val="450"/>
                                          <w:divBdr>
                                            <w:top w:val="none" w:sz="0" w:space="0" w:color="auto"/>
                                            <w:left w:val="none" w:sz="0" w:space="0" w:color="auto"/>
                                            <w:bottom w:val="none" w:sz="0" w:space="0" w:color="auto"/>
                                            <w:right w:val="none" w:sz="0" w:space="0" w:color="auto"/>
                                          </w:divBdr>
                                        </w:div>
                                        <w:div w:id="1478453875">
                                          <w:marLeft w:val="0"/>
                                          <w:marRight w:val="0"/>
                                          <w:marTop w:val="0"/>
                                          <w:marBottom w:val="450"/>
                                          <w:divBdr>
                                            <w:top w:val="none" w:sz="0" w:space="0" w:color="auto"/>
                                            <w:left w:val="none" w:sz="0" w:space="0" w:color="auto"/>
                                            <w:bottom w:val="none" w:sz="0" w:space="0" w:color="auto"/>
                                            <w:right w:val="none" w:sz="0" w:space="0" w:color="auto"/>
                                          </w:divBdr>
                                        </w:div>
                                        <w:div w:id="157758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8086219">
          <w:marLeft w:val="0"/>
          <w:marRight w:val="0"/>
          <w:marTop w:val="100"/>
          <w:marBottom w:val="100"/>
          <w:divBdr>
            <w:top w:val="none" w:sz="0" w:space="0" w:color="auto"/>
            <w:left w:val="none" w:sz="0" w:space="0" w:color="auto"/>
            <w:bottom w:val="none" w:sz="0" w:space="0" w:color="auto"/>
            <w:right w:val="none" w:sz="0" w:space="0" w:color="auto"/>
          </w:divBdr>
          <w:divsChild>
            <w:div w:id="1612316931">
              <w:marLeft w:val="0"/>
              <w:marRight w:val="0"/>
              <w:marTop w:val="0"/>
              <w:marBottom w:val="0"/>
              <w:divBdr>
                <w:top w:val="none" w:sz="0" w:space="0" w:color="auto"/>
                <w:left w:val="none" w:sz="0" w:space="0" w:color="auto"/>
                <w:bottom w:val="none" w:sz="0" w:space="0" w:color="auto"/>
                <w:right w:val="none" w:sz="0" w:space="0" w:color="auto"/>
              </w:divBdr>
              <w:divsChild>
                <w:div w:id="541403655">
                  <w:marLeft w:val="0"/>
                  <w:marRight w:val="0"/>
                  <w:marTop w:val="0"/>
                  <w:marBottom w:val="0"/>
                  <w:divBdr>
                    <w:top w:val="none" w:sz="0" w:space="0" w:color="auto"/>
                    <w:left w:val="none" w:sz="0" w:space="0" w:color="auto"/>
                    <w:bottom w:val="none" w:sz="0" w:space="0" w:color="auto"/>
                    <w:right w:val="none" w:sz="0" w:space="0" w:color="auto"/>
                  </w:divBdr>
                  <w:divsChild>
                    <w:div w:id="1729958033">
                      <w:marLeft w:val="0"/>
                      <w:marRight w:val="0"/>
                      <w:marTop w:val="0"/>
                      <w:marBottom w:val="0"/>
                      <w:divBdr>
                        <w:top w:val="none" w:sz="0" w:space="0" w:color="auto"/>
                        <w:left w:val="none" w:sz="0" w:space="0" w:color="auto"/>
                        <w:bottom w:val="none" w:sz="0" w:space="0" w:color="auto"/>
                        <w:right w:val="none" w:sz="0" w:space="0" w:color="auto"/>
                      </w:divBdr>
                      <w:divsChild>
                        <w:div w:id="165690807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782842597">
      <w:bodyDiv w:val="1"/>
      <w:marLeft w:val="0"/>
      <w:marRight w:val="0"/>
      <w:marTop w:val="0"/>
      <w:marBottom w:val="0"/>
      <w:divBdr>
        <w:top w:val="none" w:sz="0" w:space="0" w:color="auto"/>
        <w:left w:val="none" w:sz="0" w:space="0" w:color="auto"/>
        <w:bottom w:val="none" w:sz="0" w:space="0" w:color="auto"/>
        <w:right w:val="none" w:sz="0" w:space="0" w:color="auto"/>
      </w:divBdr>
    </w:div>
    <w:div w:id="784427876">
      <w:bodyDiv w:val="1"/>
      <w:marLeft w:val="0"/>
      <w:marRight w:val="0"/>
      <w:marTop w:val="0"/>
      <w:marBottom w:val="0"/>
      <w:divBdr>
        <w:top w:val="none" w:sz="0" w:space="0" w:color="auto"/>
        <w:left w:val="none" w:sz="0" w:space="0" w:color="auto"/>
        <w:bottom w:val="none" w:sz="0" w:space="0" w:color="auto"/>
        <w:right w:val="none" w:sz="0" w:space="0" w:color="auto"/>
      </w:divBdr>
    </w:div>
    <w:div w:id="796337675">
      <w:bodyDiv w:val="1"/>
      <w:marLeft w:val="0"/>
      <w:marRight w:val="0"/>
      <w:marTop w:val="0"/>
      <w:marBottom w:val="0"/>
      <w:divBdr>
        <w:top w:val="none" w:sz="0" w:space="0" w:color="auto"/>
        <w:left w:val="none" w:sz="0" w:space="0" w:color="auto"/>
        <w:bottom w:val="none" w:sz="0" w:space="0" w:color="auto"/>
        <w:right w:val="none" w:sz="0" w:space="0" w:color="auto"/>
      </w:divBdr>
    </w:div>
    <w:div w:id="805588929">
      <w:bodyDiv w:val="1"/>
      <w:marLeft w:val="0"/>
      <w:marRight w:val="0"/>
      <w:marTop w:val="0"/>
      <w:marBottom w:val="0"/>
      <w:divBdr>
        <w:top w:val="none" w:sz="0" w:space="0" w:color="auto"/>
        <w:left w:val="none" w:sz="0" w:space="0" w:color="auto"/>
        <w:bottom w:val="none" w:sz="0" w:space="0" w:color="auto"/>
        <w:right w:val="none" w:sz="0" w:space="0" w:color="auto"/>
      </w:divBdr>
    </w:div>
    <w:div w:id="808942873">
      <w:bodyDiv w:val="1"/>
      <w:marLeft w:val="0"/>
      <w:marRight w:val="0"/>
      <w:marTop w:val="0"/>
      <w:marBottom w:val="0"/>
      <w:divBdr>
        <w:top w:val="none" w:sz="0" w:space="0" w:color="auto"/>
        <w:left w:val="none" w:sz="0" w:space="0" w:color="auto"/>
        <w:bottom w:val="none" w:sz="0" w:space="0" w:color="auto"/>
        <w:right w:val="none" w:sz="0" w:space="0" w:color="auto"/>
      </w:divBdr>
    </w:div>
    <w:div w:id="821576733">
      <w:bodyDiv w:val="1"/>
      <w:marLeft w:val="0"/>
      <w:marRight w:val="0"/>
      <w:marTop w:val="0"/>
      <w:marBottom w:val="0"/>
      <w:divBdr>
        <w:top w:val="none" w:sz="0" w:space="0" w:color="auto"/>
        <w:left w:val="none" w:sz="0" w:space="0" w:color="auto"/>
        <w:bottom w:val="none" w:sz="0" w:space="0" w:color="auto"/>
        <w:right w:val="none" w:sz="0" w:space="0" w:color="auto"/>
      </w:divBdr>
    </w:div>
    <w:div w:id="829104206">
      <w:bodyDiv w:val="1"/>
      <w:marLeft w:val="0"/>
      <w:marRight w:val="0"/>
      <w:marTop w:val="0"/>
      <w:marBottom w:val="0"/>
      <w:divBdr>
        <w:top w:val="none" w:sz="0" w:space="0" w:color="auto"/>
        <w:left w:val="none" w:sz="0" w:space="0" w:color="auto"/>
        <w:bottom w:val="none" w:sz="0" w:space="0" w:color="auto"/>
        <w:right w:val="none" w:sz="0" w:space="0" w:color="auto"/>
      </w:divBdr>
    </w:div>
    <w:div w:id="853687756">
      <w:bodyDiv w:val="1"/>
      <w:marLeft w:val="0"/>
      <w:marRight w:val="0"/>
      <w:marTop w:val="0"/>
      <w:marBottom w:val="0"/>
      <w:divBdr>
        <w:top w:val="none" w:sz="0" w:space="0" w:color="auto"/>
        <w:left w:val="none" w:sz="0" w:space="0" w:color="auto"/>
        <w:bottom w:val="none" w:sz="0" w:space="0" w:color="auto"/>
        <w:right w:val="none" w:sz="0" w:space="0" w:color="auto"/>
      </w:divBdr>
    </w:div>
    <w:div w:id="871652848">
      <w:bodyDiv w:val="1"/>
      <w:marLeft w:val="0"/>
      <w:marRight w:val="0"/>
      <w:marTop w:val="0"/>
      <w:marBottom w:val="0"/>
      <w:divBdr>
        <w:top w:val="none" w:sz="0" w:space="0" w:color="auto"/>
        <w:left w:val="none" w:sz="0" w:space="0" w:color="auto"/>
        <w:bottom w:val="none" w:sz="0" w:space="0" w:color="auto"/>
        <w:right w:val="none" w:sz="0" w:space="0" w:color="auto"/>
      </w:divBdr>
    </w:div>
    <w:div w:id="873810572">
      <w:bodyDiv w:val="1"/>
      <w:marLeft w:val="0"/>
      <w:marRight w:val="0"/>
      <w:marTop w:val="0"/>
      <w:marBottom w:val="0"/>
      <w:divBdr>
        <w:top w:val="none" w:sz="0" w:space="0" w:color="auto"/>
        <w:left w:val="none" w:sz="0" w:space="0" w:color="auto"/>
        <w:bottom w:val="none" w:sz="0" w:space="0" w:color="auto"/>
        <w:right w:val="none" w:sz="0" w:space="0" w:color="auto"/>
      </w:divBdr>
    </w:div>
    <w:div w:id="888952315">
      <w:bodyDiv w:val="1"/>
      <w:marLeft w:val="0"/>
      <w:marRight w:val="0"/>
      <w:marTop w:val="0"/>
      <w:marBottom w:val="0"/>
      <w:divBdr>
        <w:top w:val="none" w:sz="0" w:space="0" w:color="auto"/>
        <w:left w:val="none" w:sz="0" w:space="0" w:color="auto"/>
        <w:bottom w:val="none" w:sz="0" w:space="0" w:color="auto"/>
        <w:right w:val="none" w:sz="0" w:space="0" w:color="auto"/>
      </w:divBdr>
    </w:div>
    <w:div w:id="903683480">
      <w:bodyDiv w:val="1"/>
      <w:marLeft w:val="0"/>
      <w:marRight w:val="0"/>
      <w:marTop w:val="0"/>
      <w:marBottom w:val="0"/>
      <w:divBdr>
        <w:top w:val="none" w:sz="0" w:space="0" w:color="auto"/>
        <w:left w:val="none" w:sz="0" w:space="0" w:color="auto"/>
        <w:bottom w:val="none" w:sz="0" w:space="0" w:color="auto"/>
        <w:right w:val="none" w:sz="0" w:space="0" w:color="auto"/>
      </w:divBdr>
    </w:div>
    <w:div w:id="913514626">
      <w:bodyDiv w:val="1"/>
      <w:marLeft w:val="0"/>
      <w:marRight w:val="0"/>
      <w:marTop w:val="0"/>
      <w:marBottom w:val="0"/>
      <w:divBdr>
        <w:top w:val="none" w:sz="0" w:space="0" w:color="auto"/>
        <w:left w:val="none" w:sz="0" w:space="0" w:color="auto"/>
        <w:bottom w:val="none" w:sz="0" w:space="0" w:color="auto"/>
        <w:right w:val="none" w:sz="0" w:space="0" w:color="auto"/>
      </w:divBdr>
    </w:div>
    <w:div w:id="917716759">
      <w:bodyDiv w:val="1"/>
      <w:marLeft w:val="0"/>
      <w:marRight w:val="0"/>
      <w:marTop w:val="0"/>
      <w:marBottom w:val="0"/>
      <w:divBdr>
        <w:top w:val="none" w:sz="0" w:space="0" w:color="auto"/>
        <w:left w:val="none" w:sz="0" w:space="0" w:color="auto"/>
        <w:bottom w:val="none" w:sz="0" w:space="0" w:color="auto"/>
        <w:right w:val="none" w:sz="0" w:space="0" w:color="auto"/>
      </w:divBdr>
    </w:div>
    <w:div w:id="923489362">
      <w:bodyDiv w:val="1"/>
      <w:marLeft w:val="0"/>
      <w:marRight w:val="0"/>
      <w:marTop w:val="0"/>
      <w:marBottom w:val="0"/>
      <w:divBdr>
        <w:top w:val="none" w:sz="0" w:space="0" w:color="auto"/>
        <w:left w:val="none" w:sz="0" w:space="0" w:color="auto"/>
        <w:bottom w:val="none" w:sz="0" w:space="0" w:color="auto"/>
        <w:right w:val="none" w:sz="0" w:space="0" w:color="auto"/>
      </w:divBdr>
    </w:div>
    <w:div w:id="943615871">
      <w:bodyDiv w:val="1"/>
      <w:marLeft w:val="0"/>
      <w:marRight w:val="0"/>
      <w:marTop w:val="0"/>
      <w:marBottom w:val="0"/>
      <w:divBdr>
        <w:top w:val="none" w:sz="0" w:space="0" w:color="auto"/>
        <w:left w:val="none" w:sz="0" w:space="0" w:color="auto"/>
        <w:bottom w:val="none" w:sz="0" w:space="0" w:color="auto"/>
        <w:right w:val="none" w:sz="0" w:space="0" w:color="auto"/>
      </w:divBdr>
      <w:divsChild>
        <w:div w:id="1122335364">
          <w:marLeft w:val="547"/>
          <w:marRight w:val="0"/>
          <w:marTop w:val="0"/>
          <w:marBottom w:val="0"/>
          <w:divBdr>
            <w:top w:val="none" w:sz="0" w:space="0" w:color="auto"/>
            <w:left w:val="none" w:sz="0" w:space="0" w:color="auto"/>
            <w:bottom w:val="none" w:sz="0" w:space="0" w:color="auto"/>
            <w:right w:val="none" w:sz="0" w:space="0" w:color="auto"/>
          </w:divBdr>
        </w:div>
      </w:divsChild>
    </w:div>
    <w:div w:id="948972905">
      <w:bodyDiv w:val="1"/>
      <w:marLeft w:val="0"/>
      <w:marRight w:val="0"/>
      <w:marTop w:val="0"/>
      <w:marBottom w:val="0"/>
      <w:divBdr>
        <w:top w:val="none" w:sz="0" w:space="0" w:color="auto"/>
        <w:left w:val="none" w:sz="0" w:space="0" w:color="auto"/>
        <w:bottom w:val="none" w:sz="0" w:space="0" w:color="auto"/>
        <w:right w:val="none" w:sz="0" w:space="0" w:color="auto"/>
      </w:divBdr>
    </w:div>
    <w:div w:id="953172136">
      <w:bodyDiv w:val="1"/>
      <w:marLeft w:val="0"/>
      <w:marRight w:val="0"/>
      <w:marTop w:val="0"/>
      <w:marBottom w:val="0"/>
      <w:divBdr>
        <w:top w:val="none" w:sz="0" w:space="0" w:color="auto"/>
        <w:left w:val="none" w:sz="0" w:space="0" w:color="auto"/>
        <w:bottom w:val="none" w:sz="0" w:space="0" w:color="auto"/>
        <w:right w:val="none" w:sz="0" w:space="0" w:color="auto"/>
      </w:divBdr>
      <w:divsChild>
        <w:div w:id="1025249002">
          <w:marLeft w:val="0"/>
          <w:marRight w:val="0"/>
          <w:marTop w:val="0"/>
          <w:marBottom w:val="0"/>
          <w:divBdr>
            <w:top w:val="none" w:sz="0" w:space="0" w:color="auto"/>
            <w:left w:val="none" w:sz="0" w:space="0" w:color="auto"/>
            <w:bottom w:val="none" w:sz="0" w:space="0" w:color="auto"/>
            <w:right w:val="none" w:sz="0" w:space="0" w:color="auto"/>
          </w:divBdr>
        </w:div>
      </w:divsChild>
    </w:div>
    <w:div w:id="991834952">
      <w:bodyDiv w:val="1"/>
      <w:marLeft w:val="0"/>
      <w:marRight w:val="0"/>
      <w:marTop w:val="0"/>
      <w:marBottom w:val="0"/>
      <w:divBdr>
        <w:top w:val="none" w:sz="0" w:space="0" w:color="auto"/>
        <w:left w:val="none" w:sz="0" w:space="0" w:color="auto"/>
        <w:bottom w:val="none" w:sz="0" w:space="0" w:color="auto"/>
        <w:right w:val="none" w:sz="0" w:space="0" w:color="auto"/>
      </w:divBdr>
    </w:div>
    <w:div w:id="1007363084">
      <w:bodyDiv w:val="1"/>
      <w:marLeft w:val="0"/>
      <w:marRight w:val="0"/>
      <w:marTop w:val="0"/>
      <w:marBottom w:val="0"/>
      <w:divBdr>
        <w:top w:val="none" w:sz="0" w:space="0" w:color="auto"/>
        <w:left w:val="none" w:sz="0" w:space="0" w:color="auto"/>
        <w:bottom w:val="none" w:sz="0" w:space="0" w:color="auto"/>
        <w:right w:val="none" w:sz="0" w:space="0" w:color="auto"/>
      </w:divBdr>
    </w:div>
    <w:div w:id="1010062359">
      <w:bodyDiv w:val="1"/>
      <w:marLeft w:val="0"/>
      <w:marRight w:val="0"/>
      <w:marTop w:val="0"/>
      <w:marBottom w:val="0"/>
      <w:divBdr>
        <w:top w:val="none" w:sz="0" w:space="0" w:color="auto"/>
        <w:left w:val="none" w:sz="0" w:space="0" w:color="auto"/>
        <w:bottom w:val="none" w:sz="0" w:space="0" w:color="auto"/>
        <w:right w:val="none" w:sz="0" w:space="0" w:color="auto"/>
      </w:divBdr>
    </w:div>
    <w:div w:id="1041588886">
      <w:bodyDiv w:val="1"/>
      <w:marLeft w:val="0"/>
      <w:marRight w:val="0"/>
      <w:marTop w:val="0"/>
      <w:marBottom w:val="0"/>
      <w:divBdr>
        <w:top w:val="none" w:sz="0" w:space="0" w:color="auto"/>
        <w:left w:val="none" w:sz="0" w:space="0" w:color="auto"/>
        <w:bottom w:val="none" w:sz="0" w:space="0" w:color="auto"/>
        <w:right w:val="none" w:sz="0" w:space="0" w:color="auto"/>
      </w:divBdr>
    </w:div>
    <w:div w:id="1063408217">
      <w:bodyDiv w:val="1"/>
      <w:marLeft w:val="0"/>
      <w:marRight w:val="0"/>
      <w:marTop w:val="0"/>
      <w:marBottom w:val="0"/>
      <w:divBdr>
        <w:top w:val="none" w:sz="0" w:space="0" w:color="auto"/>
        <w:left w:val="none" w:sz="0" w:space="0" w:color="auto"/>
        <w:bottom w:val="none" w:sz="0" w:space="0" w:color="auto"/>
        <w:right w:val="none" w:sz="0" w:space="0" w:color="auto"/>
      </w:divBdr>
    </w:div>
    <w:div w:id="1064570823">
      <w:bodyDiv w:val="1"/>
      <w:marLeft w:val="0"/>
      <w:marRight w:val="0"/>
      <w:marTop w:val="0"/>
      <w:marBottom w:val="0"/>
      <w:divBdr>
        <w:top w:val="none" w:sz="0" w:space="0" w:color="auto"/>
        <w:left w:val="none" w:sz="0" w:space="0" w:color="auto"/>
        <w:bottom w:val="none" w:sz="0" w:space="0" w:color="auto"/>
        <w:right w:val="none" w:sz="0" w:space="0" w:color="auto"/>
      </w:divBdr>
    </w:div>
    <w:div w:id="1076391490">
      <w:bodyDiv w:val="1"/>
      <w:marLeft w:val="0"/>
      <w:marRight w:val="0"/>
      <w:marTop w:val="0"/>
      <w:marBottom w:val="0"/>
      <w:divBdr>
        <w:top w:val="none" w:sz="0" w:space="0" w:color="auto"/>
        <w:left w:val="none" w:sz="0" w:space="0" w:color="auto"/>
        <w:bottom w:val="none" w:sz="0" w:space="0" w:color="auto"/>
        <w:right w:val="none" w:sz="0" w:space="0" w:color="auto"/>
      </w:divBdr>
    </w:div>
    <w:div w:id="1081104259">
      <w:bodyDiv w:val="1"/>
      <w:marLeft w:val="0"/>
      <w:marRight w:val="0"/>
      <w:marTop w:val="0"/>
      <w:marBottom w:val="0"/>
      <w:divBdr>
        <w:top w:val="none" w:sz="0" w:space="0" w:color="auto"/>
        <w:left w:val="none" w:sz="0" w:space="0" w:color="auto"/>
        <w:bottom w:val="none" w:sz="0" w:space="0" w:color="auto"/>
        <w:right w:val="none" w:sz="0" w:space="0" w:color="auto"/>
      </w:divBdr>
      <w:divsChild>
        <w:div w:id="216354741">
          <w:marLeft w:val="446"/>
          <w:marRight w:val="0"/>
          <w:marTop w:val="0"/>
          <w:marBottom w:val="0"/>
          <w:divBdr>
            <w:top w:val="none" w:sz="0" w:space="0" w:color="auto"/>
            <w:left w:val="none" w:sz="0" w:space="0" w:color="auto"/>
            <w:bottom w:val="none" w:sz="0" w:space="0" w:color="auto"/>
            <w:right w:val="none" w:sz="0" w:space="0" w:color="auto"/>
          </w:divBdr>
        </w:div>
        <w:div w:id="992562832">
          <w:marLeft w:val="446"/>
          <w:marRight w:val="0"/>
          <w:marTop w:val="0"/>
          <w:marBottom w:val="0"/>
          <w:divBdr>
            <w:top w:val="none" w:sz="0" w:space="0" w:color="auto"/>
            <w:left w:val="none" w:sz="0" w:space="0" w:color="auto"/>
            <w:bottom w:val="none" w:sz="0" w:space="0" w:color="auto"/>
            <w:right w:val="none" w:sz="0" w:space="0" w:color="auto"/>
          </w:divBdr>
        </w:div>
        <w:div w:id="1411927641">
          <w:marLeft w:val="446"/>
          <w:marRight w:val="0"/>
          <w:marTop w:val="0"/>
          <w:marBottom w:val="0"/>
          <w:divBdr>
            <w:top w:val="none" w:sz="0" w:space="0" w:color="auto"/>
            <w:left w:val="none" w:sz="0" w:space="0" w:color="auto"/>
            <w:bottom w:val="none" w:sz="0" w:space="0" w:color="auto"/>
            <w:right w:val="none" w:sz="0" w:space="0" w:color="auto"/>
          </w:divBdr>
        </w:div>
      </w:divsChild>
    </w:div>
    <w:div w:id="1084108885">
      <w:bodyDiv w:val="1"/>
      <w:marLeft w:val="0"/>
      <w:marRight w:val="0"/>
      <w:marTop w:val="0"/>
      <w:marBottom w:val="0"/>
      <w:divBdr>
        <w:top w:val="none" w:sz="0" w:space="0" w:color="auto"/>
        <w:left w:val="none" w:sz="0" w:space="0" w:color="auto"/>
        <w:bottom w:val="none" w:sz="0" w:space="0" w:color="auto"/>
        <w:right w:val="none" w:sz="0" w:space="0" w:color="auto"/>
      </w:divBdr>
      <w:divsChild>
        <w:div w:id="565452437">
          <w:marLeft w:val="0"/>
          <w:marRight w:val="0"/>
          <w:marTop w:val="100"/>
          <w:marBottom w:val="100"/>
          <w:divBdr>
            <w:top w:val="none" w:sz="0" w:space="0" w:color="auto"/>
            <w:left w:val="none" w:sz="0" w:space="0" w:color="auto"/>
            <w:bottom w:val="none" w:sz="0" w:space="0" w:color="auto"/>
            <w:right w:val="none" w:sz="0" w:space="0" w:color="auto"/>
          </w:divBdr>
          <w:divsChild>
            <w:div w:id="1098720786">
              <w:marLeft w:val="0"/>
              <w:marRight w:val="0"/>
              <w:marTop w:val="0"/>
              <w:marBottom w:val="0"/>
              <w:divBdr>
                <w:top w:val="none" w:sz="0" w:space="0" w:color="auto"/>
                <w:left w:val="none" w:sz="0" w:space="0" w:color="auto"/>
                <w:bottom w:val="none" w:sz="0" w:space="0" w:color="auto"/>
                <w:right w:val="none" w:sz="0" w:space="0" w:color="auto"/>
              </w:divBdr>
              <w:divsChild>
                <w:div w:id="1845784969">
                  <w:marLeft w:val="0"/>
                  <w:marRight w:val="0"/>
                  <w:marTop w:val="0"/>
                  <w:marBottom w:val="0"/>
                  <w:divBdr>
                    <w:top w:val="none" w:sz="0" w:space="0" w:color="auto"/>
                    <w:left w:val="none" w:sz="0" w:space="0" w:color="auto"/>
                    <w:bottom w:val="none" w:sz="0" w:space="0" w:color="auto"/>
                    <w:right w:val="none" w:sz="0" w:space="0" w:color="auto"/>
                  </w:divBdr>
                  <w:divsChild>
                    <w:div w:id="1116947794">
                      <w:marLeft w:val="0"/>
                      <w:marRight w:val="0"/>
                      <w:marTop w:val="0"/>
                      <w:marBottom w:val="0"/>
                      <w:divBdr>
                        <w:top w:val="none" w:sz="0" w:space="0" w:color="auto"/>
                        <w:left w:val="none" w:sz="0" w:space="0" w:color="auto"/>
                        <w:bottom w:val="none" w:sz="0" w:space="0" w:color="auto"/>
                        <w:right w:val="none" w:sz="0" w:space="0" w:color="auto"/>
                      </w:divBdr>
                      <w:divsChild>
                        <w:div w:id="178280873">
                          <w:marLeft w:val="0"/>
                          <w:marRight w:val="0"/>
                          <w:marTop w:val="0"/>
                          <w:marBottom w:val="0"/>
                          <w:divBdr>
                            <w:top w:val="none" w:sz="0" w:space="0" w:color="auto"/>
                            <w:left w:val="none" w:sz="0" w:space="0" w:color="auto"/>
                            <w:bottom w:val="none" w:sz="0" w:space="0" w:color="auto"/>
                            <w:right w:val="none" w:sz="0" w:space="0" w:color="auto"/>
                          </w:divBdr>
                          <w:divsChild>
                            <w:div w:id="57940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743402">
          <w:marLeft w:val="0"/>
          <w:marRight w:val="0"/>
          <w:marTop w:val="100"/>
          <w:marBottom w:val="100"/>
          <w:divBdr>
            <w:top w:val="none" w:sz="0" w:space="0" w:color="auto"/>
            <w:left w:val="none" w:sz="0" w:space="0" w:color="auto"/>
            <w:bottom w:val="none" w:sz="0" w:space="0" w:color="auto"/>
            <w:right w:val="none" w:sz="0" w:space="0" w:color="auto"/>
          </w:divBdr>
        </w:div>
      </w:divsChild>
    </w:div>
    <w:div w:id="1101218736">
      <w:bodyDiv w:val="1"/>
      <w:marLeft w:val="0"/>
      <w:marRight w:val="0"/>
      <w:marTop w:val="0"/>
      <w:marBottom w:val="0"/>
      <w:divBdr>
        <w:top w:val="none" w:sz="0" w:space="0" w:color="auto"/>
        <w:left w:val="none" w:sz="0" w:space="0" w:color="auto"/>
        <w:bottom w:val="none" w:sz="0" w:space="0" w:color="auto"/>
        <w:right w:val="none" w:sz="0" w:space="0" w:color="auto"/>
      </w:divBdr>
    </w:div>
    <w:div w:id="1131746294">
      <w:bodyDiv w:val="1"/>
      <w:marLeft w:val="0"/>
      <w:marRight w:val="0"/>
      <w:marTop w:val="0"/>
      <w:marBottom w:val="0"/>
      <w:divBdr>
        <w:top w:val="none" w:sz="0" w:space="0" w:color="auto"/>
        <w:left w:val="none" w:sz="0" w:space="0" w:color="auto"/>
        <w:bottom w:val="none" w:sz="0" w:space="0" w:color="auto"/>
        <w:right w:val="none" w:sz="0" w:space="0" w:color="auto"/>
      </w:divBdr>
    </w:div>
    <w:div w:id="1136416707">
      <w:bodyDiv w:val="1"/>
      <w:marLeft w:val="0"/>
      <w:marRight w:val="0"/>
      <w:marTop w:val="0"/>
      <w:marBottom w:val="0"/>
      <w:divBdr>
        <w:top w:val="none" w:sz="0" w:space="0" w:color="auto"/>
        <w:left w:val="none" w:sz="0" w:space="0" w:color="auto"/>
        <w:bottom w:val="none" w:sz="0" w:space="0" w:color="auto"/>
        <w:right w:val="none" w:sz="0" w:space="0" w:color="auto"/>
      </w:divBdr>
    </w:div>
    <w:div w:id="1156382974">
      <w:bodyDiv w:val="1"/>
      <w:marLeft w:val="0"/>
      <w:marRight w:val="0"/>
      <w:marTop w:val="0"/>
      <w:marBottom w:val="0"/>
      <w:divBdr>
        <w:top w:val="none" w:sz="0" w:space="0" w:color="auto"/>
        <w:left w:val="none" w:sz="0" w:space="0" w:color="auto"/>
        <w:bottom w:val="none" w:sz="0" w:space="0" w:color="auto"/>
        <w:right w:val="none" w:sz="0" w:space="0" w:color="auto"/>
      </w:divBdr>
    </w:div>
    <w:div w:id="1188182788">
      <w:bodyDiv w:val="1"/>
      <w:marLeft w:val="0"/>
      <w:marRight w:val="0"/>
      <w:marTop w:val="0"/>
      <w:marBottom w:val="0"/>
      <w:divBdr>
        <w:top w:val="none" w:sz="0" w:space="0" w:color="auto"/>
        <w:left w:val="none" w:sz="0" w:space="0" w:color="auto"/>
        <w:bottom w:val="none" w:sz="0" w:space="0" w:color="auto"/>
        <w:right w:val="none" w:sz="0" w:space="0" w:color="auto"/>
      </w:divBdr>
    </w:div>
    <w:div w:id="1203790782">
      <w:bodyDiv w:val="1"/>
      <w:marLeft w:val="0"/>
      <w:marRight w:val="0"/>
      <w:marTop w:val="0"/>
      <w:marBottom w:val="0"/>
      <w:divBdr>
        <w:top w:val="none" w:sz="0" w:space="0" w:color="auto"/>
        <w:left w:val="none" w:sz="0" w:space="0" w:color="auto"/>
        <w:bottom w:val="none" w:sz="0" w:space="0" w:color="auto"/>
        <w:right w:val="none" w:sz="0" w:space="0" w:color="auto"/>
      </w:divBdr>
    </w:div>
    <w:div w:id="1242639403">
      <w:bodyDiv w:val="1"/>
      <w:marLeft w:val="0"/>
      <w:marRight w:val="0"/>
      <w:marTop w:val="0"/>
      <w:marBottom w:val="0"/>
      <w:divBdr>
        <w:top w:val="none" w:sz="0" w:space="0" w:color="auto"/>
        <w:left w:val="none" w:sz="0" w:space="0" w:color="auto"/>
        <w:bottom w:val="none" w:sz="0" w:space="0" w:color="auto"/>
        <w:right w:val="none" w:sz="0" w:space="0" w:color="auto"/>
      </w:divBdr>
    </w:div>
    <w:div w:id="1251082885">
      <w:bodyDiv w:val="1"/>
      <w:marLeft w:val="0"/>
      <w:marRight w:val="0"/>
      <w:marTop w:val="0"/>
      <w:marBottom w:val="0"/>
      <w:divBdr>
        <w:top w:val="none" w:sz="0" w:space="0" w:color="auto"/>
        <w:left w:val="none" w:sz="0" w:space="0" w:color="auto"/>
        <w:bottom w:val="none" w:sz="0" w:space="0" w:color="auto"/>
        <w:right w:val="none" w:sz="0" w:space="0" w:color="auto"/>
      </w:divBdr>
    </w:div>
    <w:div w:id="1261986907">
      <w:bodyDiv w:val="1"/>
      <w:marLeft w:val="0"/>
      <w:marRight w:val="0"/>
      <w:marTop w:val="0"/>
      <w:marBottom w:val="0"/>
      <w:divBdr>
        <w:top w:val="none" w:sz="0" w:space="0" w:color="auto"/>
        <w:left w:val="none" w:sz="0" w:space="0" w:color="auto"/>
        <w:bottom w:val="none" w:sz="0" w:space="0" w:color="auto"/>
        <w:right w:val="none" w:sz="0" w:space="0" w:color="auto"/>
      </w:divBdr>
    </w:div>
    <w:div w:id="1269001517">
      <w:bodyDiv w:val="1"/>
      <w:marLeft w:val="0"/>
      <w:marRight w:val="0"/>
      <w:marTop w:val="0"/>
      <w:marBottom w:val="0"/>
      <w:divBdr>
        <w:top w:val="none" w:sz="0" w:space="0" w:color="auto"/>
        <w:left w:val="none" w:sz="0" w:space="0" w:color="auto"/>
        <w:bottom w:val="none" w:sz="0" w:space="0" w:color="auto"/>
        <w:right w:val="none" w:sz="0" w:space="0" w:color="auto"/>
      </w:divBdr>
    </w:div>
    <w:div w:id="1317228239">
      <w:bodyDiv w:val="1"/>
      <w:marLeft w:val="0"/>
      <w:marRight w:val="0"/>
      <w:marTop w:val="0"/>
      <w:marBottom w:val="0"/>
      <w:divBdr>
        <w:top w:val="none" w:sz="0" w:space="0" w:color="auto"/>
        <w:left w:val="none" w:sz="0" w:space="0" w:color="auto"/>
        <w:bottom w:val="none" w:sz="0" w:space="0" w:color="auto"/>
        <w:right w:val="none" w:sz="0" w:space="0" w:color="auto"/>
      </w:divBdr>
    </w:div>
    <w:div w:id="1322124240">
      <w:bodyDiv w:val="1"/>
      <w:marLeft w:val="0"/>
      <w:marRight w:val="0"/>
      <w:marTop w:val="0"/>
      <w:marBottom w:val="0"/>
      <w:divBdr>
        <w:top w:val="none" w:sz="0" w:space="0" w:color="auto"/>
        <w:left w:val="none" w:sz="0" w:space="0" w:color="auto"/>
        <w:bottom w:val="none" w:sz="0" w:space="0" w:color="auto"/>
        <w:right w:val="none" w:sz="0" w:space="0" w:color="auto"/>
      </w:divBdr>
    </w:div>
    <w:div w:id="1378509077">
      <w:bodyDiv w:val="1"/>
      <w:marLeft w:val="0"/>
      <w:marRight w:val="0"/>
      <w:marTop w:val="0"/>
      <w:marBottom w:val="0"/>
      <w:divBdr>
        <w:top w:val="none" w:sz="0" w:space="0" w:color="auto"/>
        <w:left w:val="none" w:sz="0" w:space="0" w:color="auto"/>
        <w:bottom w:val="none" w:sz="0" w:space="0" w:color="auto"/>
        <w:right w:val="none" w:sz="0" w:space="0" w:color="auto"/>
      </w:divBdr>
      <w:divsChild>
        <w:div w:id="1705790041">
          <w:marLeft w:val="0"/>
          <w:marRight w:val="0"/>
          <w:marTop w:val="0"/>
          <w:marBottom w:val="0"/>
          <w:divBdr>
            <w:top w:val="none" w:sz="0" w:space="0" w:color="auto"/>
            <w:left w:val="none" w:sz="0" w:space="0" w:color="auto"/>
            <w:bottom w:val="none" w:sz="0" w:space="0" w:color="auto"/>
            <w:right w:val="none" w:sz="0" w:space="0" w:color="auto"/>
          </w:divBdr>
        </w:div>
        <w:div w:id="1948846710">
          <w:marLeft w:val="0"/>
          <w:marRight w:val="0"/>
          <w:marTop w:val="0"/>
          <w:marBottom w:val="0"/>
          <w:divBdr>
            <w:top w:val="none" w:sz="0" w:space="0" w:color="auto"/>
            <w:left w:val="none" w:sz="0" w:space="0" w:color="auto"/>
            <w:bottom w:val="none" w:sz="0" w:space="0" w:color="auto"/>
            <w:right w:val="none" w:sz="0" w:space="0" w:color="auto"/>
          </w:divBdr>
        </w:div>
      </w:divsChild>
    </w:div>
    <w:div w:id="1437284723">
      <w:bodyDiv w:val="1"/>
      <w:marLeft w:val="0"/>
      <w:marRight w:val="0"/>
      <w:marTop w:val="0"/>
      <w:marBottom w:val="0"/>
      <w:divBdr>
        <w:top w:val="none" w:sz="0" w:space="0" w:color="auto"/>
        <w:left w:val="none" w:sz="0" w:space="0" w:color="auto"/>
        <w:bottom w:val="none" w:sz="0" w:space="0" w:color="auto"/>
        <w:right w:val="none" w:sz="0" w:space="0" w:color="auto"/>
      </w:divBdr>
      <w:divsChild>
        <w:div w:id="74712096">
          <w:marLeft w:val="0"/>
          <w:marRight w:val="0"/>
          <w:marTop w:val="0"/>
          <w:marBottom w:val="0"/>
          <w:divBdr>
            <w:top w:val="none" w:sz="0" w:space="0" w:color="auto"/>
            <w:left w:val="none" w:sz="0" w:space="0" w:color="auto"/>
            <w:bottom w:val="none" w:sz="0" w:space="0" w:color="auto"/>
            <w:right w:val="none" w:sz="0" w:space="0" w:color="auto"/>
          </w:divBdr>
        </w:div>
        <w:div w:id="711617115">
          <w:marLeft w:val="0"/>
          <w:marRight w:val="0"/>
          <w:marTop w:val="0"/>
          <w:marBottom w:val="0"/>
          <w:divBdr>
            <w:top w:val="none" w:sz="0" w:space="0" w:color="auto"/>
            <w:left w:val="none" w:sz="0" w:space="0" w:color="auto"/>
            <w:bottom w:val="none" w:sz="0" w:space="0" w:color="auto"/>
            <w:right w:val="none" w:sz="0" w:space="0" w:color="auto"/>
          </w:divBdr>
        </w:div>
        <w:div w:id="1121266151">
          <w:marLeft w:val="0"/>
          <w:marRight w:val="0"/>
          <w:marTop w:val="0"/>
          <w:marBottom w:val="0"/>
          <w:divBdr>
            <w:top w:val="none" w:sz="0" w:space="0" w:color="auto"/>
            <w:left w:val="none" w:sz="0" w:space="0" w:color="auto"/>
            <w:bottom w:val="none" w:sz="0" w:space="0" w:color="auto"/>
            <w:right w:val="none" w:sz="0" w:space="0" w:color="auto"/>
          </w:divBdr>
        </w:div>
        <w:div w:id="1205604595">
          <w:marLeft w:val="0"/>
          <w:marRight w:val="0"/>
          <w:marTop w:val="0"/>
          <w:marBottom w:val="0"/>
          <w:divBdr>
            <w:top w:val="none" w:sz="0" w:space="0" w:color="auto"/>
            <w:left w:val="none" w:sz="0" w:space="0" w:color="auto"/>
            <w:bottom w:val="none" w:sz="0" w:space="0" w:color="auto"/>
            <w:right w:val="none" w:sz="0" w:space="0" w:color="auto"/>
          </w:divBdr>
        </w:div>
        <w:div w:id="1336155758">
          <w:marLeft w:val="0"/>
          <w:marRight w:val="0"/>
          <w:marTop w:val="0"/>
          <w:marBottom w:val="0"/>
          <w:divBdr>
            <w:top w:val="none" w:sz="0" w:space="0" w:color="auto"/>
            <w:left w:val="none" w:sz="0" w:space="0" w:color="auto"/>
            <w:bottom w:val="none" w:sz="0" w:space="0" w:color="auto"/>
            <w:right w:val="none" w:sz="0" w:space="0" w:color="auto"/>
          </w:divBdr>
        </w:div>
        <w:div w:id="1655983436">
          <w:marLeft w:val="0"/>
          <w:marRight w:val="0"/>
          <w:marTop w:val="0"/>
          <w:marBottom w:val="0"/>
          <w:divBdr>
            <w:top w:val="none" w:sz="0" w:space="0" w:color="auto"/>
            <w:left w:val="none" w:sz="0" w:space="0" w:color="auto"/>
            <w:bottom w:val="none" w:sz="0" w:space="0" w:color="auto"/>
            <w:right w:val="none" w:sz="0" w:space="0" w:color="auto"/>
          </w:divBdr>
        </w:div>
        <w:div w:id="2041666007">
          <w:marLeft w:val="0"/>
          <w:marRight w:val="0"/>
          <w:marTop w:val="0"/>
          <w:marBottom w:val="0"/>
          <w:divBdr>
            <w:top w:val="none" w:sz="0" w:space="0" w:color="auto"/>
            <w:left w:val="none" w:sz="0" w:space="0" w:color="auto"/>
            <w:bottom w:val="none" w:sz="0" w:space="0" w:color="auto"/>
            <w:right w:val="none" w:sz="0" w:space="0" w:color="auto"/>
          </w:divBdr>
        </w:div>
      </w:divsChild>
    </w:div>
    <w:div w:id="1442067866">
      <w:bodyDiv w:val="1"/>
      <w:marLeft w:val="0"/>
      <w:marRight w:val="0"/>
      <w:marTop w:val="0"/>
      <w:marBottom w:val="0"/>
      <w:divBdr>
        <w:top w:val="none" w:sz="0" w:space="0" w:color="auto"/>
        <w:left w:val="none" w:sz="0" w:space="0" w:color="auto"/>
        <w:bottom w:val="none" w:sz="0" w:space="0" w:color="auto"/>
        <w:right w:val="none" w:sz="0" w:space="0" w:color="auto"/>
      </w:divBdr>
    </w:div>
    <w:div w:id="1486317143">
      <w:bodyDiv w:val="1"/>
      <w:marLeft w:val="0"/>
      <w:marRight w:val="0"/>
      <w:marTop w:val="0"/>
      <w:marBottom w:val="0"/>
      <w:divBdr>
        <w:top w:val="none" w:sz="0" w:space="0" w:color="auto"/>
        <w:left w:val="none" w:sz="0" w:space="0" w:color="auto"/>
        <w:bottom w:val="none" w:sz="0" w:space="0" w:color="auto"/>
        <w:right w:val="none" w:sz="0" w:space="0" w:color="auto"/>
      </w:divBdr>
      <w:divsChild>
        <w:div w:id="495731142">
          <w:marLeft w:val="0"/>
          <w:marRight w:val="0"/>
          <w:marTop w:val="0"/>
          <w:marBottom w:val="0"/>
          <w:divBdr>
            <w:top w:val="none" w:sz="0" w:space="0" w:color="auto"/>
            <w:left w:val="none" w:sz="0" w:space="0" w:color="auto"/>
            <w:bottom w:val="none" w:sz="0" w:space="0" w:color="auto"/>
            <w:right w:val="none" w:sz="0" w:space="0" w:color="auto"/>
          </w:divBdr>
        </w:div>
        <w:div w:id="1366633203">
          <w:marLeft w:val="0"/>
          <w:marRight w:val="0"/>
          <w:marTop w:val="0"/>
          <w:marBottom w:val="0"/>
          <w:divBdr>
            <w:top w:val="none" w:sz="0" w:space="0" w:color="auto"/>
            <w:left w:val="none" w:sz="0" w:space="0" w:color="auto"/>
            <w:bottom w:val="none" w:sz="0" w:space="0" w:color="auto"/>
            <w:right w:val="none" w:sz="0" w:space="0" w:color="auto"/>
          </w:divBdr>
        </w:div>
        <w:div w:id="855726773">
          <w:marLeft w:val="0"/>
          <w:marRight w:val="0"/>
          <w:marTop w:val="0"/>
          <w:marBottom w:val="0"/>
          <w:divBdr>
            <w:top w:val="none" w:sz="0" w:space="0" w:color="auto"/>
            <w:left w:val="none" w:sz="0" w:space="0" w:color="auto"/>
            <w:bottom w:val="none" w:sz="0" w:space="0" w:color="auto"/>
            <w:right w:val="none" w:sz="0" w:space="0" w:color="auto"/>
          </w:divBdr>
        </w:div>
        <w:div w:id="1998147869">
          <w:marLeft w:val="0"/>
          <w:marRight w:val="0"/>
          <w:marTop w:val="0"/>
          <w:marBottom w:val="0"/>
          <w:divBdr>
            <w:top w:val="none" w:sz="0" w:space="0" w:color="auto"/>
            <w:left w:val="none" w:sz="0" w:space="0" w:color="auto"/>
            <w:bottom w:val="none" w:sz="0" w:space="0" w:color="auto"/>
            <w:right w:val="none" w:sz="0" w:space="0" w:color="auto"/>
          </w:divBdr>
        </w:div>
      </w:divsChild>
    </w:div>
    <w:div w:id="1505974635">
      <w:bodyDiv w:val="1"/>
      <w:marLeft w:val="0"/>
      <w:marRight w:val="0"/>
      <w:marTop w:val="0"/>
      <w:marBottom w:val="0"/>
      <w:divBdr>
        <w:top w:val="none" w:sz="0" w:space="0" w:color="auto"/>
        <w:left w:val="none" w:sz="0" w:space="0" w:color="auto"/>
        <w:bottom w:val="none" w:sz="0" w:space="0" w:color="auto"/>
        <w:right w:val="none" w:sz="0" w:space="0" w:color="auto"/>
      </w:divBdr>
    </w:div>
    <w:div w:id="1523010205">
      <w:bodyDiv w:val="1"/>
      <w:marLeft w:val="0"/>
      <w:marRight w:val="0"/>
      <w:marTop w:val="0"/>
      <w:marBottom w:val="0"/>
      <w:divBdr>
        <w:top w:val="none" w:sz="0" w:space="0" w:color="auto"/>
        <w:left w:val="none" w:sz="0" w:space="0" w:color="auto"/>
        <w:bottom w:val="none" w:sz="0" w:space="0" w:color="auto"/>
        <w:right w:val="none" w:sz="0" w:space="0" w:color="auto"/>
      </w:divBdr>
      <w:divsChild>
        <w:div w:id="68843480">
          <w:marLeft w:val="0"/>
          <w:marRight w:val="0"/>
          <w:marTop w:val="0"/>
          <w:marBottom w:val="0"/>
          <w:divBdr>
            <w:top w:val="none" w:sz="0" w:space="0" w:color="auto"/>
            <w:left w:val="none" w:sz="0" w:space="0" w:color="auto"/>
            <w:bottom w:val="none" w:sz="0" w:space="0" w:color="auto"/>
            <w:right w:val="none" w:sz="0" w:space="0" w:color="auto"/>
          </w:divBdr>
        </w:div>
        <w:div w:id="1463881197">
          <w:marLeft w:val="0"/>
          <w:marRight w:val="0"/>
          <w:marTop w:val="0"/>
          <w:marBottom w:val="450"/>
          <w:divBdr>
            <w:top w:val="none" w:sz="0" w:space="0" w:color="auto"/>
            <w:left w:val="none" w:sz="0" w:space="0" w:color="auto"/>
            <w:bottom w:val="none" w:sz="0" w:space="0" w:color="auto"/>
            <w:right w:val="none" w:sz="0" w:space="0" w:color="auto"/>
          </w:divBdr>
        </w:div>
      </w:divsChild>
    </w:div>
    <w:div w:id="1524173128">
      <w:bodyDiv w:val="1"/>
      <w:marLeft w:val="0"/>
      <w:marRight w:val="0"/>
      <w:marTop w:val="0"/>
      <w:marBottom w:val="0"/>
      <w:divBdr>
        <w:top w:val="none" w:sz="0" w:space="0" w:color="auto"/>
        <w:left w:val="none" w:sz="0" w:space="0" w:color="auto"/>
        <w:bottom w:val="none" w:sz="0" w:space="0" w:color="auto"/>
        <w:right w:val="none" w:sz="0" w:space="0" w:color="auto"/>
      </w:divBdr>
    </w:div>
    <w:div w:id="1529950278">
      <w:bodyDiv w:val="1"/>
      <w:marLeft w:val="0"/>
      <w:marRight w:val="0"/>
      <w:marTop w:val="0"/>
      <w:marBottom w:val="0"/>
      <w:divBdr>
        <w:top w:val="none" w:sz="0" w:space="0" w:color="auto"/>
        <w:left w:val="none" w:sz="0" w:space="0" w:color="auto"/>
        <w:bottom w:val="none" w:sz="0" w:space="0" w:color="auto"/>
        <w:right w:val="none" w:sz="0" w:space="0" w:color="auto"/>
      </w:divBdr>
    </w:div>
    <w:div w:id="1535269397">
      <w:bodyDiv w:val="1"/>
      <w:marLeft w:val="0"/>
      <w:marRight w:val="0"/>
      <w:marTop w:val="0"/>
      <w:marBottom w:val="0"/>
      <w:divBdr>
        <w:top w:val="none" w:sz="0" w:space="0" w:color="auto"/>
        <w:left w:val="none" w:sz="0" w:space="0" w:color="auto"/>
        <w:bottom w:val="none" w:sz="0" w:space="0" w:color="auto"/>
        <w:right w:val="none" w:sz="0" w:space="0" w:color="auto"/>
      </w:divBdr>
      <w:divsChild>
        <w:div w:id="79722153">
          <w:marLeft w:val="446"/>
          <w:marRight w:val="0"/>
          <w:marTop w:val="0"/>
          <w:marBottom w:val="0"/>
          <w:divBdr>
            <w:top w:val="none" w:sz="0" w:space="0" w:color="auto"/>
            <w:left w:val="none" w:sz="0" w:space="0" w:color="auto"/>
            <w:bottom w:val="none" w:sz="0" w:space="0" w:color="auto"/>
            <w:right w:val="none" w:sz="0" w:space="0" w:color="auto"/>
          </w:divBdr>
        </w:div>
        <w:div w:id="93718327">
          <w:marLeft w:val="446"/>
          <w:marRight w:val="0"/>
          <w:marTop w:val="0"/>
          <w:marBottom w:val="0"/>
          <w:divBdr>
            <w:top w:val="none" w:sz="0" w:space="0" w:color="auto"/>
            <w:left w:val="none" w:sz="0" w:space="0" w:color="auto"/>
            <w:bottom w:val="none" w:sz="0" w:space="0" w:color="auto"/>
            <w:right w:val="none" w:sz="0" w:space="0" w:color="auto"/>
          </w:divBdr>
        </w:div>
        <w:div w:id="395785592">
          <w:marLeft w:val="446"/>
          <w:marRight w:val="0"/>
          <w:marTop w:val="0"/>
          <w:marBottom w:val="0"/>
          <w:divBdr>
            <w:top w:val="none" w:sz="0" w:space="0" w:color="auto"/>
            <w:left w:val="none" w:sz="0" w:space="0" w:color="auto"/>
            <w:bottom w:val="none" w:sz="0" w:space="0" w:color="auto"/>
            <w:right w:val="none" w:sz="0" w:space="0" w:color="auto"/>
          </w:divBdr>
        </w:div>
        <w:div w:id="973408715">
          <w:marLeft w:val="446"/>
          <w:marRight w:val="0"/>
          <w:marTop w:val="0"/>
          <w:marBottom w:val="0"/>
          <w:divBdr>
            <w:top w:val="none" w:sz="0" w:space="0" w:color="auto"/>
            <w:left w:val="none" w:sz="0" w:space="0" w:color="auto"/>
            <w:bottom w:val="none" w:sz="0" w:space="0" w:color="auto"/>
            <w:right w:val="none" w:sz="0" w:space="0" w:color="auto"/>
          </w:divBdr>
        </w:div>
        <w:div w:id="1722628931">
          <w:marLeft w:val="446"/>
          <w:marRight w:val="0"/>
          <w:marTop w:val="0"/>
          <w:marBottom w:val="0"/>
          <w:divBdr>
            <w:top w:val="none" w:sz="0" w:space="0" w:color="auto"/>
            <w:left w:val="none" w:sz="0" w:space="0" w:color="auto"/>
            <w:bottom w:val="none" w:sz="0" w:space="0" w:color="auto"/>
            <w:right w:val="none" w:sz="0" w:space="0" w:color="auto"/>
          </w:divBdr>
        </w:div>
      </w:divsChild>
    </w:div>
    <w:div w:id="1577933449">
      <w:bodyDiv w:val="1"/>
      <w:marLeft w:val="0"/>
      <w:marRight w:val="0"/>
      <w:marTop w:val="0"/>
      <w:marBottom w:val="0"/>
      <w:divBdr>
        <w:top w:val="none" w:sz="0" w:space="0" w:color="auto"/>
        <w:left w:val="none" w:sz="0" w:space="0" w:color="auto"/>
        <w:bottom w:val="none" w:sz="0" w:space="0" w:color="auto"/>
        <w:right w:val="none" w:sz="0" w:space="0" w:color="auto"/>
      </w:divBdr>
    </w:div>
    <w:div w:id="1586839842">
      <w:bodyDiv w:val="1"/>
      <w:marLeft w:val="0"/>
      <w:marRight w:val="0"/>
      <w:marTop w:val="0"/>
      <w:marBottom w:val="0"/>
      <w:divBdr>
        <w:top w:val="none" w:sz="0" w:space="0" w:color="auto"/>
        <w:left w:val="none" w:sz="0" w:space="0" w:color="auto"/>
        <w:bottom w:val="none" w:sz="0" w:space="0" w:color="auto"/>
        <w:right w:val="none" w:sz="0" w:space="0" w:color="auto"/>
      </w:divBdr>
    </w:div>
    <w:div w:id="1611933169">
      <w:bodyDiv w:val="1"/>
      <w:marLeft w:val="0"/>
      <w:marRight w:val="0"/>
      <w:marTop w:val="0"/>
      <w:marBottom w:val="0"/>
      <w:divBdr>
        <w:top w:val="none" w:sz="0" w:space="0" w:color="auto"/>
        <w:left w:val="none" w:sz="0" w:space="0" w:color="auto"/>
        <w:bottom w:val="none" w:sz="0" w:space="0" w:color="auto"/>
        <w:right w:val="none" w:sz="0" w:space="0" w:color="auto"/>
      </w:divBdr>
    </w:div>
    <w:div w:id="1682660442">
      <w:bodyDiv w:val="1"/>
      <w:marLeft w:val="0"/>
      <w:marRight w:val="0"/>
      <w:marTop w:val="0"/>
      <w:marBottom w:val="0"/>
      <w:divBdr>
        <w:top w:val="none" w:sz="0" w:space="0" w:color="auto"/>
        <w:left w:val="none" w:sz="0" w:space="0" w:color="auto"/>
        <w:bottom w:val="none" w:sz="0" w:space="0" w:color="auto"/>
        <w:right w:val="none" w:sz="0" w:space="0" w:color="auto"/>
      </w:divBdr>
    </w:div>
    <w:div w:id="1723365313">
      <w:bodyDiv w:val="1"/>
      <w:marLeft w:val="0"/>
      <w:marRight w:val="0"/>
      <w:marTop w:val="0"/>
      <w:marBottom w:val="0"/>
      <w:divBdr>
        <w:top w:val="none" w:sz="0" w:space="0" w:color="auto"/>
        <w:left w:val="none" w:sz="0" w:space="0" w:color="auto"/>
        <w:bottom w:val="none" w:sz="0" w:space="0" w:color="auto"/>
        <w:right w:val="none" w:sz="0" w:space="0" w:color="auto"/>
      </w:divBdr>
      <w:divsChild>
        <w:div w:id="52243957">
          <w:marLeft w:val="274"/>
          <w:marRight w:val="0"/>
          <w:marTop w:val="0"/>
          <w:marBottom w:val="0"/>
          <w:divBdr>
            <w:top w:val="none" w:sz="0" w:space="0" w:color="auto"/>
            <w:left w:val="none" w:sz="0" w:space="0" w:color="auto"/>
            <w:bottom w:val="none" w:sz="0" w:space="0" w:color="auto"/>
            <w:right w:val="none" w:sz="0" w:space="0" w:color="auto"/>
          </w:divBdr>
        </w:div>
        <w:div w:id="86972459">
          <w:marLeft w:val="446"/>
          <w:marRight w:val="0"/>
          <w:marTop w:val="0"/>
          <w:marBottom w:val="0"/>
          <w:divBdr>
            <w:top w:val="none" w:sz="0" w:space="0" w:color="auto"/>
            <w:left w:val="none" w:sz="0" w:space="0" w:color="auto"/>
            <w:bottom w:val="none" w:sz="0" w:space="0" w:color="auto"/>
            <w:right w:val="none" w:sz="0" w:space="0" w:color="auto"/>
          </w:divBdr>
        </w:div>
        <w:div w:id="143204592">
          <w:marLeft w:val="274"/>
          <w:marRight w:val="0"/>
          <w:marTop w:val="0"/>
          <w:marBottom w:val="0"/>
          <w:divBdr>
            <w:top w:val="none" w:sz="0" w:space="0" w:color="auto"/>
            <w:left w:val="none" w:sz="0" w:space="0" w:color="auto"/>
            <w:bottom w:val="none" w:sz="0" w:space="0" w:color="auto"/>
            <w:right w:val="none" w:sz="0" w:space="0" w:color="auto"/>
          </w:divBdr>
        </w:div>
        <w:div w:id="226579235">
          <w:marLeft w:val="446"/>
          <w:marRight w:val="0"/>
          <w:marTop w:val="0"/>
          <w:marBottom w:val="0"/>
          <w:divBdr>
            <w:top w:val="none" w:sz="0" w:space="0" w:color="auto"/>
            <w:left w:val="none" w:sz="0" w:space="0" w:color="auto"/>
            <w:bottom w:val="none" w:sz="0" w:space="0" w:color="auto"/>
            <w:right w:val="none" w:sz="0" w:space="0" w:color="auto"/>
          </w:divBdr>
        </w:div>
        <w:div w:id="253781147">
          <w:marLeft w:val="274"/>
          <w:marRight w:val="0"/>
          <w:marTop w:val="0"/>
          <w:marBottom w:val="0"/>
          <w:divBdr>
            <w:top w:val="none" w:sz="0" w:space="0" w:color="auto"/>
            <w:left w:val="none" w:sz="0" w:space="0" w:color="auto"/>
            <w:bottom w:val="none" w:sz="0" w:space="0" w:color="auto"/>
            <w:right w:val="none" w:sz="0" w:space="0" w:color="auto"/>
          </w:divBdr>
        </w:div>
        <w:div w:id="273439453">
          <w:marLeft w:val="274"/>
          <w:marRight w:val="0"/>
          <w:marTop w:val="0"/>
          <w:marBottom w:val="0"/>
          <w:divBdr>
            <w:top w:val="none" w:sz="0" w:space="0" w:color="auto"/>
            <w:left w:val="none" w:sz="0" w:space="0" w:color="auto"/>
            <w:bottom w:val="none" w:sz="0" w:space="0" w:color="auto"/>
            <w:right w:val="none" w:sz="0" w:space="0" w:color="auto"/>
          </w:divBdr>
        </w:div>
        <w:div w:id="385685599">
          <w:marLeft w:val="274"/>
          <w:marRight w:val="0"/>
          <w:marTop w:val="0"/>
          <w:marBottom w:val="0"/>
          <w:divBdr>
            <w:top w:val="none" w:sz="0" w:space="0" w:color="auto"/>
            <w:left w:val="none" w:sz="0" w:space="0" w:color="auto"/>
            <w:bottom w:val="none" w:sz="0" w:space="0" w:color="auto"/>
            <w:right w:val="none" w:sz="0" w:space="0" w:color="auto"/>
          </w:divBdr>
        </w:div>
        <w:div w:id="583144678">
          <w:marLeft w:val="274"/>
          <w:marRight w:val="0"/>
          <w:marTop w:val="0"/>
          <w:marBottom w:val="0"/>
          <w:divBdr>
            <w:top w:val="none" w:sz="0" w:space="0" w:color="auto"/>
            <w:left w:val="none" w:sz="0" w:space="0" w:color="auto"/>
            <w:bottom w:val="none" w:sz="0" w:space="0" w:color="auto"/>
            <w:right w:val="none" w:sz="0" w:space="0" w:color="auto"/>
          </w:divBdr>
        </w:div>
        <w:div w:id="678895319">
          <w:marLeft w:val="274"/>
          <w:marRight w:val="0"/>
          <w:marTop w:val="0"/>
          <w:marBottom w:val="0"/>
          <w:divBdr>
            <w:top w:val="none" w:sz="0" w:space="0" w:color="auto"/>
            <w:left w:val="none" w:sz="0" w:space="0" w:color="auto"/>
            <w:bottom w:val="none" w:sz="0" w:space="0" w:color="auto"/>
            <w:right w:val="none" w:sz="0" w:space="0" w:color="auto"/>
          </w:divBdr>
        </w:div>
        <w:div w:id="808744020">
          <w:marLeft w:val="274"/>
          <w:marRight w:val="0"/>
          <w:marTop w:val="0"/>
          <w:marBottom w:val="0"/>
          <w:divBdr>
            <w:top w:val="none" w:sz="0" w:space="0" w:color="auto"/>
            <w:left w:val="none" w:sz="0" w:space="0" w:color="auto"/>
            <w:bottom w:val="none" w:sz="0" w:space="0" w:color="auto"/>
            <w:right w:val="none" w:sz="0" w:space="0" w:color="auto"/>
          </w:divBdr>
        </w:div>
        <w:div w:id="821308646">
          <w:marLeft w:val="274"/>
          <w:marRight w:val="0"/>
          <w:marTop w:val="0"/>
          <w:marBottom w:val="0"/>
          <w:divBdr>
            <w:top w:val="none" w:sz="0" w:space="0" w:color="auto"/>
            <w:left w:val="none" w:sz="0" w:space="0" w:color="auto"/>
            <w:bottom w:val="none" w:sz="0" w:space="0" w:color="auto"/>
            <w:right w:val="none" w:sz="0" w:space="0" w:color="auto"/>
          </w:divBdr>
        </w:div>
        <w:div w:id="840583021">
          <w:marLeft w:val="274"/>
          <w:marRight w:val="0"/>
          <w:marTop w:val="0"/>
          <w:marBottom w:val="0"/>
          <w:divBdr>
            <w:top w:val="none" w:sz="0" w:space="0" w:color="auto"/>
            <w:left w:val="none" w:sz="0" w:space="0" w:color="auto"/>
            <w:bottom w:val="none" w:sz="0" w:space="0" w:color="auto"/>
            <w:right w:val="none" w:sz="0" w:space="0" w:color="auto"/>
          </w:divBdr>
        </w:div>
        <w:div w:id="874151249">
          <w:marLeft w:val="274"/>
          <w:marRight w:val="0"/>
          <w:marTop w:val="0"/>
          <w:marBottom w:val="0"/>
          <w:divBdr>
            <w:top w:val="none" w:sz="0" w:space="0" w:color="auto"/>
            <w:left w:val="none" w:sz="0" w:space="0" w:color="auto"/>
            <w:bottom w:val="none" w:sz="0" w:space="0" w:color="auto"/>
            <w:right w:val="none" w:sz="0" w:space="0" w:color="auto"/>
          </w:divBdr>
        </w:div>
        <w:div w:id="967584549">
          <w:marLeft w:val="446"/>
          <w:marRight w:val="0"/>
          <w:marTop w:val="0"/>
          <w:marBottom w:val="0"/>
          <w:divBdr>
            <w:top w:val="none" w:sz="0" w:space="0" w:color="auto"/>
            <w:left w:val="none" w:sz="0" w:space="0" w:color="auto"/>
            <w:bottom w:val="none" w:sz="0" w:space="0" w:color="auto"/>
            <w:right w:val="none" w:sz="0" w:space="0" w:color="auto"/>
          </w:divBdr>
        </w:div>
        <w:div w:id="998310223">
          <w:marLeft w:val="274"/>
          <w:marRight w:val="0"/>
          <w:marTop w:val="0"/>
          <w:marBottom w:val="0"/>
          <w:divBdr>
            <w:top w:val="none" w:sz="0" w:space="0" w:color="auto"/>
            <w:left w:val="none" w:sz="0" w:space="0" w:color="auto"/>
            <w:bottom w:val="none" w:sz="0" w:space="0" w:color="auto"/>
            <w:right w:val="none" w:sz="0" w:space="0" w:color="auto"/>
          </w:divBdr>
        </w:div>
        <w:div w:id="1011294258">
          <w:marLeft w:val="274"/>
          <w:marRight w:val="0"/>
          <w:marTop w:val="0"/>
          <w:marBottom w:val="0"/>
          <w:divBdr>
            <w:top w:val="none" w:sz="0" w:space="0" w:color="auto"/>
            <w:left w:val="none" w:sz="0" w:space="0" w:color="auto"/>
            <w:bottom w:val="none" w:sz="0" w:space="0" w:color="auto"/>
            <w:right w:val="none" w:sz="0" w:space="0" w:color="auto"/>
          </w:divBdr>
        </w:div>
        <w:div w:id="1117261254">
          <w:marLeft w:val="446"/>
          <w:marRight w:val="0"/>
          <w:marTop w:val="0"/>
          <w:marBottom w:val="0"/>
          <w:divBdr>
            <w:top w:val="none" w:sz="0" w:space="0" w:color="auto"/>
            <w:left w:val="none" w:sz="0" w:space="0" w:color="auto"/>
            <w:bottom w:val="none" w:sz="0" w:space="0" w:color="auto"/>
            <w:right w:val="none" w:sz="0" w:space="0" w:color="auto"/>
          </w:divBdr>
        </w:div>
        <w:div w:id="1122266348">
          <w:marLeft w:val="274"/>
          <w:marRight w:val="0"/>
          <w:marTop w:val="0"/>
          <w:marBottom w:val="0"/>
          <w:divBdr>
            <w:top w:val="none" w:sz="0" w:space="0" w:color="auto"/>
            <w:left w:val="none" w:sz="0" w:space="0" w:color="auto"/>
            <w:bottom w:val="none" w:sz="0" w:space="0" w:color="auto"/>
            <w:right w:val="none" w:sz="0" w:space="0" w:color="auto"/>
          </w:divBdr>
        </w:div>
        <w:div w:id="1181897392">
          <w:marLeft w:val="274"/>
          <w:marRight w:val="0"/>
          <w:marTop w:val="0"/>
          <w:marBottom w:val="0"/>
          <w:divBdr>
            <w:top w:val="none" w:sz="0" w:space="0" w:color="auto"/>
            <w:left w:val="none" w:sz="0" w:space="0" w:color="auto"/>
            <w:bottom w:val="none" w:sz="0" w:space="0" w:color="auto"/>
            <w:right w:val="none" w:sz="0" w:space="0" w:color="auto"/>
          </w:divBdr>
        </w:div>
        <w:div w:id="1186867125">
          <w:marLeft w:val="446"/>
          <w:marRight w:val="0"/>
          <w:marTop w:val="0"/>
          <w:marBottom w:val="0"/>
          <w:divBdr>
            <w:top w:val="none" w:sz="0" w:space="0" w:color="auto"/>
            <w:left w:val="none" w:sz="0" w:space="0" w:color="auto"/>
            <w:bottom w:val="none" w:sz="0" w:space="0" w:color="auto"/>
            <w:right w:val="none" w:sz="0" w:space="0" w:color="auto"/>
          </w:divBdr>
        </w:div>
        <w:div w:id="1281254749">
          <w:marLeft w:val="274"/>
          <w:marRight w:val="0"/>
          <w:marTop w:val="0"/>
          <w:marBottom w:val="0"/>
          <w:divBdr>
            <w:top w:val="none" w:sz="0" w:space="0" w:color="auto"/>
            <w:left w:val="none" w:sz="0" w:space="0" w:color="auto"/>
            <w:bottom w:val="none" w:sz="0" w:space="0" w:color="auto"/>
            <w:right w:val="none" w:sz="0" w:space="0" w:color="auto"/>
          </w:divBdr>
        </w:div>
        <w:div w:id="1553152242">
          <w:marLeft w:val="274"/>
          <w:marRight w:val="0"/>
          <w:marTop w:val="0"/>
          <w:marBottom w:val="0"/>
          <w:divBdr>
            <w:top w:val="none" w:sz="0" w:space="0" w:color="auto"/>
            <w:left w:val="none" w:sz="0" w:space="0" w:color="auto"/>
            <w:bottom w:val="none" w:sz="0" w:space="0" w:color="auto"/>
            <w:right w:val="none" w:sz="0" w:space="0" w:color="auto"/>
          </w:divBdr>
        </w:div>
        <w:div w:id="1561940828">
          <w:marLeft w:val="274"/>
          <w:marRight w:val="0"/>
          <w:marTop w:val="0"/>
          <w:marBottom w:val="0"/>
          <w:divBdr>
            <w:top w:val="none" w:sz="0" w:space="0" w:color="auto"/>
            <w:left w:val="none" w:sz="0" w:space="0" w:color="auto"/>
            <w:bottom w:val="none" w:sz="0" w:space="0" w:color="auto"/>
            <w:right w:val="none" w:sz="0" w:space="0" w:color="auto"/>
          </w:divBdr>
        </w:div>
        <w:div w:id="1596858313">
          <w:marLeft w:val="446"/>
          <w:marRight w:val="0"/>
          <w:marTop w:val="0"/>
          <w:marBottom w:val="0"/>
          <w:divBdr>
            <w:top w:val="none" w:sz="0" w:space="0" w:color="auto"/>
            <w:left w:val="none" w:sz="0" w:space="0" w:color="auto"/>
            <w:bottom w:val="none" w:sz="0" w:space="0" w:color="auto"/>
            <w:right w:val="none" w:sz="0" w:space="0" w:color="auto"/>
          </w:divBdr>
        </w:div>
        <w:div w:id="1695231774">
          <w:marLeft w:val="274"/>
          <w:marRight w:val="0"/>
          <w:marTop w:val="0"/>
          <w:marBottom w:val="0"/>
          <w:divBdr>
            <w:top w:val="none" w:sz="0" w:space="0" w:color="auto"/>
            <w:left w:val="none" w:sz="0" w:space="0" w:color="auto"/>
            <w:bottom w:val="none" w:sz="0" w:space="0" w:color="auto"/>
            <w:right w:val="none" w:sz="0" w:space="0" w:color="auto"/>
          </w:divBdr>
        </w:div>
        <w:div w:id="1844736911">
          <w:marLeft w:val="274"/>
          <w:marRight w:val="0"/>
          <w:marTop w:val="0"/>
          <w:marBottom w:val="0"/>
          <w:divBdr>
            <w:top w:val="none" w:sz="0" w:space="0" w:color="auto"/>
            <w:left w:val="none" w:sz="0" w:space="0" w:color="auto"/>
            <w:bottom w:val="none" w:sz="0" w:space="0" w:color="auto"/>
            <w:right w:val="none" w:sz="0" w:space="0" w:color="auto"/>
          </w:divBdr>
        </w:div>
        <w:div w:id="2006778775">
          <w:marLeft w:val="274"/>
          <w:marRight w:val="0"/>
          <w:marTop w:val="0"/>
          <w:marBottom w:val="0"/>
          <w:divBdr>
            <w:top w:val="none" w:sz="0" w:space="0" w:color="auto"/>
            <w:left w:val="none" w:sz="0" w:space="0" w:color="auto"/>
            <w:bottom w:val="none" w:sz="0" w:space="0" w:color="auto"/>
            <w:right w:val="none" w:sz="0" w:space="0" w:color="auto"/>
          </w:divBdr>
        </w:div>
        <w:div w:id="2010017636">
          <w:marLeft w:val="446"/>
          <w:marRight w:val="0"/>
          <w:marTop w:val="0"/>
          <w:marBottom w:val="0"/>
          <w:divBdr>
            <w:top w:val="none" w:sz="0" w:space="0" w:color="auto"/>
            <w:left w:val="none" w:sz="0" w:space="0" w:color="auto"/>
            <w:bottom w:val="none" w:sz="0" w:space="0" w:color="auto"/>
            <w:right w:val="none" w:sz="0" w:space="0" w:color="auto"/>
          </w:divBdr>
        </w:div>
        <w:div w:id="2075005744">
          <w:marLeft w:val="446"/>
          <w:marRight w:val="0"/>
          <w:marTop w:val="0"/>
          <w:marBottom w:val="0"/>
          <w:divBdr>
            <w:top w:val="none" w:sz="0" w:space="0" w:color="auto"/>
            <w:left w:val="none" w:sz="0" w:space="0" w:color="auto"/>
            <w:bottom w:val="none" w:sz="0" w:space="0" w:color="auto"/>
            <w:right w:val="none" w:sz="0" w:space="0" w:color="auto"/>
          </w:divBdr>
        </w:div>
        <w:div w:id="2118062859">
          <w:marLeft w:val="274"/>
          <w:marRight w:val="0"/>
          <w:marTop w:val="0"/>
          <w:marBottom w:val="0"/>
          <w:divBdr>
            <w:top w:val="none" w:sz="0" w:space="0" w:color="auto"/>
            <w:left w:val="none" w:sz="0" w:space="0" w:color="auto"/>
            <w:bottom w:val="none" w:sz="0" w:space="0" w:color="auto"/>
            <w:right w:val="none" w:sz="0" w:space="0" w:color="auto"/>
          </w:divBdr>
        </w:div>
      </w:divsChild>
    </w:div>
    <w:div w:id="1749035237">
      <w:bodyDiv w:val="1"/>
      <w:marLeft w:val="0"/>
      <w:marRight w:val="0"/>
      <w:marTop w:val="0"/>
      <w:marBottom w:val="0"/>
      <w:divBdr>
        <w:top w:val="none" w:sz="0" w:space="0" w:color="auto"/>
        <w:left w:val="none" w:sz="0" w:space="0" w:color="auto"/>
        <w:bottom w:val="none" w:sz="0" w:space="0" w:color="auto"/>
        <w:right w:val="none" w:sz="0" w:space="0" w:color="auto"/>
      </w:divBdr>
    </w:div>
    <w:div w:id="1787194348">
      <w:bodyDiv w:val="1"/>
      <w:marLeft w:val="0"/>
      <w:marRight w:val="0"/>
      <w:marTop w:val="0"/>
      <w:marBottom w:val="0"/>
      <w:divBdr>
        <w:top w:val="none" w:sz="0" w:space="0" w:color="auto"/>
        <w:left w:val="none" w:sz="0" w:space="0" w:color="auto"/>
        <w:bottom w:val="none" w:sz="0" w:space="0" w:color="auto"/>
        <w:right w:val="none" w:sz="0" w:space="0" w:color="auto"/>
      </w:divBdr>
      <w:divsChild>
        <w:div w:id="750084329">
          <w:marLeft w:val="0"/>
          <w:marRight w:val="0"/>
          <w:marTop w:val="100"/>
          <w:marBottom w:val="100"/>
          <w:divBdr>
            <w:top w:val="none" w:sz="0" w:space="0" w:color="auto"/>
            <w:left w:val="none" w:sz="0" w:space="0" w:color="auto"/>
            <w:bottom w:val="none" w:sz="0" w:space="0" w:color="auto"/>
            <w:right w:val="none" w:sz="0" w:space="0" w:color="auto"/>
          </w:divBdr>
          <w:divsChild>
            <w:div w:id="1859655349">
              <w:marLeft w:val="0"/>
              <w:marRight w:val="0"/>
              <w:marTop w:val="0"/>
              <w:marBottom w:val="0"/>
              <w:divBdr>
                <w:top w:val="none" w:sz="0" w:space="0" w:color="auto"/>
                <w:left w:val="none" w:sz="0" w:space="0" w:color="auto"/>
                <w:bottom w:val="none" w:sz="0" w:space="0" w:color="auto"/>
                <w:right w:val="none" w:sz="0" w:space="0" w:color="auto"/>
              </w:divBdr>
              <w:divsChild>
                <w:div w:id="1689061523">
                  <w:marLeft w:val="0"/>
                  <w:marRight w:val="0"/>
                  <w:marTop w:val="0"/>
                  <w:marBottom w:val="0"/>
                  <w:divBdr>
                    <w:top w:val="none" w:sz="0" w:space="0" w:color="auto"/>
                    <w:left w:val="none" w:sz="0" w:space="0" w:color="auto"/>
                    <w:bottom w:val="none" w:sz="0" w:space="0" w:color="auto"/>
                    <w:right w:val="none" w:sz="0" w:space="0" w:color="auto"/>
                  </w:divBdr>
                  <w:divsChild>
                    <w:div w:id="1991980949">
                      <w:marLeft w:val="0"/>
                      <w:marRight w:val="0"/>
                      <w:marTop w:val="0"/>
                      <w:marBottom w:val="0"/>
                      <w:divBdr>
                        <w:top w:val="none" w:sz="0" w:space="0" w:color="auto"/>
                        <w:left w:val="none" w:sz="0" w:space="0" w:color="auto"/>
                        <w:bottom w:val="none" w:sz="0" w:space="0" w:color="auto"/>
                        <w:right w:val="none" w:sz="0" w:space="0" w:color="auto"/>
                      </w:divBdr>
                      <w:divsChild>
                        <w:div w:id="1008675109">
                          <w:marLeft w:val="0"/>
                          <w:marRight w:val="0"/>
                          <w:marTop w:val="0"/>
                          <w:marBottom w:val="0"/>
                          <w:divBdr>
                            <w:top w:val="none" w:sz="0" w:space="0" w:color="auto"/>
                            <w:left w:val="none" w:sz="0" w:space="0" w:color="auto"/>
                            <w:bottom w:val="none" w:sz="0" w:space="0" w:color="auto"/>
                            <w:right w:val="none" w:sz="0" w:space="0" w:color="auto"/>
                          </w:divBdr>
                          <w:divsChild>
                            <w:div w:id="105974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809785">
          <w:marLeft w:val="0"/>
          <w:marRight w:val="0"/>
          <w:marTop w:val="100"/>
          <w:marBottom w:val="100"/>
          <w:divBdr>
            <w:top w:val="none" w:sz="0" w:space="0" w:color="auto"/>
            <w:left w:val="none" w:sz="0" w:space="0" w:color="auto"/>
            <w:bottom w:val="none" w:sz="0" w:space="0" w:color="auto"/>
            <w:right w:val="none" w:sz="0" w:space="0" w:color="auto"/>
          </w:divBdr>
        </w:div>
      </w:divsChild>
    </w:div>
    <w:div w:id="1813206411">
      <w:bodyDiv w:val="1"/>
      <w:marLeft w:val="0"/>
      <w:marRight w:val="0"/>
      <w:marTop w:val="0"/>
      <w:marBottom w:val="0"/>
      <w:divBdr>
        <w:top w:val="none" w:sz="0" w:space="0" w:color="auto"/>
        <w:left w:val="none" w:sz="0" w:space="0" w:color="auto"/>
        <w:bottom w:val="none" w:sz="0" w:space="0" w:color="auto"/>
        <w:right w:val="none" w:sz="0" w:space="0" w:color="auto"/>
      </w:divBdr>
    </w:div>
    <w:div w:id="1825007081">
      <w:bodyDiv w:val="1"/>
      <w:marLeft w:val="0"/>
      <w:marRight w:val="0"/>
      <w:marTop w:val="0"/>
      <w:marBottom w:val="0"/>
      <w:divBdr>
        <w:top w:val="none" w:sz="0" w:space="0" w:color="auto"/>
        <w:left w:val="none" w:sz="0" w:space="0" w:color="auto"/>
        <w:bottom w:val="none" w:sz="0" w:space="0" w:color="auto"/>
        <w:right w:val="none" w:sz="0" w:space="0" w:color="auto"/>
      </w:divBdr>
    </w:div>
    <w:div w:id="1870995278">
      <w:bodyDiv w:val="1"/>
      <w:marLeft w:val="0"/>
      <w:marRight w:val="0"/>
      <w:marTop w:val="0"/>
      <w:marBottom w:val="0"/>
      <w:divBdr>
        <w:top w:val="none" w:sz="0" w:space="0" w:color="auto"/>
        <w:left w:val="none" w:sz="0" w:space="0" w:color="auto"/>
        <w:bottom w:val="none" w:sz="0" w:space="0" w:color="auto"/>
        <w:right w:val="none" w:sz="0" w:space="0" w:color="auto"/>
      </w:divBdr>
    </w:div>
    <w:div w:id="1877085684">
      <w:bodyDiv w:val="1"/>
      <w:marLeft w:val="0"/>
      <w:marRight w:val="0"/>
      <w:marTop w:val="0"/>
      <w:marBottom w:val="0"/>
      <w:divBdr>
        <w:top w:val="none" w:sz="0" w:space="0" w:color="auto"/>
        <w:left w:val="none" w:sz="0" w:space="0" w:color="auto"/>
        <w:bottom w:val="none" w:sz="0" w:space="0" w:color="auto"/>
        <w:right w:val="none" w:sz="0" w:space="0" w:color="auto"/>
      </w:divBdr>
    </w:div>
    <w:div w:id="1880315323">
      <w:bodyDiv w:val="1"/>
      <w:marLeft w:val="0"/>
      <w:marRight w:val="0"/>
      <w:marTop w:val="0"/>
      <w:marBottom w:val="0"/>
      <w:divBdr>
        <w:top w:val="none" w:sz="0" w:space="0" w:color="auto"/>
        <w:left w:val="none" w:sz="0" w:space="0" w:color="auto"/>
        <w:bottom w:val="none" w:sz="0" w:space="0" w:color="auto"/>
        <w:right w:val="none" w:sz="0" w:space="0" w:color="auto"/>
      </w:divBdr>
    </w:div>
    <w:div w:id="1888106276">
      <w:bodyDiv w:val="1"/>
      <w:marLeft w:val="0"/>
      <w:marRight w:val="0"/>
      <w:marTop w:val="0"/>
      <w:marBottom w:val="0"/>
      <w:divBdr>
        <w:top w:val="none" w:sz="0" w:space="0" w:color="auto"/>
        <w:left w:val="none" w:sz="0" w:space="0" w:color="auto"/>
        <w:bottom w:val="none" w:sz="0" w:space="0" w:color="auto"/>
        <w:right w:val="none" w:sz="0" w:space="0" w:color="auto"/>
      </w:divBdr>
    </w:div>
    <w:div w:id="1892232568">
      <w:bodyDiv w:val="1"/>
      <w:marLeft w:val="0"/>
      <w:marRight w:val="0"/>
      <w:marTop w:val="0"/>
      <w:marBottom w:val="0"/>
      <w:divBdr>
        <w:top w:val="none" w:sz="0" w:space="0" w:color="auto"/>
        <w:left w:val="none" w:sz="0" w:space="0" w:color="auto"/>
        <w:bottom w:val="none" w:sz="0" w:space="0" w:color="auto"/>
        <w:right w:val="none" w:sz="0" w:space="0" w:color="auto"/>
      </w:divBdr>
    </w:div>
    <w:div w:id="1914001285">
      <w:bodyDiv w:val="1"/>
      <w:marLeft w:val="0"/>
      <w:marRight w:val="0"/>
      <w:marTop w:val="0"/>
      <w:marBottom w:val="0"/>
      <w:divBdr>
        <w:top w:val="none" w:sz="0" w:space="0" w:color="auto"/>
        <w:left w:val="none" w:sz="0" w:space="0" w:color="auto"/>
        <w:bottom w:val="none" w:sz="0" w:space="0" w:color="auto"/>
        <w:right w:val="none" w:sz="0" w:space="0" w:color="auto"/>
      </w:divBdr>
    </w:div>
    <w:div w:id="1929730293">
      <w:bodyDiv w:val="1"/>
      <w:marLeft w:val="0"/>
      <w:marRight w:val="0"/>
      <w:marTop w:val="0"/>
      <w:marBottom w:val="0"/>
      <w:divBdr>
        <w:top w:val="none" w:sz="0" w:space="0" w:color="auto"/>
        <w:left w:val="none" w:sz="0" w:space="0" w:color="auto"/>
        <w:bottom w:val="none" w:sz="0" w:space="0" w:color="auto"/>
        <w:right w:val="none" w:sz="0" w:space="0" w:color="auto"/>
      </w:divBdr>
    </w:div>
    <w:div w:id="1933082146">
      <w:bodyDiv w:val="1"/>
      <w:marLeft w:val="0"/>
      <w:marRight w:val="0"/>
      <w:marTop w:val="0"/>
      <w:marBottom w:val="0"/>
      <w:divBdr>
        <w:top w:val="none" w:sz="0" w:space="0" w:color="auto"/>
        <w:left w:val="none" w:sz="0" w:space="0" w:color="auto"/>
        <w:bottom w:val="none" w:sz="0" w:space="0" w:color="auto"/>
        <w:right w:val="none" w:sz="0" w:space="0" w:color="auto"/>
      </w:divBdr>
    </w:div>
    <w:div w:id="1959292917">
      <w:bodyDiv w:val="1"/>
      <w:marLeft w:val="0"/>
      <w:marRight w:val="0"/>
      <w:marTop w:val="0"/>
      <w:marBottom w:val="0"/>
      <w:divBdr>
        <w:top w:val="none" w:sz="0" w:space="0" w:color="auto"/>
        <w:left w:val="none" w:sz="0" w:space="0" w:color="auto"/>
        <w:bottom w:val="none" w:sz="0" w:space="0" w:color="auto"/>
        <w:right w:val="none" w:sz="0" w:space="0" w:color="auto"/>
      </w:divBdr>
    </w:div>
    <w:div w:id="1963069661">
      <w:bodyDiv w:val="1"/>
      <w:marLeft w:val="0"/>
      <w:marRight w:val="0"/>
      <w:marTop w:val="0"/>
      <w:marBottom w:val="0"/>
      <w:divBdr>
        <w:top w:val="none" w:sz="0" w:space="0" w:color="auto"/>
        <w:left w:val="none" w:sz="0" w:space="0" w:color="auto"/>
        <w:bottom w:val="none" w:sz="0" w:space="0" w:color="auto"/>
        <w:right w:val="none" w:sz="0" w:space="0" w:color="auto"/>
      </w:divBdr>
    </w:div>
    <w:div w:id="1975135696">
      <w:bodyDiv w:val="1"/>
      <w:marLeft w:val="0"/>
      <w:marRight w:val="0"/>
      <w:marTop w:val="0"/>
      <w:marBottom w:val="0"/>
      <w:divBdr>
        <w:top w:val="none" w:sz="0" w:space="0" w:color="auto"/>
        <w:left w:val="none" w:sz="0" w:space="0" w:color="auto"/>
        <w:bottom w:val="none" w:sz="0" w:space="0" w:color="auto"/>
        <w:right w:val="none" w:sz="0" w:space="0" w:color="auto"/>
      </w:divBdr>
      <w:divsChild>
        <w:div w:id="822547572">
          <w:marLeft w:val="0"/>
          <w:marRight w:val="0"/>
          <w:marTop w:val="0"/>
          <w:marBottom w:val="0"/>
          <w:divBdr>
            <w:top w:val="none" w:sz="0" w:space="0" w:color="auto"/>
            <w:left w:val="none" w:sz="0" w:space="0" w:color="auto"/>
            <w:bottom w:val="none" w:sz="0" w:space="0" w:color="auto"/>
            <w:right w:val="none" w:sz="0" w:space="0" w:color="auto"/>
          </w:divBdr>
        </w:div>
      </w:divsChild>
    </w:div>
    <w:div w:id="1975477867">
      <w:bodyDiv w:val="1"/>
      <w:marLeft w:val="0"/>
      <w:marRight w:val="0"/>
      <w:marTop w:val="0"/>
      <w:marBottom w:val="0"/>
      <w:divBdr>
        <w:top w:val="none" w:sz="0" w:space="0" w:color="auto"/>
        <w:left w:val="none" w:sz="0" w:space="0" w:color="auto"/>
        <w:bottom w:val="none" w:sz="0" w:space="0" w:color="auto"/>
        <w:right w:val="none" w:sz="0" w:space="0" w:color="auto"/>
      </w:divBdr>
    </w:div>
    <w:div w:id="1977833135">
      <w:bodyDiv w:val="1"/>
      <w:marLeft w:val="0"/>
      <w:marRight w:val="0"/>
      <w:marTop w:val="0"/>
      <w:marBottom w:val="0"/>
      <w:divBdr>
        <w:top w:val="none" w:sz="0" w:space="0" w:color="auto"/>
        <w:left w:val="none" w:sz="0" w:space="0" w:color="auto"/>
        <w:bottom w:val="none" w:sz="0" w:space="0" w:color="auto"/>
        <w:right w:val="none" w:sz="0" w:space="0" w:color="auto"/>
      </w:divBdr>
    </w:div>
    <w:div w:id="1999142365">
      <w:bodyDiv w:val="1"/>
      <w:marLeft w:val="0"/>
      <w:marRight w:val="0"/>
      <w:marTop w:val="0"/>
      <w:marBottom w:val="0"/>
      <w:divBdr>
        <w:top w:val="none" w:sz="0" w:space="0" w:color="auto"/>
        <w:left w:val="none" w:sz="0" w:space="0" w:color="auto"/>
        <w:bottom w:val="none" w:sz="0" w:space="0" w:color="auto"/>
        <w:right w:val="none" w:sz="0" w:space="0" w:color="auto"/>
      </w:divBdr>
      <w:divsChild>
        <w:div w:id="538467741">
          <w:marLeft w:val="0"/>
          <w:marRight w:val="0"/>
          <w:marTop w:val="100"/>
          <w:marBottom w:val="100"/>
          <w:divBdr>
            <w:top w:val="none" w:sz="0" w:space="0" w:color="auto"/>
            <w:left w:val="none" w:sz="0" w:space="0" w:color="auto"/>
            <w:bottom w:val="none" w:sz="0" w:space="0" w:color="auto"/>
            <w:right w:val="none" w:sz="0" w:space="0" w:color="auto"/>
          </w:divBdr>
        </w:div>
        <w:div w:id="559369308">
          <w:marLeft w:val="0"/>
          <w:marRight w:val="0"/>
          <w:marTop w:val="100"/>
          <w:marBottom w:val="100"/>
          <w:divBdr>
            <w:top w:val="none" w:sz="0" w:space="0" w:color="auto"/>
            <w:left w:val="none" w:sz="0" w:space="0" w:color="auto"/>
            <w:bottom w:val="none" w:sz="0" w:space="0" w:color="auto"/>
            <w:right w:val="none" w:sz="0" w:space="0" w:color="auto"/>
          </w:divBdr>
          <w:divsChild>
            <w:div w:id="360211243">
              <w:marLeft w:val="0"/>
              <w:marRight w:val="0"/>
              <w:marTop w:val="0"/>
              <w:marBottom w:val="0"/>
              <w:divBdr>
                <w:top w:val="none" w:sz="0" w:space="0" w:color="auto"/>
                <w:left w:val="none" w:sz="0" w:space="0" w:color="auto"/>
                <w:bottom w:val="none" w:sz="0" w:space="0" w:color="auto"/>
                <w:right w:val="none" w:sz="0" w:space="0" w:color="auto"/>
              </w:divBdr>
              <w:divsChild>
                <w:div w:id="1631740462">
                  <w:marLeft w:val="0"/>
                  <w:marRight w:val="0"/>
                  <w:marTop w:val="0"/>
                  <w:marBottom w:val="0"/>
                  <w:divBdr>
                    <w:top w:val="none" w:sz="0" w:space="0" w:color="auto"/>
                    <w:left w:val="none" w:sz="0" w:space="0" w:color="auto"/>
                    <w:bottom w:val="none" w:sz="0" w:space="0" w:color="auto"/>
                    <w:right w:val="none" w:sz="0" w:space="0" w:color="auto"/>
                  </w:divBdr>
                  <w:divsChild>
                    <w:div w:id="1710296578">
                      <w:marLeft w:val="0"/>
                      <w:marRight w:val="0"/>
                      <w:marTop w:val="0"/>
                      <w:marBottom w:val="0"/>
                      <w:divBdr>
                        <w:top w:val="none" w:sz="0" w:space="0" w:color="auto"/>
                        <w:left w:val="none" w:sz="0" w:space="0" w:color="auto"/>
                        <w:bottom w:val="none" w:sz="0" w:space="0" w:color="auto"/>
                        <w:right w:val="none" w:sz="0" w:space="0" w:color="auto"/>
                      </w:divBdr>
                      <w:divsChild>
                        <w:div w:id="206189698">
                          <w:marLeft w:val="0"/>
                          <w:marRight w:val="0"/>
                          <w:marTop w:val="0"/>
                          <w:marBottom w:val="0"/>
                          <w:divBdr>
                            <w:top w:val="none" w:sz="0" w:space="0" w:color="auto"/>
                            <w:left w:val="none" w:sz="0" w:space="0" w:color="auto"/>
                            <w:bottom w:val="none" w:sz="0" w:space="0" w:color="auto"/>
                            <w:right w:val="none" w:sz="0" w:space="0" w:color="auto"/>
                          </w:divBdr>
                          <w:divsChild>
                            <w:div w:id="192684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381665">
      <w:bodyDiv w:val="1"/>
      <w:marLeft w:val="0"/>
      <w:marRight w:val="0"/>
      <w:marTop w:val="0"/>
      <w:marBottom w:val="0"/>
      <w:divBdr>
        <w:top w:val="none" w:sz="0" w:space="0" w:color="auto"/>
        <w:left w:val="none" w:sz="0" w:space="0" w:color="auto"/>
        <w:bottom w:val="none" w:sz="0" w:space="0" w:color="auto"/>
        <w:right w:val="none" w:sz="0" w:space="0" w:color="auto"/>
      </w:divBdr>
      <w:divsChild>
        <w:div w:id="900403594">
          <w:marLeft w:val="0"/>
          <w:marRight w:val="0"/>
          <w:marTop w:val="4425"/>
          <w:marBottom w:val="0"/>
          <w:divBdr>
            <w:top w:val="none" w:sz="0" w:space="0" w:color="auto"/>
            <w:left w:val="none" w:sz="0" w:space="0" w:color="auto"/>
            <w:bottom w:val="none" w:sz="0" w:space="0" w:color="auto"/>
            <w:right w:val="none" w:sz="0" w:space="0" w:color="auto"/>
          </w:divBdr>
          <w:divsChild>
            <w:div w:id="1776703846">
              <w:marLeft w:val="0"/>
              <w:marRight w:val="0"/>
              <w:marTop w:val="0"/>
              <w:marBottom w:val="0"/>
              <w:divBdr>
                <w:top w:val="none" w:sz="0" w:space="0" w:color="auto"/>
                <w:left w:val="none" w:sz="0" w:space="0" w:color="auto"/>
                <w:bottom w:val="none" w:sz="0" w:space="0" w:color="auto"/>
                <w:right w:val="none" w:sz="0" w:space="0" w:color="auto"/>
              </w:divBdr>
              <w:divsChild>
                <w:div w:id="1837577169">
                  <w:marLeft w:val="0"/>
                  <w:marRight w:val="0"/>
                  <w:marTop w:val="0"/>
                  <w:marBottom w:val="0"/>
                  <w:divBdr>
                    <w:top w:val="none" w:sz="0" w:space="0" w:color="auto"/>
                    <w:left w:val="none" w:sz="0" w:space="0" w:color="auto"/>
                    <w:bottom w:val="none" w:sz="0" w:space="0" w:color="auto"/>
                    <w:right w:val="none" w:sz="0" w:space="0" w:color="auto"/>
                  </w:divBdr>
                  <w:divsChild>
                    <w:div w:id="289946948">
                      <w:marLeft w:val="0"/>
                      <w:marRight w:val="0"/>
                      <w:marTop w:val="0"/>
                      <w:marBottom w:val="0"/>
                      <w:divBdr>
                        <w:top w:val="none" w:sz="0" w:space="0" w:color="auto"/>
                        <w:left w:val="none" w:sz="0" w:space="0" w:color="auto"/>
                        <w:bottom w:val="none" w:sz="0" w:space="0" w:color="auto"/>
                        <w:right w:val="none" w:sz="0" w:space="0" w:color="auto"/>
                      </w:divBdr>
                      <w:divsChild>
                        <w:div w:id="351302821">
                          <w:marLeft w:val="0"/>
                          <w:marRight w:val="0"/>
                          <w:marTop w:val="0"/>
                          <w:marBottom w:val="0"/>
                          <w:divBdr>
                            <w:top w:val="none" w:sz="0" w:space="0" w:color="auto"/>
                            <w:left w:val="none" w:sz="0" w:space="0" w:color="auto"/>
                            <w:bottom w:val="none" w:sz="0" w:space="0" w:color="auto"/>
                            <w:right w:val="none" w:sz="0" w:space="0" w:color="auto"/>
                          </w:divBdr>
                          <w:divsChild>
                            <w:div w:id="526336579">
                              <w:marLeft w:val="0"/>
                              <w:marRight w:val="0"/>
                              <w:marTop w:val="0"/>
                              <w:marBottom w:val="0"/>
                              <w:divBdr>
                                <w:top w:val="none" w:sz="0" w:space="0" w:color="auto"/>
                                <w:left w:val="none" w:sz="0" w:space="0" w:color="auto"/>
                                <w:bottom w:val="none" w:sz="0" w:space="0" w:color="auto"/>
                                <w:right w:val="none" w:sz="0" w:space="0" w:color="auto"/>
                              </w:divBdr>
                              <w:divsChild>
                                <w:div w:id="102363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381851">
      <w:bodyDiv w:val="1"/>
      <w:marLeft w:val="0"/>
      <w:marRight w:val="0"/>
      <w:marTop w:val="0"/>
      <w:marBottom w:val="0"/>
      <w:divBdr>
        <w:top w:val="none" w:sz="0" w:space="0" w:color="auto"/>
        <w:left w:val="none" w:sz="0" w:space="0" w:color="auto"/>
        <w:bottom w:val="none" w:sz="0" w:space="0" w:color="auto"/>
        <w:right w:val="none" w:sz="0" w:space="0" w:color="auto"/>
      </w:divBdr>
    </w:div>
    <w:div w:id="2056199941">
      <w:bodyDiv w:val="1"/>
      <w:marLeft w:val="0"/>
      <w:marRight w:val="0"/>
      <w:marTop w:val="0"/>
      <w:marBottom w:val="0"/>
      <w:divBdr>
        <w:top w:val="none" w:sz="0" w:space="0" w:color="auto"/>
        <w:left w:val="none" w:sz="0" w:space="0" w:color="auto"/>
        <w:bottom w:val="none" w:sz="0" w:space="0" w:color="auto"/>
        <w:right w:val="none" w:sz="0" w:space="0" w:color="auto"/>
      </w:divBdr>
    </w:div>
    <w:div w:id="2061322312">
      <w:bodyDiv w:val="1"/>
      <w:marLeft w:val="0"/>
      <w:marRight w:val="0"/>
      <w:marTop w:val="0"/>
      <w:marBottom w:val="0"/>
      <w:divBdr>
        <w:top w:val="none" w:sz="0" w:space="0" w:color="auto"/>
        <w:left w:val="none" w:sz="0" w:space="0" w:color="auto"/>
        <w:bottom w:val="none" w:sz="0" w:space="0" w:color="auto"/>
        <w:right w:val="none" w:sz="0" w:space="0" w:color="auto"/>
      </w:divBdr>
    </w:div>
    <w:div w:id="2071222120">
      <w:bodyDiv w:val="1"/>
      <w:marLeft w:val="0"/>
      <w:marRight w:val="0"/>
      <w:marTop w:val="0"/>
      <w:marBottom w:val="0"/>
      <w:divBdr>
        <w:top w:val="none" w:sz="0" w:space="0" w:color="auto"/>
        <w:left w:val="none" w:sz="0" w:space="0" w:color="auto"/>
        <w:bottom w:val="none" w:sz="0" w:space="0" w:color="auto"/>
        <w:right w:val="none" w:sz="0" w:space="0" w:color="auto"/>
      </w:divBdr>
      <w:divsChild>
        <w:div w:id="1305966417">
          <w:marLeft w:val="274"/>
          <w:marRight w:val="0"/>
          <w:marTop w:val="0"/>
          <w:marBottom w:val="0"/>
          <w:divBdr>
            <w:top w:val="none" w:sz="0" w:space="0" w:color="auto"/>
            <w:left w:val="none" w:sz="0" w:space="0" w:color="auto"/>
            <w:bottom w:val="none" w:sz="0" w:space="0" w:color="auto"/>
            <w:right w:val="none" w:sz="0" w:space="0" w:color="auto"/>
          </w:divBdr>
        </w:div>
        <w:div w:id="1553810589">
          <w:marLeft w:val="274"/>
          <w:marRight w:val="0"/>
          <w:marTop w:val="0"/>
          <w:marBottom w:val="0"/>
          <w:divBdr>
            <w:top w:val="none" w:sz="0" w:space="0" w:color="auto"/>
            <w:left w:val="none" w:sz="0" w:space="0" w:color="auto"/>
            <w:bottom w:val="none" w:sz="0" w:space="0" w:color="auto"/>
            <w:right w:val="none" w:sz="0" w:space="0" w:color="auto"/>
          </w:divBdr>
        </w:div>
      </w:divsChild>
    </w:div>
    <w:div w:id="2146240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ublications.europa.eu/en/publication-detail/-/publication/c8b7391b-9b80-11e8-a408-01aa75ed71a1/language-en/format-PDF/source-103408786" TargetMode="External"/><Relationship Id="rId117" Type="http://schemas.openxmlformats.org/officeDocument/2006/relationships/hyperlink" Target="https://enterprise.gov.ie/en/publications/prompt-payment-official-notice-reminder.html" TargetMode="External"/><Relationship Id="rId21" Type="http://schemas.openxmlformats.org/officeDocument/2006/relationships/footer" Target="footer4.xml"/><Relationship Id="rId42" Type="http://schemas.openxmlformats.org/officeDocument/2006/relationships/hyperlink" Target="https://eur-lex.europa.eu/legal-content/EN/TXT/?uri=CELEX:52020DC0103" TargetMode="External"/><Relationship Id="rId47" Type="http://schemas.openxmlformats.org/officeDocument/2006/relationships/image" Target="media/image5.emf"/><Relationship Id="rId63" Type="http://schemas.openxmlformats.org/officeDocument/2006/relationships/hyperlink" Target="https://op.europa.eu/en/publication-detail/-/publication/cb4bc1bd-1467-11ed-8fa0-01aa75ed71a1/language-en/format-PDF/source-search" TargetMode="External"/><Relationship Id="rId68" Type="http://schemas.openxmlformats.org/officeDocument/2006/relationships/image" Target="media/image8.png"/><Relationship Id="rId84" Type="http://schemas.openxmlformats.org/officeDocument/2006/relationships/image" Target="media/image20.emf"/><Relationship Id="rId89" Type="http://schemas.openxmlformats.org/officeDocument/2006/relationships/image" Target="media/image25.emf"/><Relationship Id="rId112" Type="http://schemas.openxmlformats.org/officeDocument/2006/relationships/hyperlink" Target="https://quickbooks.intuit.com/r/midsize-business/midsize-payments-research/" TargetMode="External"/><Relationship Id="rId16" Type="http://schemas.openxmlformats.org/officeDocument/2006/relationships/header" Target="header3.xml"/><Relationship Id="rId107" Type="http://schemas.openxmlformats.org/officeDocument/2006/relationships/image" Target="media/image38.emf"/><Relationship Id="rId11" Type="http://schemas.openxmlformats.org/officeDocument/2006/relationships/image" Target="media/image1.emf"/><Relationship Id="rId32" Type="http://schemas.openxmlformats.org/officeDocument/2006/relationships/hyperlink" Target="https://www.europarl.europa.eu/doceo/document/TA-8-2019-0042_EN.html" TargetMode="External"/><Relationship Id="rId37" Type="http://schemas.openxmlformats.org/officeDocument/2006/relationships/hyperlink" Target="https://publications.jrc.ec.europa.eu/repository/handle/JRC121059" TargetMode="External"/><Relationship Id="rId53" Type="http://schemas.openxmlformats.org/officeDocument/2006/relationships/footer" Target="footer7.xml"/><Relationship Id="rId58" Type="http://schemas.openxmlformats.org/officeDocument/2006/relationships/hyperlink" Target="https://eur-lex.europa.eu/legal-content/EN/ALL/?uri=COM%3A2016%3A534%3AFIN" TargetMode="External"/><Relationship Id="rId74" Type="http://schemas.openxmlformats.org/officeDocument/2006/relationships/hyperlink" Target="https://www.cicm.com/cicm-training-programmes/" TargetMode="External"/><Relationship Id="rId79" Type="http://schemas.openxmlformats.org/officeDocument/2006/relationships/image" Target="media/image15.emf"/><Relationship Id="rId102" Type="http://schemas.openxmlformats.org/officeDocument/2006/relationships/image" Target="media/image34.emf"/><Relationship Id="rId123" Type="http://schemas.openxmlformats.org/officeDocument/2006/relationships/footer" Target="footer12.xml"/><Relationship Id="rId128" Type="http://schemas.microsoft.com/office/2020/10/relationships/intelligence" Target="intelligence2.xml"/><Relationship Id="rId5" Type="http://schemas.openxmlformats.org/officeDocument/2006/relationships/numbering" Target="numbering.xml"/><Relationship Id="rId90" Type="http://schemas.openxmlformats.org/officeDocument/2006/relationships/image" Target="media/image26.emf"/><Relationship Id="rId95" Type="http://schemas.microsoft.com/office/2016/09/relationships/commentsIds" Target="commentsIds.xml"/><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yperlink" Target="https://eur-lex.europa.eu/legal-content/EN/ALL/?uri=COM%3A2016%3A534%3AFIN" TargetMode="External"/><Relationship Id="rId30" Type="http://schemas.openxmlformats.org/officeDocument/2006/relationships/hyperlink" Target="https://commission.europa.eu/strategy-documents/commission-work-programme/commission-work-programme-2023_en" TargetMode="External"/><Relationship Id="rId35" Type="http://schemas.openxmlformats.org/officeDocument/2006/relationships/hyperlink" Target="https://commission.europa.eu/document/download/157d837a-22a0-47fb-ac9a-628f559d4923_en?filename=Final%20opinion%202021_SBGR2_06%20Late%20payments_fup.pdf" TargetMode="External"/><Relationship Id="rId43" Type="http://schemas.openxmlformats.org/officeDocument/2006/relationships/hyperlink" Target="https://eur-lex.europa.eu/legal-content/EN/TXT/?uri=CELEX%3A52022DC0289&amp;qid=1658824364827" TargetMode="External"/><Relationship Id="rId48" Type="http://schemas.openxmlformats.org/officeDocument/2006/relationships/image" Target="media/image6.png"/><Relationship Id="rId56" Type="http://schemas.openxmlformats.org/officeDocument/2006/relationships/footer" Target="footer9.xml"/><Relationship Id="rId64" Type="http://schemas.openxmlformats.org/officeDocument/2006/relationships/hyperlink" Target="https://publications.jrc.ec.europa.eu/repository/handle/JRC130205" TargetMode="External"/><Relationship Id="rId69" Type="http://schemas.openxmlformats.org/officeDocument/2006/relationships/image" Target="media/image9.png"/><Relationship Id="rId77" Type="http://schemas.openxmlformats.org/officeDocument/2006/relationships/hyperlink" Target="https://www.efrag.org/lab6?AspxAutoDetectCookieSupport=1" TargetMode="External"/><Relationship Id="rId100" Type="http://schemas.openxmlformats.org/officeDocument/2006/relationships/image" Target="media/image32.emf"/><Relationship Id="rId105" Type="http://schemas.openxmlformats.org/officeDocument/2006/relationships/image" Target="media/image36.emf"/><Relationship Id="rId113" Type="http://schemas.openxmlformats.org/officeDocument/2006/relationships/hyperlink" Target="https://webmail.ec.europa.eu/owa/" TargetMode="External"/><Relationship Id="rId118" Type="http://schemas.openxmlformats.org/officeDocument/2006/relationships/header" Target="header10.xml"/><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7.xml"/><Relationship Id="rId72" Type="http://schemas.openxmlformats.org/officeDocument/2006/relationships/image" Target="media/image12.png"/><Relationship Id="rId80" Type="http://schemas.openxmlformats.org/officeDocument/2006/relationships/image" Target="media/image16.emf"/><Relationship Id="rId85" Type="http://schemas.openxmlformats.org/officeDocument/2006/relationships/image" Target="media/image21.emf"/><Relationship Id="rId93" Type="http://schemas.openxmlformats.org/officeDocument/2006/relationships/comments" Target="comments.xml"/><Relationship Id="rId98" Type="http://schemas.openxmlformats.org/officeDocument/2006/relationships/image" Target="media/image30.emf"/><Relationship Id="rId121" Type="http://schemas.openxmlformats.org/officeDocument/2006/relationships/footer" Target="footer1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ec.europa.eu/eurostat/statistics-explained/index.php?title=Hourly_labour_costs" TargetMode="External"/><Relationship Id="rId33" Type="http://schemas.openxmlformats.org/officeDocument/2006/relationships/hyperlink" Target="https://ec.europa.eu/transparency/expert-groups-register/screen/expert-groups/consult?do=groupDetail.groupDetail&amp;groupID=2710" TargetMode="External"/><Relationship Id="rId38" Type="http://schemas.openxmlformats.org/officeDocument/2006/relationships/hyperlink" Target="https://publications.jrc.ec.europa.eu/repository/handle/JRC121059" TargetMode="External"/><Relationship Id="rId46" Type="http://schemas.openxmlformats.org/officeDocument/2006/relationships/image" Target="media/image4.png"/><Relationship Id="rId59" Type="http://schemas.openxmlformats.org/officeDocument/2006/relationships/hyperlink" Target="https://publications.jrc.ec.europa.eu/repository/handle/JRC121059" TargetMode="External"/><Relationship Id="rId67" Type="http://schemas.openxmlformats.org/officeDocument/2006/relationships/hyperlink" Target="https://www.dnb.com/en-ch/knowledge/study/payment-study-2022-download/" TargetMode="External"/><Relationship Id="rId103" Type="http://schemas.openxmlformats.org/officeDocument/2006/relationships/chart" Target="charts/chart1.xml"/><Relationship Id="rId108" Type="http://schemas.openxmlformats.org/officeDocument/2006/relationships/image" Target="media/image39.PNG"/><Relationship Id="rId116" Type="http://schemas.openxmlformats.org/officeDocument/2006/relationships/hyperlink" Target="https://www.levelset.com/retainage/" TargetMode="External"/><Relationship Id="rId124"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hyperlink" Target="https://single-market-economy.ec.europa.eu/smes/sme-strategy/sme-performance-review_en" TargetMode="External"/><Relationship Id="rId54" Type="http://schemas.openxmlformats.org/officeDocument/2006/relationships/footer" Target="footer8.xml"/><Relationship Id="rId62" Type="http://schemas.openxmlformats.org/officeDocument/2006/relationships/hyperlink" Target="https://ec.europa.eu/info/sites/default/files/final_opinion_2021_sbgr2_06_late_payments.pdf" TargetMode="External"/><Relationship Id="rId70" Type="http://schemas.openxmlformats.org/officeDocument/2006/relationships/image" Target="media/image10.png"/><Relationship Id="rId75" Type="http://schemas.openxmlformats.org/officeDocument/2006/relationships/hyperlink" Target="http://qualifications.cicm.com/" TargetMode="External"/><Relationship Id="rId83" Type="http://schemas.openxmlformats.org/officeDocument/2006/relationships/image" Target="media/image19.emf"/><Relationship Id="rId88" Type="http://schemas.openxmlformats.org/officeDocument/2006/relationships/image" Target="media/image24.emf"/><Relationship Id="rId91" Type="http://schemas.openxmlformats.org/officeDocument/2006/relationships/image" Target="media/image27.emf"/><Relationship Id="rId96" Type="http://schemas.microsoft.com/office/2018/08/relationships/commentsExtensible" Target="commentsExtensible.xml"/><Relationship Id="rId111" Type="http://schemas.openxmlformats.org/officeDocument/2006/relationships/hyperlink" Target="https://quickbooks.intuit.com/r/midsize-business/midsize-payments-research/"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yperlink" Target="https://eur-lex.europa.eu/legal-content/EN/TXT/?uri=CELEX%3A52016SC0278" TargetMode="External"/><Relationship Id="rId36" Type="http://schemas.openxmlformats.org/officeDocument/2006/relationships/hyperlink" Target="https://eur-lex.europa.eu/legal-content/EN/TXT/PDF/?uri=CELEX:52009SC0315&amp;from=EN" TargetMode="External"/><Relationship Id="rId49" Type="http://schemas.openxmlformats.org/officeDocument/2006/relationships/image" Target="media/image7.png"/><Relationship Id="rId57" Type="http://schemas.openxmlformats.org/officeDocument/2006/relationships/hyperlink" Target="https://publications.europa.eu/en/publication-detail/-/publication/400ecc74-9a54-11e5-b3b7-01aa75ed71a1" TargetMode="External"/><Relationship Id="rId106" Type="http://schemas.openxmlformats.org/officeDocument/2006/relationships/image" Target="media/image37.emf"/><Relationship Id="rId114" Type="http://schemas.openxmlformats.org/officeDocument/2006/relationships/hyperlink" Target="https://webmail.ec.europa.eu/owa/" TargetMode="External"/><Relationship Id="rId119" Type="http://schemas.openxmlformats.org/officeDocument/2006/relationships/header" Target="header11.xml"/><Relationship Id="rId127" Type="http://schemas.microsoft.com/office/2019/05/relationships/documenttasks" Target="documenttasks/documenttasks1.xml"/><Relationship Id="rId10" Type="http://schemas.openxmlformats.org/officeDocument/2006/relationships/endnotes" Target="endnotes.xml"/><Relationship Id="rId31" Type="http://schemas.openxmlformats.org/officeDocument/2006/relationships/hyperlink" Target="https://www.dnb.com/en-ch/knowledge/study/payment-study-2022-download/" TargetMode="External"/><Relationship Id="rId44" Type="http://schemas.openxmlformats.org/officeDocument/2006/relationships/hyperlink" Target="https://www.sage.com/en-gb/blog/wp-content/uploads/sites/10/2017/12/Domino-Effect-Late-Payments-Research-Sage.pdf" TargetMode="External"/><Relationship Id="rId52" Type="http://schemas.openxmlformats.org/officeDocument/2006/relationships/header" Target="header8.xml"/><Relationship Id="rId60" Type="http://schemas.openxmlformats.org/officeDocument/2006/relationships/hyperlink" Target="https://publications.europa.eu/en/publication-detail/-/publication/c8b7391b-9b80-11e8-a408-01aa75ed71a1/language-en/format-PDF/source-103408786" TargetMode="External"/><Relationship Id="rId65" Type="http://schemas.openxmlformats.org/officeDocument/2006/relationships/hyperlink" Target="https://single-market-economy.ec.europa.eu/smes/sme-strategy/sme-performance-review_en" TargetMode="External"/><Relationship Id="rId73" Type="http://schemas.openxmlformats.org/officeDocument/2006/relationships/image" Target="media/image13.png"/><Relationship Id="rId78" Type="http://schemas.openxmlformats.org/officeDocument/2006/relationships/image" Target="media/image14.emf"/><Relationship Id="rId81" Type="http://schemas.openxmlformats.org/officeDocument/2006/relationships/image" Target="media/image17.emf"/><Relationship Id="rId86" Type="http://schemas.openxmlformats.org/officeDocument/2006/relationships/image" Target="media/image22.emf"/><Relationship Id="rId94" Type="http://schemas.microsoft.com/office/2011/relationships/commentsExtended" Target="commentsExtended.xml"/><Relationship Id="rId99" Type="http://schemas.openxmlformats.org/officeDocument/2006/relationships/image" Target="media/image31.png"/><Relationship Id="rId101" Type="http://schemas.openxmlformats.org/officeDocument/2006/relationships/image" Target="media/image33.emf"/><Relationship Id="rId122"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emf"/><Relationship Id="rId39" Type="http://schemas.openxmlformats.org/officeDocument/2006/relationships/hyperlink" Target="https://publications.jrc.ec.europa.eu/repository/handle/JRC130205" TargetMode="External"/><Relationship Id="rId109" Type="http://schemas.openxmlformats.org/officeDocument/2006/relationships/image" Target="media/image40.emf"/><Relationship Id="rId34" Type="http://schemas.openxmlformats.org/officeDocument/2006/relationships/hyperlink" Target="https://publications.europa.eu/en/publication-detail/-/publication/400ecc74-9a54-11e5-b3b7-01aa75ed71a1" TargetMode="External"/><Relationship Id="rId50" Type="http://schemas.openxmlformats.org/officeDocument/2006/relationships/hyperlink" Target="https://eur-lex.europa.eu/smartapi/cgi/sga_doc?smartapi!celexplus!prod!DocNumber&amp;lg=EN&amp;type_doc=COMfinal&amp;an_doc=2018&amp;nu_doc=0173" TargetMode="External"/><Relationship Id="rId55" Type="http://schemas.openxmlformats.org/officeDocument/2006/relationships/header" Target="header9.xml"/><Relationship Id="rId76" Type="http://schemas.openxmlformats.org/officeDocument/2006/relationships/hyperlink" Target="https://efrag.org/" TargetMode="External"/><Relationship Id="rId97" Type="http://schemas.openxmlformats.org/officeDocument/2006/relationships/image" Target="media/image29.emf"/><Relationship Id="rId104" Type="http://schemas.openxmlformats.org/officeDocument/2006/relationships/image" Target="media/image35.emf"/><Relationship Id="rId120" Type="http://schemas.openxmlformats.org/officeDocument/2006/relationships/footer" Target="footer10.xml"/><Relationship Id="rId125" Type="http://schemas.microsoft.com/office/2011/relationships/people" Target="people.xml"/><Relationship Id="rId7" Type="http://schemas.openxmlformats.org/officeDocument/2006/relationships/settings" Target="settings.xml"/><Relationship Id="rId71" Type="http://schemas.openxmlformats.org/officeDocument/2006/relationships/image" Target="media/image11.png"/><Relationship Id="rId92" Type="http://schemas.openxmlformats.org/officeDocument/2006/relationships/image" Target="media/image28.emf"/><Relationship Id="rId2" Type="http://schemas.openxmlformats.org/officeDocument/2006/relationships/customXml" Target="../customXml/item2.xml"/><Relationship Id="rId29" Type="http://schemas.openxmlformats.org/officeDocument/2006/relationships/hyperlink" Target="https://op.europa.eu/en/publication-detail/-/publication/cb4bc1bd-1467-11ed-8fa0-01aa75ed71a1/language-en/format-PDF/source-search" TargetMode="External"/><Relationship Id="rId24" Type="http://schemas.openxmlformats.org/officeDocument/2006/relationships/footer" Target="footer6.xml"/><Relationship Id="rId40" Type="http://schemas.openxmlformats.org/officeDocument/2006/relationships/hyperlink" Target="http://plumconsulting.co.uk/sweating-small-stuff-impact-bureaucracy-burden" TargetMode="External"/><Relationship Id="rId45" Type="http://schemas.openxmlformats.org/officeDocument/2006/relationships/image" Target="media/image3.png"/><Relationship Id="rId66" Type="http://schemas.openxmlformats.org/officeDocument/2006/relationships/hyperlink" Target="https://europa.eu/eurobarometer/surveys/detail/2244" TargetMode="External"/><Relationship Id="rId87" Type="http://schemas.openxmlformats.org/officeDocument/2006/relationships/image" Target="media/image23.emf"/><Relationship Id="rId110" Type="http://schemas.openxmlformats.org/officeDocument/2006/relationships/image" Target="media/image41.png"/><Relationship Id="rId115" Type="http://schemas.openxmlformats.org/officeDocument/2006/relationships/hyperlink" Target="https://www.levelset.com/blog/guide-to-progress-payments-on-construction-projects/" TargetMode="External"/><Relationship Id="rId61" Type="http://schemas.openxmlformats.org/officeDocument/2006/relationships/hyperlink" Target="https://www.europarl.europa.eu/doceo/document/TA-8-2019-0042_EN.html" TargetMode="External"/><Relationship Id="rId82" Type="http://schemas.openxmlformats.org/officeDocument/2006/relationships/image" Target="media/image18.emf"/></Relationships>
</file>

<file path=word/_rels/footnotes.xml.rels><?xml version="1.0" encoding="UTF-8" standalone="yes"?>
<Relationships xmlns="http://schemas.openxmlformats.org/package/2006/relationships"><Relationship Id="rId117" Type="http://schemas.openxmlformats.org/officeDocument/2006/relationships/hyperlink" Target="https://pmcm.es/la-pmcm-constata-un-abuso-del-confirming-por-parte-de-las-companias-espanolas/" TargetMode="External"/><Relationship Id="rId21" Type="http://schemas.openxmlformats.org/officeDocument/2006/relationships/hyperlink" Target="https://www.ilsole24ore.com/art/coronavirus-servono-15-miliardi-liquidita-prossimi-3-mesi-ADLnKTE?refresh_ce=1" TargetMode="External"/><Relationship Id="rId42" Type="http://schemas.openxmlformats.org/officeDocument/2006/relationships/hyperlink" Target="https://ec.europa.eu/eurostat/web/products-eurostat-news/w/DDN-20230309-2" TargetMode="External"/><Relationship Id="rId63" Type="http://schemas.openxmlformats.org/officeDocument/2006/relationships/hyperlink" Target="https://www.mef.gov.it/operazione-trasparenza/pagamenti/ind_temp/index.html" TargetMode="External"/><Relationship Id="rId84" Type="http://schemas.openxmlformats.org/officeDocument/2006/relationships/hyperlink" Target="https://www.hacienda.gob.es/es%20ES/CDI/Paginas/PeriodoMedioPago/PeriodoMedioPago.aspx" TargetMode="External"/><Relationship Id="rId138" Type="http://schemas.openxmlformats.org/officeDocument/2006/relationships/hyperlink" Target="https://eur-lex.europa.eu/legal-content/EN/TXT/?uri=CELEX%3A62018CJ0267" TargetMode="External"/><Relationship Id="rId159" Type="http://schemas.openxmlformats.org/officeDocument/2006/relationships/hyperlink" Target="https://open.overheid.nl/documenten/ronl-7605121f-911b-4479-bd59-16bc5c05ef5b/pdf" TargetMode="External"/><Relationship Id="rId170" Type="http://schemas.openxmlformats.org/officeDocument/2006/relationships/hyperlink" Target="https://www.ordermentum.com/blog/the-true-cost-of-late-payments" TargetMode="External"/><Relationship Id="rId191" Type="http://schemas.openxmlformats.org/officeDocument/2006/relationships/hyperlink" Target="https://comcom.govt.nz/business/your-obligations-as-a-business/changes-to-fair-trading-laws" TargetMode="External"/><Relationship Id="rId205" Type="http://schemas.openxmlformats.org/officeDocument/2006/relationships/hyperlink" Target="https://op.europa.eu/en/publication-detail/-/publication/cb4bc1bd-1467-11ed-8fa0-01aa75ed71a1/language-en/format-PDF/source-search" TargetMode="External"/><Relationship Id="rId226" Type="http://schemas.openxmlformats.org/officeDocument/2006/relationships/hyperlink" Target="https://op.europa.eu/o/opportal-service/download-handler?identifier=eec8227c-ecc4-11ea-b3c6-01aa75ed71a1&amp;format=pdf&amp;language=en&amp;productionSystem=cellar&amp;part" TargetMode="External"/><Relationship Id="rId247" Type="http://schemas.openxmlformats.org/officeDocument/2006/relationships/hyperlink" Target="https://finance.ec.europa.eu/capital-markets-union-and-financial-markets/capital-markets-union/capital-markets-union-2020-action-plan/action-7-empowering-citizens-through-financial-literacy_en" TargetMode="External"/><Relationship Id="rId107" Type="http://schemas.openxmlformats.org/officeDocument/2006/relationships/hyperlink" Target="https://www.boe.es/buscar/act.php?id=BOE-A-2021-16029" TargetMode="External"/><Relationship Id="rId11" Type="http://schemas.openxmlformats.org/officeDocument/2006/relationships/hyperlink" Target="https://for.org.pl/pliki/artykuly/2628_zatoryraport.pdf" TargetMode="External"/><Relationship Id="rId32" Type="http://schemas.openxmlformats.org/officeDocument/2006/relationships/hyperlink" Target="https://www.gov.uk/government/news/business-secretary-launches-review-to-prevent-small-firms-from-being-ripped-off-by-larger-companies" TargetMode="External"/><Relationship Id="rId53" Type="http://schemas.openxmlformats.org/officeDocument/2006/relationships/hyperlink" Target="https://www.dnb.com/en-ch/knowledge/study/payment-study-2022-download/" TargetMode="External"/><Relationship Id="rId74" Type="http://schemas.openxmlformats.org/officeDocument/2006/relationships/hyperlink" Target="https://eur-lex.europa.eu/legal-content/EN/TXT/PDF/?uri=CELEX:52009SC0315&amp;from=EN" TargetMode="External"/><Relationship Id="rId128" Type="http://schemas.openxmlformats.org/officeDocument/2006/relationships/hyperlink" Target="https://op.europa.eu/en/publication-detail/-/publication/cb4bc1bd-1467-11ed-8fa0-01aa75ed71a1/language-en/format-PDF/source-search" TargetMode="External"/><Relationship Id="rId149" Type="http://schemas.openxmlformats.org/officeDocument/2006/relationships/hyperlink" Target="https://single-market-economy.ec.europa.eu/access-finance/data-and-surveys-safe_en" TargetMode="External"/><Relationship Id="rId5" Type="http://schemas.openxmlformats.org/officeDocument/2006/relationships/hyperlink" Target="https://www.jstor.org/stable/pdf/23723489.pdf?refreqid=excelsior%3Acf14d88cfe9ae0ea753d5346751629e2&amp;ab_segments=&amp;origin=&amp;initiator=&amp;acceptTC=1" TargetMode="External"/><Relationship Id="rId95" Type="http://schemas.openxmlformats.org/officeDocument/2006/relationships/hyperlink" Target="https://www.boe.es/diario_boe/txt.php?id=BOE-A-2022-15818" TargetMode="External"/><Relationship Id="rId160" Type="http://schemas.openxmlformats.org/officeDocument/2006/relationships/hyperlink" Target="http://www.aef.nl" TargetMode="External"/><Relationship Id="rId181" Type="http://schemas.openxmlformats.org/officeDocument/2006/relationships/hyperlink" Target="https://www.cca-acc.com/wp-content/uploads/2020/09/Building-a-Federal-Framework-Report.pdf" TargetMode="External"/><Relationship Id="rId216" Type="http://schemas.openxmlformats.org/officeDocument/2006/relationships/hyperlink" Target="https://www.efmaefm.org/0EFMAMEETINGS/EFMA%20ANNUAL%20MEETINGS/2022-Rome/papers/EFMA%202022_stage-3032_question-Full%20Paper_id-161.pdf" TargetMode="External"/><Relationship Id="rId237" Type="http://schemas.openxmlformats.org/officeDocument/2006/relationships/hyperlink" Target="https://digital-strategy.ec.europa.eu/en/library/digital-economy-and-society-index-desi-2022" TargetMode="External"/><Relationship Id="rId22" Type="http://schemas.openxmlformats.org/officeDocument/2006/relationships/hyperlink" Target="https://cincodias.elpais.com/cincodias/2021/09/21/pyme/1632178660_252671.html" TargetMode="External"/><Relationship Id="rId43" Type="http://schemas.openxmlformats.org/officeDocument/2006/relationships/hyperlink" Target="https://europa.eu/eurobarometer/surveys/detail/2244" TargetMode="External"/><Relationship Id="rId64" Type="http://schemas.openxmlformats.org/officeDocument/2006/relationships/hyperlink" Target="https://www.mef.gov.it/focus/Pagamento-debiti-della-PA-ai-creditori/" TargetMode="External"/><Relationship Id="rId118" Type="http://schemas.openxmlformats.org/officeDocument/2006/relationships/hyperlink" Target="http://www.cicm.com" TargetMode="External"/><Relationship Id="rId139" Type="http://schemas.openxmlformats.org/officeDocument/2006/relationships/hyperlink" Target="https://europa.eu/eurobarometer/surveys/detail/2244" TargetMode="External"/><Relationship Id="rId85" Type="http://schemas.openxmlformats.org/officeDocument/2006/relationships/hyperlink" Target="https://www.dgo.gov.pt/noticias/Paginas/PMP.aspx" TargetMode="External"/><Relationship Id="rId150" Type="http://schemas.openxmlformats.org/officeDocument/2006/relationships/hyperlink" Target="https://www.bis.org/cpmi/publ/d173.pdf" TargetMode="External"/><Relationship Id="rId171" Type="http://schemas.openxmlformats.org/officeDocument/2006/relationships/hyperlink" Target="https://www.icaew.com/insights/viewpoints-on-the-news/2022/oct-2022/the-impact-of-late-payments-on-small-businesses" TargetMode="External"/><Relationship Id="rId192" Type="http://schemas.openxmlformats.org/officeDocument/2006/relationships/hyperlink" Target="https://bills.parliament.nz/v/6/c1f6efb7-814b-4def-a8d4-3b0d9407b9e2?Tab=history" TargetMode="External"/><Relationship Id="rId206" Type="http://schemas.openxmlformats.org/officeDocument/2006/relationships/hyperlink" Target="https://publications.jrc.ec.europa.eu/repository/handle/JRC130205" TargetMode="External"/><Relationship Id="rId227" Type="http://schemas.openxmlformats.org/officeDocument/2006/relationships/hyperlink" Target="https://ec.europa.eu/growth/smes/support/late-payment_fr" TargetMode="External"/><Relationship Id="rId248" Type="http://schemas.openxmlformats.org/officeDocument/2006/relationships/hyperlink" Target="https://finance.ec.europa.eu/capital-markets-union-and-financial-markets/capital-markets-union/capital-markets-union-2020-action-plan/action-7-empowering-citizens-through-financial-literacy_en" TargetMode="External"/><Relationship Id="rId12" Type="http://schemas.openxmlformats.org/officeDocument/2006/relationships/hyperlink" Target="https://ec.europa.eu/docsroom/documents/41561" TargetMode="External"/><Relationship Id="rId17" Type="http://schemas.openxmlformats.org/officeDocument/2006/relationships/hyperlink" Target="https://www.sage.com/en-gb/blog/wp-content/uploads/sites/10/2017/12/Domino-Effect-Late-Payments-Research-Sage.pdf" TargetMode="External"/><Relationship Id="rId33" Type="http://schemas.openxmlformats.org/officeDocument/2006/relationships/hyperlink" Target="https://www.linkedin.com/pulse/bullying-wrong-includes-big-brand-corporations-mark-pettler" TargetMode="External"/><Relationship Id="rId38" Type="http://schemas.openxmlformats.org/officeDocument/2006/relationships/hyperlink" Target="https://eur-lex.europa.eu/legal-content/EN/TXT/?uri=CELEX%3A32014L0055" TargetMode="External"/><Relationship Id="rId59" Type="http://schemas.openxmlformats.org/officeDocument/2006/relationships/hyperlink" Target="https://ted.europa.eu/udl?uri=TED:NOTICE:127264-2023:TEXT:EN:HTML" TargetMode="External"/><Relationship Id="rId103" Type="http://schemas.openxmlformats.org/officeDocument/2006/relationships/hyperlink" Target="https://hauts-de-france.dreets.gouv.fr/Controle-des-delais-de-paiement-interprofessionnels-dans-les-Hauts-de-France" TargetMode="External"/><Relationship Id="rId108" Type="http://schemas.openxmlformats.org/officeDocument/2006/relationships/hyperlink" Target="https://www.mitma.gob.es/el-ministerio/sala-de-prensa/noticias/jue-01122022-0944" TargetMode="External"/><Relationship Id="rId124" Type="http://schemas.openxmlformats.org/officeDocument/2006/relationships/hyperlink" Target="https://verenigingvoorcreditmanagement.nl/" TargetMode="External"/><Relationship Id="rId129" Type="http://schemas.openxmlformats.org/officeDocument/2006/relationships/hyperlink" Target="https://www.urssaf.fr/portail/home/espaces-dedies/contributions-de-formation-profe/la-contribution-a-la-formation-p.html" TargetMode="External"/><Relationship Id="rId54" Type="http://schemas.openxmlformats.org/officeDocument/2006/relationships/hyperlink" Target="https://www.senat.fr/questions/base/2018/qSEQ181007212.html" TargetMode="External"/><Relationship Id="rId70" Type="http://schemas.openxmlformats.org/officeDocument/2006/relationships/hyperlink" Target="http://sdw.ecb.europa.eu/reports.do?node=1000002883" TargetMode="External"/><Relationship Id="rId75" Type="http://schemas.openxmlformats.org/officeDocument/2006/relationships/hyperlink" Target="https://ec.europa.eu/eurostat/databrowser/view/prc_hicp_aind/default/table?lang=en" TargetMode="External"/><Relationship Id="rId91" Type="http://schemas.openxmlformats.org/officeDocument/2006/relationships/hyperlink" Target="http://www.pmcm.es/" TargetMode="External"/><Relationship Id="rId96" Type="http://schemas.openxmlformats.org/officeDocument/2006/relationships/hyperlink" Target="https://eur-lex.europa.eu/LexUriServ/LexUriServ.do?uri=OJ:L:2011:048:0001:0010:en:PDF" TargetMode="External"/><Relationship Id="rId140" Type="http://schemas.openxmlformats.org/officeDocument/2006/relationships/hyperlink" Target="https://single-market-economy.ec.europa.eu/access-finance/data-and-surveys-safe_en" TargetMode="External"/><Relationship Id="rId145" Type="http://schemas.openxmlformats.org/officeDocument/2006/relationships/hyperlink" Target="https://www.researchgate.net/publication/354628268_Payment_Delays_Their_Reasons_Scale_and_Consequences" TargetMode="External"/><Relationship Id="rId161" Type="http://schemas.openxmlformats.org/officeDocument/2006/relationships/hyperlink" Target="http://www.regeringen.se/4ae354/contentassets/a63b746fefc7447194413dd08ad184c6/kartlaggning-av-betaltider-i-naringslivet-2016-slutlig-rapport.pdf" TargetMode="External"/><Relationship Id="rId166" Type="http://schemas.openxmlformats.org/officeDocument/2006/relationships/hyperlink" Target="https://www.dnb.com/en-ch/knowledge/study/payment-study-2022-download/" TargetMode="External"/><Relationship Id="rId182" Type="http://schemas.openxmlformats.org/officeDocument/2006/relationships/hyperlink" Target="https://laws.justice.gc.ca/eng/acts/F-7.7/FullText.html%20" TargetMode="External"/><Relationship Id="rId187" Type="http://schemas.openxmlformats.org/officeDocument/2006/relationships/hyperlink" Target="https://legislative.gov.in/sites/default/files/A2006-27.pdf" TargetMode="External"/><Relationship Id="rId217" Type="http://schemas.openxmlformats.org/officeDocument/2006/relationships/hyperlink" Target="https://ec.europa.eu/economy_finance/publications/economic_paper/2014/pdf/ecp531_en.pdf" TargetMode="External"/><Relationship Id="rId1" Type="http://schemas.openxmlformats.org/officeDocument/2006/relationships/hyperlink" Target="https://www.britannica.com/topic/commercial-transaction" TargetMode="External"/><Relationship Id="rId6" Type="http://schemas.openxmlformats.org/officeDocument/2006/relationships/hyperlink" Target="https://link.springer.com/article/10.1007/s11187-021-00488-3" TargetMode="External"/><Relationship Id="rId212" Type="http://schemas.openxmlformats.org/officeDocument/2006/relationships/hyperlink" Target="https://www.intrum.com/publications/european-payment-report/european-payment-report-2022/" TargetMode="External"/><Relationship Id="rId233" Type="http://schemas.openxmlformats.org/officeDocument/2006/relationships/hyperlink" Target="https://ec.europa.eu/info/law/better-regulation/have-your-say/initiatives/13665-Late-payments-update-of-EU-rules_en" TargetMode="External"/><Relationship Id="rId238" Type="http://schemas.openxmlformats.org/officeDocument/2006/relationships/hyperlink" Target="https://ec.europa.eu/info/law/better-regulation/have-your-say/initiatives/13614-European-Year-of-Skills-2023_en" TargetMode="External"/><Relationship Id="rId23" Type="http://schemas.openxmlformats.org/officeDocument/2006/relationships/hyperlink" Target="https://www.icaew.com/insights/viewpoints-on-the-news/2022/oct-2022/the-impact-of-late-payments-on-small-businesses" TargetMode="External"/><Relationship Id="rId28" Type="http://schemas.openxmlformats.org/officeDocument/2006/relationships/hyperlink" Target="https://www.jstor.org/stable/2962200" TargetMode="External"/><Relationship Id="rId49" Type="http://schemas.openxmlformats.org/officeDocument/2006/relationships/hyperlink" Target="https://www.ecb.europa.eu/paym/intro/mip-online/2016/html/mip_qr_1_article_4_e-invoicing.en.html" TargetMode="External"/><Relationship Id="rId114" Type="http://schemas.openxmlformats.org/officeDocument/2006/relationships/hyperlink" Target="https://www.lexpress.fr/entrepreneurs/gestion-fiscalite/retard-de-paiement-les-faux-pretextes-et-comment-s-en-proteger_1518967.html" TargetMode="External"/><Relationship Id="rId119" Type="http://schemas.openxmlformats.org/officeDocument/2006/relationships/hyperlink" Target="https://www.fecma.eu/home" TargetMode="External"/><Relationship Id="rId44" Type="http://schemas.openxmlformats.org/officeDocument/2006/relationships/hyperlink" Target="https://economie.fgov.be/fr/themes/line/belmed-mediation-en-ligne/reglement-alternatif-de/sortes-de-reglements-des/conciliation/commission-de-conciliation" TargetMode="External"/><Relationship Id="rId60" Type="http://schemas.openxmlformats.org/officeDocument/2006/relationships/hyperlink" Target="https://www.gemconsortium.org/reports/latest-global-report" TargetMode="External"/><Relationship Id="rId65" Type="http://schemas.openxmlformats.org/officeDocument/2006/relationships/hyperlink" Target="https://bosa.belgium.be/fr/themes/budget-et-comptabilite/la-comptabilite-publique/suivi-des-delais-de-paiement" TargetMode="External"/><Relationship Id="rId81" Type="http://schemas.openxmlformats.org/officeDocument/2006/relationships/hyperlink" Target="https://eur-lex.europa.eu/legal-content/EN/TXT/PDF/?uri=CELEX:51993AC0714&amp;from=EN" TargetMode="External"/><Relationship Id="rId86" Type="http://schemas.openxmlformats.org/officeDocument/2006/relationships/hyperlink" Target="https://www.mef.gov.it/operazione-trasparenza/pagamenti/ind_temp/index.html" TargetMode="External"/><Relationship Id="rId130" Type="http://schemas.openxmlformats.org/officeDocument/2006/relationships/hyperlink" Target="https://www.macm.org.mt/home" TargetMode="External"/><Relationship Id="rId135" Type="http://schemas.openxmlformats.org/officeDocument/2006/relationships/hyperlink" Target="https://www.biznes.gov.pl/pl/opisy-procedur/-/proc/125" TargetMode="External"/><Relationship Id="rId151" Type="http://schemas.openxmlformats.org/officeDocument/2006/relationships/hyperlink" Target="https://www.wto.org/english/res_e/booksp_e/world_trade_report16_e.pdf" TargetMode="External"/><Relationship Id="rId156" Type="http://schemas.openxmlformats.org/officeDocument/2006/relationships/hyperlink" Target="https://www.dnb.com/en-ch/knowledge/study/payment-study-2022-download/" TargetMode="External"/><Relationship Id="rId177" Type="http://schemas.openxmlformats.org/officeDocument/2006/relationships/hyperlink" Target="https://treasury.gov.au/small-business/PTRS" TargetMode="External"/><Relationship Id="rId198" Type="http://schemas.openxmlformats.org/officeDocument/2006/relationships/hyperlink" Target="https://spendmatters.com/tfmatters/5-reaasons-why-obamas-supplierpay-isnt-working/" TargetMode="External"/><Relationship Id="rId172" Type="http://schemas.openxmlformats.org/officeDocument/2006/relationships/hyperlink" Target="https://www.chaserhq.com/blog/87-of-businesses-paid-late-insights-from-2022-late-payments-report" TargetMode="External"/><Relationship Id="rId193" Type="http://schemas.openxmlformats.org/officeDocument/2006/relationships/hyperlink" Target="https://www.mbie.govt.nz/dmsdocument/11212-discussion-paper-improving-business-to-business-payment-practices" TargetMode="External"/><Relationship Id="rId202" Type="http://schemas.openxmlformats.org/officeDocument/2006/relationships/hyperlink" Target="https://www.intrum.com/press/news-stories/the-damaging-effect-of-late-payment/" TargetMode="External"/><Relationship Id="rId207" Type="http://schemas.openxmlformats.org/officeDocument/2006/relationships/hyperlink" Target="https://op.europa.eu/en/publication-detail/-/publication/fa844000-356a-11ed-9c68-01aa75ed71a1/language-en/format-PDF/source-283038902" TargetMode="External"/><Relationship Id="rId223" Type="http://schemas.openxmlformats.org/officeDocument/2006/relationships/hyperlink" Target="https://econjournals.sgh.waw.pl/JMFS/article/view/733" TargetMode="External"/><Relationship Id="rId228" Type="http://schemas.openxmlformats.org/officeDocument/2006/relationships/hyperlink" Target="https://www.theguardian.com/small-business-network/2017/may/23/late-payments-mental-health-stress-prompt-payment-directory-booking-live" TargetMode="External"/><Relationship Id="rId244" Type="http://schemas.openxmlformats.org/officeDocument/2006/relationships/hyperlink" Target="https://reform-support.ec.europa.eu/what-we-do/public-administration-and-governance_en" TargetMode="External"/><Relationship Id="rId249" Type="http://schemas.openxmlformats.org/officeDocument/2006/relationships/hyperlink" Target="https://reform-support.ec.europa.eu/what-we-do/finance-and-access-finance/strategy-financial-literacy-austria_en" TargetMode="External"/><Relationship Id="rId13" Type="http://schemas.openxmlformats.org/officeDocument/2006/relationships/hyperlink" Target="https://www.ecb.europa.eu/stats/ecb_surveys/safe/html/all-releases.en.html" TargetMode="External"/><Relationship Id="rId18" Type="http://schemas.openxmlformats.org/officeDocument/2006/relationships/hyperlink" Target="https://www.economie.gouv.fr/files/files/directions_services/mediateur-des-entreprises/odp_2020.pdf?v=1637739908" TargetMode="External"/><Relationship Id="rId39" Type="http://schemas.openxmlformats.org/officeDocument/2006/relationships/hyperlink" Target="https://taxation-customs.ec.europa.eu/taxation-1/value-added-tax-vat/vat-digital-age_en" TargetMode="External"/><Relationship Id="rId109" Type="http://schemas.openxmlformats.org/officeDocument/2006/relationships/hyperlink" Target="https://www.researchgate.net/publication/341138823_Unfair_Payment_Issues_in_Construction_Re-thinking_Alternative_Payment_Method_for_Tier-1_Contractors_to_Subcontractors" TargetMode="External"/><Relationship Id="rId34" Type="http://schemas.openxmlformats.org/officeDocument/2006/relationships/hyperlink" Target="https://www.intrum.com/publications/european-payment-report/european-payment-report-2021/" TargetMode="External"/><Relationship Id="rId50" Type="http://schemas.openxmlformats.org/officeDocument/2006/relationships/hyperlink" Target="https://ec.europa.eu/transparency/documents-register/detail?ref=SWD(2021)279&amp;lang=en" TargetMode="External"/><Relationship Id="rId55" Type="http://schemas.openxmlformats.org/officeDocument/2006/relationships/hyperlink" Target="https://fiec-statistical-report.eu/" TargetMode="External"/><Relationship Id="rId76" Type="http://schemas.openxmlformats.org/officeDocument/2006/relationships/hyperlink" Target="https://www.senat.fr/questions/base/2018/qSEQ181007212.html" TargetMode="External"/><Relationship Id="rId97" Type="http://schemas.openxmlformats.org/officeDocument/2006/relationships/hyperlink" Target="https://eur-lex.europa.eu/legal-content/EN/ALL/?uri=celex%3A32008L0052" TargetMode="External"/><Relationship Id="rId104" Type="http://schemas.openxmlformats.org/officeDocument/2006/relationships/hyperlink" Target="https://www.economie.gouv.fr/files/2021-05/controles-dgccrf-pouvoirs-enquete-sanction_0.pdf" TargetMode="External"/><Relationship Id="rId120" Type="http://schemas.openxmlformats.org/officeDocument/2006/relationships/hyperlink" Target="https://op.europa.eu/en/publication-detail/-/publication/cb4bc1bd-1467-11ed-8fa0-01aa75ed71a1/language-en/format-PDF/source-search" TargetMode="External"/><Relationship Id="rId125" Type="http://schemas.openxmlformats.org/officeDocument/2006/relationships/hyperlink" Target="https://picm.pl/en/" TargetMode="External"/><Relationship Id="rId141" Type="http://schemas.openxmlformats.org/officeDocument/2006/relationships/hyperlink" Target="https://www.researchgate.net/publication/354628268_Payment_Delays_Their_Reasons_Scale_and_Consequences" TargetMode="External"/><Relationship Id="rId146" Type="http://schemas.openxmlformats.org/officeDocument/2006/relationships/hyperlink" Target="https://europa.eu/eurobarometer/surveys/detail/2244" TargetMode="External"/><Relationship Id="rId167" Type="http://schemas.openxmlformats.org/officeDocument/2006/relationships/hyperlink" Target="https://www.intrum.com/publications/european-payment-report/european-payment-report-2021/" TargetMode="External"/><Relationship Id="rId188" Type="http://schemas.openxmlformats.org/officeDocument/2006/relationships/hyperlink" Target="https://economictimes.indiatimes.com/news/economy/policy/finance-ministry-to-levy-1-late-payment-interest-on-government-e-marketplace/articleshow/76775259.cms" TargetMode="External"/><Relationship Id="rId7" Type="http://schemas.openxmlformats.org/officeDocument/2006/relationships/hyperlink" Target="https://www.confindustriadm.it/tempi-di-pagamento/" TargetMode="External"/><Relationship Id="rId71" Type="http://schemas.openxmlformats.org/officeDocument/2006/relationships/hyperlink" Target="https://justice.belgium.be/fr/nouvelles/communiques_de_presse/lutte_contre_le_retard_de_paiement_dans_les_transactions_0" TargetMode="External"/><Relationship Id="rId92" Type="http://schemas.openxmlformats.org/officeDocument/2006/relationships/hyperlink" Target="http://www.cgiamestre.com/tag/ritardi-nei-pagamenti/" TargetMode="External"/><Relationship Id="rId162" Type="http://schemas.openxmlformats.org/officeDocument/2006/relationships/hyperlink" Target="https://publications.europa.eu/en/publication-detail/-/publication/c8b7391b-9b80-11e8-a408-01aa75ed71a1/language-en/format-PDF/source-103408786" TargetMode="External"/><Relationship Id="rId183" Type="http://schemas.openxmlformats.org/officeDocument/2006/relationships/hyperlink" Target="https://www.cca-acc.com/advocacy/critical-issues/prompt-payment/" TargetMode="External"/><Relationship Id="rId213" Type="http://schemas.openxmlformats.org/officeDocument/2006/relationships/hyperlink" Target="https://www.tide.co/blog/tide-update/new-research-uk-smes-chasing-50bn-in-late-payments/" TargetMode="External"/><Relationship Id="rId218" Type="http://schemas.openxmlformats.org/officeDocument/2006/relationships/hyperlink" Target="https://publications.banque-france.fr/en/do-late-customer-payments-impact-companies-probability-default" TargetMode="External"/><Relationship Id="rId234" Type="http://schemas.openxmlformats.org/officeDocument/2006/relationships/hyperlink" Target="https://commission.europa.eu/funding-tenders/find-funding/eu-funding-programmes/connecting-europe-facility_en" TargetMode="External"/><Relationship Id="rId239" Type="http://schemas.openxmlformats.org/officeDocument/2006/relationships/hyperlink" Target="https://digital-strategy.ec.europa.eu/en/library/digital-economy-and-society-index-desi-2022" TargetMode="External"/><Relationship Id="rId2" Type="http://schemas.openxmlformats.org/officeDocument/2006/relationships/hyperlink" Target="https://commission.europa.eu/law/cross-border-cases/procedures-simplify-cross-border-cases_en" TargetMode="External"/><Relationship Id="rId29" Type="http://schemas.openxmlformats.org/officeDocument/2006/relationships/hyperlink" Target="https://www.rba.gov.au/publications/bulletin/2013/sep/pdf/bu-0913-5.pdf" TargetMode="External"/><Relationship Id="rId250" Type="http://schemas.openxmlformats.org/officeDocument/2006/relationships/hyperlink" Target="https://www.gesetze-im-internet.de/englisch_bgb/englisch_bgb.pdf" TargetMode="External"/><Relationship Id="rId24" Type="http://schemas.openxmlformats.org/officeDocument/2006/relationships/hyperlink" Target="https://www.mondu.ai/blog/effects-inflation-payment-behavior-b2b/" TargetMode="External"/><Relationship Id="rId40" Type="http://schemas.openxmlformats.org/officeDocument/2006/relationships/hyperlink" Target="https://ec.europa.eu/digital-building-blocks/wikis/display/DIGITAL/Digital+Homepage" TargetMode="External"/><Relationship Id="rId45" Type="http://schemas.openxmlformats.org/officeDocument/2006/relationships/hyperlink" Target="https://curia.europa.eu/juris/liste.jsf?lgrec=fr&amp;td=%3BALL&amp;language=en&amp;num=C-585/20&amp;jur=C" TargetMode="External"/><Relationship Id="rId66" Type="http://schemas.openxmlformats.org/officeDocument/2006/relationships/hyperlink" Target="https://ec.europa.eu/info/law/better-regulation/have-your-say/initiatives/13665-Late-payments-update-of-EU-rules/public-consultation_en" TargetMode="External"/><Relationship Id="rId87" Type="http://schemas.openxmlformats.org/officeDocument/2006/relationships/hyperlink" Target="https://www.mef.gov.it/focus/Pagamento-debiti-della-PA-ai-creditori/" TargetMode="External"/><Relationship Id="rId110" Type="http://schemas.openxmlformats.org/officeDocument/2006/relationships/hyperlink" Target="https://www.law.kuleuven.be/personal/mstorme/european-private-law_en.pdf" TargetMode="External"/><Relationship Id="rId115" Type="http://schemas.openxmlformats.org/officeDocument/2006/relationships/hyperlink" Target="https://www.keglerbrown.com/content/uploads/2019/10/Contingent-Payment-Clauses-in-the-50-States-2020.pdf" TargetMode="External"/><Relationship Id="rId131" Type="http://schemas.openxmlformats.org/officeDocument/2006/relationships/hyperlink" Target="https://www.macm.org.mt/macmlibrary?ag=Credit%20Guidelines" TargetMode="External"/><Relationship Id="rId136" Type="http://schemas.openxmlformats.org/officeDocument/2006/relationships/hyperlink" Target="https://eur-lex.europa.eu/legal-content/EN/TXT/?uri=celex%3A32022L2464" TargetMode="External"/><Relationship Id="rId157" Type="http://schemas.openxmlformats.org/officeDocument/2006/relationships/hyperlink" Target="https://open.overheid.nl/documenten/ronl-7605121f-911b-4479-bd59-16bc5c05ef5b/pdf" TargetMode="External"/><Relationship Id="rId178" Type="http://schemas.openxmlformats.org/officeDocument/2006/relationships/hyperlink" Target="https://treasury.gov.au/small-business/PTRS" TargetMode="External"/><Relationship Id="rId61" Type="http://schemas.openxmlformats.org/officeDocument/2006/relationships/hyperlink" Target="https://www.hacienda.gob.es/es%20ES/CDI/Paginas/PeriodoMedioPago/PeriodoMedioPago.aspx" TargetMode="External"/><Relationship Id="rId82" Type="http://schemas.openxmlformats.org/officeDocument/2006/relationships/hyperlink" Target="https://eur-lex.europa.eu/legal-content/EN/ALL/?uri=celex%3A31995H0198" TargetMode="External"/><Relationship Id="rId152" Type="http://schemas.openxmlformats.org/officeDocument/2006/relationships/hyperlink" Target="https://op.europa.eu/o/opportal-service/download-handler?identifier=eec8227c-ecc4-11ea-b3c6-01aa75ed71a1&amp;format=pdf&amp;language=en&amp;productionSystem=cellar&amp;part=" TargetMode="External"/><Relationship Id="rId173" Type="http://schemas.openxmlformats.org/officeDocument/2006/relationships/hyperlink" Target="https://open.overheid.nl/documenten/ronl-7605121f-911b-4479-bd59-16bc5c05ef5b/pdf" TargetMode="External"/><Relationship Id="rId194" Type="http://schemas.openxmlformats.org/officeDocument/2006/relationships/hyperlink" Target="https://www.xero.com/small-business-insights/wp-content/uploads/2019/06/xsbi-report-paying-the-%20price.pdf" TargetMode="External"/><Relationship Id="rId199" Type="http://schemas.openxmlformats.org/officeDocument/2006/relationships/hyperlink" Target="https://taulia.com/payment-terms/united-states/" TargetMode="External"/><Relationship Id="rId203" Type="http://schemas.openxmlformats.org/officeDocument/2006/relationships/hyperlink" Target="https://www.commerce.gov/sites/default/files/migrated/reports/supplierpayv25.pdf" TargetMode="External"/><Relationship Id="rId208" Type="http://schemas.openxmlformats.org/officeDocument/2006/relationships/hyperlink" Target="https://publications.europa.eu/en/publication-detail/-/publication/400ecc74-9a54-11e5-b3b7-01aa75ed71a1" TargetMode="External"/><Relationship Id="rId229" Type="http://schemas.openxmlformats.org/officeDocument/2006/relationships/hyperlink" Target="https://www.essentiel-sante-magazine.fr/sante/travail/apesa-france-aide-psychologique-entrepreuneur" TargetMode="External"/><Relationship Id="rId19" Type="http://schemas.openxmlformats.org/officeDocument/2006/relationships/hyperlink" Target="https://www.netpme.fr/actualite/coronavirus-mediateur-des-entreprises-nous-sommes-submerges-par-un-tsunami-de-saisines/" TargetMode="External"/><Relationship Id="rId224" Type="http://schemas.openxmlformats.org/officeDocument/2006/relationships/hyperlink" Target="https://www.creditoycaucion.es/es/cycnews/analisis/detalle/1122-estudio-riesgo-credito-2" TargetMode="External"/><Relationship Id="rId240" Type="http://schemas.openxmlformats.org/officeDocument/2006/relationships/hyperlink" Target="https://yukisoftware.es/" TargetMode="External"/><Relationship Id="rId245" Type="http://schemas.openxmlformats.org/officeDocument/2006/relationships/hyperlink" Target="https://joinup.ec.europa.eu/interoperable-europe" TargetMode="External"/><Relationship Id="rId14" Type="http://schemas.openxmlformats.org/officeDocument/2006/relationships/hyperlink" Target="https://www.dnb.com/en-ch/knowledge/study/payment-study-2022-download/" TargetMode="External"/><Relationship Id="rId30" Type="http://schemas.openxmlformats.org/officeDocument/2006/relationships/hyperlink" Target="http://www.accaglobal.com/content/dam/acca/global/PDF-technical/small-business/pol-af-sbf.pdf" TargetMode="External"/><Relationship Id="rId35" Type="http://schemas.openxmlformats.org/officeDocument/2006/relationships/hyperlink" Target="https://commission.europa.eu/system/files/2022-06/br_toolbox_-_nov_2021_-_chapter_3.pdf" TargetMode="External"/><Relationship Id="rId56" Type="http://schemas.openxmlformats.org/officeDocument/2006/relationships/hyperlink" Target="https://assets.publishing.service.gov.uk/government/uploads/system/uploads/attachment_data/file/1130182/Office_of_the_Small_Business_Commissioner_Annual_Report_and_Accounts_2021-22.pdf" TargetMode="External"/><Relationship Id="rId77" Type="http://schemas.openxmlformats.org/officeDocument/2006/relationships/hyperlink" Target="https://assets.publishing.service.gov.uk/government/uploads/system/uploads/attachment_data/file/1130182/Office_of_the_Small_Business_Commissioner_Annual_Report_and_Accounts_2021-22.pdf" TargetMode="External"/><Relationship Id="rId100" Type="http://schemas.openxmlformats.org/officeDocument/2006/relationships/hyperlink" Target="https://publications.europa.eu/en/publication-detail/-/publication/c8b7391b-9b80-11e8-a408-01aa75ed71a1/language-en/format-PDF/source-103408786" TargetMode="External"/><Relationship Id="rId105" Type="http://schemas.openxmlformats.org/officeDocument/2006/relationships/hyperlink" Target="https://www.berton-associes.fr/blog/droit-des-affaires/controles-de-la-repression-des-fraudes-dgccrf/" TargetMode="External"/><Relationship Id="rId126" Type="http://schemas.openxmlformats.org/officeDocument/2006/relationships/hyperlink" Target="https://www.afdcc.fr/wp-content/uploads/2021/11/CF2022/" TargetMode="External"/><Relationship Id="rId147" Type="http://schemas.openxmlformats.org/officeDocument/2006/relationships/hyperlink" Target="https://www.researchgate.net/publication/354628268_Payment_Delays_Their_Reasons_Scale_and_Consequences" TargetMode="External"/><Relationship Id="rId168" Type="http://schemas.openxmlformats.org/officeDocument/2006/relationships/hyperlink" Target="https://www.intrum.com/publications/european-payment-report/european-payment-report-2021/" TargetMode="External"/><Relationship Id="rId8" Type="http://schemas.openxmlformats.org/officeDocument/2006/relationships/hyperlink" Target="https://www.hacienda.gob.es/es-ES/CDI/Paginas/PeriodoMedioPago/PeriodoMedioPago.aspx" TargetMode="External"/><Relationship Id="rId51" Type="http://schemas.openxmlformats.org/officeDocument/2006/relationships/hyperlink" Target="https://oia.pmc.gov.au/sites/default/files/posts/2020/05/payment_times_reporting_scheme_ris.pdf" TargetMode="External"/><Relationship Id="rId72" Type="http://schemas.openxmlformats.org/officeDocument/2006/relationships/hyperlink" Target="https://atradiuscollections.com/global/reports/payment-practices-barometer-b2b-payment-practices-trends-western-europe-2022.html" TargetMode="External"/><Relationship Id="rId93" Type="http://schemas.openxmlformats.org/officeDocument/2006/relationships/hyperlink" Target="https://single-market-economy.ec.europa.eu/sectors/construction/observatory_en" TargetMode="External"/><Relationship Id="rId98" Type="http://schemas.openxmlformats.org/officeDocument/2006/relationships/hyperlink" Target="https://www.europarl.europa.eu/doceo/document/TA-8-2019-0042_EN.html" TargetMode="External"/><Relationship Id="rId121" Type="http://schemas.openxmlformats.org/officeDocument/2006/relationships/hyperlink" Target="https://www.gov.uk/government/organisations/ofqual" TargetMode="External"/><Relationship Id="rId142" Type="http://schemas.openxmlformats.org/officeDocument/2006/relationships/hyperlink" Target="https://for.org.pl/pliki/artykuly/2628_zatoryraport.pdf" TargetMode="External"/><Relationship Id="rId163" Type="http://schemas.openxmlformats.org/officeDocument/2006/relationships/hyperlink" Target="https://www.intrum.com/publications/european-payment-report/european-payment-report-2022/" TargetMode="External"/><Relationship Id="rId184" Type="http://schemas.openxmlformats.org/officeDocument/2006/relationships/hyperlink" Target="https://www.osler.com/en/resources/in-focus/canadian-prompt-payment-and-construction-law-reforms%20%20" TargetMode="External"/><Relationship Id="rId189" Type="http://schemas.openxmlformats.org/officeDocument/2006/relationships/hyperlink" Target="https://taulia.com/payment-terms/japan/" TargetMode="External"/><Relationship Id="rId219" Type="http://schemas.openxmlformats.org/officeDocument/2006/relationships/hyperlink" Target="https://ec.europa.eu/economy_finance/publications/economic_paper/2014/pdf/ecp531_en.pdf" TargetMode="External"/><Relationship Id="rId3" Type="http://schemas.openxmlformats.org/officeDocument/2006/relationships/hyperlink" Target="https://blog.summitto.com/posts/number_of_invoices/" TargetMode="External"/><Relationship Id="rId214" Type="http://schemas.openxmlformats.org/officeDocument/2006/relationships/hyperlink" Target="https://www.sage.com/en-gb/blog/wp-content/uploads/sites/10/2017/12/Domino-Effect-Late-Payments-Research-Sage.pdf" TargetMode="External"/><Relationship Id="rId230" Type="http://schemas.openxmlformats.org/officeDocument/2006/relationships/hyperlink" Target="https://brodmin.com/payments/late-payments-and-mental-health/" TargetMode="External"/><Relationship Id="rId235" Type="http://schemas.openxmlformats.org/officeDocument/2006/relationships/hyperlink" Target="https://digital-strategy.ec.europa.eu/en/library/digital-economy-and-society-index-desi-2022" TargetMode="External"/><Relationship Id="rId251" Type="http://schemas.openxmlformats.org/officeDocument/2006/relationships/hyperlink" Target="https://enterprise.gov.ie/en/publications/prompt-payment-official-notice-reminder.html" TargetMode="External"/><Relationship Id="rId25" Type="http://schemas.openxmlformats.org/officeDocument/2006/relationships/hyperlink" Target="https://publications.banque-france.fr/en/do-late-customer-payments-impact-companies-probability-default" TargetMode="External"/><Relationship Id="rId46" Type="http://schemas.openxmlformats.org/officeDocument/2006/relationships/hyperlink" Target="https://eur-lex.europa.eu/legal-content/EN/TXT/?uri=CELEX:32003H0361" TargetMode="External"/><Relationship Id="rId67" Type="http://schemas.openxmlformats.org/officeDocument/2006/relationships/hyperlink" Target="https://ec.europa.eu/transparency/expert-groups-register/screen/expert-groups/consult?lang=en&amp;groupID=2710" TargetMode="External"/><Relationship Id="rId116" Type="http://schemas.openxmlformats.org/officeDocument/2006/relationships/hyperlink" Target="http://www.pmcm.es/blog/post/pmcm-denuncia-nueva-modalidad-de-confirming-anticipo-obligatorio-que-elude-las-obligaciones-de-pago-a-proveedores" TargetMode="External"/><Relationship Id="rId137" Type="http://schemas.openxmlformats.org/officeDocument/2006/relationships/hyperlink" Target="https://www.efrag.org/lab6?AspxAutoDetectCookieSupport=1" TargetMode="External"/><Relationship Id="rId158" Type="http://schemas.openxmlformats.org/officeDocument/2006/relationships/hyperlink" Target="https://business.gov.nl/amendment/legal-payment-term-large-companies-reduced-30-days/" TargetMode="External"/><Relationship Id="rId20" Type="http://schemas.openxmlformats.org/officeDocument/2006/relationships/hyperlink" Target="https://www.lefigaro.fr/flash-eco/coronavirus-les-incidents-de-paiement-multiplies-par-trois-20200416" TargetMode="External"/><Relationship Id="rId41" Type="http://schemas.openxmlformats.org/officeDocument/2006/relationships/hyperlink" Target="https://ted.europa.eu/udl?uri=TED:NOTICE:127264-2023:TEXT:EN:HTML" TargetMode="External"/><Relationship Id="rId62" Type="http://schemas.openxmlformats.org/officeDocument/2006/relationships/hyperlink" Target="https://www.dgo.gov.pt/noticias/Paginas/PMP.aspx" TargetMode="External"/><Relationship Id="rId83" Type="http://schemas.openxmlformats.org/officeDocument/2006/relationships/hyperlink" Target="https://eur-lex.europa.eu/legal-content/EN/TXT/PDF/?uri=CELEX:C1997/216/07&amp;from=EN" TargetMode="External"/><Relationship Id="rId88" Type="http://schemas.openxmlformats.org/officeDocument/2006/relationships/hyperlink" Target="https://publications.banque-france.fr/liste-chronologique/rapport-de-lobservatoire-des-delais-de-paiement" TargetMode="External"/><Relationship Id="rId111" Type="http://schemas.openxmlformats.org/officeDocument/2006/relationships/hyperlink" Target="https://assets.publishing.service.gov.uk/government/uploads/system/uploads/attachment_data/file/436040/bis-15-248-challenging-grossly-unfair-payment-terms-and-practices-summary-of-responses.pdf" TargetMode="External"/><Relationship Id="rId132" Type="http://schemas.openxmlformats.org/officeDocument/2006/relationships/hyperlink" Target="https://op.europa.eu/en/publication-detail/-/publication/cb4bc1bd-1467-11ed-8fa0-01aa75ed71a1/language-en/format-PDF/source-search" TargetMode="External"/><Relationship Id="rId153" Type="http://schemas.openxmlformats.org/officeDocument/2006/relationships/hyperlink" Target="https://op.europa.eu/o/opportal-service/download-handler?identifier=eec8227c-ecc4-11ea-b3c6-01aa75ed71a1&amp;format=pdf&amp;language=en&amp;productionSystem=cellar&amp;part=" TargetMode="External"/><Relationship Id="rId174" Type="http://schemas.openxmlformats.org/officeDocument/2006/relationships/hyperlink" Target="https://www.bca.com.au/supplier_payment_code" TargetMode="External"/><Relationship Id="rId179" Type="http://schemas.openxmlformats.org/officeDocument/2006/relationships/hyperlink" Target="https://www.legislation.gov.au/Details/C2021C00531" TargetMode="External"/><Relationship Id="rId195" Type="http://schemas.openxmlformats.org/officeDocument/2006/relationships/hyperlink" Target="https://www.legislation.gov.uk/uksi/2013/395/contents/made" TargetMode="External"/><Relationship Id="rId209" Type="http://schemas.openxmlformats.org/officeDocument/2006/relationships/hyperlink" Target="https://www.intrum.com/publications/european-payment-report/european-payment-report-2022/" TargetMode="External"/><Relationship Id="rId190" Type="http://schemas.openxmlformats.org/officeDocument/2006/relationships/hyperlink" Target="https://www.legislation.govt.nz/act/public/2002/0046/latest/DLM163059.html" TargetMode="External"/><Relationship Id="rId204" Type="http://schemas.openxmlformats.org/officeDocument/2006/relationships/hyperlink" Target="https://www.sage.com/en-gb/blog/wp-content/uploads/sites/10/2017/12/Domino-Effect-Late-Payments-Research-Sage.pdf" TargetMode="External"/><Relationship Id="rId220" Type="http://schemas.openxmlformats.org/officeDocument/2006/relationships/hyperlink" Target="https://ec.europa.eu/economy_finance/publications/economic_paper/2014/pdf/ecp531_en.pdf" TargetMode="External"/><Relationship Id="rId225" Type="http://schemas.openxmlformats.org/officeDocument/2006/relationships/hyperlink" Target="https://www.journals.uchicago.edu/doi/epdf/10.1086/713502" TargetMode="External"/><Relationship Id="rId241" Type="http://schemas.openxmlformats.org/officeDocument/2006/relationships/hyperlink" Target="https://www.coface.com/" TargetMode="External"/><Relationship Id="rId246" Type="http://schemas.openxmlformats.org/officeDocument/2006/relationships/hyperlink" Target="https://finance.ec.europa.eu/capital-markets-union-and-financial-markets/capital-markets-union/capital-markets-union-2020-action-plan_en" TargetMode="External"/><Relationship Id="rId15" Type="http://schemas.openxmlformats.org/officeDocument/2006/relationships/hyperlink" Target="https://www.dnb.com/en-ch/knowledge/study/payment-study-2022-download/" TargetMode="External"/><Relationship Id="rId36" Type="http://schemas.openxmlformats.org/officeDocument/2006/relationships/hyperlink" Target="https://single-market-economy.ec.europa.eu/sectors/construction/observatory_en" TargetMode="External"/><Relationship Id="rId57" Type="http://schemas.openxmlformats.org/officeDocument/2006/relationships/hyperlink" Target="https://www.economie.gouv.fr/mediateur-entreprises-bilan-activite-2021" TargetMode="External"/><Relationship Id="rId106" Type="http://schemas.openxmlformats.org/officeDocument/2006/relationships/hyperlink" Target="https://www.economie.gouv.fr/files/2022-07/ra-dgccrf-21-digital.pdf?v=1669741133" TargetMode="External"/><Relationship Id="rId127" Type="http://schemas.openxmlformats.org/officeDocument/2006/relationships/hyperlink" Target="https://op.europa.eu/en/publication-detail/-/publication/cb4bc1bd-1467-11ed-8fa0-01aa75ed71a1/language-en/format-PDF/source-search" TargetMode="External"/><Relationship Id="rId10" Type="http://schemas.openxmlformats.org/officeDocument/2006/relationships/hyperlink" Target="https://www.economistjurist.es/zbloque-1/el-futuro-de-200-000-pymes-y-autonomos-peligran-por-la-alargada-sombra-de-la-morosidad/" TargetMode="External"/><Relationship Id="rId31" Type="http://schemas.openxmlformats.org/officeDocument/2006/relationships/hyperlink" Target="https://eur-lex.europa.eu/LexUriServ/LexUriServ.do?uri=SEC:2009:0316:FIN:en:PDF" TargetMode="External"/><Relationship Id="rId52" Type="http://schemas.openxmlformats.org/officeDocument/2006/relationships/hyperlink" Target="https://publications.jrc.ec.europa.eu/repository/handle/JRC130205" TargetMode="External"/><Relationship Id="rId73" Type="http://schemas.openxmlformats.org/officeDocument/2006/relationships/hyperlink" Target="https://oia.pmc.gov.au/sites/default/files/posts/2020/05/payment_times_reporting_scheme_ris.pdf" TargetMode="External"/><Relationship Id="rId78" Type="http://schemas.openxmlformats.org/officeDocument/2006/relationships/hyperlink" Target="https://presse.economie.gouv.fr/15-03-2022-le-mediateur-des-entreprises-publie-le-bilan-dactivite-2021-et-revient-sur-les-12-ans-daction-au-service-des-acteurs-economiques/" TargetMode="External"/><Relationship Id="rId94" Type="http://schemas.openxmlformats.org/officeDocument/2006/relationships/hyperlink" Target="https://ec.europa.eu/commission/presscorner/detail/en/QANDA_21_1885" TargetMode="External"/><Relationship Id="rId99" Type="http://schemas.openxmlformats.org/officeDocument/2006/relationships/hyperlink" Target="https://data.europa.eu/doi/10.2873/34185" TargetMode="External"/><Relationship Id="rId101" Type="http://schemas.openxmlformats.org/officeDocument/2006/relationships/hyperlink" Target="https://www.economie.gouv.fr/dgccrf/coordonnees-des-DREETS-DRIEETS" TargetMode="External"/><Relationship Id="rId122" Type="http://schemas.openxmlformats.org/officeDocument/2006/relationships/hyperlink" Target="http://www.crefia.de" TargetMode="External"/><Relationship Id="rId143" Type="http://schemas.openxmlformats.org/officeDocument/2006/relationships/hyperlink" Target="https://www.dnb.co.uk/perspectives/finance-credit-risk/trade-credit-payments-study.html" TargetMode="External"/><Relationship Id="rId148" Type="http://schemas.openxmlformats.org/officeDocument/2006/relationships/hyperlink" Target="https://europa.eu/eurobarometer/surveys/detail/2244" TargetMode="External"/><Relationship Id="rId164" Type="http://schemas.openxmlformats.org/officeDocument/2006/relationships/hyperlink" Target="https://www.dnb.com/en-ch/knowledge/study/payment-study-2022-download/" TargetMode="External"/><Relationship Id="rId169" Type="http://schemas.openxmlformats.org/officeDocument/2006/relationships/hyperlink" Target="https://www.allianz.com/content/dam/onemarketing/azcom/Allianz_com/economic-research/publications/specials/en/2021/july/2021_07_22_WCR.pdf" TargetMode="External"/><Relationship Id="rId185" Type="http://schemas.openxmlformats.org/officeDocument/2006/relationships/hyperlink" Target="https://www.on-sitemag.com/features/prompt-payment-the-state-of-play-across-canada/%20%20" TargetMode="External"/><Relationship Id="rId4" Type="http://schemas.openxmlformats.org/officeDocument/2006/relationships/hyperlink" Target="http://www.microprod.eu/wp-content/uploads/2022/09/Uncertainty_1Sep2022.pdf" TargetMode="External"/><Relationship Id="rId9" Type="http://schemas.openxmlformats.org/officeDocument/2006/relationships/hyperlink" Target="https://www.dnb.co.uk/perspectives/finance-credit-risk/trade-credit-payments-study.html" TargetMode="External"/><Relationship Id="rId180" Type="http://schemas.openxmlformats.org/officeDocument/2006/relationships/hyperlink" Target="https://legislation.nsw.gov.au/view/html/inforce/current/act-1999-046" TargetMode="External"/><Relationship Id="rId210" Type="http://schemas.openxmlformats.org/officeDocument/2006/relationships/hyperlink" Target="https://www.intrum.com/publications/european-payment-report/european-payment-report-2022/" TargetMode="External"/><Relationship Id="rId215" Type="http://schemas.openxmlformats.org/officeDocument/2006/relationships/hyperlink" Target="https://www.gtreview.com/news/global/cost-of-working-capital-finance-soars-for-smes-survey-finds/" TargetMode="External"/><Relationship Id="rId236" Type="http://schemas.openxmlformats.org/officeDocument/2006/relationships/hyperlink" Target="https://commission.europa.eu/system/files/2023-01/cellar_12e835e2-81af-11eb-9ac9-01aa75ed71a1.0001.02_DOC_1.pdf" TargetMode="External"/><Relationship Id="rId26" Type="http://schemas.openxmlformats.org/officeDocument/2006/relationships/hyperlink" Target="https://www.sage.com/en-gb/blog/wp-content/uploads/sites/10/2017/12/Domino-Effect-Late-Payments-Research-Sage.pdf" TargetMode="External"/><Relationship Id="rId231" Type="http://schemas.openxmlformats.org/officeDocument/2006/relationships/hyperlink" Target="https://www.verywellmind.com/the-relationship-between-debt-and-mental-health-5120085" TargetMode="External"/><Relationship Id="rId47" Type="http://schemas.openxmlformats.org/officeDocument/2006/relationships/hyperlink" Target="https://www.boe.es/diario_boe/txt.php?id=BOE-A-2022-15818" TargetMode="External"/><Relationship Id="rId68" Type="http://schemas.openxmlformats.org/officeDocument/2006/relationships/hyperlink" Target="https://op.europa.eu/en/publication-detail/-/publication/fa844000-356a-11ed-9c68-01aa75ed71a1/language-en/format-PDF/source-search" TargetMode="External"/><Relationship Id="rId89" Type="http://schemas.openxmlformats.org/officeDocument/2006/relationships/hyperlink" Target="https://www.confindustriadm.it/tempi-di-pagamento/" TargetMode="External"/><Relationship Id="rId112" Type="http://schemas.openxmlformats.org/officeDocument/2006/relationships/hyperlink" Target="https://assets.publishing.service.gov.uk/government/uploads/system/uploads/attachment_data/file/745639/creating-a-responsible-payment-culture-call-for-evidence.pdf" TargetMode="External"/><Relationship Id="rId133" Type="http://schemas.openxmlformats.org/officeDocument/2006/relationships/hyperlink" Target="https://towardsdatascience.com/late-payment-practices-is-this-the-ticking-time-bomb-of-the-uk-economy-5b958e4dd109" TargetMode="External"/><Relationship Id="rId154" Type="http://schemas.openxmlformats.org/officeDocument/2006/relationships/hyperlink" Target="https://ec.europa.eu/growth/sites/default/files/docs/body/eu-smes-subcontracting-final-report_en.pdf" TargetMode="External"/><Relationship Id="rId175" Type="http://schemas.openxmlformats.org/officeDocument/2006/relationships/hyperlink" Target="https://d3n8a8pro7vhmx.cloudfront.net/themes/5ffb9460c29480446920dcc3/attachments/original/1636513739/aspcreview080319final.pdf?1636513739" TargetMode="External"/><Relationship Id="rId196" Type="http://schemas.openxmlformats.org/officeDocument/2006/relationships/hyperlink" Target="https://www.smallbusinesscommissioner.gov.uk/ppc/about-us/" TargetMode="External"/><Relationship Id="rId200" Type="http://schemas.openxmlformats.org/officeDocument/2006/relationships/hyperlink" Target="https://fiscal.treasury.gov/prompt-payment/" TargetMode="External"/><Relationship Id="rId16" Type="http://schemas.openxmlformats.org/officeDocument/2006/relationships/hyperlink" Target="https://www.forbes.com/sites/forbesbusinesscouncil/2020/04/30/how-smes-can-speed-up-payments-from-large-corporations/?sh=1311bc2d405d" TargetMode="External"/><Relationship Id="rId221" Type="http://schemas.openxmlformats.org/officeDocument/2006/relationships/hyperlink" Target="https://publications.europa.eu/en/publication-detail/-/publication/c8b7391b-9b80-11e8-a408-01aa75ed71a1/language-en/format-PDF/source-103408786" TargetMode="External"/><Relationship Id="rId242" Type="http://schemas.openxmlformats.org/officeDocument/2006/relationships/hyperlink" Target="https://www.creditsafe.com/be/en.html?sp=true" TargetMode="External"/><Relationship Id="rId37" Type="http://schemas.openxmlformats.org/officeDocument/2006/relationships/hyperlink" Target="https://eur-lex.europa.eu/legal-content/EN/TXT/PDF/?uri=CELEX:32022L2464&amp;from=EN" TargetMode="External"/><Relationship Id="rId58" Type="http://schemas.openxmlformats.org/officeDocument/2006/relationships/hyperlink" Target="https://op.europa.eu/en/publication-detail/-/publication/b2a115fd-3d1d-11ec-89db-01aa75ed71a1" TargetMode="External"/><Relationship Id="rId79" Type="http://schemas.openxmlformats.org/officeDocument/2006/relationships/hyperlink" Target="https://op.europa.eu/en/publication-detail/-/publication/b2a115fd-3d1d-11ec-89db-01aa75ed71a1" TargetMode="External"/><Relationship Id="rId102" Type="http://schemas.openxmlformats.org/officeDocument/2006/relationships/hyperlink" Target="https://www.economie.gouv.fr/dgccrf/coordonnees-des-DDPP-et-DDETSPP" TargetMode="External"/><Relationship Id="rId123" Type="http://schemas.openxmlformats.org/officeDocument/2006/relationships/hyperlink" Target="https://businessschool.luiss.it/program-credit-management/" TargetMode="External"/><Relationship Id="rId144" Type="http://schemas.openxmlformats.org/officeDocument/2006/relationships/hyperlink" Target="https://europa.eu/eurobarometer/surveys/detail/2244" TargetMode="External"/><Relationship Id="rId90" Type="http://schemas.openxmlformats.org/officeDocument/2006/relationships/hyperlink" Target="http://www.cgiamestre.com/tag/ritardi-nei-pagamenti/" TargetMode="External"/><Relationship Id="rId165" Type="http://schemas.openxmlformats.org/officeDocument/2006/relationships/hyperlink" Target="https://publications.europa.eu/en/publication-detail/-/publication/c8b7391b-9b80-11e8-a408-01aa75ed71a1/language-en/format-PDF/source-103408786" TargetMode="External"/><Relationship Id="rId186" Type="http://schemas.openxmlformats.org/officeDocument/2006/relationships/hyperlink" Target="http://www.china.org.cn/china/LegislationsForm2001-2010/2011-02/12/content_21908031.htm" TargetMode="External"/><Relationship Id="rId211" Type="http://schemas.openxmlformats.org/officeDocument/2006/relationships/hyperlink" Target="https://europa.eu/eurobarometer/surveys/detail/2244" TargetMode="External"/><Relationship Id="rId232" Type="http://schemas.openxmlformats.org/officeDocument/2006/relationships/hyperlink" Target="https://www.dpme.gov.za/publications/Reports%20and%20Other%20Information%20Products/70008-20200630%20Research%20on%20Late%20Payment%20of%20SMMEs%20V03.pdf" TargetMode="External"/><Relationship Id="rId27" Type="http://schemas.openxmlformats.org/officeDocument/2006/relationships/hyperlink" Target="https://doi.org/10.1093/rfs/hhl015" TargetMode="External"/><Relationship Id="rId48" Type="http://schemas.openxmlformats.org/officeDocument/2006/relationships/hyperlink" Target="https://www.intrum.com/publications/european-payment-report/european-payment-report-2022/" TargetMode="External"/><Relationship Id="rId69" Type="http://schemas.openxmlformats.org/officeDocument/2006/relationships/hyperlink" Target="https://eur-lex.europa.eu/legal-content/EN/TXT/PDF/?uri=CELEX:52009SC0315&amp;from=EN" TargetMode="External"/><Relationship Id="rId113" Type="http://schemas.openxmlformats.org/officeDocument/2006/relationships/hyperlink" Target="https://www.economie.gouv.fr/files/directions_services/cepc/etude0902051.pdf" TargetMode="External"/><Relationship Id="rId134" Type="http://schemas.openxmlformats.org/officeDocument/2006/relationships/hyperlink" Target="https://cincodias.elpais.com/cincodias/2022/01/17/companias/1642434771_076547.html" TargetMode="External"/><Relationship Id="rId80" Type="http://schemas.openxmlformats.org/officeDocument/2006/relationships/hyperlink" Target="https://europa.eu/eurobarometer/surveys/detail/2244" TargetMode="External"/><Relationship Id="rId155" Type="http://schemas.openxmlformats.org/officeDocument/2006/relationships/hyperlink" Target="https://single-market-economy.ec.europa.eu/smes/sme-strategy/late-payment-directive_en" TargetMode="External"/><Relationship Id="rId176" Type="http://schemas.openxmlformats.org/officeDocument/2006/relationships/hyperlink" Target="https://www.finance.gov.au/publications/resource-management-guides/supplier-pay-time-or-pay-interest-policy-rmg-417/part-1-policy-and-practice" TargetMode="External"/><Relationship Id="rId197" Type="http://schemas.openxmlformats.org/officeDocument/2006/relationships/hyperlink" Target="https://www.gov.uk/guidance/prompt-payment-policy" TargetMode="External"/><Relationship Id="rId201" Type="http://schemas.openxmlformats.org/officeDocument/2006/relationships/hyperlink" Target="https://www.levelset.com/prompt-payment" TargetMode="External"/><Relationship Id="rId222" Type="http://schemas.openxmlformats.org/officeDocument/2006/relationships/hyperlink" Target="https://publications.banque-france.fr/sites/default/files/medias/documents/819416_bdf227-8_late_customer_payment_vfinale.pdf" TargetMode="External"/><Relationship Id="rId243" Type="http://schemas.openxmlformats.org/officeDocument/2006/relationships/hyperlink" Target="https://www.acelerapyme.gob.es/en/kit-digita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1"/>
              <a:t>Share of on-</a:t>
            </a:r>
            <a:r>
              <a:rPr lang="en-GB" sz="1000" b="1" baseline="0"/>
              <a:t>time payments construction sector 2022</a:t>
            </a:r>
            <a:endParaRPr lang="en-GB" sz="10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spPr>
            <a:solidFill>
              <a:schemeClr val="accent1"/>
            </a:solidFill>
            <a:ln>
              <a:noFill/>
            </a:ln>
            <a:effectLst/>
          </c:spPr>
          <c:invertIfNegative val="0"/>
          <c:cat>
            <c:strRef>
              <c:f>Sheet1!$A$1:$A$14</c:f>
              <c:strCache>
                <c:ptCount val="14"/>
                <c:pt idx="0">
                  <c:v>BG</c:v>
                </c:pt>
                <c:pt idx="1">
                  <c:v>PT</c:v>
                </c:pt>
                <c:pt idx="2">
                  <c:v>EL</c:v>
                </c:pt>
                <c:pt idx="3">
                  <c:v>HR</c:v>
                </c:pt>
                <c:pt idx="4">
                  <c:v>IE</c:v>
                </c:pt>
                <c:pt idx="5">
                  <c:v>BE</c:v>
                </c:pt>
                <c:pt idx="6">
                  <c:v>ES</c:v>
                </c:pt>
                <c:pt idx="7">
                  <c:v>CZ</c:v>
                </c:pt>
                <c:pt idx="8">
                  <c:v>IT</c:v>
                </c:pt>
                <c:pt idx="9">
                  <c:v>SK</c:v>
                </c:pt>
                <c:pt idx="10">
                  <c:v>SLO</c:v>
                </c:pt>
                <c:pt idx="11">
                  <c:v>FI</c:v>
                </c:pt>
                <c:pt idx="12">
                  <c:v>FR</c:v>
                </c:pt>
                <c:pt idx="13">
                  <c:v>DE</c:v>
                </c:pt>
              </c:strCache>
            </c:strRef>
          </c:cat>
          <c:val>
            <c:numRef>
              <c:f>Sheet1!$B$1:$B$14</c:f>
              <c:numCache>
                <c:formatCode>General</c:formatCode>
                <c:ptCount val="14"/>
                <c:pt idx="0">
                  <c:v>15</c:v>
                </c:pt>
                <c:pt idx="1">
                  <c:v>19</c:v>
                </c:pt>
                <c:pt idx="2">
                  <c:v>25</c:v>
                </c:pt>
                <c:pt idx="3">
                  <c:v>26</c:v>
                </c:pt>
                <c:pt idx="4">
                  <c:v>35</c:v>
                </c:pt>
                <c:pt idx="5">
                  <c:v>37</c:v>
                </c:pt>
                <c:pt idx="6">
                  <c:v>37</c:v>
                </c:pt>
                <c:pt idx="7">
                  <c:v>39</c:v>
                </c:pt>
                <c:pt idx="8">
                  <c:v>44</c:v>
                </c:pt>
                <c:pt idx="9">
                  <c:v>45</c:v>
                </c:pt>
                <c:pt idx="10">
                  <c:v>52</c:v>
                </c:pt>
                <c:pt idx="11">
                  <c:v>54</c:v>
                </c:pt>
                <c:pt idx="12">
                  <c:v>56</c:v>
                </c:pt>
                <c:pt idx="13">
                  <c:v>68</c:v>
                </c:pt>
              </c:numCache>
            </c:numRef>
          </c:val>
          <c:extLst>
            <c:ext xmlns:c16="http://schemas.microsoft.com/office/drawing/2014/chart" uri="{C3380CC4-5D6E-409C-BE32-E72D297353CC}">
              <c16:uniqueId val="{00000000-F801-4738-8420-E7FB6D5FBCFB}"/>
            </c:ext>
          </c:extLst>
        </c:ser>
        <c:dLbls>
          <c:showLegendKey val="0"/>
          <c:showVal val="0"/>
          <c:showCatName val="0"/>
          <c:showSerName val="0"/>
          <c:showPercent val="0"/>
          <c:showBubbleSize val="0"/>
        </c:dLbls>
        <c:gapWidth val="219"/>
        <c:overlap val="-27"/>
        <c:axId val="441140640"/>
        <c:axId val="441139328"/>
      </c:barChart>
      <c:catAx>
        <c:axId val="44114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41139328"/>
        <c:crosses val="autoZero"/>
        <c:auto val="1"/>
        <c:lblAlgn val="ctr"/>
        <c:lblOffset val="100"/>
        <c:noMultiLvlLbl val="0"/>
      </c:catAx>
      <c:valAx>
        <c:axId val="441139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41140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B22DA8CA-26E1-41D4-BA98-3DBF8317B196}">
    <t:Anchor>
      <t:Comment id="1203215650"/>
    </t:Anchor>
    <t:History>
      <t:Event id="{A7EB8788-E7C6-49A3-BE2E-4327F0497D71}" time="2023-02-27T22:11:22.883Z">
        <t:Attribution userId="S::antonella.correra@ec.europa.eu::ab7fa8e8-b082-44af-854b-cf4324e239ae" userProvider="AD" userName="CORRERA Antonella (GROW)"/>
        <t:Anchor>
          <t:Comment id="1203215650"/>
        </t:Anchor>
        <t:Create/>
      </t:Event>
      <t:Event id="{468019A9-9699-4DAB-B91C-61E65D260C39}" time="2023-02-27T22:11:22.883Z">
        <t:Attribution userId="S::antonella.correra@ec.europa.eu::ab7fa8e8-b082-44af-854b-cf4324e239ae" userProvider="AD" userName="CORRERA Antonella (GROW)"/>
        <t:Anchor>
          <t:Comment id="1203215650"/>
        </t:Anchor>
        <t:Assign userId="S::Markus.HELL@ec.europa.eu::b79fa44b-f84b-4e71-8a63-20ba3317baa8" userProvider="AD" userName="HELL Markus (GROW)"/>
      </t:Event>
      <t:Event id="{CD7114CC-CC94-4F47-9DFB-75804275BD38}" time="2023-02-27T22:11:22.883Z">
        <t:Attribution userId="S::antonella.correra@ec.europa.eu::ab7fa8e8-b082-44af-854b-cf4324e239ae" userProvider="AD" userName="CORRERA Antonella (GROW)"/>
        <t:Anchor>
          <t:Comment id="1203215650"/>
        </t:Anchor>
        <t:SetTitle title="@HELL Markus (GROW) .Hi Markus, what do you think?. Shall we use the data from the D&amp;B payment Study 2022 to describe the situation in the rest of the world? Thanks"/>
      </t:Event>
    </t:History>
  </t:Task>
  <t:Task id="{29FFA72F-A8AC-43D1-B4B7-C249A5A11F5A}">
    <t:Anchor>
      <t:Comment id="492425942"/>
    </t:Anchor>
    <t:History>
      <t:Event id="{465C0C61-3B42-43F6-9A27-DD3B660E78BA}" time="2023-02-28T21:08:25.365Z">
        <t:Attribution userId="S::antonella.correra@ec.europa.eu::ab7fa8e8-b082-44af-854b-cf4324e239ae" userProvider="AD" userName="CORRERA Antonella (GROW)"/>
        <t:Anchor>
          <t:Comment id="492425942"/>
        </t:Anchor>
        <t:Create/>
      </t:Event>
      <t:Event id="{65312F59-7280-496E-A0C7-C638BBB0C540}" time="2023-02-28T21:08:25.365Z">
        <t:Attribution userId="S::antonella.correra@ec.europa.eu::ab7fa8e8-b082-44af-854b-cf4324e239ae" userProvider="AD" userName="CORRERA Antonella (GROW)"/>
        <t:Anchor>
          <t:Comment id="492425942"/>
        </t:Anchor>
        <t:Assign userId="S::Markus.HELL@ec.europa.eu::b79fa44b-f84b-4e71-8a63-20ba3317baa8" userProvider="AD" userName="HELL Markus (GROW)"/>
      </t:Event>
      <t:Event id="{17A94922-C576-4C99-B3F8-65215876DFD5}" time="2023-02-28T21:08:25.365Z">
        <t:Attribution userId="S::antonella.correra@ec.europa.eu::ab7fa8e8-b082-44af-854b-cf4324e239ae" userProvider="AD" userName="CORRERA Antonella (GROW)"/>
        <t:Anchor>
          <t:Comment id="492425942"/>
        </t:Anchor>
        <t:SetTitle title="@HELL Markus (GROW) unfortunately the table has disappeared. Both Krista and I hare having problems with sharepoint. Could please reintroduce it? Thank you!"/>
      </t:Event>
    </t:History>
  </t:Task>
  <t:Task id="{BF6CE71D-F6BB-4B17-9E07-F656A12A9A16}">
    <t:Anchor>
      <t:Comment id="1052512094"/>
    </t:Anchor>
    <t:History>
      <t:Event id="{BF43D2D1-C873-4B33-A1D9-A857A1359A28}" time="2023-02-28T22:27:42.262Z">
        <t:Attribution userId="S::antonella.correra@ec.europa.eu::ab7fa8e8-b082-44af-854b-cf4324e239ae" userProvider="AD" userName="CORRERA Antonella (GROW)"/>
        <t:Anchor>
          <t:Comment id="1764309838"/>
        </t:Anchor>
        <t:Create/>
      </t:Event>
      <t:Event id="{516EDA1C-6D0F-47E8-8742-6223F8DEB8F5}" time="2023-02-28T22:27:42.262Z">
        <t:Attribution userId="S::antonella.correra@ec.europa.eu::ab7fa8e8-b082-44af-854b-cf4324e239ae" userProvider="AD" userName="CORRERA Antonella (GROW)"/>
        <t:Anchor>
          <t:Comment id="1764309838"/>
        </t:Anchor>
        <t:Assign userId="S::Markus.HELL@ec.europa.eu::b79fa44b-f84b-4e71-8a63-20ba3317baa8" userProvider="AD" userName="HELL Markus (GROW)"/>
      </t:Event>
      <t:Event id="{BCA81ED1-2E67-4A3C-B873-05A1C24E8365}" time="2023-02-28T22:27:42.262Z">
        <t:Attribution userId="S::antonella.correra@ec.europa.eu::ab7fa8e8-b082-44af-854b-cf4324e239ae" userProvider="AD" userName="CORRERA Antonella (GROW)"/>
        <t:Anchor>
          <t:Comment id="1764309838"/>
        </t:Anchor>
        <t:SetTitle title="@HELL Markus (GROW) : Hi Markus , this table has disappeared, could please add it again? Thank you."/>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1fe9c91-5602-4bdb-b72c-69451971f68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C2F05394DCE044693DCAA726179B598" ma:contentTypeVersion="12" ma:contentTypeDescription="Create a new document." ma:contentTypeScope="" ma:versionID="250d580393587263cbfdfff0130bc47a">
  <xsd:schema xmlns:xsd="http://www.w3.org/2001/XMLSchema" xmlns:xs="http://www.w3.org/2001/XMLSchema" xmlns:p="http://schemas.microsoft.com/office/2006/metadata/properties" xmlns:ns3="ccf8ecc5-ce9f-4cc1-bb60-062c62b05209" xmlns:ns4="71fe9c91-5602-4bdb-b72c-69451971f681" targetNamespace="http://schemas.microsoft.com/office/2006/metadata/properties" ma:root="true" ma:fieldsID="4f3ee9377fa62273833acc732cc6da6c" ns3:_="" ns4:_="">
    <xsd:import namespace="ccf8ecc5-ce9f-4cc1-bb60-062c62b05209"/>
    <xsd:import namespace="71fe9c91-5602-4bdb-b72c-69451971f68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f8ecc5-ce9f-4cc1-bb60-062c62b0520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fe9c91-5602-4bdb-b72c-69451971f68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CC334-0717-4102-B299-9C0448C1D794}">
  <ds:schemaRefs>
    <ds:schemaRef ds:uri="http://purl.org/dc/terms/"/>
    <ds:schemaRef ds:uri="ccf8ecc5-ce9f-4cc1-bb60-062c62b05209"/>
    <ds:schemaRef ds:uri="http://schemas.microsoft.com/office/2006/documentManagement/types"/>
    <ds:schemaRef ds:uri="http://purl.org/dc/elements/1.1/"/>
    <ds:schemaRef ds:uri="71fe9c91-5602-4bdb-b72c-69451971f681"/>
    <ds:schemaRef ds:uri="http://purl.org/dc/dcmitype/"/>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F8FB3D63-9CBC-406D-B03D-844FAF3755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f8ecc5-ce9f-4cc1-bb60-062c62b05209"/>
    <ds:schemaRef ds:uri="71fe9c91-5602-4bdb-b72c-69451971f6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61EE18-255A-4F4D-8C94-346CD57F4DE3}">
  <ds:schemaRefs>
    <ds:schemaRef ds:uri="http://schemas.microsoft.com/sharepoint/v3/contenttype/forms"/>
  </ds:schemaRefs>
</ds:datastoreItem>
</file>

<file path=customXml/itemProps4.xml><?xml version="1.0" encoding="utf-8"?>
<ds:datastoreItem xmlns:ds="http://schemas.openxmlformats.org/officeDocument/2006/customXml" ds:itemID="{E5FF9A71-9FAD-4021-A1BB-D4E58FB75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231</Pages>
  <Words>75511</Words>
  <Characters>407762</Characters>
  <Application>Microsoft Office Word</Application>
  <DocSecurity>0</DocSecurity>
  <Lines>8864</Lines>
  <Paragraphs>2684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480589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EICHER Acki</dc:creator>
  <cp:keywords/>
  <dc:description/>
  <cp:lastModifiedBy>EICHER Acki</cp:lastModifiedBy>
  <cp:revision>6</cp:revision>
  <cp:lastPrinted>2023-09-07T15:14:00Z</cp:lastPrinted>
  <dcterms:created xsi:type="dcterms:W3CDTF">2023-09-13T16:28:00Z</dcterms:created>
  <dcterms:modified xsi:type="dcterms:W3CDTF">2023-09-14T13:44:00Z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CP-026</vt:lpwstr>
  </property>
  <property fmtid="{D5CDD505-2E9C-101B-9397-08002B2CF9AE}" pid="7" name="Last edited using">
    <vt:lpwstr>DocuWrite 4.8.2, Build 20230330</vt:lpwstr>
  </property>
  <property fmtid="{D5CDD505-2E9C-101B-9397-08002B2CF9AE}" pid="8" name="Created using">
    <vt:lpwstr>DocuWrite 4.8.2, Build 20230330</vt:lpwstr>
  </property>
  <property fmtid="{D5CDD505-2E9C-101B-9397-08002B2CF9AE}" pid="9" name="MSIP_Label_6bd9ddd1-4d20-43f6-abfa-fc3c07406f94_Enabled">
    <vt:lpwstr>true</vt:lpwstr>
  </property>
  <property fmtid="{D5CDD505-2E9C-101B-9397-08002B2CF9AE}" pid="10" name="MSIP_Label_6bd9ddd1-4d20-43f6-abfa-fc3c07406f94_SetDate">
    <vt:lpwstr>2023-01-30T14:57:30Z</vt:lpwstr>
  </property>
  <property fmtid="{D5CDD505-2E9C-101B-9397-08002B2CF9AE}" pid="11" name="MSIP_Label_6bd9ddd1-4d20-43f6-abfa-fc3c07406f94_Method">
    <vt:lpwstr>Standard</vt:lpwstr>
  </property>
  <property fmtid="{D5CDD505-2E9C-101B-9397-08002B2CF9AE}" pid="12" name="MSIP_Label_6bd9ddd1-4d20-43f6-abfa-fc3c07406f94_Name">
    <vt:lpwstr>Commission Use</vt:lpwstr>
  </property>
  <property fmtid="{D5CDD505-2E9C-101B-9397-08002B2CF9AE}" pid="13" name="MSIP_Label_6bd9ddd1-4d20-43f6-abfa-fc3c07406f94_SiteId">
    <vt:lpwstr>b24c8b06-522c-46fe-9080-70926f8dddb1</vt:lpwstr>
  </property>
  <property fmtid="{D5CDD505-2E9C-101B-9397-08002B2CF9AE}" pid="14" name="MSIP_Label_6bd9ddd1-4d20-43f6-abfa-fc3c07406f94_ActionId">
    <vt:lpwstr>7cbf399d-423b-463d-a4d7-3a14eec54cd3</vt:lpwstr>
  </property>
  <property fmtid="{D5CDD505-2E9C-101B-9397-08002B2CF9AE}" pid="15" name="MSIP_Label_6bd9ddd1-4d20-43f6-abfa-fc3c07406f94_ContentBits">
    <vt:lpwstr>0</vt:lpwstr>
  </property>
  <property fmtid="{D5CDD505-2E9C-101B-9397-08002B2CF9AE}" pid="16" name="ContentTypeId">
    <vt:lpwstr>0x0101005C2F05394DCE044693DCAA726179B598</vt:lpwstr>
  </property>
  <property fmtid="{D5CDD505-2E9C-101B-9397-08002B2CF9AE}" pid="17" name="MSIP_Label_b1df41d6-74a9-4a97-809c-213cd32520cc_Enabled">
    <vt:lpwstr>true</vt:lpwstr>
  </property>
  <property fmtid="{D5CDD505-2E9C-101B-9397-08002B2CF9AE}" pid="18" name="MSIP_Label_b1df41d6-74a9-4a97-809c-213cd32520cc_SetDate">
    <vt:lpwstr>2023-09-13T16:28:41Z</vt:lpwstr>
  </property>
  <property fmtid="{D5CDD505-2E9C-101B-9397-08002B2CF9AE}" pid="19" name="MSIP_Label_b1df41d6-74a9-4a97-809c-213cd32520cc_Method">
    <vt:lpwstr>Privileged</vt:lpwstr>
  </property>
  <property fmtid="{D5CDD505-2E9C-101B-9397-08002B2CF9AE}" pid="20" name="MSIP_Label_b1df41d6-74a9-4a97-809c-213cd32520cc_Name">
    <vt:lpwstr>GSCEU - NON PUBLIC Label</vt:lpwstr>
  </property>
  <property fmtid="{D5CDD505-2E9C-101B-9397-08002B2CF9AE}" pid="21" name="MSIP_Label_b1df41d6-74a9-4a97-809c-213cd32520cc_SiteId">
    <vt:lpwstr>03ad1c97-0a4d-4e82-8f93-27291a6a0767</vt:lpwstr>
  </property>
  <property fmtid="{D5CDD505-2E9C-101B-9397-08002B2CF9AE}" pid="22" name="MSIP_Label_b1df41d6-74a9-4a97-809c-213cd32520cc_ActionId">
    <vt:lpwstr>3284daf1-9510-4187-92d8-8611b65d2d56</vt:lpwstr>
  </property>
  <property fmtid="{D5CDD505-2E9C-101B-9397-08002B2CF9AE}" pid="23" name="MSIP_Label_b1df41d6-74a9-4a97-809c-213cd32520cc_ContentBits">
    <vt:lpwstr>0</vt:lpwstr>
  </property>
</Properties>
</file>