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857D" w14:textId="77777777" w:rsidR="00AB6B25" w:rsidRDefault="00015881" w:rsidP="00AB6B25">
      <w:pPr>
        <w:pStyle w:val="TechnicalBlock"/>
        <w:ind w:left="-1134" w:right="-1134"/>
      </w:pPr>
      <w:bookmarkStart w:id="0" w:name="DW_BM_COVERPAGE"/>
      <w:bookmarkStart w:id="1" w:name="LW_BM_COVERPAGE"/>
      <w:r>
        <w:pict w14:anchorId="579AF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2413/22 ADD 4.&#10;Subject Codes: AUDIO 86 CODEC 1314 DIGIT 166 MI 668 DISINFO 72 FREMP 183 COMPET 712 EDPS 1 DATAPROTECT 256 JAI 1194 SERVICES 18 POLGEN 121.&#10;Heading: SPREMNI DOPIS.&#10;Originator: za generalno sekretarko Evropske komisije: direktorica Martine DEPREZ.&#10;Recipient: Generalni sekretariat Sveta.&#10;Subject: DELOVNI DOKUMENT SLUŽB KOMISIJE  POVZETEK POROČILA O OCENI UČINKA  Spremni dokument k Predlogu uredbe Evropskega parlamenta in Sveta o vzpostavitvi skupnega okvira za medijske storitve na notranjem trgu (evropski akt o svobodi medijev).&#10;Commission Document Number: SWD(2022) 287 final.&#10;Preceeding Document Number: Not Set.&#10;Location: Bruselj.&#10;Date: 19. september 2022.&#10;Interinstitutional Files: 2022/0277 (COD).&#10;Institutional Framework: Svet Evropske unije.&#10;Language: SL.&#10;Distribution Code: PUBLIC.&#10;GUID: 5356366447184193373_0" style="width:568.5pt;height:510.75pt">
            <v:imagedata r:id="rId12" o:title=""/>
          </v:shape>
        </w:pict>
      </w:r>
      <w:bookmarkEnd w:id="0"/>
    </w:p>
    <w:p w14:paraId="38F9F893" w14:textId="141F2676" w:rsidR="00AB6B25" w:rsidRDefault="00AB6B25" w:rsidP="00AB6B25">
      <w:pPr>
        <w:pStyle w:val="EntText"/>
        <w:spacing w:before="480"/>
      </w:pPr>
      <w:r w:rsidRPr="00AB6B25">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AB6B25">
        <w:instrText>SWD(2022) 287 final</w:instrText>
      </w:r>
      <w:r>
        <w:instrText xml:space="preserve">" </w:instrText>
      </w:r>
      <w:r>
        <w:fldChar w:fldCharType="separate"/>
      </w:r>
      <w:r w:rsidRPr="00AB6B25">
        <w:t>SWD(2022) 287 final</w:t>
      </w:r>
      <w:r>
        <w:fldChar w:fldCharType="end"/>
      </w:r>
      <w:r w:rsidRPr="00AB6B25">
        <w:t>.</w:t>
      </w:r>
    </w:p>
    <w:p w14:paraId="7283E836" w14:textId="77777777" w:rsidR="00AB6B25" w:rsidRDefault="00AB6B25" w:rsidP="00AB6B25">
      <w:pPr>
        <w:pStyle w:val="Lignefinal"/>
      </w:pPr>
    </w:p>
    <w:p w14:paraId="04BB1C27" w14:textId="6EA4BCD0" w:rsidR="00AB6B25" w:rsidRDefault="00AB6B25" w:rsidP="00AB6B25">
      <w:pPr>
        <w:pStyle w:val="pj"/>
        <w:spacing w:before="120"/>
      </w:pPr>
      <w:r w:rsidRPr="00AB6B25">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AB6B25">
        <w:instrText>SWD(2022) 287 final</w:instrText>
      </w:r>
      <w:r>
        <w:instrText xml:space="preserve">" </w:instrText>
      </w:r>
      <w:r>
        <w:fldChar w:fldCharType="separate"/>
      </w:r>
      <w:r w:rsidRPr="00AB6B25">
        <w:t>SWD(2022) 287 final</w:t>
      </w:r>
      <w:r>
        <w:fldChar w:fldCharType="end"/>
      </w:r>
    </w:p>
    <w:p w14:paraId="016A9ABF" w14:textId="77777777" w:rsidR="00AB6B25" w:rsidRDefault="00AB6B25" w:rsidP="00AB6B25">
      <w:pPr>
        <w:rPr>
          <w:noProof/>
        </w:rPr>
        <w:sectPr w:rsidR="00AB6B25" w:rsidSect="00AB6B25">
          <w:headerReference w:type="default" r:id="rId13"/>
          <w:footerReference w:type="default" r:id="rId14"/>
          <w:headerReference w:type="first" r:id="rId15"/>
          <w:footerReference w:type="first" r:id="rId16"/>
          <w:pgSz w:w="11906" w:h="16838"/>
          <w:pgMar w:top="624" w:right="1134" w:bottom="1134" w:left="1134" w:header="567" w:footer="567" w:gutter="0"/>
          <w:pgNumType w:start="0"/>
          <w:cols w:space="720"/>
          <w:titlePg/>
          <w:docGrid w:linePitch="360"/>
        </w:sectPr>
      </w:pPr>
    </w:p>
    <w:p w14:paraId="07827E51" w14:textId="4D3EE882" w:rsidR="0026613F" w:rsidRPr="00085DC1" w:rsidRDefault="00AB6B25" w:rsidP="007715C1">
      <w:pPr>
        <w:pStyle w:val="Pagedecouverture"/>
        <w:rPr>
          <w:noProof/>
        </w:rPr>
      </w:pPr>
      <w:r>
        <w:rPr>
          <w:noProof/>
        </w:rPr>
        <w:lastRenderedPageBreak/>
        <w:drawing>
          <wp:inline distT="0" distB="0" distL="0" distR="0" wp14:anchorId="0B5AB016" wp14:editId="3D1F9520">
            <wp:extent cx="5781675" cy="5876925"/>
            <wp:effectExtent l="0" t="0" r="0" b="9525"/>
            <wp:docPr id="1" name="Picture 1" descr="5B18461B-6E48-4BEF-BCB0-D0147BBEB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B18461B-6E48-4BEF-BCB0-D0147BBEBCB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81675" cy="5876925"/>
                    </a:xfrm>
                    <a:prstGeom prst="rect">
                      <a:avLst/>
                    </a:prstGeom>
                    <a:noFill/>
                    <a:ln>
                      <a:noFill/>
                    </a:ln>
                  </pic:spPr>
                </pic:pic>
              </a:graphicData>
            </a:graphic>
          </wp:inline>
        </w:drawing>
      </w:r>
    </w:p>
    <w:bookmarkEnd w:id="1"/>
    <w:p w14:paraId="4C9E22EC" w14:textId="77777777" w:rsidR="0026613F" w:rsidRPr="00085DC1" w:rsidRDefault="0026613F" w:rsidP="0026613F">
      <w:pPr>
        <w:rPr>
          <w:rFonts w:ascii="Times New Roman" w:hAnsi="Times New Roman" w:cs="Times New Roman"/>
          <w:noProof/>
          <w:sz w:val="24"/>
          <w:szCs w:val="24"/>
        </w:rPr>
        <w:sectPr w:rsidR="0026613F" w:rsidRPr="00085DC1" w:rsidSect="007715C1">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1134" w:left="1417" w:header="709" w:footer="709" w:gutter="0"/>
          <w:pgNumType w:start="0"/>
          <w:cols w:space="720"/>
          <w:docGrid w:linePitch="360"/>
        </w:sectPr>
      </w:pPr>
    </w:p>
    <w:tbl>
      <w:tblPr>
        <w:tblStyle w:val="TableGrid"/>
        <w:tblW w:w="9618" w:type="dxa"/>
        <w:tblInd w:w="-125" w:type="dxa"/>
        <w:tblLook w:val="04A0" w:firstRow="1" w:lastRow="0" w:firstColumn="1" w:lastColumn="0" w:noHBand="0" w:noVBand="1"/>
      </w:tblPr>
      <w:tblGrid>
        <w:gridCol w:w="9618"/>
      </w:tblGrid>
      <w:tr w:rsidR="00F05E46" w:rsidRPr="00085DC1" w14:paraId="6A5E1733" w14:textId="77777777" w:rsidTr="001F2CA8">
        <w:tc>
          <w:tcPr>
            <w:tcW w:w="9618" w:type="dxa"/>
            <w:shd w:val="clear" w:color="auto" w:fill="365F91" w:themeFill="accent1" w:themeFillShade="BF"/>
          </w:tcPr>
          <w:p w14:paraId="69AE9A30" w14:textId="77777777" w:rsidR="00F05E46" w:rsidRPr="00085DC1" w:rsidRDefault="00F05E46" w:rsidP="007B4E88">
            <w:pPr>
              <w:jc w:val="center"/>
              <w:rPr>
                <w:rFonts w:ascii="Times New Roman" w:hAnsi="Times New Roman" w:cs="Times New Roman"/>
                <w:b/>
                <w:noProof/>
                <w:sz w:val="24"/>
                <w:szCs w:val="24"/>
              </w:rPr>
            </w:pPr>
            <w:r>
              <w:rPr>
                <w:rFonts w:ascii="Times New Roman" w:hAnsi="Times New Roman"/>
                <w:b/>
                <w:noProof/>
                <w:color w:val="EEECE1" w:themeColor="background2"/>
                <w:sz w:val="24"/>
              </w:rPr>
              <w:lastRenderedPageBreak/>
              <w:t>POVZETEK</w:t>
            </w:r>
          </w:p>
        </w:tc>
      </w:tr>
      <w:tr w:rsidR="00F05E46" w:rsidRPr="00085DC1" w14:paraId="23C1F2CB" w14:textId="77777777" w:rsidTr="001F2CA8">
        <w:tc>
          <w:tcPr>
            <w:tcW w:w="9618" w:type="dxa"/>
            <w:shd w:val="clear" w:color="auto" w:fill="95B3D7" w:themeFill="accent1" w:themeFillTint="99"/>
          </w:tcPr>
          <w:p w14:paraId="36ACF1B8" w14:textId="77777777" w:rsidR="00F05E46" w:rsidRPr="00085DC1" w:rsidRDefault="00F05E46">
            <w:pPr>
              <w:jc w:val="center"/>
              <w:rPr>
                <w:rFonts w:ascii="Times New Roman" w:hAnsi="Times New Roman" w:cs="Times New Roman"/>
                <w:b/>
                <w:noProof/>
                <w:sz w:val="24"/>
                <w:szCs w:val="24"/>
              </w:rPr>
            </w:pPr>
            <w:r>
              <w:rPr>
                <w:rFonts w:ascii="Times New Roman" w:hAnsi="Times New Roman"/>
                <w:b/>
                <w:noProof/>
                <w:sz w:val="24"/>
              </w:rPr>
              <w:t>Ocena učinka v zvezi z evropskim aktom o svobodi medijev</w:t>
            </w:r>
          </w:p>
        </w:tc>
      </w:tr>
      <w:tr w:rsidR="00F05E46" w:rsidRPr="00085DC1" w14:paraId="31BABC56" w14:textId="77777777" w:rsidTr="001F2CA8">
        <w:tc>
          <w:tcPr>
            <w:tcW w:w="9618" w:type="dxa"/>
            <w:shd w:val="clear" w:color="auto" w:fill="B8CCE4" w:themeFill="accent1" w:themeFillTint="66"/>
          </w:tcPr>
          <w:p w14:paraId="628C0C24" w14:textId="77777777" w:rsidR="00F05E46" w:rsidRPr="001F2CA8" w:rsidRDefault="00F05E46" w:rsidP="001C6078">
            <w:pPr>
              <w:jc w:val="both"/>
              <w:rPr>
                <w:rFonts w:ascii="Times New Roman" w:hAnsi="Times New Roman" w:cs="Times New Roman"/>
                <w:b/>
                <w:noProof/>
                <w:sz w:val="24"/>
                <w:szCs w:val="24"/>
              </w:rPr>
            </w:pPr>
            <w:r>
              <w:rPr>
                <w:rFonts w:ascii="Times New Roman" w:hAnsi="Times New Roman"/>
                <w:b/>
                <w:noProof/>
                <w:sz w:val="24"/>
              </w:rPr>
              <w:t>A. Potreba po ukrepanju</w:t>
            </w:r>
          </w:p>
        </w:tc>
      </w:tr>
      <w:tr w:rsidR="00F05E46" w:rsidRPr="00085DC1" w14:paraId="70B9299E" w14:textId="77777777" w:rsidTr="001F2CA8">
        <w:tc>
          <w:tcPr>
            <w:tcW w:w="9618" w:type="dxa"/>
            <w:shd w:val="clear" w:color="auto" w:fill="DBE5F1" w:themeFill="accent1" w:themeFillTint="33"/>
          </w:tcPr>
          <w:p w14:paraId="63D8015D" w14:textId="77777777" w:rsidR="00F05E46" w:rsidRPr="001F2CA8" w:rsidRDefault="00F05E46" w:rsidP="001C6078">
            <w:pPr>
              <w:jc w:val="both"/>
              <w:rPr>
                <w:rFonts w:ascii="Times New Roman" w:hAnsi="Times New Roman" w:cs="Times New Roman"/>
                <w:b/>
                <w:noProof/>
                <w:sz w:val="24"/>
                <w:szCs w:val="24"/>
              </w:rPr>
            </w:pPr>
            <w:r>
              <w:rPr>
                <w:rFonts w:ascii="Times New Roman" w:hAnsi="Times New Roman"/>
                <w:b/>
                <w:noProof/>
                <w:sz w:val="24"/>
              </w:rPr>
              <w:t>V čem je težava in zakaj je to težava na ravni EU?</w:t>
            </w:r>
          </w:p>
        </w:tc>
      </w:tr>
      <w:tr w:rsidR="00F05E46" w:rsidRPr="00085DC1" w14:paraId="774B4344" w14:textId="77777777" w:rsidTr="001F2CA8">
        <w:tc>
          <w:tcPr>
            <w:tcW w:w="9618" w:type="dxa"/>
            <w:shd w:val="clear" w:color="auto" w:fill="auto"/>
          </w:tcPr>
          <w:p w14:paraId="0A7E94A1" w14:textId="37712C5F" w:rsidR="003E7B87" w:rsidRPr="001F2CA8" w:rsidRDefault="00C91BDA" w:rsidP="001C6078">
            <w:pPr>
              <w:jc w:val="both"/>
              <w:rPr>
                <w:rFonts w:ascii="Times New Roman" w:hAnsi="Times New Roman" w:cs="Times New Roman"/>
                <w:noProof/>
                <w:sz w:val="24"/>
                <w:szCs w:val="24"/>
              </w:rPr>
            </w:pPr>
            <w:r>
              <w:rPr>
                <w:rFonts w:ascii="Times New Roman" w:hAnsi="Times New Roman"/>
                <w:noProof/>
                <w:sz w:val="24"/>
              </w:rPr>
              <w:t>Medtem ko medijski trgi postajajo bolj digitalni in čezmejni, pravilno delovanje notranjega medijskega trga ovira več težav. To so:</w:t>
            </w:r>
          </w:p>
          <w:p w14:paraId="35188C47" w14:textId="0BBFFC1A" w:rsidR="003E7B87" w:rsidRPr="001F2CA8" w:rsidRDefault="002A3C75" w:rsidP="001C6078">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rPr>
              <w:t xml:space="preserve">ovire za čezmejne dejavnosti in naložbe, </w:t>
            </w:r>
          </w:p>
          <w:p w14:paraId="09CA4495" w14:textId="5F371EC6" w:rsidR="003E7B87" w:rsidRPr="001F2CA8" w:rsidRDefault="002A3C75" w:rsidP="00607674">
            <w:pPr>
              <w:pStyle w:val="ListParagraph"/>
              <w:numPr>
                <w:ilvl w:val="0"/>
                <w:numId w:val="2"/>
              </w:numPr>
              <w:ind w:right="-103"/>
              <w:jc w:val="both"/>
              <w:rPr>
                <w:rFonts w:ascii="Times New Roman" w:hAnsi="Times New Roman" w:cs="Times New Roman"/>
                <w:noProof/>
                <w:sz w:val="24"/>
                <w:szCs w:val="24"/>
              </w:rPr>
            </w:pPr>
            <w:r>
              <w:rPr>
                <w:rFonts w:ascii="Times New Roman" w:hAnsi="Times New Roman"/>
                <w:noProof/>
                <w:sz w:val="24"/>
              </w:rPr>
              <w:t>nezadostno regulativno sodelovanje in zbliževanje,</w:t>
            </w:r>
          </w:p>
          <w:p w14:paraId="2FB5B1DE" w14:textId="60A48E02" w:rsidR="003E7B87" w:rsidRPr="001F2CA8" w:rsidRDefault="002A3C75" w:rsidP="001C6078">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rPr>
              <w:t>poseganje v svobodno zagotavljanje kakovostnih medijskih storitev ter</w:t>
            </w:r>
          </w:p>
          <w:p w14:paraId="68754BCA" w14:textId="23E8DB23" w:rsidR="003E7B87" w:rsidRPr="001F2CA8" w:rsidRDefault="002A3C75" w:rsidP="001C6078">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rPr>
              <w:t>nepregledna in/ali nepravična porazdelitev gospodarskih virov.</w:t>
            </w:r>
          </w:p>
          <w:p w14:paraId="76E982C9" w14:textId="77777777" w:rsidR="00B059F0" w:rsidRPr="001F2CA8" w:rsidRDefault="00244C92" w:rsidP="00C91BDA">
            <w:pPr>
              <w:jc w:val="both"/>
              <w:rPr>
                <w:rFonts w:ascii="Times New Roman" w:hAnsi="Times New Roman" w:cs="Times New Roman"/>
                <w:noProof/>
                <w:sz w:val="24"/>
                <w:szCs w:val="24"/>
              </w:rPr>
            </w:pPr>
            <w:r>
              <w:rPr>
                <w:rFonts w:ascii="Times New Roman" w:hAnsi="Times New Roman"/>
                <w:noProof/>
                <w:sz w:val="24"/>
              </w:rPr>
              <w:t xml:space="preserve">Čeprav se resnost težav po EU razlikuje, pa te na splošno medijskim akterjem otežujejo izkoriščanje polnega potenciala notranjega trga, ohranjanje gospodarske vzdržnosti ter ustrezno izpolnjevanje njihove družbene vloge pri obveščanju državljanov in podjetij. </w:t>
            </w:r>
          </w:p>
        </w:tc>
      </w:tr>
      <w:tr w:rsidR="00F05E46" w:rsidRPr="00085DC1" w14:paraId="18D23D7C" w14:textId="77777777" w:rsidTr="001F2CA8">
        <w:tc>
          <w:tcPr>
            <w:tcW w:w="9618" w:type="dxa"/>
            <w:shd w:val="clear" w:color="auto" w:fill="DBE5F1" w:themeFill="accent1" w:themeFillTint="33"/>
          </w:tcPr>
          <w:p w14:paraId="1D60776C" w14:textId="77777777" w:rsidR="00F05E46" w:rsidRPr="001F2CA8" w:rsidRDefault="00F05E46" w:rsidP="001C6078">
            <w:pPr>
              <w:jc w:val="both"/>
              <w:rPr>
                <w:rFonts w:ascii="Times New Roman" w:hAnsi="Times New Roman" w:cs="Times New Roman"/>
                <w:b/>
                <w:noProof/>
                <w:sz w:val="24"/>
                <w:szCs w:val="24"/>
              </w:rPr>
            </w:pPr>
            <w:r>
              <w:rPr>
                <w:rFonts w:ascii="Times New Roman" w:hAnsi="Times New Roman"/>
                <w:b/>
                <w:noProof/>
                <w:sz w:val="24"/>
              </w:rPr>
              <w:t>Kaj bi bilo treba doseči?</w:t>
            </w:r>
          </w:p>
        </w:tc>
      </w:tr>
      <w:tr w:rsidR="00F05E46" w:rsidRPr="00085DC1" w14:paraId="7B9498C5" w14:textId="77777777" w:rsidTr="001F2CA8">
        <w:tc>
          <w:tcPr>
            <w:tcW w:w="9618" w:type="dxa"/>
          </w:tcPr>
          <w:p w14:paraId="548D69F4" w14:textId="19041FD1" w:rsidR="00D336CC" w:rsidRPr="001F2CA8" w:rsidRDefault="005E5B5A" w:rsidP="001C6078">
            <w:pPr>
              <w:jc w:val="both"/>
              <w:rPr>
                <w:rFonts w:ascii="Times New Roman" w:hAnsi="Times New Roman" w:cs="Times New Roman"/>
                <w:noProof/>
                <w:sz w:val="24"/>
                <w:szCs w:val="24"/>
                <w:shd w:val="clear" w:color="auto" w:fill="FFFFFF"/>
              </w:rPr>
            </w:pPr>
            <w:r>
              <w:rPr>
                <w:rFonts w:ascii="Times New Roman" w:hAnsi="Times New Roman"/>
                <w:noProof/>
                <w:sz w:val="24"/>
              </w:rPr>
              <w:t>Splošni cilj je izboljšati delovanje notranjega medijskega trga.</w:t>
            </w:r>
            <w:r>
              <w:rPr>
                <w:rFonts w:ascii="Times New Roman" w:hAnsi="Times New Roman"/>
                <w:noProof/>
                <w:sz w:val="24"/>
                <w:shd w:val="clear" w:color="auto" w:fill="FFFFFF"/>
              </w:rPr>
              <w:t xml:space="preserve"> </w:t>
            </w:r>
          </w:p>
          <w:p w14:paraId="5026A06A" w14:textId="77777777" w:rsidR="005E5B5A" w:rsidRPr="001F2CA8" w:rsidRDefault="00DA030E" w:rsidP="001C6078">
            <w:pPr>
              <w:jc w:val="both"/>
              <w:rPr>
                <w:rFonts w:ascii="Times New Roman" w:hAnsi="Times New Roman" w:cs="Times New Roman"/>
                <w:noProof/>
                <w:sz w:val="24"/>
                <w:szCs w:val="24"/>
              </w:rPr>
            </w:pPr>
            <w:r>
              <w:rPr>
                <w:rFonts w:ascii="Times New Roman" w:hAnsi="Times New Roman"/>
                <w:noProof/>
                <w:sz w:val="24"/>
                <w:shd w:val="clear" w:color="auto" w:fill="FFFFFF"/>
              </w:rPr>
              <w:t xml:space="preserve">Specifični cilji pobude so naslednji: </w:t>
            </w:r>
          </w:p>
          <w:p w14:paraId="74E4D620" w14:textId="4E4560C1" w:rsidR="005E5B5A" w:rsidRPr="001F2CA8" w:rsidRDefault="00167796" w:rsidP="001C6078">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spodbujanje čezmejnih dejavnosti in naložb na notranjem medijskem trgu,</w:t>
            </w:r>
          </w:p>
          <w:p w14:paraId="09F77EBE" w14:textId="569D9F0F" w:rsidR="005E5B5A" w:rsidRPr="001F2CA8" w:rsidRDefault="00167796" w:rsidP="001C6078">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povečanje regulativnega sodelovanja in zbliževanja na notranjem medijskem trgu,</w:t>
            </w:r>
          </w:p>
          <w:p w14:paraId="76C5EEE6" w14:textId="77EBDF35" w:rsidR="005E5B5A" w:rsidRPr="001F2CA8" w:rsidRDefault="00167796" w:rsidP="001C6078">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olajšanje svobodnega zagotavljanja kakovostnih medijskih storitev na notranjem trgu ter</w:t>
            </w:r>
          </w:p>
          <w:p w14:paraId="226AF062" w14:textId="2EDEEF83" w:rsidR="00183ED9" w:rsidRPr="001F2CA8" w:rsidRDefault="00167796" w:rsidP="00B75FB8">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zagotavljanje pregledne in pravične porazdelitve gospodarskih virov na notranjem medijskem trgu.</w:t>
            </w:r>
          </w:p>
        </w:tc>
      </w:tr>
      <w:tr w:rsidR="00F05E46" w:rsidRPr="00085DC1" w14:paraId="6AE53B6A" w14:textId="77777777" w:rsidTr="001F2CA8">
        <w:tc>
          <w:tcPr>
            <w:tcW w:w="9618" w:type="dxa"/>
            <w:shd w:val="clear" w:color="auto" w:fill="DBE5F1" w:themeFill="accent1" w:themeFillTint="33"/>
          </w:tcPr>
          <w:p w14:paraId="0EB5AE1D" w14:textId="77777777" w:rsidR="00F05E46" w:rsidRPr="001F2CA8" w:rsidRDefault="00F05E46" w:rsidP="001C6078">
            <w:pPr>
              <w:jc w:val="both"/>
              <w:rPr>
                <w:rFonts w:ascii="Times New Roman" w:hAnsi="Times New Roman" w:cs="Times New Roman"/>
                <w:b/>
                <w:noProof/>
                <w:sz w:val="24"/>
                <w:szCs w:val="24"/>
              </w:rPr>
            </w:pPr>
            <w:r>
              <w:rPr>
                <w:rFonts w:ascii="Times New Roman" w:hAnsi="Times New Roman"/>
                <w:b/>
                <w:noProof/>
                <w:sz w:val="24"/>
              </w:rPr>
              <w:t>Kakšna je dodana vrednost ukrepanja na ravni EU (subsidiarnost)?</w:t>
            </w:r>
          </w:p>
        </w:tc>
      </w:tr>
      <w:tr w:rsidR="00F05E46" w:rsidRPr="00085DC1" w14:paraId="6C9A3200" w14:textId="77777777" w:rsidTr="001F2CA8">
        <w:tc>
          <w:tcPr>
            <w:tcW w:w="9618" w:type="dxa"/>
          </w:tcPr>
          <w:p w14:paraId="77254A24" w14:textId="7C8C2664" w:rsidR="00DA030E" w:rsidRPr="001F2CA8" w:rsidRDefault="00A53348" w:rsidP="00243949">
            <w:pPr>
              <w:jc w:val="both"/>
              <w:rPr>
                <w:rFonts w:ascii="Times New Roman" w:eastAsia="Courier New" w:hAnsi="Times New Roman" w:cs="Times New Roman"/>
                <w:noProof/>
                <w:sz w:val="24"/>
                <w:szCs w:val="24"/>
              </w:rPr>
            </w:pPr>
            <w:r>
              <w:rPr>
                <w:rFonts w:ascii="Times New Roman" w:hAnsi="Times New Roman"/>
                <w:noProof/>
                <w:sz w:val="24"/>
              </w:rPr>
              <w:t>S pobudo se bo zmanjšalo breme, s katerim se akterji na trgu soočajo pri zagotavljanju skladnosti z različnimi nacionalnimi pravnimi ureditvami, kadar poslujejo v več državah članicah. Povečali se bosta predvidljivost in pravna varnost, spodbujala se bo poštena konkurenca (zlasti s svetovnimi spletnimi platformami), okrepile se bodo čezmejne naložbe in izboljšala se bo kakovost medijskih storitev, ki se zagotavljajo v EU. Ukrepanje samo na nacionalni ravni ne bi bilo dovolj obsežno in ne bi imelo potrebnega učinka zbliževanja. Pobuda nikakor ne bo posegla v nacionalne identitete ali regulativne tradicije na področju medijev.</w:t>
            </w:r>
          </w:p>
        </w:tc>
      </w:tr>
      <w:tr w:rsidR="00F05E46" w:rsidRPr="00085DC1" w14:paraId="42341367" w14:textId="77777777" w:rsidTr="001F2CA8">
        <w:tc>
          <w:tcPr>
            <w:tcW w:w="9618" w:type="dxa"/>
            <w:shd w:val="clear" w:color="auto" w:fill="B8CCE4" w:themeFill="accent1" w:themeFillTint="66"/>
          </w:tcPr>
          <w:p w14:paraId="727D0BA1" w14:textId="77777777" w:rsidR="00F05E46" w:rsidRPr="001F2CA8" w:rsidRDefault="00F05E46" w:rsidP="001C6078">
            <w:pPr>
              <w:jc w:val="both"/>
              <w:rPr>
                <w:rFonts w:ascii="Times New Roman" w:hAnsi="Times New Roman" w:cs="Times New Roman"/>
                <w:b/>
                <w:noProof/>
                <w:sz w:val="24"/>
                <w:szCs w:val="24"/>
              </w:rPr>
            </w:pPr>
            <w:r>
              <w:rPr>
                <w:rFonts w:ascii="Times New Roman" w:hAnsi="Times New Roman"/>
                <w:b/>
                <w:noProof/>
                <w:sz w:val="24"/>
              </w:rPr>
              <w:t>B. Rešitve</w:t>
            </w:r>
          </w:p>
        </w:tc>
      </w:tr>
      <w:tr w:rsidR="00F05E46" w:rsidRPr="00085DC1" w14:paraId="411D25A6" w14:textId="77777777" w:rsidTr="001F2CA8">
        <w:tc>
          <w:tcPr>
            <w:tcW w:w="9618" w:type="dxa"/>
            <w:shd w:val="clear" w:color="auto" w:fill="DBE5F1" w:themeFill="accent1" w:themeFillTint="33"/>
          </w:tcPr>
          <w:p w14:paraId="62D93041" w14:textId="77777777" w:rsidR="00F05E46" w:rsidRPr="001F2CA8" w:rsidRDefault="00F05E46" w:rsidP="001C6078">
            <w:pPr>
              <w:jc w:val="both"/>
              <w:rPr>
                <w:rFonts w:ascii="Times New Roman" w:hAnsi="Times New Roman" w:cs="Times New Roman"/>
                <w:b/>
                <w:noProof/>
                <w:sz w:val="24"/>
                <w:szCs w:val="24"/>
              </w:rPr>
            </w:pPr>
            <w:r>
              <w:rPr>
                <w:rFonts w:ascii="Times New Roman" w:hAnsi="Times New Roman"/>
                <w:b/>
                <w:noProof/>
                <w:sz w:val="24"/>
              </w:rPr>
              <w:t>Katere so različne možnosti za dosego ciljev? Ali ima katera od njih prednost? Če ne, zakaj ne?</w:t>
            </w:r>
          </w:p>
        </w:tc>
      </w:tr>
      <w:tr w:rsidR="00F05E46" w:rsidRPr="00085DC1" w14:paraId="2EA580E5" w14:textId="77777777" w:rsidTr="001F2CA8">
        <w:tc>
          <w:tcPr>
            <w:tcW w:w="9618" w:type="dxa"/>
          </w:tcPr>
          <w:p w14:paraId="163A2AB2" w14:textId="27A9BF25" w:rsidR="00A36402" w:rsidRDefault="00DB2867" w:rsidP="001F2CA8">
            <w:pPr>
              <w:jc w:val="both"/>
              <w:rPr>
                <w:rFonts w:ascii="Times New Roman" w:hAnsi="Times New Roman" w:cs="Times New Roman"/>
                <w:noProof/>
                <w:sz w:val="24"/>
                <w:szCs w:val="24"/>
              </w:rPr>
            </w:pPr>
            <w:r>
              <w:rPr>
                <w:rFonts w:ascii="Times New Roman" w:hAnsi="Times New Roman"/>
                <w:noProof/>
                <w:sz w:val="24"/>
              </w:rPr>
              <w:t>Poleg dinamičnega</w:t>
            </w:r>
            <w:r>
              <w:rPr>
                <w:rStyle w:val="FootnoteReference"/>
                <w:rFonts w:ascii="Times New Roman" w:hAnsi="Times New Roman" w:cs="Times New Roman"/>
                <w:noProof/>
                <w:sz w:val="24"/>
                <w:szCs w:val="24"/>
              </w:rPr>
              <w:footnoteReference w:id="2"/>
            </w:r>
            <w:r>
              <w:rPr>
                <w:rFonts w:ascii="Times New Roman" w:hAnsi="Times New Roman"/>
                <w:noProof/>
                <w:sz w:val="24"/>
              </w:rPr>
              <w:t xml:space="preserve"> osnovnega scenarija so bile podrobno ocenjene tri možnosti.</w:t>
            </w:r>
          </w:p>
          <w:p w14:paraId="42378FC9" w14:textId="77777777" w:rsidR="009D6898" w:rsidRPr="009D6898" w:rsidRDefault="009D6898" w:rsidP="009D6898">
            <w:pPr>
              <w:spacing w:before="120" w:after="120"/>
              <w:ind w:left="15"/>
              <w:jc w:val="both"/>
              <w:rPr>
                <w:rFonts w:ascii="Times New Roman" w:hAnsi="Times New Roman" w:cs="Times New Roman"/>
                <w:noProof/>
                <w:sz w:val="24"/>
              </w:rPr>
            </w:pPr>
            <w:r>
              <w:rPr>
                <w:rFonts w:ascii="Times New Roman" w:hAnsi="Times New Roman"/>
                <w:b/>
                <w:noProof/>
                <w:sz w:val="24"/>
              </w:rPr>
              <w:t xml:space="preserve">Možnost 1: </w:t>
            </w:r>
            <w:r>
              <w:rPr>
                <w:rFonts w:ascii="Times New Roman" w:hAnsi="Times New Roman"/>
                <w:b/>
                <w:bCs/>
                <w:noProof/>
                <w:sz w:val="24"/>
              </w:rPr>
              <w:t>p</w:t>
            </w:r>
            <w:r>
              <w:rPr>
                <w:rFonts w:ascii="Times New Roman" w:hAnsi="Times New Roman"/>
                <w:b/>
                <w:noProof/>
                <w:sz w:val="24"/>
              </w:rPr>
              <w:t>riporočilo o pluralnosti in neodvisnosti medijev</w:t>
            </w:r>
            <w:r>
              <w:rPr>
                <w:rFonts w:ascii="Times New Roman" w:hAnsi="Times New Roman"/>
                <w:noProof/>
                <w:sz w:val="24"/>
              </w:rPr>
              <w:t>, ki bi države članice in na nekaterih področjih podjetja na medijskem trgu spodbujalo k izvedbi sklopa ukrepov za spodbujanje pluralnosti medijev, uredniške neodvisnosti ter preglednosti in pravičnosti na medijskem trgu.</w:t>
            </w:r>
          </w:p>
          <w:p w14:paraId="6893DAEC" w14:textId="77777777" w:rsidR="009D6898" w:rsidRPr="009D6898" w:rsidRDefault="009D6898" w:rsidP="009D6898">
            <w:pPr>
              <w:spacing w:before="120" w:after="120"/>
              <w:ind w:left="15"/>
              <w:jc w:val="both"/>
              <w:rPr>
                <w:rFonts w:ascii="Times New Roman" w:hAnsi="Times New Roman" w:cs="Times New Roman"/>
                <w:noProof/>
                <w:sz w:val="24"/>
              </w:rPr>
            </w:pPr>
            <w:r>
              <w:rPr>
                <w:rFonts w:ascii="Times New Roman" w:hAnsi="Times New Roman"/>
                <w:b/>
                <w:noProof/>
                <w:sz w:val="24"/>
              </w:rPr>
              <w:t>Možnost 2:</w:t>
            </w:r>
            <w:r>
              <w:rPr>
                <w:rFonts w:ascii="Times New Roman" w:hAnsi="Times New Roman"/>
                <w:noProof/>
                <w:sz w:val="24"/>
              </w:rPr>
              <w:t xml:space="preserve"> </w:t>
            </w:r>
            <w:r>
              <w:rPr>
                <w:rFonts w:ascii="Times New Roman" w:hAnsi="Times New Roman"/>
                <w:b/>
                <w:bCs/>
                <w:noProof/>
                <w:sz w:val="24"/>
              </w:rPr>
              <w:t>zakonodajni predlog in priporočilo o neodvisnosti medijev</w:t>
            </w:r>
            <w:r>
              <w:rPr>
                <w:rFonts w:ascii="Times New Roman" w:hAnsi="Times New Roman"/>
                <w:noProof/>
                <w:sz w:val="24"/>
              </w:rPr>
              <w:t>, pri čemer bi zakonodajni predlog določal skupna pravila za notranji trg medijskih storitev, priporočilo pa bi medijska podjetja in države članice spodbujalo k zavzemanju za neodvisnost in preglednost medijev.</w:t>
            </w:r>
          </w:p>
          <w:p w14:paraId="0B4285D3" w14:textId="77777777" w:rsidR="009D6898" w:rsidRPr="009D6898" w:rsidRDefault="009D6898" w:rsidP="009D6898">
            <w:pPr>
              <w:spacing w:before="120" w:after="120"/>
              <w:ind w:left="15"/>
              <w:jc w:val="both"/>
              <w:rPr>
                <w:rFonts w:ascii="Times New Roman" w:hAnsi="Times New Roman" w:cs="Times New Roman"/>
                <w:noProof/>
                <w:sz w:val="24"/>
              </w:rPr>
            </w:pPr>
            <w:r>
              <w:rPr>
                <w:rFonts w:ascii="Times New Roman" w:hAnsi="Times New Roman"/>
                <w:b/>
                <w:noProof/>
                <w:sz w:val="24"/>
              </w:rPr>
              <w:t xml:space="preserve">Možnost 3: </w:t>
            </w:r>
            <w:r>
              <w:rPr>
                <w:rFonts w:ascii="Times New Roman" w:hAnsi="Times New Roman"/>
                <w:b/>
                <w:bCs/>
                <w:noProof/>
                <w:sz w:val="24"/>
              </w:rPr>
              <w:t>okrepljen zakonodajni predlog</w:t>
            </w:r>
            <w:r>
              <w:rPr>
                <w:rFonts w:ascii="Times New Roman" w:hAnsi="Times New Roman"/>
                <w:noProof/>
                <w:sz w:val="24"/>
              </w:rPr>
              <w:t xml:space="preserve">, ki bi poleg vseh zakonodajnih elementov iz možnosti 2 vseboval dodatne obveznosti za podjetja na medijskem trgu in regulatorje, da bi spodbudili razpoložljivost kakovostnih medijskih storitev in pregledno/pravično porazdelitev </w:t>
            </w:r>
            <w:r>
              <w:rPr>
                <w:rFonts w:ascii="Times New Roman" w:hAnsi="Times New Roman"/>
                <w:noProof/>
                <w:sz w:val="24"/>
              </w:rPr>
              <w:lastRenderedPageBreak/>
              <w:t>gospodarskih virov na medijskem trgu.</w:t>
            </w:r>
          </w:p>
          <w:p w14:paraId="6EBA1A1B" w14:textId="73073E17" w:rsidR="00465FD1" w:rsidRPr="001F2CA8" w:rsidRDefault="00465FD1" w:rsidP="001F2CA8">
            <w:pPr>
              <w:spacing w:after="120"/>
              <w:jc w:val="both"/>
              <w:rPr>
                <w:rFonts w:ascii="Times New Roman" w:eastAsia="Times New Roman" w:hAnsi="Times New Roman" w:cs="Times New Roman"/>
                <w:noProof/>
                <w:sz w:val="24"/>
                <w:szCs w:val="24"/>
              </w:rPr>
            </w:pPr>
            <w:r>
              <w:rPr>
                <w:rFonts w:ascii="Times New Roman" w:hAnsi="Times New Roman"/>
                <w:noProof/>
                <w:sz w:val="24"/>
              </w:rPr>
              <w:t>Z zakonodajnimi predlogi bi se predvidela ustanovitev odbora, ki bi ga sestavljali predstavniki zadevnih nacionalnih regulativnih organov, pomagal pa bi mu sekretariat Komisije (</w:t>
            </w:r>
            <w:r>
              <w:rPr>
                <w:rFonts w:ascii="Times New Roman" w:hAnsi="Times New Roman"/>
                <w:b/>
                <w:bCs/>
                <w:noProof/>
                <w:sz w:val="24"/>
              </w:rPr>
              <w:t>podmožnost A</w:t>
            </w:r>
            <w:r>
              <w:rPr>
                <w:rFonts w:ascii="Times New Roman" w:hAnsi="Times New Roman"/>
                <w:noProof/>
                <w:sz w:val="24"/>
              </w:rPr>
              <w:t>) ali neodvisni urad EU (</w:t>
            </w:r>
            <w:r>
              <w:rPr>
                <w:rFonts w:ascii="Times New Roman" w:hAnsi="Times New Roman"/>
                <w:b/>
                <w:bCs/>
                <w:noProof/>
                <w:sz w:val="24"/>
              </w:rPr>
              <w:t>podmožnost B</w:t>
            </w:r>
            <w:r>
              <w:rPr>
                <w:rFonts w:ascii="Times New Roman" w:hAnsi="Times New Roman"/>
                <w:noProof/>
                <w:sz w:val="24"/>
              </w:rPr>
              <w:t>).</w:t>
            </w:r>
          </w:p>
          <w:p w14:paraId="74885EB0" w14:textId="4A301248" w:rsidR="00571CCF" w:rsidRPr="001F2CA8" w:rsidRDefault="00324223" w:rsidP="001D2262">
            <w:pPr>
              <w:jc w:val="both"/>
              <w:rPr>
                <w:rFonts w:ascii="Times New Roman" w:hAnsi="Times New Roman" w:cs="Times New Roman"/>
                <w:noProof/>
                <w:sz w:val="24"/>
                <w:szCs w:val="24"/>
              </w:rPr>
            </w:pPr>
            <w:r>
              <w:rPr>
                <w:rFonts w:ascii="Times New Roman" w:hAnsi="Times New Roman"/>
                <w:noProof/>
                <w:sz w:val="24"/>
              </w:rPr>
              <w:t xml:space="preserve">Prednostna možnost, ki se priporoča za politično sprejetje, je </w:t>
            </w:r>
            <w:r>
              <w:rPr>
                <w:rFonts w:ascii="Times New Roman" w:hAnsi="Times New Roman"/>
                <w:b/>
                <w:bCs/>
                <w:noProof/>
                <w:sz w:val="24"/>
              </w:rPr>
              <w:t>podmožnost A možnosti 2</w:t>
            </w:r>
            <w:r>
              <w:rPr>
                <w:rFonts w:ascii="Times New Roman" w:hAnsi="Times New Roman"/>
                <w:noProof/>
                <w:sz w:val="24"/>
              </w:rPr>
              <w:t>.</w:t>
            </w:r>
          </w:p>
        </w:tc>
      </w:tr>
      <w:tr w:rsidR="00F05E46" w:rsidRPr="00085DC1" w14:paraId="4B715EAA" w14:textId="77777777" w:rsidTr="001F2CA8">
        <w:tc>
          <w:tcPr>
            <w:tcW w:w="9618" w:type="dxa"/>
            <w:shd w:val="clear" w:color="auto" w:fill="DBE5F1" w:themeFill="accent1" w:themeFillTint="33"/>
          </w:tcPr>
          <w:p w14:paraId="1E4EADE1" w14:textId="313A3C62" w:rsidR="00F05E46" w:rsidRPr="001F2CA8" w:rsidRDefault="00571CCF" w:rsidP="001D2262">
            <w:pPr>
              <w:jc w:val="both"/>
              <w:rPr>
                <w:rFonts w:ascii="Times New Roman" w:hAnsi="Times New Roman" w:cs="Times New Roman"/>
                <w:b/>
                <w:noProof/>
                <w:sz w:val="24"/>
                <w:szCs w:val="24"/>
              </w:rPr>
            </w:pPr>
            <w:r>
              <w:rPr>
                <w:rFonts w:ascii="Times New Roman" w:hAnsi="Times New Roman"/>
                <w:b/>
                <w:noProof/>
                <w:sz w:val="24"/>
              </w:rPr>
              <w:lastRenderedPageBreak/>
              <w:t>Kakšna so stališča različnih deležnikov? Kdo podpira katero možnost?</w:t>
            </w:r>
          </w:p>
        </w:tc>
      </w:tr>
      <w:tr w:rsidR="00F05E46" w:rsidRPr="00085DC1" w14:paraId="3840BA76" w14:textId="77777777" w:rsidTr="001F2CA8">
        <w:tc>
          <w:tcPr>
            <w:tcW w:w="9618" w:type="dxa"/>
          </w:tcPr>
          <w:p w14:paraId="57497600" w14:textId="0342BC73" w:rsidR="00571CCF" w:rsidRPr="001F2CA8" w:rsidRDefault="00B27394" w:rsidP="004B5547">
            <w:pPr>
              <w:pBdr>
                <w:top w:val="single" w:sz="4" w:space="1" w:color="auto"/>
                <w:left w:val="single" w:sz="4" w:space="4" w:color="auto"/>
                <w:bottom w:val="single" w:sz="4" w:space="1" w:color="auto"/>
                <w:right w:val="single" w:sz="4" w:space="4" w:color="auto"/>
              </w:pBdr>
              <w:shd w:val="clear" w:color="auto" w:fill="FFFFFF" w:themeFill="background1"/>
              <w:spacing w:after="120"/>
              <w:jc w:val="both"/>
              <w:rPr>
                <w:rFonts w:ascii="Times New Roman" w:hAnsi="Times New Roman" w:cs="Times New Roman"/>
                <w:noProof/>
                <w:sz w:val="24"/>
                <w:szCs w:val="24"/>
              </w:rPr>
            </w:pPr>
            <w:r>
              <w:rPr>
                <w:rFonts w:ascii="Times New Roman" w:hAnsi="Times New Roman"/>
                <w:noProof/>
                <w:sz w:val="24"/>
              </w:rPr>
              <w:t xml:space="preserve">Možnost uravnoteženega zakonodajnega ukrepanja v nasprotju z neukrepanjem ali podrobno določitvijo standardov podpirajo javnost in večina drugih deležnikov, vključno s skupnostjo za svobodo medijev, potrošniškimi organizacijami, nacionalnimi medijskimi regulatorji, skupino evropskih regulatorjev za avdiovizualne medijske storitve (ERGA), javnimi in zasebnimi radiodifuzijskimi hišami, distributerji vsebin, spletnimi posredniki in akterji v oglaševalskem ekosistemu. Priporočilu so bolj naklonjeni samo založniki, čeprav podpirajo tudi ukrepe glede merjenja občinstva, državnega oglaševanja in zaščite novinarskih virov. Kar zadeva upravljanje, obstaja široka podpora nadzorni strukturi, ki bi temeljila na skupini ERGA. Regulatorji in zlasti skupnost za svobodo medijev se zavzemajo za okrepitev skupine ERGA, podjetja in poslovna združenja pa bi jo raje ohranili v sedanji obliki. </w:t>
            </w:r>
          </w:p>
        </w:tc>
      </w:tr>
      <w:tr w:rsidR="00F05E46" w:rsidRPr="00085DC1" w14:paraId="386819DB" w14:textId="77777777" w:rsidTr="001F2CA8">
        <w:tc>
          <w:tcPr>
            <w:tcW w:w="9618" w:type="dxa"/>
            <w:shd w:val="clear" w:color="auto" w:fill="B8CCE4" w:themeFill="accent1" w:themeFillTint="66"/>
          </w:tcPr>
          <w:p w14:paraId="263E2041" w14:textId="77777777" w:rsidR="00F05E46" w:rsidRPr="001F2CA8" w:rsidRDefault="00571CCF" w:rsidP="001C6078">
            <w:pPr>
              <w:jc w:val="both"/>
              <w:rPr>
                <w:rFonts w:ascii="Times New Roman" w:hAnsi="Times New Roman" w:cs="Times New Roman"/>
                <w:b/>
                <w:noProof/>
                <w:sz w:val="24"/>
                <w:szCs w:val="24"/>
              </w:rPr>
            </w:pPr>
            <w:r>
              <w:rPr>
                <w:rFonts w:ascii="Times New Roman" w:hAnsi="Times New Roman"/>
                <w:b/>
                <w:noProof/>
                <w:sz w:val="24"/>
              </w:rPr>
              <w:t>C. Učinki prednostne možnosti</w:t>
            </w:r>
          </w:p>
        </w:tc>
      </w:tr>
      <w:tr w:rsidR="00F05E46" w:rsidRPr="00085DC1" w14:paraId="0D7F5825" w14:textId="77777777" w:rsidTr="001F2CA8">
        <w:tc>
          <w:tcPr>
            <w:tcW w:w="9618" w:type="dxa"/>
            <w:shd w:val="clear" w:color="auto" w:fill="DBE5F1" w:themeFill="accent1" w:themeFillTint="33"/>
          </w:tcPr>
          <w:p w14:paraId="0CB4C1E6" w14:textId="77777777" w:rsidR="00F05E46" w:rsidRPr="001F2CA8" w:rsidRDefault="00571CCF" w:rsidP="001C6078">
            <w:pPr>
              <w:jc w:val="both"/>
              <w:rPr>
                <w:rFonts w:ascii="Times New Roman" w:hAnsi="Times New Roman" w:cs="Times New Roman"/>
                <w:b/>
                <w:noProof/>
                <w:sz w:val="24"/>
                <w:szCs w:val="24"/>
              </w:rPr>
            </w:pPr>
            <w:r>
              <w:rPr>
                <w:rFonts w:ascii="Times New Roman" w:hAnsi="Times New Roman"/>
                <w:b/>
                <w:noProof/>
                <w:sz w:val="24"/>
              </w:rPr>
              <w:t>Katere so koristi prednostne možnosti (če obstaja, sicer glavnih možnosti)?</w:t>
            </w:r>
          </w:p>
        </w:tc>
      </w:tr>
      <w:tr w:rsidR="00F05E46" w:rsidRPr="00085DC1" w14:paraId="6A0CF1A5" w14:textId="77777777" w:rsidTr="001F2CA8">
        <w:tc>
          <w:tcPr>
            <w:tcW w:w="9618" w:type="dxa"/>
          </w:tcPr>
          <w:p w14:paraId="696530C5" w14:textId="7BE49DD7" w:rsidR="00324223" w:rsidRPr="001F2CA8" w:rsidRDefault="00267814" w:rsidP="004E72D0">
            <w:pPr>
              <w:jc w:val="both"/>
              <w:rPr>
                <w:rFonts w:ascii="Times New Roman" w:hAnsi="Times New Roman" w:cs="Times New Roman"/>
                <w:noProof/>
                <w:color w:val="FF0000"/>
                <w:sz w:val="24"/>
                <w:szCs w:val="24"/>
              </w:rPr>
            </w:pPr>
            <w:r>
              <w:rPr>
                <w:rFonts w:ascii="Times New Roman" w:hAnsi="Times New Roman"/>
                <w:noProof/>
                <w:color w:val="000000" w:themeColor="text1"/>
                <w:sz w:val="24"/>
                <w:shd w:val="clear" w:color="auto" w:fill="FFFFFF" w:themeFill="background1"/>
              </w:rPr>
              <w:t>Z bolje delujočim notranjim medijskim trgom se bodo povečali naložbe, obseg in konkurenca, s čimer se bo izboljšala sposobnost preživetja medijskih podjetij, potrošnikom pa se bo zagotovil dostop do bolj raznolikega nabora kakovostnih medijskih vsebin. Letne neto gospodarske koristi v smislu povečanih prihodkov medijskih podjetij so ocenjene na 2,9 milijarde EUR. Pričakovane družbene koristi vključujejo okrepitev odgovornosti medijev in zaupanja vanje ter povečanje svobode in pluralnosti medijev, s čimer bi se okrepili pravna država in demokratični standardi.</w:t>
            </w:r>
          </w:p>
        </w:tc>
      </w:tr>
      <w:tr w:rsidR="00F05E46" w:rsidRPr="00085DC1" w14:paraId="314E3590" w14:textId="77777777" w:rsidTr="001F2CA8">
        <w:tc>
          <w:tcPr>
            <w:tcW w:w="9618" w:type="dxa"/>
            <w:shd w:val="clear" w:color="auto" w:fill="DBE5F1" w:themeFill="accent1" w:themeFillTint="33"/>
          </w:tcPr>
          <w:p w14:paraId="0D9F3F5B" w14:textId="77777777" w:rsidR="00F05E46" w:rsidRPr="001F2CA8" w:rsidRDefault="00571CCF" w:rsidP="001C6078">
            <w:pPr>
              <w:jc w:val="both"/>
              <w:rPr>
                <w:rFonts w:ascii="Times New Roman" w:hAnsi="Times New Roman" w:cs="Times New Roman"/>
                <w:b/>
                <w:noProof/>
                <w:color w:val="FF0000"/>
                <w:sz w:val="24"/>
                <w:szCs w:val="24"/>
              </w:rPr>
            </w:pPr>
            <w:r>
              <w:rPr>
                <w:rFonts w:ascii="Times New Roman" w:hAnsi="Times New Roman"/>
                <w:b/>
                <w:noProof/>
                <w:color w:val="000000" w:themeColor="text1"/>
                <w:sz w:val="24"/>
              </w:rPr>
              <w:t>Kakšni so stroški prednostne možnosti (če obstaja, sicer glavnih možnosti)?</w:t>
            </w:r>
          </w:p>
        </w:tc>
      </w:tr>
      <w:tr w:rsidR="00722B5C" w:rsidRPr="00085DC1" w14:paraId="125CF23D" w14:textId="77777777" w:rsidTr="001F2CA8">
        <w:tc>
          <w:tcPr>
            <w:tcW w:w="9618" w:type="dxa"/>
          </w:tcPr>
          <w:p w14:paraId="2069B54C" w14:textId="7105094A" w:rsidR="00722B5C" w:rsidRPr="001F2CA8" w:rsidRDefault="009C6E2C" w:rsidP="000A606C">
            <w:pPr>
              <w:jc w:val="both"/>
              <w:rPr>
                <w:rFonts w:ascii="Times New Roman" w:hAnsi="Times New Roman" w:cs="Times New Roman"/>
                <w:noProof/>
                <w:color w:val="FF0000"/>
                <w:sz w:val="24"/>
                <w:szCs w:val="24"/>
              </w:rPr>
            </w:pPr>
            <w:r>
              <w:rPr>
                <w:rFonts w:ascii="Times New Roman" w:hAnsi="Times New Roman"/>
                <w:noProof/>
                <w:color w:val="000000" w:themeColor="text1"/>
                <w:sz w:val="24"/>
              </w:rPr>
              <w:t>Prednostna možnost državljanom ne bo povzročila nobenih stroškov, podjetjem pa le zanemarljive stroške prilagajanja, tj. skupne enkratne stroške za vsa podjetja v višini 9,4–14 milijonov EUR in vsakoletne stroške v višini 5,6–14,5 milijona EUR, ki se bodo v celoti absorbirali v običajne stroške. Letni stroški javnih organov bodo znašali 6,1 milijona EUR. To bo vključevalo približno 2–2,3 milijona EUR letnih stroškov za EU: 8–10 delovnih mest v ekvivalentu polnega delovnega časa in operativni proračun v višini približno 1 milijona EUR</w:t>
            </w:r>
            <w:r>
              <w:rPr>
                <w:rStyle w:val="FootnoteReference"/>
                <w:rFonts w:ascii="Times New Roman" w:hAnsi="Times New Roman" w:cs="Times New Roman"/>
                <w:noProof/>
                <w:color w:val="000000" w:themeColor="text1"/>
                <w:sz w:val="24"/>
                <w:szCs w:val="24"/>
              </w:rPr>
              <w:footnoteReference w:id="3"/>
            </w:r>
            <w:r>
              <w:rPr>
                <w:rFonts w:ascii="Times New Roman" w:hAnsi="Times New Roman"/>
                <w:noProof/>
                <w:color w:val="000000" w:themeColor="text1"/>
                <w:sz w:val="24"/>
              </w:rPr>
              <w:t xml:space="preserve"> v skladu z oceno za rešitev upravljanja iz podmožnosti A. </w:t>
            </w:r>
          </w:p>
        </w:tc>
      </w:tr>
      <w:tr w:rsidR="00F05E46" w:rsidRPr="00085DC1" w14:paraId="48AACFFD" w14:textId="77777777" w:rsidTr="001F2CA8">
        <w:tc>
          <w:tcPr>
            <w:tcW w:w="9618" w:type="dxa"/>
            <w:shd w:val="clear" w:color="auto" w:fill="DBE5F1" w:themeFill="accent1" w:themeFillTint="33"/>
          </w:tcPr>
          <w:p w14:paraId="12C5C888" w14:textId="77777777" w:rsidR="00F05E46" w:rsidRPr="001F2CA8" w:rsidRDefault="00571CCF" w:rsidP="001C6078">
            <w:pPr>
              <w:jc w:val="both"/>
              <w:rPr>
                <w:rFonts w:ascii="Times New Roman" w:hAnsi="Times New Roman" w:cs="Times New Roman"/>
                <w:b/>
                <w:noProof/>
                <w:color w:val="FF0000"/>
                <w:sz w:val="24"/>
                <w:szCs w:val="24"/>
              </w:rPr>
            </w:pPr>
            <w:r>
              <w:rPr>
                <w:rFonts w:ascii="Times New Roman" w:hAnsi="Times New Roman"/>
                <w:b/>
                <w:noProof/>
                <w:color w:val="000000" w:themeColor="text1"/>
                <w:sz w:val="24"/>
              </w:rPr>
              <w:t>Kakšni so učinki na mala in srednja podjetja ter konkurenčnost?</w:t>
            </w:r>
          </w:p>
        </w:tc>
      </w:tr>
      <w:tr w:rsidR="0077271C" w:rsidRPr="00085DC1" w14:paraId="20172E71" w14:textId="77777777" w:rsidTr="001F2CA8">
        <w:tc>
          <w:tcPr>
            <w:tcW w:w="9618" w:type="dxa"/>
          </w:tcPr>
          <w:p w14:paraId="5BF9FACB" w14:textId="69425A23" w:rsidR="0077271C" w:rsidRPr="001F2CA8" w:rsidRDefault="0070283C" w:rsidP="00BC0B5D">
            <w:pPr>
              <w:jc w:val="both"/>
              <w:rPr>
                <w:rFonts w:ascii="Times New Roman" w:hAnsi="Times New Roman" w:cs="Times New Roman"/>
                <w:noProof/>
                <w:color w:val="FF0000"/>
                <w:sz w:val="24"/>
                <w:szCs w:val="24"/>
              </w:rPr>
            </w:pPr>
            <w:r>
              <w:rPr>
                <w:rFonts w:ascii="Times New Roman" w:hAnsi="Times New Roman"/>
                <w:noProof/>
                <w:color w:val="000000" w:themeColor="text1"/>
                <w:sz w:val="24"/>
              </w:rPr>
              <w:t>Pričakuje se, da bodo stroški za MSP manjši, in sicer bodo povezani predvsem s seznanjanjem z novimi ukrepi. Uravnoteženi bodo s povečanimi koristmi, za katere se pričakuje, da bodo znatne, saj bi prednostna možnost MSP omogočila, da poslujejo, tudi čezmejno, v predvidljivejšem in doslednejšem regulativnem okolju. S pobudo bi se razširili konkurenčni pogoji za MSP, da bi lahko konkurirala drugim udeležencem na trgu, vključno s spletnimi platformami. Poleg tega bi se s preglednejšim in pravičnejšim dodeljevanjem državnih oglaševalskih sredstev zmanjšalo izkrivljanje trga, kar bi koristilo MSP.</w:t>
            </w:r>
          </w:p>
        </w:tc>
      </w:tr>
      <w:tr w:rsidR="0077271C" w:rsidRPr="00085DC1" w14:paraId="7D2DF84C" w14:textId="77777777" w:rsidTr="001F2CA8">
        <w:tc>
          <w:tcPr>
            <w:tcW w:w="9618" w:type="dxa"/>
            <w:shd w:val="clear" w:color="auto" w:fill="DBE5F1" w:themeFill="accent1" w:themeFillTint="33"/>
          </w:tcPr>
          <w:p w14:paraId="345D5FB8" w14:textId="77777777" w:rsidR="0077271C" w:rsidRPr="001F2CA8" w:rsidRDefault="0077271C" w:rsidP="001C6078">
            <w:pPr>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rPr>
              <w:t>Ali bo prišlo do znatnih učinkov na nacionalne proračune in uprave?</w:t>
            </w:r>
          </w:p>
        </w:tc>
      </w:tr>
      <w:tr w:rsidR="0077271C" w:rsidRPr="00085DC1" w14:paraId="510C81C7" w14:textId="77777777" w:rsidTr="001F2CA8">
        <w:tc>
          <w:tcPr>
            <w:tcW w:w="9618" w:type="dxa"/>
          </w:tcPr>
          <w:p w14:paraId="679B6F5F" w14:textId="77777777" w:rsidR="0077271C" w:rsidRPr="001F2CA8" w:rsidRDefault="007D165F" w:rsidP="00BA1534">
            <w:pPr>
              <w:jc w:val="both"/>
              <w:rPr>
                <w:rFonts w:ascii="Times New Roman" w:hAnsi="Times New Roman" w:cs="Times New Roman"/>
                <w:noProof/>
                <w:color w:val="FF0000"/>
                <w:sz w:val="24"/>
                <w:szCs w:val="24"/>
              </w:rPr>
            </w:pPr>
            <w:r>
              <w:rPr>
                <w:rFonts w:ascii="Times New Roman" w:hAnsi="Times New Roman"/>
                <w:noProof/>
                <w:color w:val="000000" w:themeColor="text1"/>
                <w:sz w:val="24"/>
              </w:rPr>
              <w:t xml:space="preserve">Nacionalni organi bodo imeli ponavljajoče se upravne stroške in stroške izvrševanja, a tudi prihranke: nacionalni medijski regulatorji bi lahko pričakovali prihranke v višini do 20 % svojih trenutnih letnih odhodkov, povezanih z usklajevanjem v skupini ERGA. Pričakuje se, da bi se s prednostno možnostjo povečala kakovost sodelovanja med medijskimi regulatorji, da bi lažje </w:t>
            </w:r>
            <w:r>
              <w:rPr>
                <w:rFonts w:ascii="Times New Roman" w:hAnsi="Times New Roman"/>
                <w:noProof/>
                <w:color w:val="000000" w:themeColor="text1"/>
                <w:sz w:val="24"/>
              </w:rPr>
              <w:lastRenderedPageBreak/>
              <w:t>reševali čezmejne izzive. Poleg tega se bosta z ukrepi na področju državnega oglaševanja in zaščitnimi ukrepi za neodvisnost javnih medijev povečali preglednost in učinkovitost uporabe državnih sredstev.</w:t>
            </w:r>
          </w:p>
        </w:tc>
      </w:tr>
      <w:tr w:rsidR="0077271C" w:rsidRPr="00085DC1" w14:paraId="6C2B8EE4" w14:textId="77777777" w:rsidTr="001F2CA8">
        <w:tc>
          <w:tcPr>
            <w:tcW w:w="9618" w:type="dxa"/>
            <w:shd w:val="clear" w:color="auto" w:fill="DBE5F1" w:themeFill="accent1" w:themeFillTint="33"/>
          </w:tcPr>
          <w:p w14:paraId="67DB8934" w14:textId="77777777" w:rsidR="0077271C" w:rsidRPr="001F2CA8" w:rsidRDefault="0077271C" w:rsidP="001C6078">
            <w:pPr>
              <w:jc w:val="both"/>
              <w:rPr>
                <w:rFonts w:ascii="Times New Roman" w:hAnsi="Times New Roman" w:cs="Times New Roman"/>
                <w:b/>
                <w:noProof/>
                <w:sz w:val="24"/>
                <w:szCs w:val="24"/>
              </w:rPr>
            </w:pPr>
            <w:r>
              <w:rPr>
                <w:rFonts w:ascii="Times New Roman" w:hAnsi="Times New Roman"/>
                <w:b/>
                <w:noProof/>
                <w:sz w:val="24"/>
              </w:rPr>
              <w:lastRenderedPageBreak/>
              <w:t>Bo imela pobuda tudi druge pomembnejše učinke?</w:t>
            </w:r>
          </w:p>
        </w:tc>
      </w:tr>
      <w:tr w:rsidR="0077271C" w:rsidRPr="00085DC1" w14:paraId="02EBC99F" w14:textId="77777777" w:rsidTr="001F2CA8">
        <w:tc>
          <w:tcPr>
            <w:tcW w:w="9618" w:type="dxa"/>
          </w:tcPr>
          <w:p w14:paraId="5E15BC75" w14:textId="683136DC" w:rsidR="0077271C" w:rsidRPr="008C5443" w:rsidRDefault="00705A64" w:rsidP="00B86375">
            <w:pPr>
              <w:jc w:val="both"/>
              <w:rPr>
                <w:rFonts w:ascii="Times New Roman" w:hAnsi="Times New Roman" w:cs="Times New Roman"/>
                <w:noProof/>
                <w:sz w:val="24"/>
                <w:szCs w:val="24"/>
                <w:highlight w:val="yellow"/>
              </w:rPr>
            </w:pPr>
            <w:r>
              <w:rPr>
                <w:rFonts w:ascii="Times New Roman" w:hAnsi="Times New Roman"/>
                <w:noProof/>
                <w:sz w:val="24"/>
              </w:rPr>
              <w:t>Z naraščanjem ponudbe kakovostnih medijskih vsebin, večjo preglednostjo trga in varnejšim informacijskim prostorom bodo potrošniki opolnomočeni in bolje zaščiteni, s čimer se bodo izboljšali pogoji za uveljavljanje svobode izražanja in obveščanja. Poleg tega se bo z izboljšanim dostopom javnosti in podjetij do kakovostnih medijskih storitev izboljšala celovitost enotnega trga kot celote.</w:t>
            </w:r>
          </w:p>
        </w:tc>
      </w:tr>
      <w:tr w:rsidR="0077271C" w:rsidRPr="00085DC1" w14:paraId="385DF82C" w14:textId="77777777" w:rsidTr="001F2CA8">
        <w:tc>
          <w:tcPr>
            <w:tcW w:w="9618" w:type="dxa"/>
            <w:shd w:val="clear" w:color="auto" w:fill="DBE5F1" w:themeFill="accent1" w:themeFillTint="33"/>
          </w:tcPr>
          <w:p w14:paraId="2AA28891" w14:textId="77777777" w:rsidR="0077271C" w:rsidRPr="001F2CA8" w:rsidRDefault="0077271C" w:rsidP="001C6078">
            <w:pPr>
              <w:jc w:val="both"/>
              <w:rPr>
                <w:rFonts w:ascii="Times New Roman" w:hAnsi="Times New Roman" w:cs="Times New Roman"/>
                <w:b/>
                <w:noProof/>
                <w:sz w:val="24"/>
                <w:szCs w:val="24"/>
              </w:rPr>
            </w:pPr>
            <w:r>
              <w:rPr>
                <w:rFonts w:ascii="Times New Roman" w:hAnsi="Times New Roman"/>
                <w:b/>
                <w:noProof/>
                <w:sz w:val="24"/>
              </w:rPr>
              <w:t>Sorazmernost</w:t>
            </w:r>
          </w:p>
        </w:tc>
      </w:tr>
      <w:tr w:rsidR="0077271C" w:rsidRPr="00085DC1" w14:paraId="7D07BF26" w14:textId="77777777" w:rsidTr="001F2CA8">
        <w:tc>
          <w:tcPr>
            <w:tcW w:w="9618" w:type="dxa"/>
            <w:shd w:val="clear" w:color="auto" w:fill="auto"/>
          </w:tcPr>
          <w:p w14:paraId="08068422" w14:textId="769107DF" w:rsidR="0077271C" w:rsidRPr="001F2CA8" w:rsidRDefault="008A030A" w:rsidP="00E04ADA">
            <w:pPr>
              <w:jc w:val="both"/>
              <w:rPr>
                <w:rFonts w:ascii="Times New Roman" w:hAnsi="Times New Roman" w:cs="Times New Roman"/>
                <w:noProof/>
                <w:sz w:val="24"/>
                <w:szCs w:val="24"/>
              </w:rPr>
            </w:pPr>
            <w:r>
              <w:rPr>
                <w:rFonts w:ascii="Times New Roman" w:hAnsi="Times New Roman"/>
                <w:noProof/>
                <w:sz w:val="24"/>
              </w:rPr>
              <w:t>Ukrepi, predvideni v okviru prednostne možnosti, so osredotočeni in ne presegajo tistega, kar je potrebno za dosego ciljev pobude. Natančneje, prednostna možnost predvideva le uravnotežene ukrepe harmonizacije, skupaj z okvirom sodelovanja za nacionalne medijske regulatorje v odboru EU, ki so potrebni za pravilno delovanje notranjega medijskega trga. Predlog upošteva breme za različne akterje in nove obveznosti omejuje na nujno potrebne, pri čemer so neposredni stroški zagotavljanja skladnosti in izvrševanja sorazmerni s cilji pobude.</w:t>
            </w:r>
          </w:p>
        </w:tc>
      </w:tr>
      <w:tr w:rsidR="0077271C" w:rsidRPr="00085DC1" w14:paraId="1C3BF563" w14:textId="77777777" w:rsidTr="001F2CA8">
        <w:tc>
          <w:tcPr>
            <w:tcW w:w="9618" w:type="dxa"/>
            <w:shd w:val="clear" w:color="auto" w:fill="8DB3E2" w:themeFill="text2" w:themeFillTint="66"/>
          </w:tcPr>
          <w:p w14:paraId="2D3D1ADA" w14:textId="77777777" w:rsidR="0077271C" w:rsidRPr="001F2CA8" w:rsidRDefault="0077271C" w:rsidP="001C6078">
            <w:pPr>
              <w:jc w:val="both"/>
              <w:rPr>
                <w:rFonts w:ascii="Times New Roman" w:hAnsi="Times New Roman" w:cs="Times New Roman"/>
                <w:b/>
                <w:noProof/>
                <w:sz w:val="24"/>
                <w:szCs w:val="24"/>
              </w:rPr>
            </w:pPr>
            <w:r>
              <w:rPr>
                <w:rFonts w:ascii="Times New Roman" w:hAnsi="Times New Roman"/>
                <w:b/>
                <w:noProof/>
                <w:sz w:val="24"/>
              </w:rPr>
              <w:t>D. Spremljanje</w:t>
            </w:r>
          </w:p>
        </w:tc>
      </w:tr>
      <w:tr w:rsidR="0077271C" w:rsidRPr="00085DC1" w14:paraId="48F50E58" w14:textId="77777777" w:rsidTr="001F2CA8">
        <w:tc>
          <w:tcPr>
            <w:tcW w:w="9618" w:type="dxa"/>
            <w:shd w:val="clear" w:color="auto" w:fill="DBE5F1" w:themeFill="accent1" w:themeFillTint="33"/>
          </w:tcPr>
          <w:p w14:paraId="4341A8C9" w14:textId="77777777" w:rsidR="0077271C" w:rsidRPr="001F2CA8" w:rsidRDefault="0077271C" w:rsidP="001C6078">
            <w:pPr>
              <w:jc w:val="both"/>
              <w:rPr>
                <w:rFonts w:ascii="Times New Roman" w:hAnsi="Times New Roman" w:cs="Times New Roman"/>
                <w:b/>
                <w:noProof/>
                <w:sz w:val="24"/>
                <w:szCs w:val="24"/>
              </w:rPr>
            </w:pPr>
            <w:r>
              <w:rPr>
                <w:rFonts w:ascii="Times New Roman" w:hAnsi="Times New Roman"/>
                <w:b/>
                <w:noProof/>
                <w:sz w:val="24"/>
              </w:rPr>
              <w:t>Kdaj se bo politika pregledala?</w:t>
            </w:r>
          </w:p>
        </w:tc>
      </w:tr>
      <w:tr w:rsidR="0077271C" w:rsidRPr="00085DC1" w14:paraId="797B19ED" w14:textId="77777777" w:rsidTr="001F2CA8">
        <w:tc>
          <w:tcPr>
            <w:tcW w:w="9618" w:type="dxa"/>
            <w:shd w:val="clear" w:color="auto" w:fill="auto"/>
          </w:tcPr>
          <w:p w14:paraId="7C343250" w14:textId="7A7345A3" w:rsidR="0077271C" w:rsidRPr="001F2CA8" w:rsidRDefault="00FB7079" w:rsidP="00BD0ED0">
            <w:pPr>
              <w:spacing w:after="120"/>
              <w:jc w:val="both"/>
              <w:rPr>
                <w:rFonts w:ascii="Times New Roman" w:hAnsi="Times New Roman" w:cs="Times New Roman"/>
                <w:noProof/>
                <w:sz w:val="24"/>
                <w:szCs w:val="24"/>
              </w:rPr>
            </w:pPr>
            <w:r>
              <w:rPr>
                <w:rFonts w:ascii="Times New Roman" w:hAnsi="Times New Roman"/>
                <w:noProof/>
                <w:sz w:val="24"/>
              </w:rPr>
              <w:t>Po sprejetju zakonodajnega instrumenta bodo imele države članice na voljo tri do šest mesecev, da prilagodijo svoje nacionalne okvire, odvisno od ustreznih določb. Politika bo prvič ocenjena štiri leta po začetku veljavnosti novih pravil, pozneje pa vsaka štiri leta. V okviru zakonodajnega instrumenta bo vzpostavljen neodvisen mehanizem za spremljanje tveganj za delovanje notranjega trga medijskih storitev. Posebna ureditev spremljanja bo predvidena tudi glede priporočila. Natančneje, države članice bodo Komisiji predložile vse pomembne informacije o ukrepih, izvedenih v zvezi s preglednostjo lastništva medijev. Druga področja iz priporočila se bodo spremljala v okviru mehanizma, vzpostavljenega z zakonodajnim instrumentom.</w:t>
            </w:r>
          </w:p>
        </w:tc>
      </w:tr>
    </w:tbl>
    <w:p w14:paraId="029E8479" w14:textId="77777777" w:rsidR="00F31280" w:rsidRPr="00085DC1" w:rsidRDefault="00F31280">
      <w:pPr>
        <w:rPr>
          <w:rFonts w:ascii="Times New Roman" w:hAnsi="Times New Roman" w:cs="Times New Roman"/>
          <w:noProof/>
          <w:sz w:val="24"/>
          <w:szCs w:val="24"/>
        </w:rPr>
      </w:pPr>
    </w:p>
    <w:sectPr w:rsidR="00F31280" w:rsidRPr="00085DC1" w:rsidSect="0044553D">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2591" w14:textId="77777777" w:rsidR="001E11BD" w:rsidRDefault="001E11BD" w:rsidP="0026613F">
      <w:pPr>
        <w:spacing w:after="0" w:line="240" w:lineRule="auto"/>
      </w:pPr>
      <w:r>
        <w:separator/>
      </w:r>
    </w:p>
  </w:endnote>
  <w:endnote w:type="continuationSeparator" w:id="0">
    <w:p w14:paraId="09B7170D" w14:textId="77777777" w:rsidR="001E11BD" w:rsidRDefault="001E11BD" w:rsidP="0026613F">
      <w:pPr>
        <w:spacing w:after="0" w:line="240" w:lineRule="auto"/>
      </w:pPr>
      <w:r>
        <w:continuationSeparator/>
      </w:r>
    </w:p>
  </w:endnote>
  <w:endnote w:type="continuationNotice" w:id="1">
    <w:p w14:paraId="429CC6A0" w14:textId="77777777" w:rsidR="001E11BD" w:rsidRDefault="001E1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AB6B25" w:rsidRPr="00D94637" w14:paraId="68DF52E0" w14:textId="77777777" w:rsidTr="00AB6B25">
      <w:trPr>
        <w:jc w:val="center"/>
      </w:trPr>
      <w:tc>
        <w:tcPr>
          <w:tcW w:w="5000" w:type="pct"/>
          <w:gridSpan w:val="7"/>
          <w:shd w:val="clear" w:color="auto" w:fill="auto"/>
          <w:tcMar>
            <w:top w:w="57" w:type="dxa"/>
          </w:tcMar>
        </w:tcPr>
        <w:p w14:paraId="3ECA1047" w14:textId="77777777" w:rsidR="00AB6B25" w:rsidRPr="00D94637" w:rsidRDefault="00AB6B25" w:rsidP="00D94637">
          <w:pPr>
            <w:pStyle w:val="FooterText"/>
            <w:pBdr>
              <w:top w:val="single" w:sz="4" w:space="1" w:color="auto"/>
            </w:pBdr>
            <w:spacing w:before="200"/>
            <w:rPr>
              <w:sz w:val="2"/>
              <w:szCs w:val="2"/>
            </w:rPr>
          </w:pPr>
          <w:bookmarkStart w:id="2" w:name="FOOTER_STANDARD"/>
        </w:p>
      </w:tc>
    </w:tr>
    <w:tr w:rsidR="00AB6B25" w:rsidRPr="00B310DC" w14:paraId="232C176F" w14:textId="77777777" w:rsidTr="00AB6B25">
      <w:trPr>
        <w:jc w:val="center"/>
      </w:trPr>
      <w:tc>
        <w:tcPr>
          <w:tcW w:w="2500" w:type="pct"/>
          <w:gridSpan w:val="2"/>
          <w:shd w:val="clear" w:color="auto" w:fill="auto"/>
          <w:tcMar>
            <w:top w:w="0" w:type="dxa"/>
          </w:tcMar>
        </w:tcPr>
        <w:p w14:paraId="5A7B4878" w14:textId="275932F9" w:rsidR="00AB6B25" w:rsidRPr="00AD7BF2" w:rsidRDefault="00AB6B25" w:rsidP="004F54B2">
          <w:pPr>
            <w:pStyle w:val="FooterText"/>
          </w:pPr>
          <w:r>
            <w:t>12413/22</w:t>
          </w:r>
          <w:r w:rsidRPr="002511D8">
            <w:t xml:space="preserve"> </w:t>
          </w:r>
          <w:r>
            <w:t>ADD 4</w:t>
          </w:r>
        </w:p>
      </w:tc>
      <w:tc>
        <w:tcPr>
          <w:tcW w:w="625" w:type="pct"/>
          <w:shd w:val="clear" w:color="auto" w:fill="auto"/>
          <w:tcMar>
            <w:top w:w="0" w:type="dxa"/>
          </w:tcMar>
        </w:tcPr>
        <w:p w14:paraId="46980F6A" w14:textId="77777777" w:rsidR="00AB6B25" w:rsidRPr="00AD7BF2" w:rsidRDefault="00AB6B25" w:rsidP="00D94637">
          <w:pPr>
            <w:pStyle w:val="FooterText"/>
            <w:jc w:val="center"/>
          </w:pPr>
        </w:p>
      </w:tc>
      <w:tc>
        <w:tcPr>
          <w:tcW w:w="1286" w:type="pct"/>
          <w:gridSpan w:val="3"/>
          <w:shd w:val="clear" w:color="auto" w:fill="auto"/>
          <w:tcMar>
            <w:top w:w="0" w:type="dxa"/>
          </w:tcMar>
        </w:tcPr>
        <w:p w14:paraId="52943DF5" w14:textId="6C054C89" w:rsidR="00AB6B25" w:rsidRPr="002511D8" w:rsidRDefault="00AB6B25" w:rsidP="00D94637">
          <w:pPr>
            <w:pStyle w:val="FooterText"/>
            <w:jc w:val="center"/>
          </w:pPr>
          <w:r>
            <w:t>nr</w:t>
          </w:r>
        </w:p>
      </w:tc>
      <w:tc>
        <w:tcPr>
          <w:tcW w:w="589" w:type="pct"/>
          <w:shd w:val="clear" w:color="auto" w:fill="auto"/>
          <w:tcMar>
            <w:top w:w="0" w:type="dxa"/>
          </w:tcMar>
        </w:tcPr>
        <w:p w14:paraId="1C19C1CA" w14:textId="3B298203" w:rsidR="00AB6B25" w:rsidRPr="00B310DC" w:rsidRDefault="00AB6B25"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AB6B25" w:rsidRPr="00D94637" w14:paraId="51B2127E" w14:textId="77777777" w:rsidTr="00AB6B25">
      <w:trPr>
        <w:jc w:val="center"/>
      </w:trPr>
      <w:tc>
        <w:tcPr>
          <w:tcW w:w="1774" w:type="pct"/>
          <w:shd w:val="clear" w:color="auto" w:fill="auto"/>
        </w:tcPr>
        <w:p w14:paraId="6D8BC7E0" w14:textId="11929FEA" w:rsidR="00AB6B25" w:rsidRPr="00AD7BF2" w:rsidRDefault="00AB6B25" w:rsidP="00D94637">
          <w:pPr>
            <w:pStyle w:val="FooterText"/>
            <w:spacing w:before="40"/>
          </w:pPr>
        </w:p>
      </w:tc>
      <w:tc>
        <w:tcPr>
          <w:tcW w:w="1455" w:type="pct"/>
          <w:gridSpan w:val="3"/>
          <w:shd w:val="clear" w:color="auto" w:fill="auto"/>
        </w:tcPr>
        <w:p w14:paraId="267FD250" w14:textId="657A2926" w:rsidR="00AB6B25" w:rsidRPr="00AD7BF2" w:rsidRDefault="00AB6B25" w:rsidP="00D204D6">
          <w:pPr>
            <w:pStyle w:val="FooterText"/>
            <w:spacing w:before="40"/>
            <w:jc w:val="center"/>
          </w:pPr>
          <w:r>
            <w:t>TREE 1 B</w:t>
          </w:r>
        </w:p>
      </w:tc>
      <w:tc>
        <w:tcPr>
          <w:tcW w:w="742" w:type="pct"/>
          <w:shd w:val="clear" w:color="auto" w:fill="auto"/>
        </w:tcPr>
        <w:p w14:paraId="10B41D4F" w14:textId="294CC88C" w:rsidR="00AB6B25" w:rsidRPr="00D94637" w:rsidRDefault="00AB6B25" w:rsidP="002F0099">
          <w:pPr>
            <w:pStyle w:val="FooterText"/>
            <w:jc w:val="center"/>
            <w:rPr>
              <w:b/>
              <w:position w:val="-4"/>
              <w:sz w:val="36"/>
            </w:rPr>
          </w:pPr>
        </w:p>
      </w:tc>
      <w:tc>
        <w:tcPr>
          <w:tcW w:w="1029" w:type="pct"/>
          <w:gridSpan w:val="2"/>
          <w:shd w:val="clear" w:color="auto" w:fill="auto"/>
        </w:tcPr>
        <w:p w14:paraId="68D515CC" w14:textId="137ED407" w:rsidR="00AB6B25" w:rsidRPr="000310C2" w:rsidRDefault="00AB6B25" w:rsidP="00D94637">
          <w:pPr>
            <w:pStyle w:val="FooterText"/>
            <w:jc w:val="right"/>
            <w:rPr>
              <w:spacing w:val="-20"/>
              <w:sz w:val="16"/>
            </w:rPr>
          </w:pPr>
          <w:r>
            <w:rPr>
              <w:b/>
              <w:spacing w:val="-20"/>
              <w:position w:val="-4"/>
              <w:sz w:val="36"/>
            </w:rPr>
            <w:t>SL</w:t>
          </w:r>
        </w:p>
      </w:tc>
    </w:tr>
    <w:bookmarkEnd w:id="2"/>
  </w:tbl>
  <w:p w14:paraId="42E69C03" w14:textId="6AADAA84" w:rsidR="005315D5" w:rsidRPr="00AB6B25" w:rsidRDefault="005315D5" w:rsidP="00AB6B25">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AB6B25" w:rsidRPr="00D94637" w14:paraId="53423D59" w14:textId="77777777" w:rsidTr="00AB6B25">
      <w:trPr>
        <w:jc w:val="center"/>
      </w:trPr>
      <w:tc>
        <w:tcPr>
          <w:tcW w:w="5000" w:type="pct"/>
          <w:gridSpan w:val="7"/>
          <w:shd w:val="clear" w:color="auto" w:fill="auto"/>
          <w:tcMar>
            <w:top w:w="57" w:type="dxa"/>
          </w:tcMar>
        </w:tcPr>
        <w:p w14:paraId="3C884816" w14:textId="77777777" w:rsidR="00AB6B25" w:rsidRPr="00D94637" w:rsidRDefault="00AB6B25" w:rsidP="00D94637">
          <w:pPr>
            <w:pStyle w:val="FooterText"/>
            <w:pBdr>
              <w:top w:val="single" w:sz="4" w:space="1" w:color="auto"/>
            </w:pBdr>
            <w:spacing w:before="200"/>
            <w:rPr>
              <w:sz w:val="2"/>
              <w:szCs w:val="2"/>
            </w:rPr>
          </w:pPr>
        </w:p>
      </w:tc>
    </w:tr>
    <w:tr w:rsidR="00AB6B25" w:rsidRPr="00B310DC" w14:paraId="66CAEFC7" w14:textId="77777777" w:rsidTr="00AB6B25">
      <w:trPr>
        <w:jc w:val="center"/>
      </w:trPr>
      <w:tc>
        <w:tcPr>
          <w:tcW w:w="2500" w:type="pct"/>
          <w:gridSpan w:val="2"/>
          <w:shd w:val="clear" w:color="auto" w:fill="auto"/>
          <w:tcMar>
            <w:top w:w="0" w:type="dxa"/>
          </w:tcMar>
        </w:tcPr>
        <w:p w14:paraId="2F385281" w14:textId="5BBB12C6" w:rsidR="00AB6B25" w:rsidRPr="00AD7BF2" w:rsidRDefault="00AB6B25" w:rsidP="004F54B2">
          <w:pPr>
            <w:pStyle w:val="FooterText"/>
          </w:pPr>
          <w:r>
            <w:t>12413/22</w:t>
          </w:r>
          <w:r w:rsidRPr="002511D8">
            <w:t xml:space="preserve"> </w:t>
          </w:r>
          <w:r>
            <w:t>ADD 4</w:t>
          </w:r>
        </w:p>
      </w:tc>
      <w:tc>
        <w:tcPr>
          <w:tcW w:w="625" w:type="pct"/>
          <w:shd w:val="clear" w:color="auto" w:fill="auto"/>
          <w:tcMar>
            <w:top w:w="0" w:type="dxa"/>
          </w:tcMar>
        </w:tcPr>
        <w:p w14:paraId="1EC1EA2B" w14:textId="77777777" w:rsidR="00AB6B25" w:rsidRPr="00AD7BF2" w:rsidRDefault="00AB6B25" w:rsidP="00D94637">
          <w:pPr>
            <w:pStyle w:val="FooterText"/>
            <w:jc w:val="center"/>
          </w:pPr>
        </w:p>
      </w:tc>
      <w:tc>
        <w:tcPr>
          <w:tcW w:w="1286" w:type="pct"/>
          <w:gridSpan w:val="3"/>
          <w:shd w:val="clear" w:color="auto" w:fill="auto"/>
          <w:tcMar>
            <w:top w:w="0" w:type="dxa"/>
          </w:tcMar>
        </w:tcPr>
        <w:p w14:paraId="10413C28" w14:textId="0355A094" w:rsidR="00AB6B25" w:rsidRPr="002511D8" w:rsidRDefault="00AB6B25" w:rsidP="00D94637">
          <w:pPr>
            <w:pStyle w:val="FooterText"/>
            <w:jc w:val="center"/>
          </w:pPr>
          <w:r>
            <w:t>nr</w:t>
          </w:r>
        </w:p>
      </w:tc>
      <w:tc>
        <w:tcPr>
          <w:tcW w:w="589" w:type="pct"/>
          <w:shd w:val="clear" w:color="auto" w:fill="auto"/>
          <w:tcMar>
            <w:top w:w="0" w:type="dxa"/>
          </w:tcMar>
        </w:tcPr>
        <w:p w14:paraId="31AD776A" w14:textId="002126E1" w:rsidR="00AB6B25" w:rsidRPr="00B310DC" w:rsidRDefault="00AB6B25" w:rsidP="00D94637">
          <w:pPr>
            <w:pStyle w:val="FooterText"/>
            <w:jc w:val="right"/>
          </w:pPr>
        </w:p>
      </w:tc>
    </w:tr>
    <w:tr w:rsidR="00AB6B25" w:rsidRPr="00D94637" w14:paraId="3C0DE8D9" w14:textId="77777777" w:rsidTr="00AB6B25">
      <w:trPr>
        <w:jc w:val="center"/>
      </w:trPr>
      <w:tc>
        <w:tcPr>
          <w:tcW w:w="1774" w:type="pct"/>
          <w:shd w:val="clear" w:color="auto" w:fill="auto"/>
        </w:tcPr>
        <w:p w14:paraId="125D9012" w14:textId="0A3CFEA3" w:rsidR="00AB6B25" w:rsidRPr="00AD7BF2" w:rsidRDefault="00AB6B25" w:rsidP="00D94637">
          <w:pPr>
            <w:pStyle w:val="FooterText"/>
            <w:spacing w:before="40"/>
          </w:pPr>
        </w:p>
      </w:tc>
      <w:tc>
        <w:tcPr>
          <w:tcW w:w="1455" w:type="pct"/>
          <w:gridSpan w:val="3"/>
          <w:shd w:val="clear" w:color="auto" w:fill="auto"/>
        </w:tcPr>
        <w:p w14:paraId="2A6CAFCC" w14:textId="06D3E3AC" w:rsidR="00AB6B25" w:rsidRPr="00AD7BF2" w:rsidRDefault="00AB6B25" w:rsidP="00D204D6">
          <w:pPr>
            <w:pStyle w:val="FooterText"/>
            <w:spacing w:before="40"/>
            <w:jc w:val="center"/>
          </w:pPr>
          <w:r>
            <w:t>TREE 1 B</w:t>
          </w:r>
        </w:p>
      </w:tc>
      <w:tc>
        <w:tcPr>
          <w:tcW w:w="742" w:type="pct"/>
          <w:shd w:val="clear" w:color="auto" w:fill="auto"/>
        </w:tcPr>
        <w:p w14:paraId="26A0F3DC" w14:textId="150941B1" w:rsidR="00AB6B25" w:rsidRPr="00D94637" w:rsidRDefault="00AB6B25" w:rsidP="002F0099">
          <w:pPr>
            <w:pStyle w:val="FooterText"/>
            <w:jc w:val="center"/>
            <w:rPr>
              <w:b/>
              <w:position w:val="-4"/>
              <w:sz w:val="36"/>
            </w:rPr>
          </w:pPr>
        </w:p>
      </w:tc>
      <w:tc>
        <w:tcPr>
          <w:tcW w:w="1029" w:type="pct"/>
          <w:gridSpan w:val="2"/>
          <w:shd w:val="clear" w:color="auto" w:fill="auto"/>
        </w:tcPr>
        <w:p w14:paraId="07B81518" w14:textId="61E648B4" w:rsidR="00AB6B25" w:rsidRPr="000310C2" w:rsidRDefault="00AB6B25" w:rsidP="00D94637">
          <w:pPr>
            <w:pStyle w:val="FooterText"/>
            <w:jc w:val="right"/>
            <w:rPr>
              <w:spacing w:val="-20"/>
              <w:sz w:val="16"/>
            </w:rPr>
          </w:pPr>
          <w:r>
            <w:rPr>
              <w:b/>
              <w:spacing w:val="-20"/>
              <w:position w:val="-4"/>
              <w:sz w:val="36"/>
            </w:rPr>
            <w:t>SL</w:t>
          </w:r>
        </w:p>
      </w:tc>
    </w:tr>
  </w:tbl>
  <w:p w14:paraId="2CCE8CD4" w14:textId="77777777" w:rsidR="007715C1" w:rsidRPr="00AB6B25" w:rsidRDefault="007715C1" w:rsidP="00AB6B25">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3A34" w14:textId="77777777" w:rsidR="00AB6B25" w:rsidRPr="007715C1" w:rsidRDefault="00AB6B25" w:rsidP="007715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4059" w14:textId="77777777" w:rsidR="00AB6B25" w:rsidRPr="007715C1" w:rsidRDefault="00AB6B25" w:rsidP="007715C1">
    <w:pPr>
      <w:pStyle w:val="FooterCoverPage"/>
      <w:rPr>
        <w:rFonts w:ascii="Arial" w:hAnsi="Arial" w:cs="Arial"/>
        <w:b/>
        <w:sz w:val="48"/>
      </w:rPr>
    </w:pPr>
    <w:r w:rsidRPr="007715C1">
      <w:rPr>
        <w:rFonts w:ascii="Arial" w:hAnsi="Arial" w:cs="Arial"/>
        <w:b/>
        <w:sz w:val="48"/>
      </w:rPr>
      <w:t>SL</w:t>
    </w:r>
    <w:r w:rsidRPr="007715C1">
      <w:rPr>
        <w:rFonts w:ascii="Arial" w:hAnsi="Arial" w:cs="Arial"/>
        <w:b/>
        <w:sz w:val="48"/>
      </w:rPr>
      <w:tab/>
    </w:r>
    <w:r w:rsidRPr="007715C1">
      <w:rPr>
        <w:rFonts w:ascii="Arial" w:hAnsi="Arial" w:cs="Arial"/>
        <w:b/>
        <w:sz w:val="48"/>
      </w:rPr>
      <w:tab/>
    </w:r>
    <w:r w:rsidRPr="007715C1">
      <w:tab/>
    </w:r>
    <w:r w:rsidRPr="007715C1">
      <w:rPr>
        <w:rFonts w:ascii="Arial" w:hAnsi="Arial" w:cs="Arial"/>
        <w:b/>
        <w:sz w:val="48"/>
      </w:rPr>
      <w:t>SL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FF6E" w14:textId="77777777" w:rsidR="00AB6B25" w:rsidRPr="007715C1" w:rsidRDefault="00AB6B25" w:rsidP="007715C1">
    <w:pPr>
      <w:pStyle w:val="FooterCover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56FB" w14:textId="77777777" w:rsidR="00556383" w:rsidRDefault="0055638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00745"/>
      <w:docPartObj>
        <w:docPartGallery w:val="Page Numbers (Bottom of Page)"/>
        <w:docPartUnique/>
      </w:docPartObj>
    </w:sdtPr>
    <w:sdtEndPr>
      <w:rPr>
        <w:noProof/>
      </w:rPr>
    </w:sdtEndPr>
    <w:sdtContent>
      <w:p w14:paraId="2CB78341" w14:textId="3A2EC9EA" w:rsidR="00556383" w:rsidRDefault="00556383">
        <w:pPr>
          <w:pStyle w:val="Footer"/>
          <w:jc w:val="center"/>
        </w:pPr>
        <w:r>
          <w:fldChar w:fldCharType="begin"/>
        </w:r>
        <w:r>
          <w:instrText xml:space="preserve"> PAGE   \* MERGEFORMAT </w:instrText>
        </w:r>
        <w:r>
          <w:fldChar w:fldCharType="separate"/>
        </w:r>
        <w:r w:rsidR="007715C1">
          <w:rPr>
            <w:noProof/>
          </w:rPr>
          <w:t>1</w:t>
        </w:r>
        <w:r>
          <w:fldChar w:fldCharType="end"/>
        </w:r>
      </w:p>
    </w:sdtContent>
  </w:sdt>
  <w:p w14:paraId="17333054" w14:textId="77777777" w:rsidR="00556383" w:rsidRDefault="0055638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EFA0" w14:textId="77777777" w:rsidR="00556383" w:rsidRDefault="00556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AF0F" w14:textId="77777777" w:rsidR="001E11BD" w:rsidRDefault="001E11BD" w:rsidP="0026613F">
      <w:pPr>
        <w:spacing w:after="0" w:line="240" w:lineRule="auto"/>
      </w:pPr>
      <w:r>
        <w:separator/>
      </w:r>
    </w:p>
  </w:footnote>
  <w:footnote w:type="continuationSeparator" w:id="0">
    <w:p w14:paraId="1CDB9570" w14:textId="77777777" w:rsidR="001E11BD" w:rsidRDefault="001E11BD" w:rsidP="0026613F">
      <w:pPr>
        <w:spacing w:after="0" w:line="240" w:lineRule="auto"/>
      </w:pPr>
      <w:r>
        <w:continuationSeparator/>
      </w:r>
    </w:p>
  </w:footnote>
  <w:footnote w:type="continuationNotice" w:id="1">
    <w:p w14:paraId="1023DB34" w14:textId="77777777" w:rsidR="001E11BD" w:rsidRDefault="001E11BD">
      <w:pPr>
        <w:spacing w:after="0" w:line="240" w:lineRule="auto"/>
      </w:pPr>
    </w:p>
  </w:footnote>
  <w:footnote w:id="2">
    <w:p w14:paraId="2D1183C1" w14:textId="743C81BF" w:rsidR="000E4468" w:rsidRPr="00167906" w:rsidRDefault="000E4468">
      <w:pPr>
        <w:pStyle w:val="FootnoteText"/>
      </w:pPr>
      <w:r>
        <w:rPr>
          <w:rStyle w:val="FootnoteReference"/>
        </w:rPr>
        <w:footnoteRef/>
      </w:r>
      <w:r>
        <w:t xml:space="preserve"> Osnovni scenarij je dinamičen, saj upošteva vso obstoječo zadevno zakonodajo EU (npr. direktivo o avdiovizualnih medijskih storitvah) in tisto, ki je v fazi sprejemanja (npr. akt o digitalnih storitvah in akt o digitalnih trgih).</w:t>
      </w:r>
    </w:p>
  </w:footnote>
  <w:footnote w:id="3">
    <w:p w14:paraId="4442F677" w14:textId="7A4FFD67" w:rsidR="001A328F" w:rsidRPr="003D3F1B" w:rsidRDefault="001A328F" w:rsidP="001A328F">
      <w:pPr>
        <w:pStyle w:val="FootnoteText"/>
      </w:pPr>
      <w:r>
        <w:rPr>
          <w:rStyle w:val="FootnoteReference"/>
        </w:rPr>
        <w:footnoteRef/>
      </w:r>
      <w:r>
        <w:t xml:space="preserve"> </w:t>
      </w:r>
      <w:r>
        <w:t xml:space="preserve">Podrobne podatke o stroških za EU vsebuje ocena finančnih posledic zakonodajnega predloga.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7F17" w14:textId="6B4DD2E7" w:rsidR="007715C1" w:rsidRPr="00AB6B25" w:rsidRDefault="00AB6B25" w:rsidP="00AB6B25">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0034" w14:textId="6994AEDF" w:rsidR="007715C1" w:rsidRPr="00AB6B25" w:rsidRDefault="00AB6B25" w:rsidP="00AB6B25">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A948" w14:textId="77777777" w:rsidR="00AB6B25" w:rsidRPr="007715C1" w:rsidRDefault="00AB6B25" w:rsidP="007715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EA30" w14:textId="77777777" w:rsidR="00AB6B25" w:rsidRPr="007715C1" w:rsidRDefault="00AB6B25" w:rsidP="007715C1">
    <w:pPr>
      <w:pStyle w:val="HeaderCoverPag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12D4" w14:textId="77777777" w:rsidR="00AB6B25" w:rsidRPr="007715C1" w:rsidRDefault="00AB6B25" w:rsidP="007715C1">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A59A" w14:textId="77777777" w:rsidR="00556383" w:rsidRDefault="005563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597A" w14:textId="77777777" w:rsidR="00556383" w:rsidRDefault="005563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0139" w14:textId="77777777" w:rsidR="00556383" w:rsidRDefault="00556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941"/>
    <w:multiLevelType w:val="hybridMultilevel"/>
    <w:tmpl w:val="55DEC0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2B3CB8"/>
    <w:multiLevelType w:val="hybridMultilevel"/>
    <w:tmpl w:val="C37845CE"/>
    <w:lvl w:ilvl="0" w:tplc="4952352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33DE3"/>
    <w:multiLevelType w:val="hybridMultilevel"/>
    <w:tmpl w:val="6592F0B2"/>
    <w:lvl w:ilvl="0" w:tplc="862CD68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777E9"/>
    <w:multiLevelType w:val="hybridMultilevel"/>
    <w:tmpl w:val="75688D8A"/>
    <w:lvl w:ilvl="0" w:tplc="6F22E6D0">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35743"/>
    <w:multiLevelType w:val="hybridMultilevel"/>
    <w:tmpl w:val="71E02DF4"/>
    <w:lvl w:ilvl="0" w:tplc="83140704">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A059B"/>
    <w:multiLevelType w:val="hybridMultilevel"/>
    <w:tmpl w:val="0ADE5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7" w15:restartNumberingAfterBreak="0">
    <w:nsid w:val="5FF17934"/>
    <w:multiLevelType w:val="hybridMultilevel"/>
    <w:tmpl w:val="1AEC2754"/>
    <w:lvl w:ilvl="0" w:tplc="12687A4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17ABC"/>
    <w:multiLevelType w:val="hybridMultilevel"/>
    <w:tmpl w:val="090A1976"/>
    <w:lvl w:ilvl="0" w:tplc="4C8C1334">
      <w:start w:val="1"/>
      <w:numFmt w:val="decimal"/>
      <w:lvlText w:val="%1."/>
      <w:lvlJc w:val="left"/>
      <w:pPr>
        <w:ind w:left="360" w:hanging="360"/>
      </w:pPr>
      <w:rPr>
        <w:rFonts w:ascii="Times New Roman" w:eastAsia="Times New Roman" w:hAnsi="Times New Roman" w:cs="Times New Roman"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0"/>
  </w:num>
  <w:num w:numId="6">
    <w:abstractNumId w:val="8"/>
  </w:num>
  <w:num w:numId="7">
    <w:abstractNumId w:val="1"/>
  </w:num>
  <w:num w:numId="8">
    <w:abstractNumId w:val="2"/>
  </w:num>
  <w:num w:numId="9">
    <w:abstractNumId w:val="6"/>
    <w:lvlOverride w:ilvl="0">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grammar="clean"/>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cil" w:val="true"/>
    <w:docVar w:name="CoverPageOnWordDoc" w:val="true"/>
    <w:docVar w:name="DocStatus" w:val="Green"/>
    <w:docVar w:name="DocuWriteMetaData" w:val="&lt;metadataset docuwriteversion=&quot;4.6.7&quot; technicalblockguid=&quot;5356366447184193373&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2-09-19&lt;/text&gt;_x000d__x000a_  &lt;/metadata&gt;_x000d__x000a_  &lt;metadata key=&quot;md_Prefix&quot;&gt;_x000d__x000a_    &lt;text&gt;&lt;/text&gt;_x000d__x000a_  &lt;/metadata&gt;_x000d__x000a_  &lt;metadata key=&quot;md_DocumentNumber&quot;&gt;_x000d__x000a_    &lt;text&gt;12413&lt;/text&gt;_x000d__x000a_  &lt;/metadata&gt;_x000d__x000a_  &lt;metadata key=&quot;md_YearDocumentNumber&quot;&gt;_x000d__x000a_    &lt;text&gt;2022&lt;/text&gt;_x000d__x000a_  &lt;/metadata&gt;_x000d__x000a_  &lt;metadata key=&quot;md_Suffixes&quot;&gt;_x000d__x000a_    &lt;text&gt;ADD 4&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UDIO 86&lt;/text&gt;_x000d__x000a_      &lt;text&gt;CODEC 1314&lt;/text&gt;_x000d__x000a_      &lt;text&gt;DIGIT 166&lt;/text&gt;_x000d__x000a_      &lt;text&gt;MI 668&lt;/text&gt;_x000d__x000a_      &lt;text&gt;DISINFO 72&lt;/text&gt;_x000d__x000a_      &lt;text&gt;FREMP 183&lt;/text&gt;_x000d__x000a_      &lt;text&gt;COMPET 712&lt;/text&gt;_x000d__x000a_      &lt;text&gt;EDPS 1&lt;/text&gt;_x000d__x000a_      &lt;text&gt;DATAPROTECT 256&lt;/text&gt;_x000d__x000a_      &lt;text&gt;JAI 1194&lt;/text&gt;_x000d__x000a_      &lt;text&gt;SERVICES 18&lt;/text&gt;_x000d__x000a_      &lt;text&gt;POLGEN 12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2/0277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za generalno sekretarko Evropske komisije: direktorica Martine DEPREZ&quot; /&gt;_x000d__x000a_    &lt;/basicdatatype&gt;_x000d__x000a_  &lt;/metadata&gt;_x000d__x000a_  &lt;metadata key=&quot;md_Recipient&quot;&gt;_x000d__x000a_    &lt;basicdatatype&gt;_x000d__x000a_      &lt;recipient key=&quot;re_11&quot; text=&quot;Generalni sekretariat Sveta&quot; /&gt;_x000d__x000a_    &lt;/basicdatatype&gt;_x000d__x000a_  &lt;/metadata&gt;_x000d__x000a_  &lt;metadata key=&quot;md_DateOfReceipt&quot;&gt;_x000d__x000a_    &lt;text&gt;2022-09-1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SWD(2022) 287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DELOVNI DOKUMENT SLU&amp;#381;B KOMISIJE  POVZETEK PORO&amp;#268;ILA O OCENI U&amp;#268;INKA  Spremni dokument k Predlogu uredbe Evropskega parlamenta in Sveta o vzpostavitvi skupnega okvira za medijske storitve na notranjem trgu (evropski akt o svobodi medijev)&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 xml:space=&quot;preserve&quot;&amp;gt;DELOVNI DOKUMENT SLU&amp;#381;B KOMISIJE &amp;lt;LineBreak /&amp;gt;POVZETEK PORO&amp;#268;ILA O OCENI U&amp;#268;INKA &amp;lt;LineBreak /&amp;gt;Spremni dokument k Predlogu uredbe Evropskega parlamenta in Sveta &amp;lt;Run FontWeight=&quot;Bold&quot;&amp;gt;o vzpostavitvi skupnega okvira za medijske storitve na notranjem trgu (evropski akt o svobodi medijev)&amp;lt;/Run&amp;gt;&amp;lt;/Paragraph&amp;gt;&amp;lt;/FlowDocument&amp;gt;&lt;/xaml&gt;_x000d__x000a_  &lt;/metadata&gt;_x000d__x000a_  &lt;metadata key=&quot;md_SubjectFootnote&quot; /&gt;_x000d__x000a_  &lt;metadata key=&quot;md_DG&quot;&gt;_x000d__x000a_    &lt;text&gt;TREE 1 B&lt;/text&gt;_x000d__x000a_  &lt;/metadata&gt;_x000d__x000a_  &lt;metadata key=&quot;md_Initials&quot;&gt;_x000d__x000a_    &lt;text&gt;n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2&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2&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DELOVNI DOKUMENT SLU&amp;#381;B KOMISIJE_x000d__x000a__x000d__x000a_POVZETEK PORO&amp;#268;ILA O OCENI U&amp;#268;INKA_x000d__x000a_&lt;/text&gt;_x000d__x000a_  &lt;/metadata&gt;_x000d__x000a_  &lt;metadata key=&quot;md_SourceDocTitle&quot;&gt;_x000d__x000a_    &lt;text&gt;Spremni dokument _x000d__x000a_k Predlogu uredbe Evropskega parlamenta in Sveta _x000d__x000a_{b}o vzpostavitvi skupnega okvira za medijske storitve na notranjem trgu (evropski akt o svobodi medijev){/b}_x000d__x000a__x000d__x000a__x000d__x000a_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LW_ACCOMPAGNANT.CP" w:val="Spremni dokument"/>
    <w:docVar w:name="LW_CORRIGENDUM" w:val="&lt;UNUSED&gt;"/>
    <w:docVar w:name="LW_COVERPAGE_EXISTS" w:val="True"/>
    <w:docVar w:name="LW_COVERPAGE_GUID" w:val="5B18461B-6E48-4BEF-BCB0-D0147BBEBCB0"/>
    <w:docVar w:name="LW_COVERPAGE_TYPE" w:val="1"/>
    <w:docVar w:name="LW_CROSSREFERENCE" w:val="{COM(2022) 457 final} - {SEC(2022) 322 final} - {SWD(2022) 286 final}"/>
    <w:docVar w:name="LW_DocType" w:val="NORMAL"/>
    <w:docVar w:name="LW_EMISSION" w:val="16.9.2022"/>
    <w:docVar w:name="LW_EMISSION_ISODATE" w:val="2022-09-16"/>
    <w:docVar w:name="LW_EMISSION_LOCATION" w:val="BRX"/>
    <w:docVar w:name="LW_EMISSION_PREFIX" w:val="Bruselj, "/>
    <w:docVar w:name="LW_EMISSION_SUFFIX" w:val=" "/>
    <w:docVar w:name="LW_ID_DOCTYPE_NONLW" w:val="CP-027"/>
    <w:docVar w:name="LW_LANGUE" w:val="SL"/>
    <w:docVar w:name="LW_LEVEL_OF_SENSITIVITY" w:val="Standard treatment"/>
    <w:docVar w:name="LW_NOM.INST" w:val="EVROPSKA KOMISIJA"/>
    <w:docVar w:name="LW_NOM.INST_JOINTDOC" w:val="&lt;EMPTY&gt;"/>
    <w:docVar w:name="LW_OBJETACTEPRINCIPAL.CP" w:val="&lt;FMT:Bold&gt;o vzpostavitvi skupnega okvira za medijske storitve na notranjem trgu (evropski akt o svobodi medijev)&lt;/FMT&gt;_x000d__x000d__x000d__x000b_"/>
    <w:docVar w:name="LW_PART_NBR" w:val="1"/>
    <w:docVar w:name="LW_PART_NBR_TOTAL" w:val="1"/>
    <w:docVar w:name="LW_REF.INST.NEW" w:val="SWD"/>
    <w:docVar w:name="LW_REF.INST.NEW_ADOPTED" w:val="final"/>
    <w:docVar w:name="LW_REF.INST.NEW_TEXT" w:val="(2022) 2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   "/>
    <w:docVar w:name="LW_TYPE.DOC.CP" w:val="DELOVNI DOKUMENT SLUŽB KOMISIJE_x000b__x000b_POVZETEK POROČILA O OCENI UČINKA_x000b_"/>
    <w:docVar w:name="LW_TYPEACTEPRINCIPAL.CP" w:val="k Predlogu uredbe Evropskega parlamenta in Sveta"/>
    <w:docVar w:name="LwApiVersions" w:val="LW4CoDe 1.23.2.0; LW 8.0, Build 20211117"/>
  </w:docVars>
  <w:rsids>
    <w:rsidRoot w:val="0026613F"/>
    <w:rsid w:val="000003E7"/>
    <w:rsid w:val="000024BE"/>
    <w:rsid w:val="00002C4F"/>
    <w:rsid w:val="000056F5"/>
    <w:rsid w:val="000113D1"/>
    <w:rsid w:val="0001284A"/>
    <w:rsid w:val="00015881"/>
    <w:rsid w:val="000250DE"/>
    <w:rsid w:val="00025C47"/>
    <w:rsid w:val="0003482E"/>
    <w:rsid w:val="00040511"/>
    <w:rsid w:val="000453E0"/>
    <w:rsid w:val="000461C5"/>
    <w:rsid w:val="00050591"/>
    <w:rsid w:val="00071162"/>
    <w:rsid w:val="00074063"/>
    <w:rsid w:val="000838F5"/>
    <w:rsid w:val="0008482A"/>
    <w:rsid w:val="00085DC1"/>
    <w:rsid w:val="00086389"/>
    <w:rsid w:val="00086B21"/>
    <w:rsid w:val="00090596"/>
    <w:rsid w:val="00092261"/>
    <w:rsid w:val="0009259B"/>
    <w:rsid w:val="00094817"/>
    <w:rsid w:val="000A2C9E"/>
    <w:rsid w:val="000A606C"/>
    <w:rsid w:val="000A68A3"/>
    <w:rsid w:val="000B3F60"/>
    <w:rsid w:val="000C1E80"/>
    <w:rsid w:val="000C778B"/>
    <w:rsid w:val="000D424B"/>
    <w:rsid w:val="000D4E56"/>
    <w:rsid w:val="000D5740"/>
    <w:rsid w:val="000E4468"/>
    <w:rsid w:val="000E75E3"/>
    <w:rsid w:val="000F51EC"/>
    <w:rsid w:val="00105B1B"/>
    <w:rsid w:val="00105C24"/>
    <w:rsid w:val="00112D3E"/>
    <w:rsid w:val="001149F7"/>
    <w:rsid w:val="00116951"/>
    <w:rsid w:val="0011787C"/>
    <w:rsid w:val="00121E72"/>
    <w:rsid w:val="001359B4"/>
    <w:rsid w:val="001368ED"/>
    <w:rsid w:val="00140936"/>
    <w:rsid w:val="00140FCD"/>
    <w:rsid w:val="00153C36"/>
    <w:rsid w:val="0015446E"/>
    <w:rsid w:val="001554A3"/>
    <w:rsid w:val="001618CD"/>
    <w:rsid w:val="00167796"/>
    <w:rsid w:val="00167906"/>
    <w:rsid w:val="00172001"/>
    <w:rsid w:val="001769BF"/>
    <w:rsid w:val="00183ED9"/>
    <w:rsid w:val="001A23A2"/>
    <w:rsid w:val="001A328F"/>
    <w:rsid w:val="001A3CC5"/>
    <w:rsid w:val="001A401B"/>
    <w:rsid w:val="001B0652"/>
    <w:rsid w:val="001B3796"/>
    <w:rsid w:val="001C322B"/>
    <w:rsid w:val="001C6078"/>
    <w:rsid w:val="001D2262"/>
    <w:rsid w:val="001D300D"/>
    <w:rsid w:val="001D74B1"/>
    <w:rsid w:val="001E0A84"/>
    <w:rsid w:val="001E11BD"/>
    <w:rsid w:val="001E1968"/>
    <w:rsid w:val="001F2CA8"/>
    <w:rsid w:val="002237BF"/>
    <w:rsid w:val="00226263"/>
    <w:rsid w:val="00227CA3"/>
    <w:rsid w:val="00236137"/>
    <w:rsid w:val="00241379"/>
    <w:rsid w:val="00243949"/>
    <w:rsid w:val="00244C92"/>
    <w:rsid w:val="00244E9E"/>
    <w:rsid w:val="002529A1"/>
    <w:rsid w:val="0026613F"/>
    <w:rsid w:val="00266826"/>
    <w:rsid w:val="00266A63"/>
    <w:rsid w:val="00267814"/>
    <w:rsid w:val="00290105"/>
    <w:rsid w:val="002A3726"/>
    <w:rsid w:val="002A3C75"/>
    <w:rsid w:val="002A3CF0"/>
    <w:rsid w:val="002A4871"/>
    <w:rsid w:val="002B3515"/>
    <w:rsid w:val="002B7163"/>
    <w:rsid w:val="002C0AC9"/>
    <w:rsid w:val="002C4DAC"/>
    <w:rsid w:val="002C74FB"/>
    <w:rsid w:val="002D27AC"/>
    <w:rsid w:val="002D3410"/>
    <w:rsid w:val="002D3BCA"/>
    <w:rsid w:val="002D5E1A"/>
    <w:rsid w:val="002D73E8"/>
    <w:rsid w:val="00302803"/>
    <w:rsid w:val="003062F9"/>
    <w:rsid w:val="00324223"/>
    <w:rsid w:val="0034075D"/>
    <w:rsid w:val="003440F7"/>
    <w:rsid w:val="00345347"/>
    <w:rsid w:val="00351531"/>
    <w:rsid w:val="003A029E"/>
    <w:rsid w:val="003A2F84"/>
    <w:rsid w:val="003A3010"/>
    <w:rsid w:val="003B157B"/>
    <w:rsid w:val="003B3EA4"/>
    <w:rsid w:val="003B4600"/>
    <w:rsid w:val="003C761C"/>
    <w:rsid w:val="003E0CEF"/>
    <w:rsid w:val="003E3100"/>
    <w:rsid w:val="003E7B87"/>
    <w:rsid w:val="003F3E94"/>
    <w:rsid w:val="003F6ED5"/>
    <w:rsid w:val="00402271"/>
    <w:rsid w:val="00411E86"/>
    <w:rsid w:val="00415069"/>
    <w:rsid w:val="004212FE"/>
    <w:rsid w:val="00425B9C"/>
    <w:rsid w:val="00426AF3"/>
    <w:rsid w:val="00427CA1"/>
    <w:rsid w:val="00431A00"/>
    <w:rsid w:val="004322FB"/>
    <w:rsid w:val="00441B2A"/>
    <w:rsid w:val="0044553D"/>
    <w:rsid w:val="004509F5"/>
    <w:rsid w:val="004533DC"/>
    <w:rsid w:val="004569D6"/>
    <w:rsid w:val="00457CA1"/>
    <w:rsid w:val="004613EE"/>
    <w:rsid w:val="00461803"/>
    <w:rsid w:val="00465FD1"/>
    <w:rsid w:val="00470E2B"/>
    <w:rsid w:val="004712AD"/>
    <w:rsid w:val="00472737"/>
    <w:rsid w:val="00476EDC"/>
    <w:rsid w:val="00481F32"/>
    <w:rsid w:val="00490E20"/>
    <w:rsid w:val="004A1451"/>
    <w:rsid w:val="004A3979"/>
    <w:rsid w:val="004A3AEF"/>
    <w:rsid w:val="004A3B1A"/>
    <w:rsid w:val="004A7C98"/>
    <w:rsid w:val="004B5547"/>
    <w:rsid w:val="004B63AC"/>
    <w:rsid w:val="004C625F"/>
    <w:rsid w:val="004C7273"/>
    <w:rsid w:val="004D13DC"/>
    <w:rsid w:val="004D2B77"/>
    <w:rsid w:val="004D3940"/>
    <w:rsid w:val="004D7054"/>
    <w:rsid w:val="004E72D0"/>
    <w:rsid w:val="004F1A6E"/>
    <w:rsid w:val="004F6277"/>
    <w:rsid w:val="004F6697"/>
    <w:rsid w:val="00501E01"/>
    <w:rsid w:val="00512BE1"/>
    <w:rsid w:val="00525B75"/>
    <w:rsid w:val="00525EDD"/>
    <w:rsid w:val="005260FA"/>
    <w:rsid w:val="005315D5"/>
    <w:rsid w:val="00533231"/>
    <w:rsid w:val="005341DC"/>
    <w:rsid w:val="0053566C"/>
    <w:rsid w:val="00541161"/>
    <w:rsid w:val="00541BF2"/>
    <w:rsid w:val="0055030A"/>
    <w:rsid w:val="00556383"/>
    <w:rsid w:val="0056073A"/>
    <w:rsid w:val="00561192"/>
    <w:rsid w:val="00562A8E"/>
    <w:rsid w:val="00571581"/>
    <w:rsid w:val="00571CCF"/>
    <w:rsid w:val="00581ACC"/>
    <w:rsid w:val="0058608D"/>
    <w:rsid w:val="00587787"/>
    <w:rsid w:val="00590D2E"/>
    <w:rsid w:val="005913D8"/>
    <w:rsid w:val="005935EE"/>
    <w:rsid w:val="00597243"/>
    <w:rsid w:val="005A27F9"/>
    <w:rsid w:val="005B7A31"/>
    <w:rsid w:val="005C00FB"/>
    <w:rsid w:val="005C2E96"/>
    <w:rsid w:val="005C4793"/>
    <w:rsid w:val="005C7441"/>
    <w:rsid w:val="005D2509"/>
    <w:rsid w:val="005E0F27"/>
    <w:rsid w:val="005E445F"/>
    <w:rsid w:val="005E5B5A"/>
    <w:rsid w:val="005F53D2"/>
    <w:rsid w:val="00600DDB"/>
    <w:rsid w:val="00607674"/>
    <w:rsid w:val="006145DA"/>
    <w:rsid w:val="00614CF6"/>
    <w:rsid w:val="00615DDE"/>
    <w:rsid w:val="00616202"/>
    <w:rsid w:val="00624693"/>
    <w:rsid w:val="00641C31"/>
    <w:rsid w:val="00642131"/>
    <w:rsid w:val="00651FB6"/>
    <w:rsid w:val="006731AB"/>
    <w:rsid w:val="006829C4"/>
    <w:rsid w:val="00686ED4"/>
    <w:rsid w:val="006936F7"/>
    <w:rsid w:val="0069499D"/>
    <w:rsid w:val="0069799B"/>
    <w:rsid w:val="006A45E1"/>
    <w:rsid w:val="006A5B14"/>
    <w:rsid w:val="006A6FBD"/>
    <w:rsid w:val="006B4E10"/>
    <w:rsid w:val="006B5512"/>
    <w:rsid w:val="006B6693"/>
    <w:rsid w:val="006C35DB"/>
    <w:rsid w:val="006D3FA3"/>
    <w:rsid w:val="006E2CBF"/>
    <w:rsid w:val="006F090C"/>
    <w:rsid w:val="006F1817"/>
    <w:rsid w:val="006F445E"/>
    <w:rsid w:val="007015A9"/>
    <w:rsid w:val="0070283C"/>
    <w:rsid w:val="00704ACB"/>
    <w:rsid w:val="00705A64"/>
    <w:rsid w:val="00720EC8"/>
    <w:rsid w:val="00722B5C"/>
    <w:rsid w:val="00731A3D"/>
    <w:rsid w:val="00733B48"/>
    <w:rsid w:val="00736369"/>
    <w:rsid w:val="0073692E"/>
    <w:rsid w:val="00743FCA"/>
    <w:rsid w:val="00744509"/>
    <w:rsid w:val="00745778"/>
    <w:rsid w:val="00753B55"/>
    <w:rsid w:val="00756B27"/>
    <w:rsid w:val="00761EC3"/>
    <w:rsid w:val="007715C1"/>
    <w:rsid w:val="00772063"/>
    <w:rsid w:val="0077271C"/>
    <w:rsid w:val="0077455C"/>
    <w:rsid w:val="00774917"/>
    <w:rsid w:val="00775D04"/>
    <w:rsid w:val="007775FB"/>
    <w:rsid w:val="00780E07"/>
    <w:rsid w:val="00791BD3"/>
    <w:rsid w:val="00797893"/>
    <w:rsid w:val="007A1DAE"/>
    <w:rsid w:val="007A4EB3"/>
    <w:rsid w:val="007A5624"/>
    <w:rsid w:val="007B4E88"/>
    <w:rsid w:val="007B6F8C"/>
    <w:rsid w:val="007C116B"/>
    <w:rsid w:val="007C3509"/>
    <w:rsid w:val="007C44CC"/>
    <w:rsid w:val="007C7925"/>
    <w:rsid w:val="007D165F"/>
    <w:rsid w:val="007D6703"/>
    <w:rsid w:val="007D7F1F"/>
    <w:rsid w:val="007F4812"/>
    <w:rsid w:val="008113B8"/>
    <w:rsid w:val="00817D77"/>
    <w:rsid w:val="00820AAF"/>
    <w:rsid w:val="008324F2"/>
    <w:rsid w:val="00834008"/>
    <w:rsid w:val="0083537B"/>
    <w:rsid w:val="00840995"/>
    <w:rsid w:val="00840C9F"/>
    <w:rsid w:val="00845ED0"/>
    <w:rsid w:val="0085120E"/>
    <w:rsid w:val="00851D72"/>
    <w:rsid w:val="00856452"/>
    <w:rsid w:val="008573EA"/>
    <w:rsid w:val="00863D56"/>
    <w:rsid w:val="0087009D"/>
    <w:rsid w:val="008712C5"/>
    <w:rsid w:val="00882FE7"/>
    <w:rsid w:val="008942E7"/>
    <w:rsid w:val="008A030A"/>
    <w:rsid w:val="008A0E39"/>
    <w:rsid w:val="008B4A82"/>
    <w:rsid w:val="008C0DD6"/>
    <w:rsid w:val="008C3692"/>
    <w:rsid w:val="008C5443"/>
    <w:rsid w:val="008C7EA2"/>
    <w:rsid w:val="008D1715"/>
    <w:rsid w:val="008D7F27"/>
    <w:rsid w:val="008E1B83"/>
    <w:rsid w:val="008E7C8D"/>
    <w:rsid w:val="008F55BE"/>
    <w:rsid w:val="00901A96"/>
    <w:rsid w:val="009107DC"/>
    <w:rsid w:val="00911ADF"/>
    <w:rsid w:val="00911D0F"/>
    <w:rsid w:val="00913FE0"/>
    <w:rsid w:val="00914C16"/>
    <w:rsid w:val="0091696E"/>
    <w:rsid w:val="00917CC1"/>
    <w:rsid w:val="00920046"/>
    <w:rsid w:val="00920877"/>
    <w:rsid w:val="0092545F"/>
    <w:rsid w:val="00931FEE"/>
    <w:rsid w:val="00933B1C"/>
    <w:rsid w:val="00936395"/>
    <w:rsid w:val="00945D72"/>
    <w:rsid w:val="009460DA"/>
    <w:rsid w:val="00946217"/>
    <w:rsid w:val="00946278"/>
    <w:rsid w:val="009466D1"/>
    <w:rsid w:val="00953F27"/>
    <w:rsid w:val="00954FC2"/>
    <w:rsid w:val="0096426D"/>
    <w:rsid w:val="0097775E"/>
    <w:rsid w:val="00982451"/>
    <w:rsid w:val="00991896"/>
    <w:rsid w:val="009B5A56"/>
    <w:rsid w:val="009B6FB1"/>
    <w:rsid w:val="009C0B2F"/>
    <w:rsid w:val="009C4829"/>
    <w:rsid w:val="009C6E2C"/>
    <w:rsid w:val="009D2DA8"/>
    <w:rsid w:val="009D6898"/>
    <w:rsid w:val="009F233E"/>
    <w:rsid w:val="009F4FA8"/>
    <w:rsid w:val="009F61CF"/>
    <w:rsid w:val="00A00BAE"/>
    <w:rsid w:val="00A03EF5"/>
    <w:rsid w:val="00A046C5"/>
    <w:rsid w:val="00A138DA"/>
    <w:rsid w:val="00A13A9F"/>
    <w:rsid w:val="00A16DBD"/>
    <w:rsid w:val="00A174B7"/>
    <w:rsid w:val="00A212C9"/>
    <w:rsid w:val="00A22666"/>
    <w:rsid w:val="00A36402"/>
    <w:rsid w:val="00A53348"/>
    <w:rsid w:val="00A542CA"/>
    <w:rsid w:val="00A65EC2"/>
    <w:rsid w:val="00A73B7A"/>
    <w:rsid w:val="00A879EF"/>
    <w:rsid w:val="00A90B18"/>
    <w:rsid w:val="00A91D78"/>
    <w:rsid w:val="00A96C10"/>
    <w:rsid w:val="00A979B0"/>
    <w:rsid w:val="00AA0030"/>
    <w:rsid w:val="00AA360F"/>
    <w:rsid w:val="00AA3D1A"/>
    <w:rsid w:val="00AA767D"/>
    <w:rsid w:val="00AB6B25"/>
    <w:rsid w:val="00AC0692"/>
    <w:rsid w:val="00AC29B0"/>
    <w:rsid w:val="00AD14AC"/>
    <w:rsid w:val="00AD18E6"/>
    <w:rsid w:val="00AE5EC2"/>
    <w:rsid w:val="00B0160A"/>
    <w:rsid w:val="00B059F0"/>
    <w:rsid w:val="00B0671F"/>
    <w:rsid w:val="00B13651"/>
    <w:rsid w:val="00B1566B"/>
    <w:rsid w:val="00B25534"/>
    <w:rsid w:val="00B27394"/>
    <w:rsid w:val="00B301B2"/>
    <w:rsid w:val="00B30A33"/>
    <w:rsid w:val="00B346DE"/>
    <w:rsid w:val="00B406AF"/>
    <w:rsid w:val="00B42850"/>
    <w:rsid w:val="00B4353A"/>
    <w:rsid w:val="00B43694"/>
    <w:rsid w:val="00B46879"/>
    <w:rsid w:val="00B51C77"/>
    <w:rsid w:val="00B51E45"/>
    <w:rsid w:val="00B55AE0"/>
    <w:rsid w:val="00B56F69"/>
    <w:rsid w:val="00B578D9"/>
    <w:rsid w:val="00B6210B"/>
    <w:rsid w:val="00B741EA"/>
    <w:rsid w:val="00B7516C"/>
    <w:rsid w:val="00B75FB8"/>
    <w:rsid w:val="00B81338"/>
    <w:rsid w:val="00B86375"/>
    <w:rsid w:val="00B86B72"/>
    <w:rsid w:val="00B91612"/>
    <w:rsid w:val="00BA1534"/>
    <w:rsid w:val="00BA4AF5"/>
    <w:rsid w:val="00BA7A8B"/>
    <w:rsid w:val="00BB061B"/>
    <w:rsid w:val="00BB20F8"/>
    <w:rsid w:val="00BB5437"/>
    <w:rsid w:val="00BB58FF"/>
    <w:rsid w:val="00BC0B5D"/>
    <w:rsid w:val="00BC20CB"/>
    <w:rsid w:val="00BD0ED0"/>
    <w:rsid w:val="00BE2DE4"/>
    <w:rsid w:val="00BE63D9"/>
    <w:rsid w:val="00BF1333"/>
    <w:rsid w:val="00BF19AC"/>
    <w:rsid w:val="00BF281A"/>
    <w:rsid w:val="00BF4938"/>
    <w:rsid w:val="00C011E8"/>
    <w:rsid w:val="00C050B1"/>
    <w:rsid w:val="00C12F9B"/>
    <w:rsid w:val="00C14ED6"/>
    <w:rsid w:val="00C15563"/>
    <w:rsid w:val="00C20348"/>
    <w:rsid w:val="00C2365C"/>
    <w:rsid w:val="00C23B87"/>
    <w:rsid w:val="00C24167"/>
    <w:rsid w:val="00C33ACF"/>
    <w:rsid w:val="00C409D0"/>
    <w:rsid w:val="00C609C9"/>
    <w:rsid w:val="00C61448"/>
    <w:rsid w:val="00C65B4D"/>
    <w:rsid w:val="00C77C5A"/>
    <w:rsid w:val="00C804C8"/>
    <w:rsid w:val="00C91BDA"/>
    <w:rsid w:val="00C95A8E"/>
    <w:rsid w:val="00C96439"/>
    <w:rsid w:val="00CA10A9"/>
    <w:rsid w:val="00CA34B3"/>
    <w:rsid w:val="00CA4A4E"/>
    <w:rsid w:val="00CB12AE"/>
    <w:rsid w:val="00CB21F9"/>
    <w:rsid w:val="00CB2ABF"/>
    <w:rsid w:val="00CB5869"/>
    <w:rsid w:val="00CB6AA6"/>
    <w:rsid w:val="00CB6EA7"/>
    <w:rsid w:val="00CC04E8"/>
    <w:rsid w:val="00CC0AF3"/>
    <w:rsid w:val="00CC1CC6"/>
    <w:rsid w:val="00CC591B"/>
    <w:rsid w:val="00CC5E67"/>
    <w:rsid w:val="00CD07A5"/>
    <w:rsid w:val="00CD20A8"/>
    <w:rsid w:val="00CF2C02"/>
    <w:rsid w:val="00D07165"/>
    <w:rsid w:val="00D13604"/>
    <w:rsid w:val="00D1613E"/>
    <w:rsid w:val="00D20FD1"/>
    <w:rsid w:val="00D2193B"/>
    <w:rsid w:val="00D26519"/>
    <w:rsid w:val="00D30029"/>
    <w:rsid w:val="00D31B0C"/>
    <w:rsid w:val="00D327BF"/>
    <w:rsid w:val="00D336CC"/>
    <w:rsid w:val="00D35825"/>
    <w:rsid w:val="00D35D29"/>
    <w:rsid w:val="00D41C5D"/>
    <w:rsid w:val="00D44E65"/>
    <w:rsid w:val="00D55A8D"/>
    <w:rsid w:val="00D5735E"/>
    <w:rsid w:val="00D60FD3"/>
    <w:rsid w:val="00D727A8"/>
    <w:rsid w:val="00D75D48"/>
    <w:rsid w:val="00D8207F"/>
    <w:rsid w:val="00D86F80"/>
    <w:rsid w:val="00D93F22"/>
    <w:rsid w:val="00DA030E"/>
    <w:rsid w:val="00DA141A"/>
    <w:rsid w:val="00DA24BD"/>
    <w:rsid w:val="00DA5071"/>
    <w:rsid w:val="00DA5EEC"/>
    <w:rsid w:val="00DA64AE"/>
    <w:rsid w:val="00DB049E"/>
    <w:rsid w:val="00DB2867"/>
    <w:rsid w:val="00DB6774"/>
    <w:rsid w:val="00DC0A81"/>
    <w:rsid w:val="00DC2B07"/>
    <w:rsid w:val="00DE53D8"/>
    <w:rsid w:val="00DF0191"/>
    <w:rsid w:val="00DF0D2E"/>
    <w:rsid w:val="00E04ADA"/>
    <w:rsid w:val="00E07153"/>
    <w:rsid w:val="00E104D4"/>
    <w:rsid w:val="00E12828"/>
    <w:rsid w:val="00E31AF9"/>
    <w:rsid w:val="00E40973"/>
    <w:rsid w:val="00E41E07"/>
    <w:rsid w:val="00E429EB"/>
    <w:rsid w:val="00E4381D"/>
    <w:rsid w:val="00E53761"/>
    <w:rsid w:val="00E5739B"/>
    <w:rsid w:val="00E6221F"/>
    <w:rsid w:val="00E665EF"/>
    <w:rsid w:val="00E80870"/>
    <w:rsid w:val="00E969B8"/>
    <w:rsid w:val="00EB5F28"/>
    <w:rsid w:val="00EC6A0F"/>
    <w:rsid w:val="00EE094A"/>
    <w:rsid w:val="00EE0D9B"/>
    <w:rsid w:val="00EE6050"/>
    <w:rsid w:val="00EF1733"/>
    <w:rsid w:val="00EF3475"/>
    <w:rsid w:val="00EF3CB1"/>
    <w:rsid w:val="00F05429"/>
    <w:rsid w:val="00F05E46"/>
    <w:rsid w:val="00F1792F"/>
    <w:rsid w:val="00F26999"/>
    <w:rsid w:val="00F31280"/>
    <w:rsid w:val="00F32219"/>
    <w:rsid w:val="00F342EA"/>
    <w:rsid w:val="00F344C6"/>
    <w:rsid w:val="00F3751E"/>
    <w:rsid w:val="00F451EC"/>
    <w:rsid w:val="00F724FC"/>
    <w:rsid w:val="00F85ADD"/>
    <w:rsid w:val="00F87A4C"/>
    <w:rsid w:val="00FA248A"/>
    <w:rsid w:val="00FB032A"/>
    <w:rsid w:val="00FB7079"/>
    <w:rsid w:val="00FB7D66"/>
    <w:rsid w:val="00FC326D"/>
    <w:rsid w:val="00FC4EA9"/>
    <w:rsid w:val="00FD0FCC"/>
    <w:rsid w:val="00FD1661"/>
    <w:rsid w:val="00FD3957"/>
    <w:rsid w:val="00FD4C18"/>
    <w:rsid w:val="00FD5ECB"/>
    <w:rsid w:val="00FE6565"/>
    <w:rsid w:val="00FE7E60"/>
    <w:rsid w:val="01B0B1D6"/>
    <w:rsid w:val="1D9FF637"/>
    <w:rsid w:val="2A3013C7"/>
    <w:rsid w:val="2AA190FD"/>
    <w:rsid w:val="2E02342D"/>
    <w:rsid w:val="37F7F1E8"/>
    <w:rsid w:val="4805AFEA"/>
    <w:rsid w:val="7C4ECE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2AE9F5E"/>
  <w15:chartTrackingRefBased/>
  <w15:docId w15:val="{4A676B37-7970-4599-8516-7A1476C7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AB6B25"/>
    <w:rPr>
      <w:color w:val="0000FF"/>
      <w:shd w:val="clear" w:color="auto" w:fill="auto"/>
    </w:rPr>
  </w:style>
  <w:style w:type="paragraph" w:customStyle="1" w:styleId="Pagedecouverture">
    <w:name w:val="Page de couverture"/>
    <w:basedOn w:val="Normal"/>
    <w:next w:val="Normal"/>
    <w:rsid w:val="0026613F"/>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266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3F"/>
  </w:style>
  <w:style w:type="paragraph" w:styleId="Footer">
    <w:name w:val="footer"/>
    <w:basedOn w:val="Normal"/>
    <w:link w:val="FooterChar"/>
    <w:uiPriority w:val="99"/>
    <w:unhideWhenUsed/>
    <w:rsid w:val="00266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3F"/>
  </w:style>
  <w:style w:type="paragraph" w:customStyle="1" w:styleId="FooterCoverPage">
    <w:name w:val="Footer Cover Page"/>
    <w:basedOn w:val="Normal"/>
    <w:link w:val="FooterCoverPageChar"/>
    <w:rsid w:val="0026613F"/>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26613F"/>
    <w:rPr>
      <w:rFonts w:ascii="Times New Roman" w:hAnsi="Times New Roman" w:cs="Times New Roman"/>
      <w:sz w:val="24"/>
    </w:rPr>
  </w:style>
  <w:style w:type="paragraph" w:customStyle="1" w:styleId="FooterSensitivity">
    <w:name w:val="Footer Sensitivity"/>
    <w:basedOn w:val="Normal"/>
    <w:link w:val="FooterSensitivityChar"/>
    <w:rsid w:val="0026613F"/>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26613F"/>
    <w:rPr>
      <w:rFonts w:ascii="Times New Roman" w:hAnsi="Times New Roman" w:cs="Times New Roman"/>
      <w:b/>
      <w:sz w:val="32"/>
    </w:rPr>
  </w:style>
  <w:style w:type="paragraph" w:customStyle="1" w:styleId="HeaderCoverPage">
    <w:name w:val="Header Cover Page"/>
    <w:basedOn w:val="Normal"/>
    <w:link w:val="HeaderCoverPageChar"/>
    <w:rsid w:val="0026613F"/>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26613F"/>
    <w:rPr>
      <w:rFonts w:ascii="Times New Roman" w:hAnsi="Times New Roman" w:cs="Times New Roman"/>
      <w:sz w:val="24"/>
    </w:rPr>
  </w:style>
  <w:style w:type="paragraph" w:customStyle="1" w:styleId="HeaderSensitivity">
    <w:name w:val="Header Sensitivity"/>
    <w:basedOn w:val="Normal"/>
    <w:link w:val="HeaderSensitivityChar"/>
    <w:rsid w:val="0026613F"/>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26613F"/>
    <w:rPr>
      <w:rFonts w:ascii="Times New Roman" w:hAnsi="Times New Roman" w:cs="Times New Roman"/>
      <w:b/>
      <w:sz w:val="32"/>
    </w:rPr>
  </w:style>
  <w:style w:type="paragraph" w:customStyle="1" w:styleId="HeaderSensitivityRight">
    <w:name w:val="Header Sensitivity Right"/>
    <w:basedOn w:val="Normal"/>
    <w:link w:val="HeaderSensitivityRightChar"/>
    <w:rsid w:val="005260F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26613F"/>
    <w:rPr>
      <w:rFonts w:ascii="Times New Roman" w:hAnsi="Times New Roman" w:cs="Times New Roman"/>
      <w:sz w:val="28"/>
    </w:rPr>
  </w:style>
  <w:style w:type="table" w:styleId="TableGrid">
    <w:name w:val="Table Grid"/>
    <w:basedOn w:val="TableNormal"/>
    <w:uiPriority w:val="59"/>
    <w:rsid w:val="00F05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iche List Paragraph,Dot pt,F5 List Paragraph,List Paragraph1,No Spacing1,List Paragraph Char Char Char,Indicator Text,Numbered Para 1,Bullet Points,MAIN CONTENT,List Paragraph12,Bullet 1,OBC Bullet,Colorful List - Accent 11,Task Body,N,L"/>
    <w:basedOn w:val="Normal"/>
    <w:link w:val="ListParagraphChar"/>
    <w:qFormat/>
    <w:rsid w:val="005E5B5A"/>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sid w:val="00840C9F"/>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sid w:val="00840C9F"/>
    <w:rPr>
      <w:rFonts w:ascii="Times New Roman" w:eastAsiaTheme="minorEastAsia" w:hAnsi="Times New Roman" w:cs="Times New Roman"/>
      <w:sz w:val="20"/>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uiPriority w:val="99"/>
    <w:unhideWhenUsed/>
    <w:qFormat/>
    <w:rsid w:val="00840C9F"/>
    <w:rPr>
      <w:vertAlign w:val="superscript"/>
    </w:rPr>
  </w:style>
  <w:style w:type="character" w:styleId="CommentReference">
    <w:name w:val="annotation reference"/>
    <w:basedOn w:val="DefaultParagraphFont"/>
    <w:uiPriority w:val="99"/>
    <w:unhideWhenUsed/>
    <w:qFormat/>
    <w:rsid w:val="000B3F60"/>
    <w:rPr>
      <w:sz w:val="16"/>
      <w:szCs w:val="16"/>
    </w:rPr>
  </w:style>
  <w:style w:type="paragraph" w:styleId="CommentText">
    <w:name w:val="annotation text"/>
    <w:aliases w:val="Char2"/>
    <w:basedOn w:val="Normal"/>
    <w:link w:val="CommentTextChar"/>
    <w:uiPriority w:val="99"/>
    <w:unhideWhenUsed/>
    <w:qFormat/>
    <w:rsid w:val="000B3F60"/>
    <w:pPr>
      <w:spacing w:line="240" w:lineRule="auto"/>
    </w:pPr>
    <w:rPr>
      <w:sz w:val="20"/>
      <w:szCs w:val="20"/>
    </w:rPr>
  </w:style>
  <w:style w:type="character" w:customStyle="1" w:styleId="CommentTextChar">
    <w:name w:val="Comment Text Char"/>
    <w:aliases w:val="Char2 Char"/>
    <w:basedOn w:val="DefaultParagraphFont"/>
    <w:link w:val="CommentText"/>
    <w:uiPriority w:val="99"/>
    <w:qFormat/>
    <w:rsid w:val="000B3F60"/>
    <w:rPr>
      <w:sz w:val="20"/>
      <w:szCs w:val="20"/>
    </w:rPr>
  </w:style>
  <w:style w:type="paragraph" w:styleId="CommentSubject">
    <w:name w:val="annotation subject"/>
    <w:basedOn w:val="CommentText"/>
    <w:next w:val="CommentText"/>
    <w:link w:val="CommentSubjectChar"/>
    <w:uiPriority w:val="99"/>
    <w:semiHidden/>
    <w:unhideWhenUsed/>
    <w:rsid w:val="000B3F60"/>
    <w:rPr>
      <w:b/>
      <w:bCs/>
    </w:rPr>
  </w:style>
  <w:style w:type="character" w:customStyle="1" w:styleId="CommentSubjectChar">
    <w:name w:val="Comment Subject Char"/>
    <w:basedOn w:val="CommentTextChar"/>
    <w:link w:val="CommentSubject"/>
    <w:uiPriority w:val="99"/>
    <w:semiHidden/>
    <w:rsid w:val="000B3F60"/>
    <w:rPr>
      <w:b/>
      <w:bCs/>
      <w:sz w:val="20"/>
      <w:szCs w:val="20"/>
    </w:rPr>
  </w:style>
  <w:style w:type="paragraph" w:styleId="BalloonText">
    <w:name w:val="Balloon Text"/>
    <w:basedOn w:val="Normal"/>
    <w:link w:val="BalloonTextChar"/>
    <w:uiPriority w:val="99"/>
    <w:semiHidden/>
    <w:unhideWhenUsed/>
    <w:rsid w:val="000B3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60"/>
    <w:rPr>
      <w:rFonts w:ascii="Segoe UI" w:hAnsi="Segoe UI" w:cs="Segoe UI"/>
      <w:sz w:val="18"/>
      <w:szCs w:val="18"/>
    </w:rPr>
  </w:style>
  <w:style w:type="paragraph" w:styleId="Revision">
    <w:name w:val="Revision"/>
    <w:hidden/>
    <w:uiPriority w:val="99"/>
    <w:semiHidden/>
    <w:rsid w:val="007D6703"/>
    <w:pPr>
      <w:spacing w:after="0" w:line="240" w:lineRule="auto"/>
    </w:pPr>
  </w:style>
  <w:style w:type="character" w:customStyle="1" w:styleId="ListParagraphChar">
    <w:name w:val="List Paragraph Char"/>
    <w:aliases w:val="Fiche List Paragraph Char,Dot pt Char,F5 List Paragraph Char,List Paragraph1 Char,No Spacing1 Char,List Paragraph Char Char Char Char,Indicator Text Char,Numbered Para 1 Char,Bullet Points Char,MAIN CONTENT Char,List Paragraph12 Char"/>
    <w:link w:val="ListParagraph"/>
    <w:uiPriority w:val="34"/>
    <w:qFormat/>
    <w:rsid w:val="00BF4938"/>
  </w:style>
  <w:style w:type="paragraph" w:customStyle="1" w:styleId="Disclaimer">
    <w:name w:val="Disclaimer"/>
    <w:basedOn w:val="Normal"/>
    <w:rsid w:val="005260FA"/>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rsid w:val="005260FA"/>
    <w:pPr>
      <w:spacing w:after="0"/>
      <w:ind w:left="5103"/>
    </w:pPr>
    <w:rPr>
      <w:rFonts w:ascii="Times New Roman" w:hAnsi="Times New Roman" w:cs="Times New Roman"/>
      <w:sz w:val="28"/>
    </w:rPr>
  </w:style>
  <w:style w:type="paragraph" w:customStyle="1" w:styleId="DateMarking">
    <w:name w:val="DateMarking"/>
    <w:basedOn w:val="Normal"/>
    <w:rsid w:val="005260FA"/>
    <w:pPr>
      <w:spacing w:after="0"/>
      <w:ind w:left="5103"/>
    </w:pPr>
    <w:rPr>
      <w:rFonts w:ascii="Times New Roman" w:hAnsi="Times New Roman" w:cs="Times New Roman"/>
      <w:i/>
      <w:sz w:val="28"/>
    </w:rPr>
  </w:style>
  <w:style w:type="paragraph" w:customStyle="1" w:styleId="ReleasableTo">
    <w:name w:val="ReleasableTo"/>
    <w:basedOn w:val="Normal"/>
    <w:rsid w:val="005260FA"/>
    <w:pPr>
      <w:spacing w:after="0"/>
      <w:ind w:left="5103"/>
    </w:pPr>
    <w:rPr>
      <w:rFonts w:ascii="Times New Roman" w:hAnsi="Times New Roman" w:cs="Times New Roman"/>
      <w:i/>
      <w:sz w:val="28"/>
    </w:rPr>
  </w:style>
  <w:style w:type="character" w:styleId="Hyperlink">
    <w:name w:val="Hyperlink"/>
    <w:basedOn w:val="DefaultParagraphFont"/>
    <w:uiPriority w:val="99"/>
    <w:unhideWhenUsed/>
    <w:rsid w:val="00B42850"/>
    <w:rPr>
      <w:color w:val="0000FF" w:themeColor="hyperlink"/>
      <w:u w:val="single"/>
    </w:rPr>
  </w:style>
  <w:style w:type="paragraph" w:customStyle="1" w:styleId="TechnicalBlock">
    <w:name w:val="Technical Block"/>
    <w:basedOn w:val="Normal"/>
    <w:link w:val="TechnicalBlockChar"/>
    <w:rsid w:val="00AB6B25"/>
    <w:pPr>
      <w:spacing w:after="240" w:line="240" w:lineRule="auto"/>
      <w:jc w:val="center"/>
    </w:pPr>
  </w:style>
  <w:style w:type="character" w:customStyle="1" w:styleId="TechnicalBlockChar">
    <w:name w:val="Technical Block Char"/>
    <w:basedOn w:val="DefaultParagraphFont"/>
    <w:link w:val="TechnicalBlock"/>
    <w:rsid w:val="00AB6B25"/>
  </w:style>
  <w:style w:type="paragraph" w:customStyle="1" w:styleId="EntText">
    <w:name w:val="EntText"/>
    <w:basedOn w:val="Normal"/>
    <w:rsid w:val="00AB6B25"/>
    <w:pPr>
      <w:spacing w:before="120" w:after="120" w:line="360" w:lineRule="auto"/>
    </w:pPr>
    <w:rPr>
      <w:rFonts w:ascii="Times New Roman" w:hAnsi="Times New Roman" w:cs="Times New Roman"/>
      <w:sz w:val="24"/>
    </w:rPr>
  </w:style>
  <w:style w:type="paragraph" w:customStyle="1" w:styleId="Lignefinal">
    <w:name w:val="Ligne final"/>
    <w:basedOn w:val="Normal"/>
    <w:next w:val="Normal"/>
    <w:rsid w:val="00AB6B25"/>
    <w:pPr>
      <w:pBdr>
        <w:bottom w:val="single" w:sz="4" w:space="0" w:color="000000"/>
      </w:pBdr>
      <w:spacing w:before="360" w:after="120" w:line="360" w:lineRule="auto"/>
      <w:ind w:left="3400" w:right="3400"/>
      <w:jc w:val="center"/>
    </w:pPr>
    <w:rPr>
      <w:rFonts w:ascii="Times New Roman" w:hAnsi="Times New Roman" w:cs="Times New Roman"/>
      <w:b/>
      <w:sz w:val="24"/>
    </w:rPr>
  </w:style>
  <w:style w:type="paragraph" w:customStyle="1" w:styleId="pj">
    <w:name w:val="p.j."/>
    <w:basedOn w:val="Normal"/>
    <w:link w:val="pjChar"/>
    <w:rsid w:val="00AB6B25"/>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AB6B25"/>
    <w:rPr>
      <w:rFonts w:ascii="Times New Roman" w:hAnsi="Times New Roman" w:cs="Times New Roman"/>
      <w:sz w:val="24"/>
    </w:rPr>
  </w:style>
  <w:style w:type="paragraph" w:customStyle="1" w:styleId="nbbordered">
    <w:name w:val="nb bordered"/>
    <w:basedOn w:val="Normal"/>
    <w:link w:val="nbborderedChar"/>
    <w:rsid w:val="00AB6B25"/>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AB6B25"/>
    <w:rPr>
      <w:rFonts w:ascii="Times New Roman" w:hAnsi="Times New Roman" w:cs="Times New Roman"/>
      <w:b/>
      <w:sz w:val="24"/>
    </w:rPr>
  </w:style>
  <w:style w:type="paragraph" w:customStyle="1" w:styleId="HeaderCouncil">
    <w:name w:val="Header Council"/>
    <w:basedOn w:val="Normal"/>
    <w:link w:val="HeaderCouncilChar"/>
    <w:rsid w:val="00AB6B25"/>
    <w:pPr>
      <w:spacing w:after="0"/>
    </w:pPr>
    <w:rPr>
      <w:noProof/>
      <w:sz w:val="2"/>
    </w:rPr>
  </w:style>
  <w:style w:type="character" w:customStyle="1" w:styleId="HeaderCouncilChar">
    <w:name w:val="Header Council Char"/>
    <w:basedOn w:val="DefaultParagraphFont"/>
    <w:link w:val="HeaderCouncil"/>
    <w:rsid w:val="00AB6B25"/>
    <w:rPr>
      <w:noProof/>
      <w:sz w:val="2"/>
    </w:rPr>
  </w:style>
  <w:style w:type="paragraph" w:customStyle="1" w:styleId="HeaderCouncilLarge">
    <w:name w:val="Header Council Large"/>
    <w:basedOn w:val="Normal"/>
    <w:link w:val="HeaderCouncilLargeChar"/>
    <w:rsid w:val="00AB6B25"/>
    <w:pPr>
      <w:spacing w:after="440"/>
    </w:pPr>
    <w:rPr>
      <w:noProof/>
      <w:sz w:val="2"/>
    </w:rPr>
  </w:style>
  <w:style w:type="character" w:customStyle="1" w:styleId="HeaderCouncilLargeChar">
    <w:name w:val="Header Council Large Char"/>
    <w:basedOn w:val="DefaultParagraphFont"/>
    <w:link w:val="HeaderCouncilLarge"/>
    <w:rsid w:val="00AB6B25"/>
    <w:rPr>
      <w:noProof/>
      <w:sz w:val="2"/>
    </w:rPr>
  </w:style>
  <w:style w:type="paragraph" w:customStyle="1" w:styleId="FooterCouncil">
    <w:name w:val="Footer Council"/>
    <w:basedOn w:val="Normal"/>
    <w:link w:val="FooterCouncilChar"/>
    <w:rsid w:val="00AB6B25"/>
    <w:pPr>
      <w:spacing w:after="0"/>
    </w:pPr>
    <w:rPr>
      <w:noProof/>
      <w:sz w:val="2"/>
    </w:rPr>
  </w:style>
  <w:style w:type="character" w:customStyle="1" w:styleId="FooterCouncilChar">
    <w:name w:val="Footer Council Char"/>
    <w:basedOn w:val="DefaultParagraphFont"/>
    <w:link w:val="FooterCouncil"/>
    <w:rsid w:val="00AB6B25"/>
    <w:rPr>
      <w:noProof/>
      <w:sz w:val="2"/>
    </w:rPr>
  </w:style>
  <w:style w:type="paragraph" w:customStyle="1" w:styleId="FooterText">
    <w:name w:val="Footer Text"/>
    <w:basedOn w:val="Normal"/>
    <w:rsid w:val="00AB6B25"/>
    <w:pPr>
      <w:spacing w:after="0" w:line="240" w:lineRule="auto"/>
    </w:pPr>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AB6B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0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2.emf"/><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FCA6FA0EB6ADF478413A83FBB6A4199" ma:contentTypeVersion="11" ma:contentTypeDescription="Create a new document." ma:contentTypeScope="" ma:versionID="f47e4b5ccadc662c74c272346718da2f">
  <xsd:schema xmlns:xsd="http://www.w3.org/2001/XMLSchema" xmlns:xs="http://www.w3.org/2001/XMLSchema" xmlns:p="http://schemas.microsoft.com/office/2006/metadata/properties" xmlns:ns3="5197db9a-685a-4e31-8b8f-566cbdbb5048" xmlns:ns4="866aabb8-7ec2-447a-a7ff-f911015037e7" targetNamespace="http://schemas.microsoft.com/office/2006/metadata/properties" ma:root="true" ma:fieldsID="e82dcf3cc06f3f9d07c04f93b944d211" ns3:_="" ns4:_="">
    <xsd:import namespace="5197db9a-685a-4e31-8b8f-566cbdbb5048"/>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7db9a-685a-4e31-8b8f-566cbdbb504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_Collab_DocumentLanguage xmlns="5197db9a-685a-4e31-8b8f-566cbdbb5048">EN</EC_Collab_DocumentLanguage>
    <EC_Collab_Reference xmlns="5197db9a-685a-4e31-8b8f-566cbdbb5048" xsi:nil="true"/>
    <_dlc_DocId xmlns="866aabb8-7ec2-447a-a7ff-f911015037e7">UVNUSV5RWJH5-1676204257-2355</_dlc_DocId>
    <_dlc_DocIdUrl xmlns="866aabb8-7ec2-447a-a7ff-f911015037e7">
      <Url>https://myintracomm-collab.ec.europa.eu/dg/CONNECT/directorateI/UnitI1/_layouts/15/DocIdRedir.aspx?ID=UVNUSV5RWJH5-1676204257-2355</Url>
      <Description>UVNUSV5RWJH5-1676204257-2355</Description>
    </_dlc_DocIdUrl>
  </documentManagement>
</p:properties>
</file>

<file path=customXml/itemProps1.xml><?xml version="1.0" encoding="utf-8"?>
<ds:datastoreItem xmlns:ds="http://schemas.openxmlformats.org/officeDocument/2006/customXml" ds:itemID="{CE67AF90-9E7C-4324-B9C2-45C90A6E2E0F}">
  <ds:schemaRefs>
    <ds:schemaRef ds:uri="http://schemas.openxmlformats.org/officeDocument/2006/bibliography"/>
  </ds:schemaRefs>
</ds:datastoreItem>
</file>

<file path=customXml/itemProps2.xml><?xml version="1.0" encoding="utf-8"?>
<ds:datastoreItem xmlns:ds="http://schemas.openxmlformats.org/officeDocument/2006/customXml" ds:itemID="{CAFAE2D9-C100-41A7-9325-DA52764D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7db9a-685a-4e31-8b8f-566cbdbb5048"/>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2F35E-6F3D-4AF8-B6CF-5DB141F22408}">
  <ds:schemaRefs>
    <ds:schemaRef ds:uri="http://schemas.microsoft.com/sharepoint/events"/>
  </ds:schemaRefs>
</ds:datastoreItem>
</file>

<file path=customXml/itemProps4.xml><?xml version="1.0" encoding="utf-8"?>
<ds:datastoreItem xmlns:ds="http://schemas.openxmlformats.org/officeDocument/2006/customXml" ds:itemID="{1D666A64-2F9F-4FF0-B3EE-2BA68B92AF50}">
  <ds:schemaRefs>
    <ds:schemaRef ds:uri="http://schemas.microsoft.com/sharepoint/v3/contenttype/forms"/>
  </ds:schemaRefs>
</ds:datastoreItem>
</file>

<file path=customXml/itemProps5.xml><?xml version="1.0" encoding="utf-8"?>
<ds:datastoreItem xmlns:ds="http://schemas.openxmlformats.org/officeDocument/2006/customXml" ds:itemID="{116F5981-DB51-4037-952D-90A9C659AC47}">
  <ds:schemaRefs>
    <ds:schemaRef ds:uri="5197db9a-685a-4e31-8b8f-566cbdbb504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66aabb8-7ec2-447a-a7ff-f911015037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Roman</dc:creator>
  <cp:keywords/>
  <dc:description/>
  <cp:lastModifiedBy>NOVAK Roman</cp:lastModifiedBy>
  <cp:revision>3</cp:revision>
  <dcterms:created xsi:type="dcterms:W3CDTF">2022-10-14T15:48:00Z</dcterms:created>
  <dcterms:modified xsi:type="dcterms:W3CDTF">2022-10-14T15:48:00Z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0x010100258AA79CEB83498886A3A08681123250001FCA6FA0EB6ADF478413A83FBB6A4199</vt:lpwstr>
  </property>
  <property fmtid="{D5CDD505-2E9C-101B-9397-08002B2CF9AE}" pid="3" name="Level of sensitivity">
    <vt:lpwstr>Standard treatment</vt:lpwstr>
  </property>
  <property fmtid="{D5CDD505-2E9C-101B-9397-08002B2CF9AE}" pid="4" name="Last edited using">
    <vt:lpwstr>DocuWrite 4.6.7, Build 20220519</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CP-027</vt:lpwstr>
  </property>
  <property fmtid="{D5CDD505-2E9C-101B-9397-08002B2CF9AE}" pid="9" name="MSIP_Label_6bd9ddd1-4d20-43f6-abfa-fc3c07406f94_Enabled">
    <vt:lpwstr>true</vt:lpwstr>
  </property>
  <property fmtid="{D5CDD505-2E9C-101B-9397-08002B2CF9AE}" pid="10" name="MSIP_Label_6bd9ddd1-4d20-43f6-abfa-fc3c07406f94_SetDate">
    <vt:lpwstr>2022-08-31T10:33:52Z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38a26710-65d4-4641-863a-3ec4a0d8463a</vt:lpwstr>
  </property>
  <property fmtid="{D5CDD505-2E9C-101B-9397-08002B2CF9AE}" pid="15" name="MSIP_Label_6bd9ddd1-4d20-43f6-abfa-fc3c07406f94_ContentBits">
    <vt:lpwstr>0</vt:lpwstr>
  </property>
  <property fmtid="{D5CDD505-2E9C-101B-9397-08002B2CF9AE}" pid="16" name="Created using">
    <vt:lpwstr>DocuWrite 4.6.7, Build 20220519</vt:lpwstr>
  </property>
</Properties>
</file>