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C9" w:rsidRPr="003B67C9" w:rsidRDefault="003B67C9" w:rsidP="003B67C9">
      <w:pPr>
        <w:widowControl w:val="0"/>
        <w:spacing w:after="0" w:line="260" w:lineRule="exact"/>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Priloga 1</w:t>
      </w:r>
    </w:p>
    <w:p w:rsidR="003B67C9" w:rsidRDefault="003B67C9" w:rsidP="003B67C9">
      <w:pPr>
        <w:widowControl w:val="0"/>
        <w:spacing w:after="0" w:line="260" w:lineRule="exact"/>
        <w:jc w:val="center"/>
        <w:rPr>
          <w:rFonts w:ascii="Arial" w:hAnsi="Arial" w:cs="Arial"/>
          <w:color w:val="000000"/>
          <w:sz w:val="20"/>
          <w:szCs w:val="20"/>
          <w:shd w:val="clear" w:color="auto" w:fill="FFFFFF"/>
        </w:rPr>
      </w:pPr>
    </w:p>
    <w:p w:rsidR="003B67C9" w:rsidRDefault="003B67C9" w:rsidP="003B67C9">
      <w:pPr>
        <w:widowControl w:val="0"/>
        <w:spacing w:after="0" w:line="260" w:lineRule="exact"/>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PARAMETRI IN MEJNE VREDNOSTI PARAMETROV</w:t>
      </w:r>
    </w:p>
    <w:p w:rsidR="003B67C9" w:rsidRPr="003B67C9" w:rsidRDefault="003B67C9" w:rsidP="003B67C9">
      <w:pPr>
        <w:widowControl w:val="0"/>
        <w:spacing w:after="0" w:line="260" w:lineRule="exact"/>
        <w:jc w:val="center"/>
        <w:rPr>
          <w:rFonts w:ascii="Arial" w:hAnsi="Arial" w:cs="Arial"/>
          <w:sz w:val="20"/>
          <w:szCs w:val="20"/>
        </w:rPr>
      </w:pPr>
    </w:p>
    <w:p w:rsidR="003B67C9" w:rsidRDefault="003B67C9" w:rsidP="003B67C9">
      <w:pPr>
        <w:widowControl w:val="0"/>
        <w:spacing w:after="0" w:line="260" w:lineRule="exact"/>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Del A</w:t>
      </w:r>
    </w:p>
    <w:p w:rsidR="003B67C9" w:rsidRPr="003B67C9" w:rsidRDefault="003B67C9" w:rsidP="003B67C9">
      <w:pPr>
        <w:widowControl w:val="0"/>
        <w:spacing w:after="0" w:line="260" w:lineRule="exact"/>
        <w:jc w:val="center"/>
        <w:rPr>
          <w:rFonts w:ascii="Arial" w:hAnsi="Arial" w:cs="Arial"/>
          <w:sz w:val="20"/>
          <w:szCs w:val="20"/>
        </w:rPr>
      </w:pPr>
    </w:p>
    <w:p w:rsidR="003B67C9" w:rsidRPr="003B67C9" w:rsidRDefault="003B67C9" w:rsidP="003B67C9">
      <w:pPr>
        <w:keepNext/>
        <w:keepLines/>
        <w:widowControl w:val="0"/>
        <w:spacing w:after="0" w:line="260" w:lineRule="exact"/>
        <w:jc w:val="center"/>
        <w:outlineLvl w:val="1"/>
        <w:rPr>
          <w:rFonts w:ascii="Arial" w:hAnsi="Arial" w:cs="Arial"/>
          <w:color w:val="000000"/>
          <w:sz w:val="20"/>
          <w:szCs w:val="20"/>
          <w:shd w:val="clear" w:color="auto" w:fill="FFFFFF"/>
        </w:rPr>
      </w:pPr>
      <w:bookmarkStart w:id="0" w:name="bookmark87"/>
      <w:r w:rsidRPr="003B67C9">
        <w:rPr>
          <w:rFonts w:ascii="Arial" w:hAnsi="Arial" w:cs="Arial"/>
          <w:color w:val="000000"/>
          <w:sz w:val="20"/>
          <w:szCs w:val="20"/>
          <w:shd w:val="clear" w:color="auto" w:fill="FFFFFF"/>
        </w:rPr>
        <w:t>Mikrobiološki parametri</w:t>
      </w:r>
      <w:bookmarkEnd w:id="0"/>
    </w:p>
    <w:p w:rsidR="003B67C9" w:rsidRPr="003B67C9" w:rsidRDefault="003B67C9" w:rsidP="003B67C9">
      <w:pPr>
        <w:keepNext/>
        <w:keepLines/>
        <w:widowControl w:val="0"/>
        <w:spacing w:before="120" w:after="120" w:line="240" w:lineRule="auto"/>
        <w:outlineLvl w:val="1"/>
        <w:rPr>
          <w:rFonts w:ascii="Arial" w:hAnsi="Arial" w:cs="Arial"/>
          <w:b/>
          <w:bCs/>
          <w:color w:val="000000"/>
          <w:sz w:val="20"/>
          <w:szCs w:val="20"/>
          <w:shd w:val="clear" w:color="auto" w:fill="FFFFFF"/>
        </w:rPr>
      </w:pPr>
    </w:p>
    <w:tbl>
      <w:tblPr>
        <w:tblStyle w:val="Tabelamrea"/>
        <w:tblW w:w="0" w:type="auto"/>
        <w:tblInd w:w="1157" w:type="dxa"/>
        <w:tblLayout w:type="fixed"/>
        <w:tblLook w:val="0000" w:firstRow="0" w:lastRow="0" w:firstColumn="0" w:lastColumn="0" w:noHBand="0" w:noVBand="0"/>
      </w:tblPr>
      <w:tblGrid>
        <w:gridCol w:w="2006"/>
        <w:gridCol w:w="1987"/>
        <w:gridCol w:w="1982"/>
      </w:tblGrid>
      <w:tr w:rsidR="003B67C9" w:rsidRPr="003B67C9" w:rsidTr="00F903BB">
        <w:trPr>
          <w:trHeight w:hRule="exact" w:val="578"/>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r>
      <w:tr w:rsidR="003B67C9" w:rsidRPr="003B67C9" w:rsidTr="00F903BB">
        <w:trPr>
          <w:trHeight w:hRule="exact" w:val="710"/>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Intestinalni enterokoki</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število/100 ml</w:t>
            </w:r>
          </w:p>
        </w:tc>
      </w:tr>
      <w:tr w:rsidR="003B67C9" w:rsidRPr="003B67C9" w:rsidTr="00F903BB">
        <w:trPr>
          <w:trHeight w:hRule="exact" w:val="581"/>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i/>
                <w:iCs/>
                <w:color w:val="000000"/>
                <w:sz w:val="20"/>
                <w:szCs w:val="20"/>
                <w:shd w:val="clear" w:color="auto" w:fill="FFFFFF"/>
              </w:rPr>
              <w:t>Escherichia coli (E. coli)</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število/100 ml</w:t>
            </w:r>
          </w:p>
        </w:tc>
      </w:tr>
    </w:tbl>
    <w:p w:rsidR="003B67C9" w:rsidRPr="003B67C9" w:rsidRDefault="003B67C9" w:rsidP="003B67C9">
      <w:pPr>
        <w:framePr w:w="9245" w:wrap="notBeside" w:vAnchor="text" w:hAnchor="text" w:xAlign="center" w:y="1"/>
        <w:rPr>
          <w:rFonts w:ascii="Arial" w:hAnsi="Arial" w:cs="Arial"/>
          <w:sz w:val="20"/>
          <w:szCs w:val="20"/>
        </w:rPr>
      </w:pPr>
    </w:p>
    <w:p w:rsidR="003B67C9" w:rsidRPr="003B67C9" w:rsidRDefault="003B67C9" w:rsidP="003B67C9">
      <w:pPr>
        <w:rPr>
          <w:rFonts w:ascii="Arial" w:hAnsi="Arial" w:cs="Arial"/>
          <w:sz w:val="20"/>
          <w:szCs w:val="20"/>
        </w:rPr>
      </w:pPr>
    </w:p>
    <w:p w:rsidR="003B67C9" w:rsidRPr="003B67C9" w:rsidRDefault="003B67C9" w:rsidP="003B67C9">
      <w:pPr>
        <w:keepNext/>
        <w:keepLines/>
        <w:widowControl w:val="0"/>
        <w:spacing w:before="120" w:after="120" w:line="240" w:lineRule="auto"/>
        <w:jc w:val="center"/>
        <w:outlineLvl w:val="1"/>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Mikrobiološki parametri za namizno vodo</w:t>
      </w:r>
    </w:p>
    <w:p w:rsidR="003B67C9" w:rsidRPr="003B67C9" w:rsidRDefault="003B67C9" w:rsidP="003B67C9">
      <w:pPr>
        <w:rPr>
          <w:rFonts w:ascii="Arial" w:hAnsi="Arial" w:cs="Arial"/>
          <w:sz w:val="20"/>
          <w:szCs w:val="20"/>
        </w:rPr>
      </w:pPr>
    </w:p>
    <w:p w:rsidR="003B67C9" w:rsidRPr="003B67C9" w:rsidRDefault="003B67C9" w:rsidP="003B67C9">
      <w:pPr>
        <w:framePr w:w="9245" w:wrap="notBeside" w:vAnchor="text" w:hAnchor="page" w:x="1581" w:y="283"/>
        <w:rPr>
          <w:rFonts w:ascii="Arial" w:hAnsi="Arial" w:cs="Arial"/>
          <w:sz w:val="20"/>
          <w:szCs w:val="20"/>
        </w:rPr>
      </w:pPr>
    </w:p>
    <w:tbl>
      <w:tblPr>
        <w:tblStyle w:val="Tabelamrea"/>
        <w:tblpPr w:leftFromText="141" w:rightFromText="141" w:vertAnchor="text" w:horzAnchor="page" w:tblpX="2521" w:tblpY="34"/>
        <w:tblW w:w="0" w:type="auto"/>
        <w:tblLayout w:type="fixed"/>
        <w:tblLook w:val="0000" w:firstRow="0" w:lastRow="0" w:firstColumn="0" w:lastColumn="0" w:noHBand="0" w:noVBand="0"/>
      </w:tblPr>
      <w:tblGrid>
        <w:gridCol w:w="2040"/>
        <w:gridCol w:w="2021"/>
        <w:gridCol w:w="2016"/>
      </w:tblGrid>
      <w:tr w:rsidR="003B67C9" w:rsidRPr="003B67C9" w:rsidTr="003B67C9">
        <w:trPr>
          <w:trHeight w:hRule="exact" w:val="620"/>
        </w:trPr>
        <w:tc>
          <w:tcPr>
            <w:tcW w:w="2040" w:type="dxa"/>
            <w:vAlign w:val="center"/>
          </w:tcPr>
          <w:p w:rsidR="003B67C9" w:rsidRPr="003B67C9" w:rsidRDefault="003B67C9" w:rsidP="00F903BB">
            <w:pPr>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Parameter</w:t>
            </w:r>
          </w:p>
        </w:tc>
        <w:tc>
          <w:tcPr>
            <w:tcW w:w="2021" w:type="dxa"/>
            <w:vAlign w:val="center"/>
          </w:tcPr>
          <w:p w:rsidR="003B67C9" w:rsidRPr="003B67C9" w:rsidRDefault="003B67C9" w:rsidP="00F903BB">
            <w:pPr>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2016" w:type="dxa"/>
            <w:vAlign w:val="center"/>
          </w:tcPr>
          <w:p w:rsidR="003B67C9" w:rsidRPr="003B67C9" w:rsidRDefault="003B67C9" w:rsidP="00F903BB">
            <w:pPr>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r>
      <w:tr w:rsidR="003B67C9" w:rsidRPr="003B67C9" w:rsidTr="003B67C9">
        <w:trPr>
          <w:trHeight w:hRule="exact" w:val="762"/>
        </w:trPr>
        <w:tc>
          <w:tcPr>
            <w:tcW w:w="2040" w:type="dxa"/>
            <w:vAlign w:val="center"/>
          </w:tcPr>
          <w:p w:rsidR="003B67C9" w:rsidRPr="003B67C9" w:rsidRDefault="003B67C9" w:rsidP="00F903BB">
            <w:pPr>
              <w:widowControl w:val="0"/>
              <w:rPr>
                <w:rFonts w:ascii="Arial" w:hAnsi="Arial" w:cs="Arial"/>
                <w:sz w:val="20"/>
                <w:szCs w:val="20"/>
              </w:rPr>
            </w:pPr>
            <w:r w:rsidRPr="003B67C9">
              <w:rPr>
                <w:rFonts w:ascii="Arial" w:hAnsi="Arial" w:cs="Arial"/>
                <w:color w:val="000000"/>
                <w:sz w:val="20"/>
                <w:szCs w:val="20"/>
                <w:shd w:val="clear" w:color="auto" w:fill="FFFFFF"/>
              </w:rPr>
              <w:t>Intestinalni enterokoki</w:t>
            </w:r>
          </w:p>
        </w:tc>
        <w:tc>
          <w:tcPr>
            <w:tcW w:w="2021" w:type="dxa"/>
            <w:vAlign w:val="center"/>
          </w:tcPr>
          <w:p w:rsidR="003B67C9" w:rsidRPr="003B67C9" w:rsidRDefault="003B67C9" w:rsidP="00F903BB">
            <w:pPr>
              <w:widowControl w:val="0"/>
              <w:jc w:val="center"/>
              <w:rPr>
                <w:rFonts w:ascii="Arial" w:hAnsi="Arial" w:cs="Arial"/>
                <w:sz w:val="20"/>
                <w:szCs w:val="20"/>
              </w:rPr>
            </w:pPr>
            <w:r w:rsidRPr="003B67C9">
              <w:rPr>
                <w:rFonts w:ascii="Arial" w:hAnsi="Arial" w:cs="Arial"/>
                <w:color w:val="000000"/>
                <w:sz w:val="20"/>
                <w:szCs w:val="20"/>
                <w:shd w:val="clear" w:color="auto" w:fill="FFFFFF"/>
              </w:rPr>
              <w:t>0</w:t>
            </w:r>
          </w:p>
        </w:tc>
        <w:tc>
          <w:tcPr>
            <w:tcW w:w="2016" w:type="dxa"/>
            <w:vAlign w:val="center"/>
          </w:tcPr>
          <w:p w:rsidR="003B67C9" w:rsidRPr="003B67C9" w:rsidRDefault="003B67C9" w:rsidP="00F903BB">
            <w:pPr>
              <w:widowControl w:val="0"/>
              <w:jc w:val="center"/>
              <w:rPr>
                <w:rFonts w:ascii="Arial" w:hAnsi="Arial" w:cs="Arial"/>
                <w:sz w:val="20"/>
                <w:szCs w:val="20"/>
              </w:rPr>
            </w:pPr>
            <w:r w:rsidRPr="003B67C9">
              <w:rPr>
                <w:rFonts w:ascii="Arial" w:hAnsi="Arial" w:cs="Arial"/>
                <w:color w:val="000000"/>
                <w:sz w:val="20"/>
                <w:szCs w:val="20"/>
                <w:shd w:val="clear" w:color="auto" w:fill="FFFFFF"/>
              </w:rPr>
              <w:t>število/250 ml</w:t>
            </w:r>
          </w:p>
        </w:tc>
      </w:tr>
      <w:tr w:rsidR="003B67C9" w:rsidRPr="003B67C9" w:rsidTr="003B67C9">
        <w:trPr>
          <w:trHeight w:hRule="exact" w:val="624"/>
        </w:trPr>
        <w:tc>
          <w:tcPr>
            <w:tcW w:w="2040" w:type="dxa"/>
            <w:vAlign w:val="center"/>
          </w:tcPr>
          <w:p w:rsidR="003B67C9" w:rsidRPr="003B67C9" w:rsidRDefault="003B67C9" w:rsidP="00F903BB">
            <w:pPr>
              <w:widowControl w:val="0"/>
              <w:rPr>
                <w:rFonts w:ascii="Arial" w:hAnsi="Arial" w:cs="Arial"/>
                <w:sz w:val="20"/>
                <w:szCs w:val="20"/>
              </w:rPr>
            </w:pPr>
            <w:r w:rsidRPr="003B67C9">
              <w:rPr>
                <w:rFonts w:ascii="Arial" w:hAnsi="Arial" w:cs="Arial"/>
                <w:i/>
                <w:iCs/>
                <w:color w:val="000000"/>
                <w:sz w:val="20"/>
                <w:szCs w:val="20"/>
                <w:shd w:val="clear" w:color="auto" w:fill="FFFFFF"/>
              </w:rPr>
              <w:t>Escherichia coli (E. coli)</w:t>
            </w:r>
          </w:p>
        </w:tc>
        <w:tc>
          <w:tcPr>
            <w:tcW w:w="2021" w:type="dxa"/>
            <w:vAlign w:val="center"/>
          </w:tcPr>
          <w:p w:rsidR="003B67C9" w:rsidRPr="003B67C9" w:rsidRDefault="003B67C9" w:rsidP="00F903BB">
            <w:pPr>
              <w:widowControl w:val="0"/>
              <w:jc w:val="center"/>
              <w:rPr>
                <w:rFonts w:ascii="Arial" w:hAnsi="Arial" w:cs="Arial"/>
                <w:sz w:val="20"/>
                <w:szCs w:val="20"/>
              </w:rPr>
            </w:pPr>
            <w:r w:rsidRPr="003B67C9">
              <w:rPr>
                <w:rFonts w:ascii="Arial" w:hAnsi="Arial" w:cs="Arial"/>
                <w:color w:val="000000"/>
                <w:sz w:val="20"/>
                <w:szCs w:val="20"/>
                <w:shd w:val="clear" w:color="auto" w:fill="FFFFFF"/>
              </w:rPr>
              <w:t>0</w:t>
            </w:r>
          </w:p>
        </w:tc>
        <w:tc>
          <w:tcPr>
            <w:tcW w:w="2016" w:type="dxa"/>
            <w:vAlign w:val="center"/>
          </w:tcPr>
          <w:p w:rsidR="003B67C9" w:rsidRPr="003B67C9" w:rsidRDefault="003B67C9" w:rsidP="00F903BB">
            <w:pPr>
              <w:widowControl w:val="0"/>
              <w:jc w:val="center"/>
              <w:rPr>
                <w:rFonts w:ascii="Arial" w:hAnsi="Arial" w:cs="Arial"/>
                <w:sz w:val="20"/>
                <w:szCs w:val="20"/>
              </w:rPr>
            </w:pPr>
            <w:r w:rsidRPr="003B67C9">
              <w:rPr>
                <w:rFonts w:ascii="Arial" w:hAnsi="Arial" w:cs="Arial"/>
                <w:color w:val="000000"/>
                <w:sz w:val="20"/>
                <w:szCs w:val="20"/>
                <w:shd w:val="clear" w:color="auto" w:fill="FFFFFF"/>
              </w:rPr>
              <w:t>število/250 ml</w:t>
            </w:r>
          </w:p>
        </w:tc>
      </w:tr>
      <w:tr w:rsidR="003B67C9" w:rsidRPr="003B67C9" w:rsidTr="003B67C9">
        <w:trPr>
          <w:trHeight w:hRule="exact" w:val="624"/>
        </w:trPr>
        <w:tc>
          <w:tcPr>
            <w:tcW w:w="2040" w:type="dxa"/>
            <w:vAlign w:val="center"/>
          </w:tcPr>
          <w:p w:rsidR="003B67C9" w:rsidRPr="003B67C9" w:rsidRDefault="003B67C9" w:rsidP="00F903BB">
            <w:pPr>
              <w:widowControl w:val="0"/>
              <w:rPr>
                <w:rFonts w:ascii="Arial" w:hAnsi="Arial" w:cs="Arial"/>
                <w:i/>
                <w:iCs/>
                <w:color w:val="000000"/>
                <w:sz w:val="20"/>
                <w:szCs w:val="20"/>
                <w:shd w:val="clear" w:color="auto" w:fill="FFFFFF"/>
              </w:rPr>
            </w:pPr>
            <w:r w:rsidRPr="003B67C9">
              <w:rPr>
                <w:rFonts w:ascii="Arial" w:hAnsi="Arial" w:cs="Arial"/>
                <w:i/>
                <w:iCs/>
                <w:color w:val="000000"/>
                <w:sz w:val="20"/>
                <w:szCs w:val="20"/>
                <w:shd w:val="clear" w:color="auto" w:fill="FFFFFF"/>
              </w:rPr>
              <w:t>Pseudomonas aeruginosa</w:t>
            </w:r>
          </w:p>
        </w:tc>
        <w:tc>
          <w:tcPr>
            <w:tcW w:w="2021"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0</w:t>
            </w:r>
          </w:p>
        </w:tc>
        <w:tc>
          <w:tcPr>
            <w:tcW w:w="2016"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število/250 ml</w:t>
            </w:r>
          </w:p>
        </w:tc>
      </w:tr>
      <w:tr w:rsidR="003B67C9" w:rsidRPr="003B67C9" w:rsidTr="003B67C9">
        <w:trPr>
          <w:trHeight w:hRule="exact" w:val="624"/>
        </w:trPr>
        <w:tc>
          <w:tcPr>
            <w:tcW w:w="2040" w:type="dxa"/>
            <w:vAlign w:val="center"/>
          </w:tcPr>
          <w:p w:rsidR="003B67C9" w:rsidRPr="003B67C9" w:rsidRDefault="003B67C9" w:rsidP="00F903BB">
            <w:pPr>
              <w:widowControl w:val="0"/>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Koliformne bakterije</w:t>
            </w:r>
          </w:p>
        </w:tc>
        <w:tc>
          <w:tcPr>
            <w:tcW w:w="2021"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0</w:t>
            </w:r>
          </w:p>
        </w:tc>
        <w:tc>
          <w:tcPr>
            <w:tcW w:w="2016"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število/250 ml</w:t>
            </w:r>
          </w:p>
        </w:tc>
      </w:tr>
      <w:tr w:rsidR="003B67C9" w:rsidRPr="003B67C9" w:rsidTr="003B67C9">
        <w:trPr>
          <w:trHeight w:hRule="exact" w:val="624"/>
        </w:trPr>
        <w:tc>
          <w:tcPr>
            <w:tcW w:w="2040" w:type="dxa"/>
            <w:vAlign w:val="center"/>
          </w:tcPr>
          <w:p w:rsidR="003B67C9" w:rsidRPr="003B67C9" w:rsidRDefault="003B67C9" w:rsidP="00F903BB">
            <w:pPr>
              <w:widowControl w:val="0"/>
              <w:rPr>
                <w:rFonts w:ascii="Arial" w:hAnsi="Arial" w:cs="Arial"/>
                <w:i/>
                <w:iCs/>
                <w:sz w:val="20"/>
                <w:szCs w:val="20"/>
                <w:shd w:val="clear" w:color="auto" w:fill="FFFFFF"/>
              </w:rPr>
            </w:pPr>
            <w:r w:rsidRPr="003B67C9">
              <w:rPr>
                <w:rFonts w:ascii="Arial" w:hAnsi="Arial" w:cs="Arial"/>
                <w:color w:val="000000"/>
                <w:sz w:val="20"/>
                <w:szCs w:val="20"/>
                <w:shd w:val="clear" w:color="auto" w:fill="FFFFFF"/>
              </w:rPr>
              <w:t>Število kolonij 22 °C</w:t>
            </w:r>
          </w:p>
        </w:tc>
        <w:tc>
          <w:tcPr>
            <w:tcW w:w="2021"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100</w:t>
            </w:r>
          </w:p>
        </w:tc>
        <w:tc>
          <w:tcPr>
            <w:tcW w:w="2016"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število/ml</w:t>
            </w:r>
          </w:p>
        </w:tc>
      </w:tr>
      <w:tr w:rsidR="003B67C9" w:rsidRPr="003B67C9" w:rsidTr="003B67C9">
        <w:trPr>
          <w:trHeight w:hRule="exact" w:val="624"/>
        </w:trPr>
        <w:tc>
          <w:tcPr>
            <w:tcW w:w="2040" w:type="dxa"/>
            <w:vAlign w:val="center"/>
          </w:tcPr>
          <w:p w:rsidR="003B67C9" w:rsidRPr="003B67C9" w:rsidRDefault="003B67C9" w:rsidP="00F903BB">
            <w:pPr>
              <w:widowControl w:val="0"/>
              <w:rPr>
                <w:rFonts w:ascii="Arial" w:hAnsi="Arial" w:cs="Arial"/>
                <w:i/>
                <w:iCs/>
                <w:sz w:val="20"/>
                <w:szCs w:val="20"/>
                <w:shd w:val="clear" w:color="auto" w:fill="FFFFFF"/>
              </w:rPr>
            </w:pPr>
            <w:r w:rsidRPr="003B67C9">
              <w:rPr>
                <w:rFonts w:ascii="Arial" w:hAnsi="Arial" w:cs="Arial"/>
                <w:color w:val="000000"/>
                <w:sz w:val="20"/>
                <w:szCs w:val="20"/>
                <w:shd w:val="clear" w:color="auto" w:fill="FFFFFF"/>
              </w:rPr>
              <w:t>Število kolonij 37 °C</w:t>
            </w:r>
          </w:p>
        </w:tc>
        <w:tc>
          <w:tcPr>
            <w:tcW w:w="2021"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20</w:t>
            </w:r>
          </w:p>
        </w:tc>
        <w:tc>
          <w:tcPr>
            <w:tcW w:w="2016" w:type="dxa"/>
            <w:vAlign w:val="center"/>
          </w:tcPr>
          <w:p w:rsidR="003B67C9" w:rsidRPr="003B67C9" w:rsidRDefault="003B67C9" w:rsidP="00F903BB">
            <w:pPr>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število/ml</w:t>
            </w:r>
          </w:p>
        </w:tc>
      </w:tr>
    </w:tbl>
    <w:p w:rsidR="003B67C9" w:rsidRPr="003B67C9" w:rsidRDefault="003B67C9" w:rsidP="003B67C9">
      <w:pPr>
        <w:keepNext/>
        <w:keepLines/>
        <w:widowControl w:val="0"/>
        <w:spacing w:before="120" w:after="120" w:line="240" w:lineRule="auto"/>
        <w:outlineLvl w:val="1"/>
        <w:rPr>
          <w:rFonts w:ascii="Arial" w:hAnsi="Arial" w:cs="Arial"/>
          <w:b/>
          <w:bCs/>
          <w:color w:val="000000"/>
          <w:sz w:val="20"/>
          <w:szCs w:val="20"/>
          <w:shd w:val="clear" w:color="auto" w:fill="FFFFFF"/>
        </w:rPr>
      </w:pPr>
    </w:p>
    <w:p w:rsidR="003B67C9" w:rsidRPr="003B67C9" w:rsidRDefault="003B67C9" w:rsidP="003B67C9">
      <w:pPr>
        <w:rPr>
          <w:rFonts w:ascii="Arial" w:hAnsi="Arial" w:cs="Arial"/>
          <w:sz w:val="20"/>
          <w:szCs w:val="20"/>
        </w:rPr>
      </w:pPr>
    </w:p>
    <w:p w:rsidR="003B67C9" w:rsidRPr="003B67C9" w:rsidRDefault="003B67C9" w:rsidP="003B67C9">
      <w:pPr>
        <w:rPr>
          <w:rFonts w:ascii="Arial" w:hAnsi="Arial" w:cs="Arial"/>
          <w:sz w:val="20"/>
          <w:szCs w:val="20"/>
        </w:rPr>
        <w:sectPr w:rsidR="003B67C9" w:rsidRPr="003B67C9">
          <w:footerReference w:type="default" r:id="rId7"/>
          <w:pgSz w:w="11900" w:h="16840"/>
          <w:pgMar w:top="1727" w:right="1328" w:bottom="1727" w:left="1328" w:header="0" w:footer="3" w:gutter="0"/>
          <w:cols w:space="708"/>
          <w:noEndnote/>
          <w:docGrid w:linePitch="360"/>
        </w:sectPr>
      </w:pPr>
    </w:p>
    <w:p w:rsidR="003B67C9" w:rsidRPr="003B67C9" w:rsidRDefault="003B67C9" w:rsidP="003B67C9">
      <w:pPr>
        <w:widowControl w:val="0"/>
        <w:spacing w:after="120" w:line="240" w:lineRule="auto"/>
        <w:jc w:val="center"/>
        <w:rPr>
          <w:rFonts w:ascii="Arial" w:hAnsi="Arial" w:cs="Arial"/>
          <w:color w:val="000000"/>
          <w:sz w:val="20"/>
          <w:szCs w:val="20"/>
          <w:shd w:val="clear" w:color="auto" w:fill="FFFFFF"/>
        </w:rPr>
      </w:pPr>
      <w:bookmarkStart w:id="1" w:name="_Hlk104468744"/>
      <w:r w:rsidRPr="003B67C9">
        <w:rPr>
          <w:rFonts w:ascii="Arial" w:hAnsi="Arial" w:cs="Arial"/>
          <w:color w:val="000000"/>
          <w:sz w:val="20"/>
          <w:szCs w:val="20"/>
          <w:shd w:val="clear" w:color="auto" w:fill="FFFFFF"/>
        </w:rPr>
        <w:lastRenderedPageBreak/>
        <w:t>Del B</w:t>
      </w:r>
      <w:bookmarkStart w:id="2" w:name="bookmark88"/>
    </w:p>
    <w:tbl>
      <w:tblPr>
        <w:tblStyle w:val="Tabelamrea"/>
        <w:tblW w:w="9244" w:type="dxa"/>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572"/>
        </w:trPr>
        <w:tc>
          <w:tcPr>
            <w:tcW w:w="2006" w:type="dxa"/>
            <w:vAlign w:val="center"/>
          </w:tcPr>
          <w:p w:rsidR="003B67C9" w:rsidRPr="003B67C9" w:rsidRDefault="003B67C9" w:rsidP="00F903BB">
            <w:pPr>
              <w:framePr w:w="9245" w:wrap="notBeside" w:vAnchor="text" w:hAnchor="page" w:x="1349" w:y="403"/>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Parameter</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page" w:x="1349" w:y="403"/>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1558"/>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Akrilamid</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0,10</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page" w:x="1349" w:y="403"/>
              <w:widowControl w:val="0"/>
              <w:spacing w:line="211" w:lineRule="exact"/>
              <w:jc w:val="both"/>
              <w:rPr>
                <w:rFonts w:ascii="Arial" w:hAnsi="Arial" w:cs="Arial"/>
                <w:sz w:val="20"/>
                <w:szCs w:val="20"/>
              </w:rPr>
            </w:pPr>
            <w:r w:rsidRPr="003B67C9">
              <w:rPr>
                <w:rFonts w:ascii="Arial" w:hAnsi="Arial" w:cs="Arial"/>
                <w:color w:val="000000"/>
                <w:sz w:val="20"/>
                <w:szCs w:val="20"/>
                <w:shd w:val="clear" w:color="auto" w:fill="FFFFFF"/>
              </w:rPr>
              <w:t>Vrednost parametra 0,10 µg/l se nanaša na koncentracijo preostalega monomera v pitni vodi, izračunano v skladu s specifikacijami največje sprostitve iz ustreznega polimera, ki je v stiku s pitno vodo.</w:t>
            </w:r>
          </w:p>
        </w:tc>
      </w:tr>
      <w:tr w:rsidR="003B67C9" w:rsidRPr="003B67C9" w:rsidTr="00F903BB">
        <w:trPr>
          <w:trHeight w:hRule="exact" w:val="290"/>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Antimon</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8"/>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Arzen</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78"/>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Benzen</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97"/>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Benzo(a)piren</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0,010</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1"/>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Bisfenol A</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2,5</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1"/>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Bor</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1,5</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71"/>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Bromat</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page" w:x="1349" w:y="403"/>
              <w:widowControl w:val="0"/>
              <w:spacing w:line="170" w:lineRule="exact"/>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9"/>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Kadmij</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5,0</w:t>
            </w:r>
          </w:p>
        </w:tc>
        <w:tc>
          <w:tcPr>
            <w:tcW w:w="1982" w:type="dxa"/>
            <w:vAlign w:val="center"/>
          </w:tcPr>
          <w:p w:rsidR="003B67C9" w:rsidRPr="003B67C9" w:rsidRDefault="003B67C9" w:rsidP="00F903BB">
            <w:pPr>
              <w:framePr w:w="9245" w:wrap="notBeside" w:vAnchor="text" w:hAnchor="page" w:x="1349" w:y="403"/>
              <w:widowControl w:val="0"/>
              <w:spacing w:line="170" w:lineRule="exact"/>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1361"/>
        </w:trPr>
        <w:tc>
          <w:tcPr>
            <w:tcW w:w="2006" w:type="dxa"/>
            <w:vAlign w:val="center"/>
          </w:tcPr>
          <w:p w:rsidR="003B67C9" w:rsidRPr="003B67C9" w:rsidRDefault="003B67C9" w:rsidP="00F903BB">
            <w:pPr>
              <w:framePr w:w="9245" w:wrap="notBeside" w:vAnchor="text" w:hAnchor="page" w:x="1349" w:y="403"/>
              <w:widowControl w:val="0"/>
              <w:rPr>
                <w:rFonts w:ascii="Arial" w:hAnsi="Arial" w:cs="Arial"/>
                <w:sz w:val="20"/>
                <w:szCs w:val="20"/>
              </w:rPr>
            </w:pPr>
            <w:r w:rsidRPr="003B67C9">
              <w:rPr>
                <w:rFonts w:ascii="Arial" w:hAnsi="Arial" w:cs="Arial"/>
                <w:color w:val="000000"/>
                <w:sz w:val="20"/>
                <w:szCs w:val="20"/>
                <w:shd w:val="clear" w:color="auto" w:fill="FFFFFF"/>
              </w:rPr>
              <w:t>Klorat</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0,25</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3B67C9">
            <w:pPr>
              <w:framePr w:w="9245" w:wrap="notBeside" w:vAnchor="text" w:hAnchor="page" w:x="1349" w:y="403"/>
              <w:widowControl w:val="0"/>
              <w:jc w:val="both"/>
              <w:rPr>
                <w:rFonts w:ascii="Arial" w:hAnsi="Arial" w:cs="Arial"/>
                <w:sz w:val="20"/>
                <w:szCs w:val="20"/>
              </w:rPr>
            </w:pPr>
            <w:r w:rsidRPr="003B67C9">
              <w:rPr>
                <w:rFonts w:ascii="Arial" w:hAnsi="Arial" w:cs="Arial"/>
                <w:color w:val="000000"/>
                <w:sz w:val="20"/>
                <w:szCs w:val="20"/>
                <w:shd w:val="clear" w:color="auto" w:fill="FFFFFF"/>
              </w:rPr>
              <w:t>Upravljavec vodovoda skuša doseči čim nižjo vrednost parametra, ne da bi bila zaradi tega ogrožena učinkovitost dezinfekcije.</w:t>
            </w:r>
          </w:p>
        </w:tc>
      </w:tr>
      <w:tr w:rsidR="003B67C9" w:rsidRPr="003B67C9" w:rsidTr="00F903BB">
        <w:trPr>
          <w:trHeight w:hRule="exact" w:val="1417"/>
        </w:trPr>
        <w:tc>
          <w:tcPr>
            <w:tcW w:w="2006" w:type="dxa"/>
            <w:vAlign w:val="center"/>
          </w:tcPr>
          <w:p w:rsidR="003B67C9" w:rsidRPr="003B67C9" w:rsidRDefault="003B67C9" w:rsidP="00F903BB">
            <w:pPr>
              <w:framePr w:w="9245" w:wrap="notBeside" w:vAnchor="text" w:hAnchor="page" w:x="1349" w:y="403"/>
              <w:widowControl w:val="0"/>
              <w:jc w:val="both"/>
              <w:rPr>
                <w:rFonts w:ascii="Arial" w:hAnsi="Arial" w:cs="Arial"/>
                <w:sz w:val="20"/>
                <w:szCs w:val="20"/>
              </w:rPr>
            </w:pPr>
            <w:r w:rsidRPr="003B67C9">
              <w:rPr>
                <w:rFonts w:ascii="Arial" w:hAnsi="Arial" w:cs="Arial"/>
                <w:color w:val="000000"/>
                <w:sz w:val="20"/>
                <w:szCs w:val="20"/>
                <w:shd w:val="clear" w:color="auto" w:fill="FFFFFF"/>
              </w:rPr>
              <w:t>Klorit</w:t>
            </w:r>
          </w:p>
        </w:tc>
        <w:tc>
          <w:tcPr>
            <w:tcW w:w="1987"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0,25</w:t>
            </w:r>
          </w:p>
        </w:tc>
        <w:tc>
          <w:tcPr>
            <w:tcW w:w="1982" w:type="dxa"/>
            <w:vAlign w:val="center"/>
          </w:tcPr>
          <w:p w:rsidR="003B67C9" w:rsidRPr="003B67C9" w:rsidRDefault="003B67C9" w:rsidP="00F903BB">
            <w:pPr>
              <w:framePr w:w="9245" w:wrap="notBeside" w:vAnchor="text" w:hAnchor="page" w:x="1349" w:y="403"/>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3B67C9">
            <w:pPr>
              <w:framePr w:w="9245" w:wrap="notBeside" w:vAnchor="text" w:hAnchor="page" w:x="1349" w:y="403"/>
              <w:widowControl w:val="0"/>
              <w:jc w:val="both"/>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Upravljavec vodovoda skuša doseči čim nižjo vrednost parametra, ne da bi bila zaradi tega ogrožena učinkovitost dezinfekcije.</w:t>
            </w:r>
          </w:p>
        </w:tc>
      </w:tr>
    </w:tbl>
    <w:p w:rsidR="003B67C9" w:rsidRPr="003B67C9" w:rsidRDefault="003B67C9" w:rsidP="003B67C9">
      <w:pPr>
        <w:framePr w:w="9245" w:wrap="notBeside" w:vAnchor="text" w:hAnchor="page" w:x="1349" w:y="403"/>
        <w:rPr>
          <w:rFonts w:ascii="Arial" w:hAnsi="Arial" w:cs="Arial"/>
          <w:sz w:val="20"/>
          <w:szCs w:val="20"/>
        </w:rPr>
      </w:pPr>
    </w:p>
    <w:p w:rsidR="003B67C9" w:rsidRPr="003B67C9" w:rsidRDefault="003B67C9" w:rsidP="003B67C9">
      <w:pPr>
        <w:widowControl w:val="0"/>
        <w:spacing w:after="120" w:line="240" w:lineRule="auto"/>
        <w:jc w:val="center"/>
        <w:rPr>
          <w:rFonts w:ascii="Arial" w:hAnsi="Arial" w:cs="Arial"/>
          <w:color w:val="000000"/>
          <w:sz w:val="20"/>
          <w:szCs w:val="20"/>
          <w:shd w:val="clear" w:color="auto" w:fill="FFFFFF"/>
        </w:rPr>
      </w:pPr>
      <w:r w:rsidRPr="003B67C9">
        <w:rPr>
          <w:rFonts w:ascii="Arial" w:hAnsi="Arial" w:cs="Arial"/>
          <w:bCs/>
          <w:color w:val="000000"/>
          <w:sz w:val="20"/>
          <w:szCs w:val="20"/>
          <w:shd w:val="clear" w:color="auto" w:fill="FFFFFF"/>
        </w:rPr>
        <w:t>Kemijski parametri</w:t>
      </w:r>
      <w:bookmarkEnd w:id="2"/>
    </w:p>
    <w:p w:rsidR="003B67C9" w:rsidRPr="003B67C9" w:rsidRDefault="003B67C9" w:rsidP="003B67C9">
      <w:pPr>
        <w:rPr>
          <w:rFonts w:ascii="Arial" w:hAnsi="Arial" w:cs="Arial"/>
          <w:sz w:val="20"/>
          <w:szCs w:val="20"/>
        </w:rPr>
      </w:pPr>
    </w:p>
    <w:tbl>
      <w:tblPr>
        <w:tblStyle w:val="Tabelamrea"/>
        <w:tblW w:w="0" w:type="auto"/>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584"/>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color w:val="000000"/>
                <w:sz w:val="20"/>
                <w:szCs w:val="20"/>
                <w:shd w:val="clear" w:color="auto" w:fill="FFFFFF"/>
              </w:rPr>
            </w:pPr>
            <w:r w:rsidRPr="003B67C9">
              <w:rPr>
                <w:rFonts w:ascii="Arial" w:hAnsi="Arial" w:cs="Arial"/>
                <w:b/>
                <w:bCs/>
                <w:sz w:val="20"/>
                <w:szCs w:val="20"/>
                <w:shd w:val="clear" w:color="auto" w:fill="FFFFFF"/>
              </w:rPr>
              <w:lastRenderedPageBreak/>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color w:val="000000"/>
                <w:sz w:val="20"/>
                <w:szCs w:val="20"/>
                <w:shd w:val="clear" w:color="auto" w:fill="FFFFFF"/>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color w:val="000000"/>
                <w:sz w:val="20"/>
                <w:szCs w:val="20"/>
                <w:shd w:val="clear" w:color="auto" w:fill="FFFFFF"/>
              </w:rPr>
            </w:pPr>
            <w:r w:rsidRPr="003B67C9">
              <w:rPr>
                <w:rFonts w:ascii="Arial" w:hAnsi="Arial" w:cs="Arial"/>
                <w:b/>
                <w:bCs/>
                <w:sz w:val="20"/>
                <w:szCs w:val="20"/>
                <w:shd w:val="clear" w:color="auto" w:fill="FFFFFF"/>
              </w:rPr>
              <w:t>Enota</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b/>
                <w:bCs/>
                <w:color w:val="000000"/>
                <w:sz w:val="20"/>
                <w:szCs w:val="20"/>
                <w:shd w:val="clear" w:color="auto" w:fill="FFFFFF"/>
              </w:rPr>
            </w:pPr>
            <w:r w:rsidRPr="003B67C9">
              <w:rPr>
                <w:rFonts w:ascii="Arial" w:hAnsi="Arial" w:cs="Arial"/>
                <w:b/>
                <w:bCs/>
                <w:sz w:val="20"/>
                <w:szCs w:val="20"/>
                <w:shd w:val="clear" w:color="auto" w:fill="FFFFFF"/>
              </w:rPr>
              <w:t>Opombe</w:t>
            </w:r>
          </w:p>
        </w:tc>
      </w:tr>
      <w:tr w:rsidR="003B67C9" w:rsidRPr="003B67C9" w:rsidTr="00F903BB">
        <w:trPr>
          <w:trHeight w:hRule="exact" w:val="1232"/>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Krom</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25</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 xml:space="preserve">Vrednost parametra 25 µg/l je dosežena najpozneje do 12. januarja 2036. Do tega datuma je vrednost parametra 50 µg/l. </w:t>
            </w:r>
          </w:p>
        </w:tc>
      </w:tr>
      <w:tr w:rsidR="003B67C9" w:rsidRPr="003B67C9" w:rsidTr="00F903BB">
        <w:trPr>
          <w:trHeight w:hRule="exact" w:val="283"/>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Baker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2,0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94"/>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Cianid</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50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3"/>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1,2-dikloroetan</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3,0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1685"/>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Epiklorohidrin</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Vrednost parametra 0,10 µg/l se nanaša na koncentracijo preostalega monomera v pitni vodi, izračunano v skladu s specifikacijami največje sprostitve iz ustreznega polimera, ki je v stiku s pitno vodo.</w:t>
            </w:r>
          </w:p>
        </w:tc>
      </w:tr>
      <w:tr w:rsidR="003B67C9" w:rsidRPr="003B67C9" w:rsidTr="00F903BB">
        <w:trPr>
          <w:trHeight w:hRule="exact" w:val="276"/>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Fluorid</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1,5</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138"/>
        </w:trPr>
        <w:tc>
          <w:tcPr>
            <w:tcW w:w="2006" w:type="dxa"/>
            <w:tcBorders>
              <w:bottom w:val="single" w:sz="4" w:space="0" w:color="000000"/>
            </w:tcBorders>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Halogenocetne kisline (HAA</w:t>
            </w:r>
            <w:r w:rsidRPr="003B67C9">
              <w:rPr>
                <w:rFonts w:ascii="Arial" w:hAnsi="Arial" w:cs="Arial"/>
                <w:b/>
                <w:bCs/>
                <w:color w:val="000000"/>
                <w:sz w:val="20"/>
                <w:szCs w:val="20"/>
                <w:shd w:val="clear" w:color="auto" w:fill="FFFFFF"/>
              </w:rPr>
              <w:t>s</w:t>
            </w:r>
            <w:r w:rsidRPr="003B67C9">
              <w:rPr>
                <w:rFonts w:ascii="Arial" w:hAnsi="Arial" w:cs="Arial"/>
                <w:color w:val="000000"/>
                <w:sz w:val="20"/>
                <w:szCs w:val="20"/>
                <w:shd w:val="clear" w:color="auto" w:fill="FFFFFF"/>
              </w:rPr>
              <w:t>)</w:t>
            </w:r>
          </w:p>
        </w:tc>
        <w:tc>
          <w:tcPr>
            <w:tcW w:w="1987" w:type="dxa"/>
            <w:tcBorders>
              <w:bottom w:val="single" w:sz="4" w:space="0" w:color="000000"/>
            </w:tcBorders>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60</w:t>
            </w:r>
          </w:p>
        </w:tc>
        <w:tc>
          <w:tcPr>
            <w:tcW w:w="1982" w:type="dxa"/>
            <w:tcBorders>
              <w:bottom w:val="single" w:sz="4" w:space="0" w:color="000000"/>
            </w:tcBorders>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tcBorders>
              <w:bottom w:val="single" w:sz="4" w:space="0" w:color="000000"/>
            </w:tcBorders>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Ta parameter se meri samo, kadar se za dezinfekcijo pitne vode uporabljajo metode, pri katerih lahko nastanejo HAA. Je vsota naslednjih petih reprezentativnih snovi: monokloro-, dikloro- in trikloroocetna kislina ter mono- in dibromoocetna kislina.</w:t>
            </w:r>
          </w:p>
        </w:tc>
      </w:tr>
      <w:tr w:rsidR="003B67C9" w:rsidRPr="003B67C9" w:rsidTr="00F903BB">
        <w:trPr>
          <w:trHeight w:hRule="exact" w:val="1247"/>
        </w:trPr>
        <w:tc>
          <w:tcPr>
            <w:tcW w:w="2006" w:type="dxa"/>
            <w:tcBorders>
              <w:bottom w:val="nil"/>
            </w:tcBorders>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Svinec</w:t>
            </w:r>
          </w:p>
        </w:tc>
        <w:tc>
          <w:tcPr>
            <w:tcW w:w="1987" w:type="dxa"/>
            <w:tcBorders>
              <w:bottom w:val="nil"/>
            </w:tcBorders>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5</w:t>
            </w:r>
          </w:p>
        </w:tc>
        <w:tc>
          <w:tcPr>
            <w:tcW w:w="1982" w:type="dxa"/>
            <w:tcBorders>
              <w:bottom w:val="nil"/>
            </w:tcBorders>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tcBorders>
              <w:bottom w:val="nil"/>
            </w:tcBorders>
            <w:vAlign w:val="center"/>
          </w:tcPr>
          <w:p w:rsidR="003B67C9" w:rsidRPr="003B67C9" w:rsidRDefault="003B67C9" w:rsidP="003B67C9">
            <w:pPr>
              <w:framePr w:w="9245" w:wrap="notBeside" w:vAnchor="text" w:hAnchor="text" w:xAlign="center" w:y="1"/>
              <w:widowControl w:val="0"/>
              <w:jc w:val="both"/>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Vrednost parametra 5 µg/l je dosežena najpozneje do 12. januarja 2036. Do navedenega datuma je vrednost parametra za svinec 10 µg/l.</w:t>
            </w:r>
          </w:p>
          <w:p w:rsidR="003B67C9" w:rsidRPr="003B67C9" w:rsidRDefault="003B67C9" w:rsidP="00F903BB">
            <w:pPr>
              <w:framePr w:w="9245" w:wrap="notBeside" w:vAnchor="text" w:hAnchor="text" w:xAlign="center" w:y="1"/>
              <w:widowControl w:val="0"/>
              <w:rPr>
                <w:rFonts w:ascii="Arial" w:hAnsi="Arial" w:cs="Arial"/>
                <w:sz w:val="20"/>
                <w:szCs w:val="20"/>
              </w:rPr>
            </w:pPr>
          </w:p>
        </w:tc>
      </w:tr>
      <w:tr w:rsidR="003B67C9" w:rsidRPr="003B67C9" w:rsidTr="00F903BB">
        <w:trPr>
          <w:trHeight w:hRule="exact" w:val="1077"/>
        </w:trPr>
        <w:tc>
          <w:tcPr>
            <w:tcW w:w="2006" w:type="dxa"/>
            <w:tcBorders>
              <w:top w:val="nil"/>
            </w:tcBorders>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1987" w:type="dxa"/>
            <w:tcBorders>
              <w:top w:val="nil"/>
            </w:tcBorders>
            <w:vAlign w:val="center"/>
          </w:tcPr>
          <w:p w:rsidR="003B67C9" w:rsidRPr="003B67C9" w:rsidRDefault="003B67C9" w:rsidP="00F903BB">
            <w:pPr>
              <w:framePr w:w="9245" w:wrap="notBeside" w:vAnchor="text" w:hAnchor="text" w:xAlign="center" w:y="1"/>
              <w:jc w:val="center"/>
              <w:rPr>
                <w:rFonts w:ascii="Arial" w:hAnsi="Arial" w:cs="Arial"/>
                <w:sz w:val="20"/>
                <w:szCs w:val="20"/>
              </w:rPr>
            </w:pPr>
          </w:p>
        </w:tc>
        <w:tc>
          <w:tcPr>
            <w:tcW w:w="1982" w:type="dxa"/>
            <w:tcBorders>
              <w:top w:val="nil"/>
            </w:tcBorders>
            <w:vAlign w:val="center"/>
          </w:tcPr>
          <w:p w:rsidR="003B67C9" w:rsidRPr="003B67C9" w:rsidRDefault="003B67C9" w:rsidP="00F903BB">
            <w:pPr>
              <w:framePr w:w="9245" w:wrap="notBeside" w:vAnchor="text" w:hAnchor="text" w:xAlign="center" w:y="1"/>
              <w:jc w:val="center"/>
              <w:rPr>
                <w:rFonts w:ascii="Arial" w:hAnsi="Arial" w:cs="Arial"/>
                <w:sz w:val="20"/>
                <w:szCs w:val="20"/>
              </w:rPr>
            </w:pPr>
          </w:p>
        </w:tc>
        <w:tc>
          <w:tcPr>
            <w:tcW w:w="3269" w:type="dxa"/>
            <w:tcBorders>
              <w:top w:val="nil"/>
            </w:tcBorders>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Po 12. januarju 2036 se vrednost parametra 5 µg/l izpolni vsaj na odjemnem mestu.</w:t>
            </w:r>
          </w:p>
          <w:p w:rsidR="003B67C9" w:rsidRPr="003B67C9" w:rsidRDefault="003B67C9" w:rsidP="00F903BB">
            <w:pPr>
              <w:framePr w:w="9245" w:wrap="notBeside" w:vAnchor="text" w:hAnchor="text" w:xAlign="center" w:y="1"/>
              <w:widowControl w:val="0"/>
              <w:rPr>
                <w:rFonts w:ascii="Arial" w:hAnsi="Arial" w:cs="Arial"/>
                <w:sz w:val="20"/>
                <w:szCs w:val="20"/>
              </w:rPr>
            </w:pPr>
          </w:p>
        </w:tc>
      </w:tr>
      <w:tr w:rsidR="003B67C9" w:rsidRPr="003B67C9" w:rsidTr="00F903BB">
        <w:trPr>
          <w:trHeight w:hRule="exact" w:val="286"/>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Živo srebro</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1361"/>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Mikrocistin-LR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Ta parameter je treba meriti samo v pri</w:t>
            </w:r>
            <w:r w:rsidRPr="003B67C9">
              <w:rPr>
                <w:rFonts w:ascii="Arial" w:hAnsi="Arial" w:cs="Arial"/>
                <w:color w:val="000000"/>
                <w:sz w:val="20"/>
                <w:szCs w:val="20"/>
                <w:shd w:val="clear" w:color="auto" w:fill="FFFFFF"/>
              </w:rPr>
              <w:softHyphen/>
              <w:t>meru morebitnega cvetenja v viru pitne vode (naraščanje gostote cianobakterijskih celic ali možnost nastanka cvetenja).</w:t>
            </w:r>
          </w:p>
        </w:tc>
      </w:tr>
      <w:tr w:rsidR="003B67C9" w:rsidRPr="003B67C9" w:rsidTr="00F903BB">
        <w:trPr>
          <w:trHeight w:hRule="exact" w:val="318"/>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Nikelj</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20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sz w:val="20"/>
                <w:szCs w:val="20"/>
              </w:rPr>
              <w:t>–</w:t>
            </w:r>
          </w:p>
        </w:tc>
      </w:tr>
    </w:tbl>
    <w:p w:rsidR="003B67C9" w:rsidRPr="003B67C9" w:rsidRDefault="003B67C9" w:rsidP="003B67C9">
      <w:pPr>
        <w:framePr w:w="9245" w:wrap="notBeside" w:vAnchor="text" w:hAnchor="text" w:xAlign="center" w:y="1"/>
        <w:rPr>
          <w:rFonts w:ascii="Arial" w:hAnsi="Arial" w:cs="Arial"/>
          <w:sz w:val="20"/>
          <w:szCs w:val="20"/>
        </w:rPr>
      </w:pPr>
    </w:p>
    <w:p w:rsidR="003B67C9" w:rsidRPr="003B67C9" w:rsidRDefault="003B67C9" w:rsidP="003B67C9">
      <w:pPr>
        <w:rPr>
          <w:rFonts w:ascii="Arial" w:hAnsi="Arial" w:cs="Arial"/>
          <w:sz w:val="20"/>
          <w:szCs w:val="20"/>
        </w:rPr>
        <w:sectPr w:rsidR="003B67C9" w:rsidRPr="003B67C9">
          <w:pgSz w:w="11900" w:h="16840"/>
          <w:pgMar w:top="1682" w:right="1328" w:bottom="904" w:left="1328" w:header="0" w:footer="3" w:gutter="0"/>
          <w:cols w:space="708"/>
          <w:noEndnote/>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575"/>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lastRenderedPageBreak/>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2082"/>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Nitrat</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50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Izpolni se pogoj [nitrat]/50 + [nitrit]/3 ≤ 1, pri čemer oglati oklepaji pomenijo koncentracije v mg/l za nitrat (NO</w:t>
            </w:r>
            <w:r w:rsidRPr="003B67C9">
              <w:rPr>
                <w:rFonts w:ascii="Arial" w:hAnsi="Arial" w:cs="Arial"/>
                <w:color w:val="000000"/>
                <w:sz w:val="20"/>
                <w:szCs w:val="20"/>
                <w:shd w:val="clear" w:color="auto" w:fill="FFFFFF"/>
                <w:vertAlign w:val="subscript"/>
              </w:rPr>
              <w:t>3</w:t>
            </w:r>
            <w:r w:rsidRPr="003B67C9">
              <w:rPr>
                <w:rFonts w:ascii="Arial" w:hAnsi="Arial" w:cs="Arial"/>
                <w:color w:val="000000"/>
                <w:sz w:val="20"/>
                <w:szCs w:val="20"/>
                <w:shd w:val="clear" w:color="auto" w:fill="FFFFFF"/>
              </w:rPr>
              <w:t>) in nitrit (NO</w:t>
            </w:r>
            <w:r w:rsidRPr="003B67C9">
              <w:rPr>
                <w:rFonts w:ascii="Arial" w:hAnsi="Arial" w:cs="Arial"/>
                <w:color w:val="000000"/>
                <w:sz w:val="20"/>
                <w:szCs w:val="20"/>
                <w:shd w:val="clear" w:color="auto" w:fill="FFFFFF"/>
                <w:vertAlign w:val="subscript"/>
              </w:rPr>
              <w:t>2</w:t>
            </w:r>
            <w:r w:rsidRPr="003B67C9">
              <w:rPr>
                <w:rFonts w:ascii="Arial" w:hAnsi="Arial" w:cs="Arial"/>
                <w:color w:val="000000"/>
                <w:sz w:val="20"/>
                <w:szCs w:val="20"/>
                <w:shd w:val="clear" w:color="auto" w:fill="FFFFFF"/>
              </w:rPr>
              <w:t>), ter da se izpolni vrednost parametra 0,10 mg/l za nitrite za pitno vodo iz naprav za pripravo pitne vode.</w:t>
            </w:r>
          </w:p>
        </w:tc>
      </w:tr>
      <w:tr w:rsidR="003B67C9" w:rsidRPr="003B67C9" w:rsidTr="00F903BB">
        <w:trPr>
          <w:trHeight w:hRule="exact" w:val="1970"/>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Nitrit</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0,50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Izpolni se pogoj [nitrat]/50 + [nitrit]/3 ≤ 1, pri čemer oglati oklepaji pomenijo koncentracije v mg/l za nitrat (NO</w:t>
            </w:r>
            <w:r w:rsidRPr="003B67C9">
              <w:rPr>
                <w:rFonts w:ascii="Arial" w:hAnsi="Arial" w:cs="Arial"/>
                <w:color w:val="000000"/>
                <w:sz w:val="20"/>
                <w:szCs w:val="20"/>
                <w:shd w:val="clear" w:color="auto" w:fill="FFFFFF"/>
                <w:vertAlign w:val="subscript"/>
              </w:rPr>
              <w:t>3</w:t>
            </w:r>
            <w:r w:rsidRPr="003B67C9">
              <w:rPr>
                <w:rFonts w:ascii="Arial" w:hAnsi="Arial" w:cs="Arial"/>
                <w:color w:val="000000"/>
                <w:sz w:val="20"/>
                <w:szCs w:val="20"/>
                <w:shd w:val="clear" w:color="auto" w:fill="FFFFFF"/>
              </w:rPr>
              <w:t>) in nitrit (NO</w:t>
            </w:r>
            <w:r w:rsidRPr="003B67C9">
              <w:rPr>
                <w:rFonts w:ascii="Arial" w:hAnsi="Arial" w:cs="Arial"/>
                <w:color w:val="000000"/>
                <w:sz w:val="20"/>
                <w:szCs w:val="20"/>
                <w:shd w:val="clear" w:color="auto" w:fill="FFFFFF"/>
                <w:vertAlign w:val="subscript"/>
              </w:rPr>
              <w:t>2</w:t>
            </w:r>
            <w:r w:rsidRPr="003B67C9">
              <w:rPr>
                <w:rFonts w:ascii="Arial" w:hAnsi="Arial" w:cs="Arial"/>
                <w:color w:val="000000"/>
                <w:sz w:val="20"/>
                <w:szCs w:val="20"/>
                <w:shd w:val="clear" w:color="auto" w:fill="FFFFFF"/>
              </w:rPr>
              <w:t>), ter da se izpolni vrednost parametra 0,10 mg/l za nitrite za pitno vodo iz naprav za pripravo pitne vode.</w:t>
            </w:r>
          </w:p>
        </w:tc>
      </w:tr>
      <w:tr w:rsidR="003B67C9" w:rsidRPr="003B67C9" w:rsidTr="00F903BB">
        <w:trPr>
          <w:trHeight w:hRule="exact" w:val="6576"/>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Pesticidi</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widowControl w:val="0"/>
              <w:ind w:left="400" w:hanging="400"/>
              <w:rPr>
                <w:rFonts w:ascii="Arial" w:hAnsi="Arial" w:cs="Arial"/>
                <w:sz w:val="20"/>
                <w:szCs w:val="20"/>
              </w:rPr>
            </w:pPr>
            <w:r w:rsidRPr="003B67C9">
              <w:rPr>
                <w:rFonts w:ascii="Arial" w:hAnsi="Arial" w:cs="Arial"/>
                <w:color w:val="000000"/>
                <w:sz w:val="20"/>
                <w:szCs w:val="20"/>
                <w:shd w:val="clear" w:color="auto" w:fill="FFFFFF"/>
              </w:rPr>
              <w:t>»Pesticidi« pomenijo:</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organske insekticide,</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organske herbicide,</w:t>
            </w:r>
          </w:p>
          <w:p w:rsidR="003B67C9" w:rsidRPr="003B67C9" w:rsidRDefault="003B67C9" w:rsidP="003B67C9">
            <w:pPr>
              <w:framePr w:w="9245" w:wrap="notBeside" w:vAnchor="text" w:hAnchor="text" w:xAlign="center" w:y="1"/>
              <w:widowControl w:val="0"/>
              <w:numPr>
                <w:ilvl w:val="0"/>
                <w:numId w:val="1"/>
              </w:numPr>
              <w:tabs>
                <w:tab w:val="left" w:pos="288"/>
              </w:tabs>
              <w:jc w:val="both"/>
              <w:rPr>
                <w:rFonts w:ascii="Arial" w:hAnsi="Arial" w:cs="Arial"/>
                <w:sz w:val="20"/>
                <w:szCs w:val="20"/>
              </w:rPr>
            </w:pPr>
            <w:r w:rsidRPr="003B67C9">
              <w:rPr>
                <w:rFonts w:ascii="Arial" w:hAnsi="Arial" w:cs="Arial"/>
                <w:color w:val="000000"/>
                <w:sz w:val="20"/>
                <w:szCs w:val="20"/>
                <w:shd w:val="clear" w:color="auto" w:fill="FFFFFF"/>
              </w:rPr>
              <w:t>organske fungicide,</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organske nematocide,</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organske akaricide,</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organske algicide,</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organske rodenticide,</w:t>
            </w:r>
          </w:p>
          <w:p w:rsidR="003B67C9" w:rsidRPr="003B67C9" w:rsidRDefault="003B67C9" w:rsidP="003B67C9">
            <w:pPr>
              <w:framePr w:w="9245" w:wrap="notBeside" w:vAnchor="text" w:hAnchor="text" w:xAlign="center" w:y="1"/>
              <w:widowControl w:val="0"/>
              <w:numPr>
                <w:ilvl w:val="0"/>
                <w:numId w:val="1"/>
              </w:numPr>
              <w:tabs>
                <w:tab w:val="left" w:pos="288"/>
              </w:tabs>
              <w:rPr>
                <w:rFonts w:ascii="Arial" w:hAnsi="Arial" w:cs="Arial"/>
                <w:sz w:val="20"/>
                <w:szCs w:val="20"/>
              </w:rPr>
            </w:pPr>
            <w:r w:rsidRPr="003B67C9">
              <w:rPr>
                <w:rFonts w:ascii="Arial" w:hAnsi="Arial" w:cs="Arial"/>
                <w:color w:val="000000"/>
                <w:sz w:val="20"/>
                <w:szCs w:val="20"/>
                <w:shd w:val="clear" w:color="auto" w:fill="FFFFFF"/>
              </w:rPr>
              <w:t>organska sredstva za zatiranje sluzi,</w:t>
            </w:r>
          </w:p>
          <w:p w:rsidR="003B67C9" w:rsidRPr="003B67C9" w:rsidRDefault="003B67C9" w:rsidP="003B67C9">
            <w:pPr>
              <w:framePr w:w="9245" w:wrap="notBeside" w:vAnchor="text" w:hAnchor="text" w:xAlign="center" w:y="1"/>
              <w:widowControl w:val="0"/>
              <w:numPr>
                <w:ilvl w:val="0"/>
                <w:numId w:val="1"/>
              </w:numPr>
              <w:tabs>
                <w:tab w:val="left" w:pos="289"/>
              </w:tabs>
              <w:rPr>
                <w:rFonts w:ascii="Arial" w:hAnsi="Arial" w:cs="Arial"/>
                <w:sz w:val="20"/>
                <w:szCs w:val="20"/>
              </w:rPr>
            </w:pPr>
            <w:r w:rsidRPr="003B67C9">
              <w:rPr>
                <w:rFonts w:ascii="Arial" w:hAnsi="Arial" w:cs="Arial"/>
                <w:color w:val="000000"/>
                <w:sz w:val="20"/>
                <w:szCs w:val="20"/>
                <w:shd w:val="clear" w:color="auto" w:fill="FFFFFF"/>
              </w:rPr>
              <w:t>sorodne proizvode (med drugim regu</w:t>
            </w:r>
            <w:r w:rsidRPr="003B67C9">
              <w:rPr>
                <w:rFonts w:ascii="Arial" w:hAnsi="Arial" w:cs="Arial"/>
                <w:color w:val="000000"/>
                <w:sz w:val="20"/>
                <w:szCs w:val="20"/>
                <w:shd w:val="clear" w:color="auto" w:fill="FFFFFF"/>
              </w:rPr>
              <w:softHyphen/>
              <w:t>latorje rasti)</w:t>
            </w:r>
          </w:p>
          <w:p w:rsidR="003B67C9" w:rsidRPr="003B67C9" w:rsidRDefault="003B67C9" w:rsidP="003B67C9">
            <w:pPr>
              <w:framePr w:w="9245" w:wrap="notBeside" w:vAnchor="text" w:hAnchor="text" w:xAlign="center" w:y="1"/>
              <w:widowControl w:val="0"/>
              <w:tabs>
                <w:tab w:val="left" w:pos="289"/>
              </w:tabs>
              <w:jc w:val="both"/>
              <w:rPr>
                <w:rFonts w:ascii="Arial" w:hAnsi="Arial" w:cs="Arial"/>
                <w:sz w:val="20"/>
                <w:szCs w:val="20"/>
              </w:rPr>
            </w:pPr>
            <w:bookmarkStart w:id="3" w:name="bookmark89"/>
            <w:r w:rsidRPr="003B67C9">
              <w:rPr>
                <w:rFonts w:ascii="Arial" w:hAnsi="Arial" w:cs="Arial"/>
                <w:color w:val="000000"/>
                <w:sz w:val="20"/>
                <w:szCs w:val="20"/>
                <w:shd w:val="clear" w:color="auto" w:fill="FFFFFF"/>
              </w:rPr>
              <w:t>in njihove metabolite, kot so opredeljeni v 32. točki 3. člena Uredbe (ES) št. 1107/2009 Evropskega parlamenta in Sveta</w:t>
            </w:r>
            <w:hyperlink w:anchor="bookmark90" w:tooltip="Current Document" w:history="1">
              <w:r w:rsidRPr="003B67C9">
                <w:rPr>
                  <w:rFonts w:ascii="Arial" w:hAnsi="Arial" w:cs="Arial"/>
                  <w:color w:val="000000"/>
                  <w:sz w:val="20"/>
                  <w:szCs w:val="20"/>
                  <w:shd w:val="clear" w:color="auto" w:fill="FFFFFF"/>
                </w:rPr>
                <w:t xml:space="preserve"> (</w:t>
              </w:r>
              <w:r w:rsidRPr="003B67C9">
                <w:rPr>
                  <w:rFonts w:ascii="Arial" w:hAnsi="Arial" w:cs="Arial"/>
                  <w:color w:val="000000"/>
                  <w:sz w:val="20"/>
                  <w:szCs w:val="20"/>
                  <w:shd w:val="clear" w:color="auto" w:fill="FFFFFF"/>
                  <w:vertAlign w:val="superscript"/>
                </w:rPr>
                <w:t>1</w:t>
              </w:r>
              <w:r w:rsidRPr="003B67C9">
                <w:rPr>
                  <w:rFonts w:ascii="Arial" w:hAnsi="Arial" w:cs="Arial"/>
                  <w:color w:val="000000"/>
                  <w:sz w:val="20"/>
                  <w:szCs w:val="20"/>
                  <w:shd w:val="clear" w:color="auto" w:fill="FFFFFF"/>
                </w:rPr>
                <w:t>)</w:t>
              </w:r>
            </w:hyperlink>
            <w:r w:rsidRPr="003B67C9">
              <w:rPr>
                <w:rFonts w:ascii="Arial" w:hAnsi="Arial" w:cs="Arial"/>
                <w:color w:val="000000"/>
                <w:sz w:val="20"/>
                <w:szCs w:val="20"/>
                <w:shd w:val="clear" w:color="auto" w:fill="FFFFFF"/>
              </w:rPr>
              <w:t>, ki štejejo za relevantne za pitno vodo.</w:t>
            </w:r>
            <w:bookmarkEnd w:id="3"/>
          </w:p>
          <w:p w:rsidR="003B67C9" w:rsidRPr="003B67C9" w:rsidRDefault="003B67C9" w:rsidP="00F903BB">
            <w:pPr>
              <w:framePr w:w="9245" w:wrap="notBeside" w:vAnchor="text" w:hAnchor="text" w:xAlign="center" w:y="1"/>
              <w:widowControl w:val="0"/>
              <w:rPr>
                <w:rFonts w:ascii="Arial" w:hAnsi="Arial" w:cs="Arial"/>
                <w:color w:val="000000"/>
                <w:sz w:val="20"/>
                <w:szCs w:val="20"/>
                <w:shd w:val="clear" w:color="auto" w:fill="FFFFFF"/>
                <w:lang w:eastAsia="de-DE"/>
              </w:rPr>
            </w:pPr>
          </w:p>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lang w:eastAsia="de-DE"/>
              </w:rPr>
              <w:t xml:space="preserve">Metabolit </w:t>
            </w:r>
            <w:r w:rsidRPr="003B67C9">
              <w:rPr>
                <w:rFonts w:ascii="Arial" w:hAnsi="Arial" w:cs="Arial"/>
                <w:color w:val="000000"/>
                <w:sz w:val="20"/>
                <w:szCs w:val="20"/>
                <w:shd w:val="clear" w:color="auto" w:fill="FFFFFF"/>
              </w:rPr>
              <w:t xml:space="preserve">pesticida se šteje za relevantnega za pitno vodo, če obstaja razlog za domnevo, da ima glede svoje ciljne pesticidne aktivnosti </w:t>
            </w:r>
            <w:r w:rsidRPr="003B67C9">
              <w:rPr>
                <w:rFonts w:ascii="Arial" w:hAnsi="Arial" w:cs="Arial"/>
                <w:color w:val="000000"/>
                <w:sz w:val="20"/>
                <w:szCs w:val="20"/>
                <w:shd w:val="clear" w:color="auto" w:fill="FFFFFF"/>
                <w:lang w:eastAsia="de-DE"/>
              </w:rPr>
              <w:t>primer</w:t>
            </w:r>
            <w:r w:rsidRPr="003B67C9">
              <w:rPr>
                <w:rFonts w:ascii="Arial" w:hAnsi="Arial" w:cs="Arial"/>
                <w:color w:val="000000"/>
                <w:sz w:val="20"/>
                <w:szCs w:val="20"/>
                <w:shd w:val="clear" w:color="auto" w:fill="FFFFFF"/>
                <w:lang w:eastAsia="de-DE"/>
              </w:rPr>
              <w:softHyphen/>
              <w:t>ljive</w:t>
            </w:r>
            <w:r w:rsidRPr="003B67C9">
              <w:rPr>
                <w:rFonts w:ascii="Arial" w:hAnsi="Arial" w:cs="Arial"/>
                <w:color w:val="000000"/>
                <w:sz w:val="20"/>
                <w:szCs w:val="20"/>
                <w:shd w:val="clear" w:color="auto" w:fill="FFFFFF"/>
              </w:rPr>
              <w:t xml:space="preserve"> bistvene lastnosti kot matična snov, ali če sam ali njegovi razgradni produkti povzročajo tveganje za zdravje uporabnikov pitne vode.</w:t>
            </w:r>
          </w:p>
        </w:tc>
      </w:tr>
      <w:tr w:rsidR="003B67C9" w:rsidRPr="003B67C9" w:rsidTr="00F903BB">
        <w:trPr>
          <w:trHeight w:hRule="exact" w:val="1700"/>
        </w:trPr>
        <w:tc>
          <w:tcPr>
            <w:tcW w:w="2006" w:type="dxa"/>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1987" w:type="dxa"/>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1982" w:type="dxa"/>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3269"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Vrednost parametra 0,10 µg/l se uporablja za vsak posamezen pesticid.</w:t>
            </w:r>
          </w:p>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Za aldrin, dieldrin, heptaklor in heptaklor epoksid je vrednost parametra 0,030 µg/l.</w:t>
            </w:r>
          </w:p>
        </w:tc>
      </w:tr>
    </w:tbl>
    <w:p w:rsidR="003B67C9" w:rsidRPr="003B67C9" w:rsidRDefault="003B67C9" w:rsidP="003B67C9">
      <w:pPr>
        <w:framePr w:w="9245" w:wrap="notBeside" w:vAnchor="text" w:hAnchor="text" w:xAlign="center" w:y="1"/>
        <w:rPr>
          <w:rFonts w:ascii="Arial" w:hAnsi="Arial" w:cs="Arial"/>
          <w:sz w:val="20"/>
          <w:szCs w:val="20"/>
        </w:rPr>
      </w:pPr>
    </w:p>
    <w:p w:rsidR="003B67C9" w:rsidRPr="003B67C9" w:rsidRDefault="003B67C9" w:rsidP="003B67C9">
      <w:pPr>
        <w:rPr>
          <w:rFonts w:ascii="Arial" w:hAnsi="Arial" w:cs="Arial"/>
          <w:sz w:val="20"/>
          <w:szCs w:val="20"/>
        </w:rPr>
      </w:pPr>
    </w:p>
    <w:p w:rsidR="003B67C9" w:rsidRPr="003B67C9" w:rsidRDefault="003B67C9" w:rsidP="003B67C9">
      <w:pPr>
        <w:rPr>
          <w:rFonts w:ascii="Arial" w:hAnsi="Arial" w:cs="Arial"/>
          <w:sz w:val="20"/>
          <w:szCs w:val="20"/>
        </w:rPr>
        <w:sectPr w:rsidR="003B67C9" w:rsidRPr="003B67C9">
          <w:headerReference w:type="even" r:id="rId8"/>
          <w:headerReference w:type="default" r:id="rId9"/>
          <w:headerReference w:type="first" r:id="rId10"/>
          <w:pgSz w:w="11900" w:h="16840"/>
          <w:pgMar w:top="1682" w:right="1328" w:bottom="904" w:left="1328" w:header="0" w:footer="3" w:gutter="0"/>
          <w:cols w:space="708"/>
          <w:noEndnote/>
          <w:titlePg/>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583"/>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lastRenderedPageBreak/>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1077"/>
        </w:trPr>
        <w:tc>
          <w:tcPr>
            <w:tcW w:w="2006" w:type="dxa"/>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1987" w:type="dxa"/>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1982" w:type="dxa"/>
            <w:vAlign w:val="center"/>
          </w:tcPr>
          <w:p w:rsidR="003B67C9" w:rsidRPr="003B67C9" w:rsidRDefault="003B67C9" w:rsidP="00F903BB">
            <w:pPr>
              <w:framePr w:w="9245" w:wrap="notBeside" w:vAnchor="text" w:hAnchor="text" w:xAlign="center" w:y="1"/>
              <w:rPr>
                <w:rFonts w:ascii="Arial" w:hAnsi="Arial" w:cs="Arial"/>
                <w:sz w:val="20"/>
                <w:szCs w:val="20"/>
              </w:rPr>
            </w:pPr>
          </w:p>
        </w:tc>
        <w:tc>
          <w:tcPr>
            <w:tcW w:w="3269"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Orientacijska vrednost za upravljanje prisotnosti nerele- vantnih metabolitov pesticidov v pitni vodi je 0,1 µg/l.</w:t>
            </w:r>
          </w:p>
          <w:p w:rsidR="003B67C9" w:rsidRPr="003B67C9" w:rsidRDefault="003B67C9" w:rsidP="00F903BB">
            <w:pPr>
              <w:framePr w:w="9245" w:wrap="notBeside" w:vAnchor="text" w:hAnchor="text" w:xAlign="center" w:y="1"/>
              <w:widowControl w:val="0"/>
              <w:jc w:val="both"/>
              <w:rPr>
                <w:rFonts w:ascii="Arial" w:hAnsi="Arial" w:cs="Arial"/>
                <w:sz w:val="20"/>
                <w:szCs w:val="20"/>
              </w:rPr>
            </w:pPr>
          </w:p>
        </w:tc>
      </w:tr>
      <w:tr w:rsidR="003B67C9" w:rsidRPr="003B67C9" w:rsidTr="00F903BB">
        <w:trPr>
          <w:trHeight w:hRule="exact" w:val="2036"/>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Vsota pesticidov</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0,50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»Vsota pesticidov« je vsota vseh posameznih pesticidov, kot so opredeljeni v prejšnji vrstici, ki so bili najdeni in količinsko opredeljeni v postopku sprem</w:t>
            </w:r>
            <w:r w:rsidRPr="003B67C9">
              <w:rPr>
                <w:rFonts w:ascii="Arial" w:hAnsi="Arial" w:cs="Arial"/>
                <w:color w:val="000000"/>
                <w:sz w:val="20"/>
                <w:szCs w:val="20"/>
                <w:shd w:val="clear" w:color="auto" w:fill="FFFFFF"/>
              </w:rPr>
              <w:softHyphen/>
              <w:t>ljanja (k vsoti se ne prištevajo nerelevantni metaboliti pesticidov).</w:t>
            </w:r>
          </w:p>
        </w:tc>
      </w:tr>
      <w:tr w:rsidR="003B67C9" w:rsidRPr="003B67C9" w:rsidTr="00F903BB">
        <w:trPr>
          <w:trHeight w:hRule="exact" w:val="2381"/>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Vsota PFAS</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0,50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»Vsota PFAS« je vsots vseh per- in polifluoriranih alkilnih snovi.</w:t>
            </w:r>
          </w:p>
          <w:p w:rsidR="003B67C9" w:rsidRPr="003B67C9" w:rsidRDefault="003B67C9" w:rsidP="003B67C9">
            <w:pPr>
              <w:framePr w:w="9245" w:wrap="notBeside" w:vAnchor="text" w:hAnchor="text" w:xAlign="center" w:y="1"/>
              <w:widowControl w:val="0"/>
              <w:jc w:val="both"/>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Ta vrednost parametra se uporablja šele, ko Evropska komisija pripravi teh</w:t>
            </w:r>
            <w:r w:rsidRPr="003B67C9">
              <w:rPr>
                <w:rFonts w:ascii="Arial" w:hAnsi="Arial" w:cs="Arial"/>
                <w:color w:val="000000"/>
                <w:sz w:val="20"/>
                <w:szCs w:val="20"/>
                <w:shd w:val="clear" w:color="auto" w:fill="FFFFFF"/>
              </w:rPr>
              <w:softHyphen/>
              <w:t>nične smernice za spremljanje tega para</w:t>
            </w:r>
            <w:r w:rsidRPr="003B67C9">
              <w:rPr>
                <w:rFonts w:ascii="Arial" w:hAnsi="Arial" w:cs="Arial"/>
                <w:color w:val="000000"/>
                <w:sz w:val="20"/>
                <w:szCs w:val="20"/>
                <w:shd w:val="clear" w:color="auto" w:fill="FFFFFF"/>
              </w:rPr>
              <w:softHyphen/>
              <w:t>metra. Lahko se spremlja samo eden od parametrov »Vsota PFAS« ali »Skupno PFAS«.</w:t>
            </w:r>
          </w:p>
          <w:p w:rsidR="003B67C9" w:rsidRPr="003B67C9" w:rsidRDefault="003B67C9" w:rsidP="003B67C9">
            <w:pPr>
              <w:framePr w:w="9245" w:wrap="notBeside" w:vAnchor="text" w:hAnchor="text" w:xAlign="center" w:y="1"/>
              <w:widowControl w:val="0"/>
              <w:jc w:val="both"/>
              <w:rPr>
                <w:rFonts w:ascii="Arial" w:hAnsi="Arial" w:cs="Arial"/>
                <w:sz w:val="20"/>
                <w:szCs w:val="20"/>
              </w:rPr>
            </w:pPr>
          </w:p>
        </w:tc>
      </w:tr>
      <w:tr w:rsidR="003B67C9" w:rsidRPr="003B67C9" w:rsidTr="00F903BB">
        <w:trPr>
          <w:trHeight w:hRule="exact" w:val="2890"/>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Skupno PFAS</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»Skupno PFAS« je vsota per- in polifluoriranih alkilnih snovi iz 2. točke Dela B Priloge 3 te uredbe, ki štejejo za skrb vzbu</w:t>
            </w:r>
            <w:r w:rsidRPr="003B67C9">
              <w:rPr>
                <w:rFonts w:ascii="Arial" w:hAnsi="Arial" w:cs="Arial"/>
                <w:color w:val="000000"/>
                <w:sz w:val="20"/>
                <w:szCs w:val="20"/>
                <w:shd w:val="clear" w:color="auto" w:fill="FFFFFF"/>
              </w:rPr>
              <w:softHyphen/>
              <w:t>jajoče za pitno vodo. To je podnabor snovi »Vsota PFAS«, ki vsebujejo delež perfluoroalkila s tremi ali več atomi ogljika (tj. – C</w:t>
            </w:r>
            <w:r w:rsidRPr="003B67C9">
              <w:rPr>
                <w:rFonts w:ascii="Arial" w:hAnsi="Arial" w:cs="Arial"/>
                <w:color w:val="000000"/>
                <w:sz w:val="20"/>
                <w:szCs w:val="20"/>
                <w:shd w:val="clear" w:color="auto" w:fill="FFFFFF"/>
                <w:vertAlign w:val="subscript"/>
              </w:rPr>
              <w:t>n</w:t>
            </w:r>
            <w:r w:rsidRPr="003B67C9">
              <w:rPr>
                <w:rFonts w:ascii="Arial" w:hAnsi="Arial" w:cs="Arial"/>
                <w:color w:val="000000"/>
                <w:sz w:val="20"/>
                <w:szCs w:val="20"/>
                <w:shd w:val="clear" w:color="auto" w:fill="FFFFFF"/>
              </w:rPr>
              <w:t>F</w:t>
            </w:r>
            <w:r w:rsidRPr="003B67C9">
              <w:rPr>
                <w:rFonts w:ascii="Arial" w:hAnsi="Arial" w:cs="Arial"/>
                <w:color w:val="000000"/>
                <w:sz w:val="20"/>
                <w:szCs w:val="20"/>
                <w:shd w:val="clear" w:color="auto" w:fill="FFFFFF"/>
                <w:vertAlign w:val="subscript"/>
              </w:rPr>
              <w:t>2n-</w:t>
            </w:r>
            <w:r w:rsidRPr="003B67C9">
              <w:rPr>
                <w:rFonts w:ascii="Arial" w:hAnsi="Arial" w:cs="Arial"/>
                <w:color w:val="000000"/>
                <w:sz w:val="20"/>
                <w:szCs w:val="20"/>
                <w:shd w:val="clear" w:color="auto" w:fill="FFFFFF"/>
              </w:rPr>
              <w:t>, n ≥ 3) ali delež perfluoriranega alkil etra z dvema ali več atomi ogljika (tj. – C</w:t>
            </w:r>
            <w:r w:rsidRPr="003B67C9">
              <w:rPr>
                <w:rFonts w:ascii="Arial" w:hAnsi="Arial" w:cs="Arial"/>
                <w:color w:val="000000"/>
                <w:sz w:val="20"/>
                <w:szCs w:val="20"/>
                <w:shd w:val="clear" w:color="auto" w:fill="FFFFFF"/>
                <w:vertAlign w:val="subscript"/>
              </w:rPr>
              <w:t>n</w:t>
            </w:r>
            <w:r w:rsidRPr="003B67C9">
              <w:rPr>
                <w:rFonts w:ascii="Arial" w:hAnsi="Arial" w:cs="Arial"/>
                <w:color w:val="000000"/>
                <w:sz w:val="20"/>
                <w:szCs w:val="20"/>
                <w:shd w:val="clear" w:color="auto" w:fill="FFFFFF"/>
              </w:rPr>
              <w:t>F</w:t>
            </w:r>
            <w:r w:rsidRPr="003B67C9">
              <w:rPr>
                <w:rFonts w:ascii="Arial" w:hAnsi="Arial" w:cs="Arial"/>
                <w:color w:val="000000"/>
                <w:sz w:val="20"/>
                <w:szCs w:val="20"/>
                <w:shd w:val="clear" w:color="auto" w:fill="FFFFFF"/>
                <w:vertAlign w:val="subscript"/>
              </w:rPr>
              <w:t>2n</w:t>
            </w:r>
            <w:r w:rsidRPr="003B67C9">
              <w:rPr>
                <w:rFonts w:ascii="Arial" w:hAnsi="Arial" w:cs="Arial"/>
                <w:color w:val="000000"/>
                <w:sz w:val="20"/>
                <w:szCs w:val="20"/>
                <w:shd w:val="clear" w:color="auto" w:fill="FFFFFF"/>
              </w:rPr>
              <w:t>OC</w:t>
            </w:r>
            <w:r w:rsidRPr="003B67C9">
              <w:rPr>
                <w:rFonts w:ascii="Arial" w:hAnsi="Arial" w:cs="Arial"/>
                <w:color w:val="000000"/>
                <w:sz w:val="20"/>
                <w:szCs w:val="20"/>
                <w:shd w:val="clear" w:color="auto" w:fill="FFFFFF"/>
                <w:vertAlign w:val="subscript"/>
              </w:rPr>
              <w:t>m</w:t>
            </w:r>
            <w:r w:rsidRPr="003B67C9">
              <w:rPr>
                <w:rFonts w:ascii="Arial" w:hAnsi="Arial" w:cs="Arial"/>
                <w:color w:val="000000"/>
                <w:sz w:val="20"/>
                <w:szCs w:val="20"/>
                <w:shd w:val="clear" w:color="auto" w:fill="FFFFFF"/>
              </w:rPr>
              <w:t>F</w:t>
            </w:r>
            <w:r w:rsidRPr="003B67C9">
              <w:rPr>
                <w:rFonts w:ascii="Arial" w:hAnsi="Arial" w:cs="Arial"/>
                <w:color w:val="000000"/>
                <w:sz w:val="20"/>
                <w:szCs w:val="20"/>
                <w:shd w:val="clear" w:color="auto" w:fill="FFFFFF"/>
                <w:vertAlign w:val="subscript"/>
              </w:rPr>
              <w:t>2m-</w:t>
            </w:r>
            <w:r w:rsidRPr="003B67C9">
              <w:rPr>
                <w:rFonts w:ascii="Arial" w:hAnsi="Arial" w:cs="Arial"/>
                <w:color w:val="000000"/>
                <w:sz w:val="20"/>
                <w:szCs w:val="20"/>
                <w:shd w:val="clear" w:color="auto" w:fill="FFFFFF"/>
              </w:rPr>
              <w:t>, n in m ≥ 1).</w:t>
            </w:r>
          </w:p>
        </w:tc>
      </w:tr>
      <w:tr w:rsidR="003B67C9" w:rsidRPr="003B67C9" w:rsidTr="00F903BB">
        <w:trPr>
          <w:trHeight w:hRule="exact" w:val="1361"/>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Policiklični aromatski ogljikovodiki</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Vsota koncentracij naslednjih določenih spojin: benzo(b)fluoranten, benzo(k)fluo- ranten, benzo(ghi)perilen in indeno(1,2,3- cd)piren.</w:t>
            </w:r>
          </w:p>
        </w:tc>
      </w:tr>
      <w:tr w:rsidR="003B67C9" w:rsidRPr="003B67C9" w:rsidTr="00F903BB">
        <w:trPr>
          <w:trHeight w:hRule="exact" w:val="1008"/>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Selen</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20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Vrednost parametra 30 µg/l se uporabi za regije, kjer bi lahko geološki pogoji povzročili visoke ravni selena v podzemni vodi.</w:t>
            </w:r>
          </w:p>
        </w:tc>
      </w:tr>
    </w:tbl>
    <w:p w:rsidR="003B67C9" w:rsidRPr="003B67C9" w:rsidRDefault="003B67C9" w:rsidP="003B67C9">
      <w:pPr>
        <w:framePr w:w="9245" w:wrap="notBeside" w:vAnchor="text" w:hAnchor="text" w:xAlign="center" w:y="1"/>
        <w:rPr>
          <w:rFonts w:ascii="Arial" w:hAnsi="Arial" w:cs="Arial"/>
          <w:sz w:val="20"/>
          <w:szCs w:val="20"/>
        </w:rPr>
      </w:pPr>
    </w:p>
    <w:p w:rsidR="003B67C9" w:rsidRPr="003B67C9" w:rsidRDefault="003B67C9" w:rsidP="003B67C9">
      <w:pPr>
        <w:rPr>
          <w:rFonts w:ascii="Arial" w:hAnsi="Arial" w:cs="Arial"/>
          <w:sz w:val="20"/>
          <w:szCs w:val="20"/>
        </w:rPr>
        <w:sectPr w:rsidR="003B67C9" w:rsidRPr="003B67C9">
          <w:pgSz w:w="11900" w:h="16840"/>
          <w:pgMar w:top="1755" w:right="1328" w:bottom="1755" w:left="1328" w:header="0" w:footer="3" w:gutter="0"/>
          <w:cols w:space="708"/>
          <w:noEndnote/>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583"/>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lastRenderedPageBreak/>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571"/>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Tetrakloroeten in trikloroeten</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Vsota koncentracij teh dveh parametrov.</w:t>
            </w:r>
          </w:p>
        </w:tc>
      </w:tr>
      <w:tr w:rsidR="003B67C9" w:rsidRPr="003B67C9" w:rsidTr="00F903BB">
        <w:trPr>
          <w:trHeight w:hRule="exact" w:val="2268"/>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Trihalometani, vsota</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100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Upravljavec vodovoda mora zagotavljati čim nižjo vrednost pod pogojem, da to ne vpliva na uspešnost dezinfekcije pitne vode.</w:t>
            </w:r>
          </w:p>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Parameter je vsota koncentracij naslednjih določenih spojin: kloroform, bromoform, dibromoklorometan in bromodiklorometan.</w:t>
            </w:r>
          </w:p>
        </w:tc>
      </w:tr>
      <w:tr w:rsidR="003B67C9" w:rsidRPr="003B67C9" w:rsidTr="00F903BB">
        <w:trPr>
          <w:trHeight w:hRule="exact" w:val="360"/>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Uran</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30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1871"/>
        </w:trPr>
        <w:tc>
          <w:tcPr>
            <w:tcW w:w="2006" w:type="dxa"/>
            <w:vAlign w:val="center"/>
          </w:tcPr>
          <w:p w:rsidR="003B67C9" w:rsidRPr="003B67C9" w:rsidRDefault="003B67C9" w:rsidP="00F903BB">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Vinil klorid</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0,50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Vrednost parametra 0,50 µg/l se nanaša na koncentracijo preostalega monomera v pitni vodi, izračunano v skladu s specifikacijami največje sprostitve iz ustreznega polimera, ki je v stiku s pitno vodo.</w:t>
            </w:r>
          </w:p>
        </w:tc>
      </w:tr>
    </w:tbl>
    <w:p w:rsidR="003B67C9" w:rsidRPr="003B67C9" w:rsidRDefault="003B67C9" w:rsidP="003B67C9">
      <w:pPr>
        <w:framePr w:w="9245" w:wrap="notBeside" w:vAnchor="text" w:hAnchor="text" w:xAlign="center" w:y="1"/>
        <w:widowControl w:val="0"/>
        <w:spacing w:after="0" w:line="192" w:lineRule="exact"/>
        <w:jc w:val="both"/>
        <w:rPr>
          <w:rFonts w:ascii="Arial" w:hAnsi="Arial" w:cs="Arial"/>
          <w:sz w:val="20"/>
          <w:szCs w:val="20"/>
        </w:rPr>
      </w:pPr>
    </w:p>
    <w:p w:rsidR="003B67C9" w:rsidRPr="003B67C9" w:rsidRDefault="003B67C9" w:rsidP="003B67C9">
      <w:pPr>
        <w:framePr w:w="9245" w:wrap="notBeside" w:vAnchor="text" w:hAnchor="text" w:xAlign="center" w:y="1"/>
        <w:widowControl w:val="0"/>
        <w:spacing w:after="0" w:line="260" w:lineRule="exact"/>
        <w:jc w:val="both"/>
        <w:rPr>
          <w:rFonts w:ascii="Arial" w:hAnsi="Arial" w:cs="Arial"/>
          <w:sz w:val="20"/>
          <w:szCs w:val="20"/>
        </w:rPr>
      </w:pPr>
      <w:hyperlink w:anchor="bookmark89" w:tooltip="Current Document" w:history="1">
        <w:bookmarkStart w:id="4" w:name="bookmark90"/>
        <w:r w:rsidRPr="003B67C9">
          <w:rPr>
            <w:rFonts w:ascii="Arial" w:hAnsi="Arial" w:cs="Arial"/>
            <w:color w:val="000000"/>
            <w:sz w:val="20"/>
            <w:szCs w:val="20"/>
            <w:shd w:val="clear" w:color="auto" w:fill="FFFFFF"/>
          </w:rPr>
          <w:t>(</w:t>
        </w:r>
        <w:r w:rsidRPr="003B67C9">
          <w:rPr>
            <w:rFonts w:ascii="Arial" w:hAnsi="Arial" w:cs="Arial"/>
            <w:color w:val="000000"/>
            <w:sz w:val="20"/>
            <w:szCs w:val="20"/>
            <w:shd w:val="clear" w:color="auto" w:fill="FFFFFF"/>
            <w:vertAlign w:val="superscript"/>
          </w:rPr>
          <w:t>1</w:t>
        </w:r>
        <w:r w:rsidRPr="003B67C9">
          <w:rPr>
            <w:rFonts w:ascii="Arial" w:hAnsi="Arial" w:cs="Arial"/>
            <w:color w:val="000000"/>
            <w:sz w:val="20"/>
            <w:szCs w:val="20"/>
            <w:shd w:val="clear" w:color="auto" w:fill="FFFFFF"/>
          </w:rPr>
          <w:t xml:space="preserve">) </w:t>
        </w:r>
      </w:hyperlink>
      <w:r w:rsidRPr="003B67C9">
        <w:rPr>
          <w:rFonts w:ascii="Arial" w:hAnsi="Arial" w:cs="Arial"/>
          <w:color w:val="000000"/>
          <w:sz w:val="20"/>
          <w:szCs w:val="20"/>
          <w:shd w:val="clear" w:color="auto" w:fill="FFFFFF"/>
        </w:rPr>
        <w:t xml:space="preserve">Uredba (ES) št. 1107/2009 Evropskega parlamenta in Sveta z dne 21. oktobra 2009 o dajanju fitofarmacevtskih sredstev v promet in razveljavitvi direktiv Sveta 79/117/EGS in 91/414/EGS (UL L </w:t>
      </w:r>
      <w:r>
        <w:rPr>
          <w:rFonts w:ascii="Arial" w:hAnsi="Arial" w:cs="Arial"/>
          <w:color w:val="000000"/>
          <w:sz w:val="20"/>
          <w:szCs w:val="20"/>
          <w:shd w:val="clear" w:color="auto" w:fill="FFFFFF"/>
        </w:rPr>
        <w:br/>
      </w:r>
      <w:r w:rsidRPr="003B67C9">
        <w:rPr>
          <w:rFonts w:ascii="Arial" w:hAnsi="Arial" w:cs="Arial"/>
          <w:color w:val="000000"/>
          <w:sz w:val="20"/>
          <w:szCs w:val="20"/>
          <w:shd w:val="clear" w:color="auto" w:fill="FFFFFF"/>
        </w:rPr>
        <w:t>št. 309 z dne 24. 11. 2009, str. 1)</w:t>
      </w:r>
      <w:bookmarkEnd w:id="4"/>
      <w:r w:rsidRPr="003B67C9">
        <w:rPr>
          <w:rFonts w:ascii="Arial" w:hAnsi="Arial" w:cs="Arial"/>
          <w:color w:val="000000"/>
          <w:sz w:val="20"/>
          <w:szCs w:val="20"/>
          <w:shd w:val="clear" w:color="auto" w:fill="FFFFFF"/>
        </w:rPr>
        <w:t xml:space="preserve">, zadnjič spremenjena z Uredbo Komisije (EU) 2022/1438 z dne 31. avgusta 2022 o spremembi Priloge II k Uredbi (ES) št. 1107/2009 Evropskega parlamenta in Sveta glede posebnih meril za odobritev aktivnih snovi, ki so mikroorganizmi (UL L št. 227 z dne 1. 9. 2022, str. 2). </w:t>
      </w:r>
    </w:p>
    <w:p w:rsidR="003B67C9" w:rsidRPr="003B67C9" w:rsidRDefault="003B67C9" w:rsidP="003B67C9">
      <w:pPr>
        <w:framePr w:w="9245" w:wrap="notBeside" w:vAnchor="text" w:hAnchor="text" w:xAlign="center" w:y="1"/>
        <w:rPr>
          <w:rFonts w:ascii="Arial" w:hAnsi="Arial" w:cs="Arial"/>
          <w:sz w:val="20"/>
          <w:szCs w:val="20"/>
        </w:rPr>
      </w:pPr>
    </w:p>
    <w:p w:rsidR="003B67C9" w:rsidRPr="003B67C9" w:rsidRDefault="003B67C9" w:rsidP="003B67C9">
      <w:pPr>
        <w:rPr>
          <w:rFonts w:ascii="Arial" w:hAnsi="Arial" w:cs="Arial"/>
          <w:sz w:val="20"/>
          <w:szCs w:val="20"/>
        </w:rPr>
      </w:pPr>
    </w:p>
    <w:bookmarkEnd w:id="1"/>
    <w:p w:rsidR="003B67C9" w:rsidRPr="003B67C9" w:rsidRDefault="003B67C9" w:rsidP="003B67C9">
      <w:pPr>
        <w:rPr>
          <w:rFonts w:ascii="Arial" w:hAnsi="Arial" w:cs="Arial"/>
          <w:sz w:val="20"/>
          <w:szCs w:val="20"/>
        </w:rPr>
        <w:sectPr w:rsidR="003B67C9" w:rsidRPr="003B67C9">
          <w:pgSz w:w="11900" w:h="16840"/>
          <w:pgMar w:top="1755" w:right="1328" w:bottom="1755" w:left="1328" w:header="0" w:footer="3" w:gutter="0"/>
          <w:cols w:space="708"/>
          <w:noEndnote/>
          <w:docGrid w:linePitch="360"/>
        </w:sectPr>
      </w:pPr>
    </w:p>
    <w:p w:rsidR="003B67C9" w:rsidRPr="003B67C9" w:rsidRDefault="003B67C9" w:rsidP="003B67C9">
      <w:pPr>
        <w:widowControl w:val="0"/>
        <w:spacing w:after="120" w:line="240" w:lineRule="auto"/>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lastRenderedPageBreak/>
        <w:t>Del C</w:t>
      </w:r>
      <w:bookmarkStart w:id="5" w:name="bookmark91"/>
    </w:p>
    <w:tbl>
      <w:tblPr>
        <w:tblStyle w:val="Tabelamrea"/>
        <w:tblW w:w="9244" w:type="dxa"/>
        <w:tblLayout w:type="fixed"/>
        <w:tblLook w:val="0000" w:firstRow="0" w:lastRow="0" w:firstColumn="0" w:lastColumn="0" w:noHBand="0" w:noVBand="0"/>
      </w:tblPr>
      <w:tblGrid>
        <w:gridCol w:w="2006"/>
        <w:gridCol w:w="2525"/>
        <w:gridCol w:w="1444"/>
        <w:gridCol w:w="3269"/>
      </w:tblGrid>
      <w:tr w:rsidR="003B67C9" w:rsidRPr="003B67C9" w:rsidTr="00F903BB">
        <w:trPr>
          <w:trHeight w:hRule="exact" w:val="582"/>
        </w:trPr>
        <w:tc>
          <w:tcPr>
            <w:tcW w:w="2006" w:type="dxa"/>
            <w:vAlign w:val="center"/>
          </w:tcPr>
          <w:p w:rsidR="003B67C9" w:rsidRPr="003B67C9" w:rsidRDefault="003B67C9" w:rsidP="00F903BB">
            <w:pPr>
              <w:framePr w:w="9245" w:wrap="notBeside" w:vAnchor="text" w:hAnchor="page" w:x="1351" w:y="419"/>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Parameter</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page" w:x="1351" w:y="419"/>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281"/>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Aluminij</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200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4"/>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Amonij</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0,50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75"/>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Klorid</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250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Pitna voda ne sme biti jedka.</w:t>
            </w:r>
          </w:p>
        </w:tc>
      </w:tr>
      <w:tr w:rsidR="003B67C9" w:rsidRPr="003B67C9" w:rsidTr="00F903BB">
        <w:trPr>
          <w:trHeight w:hRule="exact" w:val="710"/>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i/>
                <w:iCs/>
                <w:color w:val="000000"/>
                <w:sz w:val="20"/>
                <w:szCs w:val="20"/>
                <w:shd w:val="clear" w:color="auto" w:fill="FFFFFF"/>
              </w:rPr>
              <w:t xml:space="preserve">Clostridium perfringens, </w:t>
            </w:r>
            <w:r w:rsidRPr="003B67C9">
              <w:rPr>
                <w:rFonts w:ascii="Arial" w:hAnsi="Arial" w:cs="Arial"/>
                <w:color w:val="000000"/>
                <w:sz w:val="20"/>
                <w:szCs w:val="20"/>
                <w:shd w:val="clear" w:color="auto" w:fill="FFFFFF"/>
              </w:rPr>
              <w:t>vključno s sporami</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število/100 ml</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Ta parameter je treba meriti, če ocena tve</w:t>
            </w:r>
            <w:r w:rsidRPr="003B67C9">
              <w:rPr>
                <w:rFonts w:ascii="Arial" w:hAnsi="Arial" w:cs="Arial"/>
                <w:color w:val="000000"/>
                <w:sz w:val="20"/>
                <w:szCs w:val="20"/>
                <w:shd w:val="clear" w:color="auto" w:fill="FFFFFF"/>
              </w:rPr>
              <w:softHyphen/>
              <w:t>ganja navaja, da je to primerno.</w:t>
            </w:r>
          </w:p>
        </w:tc>
      </w:tr>
      <w:tr w:rsidR="003B67C9" w:rsidRPr="003B67C9" w:rsidTr="00F903BB">
        <w:trPr>
          <w:trHeight w:hRule="exact" w:val="994"/>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Barva</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Sprejemljiva za uporabnike pitne vode in brez neobičajne spremembe</w:t>
            </w:r>
          </w:p>
        </w:tc>
        <w:tc>
          <w:tcPr>
            <w:tcW w:w="1444"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499"/>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Električna prevodnost</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2 500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µS cm</w:t>
            </w:r>
            <w:r w:rsidRPr="003B67C9">
              <w:rPr>
                <w:rFonts w:ascii="Arial" w:hAnsi="Arial" w:cs="Arial"/>
                <w:color w:val="000000"/>
                <w:sz w:val="20"/>
                <w:szCs w:val="20"/>
                <w:shd w:val="clear" w:color="auto" w:fill="FFFFFF"/>
                <w:vertAlign w:val="superscript"/>
              </w:rPr>
              <w:t>-1</w:t>
            </w:r>
            <w:r w:rsidRPr="003B67C9">
              <w:rPr>
                <w:rFonts w:ascii="Arial" w:hAnsi="Arial" w:cs="Arial"/>
                <w:color w:val="000000"/>
                <w:sz w:val="20"/>
                <w:szCs w:val="20"/>
                <w:shd w:val="clear" w:color="auto" w:fill="FFFFFF"/>
              </w:rPr>
              <w:t xml:space="preserve"> pri 20 °C</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Pitna voda ne sme biti agresivna.</w:t>
            </w:r>
          </w:p>
        </w:tc>
      </w:tr>
      <w:tr w:rsidR="003B67C9" w:rsidRPr="003B67C9" w:rsidTr="00F903BB">
        <w:trPr>
          <w:trHeight w:hRule="exact" w:val="1987"/>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Koncentracija vodikovih ionov</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 6,5 in ≤ 9,5</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enote pH</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Pitna voda ne sme biti agresivna.</w:t>
            </w:r>
          </w:p>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Za negazirano predpakirano pitno vodo je najmanjša vrednost 4,5 enot pH. Za predpakirano pitno vodo, ki je naravno bogata ali umetno obogatena z ogljikovim dioksidom, je najmanjša vrednost lahko nižja.</w:t>
            </w:r>
          </w:p>
        </w:tc>
      </w:tr>
      <w:tr w:rsidR="003B67C9" w:rsidRPr="003B67C9" w:rsidTr="00F903BB">
        <w:trPr>
          <w:trHeight w:hRule="exact" w:val="290"/>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Železo</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200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280"/>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Mangan</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50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922"/>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Vonj</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Sprejemljiv za uporabnike pitne vode in brez neobičajne spremembe</w:t>
            </w:r>
          </w:p>
        </w:tc>
        <w:tc>
          <w:tcPr>
            <w:tcW w:w="1444"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482"/>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Oksidativnost</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5,0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mg/l O2</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Tega parametra ni treba meriti, če se ana</w:t>
            </w:r>
            <w:r w:rsidRPr="003B67C9">
              <w:rPr>
                <w:rFonts w:ascii="Arial" w:hAnsi="Arial" w:cs="Arial"/>
                <w:color w:val="000000"/>
                <w:sz w:val="20"/>
                <w:szCs w:val="20"/>
                <w:shd w:val="clear" w:color="auto" w:fill="FFFFFF"/>
              </w:rPr>
              <w:softHyphen/>
              <w:t>lizira parameter TOC.</w:t>
            </w:r>
          </w:p>
        </w:tc>
      </w:tr>
      <w:tr w:rsidR="003B67C9" w:rsidRPr="003B67C9" w:rsidTr="00F903BB">
        <w:trPr>
          <w:trHeight w:hRule="exact" w:val="355"/>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Sulfat</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250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sz w:val="20"/>
                <w:szCs w:val="20"/>
              </w:rPr>
            </w:pPr>
            <w:r w:rsidRPr="003B67C9">
              <w:rPr>
                <w:rFonts w:ascii="Arial" w:hAnsi="Arial" w:cs="Arial"/>
                <w:color w:val="000000"/>
                <w:sz w:val="20"/>
                <w:szCs w:val="20"/>
                <w:shd w:val="clear" w:color="auto" w:fill="FFFFFF"/>
              </w:rPr>
              <w:t>Pitna voda ne sme biti jedka.</w:t>
            </w:r>
          </w:p>
        </w:tc>
      </w:tr>
      <w:tr w:rsidR="003B67C9" w:rsidRPr="003B67C9" w:rsidTr="00F903BB">
        <w:trPr>
          <w:trHeight w:hRule="exact" w:val="432"/>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Natrij</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200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mg/l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794"/>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Okus</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Sprejemljiv za uporabnike pitne vode in brez neobičajne spremembe</w:t>
            </w:r>
          </w:p>
        </w:tc>
        <w:tc>
          <w:tcPr>
            <w:tcW w:w="1444" w:type="dxa"/>
            <w:vAlign w:val="center"/>
          </w:tcPr>
          <w:p w:rsidR="003B67C9" w:rsidRPr="003B67C9" w:rsidRDefault="003B67C9" w:rsidP="00F903BB">
            <w:pPr>
              <w:framePr w:w="9245" w:wrap="notBeside" w:vAnchor="text" w:hAnchor="page" w:x="1351" w:y="419"/>
              <w:jc w:val="center"/>
              <w:rPr>
                <w:rFonts w:ascii="Arial" w:hAnsi="Arial" w:cs="Arial"/>
                <w:b/>
                <w:bCs/>
                <w:sz w:val="20"/>
                <w:szCs w:val="20"/>
              </w:rPr>
            </w:pPr>
            <w:r w:rsidRPr="003B67C9">
              <w:rPr>
                <w:rFonts w:ascii="Arial" w:hAnsi="Arial" w:cs="Arial"/>
                <w:sz w:val="20"/>
                <w:szCs w:val="20"/>
              </w:rPr>
              <w:t>–</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563"/>
        </w:trPr>
        <w:tc>
          <w:tcPr>
            <w:tcW w:w="2006" w:type="dxa"/>
            <w:vAlign w:val="center"/>
          </w:tcPr>
          <w:p w:rsidR="003B67C9" w:rsidRPr="003B67C9" w:rsidRDefault="003B67C9" w:rsidP="00F903BB">
            <w:pPr>
              <w:framePr w:w="9245" w:wrap="notBeside" w:vAnchor="text" w:hAnchor="page" w:x="1351" w:y="419"/>
              <w:widowControl w:val="0"/>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Število kolonij 22 °C</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Brez neobičajne spre</w:t>
            </w:r>
            <w:r w:rsidRPr="003B67C9">
              <w:rPr>
                <w:rFonts w:ascii="Arial" w:hAnsi="Arial" w:cs="Arial"/>
                <w:color w:val="000000"/>
                <w:sz w:val="20"/>
                <w:szCs w:val="20"/>
                <w:shd w:val="clear" w:color="auto" w:fill="FFFFFF"/>
              </w:rPr>
              <w:softHyphen/>
              <w:t>membe</w:t>
            </w:r>
          </w:p>
        </w:tc>
        <w:tc>
          <w:tcPr>
            <w:tcW w:w="1444"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color w:val="000000"/>
                <w:sz w:val="20"/>
                <w:szCs w:val="20"/>
                <w:shd w:val="clear" w:color="auto" w:fill="FFFFFF"/>
              </w:rPr>
              <w:t>število/ml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571"/>
        </w:trPr>
        <w:tc>
          <w:tcPr>
            <w:tcW w:w="2006" w:type="dxa"/>
            <w:vAlign w:val="center"/>
          </w:tcPr>
          <w:p w:rsidR="003B67C9" w:rsidRPr="003B67C9" w:rsidRDefault="003B67C9" w:rsidP="00F903BB">
            <w:pPr>
              <w:framePr w:w="9245" w:wrap="notBeside" w:vAnchor="text" w:hAnchor="page" w:x="1351" w:y="419"/>
              <w:widowControl w:val="0"/>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Število kolonij 36 °C</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100</w:t>
            </w:r>
          </w:p>
        </w:tc>
        <w:tc>
          <w:tcPr>
            <w:tcW w:w="1444"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število/ml</w:t>
            </w:r>
          </w:p>
        </w:tc>
        <w:tc>
          <w:tcPr>
            <w:tcW w:w="3269"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566"/>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Koliformne bakterije</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0</w:t>
            </w:r>
          </w:p>
        </w:tc>
        <w:tc>
          <w:tcPr>
            <w:tcW w:w="1444"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število/100 ml</w:t>
            </w:r>
          </w:p>
        </w:tc>
        <w:tc>
          <w:tcPr>
            <w:tcW w:w="3269"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sz w:val="20"/>
                <w:szCs w:val="20"/>
              </w:rPr>
              <w:t>–</w:t>
            </w:r>
          </w:p>
        </w:tc>
      </w:tr>
      <w:tr w:rsidR="003B67C9" w:rsidRPr="003B67C9" w:rsidTr="00F903BB">
        <w:trPr>
          <w:trHeight w:hRule="exact" w:val="720"/>
        </w:trPr>
        <w:tc>
          <w:tcPr>
            <w:tcW w:w="2006" w:type="dxa"/>
            <w:vAlign w:val="center"/>
          </w:tcPr>
          <w:p w:rsidR="003B67C9" w:rsidRPr="003B67C9" w:rsidRDefault="003B67C9" w:rsidP="00F903BB">
            <w:pPr>
              <w:framePr w:w="9245" w:wrap="notBeside" w:vAnchor="text" w:hAnchor="page" w:x="1351" w:y="419"/>
              <w:widowControl w:val="0"/>
              <w:rPr>
                <w:rFonts w:ascii="Arial" w:hAnsi="Arial" w:cs="Arial"/>
                <w:sz w:val="20"/>
                <w:szCs w:val="20"/>
              </w:rPr>
            </w:pPr>
            <w:r w:rsidRPr="003B67C9">
              <w:rPr>
                <w:rFonts w:ascii="Arial" w:hAnsi="Arial" w:cs="Arial"/>
                <w:color w:val="000000"/>
                <w:sz w:val="20"/>
                <w:szCs w:val="20"/>
                <w:shd w:val="clear" w:color="auto" w:fill="FFFFFF"/>
              </w:rPr>
              <w:t>Celotni organski ogljik (TOC)</w:t>
            </w:r>
          </w:p>
        </w:tc>
        <w:tc>
          <w:tcPr>
            <w:tcW w:w="2525" w:type="dxa"/>
            <w:vAlign w:val="center"/>
          </w:tcPr>
          <w:p w:rsidR="003B67C9" w:rsidRPr="003B67C9" w:rsidRDefault="003B67C9" w:rsidP="00F903BB">
            <w:pPr>
              <w:framePr w:w="9245" w:wrap="notBeside" w:vAnchor="text" w:hAnchor="page" w:x="1351" w:y="419"/>
              <w:widowControl w:val="0"/>
              <w:jc w:val="center"/>
              <w:rPr>
                <w:rFonts w:ascii="Arial" w:hAnsi="Arial" w:cs="Arial"/>
                <w:sz w:val="20"/>
                <w:szCs w:val="20"/>
              </w:rPr>
            </w:pPr>
            <w:r w:rsidRPr="003B67C9">
              <w:rPr>
                <w:rFonts w:ascii="Arial" w:hAnsi="Arial" w:cs="Arial"/>
                <w:color w:val="000000"/>
                <w:sz w:val="20"/>
                <w:szCs w:val="20"/>
                <w:shd w:val="clear" w:color="auto" w:fill="FFFFFF"/>
              </w:rPr>
              <w:t>Brez neobičajne spre</w:t>
            </w:r>
            <w:r w:rsidRPr="003B67C9">
              <w:rPr>
                <w:rFonts w:ascii="Arial" w:hAnsi="Arial" w:cs="Arial"/>
                <w:color w:val="000000"/>
                <w:sz w:val="20"/>
                <w:szCs w:val="20"/>
                <w:shd w:val="clear" w:color="auto" w:fill="FFFFFF"/>
              </w:rPr>
              <w:softHyphen/>
              <w:t>membe</w:t>
            </w:r>
          </w:p>
        </w:tc>
        <w:tc>
          <w:tcPr>
            <w:tcW w:w="1444" w:type="dxa"/>
            <w:vAlign w:val="center"/>
          </w:tcPr>
          <w:p w:rsidR="003B67C9" w:rsidRPr="003B67C9" w:rsidRDefault="003B67C9" w:rsidP="00F903BB">
            <w:pPr>
              <w:framePr w:w="9245" w:wrap="notBeside" w:vAnchor="text" w:hAnchor="page" w:x="1351" w:y="419"/>
              <w:jc w:val="center"/>
              <w:rPr>
                <w:rFonts w:ascii="Arial" w:hAnsi="Arial" w:cs="Arial"/>
                <w:sz w:val="20"/>
                <w:szCs w:val="20"/>
              </w:rPr>
            </w:pPr>
            <w:r w:rsidRPr="003B67C9">
              <w:rPr>
                <w:rFonts w:ascii="Arial" w:hAnsi="Arial" w:cs="Arial"/>
                <w:sz w:val="20"/>
                <w:szCs w:val="20"/>
              </w:rPr>
              <w:t>–</w:t>
            </w:r>
          </w:p>
        </w:tc>
        <w:tc>
          <w:tcPr>
            <w:tcW w:w="3269" w:type="dxa"/>
            <w:vAlign w:val="center"/>
          </w:tcPr>
          <w:p w:rsidR="003B67C9" w:rsidRPr="003B67C9" w:rsidRDefault="003B67C9" w:rsidP="00F903BB">
            <w:pPr>
              <w:framePr w:w="9245" w:wrap="notBeside" w:vAnchor="text" w:hAnchor="page" w:x="1351" w:y="419"/>
              <w:widowControl w:val="0"/>
              <w:jc w:val="both"/>
              <w:rPr>
                <w:rFonts w:ascii="Arial" w:hAnsi="Arial" w:cs="Arial"/>
                <w:color w:val="000000"/>
                <w:sz w:val="20"/>
                <w:szCs w:val="20"/>
                <w:shd w:val="clear" w:color="auto" w:fill="FFFFFF"/>
                <w:vertAlign w:val="superscript"/>
              </w:rPr>
            </w:pPr>
            <w:r w:rsidRPr="003B67C9">
              <w:rPr>
                <w:rFonts w:ascii="Arial" w:hAnsi="Arial" w:cs="Arial"/>
                <w:color w:val="000000"/>
                <w:sz w:val="20"/>
                <w:szCs w:val="20"/>
                <w:shd w:val="clear" w:color="auto" w:fill="FFFFFF"/>
              </w:rPr>
              <w:t>Tega parametra ni treba meriti na vodovodih, ki dobavljajo manj kot 10 000 m</w:t>
            </w:r>
            <w:r w:rsidRPr="003B67C9">
              <w:rPr>
                <w:rFonts w:ascii="Arial" w:hAnsi="Arial" w:cs="Arial"/>
                <w:color w:val="000000"/>
                <w:sz w:val="20"/>
                <w:szCs w:val="20"/>
                <w:shd w:val="clear" w:color="auto" w:fill="FFFFFF"/>
                <w:vertAlign w:val="superscript"/>
              </w:rPr>
              <w:t xml:space="preserve">3 </w:t>
            </w:r>
            <w:r w:rsidRPr="003B67C9">
              <w:rPr>
                <w:rFonts w:ascii="Arial" w:hAnsi="Arial" w:cs="Arial"/>
                <w:color w:val="000000"/>
                <w:sz w:val="20"/>
                <w:szCs w:val="20"/>
                <w:shd w:val="clear" w:color="auto" w:fill="FFFFFF"/>
              </w:rPr>
              <w:t>pitne vode na dan.</w:t>
            </w:r>
          </w:p>
        </w:tc>
      </w:tr>
    </w:tbl>
    <w:p w:rsidR="003B67C9" w:rsidRPr="003B67C9" w:rsidRDefault="003B67C9" w:rsidP="003B67C9">
      <w:pPr>
        <w:framePr w:w="9245" w:wrap="notBeside" w:vAnchor="text" w:hAnchor="page" w:x="1351" w:y="419"/>
        <w:rPr>
          <w:rFonts w:ascii="Arial" w:hAnsi="Arial" w:cs="Arial"/>
          <w:sz w:val="20"/>
          <w:szCs w:val="20"/>
        </w:rPr>
      </w:pPr>
    </w:p>
    <w:p w:rsidR="003B67C9" w:rsidRPr="003B67C9" w:rsidRDefault="003B67C9" w:rsidP="003B67C9">
      <w:pPr>
        <w:widowControl w:val="0"/>
        <w:spacing w:after="120" w:line="240" w:lineRule="auto"/>
        <w:jc w:val="center"/>
        <w:rPr>
          <w:rFonts w:ascii="Arial" w:hAnsi="Arial" w:cs="Arial"/>
          <w:color w:val="000000"/>
          <w:sz w:val="20"/>
          <w:szCs w:val="20"/>
          <w:shd w:val="clear" w:color="auto" w:fill="FFFFFF"/>
        </w:rPr>
      </w:pPr>
      <w:r w:rsidRPr="003B67C9">
        <w:rPr>
          <w:rFonts w:ascii="Arial" w:hAnsi="Arial" w:cs="Arial"/>
          <w:bCs/>
          <w:color w:val="000000"/>
          <w:sz w:val="20"/>
          <w:szCs w:val="20"/>
          <w:shd w:val="clear" w:color="auto" w:fill="FFFFFF"/>
        </w:rPr>
        <w:t>Indikatorski parametri</w:t>
      </w:r>
      <w:bookmarkEnd w:id="5"/>
    </w:p>
    <w:p w:rsidR="003B67C9" w:rsidRPr="003B67C9" w:rsidRDefault="003B67C9" w:rsidP="003B67C9">
      <w:pPr>
        <w:rPr>
          <w:rFonts w:ascii="Arial" w:hAnsi="Arial" w:cs="Arial"/>
          <w:sz w:val="20"/>
          <w:szCs w:val="20"/>
        </w:rPr>
      </w:pPr>
    </w:p>
    <w:tbl>
      <w:tblPr>
        <w:tblStyle w:val="Tabelamrea"/>
        <w:tblW w:w="9244" w:type="dxa"/>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583"/>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lastRenderedPageBreak/>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1276"/>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Motnost</w:t>
            </w:r>
          </w:p>
        </w:tc>
        <w:tc>
          <w:tcPr>
            <w:tcW w:w="1987" w:type="dxa"/>
            <w:vAlign w:val="center"/>
          </w:tcPr>
          <w:p w:rsidR="003B67C9" w:rsidRPr="003B67C9" w:rsidRDefault="003B67C9" w:rsidP="00F903BB">
            <w:pPr>
              <w:framePr w:w="9245" w:wrap="notBeside" w:vAnchor="text" w:hAnchor="text" w:xAlign="center" w:y="1"/>
              <w:widowControl w:val="0"/>
              <w:ind w:left="160"/>
              <w:rPr>
                <w:rFonts w:ascii="Arial" w:hAnsi="Arial" w:cs="Arial"/>
                <w:sz w:val="20"/>
                <w:szCs w:val="20"/>
              </w:rPr>
            </w:pPr>
            <w:r w:rsidRPr="003B67C9">
              <w:rPr>
                <w:rFonts w:ascii="Arial" w:hAnsi="Arial" w:cs="Arial"/>
                <w:color w:val="000000"/>
                <w:sz w:val="20"/>
                <w:szCs w:val="20"/>
                <w:shd w:val="clear" w:color="auto" w:fill="FFFFFF"/>
              </w:rPr>
              <w:t>Sprejemljiva za uporabnike pitne vode in brez neobičajne spremembe</w:t>
            </w:r>
          </w:p>
        </w:tc>
        <w:tc>
          <w:tcPr>
            <w:tcW w:w="1982"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c>
          <w:tcPr>
            <w:tcW w:w="3269" w:type="dxa"/>
            <w:vAlign w:val="center"/>
          </w:tcPr>
          <w:p w:rsidR="003B67C9" w:rsidRPr="003B67C9" w:rsidRDefault="003B67C9" w:rsidP="00F903BB">
            <w:pPr>
              <w:framePr w:w="9245" w:wrap="notBeside" w:vAnchor="text" w:hAnchor="text" w:xAlign="center" w:y="1"/>
              <w:jc w:val="center"/>
              <w:rPr>
                <w:rFonts w:ascii="Arial" w:hAnsi="Arial" w:cs="Arial"/>
                <w:sz w:val="20"/>
                <w:szCs w:val="20"/>
              </w:rPr>
            </w:pPr>
            <w:r w:rsidRPr="003B67C9">
              <w:rPr>
                <w:rFonts w:ascii="Arial" w:hAnsi="Arial" w:cs="Arial"/>
                <w:sz w:val="20"/>
                <w:szCs w:val="20"/>
              </w:rPr>
              <w:t>–</w:t>
            </w:r>
          </w:p>
        </w:tc>
      </w:tr>
    </w:tbl>
    <w:p w:rsidR="003B67C9" w:rsidRPr="003B67C9" w:rsidRDefault="003B67C9" w:rsidP="003B67C9">
      <w:pPr>
        <w:framePr w:w="9245" w:wrap="notBeside" w:vAnchor="text" w:hAnchor="text" w:xAlign="center" w:y="1"/>
        <w:rPr>
          <w:rFonts w:ascii="Arial" w:hAnsi="Arial" w:cs="Arial"/>
          <w:sz w:val="20"/>
          <w:szCs w:val="20"/>
        </w:rPr>
      </w:pPr>
    </w:p>
    <w:p w:rsidR="003B67C9" w:rsidRPr="003B67C9" w:rsidRDefault="003B67C9" w:rsidP="003B67C9">
      <w:pPr>
        <w:widowControl w:val="0"/>
        <w:spacing w:after="0" w:line="211" w:lineRule="exact"/>
        <w:jc w:val="both"/>
        <w:rPr>
          <w:rFonts w:ascii="Arial" w:hAnsi="Arial" w:cs="Arial"/>
          <w:sz w:val="20"/>
          <w:szCs w:val="20"/>
        </w:rPr>
      </w:pPr>
      <w:r w:rsidRPr="003B67C9">
        <w:rPr>
          <w:rFonts w:ascii="Arial" w:hAnsi="Arial" w:cs="Arial"/>
          <w:color w:val="000000"/>
          <w:sz w:val="20"/>
          <w:szCs w:val="20"/>
          <w:shd w:val="clear" w:color="auto" w:fill="FFFFFF"/>
        </w:rPr>
        <w:t>Pitna voda ne sme biti agresivna ali jedka. To velja zlasti za pitno vodo, za katero se izvaja postopek priprave (demineralizacija, mehčanje, membranska obdelava, reverzna osmoza in podobno).</w:t>
      </w: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 xml:space="preserve">Kadar se med pripravo pitne vode ta znatno demineralizira ali zmehča, se dodajo kalcijeve in magnezijeve soli, da se zmanjša morebiten negativni vpliv na zdravje ter zmanjša tudi jedkost ali agresivnost pitne vode in izboljša okus. </w:t>
      </w: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0" w:line="211" w:lineRule="exact"/>
        <w:jc w:val="both"/>
        <w:rPr>
          <w:rFonts w:ascii="Arial" w:hAnsi="Arial" w:cs="Arial"/>
          <w:color w:val="000000"/>
          <w:sz w:val="20"/>
          <w:szCs w:val="20"/>
          <w:shd w:val="clear" w:color="auto" w:fill="FFFFFF"/>
        </w:rPr>
      </w:pPr>
    </w:p>
    <w:p w:rsidR="003B67C9" w:rsidRPr="003B67C9" w:rsidRDefault="003B67C9" w:rsidP="003B67C9">
      <w:pPr>
        <w:widowControl w:val="0"/>
        <w:spacing w:after="120" w:line="240" w:lineRule="auto"/>
        <w:jc w:val="center"/>
        <w:rPr>
          <w:rFonts w:ascii="Arial" w:hAnsi="Arial" w:cs="Arial"/>
          <w:sz w:val="20"/>
          <w:szCs w:val="20"/>
        </w:rPr>
      </w:pPr>
      <w:r w:rsidRPr="003B67C9">
        <w:rPr>
          <w:rFonts w:ascii="Arial" w:hAnsi="Arial" w:cs="Arial"/>
          <w:color w:val="000000"/>
          <w:sz w:val="20"/>
          <w:szCs w:val="20"/>
          <w:shd w:val="clear" w:color="auto" w:fill="FFFFFF"/>
        </w:rPr>
        <w:lastRenderedPageBreak/>
        <w:t>Del D</w:t>
      </w:r>
    </w:p>
    <w:p w:rsidR="003B67C9" w:rsidRPr="003B67C9" w:rsidRDefault="003B67C9" w:rsidP="003B67C9">
      <w:pPr>
        <w:widowControl w:val="0"/>
        <w:spacing w:after="382" w:line="240" w:lineRule="auto"/>
        <w:jc w:val="center"/>
        <w:rPr>
          <w:rFonts w:ascii="Arial" w:hAnsi="Arial" w:cs="Arial"/>
          <w:b/>
          <w:bCs/>
          <w:sz w:val="20"/>
          <w:szCs w:val="20"/>
        </w:rPr>
      </w:pPr>
      <w:r w:rsidRPr="003B67C9">
        <w:rPr>
          <w:rFonts w:ascii="Arial" w:hAnsi="Arial" w:cs="Arial"/>
          <w:color w:val="000000"/>
          <w:sz w:val="20"/>
          <w:szCs w:val="20"/>
          <w:shd w:val="clear" w:color="auto" w:fill="FFFFFF"/>
        </w:rPr>
        <w:t>Parametri, ki so upoštevni za oceno tveganja internih vodovodnih napeljav</w:t>
      </w:r>
    </w:p>
    <w:tbl>
      <w:tblPr>
        <w:tblStyle w:val="Tabelamrea"/>
        <w:tblW w:w="0" w:type="auto"/>
        <w:tblLayout w:type="fixed"/>
        <w:tblLook w:val="0000" w:firstRow="0" w:lastRow="0" w:firstColumn="0" w:lastColumn="0" w:noHBand="0" w:noVBand="0"/>
      </w:tblPr>
      <w:tblGrid>
        <w:gridCol w:w="2006"/>
        <w:gridCol w:w="1987"/>
        <w:gridCol w:w="1982"/>
        <w:gridCol w:w="3269"/>
      </w:tblGrid>
      <w:tr w:rsidR="003B67C9" w:rsidRPr="003B67C9" w:rsidTr="00F903BB">
        <w:trPr>
          <w:trHeight w:hRule="exact" w:val="718"/>
        </w:trPr>
        <w:tc>
          <w:tcPr>
            <w:tcW w:w="2006"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Parameter</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Mejna vrednost parametra</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Enota</w:t>
            </w:r>
          </w:p>
        </w:tc>
        <w:tc>
          <w:tcPr>
            <w:tcW w:w="3269" w:type="dxa"/>
            <w:vAlign w:val="center"/>
          </w:tcPr>
          <w:p w:rsidR="003B67C9" w:rsidRPr="003B67C9" w:rsidRDefault="003B67C9" w:rsidP="00F903BB">
            <w:pPr>
              <w:framePr w:w="9245" w:wrap="notBeside" w:vAnchor="text" w:hAnchor="text" w:xAlign="center" w:y="1"/>
              <w:widowControl w:val="0"/>
              <w:jc w:val="center"/>
              <w:rPr>
                <w:rFonts w:ascii="Arial" w:hAnsi="Arial" w:cs="Arial"/>
                <w:b/>
                <w:bCs/>
                <w:sz w:val="20"/>
                <w:szCs w:val="20"/>
              </w:rPr>
            </w:pPr>
            <w:r w:rsidRPr="003B67C9">
              <w:rPr>
                <w:rFonts w:ascii="Arial" w:hAnsi="Arial" w:cs="Arial"/>
                <w:b/>
                <w:bCs/>
                <w:color w:val="000000"/>
                <w:sz w:val="20"/>
                <w:szCs w:val="20"/>
                <w:shd w:val="clear" w:color="auto" w:fill="FFFFFF"/>
              </w:rPr>
              <w:t>Opombe</w:t>
            </w:r>
          </w:p>
        </w:tc>
      </w:tr>
      <w:tr w:rsidR="003B67C9" w:rsidRPr="003B67C9" w:rsidTr="00F903BB">
        <w:trPr>
          <w:trHeight w:hRule="exact" w:val="2608"/>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i/>
                <w:iCs/>
                <w:color w:val="000000"/>
                <w:sz w:val="20"/>
                <w:szCs w:val="20"/>
                <w:shd w:val="clear" w:color="auto" w:fill="FFFFFF"/>
              </w:rPr>
              <w:t>Legionella</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&lt; 1 000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CFU/l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 xml:space="preserve">Ta vrednost parametra je določena za namene 17. in 22. člena te uredbe. </w:t>
            </w:r>
          </w:p>
          <w:p w:rsidR="003B67C9" w:rsidRPr="003B67C9" w:rsidRDefault="003B67C9" w:rsidP="003B67C9">
            <w:pPr>
              <w:framePr w:w="9245" w:wrap="notBeside" w:vAnchor="text" w:hAnchor="text" w:xAlign="center" w:y="1"/>
              <w:widowControl w:val="0"/>
              <w:jc w:val="both"/>
              <w:rPr>
                <w:rFonts w:ascii="Arial" w:hAnsi="Arial" w:cs="Arial"/>
                <w:color w:val="000000"/>
                <w:sz w:val="20"/>
                <w:szCs w:val="20"/>
                <w:shd w:val="clear" w:color="auto" w:fill="FFFFFF"/>
              </w:rPr>
            </w:pPr>
          </w:p>
          <w:p w:rsidR="003B67C9" w:rsidRPr="003B67C9" w:rsidRDefault="003B67C9" w:rsidP="003B67C9">
            <w:pPr>
              <w:framePr w:w="9245" w:wrap="notBeside" w:vAnchor="text" w:hAnchor="text" w:xAlign="center" w:y="1"/>
              <w:widowControl w:val="0"/>
              <w:jc w:val="both"/>
              <w:rPr>
                <w:rFonts w:ascii="Arial" w:hAnsi="Arial" w:cs="Arial"/>
                <w:color w:val="000000"/>
                <w:sz w:val="20"/>
                <w:szCs w:val="20"/>
                <w:shd w:val="clear" w:color="auto" w:fill="FFFFFF"/>
              </w:rPr>
            </w:pPr>
            <w:r w:rsidRPr="003B67C9">
              <w:rPr>
                <w:rFonts w:ascii="Arial" w:hAnsi="Arial" w:cs="Arial"/>
                <w:color w:val="000000"/>
                <w:sz w:val="20"/>
                <w:szCs w:val="20"/>
                <w:shd w:val="clear" w:color="auto" w:fill="FFFFFF"/>
              </w:rPr>
              <w:t xml:space="preserve">V primeru okužbe ali izbruha legioneloze je treba identificirati vrsto </w:t>
            </w:r>
            <w:r w:rsidRPr="003B67C9">
              <w:rPr>
                <w:rFonts w:ascii="Arial" w:hAnsi="Arial" w:cs="Arial"/>
                <w:i/>
                <w:iCs/>
                <w:color w:val="000000"/>
                <w:sz w:val="20"/>
                <w:szCs w:val="20"/>
                <w:shd w:val="clear" w:color="auto" w:fill="FFFFFF"/>
              </w:rPr>
              <w:t>Legionella</w:t>
            </w:r>
            <w:r w:rsidRPr="003B67C9">
              <w:rPr>
                <w:rFonts w:ascii="Arial" w:hAnsi="Arial" w:cs="Arial"/>
                <w:color w:val="000000"/>
                <w:sz w:val="20"/>
                <w:szCs w:val="20"/>
                <w:shd w:val="clear" w:color="auto" w:fill="FFFFFF"/>
              </w:rPr>
              <w:t xml:space="preserve"> in uvesti ukrepe. Ukrepi se izvajajo tudi pri vrednosti parametra pod 1000 CFU/l, če so okuženi pitni vodi izpostavljene rizične skupine.</w:t>
            </w:r>
          </w:p>
          <w:p w:rsidR="003B67C9" w:rsidRPr="003B67C9" w:rsidRDefault="003B67C9" w:rsidP="003B67C9">
            <w:pPr>
              <w:framePr w:w="9245" w:wrap="notBeside" w:vAnchor="text" w:hAnchor="text" w:xAlign="center" w:y="1"/>
              <w:widowControl w:val="0"/>
              <w:jc w:val="both"/>
              <w:rPr>
                <w:rFonts w:ascii="Arial" w:hAnsi="Arial" w:cs="Arial"/>
                <w:sz w:val="20"/>
                <w:szCs w:val="20"/>
              </w:rPr>
            </w:pPr>
          </w:p>
        </w:tc>
      </w:tr>
      <w:tr w:rsidR="003B67C9" w:rsidRPr="003B67C9" w:rsidTr="00F903BB">
        <w:trPr>
          <w:trHeight w:hRule="exact" w:val="1531"/>
        </w:trPr>
        <w:tc>
          <w:tcPr>
            <w:tcW w:w="2006" w:type="dxa"/>
            <w:vAlign w:val="center"/>
          </w:tcPr>
          <w:p w:rsidR="003B67C9" w:rsidRPr="003B67C9" w:rsidRDefault="003B67C9" w:rsidP="00F903BB">
            <w:pPr>
              <w:framePr w:w="9245" w:wrap="notBeside" w:vAnchor="text" w:hAnchor="text" w:xAlign="center" w:y="1"/>
              <w:widowControl w:val="0"/>
              <w:rPr>
                <w:rFonts w:ascii="Arial" w:hAnsi="Arial" w:cs="Arial"/>
                <w:sz w:val="20"/>
                <w:szCs w:val="20"/>
              </w:rPr>
            </w:pPr>
            <w:r w:rsidRPr="003B67C9">
              <w:rPr>
                <w:rFonts w:ascii="Arial" w:hAnsi="Arial" w:cs="Arial"/>
                <w:color w:val="000000"/>
                <w:sz w:val="20"/>
                <w:szCs w:val="20"/>
                <w:shd w:val="clear" w:color="auto" w:fill="FFFFFF"/>
              </w:rPr>
              <w:t>Svinec</w:t>
            </w:r>
          </w:p>
        </w:tc>
        <w:tc>
          <w:tcPr>
            <w:tcW w:w="1987"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10</w:t>
            </w:r>
          </w:p>
        </w:tc>
        <w:tc>
          <w:tcPr>
            <w:tcW w:w="1982" w:type="dxa"/>
            <w:vAlign w:val="center"/>
          </w:tcPr>
          <w:p w:rsidR="003B67C9" w:rsidRPr="003B67C9" w:rsidRDefault="003B67C9" w:rsidP="00F903BB">
            <w:pPr>
              <w:framePr w:w="9245" w:wrap="notBeside" w:vAnchor="text" w:hAnchor="text" w:xAlign="center" w:y="1"/>
              <w:widowControl w:val="0"/>
              <w:jc w:val="center"/>
              <w:rPr>
                <w:rFonts w:ascii="Arial" w:hAnsi="Arial" w:cs="Arial"/>
                <w:sz w:val="20"/>
                <w:szCs w:val="20"/>
              </w:rPr>
            </w:pPr>
            <w:r w:rsidRPr="003B67C9">
              <w:rPr>
                <w:rFonts w:ascii="Arial" w:hAnsi="Arial" w:cs="Arial"/>
                <w:color w:val="000000"/>
                <w:sz w:val="20"/>
                <w:szCs w:val="20"/>
                <w:shd w:val="clear" w:color="auto" w:fill="FFFFFF"/>
              </w:rPr>
              <w:t>µg/l</w:t>
            </w:r>
          </w:p>
        </w:tc>
        <w:tc>
          <w:tcPr>
            <w:tcW w:w="3269" w:type="dxa"/>
            <w:vAlign w:val="center"/>
          </w:tcPr>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Ta vrednost parametra je določena za namene 17. in 22. člena te uredbe.</w:t>
            </w:r>
          </w:p>
          <w:p w:rsidR="003B67C9" w:rsidRPr="003B67C9" w:rsidRDefault="003B67C9" w:rsidP="003B67C9">
            <w:pPr>
              <w:framePr w:w="9245" w:wrap="notBeside" w:vAnchor="text" w:hAnchor="text" w:xAlign="center" w:y="1"/>
              <w:widowControl w:val="0"/>
              <w:jc w:val="both"/>
              <w:rPr>
                <w:rFonts w:ascii="Arial" w:hAnsi="Arial" w:cs="Arial"/>
                <w:color w:val="000000"/>
                <w:sz w:val="20"/>
                <w:szCs w:val="20"/>
                <w:shd w:val="clear" w:color="auto" w:fill="FFFFFF"/>
              </w:rPr>
            </w:pPr>
          </w:p>
          <w:p w:rsidR="003B67C9" w:rsidRPr="003B67C9" w:rsidRDefault="003B67C9" w:rsidP="003B67C9">
            <w:pPr>
              <w:framePr w:w="9245" w:wrap="notBeside" w:vAnchor="text" w:hAnchor="text" w:xAlign="center" w:y="1"/>
              <w:widowControl w:val="0"/>
              <w:jc w:val="both"/>
              <w:rPr>
                <w:rFonts w:ascii="Arial" w:hAnsi="Arial" w:cs="Arial"/>
                <w:sz w:val="20"/>
                <w:szCs w:val="20"/>
              </w:rPr>
            </w:pPr>
            <w:r w:rsidRPr="003B67C9">
              <w:rPr>
                <w:rFonts w:ascii="Arial" w:hAnsi="Arial" w:cs="Arial"/>
                <w:color w:val="000000"/>
                <w:sz w:val="20"/>
                <w:szCs w:val="20"/>
                <w:shd w:val="clear" w:color="auto" w:fill="FFFFFF"/>
              </w:rPr>
              <w:t>Do 12. januarja 2036 je treba doseči vrednost 5 µg/l.</w:t>
            </w:r>
          </w:p>
        </w:tc>
      </w:tr>
    </w:tbl>
    <w:p w:rsidR="003B67C9" w:rsidRPr="003B67C9" w:rsidRDefault="003B67C9" w:rsidP="003B67C9">
      <w:pPr>
        <w:framePr w:w="9245" w:wrap="notBeside" w:vAnchor="text" w:hAnchor="text" w:xAlign="center" w:y="1"/>
        <w:rPr>
          <w:rFonts w:ascii="Arial" w:hAnsi="Arial" w:cs="Arial"/>
          <w:sz w:val="20"/>
          <w:szCs w:val="20"/>
        </w:rPr>
      </w:pPr>
    </w:p>
    <w:p w:rsidR="00760828" w:rsidRPr="003B67C9" w:rsidRDefault="00760828" w:rsidP="003B67C9">
      <w:pPr>
        <w:rPr>
          <w:rFonts w:ascii="Arial" w:hAnsi="Arial" w:cs="Arial"/>
          <w:sz w:val="20"/>
          <w:szCs w:val="20"/>
        </w:rPr>
      </w:pPr>
      <w:bookmarkStart w:id="6" w:name="_GoBack"/>
      <w:bookmarkEnd w:id="6"/>
    </w:p>
    <w:sectPr w:rsidR="00760828" w:rsidRPr="003B67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7C9" w:rsidRDefault="003B67C9" w:rsidP="003B67C9">
      <w:pPr>
        <w:spacing w:after="0" w:line="240" w:lineRule="auto"/>
      </w:pPr>
      <w:r>
        <w:separator/>
      </w:r>
    </w:p>
  </w:endnote>
  <w:endnote w:type="continuationSeparator" w:id="0">
    <w:p w:rsidR="003B67C9" w:rsidRDefault="003B67C9" w:rsidP="003B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89170"/>
      <w:docPartObj>
        <w:docPartGallery w:val="Page Numbers (Bottom of Page)"/>
        <w:docPartUnique/>
      </w:docPartObj>
    </w:sdtPr>
    <w:sdtEndPr>
      <w:rPr>
        <w:rFonts w:ascii="Arial" w:hAnsi="Arial" w:cs="Arial"/>
        <w:sz w:val="20"/>
      </w:rPr>
    </w:sdtEndPr>
    <w:sdtContent>
      <w:p w:rsidR="003B67C9" w:rsidRPr="003B67C9" w:rsidRDefault="003B67C9">
        <w:pPr>
          <w:pStyle w:val="Noga"/>
          <w:jc w:val="right"/>
          <w:rPr>
            <w:rFonts w:ascii="Arial" w:hAnsi="Arial" w:cs="Arial"/>
            <w:sz w:val="20"/>
          </w:rPr>
        </w:pPr>
        <w:r w:rsidRPr="003B67C9">
          <w:rPr>
            <w:rFonts w:ascii="Arial" w:hAnsi="Arial" w:cs="Arial"/>
            <w:sz w:val="20"/>
          </w:rPr>
          <w:fldChar w:fldCharType="begin"/>
        </w:r>
        <w:r w:rsidRPr="003B67C9">
          <w:rPr>
            <w:rFonts w:ascii="Arial" w:hAnsi="Arial" w:cs="Arial"/>
            <w:sz w:val="20"/>
          </w:rPr>
          <w:instrText>PAGE   \* MERGEFORMAT</w:instrText>
        </w:r>
        <w:r w:rsidRPr="003B67C9">
          <w:rPr>
            <w:rFonts w:ascii="Arial" w:hAnsi="Arial" w:cs="Arial"/>
            <w:sz w:val="20"/>
          </w:rPr>
          <w:fldChar w:fldCharType="separate"/>
        </w:r>
        <w:r>
          <w:rPr>
            <w:rFonts w:ascii="Arial" w:hAnsi="Arial" w:cs="Arial"/>
            <w:noProof/>
            <w:sz w:val="20"/>
          </w:rPr>
          <w:t>9</w:t>
        </w:r>
        <w:r w:rsidRPr="003B67C9">
          <w:rPr>
            <w:rFonts w:ascii="Arial" w:hAnsi="Arial" w:cs="Arial"/>
            <w:sz w:val="20"/>
          </w:rPr>
          <w:fldChar w:fldCharType="end"/>
        </w:r>
      </w:p>
    </w:sdtContent>
  </w:sdt>
  <w:p w:rsidR="003B67C9" w:rsidRDefault="003B67C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7C9" w:rsidRDefault="003B67C9" w:rsidP="003B67C9">
      <w:pPr>
        <w:spacing w:after="0" w:line="240" w:lineRule="auto"/>
      </w:pPr>
      <w:r>
        <w:separator/>
      </w:r>
    </w:p>
  </w:footnote>
  <w:footnote w:type="continuationSeparator" w:id="0">
    <w:p w:rsidR="003B67C9" w:rsidRDefault="003B67C9" w:rsidP="003B6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01" w:rsidRDefault="003B67C9">
    <w:pPr>
      <w:rPr>
        <w:sz w:val="2"/>
        <w:szCs w:val="2"/>
      </w:rPr>
    </w:pPr>
    <w:r>
      <w:rPr>
        <w:noProof/>
        <w:lang w:eastAsia="sl-SI"/>
      </w:rPr>
      <mc:AlternateContent>
        <mc:Choice Requires="wps">
          <w:drawing>
            <wp:anchor distT="0" distB="0" distL="63500" distR="63500" simplePos="0" relativeHeight="251659264" behindDoc="1" locked="0" layoutInCell="1" allowOverlap="1" wp14:anchorId="491E09D5" wp14:editId="206C0221">
              <wp:simplePos x="0" y="0"/>
              <wp:positionH relativeFrom="page">
                <wp:posOffset>537210</wp:posOffset>
              </wp:positionH>
              <wp:positionV relativeFrom="page">
                <wp:posOffset>621030</wp:posOffset>
              </wp:positionV>
              <wp:extent cx="6470650" cy="133985"/>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wps:spPr>
                    <wps:txbx>
                      <w:txbxContent>
                        <w:p w:rsidR="00B16D01" w:rsidRDefault="003B67C9">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E09D5" id="_x0000_t202" coordsize="21600,21600" o:spt="202" path="m,l,21600r21600,l21600,xe">
              <v:stroke joinstyle="miter"/>
              <v:path gradientshapeok="t" o:connecttype="rect"/>
            </v:shapetype>
            <v:shape id="Polje z besedilom 4" o:spid="_x0000_s1026" type="#_x0000_t202" style="position:absolute;margin-left:42.3pt;margin-top:48.9pt;width:509.5pt;height:10.5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" filled="f" stroked="f">
              <v:textbox style="mso-fit-shape-to-text:t" inset="0,0,0,0">
                <w:txbxContent>
                  <w:p w:rsidR="00B16D01" w:rsidRDefault="003B67C9">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sidRPr="00776153">
                      <w:rPr>
                        <w:rStyle w:val="Headerorfooter3"/>
                        <w:color w:val="000000"/>
                        <w:lang w:val="pl-PL"/>
                      </w:rPr>
                      <w:t>SL~~|</w:t>
                    </w:r>
                    <w:r w:rsidRPr="00776153">
                      <w:rPr>
                        <w:rStyle w:val="Headerorfooter3"/>
                        <w:color w:val="000000"/>
                        <w:lang w:val="pl-PL"/>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01" w:rsidRDefault="003B67C9">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01" w:rsidRDefault="003B67C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81"/>
    <w:multiLevelType w:val="multilevel"/>
    <w:tmpl w:val="00000080"/>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46"/>
    <w:rsid w:val="003B67C9"/>
    <w:rsid w:val="00760828"/>
    <w:rsid w:val="00994046"/>
    <w:rsid w:val="00C54BAE"/>
    <w:rsid w:val="00EF2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B8931-8355-45B0-952C-86BB0B3F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67C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3B6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Privzetapisavaodstavka"/>
    <w:link w:val="Headerorfooter1"/>
    <w:uiPriority w:val="99"/>
    <w:locked/>
    <w:rsid w:val="003B67C9"/>
    <w:rPr>
      <w:rFonts w:ascii="Sylfaen" w:hAnsi="Sylfaen" w:cs="Sylfaen"/>
      <w:sz w:val="16"/>
      <w:szCs w:val="16"/>
      <w:shd w:val="clear" w:color="auto" w:fill="FFFFFF"/>
    </w:rPr>
  </w:style>
  <w:style w:type="character" w:customStyle="1" w:styleId="Headerorfooter0">
    <w:name w:val="Header or footer"/>
    <w:basedOn w:val="Headerorfooter"/>
    <w:uiPriority w:val="99"/>
    <w:rsid w:val="003B67C9"/>
    <w:rPr>
      <w:rFonts w:ascii="Sylfaen" w:hAnsi="Sylfaen" w:cs="Sylfaen"/>
      <w:sz w:val="16"/>
      <w:szCs w:val="16"/>
      <w:shd w:val="clear" w:color="auto" w:fill="FFFFFF"/>
    </w:rPr>
  </w:style>
  <w:style w:type="character" w:customStyle="1" w:styleId="Headerorfooter3">
    <w:name w:val="Header or footer3"/>
    <w:basedOn w:val="Headerorfooter"/>
    <w:uiPriority w:val="99"/>
    <w:rsid w:val="003B67C9"/>
    <w:rPr>
      <w:rFonts w:ascii="Sylfaen" w:hAnsi="Sylfaen" w:cs="Sylfaen"/>
      <w:sz w:val="16"/>
      <w:szCs w:val="16"/>
      <w:u w:val="single"/>
      <w:shd w:val="clear" w:color="auto" w:fill="FFFFFF"/>
      <w:lang w:val="en-US" w:eastAsia="en-US"/>
    </w:rPr>
  </w:style>
  <w:style w:type="paragraph" w:customStyle="1" w:styleId="Headerorfooter1">
    <w:name w:val="Header or footer1"/>
    <w:basedOn w:val="Navaden"/>
    <w:link w:val="Headerorfooter"/>
    <w:uiPriority w:val="99"/>
    <w:rsid w:val="003B67C9"/>
    <w:pPr>
      <w:widowControl w:val="0"/>
      <w:shd w:val="clear" w:color="auto" w:fill="FFFFFF"/>
      <w:spacing w:after="0" w:line="240" w:lineRule="atLeast"/>
    </w:pPr>
    <w:rPr>
      <w:rFonts w:ascii="Sylfaen" w:hAnsi="Sylfaen" w:cs="Sylfaen"/>
      <w:sz w:val="16"/>
      <w:szCs w:val="16"/>
    </w:rPr>
  </w:style>
  <w:style w:type="paragraph" w:styleId="Glava">
    <w:name w:val="header"/>
    <w:basedOn w:val="Navaden"/>
    <w:link w:val="GlavaZnak"/>
    <w:uiPriority w:val="99"/>
    <w:unhideWhenUsed/>
    <w:rsid w:val="003B67C9"/>
    <w:pPr>
      <w:tabs>
        <w:tab w:val="center" w:pos="4536"/>
        <w:tab w:val="right" w:pos="9072"/>
      </w:tabs>
      <w:spacing w:after="0" w:line="240" w:lineRule="auto"/>
    </w:pPr>
  </w:style>
  <w:style w:type="character" w:customStyle="1" w:styleId="GlavaZnak">
    <w:name w:val="Glava Znak"/>
    <w:basedOn w:val="Privzetapisavaodstavka"/>
    <w:link w:val="Glava"/>
    <w:uiPriority w:val="99"/>
    <w:rsid w:val="003B67C9"/>
  </w:style>
  <w:style w:type="paragraph" w:styleId="Noga">
    <w:name w:val="footer"/>
    <w:basedOn w:val="Navaden"/>
    <w:link w:val="NogaZnak"/>
    <w:uiPriority w:val="99"/>
    <w:unhideWhenUsed/>
    <w:rsid w:val="003B67C9"/>
    <w:pPr>
      <w:tabs>
        <w:tab w:val="center" w:pos="4536"/>
        <w:tab w:val="right" w:pos="9072"/>
      </w:tabs>
      <w:spacing w:after="0" w:line="240" w:lineRule="auto"/>
    </w:pPr>
  </w:style>
  <w:style w:type="character" w:customStyle="1" w:styleId="NogaZnak">
    <w:name w:val="Noga Znak"/>
    <w:basedOn w:val="Privzetapisavaodstavka"/>
    <w:link w:val="Noga"/>
    <w:uiPriority w:val="99"/>
    <w:rsid w:val="003B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Štupar</dc:creator>
  <cp:keywords/>
  <dc:description/>
  <cp:lastModifiedBy>Martina Štupar</cp:lastModifiedBy>
  <cp:revision>2</cp:revision>
  <dcterms:created xsi:type="dcterms:W3CDTF">2023-05-30T09:50:00Z</dcterms:created>
  <dcterms:modified xsi:type="dcterms:W3CDTF">2023-05-30T09:56:00Z</dcterms:modified>
</cp:coreProperties>
</file>