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Pr="004A2268" w:rsidRDefault="003636EA" w:rsidP="004A2268">
      <w:pPr>
        <w:pStyle w:val="datumtevilka"/>
        <w:rPr>
          <w:rFonts w:cs="Arial"/>
          <w:color w:val="000000"/>
        </w:rPr>
      </w:pPr>
    </w:p>
    <w:p w:rsidR="00591C95" w:rsidRPr="004A2268" w:rsidRDefault="00591C95" w:rsidP="004A2268">
      <w:pPr>
        <w:pStyle w:val="datumtevilka"/>
        <w:rPr>
          <w:rFonts w:cs="Arial"/>
          <w:color w:val="000000"/>
        </w:rPr>
      </w:pPr>
    </w:p>
    <w:p w:rsidR="00BC4830" w:rsidRPr="004A2268" w:rsidRDefault="00BC4830" w:rsidP="004A2268">
      <w:pPr>
        <w:pStyle w:val="datumtevilka"/>
        <w:rPr>
          <w:rFonts w:cs="Arial"/>
        </w:rPr>
      </w:pPr>
    </w:p>
    <w:p w:rsidR="003636EA" w:rsidRPr="004A2268" w:rsidRDefault="003636EA" w:rsidP="004A2268">
      <w:pPr>
        <w:pStyle w:val="datumtevilka"/>
        <w:rPr>
          <w:rFonts w:cs="Arial"/>
        </w:rPr>
      </w:pPr>
      <w:r w:rsidRPr="004A2268">
        <w:rPr>
          <w:rFonts w:cs="Arial"/>
        </w:rPr>
        <w:t xml:space="preserve">Številka: </w:t>
      </w:r>
      <w:r w:rsidRPr="004A2268">
        <w:rPr>
          <w:rFonts w:cs="Arial"/>
        </w:rPr>
        <w:tab/>
      </w:r>
      <w:r w:rsidR="00BC4830" w:rsidRPr="004A2268">
        <w:rPr>
          <w:rFonts w:cs="Arial"/>
          <w:color w:val="000000"/>
        </w:rPr>
        <w:t>07000-12/2023/5</w:t>
      </w:r>
    </w:p>
    <w:p w:rsidR="003636EA" w:rsidRPr="004A2268" w:rsidRDefault="003636EA" w:rsidP="004A2268">
      <w:pPr>
        <w:pStyle w:val="datumtevilka"/>
        <w:rPr>
          <w:rFonts w:cs="Arial"/>
        </w:rPr>
      </w:pPr>
      <w:r w:rsidRPr="004A2268">
        <w:rPr>
          <w:rFonts w:cs="Arial"/>
        </w:rPr>
        <w:t xml:space="preserve">Datum: </w:t>
      </w:r>
      <w:r w:rsidRPr="004A2268">
        <w:rPr>
          <w:rFonts w:cs="Arial"/>
        </w:rPr>
        <w:tab/>
      </w:r>
      <w:r w:rsidR="006E091A" w:rsidRPr="004A2268">
        <w:rPr>
          <w:rFonts w:cs="Arial"/>
          <w:color w:val="000000"/>
        </w:rPr>
        <w:t>28. 9. 2023</w:t>
      </w:r>
      <w:r w:rsidRPr="004A2268">
        <w:rPr>
          <w:rFonts w:cs="Arial"/>
        </w:rPr>
        <w:t xml:space="preserve"> </w:t>
      </w:r>
    </w:p>
    <w:p w:rsidR="003636EA" w:rsidRPr="004A2268" w:rsidRDefault="003636EA" w:rsidP="004A2268">
      <w:pPr>
        <w:rPr>
          <w:rFonts w:cs="Arial"/>
          <w:szCs w:val="20"/>
        </w:rPr>
      </w:pPr>
    </w:p>
    <w:p w:rsidR="008769E7" w:rsidRPr="004A2268" w:rsidRDefault="008769E7" w:rsidP="004A2268">
      <w:pPr>
        <w:jc w:val="both"/>
        <w:rPr>
          <w:rFonts w:cs="Arial"/>
          <w:color w:val="000000"/>
          <w:szCs w:val="20"/>
        </w:rPr>
      </w:pPr>
    </w:p>
    <w:p w:rsidR="005138C1" w:rsidRPr="004A2268" w:rsidRDefault="00044DDB" w:rsidP="004A2268">
      <w:pPr>
        <w:jc w:val="both"/>
        <w:rPr>
          <w:rFonts w:cs="Arial"/>
          <w:b/>
          <w:bCs/>
          <w:iCs/>
          <w:szCs w:val="20"/>
        </w:rPr>
      </w:pPr>
      <w:r w:rsidRPr="004A2268">
        <w:rPr>
          <w:rFonts w:cs="Arial"/>
          <w:b/>
          <w:bCs/>
          <w:szCs w:val="20"/>
        </w:rPr>
        <w:t xml:space="preserve">Zadeva: </w:t>
      </w:r>
      <w:r w:rsidR="005138C1" w:rsidRPr="004A2268">
        <w:rPr>
          <w:rFonts w:cs="Arial"/>
          <w:b/>
          <w:bCs/>
          <w:szCs w:val="20"/>
        </w:rPr>
        <w:t>O</w:t>
      </w:r>
      <w:r w:rsidR="00BC4830" w:rsidRPr="004A2268">
        <w:rPr>
          <w:rFonts w:eastAsia="Arial" w:cs="Arial"/>
          <w:b/>
          <w:bCs/>
          <w:szCs w:val="20"/>
        </w:rPr>
        <w:t>dgovor</w:t>
      </w:r>
      <w:r w:rsidR="005138C1" w:rsidRPr="004A2268">
        <w:rPr>
          <w:rFonts w:eastAsia="Arial" w:cs="Arial"/>
          <w:b/>
          <w:bCs/>
          <w:szCs w:val="20"/>
        </w:rPr>
        <w:t xml:space="preserve"> Vlade Republike Slovenije v zvezi s pozivom Varuha človekovih pravic Republike Slovenije glede oblikovanja in sprejemanja stališč o odprtih vsebinah </w:t>
      </w:r>
      <w:r w:rsidR="005138C1" w:rsidRPr="004A2268">
        <w:rPr>
          <w:rFonts w:cs="Arial"/>
          <w:b/>
          <w:bCs/>
          <w:iCs/>
          <w:szCs w:val="20"/>
        </w:rPr>
        <w:t>Predloga direktive Evropskega parlamenta in Sveta o skrbnem pregledu v podjetjih glede trajnostnosti in spremembi Direktive (EU) 2019/1937</w:t>
      </w:r>
    </w:p>
    <w:p w:rsidR="00591C95" w:rsidRPr="004A2268" w:rsidRDefault="00591C95" w:rsidP="004A2268">
      <w:pPr>
        <w:tabs>
          <w:tab w:val="left" w:pos="708"/>
        </w:tabs>
        <w:jc w:val="both"/>
        <w:rPr>
          <w:rFonts w:cs="Arial"/>
          <w:b/>
          <w:szCs w:val="20"/>
        </w:rPr>
      </w:pPr>
    </w:p>
    <w:p w:rsidR="00044DDB" w:rsidRPr="004A2268" w:rsidRDefault="00BC4830" w:rsidP="004A2268">
      <w:pPr>
        <w:tabs>
          <w:tab w:val="left" w:pos="708"/>
        </w:tabs>
        <w:jc w:val="both"/>
        <w:rPr>
          <w:rFonts w:cs="Arial"/>
          <w:b/>
          <w:szCs w:val="20"/>
        </w:rPr>
      </w:pPr>
      <w:r w:rsidRPr="004A2268">
        <w:rPr>
          <w:rFonts w:cs="Arial"/>
          <w:b/>
          <w:szCs w:val="20"/>
        </w:rPr>
        <w:t>Zveza: vaš dopis št. 0103-45/2023-1</w:t>
      </w:r>
      <w:r w:rsidR="00044DDB" w:rsidRPr="004A2268">
        <w:rPr>
          <w:rFonts w:cs="Arial"/>
          <w:b/>
          <w:szCs w:val="20"/>
        </w:rPr>
        <w:t>-</w:t>
      </w:r>
      <w:r w:rsidR="00F8444F" w:rsidRPr="004A2268">
        <w:rPr>
          <w:rFonts w:cs="Arial"/>
          <w:b/>
          <w:szCs w:val="20"/>
        </w:rPr>
        <w:t>MA</w:t>
      </w:r>
      <w:r w:rsidRPr="004A2268">
        <w:rPr>
          <w:rFonts w:cs="Arial"/>
          <w:b/>
          <w:szCs w:val="20"/>
        </w:rPr>
        <w:t>R</w:t>
      </w:r>
      <w:r w:rsidR="00F8444F" w:rsidRPr="004A2268">
        <w:rPr>
          <w:rFonts w:cs="Arial"/>
          <w:b/>
          <w:szCs w:val="20"/>
        </w:rPr>
        <w:t>Z z dne</w:t>
      </w:r>
      <w:r w:rsidRPr="004A2268">
        <w:rPr>
          <w:rFonts w:cs="Arial"/>
          <w:b/>
          <w:szCs w:val="20"/>
        </w:rPr>
        <w:t xml:space="preserve"> 3. 8. 2023</w:t>
      </w:r>
    </w:p>
    <w:p w:rsidR="00044DDB" w:rsidRPr="004A2268" w:rsidRDefault="00044DDB" w:rsidP="004A2268">
      <w:pPr>
        <w:tabs>
          <w:tab w:val="left" w:pos="708"/>
        </w:tabs>
        <w:jc w:val="both"/>
        <w:rPr>
          <w:rFonts w:cs="Arial"/>
          <w:b/>
          <w:szCs w:val="20"/>
        </w:rPr>
      </w:pPr>
    </w:p>
    <w:p w:rsidR="005138C1" w:rsidRPr="004A2268" w:rsidRDefault="005138C1" w:rsidP="004A2268">
      <w:pPr>
        <w:rPr>
          <w:rFonts w:cs="Arial"/>
          <w:szCs w:val="20"/>
        </w:rPr>
      </w:pPr>
    </w:p>
    <w:p w:rsidR="005138C1" w:rsidRPr="004A2268" w:rsidRDefault="005138C1" w:rsidP="004A2268">
      <w:pPr>
        <w:pStyle w:val="Odstavekseznama"/>
        <w:numPr>
          <w:ilvl w:val="0"/>
          <w:numId w:val="6"/>
        </w:numPr>
        <w:ind w:left="709" w:hanging="709"/>
        <w:contextualSpacing w:val="0"/>
        <w:rPr>
          <w:rFonts w:cs="Arial"/>
          <w:b/>
          <w:bCs/>
          <w:szCs w:val="20"/>
        </w:rPr>
      </w:pPr>
      <w:r w:rsidRPr="004A2268">
        <w:rPr>
          <w:rFonts w:cs="Arial"/>
          <w:b/>
          <w:bCs/>
          <w:szCs w:val="20"/>
        </w:rPr>
        <w:t>Uvod</w:t>
      </w:r>
    </w:p>
    <w:p w:rsidR="005138C1" w:rsidRPr="004A2268" w:rsidRDefault="005138C1" w:rsidP="004A2268">
      <w:pPr>
        <w:pStyle w:val="Odstavekseznama"/>
        <w:ind w:left="1440"/>
        <w:rPr>
          <w:rFonts w:cs="Arial"/>
          <w:b/>
          <w:bCs/>
          <w:szCs w:val="20"/>
        </w:rPr>
      </w:pPr>
    </w:p>
    <w:p w:rsidR="005138C1" w:rsidRPr="004A2268" w:rsidRDefault="005138C1" w:rsidP="004A2268">
      <w:pPr>
        <w:pStyle w:val="Default"/>
        <w:spacing w:line="260" w:lineRule="exact"/>
        <w:jc w:val="both"/>
        <w:rPr>
          <w:rFonts w:ascii="Arial" w:hAnsi="Arial" w:cs="Arial"/>
          <w:sz w:val="20"/>
          <w:szCs w:val="20"/>
        </w:rPr>
      </w:pPr>
      <w:r w:rsidRPr="004A2268">
        <w:rPr>
          <w:rFonts w:ascii="Arial" w:eastAsia="Times New Roman" w:hAnsi="Arial" w:cs="Arial"/>
          <w:sz w:val="20"/>
          <w:szCs w:val="20"/>
        </w:rPr>
        <w:t>Varuh človekovih pravic</w:t>
      </w:r>
      <w:r w:rsidR="002F185F" w:rsidRPr="004A2268">
        <w:rPr>
          <w:rFonts w:ascii="Arial" w:eastAsia="Times New Roman" w:hAnsi="Arial" w:cs="Arial"/>
          <w:sz w:val="20"/>
          <w:szCs w:val="20"/>
        </w:rPr>
        <w:t xml:space="preserve"> Republike Slovenije (v nadaljnjem besedilu: Varuh človekovih pravic)</w:t>
      </w:r>
      <w:r w:rsidRPr="004A2268">
        <w:rPr>
          <w:rFonts w:ascii="Arial" w:eastAsia="Times New Roman" w:hAnsi="Arial" w:cs="Arial"/>
          <w:sz w:val="20"/>
          <w:szCs w:val="20"/>
        </w:rPr>
        <w:t xml:space="preserve"> je v dopisu št. 0103-45/2023-1-MARZ z dne 3. 8. 2023 pozval Vlado Republike Slovenije, da se opredeli do predlogov stališč in ključnih vsebin glede </w:t>
      </w:r>
      <w:r w:rsidRPr="004A2268">
        <w:rPr>
          <w:rFonts w:ascii="Arial" w:hAnsi="Arial" w:cs="Arial"/>
          <w:sz w:val="20"/>
          <w:szCs w:val="20"/>
        </w:rPr>
        <w:t>Predloga Direktive Evropskega parlamenta in Sveta o skrbnem pregledu v podjetjih glede trajnostnosti in spremembi Direktive (EU) 2019/1937 (v nadaljnjem besedilu: predlog direktive).</w:t>
      </w:r>
      <w:r w:rsidRPr="004A2268">
        <w:rPr>
          <w:rFonts w:ascii="Arial" w:eastAsia="Times New Roman" w:hAnsi="Arial" w:cs="Arial"/>
          <w:sz w:val="20"/>
          <w:szCs w:val="20"/>
        </w:rPr>
        <w:t xml:space="preserve"> Vlada Republike Slovenije je preučila omenjeni dopis in v nadaljevanju podaja ključne informacije, pojasnila in stališča glede izpostavljenih vprašanj, povezanih s procesom sprejemanja predloga direktive.</w:t>
      </w:r>
    </w:p>
    <w:p w:rsidR="005138C1" w:rsidRPr="004A2268" w:rsidRDefault="005138C1" w:rsidP="004A2268">
      <w:pPr>
        <w:rPr>
          <w:rFonts w:cs="Arial"/>
          <w:szCs w:val="20"/>
        </w:rPr>
      </w:pPr>
    </w:p>
    <w:p w:rsidR="005138C1" w:rsidRPr="004A2268" w:rsidRDefault="005138C1" w:rsidP="004A2268">
      <w:pPr>
        <w:pStyle w:val="Odstavekseznama"/>
        <w:numPr>
          <w:ilvl w:val="0"/>
          <w:numId w:val="6"/>
        </w:numPr>
        <w:ind w:left="709" w:hanging="709"/>
        <w:contextualSpacing w:val="0"/>
        <w:rPr>
          <w:rFonts w:cs="Arial"/>
          <w:b/>
          <w:bCs/>
          <w:szCs w:val="20"/>
        </w:rPr>
      </w:pPr>
      <w:r w:rsidRPr="004A2268">
        <w:rPr>
          <w:rFonts w:cs="Arial"/>
          <w:b/>
          <w:bCs/>
          <w:szCs w:val="20"/>
        </w:rPr>
        <w:t>Kratka predstavitev predloga direktive</w:t>
      </w:r>
    </w:p>
    <w:p w:rsidR="005138C1" w:rsidRPr="004A2268" w:rsidRDefault="005138C1" w:rsidP="004A2268">
      <w:pPr>
        <w:pStyle w:val="Odstavekseznama"/>
        <w:ind w:left="1440"/>
        <w:rPr>
          <w:rFonts w:cs="Arial"/>
          <w:b/>
          <w:bCs/>
          <w:szCs w:val="20"/>
        </w:rPr>
      </w:pPr>
    </w:p>
    <w:p w:rsidR="005138C1" w:rsidRPr="004A2268" w:rsidRDefault="005138C1" w:rsidP="004A2268">
      <w:pPr>
        <w:pStyle w:val="Odstavekseznama"/>
        <w:ind w:left="0"/>
        <w:jc w:val="both"/>
        <w:rPr>
          <w:rFonts w:cs="Arial"/>
          <w:iCs/>
          <w:szCs w:val="20"/>
        </w:rPr>
      </w:pPr>
      <w:r w:rsidRPr="004A2268">
        <w:rPr>
          <w:rFonts w:cs="Arial"/>
          <w:iCs/>
          <w:szCs w:val="20"/>
        </w:rPr>
        <w:t>Predlog direktive določa pravila glede obveznosti družb v zvezi z dejanskimi in možnimi negativnimi vplivi na človekove pravice in okolje v zvezi z njihovim lastnim poslovanjem, poslovanjem njihovih odvisnih družb in poslovanjem v vrednostni verigi, ki jih izvajajo subjekti, s katerimi ima družba vzpostavljeno poslovno razmerje, in o odgovornosti za</w:t>
      </w:r>
      <w:r w:rsidRPr="004A2268">
        <w:rPr>
          <w:rFonts w:cs="Arial"/>
          <w:szCs w:val="20"/>
          <w:lang w:val="sv-SE"/>
        </w:rPr>
        <w:t xml:space="preserve"> škodo, ki nastane zaradi neizpolnitve obveznosti ustreznega skrbnega pregleda. P</w:t>
      </w:r>
      <w:proofErr w:type="spellStart"/>
      <w:r w:rsidRPr="004A2268">
        <w:rPr>
          <w:rFonts w:cs="Arial"/>
          <w:iCs/>
          <w:szCs w:val="20"/>
        </w:rPr>
        <w:t>redlog</w:t>
      </w:r>
      <w:proofErr w:type="spellEnd"/>
      <w:r w:rsidRPr="004A2268">
        <w:rPr>
          <w:rFonts w:cs="Arial"/>
          <w:iCs/>
          <w:szCs w:val="20"/>
        </w:rPr>
        <w:t xml:space="preserve"> direktive določa, da morajo družbe sprejeti ustrezne ukrepe za vzpostavitev in izvajanje ukrepov skrbnega pregleda. V predlogu direktive je opredeljen postopek skrbnega pregleda poslovanja, ki temelji na že obstoječih predpisih Organizacije združenih narodov in </w:t>
      </w:r>
      <w:r w:rsidR="002F185F" w:rsidRPr="004A2268">
        <w:rPr>
          <w:rFonts w:cs="Arial"/>
          <w:iCs/>
          <w:szCs w:val="20"/>
        </w:rPr>
        <w:t xml:space="preserve">Organizacije za gospodarsko sodelovanje in razvoj (v nadaljnjem besedilu: </w:t>
      </w:r>
      <w:r w:rsidRPr="004A2268">
        <w:rPr>
          <w:rFonts w:cs="Arial"/>
          <w:iCs/>
          <w:szCs w:val="20"/>
        </w:rPr>
        <w:t>OECD</w:t>
      </w:r>
      <w:r w:rsidR="002F185F" w:rsidRPr="004A2268">
        <w:rPr>
          <w:rFonts w:cs="Arial"/>
          <w:iCs/>
          <w:szCs w:val="20"/>
        </w:rPr>
        <w:t>)</w:t>
      </w:r>
      <w:r w:rsidRPr="004A2268">
        <w:rPr>
          <w:rFonts w:cs="Arial"/>
          <w:iCs/>
          <w:szCs w:val="20"/>
        </w:rPr>
        <w:t xml:space="preserve">. Ta zajema šest korakov, opredeljenih v Smernicah OECD o skrbnem ravnanju za odgovorno poslovno ravnanje, ki vključujejo ukrepe potrebne skrbnosti za družbe, da prepoznajo in obravnavajo negativne vplive na človekove pravice in okolje. Ti koraki so: (1) vključitev skrbnega pregleda v politike in sisteme upravljanja, </w:t>
      </w:r>
      <w:r w:rsidR="004A2268">
        <w:rPr>
          <w:rFonts w:cs="Arial"/>
          <w:iCs/>
          <w:szCs w:val="20"/>
        </w:rPr>
        <w:br/>
      </w:r>
      <w:r w:rsidRPr="004A2268">
        <w:rPr>
          <w:rFonts w:cs="Arial"/>
          <w:iCs/>
          <w:szCs w:val="20"/>
        </w:rPr>
        <w:t xml:space="preserve">(2) prepoznavanje in ocenjevanje negativnih vplivov na človekove pravice in okolje, </w:t>
      </w:r>
      <w:r w:rsidR="004A2268">
        <w:rPr>
          <w:rFonts w:cs="Arial"/>
          <w:iCs/>
          <w:szCs w:val="20"/>
        </w:rPr>
        <w:br/>
      </w:r>
      <w:r w:rsidRPr="004A2268">
        <w:rPr>
          <w:rFonts w:cs="Arial"/>
          <w:iCs/>
          <w:szCs w:val="20"/>
        </w:rPr>
        <w:t xml:space="preserve">(3) preprečevanje, odprava ali zmanjševanje dejanskih in potencialnih negativnih vplivov na človekove pravice in okolje, (4) ocenjevanje učinkovitosti ukrepov, (5) komuniciranje, </w:t>
      </w:r>
      <w:r w:rsidR="004A2268">
        <w:rPr>
          <w:rFonts w:cs="Arial"/>
          <w:iCs/>
          <w:szCs w:val="20"/>
        </w:rPr>
        <w:br/>
      </w:r>
      <w:r w:rsidRPr="004A2268">
        <w:rPr>
          <w:rFonts w:cs="Arial"/>
          <w:iCs/>
          <w:szCs w:val="20"/>
        </w:rPr>
        <w:t>(6) zagotavljanje odprave negativnih vplivov oziroma sanacije.</w:t>
      </w:r>
    </w:p>
    <w:p w:rsidR="005138C1" w:rsidRPr="004A2268" w:rsidRDefault="005138C1" w:rsidP="004A2268">
      <w:pPr>
        <w:pStyle w:val="Odstavekseznama"/>
        <w:ind w:left="0"/>
        <w:jc w:val="both"/>
        <w:rPr>
          <w:rFonts w:cs="Arial"/>
          <w:szCs w:val="20"/>
          <w:lang w:val="sv-SE"/>
        </w:rPr>
      </w:pPr>
    </w:p>
    <w:p w:rsidR="005138C1" w:rsidRPr="004A2268" w:rsidRDefault="005138C1" w:rsidP="004A2268">
      <w:pPr>
        <w:pStyle w:val="Odstavekseznama"/>
        <w:ind w:left="0"/>
        <w:jc w:val="both"/>
        <w:rPr>
          <w:rFonts w:cs="Arial"/>
          <w:iCs/>
          <w:szCs w:val="20"/>
        </w:rPr>
      </w:pPr>
      <w:r w:rsidRPr="004A2268">
        <w:rPr>
          <w:rFonts w:cs="Arial"/>
          <w:iCs/>
          <w:szCs w:val="20"/>
        </w:rPr>
        <w:t xml:space="preserve">Predlog direktive ne velja za mikro, majhne in srednje družbe. Obveznosti se nanašajo samo na zelo velike družbe. Merili za določitev obsega zavezancev sta: prihodek družbe in število zaposlenih. Na podlagi teh meril bodo identificirane družbe, ki imajo največji vpliv na gospodarstvo v </w:t>
      </w:r>
      <w:r w:rsidR="000D3796" w:rsidRPr="004A2268">
        <w:rPr>
          <w:rFonts w:cs="Arial"/>
          <w:iCs/>
          <w:szCs w:val="20"/>
        </w:rPr>
        <w:t>Evropski uniji (v nadaljnjem besedilu</w:t>
      </w:r>
      <w:r w:rsidR="002F185F" w:rsidRPr="004A2268">
        <w:rPr>
          <w:rFonts w:cs="Arial"/>
          <w:iCs/>
          <w:szCs w:val="20"/>
        </w:rPr>
        <w:t xml:space="preserve">: </w:t>
      </w:r>
      <w:r w:rsidRPr="004A2268">
        <w:rPr>
          <w:rFonts w:cs="Arial"/>
          <w:iCs/>
          <w:szCs w:val="20"/>
        </w:rPr>
        <w:t>EU</w:t>
      </w:r>
      <w:r w:rsidR="002F185F" w:rsidRPr="004A2268">
        <w:rPr>
          <w:rFonts w:cs="Arial"/>
          <w:iCs/>
          <w:szCs w:val="20"/>
        </w:rPr>
        <w:t>)</w:t>
      </w:r>
      <w:r w:rsidRPr="004A2268">
        <w:rPr>
          <w:rFonts w:cs="Arial"/>
          <w:iCs/>
          <w:szCs w:val="20"/>
        </w:rPr>
        <w:t xml:space="preserve">. Za družbe v EU veljajo merila, da so </w:t>
      </w:r>
      <w:r w:rsidRPr="004A2268">
        <w:rPr>
          <w:rFonts w:cs="Arial"/>
          <w:iCs/>
          <w:szCs w:val="20"/>
        </w:rPr>
        <w:lastRenderedPageBreak/>
        <w:t xml:space="preserve">imele v zadnjem finančnem letu več kot 500 zaposlenih in čisti svetovni prihodek višji od </w:t>
      </w:r>
      <w:r w:rsidR="004A2268">
        <w:rPr>
          <w:rFonts w:cs="Arial"/>
          <w:iCs/>
          <w:szCs w:val="20"/>
        </w:rPr>
        <w:br/>
      </w:r>
      <w:r w:rsidRPr="004A2268">
        <w:rPr>
          <w:rFonts w:cs="Arial"/>
          <w:iCs/>
          <w:szCs w:val="20"/>
        </w:rPr>
        <w:t>150 milijonov EUR. Posebej so določena merila za družbe z manjšim prihodkom in manjšim številom zaposlenih, vendar delujejo v sektorjih z velikim vplivom in za katere istočasno veljajo obstoječe sektorske smernice OECD. Za slednje veljajo merila, da so imele v zadnjem finančnem letu več kot 250 zaposlenih in čisti svetovni prihodek višji od 40 milijonov EUR ter pri katerih je vsaj 50 % teh prihodkov ustvarjeno v naslednjih sektorjih:</w:t>
      </w:r>
    </w:p>
    <w:p w:rsidR="005138C1" w:rsidRPr="004A2268" w:rsidRDefault="005138C1" w:rsidP="004A2268">
      <w:pPr>
        <w:pStyle w:val="Odstavekseznama"/>
        <w:numPr>
          <w:ilvl w:val="0"/>
          <w:numId w:val="7"/>
        </w:numPr>
        <w:ind w:hanging="720"/>
        <w:contextualSpacing w:val="0"/>
        <w:jc w:val="both"/>
        <w:rPr>
          <w:rFonts w:cs="Arial"/>
          <w:iCs/>
          <w:szCs w:val="20"/>
        </w:rPr>
      </w:pPr>
      <w:r w:rsidRPr="004A2268">
        <w:rPr>
          <w:rFonts w:cs="Arial"/>
          <w:iCs/>
          <w:szCs w:val="20"/>
        </w:rPr>
        <w:t xml:space="preserve">proizvodnja tekstila, usnja in sorodnih izdelkov (vključno z obutvijo) ter trgovina na debelo s tekstilom, oblačili in obutvijo; </w:t>
      </w:r>
    </w:p>
    <w:p w:rsidR="005138C1" w:rsidRPr="004A2268" w:rsidRDefault="005138C1" w:rsidP="004A2268">
      <w:pPr>
        <w:pStyle w:val="Odstavekseznama"/>
        <w:numPr>
          <w:ilvl w:val="0"/>
          <w:numId w:val="7"/>
        </w:numPr>
        <w:ind w:hanging="720"/>
        <w:contextualSpacing w:val="0"/>
        <w:jc w:val="both"/>
        <w:rPr>
          <w:rFonts w:cs="Arial"/>
          <w:iCs/>
          <w:szCs w:val="20"/>
        </w:rPr>
      </w:pPr>
      <w:r w:rsidRPr="004A2268">
        <w:rPr>
          <w:rFonts w:cs="Arial"/>
          <w:iCs/>
          <w:szCs w:val="20"/>
        </w:rPr>
        <w:t>kmetijstvo, gozdarstvo, ribištvo (vključno z akvakulturo), proizvodnja živil in trgovina na debelo s kmetijskimi surovinami, živimi živalmi, lesom, hrano in pijačo;</w:t>
      </w:r>
    </w:p>
    <w:p w:rsidR="005138C1" w:rsidRPr="004A2268" w:rsidRDefault="005138C1" w:rsidP="004A2268">
      <w:pPr>
        <w:pStyle w:val="Odstavekseznama"/>
        <w:numPr>
          <w:ilvl w:val="0"/>
          <w:numId w:val="7"/>
        </w:numPr>
        <w:ind w:hanging="720"/>
        <w:contextualSpacing w:val="0"/>
        <w:jc w:val="both"/>
        <w:rPr>
          <w:rFonts w:cs="Arial"/>
          <w:iCs/>
          <w:szCs w:val="20"/>
        </w:rPr>
      </w:pPr>
      <w:r w:rsidRPr="004A2268">
        <w:rPr>
          <w:rFonts w:cs="Arial"/>
          <w:iCs/>
          <w:szCs w:val="20"/>
        </w:rPr>
        <w:t>pridobivanje mineralnih virov (vključno s surovo nafto, zemeljskim plinom, premogom, lignitom, kovinami in kovinskimi rudami ter vsemi drugimi nekovinskimi minerali in proizvodi iz kamnolomov), proizvodnja osnovnih kovinskih izdelkov, drugih nekovinskih mineralnih izdelkov in kovinskih izdelkov (razen strojev in opreme) ter trgovina na debelo z mineralnimi viri, osnovnimi in vmesnimi mineralnimi izdelki (vključno s kovinami in kovinskimi rudami, gradbenimi materiali, gorivi, kemikalijami in drugimi vmesnimi izdelki).</w:t>
      </w:r>
    </w:p>
    <w:p w:rsidR="005138C1" w:rsidRPr="004A2268" w:rsidRDefault="005138C1" w:rsidP="004A2268">
      <w:pPr>
        <w:pStyle w:val="Odstavekseznama"/>
        <w:jc w:val="both"/>
        <w:rPr>
          <w:rFonts w:cs="Arial"/>
          <w:iCs/>
          <w:szCs w:val="20"/>
        </w:rPr>
      </w:pPr>
      <w:r w:rsidRPr="004A2268">
        <w:rPr>
          <w:rFonts w:cs="Arial"/>
          <w:iCs/>
          <w:szCs w:val="20"/>
        </w:rPr>
        <w:t xml:space="preserve"> </w:t>
      </w:r>
    </w:p>
    <w:p w:rsidR="005138C1" w:rsidRPr="004A2268" w:rsidRDefault="005138C1" w:rsidP="004A2268">
      <w:pPr>
        <w:jc w:val="both"/>
        <w:rPr>
          <w:rFonts w:cs="Arial"/>
          <w:iCs/>
          <w:szCs w:val="20"/>
        </w:rPr>
      </w:pPr>
      <w:r w:rsidRPr="004A2268">
        <w:rPr>
          <w:rFonts w:cs="Arial"/>
          <w:iCs/>
          <w:szCs w:val="20"/>
        </w:rPr>
        <w:t>Predlog direktive zavezuje tudi družbe iz tretjih držav, ki izpolnjujejo pogoje, da so v zadnjem finančnem letu v EU ustvarile več kot 150 milijonov EUR čistih prihodkov ali da so v zadnjem finančnem letu v EU ustvarile več kot 40 milijonov EUR, vendar največ 150 milijonov EUR čistih prihodkov znotraj in pri katerih je vsaj 50 % teh prihodkov ustvarjeno pri zgoraj omenjenih (vplivnih) sektorjih.</w:t>
      </w:r>
    </w:p>
    <w:p w:rsidR="005138C1" w:rsidRPr="004A2268" w:rsidRDefault="005138C1" w:rsidP="004A2268">
      <w:pPr>
        <w:rPr>
          <w:rFonts w:cs="Arial"/>
          <w:szCs w:val="20"/>
        </w:rPr>
      </w:pPr>
    </w:p>
    <w:p w:rsidR="005138C1" w:rsidRPr="004A2268" w:rsidRDefault="005138C1" w:rsidP="004A2268">
      <w:pPr>
        <w:pStyle w:val="Odstavekseznama"/>
        <w:numPr>
          <w:ilvl w:val="0"/>
          <w:numId w:val="6"/>
        </w:numPr>
        <w:ind w:left="709" w:hanging="709"/>
        <w:contextualSpacing w:val="0"/>
        <w:rPr>
          <w:rFonts w:cs="Arial"/>
          <w:b/>
          <w:bCs/>
          <w:szCs w:val="20"/>
        </w:rPr>
      </w:pPr>
      <w:r w:rsidRPr="004A2268">
        <w:rPr>
          <w:rFonts w:cs="Arial"/>
          <w:b/>
          <w:bCs/>
          <w:szCs w:val="20"/>
        </w:rPr>
        <w:t>Potek pogajanj</w:t>
      </w:r>
    </w:p>
    <w:p w:rsidR="005138C1" w:rsidRPr="004A2268" w:rsidRDefault="005138C1" w:rsidP="004A2268">
      <w:pPr>
        <w:pStyle w:val="Odstavekseznama"/>
        <w:ind w:left="1440"/>
        <w:rPr>
          <w:rFonts w:cs="Arial"/>
          <w:b/>
          <w:bCs/>
          <w:szCs w:val="20"/>
        </w:rPr>
      </w:pPr>
    </w:p>
    <w:p w:rsidR="005138C1" w:rsidRPr="004A2268" w:rsidRDefault="005138C1" w:rsidP="004A2268">
      <w:pPr>
        <w:jc w:val="both"/>
        <w:rPr>
          <w:rFonts w:cs="Arial"/>
          <w:szCs w:val="20"/>
        </w:rPr>
      </w:pPr>
      <w:r w:rsidRPr="004A2268">
        <w:rPr>
          <w:rFonts w:cs="Arial"/>
          <w:szCs w:val="20"/>
        </w:rPr>
        <w:t>Evropska komisija (v nadaljnjem besedilu: EK) je predlog direktive objavila dne 23. 2. 2022. V Svetu EU so po objavi predloga direktive potekala usklajevanja med državami članicami glede besedila predloga direktive. Oblikovano je bilo kompromisno besedilo predloga, ki je bilo podprto s strani držav članic. Dne 1. 12. 2022 je bil sprejet splošni pristop</w:t>
      </w:r>
      <w:r w:rsidRPr="004A2268">
        <w:rPr>
          <w:rFonts w:cs="Arial"/>
          <w:color w:val="000000"/>
          <w:szCs w:val="20"/>
          <w:lang w:val="sv-SE"/>
        </w:rPr>
        <w:t xml:space="preserve"> na Svetu za konkurenčnost. Kompromisni predlog je delno spremenil prvotni predlog direktive, ki ga je pripravila EK</w:t>
      </w:r>
      <w:r w:rsidRPr="004A2268">
        <w:rPr>
          <w:rFonts w:cs="Arial"/>
          <w:szCs w:val="20"/>
        </w:rPr>
        <w:t xml:space="preserve">. Republika Slovenija je </w:t>
      </w:r>
      <w:r w:rsidRPr="004A2268">
        <w:rPr>
          <w:rFonts w:cs="Arial"/>
          <w:color w:val="000000"/>
          <w:szCs w:val="20"/>
          <w:lang w:val="sv-SE"/>
        </w:rPr>
        <w:t xml:space="preserve">kljub </w:t>
      </w:r>
      <w:r w:rsidRPr="004A2268">
        <w:rPr>
          <w:rFonts w:cs="Arial"/>
          <w:iCs/>
          <w:szCs w:val="20"/>
        </w:rPr>
        <w:t>temu</w:t>
      </w:r>
      <w:r w:rsidRPr="004A2268">
        <w:rPr>
          <w:rFonts w:cs="Arial"/>
          <w:color w:val="000000"/>
          <w:szCs w:val="20"/>
          <w:lang w:val="sv-SE"/>
        </w:rPr>
        <w:t xml:space="preserve"> v luči dosege kompromisa in z zavedanjem, da se bodo pogajanja nadaljevala v trialogih ter se bo besedilo še spreminjalo, pozdravila več jasnosti v kompromisnem predlogu in določbe, ki so bolj skladne s pravnim redom Republike Slovenije glede na prvotni predlog EK. Evropski parlament </w:t>
      </w:r>
      <w:bookmarkStart w:id="0" w:name="_GoBack"/>
      <w:bookmarkEnd w:id="0"/>
      <w:r w:rsidRPr="004A2268">
        <w:rPr>
          <w:rFonts w:cs="Arial"/>
          <w:color w:val="000000"/>
          <w:szCs w:val="20"/>
          <w:lang w:val="sv-SE"/>
        </w:rPr>
        <w:t xml:space="preserve">je dne 1. 6. 2023 sprejel stališče glede predloga direktive. </w:t>
      </w:r>
      <w:r w:rsidRPr="004A2268">
        <w:rPr>
          <w:rFonts w:cs="Arial"/>
          <w:szCs w:val="20"/>
        </w:rPr>
        <w:t>T</w:t>
      </w:r>
      <w:r w:rsidRPr="004A2268">
        <w:rPr>
          <w:rFonts w:cs="Arial"/>
          <w:color w:val="000000"/>
          <w:szCs w:val="20"/>
          <w:lang w:val="sv-SE"/>
        </w:rPr>
        <w:t xml:space="preserve">renutno potekajo pogajanja v okviru trialoga, v okviru katerega je ambicija, da se pogajanja in s tem zakonodajni proces zakluči še pod ES PRE, torej do konca leta 2023. Predsedstvo Sveta EU države članice redno obvešča o poteku pogajanj v trialogu, in sicer na zasedanjih delovnih skupin in Odbora stalnih predstavnikov (namestnikov). Sredi julija 2023 je potekalo zadnje zasedanje </w:t>
      </w:r>
      <w:r w:rsidRPr="004A2268">
        <w:rPr>
          <w:rFonts w:cs="Arial"/>
          <w:szCs w:val="20"/>
        </w:rPr>
        <w:t>trialoga</w:t>
      </w:r>
      <w:r w:rsidRPr="004A2268">
        <w:rPr>
          <w:rFonts w:cs="Arial"/>
          <w:color w:val="000000"/>
          <w:szCs w:val="20"/>
          <w:lang w:val="sv-SE"/>
        </w:rPr>
        <w:t>, ki se bodo po pričakovanjih nadaljevali v septembru.</w:t>
      </w:r>
    </w:p>
    <w:p w:rsidR="005138C1" w:rsidRPr="004A2268" w:rsidRDefault="005138C1" w:rsidP="004A2268">
      <w:pPr>
        <w:rPr>
          <w:rFonts w:cs="Arial"/>
          <w:szCs w:val="20"/>
        </w:rPr>
      </w:pPr>
    </w:p>
    <w:p w:rsidR="005138C1" w:rsidRPr="004A2268" w:rsidRDefault="005138C1" w:rsidP="004A2268">
      <w:pPr>
        <w:pStyle w:val="Odstavekseznama"/>
        <w:numPr>
          <w:ilvl w:val="0"/>
          <w:numId w:val="6"/>
        </w:numPr>
        <w:ind w:left="709" w:hanging="709"/>
        <w:contextualSpacing w:val="0"/>
        <w:rPr>
          <w:rFonts w:cs="Arial"/>
          <w:b/>
          <w:bCs/>
          <w:szCs w:val="20"/>
        </w:rPr>
      </w:pPr>
      <w:r w:rsidRPr="004A2268">
        <w:rPr>
          <w:rFonts w:cs="Arial"/>
          <w:b/>
          <w:bCs/>
          <w:szCs w:val="20"/>
        </w:rPr>
        <w:t>Uradno stališče R</w:t>
      </w:r>
      <w:r w:rsidR="002F185F" w:rsidRPr="004A2268">
        <w:rPr>
          <w:rFonts w:cs="Arial"/>
          <w:b/>
          <w:bCs/>
          <w:szCs w:val="20"/>
        </w:rPr>
        <w:t xml:space="preserve">epublike </w:t>
      </w:r>
      <w:r w:rsidRPr="004A2268">
        <w:rPr>
          <w:rFonts w:cs="Arial"/>
          <w:b/>
          <w:bCs/>
          <w:szCs w:val="20"/>
        </w:rPr>
        <w:t>S</w:t>
      </w:r>
      <w:r w:rsidR="002F185F" w:rsidRPr="004A2268">
        <w:rPr>
          <w:rFonts w:cs="Arial"/>
          <w:b/>
          <w:bCs/>
          <w:szCs w:val="20"/>
        </w:rPr>
        <w:t>lovenije</w:t>
      </w:r>
    </w:p>
    <w:p w:rsidR="005138C1" w:rsidRPr="004A2268" w:rsidRDefault="005138C1" w:rsidP="004A2268">
      <w:pPr>
        <w:pStyle w:val="Odstavekseznama"/>
        <w:ind w:left="1440"/>
        <w:rPr>
          <w:rFonts w:cs="Arial"/>
          <w:b/>
          <w:bCs/>
          <w:szCs w:val="20"/>
        </w:rPr>
      </w:pPr>
    </w:p>
    <w:p w:rsidR="005138C1" w:rsidRPr="004A2268" w:rsidRDefault="005138C1" w:rsidP="004A2268">
      <w:pPr>
        <w:jc w:val="both"/>
        <w:rPr>
          <w:rFonts w:cs="Arial"/>
          <w:iCs/>
          <w:szCs w:val="20"/>
        </w:rPr>
      </w:pPr>
      <w:r w:rsidRPr="004A2268">
        <w:rPr>
          <w:rFonts w:cs="Arial"/>
          <w:iCs/>
          <w:szCs w:val="20"/>
        </w:rPr>
        <w:t>Republika Slovenija je v stališču z dne 28. 4. 2023 pozdravila predlog direktive, saj naj bi ta pripomogel k izboljšanju spoštovanja človekovih pravic in varstva okolja pri poslovanju družb. Prav tako je cilj predloga direktive zagotoviti, da družbe prispevajo k trajnostnemu razvoju in trajnostnem</w:t>
      </w:r>
      <w:r w:rsidR="009F7668" w:rsidRPr="004A2268">
        <w:rPr>
          <w:rFonts w:cs="Arial"/>
          <w:iCs/>
          <w:szCs w:val="20"/>
        </w:rPr>
        <w:t>u</w:t>
      </w:r>
      <w:r w:rsidRPr="004A2268">
        <w:rPr>
          <w:rFonts w:cs="Arial"/>
          <w:iCs/>
          <w:szCs w:val="20"/>
        </w:rPr>
        <w:t xml:space="preserve"> prehodu gospodarstev in družb. Republika Slovenija je podprla sprejetje ukrepov za vzpostavitev in izvajanje ukrepov skrbnega pregleda glede trajnostnosti, opozorila na možno prekomerno obremenitev družb z nesorazmernimi zahtevami in izpostavila potrebo po ureditvi, ki bo zagotavljala skladnost z obstoječimi pravili in zahtevami predvsem glede: </w:t>
      </w:r>
    </w:p>
    <w:p w:rsidR="005138C1" w:rsidRPr="004A2268" w:rsidRDefault="005138C1" w:rsidP="004A2268">
      <w:pPr>
        <w:pStyle w:val="Odstavekseznama"/>
        <w:numPr>
          <w:ilvl w:val="0"/>
          <w:numId w:val="8"/>
        </w:numPr>
        <w:ind w:hanging="720"/>
        <w:contextualSpacing w:val="0"/>
        <w:jc w:val="both"/>
        <w:rPr>
          <w:rFonts w:cs="Arial"/>
          <w:iCs/>
          <w:szCs w:val="20"/>
        </w:rPr>
      </w:pPr>
      <w:r w:rsidRPr="004A2268">
        <w:rPr>
          <w:rFonts w:cs="Arial"/>
          <w:iCs/>
          <w:szCs w:val="20"/>
        </w:rPr>
        <w:t xml:space="preserve">civilne odgovornosti družbe, ki bi morala biti v skladu s splošnimi nacionalnimi predpisi; </w:t>
      </w:r>
    </w:p>
    <w:p w:rsidR="005138C1" w:rsidRPr="004A2268" w:rsidRDefault="005138C1" w:rsidP="004A2268">
      <w:pPr>
        <w:pStyle w:val="Odstavekseznama"/>
        <w:numPr>
          <w:ilvl w:val="0"/>
          <w:numId w:val="8"/>
        </w:numPr>
        <w:ind w:hanging="720"/>
        <w:contextualSpacing w:val="0"/>
        <w:jc w:val="both"/>
        <w:rPr>
          <w:rFonts w:cs="Arial"/>
          <w:iCs/>
          <w:szCs w:val="20"/>
        </w:rPr>
      </w:pPr>
      <w:r w:rsidRPr="004A2268">
        <w:rPr>
          <w:rFonts w:cs="Arial"/>
          <w:iCs/>
          <w:szCs w:val="20"/>
        </w:rPr>
        <w:t xml:space="preserve">odgovornosti direktorjev, ki se uvajajo na novo in pomembno posegajo v obstoječe pravo družb; </w:t>
      </w:r>
    </w:p>
    <w:p w:rsidR="005138C1" w:rsidRPr="004A2268" w:rsidRDefault="005138C1" w:rsidP="004A2268">
      <w:pPr>
        <w:pStyle w:val="Odstavekseznama"/>
        <w:numPr>
          <w:ilvl w:val="0"/>
          <w:numId w:val="8"/>
        </w:numPr>
        <w:ind w:hanging="720"/>
        <w:contextualSpacing w:val="0"/>
        <w:jc w:val="both"/>
        <w:rPr>
          <w:rFonts w:cs="Arial"/>
          <w:iCs/>
          <w:szCs w:val="20"/>
        </w:rPr>
      </w:pPr>
      <w:r w:rsidRPr="004A2268">
        <w:rPr>
          <w:rFonts w:cs="Arial"/>
          <w:iCs/>
          <w:szCs w:val="20"/>
        </w:rPr>
        <w:lastRenderedPageBreak/>
        <w:t xml:space="preserve">spoštovanja temeljnih človekovih pravic v povezavi z obstoječo delovnopravno zakonodajo; </w:t>
      </w:r>
    </w:p>
    <w:p w:rsidR="005138C1" w:rsidRPr="004A2268" w:rsidRDefault="005138C1" w:rsidP="004A2268">
      <w:pPr>
        <w:pStyle w:val="Odstavekseznama"/>
        <w:numPr>
          <w:ilvl w:val="0"/>
          <w:numId w:val="8"/>
        </w:numPr>
        <w:ind w:hanging="720"/>
        <w:contextualSpacing w:val="0"/>
        <w:jc w:val="both"/>
        <w:rPr>
          <w:rFonts w:cs="Arial"/>
          <w:iCs/>
          <w:szCs w:val="20"/>
        </w:rPr>
      </w:pPr>
      <w:r w:rsidRPr="004A2268">
        <w:rPr>
          <w:rFonts w:cs="Arial"/>
          <w:iCs/>
          <w:szCs w:val="20"/>
        </w:rPr>
        <w:t>sankcij in nadzornih organov.</w:t>
      </w:r>
    </w:p>
    <w:p w:rsidR="005138C1" w:rsidRPr="004A2268" w:rsidRDefault="005138C1" w:rsidP="004A2268">
      <w:pPr>
        <w:pStyle w:val="Odstavekseznama"/>
        <w:jc w:val="both"/>
        <w:rPr>
          <w:rFonts w:cs="Arial"/>
          <w:iCs/>
          <w:szCs w:val="20"/>
        </w:rPr>
      </w:pPr>
    </w:p>
    <w:p w:rsidR="005138C1" w:rsidRPr="004A2268" w:rsidRDefault="005138C1" w:rsidP="004A2268">
      <w:pPr>
        <w:jc w:val="both"/>
        <w:rPr>
          <w:rFonts w:cs="Arial"/>
          <w:iCs/>
          <w:szCs w:val="20"/>
        </w:rPr>
      </w:pPr>
      <w:r w:rsidRPr="004A2268">
        <w:rPr>
          <w:rFonts w:cs="Arial"/>
          <w:iCs/>
          <w:szCs w:val="20"/>
        </w:rPr>
        <w:t xml:space="preserve">Republika Slovenija si </w:t>
      </w:r>
      <w:r w:rsidRPr="004A2268">
        <w:rPr>
          <w:rFonts w:cs="Arial"/>
          <w:color w:val="000000"/>
          <w:szCs w:val="20"/>
          <w:lang w:val="sv-SE"/>
        </w:rPr>
        <w:t>je prizadevala za sprejem direktive brez izjem. V luči kompromisa je podprla kompromisno besedilo predloga direktive. Predvsem je pozdravila več jasnosti besedila in večjo skladnost s pravnim redom Republike Slovenije glede na prvotni predlog EK. Republika Slovenija je bila mnenja, da kompromisno besedilo predstavlja dober uravnotežen predlog glede na raznovrstne pripombe držav članic in tudi pomisleke Republike Slovenije, ki so bili izpostavljeni med razpravo.</w:t>
      </w:r>
    </w:p>
    <w:p w:rsidR="005138C1" w:rsidRPr="004A2268" w:rsidRDefault="005138C1" w:rsidP="004A2268">
      <w:pPr>
        <w:rPr>
          <w:rFonts w:cs="Arial"/>
          <w:szCs w:val="20"/>
        </w:rPr>
      </w:pPr>
    </w:p>
    <w:p w:rsidR="005138C1" w:rsidRPr="004A2268" w:rsidRDefault="005138C1" w:rsidP="004A2268">
      <w:pPr>
        <w:pStyle w:val="Odstavekseznama"/>
        <w:numPr>
          <w:ilvl w:val="0"/>
          <w:numId w:val="6"/>
        </w:numPr>
        <w:ind w:left="709" w:hanging="709"/>
        <w:contextualSpacing w:val="0"/>
        <w:rPr>
          <w:rFonts w:cs="Arial"/>
          <w:b/>
          <w:bCs/>
          <w:szCs w:val="20"/>
        </w:rPr>
      </w:pPr>
      <w:r w:rsidRPr="004A2268">
        <w:rPr>
          <w:rFonts w:cs="Arial"/>
          <w:b/>
          <w:bCs/>
          <w:szCs w:val="20"/>
        </w:rPr>
        <w:t>Vključevanje javnosti</w:t>
      </w:r>
    </w:p>
    <w:p w:rsidR="005138C1" w:rsidRPr="004A2268" w:rsidRDefault="005138C1" w:rsidP="004A2268">
      <w:pPr>
        <w:pStyle w:val="Odstavekseznama"/>
        <w:ind w:left="1440"/>
        <w:rPr>
          <w:rFonts w:cs="Arial"/>
          <w:b/>
          <w:bCs/>
          <w:szCs w:val="20"/>
        </w:rPr>
      </w:pPr>
    </w:p>
    <w:p w:rsidR="005138C1" w:rsidRPr="004A2268" w:rsidRDefault="005138C1" w:rsidP="004A2268">
      <w:pPr>
        <w:jc w:val="both"/>
        <w:rPr>
          <w:rFonts w:cs="Arial"/>
          <w:iCs/>
          <w:szCs w:val="20"/>
        </w:rPr>
      </w:pPr>
      <w:r w:rsidRPr="004A2268">
        <w:rPr>
          <w:rFonts w:cs="Arial"/>
          <w:szCs w:val="20"/>
        </w:rPr>
        <w:t xml:space="preserve">Pred pripravo stališča Republike Slovenije glede predloga direktive je pristojno Ministrstvo za gospodarstvo, turizem in šport </w:t>
      </w:r>
      <w:r w:rsidRPr="004A2268">
        <w:rPr>
          <w:rFonts w:cs="Arial"/>
          <w:iCs/>
          <w:szCs w:val="20"/>
        </w:rPr>
        <w:t>pozvalo zainteresirano javnost k predložitvi stališč in pripomb na predlog direktive in prejelo odzive Ministrstva za finance, Ministrstva za javno upravo, Agencije R</w:t>
      </w:r>
      <w:r w:rsidR="009F7668" w:rsidRPr="004A2268">
        <w:rPr>
          <w:rFonts w:cs="Arial"/>
          <w:iCs/>
          <w:szCs w:val="20"/>
        </w:rPr>
        <w:t xml:space="preserve">epublike </w:t>
      </w:r>
      <w:r w:rsidRPr="004A2268">
        <w:rPr>
          <w:rFonts w:cs="Arial"/>
          <w:iCs/>
          <w:szCs w:val="20"/>
        </w:rPr>
        <w:t>S</w:t>
      </w:r>
      <w:r w:rsidR="009F7668" w:rsidRPr="004A2268">
        <w:rPr>
          <w:rFonts w:cs="Arial"/>
          <w:iCs/>
          <w:szCs w:val="20"/>
        </w:rPr>
        <w:t>lovenije</w:t>
      </w:r>
      <w:r w:rsidRPr="004A2268">
        <w:rPr>
          <w:rFonts w:cs="Arial"/>
          <w:iCs/>
          <w:szCs w:val="20"/>
        </w:rPr>
        <w:t xml:space="preserve"> za javnopravne evidence in storitve, Trgovinske zborni</w:t>
      </w:r>
      <w:r w:rsidR="009F7668" w:rsidRPr="004A2268">
        <w:rPr>
          <w:rFonts w:cs="Arial"/>
          <w:iCs/>
          <w:szCs w:val="20"/>
        </w:rPr>
        <w:t>ce Slovenije, Združenja</w:t>
      </w:r>
      <w:r w:rsidRPr="004A2268">
        <w:rPr>
          <w:rFonts w:cs="Arial"/>
          <w:iCs/>
          <w:szCs w:val="20"/>
        </w:rPr>
        <w:t xml:space="preserve"> nadzornikov Slovenije, Združenja manager, </w:t>
      </w:r>
      <w:proofErr w:type="spellStart"/>
      <w:r w:rsidRPr="004A2268">
        <w:rPr>
          <w:rFonts w:cs="Arial"/>
          <w:iCs/>
          <w:szCs w:val="20"/>
        </w:rPr>
        <w:t>Ekvilib</w:t>
      </w:r>
      <w:proofErr w:type="spellEnd"/>
      <w:r w:rsidRPr="004A2268">
        <w:rPr>
          <w:rFonts w:cs="Arial"/>
          <w:iCs/>
          <w:szCs w:val="20"/>
        </w:rPr>
        <w:t xml:space="preserve"> Inštituta, društva </w:t>
      </w:r>
      <w:proofErr w:type="spellStart"/>
      <w:r w:rsidRPr="004A2268">
        <w:rPr>
          <w:rFonts w:cs="Arial"/>
          <w:iCs/>
          <w:szCs w:val="20"/>
        </w:rPr>
        <w:t>Focus</w:t>
      </w:r>
      <w:proofErr w:type="spellEnd"/>
      <w:r w:rsidRPr="004A2268">
        <w:rPr>
          <w:rFonts w:cs="Arial"/>
          <w:iCs/>
          <w:szCs w:val="20"/>
        </w:rPr>
        <w:t xml:space="preserve"> in Zavoda 3MUHE.</w:t>
      </w:r>
    </w:p>
    <w:p w:rsidR="005138C1" w:rsidRPr="004A2268" w:rsidRDefault="005138C1" w:rsidP="004A2268">
      <w:pPr>
        <w:jc w:val="both"/>
        <w:rPr>
          <w:rFonts w:cs="Arial"/>
          <w:iCs/>
          <w:szCs w:val="20"/>
        </w:rPr>
      </w:pPr>
    </w:p>
    <w:p w:rsidR="005138C1" w:rsidRPr="004A2268" w:rsidRDefault="005138C1" w:rsidP="004A2268">
      <w:pPr>
        <w:jc w:val="both"/>
        <w:rPr>
          <w:rFonts w:cs="Arial"/>
          <w:szCs w:val="20"/>
        </w:rPr>
      </w:pPr>
      <w:r w:rsidRPr="004A2268">
        <w:rPr>
          <w:rFonts w:cs="Arial"/>
          <w:iCs/>
          <w:szCs w:val="20"/>
        </w:rPr>
        <w:t>Ministrstvo za gospodarstvo, turizem in šport kontinuirano sodeluje s širšo in strokovno javnostjo, organi ter zainteresiranimi deležniki pri obravnavi posameznih strokovnih vprašanj iz predloga direktive. Sodelovanje poteka na različne načine. V primerih pisne komunikacije z deležniki Ministrstvo za gospodarstvo, turizem in šport prejeta mnenja, stališča in vprašanja preuči in se nanje odzove. Ministrstvo za gospodarstvo, turizem in šport sodeluje tudi na sestankih, okroglih mizah in drugih dogodkih, če se nanašajo na</w:t>
      </w:r>
      <w:r w:rsidR="00BC4830" w:rsidRPr="004A2268">
        <w:rPr>
          <w:rFonts w:cs="Arial"/>
          <w:iCs/>
          <w:szCs w:val="20"/>
        </w:rPr>
        <w:t xml:space="preserve"> vsebino iz predloga direktive.</w:t>
      </w:r>
    </w:p>
    <w:p w:rsidR="005138C1" w:rsidRPr="004A2268" w:rsidRDefault="005138C1" w:rsidP="004A2268">
      <w:pPr>
        <w:rPr>
          <w:rFonts w:cs="Arial"/>
          <w:szCs w:val="20"/>
        </w:rPr>
      </w:pPr>
    </w:p>
    <w:p w:rsidR="005138C1" w:rsidRPr="004A2268" w:rsidRDefault="005138C1" w:rsidP="004A2268">
      <w:pPr>
        <w:pStyle w:val="Odstavekseznama"/>
        <w:numPr>
          <w:ilvl w:val="0"/>
          <w:numId w:val="6"/>
        </w:numPr>
        <w:ind w:left="709" w:hanging="709"/>
        <w:contextualSpacing w:val="0"/>
        <w:rPr>
          <w:rFonts w:cs="Arial"/>
          <w:b/>
          <w:bCs/>
          <w:szCs w:val="20"/>
        </w:rPr>
      </w:pPr>
      <w:r w:rsidRPr="004A2268">
        <w:rPr>
          <w:rFonts w:cs="Arial"/>
          <w:b/>
          <w:bCs/>
          <w:szCs w:val="20"/>
        </w:rPr>
        <w:t>Stališče Vlade Republike Slovenije</w:t>
      </w:r>
    </w:p>
    <w:p w:rsidR="005138C1" w:rsidRPr="004A2268" w:rsidRDefault="005138C1" w:rsidP="004A2268">
      <w:pPr>
        <w:pStyle w:val="Odstavekseznama"/>
        <w:ind w:left="1440"/>
        <w:rPr>
          <w:rFonts w:cs="Arial"/>
          <w:b/>
          <w:bCs/>
          <w:szCs w:val="20"/>
        </w:rPr>
      </w:pPr>
    </w:p>
    <w:p w:rsidR="005138C1" w:rsidRPr="004A2268" w:rsidRDefault="005138C1" w:rsidP="004A2268">
      <w:pPr>
        <w:jc w:val="both"/>
        <w:rPr>
          <w:rFonts w:cs="Arial"/>
          <w:szCs w:val="20"/>
        </w:rPr>
      </w:pPr>
      <w:r w:rsidRPr="004A2268">
        <w:rPr>
          <w:rFonts w:cs="Arial"/>
          <w:szCs w:val="20"/>
        </w:rPr>
        <w:t>Vlada Republike Slovenije se zaveda pomena predvidljivega in ugodnega poslovnega okolja za gospodarske družbe in njihove vpetosti v globalne vrednostne verige ter vpliva na različna področja družbe in okolja. Po mnenju Vlade Republike Slovenije vsebuje predlog direktive ukrepe, ki bodo prispevali k zagotavljanju večjega varstva človekovih pravic in okolja t</w:t>
      </w:r>
      <w:r w:rsidR="00BC4830" w:rsidRPr="004A2268">
        <w:rPr>
          <w:rFonts w:cs="Arial"/>
          <w:szCs w:val="20"/>
        </w:rPr>
        <w:t>er omogočali trajnostni razvoj.</w:t>
      </w:r>
    </w:p>
    <w:p w:rsidR="005138C1" w:rsidRPr="004A2268" w:rsidRDefault="005138C1" w:rsidP="004A2268">
      <w:pPr>
        <w:jc w:val="both"/>
        <w:rPr>
          <w:rFonts w:cs="Arial"/>
          <w:szCs w:val="20"/>
        </w:rPr>
      </w:pPr>
    </w:p>
    <w:p w:rsidR="005138C1" w:rsidRPr="004A2268" w:rsidRDefault="005138C1" w:rsidP="004A2268">
      <w:pPr>
        <w:jc w:val="both"/>
        <w:rPr>
          <w:rFonts w:cs="Arial"/>
          <w:iCs/>
          <w:szCs w:val="20"/>
        </w:rPr>
      </w:pPr>
      <w:r w:rsidRPr="004A2268">
        <w:rPr>
          <w:rFonts w:cs="Arial"/>
          <w:szCs w:val="20"/>
        </w:rPr>
        <w:t>Pristojno Ministrstvo za gospodarstvo, turizem in šport aktivno sodeluje pri pogajanjih glede končnega besedila direktive in se zavzema za rešitve, ki bodo omogočile dosego ciljev in namenov predloga direktive. P</w:t>
      </w:r>
      <w:r w:rsidRPr="004A2268">
        <w:rPr>
          <w:rFonts w:cs="Arial"/>
          <w:iCs/>
          <w:szCs w:val="20"/>
        </w:rPr>
        <w:t xml:space="preserve">redlog direktive predstavlja enega izmed pomembnih </w:t>
      </w:r>
      <w:r w:rsidR="009F7668" w:rsidRPr="004A2268">
        <w:rPr>
          <w:rFonts w:cs="Arial"/>
          <w:iCs/>
          <w:szCs w:val="20"/>
        </w:rPr>
        <w:t>ukrepov EU</w:t>
      </w:r>
      <w:r w:rsidRPr="004A2268">
        <w:rPr>
          <w:rFonts w:cs="Arial"/>
          <w:iCs/>
          <w:szCs w:val="20"/>
        </w:rPr>
        <w:t xml:space="preserve"> za dosego uspešnega prehoda na podnebno nevtralno in zeleno gospodarstvo v skladu z evropskim zelenim dogovorom ter za uresničitev ciljev Združenih narodov za trajnostni razvoj, vključno s cilji, povezanimi s človekovimi pravicami in okoljem. Cilj predloga direktive je zagotoviti, da gospodarske družbe prispevajo k trajnostnemu razvoju ter trajnostnemu prehodu gospodarstev in družb, in sicer s prepoznavanjem, preprečevanjem, ublažitvijo, odpravo in čim večjim zmanjšanjem morebitnih ali dejanskih negativnih vplivov na človekove pravice in okolje, ki so povezani z lastnim poslovanjem družb, njihovimi odvisnimi družbami in vrednostnimi verigami. Namen predloga direktive je ureditev obveznosti skrbnega pregleda v družbah glede trajnostnosti in zajema dolžnosti ter sisteme upravljanja družb za izvajanje skrbnega pregleda. </w:t>
      </w:r>
    </w:p>
    <w:p w:rsidR="005138C1" w:rsidRPr="004A2268" w:rsidRDefault="005138C1" w:rsidP="004A2268">
      <w:pPr>
        <w:jc w:val="both"/>
        <w:rPr>
          <w:rFonts w:cs="Arial"/>
          <w:iCs/>
          <w:szCs w:val="20"/>
        </w:rPr>
      </w:pPr>
    </w:p>
    <w:p w:rsidR="005138C1" w:rsidRPr="004A2268" w:rsidRDefault="005138C1" w:rsidP="004A2268">
      <w:pPr>
        <w:jc w:val="both"/>
        <w:rPr>
          <w:rFonts w:cs="Arial"/>
          <w:szCs w:val="20"/>
        </w:rPr>
      </w:pPr>
      <w:r w:rsidRPr="004A2268">
        <w:rPr>
          <w:rFonts w:cs="Arial"/>
          <w:szCs w:val="20"/>
        </w:rPr>
        <w:t xml:space="preserve">Vlada Republike Slovenije se zahvaljuje Varuhu človekovih pravic za posredovane </w:t>
      </w:r>
      <w:r w:rsidR="009F7668" w:rsidRPr="004A2268">
        <w:rPr>
          <w:rFonts w:cs="Arial"/>
          <w:szCs w:val="20"/>
        </w:rPr>
        <w:t>predloge in vsebine</w:t>
      </w:r>
      <w:r w:rsidRPr="004A2268">
        <w:rPr>
          <w:rFonts w:cs="Arial"/>
          <w:szCs w:val="20"/>
        </w:rPr>
        <w:t xml:space="preserve"> </w:t>
      </w:r>
      <w:r w:rsidR="009F7668" w:rsidRPr="004A2268">
        <w:rPr>
          <w:rFonts w:cs="Arial"/>
          <w:szCs w:val="20"/>
        </w:rPr>
        <w:t>s področja</w:t>
      </w:r>
      <w:r w:rsidRPr="004A2268">
        <w:rPr>
          <w:rFonts w:cs="Arial"/>
          <w:szCs w:val="20"/>
        </w:rPr>
        <w:t xml:space="preserve"> skrbnega pregleda v podjetjih glede trajnostnosti, ki ga ureja predlog direktive. </w:t>
      </w:r>
    </w:p>
    <w:p w:rsidR="005138C1" w:rsidRPr="004A2268" w:rsidRDefault="005138C1" w:rsidP="004A2268">
      <w:pPr>
        <w:jc w:val="both"/>
        <w:rPr>
          <w:rFonts w:cs="Arial"/>
          <w:szCs w:val="20"/>
        </w:rPr>
      </w:pPr>
    </w:p>
    <w:p w:rsidR="005138C1" w:rsidRPr="004A2268" w:rsidRDefault="005138C1" w:rsidP="004A2268">
      <w:pPr>
        <w:jc w:val="both"/>
        <w:rPr>
          <w:rFonts w:cs="Arial"/>
          <w:iCs/>
          <w:szCs w:val="20"/>
        </w:rPr>
      </w:pPr>
      <w:r w:rsidRPr="004A2268">
        <w:rPr>
          <w:rFonts w:cs="Arial"/>
          <w:szCs w:val="20"/>
        </w:rPr>
        <w:t xml:space="preserve">Vlada Republike Slovenije z Varuhom človekovih pravic deli mnenje, da se je treba zavzemati za skrbni pregled v družbah glede trajnostnosti, kjer naj bi bile zahteve ambiciozno zastavljene, da </w:t>
      </w:r>
      <w:r w:rsidRPr="004A2268">
        <w:rPr>
          <w:rFonts w:cs="Arial"/>
          <w:szCs w:val="20"/>
        </w:rPr>
        <w:lastRenderedPageBreak/>
        <w:t>bo tako lahko predlog direktive dosegel predvidene cilje in namene, povezane s človekovimi pravicami in okoljem.</w:t>
      </w:r>
    </w:p>
    <w:p w:rsidR="005138C1" w:rsidRPr="004A2268" w:rsidRDefault="005138C1" w:rsidP="004A2268">
      <w:pPr>
        <w:tabs>
          <w:tab w:val="left" w:pos="7920"/>
        </w:tabs>
        <w:autoSpaceDE w:val="0"/>
        <w:autoSpaceDN w:val="0"/>
        <w:adjustRightInd w:val="0"/>
        <w:ind w:left="3400"/>
        <w:rPr>
          <w:rFonts w:cs="Arial"/>
          <w:color w:val="000000"/>
          <w:szCs w:val="20"/>
        </w:rPr>
      </w:pPr>
    </w:p>
    <w:p w:rsidR="005138C1" w:rsidRPr="004A2268" w:rsidRDefault="005138C1" w:rsidP="004A2268">
      <w:pPr>
        <w:tabs>
          <w:tab w:val="left" w:pos="7920"/>
        </w:tabs>
        <w:autoSpaceDE w:val="0"/>
        <w:autoSpaceDN w:val="0"/>
        <w:adjustRightInd w:val="0"/>
        <w:ind w:left="3400"/>
        <w:rPr>
          <w:rFonts w:cs="Arial"/>
          <w:color w:val="000000"/>
          <w:szCs w:val="20"/>
        </w:rPr>
      </w:pPr>
    </w:p>
    <w:p w:rsidR="005138C1" w:rsidRPr="004A2268" w:rsidRDefault="005138C1" w:rsidP="004A2268">
      <w:pPr>
        <w:tabs>
          <w:tab w:val="left" w:pos="7920"/>
        </w:tabs>
        <w:autoSpaceDE w:val="0"/>
        <w:autoSpaceDN w:val="0"/>
        <w:adjustRightInd w:val="0"/>
        <w:ind w:left="3400"/>
        <w:rPr>
          <w:rFonts w:cs="Arial"/>
          <w:color w:val="000000"/>
          <w:szCs w:val="20"/>
        </w:rPr>
      </w:pPr>
    </w:p>
    <w:p w:rsidR="00BC4830" w:rsidRPr="004A2268" w:rsidRDefault="00BC4830" w:rsidP="004A2268">
      <w:pPr>
        <w:tabs>
          <w:tab w:val="left" w:pos="7920"/>
        </w:tabs>
        <w:autoSpaceDE w:val="0"/>
        <w:autoSpaceDN w:val="0"/>
        <w:adjustRightInd w:val="0"/>
        <w:ind w:left="3400"/>
        <w:rPr>
          <w:rFonts w:cs="Arial"/>
          <w:color w:val="000000"/>
          <w:szCs w:val="20"/>
        </w:rPr>
      </w:pPr>
    </w:p>
    <w:p w:rsidR="008769E7" w:rsidRPr="004A2268" w:rsidRDefault="008769E7" w:rsidP="004A2268">
      <w:pPr>
        <w:tabs>
          <w:tab w:val="left" w:pos="7920"/>
        </w:tabs>
        <w:autoSpaceDE w:val="0"/>
        <w:autoSpaceDN w:val="0"/>
        <w:adjustRightInd w:val="0"/>
        <w:ind w:left="3400"/>
        <w:rPr>
          <w:rFonts w:cs="Arial"/>
          <w:color w:val="000000"/>
          <w:szCs w:val="20"/>
        </w:rPr>
      </w:pPr>
    </w:p>
    <w:p w:rsidR="00591C95" w:rsidRPr="004A2268" w:rsidRDefault="00591C95" w:rsidP="004A2268">
      <w:pPr>
        <w:tabs>
          <w:tab w:val="left" w:pos="7920"/>
        </w:tabs>
        <w:autoSpaceDE w:val="0"/>
        <w:autoSpaceDN w:val="0"/>
        <w:adjustRightInd w:val="0"/>
        <w:ind w:left="3400"/>
        <w:rPr>
          <w:rFonts w:cs="Arial"/>
          <w:color w:val="000000"/>
          <w:szCs w:val="20"/>
          <w:lang w:eastAsia="sl-SI"/>
        </w:rPr>
      </w:pPr>
      <w:r w:rsidRPr="004A2268">
        <w:rPr>
          <w:rFonts w:cs="Arial"/>
          <w:color w:val="000000"/>
          <w:szCs w:val="20"/>
        </w:rPr>
        <w:t>Barbara Kolenko Helbl</w:t>
      </w:r>
    </w:p>
    <w:p w:rsidR="00591C95" w:rsidRPr="004A2268" w:rsidRDefault="00591C95" w:rsidP="004A2268">
      <w:pPr>
        <w:autoSpaceDE w:val="0"/>
        <w:autoSpaceDN w:val="0"/>
        <w:adjustRightInd w:val="0"/>
        <w:ind w:left="3402"/>
        <w:rPr>
          <w:rFonts w:cs="Arial"/>
          <w:color w:val="000000"/>
          <w:szCs w:val="20"/>
        </w:rPr>
      </w:pPr>
      <w:r w:rsidRPr="004A2268">
        <w:rPr>
          <w:rFonts w:cs="Arial"/>
          <w:color w:val="000000"/>
          <w:szCs w:val="20"/>
        </w:rPr>
        <w:t>generalna sekretarka</w:t>
      </w:r>
    </w:p>
    <w:p w:rsidR="00591C95" w:rsidRPr="004A2268" w:rsidRDefault="00591C95" w:rsidP="004A2268">
      <w:pPr>
        <w:tabs>
          <w:tab w:val="left" w:pos="7920"/>
        </w:tabs>
        <w:autoSpaceDE w:val="0"/>
        <w:autoSpaceDN w:val="0"/>
        <w:adjustRightInd w:val="0"/>
        <w:jc w:val="both"/>
        <w:rPr>
          <w:rFonts w:cs="Arial"/>
          <w:color w:val="000000"/>
          <w:szCs w:val="20"/>
        </w:rPr>
      </w:pPr>
    </w:p>
    <w:p w:rsidR="00591C95" w:rsidRPr="004A2268" w:rsidRDefault="00591C95" w:rsidP="004A2268">
      <w:pPr>
        <w:tabs>
          <w:tab w:val="left" w:pos="7920"/>
        </w:tabs>
        <w:autoSpaceDE w:val="0"/>
        <w:autoSpaceDN w:val="0"/>
        <w:adjustRightInd w:val="0"/>
        <w:jc w:val="both"/>
        <w:rPr>
          <w:rFonts w:cs="Arial"/>
          <w:color w:val="000000"/>
          <w:szCs w:val="20"/>
        </w:rPr>
      </w:pPr>
    </w:p>
    <w:p w:rsidR="00591C95" w:rsidRPr="004A2268" w:rsidRDefault="00591C95" w:rsidP="004A2268">
      <w:pPr>
        <w:jc w:val="both"/>
        <w:rPr>
          <w:rFonts w:cs="Arial"/>
          <w:iCs/>
          <w:color w:val="000000"/>
          <w:szCs w:val="20"/>
        </w:rPr>
      </w:pPr>
    </w:p>
    <w:p w:rsidR="00591C95" w:rsidRPr="004A2268" w:rsidRDefault="00591C95" w:rsidP="004A2268">
      <w:pPr>
        <w:rPr>
          <w:rFonts w:cs="Arial"/>
          <w:szCs w:val="20"/>
        </w:rPr>
      </w:pPr>
    </w:p>
    <w:p w:rsidR="003636EA" w:rsidRPr="004A2268" w:rsidRDefault="003636EA" w:rsidP="004A2268">
      <w:pPr>
        <w:tabs>
          <w:tab w:val="left" w:pos="7920"/>
        </w:tabs>
        <w:autoSpaceDE w:val="0"/>
        <w:autoSpaceDN w:val="0"/>
        <w:adjustRightInd w:val="0"/>
        <w:jc w:val="both"/>
        <w:rPr>
          <w:rFonts w:cs="Arial"/>
          <w:color w:val="000000"/>
          <w:szCs w:val="20"/>
        </w:rPr>
      </w:pPr>
    </w:p>
    <w:p w:rsidR="003636EA" w:rsidRPr="004A2268" w:rsidRDefault="003636EA" w:rsidP="004A2268">
      <w:pPr>
        <w:tabs>
          <w:tab w:val="left" w:pos="7920"/>
        </w:tabs>
        <w:autoSpaceDE w:val="0"/>
        <w:autoSpaceDN w:val="0"/>
        <w:adjustRightInd w:val="0"/>
        <w:jc w:val="both"/>
        <w:rPr>
          <w:rFonts w:cs="Arial"/>
          <w:color w:val="000000"/>
          <w:szCs w:val="20"/>
        </w:rPr>
      </w:pPr>
    </w:p>
    <w:p w:rsidR="003636EA" w:rsidRPr="004A2268" w:rsidRDefault="003636EA" w:rsidP="004A2268">
      <w:pPr>
        <w:tabs>
          <w:tab w:val="left" w:pos="7920"/>
        </w:tabs>
        <w:autoSpaceDE w:val="0"/>
        <w:autoSpaceDN w:val="0"/>
        <w:adjustRightInd w:val="0"/>
        <w:ind w:left="3400"/>
        <w:rPr>
          <w:rFonts w:cs="Arial"/>
          <w:color w:val="000000"/>
          <w:szCs w:val="20"/>
        </w:rPr>
      </w:pPr>
    </w:p>
    <w:p w:rsidR="003636EA" w:rsidRPr="004A2268" w:rsidRDefault="003636EA" w:rsidP="004A2268">
      <w:pPr>
        <w:tabs>
          <w:tab w:val="left" w:pos="5570"/>
        </w:tabs>
        <w:autoSpaceDE w:val="0"/>
        <w:autoSpaceDN w:val="0"/>
        <w:adjustRightInd w:val="0"/>
        <w:jc w:val="both"/>
        <w:rPr>
          <w:rFonts w:cs="Arial"/>
          <w:color w:val="000000"/>
          <w:szCs w:val="20"/>
        </w:rPr>
      </w:pPr>
    </w:p>
    <w:sectPr w:rsidR="003636EA" w:rsidRPr="004A2268"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B32" w:rsidRDefault="00554B32" w:rsidP="00767987">
      <w:pPr>
        <w:spacing w:line="240" w:lineRule="auto"/>
      </w:pPr>
      <w:r>
        <w:separator/>
      </w:r>
    </w:p>
  </w:endnote>
  <w:endnote w:type="continuationSeparator" w:id="0">
    <w:p w:rsidR="00554B32" w:rsidRDefault="00554B32"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DBE" w:rsidRDefault="00DA6DB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DE6690">
          <w:rPr>
            <w:noProof/>
          </w:rPr>
          <w:t>4</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B32" w:rsidRDefault="00554B32" w:rsidP="00767987">
      <w:pPr>
        <w:spacing w:line="240" w:lineRule="auto"/>
      </w:pPr>
      <w:r>
        <w:separator/>
      </w:r>
    </w:p>
  </w:footnote>
  <w:footnote w:type="continuationSeparator" w:id="0">
    <w:p w:rsidR="00554B32" w:rsidRDefault="00554B32"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DBE" w:rsidRDefault="00DA6DB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DBE" w:rsidRDefault="00DA6DBE">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818"/>
    <w:multiLevelType w:val="hybridMultilevel"/>
    <w:tmpl w:val="4FC24E8A"/>
    <w:lvl w:ilvl="0" w:tplc="FFFFFFFF">
      <w:start w:val="49"/>
      <w:numFmt w:val="bullet"/>
      <w:lvlText w:val=""/>
      <w:lvlJc w:val="left"/>
      <w:pPr>
        <w:ind w:left="720" w:hanging="360"/>
      </w:pPr>
      <w:rPr>
        <w:rFonts w:ascii="Symbol" w:eastAsia="Times New Roman" w:hAnsi="Symbol" w:cs="Times New Roman" w:hint="default"/>
      </w:rPr>
    </w:lvl>
    <w:lvl w:ilvl="1" w:tplc="6F2C66EC">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5F7568"/>
    <w:multiLevelType w:val="hybridMultilevel"/>
    <w:tmpl w:val="CA26B80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9354A"/>
    <w:multiLevelType w:val="hybridMultilevel"/>
    <w:tmpl w:val="177405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761028"/>
    <w:multiLevelType w:val="hybridMultilevel"/>
    <w:tmpl w:val="2440FF34"/>
    <w:lvl w:ilvl="0" w:tplc="68AADA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5EB237B"/>
    <w:multiLevelType w:val="hybridMultilevel"/>
    <w:tmpl w:val="7B7CE352"/>
    <w:lvl w:ilvl="0" w:tplc="E8825B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44DDB"/>
    <w:rsid w:val="000718ED"/>
    <w:rsid w:val="00077C89"/>
    <w:rsid w:val="000B3FE6"/>
    <w:rsid w:val="000D3796"/>
    <w:rsid w:val="000E21B2"/>
    <w:rsid w:val="00111A52"/>
    <w:rsid w:val="00183F0F"/>
    <w:rsid w:val="001D0BE5"/>
    <w:rsid w:val="00204177"/>
    <w:rsid w:val="002F185F"/>
    <w:rsid w:val="003636EA"/>
    <w:rsid w:val="00366636"/>
    <w:rsid w:val="00367DE6"/>
    <w:rsid w:val="003B3E19"/>
    <w:rsid w:val="004076C6"/>
    <w:rsid w:val="004914E2"/>
    <w:rsid w:val="004A2268"/>
    <w:rsid w:val="004B7F76"/>
    <w:rsid w:val="004E1BCE"/>
    <w:rsid w:val="005138C1"/>
    <w:rsid w:val="00552E5C"/>
    <w:rsid w:val="00554B32"/>
    <w:rsid w:val="005729C6"/>
    <w:rsid w:val="00591C95"/>
    <w:rsid w:val="00592079"/>
    <w:rsid w:val="005C3E50"/>
    <w:rsid w:val="00682FFE"/>
    <w:rsid w:val="00692EB6"/>
    <w:rsid w:val="006C69EC"/>
    <w:rsid w:val="006D17B5"/>
    <w:rsid w:val="006E091A"/>
    <w:rsid w:val="007039D0"/>
    <w:rsid w:val="00710C90"/>
    <w:rsid w:val="00717DDF"/>
    <w:rsid w:val="00767987"/>
    <w:rsid w:val="00782FD4"/>
    <w:rsid w:val="007C3F95"/>
    <w:rsid w:val="007D04F3"/>
    <w:rsid w:val="00811140"/>
    <w:rsid w:val="00834401"/>
    <w:rsid w:val="008769E7"/>
    <w:rsid w:val="008A27E1"/>
    <w:rsid w:val="008A3F94"/>
    <w:rsid w:val="008D30A8"/>
    <w:rsid w:val="00904A48"/>
    <w:rsid w:val="00980294"/>
    <w:rsid w:val="009818D6"/>
    <w:rsid w:val="009C5392"/>
    <w:rsid w:val="009E0C40"/>
    <w:rsid w:val="009F7668"/>
    <w:rsid w:val="00A50E4B"/>
    <w:rsid w:val="00A715DC"/>
    <w:rsid w:val="00A9231D"/>
    <w:rsid w:val="00AA13D8"/>
    <w:rsid w:val="00AA3AA7"/>
    <w:rsid w:val="00AB53FB"/>
    <w:rsid w:val="00B01357"/>
    <w:rsid w:val="00B40287"/>
    <w:rsid w:val="00B47B8B"/>
    <w:rsid w:val="00BC4830"/>
    <w:rsid w:val="00C0216A"/>
    <w:rsid w:val="00CA1460"/>
    <w:rsid w:val="00CB7053"/>
    <w:rsid w:val="00CC6C23"/>
    <w:rsid w:val="00CD6077"/>
    <w:rsid w:val="00CE234E"/>
    <w:rsid w:val="00D02973"/>
    <w:rsid w:val="00DA09BE"/>
    <w:rsid w:val="00DA6DBE"/>
    <w:rsid w:val="00DE3553"/>
    <w:rsid w:val="00DE6690"/>
    <w:rsid w:val="00E30579"/>
    <w:rsid w:val="00E37094"/>
    <w:rsid w:val="00F46C2D"/>
    <w:rsid w:val="00F8444F"/>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Normal bullet 2,Bullet list,List Paragraph1,Numbered List,1st level - Bullet List Paragraph,Lettre d'introduction,Paragrafo elenco,List Paragraph11,Normal bullet 21,List Paragraph111,Bullet list1,Proposal Bullet List,TOC style,Table,EC"/>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customStyle="1" w:styleId="Neotevilenodstavek">
    <w:name w:val="Neoštevilčen odstavek"/>
    <w:basedOn w:val="Navaden"/>
    <w:link w:val="NeotevilenodstavekZnak"/>
    <w:qFormat/>
    <w:rsid w:val="00AA13D8"/>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A13D8"/>
    <w:rPr>
      <w:rFonts w:ascii="Arial" w:eastAsia="Times New Roman" w:hAnsi="Arial" w:cs="Arial"/>
      <w:lang w:eastAsia="sl-SI"/>
    </w:rPr>
  </w:style>
  <w:style w:type="character" w:styleId="Hiperpovezava">
    <w:name w:val="Hyperlink"/>
    <w:rsid w:val="00591C95"/>
    <w:rPr>
      <w:color w:val="0000FF"/>
      <w:u w:val="single"/>
    </w:rPr>
  </w:style>
  <w:style w:type="paragraph" w:styleId="Sprotnaopomba-besedilo">
    <w:name w:val="footnote text"/>
    <w:basedOn w:val="Navaden"/>
    <w:link w:val="Sprotnaopomba-besediloZnak"/>
    <w:rsid w:val="00591C95"/>
    <w:pPr>
      <w:spacing w:line="260" w:lineRule="atLeast"/>
    </w:pPr>
    <w:rPr>
      <w:szCs w:val="20"/>
      <w:lang w:val="en-US"/>
    </w:rPr>
  </w:style>
  <w:style w:type="character" w:customStyle="1" w:styleId="Sprotnaopomba-besediloZnak">
    <w:name w:val="Sprotna opomba - besedilo Znak"/>
    <w:basedOn w:val="Privzetapisavaodstavka"/>
    <w:link w:val="Sprotnaopomba-besedilo"/>
    <w:rsid w:val="00591C95"/>
    <w:rPr>
      <w:rFonts w:ascii="Arial" w:eastAsia="Times New Roman" w:hAnsi="Arial" w:cs="Times New Roman"/>
      <w:sz w:val="20"/>
      <w:szCs w:val="20"/>
      <w:lang w:val="en-US"/>
    </w:rPr>
  </w:style>
  <w:style w:type="character" w:styleId="Sprotnaopomba-sklic">
    <w:name w:val="footnote reference"/>
    <w:rsid w:val="00591C95"/>
    <w:rPr>
      <w:vertAlign w:val="superscript"/>
    </w:rPr>
  </w:style>
  <w:style w:type="character" w:customStyle="1" w:styleId="OdstavekseznamaZnak">
    <w:name w:val="Odstavek seznama Znak"/>
    <w:aliases w:val="Normal bullet 2 Znak,Bullet list Znak,List Paragraph1 Znak,Numbered List Znak,1st level - Bullet List Paragraph Znak,Lettre d'introduction Znak,Paragrafo elenco Znak,List Paragraph11 Znak,Normal bullet 21 Znak,Bullet list1 Znak"/>
    <w:link w:val="Odstavekseznama"/>
    <w:uiPriority w:val="34"/>
    <w:qFormat/>
    <w:rsid w:val="005138C1"/>
    <w:rPr>
      <w:rFonts w:ascii="Arial" w:eastAsia="Times New Roman" w:hAnsi="Arial" w:cs="Times New Roman"/>
      <w:sz w:val="20"/>
      <w:szCs w:val="24"/>
    </w:rPr>
  </w:style>
  <w:style w:type="paragraph" w:customStyle="1" w:styleId="Default">
    <w:name w:val="Default"/>
    <w:rsid w:val="005138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6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1580</Words>
  <Characters>9012</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Katja Plečnik</cp:lastModifiedBy>
  <cp:revision>7</cp:revision>
  <dcterms:created xsi:type="dcterms:W3CDTF">2023-09-26T09:54:00Z</dcterms:created>
  <dcterms:modified xsi:type="dcterms:W3CDTF">2023-09-26T13:03:00Z</dcterms:modified>
</cp:coreProperties>
</file>