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621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1"/>
        <w:gridCol w:w="4376"/>
        <w:gridCol w:w="772"/>
        <w:gridCol w:w="2380"/>
      </w:tblGrid>
      <w:tr w:rsidR="008E68AE" w:rsidRPr="008E68AE" w14:paraId="6DF96E27" w14:textId="77777777" w:rsidTr="42571F4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3A9A3B1" w14:textId="1FEE9DEE" w:rsidR="00EE6E34" w:rsidRPr="00646F48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Cs w:val="20"/>
                <w:lang w:eastAsia="sl-SI"/>
              </w:rPr>
            </w:pPr>
            <w:r w:rsidRPr="00646F48">
              <w:rPr>
                <w:rFonts w:cs="Arial"/>
                <w:szCs w:val="20"/>
                <w:lang w:eastAsia="sl-SI"/>
              </w:rPr>
              <w:t>Številka</w:t>
            </w:r>
            <w:r w:rsidR="006A5B4F" w:rsidRPr="00646F48">
              <w:rPr>
                <w:rFonts w:cs="Arial"/>
                <w:szCs w:val="20"/>
                <w:lang w:eastAsia="sl-SI"/>
              </w:rPr>
              <w:t>:</w:t>
            </w:r>
            <w:r w:rsidR="00A40C9E" w:rsidRPr="00646F48">
              <w:rPr>
                <w:rFonts w:cs="Arial"/>
                <w:szCs w:val="20"/>
                <w:lang w:eastAsia="sl-SI"/>
              </w:rPr>
              <w:t xml:space="preserve"> </w:t>
            </w:r>
            <w:r w:rsidR="00646F48">
              <w:rPr>
                <w:szCs w:val="20"/>
                <w:lang w:eastAsia="sl-SI"/>
              </w:rPr>
              <w:t xml:space="preserve">  </w:t>
            </w:r>
            <w:r w:rsidR="00646F48" w:rsidRPr="00646F48">
              <w:rPr>
                <w:rFonts w:cs="Arial"/>
                <w:szCs w:val="20"/>
                <w:lang w:eastAsia="sl-SI"/>
              </w:rPr>
              <w:t>511-42/2024-3360-142</w:t>
            </w:r>
          </w:p>
        </w:tc>
      </w:tr>
      <w:tr w:rsidR="008E68AE" w:rsidRPr="008E68AE" w14:paraId="4AC98A05" w14:textId="77777777" w:rsidTr="42571F4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503B87F" w14:textId="6DD1A302" w:rsidR="008E68AE" w:rsidRPr="007830AB" w:rsidRDefault="008E68AE" w:rsidP="42571F4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lang w:eastAsia="sl-SI"/>
              </w:rPr>
            </w:pPr>
            <w:r w:rsidRPr="007830AB">
              <w:rPr>
                <w:rFonts w:cs="Arial"/>
                <w:lang w:eastAsia="sl-SI"/>
              </w:rPr>
              <w:t xml:space="preserve">Ljubljana, </w:t>
            </w:r>
            <w:r w:rsidR="00646F48">
              <w:rPr>
                <w:rFonts w:cs="Arial"/>
                <w:lang w:eastAsia="sl-SI"/>
              </w:rPr>
              <w:t>30. 09. 2025</w:t>
            </w:r>
          </w:p>
        </w:tc>
      </w:tr>
      <w:tr w:rsidR="008E68AE" w:rsidRPr="008E68AE" w14:paraId="70026A23" w14:textId="77777777" w:rsidTr="42571F4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0C0D043" w14:textId="77777777" w:rsidR="008E68AE" w:rsidRPr="007830AB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szCs w:val="20"/>
                <w:lang w:eastAsia="sl-SI"/>
              </w:rPr>
            </w:pPr>
            <w:r w:rsidRPr="007830AB">
              <w:rPr>
                <w:rFonts w:cs="Arial"/>
                <w:iCs/>
                <w:szCs w:val="20"/>
                <w:lang w:eastAsia="sl-SI"/>
              </w:rPr>
              <w:t>EVA /</w:t>
            </w:r>
          </w:p>
        </w:tc>
      </w:tr>
      <w:tr w:rsidR="008E68AE" w:rsidRPr="008E68AE" w14:paraId="1CB605DF" w14:textId="77777777" w:rsidTr="42571F4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7AEABB7" w14:textId="77777777" w:rsidR="008E68AE" w:rsidRPr="008E68AE" w:rsidRDefault="008E68AE" w:rsidP="00A16ABC">
            <w:pPr>
              <w:spacing w:line="240" w:lineRule="auto"/>
              <w:rPr>
                <w:rFonts w:cs="Arial"/>
                <w:szCs w:val="20"/>
              </w:rPr>
            </w:pPr>
          </w:p>
          <w:p w14:paraId="72FE4DA4" w14:textId="77777777" w:rsidR="008E68AE" w:rsidRPr="008E68AE" w:rsidRDefault="008E68AE" w:rsidP="00A16ABC">
            <w:pPr>
              <w:spacing w:line="240" w:lineRule="auto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>GENERALNI SEKRETARIAT VLADE REPUBLIKE SLOVENIJE</w:t>
            </w:r>
          </w:p>
          <w:p w14:paraId="20F57555" w14:textId="16B40A1E" w:rsidR="008E68AE" w:rsidRPr="008E68AE" w:rsidRDefault="00863D54" w:rsidP="00A16ABC">
            <w:pPr>
              <w:spacing w:line="240" w:lineRule="auto"/>
              <w:rPr>
                <w:rFonts w:cs="Arial"/>
                <w:szCs w:val="20"/>
              </w:rPr>
            </w:pPr>
            <w:hyperlink r:id="rId11" w:history="1">
              <w:r w:rsidRPr="00D53274">
                <w:rPr>
                  <w:rStyle w:val="Hiperpovezava"/>
                </w:rPr>
                <w:t>g</w:t>
              </w:r>
              <w:r w:rsidRPr="00D53274">
                <w:rPr>
                  <w:rStyle w:val="Hiperpovezava"/>
                  <w:rFonts w:cs="Arial"/>
                  <w:szCs w:val="20"/>
                </w:rPr>
                <w:t>p.gs@gov.si</w:t>
              </w:r>
            </w:hyperlink>
          </w:p>
          <w:p w14:paraId="03A2EEF6" w14:textId="77777777" w:rsidR="008E68AE" w:rsidRPr="008E68AE" w:rsidRDefault="008E68AE" w:rsidP="00A16ABC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8E68AE" w:rsidRPr="008E68AE" w14:paraId="7E85DD51" w14:textId="77777777" w:rsidTr="42571F4B">
        <w:tc>
          <w:tcPr>
            <w:tcW w:w="9163" w:type="dxa"/>
            <w:gridSpan w:val="4"/>
          </w:tcPr>
          <w:p w14:paraId="0E0BFFD3" w14:textId="77777777" w:rsidR="008E68AE" w:rsidRPr="008E68AE" w:rsidRDefault="008E68AE" w:rsidP="00A16AB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rPr>
                <w:rFonts w:cs="Arial"/>
                <w:szCs w:val="20"/>
                <w:lang w:eastAsia="sl-SI"/>
              </w:rPr>
            </w:pPr>
          </w:p>
          <w:p w14:paraId="7D6203E3" w14:textId="76593C74" w:rsidR="008E68AE" w:rsidRPr="008E68AE" w:rsidRDefault="008E68AE" w:rsidP="00B12A00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 xml:space="preserve">ZADEVA: </w:t>
            </w:r>
            <w:r w:rsidR="009D4D8B">
              <w:rPr>
                <w:rFonts w:cs="Arial"/>
                <w:b/>
                <w:bCs/>
                <w:szCs w:val="20"/>
                <w:lang w:eastAsia="sl-SI"/>
              </w:rPr>
              <w:t xml:space="preserve"> </w:t>
            </w:r>
            <w:bookmarkStart w:id="0" w:name="_Hlk149051056"/>
            <w:r w:rsidR="006D08E9">
              <w:rPr>
                <w:rFonts w:cs="Arial"/>
                <w:b/>
                <w:bCs/>
                <w:szCs w:val="20"/>
                <w:lang w:eastAsia="sl-SI"/>
              </w:rPr>
              <w:t xml:space="preserve">Sklep o </w:t>
            </w:r>
            <w:r w:rsidR="00A40C9E">
              <w:rPr>
                <w:rFonts w:cs="Arial"/>
                <w:b/>
                <w:bCs/>
                <w:szCs w:val="20"/>
                <w:lang w:eastAsia="sl-SI"/>
              </w:rPr>
              <w:t xml:space="preserve">sprejemu </w:t>
            </w:r>
            <w:r w:rsidR="006D08E9">
              <w:rPr>
                <w:rFonts w:cs="Arial"/>
                <w:b/>
                <w:bCs/>
                <w:szCs w:val="20"/>
              </w:rPr>
              <w:t>Strategije razvoja kvantnih tehnologij</w:t>
            </w:r>
            <w:r w:rsidR="006D08E9">
              <w:rPr>
                <w:b/>
                <w:bCs/>
              </w:rPr>
              <w:t xml:space="preserve"> </w:t>
            </w:r>
            <w:r w:rsidR="006D08E9">
              <w:rPr>
                <w:rFonts w:cs="Arial"/>
                <w:b/>
                <w:bCs/>
                <w:szCs w:val="20"/>
              </w:rPr>
              <w:t>v Sloveniji</w:t>
            </w:r>
            <w:bookmarkEnd w:id="0"/>
            <w:r w:rsidR="006D08E9" w:rsidRPr="00E97C34">
              <w:rPr>
                <w:rFonts w:cs="Arial"/>
                <w:b/>
                <w:bCs/>
                <w:szCs w:val="20"/>
              </w:rPr>
              <w:t xml:space="preserve"> </w:t>
            </w:r>
            <w:r w:rsidR="00A40C9E">
              <w:rPr>
                <w:rFonts w:cs="Arial"/>
                <w:b/>
                <w:bCs/>
                <w:szCs w:val="20"/>
              </w:rPr>
              <w:t xml:space="preserve">do leta 2035 </w:t>
            </w:r>
            <w:r w:rsidR="009D4D8B" w:rsidRPr="00E97C34">
              <w:rPr>
                <w:rFonts w:cs="Arial"/>
                <w:b/>
                <w:bCs/>
                <w:szCs w:val="20"/>
              </w:rPr>
              <w:t xml:space="preserve">– </w:t>
            </w:r>
            <w:r w:rsidR="009D4D8B" w:rsidRPr="000456BD">
              <w:rPr>
                <w:b/>
                <w:bCs/>
              </w:rPr>
              <w:t>predlog za obravnavo</w:t>
            </w:r>
          </w:p>
          <w:p w14:paraId="343C0B2F" w14:textId="77777777" w:rsidR="008E68AE" w:rsidRPr="008E68AE" w:rsidRDefault="008E68AE" w:rsidP="00A16AB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  <w:szCs w:val="20"/>
                <w:lang w:eastAsia="sl-SI"/>
              </w:rPr>
            </w:pPr>
          </w:p>
        </w:tc>
      </w:tr>
      <w:tr w:rsidR="008E68AE" w:rsidRPr="008E68AE" w14:paraId="3B99DB5F" w14:textId="77777777" w:rsidTr="42571F4B">
        <w:tc>
          <w:tcPr>
            <w:tcW w:w="9163" w:type="dxa"/>
            <w:gridSpan w:val="4"/>
          </w:tcPr>
          <w:p w14:paraId="7088650F" w14:textId="77777777" w:rsidR="008E68AE" w:rsidRPr="008E68AE" w:rsidRDefault="008E68AE" w:rsidP="00A16AB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8E68AE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8E68AE" w:rsidRPr="008E68AE" w14:paraId="180B36B3" w14:textId="77777777" w:rsidTr="42571F4B">
        <w:tc>
          <w:tcPr>
            <w:tcW w:w="9163" w:type="dxa"/>
            <w:gridSpan w:val="4"/>
          </w:tcPr>
          <w:p w14:paraId="40C7F98F" w14:textId="7F3DFDBE" w:rsidR="006D08E9" w:rsidRDefault="00D25CE5" w:rsidP="00B12A00">
            <w:pPr>
              <w:spacing w:line="240" w:lineRule="auto"/>
              <w:jc w:val="both"/>
              <w:rPr>
                <w:rFonts w:ascii="Calibri" w:hAnsi="Calibri"/>
                <w:szCs w:val="22"/>
                <w:highlight w:val="lightGray"/>
              </w:rPr>
            </w:pPr>
            <w:bookmarkStart w:id="1" w:name="_Hlk148447996"/>
            <w:bookmarkStart w:id="2" w:name="_Hlk149048544"/>
            <w:r w:rsidRPr="001E0BC7">
              <w:rPr>
                <w:rFonts w:cs="Arial"/>
                <w:szCs w:val="20"/>
              </w:rPr>
              <w:t xml:space="preserve">Na </w:t>
            </w:r>
            <w:bookmarkStart w:id="3" w:name="_Hlk149051111"/>
            <w:r w:rsidRPr="001E0BC7">
              <w:rPr>
                <w:rFonts w:cs="Arial"/>
                <w:szCs w:val="20"/>
              </w:rPr>
              <w:t xml:space="preserve">podlagi </w:t>
            </w:r>
            <w:r w:rsidR="00A40C9E" w:rsidRPr="00AA129D">
              <w:rPr>
                <w:rFonts w:cs="Arial"/>
                <w:szCs w:val="20"/>
              </w:rPr>
              <w:t xml:space="preserve"> prvega odstavka 2. člena </w:t>
            </w:r>
            <w:r w:rsidR="00A40C9E">
              <w:rPr>
                <w:rFonts w:cs="Arial"/>
                <w:szCs w:val="20"/>
              </w:rPr>
              <w:t>in četrtega ter šestega</w:t>
            </w:r>
            <w:r w:rsidRPr="008B0CF6">
              <w:rPr>
                <w:rFonts w:cs="Arial"/>
                <w:szCs w:val="20"/>
              </w:rPr>
              <w:t xml:space="preserve"> odstavka 21. člena Zakona o Vladi Republike Slovenije (Uradni list RS, št. 24/05 – uradno prečiščeno besedilo, 109/08, 38/10 – ZUKN, 8/12, 21/13, 47/13 – ZDU-1G, 65/14, 55/17 in 163/22</w:t>
            </w:r>
            <w:bookmarkEnd w:id="3"/>
            <w:r w:rsidR="006D08E9">
              <w:rPr>
                <w:rFonts w:cs="Arial"/>
                <w:szCs w:val="20"/>
              </w:rPr>
              <w:t xml:space="preserve">) </w:t>
            </w:r>
            <w:r w:rsidR="006D08E9" w:rsidRPr="004F5606">
              <w:t xml:space="preserve">je Vlada Republike Slovenije </w:t>
            </w:r>
            <w:r w:rsidR="00E45CA8" w:rsidRPr="000B1428">
              <w:rPr>
                <w:rFonts w:cs="Arial"/>
                <w:color w:val="000000"/>
                <w:szCs w:val="20"/>
              </w:rPr>
              <w:t>na ……seji dne …... sprejela naslednji</w:t>
            </w:r>
          </w:p>
          <w:p w14:paraId="6448931F" w14:textId="52BDAE8D" w:rsidR="00EC122C" w:rsidRDefault="00EC122C" w:rsidP="00A16AB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cs="Arial"/>
                <w:szCs w:val="20"/>
              </w:rPr>
            </w:pPr>
          </w:p>
          <w:p w14:paraId="15E944AF" w14:textId="77777777" w:rsidR="004F5606" w:rsidRPr="00B621DD" w:rsidRDefault="004F5606" w:rsidP="00A16AB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cs="Arial"/>
                <w:szCs w:val="20"/>
              </w:rPr>
            </w:pPr>
          </w:p>
          <w:p w14:paraId="17E7D855" w14:textId="4AC55D1D" w:rsidR="00EC122C" w:rsidRPr="00ED339F" w:rsidRDefault="00EC122C" w:rsidP="000E046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color w:val="000000" w:themeColor="text1"/>
                <w:szCs w:val="20"/>
              </w:rPr>
            </w:pPr>
            <w:r w:rsidRPr="00ED339F">
              <w:rPr>
                <w:rFonts w:cs="Arial"/>
                <w:color w:val="000000" w:themeColor="text1"/>
                <w:szCs w:val="20"/>
                <w:lang w:eastAsia="sl-SI"/>
              </w:rPr>
              <w:t>SKLEP</w:t>
            </w:r>
            <w:r w:rsidR="006D08E9" w:rsidRPr="00ED339F">
              <w:rPr>
                <w:rFonts w:cs="Arial"/>
                <w:color w:val="000000" w:themeColor="text1"/>
                <w:szCs w:val="20"/>
                <w:lang w:eastAsia="sl-SI"/>
              </w:rPr>
              <w:t>:</w:t>
            </w:r>
          </w:p>
          <w:p w14:paraId="66BD4296" w14:textId="77777777" w:rsidR="00A16ABC" w:rsidRDefault="00A16ABC" w:rsidP="002B35E9">
            <w:pPr>
              <w:spacing w:line="240" w:lineRule="atLeast"/>
              <w:rPr>
                <w:rFonts w:eastAsia="Calibri" w:cs="Arial"/>
                <w:szCs w:val="20"/>
              </w:rPr>
            </w:pPr>
          </w:p>
          <w:p w14:paraId="6759681B" w14:textId="77777777" w:rsidR="004F5606" w:rsidRPr="008E68AE" w:rsidRDefault="004F5606" w:rsidP="002B35E9">
            <w:pPr>
              <w:spacing w:line="240" w:lineRule="atLeast"/>
              <w:rPr>
                <w:rFonts w:eastAsia="Calibri" w:cs="Arial"/>
                <w:szCs w:val="20"/>
              </w:rPr>
            </w:pPr>
          </w:p>
          <w:p w14:paraId="500D2933" w14:textId="5BCEEF3C" w:rsidR="00D3370C" w:rsidRPr="006D08E9" w:rsidRDefault="006D08E9" w:rsidP="006D08E9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6D08E9">
              <w:rPr>
                <w:rFonts w:cs="Arial"/>
                <w:szCs w:val="20"/>
              </w:rPr>
              <w:t>Vlada Republike Slovenije je sprejela Strategij</w:t>
            </w:r>
            <w:r w:rsidR="00A40C9E">
              <w:rPr>
                <w:rFonts w:cs="Arial"/>
                <w:szCs w:val="20"/>
              </w:rPr>
              <w:t>o</w:t>
            </w:r>
            <w:r w:rsidRPr="006D08E9">
              <w:rPr>
                <w:rFonts w:cs="Arial"/>
                <w:szCs w:val="20"/>
              </w:rPr>
              <w:t xml:space="preserve"> razvoja kvantnih tehnologij v Sloveniji</w:t>
            </w:r>
            <w:r w:rsidR="00A40C9E">
              <w:rPr>
                <w:rFonts w:cs="Arial"/>
                <w:szCs w:val="20"/>
              </w:rPr>
              <w:t xml:space="preserve"> do leta 2035. </w:t>
            </w:r>
            <w:r w:rsidRPr="006D08E9">
              <w:rPr>
                <w:rFonts w:cs="Arial"/>
                <w:szCs w:val="20"/>
              </w:rPr>
              <w:t xml:space="preserve"> </w:t>
            </w:r>
          </w:p>
          <w:p w14:paraId="6A778FAB" w14:textId="77777777" w:rsidR="00B621DD" w:rsidRPr="006D08E9" w:rsidRDefault="00B621DD" w:rsidP="006D08E9">
            <w:pPr>
              <w:spacing w:line="240" w:lineRule="auto"/>
              <w:rPr>
                <w:rFonts w:cs="Arial"/>
                <w:szCs w:val="20"/>
              </w:rPr>
            </w:pPr>
          </w:p>
          <w:p w14:paraId="7F4F9FBC" w14:textId="77777777" w:rsidR="006D08E9" w:rsidRPr="006D08E9" w:rsidRDefault="006D08E9" w:rsidP="006D08E9">
            <w:pPr>
              <w:spacing w:line="240" w:lineRule="auto"/>
              <w:rPr>
                <w:rFonts w:cs="Arial"/>
                <w:szCs w:val="20"/>
              </w:rPr>
            </w:pPr>
          </w:p>
          <w:p w14:paraId="18D39083" w14:textId="223FDA69" w:rsidR="008E68AE" w:rsidRPr="00CF6D2C" w:rsidRDefault="008E68AE" w:rsidP="00CF6D2C">
            <w:pPr>
              <w:pStyle w:val="Odstavekseznama"/>
              <w:spacing w:line="240" w:lineRule="atLeast"/>
              <w:jc w:val="both"/>
              <w:rPr>
                <w:rFonts w:cs="Arial"/>
                <w:color w:val="000000" w:themeColor="text1"/>
              </w:rPr>
            </w:pPr>
            <w:r w:rsidRPr="00CF6D2C">
              <w:rPr>
                <w:rFonts w:eastAsia="Calibri" w:cs="Arial"/>
                <w:szCs w:val="20"/>
              </w:rPr>
              <w:t xml:space="preserve"> </w:t>
            </w:r>
          </w:p>
          <w:p w14:paraId="075BAF56" w14:textId="1F1C386F" w:rsidR="008E68AE" w:rsidRPr="008E68AE" w:rsidRDefault="008E68AE" w:rsidP="00A16ABC">
            <w:pPr>
              <w:autoSpaceDE w:val="0"/>
              <w:autoSpaceDN w:val="0"/>
              <w:adjustRightInd w:val="0"/>
              <w:spacing w:line="240" w:lineRule="auto"/>
              <w:ind w:left="4961"/>
              <w:rPr>
                <w:rFonts w:ascii="Calibri" w:eastAsia="Calibri" w:hAnsi="Calibri" w:cs="Arial"/>
                <w:b/>
                <w:szCs w:val="20"/>
              </w:rPr>
            </w:pPr>
            <w:r w:rsidRPr="008E68AE">
              <w:rPr>
                <w:rFonts w:ascii="Calibri" w:eastAsia="Calibri" w:hAnsi="Calibri" w:cs="Arial"/>
                <w:b/>
                <w:i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Pr="008E68AE">
              <w:rPr>
                <w:rFonts w:ascii="Calibri" w:eastAsia="Calibri" w:hAnsi="Calibri" w:cs="Arial"/>
                <w:b/>
                <w:szCs w:val="20"/>
              </w:rPr>
              <w:t xml:space="preserve">    </w:t>
            </w:r>
          </w:p>
          <w:p w14:paraId="63621D21" w14:textId="77777777" w:rsidR="008E68AE" w:rsidRPr="008E68AE" w:rsidRDefault="008E68AE" w:rsidP="00A16ABC">
            <w:pPr>
              <w:autoSpaceDE w:val="0"/>
              <w:autoSpaceDN w:val="0"/>
              <w:adjustRightInd w:val="0"/>
              <w:spacing w:line="240" w:lineRule="auto"/>
              <w:ind w:left="4961"/>
              <w:rPr>
                <w:rFonts w:cs="Arial"/>
                <w:color w:val="000000"/>
                <w:szCs w:val="20"/>
                <w:lang w:eastAsia="sl-SI"/>
              </w:rPr>
            </w:pPr>
            <w:r w:rsidRPr="008E68AE">
              <w:rPr>
                <w:rFonts w:ascii="Calibri" w:eastAsia="Calibri" w:hAnsi="Calibri" w:cs="Arial"/>
                <w:b/>
                <w:szCs w:val="20"/>
              </w:rPr>
              <w:t xml:space="preserve"> </w:t>
            </w:r>
            <w:r w:rsidRPr="008E68AE">
              <w:rPr>
                <w:rFonts w:cs="Arial"/>
                <w:color w:val="000000"/>
                <w:szCs w:val="20"/>
                <w:lang w:eastAsia="sl-SI"/>
              </w:rPr>
              <w:t xml:space="preserve">Barbara Kolenko </w:t>
            </w:r>
            <w:proofErr w:type="spellStart"/>
            <w:r w:rsidRPr="008E68AE">
              <w:rPr>
                <w:rFonts w:cs="Arial"/>
                <w:color w:val="000000"/>
                <w:szCs w:val="20"/>
                <w:lang w:eastAsia="sl-SI"/>
              </w:rPr>
              <w:t>Helbl</w:t>
            </w:r>
            <w:proofErr w:type="spellEnd"/>
          </w:p>
          <w:p w14:paraId="46045F3E" w14:textId="77777777" w:rsidR="008E68AE" w:rsidRPr="008E68AE" w:rsidRDefault="008E68AE" w:rsidP="00A16ABC">
            <w:pPr>
              <w:autoSpaceDE w:val="0"/>
              <w:autoSpaceDN w:val="0"/>
              <w:adjustRightInd w:val="0"/>
              <w:spacing w:line="240" w:lineRule="auto"/>
              <w:ind w:left="4961"/>
              <w:rPr>
                <w:rFonts w:eastAsia="Calibri" w:cs="Arial"/>
                <w:szCs w:val="20"/>
              </w:rPr>
            </w:pPr>
            <w:r w:rsidRPr="008E68AE">
              <w:rPr>
                <w:rFonts w:cs="Arial"/>
                <w:color w:val="000000"/>
                <w:szCs w:val="20"/>
                <w:lang w:eastAsia="sl-SI"/>
              </w:rPr>
              <w:t xml:space="preserve"> Generalna sekretarka</w:t>
            </w:r>
          </w:p>
          <w:p w14:paraId="22B38CD5" w14:textId="77777777" w:rsidR="000D02FC" w:rsidRDefault="000D02FC" w:rsidP="00CF6D2C">
            <w:pPr>
              <w:spacing w:line="240" w:lineRule="atLeast"/>
              <w:rPr>
                <w:rFonts w:eastAsia="Calibri" w:cs="Arial"/>
                <w:szCs w:val="20"/>
              </w:rPr>
            </w:pPr>
          </w:p>
          <w:p w14:paraId="3D35E719" w14:textId="7BD615EC" w:rsidR="00CF6D2C" w:rsidRDefault="00CF6D2C" w:rsidP="00CF6D2C">
            <w:pPr>
              <w:spacing w:line="240" w:lineRule="atLeast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Priloga:</w:t>
            </w:r>
          </w:p>
          <w:p w14:paraId="53274CB7" w14:textId="3DF35A96" w:rsidR="006D08E9" w:rsidRPr="00694F60" w:rsidRDefault="00694F60" w:rsidP="00694F60">
            <w:pPr>
              <w:pStyle w:val="Odstavekseznama"/>
              <w:numPr>
                <w:ilvl w:val="0"/>
                <w:numId w:val="20"/>
              </w:numPr>
              <w:spacing w:line="240" w:lineRule="atLeast"/>
              <w:rPr>
                <w:rFonts w:eastAsia="Calibri" w:cs="Arial"/>
                <w:szCs w:val="20"/>
              </w:rPr>
            </w:pPr>
            <w:r w:rsidRPr="00694F60">
              <w:rPr>
                <w:rFonts w:cs="Arial"/>
                <w:szCs w:val="20"/>
              </w:rPr>
              <w:t>Strategij</w:t>
            </w:r>
            <w:r>
              <w:rPr>
                <w:rFonts w:cs="Arial"/>
                <w:szCs w:val="20"/>
              </w:rPr>
              <w:t>a</w:t>
            </w:r>
            <w:r w:rsidRPr="00694F60">
              <w:rPr>
                <w:rFonts w:cs="Arial"/>
                <w:szCs w:val="20"/>
              </w:rPr>
              <w:t xml:space="preserve"> razvoja kvantnih tehnologij v Sloveniji do leta 2035</w:t>
            </w:r>
          </w:p>
          <w:bookmarkEnd w:id="1"/>
          <w:p w14:paraId="12E7F5CA" w14:textId="77777777" w:rsidR="00694F60" w:rsidRDefault="00694F60" w:rsidP="00A40C9E">
            <w:pPr>
              <w:spacing w:line="240" w:lineRule="auto"/>
            </w:pPr>
          </w:p>
          <w:p w14:paraId="665A7758" w14:textId="1C736B4C" w:rsidR="006D08E9" w:rsidRPr="00A40C9E" w:rsidRDefault="006D08E9" w:rsidP="00A40C9E">
            <w:pPr>
              <w:spacing w:line="240" w:lineRule="auto"/>
              <w:rPr>
                <w:rFonts w:ascii="Calibri" w:hAnsi="Calibri"/>
                <w:szCs w:val="22"/>
              </w:rPr>
            </w:pPr>
            <w:r>
              <w:t>Prejmejo:</w:t>
            </w:r>
          </w:p>
          <w:p w14:paraId="025792CA" w14:textId="5C3B06E7" w:rsidR="006D08E9" w:rsidRPr="006D08E9" w:rsidRDefault="006D08E9" w:rsidP="00C42A69">
            <w:pPr>
              <w:numPr>
                <w:ilvl w:val="0"/>
                <w:numId w:val="8"/>
              </w:numPr>
              <w:spacing w:line="240" w:lineRule="auto"/>
              <w:rPr>
                <w:rFonts w:cs="Calibri"/>
              </w:rPr>
            </w:pPr>
            <w:r>
              <w:t xml:space="preserve">Ministrstvo za visoko šolstvo, znanost in </w:t>
            </w:r>
            <w:r w:rsidRPr="006D08E9">
              <w:rPr>
                <w:rFonts w:cs="Calibri"/>
              </w:rPr>
              <w:t>inovacije</w:t>
            </w:r>
          </w:p>
          <w:p w14:paraId="74A70837" w14:textId="5F84B6D7" w:rsidR="006D08E9" w:rsidRDefault="006D08E9" w:rsidP="006D08E9">
            <w:pPr>
              <w:numPr>
                <w:ilvl w:val="0"/>
                <w:numId w:val="8"/>
              </w:num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Ministrstvo za digitalno preobrazbo</w:t>
            </w:r>
          </w:p>
          <w:p w14:paraId="2760A377" w14:textId="35D45893" w:rsidR="00A40C9E" w:rsidRDefault="00A40C9E" w:rsidP="006D08E9">
            <w:pPr>
              <w:numPr>
                <w:ilvl w:val="0"/>
                <w:numId w:val="8"/>
              </w:num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Ministrstvo za finance</w:t>
            </w:r>
          </w:p>
          <w:p w14:paraId="51B6F547" w14:textId="6E7D928F" w:rsidR="00A40C9E" w:rsidRDefault="00A40C9E" w:rsidP="006D08E9">
            <w:pPr>
              <w:numPr>
                <w:ilvl w:val="0"/>
                <w:numId w:val="8"/>
              </w:num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Ministrstvo za delo, družino, socialne zadeve in enake možnosti</w:t>
            </w:r>
          </w:p>
          <w:p w14:paraId="46F30A59" w14:textId="016737AB" w:rsidR="006D08E9" w:rsidRDefault="006D08E9" w:rsidP="006D08E9">
            <w:pPr>
              <w:numPr>
                <w:ilvl w:val="0"/>
                <w:numId w:val="8"/>
              </w:num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Ministrstvo za gospodarstvo, turizem in šport</w:t>
            </w:r>
          </w:p>
          <w:p w14:paraId="05E6DBEE" w14:textId="36606A3C" w:rsidR="00A40C9E" w:rsidRDefault="006D08E9" w:rsidP="00A40C9E">
            <w:pPr>
              <w:numPr>
                <w:ilvl w:val="0"/>
                <w:numId w:val="8"/>
              </w:num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Ministrstvo za obrambo</w:t>
            </w:r>
          </w:p>
          <w:p w14:paraId="36807945" w14:textId="262F07DF" w:rsidR="00694F60" w:rsidRPr="00A40C9E" w:rsidRDefault="00694F60" w:rsidP="00A40C9E">
            <w:pPr>
              <w:numPr>
                <w:ilvl w:val="0"/>
                <w:numId w:val="8"/>
              </w:numPr>
              <w:spacing w:line="240" w:lineRule="auto"/>
              <w:rPr>
                <w:rFonts w:cs="Calibri"/>
              </w:rPr>
            </w:pPr>
            <w:r w:rsidRPr="00694F60">
              <w:rPr>
                <w:rFonts w:cs="Calibri"/>
              </w:rPr>
              <w:t>Služba Vlade Republike Slovenije za zakonodajo</w:t>
            </w:r>
          </w:p>
          <w:p w14:paraId="7247587F" w14:textId="7C21769E" w:rsidR="006D08E9" w:rsidRDefault="006D08E9" w:rsidP="006D08E9">
            <w:pPr>
              <w:numPr>
                <w:ilvl w:val="0"/>
                <w:numId w:val="8"/>
              </w:num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Urad Vlade Republike Slovenije za varovanje tajnih podatkov</w:t>
            </w:r>
          </w:p>
          <w:p w14:paraId="301C9F01" w14:textId="77777777" w:rsidR="004D69F7" w:rsidRDefault="006D08E9" w:rsidP="004D69F7">
            <w:pPr>
              <w:numPr>
                <w:ilvl w:val="0"/>
                <w:numId w:val="8"/>
              </w:num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Urad Vlade </w:t>
            </w:r>
            <w:r w:rsidR="002330A4">
              <w:rPr>
                <w:rFonts w:cs="Calibri"/>
              </w:rPr>
              <w:t>R</w:t>
            </w:r>
            <w:r>
              <w:rPr>
                <w:rFonts w:cs="Calibri"/>
              </w:rPr>
              <w:t>epublike Slovenije za informacijsko varnost</w:t>
            </w:r>
          </w:p>
          <w:p w14:paraId="6ED2621F" w14:textId="629C4AF5" w:rsidR="004D69F7" w:rsidRPr="004D69F7" w:rsidRDefault="004D69F7" w:rsidP="00982F38">
            <w:pPr>
              <w:spacing w:line="240" w:lineRule="auto"/>
              <w:ind w:left="720"/>
              <w:rPr>
                <w:rFonts w:cs="Calibri"/>
              </w:rPr>
            </w:pPr>
          </w:p>
        </w:tc>
      </w:tr>
      <w:bookmarkEnd w:id="2"/>
      <w:tr w:rsidR="008E68AE" w:rsidRPr="008E68AE" w14:paraId="4B2496D7" w14:textId="77777777" w:rsidTr="42571F4B">
        <w:tc>
          <w:tcPr>
            <w:tcW w:w="9163" w:type="dxa"/>
            <w:gridSpan w:val="4"/>
          </w:tcPr>
          <w:p w14:paraId="013E3930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8E68AE">
              <w:rPr>
                <w:rFonts w:cs="Arial"/>
                <w:b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8E68AE" w:rsidRPr="008E68AE" w14:paraId="19823D8D" w14:textId="77777777" w:rsidTr="42571F4B">
        <w:tc>
          <w:tcPr>
            <w:tcW w:w="9163" w:type="dxa"/>
            <w:gridSpan w:val="4"/>
          </w:tcPr>
          <w:p w14:paraId="55BB9CFB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8E68AE" w:rsidRPr="008E68AE" w14:paraId="2DB5E7E2" w14:textId="77777777" w:rsidTr="42571F4B">
        <w:tc>
          <w:tcPr>
            <w:tcW w:w="9163" w:type="dxa"/>
            <w:gridSpan w:val="4"/>
          </w:tcPr>
          <w:p w14:paraId="34800112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8E68AE">
              <w:rPr>
                <w:rFonts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8E68AE" w:rsidRPr="008E68AE" w14:paraId="7E0B4E70" w14:textId="77777777" w:rsidTr="42571F4B">
        <w:tc>
          <w:tcPr>
            <w:tcW w:w="9163" w:type="dxa"/>
            <w:gridSpan w:val="4"/>
          </w:tcPr>
          <w:p w14:paraId="368D827F" w14:textId="2A4572B2" w:rsidR="008E68AE" w:rsidRDefault="00694F60" w:rsidP="00694F60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="Calibri" w:cs="Arial"/>
                <w:szCs w:val="20"/>
              </w:rPr>
            </w:pPr>
            <w:r w:rsidRPr="00694F60">
              <w:rPr>
                <w:rFonts w:eastAsia="Calibri" w:cs="Arial"/>
                <w:szCs w:val="20"/>
              </w:rPr>
              <w:t>d</w:t>
            </w:r>
            <w:r w:rsidR="008E68AE" w:rsidRPr="00694F60">
              <w:rPr>
                <w:rFonts w:eastAsia="Calibri" w:cs="Arial"/>
                <w:szCs w:val="20"/>
              </w:rPr>
              <w:t>r. Igor Papič, minister</w:t>
            </w:r>
            <w:r w:rsidR="004D69F7">
              <w:rPr>
                <w:rFonts w:eastAsia="Calibri" w:cs="Arial"/>
                <w:szCs w:val="20"/>
              </w:rPr>
              <w:t>,</w:t>
            </w:r>
          </w:p>
          <w:p w14:paraId="09723265" w14:textId="61FC78D9" w:rsidR="004D69F7" w:rsidRPr="00694F60" w:rsidRDefault="004D69F7" w:rsidP="00694F60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dr. Jure Gašparič, državni sekretar</w:t>
            </w:r>
          </w:p>
          <w:p w14:paraId="423F5702" w14:textId="77777777" w:rsidR="00694F60" w:rsidRPr="00694F60" w:rsidRDefault="00694F60" w:rsidP="00694F6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5"/>
              <w:rPr>
                <w:rFonts w:ascii="Arial" w:hAnsi="Arial" w:cs="Arial"/>
                <w:sz w:val="20"/>
                <w:szCs w:val="20"/>
              </w:rPr>
            </w:pPr>
            <w:r w:rsidRPr="00694F60">
              <w:rPr>
                <w:rFonts w:ascii="Arial" w:hAnsi="Arial" w:cs="Arial"/>
                <w:sz w:val="20"/>
                <w:szCs w:val="20"/>
              </w:rPr>
              <w:t>dr.</w:t>
            </w:r>
            <w:r w:rsidRPr="00694F6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Tomaž</w:t>
            </w:r>
            <w:r w:rsidRPr="00694F6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Boh,</w:t>
            </w:r>
            <w:r w:rsidRPr="00694F6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generalni</w:t>
            </w:r>
            <w:r w:rsidRPr="00694F6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direktor,</w:t>
            </w:r>
            <w:r w:rsidRPr="00694F6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Direktorat</w:t>
            </w:r>
            <w:r w:rsidRPr="00694F6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za</w:t>
            </w:r>
            <w:r w:rsidRPr="00694F6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znanost</w:t>
            </w:r>
            <w:r w:rsidRPr="00694F6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in</w:t>
            </w:r>
            <w:r w:rsidRPr="00694F6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inovacije</w:t>
            </w:r>
          </w:p>
          <w:p w14:paraId="05627E3D" w14:textId="057A9990" w:rsidR="008E68AE" w:rsidRPr="00694F60" w:rsidRDefault="00694F60" w:rsidP="00694F6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5"/>
              <w:rPr>
                <w:rFonts w:ascii="Arial" w:hAnsi="Arial" w:cs="Arial"/>
                <w:sz w:val="20"/>
                <w:szCs w:val="20"/>
              </w:rPr>
            </w:pPr>
            <w:r w:rsidRPr="00694F60">
              <w:rPr>
                <w:rFonts w:ascii="Arial" w:hAnsi="Arial" w:cs="Arial"/>
                <w:sz w:val="20"/>
                <w:szCs w:val="20"/>
              </w:rPr>
              <w:t>mag.</w:t>
            </w:r>
            <w:r w:rsidRPr="00694F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Tanja</w:t>
            </w:r>
            <w:r w:rsidRPr="00694F6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Vertelj,</w:t>
            </w:r>
            <w:r w:rsidRPr="00694F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sekretarka,</w:t>
            </w:r>
            <w:r w:rsidRPr="00694F60">
              <w:rPr>
                <w:rFonts w:ascii="Arial" w:hAnsi="Arial" w:cs="Arial"/>
                <w:spacing w:val="-3"/>
                <w:sz w:val="20"/>
                <w:szCs w:val="20"/>
              </w:rPr>
              <w:t xml:space="preserve"> namestnica generalnega direktorja, </w:t>
            </w:r>
            <w:r w:rsidRPr="00694F60">
              <w:rPr>
                <w:rFonts w:ascii="Arial" w:hAnsi="Arial" w:cs="Arial"/>
                <w:sz w:val="20"/>
                <w:szCs w:val="20"/>
              </w:rPr>
              <w:t>Direktorat</w:t>
            </w:r>
            <w:r w:rsidRPr="00694F6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za</w:t>
            </w:r>
            <w:r w:rsidRPr="00694F6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znanost</w:t>
            </w:r>
            <w:r w:rsidRPr="00694F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in</w:t>
            </w:r>
            <w:r w:rsidRPr="00694F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lastRenderedPageBreak/>
              <w:t>inovacije</w:t>
            </w:r>
          </w:p>
          <w:p w14:paraId="6DD42138" w14:textId="43ABA9D7" w:rsidR="00694F60" w:rsidRPr="00694F60" w:rsidRDefault="00694F60" w:rsidP="00694F6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5"/>
              <w:rPr>
                <w:sz w:val="20"/>
              </w:rPr>
            </w:pPr>
            <w:r w:rsidRPr="00694F60">
              <w:rPr>
                <w:rFonts w:ascii="Arial" w:hAnsi="Arial" w:cs="Arial"/>
                <w:sz w:val="20"/>
                <w:szCs w:val="20"/>
              </w:rPr>
              <w:t>Anamarija Meglič, podsekretarka, sektor za znanost, Direktorat</w:t>
            </w:r>
            <w:r w:rsidRPr="00694F6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za</w:t>
            </w:r>
            <w:r w:rsidRPr="00694F6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4F60">
              <w:rPr>
                <w:rFonts w:ascii="Arial" w:hAnsi="Arial" w:cs="Arial"/>
                <w:sz w:val="20"/>
                <w:szCs w:val="20"/>
              </w:rPr>
              <w:t>znanost</w:t>
            </w:r>
            <w:r w:rsidRPr="00694F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t>in</w:t>
            </w:r>
            <w:r w:rsidRPr="00694F60">
              <w:rPr>
                <w:spacing w:val="-2"/>
              </w:rPr>
              <w:t xml:space="preserve"> </w:t>
            </w:r>
            <w:r>
              <w:t>inovacije</w:t>
            </w:r>
          </w:p>
        </w:tc>
      </w:tr>
      <w:tr w:rsidR="008E68AE" w:rsidRPr="008E68AE" w14:paraId="5F1905C0" w14:textId="77777777" w:rsidTr="42571F4B">
        <w:tc>
          <w:tcPr>
            <w:tcW w:w="9163" w:type="dxa"/>
            <w:gridSpan w:val="4"/>
          </w:tcPr>
          <w:p w14:paraId="12CD0A83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8E68AE">
              <w:rPr>
                <w:rFonts w:cs="Arial"/>
                <w:b/>
                <w:iCs/>
                <w:szCs w:val="20"/>
                <w:lang w:eastAsia="sl-SI"/>
              </w:rPr>
              <w:lastRenderedPageBreak/>
              <w:t xml:space="preserve">3.b Zunanji strokovnjaki, ki so </w:t>
            </w:r>
            <w:r w:rsidRPr="008E68AE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8E68AE" w:rsidRPr="008E68AE" w14:paraId="076E28CC" w14:textId="77777777" w:rsidTr="42571F4B">
        <w:tc>
          <w:tcPr>
            <w:tcW w:w="9163" w:type="dxa"/>
            <w:gridSpan w:val="4"/>
          </w:tcPr>
          <w:p w14:paraId="47427C9B" w14:textId="77777777" w:rsid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D3889EE" w14:textId="0B8C0155" w:rsidR="00360515" w:rsidRDefault="00360515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 xml:space="preserve">Pri pripravi Strategije </w:t>
            </w:r>
            <w:r w:rsidRPr="006D08E9">
              <w:rPr>
                <w:rFonts w:cs="Arial"/>
                <w:szCs w:val="20"/>
              </w:rPr>
              <w:t>razvoja kvantnih tehnologij v Sloveniji</w:t>
            </w:r>
            <w:r>
              <w:rPr>
                <w:rFonts w:cs="Arial"/>
                <w:szCs w:val="20"/>
              </w:rPr>
              <w:t xml:space="preserve"> do leta 2035 so sodelovali člani Posvetovalne skupine za področje kvantnih tehnologij,</w:t>
            </w:r>
            <w:r w:rsidRPr="00466ABF">
              <w:rPr>
                <w:rFonts w:eastAsia="Arial" w:cs="Arial"/>
                <w:szCs w:val="20"/>
              </w:rPr>
              <w:t xml:space="preserve"> ki je bila ustanovljena s sklepom ministra </w:t>
            </w:r>
            <w:r>
              <w:rPr>
                <w:rFonts w:eastAsia="Arial" w:cs="Arial"/>
                <w:szCs w:val="20"/>
              </w:rPr>
              <w:t xml:space="preserve">Ministrstva za visoko šolstvo, znanost in inovacije </w:t>
            </w:r>
            <w:r w:rsidRPr="00466ABF">
              <w:rPr>
                <w:rFonts w:eastAsia="Arial" w:cs="Arial"/>
                <w:szCs w:val="20"/>
              </w:rPr>
              <w:t>št. 012-21/2024-3360-8 z dne 11. 3. 2025</w:t>
            </w:r>
            <w:r>
              <w:rPr>
                <w:rFonts w:eastAsia="Arial" w:cs="Arial"/>
                <w:szCs w:val="20"/>
              </w:rPr>
              <w:t>.</w:t>
            </w:r>
            <w:r w:rsidR="00863D54">
              <w:rPr>
                <w:rFonts w:eastAsia="Arial" w:cs="Arial"/>
                <w:szCs w:val="20"/>
              </w:rPr>
              <w:t xml:space="preserve"> </w:t>
            </w:r>
            <w:r>
              <w:rPr>
                <w:rFonts w:cs="Arial"/>
                <w:iCs/>
                <w:szCs w:val="20"/>
                <w:lang w:eastAsia="sl-SI"/>
              </w:rPr>
              <w:t>Člani so predstavniki raziskovalnega, akademskega in gospodarskega področja in predstavljajo reprezentativne deležnike slovenskega kvantnega ekosistema:</w:t>
            </w:r>
          </w:p>
          <w:p w14:paraId="69930BD8" w14:textId="77777777" w:rsidR="00863D54" w:rsidRPr="00863D54" w:rsidRDefault="00863D54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="Arial" w:cs="Arial"/>
                <w:szCs w:val="20"/>
              </w:rPr>
            </w:pPr>
          </w:p>
          <w:p w14:paraId="5BDD872F" w14:textId="77777777" w:rsidR="00360515" w:rsidRDefault="00360515" w:rsidP="00360515">
            <w:pPr>
              <w:pStyle w:val="Odstavekseznama"/>
              <w:numPr>
                <w:ilvl w:val="0"/>
                <w:numId w:val="35"/>
              </w:numPr>
              <w:spacing w:line="240" w:lineRule="exact"/>
              <w:jc w:val="both"/>
              <w:rPr>
                <w:rFonts w:cs="Arial"/>
                <w:szCs w:val="20"/>
              </w:rPr>
            </w:pPr>
            <w:r w:rsidRPr="00DB42C1">
              <w:rPr>
                <w:rFonts w:cs="Arial"/>
                <w:szCs w:val="20"/>
              </w:rPr>
              <w:t xml:space="preserve">dr. Peter Jeglič </w:t>
            </w:r>
            <w:r>
              <w:rPr>
                <w:rFonts w:cs="Arial"/>
                <w:szCs w:val="20"/>
              </w:rPr>
              <w:t>(</w:t>
            </w:r>
            <w:r w:rsidRPr="00DB42C1">
              <w:rPr>
                <w:rFonts w:cs="Arial"/>
                <w:szCs w:val="20"/>
              </w:rPr>
              <w:t>Institut "Jožef Stefan"</w:t>
            </w:r>
            <w:r>
              <w:rPr>
                <w:rFonts w:cs="Arial"/>
                <w:szCs w:val="20"/>
              </w:rPr>
              <w:t xml:space="preserve"> - IJS)</w:t>
            </w:r>
            <w:r w:rsidRPr="00DB42C1">
              <w:rPr>
                <w:rFonts w:cs="Arial"/>
                <w:szCs w:val="20"/>
              </w:rPr>
              <w:t xml:space="preserve"> </w:t>
            </w:r>
          </w:p>
          <w:p w14:paraId="5C97F695" w14:textId="77777777" w:rsidR="00360515" w:rsidRDefault="00360515" w:rsidP="00360515">
            <w:pPr>
              <w:pStyle w:val="Odstavekseznama"/>
              <w:numPr>
                <w:ilvl w:val="0"/>
                <w:numId w:val="35"/>
              </w:numPr>
              <w:spacing w:line="240" w:lineRule="exact"/>
              <w:jc w:val="both"/>
              <w:rPr>
                <w:rFonts w:cs="Arial"/>
                <w:szCs w:val="20"/>
              </w:rPr>
            </w:pPr>
            <w:r w:rsidRPr="00DB42C1">
              <w:rPr>
                <w:rFonts w:cs="Arial"/>
                <w:szCs w:val="20"/>
              </w:rPr>
              <w:t xml:space="preserve">prof. dr. Anton Ramšak </w:t>
            </w:r>
            <w:r>
              <w:rPr>
                <w:rFonts w:cs="Arial"/>
                <w:szCs w:val="20"/>
              </w:rPr>
              <w:t>(</w:t>
            </w:r>
            <w:r w:rsidRPr="00DB42C1">
              <w:rPr>
                <w:rFonts w:cs="Arial"/>
                <w:szCs w:val="20"/>
              </w:rPr>
              <w:t>Univerza v Ljubljani, Fakulteta za</w:t>
            </w:r>
            <w:r>
              <w:rPr>
                <w:rFonts w:cs="Arial"/>
                <w:szCs w:val="20"/>
              </w:rPr>
              <w:t xml:space="preserve"> </w:t>
            </w:r>
            <w:r w:rsidRPr="00DB42C1">
              <w:rPr>
                <w:rFonts w:cs="Arial"/>
                <w:szCs w:val="20"/>
              </w:rPr>
              <w:t>matematiko in fiziko</w:t>
            </w:r>
            <w:r>
              <w:rPr>
                <w:rFonts w:cs="Arial"/>
                <w:szCs w:val="20"/>
              </w:rPr>
              <w:t xml:space="preserve"> – UL FMF)</w:t>
            </w:r>
          </w:p>
          <w:p w14:paraId="4CDB8A2B" w14:textId="77777777" w:rsidR="00360515" w:rsidRDefault="00360515" w:rsidP="00360515">
            <w:pPr>
              <w:pStyle w:val="Odstavekseznama"/>
              <w:numPr>
                <w:ilvl w:val="0"/>
                <w:numId w:val="35"/>
              </w:numPr>
              <w:spacing w:line="240" w:lineRule="exact"/>
              <w:jc w:val="both"/>
              <w:rPr>
                <w:rFonts w:cs="Arial"/>
                <w:szCs w:val="20"/>
              </w:rPr>
            </w:pPr>
            <w:r w:rsidRPr="00DB42C1">
              <w:rPr>
                <w:rFonts w:cs="Arial"/>
                <w:szCs w:val="20"/>
              </w:rPr>
              <w:t xml:space="preserve">prof. dr. Boštjan Batagelj </w:t>
            </w:r>
            <w:r>
              <w:rPr>
                <w:rFonts w:cs="Arial"/>
                <w:szCs w:val="20"/>
              </w:rPr>
              <w:t>(</w:t>
            </w:r>
            <w:r w:rsidRPr="00DB42C1">
              <w:rPr>
                <w:rFonts w:cs="Arial"/>
                <w:szCs w:val="20"/>
              </w:rPr>
              <w:t>Univerza v Ljubljani, Fakulteta za</w:t>
            </w:r>
            <w:r>
              <w:rPr>
                <w:rFonts w:cs="Arial"/>
                <w:szCs w:val="20"/>
              </w:rPr>
              <w:t xml:space="preserve"> </w:t>
            </w:r>
            <w:r w:rsidRPr="00DB42C1">
              <w:rPr>
                <w:rFonts w:cs="Arial"/>
                <w:szCs w:val="20"/>
              </w:rPr>
              <w:t>elektrotehniko</w:t>
            </w:r>
            <w:r>
              <w:rPr>
                <w:rFonts w:cs="Arial"/>
                <w:szCs w:val="20"/>
              </w:rPr>
              <w:t xml:space="preserve"> – UL FE)</w:t>
            </w:r>
          </w:p>
          <w:p w14:paraId="1D507DDF" w14:textId="77777777" w:rsidR="00360515" w:rsidRDefault="00360515" w:rsidP="00360515">
            <w:pPr>
              <w:pStyle w:val="Odstavekseznama"/>
              <w:numPr>
                <w:ilvl w:val="0"/>
                <w:numId w:val="35"/>
              </w:numPr>
              <w:spacing w:line="240" w:lineRule="exact"/>
              <w:jc w:val="both"/>
              <w:rPr>
                <w:rFonts w:cs="Arial"/>
                <w:szCs w:val="20"/>
              </w:rPr>
            </w:pPr>
            <w:r w:rsidRPr="00DB42C1">
              <w:rPr>
                <w:rFonts w:cs="Arial"/>
                <w:szCs w:val="20"/>
              </w:rPr>
              <w:t>doc. dr. Bojan Žunkovič</w:t>
            </w:r>
            <w:r>
              <w:rPr>
                <w:rFonts w:cs="Arial"/>
                <w:szCs w:val="20"/>
              </w:rPr>
              <w:t xml:space="preserve"> (</w:t>
            </w:r>
            <w:r w:rsidRPr="00DB42C1">
              <w:rPr>
                <w:rFonts w:cs="Arial"/>
                <w:szCs w:val="20"/>
              </w:rPr>
              <w:t>Univerza v Ljubljani, Fakulteta za</w:t>
            </w:r>
            <w:r>
              <w:rPr>
                <w:rFonts w:cs="Arial"/>
                <w:szCs w:val="20"/>
              </w:rPr>
              <w:t xml:space="preserve"> </w:t>
            </w:r>
            <w:r w:rsidRPr="00DB42C1">
              <w:rPr>
                <w:rFonts w:cs="Arial"/>
                <w:szCs w:val="20"/>
              </w:rPr>
              <w:t>računalništvo in informatiko</w:t>
            </w:r>
            <w:r>
              <w:rPr>
                <w:rFonts w:cs="Arial"/>
                <w:szCs w:val="20"/>
              </w:rPr>
              <w:t xml:space="preserve"> – UL FRI)</w:t>
            </w:r>
          </w:p>
          <w:p w14:paraId="33F99D38" w14:textId="77777777" w:rsidR="00360515" w:rsidRPr="00DB42C1" w:rsidRDefault="00360515" w:rsidP="00360515">
            <w:pPr>
              <w:pStyle w:val="Odstavekseznama"/>
              <w:numPr>
                <w:ilvl w:val="0"/>
                <w:numId w:val="35"/>
              </w:numPr>
              <w:spacing w:line="240" w:lineRule="exact"/>
              <w:jc w:val="both"/>
              <w:rPr>
                <w:rFonts w:cs="Arial"/>
                <w:szCs w:val="20"/>
              </w:rPr>
            </w:pPr>
            <w:r w:rsidRPr="00DB42C1">
              <w:rPr>
                <w:rFonts w:cs="Arial"/>
                <w:szCs w:val="20"/>
              </w:rPr>
              <w:t xml:space="preserve">prof. dr. Denis Đonlagić </w:t>
            </w:r>
            <w:r>
              <w:rPr>
                <w:rFonts w:cs="Arial"/>
                <w:szCs w:val="20"/>
              </w:rPr>
              <w:t>(</w:t>
            </w:r>
            <w:r w:rsidRPr="00DB42C1">
              <w:rPr>
                <w:rFonts w:cs="Arial"/>
                <w:szCs w:val="20"/>
              </w:rPr>
              <w:t>Univerza v Mariboru, Fakulteta za</w:t>
            </w:r>
            <w:r>
              <w:rPr>
                <w:rFonts w:cs="Arial"/>
                <w:szCs w:val="20"/>
              </w:rPr>
              <w:t xml:space="preserve"> </w:t>
            </w:r>
            <w:r w:rsidRPr="00DB42C1">
              <w:rPr>
                <w:rFonts w:cs="Arial"/>
                <w:szCs w:val="20"/>
              </w:rPr>
              <w:t>elektrotehniko, računalništvo in</w:t>
            </w:r>
            <w:r>
              <w:rPr>
                <w:rFonts w:cs="Arial"/>
                <w:szCs w:val="20"/>
              </w:rPr>
              <w:t xml:space="preserve"> </w:t>
            </w:r>
            <w:r w:rsidRPr="00DB42C1">
              <w:rPr>
                <w:rFonts w:cs="Arial"/>
                <w:szCs w:val="20"/>
              </w:rPr>
              <w:t>informatiko</w:t>
            </w:r>
            <w:r>
              <w:rPr>
                <w:rFonts w:cs="Arial"/>
                <w:szCs w:val="20"/>
              </w:rPr>
              <w:t xml:space="preserve"> – </w:t>
            </w:r>
            <w:r w:rsidRPr="00DB42C1">
              <w:rPr>
                <w:rFonts w:cs="Arial"/>
                <w:szCs w:val="20"/>
              </w:rPr>
              <w:t>UM FERI)</w:t>
            </w:r>
          </w:p>
          <w:p w14:paraId="0A113295" w14:textId="77777777" w:rsidR="00360515" w:rsidRDefault="00360515" w:rsidP="00360515">
            <w:pPr>
              <w:pStyle w:val="Odstavekseznama"/>
              <w:numPr>
                <w:ilvl w:val="0"/>
                <w:numId w:val="35"/>
              </w:numPr>
              <w:spacing w:line="240" w:lineRule="exact"/>
              <w:jc w:val="both"/>
              <w:rPr>
                <w:rFonts w:cs="Arial"/>
                <w:szCs w:val="20"/>
              </w:rPr>
            </w:pPr>
            <w:r w:rsidRPr="00DB42C1">
              <w:rPr>
                <w:rFonts w:cs="Arial"/>
                <w:szCs w:val="20"/>
              </w:rPr>
              <w:t xml:space="preserve">dr. Jaka Vodeb </w:t>
            </w:r>
            <w:r>
              <w:rPr>
                <w:rFonts w:cs="Arial"/>
                <w:szCs w:val="20"/>
              </w:rPr>
              <w:t>(</w:t>
            </w:r>
            <w:r w:rsidRPr="00DB42C1">
              <w:rPr>
                <w:rFonts w:cs="Arial"/>
                <w:szCs w:val="20"/>
              </w:rPr>
              <w:t>Center Odličnosti Nanoznanosti</w:t>
            </w:r>
            <w:r>
              <w:rPr>
                <w:rFonts w:cs="Arial"/>
                <w:szCs w:val="20"/>
              </w:rPr>
              <w:t xml:space="preserve"> </w:t>
            </w:r>
            <w:r w:rsidRPr="00DB42C1">
              <w:rPr>
                <w:rFonts w:cs="Arial"/>
                <w:szCs w:val="20"/>
              </w:rPr>
              <w:t xml:space="preserve">in Nanotehnologije </w:t>
            </w:r>
            <w:r>
              <w:rPr>
                <w:rFonts w:cs="Arial"/>
                <w:szCs w:val="20"/>
              </w:rPr>
              <w:t>–</w:t>
            </w:r>
            <w:r w:rsidRPr="00DB42C1">
              <w:rPr>
                <w:rFonts w:cs="Arial"/>
                <w:szCs w:val="20"/>
              </w:rPr>
              <w:t xml:space="preserve"> Nanocenter</w:t>
            </w:r>
            <w:r>
              <w:rPr>
                <w:rFonts w:cs="Arial"/>
                <w:szCs w:val="20"/>
              </w:rPr>
              <w:t>)</w:t>
            </w:r>
          </w:p>
          <w:p w14:paraId="50CE2B4F" w14:textId="77777777" w:rsidR="00360515" w:rsidRDefault="00360515" w:rsidP="00360515">
            <w:pPr>
              <w:pStyle w:val="Odstavekseznama"/>
              <w:numPr>
                <w:ilvl w:val="0"/>
                <w:numId w:val="35"/>
              </w:numPr>
              <w:spacing w:line="240" w:lineRule="exact"/>
              <w:jc w:val="both"/>
              <w:rPr>
                <w:rFonts w:cs="Arial"/>
                <w:szCs w:val="20"/>
              </w:rPr>
            </w:pPr>
            <w:r w:rsidRPr="00DB42C1">
              <w:rPr>
                <w:rFonts w:cs="Arial"/>
                <w:szCs w:val="20"/>
              </w:rPr>
              <w:t xml:space="preserve">prof. dr. Janez Povh </w:t>
            </w:r>
            <w:r>
              <w:rPr>
                <w:rFonts w:cs="Arial"/>
                <w:szCs w:val="20"/>
              </w:rPr>
              <w:t>(</w:t>
            </w:r>
            <w:r w:rsidRPr="00DB42C1">
              <w:rPr>
                <w:rFonts w:cs="Arial"/>
                <w:szCs w:val="20"/>
              </w:rPr>
              <w:t>Rudolfovo - Znanstveno in</w:t>
            </w:r>
            <w:r>
              <w:rPr>
                <w:rFonts w:cs="Arial"/>
                <w:szCs w:val="20"/>
              </w:rPr>
              <w:t xml:space="preserve"> </w:t>
            </w:r>
            <w:r w:rsidRPr="00DB42C1">
              <w:rPr>
                <w:rFonts w:cs="Arial"/>
                <w:szCs w:val="20"/>
              </w:rPr>
              <w:t>tehnološko središče Novo mesto</w:t>
            </w:r>
            <w:r>
              <w:rPr>
                <w:rFonts w:cs="Arial"/>
                <w:szCs w:val="20"/>
              </w:rPr>
              <w:t>)</w:t>
            </w:r>
          </w:p>
          <w:p w14:paraId="106063D9" w14:textId="77777777" w:rsidR="00360515" w:rsidRDefault="00360515" w:rsidP="00360515">
            <w:pPr>
              <w:pStyle w:val="Odstavekseznama"/>
              <w:numPr>
                <w:ilvl w:val="0"/>
                <w:numId w:val="35"/>
              </w:numPr>
              <w:spacing w:line="240" w:lineRule="exact"/>
              <w:jc w:val="both"/>
              <w:rPr>
                <w:rFonts w:cs="Arial"/>
                <w:szCs w:val="20"/>
              </w:rPr>
            </w:pPr>
            <w:r w:rsidRPr="00DB42C1">
              <w:rPr>
                <w:rFonts w:cs="Arial"/>
                <w:szCs w:val="20"/>
              </w:rPr>
              <w:t xml:space="preserve">Matjaž Breskvar </w:t>
            </w:r>
            <w:r>
              <w:rPr>
                <w:rFonts w:cs="Arial"/>
                <w:szCs w:val="20"/>
              </w:rPr>
              <w:t>(</w:t>
            </w:r>
            <w:r w:rsidRPr="00DB42C1">
              <w:rPr>
                <w:rFonts w:cs="Arial"/>
                <w:szCs w:val="20"/>
              </w:rPr>
              <w:t>Beyond Semiconductor</w:t>
            </w:r>
            <w:r>
              <w:rPr>
                <w:rFonts w:cs="Arial"/>
                <w:szCs w:val="20"/>
              </w:rPr>
              <w:t xml:space="preserve"> </w:t>
            </w:r>
            <w:proofErr w:type="spellStart"/>
            <w:r w:rsidRPr="00DB42C1">
              <w:rPr>
                <w:rFonts w:cs="Arial"/>
                <w:szCs w:val="20"/>
              </w:rPr>
              <w:t>d.o.o</w:t>
            </w:r>
            <w:proofErr w:type="spellEnd"/>
            <w:r w:rsidRPr="00DB42C1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  <w:p w14:paraId="5CE32FC2" w14:textId="77777777" w:rsidR="00360515" w:rsidRDefault="00360515" w:rsidP="00360515">
            <w:pPr>
              <w:pStyle w:val="Odstavekseznama"/>
              <w:numPr>
                <w:ilvl w:val="0"/>
                <w:numId w:val="35"/>
              </w:numPr>
              <w:spacing w:line="240" w:lineRule="exact"/>
              <w:jc w:val="both"/>
              <w:rPr>
                <w:rFonts w:cs="Arial"/>
                <w:szCs w:val="20"/>
              </w:rPr>
            </w:pPr>
            <w:r w:rsidRPr="00DB42C1">
              <w:rPr>
                <w:rFonts w:cs="Arial"/>
                <w:szCs w:val="20"/>
              </w:rPr>
              <w:t xml:space="preserve">Jean Strouken </w:t>
            </w:r>
            <w:r>
              <w:rPr>
                <w:rFonts w:cs="Arial"/>
                <w:szCs w:val="20"/>
              </w:rPr>
              <w:t>(</w:t>
            </w:r>
            <w:r w:rsidRPr="00DB42C1">
              <w:rPr>
                <w:rFonts w:cs="Arial"/>
                <w:szCs w:val="20"/>
              </w:rPr>
              <w:t>Cosylab</w:t>
            </w:r>
            <w:r>
              <w:rPr>
                <w:rFonts w:cs="Arial"/>
                <w:szCs w:val="20"/>
              </w:rPr>
              <w:t>,</w:t>
            </w:r>
            <w:r w:rsidRPr="00DB42C1">
              <w:rPr>
                <w:rFonts w:cs="Arial"/>
                <w:szCs w:val="20"/>
              </w:rPr>
              <w:t xml:space="preserve"> </w:t>
            </w:r>
            <w:proofErr w:type="spellStart"/>
            <w:r w:rsidRPr="00DB42C1">
              <w:rPr>
                <w:rFonts w:cs="Arial"/>
                <w:szCs w:val="20"/>
              </w:rPr>
              <w:t>d.d</w:t>
            </w:r>
            <w:proofErr w:type="spellEnd"/>
            <w:r>
              <w:rPr>
                <w:rFonts w:cs="Arial"/>
                <w:szCs w:val="20"/>
              </w:rPr>
              <w:t xml:space="preserve">.) </w:t>
            </w:r>
          </w:p>
          <w:p w14:paraId="12ABFA99" w14:textId="77777777" w:rsidR="00360515" w:rsidRDefault="00360515" w:rsidP="00360515">
            <w:pPr>
              <w:pStyle w:val="Odstavekseznama"/>
              <w:numPr>
                <w:ilvl w:val="0"/>
                <w:numId w:val="35"/>
              </w:numPr>
              <w:spacing w:line="240" w:lineRule="exact"/>
              <w:jc w:val="both"/>
              <w:rPr>
                <w:rFonts w:cs="Arial"/>
                <w:szCs w:val="20"/>
              </w:rPr>
            </w:pPr>
            <w:r w:rsidRPr="00DB42C1">
              <w:rPr>
                <w:rFonts w:cs="Arial"/>
                <w:szCs w:val="20"/>
              </w:rPr>
              <w:t xml:space="preserve">doc. dr. Erik Zupanič </w:t>
            </w:r>
            <w:r>
              <w:rPr>
                <w:rFonts w:cs="Arial"/>
                <w:szCs w:val="20"/>
              </w:rPr>
              <w:t>(</w:t>
            </w:r>
            <w:r w:rsidRPr="00DB42C1">
              <w:rPr>
                <w:rFonts w:cs="Arial"/>
                <w:szCs w:val="20"/>
              </w:rPr>
              <w:t xml:space="preserve">AtomQL </w:t>
            </w:r>
            <w:proofErr w:type="spellStart"/>
            <w:r w:rsidRPr="00DB42C1">
              <w:rPr>
                <w:rFonts w:cs="Arial"/>
                <w:szCs w:val="20"/>
              </w:rPr>
              <w:t>d.o.o</w:t>
            </w:r>
            <w:proofErr w:type="spellEnd"/>
            <w:r w:rsidRPr="00DB42C1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</w:p>
          <w:p w14:paraId="6AB9803E" w14:textId="77777777" w:rsidR="00360515" w:rsidRDefault="00360515" w:rsidP="00360515">
            <w:pPr>
              <w:pStyle w:val="Odstavekseznama"/>
              <w:numPr>
                <w:ilvl w:val="0"/>
                <w:numId w:val="35"/>
              </w:numPr>
              <w:spacing w:line="240" w:lineRule="exact"/>
              <w:jc w:val="both"/>
              <w:rPr>
                <w:rFonts w:cs="Arial"/>
                <w:szCs w:val="20"/>
              </w:rPr>
            </w:pPr>
            <w:r w:rsidRPr="00DB42C1">
              <w:rPr>
                <w:rFonts w:cs="Arial"/>
                <w:szCs w:val="20"/>
              </w:rPr>
              <w:t xml:space="preserve">Martin Vogrin </w:t>
            </w:r>
            <w:r>
              <w:rPr>
                <w:rFonts w:cs="Arial"/>
                <w:szCs w:val="20"/>
              </w:rPr>
              <w:t>(</w:t>
            </w:r>
            <w:proofErr w:type="spellStart"/>
            <w:r w:rsidRPr="00DB42C1">
              <w:rPr>
                <w:rFonts w:cs="Arial"/>
                <w:szCs w:val="20"/>
              </w:rPr>
              <w:t>TipPr</w:t>
            </w:r>
            <w:r>
              <w:rPr>
                <w:rFonts w:cs="Arial"/>
                <w:szCs w:val="20"/>
              </w:rPr>
              <w:t>i</w:t>
            </w:r>
            <w:proofErr w:type="spellEnd"/>
            <w:r w:rsidRPr="00DB42C1">
              <w:rPr>
                <w:rFonts w:cs="Arial"/>
                <w:szCs w:val="20"/>
              </w:rPr>
              <w:t xml:space="preserve"> </w:t>
            </w:r>
            <w:proofErr w:type="spellStart"/>
            <w:r w:rsidRPr="00DB42C1">
              <w:rPr>
                <w:rFonts w:cs="Arial"/>
                <w:szCs w:val="20"/>
              </w:rPr>
              <w:t>d.o.o</w:t>
            </w:r>
            <w:proofErr w:type="spellEnd"/>
            <w:r w:rsidRPr="00DB42C1"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t>)</w:t>
            </w:r>
            <w:r w:rsidRPr="00DB42C1">
              <w:rPr>
                <w:rFonts w:cs="Arial"/>
                <w:szCs w:val="20"/>
              </w:rPr>
              <w:t xml:space="preserve"> </w:t>
            </w:r>
          </w:p>
          <w:p w14:paraId="6979C15C" w14:textId="77777777" w:rsidR="00360515" w:rsidRDefault="00360515" w:rsidP="00360515">
            <w:pPr>
              <w:pStyle w:val="Odstavekseznama"/>
              <w:numPr>
                <w:ilvl w:val="0"/>
                <w:numId w:val="35"/>
              </w:numPr>
              <w:spacing w:line="240" w:lineRule="exac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Mitja Trampuž (CREAPLUS </w:t>
            </w:r>
            <w:proofErr w:type="spellStart"/>
            <w:r>
              <w:rPr>
                <w:rFonts w:cs="Arial"/>
                <w:szCs w:val="20"/>
              </w:rPr>
              <w:t>d.o.o</w:t>
            </w:r>
            <w:proofErr w:type="spellEnd"/>
            <w:r>
              <w:rPr>
                <w:rFonts w:cs="Arial"/>
                <w:szCs w:val="20"/>
              </w:rPr>
              <w:t>.)</w:t>
            </w:r>
          </w:p>
          <w:p w14:paraId="5DFE7F80" w14:textId="2B9F7DFD" w:rsidR="00694F60" w:rsidRPr="008E68AE" w:rsidRDefault="00694F60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8E68AE" w:rsidRPr="008E68AE" w14:paraId="64E2BEE6" w14:textId="77777777" w:rsidTr="42571F4B">
        <w:tc>
          <w:tcPr>
            <w:tcW w:w="9163" w:type="dxa"/>
            <w:gridSpan w:val="4"/>
          </w:tcPr>
          <w:p w14:paraId="281FBEAD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8E68AE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8E68AE" w:rsidRPr="008E68AE" w14:paraId="61B9172D" w14:textId="77777777" w:rsidTr="42571F4B">
        <w:tc>
          <w:tcPr>
            <w:tcW w:w="9163" w:type="dxa"/>
            <w:gridSpan w:val="4"/>
          </w:tcPr>
          <w:p w14:paraId="69C26567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8E68AE" w:rsidRPr="008E68AE" w14:paraId="683D6E7D" w14:textId="77777777" w:rsidTr="42571F4B">
        <w:tc>
          <w:tcPr>
            <w:tcW w:w="9163" w:type="dxa"/>
            <w:gridSpan w:val="4"/>
          </w:tcPr>
          <w:p w14:paraId="14BB15BB" w14:textId="77777777" w:rsidR="008E68AE" w:rsidRPr="008E68AE" w:rsidRDefault="008E68AE" w:rsidP="00A16AB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BF7E07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8E68AE" w:rsidRPr="008E68AE" w14:paraId="6FC80669" w14:textId="77777777" w:rsidTr="42571F4B">
        <w:tc>
          <w:tcPr>
            <w:tcW w:w="9163" w:type="dxa"/>
            <w:gridSpan w:val="4"/>
            <w:shd w:val="clear" w:color="auto" w:fill="auto"/>
          </w:tcPr>
          <w:p w14:paraId="23FDFF88" w14:textId="77777777" w:rsidR="00FA3D3F" w:rsidRDefault="00FA3D3F" w:rsidP="00ED33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</w:rPr>
            </w:pPr>
          </w:p>
          <w:p w14:paraId="6D9647E1" w14:textId="36C919F6" w:rsidR="00FA3D3F" w:rsidRDefault="00FA3D3F" w:rsidP="00FA3D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BF7E07">
              <w:rPr>
                <w:rFonts w:cstheme="minorHAnsi"/>
                <w:color w:val="000000"/>
              </w:rPr>
              <w:t xml:space="preserve">Ministrstvo za visoko šolstvo, znanost in inovacije </w:t>
            </w:r>
            <w:r w:rsidR="00BF7E07">
              <w:rPr>
                <w:rFonts w:cstheme="minorHAnsi"/>
                <w:color w:val="000000"/>
              </w:rPr>
              <w:t>(</w:t>
            </w:r>
            <w:r w:rsidR="0050153C">
              <w:rPr>
                <w:rFonts w:cstheme="minorHAnsi"/>
                <w:color w:val="000000"/>
              </w:rPr>
              <w:t xml:space="preserve">v nadaljevanju: </w:t>
            </w:r>
            <w:r w:rsidR="00BF7E07">
              <w:rPr>
                <w:rFonts w:cstheme="minorHAnsi"/>
                <w:color w:val="000000"/>
              </w:rPr>
              <w:t xml:space="preserve">MVZI) </w:t>
            </w:r>
            <w:r w:rsidRPr="00BF7E07">
              <w:rPr>
                <w:rFonts w:cstheme="minorHAnsi"/>
                <w:color w:val="000000"/>
              </w:rPr>
              <w:t xml:space="preserve">na podlagi 21. člena Zakona o </w:t>
            </w:r>
            <w:r w:rsidR="00363E78">
              <w:rPr>
                <w:rFonts w:cstheme="minorHAnsi"/>
                <w:color w:val="000000"/>
              </w:rPr>
              <w:t>v</w:t>
            </w:r>
            <w:r w:rsidRPr="00BF7E07">
              <w:rPr>
                <w:rFonts w:cstheme="minorHAnsi"/>
                <w:color w:val="000000"/>
              </w:rPr>
              <w:t>ladi R</w:t>
            </w:r>
            <w:r w:rsidR="00363E78">
              <w:rPr>
                <w:rFonts w:cstheme="minorHAnsi"/>
                <w:color w:val="000000"/>
              </w:rPr>
              <w:t>epublike Slovenije (v nadaljevanju</w:t>
            </w:r>
            <w:r w:rsidR="0050153C">
              <w:rPr>
                <w:rFonts w:cstheme="minorHAnsi"/>
                <w:color w:val="000000"/>
              </w:rPr>
              <w:t>:</w:t>
            </w:r>
            <w:r w:rsidR="00363E78">
              <w:rPr>
                <w:rFonts w:cstheme="minorHAnsi"/>
                <w:color w:val="000000"/>
              </w:rPr>
              <w:t xml:space="preserve"> vlada RS)</w:t>
            </w:r>
            <w:r w:rsidRPr="00BF7E07">
              <w:rPr>
                <w:rFonts w:cstheme="minorHAnsi"/>
                <w:color w:val="000000"/>
              </w:rPr>
              <w:t xml:space="preserve"> predlaga sprejem Strategije razvoja kvantnih tehnologij v Sloveniji do leta 2035</w:t>
            </w:r>
            <w:r w:rsidR="00BF7E07">
              <w:rPr>
                <w:rFonts w:cstheme="minorHAnsi"/>
                <w:color w:val="000000"/>
              </w:rPr>
              <w:t xml:space="preserve"> (v nadaljnjem besedilu: Strategija)</w:t>
            </w:r>
            <w:r w:rsidRPr="00BF7E07">
              <w:rPr>
                <w:rFonts w:cstheme="minorHAnsi"/>
                <w:color w:val="000000"/>
              </w:rPr>
              <w:t xml:space="preserve"> kot prvega nacionalnega strateškega dokumenta na tem področju. Kvantne tehnologije </w:t>
            </w:r>
            <w:r w:rsidR="00863D54">
              <w:rPr>
                <w:rFonts w:cstheme="minorHAnsi"/>
                <w:color w:val="000000"/>
              </w:rPr>
              <w:t xml:space="preserve">(v nadaljevanju: QT) </w:t>
            </w:r>
            <w:r w:rsidRPr="00BF7E07">
              <w:rPr>
                <w:rFonts w:cstheme="minorHAnsi"/>
                <w:color w:val="000000"/>
              </w:rPr>
              <w:t xml:space="preserve">predstavljajo ključno komponento </w:t>
            </w:r>
            <w:r w:rsidR="00BF7E07">
              <w:rPr>
                <w:rFonts w:cstheme="minorHAnsi"/>
                <w:color w:val="000000"/>
              </w:rPr>
              <w:t xml:space="preserve">tehnološke </w:t>
            </w:r>
            <w:r w:rsidRPr="00BF7E07">
              <w:rPr>
                <w:rFonts w:cstheme="minorHAnsi"/>
                <w:color w:val="000000"/>
              </w:rPr>
              <w:t xml:space="preserve">suverenosti in znanstvene odličnosti EU. Slovenija ima dolgoletno raziskovalno tradicijo in aktivno </w:t>
            </w:r>
            <w:r w:rsidR="00BF7E07">
              <w:rPr>
                <w:rFonts w:cstheme="minorHAnsi"/>
                <w:color w:val="000000"/>
              </w:rPr>
              <w:t>sodeluje</w:t>
            </w:r>
            <w:r w:rsidRPr="00BF7E07">
              <w:rPr>
                <w:rFonts w:cstheme="minorHAnsi"/>
                <w:color w:val="000000"/>
              </w:rPr>
              <w:t xml:space="preserve"> v evropsk</w:t>
            </w:r>
            <w:r w:rsidR="00BF7E07">
              <w:rPr>
                <w:rFonts w:cstheme="minorHAnsi"/>
                <w:color w:val="000000"/>
              </w:rPr>
              <w:t>ih</w:t>
            </w:r>
            <w:r w:rsidRPr="00BF7E07">
              <w:rPr>
                <w:rFonts w:cstheme="minorHAnsi"/>
                <w:color w:val="000000"/>
              </w:rPr>
              <w:t xml:space="preserve"> pobud</w:t>
            </w:r>
            <w:r w:rsidR="00BF7E07">
              <w:rPr>
                <w:rFonts w:cstheme="minorHAnsi"/>
                <w:color w:val="000000"/>
              </w:rPr>
              <w:t>ah</w:t>
            </w:r>
            <w:r w:rsidRPr="00BF7E07">
              <w:rPr>
                <w:rFonts w:cstheme="minorHAnsi"/>
                <w:color w:val="000000"/>
              </w:rPr>
              <w:t>, kot so Quantum Flagship, QuantERA, EuroQCI</w:t>
            </w:r>
            <w:r w:rsidR="00BF7E07">
              <w:rPr>
                <w:rFonts w:cstheme="minorHAnsi"/>
                <w:color w:val="000000"/>
              </w:rPr>
              <w:t>, EuroHPC</w:t>
            </w:r>
            <w:r w:rsidR="00863D54">
              <w:rPr>
                <w:rFonts w:cstheme="minorHAnsi"/>
                <w:color w:val="000000"/>
              </w:rPr>
              <w:t xml:space="preserve"> in </w:t>
            </w:r>
            <w:r w:rsidR="00BF7E07">
              <w:rPr>
                <w:rFonts w:cstheme="minorHAnsi"/>
                <w:color w:val="000000"/>
              </w:rPr>
              <w:t>je podpisnica</w:t>
            </w:r>
            <w:r w:rsidRPr="00BF7E07">
              <w:rPr>
                <w:rFonts w:cstheme="minorHAnsi"/>
                <w:color w:val="000000"/>
              </w:rPr>
              <w:t xml:space="preserve"> Evropsk</w:t>
            </w:r>
            <w:r w:rsidR="00BF7E07">
              <w:rPr>
                <w:rFonts w:cstheme="minorHAnsi"/>
                <w:color w:val="000000"/>
              </w:rPr>
              <w:t xml:space="preserve">e </w:t>
            </w:r>
            <w:r w:rsidRPr="00BF7E07">
              <w:rPr>
                <w:rFonts w:cstheme="minorHAnsi"/>
                <w:color w:val="000000"/>
              </w:rPr>
              <w:t>kvantn</w:t>
            </w:r>
            <w:r w:rsidR="00BF7E07">
              <w:rPr>
                <w:rFonts w:cstheme="minorHAnsi"/>
                <w:color w:val="000000"/>
              </w:rPr>
              <w:t xml:space="preserve">e </w:t>
            </w:r>
            <w:r w:rsidRPr="00BF7E07">
              <w:rPr>
                <w:rFonts w:cstheme="minorHAnsi"/>
                <w:color w:val="000000"/>
              </w:rPr>
              <w:t>deklaracij</w:t>
            </w:r>
            <w:r w:rsidR="00BF7E07">
              <w:rPr>
                <w:rFonts w:cstheme="minorHAnsi"/>
                <w:color w:val="000000"/>
              </w:rPr>
              <w:t>e</w:t>
            </w:r>
            <w:r w:rsidRPr="00BF7E07">
              <w:rPr>
                <w:rFonts w:cstheme="minorHAnsi"/>
                <w:color w:val="000000"/>
              </w:rPr>
              <w:t xml:space="preserve">. Strategija je </w:t>
            </w:r>
            <w:r w:rsidR="00BF7E07">
              <w:rPr>
                <w:rFonts w:cstheme="minorHAnsi"/>
                <w:color w:val="000000"/>
              </w:rPr>
              <w:t>celovit strateški dokument</w:t>
            </w:r>
            <w:r w:rsidRPr="00BF7E07">
              <w:rPr>
                <w:rFonts w:cstheme="minorHAnsi"/>
                <w:color w:val="000000"/>
              </w:rPr>
              <w:t>, saj vključuje raziskave, infrastrukturo, kadre, prenos znanja in podporne instrumente</w:t>
            </w:r>
            <w:r w:rsidR="00863D54">
              <w:rPr>
                <w:rFonts w:cstheme="minorHAnsi"/>
                <w:color w:val="000000"/>
              </w:rPr>
              <w:t>.</w:t>
            </w:r>
          </w:p>
          <w:p w14:paraId="0779D245" w14:textId="77777777" w:rsidR="00BF7E07" w:rsidRPr="00BF7E07" w:rsidRDefault="00BF7E07" w:rsidP="00FA3D3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</w:rPr>
            </w:pPr>
          </w:p>
          <w:p w14:paraId="422EB74B" w14:textId="64891697" w:rsidR="00FA3D3F" w:rsidRPr="00863D54" w:rsidRDefault="00FA3D3F" w:rsidP="00ED33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BF7E07">
              <w:rPr>
                <w:rFonts w:cstheme="minorHAnsi"/>
                <w:color w:val="000000"/>
              </w:rPr>
              <w:t>Na podlagi sklepa Vlade RS je bila januarja 202</w:t>
            </w:r>
            <w:r w:rsidR="00BF7E07">
              <w:rPr>
                <w:rFonts w:cstheme="minorHAnsi"/>
                <w:color w:val="000000"/>
              </w:rPr>
              <w:t>5</w:t>
            </w:r>
            <w:r w:rsidRPr="00BF7E07">
              <w:rPr>
                <w:rFonts w:cstheme="minorHAnsi"/>
                <w:color w:val="000000"/>
              </w:rPr>
              <w:t xml:space="preserve"> ustanovljena medresorska delovna skupina</w:t>
            </w:r>
            <w:r w:rsidR="00BF7E07">
              <w:rPr>
                <w:rFonts w:cstheme="minorHAnsi"/>
                <w:color w:val="000000"/>
              </w:rPr>
              <w:t xml:space="preserve"> za pripravo predloga Strategije</w:t>
            </w:r>
            <w:r w:rsidRPr="00BF7E07">
              <w:rPr>
                <w:rFonts w:cstheme="minorHAnsi"/>
                <w:color w:val="000000"/>
              </w:rPr>
              <w:t>, ki jo koordinira MVZI. Ob njej je bila imenovana tudi posvetovalna skupina strokovnjakov</w:t>
            </w:r>
            <w:r w:rsidR="00BF7E07">
              <w:rPr>
                <w:rFonts w:cstheme="minorHAnsi"/>
                <w:color w:val="000000"/>
              </w:rPr>
              <w:t xml:space="preserve"> iz slovenskega kvantnega ekosistema</w:t>
            </w:r>
            <w:r w:rsidRPr="00BF7E07">
              <w:rPr>
                <w:rFonts w:cstheme="minorHAnsi"/>
                <w:color w:val="000000"/>
              </w:rPr>
              <w:t xml:space="preserve">, </w:t>
            </w:r>
            <w:r w:rsidR="00BF7E07">
              <w:rPr>
                <w:rFonts w:cstheme="minorHAnsi"/>
                <w:color w:val="000000"/>
              </w:rPr>
              <w:t>s čimer</w:t>
            </w:r>
            <w:r w:rsidRPr="00BF7E07">
              <w:rPr>
                <w:rFonts w:cstheme="minorHAnsi"/>
                <w:color w:val="000000"/>
              </w:rPr>
              <w:t xml:space="preserve"> </w:t>
            </w:r>
            <w:r w:rsidR="00BF7E07">
              <w:rPr>
                <w:rFonts w:cstheme="minorHAnsi"/>
                <w:color w:val="000000"/>
              </w:rPr>
              <w:t>je bilo zagotovljeno javno</w:t>
            </w:r>
            <w:r w:rsidRPr="00BF7E07">
              <w:rPr>
                <w:rFonts w:cstheme="minorHAnsi"/>
                <w:color w:val="000000"/>
              </w:rPr>
              <w:t xml:space="preserve"> posvetovanj</w:t>
            </w:r>
            <w:r w:rsidR="00BF7E07">
              <w:rPr>
                <w:rFonts w:cstheme="minorHAnsi"/>
                <w:color w:val="000000"/>
              </w:rPr>
              <w:t>e z zainteresirani deležniki</w:t>
            </w:r>
            <w:r w:rsidRPr="00BF7E07">
              <w:rPr>
                <w:rFonts w:cstheme="minorHAnsi"/>
                <w:color w:val="000000"/>
              </w:rPr>
              <w:t>. Strategija je usklajena z</w:t>
            </w:r>
            <w:r w:rsidR="00BF7E07">
              <w:rPr>
                <w:color w:val="000000"/>
              </w:rPr>
              <w:t xml:space="preserve"> </w:t>
            </w:r>
            <w:r w:rsidR="00BF7E07" w:rsidRPr="00BF7E07">
              <w:rPr>
                <w:rFonts w:cstheme="minorHAnsi"/>
                <w:color w:val="000000"/>
              </w:rPr>
              <w:t>Resolucijo o znanstvenoraziskovalni in inovacijski strategiji Slovenije 2030 (ReZrIS30)</w:t>
            </w:r>
            <w:r w:rsidR="00BF7E07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BF7E07">
              <w:rPr>
                <w:rFonts w:cstheme="minorHAnsi"/>
                <w:color w:val="000000"/>
              </w:rPr>
              <w:t xml:space="preserve">in drugimi nacionalnimi dokumenti ter z evropskimi usmeritvami, vključno s strategijo digitalnega desetletja in </w:t>
            </w:r>
            <w:r w:rsidR="00BF7E07">
              <w:rPr>
                <w:rFonts w:cstheme="minorHAnsi"/>
                <w:color w:val="000000"/>
              </w:rPr>
              <w:t>Evropsko kvantno strategijo</w:t>
            </w:r>
            <w:r w:rsidRPr="00BF7E07">
              <w:rPr>
                <w:rFonts w:cstheme="minorHAnsi"/>
                <w:color w:val="000000"/>
              </w:rPr>
              <w:t>. Dokument vključuje analizo stanja, vizijo</w:t>
            </w:r>
            <w:r w:rsidR="00BF7E07">
              <w:rPr>
                <w:rFonts w:cstheme="minorHAnsi"/>
                <w:color w:val="000000"/>
              </w:rPr>
              <w:t xml:space="preserve">, razvojne </w:t>
            </w:r>
            <w:r w:rsidRPr="00BF7E07">
              <w:rPr>
                <w:rFonts w:cstheme="minorHAnsi"/>
                <w:color w:val="000000"/>
              </w:rPr>
              <w:t>cilje ter okvir za izvedbo</w:t>
            </w:r>
            <w:r w:rsidR="00BF7E07">
              <w:rPr>
                <w:rFonts w:cstheme="minorHAnsi"/>
                <w:color w:val="000000"/>
              </w:rPr>
              <w:t xml:space="preserve"> aktivnosti</w:t>
            </w:r>
            <w:r w:rsidRPr="00BF7E07">
              <w:rPr>
                <w:rFonts w:cstheme="minorHAnsi"/>
                <w:color w:val="000000"/>
              </w:rPr>
              <w:t xml:space="preserve"> in spremljanje učinkov.</w:t>
            </w:r>
            <w:r w:rsidR="00863D54">
              <w:rPr>
                <w:rFonts w:cstheme="minorHAnsi"/>
                <w:color w:val="000000"/>
              </w:rPr>
              <w:t xml:space="preserve"> </w:t>
            </w:r>
            <w:r w:rsidRPr="00BF7E07">
              <w:rPr>
                <w:rFonts w:cstheme="minorHAnsi"/>
                <w:color w:val="000000"/>
              </w:rPr>
              <w:t xml:space="preserve">Strategija opredeljuje štiri razvojna področja in 13 neposrednih ukrepov z določenimi cilji, nosilci, kazalniki in finančnim načrtom. Ločeno so predstavljeni horizontalni sistemski mehanizmi. Spremljanje bo potekalo letno, predvidene so tudi tri fazne </w:t>
            </w:r>
            <w:r w:rsidR="0073767E">
              <w:rPr>
                <w:rFonts w:cstheme="minorHAnsi"/>
                <w:color w:val="000000"/>
              </w:rPr>
              <w:t>revizije oziroma evalvacije</w:t>
            </w:r>
            <w:r w:rsidRPr="00BF7E07">
              <w:rPr>
                <w:rFonts w:cstheme="minorHAnsi"/>
                <w:color w:val="000000"/>
              </w:rPr>
              <w:t xml:space="preserve"> (2028, 2031, 2035)</w:t>
            </w:r>
            <w:r w:rsidR="0073767E">
              <w:rPr>
                <w:rFonts w:cstheme="minorHAnsi"/>
                <w:color w:val="000000"/>
              </w:rPr>
              <w:t xml:space="preserve">, saj gre </w:t>
            </w:r>
            <w:r w:rsidR="00363E78">
              <w:rPr>
                <w:rFonts w:cstheme="minorHAnsi"/>
                <w:color w:val="000000"/>
              </w:rPr>
              <w:t xml:space="preserve">za </w:t>
            </w:r>
            <w:r w:rsidR="0073767E">
              <w:rPr>
                <w:rFonts w:cstheme="minorHAnsi"/>
                <w:color w:val="000000"/>
              </w:rPr>
              <w:t>področje, v okviru</w:t>
            </w:r>
            <w:r w:rsidR="00184273">
              <w:rPr>
                <w:rFonts w:cstheme="minorHAnsi"/>
                <w:color w:val="000000"/>
              </w:rPr>
              <w:t xml:space="preserve"> katerega</w:t>
            </w:r>
            <w:r w:rsidR="0073767E">
              <w:rPr>
                <w:rFonts w:cstheme="minorHAnsi"/>
                <w:color w:val="000000"/>
              </w:rPr>
              <w:t xml:space="preserve"> bo prihajalo do hitrih sprememb</w:t>
            </w:r>
            <w:r w:rsidRPr="00BF7E07">
              <w:rPr>
                <w:rFonts w:cstheme="minorHAnsi"/>
                <w:color w:val="000000"/>
              </w:rPr>
              <w:t xml:space="preserve">. </w:t>
            </w:r>
          </w:p>
          <w:p w14:paraId="3391F22E" w14:textId="77777777" w:rsidR="00BF7E07" w:rsidRDefault="00BF7E07" w:rsidP="00ED33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</w:rPr>
            </w:pPr>
          </w:p>
          <w:p w14:paraId="4C41767C" w14:textId="36D666D6" w:rsidR="00184273" w:rsidRDefault="00BF7E07" w:rsidP="001842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</w:rPr>
            </w:pPr>
            <w:r w:rsidRPr="00BF7E07">
              <w:rPr>
                <w:rFonts w:cstheme="minorHAnsi"/>
                <w:color w:val="000000"/>
              </w:rPr>
              <w:t>Strategija, ki jo predlagamo v spreje</w:t>
            </w:r>
            <w:r w:rsidR="00863D54">
              <w:rPr>
                <w:rFonts w:cstheme="minorHAnsi"/>
                <w:color w:val="000000"/>
              </w:rPr>
              <w:t>m</w:t>
            </w:r>
            <w:r w:rsidRPr="00BF7E07">
              <w:rPr>
                <w:rFonts w:cstheme="minorHAnsi"/>
                <w:color w:val="000000"/>
              </w:rPr>
              <w:t xml:space="preserve">, predstavlja sistemski odgovor na izzive in priložnosti razvoja </w:t>
            </w:r>
            <w:r w:rsidR="00863D54">
              <w:rPr>
                <w:rFonts w:cstheme="minorHAnsi"/>
                <w:color w:val="000000"/>
              </w:rPr>
              <w:t>QT</w:t>
            </w:r>
            <w:r w:rsidRPr="00BF7E07">
              <w:rPr>
                <w:rFonts w:cstheme="minorHAnsi"/>
                <w:color w:val="000000"/>
              </w:rPr>
              <w:t xml:space="preserve">, ki bodo v prihodnjem desetletju vplivale na znanost, gospodarstvo, varnost in </w:t>
            </w:r>
            <w:r>
              <w:rPr>
                <w:rFonts w:cstheme="minorHAnsi"/>
                <w:color w:val="000000"/>
              </w:rPr>
              <w:t>tehnološko</w:t>
            </w:r>
            <w:r w:rsidRPr="00BF7E07">
              <w:rPr>
                <w:rFonts w:cstheme="minorHAnsi"/>
                <w:color w:val="000000"/>
              </w:rPr>
              <w:t xml:space="preserve"> suverenost Slovenije ter EU. Z njenim izvajanjem bo Slovenija prepoznana kot vodilna na izbranih nišnih področjih in bo prispevala k </w:t>
            </w:r>
            <w:r>
              <w:rPr>
                <w:rFonts w:cstheme="minorHAnsi"/>
                <w:color w:val="000000"/>
              </w:rPr>
              <w:t xml:space="preserve">izpostavitvi nacionalnih strateških prednosti ter </w:t>
            </w:r>
            <w:r w:rsidRPr="00BF7E07">
              <w:rPr>
                <w:rFonts w:cstheme="minorHAnsi"/>
                <w:color w:val="000000"/>
              </w:rPr>
              <w:t>uresničevanju evropskih ciljev.</w:t>
            </w:r>
            <w:r>
              <w:rPr>
                <w:rFonts w:cstheme="minorHAnsi"/>
                <w:color w:val="000000"/>
              </w:rPr>
              <w:t xml:space="preserve"> </w:t>
            </w:r>
          </w:p>
          <w:p w14:paraId="318C55E5" w14:textId="70F71733" w:rsidR="00184273" w:rsidRPr="00ED339F" w:rsidRDefault="00184273" w:rsidP="001842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8E68AE" w:rsidRPr="008E68AE" w14:paraId="1E1EE16F" w14:textId="77777777" w:rsidTr="42571F4B">
        <w:tc>
          <w:tcPr>
            <w:tcW w:w="9163" w:type="dxa"/>
            <w:gridSpan w:val="4"/>
          </w:tcPr>
          <w:p w14:paraId="67AACA47" w14:textId="77777777" w:rsidR="008E68AE" w:rsidRPr="008E68AE" w:rsidRDefault="008E68AE" w:rsidP="00A16AB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8E68AE">
              <w:rPr>
                <w:rFonts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8E68AE" w:rsidRPr="008E68AE" w14:paraId="37D740D0" w14:textId="77777777" w:rsidTr="42571F4B">
        <w:tc>
          <w:tcPr>
            <w:tcW w:w="1448" w:type="dxa"/>
          </w:tcPr>
          <w:p w14:paraId="21BB186C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21A4AA72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452BAEA1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360515">
              <w:rPr>
                <w:rFonts w:cs="Arial"/>
                <w:b/>
                <w:bCs/>
                <w:szCs w:val="20"/>
                <w:lang w:eastAsia="sl-SI"/>
              </w:rPr>
              <w:t>DA/</w:t>
            </w:r>
            <w:r w:rsidRPr="00360515">
              <w:rPr>
                <w:rFonts w:cs="Arial"/>
                <w:bCs/>
                <w:szCs w:val="20"/>
                <w:lang w:eastAsia="sl-SI"/>
              </w:rPr>
              <w:t>NE</w:t>
            </w:r>
          </w:p>
        </w:tc>
      </w:tr>
      <w:tr w:rsidR="008E68AE" w:rsidRPr="008E68AE" w14:paraId="122DA475" w14:textId="77777777" w:rsidTr="42571F4B">
        <w:tc>
          <w:tcPr>
            <w:tcW w:w="1448" w:type="dxa"/>
          </w:tcPr>
          <w:p w14:paraId="57DE3BBC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03A682C7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25F3B9DA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DA/</w:t>
            </w:r>
            <w:r w:rsidRPr="008E68AE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8E68AE" w:rsidRPr="008E68AE" w14:paraId="063364A6" w14:textId="77777777" w:rsidTr="42571F4B">
        <w:tc>
          <w:tcPr>
            <w:tcW w:w="1448" w:type="dxa"/>
          </w:tcPr>
          <w:p w14:paraId="7C0AE22F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lastRenderedPageBreak/>
              <w:t>c)</w:t>
            </w:r>
          </w:p>
        </w:tc>
        <w:tc>
          <w:tcPr>
            <w:tcW w:w="5444" w:type="dxa"/>
            <w:gridSpan w:val="2"/>
          </w:tcPr>
          <w:p w14:paraId="4894226E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75F9AB73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DA</w:t>
            </w:r>
            <w:r w:rsidRPr="008E68AE">
              <w:rPr>
                <w:rFonts w:cs="Arial"/>
                <w:b/>
                <w:szCs w:val="20"/>
                <w:lang w:eastAsia="sl-SI"/>
              </w:rPr>
              <w:t>/NE</w:t>
            </w:r>
          </w:p>
        </w:tc>
      </w:tr>
      <w:tr w:rsidR="008E68AE" w:rsidRPr="008E68AE" w14:paraId="15CED909" w14:textId="77777777" w:rsidTr="42571F4B">
        <w:tc>
          <w:tcPr>
            <w:tcW w:w="1448" w:type="dxa"/>
          </w:tcPr>
          <w:p w14:paraId="7CA8F02B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7812A6D7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gospodarstvo, zlasti</w:t>
            </w:r>
            <w:r w:rsidRPr="008E68AE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7E9784CE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DA/</w:t>
            </w:r>
            <w:r w:rsidRPr="008E68AE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8E68AE" w:rsidRPr="008E68AE" w14:paraId="10E73D96" w14:textId="77777777" w:rsidTr="42571F4B">
        <w:tc>
          <w:tcPr>
            <w:tcW w:w="1448" w:type="dxa"/>
          </w:tcPr>
          <w:p w14:paraId="3B68EE09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438098D9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68AE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3774A4E9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DA/</w:t>
            </w:r>
            <w:r w:rsidRPr="008E68AE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8E68AE" w:rsidRPr="008E68AE" w14:paraId="23BF6A77" w14:textId="77777777" w:rsidTr="42571F4B">
        <w:tc>
          <w:tcPr>
            <w:tcW w:w="1448" w:type="dxa"/>
          </w:tcPr>
          <w:p w14:paraId="12326D26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3392137C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68AE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06025D3C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DA/</w:t>
            </w:r>
            <w:r w:rsidRPr="008E68AE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8E68AE" w:rsidRPr="008E68AE" w14:paraId="47F041B1" w14:textId="77777777" w:rsidTr="42571F4B">
        <w:tc>
          <w:tcPr>
            <w:tcW w:w="1448" w:type="dxa"/>
            <w:tcBorders>
              <w:bottom w:val="single" w:sz="4" w:space="0" w:color="auto"/>
            </w:tcBorders>
          </w:tcPr>
          <w:p w14:paraId="01641C65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8A1F4E7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68AE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783D342F" w14:textId="77777777" w:rsidR="008E68AE" w:rsidRPr="008E68AE" w:rsidRDefault="008E68AE" w:rsidP="00A16AB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68AE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5F07D49A" w14:textId="77777777" w:rsidR="008E68AE" w:rsidRPr="008E68AE" w:rsidRDefault="008E68AE" w:rsidP="00A16AB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68AE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4A73F694" w14:textId="77777777" w:rsidR="008E68AE" w:rsidRPr="008E68AE" w:rsidRDefault="008E68AE" w:rsidP="00A16AB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68AE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DC7756A" w14:textId="77777777" w:rsidR="008E68AE" w:rsidRPr="008E68AE" w:rsidRDefault="008E68AE" w:rsidP="00A16AB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DA/</w:t>
            </w:r>
            <w:r w:rsidRPr="008E68AE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8E68AE" w:rsidRPr="008E68AE" w14:paraId="69712219" w14:textId="77777777" w:rsidTr="42571F4B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0980" w14:textId="77777777" w:rsidR="008E68AE" w:rsidRPr="008E68AE" w:rsidRDefault="008E68AE" w:rsidP="00A16AB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8E68AE">
              <w:rPr>
                <w:rFonts w:cs="Arial"/>
                <w:b/>
                <w:szCs w:val="20"/>
                <w:lang w:eastAsia="sl-SI"/>
              </w:rPr>
              <w:t>7.a Predstavitev ocene finančnih posledic nad 40.000 EUR:</w:t>
            </w:r>
          </w:p>
          <w:p w14:paraId="457F362F" w14:textId="77777777" w:rsidR="008E68AE" w:rsidRDefault="008E68AE" w:rsidP="00A16AB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(Samo če izberete DA pod točko 6.a.)</w:t>
            </w:r>
          </w:p>
          <w:p w14:paraId="3241F9C4" w14:textId="77777777" w:rsidR="00F705CA" w:rsidRDefault="00F705CA" w:rsidP="00A16AB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p w14:paraId="0CB21FCD" w14:textId="3DF53801" w:rsidR="00753715" w:rsidRPr="00DE00F6" w:rsidRDefault="00F705CA" w:rsidP="0057329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DE00F6">
              <w:rPr>
                <w:rFonts w:cs="Arial"/>
                <w:szCs w:val="20"/>
                <w:lang w:eastAsia="sl-SI"/>
              </w:rPr>
              <w:t xml:space="preserve">Strategija razvoja kvantnih tehnologij v Sloveniji do leta 2035 </w:t>
            </w:r>
            <w:r w:rsidR="00CD2304" w:rsidRPr="00DE00F6">
              <w:rPr>
                <w:rFonts w:cs="Arial"/>
                <w:szCs w:val="20"/>
                <w:lang w:eastAsia="sl-SI"/>
              </w:rPr>
              <w:t>vključuje</w:t>
            </w:r>
            <w:r w:rsidRPr="00DE00F6">
              <w:rPr>
                <w:rFonts w:cs="Arial"/>
                <w:szCs w:val="20"/>
                <w:lang w:eastAsia="sl-SI"/>
              </w:rPr>
              <w:t xml:space="preserve"> 13 neposrednih ukrepov</w:t>
            </w:r>
            <w:r w:rsidR="00CD2304" w:rsidRPr="00DE00F6">
              <w:rPr>
                <w:rFonts w:cs="Arial"/>
                <w:szCs w:val="20"/>
                <w:lang w:eastAsia="sl-SI"/>
              </w:rPr>
              <w:t xml:space="preserve"> z opisom finančnih posledic</w:t>
            </w:r>
            <w:r w:rsidR="00753715" w:rsidRPr="00DE00F6">
              <w:rPr>
                <w:rFonts w:cs="Arial"/>
                <w:szCs w:val="20"/>
                <w:lang w:eastAsia="sl-SI"/>
              </w:rPr>
              <w:t xml:space="preserve">. </w:t>
            </w:r>
            <w:r w:rsidR="009E1E1E" w:rsidRPr="00DE00F6">
              <w:rPr>
                <w:rFonts w:cs="Arial"/>
                <w:szCs w:val="20"/>
                <w:lang w:eastAsia="sl-SI"/>
              </w:rPr>
              <w:t>V skladu z 29. členom</w:t>
            </w:r>
            <w:r w:rsidR="003F3983" w:rsidRPr="00DE00F6">
              <w:rPr>
                <w:rFonts w:cs="Arial"/>
                <w:szCs w:val="20"/>
                <w:lang w:eastAsia="sl-SI"/>
              </w:rPr>
              <w:t xml:space="preserve"> Zakona o izvrševanju proračunov Republike Slovenije za leti 2025 in 2026 (ZIPRS2526) (Uradni list RS, št. </w:t>
            </w:r>
            <w:hyperlink r:id="rId12" w:tgtFrame="_blank" w:tooltip="Zakon o izvrševanju proračunov Republike Slovenije za leti 2025 in 2026 (ZIPRS2526)" w:history="1">
              <w:r w:rsidR="003F3983" w:rsidRPr="00DE00F6">
                <w:rPr>
                  <w:rStyle w:val="Hiperpovezava"/>
                  <w:rFonts w:cs="Arial"/>
                  <w:color w:val="auto"/>
                  <w:szCs w:val="20"/>
                  <w:u w:val="none"/>
                  <w:lang w:eastAsia="sl-SI"/>
                </w:rPr>
                <w:t>104/24</w:t>
              </w:r>
            </w:hyperlink>
            <w:r w:rsidR="003F3983" w:rsidRPr="00DE00F6">
              <w:rPr>
                <w:rFonts w:cs="Arial"/>
                <w:szCs w:val="20"/>
                <w:lang w:eastAsia="sl-SI"/>
              </w:rPr>
              <w:t xml:space="preserve">, </w:t>
            </w:r>
            <w:hyperlink r:id="rId13" w:tgtFrame="_blank" w:tooltip="Zakon o spremembah in dopolnitvah Zakona o financiranju občin (ZFO-1E)" w:history="1">
              <w:r w:rsidR="003F3983" w:rsidRPr="00DE00F6">
                <w:rPr>
                  <w:rStyle w:val="Hiperpovezava"/>
                  <w:rFonts w:cs="Arial"/>
                  <w:color w:val="auto"/>
                  <w:szCs w:val="20"/>
                  <w:u w:val="none"/>
                  <w:lang w:eastAsia="sl-SI"/>
                </w:rPr>
                <w:t>17/25</w:t>
              </w:r>
            </w:hyperlink>
            <w:r w:rsidR="003F3983" w:rsidRPr="00DE00F6">
              <w:rPr>
                <w:rFonts w:cs="Arial"/>
                <w:szCs w:val="20"/>
                <w:lang w:eastAsia="sl-SI"/>
              </w:rPr>
              <w:t xml:space="preserve"> – ZFO-1E in </w:t>
            </w:r>
            <w:hyperlink r:id="rId14" w:tgtFrame="_blank" w:tooltip="Zakon o javnih uslužbencih (ZJU-1)" w:history="1">
              <w:r w:rsidR="003F3983" w:rsidRPr="00DE00F6">
                <w:rPr>
                  <w:rStyle w:val="Hiperpovezava"/>
                  <w:rFonts w:cs="Arial"/>
                  <w:color w:val="auto"/>
                  <w:szCs w:val="20"/>
                  <w:u w:val="none"/>
                  <w:lang w:eastAsia="sl-SI"/>
                </w:rPr>
                <w:t>32/25</w:t>
              </w:r>
            </w:hyperlink>
            <w:r w:rsidR="003F3983" w:rsidRPr="00DE00F6">
              <w:rPr>
                <w:rFonts w:cs="Arial"/>
                <w:szCs w:val="20"/>
                <w:lang w:eastAsia="sl-SI"/>
              </w:rPr>
              <w:t xml:space="preserve"> – ZJU-1) </w:t>
            </w:r>
            <w:r w:rsidR="009E1E1E" w:rsidRPr="00DE00F6">
              <w:rPr>
                <w:rFonts w:cs="Arial"/>
                <w:szCs w:val="20"/>
                <w:lang w:eastAsia="sl-SI"/>
              </w:rPr>
              <w:t>se bodo pravice porabe zagotavljale v znesku, določenem s proračunom. Pri pripravi ocene finančnih posledic za prihodnja leta se upošteva</w:t>
            </w:r>
            <w:r w:rsidR="003F3983" w:rsidRPr="00DE00F6">
              <w:rPr>
                <w:rFonts w:cs="Arial"/>
                <w:kern w:val="36"/>
                <w:szCs w:val="20"/>
                <w:lang w:eastAsia="sl-SI"/>
              </w:rPr>
              <w:t xml:space="preserve"> </w:t>
            </w:r>
            <w:r w:rsidR="003F3983" w:rsidRPr="00DE00F6">
              <w:rPr>
                <w:rFonts w:cs="Arial"/>
                <w:szCs w:val="20"/>
                <w:lang w:eastAsia="sl-SI"/>
              </w:rPr>
              <w:t xml:space="preserve">Zakon o fiskalnem pravilu (ZFisP-1) (Uradni list RS, št. </w:t>
            </w:r>
            <w:hyperlink r:id="rId15" w:tgtFrame="_blank" w:tooltip="Zakon o fiskalnem pravilu (ZFisP-1)" w:history="1">
              <w:r w:rsidR="003F3983" w:rsidRPr="00DE00F6">
                <w:rPr>
                  <w:rStyle w:val="Hiperpovezava"/>
                  <w:rFonts w:cs="Arial"/>
                  <w:color w:val="auto"/>
                  <w:szCs w:val="20"/>
                  <w:u w:val="none"/>
                  <w:lang w:eastAsia="sl-SI"/>
                </w:rPr>
                <w:t>24/25</w:t>
              </w:r>
            </w:hyperlink>
            <w:r w:rsidR="003F3983" w:rsidRPr="00DE00F6">
              <w:rPr>
                <w:rFonts w:cs="Arial"/>
                <w:szCs w:val="20"/>
                <w:lang w:eastAsia="sl-SI"/>
              </w:rPr>
              <w:t xml:space="preserve">). </w:t>
            </w:r>
          </w:p>
          <w:p w14:paraId="4085D41C" w14:textId="77777777" w:rsidR="003F3983" w:rsidRPr="00DE00F6" w:rsidRDefault="003F3983" w:rsidP="003F39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p w14:paraId="04409B24" w14:textId="4E906216" w:rsidR="00184273" w:rsidRPr="00DE00F6" w:rsidRDefault="00753715" w:rsidP="00CD230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</w:rPr>
            </w:pPr>
            <w:r w:rsidRPr="00DE00F6">
              <w:rPr>
                <w:rFonts w:cs="Arial"/>
                <w:color w:val="000000"/>
                <w:szCs w:val="20"/>
                <w:lang w:eastAsia="sl-SI"/>
              </w:rPr>
              <w:t xml:space="preserve">Finančna </w:t>
            </w:r>
            <w:r w:rsidRPr="00DE00F6">
              <w:rPr>
                <w:rFonts w:cs="Arial"/>
                <w:szCs w:val="20"/>
                <w:lang w:eastAsia="sl-SI"/>
              </w:rPr>
              <w:t>vrednost vseh predlaganih</w:t>
            </w:r>
            <w:r w:rsidR="00CD2304" w:rsidRPr="00DE00F6">
              <w:rPr>
                <w:rFonts w:cs="Arial"/>
                <w:szCs w:val="20"/>
                <w:lang w:eastAsia="sl-SI"/>
              </w:rPr>
              <w:t xml:space="preserve"> neposrednih</w:t>
            </w:r>
            <w:r w:rsidRPr="00DE00F6">
              <w:rPr>
                <w:rFonts w:cs="Arial"/>
                <w:szCs w:val="20"/>
                <w:lang w:eastAsia="sl-SI"/>
              </w:rPr>
              <w:t xml:space="preserve"> ukrepov, ki so</w:t>
            </w:r>
            <w:r w:rsidR="00CD2304" w:rsidRPr="00DE00F6">
              <w:rPr>
                <w:rFonts w:cs="Arial"/>
                <w:szCs w:val="20"/>
                <w:lang w:eastAsia="sl-SI"/>
              </w:rPr>
              <w:t xml:space="preserve"> celovito vsebinsko in</w:t>
            </w:r>
            <w:r w:rsidRPr="00DE00F6">
              <w:rPr>
                <w:rFonts w:cs="Arial"/>
                <w:szCs w:val="20"/>
                <w:lang w:eastAsia="sl-SI"/>
              </w:rPr>
              <w:t xml:space="preserve"> finančno ovrednoten</w:t>
            </w:r>
            <w:r w:rsidR="00363E78">
              <w:rPr>
                <w:rFonts w:cs="Arial"/>
                <w:szCs w:val="20"/>
                <w:lang w:eastAsia="sl-SI"/>
              </w:rPr>
              <w:t>i</w:t>
            </w:r>
            <w:r w:rsidRPr="00DE00F6">
              <w:rPr>
                <w:rFonts w:cs="Arial"/>
                <w:szCs w:val="20"/>
                <w:lang w:eastAsia="sl-SI"/>
              </w:rPr>
              <w:t xml:space="preserve"> v 4. poglavju Strategije in </w:t>
            </w:r>
            <w:r w:rsidR="00CD2304" w:rsidRPr="00DE00F6">
              <w:rPr>
                <w:rFonts w:cs="Arial"/>
                <w:szCs w:val="20"/>
                <w:lang w:eastAsia="sl-SI"/>
              </w:rPr>
              <w:t>povzeti v</w:t>
            </w:r>
            <w:r w:rsidRPr="00DE00F6">
              <w:rPr>
                <w:rFonts w:cs="Arial"/>
                <w:szCs w:val="20"/>
                <w:lang w:eastAsia="sl-SI"/>
              </w:rPr>
              <w:t xml:space="preserve"> Finančnem načrtu, ki je priloga 1 Strategije</w:t>
            </w:r>
            <w:r w:rsidR="00CD2304" w:rsidRPr="00DE00F6">
              <w:rPr>
                <w:rFonts w:cs="Arial"/>
                <w:szCs w:val="20"/>
                <w:lang w:eastAsia="sl-SI"/>
              </w:rPr>
              <w:t>;</w:t>
            </w:r>
            <w:r w:rsidRPr="00DE00F6">
              <w:rPr>
                <w:rFonts w:cs="Arial"/>
                <w:szCs w:val="20"/>
                <w:lang w:eastAsia="sl-SI"/>
              </w:rPr>
              <w:t xml:space="preserve"> je ocenjena na </w:t>
            </w:r>
            <w:r w:rsidR="0079680A" w:rsidRPr="0079680A">
              <w:rPr>
                <w:rFonts w:cs="Arial"/>
                <w:szCs w:val="20"/>
              </w:rPr>
              <w:t>51.865.924,39</w:t>
            </w:r>
            <w:r w:rsidR="00982F38">
              <w:rPr>
                <w:rFonts w:cs="Arial"/>
                <w:szCs w:val="20"/>
              </w:rPr>
              <w:t xml:space="preserve"> </w:t>
            </w:r>
            <w:r w:rsidR="00184273" w:rsidRPr="00DE00F6">
              <w:rPr>
                <w:rFonts w:cs="Arial"/>
                <w:szCs w:val="20"/>
              </w:rPr>
              <w:t xml:space="preserve">EUR </w:t>
            </w:r>
            <w:r w:rsidR="002912DC" w:rsidRPr="00DE00F6">
              <w:rPr>
                <w:rFonts w:cs="Arial"/>
                <w:szCs w:val="20"/>
              </w:rPr>
              <w:t xml:space="preserve"> za obdobje prihodnjih 10 let (2025-2035)</w:t>
            </w:r>
            <w:r w:rsidR="00184273" w:rsidRPr="00DE00F6">
              <w:rPr>
                <w:rFonts w:cs="Arial"/>
                <w:szCs w:val="20"/>
              </w:rPr>
              <w:t xml:space="preserve">. </w:t>
            </w:r>
          </w:p>
          <w:p w14:paraId="67BB7DA5" w14:textId="77777777" w:rsidR="00184273" w:rsidRPr="00DE00F6" w:rsidRDefault="00184273" w:rsidP="00CD230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</w:rPr>
            </w:pPr>
          </w:p>
          <w:p w14:paraId="2B822E62" w14:textId="21B2EBF4" w:rsidR="00CD2304" w:rsidRPr="00DE00F6" w:rsidRDefault="00B20048" w:rsidP="00CD230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</w:rPr>
            </w:pPr>
            <w:r w:rsidRPr="00DE00F6">
              <w:rPr>
                <w:rFonts w:cs="Arial"/>
                <w:szCs w:val="20"/>
              </w:rPr>
              <w:t xml:space="preserve">Strategija je nacionalni strateški dokument, ki postavlja smernice, razvojne cilje, načrtuje ukrepe in kazalnike, kar pomeni, da strategija sama po sebi ni </w:t>
            </w:r>
            <w:r w:rsidR="00333339" w:rsidRPr="00DE00F6">
              <w:rPr>
                <w:rFonts w:cs="Arial"/>
                <w:szCs w:val="20"/>
              </w:rPr>
              <w:t xml:space="preserve">finančno </w:t>
            </w:r>
            <w:r w:rsidRPr="00DE00F6">
              <w:rPr>
                <w:rFonts w:cs="Arial"/>
                <w:szCs w:val="20"/>
              </w:rPr>
              <w:t xml:space="preserve">izvršljiv dokument. </w:t>
            </w:r>
            <w:r w:rsidR="009E1E1E" w:rsidRPr="00DE00F6">
              <w:rPr>
                <w:rFonts w:cs="Arial"/>
                <w:szCs w:val="20"/>
                <w:lang w:eastAsia="sl-SI"/>
              </w:rPr>
              <w:t>Strategija pokriva obdobje desetih let (2025-2035, t+10), kar velja tudi za izvajanje predvidenih 13</w:t>
            </w:r>
            <w:r w:rsidR="00CD2304" w:rsidRPr="00DE00F6">
              <w:rPr>
                <w:rFonts w:cs="Arial"/>
                <w:szCs w:val="20"/>
                <w:lang w:eastAsia="sl-SI"/>
              </w:rPr>
              <w:t xml:space="preserve"> neposrednih</w:t>
            </w:r>
            <w:r w:rsidR="009E1E1E" w:rsidRPr="00DE00F6">
              <w:rPr>
                <w:rFonts w:cs="Arial"/>
                <w:szCs w:val="20"/>
                <w:lang w:eastAsia="sl-SI"/>
              </w:rPr>
              <w:t xml:space="preserve"> ukrepov, pri čemer se nekateri že izvajajo, nekateri pa so </w:t>
            </w:r>
            <w:r w:rsidR="00CD2304" w:rsidRPr="00DE00F6">
              <w:rPr>
                <w:rFonts w:cs="Arial"/>
                <w:szCs w:val="20"/>
                <w:lang w:eastAsia="sl-SI"/>
              </w:rPr>
              <w:t xml:space="preserve">zgolj </w:t>
            </w:r>
            <w:r w:rsidR="009E1E1E" w:rsidRPr="00DE00F6">
              <w:rPr>
                <w:rFonts w:cs="Arial"/>
                <w:szCs w:val="20"/>
                <w:lang w:eastAsia="sl-SI"/>
              </w:rPr>
              <w:t xml:space="preserve">v načrtovanju, </w:t>
            </w:r>
            <w:r w:rsidR="00184273" w:rsidRPr="00DE00F6">
              <w:rPr>
                <w:rFonts w:cs="Arial"/>
                <w:szCs w:val="20"/>
                <w:lang w:eastAsia="sl-SI"/>
              </w:rPr>
              <w:t>pričetek njihovega</w:t>
            </w:r>
            <w:r w:rsidR="009E1E1E" w:rsidRPr="00DE00F6">
              <w:rPr>
                <w:rFonts w:cs="Arial"/>
                <w:szCs w:val="20"/>
                <w:lang w:eastAsia="sl-SI"/>
              </w:rPr>
              <w:t xml:space="preserve"> izvajanj</w:t>
            </w:r>
            <w:r w:rsidR="00184273" w:rsidRPr="00DE00F6">
              <w:rPr>
                <w:rFonts w:cs="Arial"/>
                <w:szCs w:val="20"/>
                <w:lang w:eastAsia="sl-SI"/>
              </w:rPr>
              <w:t>a</w:t>
            </w:r>
            <w:r w:rsidR="009E1E1E" w:rsidRPr="00DE00F6">
              <w:rPr>
                <w:rFonts w:cs="Arial"/>
                <w:szCs w:val="20"/>
                <w:lang w:eastAsia="sl-SI"/>
              </w:rPr>
              <w:t xml:space="preserve"> je predviden </w:t>
            </w:r>
            <w:r w:rsidR="00CD2304" w:rsidRPr="00DE00F6">
              <w:rPr>
                <w:rFonts w:cs="Arial"/>
                <w:szCs w:val="20"/>
                <w:lang w:eastAsia="sl-SI"/>
              </w:rPr>
              <w:t xml:space="preserve">tudi več let </w:t>
            </w:r>
            <w:r w:rsidR="00184273" w:rsidRPr="00DE00F6">
              <w:rPr>
                <w:rFonts w:cs="Arial"/>
                <w:szCs w:val="20"/>
                <w:lang w:eastAsia="sl-SI"/>
              </w:rPr>
              <w:t>po</w:t>
            </w:r>
            <w:r w:rsidR="00CD2304" w:rsidRPr="00DE00F6">
              <w:rPr>
                <w:rFonts w:cs="Arial"/>
                <w:szCs w:val="20"/>
                <w:lang w:eastAsia="sl-SI"/>
              </w:rPr>
              <w:t xml:space="preserve"> predvidene</w:t>
            </w:r>
            <w:r w:rsidR="00184273" w:rsidRPr="00DE00F6">
              <w:rPr>
                <w:rFonts w:cs="Arial"/>
                <w:szCs w:val="20"/>
                <w:lang w:eastAsia="sl-SI"/>
              </w:rPr>
              <w:t>m</w:t>
            </w:r>
            <w:r w:rsidR="009E1E1E" w:rsidRPr="00DE00F6">
              <w:rPr>
                <w:rFonts w:cs="Arial"/>
                <w:szCs w:val="20"/>
                <w:lang w:eastAsia="sl-SI"/>
              </w:rPr>
              <w:t xml:space="preserve"> </w:t>
            </w:r>
            <w:r w:rsidR="00CD2304" w:rsidRPr="00DE00F6">
              <w:rPr>
                <w:rFonts w:cs="Arial"/>
                <w:szCs w:val="20"/>
                <w:lang w:eastAsia="sl-SI"/>
              </w:rPr>
              <w:t>sprejem</w:t>
            </w:r>
            <w:r w:rsidR="00184273" w:rsidRPr="00DE00F6">
              <w:rPr>
                <w:rFonts w:cs="Arial"/>
                <w:szCs w:val="20"/>
                <w:lang w:eastAsia="sl-SI"/>
              </w:rPr>
              <w:t>u</w:t>
            </w:r>
            <w:r w:rsidR="009E1E1E" w:rsidRPr="00DE00F6">
              <w:rPr>
                <w:rFonts w:cs="Arial"/>
                <w:szCs w:val="20"/>
                <w:lang w:eastAsia="sl-SI"/>
              </w:rPr>
              <w:t xml:space="preserve"> </w:t>
            </w:r>
            <w:r w:rsidR="00CD2304" w:rsidRPr="00DE00F6">
              <w:rPr>
                <w:rFonts w:cs="Arial"/>
                <w:szCs w:val="20"/>
                <w:lang w:eastAsia="sl-SI"/>
              </w:rPr>
              <w:t>S</w:t>
            </w:r>
            <w:r w:rsidR="009E1E1E" w:rsidRPr="00DE00F6">
              <w:rPr>
                <w:rFonts w:cs="Arial"/>
                <w:szCs w:val="20"/>
                <w:lang w:eastAsia="sl-SI"/>
              </w:rPr>
              <w:t>trategije. Posledično, bo zaradi dinamike proračunskega načrtovanja potrebno sprotno, vsakoletno spremljanje izvajanja strategije, načrtovanj</w:t>
            </w:r>
            <w:r w:rsidR="00CD2304" w:rsidRPr="00DE00F6">
              <w:rPr>
                <w:rFonts w:cs="Arial"/>
                <w:szCs w:val="20"/>
                <w:lang w:eastAsia="sl-SI"/>
              </w:rPr>
              <w:t>e</w:t>
            </w:r>
            <w:r w:rsidR="009E1E1E" w:rsidRPr="00DE00F6">
              <w:rPr>
                <w:rFonts w:cs="Arial"/>
                <w:szCs w:val="20"/>
                <w:lang w:eastAsia="sl-SI"/>
              </w:rPr>
              <w:t xml:space="preserve"> implementacije ukrepov iz njihovim revidiranjem ter umeščanjem finančnih posledic glede na že zagotovljena sredstva v proračunu ter glede na možnosti pridobivanja sredstev za sofinanciranje ukrepov s strani evropskih pobud (denimo EuroHPC JU) oz. v kolikor to ne bo možno, glede na vsakokratne proračunske zmogljivosti, kar velja predvsem za nove ukrepe, k</w:t>
            </w:r>
            <w:r w:rsidR="00363E78">
              <w:rPr>
                <w:rFonts w:cs="Arial"/>
                <w:szCs w:val="20"/>
                <w:lang w:eastAsia="sl-SI"/>
              </w:rPr>
              <w:t>ot</w:t>
            </w:r>
            <w:r w:rsidR="009E1E1E" w:rsidRPr="00DE00F6">
              <w:rPr>
                <w:rFonts w:cs="Arial"/>
                <w:szCs w:val="20"/>
                <w:lang w:eastAsia="sl-SI"/>
              </w:rPr>
              <w:t xml:space="preserve"> pojasnjujemo v nadaljevanju. </w:t>
            </w:r>
            <w:r w:rsidR="00CD2304" w:rsidRPr="00DE00F6">
              <w:rPr>
                <w:rFonts w:cs="Arial"/>
                <w:szCs w:val="20"/>
              </w:rPr>
              <w:t xml:space="preserve">Za vse previdene ukrepe in za vsa načrtovana sredstva bodo pristojni resorji morali samostojno poskrbeti za ustrezno zagotovitev sredstev, bodisi z načrtovanjem ali prerazporeditvijo že zagotovljenih sredstev oziroma ustreznim proračunskim načrtovanjem novih sredstev. To bo vsakokrat urejeno s predlogi za uvrstitev projektov v Načrt razvojnih programov skladno z navodili v okviru </w:t>
            </w:r>
            <w:r w:rsidR="00363E78">
              <w:rPr>
                <w:rFonts w:cs="Arial"/>
                <w:szCs w:val="20"/>
              </w:rPr>
              <w:t>načrtovanja, potrjevanja in evidentiranja projektov v</w:t>
            </w:r>
            <w:r w:rsidR="00CD2304" w:rsidRPr="00DE00F6">
              <w:rPr>
                <w:rFonts w:cs="Arial"/>
                <w:szCs w:val="20"/>
              </w:rPr>
              <w:t xml:space="preserve"> Načrt</w:t>
            </w:r>
            <w:r w:rsidR="00363E78">
              <w:rPr>
                <w:rFonts w:cs="Arial"/>
                <w:szCs w:val="20"/>
              </w:rPr>
              <w:t>u</w:t>
            </w:r>
            <w:r w:rsidR="00CD2304" w:rsidRPr="00DE00F6">
              <w:rPr>
                <w:rFonts w:cs="Arial"/>
                <w:szCs w:val="20"/>
              </w:rPr>
              <w:t xml:space="preserve"> razvojnih programov. </w:t>
            </w:r>
          </w:p>
          <w:p w14:paraId="62617C49" w14:textId="77777777" w:rsidR="009E1E1E" w:rsidRPr="00DE00F6" w:rsidRDefault="009E1E1E" w:rsidP="009E1E1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p w14:paraId="50E9DDDA" w14:textId="0222D5A9" w:rsidR="009E1E1E" w:rsidRPr="008C4C52" w:rsidRDefault="009E1E1E" w:rsidP="008C4C5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</w:rPr>
            </w:pPr>
            <w:r w:rsidRPr="00DE00F6">
              <w:rPr>
                <w:rFonts w:cs="Arial"/>
                <w:szCs w:val="20"/>
                <w:lang w:eastAsia="sl-SI"/>
              </w:rPr>
              <w:t xml:space="preserve">Prikazane finančne posledice v točki II. so pripravljene ob upoštevanju, da se bodo za večino predlaganih </w:t>
            </w:r>
            <w:r w:rsidR="00CD2304" w:rsidRPr="00DE00F6">
              <w:rPr>
                <w:rFonts w:cs="Arial"/>
                <w:szCs w:val="20"/>
                <w:lang w:eastAsia="sl-SI"/>
              </w:rPr>
              <w:t xml:space="preserve">neposrednih </w:t>
            </w:r>
            <w:r w:rsidRPr="00DE00F6">
              <w:rPr>
                <w:rFonts w:cs="Arial"/>
                <w:szCs w:val="20"/>
                <w:lang w:eastAsia="sl-SI"/>
              </w:rPr>
              <w:t xml:space="preserve">ukrepov v Strategiji namenila sredstva iz že obstoječih virov, predvidenih v okviru tekočih evropskih in nacionalnih programov, kar pomeni, da so bodisi že zagotovljena v proračunu ali pa jih resorji načrtujejo v okviru obstoječih pobud in ne predstavljajo novih obremenitev za proračun </w:t>
            </w:r>
            <w:r w:rsidR="00363E78">
              <w:rPr>
                <w:rFonts w:cs="Arial"/>
                <w:szCs w:val="20"/>
                <w:lang w:eastAsia="sl-SI"/>
              </w:rPr>
              <w:t>RS</w:t>
            </w:r>
            <w:r w:rsidRPr="00DE00F6">
              <w:rPr>
                <w:rFonts w:cs="Arial"/>
                <w:szCs w:val="20"/>
                <w:lang w:eastAsia="sl-SI"/>
              </w:rPr>
              <w:t>. V točki II. so prikazane finančne posledice za leti 2025 in 2026 (t in t+1), ki obsega</w:t>
            </w:r>
            <w:r w:rsidR="00CD2304" w:rsidRPr="00DE00F6">
              <w:rPr>
                <w:rFonts w:cs="Arial"/>
                <w:szCs w:val="20"/>
                <w:lang w:eastAsia="sl-SI"/>
              </w:rPr>
              <w:t>jo</w:t>
            </w:r>
            <w:r w:rsidRPr="00DE00F6">
              <w:rPr>
                <w:rFonts w:cs="Arial"/>
                <w:szCs w:val="20"/>
                <w:lang w:eastAsia="sl-SI"/>
              </w:rPr>
              <w:t xml:space="preserve"> vrednost </w:t>
            </w:r>
            <w:r w:rsidR="009F31FC">
              <w:t xml:space="preserve"> </w:t>
            </w:r>
            <w:r w:rsidR="009F31FC" w:rsidRPr="009F31FC">
              <w:rPr>
                <w:rFonts w:cs="Arial"/>
                <w:szCs w:val="20"/>
                <w:lang w:eastAsia="sl-SI"/>
              </w:rPr>
              <w:t xml:space="preserve">1.058.890,59 </w:t>
            </w:r>
            <w:r w:rsidR="006C0AC1" w:rsidRPr="00DE00F6">
              <w:rPr>
                <w:rFonts w:cs="Arial"/>
                <w:szCs w:val="20"/>
                <w:lang w:eastAsia="sl-SI"/>
              </w:rPr>
              <w:t xml:space="preserve">EUR za leto 2025 (t) in </w:t>
            </w:r>
            <w:r w:rsidR="009F31FC" w:rsidRPr="009F31FC">
              <w:rPr>
                <w:rFonts w:cs="Arial"/>
                <w:szCs w:val="20"/>
                <w:lang w:eastAsia="sl-SI"/>
              </w:rPr>
              <w:t xml:space="preserve">1.553.653,40 </w:t>
            </w:r>
            <w:r w:rsidR="006C0AC1" w:rsidRPr="00DE00F6">
              <w:rPr>
                <w:rFonts w:cs="Arial"/>
                <w:szCs w:val="20"/>
                <w:lang w:eastAsia="sl-SI"/>
              </w:rPr>
              <w:t>EUR za leto 2026 (t+1)</w:t>
            </w:r>
            <w:r w:rsidRPr="00DE00F6">
              <w:rPr>
                <w:rFonts w:cs="Arial"/>
                <w:szCs w:val="20"/>
                <w:lang w:eastAsia="sl-SI"/>
              </w:rPr>
              <w:t xml:space="preserve">, skupna </w:t>
            </w:r>
            <w:r w:rsidRPr="008C4C52">
              <w:rPr>
                <w:rFonts w:cs="Arial"/>
                <w:szCs w:val="20"/>
                <w:lang w:eastAsia="sl-SI"/>
              </w:rPr>
              <w:t xml:space="preserve">vrednost sredstev teh ukrepov za celotno obdobje trajanja strategije do t+10 (2025-2030) pa je ocenjena na </w:t>
            </w:r>
            <w:r w:rsidR="0079680A" w:rsidRPr="0079680A">
              <w:rPr>
                <w:rFonts w:cs="Arial"/>
                <w:color w:val="000000"/>
                <w:szCs w:val="20"/>
              </w:rPr>
              <w:t>24.565.924,39</w:t>
            </w:r>
            <w:r w:rsidR="0079680A">
              <w:rPr>
                <w:rFonts w:cs="Arial"/>
                <w:color w:val="000000"/>
                <w:szCs w:val="20"/>
              </w:rPr>
              <w:t xml:space="preserve"> </w:t>
            </w:r>
            <w:r w:rsidRPr="008C4C52">
              <w:rPr>
                <w:rFonts w:cs="Arial"/>
                <w:szCs w:val="20"/>
                <w:lang w:eastAsia="sl-SI"/>
              </w:rPr>
              <w:t xml:space="preserve">EUR. Ob vsakoletnem spremljanju izvajanja strategije in </w:t>
            </w:r>
            <w:r w:rsidR="00CD2304" w:rsidRPr="008C4C52">
              <w:rPr>
                <w:rFonts w:cs="Arial"/>
                <w:szCs w:val="20"/>
                <w:lang w:eastAsia="sl-SI"/>
              </w:rPr>
              <w:t xml:space="preserve">uresničevanja neposrednih </w:t>
            </w:r>
            <w:r w:rsidRPr="008C4C52">
              <w:rPr>
                <w:rFonts w:cs="Arial"/>
                <w:szCs w:val="20"/>
                <w:lang w:eastAsia="sl-SI"/>
              </w:rPr>
              <w:t>ukrepov se bo izvedla revizija</w:t>
            </w:r>
            <w:r w:rsidRPr="00DE00F6">
              <w:rPr>
                <w:rFonts w:cs="Arial"/>
                <w:szCs w:val="20"/>
                <w:lang w:eastAsia="sl-SI"/>
              </w:rPr>
              <w:t xml:space="preserve"> finančnih posledic ob vsakokratnem proračunskem načrtovanju glede na razpoložljive proračunske možnosti. </w:t>
            </w:r>
          </w:p>
          <w:p w14:paraId="36F0CC29" w14:textId="77777777" w:rsidR="009E1E1E" w:rsidRPr="00DE00F6" w:rsidRDefault="009E1E1E" w:rsidP="009E1E1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p w14:paraId="123C84B7" w14:textId="0AF8DE28" w:rsidR="00A80764" w:rsidRDefault="009E1E1E" w:rsidP="005B2A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DE00F6">
              <w:rPr>
                <w:rFonts w:cs="Arial"/>
                <w:szCs w:val="20"/>
                <w:lang w:eastAsia="sl-SI"/>
              </w:rPr>
              <w:t>Prikazane finančne posledice v točki I. so pripravljene ob upoštevanju, da gre za nove ukrepe, konkretno za ukrep pridobitve kvantnega računalnika, katerega ocenjena vrednost znaša 20.000.000,00 EUR</w:t>
            </w:r>
            <w:r w:rsidR="00CD2304" w:rsidRPr="00DE00F6">
              <w:rPr>
                <w:rFonts w:cs="Arial"/>
                <w:szCs w:val="20"/>
                <w:lang w:eastAsia="sl-SI"/>
              </w:rPr>
              <w:t>;</w:t>
            </w:r>
            <w:r w:rsidRPr="00DE00F6">
              <w:rPr>
                <w:rFonts w:cs="Arial"/>
                <w:szCs w:val="20"/>
                <w:lang w:eastAsia="sl-SI"/>
              </w:rPr>
              <w:t xml:space="preserve"> dva ukrepa, ki sta vezana na vzpostavitev Kompetenčnega centra za kvantne tehnologije in sicer ukrep delovanja Kompetenčnega centra za kvantne tehnologije </w:t>
            </w:r>
            <w:r w:rsidR="005B2AAE">
              <w:rPr>
                <w:rFonts w:cs="Arial"/>
                <w:szCs w:val="20"/>
                <w:lang w:eastAsia="sl-SI"/>
              </w:rPr>
              <w:t xml:space="preserve">v višini </w:t>
            </w:r>
            <w:r w:rsidRPr="00DE00F6">
              <w:rPr>
                <w:rFonts w:cs="Arial"/>
                <w:szCs w:val="20"/>
                <w:lang w:eastAsia="sl-SI"/>
              </w:rPr>
              <w:t>500.000,00 EUR letno in</w:t>
            </w:r>
            <w:r w:rsidR="005B2AAE">
              <w:rPr>
                <w:rFonts w:cs="Arial"/>
                <w:szCs w:val="20"/>
                <w:lang w:eastAsia="sl-SI"/>
              </w:rPr>
              <w:t xml:space="preserve"> ukrep</w:t>
            </w:r>
            <w:r w:rsidRPr="00DE00F6">
              <w:rPr>
                <w:rFonts w:cs="Arial"/>
                <w:szCs w:val="20"/>
                <w:lang w:eastAsia="sl-SI"/>
              </w:rPr>
              <w:t xml:space="preserve"> sofinanciranja raziskovalno-inovacijskih</w:t>
            </w:r>
            <w:r w:rsidR="005B2AAE">
              <w:rPr>
                <w:rFonts w:cs="Arial"/>
                <w:szCs w:val="20"/>
                <w:lang w:eastAsia="sl-SI"/>
              </w:rPr>
              <w:t xml:space="preserve"> </w:t>
            </w:r>
            <w:r w:rsidRPr="00DE00F6">
              <w:rPr>
                <w:rFonts w:cs="Arial"/>
                <w:szCs w:val="20"/>
                <w:lang w:eastAsia="sl-SI"/>
              </w:rPr>
              <w:t xml:space="preserve">projektov v okviru Kompetenčnega centra za kvantne tehnologije </w:t>
            </w:r>
            <w:r w:rsidR="005B2AAE">
              <w:rPr>
                <w:rFonts w:cs="Arial"/>
                <w:szCs w:val="20"/>
                <w:lang w:eastAsia="sl-SI"/>
              </w:rPr>
              <w:t xml:space="preserve">v višini </w:t>
            </w:r>
            <w:r w:rsidRPr="00DE00F6">
              <w:rPr>
                <w:rFonts w:cs="Arial"/>
                <w:szCs w:val="20"/>
                <w:lang w:eastAsia="sl-SI"/>
              </w:rPr>
              <w:t>400.000,00 EUR letno</w:t>
            </w:r>
            <w:r w:rsidR="005B2AAE">
              <w:rPr>
                <w:rFonts w:cs="Arial"/>
                <w:szCs w:val="20"/>
                <w:lang w:eastAsia="sl-SI"/>
              </w:rPr>
              <w:t xml:space="preserve">. Oba ukrepa </w:t>
            </w:r>
            <w:r w:rsidRPr="00DE00F6">
              <w:rPr>
                <w:rFonts w:cs="Arial"/>
                <w:szCs w:val="20"/>
                <w:lang w:eastAsia="sl-SI"/>
              </w:rPr>
              <w:t xml:space="preserve"> sta zasnova</w:t>
            </w:r>
            <w:r w:rsidR="00CD2304" w:rsidRPr="00DE00F6">
              <w:rPr>
                <w:rFonts w:cs="Arial"/>
                <w:szCs w:val="20"/>
                <w:lang w:eastAsia="sl-SI"/>
              </w:rPr>
              <w:t>n</w:t>
            </w:r>
            <w:r w:rsidRPr="00DE00F6">
              <w:rPr>
                <w:rFonts w:cs="Arial"/>
                <w:szCs w:val="20"/>
                <w:lang w:eastAsia="sl-SI"/>
              </w:rPr>
              <w:t>a na letni osnovi</w:t>
            </w:r>
            <w:r w:rsidR="00CD2304" w:rsidRPr="00DE00F6">
              <w:rPr>
                <w:rFonts w:cs="Arial"/>
                <w:szCs w:val="20"/>
                <w:lang w:eastAsia="sl-SI"/>
              </w:rPr>
              <w:t xml:space="preserve"> </w:t>
            </w:r>
            <w:r w:rsidR="00C0592E">
              <w:rPr>
                <w:rFonts w:cs="Arial"/>
                <w:szCs w:val="20"/>
                <w:lang w:eastAsia="sl-SI"/>
              </w:rPr>
              <w:t xml:space="preserve"> od nameravane vzpostavitve dalje</w:t>
            </w:r>
            <w:r w:rsidR="00C0592E" w:rsidRPr="00DE00F6">
              <w:rPr>
                <w:rFonts w:cs="Arial"/>
                <w:szCs w:val="20"/>
                <w:lang w:eastAsia="sl-SI"/>
              </w:rPr>
              <w:t xml:space="preserve"> </w:t>
            </w:r>
            <w:r w:rsidR="00CD2304" w:rsidRPr="00DE00F6">
              <w:rPr>
                <w:rFonts w:cs="Arial"/>
                <w:szCs w:val="20"/>
                <w:lang w:eastAsia="sl-SI"/>
              </w:rPr>
              <w:t>in ne v fiksnem znesku</w:t>
            </w:r>
            <w:r w:rsidRPr="00DE00F6">
              <w:rPr>
                <w:rFonts w:cs="Arial"/>
                <w:szCs w:val="20"/>
                <w:lang w:eastAsia="sl-SI"/>
              </w:rPr>
              <w:t>.</w:t>
            </w:r>
            <w:r w:rsidR="00573298" w:rsidRPr="00DE00F6">
              <w:rPr>
                <w:rFonts w:cs="Arial"/>
                <w:szCs w:val="20"/>
                <w:lang w:eastAsia="sl-SI"/>
              </w:rPr>
              <w:t xml:space="preserve"> Med novimi ukrepi, ki še niso načrtovani v proračunu sta tudi CRP projekt z naslovom Kvantna varnost eliptičnih krivulj</w:t>
            </w:r>
            <w:r w:rsidR="00CD2304" w:rsidRPr="00DE00F6">
              <w:rPr>
                <w:rFonts w:cs="Arial"/>
                <w:szCs w:val="20"/>
                <w:lang w:eastAsia="sl-SI"/>
              </w:rPr>
              <w:t xml:space="preserve"> </w:t>
            </w:r>
            <w:r w:rsidR="005B2AAE">
              <w:rPr>
                <w:rFonts w:cs="Arial"/>
                <w:szCs w:val="20"/>
                <w:lang w:eastAsia="sl-SI"/>
              </w:rPr>
              <w:t xml:space="preserve">v višini </w:t>
            </w:r>
            <w:r w:rsidR="00DE00F6">
              <w:rPr>
                <w:rFonts w:cs="Arial"/>
                <w:szCs w:val="20"/>
                <w:lang w:eastAsia="sl-SI"/>
              </w:rPr>
              <w:t>400.000,00 EUR</w:t>
            </w:r>
            <w:r w:rsidR="005B2AAE">
              <w:rPr>
                <w:rFonts w:cs="Arial"/>
                <w:szCs w:val="20"/>
                <w:lang w:eastAsia="sl-SI"/>
              </w:rPr>
              <w:t xml:space="preserve"> –</w:t>
            </w:r>
            <w:r w:rsidR="00573298" w:rsidRPr="00DE00F6">
              <w:rPr>
                <w:rFonts w:cs="Arial"/>
                <w:szCs w:val="20"/>
                <w:lang w:eastAsia="sl-SI"/>
              </w:rPr>
              <w:t xml:space="preserve">ter NOO projekt v okviru iniciative SI-EuroQCI: SiQUID </w:t>
            </w:r>
            <w:r w:rsidR="00DE00F6">
              <w:rPr>
                <w:rFonts w:cs="Arial"/>
                <w:szCs w:val="20"/>
                <w:lang w:eastAsia="sl-SI"/>
              </w:rPr>
              <w:t xml:space="preserve">- </w:t>
            </w:r>
            <w:r w:rsidR="00573298" w:rsidRPr="00DE00F6">
              <w:rPr>
                <w:rFonts w:cs="Arial"/>
                <w:szCs w:val="20"/>
                <w:lang w:eastAsia="sl-SI"/>
              </w:rPr>
              <w:t>upravljanje in vzdrževanje omrežj</w:t>
            </w:r>
            <w:r w:rsidR="00363E78">
              <w:rPr>
                <w:rFonts w:cs="Arial"/>
                <w:szCs w:val="20"/>
                <w:lang w:eastAsia="sl-SI"/>
              </w:rPr>
              <w:t xml:space="preserve">a do 2035 </w:t>
            </w:r>
            <w:r w:rsidR="005B2AAE">
              <w:rPr>
                <w:rFonts w:cs="Arial"/>
                <w:szCs w:val="20"/>
                <w:lang w:eastAsia="sl-SI"/>
              </w:rPr>
              <w:t xml:space="preserve">v višini </w:t>
            </w:r>
            <w:r w:rsidR="00495433">
              <w:rPr>
                <w:rFonts w:cs="Arial"/>
                <w:szCs w:val="20"/>
                <w:lang w:eastAsia="sl-SI"/>
              </w:rPr>
              <w:t>2</w:t>
            </w:r>
            <w:r w:rsidR="00DE00F6">
              <w:rPr>
                <w:rFonts w:cs="Arial"/>
                <w:szCs w:val="20"/>
                <w:lang w:eastAsia="sl-SI"/>
              </w:rPr>
              <w:t xml:space="preserve">00.000,00 </w:t>
            </w:r>
            <w:r w:rsidR="00DE00F6">
              <w:rPr>
                <w:rFonts w:cs="Arial"/>
                <w:szCs w:val="20"/>
                <w:lang w:eastAsia="sl-SI"/>
              </w:rPr>
              <w:lastRenderedPageBreak/>
              <w:t>EUR</w:t>
            </w:r>
            <w:r w:rsidR="00573298" w:rsidRPr="00DE00F6">
              <w:rPr>
                <w:rFonts w:cs="Arial"/>
                <w:szCs w:val="20"/>
                <w:lang w:eastAsia="sl-SI"/>
              </w:rPr>
              <w:t>.</w:t>
            </w:r>
            <w:r w:rsidR="00982F38">
              <w:rPr>
                <w:rFonts w:cs="Arial"/>
                <w:szCs w:val="20"/>
                <w:lang w:eastAsia="sl-SI"/>
              </w:rPr>
              <w:t xml:space="preserve"> Resorji, ki so pristojni za načrtovanje in izvedbo ukrepa ter načrtovanje sredstev na ustrezni proračunski postavki, so navedeni v spodnjih tabelah 1, 2 in 3. </w:t>
            </w:r>
            <w:r w:rsidRPr="00DE00F6">
              <w:rPr>
                <w:rFonts w:cs="Arial"/>
                <w:szCs w:val="20"/>
                <w:lang w:eastAsia="sl-SI"/>
              </w:rPr>
              <w:t xml:space="preserve"> </w:t>
            </w:r>
          </w:p>
          <w:p w14:paraId="7ECBBF4C" w14:textId="77777777" w:rsidR="005B2AAE" w:rsidRDefault="005B2AAE" w:rsidP="005B2A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p w14:paraId="6BC4E923" w14:textId="61F0E1DF" w:rsidR="005B2AAE" w:rsidRDefault="00C0592E" w:rsidP="005B2A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 xml:space="preserve">Tabela 1: </w:t>
            </w:r>
            <w:r w:rsidR="005B2AAE">
              <w:rPr>
                <w:rFonts w:cs="Arial"/>
                <w:szCs w:val="20"/>
                <w:lang w:eastAsia="sl-SI"/>
              </w:rPr>
              <w:t>Popis predlaganih novih ukrepov z načrtovanimi vrednostmi in popisom resorjev, ki so pristojni za načrtovanje</w:t>
            </w:r>
            <w:r w:rsidR="003D1C89">
              <w:rPr>
                <w:rFonts w:cs="Arial"/>
                <w:szCs w:val="20"/>
                <w:lang w:eastAsia="sl-SI"/>
              </w:rPr>
              <w:t xml:space="preserve"> sredstev v proračunu za prihodnja leta</w:t>
            </w:r>
            <w:r w:rsidR="005B2AAE">
              <w:rPr>
                <w:rFonts w:cs="Arial"/>
                <w:szCs w:val="20"/>
                <w:lang w:eastAsia="sl-SI"/>
              </w:rPr>
              <w:t xml:space="preserve"> in izvedbo</w:t>
            </w:r>
            <w:r w:rsidR="003D1C89">
              <w:rPr>
                <w:rFonts w:cs="Arial"/>
                <w:szCs w:val="20"/>
                <w:lang w:eastAsia="sl-SI"/>
              </w:rPr>
              <w:t xml:space="preserve"> ukrepov</w:t>
            </w:r>
            <w:r w:rsidR="00982F38">
              <w:rPr>
                <w:rFonts w:cs="Arial"/>
                <w:szCs w:val="20"/>
                <w:lang w:eastAsia="sl-SI"/>
              </w:rPr>
              <w:t xml:space="preserve"> </w:t>
            </w:r>
            <w:r>
              <w:rPr>
                <w:rFonts w:cs="Arial"/>
                <w:szCs w:val="20"/>
                <w:lang w:eastAsia="sl-SI"/>
              </w:rPr>
              <w:t>(dodatek k točki I):</w:t>
            </w:r>
          </w:p>
          <w:p w14:paraId="0744B149" w14:textId="71161122" w:rsidR="00B6515A" w:rsidRPr="00982F38" w:rsidRDefault="00B6515A" w:rsidP="005B2A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i/>
                <w:iCs/>
                <w:sz w:val="16"/>
                <w:szCs w:val="16"/>
                <w:lang w:eastAsia="sl-SI"/>
              </w:rPr>
            </w:pPr>
          </w:p>
          <w:tbl>
            <w:tblPr>
              <w:tblW w:w="8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33"/>
              <w:gridCol w:w="1233"/>
              <w:gridCol w:w="1008"/>
              <w:gridCol w:w="2409"/>
            </w:tblGrid>
            <w:tr w:rsidR="005B2AAE" w:rsidRPr="005B2AAE" w14:paraId="016FBB26" w14:textId="77777777" w:rsidTr="00237B0E">
              <w:trPr>
                <w:trHeight w:val="559"/>
              </w:trPr>
              <w:tc>
                <w:tcPr>
                  <w:tcW w:w="3893" w:type="dxa"/>
                  <w:shd w:val="clear" w:color="auto" w:fill="auto"/>
                  <w:vAlign w:val="center"/>
                  <w:hideMark/>
                </w:tcPr>
                <w:p w14:paraId="145B30FE" w14:textId="77777777" w:rsidR="005B2AAE" w:rsidRPr="005B2AAE" w:rsidRDefault="005B2AA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 w:cs="Arial"/>
                      <w:b/>
                      <w:bCs/>
                      <w:sz w:val="18"/>
                      <w:szCs w:val="18"/>
                      <w:lang w:eastAsia="sl-SI"/>
                    </w:rPr>
                  </w:pPr>
                  <w:r w:rsidRPr="005B2AAE">
                    <w:rPr>
                      <w:rFonts w:ascii="Aptos Narrow" w:hAnsi="Aptos Narrow" w:cs="Arial"/>
                      <w:b/>
                      <w:bCs/>
                      <w:sz w:val="18"/>
                      <w:szCs w:val="18"/>
                      <w:lang w:eastAsia="sl-SI"/>
                    </w:rPr>
                    <w:t>NOVI RAZVOJNI NEPOSREDNI UKREPI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  <w:hideMark/>
                </w:tcPr>
                <w:p w14:paraId="09733E65" w14:textId="77777777" w:rsidR="005B2AAE" w:rsidRPr="005B2AAE" w:rsidRDefault="005B2AA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 w:cs="Arial"/>
                      <w:b/>
                      <w:bCs/>
                      <w:sz w:val="18"/>
                      <w:szCs w:val="18"/>
                      <w:lang w:eastAsia="sl-SI"/>
                    </w:rPr>
                  </w:pPr>
                  <w:r w:rsidRPr="005B2AAE">
                    <w:rPr>
                      <w:rFonts w:ascii="Aptos Narrow" w:hAnsi="Aptos Narrow" w:cs="Arial"/>
                      <w:b/>
                      <w:bCs/>
                      <w:sz w:val="18"/>
                      <w:szCs w:val="18"/>
                      <w:lang w:eastAsia="sl-SI"/>
                    </w:rPr>
                    <w:t>Vrednost ukrepa</w:t>
                  </w:r>
                </w:p>
              </w:tc>
              <w:tc>
                <w:tcPr>
                  <w:tcW w:w="927" w:type="dxa"/>
                  <w:shd w:val="clear" w:color="auto" w:fill="auto"/>
                  <w:noWrap/>
                  <w:vAlign w:val="center"/>
                  <w:hideMark/>
                </w:tcPr>
                <w:p w14:paraId="252D4C0F" w14:textId="77777777" w:rsidR="005B2AAE" w:rsidRPr="005B2AAE" w:rsidRDefault="005B2AA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 w:cs="Arial"/>
                      <w:b/>
                      <w:bCs/>
                      <w:sz w:val="18"/>
                      <w:szCs w:val="18"/>
                      <w:lang w:eastAsia="sl-SI"/>
                    </w:rPr>
                  </w:pPr>
                  <w:r w:rsidRPr="005B2AAE">
                    <w:rPr>
                      <w:rFonts w:ascii="Aptos Narrow" w:hAnsi="Aptos Narrow" w:cs="Arial"/>
                      <w:b/>
                      <w:bCs/>
                      <w:sz w:val="18"/>
                      <w:szCs w:val="18"/>
                      <w:lang w:eastAsia="sl-SI"/>
                    </w:rPr>
                    <w:t>Enota</w:t>
                  </w:r>
                </w:p>
              </w:tc>
              <w:tc>
                <w:tcPr>
                  <w:tcW w:w="2216" w:type="dxa"/>
                  <w:shd w:val="clear" w:color="auto" w:fill="auto"/>
                  <w:vAlign w:val="center"/>
                  <w:hideMark/>
                </w:tcPr>
                <w:p w14:paraId="55CBAB19" w14:textId="77777777" w:rsidR="005B2AAE" w:rsidRPr="005B2AAE" w:rsidRDefault="005B2AA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 w:cs="Arial"/>
                      <w:b/>
                      <w:bCs/>
                      <w:sz w:val="18"/>
                      <w:szCs w:val="18"/>
                      <w:lang w:eastAsia="sl-SI"/>
                    </w:rPr>
                  </w:pPr>
                  <w:r w:rsidRPr="005B2AAE">
                    <w:rPr>
                      <w:rFonts w:ascii="Aptos Narrow" w:hAnsi="Aptos Narrow" w:cs="Arial"/>
                      <w:b/>
                      <w:bCs/>
                      <w:sz w:val="18"/>
                      <w:szCs w:val="18"/>
                      <w:lang w:eastAsia="sl-SI"/>
                    </w:rPr>
                    <w:t>Pristojni resor za načrtovanje ukrepa in njegovo izvedbo</w:t>
                  </w:r>
                </w:p>
              </w:tc>
            </w:tr>
            <w:tr w:rsidR="00237B0E" w:rsidRPr="005B2AAE" w14:paraId="3C8510BD" w14:textId="77777777" w:rsidTr="00237B0E">
              <w:trPr>
                <w:trHeight w:val="371"/>
              </w:trPr>
              <w:tc>
                <w:tcPr>
                  <w:tcW w:w="3893" w:type="dxa"/>
                  <w:shd w:val="clear" w:color="auto" w:fill="auto"/>
                  <w:vAlign w:val="center"/>
                  <w:hideMark/>
                </w:tcPr>
                <w:p w14:paraId="366B44D9" w14:textId="77777777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Kompetenčni center za kvantne tehnologije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4C3CFA78" w14:textId="77777777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500.000,00</w:t>
                  </w:r>
                </w:p>
              </w:tc>
              <w:tc>
                <w:tcPr>
                  <w:tcW w:w="927" w:type="dxa"/>
                  <w:shd w:val="clear" w:color="auto" w:fill="auto"/>
                  <w:noWrap/>
                  <w:vAlign w:val="center"/>
                  <w:hideMark/>
                </w:tcPr>
                <w:p w14:paraId="5A61B764" w14:textId="77777777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EUR letno</w:t>
                  </w:r>
                </w:p>
              </w:tc>
              <w:tc>
                <w:tcPr>
                  <w:tcW w:w="2216" w:type="dxa"/>
                  <w:shd w:val="clear" w:color="auto" w:fill="auto"/>
                  <w:noWrap/>
                  <w:vAlign w:val="center"/>
                  <w:hideMark/>
                </w:tcPr>
                <w:p w14:paraId="7BD3C132" w14:textId="77777777" w:rsidR="00237B0E" w:rsidRPr="00C0592E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i/>
                      <w:iCs/>
                      <w:sz w:val="14"/>
                      <w:szCs w:val="14"/>
                      <w:lang w:eastAsia="sl-SI"/>
                    </w:rPr>
                  </w:pPr>
                  <w:r w:rsidRPr="00C0592E">
                    <w:rPr>
                      <w:rFonts w:cs="Arial"/>
                      <w:i/>
                      <w:iCs/>
                      <w:sz w:val="14"/>
                      <w:szCs w:val="14"/>
                      <w:lang w:eastAsia="sl-SI"/>
                    </w:rPr>
                    <w:t xml:space="preserve">Nosilni resor: </w:t>
                  </w:r>
                </w:p>
                <w:p w14:paraId="05A7A316" w14:textId="77777777" w:rsidR="00237B0E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MVZI</w:t>
                  </w:r>
                  <w:r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ob predpogoju zagotovitve dodatnih kadrovskih kapacitet*</w:t>
                  </w:r>
                </w:p>
                <w:p w14:paraId="0B2849A7" w14:textId="77777777" w:rsidR="00237B0E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</w:p>
                <w:p w14:paraId="239E4A29" w14:textId="77777777" w:rsidR="00237B0E" w:rsidRPr="00C0592E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i/>
                      <w:iCs/>
                      <w:sz w:val="14"/>
                      <w:szCs w:val="14"/>
                      <w:lang w:eastAsia="sl-SI"/>
                    </w:rPr>
                  </w:pPr>
                  <w:r w:rsidRPr="00C0592E">
                    <w:rPr>
                      <w:rFonts w:cs="Arial"/>
                      <w:i/>
                      <w:iCs/>
                      <w:sz w:val="14"/>
                      <w:szCs w:val="14"/>
                      <w:lang w:eastAsia="sl-SI"/>
                    </w:rPr>
                    <w:t xml:space="preserve">Sodelujoči resorji: </w:t>
                  </w:r>
                </w:p>
                <w:p w14:paraId="71C56372" w14:textId="0A8FCD1B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MDP, MGTŠ, MORS</w:t>
                  </w:r>
                </w:p>
              </w:tc>
            </w:tr>
            <w:tr w:rsidR="00237B0E" w:rsidRPr="005B2AAE" w14:paraId="666AB9DE" w14:textId="77777777" w:rsidTr="00237B0E">
              <w:trPr>
                <w:trHeight w:val="558"/>
              </w:trPr>
              <w:tc>
                <w:tcPr>
                  <w:tcW w:w="3893" w:type="dxa"/>
                  <w:shd w:val="clear" w:color="auto" w:fill="auto"/>
                  <w:vAlign w:val="center"/>
                  <w:hideMark/>
                </w:tcPr>
                <w:p w14:paraId="57DFF41B" w14:textId="77777777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Kompetenčni center za kvantne tehnologije: za raziskovalno – inovacijske projekte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45A49AA8" w14:textId="77777777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400.000,00</w:t>
                  </w:r>
                </w:p>
              </w:tc>
              <w:tc>
                <w:tcPr>
                  <w:tcW w:w="927" w:type="dxa"/>
                  <w:shd w:val="clear" w:color="auto" w:fill="auto"/>
                  <w:noWrap/>
                  <w:vAlign w:val="center"/>
                  <w:hideMark/>
                </w:tcPr>
                <w:p w14:paraId="56CDF99E" w14:textId="77777777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EUR letno</w:t>
                  </w:r>
                </w:p>
              </w:tc>
              <w:tc>
                <w:tcPr>
                  <w:tcW w:w="2216" w:type="dxa"/>
                  <w:shd w:val="clear" w:color="auto" w:fill="auto"/>
                  <w:noWrap/>
                  <w:vAlign w:val="center"/>
                  <w:hideMark/>
                </w:tcPr>
                <w:p w14:paraId="36EE1364" w14:textId="77777777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MVZI</w:t>
                  </w:r>
                </w:p>
              </w:tc>
            </w:tr>
            <w:tr w:rsidR="00237B0E" w:rsidRPr="005B2AAE" w14:paraId="1DBF29EF" w14:textId="77777777" w:rsidTr="00237B0E">
              <w:trPr>
                <w:trHeight w:val="371"/>
              </w:trPr>
              <w:tc>
                <w:tcPr>
                  <w:tcW w:w="3893" w:type="dxa"/>
                  <w:shd w:val="clear" w:color="auto" w:fill="auto"/>
                  <w:vAlign w:val="center"/>
                  <w:hideMark/>
                </w:tcPr>
                <w:p w14:paraId="276971FC" w14:textId="77777777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CRP projekt z naslovom Kvantna varnost eliptičnih krivulj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13469F73" w14:textId="77777777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400.000,00</w:t>
                  </w:r>
                </w:p>
              </w:tc>
              <w:tc>
                <w:tcPr>
                  <w:tcW w:w="927" w:type="dxa"/>
                  <w:shd w:val="clear" w:color="auto" w:fill="auto"/>
                  <w:noWrap/>
                  <w:vAlign w:val="center"/>
                  <w:hideMark/>
                </w:tcPr>
                <w:p w14:paraId="175FBC85" w14:textId="77777777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EUR</w:t>
                  </w:r>
                </w:p>
              </w:tc>
              <w:tc>
                <w:tcPr>
                  <w:tcW w:w="2216" w:type="dxa"/>
                  <w:shd w:val="clear" w:color="auto" w:fill="auto"/>
                  <w:noWrap/>
                  <w:vAlign w:val="center"/>
                  <w:hideMark/>
                </w:tcPr>
                <w:p w14:paraId="4ED00791" w14:textId="77777777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UVTP in ARIS</w:t>
                  </w:r>
                </w:p>
              </w:tc>
            </w:tr>
            <w:tr w:rsidR="00237B0E" w:rsidRPr="005B2AAE" w14:paraId="01AF6635" w14:textId="77777777" w:rsidTr="00237B0E">
              <w:trPr>
                <w:trHeight w:val="558"/>
              </w:trPr>
              <w:tc>
                <w:tcPr>
                  <w:tcW w:w="3893" w:type="dxa"/>
                  <w:shd w:val="clear" w:color="auto" w:fill="auto"/>
                  <w:vAlign w:val="center"/>
                  <w:hideMark/>
                </w:tcPr>
                <w:p w14:paraId="49B86AA6" w14:textId="77777777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Pridobitev prvega nacionalnega kvantnega računalnika z nakupom ali lastnim razvojem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14:paraId="42E03E51" w14:textId="77777777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20.000.000,00</w:t>
                  </w:r>
                </w:p>
              </w:tc>
              <w:tc>
                <w:tcPr>
                  <w:tcW w:w="927" w:type="dxa"/>
                  <w:shd w:val="clear" w:color="auto" w:fill="auto"/>
                  <w:noWrap/>
                  <w:vAlign w:val="center"/>
                  <w:hideMark/>
                </w:tcPr>
                <w:p w14:paraId="2FC3855D" w14:textId="77777777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EUR</w:t>
                  </w:r>
                </w:p>
              </w:tc>
              <w:tc>
                <w:tcPr>
                  <w:tcW w:w="2216" w:type="dxa"/>
                  <w:shd w:val="clear" w:color="auto" w:fill="auto"/>
                  <w:noWrap/>
                  <w:vAlign w:val="center"/>
                  <w:hideMark/>
                </w:tcPr>
                <w:p w14:paraId="551190CC" w14:textId="77777777" w:rsidR="00237B0E" w:rsidRPr="00C0592E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i/>
                      <w:iCs/>
                      <w:sz w:val="14"/>
                      <w:szCs w:val="14"/>
                      <w:lang w:eastAsia="sl-SI"/>
                    </w:rPr>
                  </w:pPr>
                  <w:r w:rsidRPr="00C0592E">
                    <w:rPr>
                      <w:rFonts w:cs="Arial"/>
                      <w:i/>
                      <w:iCs/>
                      <w:sz w:val="14"/>
                      <w:szCs w:val="14"/>
                      <w:lang w:eastAsia="sl-SI"/>
                    </w:rPr>
                    <w:t xml:space="preserve">Nosilni resor: </w:t>
                  </w:r>
                </w:p>
                <w:p w14:paraId="52092F0A" w14:textId="11564AAA" w:rsidR="00237B0E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MVZI</w:t>
                  </w:r>
                  <w:r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ob predpogoju zagotovitve dodatnih kadrovskih kapacitet*</w:t>
                  </w:r>
                </w:p>
                <w:p w14:paraId="52B9B3FF" w14:textId="77777777" w:rsidR="00237B0E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</w:p>
                <w:p w14:paraId="63967C61" w14:textId="77777777" w:rsidR="00237B0E" w:rsidRPr="00C0592E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i/>
                      <w:iCs/>
                      <w:sz w:val="14"/>
                      <w:szCs w:val="14"/>
                      <w:lang w:eastAsia="sl-SI"/>
                    </w:rPr>
                  </w:pPr>
                  <w:r w:rsidRPr="00C0592E">
                    <w:rPr>
                      <w:rFonts w:cs="Arial"/>
                      <w:i/>
                      <w:iCs/>
                      <w:sz w:val="14"/>
                      <w:szCs w:val="14"/>
                      <w:lang w:eastAsia="sl-SI"/>
                    </w:rPr>
                    <w:t xml:space="preserve">Sodelujoči resorji: </w:t>
                  </w:r>
                </w:p>
                <w:p w14:paraId="7AE015C0" w14:textId="236E8FFC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MDP, MGTŠ, MORS</w:t>
                  </w:r>
                </w:p>
              </w:tc>
            </w:tr>
            <w:tr w:rsidR="00237B0E" w:rsidRPr="005B2AAE" w14:paraId="195C539D" w14:textId="77777777" w:rsidTr="00237B0E">
              <w:trPr>
                <w:trHeight w:val="558"/>
              </w:trPr>
              <w:tc>
                <w:tcPr>
                  <w:tcW w:w="3893" w:type="dxa"/>
                  <w:shd w:val="clear" w:color="auto" w:fill="auto"/>
                  <w:vAlign w:val="center"/>
                </w:tcPr>
                <w:p w14:paraId="54077D06" w14:textId="40D929D3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NOO projekt v okviru iniciative SI-EuroQCI: SiQUID - upravljanje in vzdrževanje omrežja </w:t>
                  </w:r>
                  <w:r>
                    <w:rPr>
                      <w:rFonts w:cs="Arial"/>
                      <w:sz w:val="14"/>
                      <w:szCs w:val="14"/>
                      <w:lang w:eastAsia="sl-SI"/>
                    </w:rPr>
                    <w:t>do 2035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14:paraId="3E5441BF" w14:textId="4C5BB87F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eastAsia="sl-SI"/>
                    </w:rPr>
                    <w:t>2</w:t>
                  </w: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00.000,00</w:t>
                  </w:r>
                </w:p>
              </w:tc>
              <w:tc>
                <w:tcPr>
                  <w:tcW w:w="927" w:type="dxa"/>
                  <w:shd w:val="clear" w:color="auto" w:fill="auto"/>
                  <w:noWrap/>
                  <w:vAlign w:val="center"/>
                </w:tcPr>
                <w:p w14:paraId="416B0BD0" w14:textId="34D653ED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EUR</w:t>
                  </w:r>
                </w:p>
              </w:tc>
              <w:tc>
                <w:tcPr>
                  <w:tcW w:w="2216" w:type="dxa"/>
                  <w:shd w:val="clear" w:color="auto" w:fill="auto"/>
                  <w:noWrap/>
                  <w:vAlign w:val="center"/>
                </w:tcPr>
                <w:p w14:paraId="42B0F2B8" w14:textId="0C4A4FB6" w:rsidR="00237B0E" w:rsidRPr="00C10587" w:rsidRDefault="00237B0E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C10587">
                    <w:rPr>
                      <w:rFonts w:cs="Arial"/>
                      <w:sz w:val="14"/>
                      <w:szCs w:val="14"/>
                      <w:lang w:eastAsia="sl-SI"/>
                    </w:rPr>
                    <w:t>URSIV</w:t>
                  </w:r>
                </w:p>
              </w:tc>
            </w:tr>
          </w:tbl>
          <w:p w14:paraId="283E16E7" w14:textId="6DE14EF0" w:rsidR="00237B0E" w:rsidRPr="00C10587" w:rsidRDefault="00237B0E" w:rsidP="00982F38">
            <w:pPr>
              <w:spacing w:line="240" w:lineRule="auto"/>
              <w:jc w:val="both"/>
              <w:rPr>
                <w:rFonts w:cs="Arial"/>
                <w:sz w:val="14"/>
                <w:szCs w:val="14"/>
                <w:lang w:eastAsia="sl-SI"/>
              </w:rPr>
            </w:pPr>
            <w:r>
              <w:rPr>
                <w:rFonts w:cs="Arial"/>
                <w:sz w:val="14"/>
                <w:szCs w:val="14"/>
                <w:lang w:eastAsia="sl-SI"/>
              </w:rPr>
              <w:t xml:space="preserve">*Vzpostavitev dveh novih delovnih mest na MVZI. </w:t>
            </w:r>
          </w:p>
          <w:p w14:paraId="5F9205ED" w14:textId="77777777" w:rsidR="00A80764" w:rsidRDefault="00A80764" w:rsidP="005B2A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p w14:paraId="7035F4E3" w14:textId="086F5550" w:rsidR="00A80764" w:rsidRDefault="00982F38" w:rsidP="005B2A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 xml:space="preserve">Tabela 2: </w:t>
            </w:r>
            <w:r w:rsidR="00A80764">
              <w:rPr>
                <w:rFonts w:cs="Arial"/>
                <w:szCs w:val="20"/>
                <w:lang w:eastAsia="sl-SI"/>
              </w:rPr>
              <w:t xml:space="preserve">Razrez ukrepa Kompetenčni center za kvantne tehnologije </w:t>
            </w:r>
            <w:r w:rsidR="00E738B3">
              <w:rPr>
                <w:rFonts w:cs="Arial"/>
                <w:szCs w:val="20"/>
                <w:lang w:eastAsia="sl-SI"/>
              </w:rPr>
              <w:t>in</w:t>
            </w:r>
            <w:r w:rsidR="00A80764">
              <w:rPr>
                <w:rFonts w:cs="Arial"/>
                <w:szCs w:val="20"/>
                <w:lang w:eastAsia="sl-SI"/>
              </w:rPr>
              <w:t xml:space="preserve"> načrtovanje sredstev</w:t>
            </w:r>
            <w:r w:rsidR="00E738B3">
              <w:rPr>
                <w:rFonts w:cs="Arial"/>
                <w:szCs w:val="20"/>
                <w:lang w:eastAsia="sl-SI"/>
              </w:rPr>
              <w:t xml:space="preserve"> po pristojnih resorjih</w:t>
            </w:r>
            <w:r w:rsidR="00A80764">
              <w:rPr>
                <w:rFonts w:cs="Arial"/>
                <w:szCs w:val="20"/>
                <w:lang w:eastAsia="sl-SI"/>
              </w:rPr>
              <w:t xml:space="preserve"> </w:t>
            </w:r>
            <w:r w:rsidR="00E738B3">
              <w:rPr>
                <w:rFonts w:cs="Arial"/>
                <w:szCs w:val="20"/>
                <w:lang w:eastAsia="sl-SI"/>
              </w:rPr>
              <w:t>za obdobje 2025</w:t>
            </w:r>
            <w:r w:rsidR="00363E78">
              <w:rPr>
                <w:rFonts w:cs="Arial"/>
                <w:szCs w:val="20"/>
                <w:lang w:eastAsia="sl-SI"/>
              </w:rPr>
              <w:t xml:space="preserve"> </w:t>
            </w:r>
            <w:r w:rsidR="00E738B3">
              <w:rPr>
                <w:rFonts w:cs="Arial"/>
                <w:szCs w:val="20"/>
                <w:lang w:eastAsia="sl-SI"/>
              </w:rPr>
              <w:t xml:space="preserve">- 2035 </w:t>
            </w:r>
            <w:r w:rsidR="00A80764">
              <w:rPr>
                <w:rFonts w:cs="Arial"/>
                <w:szCs w:val="20"/>
                <w:lang w:eastAsia="sl-SI"/>
              </w:rPr>
              <w:t>(dodatek k točki I)</w:t>
            </w:r>
            <w:r>
              <w:rPr>
                <w:rFonts w:cs="Arial"/>
                <w:szCs w:val="20"/>
                <w:lang w:eastAsia="sl-SI"/>
              </w:rPr>
              <w:t>:</w:t>
            </w:r>
          </w:p>
          <w:p w14:paraId="5D4FDC47" w14:textId="582C7C57" w:rsidR="00982F38" w:rsidRDefault="00982F38" w:rsidP="005B2A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tbl>
            <w:tblPr>
              <w:tblStyle w:val="Tabelamrea"/>
              <w:tblW w:w="7960" w:type="dxa"/>
              <w:tblLook w:val="04A0" w:firstRow="1" w:lastRow="0" w:firstColumn="1" w:lastColumn="0" w:noHBand="0" w:noVBand="1"/>
            </w:tblPr>
            <w:tblGrid>
              <w:gridCol w:w="1823"/>
              <w:gridCol w:w="762"/>
              <w:gridCol w:w="877"/>
              <w:gridCol w:w="873"/>
              <w:gridCol w:w="873"/>
              <w:gridCol w:w="873"/>
              <w:gridCol w:w="873"/>
              <w:gridCol w:w="1006"/>
            </w:tblGrid>
            <w:tr w:rsidR="0066632C" w:rsidRPr="00701F94" w14:paraId="450310D9" w14:textId="77777777" w:rsidTr="00D20E94">
              <w:trPr>
                <w:trHeight w:val="193"/>
              </w:trPr>
              <w:tc>
                <w:tcPr>
                  <w:tcW w:w="7960" w:type="dxa"/>
                  <w:gridSpan w:val="8"/>
                  <w:hideMark/>
                </w:tcPr>
                <w:p w14:paraId="38942731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6"/>
                      <w:szCs w:val="6"/>
                      <w:lang w:eastAsia="sl-SI"/>
                    </w:rPr>
                  </w:pPr>
                </w:p>
                <w:p w14:paraId="26B0530D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UKREP: Kompetenčni center za kvantne tehnologije (500.000 EUR letno)</w:t>
                  </w:r>
                </w:p>
                <w:p w14:paraId="556EE1CD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6"/>
                      <w:szCs w:val="6"/>
                      <w:lang w:eastAsia="sl-SI"/>
                    </w:rPr>
                  </w:pPr>
                </w:p>
                <w:p w14:paraId="19D96BA3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6"/>
                      <w:szCs w:val="6"/>
                      <w:lang w:eastAsia="sl-SI"/>
                    </w:rPr>
                  </w:pPr>
                </w:p>
              </w:tc>
            </w:tr>
            <w:tr w:rsidR="0066632C" w:rsidRPr="00701F94" w14:paraId="3CBAE222" w14:textId="77777777" w:rsidTr="00D20E94">
              <w:trPr>
                <w:trHeight w:val="436"/>
              </w:trPr>
              <w:tc>
                <w:tcPr>
                  <w:tcW w:w="1823" w:type="dxa"/>
                  <w:tcBorders>
                    <w:bottom w:val="single" w:sz="4" w:space="0" w:color="auto"/>
                  </w:tcBorders>
                  <w:hideMark/>
                </w:tcPr>
                <w:p w14:paraId="21AA3D5C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Pristojni resor za načrtovanje sredstev na ustrezni PP</w:t>
                  </w:r>
                </w:p>
              </w:tc>
              <w:tc>
                <w:tcPr>
                  <w:tcW w:w="762" w:type="dxa"/>
                  <w:tcBorders>
                    <w:bottom w:val="single" w:sz="4" w:space="0" w:color="auto"/>
                  </w:tcBorders>
                  <w:hideMark/>
                </w:tcPr>
                <w:p w14:paraId="1B00B4D0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2025 2026</w:t>
                  </w: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noWrap/>
                  <w:hideMark/>
                </w:tcPr>
                <w:p w14:paraId="0525407F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2027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  <w:noWrap/>
                  <w:hideMark/>
                </w:tcPr>
                <w:p w14:paraId="0127ECB5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2028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  <w:noWrap/>
                  <w:hideMark/>
                </w:tcPr>
                <w:p w14:paraId="73B08171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2029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  <w:noWrap/>
                  <w:hideMark/>
                </w:tcPr>
                <w:p w14:paraId="5562B3E7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2030</w:t>
                  </w:r>
                </w:p>
              </w:tc>
              <w:tc>
                <w:tcPr>
                  <w:tcW w:w="873" w:type="dxa"/>
                  <w:tcBorders>
                    <w:bottom w:val="single" w:sz="4" w:space="0" w:color="auto"/>
                  </w:tcBorders>
                  <w:noWrap/>
                  <w:hideMark/>
                </w:tcPr>
                <w:p w14:paraId="469C80DB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2031</w:t>
                  </w:r>
                </w:p>
              </w:tc>
              <w:tc>
                <w:tcPr>
                  <w:tcW w:w="1006" w:type="dxa"/>
                  <w:tcBorders>
                    <w:bottom w:val="single" w:sz="4" w:space="0" w:color="auto"/>
                  </w:tcBorders>
                  <w:noWrap/>
                  <w:hideMark/>
                </w:tcPr>
                <w:p w14:paraId="7D082686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SKUPAJ</w:t>
                  </w:r>
                </w:p>
              </w:tc>
            </w:tr>
            <w:tr w:rsidR="0066632C" w:rsidRPr="00701F94" w14:paraId="4653E4CF" w14:textId="77777777" w:rsidTr="00D20E94">
              <w:trPr>
                <w:trHeight w:val="234"/>
              </w:trPr>
              <w:tc>
                <w:tcPr>
                  <w:tcW w:w="18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68820B24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MVZI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FF24748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6CA581E0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0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24745DB8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156.250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1F3C32B0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156.250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6371516B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156.250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D4D5AA7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156.250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6B9B77E8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</w:tr>
            <w:tr w:rsidR="0066632C" w:rsidRPr="00701F94" w14:paraId="562E50B8" w14:textId="77777777" w:rsidTr="00D20E94">
              <w:trPr>
                <w:trHeight w:val="193"/>
              </w:trPr>
              <w:tc>
                <w:tcPr>
                  <w:tcW w:w="18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1B7DB7D6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MDP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41025007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10C4FABB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125.000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6FD397C5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125.000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2372577B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125.000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7492C759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125.000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3DF68DFB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125.000 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36B19859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</w:tr>
            <w:tr w:rsidR="0066632C" w:rsidRPr="00701F94" w14:paraId="5FCB313A" w14:textId="77777777" w:rsidTr="00D20E94">
              <w:trPr>
                <w:trHeight w:val="193"/>
              </w:trPr>
              <w:tc>
                <w:tcPr>
                  <w:tcW w:w="18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DB7A23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MGTŠ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E95BA6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6D94FF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250.000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F9BC20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93.750  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B2E806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93.750  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7C0432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93.750  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B9E016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93.750   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D67174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625.000</w:t>
                  </w:r>
                </w:p>
              </w:tc>
            </w:tr>
            <w:tr w:rsidR="0066632C" w:rsidRPr="00701F94" w14:paraId="4AF90F6F" w14:textId="77777777" w:rsidTr="00D20E94">
              <w:trPr>
                <w:trHeight w:val="193"/>
              </w:trPr>
              <w:tc>
                <w:tcPr>
                  <w:tcW w:w="1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12C5FDB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MORS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E66099B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B8B7039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125.000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F5D30B9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125.000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522DFE9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125.000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5F491B0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125.000 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285CE93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125.000 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252BBBC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</w:tr>
            <w:tr w:rsidR="0066632C" w:rsidRPr="00701F94" w14:paraId="67DD57F5" w14:textId="77777777" w:rsidTr="00D20E94">
              <w:trPr>
                <w:trHeight w:val="193"/>
              </w:trPr>
              <w:tc>
                <w:tcPr>
                  <w:tcW w:w="1823" w:type="dxa"/>
                  <w:tcBorders>
                    <w:top w:val="single" w:sz="4" w:space="0" w:color="auto"/>
                  </w:tcBorders>
                  <w:noWrap/>
                  <w:hideMark/>
                </w:tcPr>
                <w:p w14:paraId="4FD203FE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SKUPAJ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</w:tcBorders>
                  <w:noWrap/>
                  <w:hideMark/>
                </w:tcPr>
                <w:p w14:paraId="46F00BFA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rPr>
                      <w:rFonts w:cs="Arial"/>
                      <w:b/>
                      <w:bCs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b/>
                      <w:bCs/>
                      <w:sz w:val="14"/>
                      <w:szCs w:val="14"/>
                      <w:lang w:eastAsia="sl-SI"/>
                    </w:rPr>
                    <w:t> </w:t>
                  </w:r>
                </w:p>
              </w:tc>
              <w:tc>
                <w:tcPr>
                  <w:tcW w:w="877" w:type="dxa"/>
                  <w:tcBorders>
                    <w:top w:val="single" w:sz="4" w:space="0" w:color="auto"/>
                  </w:tcBorders>
                  <w:noWrap/>
                  <w:hideMark/>
                </w:tcPr>
                <w:p w14:paraId="02085475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500.000 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</w:tcBorders>
                  <w:noWrap/>
                  <w:hideMark/>
                </w:tcPr>
                <w:p w14:paraId="149CCFCB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500.000 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</w:tcBorders>
                  <w:noWrap/>
                  <w:hideMark/>
                </w:tcPr>
                <w:p w14:paraId="5EDC5692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500.000 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</w:tcBorders>
                  <w:noWrap/>
                  <w:hideMark/>
                </w:tcPr>
                <w:p w14:paraId="45F1F5E2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500.000  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</w:tcBorders>
                  <w:noWrap/>
                  <w:hideMark/>
                </w:tcPr>
                <w:p w14:paraId="6E72A695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500.000  </w:t>
                  </w:r>
                </w:p>
              </w:tc>
              <w:tc>
                <w:tcPr>
                  <w:tcW w:w="1006" w:type="dxa"/>
                  <w:tcBorders>
                    <w:top w:val="single" w:sz="4" w:space="0" w:color="auto"/>
                  </w:tcBorders>
                  <w:noWrap/>
                  <w:hideMark/>
                </w:tcPr>
                <w:p w14:paraId="3F6D86E8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2.500.000 </w:t>
                  </w:r>
                </w:p>
              </w:tc>
            </w:tr>
          </w:tbl>
          <w:p w14:paraId="7BDC0372" w14:textId="77777777" w:rsidR="0066632C" w:rsidRPr="00363E78" w:rsidRDefault="0066632C" w:rsidP="0066632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i/>
                <w:iCs/>
                <w:szCs w:val="20"/>
                <w:lang w:eastAsia="sl-SI"/>
              </w:rPr>
            </w:pPr>
            <w:r w:rsidRPr="00363E78">
              <w:rPr>
                <w:rFonts w:cs="Arial"/>
                <w:i/>
                <w:iCs/>
                <w:sz w:val="14"/>
                <w:szCs w:val="14"/>
                <w:lang w:eastAsia="sl-SI"/>
              </w:rPr>
              <w:t>Vse vrednosti so izražene v EUR.</w:t>
            </w:r>
          </w:p>
          <w:p w14:paraId="44EF350B" w14:textId="77777777" w:rsidR="00A80764" w:rsidRDefault="00A80764" w:rsidP="005B2A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p w14:paraId="47BAB552" w14:textId="3F4925C9" w:rsidR="00982F38" w:rsidRDefault="00982F38" w:rsidP="005B2A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 xml:space="preserve">Tabela 3: </w:t>
            </w:r>
            <w:r w:rsidR="00A80764">
              <w:rPr>
                <w:rFonts w:cs="Arial"/>
                <w:szCs w:val="20"/>
                <w:lang w:eastAsia="sl-SI"/>
              </w:rPr>
              <w:t xml:space="preserve">Razrez ukrepa </w:t>
            </w:r>
            <w:r>
              <w:rPr>
                <w:rFonts w:cs="Arial"/>
                <w:szCs w:val="20"/>
                <w:lang w:eastAsia="sl-SI"/>
              </w:rPr>
              <w:t>Pridobitev nacionalnega kvantnega računalnika z nakupom in lastnim razvojem</w:t>
            </w:r>
            <w:r w:rsidR="00A80764">
              <w:rPr>
                <w:rFonts w:cs="Arial"/>
                <w:szCs w:val="20"/>
                <w:lang w:eastAsia="sl-SI"/>
              </w:rPr>
              <w:t xml:space="preserve"> </w:t>
            </w:r>
            <w:r>
              <w:rPr>
                <w:rFonts w:cs="Arial"/>
                <w:szCs w:val="20"/>
                <w:lang w:eastAsia="sl-SI"/>
              </w:rPr>
              <w:t>ter</w:t>
            </w:r>
            <w:r w:rsidR="00E738B3">
              <w:rPr>
                <w:rFonts w:cs="Arial"/>
                <w:szCs w:val="20"/>
                <w:lang w:eastAsia="sl-SI"/>
              </w:rPr>
              <w:t xml:space="preserve"> načrtovanje sredstev po pristojnih resorjih</w:t>
            </w:r>
            <w:r w:rsidR="00363E78">
              <w:rPr>
                <w:rFonts w:cs="Arial"/>
                <w:szCs w:val="20"/>
                <w:lang w:eastAsia="sl-SI"/>
              </w:rPr>
              <w:t xml:space="preserve">  za obdobje</w:t>
            </w:r>
            <w:r w:rsidR="00E738B3">
              <w:rPr>
                <w:rFonts w:cs="Arial"/>
                <w:szCs w:val="20"/>
                <w:lang w:eastAsia="sl-SI"/>
              </w:rPr>
              <w:t xml:space="preserve"> 2025- 2035  </w:t>
            </w:r>
            <w:r w:rsidR="00A80764">
              <w:rPr>
                <w:rFonts w:cs="Arial"/>
                <w:szCs w:val="20"/>
                <w:lang w:eastAsia="sl-SI"/>
              </w:rPr>
              <w:t>(dodatek k točki I)</w:t>
            </w:r>
            <w:r>
              <w:rPr>
                <w:rFonts w:cs="Arial"/>
                <w:szCs w:val="20"/>
                <w:lang w:eastAsia="sl-SI"/>
              </w:rPr>
              <w:t>:</w:t>
            </w:r>
          </w:p>
          <w:p w14:paraId="6309AA91" w14:textId="77777777" w:rsidR="00982F38" w:rsidRDefault="00982F38" w:rsidP="005B2A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tbl>
            <w:tblPr>
              <w:tblW w:w="90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728"/>
              <w:gridCol w:w="771"/>
              <w:gridCol w:w="804"/>
              <w:gridCol w:w="846"/>
              <w:gridCol w:w="893"/>
              <w:gridCol w:w="810"/>
              <w:gridCol w:w="763"/>
              <w:gridCol w:w="801"/>
              <w:gridCol w:w="826"/>
              <w:gridCol w:w="925"/>
            </w:tblGrid>
            <w:tr w:rsidR="0066632C" w:rsidRPr="00701F94" w14:paraId="380F258A" w14:textId="77777777" w:rsidTr="00D20E94">
              <w:trPr>
                <w:trHeight w:val="415"/>
              </w:trPr>
              <w:tc>
                <w:tcPr>
                  <w:tcW w:w="906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2FAD10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UKREP: Pridobitev nacionalnega kvantnega računalnika z nakupom ali lastnim razvojem (20.000.000 EUR)</w:t>
                  </w:r>
                </w:p>
              </w:tc>
            </w:tr>
            <w:tr w:rsidR="0066632C" w:rsidRPr="00701F94" w14:paraId="5CA05E23" w14:textId="77777777" w:rsidTr="00D20E94">
              <w:trPr>
                <w:trHeight w:val="463"/>
              </w:trPr>
              <w:tc>
                <w:tcPr>
                  <w:tcW w:w="8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1FFA19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Pristojni resor za načrtovanje sredstev na ustrezni PP 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CA5830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2025 </w:t>
                  </w:r>
                </w:p>
                <w:p w14:paraId="16A611BE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2026 </w:t>
                  </w:r>
                </w:p>
                <w:p w14:paraId="7C035380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2027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75F85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2028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83B44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2029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6AA9F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2030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C669B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2031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94823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2032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13C0E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2033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9E104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2034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A4114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2035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F6207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SKUPAJ</w:t>
                  </w:r>
                </w:p>
              </w:tc>
            </w:tr>
            <w:tr w:rsidR="0066632C" w:rsidRPr="00701F94" w14:paraId="7BF0344C" w14:textId="77777777" w:rsidTr="00D20E94">
              <w:trPr>
                <w:trHeight w:val="296"/>
              </w:trPr>
              <w:tc>
                <w:tcPr>
                  <w:tcW w:w="8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485C61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MVZI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CABC9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720DA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41513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9577C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E2B4E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02175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06258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97F77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BEC99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0606F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5.000.000 </w:t>
                  </w:r>
                </w:p>
              </w:tc>
            </w:tr>
            <w:tr w:rsidR="0066632C" w:rsidRPr="00701F94" w14:paraId="56E87165" w14:textId="77777777" w:rsidTr="00D20E94">
              <w:trPr>
                <w:trHeight w:val="296"/>
              </w:trPr>
              <w:tc>
                <w:tcPr>
                  <w:tcW w:w="8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134DBB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MDP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9DE2C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CEC4B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375.000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1B677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375.000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1B610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375.000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284EA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375.000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1DDA7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375.000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0FE93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375.000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31C00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375.000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61A98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375.000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716F4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3.000.000 </w:t>
                  </w:r>
                </w:p>
              </w:tc>
            </w:tr>
            <w:tr w:rsidR="0066632C" w:rsidRPr="00701F94" w14:paraId="30877B85" w14:textId="77777777" w:rsidTr="00D20E94">
              <w:trPr>
                <w:trHeight w:val="296"/>
              </w:trPr>
              <w:tc>
                <w:tcPr>
                  <w:tcW w:w="8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5318F8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MGTŠ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19D70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1A623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875.000    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F3506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875.000    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21CBD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875.000     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57EB6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875.000     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AF638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875.000     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47D9D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875.000    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3BD84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875.000     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A1D63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875.000     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62DCA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7.000.000   </w:t>
                  </w:r>
                </w:p>
              </w:tc>
            </w:tr>
            <w:tr w:rsidR="0066632C" w:rsidRPr="00701F94" w14:paraId="34460C35" w14:textId="77777777" w:rsidTr="00D20E94">
              <w:trPr>
                <w:trHeight w:val="296"/>
              </w:trPr>
              <w:tc>
                <w:tcPr>
                  <w:tcW w:w="8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9A6EB0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MORS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539D1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7E5A2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16878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19DBB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CFC7C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EC397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24795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0DCCC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34465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 625.000 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398B4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 5.000.000 </w:t>
                  </w:r>
                </w:p>
              </w:tc>
            </w:tr>
            <w:tr w:rsidR="0066632C" w:rsidRPr="00701F94" w14:paraId="67FCE981" w14:textId="77777777" w:rsidTr="00D20E94">
              <w:trPr>
                <w:trHeight w:val="296"/>
              </w:trPr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4F11E2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SKUPAJ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E19FE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 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7E7BC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2.500.000</w:t>
                  </w:r>
                </w:p>
              </w:tc>
              <w:tc>
                <w:tcPr>
                  <w:tcW w:w="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1F58E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2.500.000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635C1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2.500.000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91FE8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2.500.000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9C53F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2.500.000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0E40B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 2.500.000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951E3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2.500.000</w:t>
                  </w:r>
                </w:p>
              </w:tc>
              <w:tc>
                <w:tcPr>
                  <w:tcW w:w="8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74DC6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>2.500.000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F9CBD" w14:textId="77777777" w:rsidR="0066632C" w:rsidRPr="00701F94" w:rsidRDefault="0066632C" w:rsidP="00646F48">
                  <w:pPr>
                    <w:framePr w:hSpace="141" w:wrap="around" w:vAnchor="page" w:hAnchor="margin" w:y="3621"/>
                    <w:spacing w:before="40" w:after="40" w:line="240" w:lineRule="auto"/>
                    <w:contextualSpacing/>
                    <w:jc w:val="right"/>
                    <w:rPr>
                      <w:rFonts w:cs="Arial"/>
                      <w:sz w:val="14"/>
                      <w:szCs w:val="14"/>
                      <w:lang w:eastAsia="sl-SI"/>
                    </w:rPr>
                  </w:pPr>
                  <w:r w:rsidRPr="00701F94">
                    <w:rPr>
                      <w:rFonts w:cs="Arial"/>
                      <w:sz w:val="14"/>
                      <w:szCs w:val="14"/>
                      <w:lang w:eastAsia="sl-SI"/>
                    </w:rPr>
                    <w:t xml:space="preserve"> 20.000.000</w:t>
                  </w:r>
                </w:p>
              </w:tc>
            </w:tr>
          </w:tbl>
          <w:p w14:paraId="1426DF2B" w14:textId="4627E17B" w:rsidR="00237B0E" w:rsidRPr="00363E78" w:rsidRDefault="00237B0E" w:rsidP="005B2A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i/>
                <w:iCs/>
                <w:szCs w:val="20"/>
                <w:lang w:eastAsia="sl-SI"/>
              </w:rPr>
            </w:pPr>
            <w:r w:rsidRPr="00363E78">
              <w:rPr>
                <w:rFonts w:cs="Arial"/>
                <w:i/>
                <w:iCs/>
                <w:sz w:val="14"/>
                <w:szCs w:val="14"/>
                <w:lang w:eastAsia="sl-SI"/>
              </w:rPr>
              <w:t>Vse vrednosti so izražene v EUR.</w:t>
            </w:r>
          </w:p>
          <w:p w14:paraId="41000DB4" w14:textId="77777777" w:rsidR="00237B0E" w:rsidRDefault="00237B0E" w:rsidP="00E738B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p w14:paraId="2591BFF9" w14:textId="6BDF948A" w:rsidR="00E738B3" w:rsidRDefault="00E738B3" w:rsidP="00E738B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Dodatno, se k točki I. upošteva ocena finančnih posledic</w:t>
            </w:r>
            <w:r w:rsidRPr="00A80764">
              <w:rPr>
                <w:rFonts w:cs="Arial"/>
                <w:szCs w:val="20"/>
                <w:lang w:eastAsia="sl-SI"/>
              </w:rPr>
              <w:t xml:space="preserve"> izvajanj</w:t>
            </w:r>
            <w:r>
              <w:rPr>
                <w:rFonts w:cs="Arial"/>
                <w:szCs w:val="20"/>
                <w:lang w:eastAsia="sl-SI"/>
              </w:rPr>
              <w:t>a</w:t>
            </w:r>
            <w:r w:rsidRPr="00A80764">
              <w:rPr>
                <w:rFonts w:cs="Arial"/>
                <w:szCs w:val="20"/>
                <w:lang w:eastAsia="sl-SI"/>
              </w:rPr>
              <w:t xml:space="preserve"> in usklajevanj</w:t>
            </w:r>
            <w:r>
              <w:rPr>
                <w:rFonts w:cs="Arial"/>
                <w:szCs w:val="20"/>
                <w:lang w:eastAsia="sl-SI"/>
              </w:rPr>
              <w:t>a</w:t>
            </w:r>
            <w:r w:rsidRPr="00A80764">
              <w:rPr>
                <w:rFonts w:cs="Arial"/>
                <w:szCs w:val="20"/>
                <w:lang w:eastAsia="sl-SI"/>
              </w:rPr>
              <w:t xml:space="preserve"> Strategije</w:t>
            </w:r>
            <w:r>
              <w:rPr>
                <w:rFonts w:cs="Arial"/>
                <w:szCs w:val="20"/>
                <w:lang w:eastAsia="sl-SI"/>
              </w:rPr>
              <w:t>, kar se</w:t>
            </w:r>
            <w:r w:rsidRPr="00A80764">
              <w:rPr>
                <w:rFonts w:cs="Arial"/>
                <w:szCs w:val="20"/>
                <w:lang w:eastAsia="sl-SI"/>
              </w:rPr>
              <w:t xml:space="preserve"> zagotovi</w:t>
            </w:r>
            <w:r>
              <w:rPr>
                <w:rFonts w:cs="Arial"/>
                <w:szCs w:val="20"/>
                <w:lang w:eastAsia="sl-SI"/>
              </w:rPr>
              <w:t xml:space="preserve"> </w:t>
            </w:r>
            <w:r w:rsidR="00363E78">
              <w:rPr>
                <w:rFonts w:cs="Arial"/>
                <w:szCs w:val="20"/>
                <w:lang w:eastAsia="sl-SI"/>
              </w:rPr>
              <w:t xml:space="preserve">s </w:t>
            </w:r>
            <w:r w:rsidRPr="00A80764">
              <w:rPr>
                <w:rFonts w:cs="Arial"/>
                <w:szCs w:val="20"/>
                <w:lang w:eastAsia="sl-SI"/>
              </w:rPr>
              <w:t>trajn</w:t>
            </w:r>
            <w:r w:rsidR="00363E78">
              <w:rPr>
                <w:rFonts w:cs="Arial"/>
                <w:szCs w:val="20"/>
                <w:lang w:eastAsia="sl-SI"/>
              </w:rPr>
              <w:t xml:space="preserve">o </w:t>
            </w:r>
            <w:r w:rsidRPr="00A80764">
              <w:rPr>
                <w:rFonts w:cs="Arial"/>
                <w:szCs w:val="20"/>
                <w:lang w:eastAsia="sl-SI"/>
              </w:rPr>
              <w:t>kadrovsk</w:t>
            </w:r>
            <w:r w:rsidR="00363E78">
              <w:rPr>
                <w:rFonts w:cs="Arial"/>
                <w:szCs w:val="20"/>
                <w:lang w:eastAsia="sl-SI"/>
              </w:rPr>
              <w:t>o</w:t>
            </w:r>
            <w:r w:rsidRPr="00A80764">
              <w:rPr>
                <w:rFonts w:cs="Arial"/>
                <w:szCs w:val="20"/>
                <w:lang w:eastAsia="sl-SI"/>
              </w:rPr>
              <w:t xml:space="preserve"> okrepitv</w:t>
            </w:r>
            <w:r w:rsidR="00363E78">
              <w:rPr>
                <w:rFonts w:cs="Arial"/>
                <w:szCs w:val="20"/>
                <w:lang w:eastAsia="sl-SI"/>
              </w:rPr>
              <w:t>ijo</w:t>
            </w:r>
            <w:r w:rsidRPr="00A80764">
              <w:rPr>
                <w:rFonts w:cs="Arial"/>
                <w:szCs w:val="20"/>
                <w:lang w:eastAsia="sl-SI"/>
              </w:rPr>
              <w:t xml:space="preserve"> z </w:t>
            </w:r>
            <w:r w:rsidR="00237B0E">
              <w:rPr>
                <w:rFonts w:cs="Arial"/>
                <w:szCs w:val="20"/>
                <w:lang w:eastAsia="sl-SI"/>
              </w:rPr>
              <w:t xml:space="preserve">zagotovitvijo dveh novih delovnih </w:t>
            </w:r>
            <w:r w:rsidR="00A5744E">
              <w:rPr>
                <w:rFonts w:cs="Arial"/>
                <w:szCs w:val="20"/>
                <w:lang w:eastAsia="sl-SI"/>
              </w:rPr>
              <w:t>mest</w:t>
            </w:r>
            <w:r w:rsidR="00237B0E">
              <w:rPr>
                <w:rFonts w:cs="Arial"/>
                <w:szCs w:val="20"/>
                <w:lang w:eastAsia="sl-SI"/>
              </w:rPr>
              <w:t xml:space="preserve"> na MVZI</w:t>
            </w:r>
            <w:r w:rsidRPr="00A80764">
              <w:rPr>
                <w:rFonts w:cs="Arial"/>
                <w:szCs w:val="20"/>
                <w:lang w:eastAsia="sl-SI"/>
              </w:rPr>
              <w:t xml:space="preserve">. Zaradi dolgoročnega razvoja kvantnih tehnologij na nacionalni in evropski ravni bo ta </w:t>
            </w:r>
            <w:r w:rsidR="00C0592E">
              <w:rPr>
                <w:rFonts w:cs="Arial"/>
                <w:szCs w:val="20"/>
                <w:lang w:eastAsia="sl-SI"/>
              </w:rPr>
              <w:t xml:space="preserve">kadrovska </w:t>
            </w:r>
            <w:r w:rsidRPr="00A80764">
              <w:rPr>
                <w:rFonts w:cs="Arial"/>
                <w:szCs w:val="20"/>
                <w:lang w:eastAsia="sl-SI"/>
              </w:rPr>
              <w:t xml:space="preserve">kapaciteta nujna tudi po </w:t>
            </w:r>
            <w:r>
              <w:rPr>
                <w:rFonts w:cs="Arial"/>
                <w:szCs w:val="20"/>
                <w:lang w:eastAsia="sl-SI"/>
              </w:rPr>
              <w:t>izteku Strategije</w:t>
            </w:r>
            <w:r w:rsidRPr="00A80764">
              <w:rPr>
                <w:rFonts w:cs="Arial"/>
                <w:szCs w:val="20"/>
                <w:lang w:eastAsia="sl-SI"/>
              </w:rPr>
              <w:t xml:space="preserve"> za</w:t>
            </w:r>
            <w:r w:rsidR="00237B0E">
              <w:rPr>
                <w:rFonts w:cs="Arial"/>
                <w:szCs w:val="20"/>
                <w:lang w:eastAsia="sl-SI"/>
              </w:rPr>
              <w:t xml:space="preserve"> namen</w:t>
            </w:r>
            <w:r w:rsidRPr="00A80764">
              <w:rPr>
                <w:rFonts w:cs="Arial"/>
                <w:szCs w:val="20"/>
                <w:lang w:eastAsia="sl-SI"/>
              </w:rPr>
              <w:t xml:space="preserve"> zagotavljanj</w:t>
            </w:r>
            <w:r w:rsidR="00237B0E">
              <w:rPr>
                <w:rFonts w:cs="Arial"/>
                <w:szCs w:val="20"/>
                <w:lang w:eastAsia="sl-SI"/>
              </w:rPr>
              <w:t>a</w:t>
            </w:r>
            <w:r w:rsidRPr="00A80764">
              <w:rPr>
                <w:rFonts w:cs="Arial"/>
                <w:szCs w:val="20"/>
                <w:lang w:eastAsia="sl-SI"/>
              </w:rPr>
              <w:t xml:space="preserve"> kontinuitete </w:t>
            </w:r>
            <w:r>
              <w:rPr>
                <w:rFonts w:cs="Arial"/>
                <w:szCs w:val="20"/>
                <w:lang w:eastAsia="sl-SI"/>
              </w:rPr>
              <w:t xml:space="preserve">razvoja področja </w:t>
            </w:r>
            <w:r w:rsidRPr="00A80764">
              <w:rPr>
                <w:rFonts w:cs="Arial"/>
                <w:szCs w:val="20"/>
                <w:lang w:eastAsia="sl-SI"/>
              </w:rPr>
              <w:t>in vključevanja v evropske mehanizme ter strateške pobude</w:t>
            </w:r>
            <w:r w:rsidR="00237B0E">
              <w:rPr>
                <w:rFonts w:cs="Arial"/>
                <w:szCs w:val="20"/>
                <w:lang w:eastAsia="sl-SI"/>
              </w:rPr>
              <w:t>.</w:t>
            </w:r>
            <w:r>
              <w:rPr>
                <w:rFonts w:cs="Arial"/>
                <w:szCs w:val="20"/>
                <w:lang w:eastAsia="sl-SI"/>
              </w:rPr>
              <w:t xml:space="preserve"> </w:t>
            </w:r>
            <w:r w:rsidR="00237B0E">
              <w:rPr>
                <w:rFonts w:cs="Arial"/>
                <w:szCs w:val="20"/>
                <w:lang w:eastAsia="sl-SI"/>
              </w:rPr>
              <w:t>O</w:t>
            </w:r>
            <w:r>
              <w:rPr>
                <w:rFonts w:cs="Arial"/>
                <w:szCs w:val="20"/>
                <w:lang w:eastAsia="sl-SI"/>
              </w:rPr>
              <w:t xml:space="preserve">cenjena posplošena letna vrednost dveh </w:t>
            </w:r>
            <w:r w:rsidR="00237B0E">
              <w:rPr>
                <w:rFonts w:cs="Arial"/>
                <w:szCs w:val="20"/>
                <w:lang w:eastAsia="sl-SI"/>
              </w:rPr>
              <w:t>novih</w:t>
            </w:r>
            <w:r>
              <w:rPr>
                <w:rFonts w:cs="Arial"/>
                <w:szCs w:val="20"/>
                <w:lang w:eastAsia="sl-SI"/>
              </w:rPr>
              <w:t xml:space="preserve"> delovnih </w:t>
            </w:r>
            <w:r w:rsidR="00A5744E">
              <w:rPr>
                <w:rFonts w:cs="Arial"/>
                <w:szCs w:val="20"/>
                <w:lang w:eastAsia="sl-SI"/>
              </w:rPr>
              <w:lastRenderedPageBreak/>
              <w:t>mest</w:t>
            </w:r>
            <w:r>
              <w:rPr>
                <w:rFonts w:cs="Arial"/>
                <w:szCs w:val="20"/>
                <w:lang w:eastAsia="sl-SI"/>
              </w:rPr>
              <w:t xml:space="preserve"> za MVZI v obdobju 2026-2035 znaša 110.000 EUR</w:t>
            </w:r>
            <w:r w:rsidR="00C10587">
              <w:rPr>
                <w:rFonts w:cs="Arial"/>
                <w:szCs w:val="20"/>
                <w:lang w:eastAsia="sl-SI"/>
              </w:rPr>
              <w:t>, od tega konkretno v letu 2026 (t+1) 95.600,00 EUR</w:t>
            </w:r>
            <w:r>
              <w:rPr>
                <w:rFonts w:cs="Arial"/>
                <w:szCs w:val="20"/>
                <w:lang w:eastAsia="sl-SI"/>
              </w:rPr>
              <w:t xml:space="preserve">.  </w:t>
            </w:r>
          </w:p>
          <w:p w14:paraId="7F0ACB4E" w14:textId="77777777" w:rsidR="00C10587" w:rsidRDefault="00C10587" w:rsidP="005B2A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  <w:p w14:paraId="33FF448A" w14:textId="5B83EFEB" w:rsidR="00B20048" w:rsidRPr="005B2AAE" w:rsidRDefault="009E1E1E" w:rsidP="005B2A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DE00F6">
              <w:rPr>
                <w:rFonts w:cs="Arial"/>
                <w:szCs w:val="20"/>
                <w:lang w:eastAsia="sl-SI"/>
              </w:rPr>
              <w:t>Pri tem izpostavljamo, da se bodo za financiranje vseh ukrepov pristojni resorji prizadeva</w:t>
            </w:r>
            <w:r w:rsidR="00CD2304" w:rsidRPr="00DE00F6">
              <w:rPr>
                <w:rFonts w:cs="Arial"/>
                <w:szCs w:val="20"/>
                <w:lang w:eastAsia="sl-SI"/>
              </w:rPr>
              <w:t>li</w:t>
            </w:r>
            <w:r w:rsidRPr="00DE00F6">
              <w:rPr>
                <w:rFonts w:cs="Arial"/>
                <w:szCs w:val="20"/>
                <w:lang w:eastAsia="sl-SI"/>
              </w:rPr>
              <w:t xml:space="preserve"> za pridobitev sredstev iz skupnih evropskih pobud, denimo preko EuroHPC JU</w:t>
            </w:r>
            <w:r w:rsidR="00573298" w:rsidRPr="00DE00F6">
              <w:rPr>
                <w:rFonts w:cs="Arial"/>
                <w:szCs w:val="20"/>
                <w:lang w:eastAsia="sl-SI"/>
              </w:rPr>
              <w:t>, EuroQCI</w:t>
            </w:r>
            <w:r w:rsidRPr="00DE00F6">
              <w:rPr>
                <w:rFonts w:cs="Arial"/>
                <w:szCs w:val="20"/>
                <w:lang w:eastAsia="sl-SI"/>
              </w:rPr>
              <w:t xml:space="preserve"> oziroma preko </w:t>
            </w:r>
            <w:r w:rsidR="00CD2304" w:rsidRPr="00DE00F6">
              <w:rPr>
                <w:rFonts w:cs="Arial"/>
                <w:szCs w:val="20"/>
                <w:lang w:eastAsia="sl-SI"/>
              </w:rPr>
              <w:t xml:space="preserve">novega </w:t>
            </w:r>
            <w:r w:rsidRPr="00DE00F6">
              <w:rPr>
                <w:rFonts w:cs="Arial"/>
                <w:szCs w:val="20"/>
                <w:lang w:eastAsia="sl-SI"/>
              </w:rPr>
              <w:t>Evropskega programa za kvantne raziskave in inovacije, ki ga uvaja Evropska kvantna strategija, ki jo je Evropska komisija predsta</w:t>
            </w:r>
            <w:r w:rsidR="003F3983" w:rsidRPr="00DE00F6">
              <w:rPr>
                <w:rFonts w:cs="Arial"/>
                <w:szCs w:val="20"/>
                <w:lang w:eastAsia="sl-SI"/>
              </w:rPr>
              <w:t>v</w:t>
            </w:r>
            <w:r w:rsidRPr="00DE00F6">
              <w:rPr>
                <w:rFonts w:cs="Arial"/>
                <w:szCs w:val="20"/>
                <w:lang w:eastAsia="sl-SI"/>
              </w:rPr>
              <w:t>ila 2.</w:t>
            </w:r>
            <w:r w:rsidR="00CD2304" w:rsidRPr="00DE00F6">
              <w:rPr>
                <w:rFonts w:cs="Arial"/>
                <w:szCs w:val="20"/>
                <w:lang w:eastAsia="sl-SI"/>
              </w:rPr>
              <w:t xml:space="preserve"> </w:t>
            </w:r>
            <w:r w:rsidRPr="00DE00F6">
              <w:rPr>
                <w:rFonts w:cs="Arial"/>
                <w:szCs w:val="20"/>
                <w:lang w:eastAsia="sl-SI"/>
              </w:rPr>
              <w:t>7.</w:t>
            </w:r>
            <w:r w:rsidR="00CD2304" w:rsidRPr="00DE00F6">
              <w:rPr>
                <w:rFonts w:cs="Arial"/>
                <w:szCs w:val="20"/>
                <w:lang w:eastAsia="sl-SI"/>
              </w:rPr>
              <w:t xml:space="preserve"> </w:t>
            </w:r>
            <w:r w:rsidRPr="00DE00F6">
              <w:rPr>
                <w:rFonts w:cs="Arial"/>
                <w:szCs w:val="20"/>
                <w:lang w:eastAsia="sl-SI"/>
              </w:rPr>
              <w:t>2025 in bo predvidoma naslovil</w:t>
            </w:r>
            <w:r w:rsidR="00363E78">
              <w:rPr>
                <w:rFonts w:cs="Arial"/>
                <w:szCs w:val="20"/>
                <w:lang w:eastAsia="sl-SI"/>
              </w:rPr>
              <w:t>a</w:t>
            </w:r>
            <w:r w:rsidRPr="00DE00F6">
              <w:rPr>
                <w:rFonts w:cs="Arial"/>
                <w:szCs w:val="20"/>
                <w:lang w:eastAsia="sl-SI"/>
              </w:rPr>
              <w:t xml:space="preserve"> celostno financiranje kvantnih aktivnosti v državah članicah EU</w:t>
            </w:r>
            <w:r w:rsidR="00363E78">
              <w:rPr>
                <w:rFonts w:cs="Arial"/>
                <w:szCs w:val="20"/>
                <w:lang w:eastAsia="sl-SI"/>
              </w:rPr>
              <w:t>:</w:t>
            </w:r>
            <w:r w:rsidRPr="00DE00F6">
              <w:rPr>
                <w:rFonts w:cs="Arial"/>
                <w:szCs w:val="20"/>
                <w:lang w:eastAsia="sl-SI"/>
              </w:rPr>
              <w:t xml:space="preserve"> od raziskav in infrastrukture do spodbud za prenos znanja v industrijo</w:t>
            </w:r>
            <w:r w:rsidR="00CD2304" w:rsidRPr="00DE00F6">
              <w:rPr>
                <w:rFonts w:cs="Arial"/>
                <w:szCs w:val="20"/>
                <w:lang w:eastAsia="sl-SI"/>
              </w:rPr>
              <w:t xml:space="preserve">, kar je usklajeno tudi s </w:t>
            </w:r>
            <w:r w:rsidR="00363E78">
              <w:rPr>
                <w:rFonts w:cs="Arial"/>
                <w:szCs w:val="20"/>
                <w:lang w:eastAsia="sl-SI"/>
              </w:rPr>
              <w:t xml:space="preserve">to </w:t>
            </w:r>
            <w:r w:rsidR="00CD2304" w:rsidRPr="00DE00F6">
              <w:rPr>
                <w:rFonts w:cs="Arial"/>
                <w:szCs w:val="20"/>
                <w:lang w:eastAsia="sl-SI"/>
              </w:rPr>
              <w:t>Strategijo</w:t>
            </w:r>
            <w:r w:rsidRPr="00DE00F6">
              <w:rPr>
                <w:rFonts w:cs="Arial"/>
                <w:szCs w:val="20"/>
                <w:lang w:eastAsia="sl-SI"/>
              </w:rPr>
              <w:t>. Finančne posledice, ki se nanašajo na integralni proračun, bodo relevantne ob predpostavki, da sredstev za izvajanje teh novih ukrepov ne bo mogoče zagotoviti v okviru EuroHPC JU</w:t>
            </w:r>
            <w:r w:rsidR="00CD2304" w:rsidRPr="00DE00F6">
              <w:rPr>
                <w:rFonts w:cs="Arial"/>
                <w:szCs w:val="20"/>
                <w:lang w:eastAsia="sl-SI"/>
              </w:rPr>
              <w:t>, EuroQCI</w:t>
            </w:r>
            <w:r w:rsidRPr="00DE00F6">
              <w:rPr>
                <w:rFonts w:cs="Arial"/>
                <w:szCs w:val="20"/>
                <w:lang w:eastAsia="sl-SI"/>
              </w:rPr>
              <w:t xml:space="preserve"> oziroma preko Evropskega programa za kvantne raziskave in inovacije. V točki I. so </w:t>
            </w:r>
            <w:r w:rsidRPr="008C4C52">
              <w:rPr>
                <w:rFonts w:cs="Arial"/>
                <w:szCs w:val="20"/>
                <w:lang w:eastAsia="sl-SI"/>
              </w:rPr>
              <w:t xml:space="preserve">prikazane finančne posledice za obdobje med 2025 in 2028 (t in t+1, t+2 in t+3), </w:t>
            </w:r>
            <w:r w:rsidR="006C0AC1" w:rsidRPr="008C4C52">
              <w:rPr>
                <w:rFonts w:cs="Arial"/>
                <w:szCs w:val="20"/>
                <w:lang w:eastAsia="sl-SI"/>
              </w:rPr>
              <w:t>pri čemer za leto 2025 (t)</w:t>
            </w:r>
            <w:r w:rsidR="008C4C52" w:rsidRPr="008C4C52">
              <w:rPr>
                <w:rFonts w:cs="Arial"/>
                <w:szCs w:val="20"/>
                <w:lang w:eastAsia="sl-SI"/>
              </w:rPr>
              <w:t xml:space="preserve"> </w:t>
            </w:r>
            <w:r w:rsidR="006C0AC1" w:rsidRPr="008C4C52">
              <w:rPr>
                <w:rFonts w:cs="Arial"/>
                <w:szCs w:val="20"/>
                <w:lang w:eastAsia="sl-SI"/>
              </w:rPr>
              <w:t xml:space="preserve">ni predvidenega povečanja odhodkov proračuna, </w:t>
            </w:r>
            <w:r w:rsidR="008C4C52" w:rsidRPr="008C4C52">
              <w:rPr>
                <w:rFonts w:cs="Arial"/>
                <w:szCs w:val="20"/>
                <w:lang w:eastAsia="sl-SI"/>
              </w:rPr>
              <w:t xml:space="preserve">za leto 2026 se predvideva povečanje odhodkov za </w:t>
            </w:r>
            <w:r w:rsidR="008C4C52" w:rsidRPr="008C4C52">
              <w:rPr>
                <w:rFonts w:cs="Arial"/>
                <w:color w:val="000000"/>
                <w:szCs w:val="20"/>
              </w:rPr>
              <w:t xml:space="preserve">95.600,00 EUR, </w:t>
            </w:r>
            <w:r w:rsidR="006C0AC1" w:rsidRPr="008C4C52">
              <w:rPr>
                <w:rFonts w:cs="Arial"/>
                <w:szCs w:val="20"/>
                <w:lang w:eastAsia="sl-SI"/>
              </w:rPr>
              <w:t xml:space="preserve">v letu 2027 (t+2) za </w:t>
            </w:r>
            <w:r w:rsidR="008C4C52" w:rsidRPr="008C4C52">
              <w:rPr>
                <w:rFonts w:cs="Arial"/>
                <w:color w:val="000000"/>
                <w:szCs w:val="20"/>
              </w:rPr>
              <w:t>747.800,00</w:t>
            </w:r>
            <w:r w:rsidR="00574513">
              <w:rPr>
                <w:rFonts w:cs="Arial"/>
                <w:color w:val="000000"/>
                <w:szCs w:val="20"/>
              </w:rPr>
              <w:t xml:space="preserve"> </w:t>
            </w:r>
            <w:r w:rsidR="006C0AC1" w:rsidRPr="008C4C52">
              <w:rPr>
                <w:rFonts w:cs="Arial"/>
                <w:szCs w:val="20"/>
                <w:lang w:eastAsia="sl-SI"/>
              </w:rPr>
              <w:t xml:space="preserve">EUR, v letu 2028 (t+3) pa v vrednosti </w:t>
            </w:r>
            <w:r w:rsidR="008C4C52" w:rsidRPr="008C4C52">
              <w:rPr>
                <w:rFonts w:cs="Arial"/>
                <w:color w:val="000000"/>
                <w:szCs w:val="20"/>
              </w:rPr>
              <w:t xml:space="preserve">3.733.400,00 </w:t>
            </w:r>
            <w:r w:rsidR="006C0AC1" w:rsidRPr="008C4C52">
              <w:rPr>
                <w:rFonts w:cs="Arial"/>
                <w:szCs w:val="20"/>
                <w:lang w:eastAsia="sl-SI"/>
              </w:rPr>
              <w:t>EUR.</w:t>
            </w:r>
            <w:r w:rsidRPr="008C4C52">
              <w:rPr>
                <w:rFonts w:cs="Arial"/>
                <w:szCs w:val="20"/>
                <w:lang w:eastAsia="sl-SI"/>
              </w:rPr>
              <w:t xml:space="preserve"> </w:t>
            </w:r>
            <w:r w:rsidR="006C0AC1" w:rsidRPr="008C4C52">
              <w:rPr>
                <w:rFonts w:cs="Arial"/>
                <w:szCs w:val="20"/>
                <w:lang w:eastAsia="sl-SI"/>
              </w:rPr>
              <w:t>S</w:t>
            </w:r>
            <w:r w:rsidRPr="008C4C52">
              <w:rPr>
                <w:rFonts w:cs="Arial"/>
                <w:szCs w:val="20"/>
                <w:lang w:eastAsia="sl-SI"/>
              </w:rPr>
              <w:t xml:space="preserve">kupna vrednost </w:t>
            </w:r>
            <w:r w:rsidR="00CD2304" w:rsidRPr="008C4C52">
              <w:rPr>
                <w:rFonts w:cs="Arial"/>
                <w:szCs w:val="20"/>
                <w:lang w:eastAsia="sl-SI"/>
              </w:rPr>
              <w:t>novih neposrednih</w:t>
            </w:r>
            <w:r w:rsidRPr="008C4C52">
              <w:rPr>
                <w:rFonts w:cs="Arial"/>
                <w:szCs w:val="20"/>
                <w:lang w:eastAsia="sl-SI"/>
              </w:rPr>
              <w:t xml:space="preserve"> ukrepov za celotno obdobje trajanja strategije do t+10 (2025-2030) je ocenjena na </w:t>
            </w:r>
            <w:r w:rsidR="00DE00F6" w:rsidRPr="008C4C52">
              <w:rPr>
                <w:rFonts w:cs="Arial"/>
                <w:szCs w:val="20"/>
              </w:rPr>
              <w:t xml:space="preserve">26.200.000,00 </w:t>
            </w:r>
            <w:r w:rsidRPr="008C4C52">
              <w:rPr>
                <w:rFonts w:cs="Arial"/>
                <w:szCs w:val="20"/>
                <w:lang w:eastAsia="sl-SI"/>
              </w:rPr>
              <w:t>EUR. Ob vsakoletnem spremljanju izvajanja strategije in ukrepov se bo izvedla</w:t>
            </w:r>
            <w:r w:rsidRPr="00DE00F6">
              <w:rPr>
                <w:rFonts w:cs="Arial"/>
                <w:szCs w:val="20"/>
                <w:lang w:eastAsia="sl-SI"/>
              </w:rPr>
              <w:t xml:space="preserve"> revizija finančnih posledic </w:t>
            </w:r>
            <w:r w:rsidR="006C0AC1" w:rsidRPr="00DE00F6">
              <w:rPr>
                <w:rFonts w:cs="Arial"/>
                <w:szCs w:val="20"/>
                <w:lang w:eastAsia="sl-SI"/>
              </w:rPr>
              <w:t xml:space="preserve">in umeščanje v proračun </w:t>
            </w:r>
            <w:r w:rsidRPr="00DE00F6">
              <w:rPr>
                <w:rFonts w:cs="Arial"/>
                <w:szCs w:val="20"/>
                <w:lang w:eastAsia="sl-SI"/>
              </w:rPr>
              <w:t>ob vsakokratnem proračunskem načrtovanju glede na razpoložljive proračunske možnosti</w:t>
            </w:r>
            <w:r w:rsidR="006C0AC1" w:rsidRPr="00DE00F6">
              <w:rPr>
                <w:rFonts w:cs="Arial"/>
                <w:szCs w:val="20"/>
                <w:lang w:eastAsia="sl-SI"/>
              </w:rPr>
              <w:t xml:space="preserve"> in ob predpostavki, da sredstev ne bo mogoče zagotoviti v okviru EuroHPC JU</w:t>
            </w:r>
            <w:r w:rsidR="00573298" w:rsidRPr="00DE00F6">
              <w:rPr>
                <w:rFonts w:cs="Arial"/>
                <w:szCs w:val="20"/>
                <w:lang w:eastAsia="sl-SI"/>
              </w:rPr>
              <w:t xml:space="preserve"> ali EuroQCI </w:t>
            </w:r>
            <w:r w:rsidR="006C0AC1" w:rsidRPr="00DE00F6">
              <w:rPr>
                <w:rFonts w:cs="Arial"/>
                <w:szCs w:val="20"/>
                <w:lang w:eastAsia="sl-SI"/>
              </w:rPr>
              <w:t>oziroma preko Evropskega programa za kvantne raziskave in inovacije</w:t>
            </w:r>
            <w:r w:rsidRPr="00DE00F6">
              <w:rPr>
                <w:rFonts w:cs="Arial"/>
                <w:szCs w:val="20"/>
                <w:lang w:eastAsia="sl-SI"/>
              </w:rPr>
              <w:t>.</w:t>
            </w:r>
          </w:p>
          <w:p w14:paraId="5AAE3650" w14:textId="77777777" w:rsidR="008C4C52" w:rsidRPr="008C4C52" w:rsidRDefault="008C4C52" w:rsidP="008C4C52">
            <w:pPr>
              <w:spacing w:line="240" w:lineRule="auto"/>
              <w:jc w:val="both"/>
              <w:rPr>
                <w:rFonts w:cs="Arial"/>
                <w:color w:val="000000"/>
                <w:szCs w:val="20"/>
              </w:rPr>
            </w:pPr>
          </w:p>
          <w:p w14:paraId="393B19DC" w14:textId="1E5DE3F7" w:rsidR="00F705CA" w:rsidRDefault="00F705CA" w:rsidP="00B4430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DE00F6">
              <w:rPr>
                <w:rFonts w:cs="Arial"/>
                <w:szCs w:val="20"/>
                <w:lang w:eastAsia="sl-SI"/>
              </w:rPr>
              <w:t>Predvidena dinamika financiranja po letih</w:t>
            </w:r>
            <w:r w:rsidR="009E1E1E" w:rsidRPr="00DE00F6">
              <w:rPr>
                <w:rFonts w:cs="Arial"/>
                <w:szCs w:val="20"/>
                <w:lang w:eastAsia="sl-SI"/>
              </w:rPr>
              <w:t xml:space="preserve"> glede na načrtovanje implementacije neposrednih ukrepov je sledeča:</w:t>
            </w:r>
          </w:p>
          <w:p w14:paraId="4D4727A9" w14:textId="77777777" w:rsidR="00B6515A" w:rsidRPr="00B6515A" w:rsidRDefault="00B6515A" w:rsidP="00B4430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sz w:val="10"/>
                <w:szCs w:val="10"/>
                <w:lang w:eastAsia="sl-SI"/>
              </w:rPr>
            </w:pPr>
          </w:p>
          <w:tbl>
            <w:tblPr>
              <w:tblW w:w="393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391"/>
              <w:gridCol w:w="700"/>
            </w:tblGrid>
            <w:tr w:rsidR="00184273" w:rsidRPr="00184273" w14:paraId="2AB567BB" w14:textId="77777777" w:rsidTr="00E738B3">
              <w:trPr>
                <w:trHeight w:val="253"/>
              </w:trPr>
              <w:tc>
                <w:tcPr>
                  <w:tcW w:w="39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BC409B5" w14:textId="269B65F8" w:rsidR="00184273" w:rsidRPr="00B6515A" w:rsidRDefault="00184273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B6515A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 xml:space="preserve">PREDVIDENA DINAMIKA PO LETIH </w:t>
                  </w:r>
                  <w:r w:rsidR="00B6515A" w:rsidRPr="00B6515A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 xml:space="preserve">(TOČKA </w:t>
                  </w:r>
                  <w:r w:rsidRPr="00B6515A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I+II</w:t>
                  </w:r>
                  <w:r w:rsidR="00B6515A" w:rsidRPr="00B6515A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)</w:t>
                  </w:r>
                </w:p>
              </w:tc>
            </w:tr>
            <w:tr w:rsidR="009F31FC" w:rsidRPr="00184273" w14:paraId="00696E60" w14:textId="77777777" w:rsidTr="0079680A">
              <w:trPr>
                <w:trHeight w:val="253"/>
              </w:trPr>
              <w:tc>
                <w:tcPr>
                  <w:tcW w:w="8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5937E5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2025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C20031" w14:textId="0A79B824" w:rsidR="009F31FC" w:rsidRPr="009F31FC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9F31FC">
                    <w:rPr>
                      <w:rFonts w:ascii="Aptos Narrow" w:hAnsi="Aptos Narrow"/>
                      <w:color w:val="000000"/>
                      <w:sz w:val="18"/>
                      <w:szCs w:val="18"/>
                    </w:rPr>
                    <w:t>1.058.890,59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E33E4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EUR</w:t>
                  </w:r>
                </w:p>
              </w:tc>
            </w:tr>
            <w:tr w:rsidR="009F31FC" w:rsidRPr="00184273" w14:paraId="23101833" w14:textId="77777777" w:rsidTr="0079680A">
              <w:trPr>
                <w:trHeight w:val="253"/>
              </w:trPr>
              <w:tc>
                <w:tcPr>
                  <w:tcW w:w="8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BC035B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2026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D9B9E4" w14:textId="7CB18025" w:rsidR="009F31FC" w:rsidRPr="009F31FC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9F31FC">
                    <w:rPr>
                      <w:rFonts w:ascii="Aptos Narrow" w:hAnsi="Aptos Narrow"/>
                      <w:color w:val="000000"/>
                      <w:sz w:val="18"/>
                      <w:szCs w:val="18"/>
                    </w:rPr>
                    <w:t>1.649.253,40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D1D0B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EUR</w:t>
                  </w:r>
                </w:p>
              </w:tc>
            </w:tr>
            <w:tr w:rsidR="009F31FC" w:rsidRPr="00184273" w14:paraId="1886160E" w14:textId="77777777" w:rsidTr="0079680A">
              <w:trPr>
                <w:trHeight w:val="253"/>
              </w:trPr>
              <w:tc>
                <w:tcPr>
                  <w:tcW w:w="8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7D10E7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2027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FE467C" w14:textId="24674A6E" w:rsidR="009F31FC" w:rsidRPr="009F31FC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9F31FC">
                    <w:rPr>
                      <w:rFonts w:ascii="Aptos Narrow" w:hAnsi="Aptos Narrow"/>
                      <w:color w:val="000000"/>
                      <w:sz w:val="18"/>
                      <w:szCs w:val="18"/>
                    </w:rPr>
                    <w:t>3.076.380,40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2D15A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EUR</w:t>
                  </w:r>
                </w:p>
              </w:tc>
            </w:tr>
            <w:tr w:rsidR="009F31FC" w:rsidRPr="00184273" w14:paraId="2098D5B8" w14:textId="77777777" w:rsidTr="0079680A">
              <w:trPr>
                <w:trHeight w:val="253"/>
              </w:trPr>
              <w:tc>
                <w:tcPr>
                  <w:tcW w:w="8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8DEF1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2028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5DB04F" w14:textId="5BEA681E" w:rsidR="009F31FC" w:rsidRPr="009F31FC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9F31FC">
                    <w:rPr>
                      <w:rFonts w:ascii="Aptos Narrow" w:hAnsi="Aptos Narrow"/>
                      <w:color w:val="000000"/>
                      <w:sz w:val="18"/>
                      <w:szCs w:val="18"/>
                    </w:rPr>
                    <w:t>6.163.000,00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1A661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EUR</w:t>
                  </w:r>
                </w:p>
              </w:tc>
            </w:tr>
            <w:tr w:rsidR="009F31FC" w:rsidRPr="00184273" w14:paraId="61F74F77" w14:textId="77777777" w:rsidTr="0079680A">
              <w:trPr>
                <w:trHeight w:val="253"/>
              </w:trPr>
              <w:tc>
                <w:tcPr>
                  <w:tcW w:w="8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4BBEB3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2029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DF9E1C" w14:textId="57FD45F0" w:rsidR="009F31FC" w:rsidRPr="009F31FC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9F31FC">
                    <w:rPr>
                      <w:rFonts w:ascii="Aptos Narrow" w:hAnsi="Aptos Narrow"/>
                      <w:color w:val="000000"/>
                      <w:sz w:val="18"/>
                      <w:szCs w:val="18"/>
                    </w:rPr>
                    <w:t>5.169.000,00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18424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EUR</w:t>
                  </w:r>
                </w:p>
              </w:tc>
            </w:tr>
            <w:tr w:rsidR="009F31FC" w:rsidRPr="00184273" w14:paraId="48E1F537" w14:textId="77777777" w:rsidTr="0079680A">
              <w:trPr>
                <w:trHeight w:val="253"/>
              </w:trPr>
              <w:tc>
                <w:tcPr>
                  <w:tcW w:w="8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B061C5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2030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A39EBA" w14:textId="4BE326F1" w:rsidR="009F31FC" w:rsidRPr="009F31FC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9F31FC">
                    <w:rPr>
                      <w:rFonts w:ascii="Aptos Narrow" w:hAnsi="Aptos Narrow"/>
                      <w:color w:val="000000"/>
                      <w:sz w:val="18"/>
                      <w:szCs w:val="18"/>
                    </w:rPr>
                    <w:t>18.709.600,00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D2F72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EUR</w:t>
                  </w:r>
                </w:p>
              </w:tc>
            </w:tr>
            <w:tr w:rsidR="009F31FC" w:rsidRPr="00184273" w14:paraId="0F0DEA90" w14:textId="77777777" w:rsidTr="0079680A">
              <w:trPr>
                <w:trHeight w:val="253"/>
              </w:trPr>
              <w:tc>
                <w:tcPr>
                  <w:tcW w:w="8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891FCA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2031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555EE" w14:textId="634F7AFD" w:rsidR="009F31FC" w:rsidRPr="009F31FC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9F31FC">
                    <w:rPr>
                      <w:rFonts w:ascii="Aptos Narrow" w:hAnsi="Aptos Narrow"/>
                      <w:color w:val="000000"/>
                      <w:sz w:val="18"/>
                      <w:szCs w:val="18"/>
                    </w:rPr>
                    <w:t>3.309.900,00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E8B96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EUR</w:t>
                  </w:r>
                </w:p>
              </w:tc>
            </w:tr>
            <w:tr w:rsidR="009F31FC" w:rsidRPr="00184273" w14:paraId="11D626B0" w14:textId="77777777" w:rsidTr="0079680A">
              <w:trPr>
                <w:trHeight w:val="253"/>
              </w:trPr>
              <w:tc>
                <w:tcPr>
                  <w:tcW w:w="8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EC4D89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2032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675597" w14:textId="35CDECD7" w:rsidR="009F31FC" w:rsidRPr="009F31FC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9F31FC">
                    <w:rPr>
                      <w:rFonts w:ascii="Aptos Narrow" w:hAnsi="Aptos Narrow"/>
                      <w:color w:val="000000"/>
                      <w:sz w:val="18"/>
                      <w:szCs w:val="18"/>
                    </w:rPr>
                    <w:t>3.316.300,00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B4D03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EUR</w:t>
                  </w:r>
                </w:p>
              </w:tc>
            </w:tr>
            <w:tr w:rsidR="009F31FC" w:rsidRPr="00184273" w14:paraId="1F275722" w14:textId="77777777" w:rsidTr="0079680A">
              <w:trPr>
                <w:trHeight w:val="253"/>
              </w:trPr>
              <w:tc>
                <w:tcPr>
                  <w:tcW w:w="8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96E30F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2033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91AE56" w14:textId="03CA1C8F" w:rsidR="009F31FC" w:rsidRPr="009F31FC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9F31FC">
                    <w:rPr>
                      <w:rFonts w:ascii="Aptos Narrow" w:hAnsi="Aptos Narrow"/>
                      <w:color w:val="000000"/>
                      <w:sz w:val="18"/>
                      <w:szCs w:val="18"/>
                    </w:rPr>
                    <w:t>3.116.600,00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9E4B3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EUR</w:t>
                  </w:r>
                </w:p>
              </w:tc>
            </w:tr>
            <w:tr w:rsidR="009F31FC" w:rsidRPr="00184273" w14:paraId="21AA39D9" w14:textId="77777777" w:rsidTr="0079680A">
              <w:trPr>
                <w:trHeight w:val="253"/>
              </w:trPr>
              <w:tc>
                <w:tcPr>
                  <w:tcW w:w="8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467E5B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2034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6A5316" w14:textId="19697B6E" w:rsidR="009F31FC" w:rsidRPr="009F31FC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9F31FC">
                    <w:rPr>
                      <w:rFonts w:ascii="Aptos Narrow" w:hAnsi="Aptos Narrow"/>
                      <w:color w:val="000000"/>
                      <w:sz w:val="18"/>
                      <w:szCs w:val="18"/>
                    </w:rPr>
                    <w:t>3.123.400,00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2274B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EUR</w:t>
                  </w:r>
                </w:p>
              </w:tc>
            </w:tr>
            <w:tr w:rsidR="009F31FC" w:rsidRPr="00184273" w14:paraId="1612C052" w14:textId="77777777" w:rsidTr="0079680A">
              <w:trPr>
                <w:trHeight w:val="253"/>
              </w:trPr>
              <w:tc>
                <w:tcPr>
                  <w:tcW w:w="8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79FCE5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2035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7A678" w14:textId="65771C25" w:rsidR="009F31FC" w:rsidRPr="009F31FC" w:rsidRDefault="009F31FC" w:rsidP="00646F48">
                  <w:pPr>
                    <w:framePr w:hSpace="141" w:wrap="around" w:vAnchor="page" w:hAnchor="margin" w:y="3621"/>
                    <w:spacing w:line="240" w:lineRule="auto"/>
                    <w:jc w:val="right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9F31FC">
                    <w:rPr>
                      <w:rFonts w:ascii="Aptos Narrow" w:hAnsi="Aptos Narrow"/>
                      <w:color w:val="000000"/>
                      <w:sz w:val="18"/>
                      <w:szCs w:val="18"/>
                    </w:rPr>
                    <w:t>3.173.600,00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A3C28" w14:textId="77777777" w:rsidR="009F31FC" w:rsidRPr="00E738B3" w:rsidRDefault="009F31FC" w:rsidP="00646F48">
                  <w:pPr>
                    <w:framePr w:hSpace="141" w:wrap="around" w:vAnchor="page" w:hAnchor="margin" w:y="3621"/>
                    <w:spacing w:line="240" w:lineRule="auto"/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</w:pPr>
                  <w:r w:rsidRPr="00E738B3">
                    <w:rPr>
                      <w:rFonts w:ascii="Aptos Narrow" w:hAnsi="Aptos Narrow"/>
                      <w:color w:val="000000"/>
                      <w:sz w:val="18"/>
                      <w:szCs w:val="18"/>
                      <w:lang w:eastAsia="sl-SI"/>
                    </w:rPr>
                    <w:t>EUR</w:t>
                  </w:r>
                </w:p>
              </w:tc>
            </w:tr>
          </w:tbl>
          <w:p w14:paraId="2D1A6A6A" w14:textId="77777777" w:rsidR="00573298" w:rsidRPr="008E68AE" w:rsidRDefault="00573298" w:rsidP="00B4430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</w:p>
        </w:tc>
      </w:tr>
    </w:tbl>
    <w:p w14:paraId="3435FEC3" w14:textId="77777777" w:rsidR="008E68AE" w:rsidRPr="008E68AE" w:rsidRDefault="008E68AE" w:rsidP="008E68AE">
      <w:pPr>
        <w:spacing w:line="240" w:lineRule="auto"/>
        <w:rPr>
          <w:rFonts w:cs="Arial"/>
          <w:vanish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9"/>
        <w:gridCol w:w="681"/>
        <w:gridCol w:w="1270"/>
        <w:gridCol w:w="598"/>
        <w:gridCol w:w="1297"/>
        <w:gridCol w:w="840"/>
        <w:gridCol w:w="407"/>
        <w:gridCol w:w="315"/>
        <w:gridCol w:w="1863"/>
      </w:tblGrid>
      <w:tr w:rsidR="008E68AE" w:rsidRPr="008E68AE" w14:paraId="1211DEE6" w14:textId="77777777" w:rsidTr="004D7DCA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7B44FA" w14:textId="77777777" w:rsidR="008E68AE" w:rsidRPr="008E68AE" w:rsidRDefault="008E68AE" w:rsidP="008E68AE">
            <w:pPr>
              <w:pageBreakBefore/>
              <w:widowControl w:val="0"/>
              <w:tabs>
                <w:tab w:val="left" w:pos="2340"/>
              </w:tabs>
              <w:spacing w:line="240" w:lineRule="auto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8E68AE">
              <w:rPr>
                <w:rFonts w:cs="Arial"/>
                <w:b/>
                <w:kern w:val="32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8E68AE" w:rsidRPr="008E68AE" w14:paraId="5A517EE7" w14:textId="77777777" w:rsidTr="008E382A">
        <w:trPr>
          <w:cantSplit/>
          <w:trHeight w:val="276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DA3F" w14:textId="77777777" w:rsidR="008E68AE" w:rsidRPr="008E68AE" w:rsidRDefault="008E68AE" w:rsidP="008E68AE">
            <w:pPr>
              <w:widowControl w:val="0"/>
              <w:spacing w:line="240" w:lineRule="auto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81AB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>Tekoče leto (t)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4B6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>t + 1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19B2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>t + 2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89D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>t + 3</w:t>
            </w:r>
          </w:p>
        </w:tc>
      </w:tr>
      <w:tr w:rsidR="008E68AE" w:rsidRPr="008E68AE" w14:paraId="7933D366" w14:textId="77777777" w:rsidTr="008E382A">
        <w:trPr>
          <w:cantSplit/>
          <w:trHeight w:val="423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507" w14:textId="77777777" w:rsidR="008E68AE" w:rsidRPr="008E68AE" w:rsidRDefault="008E68AE" w:rsidP="008E68AE">
            <w:pPr>
              <w:widowControl w:val="0"/>
              <w:spacing w:line="240" w:lineRule="auto"/>
              <w:rPr>
                <w:rFonts w:cs="Arial"/>
                <w:bCs/>
                <w:szCs w:val="20"/>
              </w:rPr>
            </w:pPr>
            <w:r w:rsidRPr="008E68AE">
              <w:rPr>
                <w:rFonts w:cs="Arial"/>
                <w:bCs/>
                <w:szCs w:val="20"/>
              </w:rPr>
              <w:t>Predvideno povečanje (+) ali zmanjšanje (</w:t>
            </w:r>
            <w:r w:rsidRPr="008E68AE">
              <w:rPr>
                <w:rFonts w:cs="Arial"/>
                <w:b/>
                <w:szCs w:val="20"/>
              </w:rPr>
              <w:t>–</w:t>
            </w:r>
            <w:r w:rsidRPr="008E68AE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E09B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6396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640F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62F4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8E68AE" w:rsidRPr="008E68AE" w14:paraId="16886E3E" w14:textId="77777777" w:rsidTr="008E382A">
        <w:trPr>
          <w:cantSplit/>
          <w:trHeight w:val="423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E910" w14:textId="77777777" w:rsidR="008E68AE" w:rsidRPr="008E68AE" w:rsidRDefault="008E68AE" w:rsidP="008E68AE">
            <w:pPr>
              <w:widowControl w:val="0"/>
              <w:spacing w:line="240" w:lineRule="auto"/>
              <w:rPr>
                <w:rFonts w:cs="Arial"/>
                <w:bCs/>
                <w:szCs w:val="20"/>
              </w:rPr>
            </w:pPr>
            <w:r w:rsidRPr="008E68AE">
              <w:rPr>
                <w:rFonts w:cs="Arial"/>
                <w:bCs/>
                <w:szCs w:val="20"/>
              </w:rPr>
              <w:t>Predvideno povečanje (+) ali zmanjšanje (</w:t>
            </w:r>
            <w:r w:rsidRPr="008E68AE">
              <w:rPr>
                <w:rFonts w:cs="Arial"/>
                <w:b/>
                <w:szCs w:val="20"/>
              </w:rPr>
              <w:t>–</w:t>
            </w:r>
            <w:r w:rsidRPr="008E68AE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F223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150F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377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4F1A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8E382A" w:rsidRPr="008E68AE" w14:paraId="518DF908" w14:textId="77777777" w:rsidTr="008E382A">
        <w:trPr>
          <w:cantSplit/>
          <w:trHeight w:val="423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F32E" w14:textId="77777777" w:rsidR="008E382A" w:rsidRPr="008E68AE" w:rsidRDefault="008E382A" w:rsidP="008E382A">
            <w:pPr>
              <w:widowControl w:val="0"/>
              <w:spacing w:line="240" w:lineRule="auto"/>
              <w:rPr>
                <w:rFonts w:cs="Arial"/>
                <w:bCs/>
                <w:szCs w:val="20"/>
              </w:rPr>
            </w:pPr>
            <w:r w:rsidRPr="008E68AE">
              <w:rPr>
                <w:rFonts w:cs="Arial"/>
                <w:bCs/>
                <w:szCs w:val="20"/>
              </w:rPr>
              <w:t>Predvideno povečanje (+) ali zmanjšanje (</w:t>
            </w:r>
            <w:r w:rsidRPr="008E68AE">
              <w:rPr>
                <w:rFonts w:cs="Arial"/>
                <w:b/>
                <w:szCs w:val="20"/>
              </w:rPr>
              <w:t>–</w:t>
            </w:r>
            <w:r w:rsidRPr="008E68AE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D718" w14:textId="74222C76" w:rsidR="008E382A" w:rsidRPr="008E68AE" w:rsidRDefault="008E382A" w:rsidP="008E382A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C10587">
              <w:rPr>
                <w:rFonts w:cs="Arial"/>
                <w:szCs w:val="20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9413" w14:textId="184F8F10" w:rsidR="008E382A" w:rsidRPr="008E68AE" w:rsidRDefault="008C4C52" w:rsidP="008E382A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C4C52">
              <w:rPr>
                <w:rFonts w:cs="Arial"/>
                <w:color w:val="000000"/>
                <w:szCs w:val="20"/>
              </w:rPr>
              <w:t>95.600,00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8D5F" w14:textId="4E9D41BD" w:rsidR="008E382A" w:rsidRPr="008E68AE" w:rsidRDefault="008C4C52" w:rsidP="008E382A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C4C52">
              <w:rPr>
                <w:rFonts w:cs="Arial"/>
                <w:color w:val="000000"/>
                <w:szCs w:val="20"/>
              </w:rPr>
              <w:t>747.800,00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41A3" w14:textId="4EC15957" w:rsidR="008E382A" w:rsidRPr="008E68AE" w:rsidRDefault="008C4C52" w:rsidP="008E382A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C4C52">
              <w:rPr>
                <w:rFonts w:cs="Arial"/>
                <w:color w:val="000000"/>
                <w:szCs w:val="20"/>
              </w:rPr>
              <w:t>3.733.400,00</w:t>
            </w:r>
          </w:p>
        </w:tc>
      </w:tr>
      <w:tr w:rsidR="008E68AE" w:rsidRPr="008E68AE" w14:paraId="2DF1EFDD" w14:textId="77777777" w:rsidTr="008E382A">
        <w:trPr>
          <w:cantSplit/>
          <w:trHeight w:val="623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9A8C" w14:textId="77777777" w:rsidR="008E68AE" w:rsidRPr="008E68AE" w:rsidRDefault="008E68AE" w:rsidP="008E68AE">
            <w:pPr>
              <w:widowControl w:val="0"/>
              <w:spacing w:line="240" w:lineRule="auto"/>
              <w:rPr>
                <w:rFonts w:cs="Arial"/>
                <w:bCs/>
                <w:szCs w:val="20"/>
              </w:rPr>
            </w:pPr>
            <w:r w:rsidRPr="008E68AE">
              <w:rPr>
                <w:rFonts w:cs="Arial"/>
                <w:bCs/>
                <w:szCs w:val="20"/>
              </w:rPr>
              <w:t>Predvideno povečanje (+) ali zmanjšanje (</w:t>
            </w:r>
            <w:r w:rsidRPr="008E68AE">
              <w:rPr>
                <w:rFonts w:cs="Arial"/>
                <w:b/>
                <w:szCs w:val="20"/>
              </w:rPr>
              <w:t>–</w:t>
            </w:r>
            <w:r w:rsidRPr="008E68AE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C341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58A7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AF72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8BC5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8E68AE" w:rsidRPr="008E68AE" w14:paraId="1F112465" w14:textId="77777777" w:rsidTr="008E382A">
        <w:trPr>
          <w:cantSplit/>
          <w:trHeight w:val="423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CF52" w14:textId="77777777" w:rsidR="008E68AE" w:rsidRPr="008E68AE" w:rsidRDefault="008E68AE" w:rsidP="008E68AE">
            <w:pPr>
              <w:widowControl w:val="0"/>
              <w:spacing w:line="240" w:lineRule="auto"/>
              <w:rPr>
                <w:rFonts w:cs="Arial"/>
                <w:bCs/>
                <w:szCs w:val="20"/>
              </w:rPr>
            </w:pPr>
            <w:r w:rsidRPr="008E68AE">
              <w:rPr>
                <w:rFonts w:cs="Arial"/>
                <w:bCs/>
                <w:szCs w:val="20"/>
              </w:rPr>
              <w:t>Predvideno povečanje (+) ali zmanjšanje (</w:t>
            </w:r>
            <w:r w:rsidRPr="008E68AE">
              <w:rPr>
                <w:rFonts w:cs="Arial"/>
                <w:b/>
                <w:szCs w:val="20"/>
              </w:rPr>
              <w:t>–</w:t>
            </w:r>
            <w:r w:rsidRPr="008E68AE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550E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D2E0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BE95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207C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8E68AE" w:rsidRPr="008E68AE" w14:paraId="7D8A4A76" w14:textId="77777777" w:rsidTr="004D7DC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ADE72B" w14:textId="77777777" w:rsidR="008E68AE" w:rsidRPr="008E68AE" w:rsidRDefault="008E68AE" w:rsidP="008E68AE">
            <w:pPr>
              <w:widowControl w:val="0"/>
              <w:tabs>
                <w:tab w:val="left" w:pos="2340"/>
              </w:tabs>
              <w:spacing w:line="240" w:lineRule="auto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8E68AE">
              <w:rPr>
                <w:rFonts w:cs="Arial"/>
                <w:b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8E68AE" w:rsidRPr="008E68AE" w14:paraId="650E9E25" w14:textId="77777777" w:rsidTr="004D7DCA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579C29" w14:textId="77777777" w:rsidR="008E68AE" w:rsidRPr="008E68AE" w:rsidRDefault="008E68AE" w:rsidP="008E68AE">
            <w:pPr>
              <w:widowControl w:val="0"/>
              <w:tabs>
                <w:tab w:val="left" w:pos="2340"/>
              </w:tabs>
              <w:spacing w:line="240" w:lineRule="auto"/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8E68AE">
              <w:rPr>
                <w:rFonts w:cs="Arial"/>
                <w:b/>
                <w:kern w:val="32"/>
                <w:szCs w:val="20"/>
                <w:lang w:eastAsia="sl-SI"/>
              </w:rPr>
              <w:t>II.a</w:t>
            </w:r>
            <w:proofErr w:type="spellEnd"/>
            <w:r w:rsidRPr="008E68AE">
              <w:rPr>
                <w:rFonts w:cs="Arial"/>
                <w:b/>
                <w:kern w:val="32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8E68AE" w:rsidRPr="008E68AE" w14:paraId="3654AADC" w14:textId="77777777" w:rsidTr="008E382A">
        <w:trPr>
          <w:cantSplit/>
          <w:trHeight w:val="10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D5B1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E8DA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CF49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011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96A9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>Znesek za t + 1</w:t>
            </w:r>
          </w:p>
        </w:tc>
      </w:tr>
      <w:tr w:rsidR="008E382A" w:rsidRPr="008E68AE" w14:paraId="24028013" w14:textId="77777777" w:rsidTr="0074717E">
        <w:trPr>
          <w:cantSplit/>
          <w:trHeight w:val="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8F1D" w14:textId="4FE0DF10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MVZI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3988" w14:textId="3621E8B6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3330-22-5008 Tenzorske mreže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E2C1" w14:textId="7FA85081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 xml:space="preserve">231765 - Programi mednarodnega znanstvenega sodelovanja 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09D7" w14:textId="5A2ED0EF" w:rsidR="008E382A" w:rsidRPr="008E68AE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szCs w:val="20"/>
              </w:rPr>
              <w:t>51.708,00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D2C" w14:textId="11E667D1" w:rsidR="008E382A" w:rsidRPr="008E68AE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0,00</w:t>
            </w:r>
          </w:p>
        </w:tc>
      </w:tr>
      <w:tr w:rsidR="008E382A" w:rsidRPr="008E68AE" w14:paraId="23A52993" w14:textId="77777777" w:rsidTr="0074717E">
        <w:trPr>
          <w:cantSplit/>
          <w:trHeight w:val="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0B99" w14:textId="485A34DF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MVZI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B449" w14:textId="6D13EC32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3330-22-5006 Kvantno računalništvo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4E34" w14:textId="6EE862D6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 xml:space="preserve">231765 - Programi mednarodnega znanstvenega sodelovanja 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FA21" w14:textId="47DF29B3" w:rsidR="008E382A" w:rsidRPr="008E68AE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szCs w:val="20"/>
              </w:rPr>
              <w:t>49.960,82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AAA3" w14:textId="0396336C" w:rsidR="008E382A" w:rsidRPr="008E68AE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0,00</w:t>
            </w:r>
          </w:p>
        </w:tc>
      </w:tr>
      <w:tr w:rsidR="008E382A" w:rsidRPr="008E68AE" w14:paraId="5AC2CE36" w14:textId="77777777" w:rsidTr="0074717E">
        <w:trPr>
          <w:cantSplit/>
          <w:trHeight w:val="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F16D" w14:textId="2D7A433F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MVZI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8FC8" w14:textId="172F6D17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3330-22-5007 Kvantna simulacija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B370" w14:textId="6C41878A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 xml:space="preserve">231765 - Programi mednarodnega znanstvenega sodelovanja 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A9FB" w14:textId="22B88207" w:rsidR="008E382A" w:rsidRPr="008E68AE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szCs w:val="20"/>
              </w:rPr>
              <w:t>66.633,00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B0F0" w14:textId="7F5441F5" w:rsidR="008E382A" w:rsidRPr="008E68AE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0,00</w:t>
            </w:r>
          </w:p>
        </w:tc>
      </w:tr>
      <w:tr w:rsidR="008E382A" w:rsidRPr="008E68AE" w14:paraId="2539E6A6" w14:textId="77777777" w:rsidTr="0074717E">
        <w:trPr>
          <w:cantSplit/>
          <w:trHeight w:val="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CDB4" w14:textId="03309642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MVZI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5213" w14:textId="5353BE2F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3330-22-5009 Platforma za kvantno-fotonska vezja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7B05" w14:textId="0E70539E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 xml:space="preserve">231765 - Programi mednarodnega znanstvenega sodelovanja 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39AB" w14:textId="77A5A6F6" w:rsidR="008E382A" w:rsidRPr="008E68AE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szCs w:val="20"/>
              </w:rPr>
              <w:t>49.800,00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4091" w14:textId="0B15F41F" w:rsidR="008E382A" w:rsidRPr="008E68AE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0,00</w:t>
            </w:r>
          </w:p>
        </w:tc>
      </w:tr>
      <w:tr w:rsidR="008E382A" w:rsidRPr="008E68AE" w14:paraId="1DED6A7C" w14:textId="77777777" w:rsidTr="0074717E">
        <w:trPr>
          <w:cantSplit/>
          <w:trHeight w:val="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328E" w14:textId="25456DE2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MVZI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72C3" w14:textId="445347A1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 xml:space="preserve">3360-24-0014 Raziskava optimizacija za kvantna omrežja 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8260" w14:textId="0E5F8B13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 xml:space="preserve">231765 - Programi mednarodnega znanstvenega sodelovanja 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670D" w14:textId="7807A4AA" w:rsidR="008E382A" w:rsidRPr="008E68AE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98.980,39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572E" w14:textId="7BB27020" w:rsidR="008E382A" w:rsidRPr="008E68AE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98.980,39</w:t>
            </w:r>
          </w:p>
        </w:tc>
      </w:tr>
      <w:tr w:rsidR="008E382A" w:rsidRPr="008E68AE" w14:paraId="24B0DB4F" w14:textId="77777777" w:rsidTr="0074717E">
        <w:trPr>
          <w:cantSplit/>
          <w:trHeight w:val="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BE4" w14:textId="5E04B6E5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MVZI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5270" w14:textId="2D3E62E1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3360-24-S001 Projekti EuroHPC s področja superračunalništva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689" w14:textId="492617A3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 xml:space="preserve">231765 - Programi mednarodnega znanstvenega sodelovanja 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A48" w14:textId="6B5DD1BC" w:rsidR="008E382A" w:rsidRPr="008C4C52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C4C52">
              <w:rPr>
                <w:rFonts w:cs="Arial"/>
                <w:szCs w:val="20"/>
              </w:rPr>
              <w:t>271.808,38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B761" w14:textId="01F0D5EF" w:rsidR="008E382A" w:rsidRPr="008C4C52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C4C52">
              <w:rPr>
                <w:rFonts w:cs="Arial"/>
                <w:szCs w:val="20"/>
              </w:rPr>
              <w:t>390.273,01</w:t>
            </w:r>
          </w:p>
        </w:tc>
      </w:tr>
      <w:tr w:rsidR="008E382A" w:rsidRPr="008E68AE" w14:paraId="636DF7E6" w14:textId="77777777" w:rsidTr="0074717E">
        <w:trPr>
          <w:cantSplit/>
          <w:trHeight w:val="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4CBA" w14:textId="60EBA48F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MVZI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63B9" w14:textId="01A5873F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 xml:space="preserve">3330-21.8228 Raziskovalni programi in projekti 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761E" w14:textId="3A06593B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231469 Raziskovalno razvojna dejavnost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226F" w14:textId="41F6536B" w:rsidR="008E382A" w:rsidRPr="008C4C52" w:rsidRDefault="008C4C52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C4C52">
              <w:rPr>
                <w:rFonts w:cs="Arial"/>
                <w:szCs w:val="20"/>
              </w:rPr>
              <w:t>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C560" w14:textId="072B5252" w:rsidR="008E382A" w:rsidRPr="008C4C52" w:rsidRDefault="008C4C52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C4C52">
              <w:rPr>
                <w:rFonts w:cs="Arial"/>
                <w:szCs w:val="20"/>
              </w:rPr>
              <w:t>884.400,00</w:t>
            </w:r>
          </w:p>
        </w:tc>
      </w:tr>
      <w:tr w:rsidR="008E382A" w:rsidRPr="008E68AE" w14:paraId="0C000114" w14:textId="77777777" w:rsidTr="0074717E">
        <w:trPr>
          <w:cantSplit/>
          <w:trHeight w:val="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508F" w14:textId="18692D3F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MVZI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2656" w14:textId="697CFB76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 xml:space="preserve"> 3360-25-0008    Ad futura – visoko šolstvo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876A" w14:textId="5056F872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251043 – Ad futura – visoko šolstvo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9CA3" w14:textId="6555C38B" w:rsidR="008E382A" w:rsidRPr="008C4C52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C4C52">
              <w:rPr>
                <w:rFonts w:cs="Arial"/>
                <w:szCs w:val="20"/>
              </w:rPr>
              <w:t>240.000,00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FCB9" w14:textId="75E094DF" w:rsidR="008E382A" w:rsidRPr="008C4C52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8C4C52">
              <w:rPr>
                <w:rFonts w:cs="Arial"/>
                <w:szCs w:val="20"/>
              </w:rPr>
              <w:t>0,00</w:t>
            </w:r>
          </w:p>
        </w:tc>
      </w:tr>
      <w:tr w:rsidR="008E382A" w:rsidRPr="008E68AE" w14:paraId="5882FA54" w14:textId="77777777" w:rsidTr="0074717E">
        <w:trPr>
          <w:cantSplit/>
          <w:trHeight w:val="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5199" w14:textId="591FC9D5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>MVZI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0944" w14:textId="0E696B66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>3360-25-0007  Promocijske in druge komunikacijske aktivnosti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2F66" w14:textId="38835245" w:rsidR="008E382A" w:rsidRPr="008E68AE" w:rsidRDefault="008E382A" w:rsidP="008E382A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</w:rPr>
              <w:t xml:space="preserve">251041 Popularizacija in komuniciranje znanosti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30A6" w14:textId="57934217" w:rsidR="008E382A" w:rsidRPr="008E68AE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szCs w:val="20"/>
              </w:rPr>
              <w:t>10.000,00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2CEA" w14:textId="2180EFF0" w:rsidR="008E382A" w:rsidRPr="008E68AE" w:rsidRDefault="008E382A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szCs w:val="20"/>
              </w:rPr>
              <w:t>0,00</w:t>
            </w:r>
          </w:p>
        </w:tc>
      </w:tr>
      <w:tr w:rsidR="0074717E" w:rsidRPr="008E68AE" w14:paraId="1D5A13B1" w14:textId="77777777" w:rsidTr="0074717E">
        <w:trPr>
          <w:cantSplit/>
          <w:trHeight w:val="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03CF" w14:textId="677C158E" w:rsidR="0074717E" w:rsidRPr="0074717E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Cs w:val="20"/>
              </w:rPr>
            </w:pPr>
            <w:r w:rsidRPr="0074717E">
              <w:rPr>
                <w:rFonts w:cs="Arial"/>
                <w:szCs w:val="20"/>
              </w:rPr>
              <w:t xml:space="preserve">MO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0F98" w14:textId="650AC34B" w:rsidR="0074717E" w:rsidRPr="0074717E" w:rsidRDefault="00237B0E" w:rsidP="0074717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V1-24004 </w:t>
            </w:r>
            <w:r w:rsidR="0074717E" w:rsidRPr="0074717E">
              <w:rPr>
                <w:rFonts w:cs="Arial"/>
                <w:szCs w:val="20"/>
              </w:rPr>
              <w:t>CRP z naslovom Analiza koristi in tveganj, ki jih prinašajo kvantne tehnologije na področje varnosti (KVANTEH)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E335" w14:textId="4F3F1EA4" w:rsidR="0074717E" w:rsidRPr="0074717E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Cs w:val="20"/>
              </w:rPr>
            </w:pPr>
            <w:r w:rsidRPr="0074717E">
              <w:rPr>
                <w:rFonts w:cs="Arial"/>
                <w:szCs w:val="20"/>
              </w:rPr>
              <w:t>160</w:t>
            </w:r>
            <w:r w:rsidR="00237B0E">
              <w:rPr>
                <w:rFonts w:cs="Arial"/>
                <w:szCs w:val="20"/>
              </w:rPr>
              <w:t>0</w:t>
            </w:r>
            <w:r w:rsidRPr="0074717E">
              <w:rPr>
                <w:rFonts w:cs="Arial"/>
                <w:szCs w:val="20"/>
              </w:rPr>
              <w:t>33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971" w14:textId="5321C930" w:rsidR="0074717E" w:rsidRPr="0074717E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szCs w:val="20"/>
              </w:rPr>
            </w:pPr>
            <w:r w:rsidRPr="0074717E">
              <w:rPr>
                <w:rFonts w:cs="Arial"/>
                <w:szCs w:val="20"/>
              </w:rPr>
              <w:t>40.000,00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AEF1" w14:textId="0D8FD68F" w:rsidR="0074717E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20.000,00</w:t>
            </w:r>
          </w:p>
        </w:tc>
      </w:tr>
      <w:tr w:rsidR="0074717E" w:rsidRPr="008E68AE" w14:paraId="76BA01E9" w14:textId="77777777" w:rsidTr="0074717E">
        <w:trPr>
          <w:cantSplit/>
          <w:trHeight w:val="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050" w14:textId="1E53C98C" w:rsidR="0074717E" w:rsidRPr="0074717E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Cs w:val="20"/>
              </w:rPr>
            </w:pPr>
            <w:r w:rsidRPr="0074717E">
              <w:rPr>
                <w:rFonts w:cs="Arial"/>
                <w:szCs w:val="20"/>
              </w:rPr>
              <w:t>ARIS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A345" w14:textId="34C27408" w:rsidR="0074717E" w:rsidRPr="0074717E" w:rsidRDefault="00237B0E" w:rsidP="0074717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V1-24004 </w:t>
            </w:r>
            <w:r w:rsidR="0074717E" w:rsidRPr="0074717E">
              <w:rPr>
                <w:rFonts w:cs="Arial"/>
                <w:szCs w:val="20"/>
              </w:rPr>
              <w:t>CRP z naslovom Analiza koristi in tveganj, ki jih prinašajo kvantne tehnologije na področje varnosti (KVANTEH)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383F" w14:textId="5C23195E" w:rsidR="0074717E" w:rsidRPr="00237B0E" w:rsidRDefault="00237B0E" w:rsidP="0088762B">
            <w:pPr>
              <w:spacing w:line="240" w:lineRule="auto"/>
              <w:rPr>
                <w:rFonts w:cs="Arial"/>
                <w:szCs w:val="20"/>
              </w:rPr>
            </w:pPr>
            <w:r w:rsidRPr="00237B0E">
              <w:rPr>
                <w:rFonts w:cs="Arial"/>
                <w:szCs w:val="20"/>
              </w:rPr>
              <w:t>413300</w:t>
            </w:r>
            <w:r w:rsidR="0088762B" w:rsidRPr="00237B0E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D334" w14:textId="1C87FBF4" w:rsidR="0074717E" w:rsidRPr="0074717E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szCs w:val="20"/>
              </w:rPr>
            </w:pPr>
            <w:r w:rsidRPr="0074717E">
              <w:rPr>
                <w:rFonts w:cs="Arial"/>
                <w:szCs w:val="20"/>
              </w:rPr>
              <w:t>40.000,00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57B9" w14:textId="09673DFD" w:rsidR="0074717E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20.000,00</w:t>
            </w:r>
          </w:p>
        </w:tc>
      </w:tr>
      <w:tr w:rsidR="0074717E" w:rsidRPr="008E68AE" w14:paraId="18CEF4D4" w14:textId="77777777" w:rsidTr="0074717E">
        <w:trPr>
          <w:cantSplit/>
          <w:trHeight w:val="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7CE7" w14:textId="0F67CBFD" w:rsidR="0074717E" w:rsidRPr="0074717E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Cs w:val="20"/>
              </w:rPr>
            </w:pPr>
            <w:r w:rsidRPr="0074717E">
              <w:rPr>
                <w:rFonts w:cs="Arial"/>
                <w:szCs w:val="20"/>
              </w:rPr>
              <w:t>MO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6950" w14:textId="3F8CDCB6" w:rsidR="0074717E" w:rsidRPr="0074717E" w:rsidRDefault="00237B0E" w:rsidP="0074717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V2-24005 </w:t>
            </w:r>
            <w:r w:rsidR="0074717E" w:rsidRPr="0074717E">
              <w:rPr>
                <w:rFonts w:cs="Arial"/>
                <w:szCs w:val="20"/>
              </w:rPr>
              <w:t>CRP z naslovom Kvantni senzorji za zaznavanje časa in prostora (KVANTSENZ)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C8CD" w14:textId="68F30CCE" w:rsidR="0074717E" w:rsidRPr="00237B0E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Cs w:val="20"/>
              </w:rPr>
            </w:pPr>
            <w:r w:rsidRPr="00237B0E">
              <w:rPr>
                <w:rFonts w:cs="Arial"/>
                <w:szCs w:val="20"/>
              </w:rPr>
              <w:t>160</w:t>
            </w:r>
            <w:r w:rsidR="00237B0E" w:rsidRPr="00237B0E">
              <w:rPr>
                <w:rFonts w:cs="Arial"/>
                <w:szCs w:val="20"/>
              </w:rPr>
              <w:t>0</w:t>
            </w:r>
            <w:r w:rsidRPr="00237B0E">
              <w:rPr>
                <w:rFonts w:cs="Arial"/>
                <w:szCs w:val="20"/>
              </w:rPr>
              <w:t>33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36CA" w14:textId="5F0A9613" w:rsidR="0074717E" w:rsidRPr="0074717E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szCs w:val="20"/>
              </w:rPr>
            </w:pPr>
            <w:r w:rsidRPr="0074717E">
              <w:rPr>
                <w:rFonts w:cs="Arial"/>
                <w:szCs w:val="20"/>
              </w:rPr>
              <w:t>70.000,00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C6D1" w14:textId="1BA583FF" w:rsidR="0074717E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70.000,00</w:t>
            </w:r>
          </w:p>
        </w:tc>
      </w:tr>
      <w:tr w:rsidR="0074717E" w:rsidRPr="008E68AE" w14:paraId="14A62DB6" w14:textId="77777777" w:rsidTr="0074717E">
        <w:trPr>
          <w:cantSplit/>
          <w:trHeight w:val="328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ADF" w14:textId="1C09715E" w:rsidR="0074717E" w:rsidRPr="0074717E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Cs w:val="20"/>
              </w:rPr>
            </w:pPr>
            <w:r w:rsidRPr="0074717E">
              <w:rPr>
                <w:rFonts w:cs="Arial"/>
                <w:szCs w:val="20"/>
              </w:rPr>
              <w:t>ARIS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117C" w14:textId="37F2E31A" w:rsidR="0074717E" w:rsidRPr="0074717E" w:rsidRDefault="0058739F" w:rsidP="0074717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V2-24005 </w:t>
            </w:r>
            <w:r w:rsidR="0074717E" w:rsidRPr="0074717E">
              <w:rPr>
                <w:rFonts w:cs="Arial"/>
                <w:szCs w:val="20"/>
              </w:rPr>
              <w:t>CRP z naslovom Kvantni senzorji za zaznavanje časa in prostora (KVANTSENZ)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148" w14:textId="13688059" w:rsidR="0074717E" w:rsidRPr="00237B0E" w:rsidRDefault="00237B0E" w:rsidP="0088762B">
            <w:pPr>
              <w:spacing w:line="240" w:lineRule="auto"/>
              <w:rPr>
                <w:rFonts w:cs="Arial"/>
                <w:szCs w:val="20"/>
              </w:rPr>
            </w:pPr>
            <w:r w:rsidRPr="00237B0E">
              <w:rPr>
                <w:rFonts w:cs="Arial"/>
                <w:szCs w:val="20"/>
              </w:rPr>
              <w:t>413300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1BD2" w14:textId="1F4B0FB4" w:rsidR="0074717E" w:rsidRPr="0074717E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szCs w:val="20"/>
              </w:rPr>
            </w:pPr>
            <w:r w:rsidRPr="0074717E">
              <w:rPr>
                <w:rFonts w:cs="Arial"/>
                <w:szCs w:val="20"/>
              </w:rPr>
              <w:t>70.000,00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513B" w14:textId="2E75AD07" w:rsidR="0074717E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70.000,00</w:t>
            </w:r>
          </w:p>
        </w:tc>
      </w:tr>
      <w:tr w:rsidR="0074717E" w:rsidRPr="008E68AE" w14:paraId="49BD29CB" w14:textId="77777777" w:rsidTr="008E382A">
        <w:trPr>
          <w:cantSplit/>
          <w:trHeight w:val="95"/>
        </w:trPr>
        <w:tc>
          <w:tcPr>
            <w:tcW w:w="5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AC1A" w14:textId="77777777" w:rsidR="0074717E" w:rsidRPr="008E68AE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8E68AE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1572" w14:textId="79721544" w:rsidR="0074717E" w:rsidRPr="0079680A" w:rsidRDefault="0074717E" w:rsidP="0074717E">
            <w:pPr>
              <w:widowControl w:val="0"/>
              <w:spacing w:line="240" w:lineRule="auto"/>
              <w:jc w:val="righ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1.058.890,59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9280" w14:textId="20DB5988" w:rsidR="0074717E" w:rsidRPr="0079680A" w:rsidRDefault="0074717E" w:rsidP="0074717E">
            <w:pPr>
              <w:widowControl w:val="0"/>
              <w:tabs>
                <w:tab w:val="left" w:pos="360"/>
              </w:tabs>
              <w:spacing w:line="240" w:lineRule="auto"/>
              <w:jc w:val="right"/>
              <w:outlineLvl w:val="0"/>
              <w:rPr>
                <w:rFonts w:cs="Arial"/>
                <w:b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1.553.653,40</w:t>
            </w:r>
          </w:p>
        </w:tc>
      </w:tr>
      <w:tr w:rsidR="008E68AE" w:rsidRPr="008E68AE" w14:paraId="07D2A5F7" w14:textId="77777777" w:rsidTr="004D7DCA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91CCC" w14:textId="77777777" w:rsidR="008E68AE" w:rsidRPr="008E68AE" w:rsidRDefault="008E68AE" w:rsidP="008E68AE">
            <w:pPr>
              <w:widowControl w:val="0"/>
              <w:tabs>
                <w:tab w:val="left" w:pos="2340"/>
              </w:tabs>
              <w:spacing w:line="240" w:lineRule="auto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8E68AE">
              <w:rPr>
                <w:rFonts w:cs="Arial"/>
                <w:b/>
                <w:kern w:val="32"/>
                <w:szCs w:val="20"/>
                <w:lang w:eastAsia="sl-SI"/>
              </w:rPr>
              <w:t>II.b</w:t>
            </w:r>
            <w:proofErr w:type="spellEnd"/>
            <w:r w:rsidRPr="008E68AE">
              <w:rPr>
                <w:rFonts w:cs="Arial"/>
                <w:b/>
                <w:kern w:val="32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8E68AE" w:rsidRPr="008E68AE" w14:paraId="190D31AD" w14:textId="77777777" w:rsidTr="008E382A">
        <w:trPr>
          <w:cantSplit/>
          <w:trHeight w:val="100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9EEA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5AF7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750B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137E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A337" w14:textId="77777777" w:rsidR="008E68AE" w:rsidRPr="008E68AE" w:rsidRDefault="008E68AE" w:rsidP="008E68AE">
            <w:pPr>
              <w:widowControl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 xml:space="preserve">Znesek za t + 1 </w:t>
            </w:r>
          </w:p>
        </w:tc>
      </w:tr>
      <w:tr w:rsidR="008E68AE" w:rsidRPr="008E68AE" w14:paraId="32BC5EAC" w14:textId="77777777" w:rsidTr="008E382A">
        <w:trPr>
          <w:cantSplit/>
          <w:trHeight w:val="95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7245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924A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F6D4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E39A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7AD0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8E68AE" w:rsidRPr="008E68AE" w14:paraId="4D33B0B1" w14:textId="77777777" w:rsidTr="008E382A">
        <w:trPr>
          <w:cantSplit/>
          <w:trHeight w:val="95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AF8B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5724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CC6F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7553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B112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8E68AE" w:rsidRPr="008E68AE" w14:paraId="1E656789" w14:textId="77777777" w:rsidTr="008E382A">
        <w:trPr>
          <w:cantSplit/>
          <w:trHeight w:val="95"/>
        </w:trPr>
        <w:tc>
          <w:tcPr>
            <w:tcW w:w="5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622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8E68AE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4ACA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91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8E68AE" w:rsidRPr="008E68AE" w14:paraId="798505B1" w14:textId="77777777" w:rsidTr="004D7DCA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41AC8A" w14:textId="77777777" w:rsidR="008E68AE" w:rsidRPr="008E68AE" w:rsidRDefault="008E68AE" w:rsidP="008E68AE">
            <w:pPr>
              <w:widowControl w:val="0"/>
              <w:tabs>
                <w:tab w:val="left" w:pos="2340"/>
              </w:tabs>
              <w:spacing w:line="240" w:lineRule="auto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8E68AE">
              <w:rPr>
                <w:rFonts w:cs="Arial"/>
                <w:b/>
                <w:kern w:val="32"/>
                <w:szCs w:val="20"/>
                <w:lang w:eastAsia="sl-SI"/>
              </w:rPr>
              <w:t>II.c</w:t>
            </w:r>
            <w:proofErr w:type="spellEnd"/>
            <w:r w:rsidRPr="008E68AE">
              <w:rPr>
                <w:rFonts w:cs="Arial"/>
                <w:b/>
                <w:kern w:val="32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8E68AE" w:rsidRPr="008E68AE" w14:paraId="34E25F3B" w14:textId="77777777" w:rsidTr="008E382A">
        <w:trPr>
          <w:cantSplit/>
          <w:trHeight w:val="100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5627" w14:textId="77777777" w:rsidR="008E68AE" w:rsidRPr="008E68AE" w:rsidRDefault="008E68AE" w:rsidP="008E68AE">
            <w:pPr>
              <w:widowControl w:val="0"/>
              <w:spacing w:line="240" w:lineRule="auto"/>
              <w:ind w:left="-122" w:right="-112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>Novi prihodki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03F0" w14:textId="77777777" w:rsidR="008E68AE" w:rsidRPr="008E68AE" w:rsidRDefault="008E68AE" w:rsidP="008E68AE">
            <w:pPr>
              <w:widowControl w:val="0"/>
              <w:spacing w:line="240" w:lineRule="auto"/>
              <w:ind w:left="-122" w:right="-112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EC12" w14:textId="77777777" w:rsidR="008E68AE" w:rsidRPr="008E68AE" w:rsidRDefault="008E68AE" w:rsidP="008E68AE">
            <w:pPr>
              <w:widowControl w:val="0"/>
              <w:spacing w:line="240" w:lineRule="auto"/>
              <w:ind w:left="-122" w:right="-112"/>
              <w:jc w:val="center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>Znesek za t + 1</w:t>
            </w:r>
          </w:p>
        </w:tc>
      </w:tr>
      <w:tr w:rsidR="008E68AE" w:rsidRPr="008E68AE" w14:paraId="1276C42D" w14:textId="77777777" w:rsidTr="008E382A">
        <w:trPr>
          <w:cantSplit/>
          <w:trHeight w:val="9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3B77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26B0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FB7D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8E68AE" w:rsidRPr="008E68AE" w14:paraId="1D9F6F95" w14:textId="77777777" w:rsidTr="008E382A">
        <w:trPr>
          <w:cantSplit/>
          <w:trHeight w:val="9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BD0C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793C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C0A6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8E68AE" w:rsidRPr="008E68AE" w14:paraId="22354AF4" w14:textId="77777777" w:rsidTr="008E382A">
        <w:trPr>
          <w:cantSplit/>
          <w:trHeight w:val="9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615A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7257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59BC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8E68AE" w:rsidRPr="008E68AE" w14:paraId="2BBBF371" w14:textId="77777777" w:rsidTr="008E382A">
        <w:trPr>
          <w:cantSplit/>
          <w:trHeight w:val="9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3B52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8E68AE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99F9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AF90" w14:textId="77777777" w:rsidR="008E68AE" w:rsidRPr="008E68AE" w:rsidRDefault="008E68AE" w:rsidP="008E68AE">
            <w:pPr>
              <w:widowControl w:val="0"/>
              <w:tabs>
                <w:tab w:val="left" w:pos="360"/>
              </w:tabs>
              <w:spacing w:line="240" w:lineRule="auto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8E68AE" w:rsidRPr="008E68AE" w14:paraId="37286F68" w14:textId="77777777" w:rsidTr="004D7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476FE81" w14:textId="77777777" w:rsidR="008E68AE" w:rsidRPr="008E68AE" w:rsidRDefault="008E68AE" w:rsidP="008E68AE">
            <w:pPr>
              <w:widowControl w:val="0"/>
              <w:spacing w:line="240" w:lineRule="auto"/>
              <w:rPr>
                <w:rFonts w:cs="Arial"/>
                <w:b/>
                <w:szCs w:val="20"/>
              </w:rPr>
            </w:pPr>
          </w:p>
          <w:p w14:paraId="440E8D81" w14:textId="77777777" w:rsidR="008E68AE" w:rsidRPr="008E68AE" w:rsidRDefault="008E68AE" w:rsidP="008E68AE">
            <w:pPr>
              <w:widowControl w:val="0"/>
              <w:spacing w:line="240" w:lineRule="auto"/>
              <w:rPr>
                <w:rFonts w:cs="Arial"/>
                <w:b/>
                <w:szCs w:val="20"/>
              </w:rPr>
            </w:pPr>
            <w:r w:rsidRPr="008E68AE">
              <w:rPr>
                <w:rFonts w:cs="Arial"/>
                <w:b/>
                <w:szCs w:val="20"/>
              </w:rPr>
              <w:t>OBRAZLOŽITEV:</w:t>
            </w:r>
          </w:p>
          <w:p w14:paraId="7D576441" w14:textId="77777777" w:rsidR="008E68AE" w:rsidRPr="008E68AE" w:rsidRDefault="008E68AE" w:rsidP="008E68AE">
            <w:pPr>
              <w:widowControl w:val="0"/>
              <w:numPr>
                <w:ilvl w:val="0"/>
                <w:numId w:val="1"/>
              </w:numPr>
              <w:suppressAutoHyphens/>
              <w:spacing w:line="240" w:lineRule="auto"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8E68AE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1CADFC04" w14:textId="77777777" w:rsidR="008E68AE" w:rsidRPr="008E68AE" w:rsidRDefault="008E68AE" w:rsidP="008E68AE">
            <w:pPr>
              <w:widowControl w:val="0"/>
              <w:spacing w:line="240" w:lineRule="auto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9A9D63B" w14:textId="77777777" w:rsidR="008E68AE" w:rsidRPr="008E68AE" w:rsidRDefault="008E68AE" w:rsidP="008E68AE">
            <w:pPr>
              <w:widowControl w:val="0"/>
              <w:numPr>
                <w:ilvl w:val="0"/>
                <w:numId w:val="3"/>
              </w:numPr>
              <w:suppressAutoHyphens/>
              <w:spacing w:line="240" w:lineRule="auto"/>
              <w:jc w:val="both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638C78C9" w14:textId="77777777" w:rsidR="008E68AE" w:rsidRPr="008E68AE" w:rsidRDefault="008E68AE" w:rsidP="008E68AE">
            <w:pPr>
              <w:widowControl w:val="0"/>
              <w:numPr>
                <w:ilvl w:val="0"/>
                <w:numId w:val="3"/>
              </w:numPr>
              <w:suppressAutoHyphens/>
              <w:spacing w:line="240" w:lineRule="auto"/>
              <w:jc w:val="both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1F02B1AE" w14:textId="77777777" w:rsidR="008E68AE" w:rsidRPr="008E68AE" w:rsidRDefault="008E68AE" w:rsidP="008E68AE">
            <w:pPr>
              <w:widowControl w:val="0"/>
              <w:numPr>
                <w:ilvl w:val="0"/>
                <w:numId w:val="3"/>
              </w:numPr>
              <w:suppressAutoHyphens/>
              <w:spacing w:line="240" w:lineRule="auto"/>
              <w:jc w:val="both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456720F3" w14:textId="77777777" w:rsidR="008E68AE" w:rsidRPr="008E68AE" w:rsidRDefault="008E68AE" w:rsidP="008E68AE">
            <w:pPr>
              <w:widowControl w:val="0"/>
              <w:spacing w:line="240" w:lineRule="auto"/>
              <w:ind w:left="284"/>
              <w:rPr>
                <w:rFonts w:cs="Arial"/>
                <w:szCs w:val="20"/>
                <w:lang w:eastAsia="sl-SI"/>
              </w:rPr>
            </w:pPr>
          </w:p>
          <w:p w14:paraId="2067E1B9" w14:textId="77777777" w:rsidR="008E68AE" w:rsidRPr="008E68AE" w:rsidRDefault="008E68AE" w:rsidP="008E68AE">
            <w:pPr>
              <w:widowControl w:val="0"/>
              <w:numPr>
                <w:ilvl w:val="0"/>
                <w:numId w:val="1"/>
              </w:numPr>
              <w:suppressAutoHyphens/>
              <w:spacing w:line="240" w:lineRule="auto"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8E68AE">
              <w:rPr>
                <w:rFonts w:cs="Arial"/>
                <w:b/>
                <w:szCs w:val="20"/>
                <w:lang w:eastAsia="sl-SI"/>
              </w:rPr>
              <w:lastRenderedPageBreak/>
              <w:t>Finančne posledice za državni proračun</w:t>
            </w:r>
          </w:p>
          <w:p w14:paraId="4C4B28B5" w14:textId="77777777" w:rsidR="008E68AE" w:rsidRPr="008E68AE" w:rsidRDefault="008E68AE" w:rsidP="008E68AE">
            <w:pPr>
              <w:widowControl w:val="0"/>
              <w:spacing w:line="240" w:lineRule="auto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7A6591ED" w14:textId="77777777" w:rsidR="008E68AE" w:rsidRPr="008E68AE" w:rsidRDefault="008E68AE" w:rsidP="008E68AE">
            <w:pPr>
              <w:widowControl w:val="0"/>
              <w:suppressAutoHyphens/>
              <w:spacing w:line="240" w:lineRule="auto"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8E68AE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8E68AE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259C19B3" w14:textId="77777777" w:rsidR="008E68AE" w:rsidRPr="008E68AE" w:rsidRDefault="008E68AE" w:rsidP="008E68AE">
            <w:pPr>
              <w:widowControl w:val="0"/>
              <w:spacing w:line="240" w:lineRule="auto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8E68AE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8E68AE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7092B161" w14:textId="77777777" w:rsidR="008E68AE" w:rsidRPr="008E68AE" w:rsidRDefault="008E68AE" w:rsidP="008E68AE">
            <w:pPr>
              <w:widowControl w:val="0"/>
              <w:numPr>
                <w:ilvl w:val="0"/>
                <w:numId w:val="4"/>
              </w:numPr>
              <w:suppressAutoHyphens/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46ABCFC6" w14:textId="77777777" w:rsidR="008E68AE" w:rsidRPr="008E68AE" w:rsidRDefault="008E68AE" w:rsidP="008E68AE">
            <w:pPr>
              <w:widowControl w:val="0"/>
              <w:numPr>
                <w:ilvl w:val="0"/>
                <w:numId w:val="4"/>
              </w:numPr>
              <w:suppressAutoHyphens/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484EAA62" w14:textId="77777777" w:rsidR="008E68AE" w:rsidRPr="008E68AE" w:rsidRDefault="008E68AE" w:rsidP="008E68AE">
            <w:pPr>
              <w:widowControl w:val="0"/>
              <w:numPr>
                <w:ilvl w:val="0"/>
                <w:numId w:val="4"/>
              </w:numPr>
              <w:suppressAutoHyphens/>
              <w:spacing w:line="240" w:lineRule="auto"/>
              <w:jc w:val="both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0CEB4812" w14:textId="77777777" w:rsidR="008E68AE" w:rsidRPr="008E68AE" w:rsidRDefault="008E68AE" w:rsidP="008E68AE">
            <w:pPr>
              <w:widowControl w:val="0"/>
              <w:spacing w:line="240" w:lineRule="auto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8E68AE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8E68AE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3938A58B" w14:textId="77777777" w:rsidR="008E68AE" w:rsidRPr="008E68AE" w:rsidRDefault="008E68AE" w:rsidP="008E68AE">
            <w:pPr>
              <w:widowControl w:val="0"/>
              <w:suppressAutoHyphens/>
              <w:spacing w:line="240" w:lineRule="auto"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8E68AE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8E68AE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4D339884" w14:textId="77777777" w:rsidR="008E68AE" w:rsidRPr="008E68AE" w:rsidRDefault="008E68AE" w:rsidP="008E68AE">
            <w:pPr>
              <w:widowControl w:val="0"/>
              <w:spacing w:line="240" w:lineRule="auto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8E68AE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8E68AE">
              <w:rPr>
                <w:rFonts w:cs="Arial"/>
                <w:szCs w:val="20"/>
                <w:lang w:eastAsia="sl-SI"/>
              </w:rPr>
              <w:t>.</w:t>
            </w:r>
          </w:p>
          <w:p w14:paraId="4F6EE3AF" w14:textId="77777777" w:rsidR="008E68AE" w:rsidRPr="008E68AE" w:rsidRDefault="008E68AE" w:rsidP="008E68AE">
            <w:pPr>
              <w:widowControl w:val="0"/>
              <w:suppressAutoHyphens/>
              <w:spacing w:line="240" w:lineRule="auto"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8E68AE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8E68AE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5C6C05D4" w14:textId="31AADDF6" w:rsidR="008E68AE" w:rsidRPr="008E382A" w:rsidRDefault="008E68AE" w:rsidP="008E382A">
            <w:pPr>
              <w:widowControl w:val="0"/>
              <w:spacing w:line="240" w:lineRule="auto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8E68AE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8E68AE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8E68AE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8E68AE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</w:tc>
      </w:tr>
      <w:tr w:rsidR="008E68AE" w:rsidRPr="008E68AE" w14:paraId="0F64C551" w14:textId="77777777" w:rsidTr="00F705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B702" w14:textId="77777777" w:rsidR="008E68AE" w:rsidRPr="008E68AE" w:rsidRDefault="008E68AE" w:rsidP="008E68AE">
            <w:pPr>
              <w:spacing w:line="240" w:lineRule="auto"/>
              <w:rPr>
                <w:rFonts w:cs="Arial"/>
                <w:b/>
                <w:szCs w:val="20"/>
              </w:rPr>
            </w:pPr>
            <w:r w:rsidRPr="008E68AE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3673B147" w14:textId="77F3FB48" w:rsidR="00360515" w:rsidRPr="00F705CA" w:rsidRDefault="008E68AE" w:rsidP="00360515">
            <w:pPr>
              <w:spacing w:line="240" w:lineRule="auto"/>
              <w:rPr>
                <w:rFonts w:cs="Arial"/>
                <w:szCs w:val="20"/>
              </w:rPr>
            </w:pPr>
            <w:r w:rsidRPr="008E68AE">
              <w:rPr>
                <w:rFonts w:cs="Arial"/>
                <w:szCs w:val="20"/>
              </w:rPr>
              <w:t>(Samo če izberete NE pod točko 6.a.)</w:t>
            </w:r>
          </w:p>
        </w:tc>
      </w:tr>
      <w:tr w:rsidR="008E68AE" w:rsidRPr="008E68AE" w14:paraId="12CF825F" w14:textId="77777777" w:rsidTr="004D7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63B5" w14:textId="77777777" w:rsidR="008E68AE" w:rsidRPr="008E68AE" w:rsidRDefault="008E68AE" w:rsidP="008E68AE">
            <w:pPr>
              <w:spacing w:line="240" w:lineRule="auto"/>
              <w:rPr>
                <w:rFonts w:cs="Arial"/>
                <w:b/>
                <w:szCs w:val="20"/>
              </w:rPr>
            </w:pPr>
            <w:r w:rsidRPr="008E68AE">
              <w:rPr>
                <w:rFonts w:cs="Arial"/>
                <w:b/>
                <w:szCs w:val="20"/>
              </w:rPr>
              <w:t>8. Predstavitev sodelovanja z združenji občin:</w:t>
            </w:r>
          </w:p>
          <w:p w14:paraId="18E7E1D6" w14:textId="77777777" w:rsidR="008E68AE" w:rsidRPr="008E68AE" w:rsidRDefault="008E68AE" w:rsidP="008E68AE">
            <w:pPr>
              <w:spacing w:line="240" w:lineRule="auto"/>
              <w:rPr>
                <w:rFonts w:cs="Arial"/>
                <w:b/>
                <w:szCs w:val="20"/>
              </w:rPr>
            </w:pPr>
            <w:r w:rsidRPr="00D60CC8">
              <w:rPr>
                <w:rFonts w:cs="Arial"/>
                <w:bCs/>
                <w:szCs w:val="20"/>
              </w:rPr>
              <w:t>G</w:t>
            </w:r>
            <w:r w:rsidRPr="008E68AE">
              <w:rPr>
                <w:rFonts w:cs="Arial"/>
                <w:szCs w:val="20"/>
              </w:rPr>
              <w:t>radivo ni take narave, da bi bilo potrebno sodelovanje z združenji občin.</w:t>
            </w:r>
          </w:p>
        </w:tc>
      </w:tr>
      <w:tr w:rsidR="008E68AE" w:rsidRPr="008E68AE" w14:paraId="18447DEC" w14:textId="77777777" w:rsidTr="008E3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22" w:type="dxa"/>
            <w:gridSpan w:val="7"/>
          </w:tcPr>
          <w:p w14:paraId="3DC92FC2" w14:textId="77777777" w:rsidR="008E68AE" w:rsidRPr="008E68AE" w:rsidRDefault="008E68AE" w:rsidP="008E68A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6A39F69F" w14:textId="77777777" w:rsidR="008E68AE" w:rsidRPr="008E68AE" w:rsidRDefault="008E68AE" w:rsidP="008E68AE">
            <w:pPr>
              <w:widowControl w:val="0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pristojnosti občin,</w:t>
            </w:r>
          </w:p>
          <w:p w14:paraId="4CB72719" w14:textId="77777777" w:rsidR="008E68AE" w:rsidRPr="008E68AE" w:rsidRDefault="008E68AE" w:rsidP="008E68AE">
            <w:pPr>
              <w:widowControl w:val="0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delovanje občin,</w:t>
            </w:r>
          </w:p>
          <w:p w14:paraId="75F528A9" w14:textId="1578BA31" w:rsidR="008E68AE" w:rsidRPr="00360515" w:rsidRDefault="008E68AE" w:rsidP="00360515">
            <w:pPr>
              <w:widowControl w:val="0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financiranje občin.</w:t>
            </w:r>
          </w:p>
        </w:tc>
        <w:tc>
          <w:tcPr>
            <w:tcW w:w="2178" w:type="dxa"/>
            <w:gridSpan w:val="2"/>
          </w:tcPr>
          <w:p w14:paraId="5925C006" w14:textId="77777777" w:rsidR="008E68AE" w:rsidRPr="008E68AE" w:rsidRDefault="008E68AE" w:rsidP="008E68A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DA</w:t>
            </w:r>
            <w:r w:rsidRPr="008E68AE">
              <w:rPr>
                <w:rFonts w:cs="Arial"/>
                <w:b/>
                <w:szCs w:val="20"/>
                <w:lang w:eastAsia="sl-SI"/>
              </w:rPr>
              <w:t>/NE</w:t>
            </w:r>
          </w:p>
        </w:tc>
      </w:tr>
      <w:tr w:rsidR="008E68AE" w:rsidRPr="008E68AE" w14:paraId="0000EB43" w14:textId="77777777" w:rsidTr="004D7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169F951D" w14:textId="77777777" w:rsidR="008E68AE" w:rsidRPr="008E68AE" w:rsidRDefault="008E68AE" w:rsidP="008E68A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03282CDD" w14:textId="77777777" w:rsidR="008E68AE" w:rsidRPr="008E68AE" w:rsidRDefault="008E68AE" w:rsidP="008E68AE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Skupnosti občin Slovenije SOS: DA/</w:t>
            </w:r>
            <w:r w:rsidRPr="008E68AE">
              <w:rPr>
                <w:rFonts w:cs="Arial"/>
                <w:b/>
                <w:iCs/>
                <w:szCs w:val="20"/>
                <w:lang w:eastAsia="sl-SI"/>
              </w:rPr>
              <w:t>NE</w:t>
            </w:r>
          </w:p>
          <w:p w14:paraId="374DDE05" w14:textId="77777777" w:rsidR="008E68AE" w:rsidRPr="008E68AE" w:rsidRDefault="008E68AE" w:rsidP="008E68AE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Združenju občin Slovenije ZOS: DA/</w:t>
            </w:r>
            <w:r w:rsidRPr="008E68AE">
              <w:rPr>
                <w:rFonts w:cs="Arial"/>
                <w:b/>
                <w:iCs/>
                <w:szCs w:val="20"/>
                <w:lang w:eastAsia="sl-SI"/>
              </w:rPr>
              <w:t>NE</w:t>
            </w:r>
          </w:p>
          <w:p w14:paraId="414B4773" w14:textId="77777777" w:rsidR="008E68AE" w:rsidRPr="008E68AE" w:rsidRDefault="008E68AE" w:rsidP="008E68AE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Združenju mestnih občin Slovenije ZMOS: DA/</w:t>
            </w:r>
            <w:r w:rsidRPr="008E68AE">
              <w:rPr>
                <w:rFonts w:cs="Arial"/>
                <w:b/>
                <w:iCs/>
                <w:szCs w:val="20"/>
                <w:lang w:eastAsia="sl-SI"/>
              </w:rPr>
              <w:t>NE</w:t>
            </w:r>
          </w:p>
        </w:tc>
      </w:tr>
      <w:tr w:rsidR="008E68AE" w:rsidRPr="008E68AE" w14:paraId="534A4B67" w14:textId="77777777" w:rsidTr="004D7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3E4E0CB5" w14:textId="77777777" w:rsidR="008E68AE" w:rsidRPr="008E68AE" w:rsidRDefault="008E68AE" w:rsidP="008E68A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8E68AE">
              <w:rPr>
                <w:rFonts w:cs="Arial"/>
                <w:b/>
                <w:szCs w:val="20"/>
                <w:lang w:eastAsia="sl-SI"/>
              </w:rPr>
              <w:t>9. Predstavitev sodelovanja javnosti:</w:t>
            </w:r>
          </w:p>
        </w:tc>
      </w:tr>
      <w:tr w:rsidR="008E68AE" w:rsidRPr="008E68AE" w14:paraId="37D927E0" w14:textId="77777777" w:rsidTr="008E3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22" w:type="dxa"/>
            <w:gridSpan w:val="7"/>
          </w:tcPr>
          <w:p w14:paraId="643B9944" w14:textId="77777777" w:rsidR="008E68AE" w:rsidRPr="008E68AE" w:rsidRDefault="008E68AE" w:rsidP="008E68A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178" w:type="dxa"/>
            <w:gridSpan w:val="2"/>
          </w:tcPr>
          <w:p w14:paraId="5D73A04A" w14:textId="77777777" w:rsidR="008E68AE" w:rsidRPr="008E68AE" w:rsidRDefault="008E68AE" w:rsidP="008E68A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DA/</w:t>
            </w:r>
            <w:r w:rsidRPr="008E68AE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8E68AE" w:rsidRPr="008E68AE" w14:paraId="22A01358" w14:textId="77777777" w:rsidTr="004D7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0DB92EB" w14:textId="77777777" w:rsidR="008E68AE" w:rsidRPr="008E68AE" w:rsidRDefault="008E68AE" w:rsidP="008E68AE">
            <w:pPr>
              <w:tabs>
                <w:tab w:val="left" w:pos="960"/>
              </w:tabs>
              <w:spacing w:line="240" w:lineRule="auto"/>
              <w:jc w:val="both"/>
              <w:rPr>
                <w:rFonts w:eastAsia="Calibri" w:cs="Arial"/>
                <w:iCs/>
                <w:szCs w:val="20"/>
              </w:rPr>
            </w:pPr>
            <w:r w:rsidRPr="008E68AE">
              <w:rPr>
                <w:rFonts w:eastAsia="Calibri" w:cs="Arial"/>
                <w:iCs/>
                <w:szCs w:val="20"/>
              </w:rPr>
              <w:t>Gradivo ni takšne narave, da bi bila potrebna predhodna objava.</w:t>
            </w:r>
          </w:p>
        </w:tc>
      </w:tr>
      <w:tr w:rsidR="008E68AE" w:rsidRPr="008E68AE" w14:paraId="33C50E5E" w14:textId="77777777" w:rsidTr="008E3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22" w:type="dxa"/>
            <w:gridSpan w:val="7"/>
            <w:vAlign w:val="center"/>
          </w:tcPr>
          <w:p w14:paraId="7212E5DE" w14:textId="77777777" w:rsidR="008E68AE" w:rsidRPr="008E68AE" w:rsidRDefault="008E68AE" w:rsidP="008E68A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b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178" w:type="dxa"/>
            <w:gridSpan w:val="2"/>
            <w:vAlign w:val="center"/>
          </w:tcPr>
          <w:p w14:paraId="5A0959C0" w14:textId="77777777" w:rsidR="008E68AE" w:rsidRPr="008E68AE" w:rsidRDefault="008E68AE" w:rsidP="008E68A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DA/</w:t>
            </w:r>
            <w:r w:rsidRPr="008E68AE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8E68AE" w:rsidRPr="008E68AE" w14:paraId="531CC04D" w14:textId="77777777" w:rsidTr="008E38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022" w:type="dxa"/>
            <w:gridSpan w:val="7"/>
            <w:vAlign w:val="center"/>
          </w:tcPr>
          <w:p w14:paraId="29C4EA0A" w14:textId="77777777" w:rsidR="008E68AE" w:rsidRPr="008E68AE" w:rsidRDefault="008E68AE" w:rsidP="008E68A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8E68AE">
              <w:rPr>
                <w:rFonts w:cs="Arial"/>
                <w:b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178" w:type="dxa"/>
            <w:gridSpan w:val="2"/>
            <w:vAlign w:val="center"/>
          </w:tcPr>
          <w:p w14:paraId="02535CD3" w14:textId="77777777" w:rsidR="008E68AE" w:rsidRPr="008E68AE" w:rsidRDefault="008E68AE" w:rsidP="008E68A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>DA/</w:t>
            </w:r>
            <w:r w:rsidRPr="008E68AE">
              <w:rPr>
                <w:rFonts w:cs="Arial"/>
                <w:b/>
                <w:szCs w:val="20"/>
                <w:lang w:eastAsia="sl-SI"/>
              </w:rPr>
              <w:t>NE</w:t>
            </w:r>
          </w:p>
        </w:tc>
      </w:tr>
      <w:tr w:rsidR="008E68AE" w:rsidRPr="008E68AE" w14:paraId="1B7D7462" w14:textId="77777777" w:rsidTr="004D7D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5EA" w14:textId="77777777" w:rsidR="008E68AE" w:rsidRDefault="008E68AE" w:rsidP="008E68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004751F2" w14:textId="77777777" w:rsidR="00BF7E07" w:rsidRDefault="00BF7E07" w:rsidP="008E68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6643FF03" w14:textId="77777777" w:rsidR="00BF7E07" w:rsidRPr="008E68AE" w:rsidRDefault="00BF7E07" w:rsidP="008E68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4D5D479E" w14:textId="77777777" w:rsidR="008E68AE" w:rsidRPr="008E68AE" w:rsidRDefault="008E68AE" w:rsidP="008E68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8E68AE">
              <w:rPr>
                <w:rFonts w:cs="Arial"/>
                <w:szCs w:val="20"/>
                <w:lang w:eastAsia="sl-SI"/>
              </w:rPr>
              <w:t xml:space="preserve">                                                        Dr. Igor  Papič</w:t>
            </w:r>
          </w:p>
          <w:p w14:paraId="2A56F187" w14:textId="647C88A1" w:rsidR="00BF7E07" w:rsidRPr="00BF7E07" w:rsidRDefault="008E68AE" w:rsidP="00BF7E0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8E68AE">
              <w:rPr>
                <w:rFonts w:cs="Arial"/>
                <w:b/>
                <w:szCs w:val="20"/>
                <w:lang w:eastAsia="sl-SI"/>
              </w:rPr>
              <w:t xml:space="preserve">                                                          MINISTER</w:t>
            </w:r>
          </w:p>
          <w:p w14:paraId="2E1FF818" w14:textId="77777777" w:rsidR="008E68AE" w:rsidRPr="008E68AE" w:rsidRDefault="008E68AE" w:rsidP="008E68A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</w:tc>
      </w:tr>
    </w:tbl>
    <w:p w14:paraId="4A8AEBEE" w14:textId="77777777" w:rsidR="00CC711D" w:rsidRDefault="00CC711D" w:rsidP="008E68AE">
      <w:pPr>
        <w:spacing w:line="240" w:lineRule="auto"/>
        <w:rPr>
          <w:rFonts w:eastAsia="Calibri" w:cs="Arial"/>
          <w:szCs w:val="20"/>
        </w:rPr>
      </w:pPr>
    </w:p>
    <w:p w14:paraId="44F87A84" w14:textId="39A3589A" w:rsidR="008E68AE" w:rsidRPr="008E68AE" w:rsidRDefault="008E68AE" w:rsidP="008E68AE">
      <w:pPr>
        <w:spacing w:line="240" w:lineRule="auto"/>
        <w:rPr>
          <w:rFonts w:eastAsia="Calibri" w:cs="Arial"/>
          <w:szCs w:val="20"/>
        </w:rPr>
      </w:pPr>
      <w:r w:rsidRPr="008E68AE">
        <w:rPr>
          <w:rFonts w:eastAsia="Calibri" w:cs="Arial"/>
          <w:szCs w:val="20"/>
        </w:rPr>
        <w:t xml:space="preserve">PRILOGE: </w:t>
      </w:r>
    </w:p>
    <w:p w14:paraId="29874F87" w14:textId="4D232428" w:rsidR="00360515" w:rsidRDefault="00360515" w:rsidP="00360515">
      <w:pPr>
        <w:widowControl w:val="0"/>
        <w:numPr>
          <w:ilvl w:val="0"/>
          <w:numId w:val="6"/>
        </w:numPr>
        <w:spacing w:line="240" w:lineRule="auto"/>
        <w:jc w:val="both"/>
        <w:rPr>
          <w:rFonts w:eastAsia="Calibri" w:cs="Arial"/>
          <w:szCs w:val="20"/>
        </w:rPr>
      </w:pPr>
      <w:r w:rsidRPr="00207F92">
        <w:rPr>
          <w:rFonts w:eastAsia="Calibri" w:cs="Arial"/>
          <w:szCs w:val="20"/>
        </w:rPr>
        <w:t>O</w:t>
      </w:r>
      <w:r w:rsidR="008E68AE" w:rsidRPr="00207F92">
        <w:rPr>
          <w:rFonts w:eastAsia="Calibri" w:cs="Arial"/>
          <w:szCs w:val="20"/>
        </w:rPr>
        <w:t>brazložitev</w:t>
      </w:r>
    </w:p>
    <w:p w14:paraId="1969180A" w14:textId="009E85E6" w:rsidR="00CF6D2C" w:rsidRPr="00360515" w:rsidRDefault="00CF6D2C" w:rsidP="00360515">
      <w:pPr>
        <w:widowControl w:val="0"/>
        <w:numPr>
          <w:ilvl w:val="0"/>
          <w:numId w:val="6"/>
        </w:numPr>
        <w:spacing w:line="240" w:lineRule="auto"/>
        <w:jc w:val="both"/>
        <w:rPr>
          <w:rFonts w:eastAsia="Calibri" w:cs="Arial"/>
          <w:bCs/>
          <w:szCs w:val="20"/>
        </w:rPr>
      </w:pPr>
      <w:r>
        <w:t>priloga 2</w:t>
      </w:r>
      <w:r w:rsidR="00360515">
        <w:t xml:space="preserve">: </w:t>
      </w:r>
      <w:r w:rsidR="00360515" w:rsidRPr="00360515">
        <w:rPr>
          <w:bCs/>
        </w:rPr>
        <w:t>(spremni</w:t>
      </w:r>
      <w:r w:rsidR="00360515" w:rsidRPr="00360515">
        <w:rPr>
          <w:bCs/>
          <w:spacing w:val="80"/>
        </w:rPr>
        <w:t xml:space="preserve"> </w:t>
      </w:r>
      <w:r w:rsidR="00360515" w:rsidRPr="00360515">
        <w:rPr>
          <w:bCs/>
        </w:rPr>
        <w:t>dopis)</w:t>
      </w:r>
      <w:r w:rsidR="00360515" w:rsidRPr="00360515">
        <w:rPr>
          <w:bCs/>
          <w:spacing w:val="80"/>
        </w:rPr>
        <w:t xml:space="preserve"> </w:t>
      </w:r>
      <w:r w:rsidR="00360515" w:rsidRPr="00360515">
        <w:rPr>
          <w:bCs/>
        </w:rPr>
        <w:t>-</w:t>
      </w:r>
      <w:r w:rsidR="00360515" w:rsidRPr="00360515">
        <w:rPr>
          <w:bCs/>
          <w:spacing w:val="80"/>
        </w:rPr>
        <w:t xml:space="preserve"> </w:t>
      </w:r>
      <w:r w:rsidR="00360515" w:rsidRPr="00360515">
        <w:rPr>
          <w:bCs/>
        </w:rPr>
        <w:t>podatki</w:t>
      </w:r>
      <w:r w:rsidR="00360515" w:rsidRPr="00360515">
        <w:rPr>
          <w:bCs/>
          <w:spacing w:val="80"/>
        </w:rPr>
        <w:t xml:space="preserve"> </w:t>
      </w:r>
      <w:r w:rsidR="00360515" w:rsidRPr="00360515">
        <w:rPr>
          <w:bCs/>
        </w:rPr>
        <w:t>o</w:t>
      </w:r>
      <w:r w:rsidR="00360515" w:rsidRPr="00360515">
        <w:rPr>
          <w:bCs/>
          <w:spacing w:val="80"/>
        </w:rPr>
        <w:t xml:space="preserve"> </w:t>
      </w:r>
      <w:r w:rsidR="00360515" w:rsidRPr="00360515">
        <w:rPr>
          <w:bCs/>
        </w:rPr>
        <w:t>izvedbi</w:t>
      </w:r>
      <w:r w:rsidR="00360515" w:rsidRPr="00360515">
        <w:rPr>
          <w:bCs/>
          <w:spacing w:val="80"/>
        </w:rPr>
        <w:t xml:space="preserve"> </w:t>
      </w:r>
      <w:r w:rsidR="00360515" w:rsidRPr="00360515">
        <w:rPr>
          <w:bCs/>
        </w:rPr>
        <w:t>notranjih</w:t>
      </w:r>
      <w:r w:rsidR="00360515" w:rsidRPr="00360515">
        <w:rPr>
          <w:bCs/>
          <w:spacing w:val="80"/>
        </w:rPr>
        <w:t xml:space="preserve"> </w:t>
      </w:r>
      <w:r w:rsidR="00360515" w:rsidRPr="00360515">
        <w:rPr>
          <w:bCs/>
        </w:rPr>
        <w:t>postopkov</w:t>
      </w:r>
      <w:r w:rsidR="00360515" w:rsidRPr="00360515">
        <w:rPr>
          <w:bCs/>
          <w:spacing w:val="80"/>
        </w:rPr>
        <w:t xml:space="preserve"> </w:t>
      </w:r>
      <w:r w:rsidR="00360515" w:rsidRPr="00360515">
        <w:rPr>
          <w:bCs/>
        </w:rPr>
        <w:t>pred odločitvijo na seji vlade</w:t>
      </w:r>
    </w:p>
    <w:p w14:paraId="190D47BA" w14:textId="5089CEBA" w:rsidR="00CC711D" w:rsidRPr="00CF6D2C" w:rsidRDefault="00CC711D" w:rsidP="00A05B45">
      <w:pPr>
        <w:widowControl w:val="0"/>
        <w:numPr>
          <w:ilvl w:val="0"/>
          <w:numId w:val="6"/>
        </w:numPr>
        <w:spacing w:line="240" w:lineRule="auto"/>
        <w:jc w:val="both"/>
        <w:rPr>
          <w:rFonts w:eastAsia="Calibri" w:cs="Arial"/>
          <w:b/>
          <w:bCs/>
        </w:rPr>
      </w:pPr>
      <w:r w:rsidRPr="00CC711D">
        <w:rPr>
          <w:rFonts w:eastAsia="Calibri" w:cs="Arial"/>
        </w:rPr>
        <w:t>priloga 3:</w:t>
      </w:r>
      <w:r>
        <w:rPr>
          <w:rFonts w:eastAsia="Calibri" w:cs="Arial"/>
          <w:b/>
          <w:bCs/>
        </w:rPr>
        <w:t xml:space="preserve"> </w:t>
      </w:r>
      <w:r>
        <w:rPr>
          <w:rFonts w:cs="Arial"/>
          <w:szCs w:val="20"/>
        </w:rPr>
        <w:t>S</w:t>
      </w:r>
      <w:r w:rsidRPr="006D08E9">
        <w:rPr>
          <w:rFonts w:cs="Arial"/>
          <w:szCs w:val="20"/>
        </w:rPr>
        <w:t>trategij</w:t>
      </w:r>
      <w:r>
        <w:rPr>
          <w:rFonts w:cs="Arial"/>
          <w:szCs w:val="20"/>
        </w:rPr>
        <w:t>a</w:t>
      </w:r>
      <w:r w:rsidRPr="006D08E9">
        <w:rPr>
          <w:rFonts w:cs="Arial"/>
          <w:szCs w:val="20"/>
        </w:rPr>
        <w:t xml:space="preserve"> razvoja kvantnih tehnologij v Sloveniji</w:t>
      </w:r>
      <w:r>
        <w:rPr>
          <w:rFonts w:cs="Arial"/>
          <w:szCs w:val="20"/>
        </w:rPr>
        <w:t xml:space="preserve"> do leta 2035</w:t>
      </w:r>
    </w:p>
    <w:p w14:paraId="2F4797A3" w14:textId="77777777" w:rsidR="003F3983" w:rsidRDefault="003F3983" w:rsidP="00CC711D">
      <w:pPr>
        <w:spacing w:after="160" w:line="259" w:lineRule="auto"/>
        <w:rPr>
          <w:rFonts w:eastAsia="Calibri" w:cs="Arial"/>
          <w:b/>
          <w:szCs w:val="20"/>
        </w:rPr>
      </w:pPr>
    </w:p>
    <w:p w14:paraId="7BF692A3" w14:textId="741EADFF" w:rsidR="008E68AE" w:rsidRDefault="0051079F" w:rsidP="008E68AE">
      <w:pPr>
        <w:spacing w:line="240" w:lineRule="atLeast"/>
        <w:jc w:val="center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lastRenderedPageBreak/>
        <w:t>OB</w:t>
      </w:r>
      <w:r w:rsidR="008E68AE" w:rsidRPr="008E68AE">
        <w:rPr>
          <w:rFonts w:eastAsia="Calibri" w:cs="Arial"/>
          <w:b/>
          <w:szCs w:val="20"/>
        </w:rPr>
        <w:t>RAZLOŽITEV</w:t>
      </w:r>
    </w:p>
    <w:p w14:paraId="369DD6DD" w14:textId="6048AC28" w:rsidR="00F1484F" w:rsidRDefault="00F1484F" w:rsidP="008E68AE">
      <w:pPr>
        <w:spacing w:line="240" w:lineRule="atLeast"/>
        <w:jc w:val="center"/>
        <w:rPr>
          <w:rFonts w:eastAsia="Calibri" w:cs="Arial"/>
          <w:b/>
          <w:szCs w:val="20"/>
        </w:rPr>
      </w:pPr>
    </w:p>
    <w:p w14:paraId="08089A05" w14:textId="77777777" w:rsidR="00F5643F" w:rsidRDefault="00F5643F" w:rsidP="00B52115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</w:rPr>
      </w:pPr>
    </w:p>
    <w:p w14:paraId="7C184492" w14:textId="3665DEAC" w:rsidR="00F5643F" w:rsidRPr="00242239" w:rsidRDefault="00F5643F" w:rsidP="00242239">
      <w:pPr>
        <w:pStyle w:val="Odstavekseznama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bCs/>
          <w:szCs w:val="20"/>
        </w:rPr>
      </w:pPr>
      <w:r w:rsidRPr="00242239">
        <w:rPr>
          <w:rFonts w:cs="Arial"/>
          <w:b/>
          <w:bCs/>
          <w:szCs w:val="20"/>
        </w:rPr>
        <w:t>Uvod</w:t>
      </w:r>
    </w:p>
    <w:p w14:paraId="389486D7" w14:textId="77777777" w:rsidR="00F5643F" w:rsidRDefault="00F5643F" w:rsidP="00B52115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</w:rPr>
      </w:pPr>
    </w:p>
    <w:p w14:paraId="5E546AA4" w14:textId="1E095381" w:rsidR="00B52115" w:rsidRDefault="00B52115" w:rsidP="00B52115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</w:rPr>
      </w:pPr>
      <w:r w:rsidRPr="004A72A2">
        <w:rPr>
          <w:rFonts w:cs="Arial"/>
          <w:szCs w:val="20"/>
        </w:rPr>
        <w:t xml:space="preserve">Ministrstvo za </w:t>
      </w:r>
      <w:r>
        <w:rPr>
          <w:rFonts w:cs="Arial"/>
          <w:szCs w:val="20"/>
        </w:rPr>
        <w:t>visoko šolstvo, znanost in inovacije</w:t>
      </w:r>
      <w:r w:rsidRPr="004A72A2">
        <w:rPr>
          <w:rFonts w:cs="Arial"/>
          <w:szCs w:val="20"/>
        </w:rPr>
        <w:t xml:space="preserve"> </w:t>
      </w:r>
      <w:r w:rsidR="0050153C">
        <w:rPr>
          <w:rFonts w:cstheme="minorHAnsi"/>
          <w:color w:val="000000"/>
        </w:rPr>
        <w:t xml:space="preserve">(v nadaljevanju: MVZI) </w:t>
      </w:r>
      <w:r w:rsidRPr="004A72A2">
        <w:rPr>
          <w:rFonts w:cs="Arial"/>
          <w:szCs w:val="20"/>
        </w:rPr>
        <w:t xml:space="preserve">na podlagi </w:t>
      </w:r>
      <w:r w:rsidR="00CC711D">
        <w:rPr>
          <w:rFonts w:cs="Arial"/>
          <w:szCs w:val="20"/>
        </w:rPr>
        <w:t xml:space="preserve">četrtega in </w:t>
      </w:r>
      <w:r w:rsidRPr="004A72A2">
        <w:rPr>
          <w:rFonts w:cs="Arial"/>
          <w:szCs w:val="20"/>
          <w:lang w:eastAsia="sl-SI"/>
        </w:rPr>
        <w:t>šestega odstavka 21. člena Zakona o Vladi Republike Slovenije</w:t>
      </w:r>
      <w:r w:rsidR="0050153C">
        <w:rPr>
          <w:rFonts w:cs="Arial"/>
          <w:szCs w:val="20"/>
          <w:lang w:eastAsia="sl-SI"/>
        </w:rPr>
        <w:t xml:space="preserve"> </w:t>
      </w:r>
      <w:r w:rsidR="0050153C">
        <w:rPr>
          <w:rFonts w:cstheme="minorHAnsi"/>
          <w:color w:val="000000"/>
        </w:rPr>
        <w:t>(v nadaljevanju: vlada RS)</w:t>
      </w:r>
      <w:r w:rsidR="0050153C" w:rsidRPr="00BF7E07">
        <w:rPr>
          <w:rFonts w:cstheme="minorHAnsi"/>
          <w:color w:val="000000"/>
        </w:rPr>
        <w:t xml:space="preserve"> </w:t>
      </w:r>
      <w:r w:rsidRPr="004A72A2">
        <w:rPr>
          <w:rFonts w:cs="Arial"/>
          <w:szCs w:val="20"/>
          <w:lang w:eastAsia="sl-SI"/>
        </w:rPr>
        <w:t xml:space="preserve"> (Uradni list RS, št. 24/05 – uradno prečiščeno besedilo, 109/08, 38/10 – ZUKN, 8/12, 21/13, 47/13 – ZDU-1G, 65/14, 55/17 in 163/22) </w:t>
      </w:r>
      <w:r w:rsidRPr="004A72A2">
        <w:rPr>
          <w:rFonts w:cs="Arial"/>
          <w:szCs w:val="20"/>
        </w:rPr>
        <w:t xml:space="preserve">Vladi </w:t>
      </w:r>
      <w:r w:rsidR="0050153C">
        <w:rPr>
          <w:rFonts w:cs="Arial"/>
          <w:szCs w:val="20"/>
        </w:rPr>
        <w:t>RS</w:t>
      </w:r>
      <w:r w:rsidRPr="004A72A2">
        <w:rPr>
          <w:rFonts w:cs="Arial"/>
          <w:szCs w:val="20"/>
        </w:rPr>
        <w:t xml:space="preserve"> predlaga </w:t>
      </w:r>
      <w:r w:rsidR="00CC711D">
        <w:rPr>
          <w:rFonts w:cs="Arial"/>
          <w:szCs w:val="20"/>
        </w:rPr>
        <w:t>sprejem</w:t>
      </w:r>
      <w:r w:rsidR="000F5AB2">
        <w:rPr>
          <w:rFonts w:cs="Arial"/>
          <w:szCs w:val="20"/>
        </w:rPr>
        <w:t xml:space="preserve"> predloga</w:t>
      </w:r>
      <w:r>
        <w:rPr>
          <w:rFonts w:cs="Arial"/>
          <w:szCs w:val="20"/>
        </w:rPr>
        <w:t xml:space="preserve"> Strategije razvoja kvantnih tehnologij v Sloveniji</w:t>
      </w:r>
      <w:r w:rsidR="0050153C">
        <w:rPr>
          <w:rFonts w:cs="Arial"/>
          <w:szCs w:val="20"/>
        </w:rPr>
        <w:t xml:space="preserve"> </w:t>
      </w:r>
      <w:r w:rsidR="0050153C">
        <w:rPr>
          <w:rFonts w:cstheme="minorHAnsi"/>
          <w:color w:val="000000"/>
        </w:rPr>
        <w:t>(v nadaljnjem besedilu: Strategija)</w:t>
      </w:r>
      <w:r>
        <w:rPr>
          <w:rFonts w:cs="Arial"/>
          <w:szCs w:val="20"/>
        </w:rPr>
        <w:t xml:space="preserve">. </w:t>
      </w:r>
    </w:p>
    <w:p w14:paraId="37C91C9A" w14:textId="77777777" w:rsidR="0050153C" w:rsidRDefault="0050153C" w:rsidP="00B52115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</w:rPr>
      </w:pPr>
    </w:p>
    <w:p w14:paraId="2EF357DB" w14:textId="1A5975C4" w:rsidR="00B1394D" w:rsidRDefault="00F5643F" w:rsidP="00B1394D">
      <w:pPr>
        <w:spacing w:line="240" w:lineRule="auto"/>
        <w:jc w:val="both"/>
        <w:rPr>
          <w:rFonts w:cs="Arial"/>
          <w:color w:val="000000"/>
          <w:szCs w:val="20"/>
        </w:rPr>
      </w:pPr>
      <w:r w:rsidRPr="00F5643F">
        <w:rPr>
          <w:rFonts w:eastAsia="Arial" w:cs="Arial"/>
          <w:szCs w:val="20"/>
        </w:rPr>
        <w:t xml:space="preserve">Področje </w:t>
      </w:r>
      <w:r w:rsidR="0050153C">
        <w:rPr>
          <w:rFonts w:eastAsia="Arial" w:cs="Arial"/>
          <w:szCs w:val="20"/>
        </w:rPr>
        <w:t>kvantnih tehnologij (v nadaljevanju:</w:t>
      </w:r>
      <w:r w:rsidR="001B0182">
        <w:rPr>
          <w:rFonts w:eastAsia="Arial" w:cs="Arial"/>
          <w:szCs w:val="20"/>
        </w:rPr>
        <w:t xml:space="preserve"> </w:t>
      </w:r>
      <w:r w:rsidR="000F5AB2">
        <w:rPr>
          <w:rFonts w:eastAsia="Arial" w:cs="Arial"/>
          <w:szCs w:val="20"/>
        </w:rPr>
        <w:t>QT</w:t>
      </w:r>
      <w:r w:rsidR="0050153C">
        <w:rPr>
          <w:rFonts w:eastAsia="Arial" w:cs="Arial"/>
          <w:szCs w:val="20"/>
        </w:rPr>
        <w:t>)</w:t>
      </w:r>
      <w:r w:rsidR="000F5AB2">
        <w:rPr>
          <w:rFonts w:eastAsia="Arial" w:cs="Arial"/>
          <w:szCs w:val="20"/>
        </w:rPr>
        <w:t xml:space="preserve"> </w:t>
      </w:r>
      <w:r w:rsidRPr="00F5643F">
        <w:rPr>
          <w:rFonts w:eastAsia="Arial" w:cs="Arial"/>
          <w:szCs w:val="20"/>
        </w:rPr>
        <w:t xml:space="preserve">se uvršča med najbolj </w:t>
      </w:r>
      <w:proofErr w:type="spellStart"/>
      <w:r w:rsidRPr="00F5643F">
        <w:rPr>
          <w:rFonts w:eastAsia="Arial" w:cs="Arial"/>
          <w:szCs w:val="20"/>
        </w:rPr>
        <w:t>disruptivne</w:t>
      </w:r>
      <w:proofErr w:type="spellEnd"/>
      <w:r w:rsidRPr="00F5643F">
        <w:rPr>
          <w:rFonts w:eastAsia="Arial" w:cs="Arial"/>
          <w:szCs w:val="20"/>
        </w:rPr>
        <w:t xml:space="preserve">, hitro razvijajoče se in strateško pomembne znanstvene in tehnološke panoge 21. stoletja. Evropska unija jih prepoznava kot ključno komponento digitalne suverenosti in tehnološke konkurenčnosti. </w:t>
      </w:r>
      <w:r w:rsidR="00B1394D" w:rsidRPr="00C71573">
        <w:rPr>
          <w:rFonts w:cs="Arial"/>
          <w:color w:val="000000"/>
          <w:szCs w:val="20"/>
        </w:rPr>
        <w:t xml:space="preserve">Slovenija ima dokazano odlično teoretično in eksperimentalno znanstveno-raziskovalno izhodišče za razvoj </w:t>
      </w:r>
      <w:r w:rsidR="000F5AB2">
        <w:rPr>
          <w:rFonts w:cs="Arial"/>
          <w:color w:val="000000"/>
          <w:szCs w:val="20"/>
        </w:rPr>
        <w:t>QT</w:t>
      </w:r>
      <w:r w:rsidR="00B1394D" w:rsidRPr="00C71573">
        <w:rPr>
          <w:rFonts w:cs="Arial"/>
          <w:color w:val="000000"/>
          <w:szCs w:val="20"/>
        </w:rPr>
        <w:t>, zahvaljujoč dolgi tradiciji kvantne fizike</w:t>
      </w:r>
      <w:r w:rsidR="00B1394D" w:rsidRPr="00837D63">
        <w:rPr>
          <w:rFonts w:cs="Arial"/>
          <w:color w:val="000000"/>
          <w:szCs w:val="20"/>
        </w:rPr>
        <w:t xml:space="preserve"> na številnih področjih, od superprevodnih tehnologij in kvantnih naprav do hladnih atomov, kvantne optike, teorije kvantnih informacij, večdelne kvantne fizike in še posebej kvantnih materialov.</w:t>
      </w:r>
    </w:p>
    <w:p w14:paraId="180C18E8" w14:textId="487E414D" w:rsidR="00F5643F" w:rsidRDefault="00F5643F" w:rsidP="00F5643F">
      <w:pPr>
        <w:spacing w:line="240" w:lineRule="auto"/>
        <w:jc w:val="both"/>
        <w:rPr>
          <w:rFonts w:eastAsia="Arial" w:cs="Arial"/>
          <w:szCs w:val="20"/>
        </w:rPr>
      </w:pPr>
    </w:p>
    <w:p w14:paraId="6AC59CE1" w14:textId="231B4545" w:rsidR="00B1394D" w:rsidRPr="00B1394D" w:rsidRDefault="000F5AB2" w:rsidP="00F5643F">
      <w:pPr>
        <w:spacing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QT</w:t>
      </w:r>
      <w:r w:rsidR="00B1394D" w:rsidRPr="00837D63">
        <w:rPr>
          <w:rFonts w:cs="Arial"/>
          <w:color w:val="000000"/>
          <w:szCs w:val="20"/>
        </w:rPr>
        <w:t xml:space="preserve"> imajo strateško vrednost</w:t>
      </w:r>
      <w:r w:rsidR="00B1394D">
        <w:rPr>
          <w:rFonts w:cs="Arial"/>
          <w:color w:val="000000"/>
          <w:szCs w:val="20"/>
        </w:rPr>
        <w:t xml:space="preserve">. </w:t>
      </w:r>
      <w:r w:rsidR="00B1394D" w:rsidRPr="00F5643F">
        <w:rPr>
          <w:rFonts w:eastAsia="Arial" w:cs="Arial"/>
          <w:szCs w:val="20"/>
        </w:rPr>
        <w:t>Tudi za Slovenijo razvoj QT pomeni pomembno priložnost za utrditev svoje vloge v evropskem raziskovalno-inovacijskem prostoru, krepitev tehnološke odpornosti, izgradnjo novih zmogljivosti in dolgoročno gospodarsko preobrazbo.</w:t>
      </w:r>
      <w:r w:rsidR="00B1394D" w:rsidRPr="00B1394D">
        <w:rPr>
          <w:rFonts w:cs="Arial"/>
          <w:color w:val="000000"/>
          <w:szCs w:val="20"/>
        </w:rPr>
        <w:t xml:space="preserve"> </w:t>
      </w:r>
      <w:r w:rsidR="00B1394D">
        <w:rPr>
          <w:rFonts w:cstheme="minorHAnsi"/>
          <w:color w:val="000000"/>
        </w:rPr>
        <w:t xml:space="preserve">Za izkoristek slovenskega potenciala na področju </w:t>
      </w:r>
      <w:r>
        <w:rPr>
          <w:rFonts w:cstheme="minorHAnsi"/>
          <w:color w:val="000000"/>
        </w:rPr>
        <w:t>QT</w:t>
      </w:r>
      <w:r w:rsidR="00B1394D">
        <w:rPr>
          <w:rFonts w:cstheme="minorHAnsi"/>
          <w:color w:val="000000"/>
        </w:rPr>
        <w:t xml:space="preserve">, je za Slovenijo kot državo pomembno tudi, da usklajeno in ambiciozno kuje </w:t>
      </w:r>
      <w:r w:rsidR="00B1394D" w:rsidRPr="00AB1A56">
        <w:rPr>
          <w:rFonts w:cstheme="minorHAnsi"/>
          <w:color w:val="000000"/>
        </w:rPr>
        <w:t>partnerstva znotraj EU</w:t>
      </w:r>
      <w:r w:rsidR="00B1394D">
        <w:rPr>
          <w:rFonts w:cstheme="minorHAnsi"/>
          <w:color w:val="000000"/>
        </w:rPr>
        <w:t xml:space="preserve"> in tudi globalno izven EU</w:t>
      </w:r>
      <w:r w:rsidR="001B0182">
        <w:rPr>
          <w:rFonts w:cstheme="minorHAnsi"/>
          <w:color w:val="000000"/>
        </w:rPr>
        <w:t>.</w:t>
      </w:r>
    </w:p>
    <w:p w14:paraId="2324312F" w14:textId="77777777" w:rsidR="00F5643F" w:rsidRPr="00F5643F" w:rsidRDefault="00F5643F" w:rsidP="00F5643F">
      <w:pPr>
        <w:spacing w:line="240" w:lineRule="auto"/>
        <w:jc w:val="both"/>
        <w:rPr>
          <w:rFonts w:eastAsia="Arial" w:cs="Arial"/>
          <w:szCs w:val="20"/>
        </w:rPr>
      </w:pPr>
    </w:p>
    <w:p w14:paraId="3F78221E" w14:textId="13A43B32" w:rsidR="00F5643F" w:rsidRPr="00F5643F" w:rsidRDefault="001B0182" w:rsidP="00386E05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</w:rPr>
      </w:pPr>
      <w:r>
        <w:rPr>
          <w:rFonts w:eastAsia="Arial" w:cs="Arial"/>
          <w:szCs w:val="20"/>
        </w:rPr>
        <w:t xml:space="preserve">Ta </w:t>
      </w:r>
      <w:r w:rsidR="00F5643F" w:rsidRPr="00F5643F">
        <w:rPr>
          <w:rFonts w:eastAsia="Arial" w:cs="Arial"/>
          <w:szCs w:val="20"/>
        </w:rPr>
        <w:t xml:space="preserve">Strategija je prvi nacionalni strateški dokument, ki sistematično in celovito naslavlja razvojne potrebe in priložnosti tega področja. Strategija je </w:t>
      </w:r>
      <w:r w:rsidR="00F705CA">
        <w:rPr>
          <w:rFonts w:eastAsia="Arial" w:cs="Arial"/>
          <w:szCs w:val="20"/>
        </w:rPr>
        <w:t>celovita</w:t>
      </w:r>
      <w:r w:rsidR="00B1394D">
        <w:rPr>
          <w:rFonts w:eastAsia="Arial" w:cs="Arial"/>
          <w:szCs w:val="20"/>
        </w:rPr>
        <w:t>,</w:t>
      </w:r>
      <w:r w:rsidR="000F5AB2">
        <w:rPr>
          <w:rFonts w:eastAsia="Arial" w:cs="Arial"/>
          <w:szCs w:val="20"/>
        </w:rPr>
        <w:t xml:space="preserve"> saj je n</w:t>
      </w:r>
      <w:r w:rsidR="00B1394D">
        <w:rPr>
          <w:rFonts w:eastAsia="Arial" w:cs="Arial"/>
          <w:szCs w:val="20"/>
        </w:rPr>
        <w:t xml:space="preserve">amenjena podpori </w:t>
      </w:r>
      <w:r w:rsidR="00F5643F" w:rsidRPr="00F5643F">
        <w:rPr>
          <w:rFonts w:eastAsia="Arial" w:cs="Arial"/>
          <w:szCs w:val="20"/>
        </w:rPr>
        <w:t>celot</w:t>
      </w:r>
      <w:r w:rsidR="00B1394D">
        <w:rPr>
          <w:rFonts w:eastAsia="Arial" w:cs="Arial"/>
          <w:szCs w:val="20"/>
        </w:rPr>
        <w:t>nega</w:t>
      </w:r>
      <w:r w:rsidR="00F5643F" w:rsidRPr="00F5643F">
        <w:rPr>
          <w:rFonts w:eastAsia="Arial" w:cs="Arial"/>
          <w:szCs w:val="20"/>
        </w:rPr>
        <w:t xml:space="preserve"> spekt</w:t>
      </w:r>
      <w:r w:rsidR="00B1394D">
        <w:rPr>
          <w:rFonts w:eastAsia="Arial" w:cs="Arial"/>
          <w:szCs w:val="20"/>
        </w:rPr>
        <w:t>ra razvoja</w:t>
      </w:r>
      <w:r w:rsidR="00F5643F" w:rsidRPr="00F5643F">
        <w:rPr>
          <w:rFonts w:eastAsia="Arial" w:cs="Arial"/>
          <w:szCs w:val="20"/>
        </w:rPr>
        <w:t xml:space="preserve"> kvantnih tehnologij</w:t>
      </w:r>
      <w:r w:rsidR="000F5AB2">
        <w:rPr>
          <w:rFonts w:eastAsia="Arial" w:cs="Arial"/>
          <w:szCs w:val="20"/>
        </w:rPr>
        <w:t xml:space="preserve">, </w:t>
      </w:r>
      <w:r w:rsidR="00386E05" w:rsidRPr="00F5643F">
        <w:rPr>
          <w:rFonts w:cs="Arial"/>
          <w:szCs w:val="20"/>
        </w:rPr>
        <w:t>od razisk</w:t>
      </w:r>
      <w:r w:rsidR="00386E05">
        <w:rPr>
          <w:rFonts w:cs="Arial"/>
          <w:szCs w:val="20"/>
        </w:rPr>
        <w:t>ovalnih in razvojnih aktivnosti</w:t>
      </w:r>
      <w:r w:rsidR="00386E05" w:rsidRPr="00F5643F">
        <w:rPr>
          <w:rFonts w:cs="Arial"/>
          <w:szCs w:val="20"/>
        </w:rPr>
        <w:t>,</w:t>
      </w:r>
      <w:r w:rsidR="00386E05">
        <w:rPr>
          <w:rFonts w:cs="Arial"/>
          <w:szCs w:val="20"/>
        </w:rPr>
        <w:t xml:space="preserve"> krepitve</w:t>
      </w:r>
      <w:r w:rsidR="00386E05" w:rsidRPr="00F5643F">
        <w:rPr>
          <w:rFonts w:cs="Arial"/>
          <w:szCs w:val="20"/>
        </w:rPr>
        <w:t xml:space="preserve"> infrastrukture, prenosa znanja</w:t>
      </w:r>
      <w:r w:rsidR="00386E05">
        <w:rPr>
          <w:rFonts w:cs="Arial"/>
          <w:szCs w:val="20"/>
        </w:rPr>
        <w:t xml:space="preserve">, </w:t>
      </w:r>
      <w:r w:rsidR="00386E05" w:rsidRPr="00F5643F">
        <w:rPr>
          <w:rFonts w:cs="Arial"/>
          <w:szCs w:val="20"/>
        </w:rPr>
        <w:t>podpore kadrovskim kapacitetam in usposabljanju</w:t>
      </w:r>
      <w:r w:rsidR="00386E05">
        <w:rPr>
          <w:rFonts w:cs="Arial"/>
          <w:szCs w:val="20"/>
        </w:rPr>
        <w:t xml:space="preserve"> </w:t>
      </w:r>
      <w:r w:rsidR="00386E05" w:rsidRPr="00F5643F">
        <w:rPr>
          <w:rFonts w:cs="Arial"/>
          <w:szCs w:val="20"/>
        </w:rPr>
        <w:t xml:space="preserve">do komunikacije in osveščanja javnosti. Ne omejuje se na </w:t>
      </w:r>
      <w:proofErr w:type="spellStart"/>
      <w:r w:rsidR="00386E05" w:rsidRPr="00F5643F">
        <w:rPr>
          <w:rFonts w:cs="Arial"/>
          <w:szCs w:val="20"/>
        </w:rPr>
        <w:t>nišna</w:t>
      </w:r>
      <w:proofErr w:type="spellEnd"/>
      <w:r w:rsidR="00386E05" w:rsidRPr="00F5643F">
        <w:rPr>
          <w:rFonts w:cs="Arial"/>
          <w:szCs w:val="20"/>
        </w:rPr>
        <w:t xml:space="preserve"> področja, temveč vključuje horizontalno in sistemsko obravnavo celotnega kvantnega ekosistema.</w:t>
      </w:r>
      <w:r w:rsidR="00386E05">
        <w:rPr>
          <w:rFonts w:cs="Arial"/>
          <w:szCs w:val="20"/>
        </w:rPr>
        <w:t xml:space="preserve"> </w:t>
      </w:r>
      <w:r w:rsidR="00F5643F" w:rsidRPr="00F5643F">
        <w:rPr>
          <w:rFonts w:eastAsia="Arial" w:cs="Arial"/>
          <w:szCs w:val="20"/>
        </w:rPr>
        <w:t>Cilj strategije je usmeriti razvoj Slovenije v smeri, da do leta 2035 postane ena vodilnih držav na nišnih področjih QT, kjer ima</w:t>
      </w:r>
      <w:r w:rsidR="00B1394D">
        <w:rPr>
          <w:rFonts w:eastAsia="Arial" w:cs="Arial"/>
          <w:szCs w:val="20"/>
        </w:rPr>
        <w:t xml:space="preserve"> oz. na katerih bo v prihodnosti razvila</w:t>
      </w:r>
      <w:r w:rsidR="00F5643F" w:rsidRPr="00F5643F">
        <w:rPr>
          <w:rFonts w:eastAsia="Arial" w:cs="Arial"/>
          <w:szCs w:val="20"/>
        </w:rPr>
        <w:t xml:space="preserve"> znanstveno-tehnološko prednost.</w:t>
      </w:r>
    </w:p>
    <w:p w14:paraId="506AD5BD" w14:textId="77777777" w:rsidR="00F5643F" w:rsidRDefault="00F5643F" w:rsidP="00F5643F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</w:rPr>
      </w:pPr>
    </w:p>
    <w:p w14:paraId="7541DF6A" w14:textId="612715A8" w:rsidR="00B1394D" w:rsidRPr="00242239" w:rsidRDefault="00B1394D" w:rsidP="00242239">
      <w:pPr>
        <w:pStyle w:val="Odstavekseznama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bCs/>
          <w:szCs w:val="20"/>
        </w:rPr>
      </w:pPr>
      <w:r w:rsidRPr="00242239">
        <w:rPr>
          <w:rFonts w:cs="Arial"/>
          <w:b/>
          <w:bCs/>
          <w:szCs w:val="20"/>
        </w:rPr>
        <w:t>Organizacijski okvir priprave Strategije</w:t>
      </w:r>
    </w:p>
    <w:p w14:paraId="4A7F2D90" w14:textId="77777777" w:rsidR="00B1394D" w:rsidRPr="00F5643F" w:rsidRDefault="00B1394D" w:rsidP="00F5643F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</w:rPr>
      </w:pPr>
    </w:p>
    <w:p w14:paraId="35E43DC1" w14:textId="2EF99775" w:rsidR="00F5643F" w:rsidRDefault="00B1394D" w:rsidP="00F5643F">
      <w:pPr>
        <w:spacing w:line="240" w:lineRule="auto"/>
        <w:jc w:val="both"/>
        <w:rPr>
          <w:rFonts w:cs="Arial"/>
          <w:szCs w:val="20"/>
        </w:rPr>
      </w:pPr>
      <w:r w:rsidRPr="00F5643F">
        <w:rPr>
          <w:rFonts w:eastAsia="Arial" w:cs="Arial"/>
          <w:szCs w:val="20"/>
        </w:rPr>
        <w:t xml:space="preserve">Na </w:t>
      </w:r>
      <w:r>
        <w:rPr>
          <w:rFonts w:eastAsia="Arial" w:cs="Arial"/>
          <w:szCs w:val="20"/>
        </w:rPr>
        <w:t>predlog</w:t>
      </w:r>
      <w:r w:rsidRPr="00F5643F">
        <w:rPr>
          <w:rFonts w:eastAsia="Arial" w:cs="Arial"/>
          <w:szCs w:val="20"/>
        </w:rPr>
        <w:t xml:space="preserve"> </w:t>
      </w:r>
      <w:r w:rsidRPr="00B1394D">
        <w:rPr>
          <w:rFonts w:eastAsia="Arial" w:cs="Arial"/>
          <w:szCs w:val="20"/>
        </w:rPr>
        <w:t xml:space="preserve">MVZI je </w:t>
      </w:r>
      <w:r w:rsidR="00F5643F" w:rsidRPr="00F5643F">
        <w:rPr>
          <w:rFonts w:cs="Arial"/>
          <w:szCs w:val="20"/>
        </w:rPr>
        <w:t xml:space="preserve">Vlada </w:t>
      </w:r>
      <w:r w:rsidR="001B0182">
        <w:rPr>
          <w:rFonts w:cs="Arial"/>
          <w:szCs w:val="20"/>
        </w:rPr>
        <w:t>RS</w:t>
      </w:r>
      <w:r w:rsidR="00F5643F" w:rsidRPr="00F5643F">
        <w:rPr>
          <w:rFonts w:cs="Arial"/>
          <w:szCs w:val="20"/>
        </w:rPr>
        <w:t xml:space="preserve"> </w:t>
      </w:r>
      <w:r w:rsidR="00F5643F" w:rsidRPr="00B1394D">
        <w:rPr>
          <w:rFonts w:eastAsia="Arial" w:cs="Arial"/>
          <w:szCs w:val="20"/>
        </w:rPr>
        <w:t>s sklepom št. 02401-13/2024/4 z dne 9. januarja ustanovila Delovno sk</w:t>
      </w:r>
      <w:r w:rsidR="00F5643F" w:rsidRPr="00466ABF">
        <w:rPr>
          <w:rFonts w:eastAsia="Arial" w:cs="Arial"/>
          <w:szCs w:val="20"/>
        </w:rPr>
        <w:t xml:space="preserve">upino za pripravo predloga Strategije razvoja kvantnih tehnologij v Sloveniji (v nadaljevanju DS). </w:t>
      </w:r>
      <w:r w:rsidR="00F5643F" w:rsidRPr="00F5643F">
        <w:rPr>
          <w:rFonts w:cs="Arial"/>
          <w:szCs w:val="20"/>
        </w:rPr>
        <w:t xml:space="preserve">Glavna naloga </w:t>
      </w:r>
      <w:r w:rsidR="001B0182">
        <w:rPr>
          <w:rFonts w:cs="Arial"/>
          <w:szCs w:val="20"/>
        </w:rPr>
        <w:t>DS</w:t>
      </w:r>
      <w:r w:rsidR="00F5643F" w:rsidRPr="00F5643F">
        <w:rPr>
          <w:rFonts w:cs="Arial"/>
          <w:szCs w:val="20"/>
        </w:rPr>
        <w:t xml:space="preserve"> je priprava predloga </w:t>
      </w:r>
      <w:r w:rsidR="000F5AB2">
        <w:rPr>
          <w:rFonts w:cs="Arial"/>
          <w:szCs w:val="20"/>
        </w:rPr>
        <w:t>s</w:t>
      </w:r>
      <w:r w:rsidR="00F5643F" w:rsidRPr="00F5643F">
        <w:rPr>
          <w:rFonts w:cs="Arial"/>
          <w:szCs w:val="20"/>
        </w:rPr>
        <w:t>trategije, ki bo opredelila vizijo razvoja področja, nacionalne cilje, prispevek k skupnim evropskim zavezam,</w:t>
      </w:r>
      <w:r>
        <w:rPr>
          <w:rFonts w:cs="Arial"/>
          <w:szCs w:val="20"/>
        </w:rPr>
        <w:t xml:space="preserve"> finančnim načrtom</w:t>
      </w:r>
      <w:r w:rsidR="00F5643F" w:rsidRPr="00F5643F">
        <w:rPr>
          <w:rFonts w:cs="Arial"/>
          <w:szCs w:val="20"/>
        </w:rPr>
        <w:t xml:space="preserve"> in </w:t>
      </w:r>
      <w:r>
        <w:rPr>
          <w:rFonts w:cs="Arial"/>
          <w:szCs w:val="20"/>
        </w:rPr>
        <w:t>kazalniki za</w:t>
      </w:r>
      <w:r w:rsidR="00F5643F" w:rsidRPr="00F5643F">
        <w:rPr>
          <w:rFonts w:cs="Arial"/>
          <w:szCs w:val="20"/>
        </w:rPr>
        <w:t xml:space="preserve"> spremljanj</w:t>
      </w:r>
      <w:r>
        <w:rPr>
          <w:rFonts w:cs="Arial"/>
          <w:szCs w:val="20"/>
        </w:rPr>
        <w:t>e</w:t>
      </w:r>
      <w:r w:rsidR="00F5643F" w:rsidRPr="00F5643F">
        <w:rPr>
          <w:rFonts w:cs="Arial"/>
          <w:szCs w:val="20"/>
        </w:rPr>
        <w:t xml:space="preserve"> učinkov</w:t>
      </w:r>
      <w:r>
        <w:rPr>
          <w:rFonts w:cs="Arial"/>
          <w:szCs w:val="20"/>
        </w:rPr>
        <w:t xml:space="preserve">. </w:t>
      </w:r>
      <w:r w:rsidR="00F5643F" w:rsidRPr="00F5643F">
        <w:rPr>
          <w:rFonts w:cs="Arial"/>
          <w:szCs w:val="20"/>
        </w:rPr>
        <w:t xml:space="preserve">Rok za pripravo strategije je postavljen v leto 2025, ki ga je UNESCO razglasil za svetovno leto kvantnih tehnologij. </w:t>
      </w:r>
      <w:r w:rsidR="001B0182">
        <w:rPr>
          <w:rFonts w:cs="Arial"/>
          <w:szCs w:val="20"/>
        </w:rPr>
        <w:t>DS</w:t>
      </w:r>
      <w:r w:rsidR="00F5643F" w:rsidRPr="00F5643F">
        <w:rPr>
          <w:rFonts w:cs="Arial"/>
          <w:szCs w:val="20"/>
        </w:rPr>
        <w:t xml:space="preserve"> koordinira </w:t>
      </w:r>
      <w:r w:rsidR="001B0182">
        <w:rPr>
          <w:rFonts w:cs="Arial"/>
          <w:szCs w:val="20"/>
        </w:rPr>
        <w:t>MVZI</w:t>
      </w:r>
      <w:r w:rsidR="00F5643F" w:rsidRPr="00F5643F">
        <w:rPr>
          <w:rFonts w:cs="Arial"/>
          <w:szCs w:val="20"/>
        </w:rPr>
        <w:t xml:space="preserve"> in inovacije</w:t>
      </w:r>
      <w:r w:rsidR="00F5643F">
        <w:rPr>
          <w:rFonts w:cs="Arial"/>
          <w:szCs w:val="20"/>
        </w:rPr>
        <w:t xml:space="preserve">, </w:t>
      </w:r>
      <w:r w:rsidR="000F5AB2">
        <w:rPr>
          <w:rFonts w:cs="Arial"/>
          <w:szCs w:val="20"/>
        </w:rPr>
        <w:t xml:space="preserve">kot njeni člani pa so bili </w:t>
      </w:r>
      <w:r w:rsidR="00F5643F">
        <w:rPr>
          <w:rFonts w:cs="Arial"/>
          <w:szCs w:val="20"/>
        </w:rPr>
        <w:t xml:space="preserve">imenovani tudi predstavniki </w:t>
      </w:r>
      <w:r w:rsidR="00F5643F" w:rsidRPr="00F5643F">
        <w:rPr>
          <w:rFonts w:cs="Arial"/>
          <w:szCs w:val="20"/>
        </w:rPr>
        <w:t>Ministrstv</w:t>
      </w:r>
      <w:r w:rsidR="00F5643F">
        <w:rPr>
          <w:rFonts w:cs="Arial"/>
          <w:szCs w:val="20"/>
        </w:rPr>
        <w:t>a</w:t>
      </w:r>
      <w:r w:rsidR="00F5643F" w:rsidRPr="00F5643F">
        <w:rPr>
          <w:rFonts w:cs="Arial"/>
          <w:szCs w:val="20"/>
        </w:rPr>
        <w:t xml:space="preserve"> za digitalno preobrazbo, Ministrstv</w:t>
      </w:r>
      <w:r w:rsidR="00F5643F">
        <w:rPr>
          <w:rFonts w:cs="Arial"/>
          <w:szCs w:val="20"/>
        </w:rPr>
        <w:t>a</w:t>
      </w:r>
      <w:r w:rsidR="00F5643F" w:rsidRPr="00F5643F">
        <w:rPr>
          <w:rFonts w:cs="Arial"/>
          <w:szCs w:val="20"/>
        </w:rPr>
        <w:t xml:space="preserve"> za gospodarstvo, turizem in šport, Ministrstv</w:t>
      </w:r>
      <w:r w:rsidR="00F5643F">
        <w:rPr>
          <w:rFonts w:cs="Arial"/>
          <w:szCs w:val="20"/>
        </w:rPr>
        <w:t>a</w:t>
      </w:r>
      <w:r w:rsidR="00F5643F" w:rsidRPr="00F5643F">
        <w:rPr>
          <w:rFonts w:cs="Arial"/>
          <w:szCs w:val="20"/>
        </w:rPr>
        <w:t xml:space="preserve"> za obrambo, Urad</w:t>
      </w:r>
      <w:r w:rsidR="00F5643F">
        <w:rPr>
          <w:rFonts w:cs="Arial"/>
          <w:szCs w:val="20"/>
        </w:rPr>
        <w:t>a</w:t>
      </w:r>
      <w:r w:rsidR="00F5643F" w:rsidRPr="00F5643F">
        <w:rPr>
          <w:rFonts w:cs="Arial"/>
          <w:szCs w:val="20"/>
        </w:rPr>
        <w:t xml:space="preserve"> Vlade za informacijsko varnost in Urad</w:t>
      </w:r>
      <w:r w:rsidR="00F5643F">
        <w:rPr>
          <w:rFonts w:cs="Arial"/>
          <w:szCs w:val="20"/>
        </w:rPr>
        <w:t>a</w:t>
      </w:r>
      <w:r w:rsidR="00F5643F" w:rsidRPr="00F5643F">
        <w:rPr>
          <w:rFonts w:cs="Arial"/>
          <w:szCs w:val="20"/>
        </w:rPr>
        <w:t xml:space="preserve"> za varovanje tajnih podatkov.</w:t>
      </w:r>
    </w:p>
    <w:p w14:paraId="49B313A8" w14:textId="77777777" w:rsidR="00B1394D" w:rsidRDefault="00B1394D" w:rsidP="00F5643F">
      <w:pPr>
        <w:spacing w:line="240" w:lineRule="auto"/>
        <w:jc w:val="both"/>
        <w:rPr>
          <w:rFonts w:cs="Arial"/>
          <w:szCs w:val="20"/>
        </w:rPr>
      </w:pPr>
    </w:p>
    <w:p w14:paraId="5A868C93" w14:textId="3C36CE65" w:rsidR="00B1394D" w:rsidRDefault="00B1394D" w:rsidP="00F5643F">
      <w:pPr>
        <w:spacing w:line="240" w:lineRule="auto"/>
        <w:jc w:val="both"/>
        <w:rPr>
          <w:rFonts w:cs="Arial"/>
          <w:szCs w:val="20"/>
        </w:rPr>
      </w:pPr>
      <w:r w:rsidRPr="00466ABF">
        <w:rPr>
          <w:rFonts w:eastAsia="Arial" w:cs="Arial"/>
          <w:szCs w:val="20"/>
        </w:rPr>
        <w:t>MVZI</w:t>
      </w:r>
      <w:r w:rsidR="000F5AB2">
        <w:rPr>
          <w:rFonts w:eastAsia="Arial" w:cs="Arial"/>
          <w:szCs w:val="20"/>
        </w:rPr>
        <w:t xml:space="preserve"> je</w:t>
      </w:r>
      <w:r w:rsidRPr="00466ABF">
        <w:rPr>
          <w:rFonts w:eastAsia="Arial" w:cs="Arial"/>
          <w:szCs w:val="20"/>
        </w:rPr>
        <w:t xml:space="preserve"> kot koordinator </w:t>
      </w:r>
      <w:r>
        <w:rPr>
          <w:rFonts w:eastAsia="Arial" w:cs="Arial"/>
          <w:szCs w:val="20"/>
        </w:rPr>
        <w:t xml:space="preserve">s </w:t>
      </w:r>
      <w:r w:rsidRPr="00466ABF">
        <w:rPr>
          <w:rFonts w:eastAsia="Arial" w:cs="Arial"/>
          <w:szCs w:val="20"/>
        </w:rPr>
        <w:t>predlogom</w:t>
      </w:r>
      <w:r w:rsidR="000F5AB2">
        <w:rPr>
          <w:rFonts w:eastAsia="Arial" w:cs="Arial"/>
          <w:szCs w:val="20"/>
        </w:rPr>
        <w:t xml:space="preserve"> Strategije</w:t>
      </w:r>
      <w:r w:rsidRPr="00466ABF">
        <w:rPr>
          <w:rFonts w:eastAsia="Arial" w:cs="Arial"/>
          <w:szCs w:val="20"/>
        </w:rPr>
        <w:t xml:space="preserve"> </w:t>
      </w:r>
      <w:r w:rsidRPr="00B1394D">
        <w:rPr>
          <w:rFonts w:eastAsia="Arial" w:cs="Arial"/>
          <w:szCs w:val="20"/>
        </w:rPr>
        <w:t xml:space="preserve">seznanil </w:t>
      </w:r>
      <w:r w:rsidR="00386E05">
        <w:rPr>
          <w:rFonts w:eastAsia="Arial" w:cs="Arial"/>
          <w:szCs w:val="20"/>
        </w:rPr>
        <w:t>P</w:t>
      </w:r>
      <w:r w:rsidRPr="00B1394D">
        <w:rPr>
          <w:rFonts w:eastAsia="Arial" w:cs="Arial"/>
          <w:szCs w:val="20"/>
        </w:rPr>
        <w:t>osvetovaln</w:t>
      </w:r>
      <w:r w:rsidR="00386E05">
        <w:rPr>
          <w:rFonts w:eastAsia="Arial" w:cs="Arial"/>
          <w:szCs w:val="20"/>
        </w:rPr>
        <w:t>o</w:t>
      </w:r>
      <w:r w:rsidRPr="00B1394D">
        <w:rPr>
          <w:rFonts w:eastAsia="Arial" w:cs="Arial"/>
          <w:szCs w:val="20"/>
        </w:rPr>
        <w:t xml:space="preserve"> skupin</w:t>
      </w:r>
      <w:r w:rsidR="00386E05">
        <w:rPr>
          <w:rFonts w:eastAsia="Arial" w:cs="Arial"/>
          <w:szCs w:val="20"/>
        </w:rPr>
        <w:t>o</w:t>
      </w:r>
      <w:r w:rsidRPr="00B1394D">
        <w:rPr>
          <w:rFonts w:eastAsia="Arial" w:cs="Arial"/>
          <w:szCs w:val="20"/>
        </w:rPr>
        <w:t xml:space="preserve"> za področje kvantnih tehnologij,</w:t>
      </w:r>
      <w:r w:rsidRPr="00466ABF">
        <w:rPr>
          <w:rFonts w:eastAsia="Arial" w:cs="Arial"/>
          <w:szCs w:val="20"/>
        </w:rPr>
        <w:t xml:space="preserve"> ki je bila ustanovljena s sklepom ministra </w:t>
      </w:r>
      <w:r>
        <w:rPr>
          <w:rFonts w:eastAsia="Arial" w:cs="Arial"/>
          <w:szCs w:val="20"/>
        </w:rPr>
        <w:t xml:space="preserve">MVZI </w:t>
      </w:r>
      <w:r w:rsidRPr="00466ABF">
        <w:rPr>
          <w:rFonts w:eastAsia="Arial" w:cs="Arial"/>
          <w:szCs w:val="20"/>
        </w:rPr>
        <w:t>št. 012-21/2024-3360-8 z dne 11. 3. 2025</w:t>
      </w:r>
      <w:r w:rsidR="00386E05">
        <w:rPr>
          <w:rFonts w:eastAsia="Arial" w:cs="Arial"/>
          <w:szCs w:val="20"/>
        </w:rPr>
        <w:t>. Ta</w:t>
      </w:r>
      <w:r w:rsidRPr="00466ABF">
        <w:rPr>
          <w:rFonts w:eastAsia="Arial" w:cs="Arial"/>
          <w:szCs w:val="20"/>
        </w:rPr>
        <w:t xml:space="preserve"> </w:t>
      </w:r>
      <w:r w:rsidR="00386E05">
        <w:rPr>
          <w:rFonts w:eastAsia="Arial" w:cs="Arial"/>
          <w:szCs w:val="20"/>
        </w:rPr>
        <w:t>združuje predstavnike raziskovalnega, akademskega in industrijskega področja</w:t>
      </w:r>
      <w:r w:rsidR="000F5AB2">
        <w:rPr>
          <w:rFonts w:eastAsia="Arial" w:cs="Arial"/>
          <w:szCs w:val="20"/>
        </w:rPr>
        <w:t xml:space="preserve"> kvantnih tehnologij oziroma reprezentativnih predstavnikov</w:t>
      </w:r>
      <w:r w:rsidR="00386E05">
        <w:rPr>
          <w:rFonts w:eastAsia="Arial" w:cs="Arial"/>
          <w:szCs w:val="20"/>
        </w:rPr>
        <w:t xml:space="preserve"> slovenske kvantne skupnosti, ki </w:t>
      </w:r>
      <w:r w:rsidRPr="00466ABF">
        <w:rPr>
          <w:rFonts w:eastAsia="Arial" w:cs="Arial"/>
          <w:szCs w:val="20"/>
        </w:rPr>
        <w:t xml:space="preserve">so bili na povabilo </w:t>
      </w:r>
      <w:r w:rsidR="000F5AB2">
        <w:rPr>
          <w:rFonts w:eastAsia="Arial" w:cs="Arial"/>
          <w:szCs w:val="20"/>
        </w:rPr>
        <w:t xml:space="preserve">MVZI </w:t>
      </w:r>
      <w:r w:rsidRPr="00466ABF">
        <w:rPr>
          <w:rFonts w:eastAsia="Arial" w:cs="Arial"/>
          <w:szCs w:val="20"/>
        </w:rPr>
        <w:t xml:space="preserve">predlagani s strani </w:t>
      </w:r>
      <w:r w:rsidRPr="00B1394D">
        <w:rPr>
          <w:rFonts w:eastAsia="Arial" w:cs="Arial"/>
          <w:szCs w:val="20"/>
        </w:rPr>
        <w:t>združenja Qutes in GZS (IJS, UL FMF, UL FE, UL FRI, UM FERI, Nanocenter, Rudolfovo, Cosylab, Beyond Semiconductor, AtomQL, TipPRI, CREAPLUS)</w:t>
      </w:r>
      <w:r w:rsidR="00386E05">
        <w:rPr>
          <w:rFonts w:eastAsia="Arial" w:cs="Arial"/>
          <w:szCs w:val="20"/>
        </w:rPr>
        <w:t>. Člani</w:t>
      </w:r>
      <w:r w:rsidRPr="00466ABF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>so</w:t>
      </w:r>
      <w:r w:rsidRPr="00466ABF">
        <w:rPr>
          <w:rFonts w:eastAsia="Arial" w:cs="Arial"/>
          <w:szCs w:val="20"/>
        </w:rPr>
        <w:t xml:space="preserve"> imeli možnost podati stališča in predloge</w:t>
      </w:r>
      <w:r w:rsidR="00386E05">
        <w:rPr>
          <w:rFonts w:eastAsia="Arial" w:cs="Arial"/>
          <w:szCs w:val="20"/>
        </w:rPr>
        <w:t xml:space="preserve"> na predstavljen predlog Strategije, </w:t>
      </w:r>
      <w:r w:rsidR="00386E05" w:rsidRPr="009876BF">
        <w:rPr>
          <w:rFonts w:eastAsia="Arial" w:cs="Arial"/>
          <w:szCs w:val="20"/>
        </w:rPr>
        <w:t>s čimer je bila opravljena javna obravnava strategije s predstavniki zainteresirane javnosti.</w:t>
      </w:r>
    </w:p>
    <w:p w14:paraId="6EC5A53A" w14:textId="77777777" w:rsidR="00386E05" w:rsidRDefault="00386E05" w:rsidP="00F5643F">
      <w:pPr>
        <w:spacing w:line="240" w:lineRule="auto"/>
        <w:jc w:val="both"/>
        <w:rPr>
          <w:rFonts w:cs="Arial"/>
          <w:szCs w:val="20"/>
        </w:rPr>
      </w:pPr>
    </w:p>
    <w:p w14:paraId="45F17859" w14:textId="77777777" w:rsidR="001B0182" w:rsidRDefault="001B0182" w:rsidP="00F5643F">
      <w:pPr>
        <w:spacing w:line="240" w:lineRule="auto"/>
        <w:jc w:val="both"/>
        <w:rPr>
          <w:rFonts w:cs="Arial"/>
          <w:szCs w:val="20"/>
        </w:rPr>
      </w:pPr>
    </w:p>
    <w:p w14:paraId="110DF8D4" w14:textId="77777777" w:rsidR="001B0182" w:rsidRDefault="001B0182" w:rsidP="00F5643F">
      <w:pPr>
        <w:spacing w:line="240" w:lineRule="auto"/>
        <w:jc w:val="both"/>
        <w:rPr>
          <w:rFonts w:cs="Arial"/>
          <w:szCs w:val="20"/>
        </w:rPr>
      </w:pPr>
    </w:p>
    <w:p w14:paraId="523DAB64" w14:textId="77777777" w:rsidR="001B0182" w:rsidRDefault="001B0182" w:rsidP="00F5643F">
      <w:pPr>
        <w:spacing w:line="240" w:lineRule="auto"/>
        <w:jc w:val="both"/>
        <w:rPr>
          <w:rFonts w:cs="Arial"/>
          <w:szCs w:val="20"/>
        </w:rPr>
      </w:pPr>
    </w:p>
    <w:p w14:paraId="2724A14A" w14:textId="77777777" w:rsidR="00386E05" w:rsidRDefault="00386E05" w:rsidP="00F5643F">
      <w:pPr>
        <w:spacing w:line="240" w:lineRule="auto"/>
        <w:jc w:val="both"/>
        <w:rPr>
          <w:rFonts w:cs="Arial"/>
          <w:szCs w:val="20"/>
        </w:rPr>
      </w:pPr>
    </w:p>
    <w:p w14:paraId="024FBDD8" w14:textId="013DED46" w:rsidR="00386E05" w:rsidRPr="00242239" w:rsidRDefault="00386E05" w:rsidP="00242239">
      <w:pPr>
        <w:pStyle w:val="Odstavekseznama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bCs/>
          <w:szCs w:val="20"/>
        </w:rPr>
      </w:pPr>
      <w:r w:rsidRPr="00242239">
        <w:rPr>
          <w:rFonts w:cs="Arial"/>
          <w:b/>
          <w:bCs/>
          <w:szCs w:val="20"/>
        </w:rPr>
        <w:lastRenderedPageBreak/>
        <w:t>Povzetek ključnih poglavij Strategije</w:t>
      </w:r>
    </w:p>
    <w:p w14:paraId="2321CE05" w14:textId="77777777" w:rsidR="00386E05" w:rsidRPr="00F5643F" w:rsidRDefault="00386E05" w:rsidP="00386E05">
      <w:pPr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b/>
          <w:bCs/>
          <w:szCs w:val="20"/>
        </w:rPr>
      </w:pPr>
    </w:p>
    <w:p w14:paraId="3579A0AF" w14:textId="4BC86B97" w:rsidR="00386E05" w:rsidRPr="004D69F7" w:rsidRDefault="00386E05" w:rsidP="00386E05">
      <w:pPr>
        <w:pStyle w:val="Odstavekseznama"/>
        <w:numPr>
          <w:ilvl w:val="0"/>
          <w:numId w:val="26"/>
        </w:numPr>
        <w:spacing w:line="240" w:lineRule="auto"/>
        <w:rPr>
          <w:rFonts w:cs="Arial"/>
          <w:i/>
          <w:iCs/>
          <w:szCs w:val="20"/>
          <w:u w:val="single"/>
        </w:rPr>
      </w:pPr>
      <w:r w:rsidRPr="004D69F7">
        <w:rPr>
          <w:rFonts w:cs="Arial"/>
          <w:i/>
          <w:iCs/>
          <w:szCs w:val="20"/>
          <w:u w:val="single"/>
        </w:rPr>
        <w:t>Uvod z vizijo</w:t>
      </w:r>
    </w:p>
    <w:p w14:paraId="288F0CF0" w14:textId="77777777" w:rsidR="00242239" w:rsidRPr="00242239" w:rsidRDefault="00242239" w:rsidP="00242239">
      <w:pPr>
        <w:spacing w:line="240" w:lineRule="auto"/>
        <w:rPr>
          <w:rFonts w:cs="Arial"/>
          <w:szCs w:val="20"/>
          <w:u w:val="single"/>
        </w:rPr>
      </w:pPr>
    </w:p>
    <w:p w14:paraId="7A987566" w14:textId="170DEAD6" w:rsidR="00386E05" w:rsidRPr="00386E05" w:rsidRDefault="00386E05" w:rsidP="00386E05">
      <w:pPr>
        <w:spacing w:line="240" w:lineRule="auto"/>
        <w:jc w:val="both"/>
        <w:rPr>
          <w:rFonts w:cs="Arial"/>
          <w:szCs w:val="20"/>
        </w:rPr>
      </w:pPr>
      <w:r w:rsidRPr="00386E05">
        <w:rPr>
          <w:rFonts w:cs="Arial"/>
          <w:szCs w:val="20"/>
        </w:rPr>
        <w:t>Strategija temelji na viziji, da Slovenija do leta 2035 postane ena vodilnih držav na nišnih področjih QT, ki bodo omogočala znanstveno odličnost,</w:t>
      </w:r>
      <w:r w:rsidR="002D7923">
        <w:rPr>
          <w:rFonts w:cs="Arial"/>
          <w:szCs w:val="20"/>
        </w:rPr>
        <w:t xml:space="preserve"> </w:t>
      </w:r>
      <w:r w:rsidR="002D7923" w:rsidRPr="00386E05">
        <w:rPr>
          <w:rFonts w:cs="Arial"/>
          <w:szCs w:val="20"/>
        </w:rPr>
        <w:t>tehnološko suverenost</w:t>
      </w:r>
      <w:r w:rsidR="002D7923">
        <w:rPr>
          <w:rFonts w:cs="Arial"/>
          <w:szCs w:val="20"/>
        </w:rPr>
        <w:t>,</w:t>
      </w:r>
      <w:r w:rsidRPr="00386E05">
        <w:rPr>
          <w:rFonts w:cs="Arial"/>
          <w:szCs w:val="20"/>
        </w:rPr>
        <w:t xml:space="preserve"> industrializacijo in globalno prepoznavnost</w:t>
      </w:r>
      <w:r w:rsidR="000F5AB2">
        <w:rPr>
          <w:rFonts w:cs="Arial"/>
          <w:szCs w:val="20"/>
        </w:rPr>
        <w:t xml:space="preserve"> Slovenije</w:t>
      </w:r>
      <w:r w:rsidRPr="00386E05">
        <w:rPr>
          <w:rFonts w:cs="Arial"/>
          <w:szCs w:val="20"/>
        </w:rPr>
        <w:t>.</w:t>
      </w:r>
    </w:p>
    <w:p w14:paraId="2CA62AC0" w14:textId="77777777" w:rsidR="00C80B81" w:rsidRDefault="00C80B81" w:rsidP="00C80B81">
      <w:pPr>
        <w:spacing w:line="240" w:lineRule="auto"/>
        <w:rPr>
          <w:rFonts w:cs="Arial"/>
          <w:b/>
          <w:bCs/>
          <w:szCs w:val="20"/>
        </w:rPr>
      </w:pPr>
    </w:p>
    <w:p w14:paraId="2633767E" w14:textId="2797CCB6" w:rsidR="00C80B81" w:rsidRPr="004D69F7" w:rsidRDefault="00386E05" w:rsidP="00C80B81">
      <w:pPr>
        <w:pStyle w:val="Odstavekseznama"/>
        <w:numPr>
          <w:ilvl w:val="0"/>
          <w:numId w:val="26"/>
        </w:numPr>
        <w:spacing w:line="240" w:lineRule="auto"/>
        <w:rPr>
          <w:rFonts w:cs="Arial"/>
          <w:i/>
          <w:iCs/>
          <w:szCs w:val="20"/>
          <w:u w:val="single"/>
        </w:rPr>
      </w:pPr>
      <w:r w:rsidRPr="004D69F7">
        <w:rPr>
          <w:rFonts w:cs="Arial"/>
          <w:i/>
          <w:iCs/>
          <w:szCs w:val="20"/>
          <w:u w:val="single"/>
        </w:rPr>
        <w:t>Analiza stanja na EU in nacionalni ravni</w:t>
      </w:r>
    </w:p>
    <w:p w14:paraId="1FF0CCF1" w14:textId="77777777" w:rsidR="00242239" w:rsidRPr="00242239" w:rsidRDefault="00242239" w:rsidP="00242239">
      <w:pPr>
        <w:pStyle w:val="Odstavekseznama"/>
        <w:spacing w:line="240" w:lineRule="auto"/>
        <w:rPr>
          <w:rFonts w:cs="Arial"/>
          <w:szCs w:val="20"/>
          <w:u w:val="single"/>
        </w:rPr>
      </w:pPr>
    </w:p>
    <w:p w14:paraId="3BD260A6" w14:textId="26027C28" w:rsidR="00242239" w:rsidRDefault="00C80B81" w:rsidP="00962D85">
      <w:pPr>
        <w:spacing w:line="240" w:lineRule="auto"/>
        <w:jc w:val="both"/>
        <w:rPr>
          <w:rFonts w:cs="Arial"/>
          <w:szCs w:val="20"/>
        </w:rPr>
      </w:pPr>
      <w:r w:rsidRPr="00C80B81">
        <w:rPr>
          <w:rFonts w:cs="Arial"/>
          <w:szCs w:val="20"/>
        </w:rPr>
        <w:t>Strategija je skladna z nacionalnimi strateškimi dokumenti - Resolucijo o znanstvenoraziskovalni in inovacijski strategiji Slovenije 2030</w:t>
      </w:r>
      <w:r w:rsidR="000F5AB2">
        <w:rPr>
          <w:rFonts w:cs="Arial"/>
          <w:szCs w:val="20"/>
        </w:rPr>
        <w:t xml:space="preserve"> </w:t>
      </w:r>
      <w:r w:rsidR="000F5AB2" w:rsidRPr="00802966">
        <w:t>(ReZrIS30)</w:t>
      </w:r>
      <w:r w:rsidRPr="00C80B81">
        <w:rPr>
          <w:rFonts w:cs="Arial"/>
          <w:szCs w:val="20"/>
        </w:rPr>
        <w:t>, Nacionalni</w:t>
      </w:r>
      <w:r w:rsidR="000F5AB2">
        <w:rPr>
          <w:rFonts w:cs="Arial"/>
          <w:szCs w:val="20"/>
        </w:rPr>
        <w:t>m</w:t>
      </w:r>
      <w:r w:rsidRPr="00C80B81">
        <w:rPr>
          <w:rFonts w:cs="Arial"/>
          <w:szCs w:val="20"/>
        </w:rPr>
        <w:t xml:space="preserve"> strateški</w:t>
      </w:r>
      <w:r w:rsidR="000F5AB2">
        <w:rPr>
          <w:rFonts w:cs="Arial"/>
          <w:szCs w:val="20"/>
        </w:rPr>
        <w:t>m</w:t>
      </w:r>
      <w:r w:rsidRPr="00C80B81">
        <w:rPr>
          <w:rFonts w:cs="Arial"/>
          <w:szCs w:val="20"/>
        </w:rPr>
        <w:t xml:space="preserve"> načrt</w:t>
      </w:r>
      <w:r w:rsidR="000F5AB2">
        <w:rPr>
          <w:rFonts w:cs="Arial"/>
          <w:szCs w:val="20"/>
        </w:rPr>
        <w:t>om</w:t>
      </w:r>
      <w:r w:rsidRPr="00C80B81">
        <w:rPr>
          <w:rFonts w:cs="Arial"/>
          <w:szCs w:val="20"/>
        </w:rPr>
        <w:t xml:space="preserve"> za digitalno desetletje, Slovensko industrijsko strategijo 2021–2030, Slovensko strategijo pametne specializacije, Program</w:t>
      </w:r>
      <w:r w:rsidR="000F5AB2">
        <w:rPr>
          <w:rFonts w:cs="Arial"/>
          <w:szCs w:val="20"/>
        </w:rPr>
        <w:t>om</w:t>
      </w:r>
      <w:r w:rsidRPr="00C80B81">
        <w:rPr>
          <w:rFonts w:cs="Arial"/>
          <w:szCs w:val="20"/>
        </w:rPr>
        <w:t xml:space="preserve"> razvoja čipov in polprevodniških tehnologij v Sloveniji do leta 2030 in Strategijo Digitalna Slovenija 2030.</w:t>
      </w:r>
      <w:r w:rsidR="00962D85">
        <w:rPr>
          <w:rFonts w:cs="Arial"/>
          <w:szCs w:val="20"/>
        </w:rPr>
        <w:t xml:space="preserve"> </w:t>
      </w:r>
    </w:p>
    <w:p w14:paraId="7B9B41A9" w14:textId="77777777" w:rsidR="00242239" w:rsidRDefault="00242239" w:rsidP="00962D85">
      <w:pPr>
        <w:spacing w:line="240" w:lineRule="auto"/>
        <w:jc w:val="both"/>
        <w:rPr>
          <w:rFonts w:cs="Arial"/>
          <w:szCs w:val="20"/>
        </w:rPr>
      </w:pPr>
    </w:p>
    <w:p w14:paraId="7B899F39" w14:textId="273085E1" w:rsidR="00242239" w:rsidRDefault="000F5AB2" w:rsidP="00962D85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 nadaljevanju je p</w:t>
      </w:r>
      <w:r w:rsidR="00242239">
        <w:rPr>
          <w:rFonts w:cs="Arial"/>
          <w:szCs w:val="20"/>
        </w:rPr>
        <w:t xml:space="preserve">rikazan </w:t>
      </w:r>
      <w:r w:rsidR="00C80B81" w:rsidRPr="00386E05">
        <w:rPr>
          <w:rFonts w:cs="Arial"/>
          <w:szCs w:val="20"/>
        </w:rPr>
        <w:t xml:space="preserve">strateški pomen vključevanja </w:t>
      </w:r>
      <w:r w:rsidR="00C80B81">
        <w:rPr>
          <w:rFonts w:cs="Arial"/>
          <w:szCs w:val="20"/>
        </w:rPr>
        <w:t xml:space="preserve">Slovenije </w:t>
      </w:r>
      <w:r w:rsidR="00C80B81" w:rsidRPr="00386E05">
        <w:rPr>
          <w:rFonts w:cs="Arial"/>
          <w:szCs w:val="20"/>
        </w:rPr>
        <w:t xml:space="preserve">v </w:t>
      </w:r>
      <w:r w:rsidR="00C80B81">
        <w:rPr>
          <w:rFonts w:cs="Arial"/>
          <w:szCs w:val="20"/>
        </w:rPr>
        <w:t>evropske</w:t>
      </w:r>
      <w:r w:rsidR="00C80B81" w:rsidRPr="00386E05">
        <w:rPr>
          <w:rFonts w:cs="Arial"/>
          <w:szCs w:val="20"/>
        </w:rPr>
        <w:t xml:space="preserve"> pobude</w:t>
      </w:r>
      <w:r w:rsidR="00C80B81">
        <w:rPr>
          <w:rFonts w:cs="Arial"/>
          <w:szCs w:val="20"/>
        </w:rPr>
        <w:t xml:space="preserve"> </w:t>
      </w:r>
      <w:r w:rsidR="00195733">
        <w:rPr>
          <w:rFonts w:cs="Arial"/>
          <w:szCs w:val="20"/>
        </w:rPr>
        <w:t>(</w:t>
      </w:r>
      <w:r w:rsidR="00C80B81" w:rsidRPr="00386E05">
        <w:rPr>
          <w:rFonts w:cs="Arial"/>
          <w:i/>
          <w:iCs/>
          <w:szCs w:val="20"/>
        </w:rPr>
        <w:t>Quantum Flagship</w:t>
      </w:r>
      <w:r w:rsidR="00C80B81" w:rsidRPr="00386E05">
        <w:rPr>
          <w:rFonts w:cs="Arial"/>
          <w:szCs w:val="20"/>
        </w:rPr>
        <w:t xml:space="preserve">, </w:t>
      </w:r>
      <w:r w:rsidR="00C80B81" w:rsidRPr="00386E05">
        <w:rPr>
          <w:rFonts w:cs="Arial"/>
          <w:i/>
          <w:iCs/>
          <w:szCs w:val="20"/>
        </w:rPr>
        <w:t>EuroQCI</w:t>
      </w:r>
      <w:r w:rsidR="00C80B81" w:rsidRPr="00386E05">
        <w:rPr>
          <w:rFonts w:cs="Arial"/>
          <w:szCs w:val="20"/>
        </w:rPr>
        <w:t xml:space="preserve">, </w:t>
      </w:r>
      <w:r w:rsidR="00C80B81" w:rsidRPr="00386E05">
        <w:rPr>
          <w:rFonts w:cs="Arial"/>
          <w:i/>
          <w:iCs/>
          <w:szCs w:val="20"/>
        </w:rPr>
        <w:t>QuantERA</w:t>
      </w:r>
      <w:r w:rsidR="00C80B81" w:rsidRPr="00386E05">
        <w:rPr>
          <w:rFonts w:cs="Arial"/>
          <w:szCs w:val="20"/>
        </w:rPr>
        <w:t xml:space="preserve">, </w:t>
      </w:r>
      <w:proofErr w:type="spellStart"/>
      <w:r w:rsidR="00C80B81" w:rsidRPr="00386E05">
        <w:rPr>
          <w:rFonts w:cs="Arial"/>
          <w:i/>
          <w:iCs/>
          <w:szCs w:val="20"/>
        </w:rPr>
        <w:t>QuIC</w:t>
      </w:r>
      <w:proofErr w:type="spellEnd"/>
      <w:r w:rsidR="00195733">
        <w:rPr>
          <w:rFonts w:cs="Arial"/>
          <w:i/>
          <w:iCs/>
          <w:szCs w:val="20"/>
        </w:rPr>
        <w:t>, idr.),</w:t>
      </w:r>
      <w:r w:rsidR="00C80B81">
        <w:rPr>
          <w:rFonts w:cs="Arial"/>
          <w:i/>
          <w:iCs/>
          <w:szCs w:val="20"/>
        </w:rPr>
        <w:t xml:space="preserve"> </w:t>
      </w:r>
      <w:r w:rsidR="00195733">
        <w:rPr>
          <w:rFonts w:cs="Arial"/>
          <w:szCs w:val="20"/>
        </w:rPr>
        <w:t>pridružitev</w:t>
      </w:r>
      <w:r w:rsidR="00C80B81" w:rsidRPr="00962D85">
        <w:rPr>
          <w:rFonts w:cs="Arial"/>
          <w:szCs w:val="20"/>
        </w:rPr>
        <w:t xml:space="preserve"> Evropsk</w:t>
      </w:r>
      <w:r w:rsidR="00195733">
        <w:rPr>
          <w:rFonts w:cs="Arial"/>
          <w:szCs w:val="20"/>
        </w:rPr>
        <w:t>i</w:t>
      </w:r>
      <w:r w:rsidR="00C80B81" w:rsidRPr="00962D85">
        <w:rPr>
          <w:rFonts w:cs="Arial"/>
          <w:szCs w:val="20"/>
        </w:rPr>
        <w:t xml:space="preserve"> deklaracij</w:t>
      </w:r>
      <w:r w:rsidR="00195733">
        <w:rPr>
          <w:rFonts w:cs="Arial"/>
          <w:szCs w:val="20"/>
        </w:rPr>
        <w:t>i</w:t>
      </w:r>
      <w:r w:rsidR="00C80B81" w:rsidRPr="00962D85">
        <w:rPr>
          <w:rFonts w:cs="Arial"/>
          <w:szCs w:val="20"/>
        </w:rPr>
        <w:t xml:space="preserve"> o kvantnih tehnologijah in sodelovanj</w:t>
      </w:r>
      <w:r w:rsidR="00195733">
        <w:rPr>
          <w:rFonts w:cs="Arial"/>
          <w:szCs w:val="20"/>
        </w:rPr>
        <w:t>e</w:t>
      </w:r>
      <w:r w:rsidR="00C80B81" w:rsidRPr="00962D85">
        <w:rPr>
          <w:rFonts w:cs="Arial"/>
          <w:szCs w:val="20"/>
        </w:rPr>
        <w:t xml:space="preserve"> v Koordinacijski skupini za kvantne tehnologije EU, katere predlagani </w:t>
      </w:r>
      <w:r w:rsidR="00C80B81" w:rsidRPr="00962D85">
        <w:rPr>
          <w:rFonts w:eastAsia="Arial" w:cs="Arial"/>
          <w:szCs w:val="20"/>
        </w:rPr>
        <w:t>ukrepi bodo prispevali tudi k uresničitvi Programa politike digitalnega desetletja</w:t>
      </w:r>
      <w:r w:rsidR="00C80B81">
        <w:rPr>
          <w:rFonts w:cs="Arial"/>
          <w:i/>
          <w:iCs/>
          <w:szCs w:val="20"/>
        </w:rPr>
        <w:t>.</w:t>
      </w:r>
      <w:r w:rsidR="00962D85">
        <w:rPr>
          <w:rFonts w:cs="Arial"/>
          <w:szCs w:val="20"/>
        </w:rPr>
        <w:t xml:space="preserve"> Strategija se navezuje tudi na Evropsko kvantno strategijo,</w:t>
      </w:r>
      <w:r>
        <w:rPr>
          <w:rFonts w:cs="Arial"/>
          <w:szCs w:val="20"/>
        </w:rPr>
        <w:t xml:space="preserve"> ki jo je Evropska komisija predstavila 02. 07. 2025, </w:t>
      </w:r>
      <w:r w:rsidR="00962D85">
        <w:rPr>
          <w:rFonts w:cs="Arial"/>
          <w:szCs w:val="20"/>
        </w:rPr>
        <w:t xml:space="preserve"> sledi</w:t>
      </w:r>
      <w:r>
        <w:rPr>
          <w:rFonts w:cs="Arial"/>
          <w:szCs w:val="20"/>
        </w:rPr>
        <w:t xml:space="preserve"> pa ji</w:t>
      </w:r>
      <w:r w:rsidR="00962D85">
        <w:rPr>
          <w:rFonts w:cs="Arial"/>
          <w:szCs w:val="20"/>
        </w:rPr>
        <w:t xml:space="preserve"> priprava Kvantnega akta v letu 2026</w:t>
      </w:r>
      <w:r>
        <w:rPr>
          <w:rFonts w:cs="Arial"/>
          <w:szCs w:val="20"/>
        </w:rPr>
        <w:t>.</w:t>
      </w:r>
      <w:r w:rsidR="00962D8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Del </w:t>
      </w:r>
      <w:r w:rsidR="00962D85">
        <w:rPr>
          <w:rFonts w:cs="Arial"/>
          <w:szCs w:val="20"/>
        </w:rPr>
        <w:t xml:space="preserve">se zaključi z obrambnimi in varnostnimi vidiki ter </w:t>
      </w:r>
      <w:r w:rsidR="00195733">
        <w:rPr>
          <w:rFonts w:cs="Arial"/>
          <w:szCs w:val="20"/>
        </w:rPr>
        <w:t xml:space="preserve">vpeljavo možnosti </w:t>
      </w:r>
      <w:r w:rsidR="00962D85">
        <w:rPr>
          <w:rFonts w:cs="Arial"/>
          <w:szCs w:val="20"/>
        </w:rPr>
        <w:t>dvojn</w:t>
      </w:r>
      <w:r w:rsidR="00195733">
        <w:rPr>
          <w:rFonts w:cs="Arial"/>
          <w:szCs w:val="20"/>
        </w:rPr>
        <w:t>e</w:t>
      </w:r>
      <w:r w:rsidR="00962D85">
        <w:rPr>
          <w:rFonts w:cs="Arial"/>
          <w:szCs w:val="20"/>
        </w:rPr>
        <w:t xml:space="preserve"> rab</w:t>
      </w:r>
      <w:r w:rsidR="00195733">
        <w:rPr>
          <w:rFonts w:cs="Arial"/>
          <w:szCs w:val="20"/>
        </w:rPr>
        <w:t>e kvantnih tehnologij</w:t>
      </w:r>
      <w:r w:rsidR="00962D85">
        <w:rPr>
          <w:rFonts w:cs="Arial"/>
          <w:szCs w:val="20"/>
        </w:rPr>
        <w:t xml:space="preserve">. </w:t>
      </w:r>
    </w:p>
    <w:p w14:paraId="5CFE6BD7" w14:textId="77777777" w:rsidR="00242239" w:rsidRDefault="00242239" w:rsidP="00962D85">
      <w:pPr>
        <w:spacing w:line="240" w:lineRule="auto"/>
        <w:jc w:val="both"/>
        <w:rPr>
          <w:rFonts w:cs="Arial"/>
          <w:szCs w:val="20"/>
        </w:rPr>
      </w:pPr>
    </w:p>
    <w:p w14:paraId="2C32CEC0" w14:textId="4CD0DDCD" w:rsidR="00962D85" w:rsidRPr="00962D85" w:rsidRDefault="000F5AB2" w:rsidP="00962D85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V sklepu p</w:t>
      </w:r>
      <w:r w:rsidR="00962D85">
        <w:rPr>
          <w:rFonts w:cs="Arial"/>
          <w:szCs w:val="20"/>
        </w:rPr>
        <w:t xml:space="preserve">oglavje izpostavlja </w:t>
      </w:r>
      <w:r w:rsidR="00386E05" w:rsidRPr="00386E05">
        <w:rPr>
          <w:rFonts w:cs="Arial"/>
          <w:szCs w:val="20"/>
        </w:rPr>
        <w:t xml:space="preserve">obstoječe raziskovalne zmogljivosti v Sloveniji </w:t>
      </w:r>
      <w:r w:rsidR="00962D85">
        <w:rPr>
          <w:rFonts w:cs="Arial"/>
          <w:szCs w:val="20"/>
        </w:rPr>
        <w:t xml:space="preserve">in </w:t>
      </w:r>
      <w:r w:rsidR="00386E05" w:rsidRPr="00386E05">
        <w:rPr>
          <w:rFonts w:cs="Arial"/>
          <w:szCs w:val="20"/>
        </w:rPr>
        <w:t>sodelovanje z industrijo</w:t>
      </w:r>
      <w:r w:rsidR="00962D85">
        <w:rPr>
          <w:rFonts w:cs="Arial"/>
          <w:szCs w:val="20"/>
        </w:rPr>
        <w:t xml:space="preserve">, kar dokazuje odlično nacionalno </w:t>
      </w:r>
      <w:r w:rsidR="00962D85" w:rsidRPr="00C71573">
        <w:rPr>
          <w:rFonts w:cs="Arial"/>
          <w:color w:val="000000"/>
          <w:szCs w:val="20"/>
        </w:rPr>
        <w:t xml:space="preserve">teoretično in eksperimentalno znanstveno-raziskovalno izhodišče za razvoj </w:t>
      </w:r>
      <w:r>
        <w:rPr>
          <w:rFonts w:cs="Arial"/>
          <w:color w:val="000000"/>
          <w:szCs w:val="20"/>
        </w:rPr>
        <w:t>QT v Slovenija in izhodišče za pripravo predloga Strategije</w:t>
      </w:r>
      <w:r w:rsidR="00962D85">
        <w:rPr>
          <w:rFonts w:cs="Arial"/>
          <w:color w:val="000000"/>
          <w:szCs w:val="20"/>
        </w:rPr>
        <w:t xml:space="preserve">. </w:t>
      </w:r>
    </w:p>
    <w:p w14:paraId="679EAF76" w14:textId="77777777" w:rsidR="00962D85" w:rsidRPr="00386E05" w:rsidRDefault="00962D85" w:rsidP="00962D85">
      <w:pPr>
        <w:tabs>
          <w:tab w:val="num" w:pos="720"/>
        </w:tabs>
        <w:spacing w:line="240" w:lineRule="auto"/>
        <w:rPr>
          <w:rFonts w:cs="Arial"/>
          <w:szCs w:val="20"/>
        </w:rPr>
      </w:pPr>
    </w:p>
    <w:p w14:paraId="40BEBE7E" w14:textId="709EC1AF" w:rsidR="00962D85" w:rsidRPr="004D69F7" w:rsidRDefault="00386E05" w:rsidP="00962D85">
      <w:pPr>
        <w:pStyle w:val="Odstavekseznama"/>
        <w:numPr>
          <w:ilvl w:val="0"/>
          <w:numId w:val="26"/>
        </w:numPr>
        <w:spacing w:line="240" w:lineRule="auto"/>
        <w:rPr>
          <w:rFonts w:cs="Arial"/>
          <w:i/>
          <w:iCs/>
          <w:szCs w:val="20"/>
          <w:u w:val="single"/>
        </w:rPr>
      </w:pPr>
      <w:r w:rsidRPr="004D69F7">
        <w:rPr>
          <w:rFonts w:cs="Arial"/>
          <w:i/>
          <w:iCs/>
          <w:szCs w:val="20"/>
          <w:u w:val="single"/>
        </w:rPr>
        <w:t xml:space="preserve">Ključni razvojni cilji </w:t>
      </w:r>
    </w:p>
    <w:p w14:paraId="4CBAB1D7" w14:textId="77777777" w:rsidR="00242239" w:rsidRPr="00242239" w:rsidRDefault="00242239" w:rsidP="00242239">
      <w:pPr>
        <w:pStyle w:val="Odstavekseznama"/>
        <w:spacing w:line="240" w:lineRule="auto"/>
        <w:rPr>
          <w:rFonts w:cs="Arial"/>
          <w:szCs w:val="20"/>
          <w:u w:val="single"/>
        </w:rPr>
      </w:pPr>
    </w:p>
    <w:p w14:paraId="2BF2491D" w14:textId="6B9E8CD2" w:rsidR="00386E05" w:rsidRDefault="00386E05" w:rsidP="00962D85">
      <w:pPr>
        <w:spacing w:line="240" w:lineRule="auto"/>
        <w:rPr>
          <w:rFonts w:cs="Arial"/>
          <w:szCs w:val="20"/>
        </w:rPr>
      </w:pPr>
      <w:r w:rsidRPr="00962D85">
        <w:rPr>
          <w:rFonts w:cs="Arial"/>
          <w:szCs w:val="20"/>
        </w:rPr>
        <w:t>Strategija opredeljuje šest medsebojno povezanih razvojnih ciljev:</w:t>
      </w:r>
    </w:p>
    <w:p w14:paraId="59E46508" w14:textId="77777777" w:rsidR="000F5AB2" w:rsidRPr="00962D85" w:rsidRDefault="000F5AB2" w:rsidP="00962D85">
      <w:pPr>
        <w:spacing w:line="240" w:lineRule="auto"/>
        <w:rPr>
          <w:rFonts w:cs="Arial"/>
          <w:szCs w:val="20"/>
        </w:rPr>
      </w:pPr>
    </w:p>
    <w:p w14:paraId="33291521" w14:textId="5DF683D4" w:rsidR="00962D85" w:rsidRPr="00056D23" w:rsidRDefault="00962D85" w:rsidP="00962D85">
      <w:pPr>
        <w:pStyle w:val="Odstavekseznama"/>
        <w:numPr>
          <w:ilvl w:val="0"/>
          <w:numId w:val="32"/>
        </w:numPr>
        <w:spacing w:line="240" w:lineRule="auto"/>
        <w:ind w:left="357" w:hanging="357"/>
        <w:jc w:val="both"/>
        <w:rPr>
          <w:rFonts w:cs="Arial"/>
          <w:szCs w:val="20"/>
        </w:rPr>
      </w:pPr>
      <w:r w:rsidRPr="00056D23">
        <w:rPr>
          <w:rFonts w:cs="Arial"/>
          <w:szCs w:val="20"/>
        </w:rPr>
        <w:t>Spodbujanje napredka na področju kvantne znanosti, razvoja raziskav in inovacij</w:t>
      </w:r>
      <w:r>
        <w:rPr>
          <w:rFonts w:cs="Arial"/>
          <w:szCs w:val="20"/>
        </w:rPr>
        <w:t>;</w:t>
      </w:r>
    </w:p>
    <w:p w14:paraId="3ABDEB3C" w14:textId="1E87C84C" w:rsidR="00962D85" w:rsidRDefault="00962D85" w:rsidP="00962D85">
      <w:pPr>
        <w:numPr>
          <w:ilvl w:val="0"/>
          <w:numId w:val="32"/>
        </w:numPr>
        <w:spacing w:line="240" w:lineRule="auto"/>
        <w:ind w:left="357" w:hanging="357"/>
        <w:rPr>
          <w:rFonts w:cs="Arial"/>
          <w:szCs w:val="20"/>
        </w:rPr>
      </w:pPr>
      <w:r w:rsidRPr="00056D23">
        <w:rPr>
          <w:rFonts w:cs="Arial"/>
          <w:szCs w:val="20"/>
        </w:rPr>
        <w:t>Vzpostavitev povezane kvantne skupnosti v obliki ekosistema</w:t>
      </w:r>
      <w:r>
        <w:rPr>
          <w:rFonts w:cs="Arial"/>
          <w:szCs w:val="20"/>
        </w:rPr>
        <w:t>;</w:t>
      </w:r>
    </w:p>
    <w:p w14:paraId="16197D08" w14:textId="4ACCBFDC" w:rsidR="00386E05" w:rsidRPr="00386E05" w:rsidRDefault="00962D85" w:rsidP="00962D85">
      <w:pPr>
        <w:numPr>
          <w:ilvl w:val="0"/>
          <w:numId w:val="32"/>
        </w:numPr>
        <w:spacing w:line="240" w:lineRule="auto"/>
        <w:ind w:left="357" w:hanging="357"/>
        <w:rPr>
          <w:rFonts w:cs="Arial"/>
          <w:szCs w:val="20"/>
        </w:rPr>
      </w:pPr>
      <w:r w:rsidRPr="00056D23">
        <w:rPr>
          <w:rFonts w:cs="Arial"/>
          <w:szCs w:val="20"/>
        </w:rPr>
        <w:t>Podpiranje izobraževanja agilnih, inovativnih in visoko usposobljenih posameznikov na področju kvantne znanosti, inženiringa in tehnologije</w:t>
      </w:r>
      <w:r>
        <w:rPr>
          <w:rFonts w:cs="Arial"/>
          <w:szCs w:val="20"/>
        </w:rPr>
        <w:t>:</w:t>
      </w:r>
    </w:p>
    <w:p w14:paraId="3754A214" w14:textId="2CF02AA2" w:rsidR="00962D85" w:rsidRDefault="00962D85" w:rsidP="00962D85">
      <w:pPr>
        <w:numPr>
          <w:ilvl w:val="0"/>
          <w:numId w:val="32"/>
        </w:numPr>
        <w:spacing w:line="240" w:lineRule="auto"/>
        <w:ind w:left="357" w:hanging="357"/>
        <w:rPr>
          <w:rFonts w:cs="Arial"/>
          <w:szCs w:val="20"/>
        </w:rPr>
      </w:pPr>
      <w:r w:rsidRPr="00056D23">
        <w:rPr>
          <w:rFonts w:cs="Arial"/>
          <w:szCs w:val="20"/>
        </w:rPr>
        <w:t>Krepitev obstoječih infrastrukturnih zmogljivosti ter zagotavljanje sredstev za investicije v novo, zmogljivejšo infrastrukturo</w:t>
      </w:r>
      <w:r>
        <w:rPr>
          <w:rFonts w:cs="Arial"/>
          <w:szCs w:val="20"/>
        </w:rPr>
        <w:t>;</w:t>
      </w:r>
    </w:p>
    <w:p w14:paraId="19BAF88B" w14:textId="56AC13F7" w:rsidR="00962D85" w:rsidRDefault="00962D85" w:rsidP="00962D85">
      <w:pPr>
        <w:numPr>
          <w:ilvl w:val="0"/>
          <w:numId w:val="32"/>
        </w:numPr>
        <w:spacing w:line="240" w:lineRule="auto"/>
        <w:ind w:left="357" w:hanging="357"/>
        <w:rPr>
          <w:rFonts w:cs="Arial"/>
          <w:szCs w:val="20"/>
        </w:rPr>
      </w:pPr>
      <w:r w:rsidRPr="00056D23">
        <w:rPr>
          <w:rFonts w:cs="Arial"/>
          <w:szCs w:val="20"/>
        </w:rPr>
        <w:t>Pospeševanje prehoda QT iz raziskovalne faze v industrijsko uporabo</w:t>
      </w:r>
      <w:r>
        <w:rPr>
          <w:rFonts w:cs="Arial"/>
          <w:szCs w:val="20"/>
        </w:rPr>
        <w:t xml:space="preserve"> preko prenosa znanja;</w:t>
      </w:r>
    </w:p>
    <w:p w14:paraId="2815A1AF" w14:textId="77777777" w:rsidR="00962D85" w:rsidRDefault="00962D85" w:rsidP="00962D85">
      <w:pPr>
        <w:numPr>
          <w:ilvl w:val="0"/>
          <w:numId w:val="32"/>
        </w:numPr>
        <w:spacing w:line="240" w:lineRule="auto"/>
        <w:ind w:left="357" w:hanging="357"/>
        <w:rPr>
          <w:rFonts w:cs="Arial"/>
          <w:szCs w:val="20"/>
        </w:rPr>
      </w:pPr>
      <w:r w:rsidRPr="00056D23">
        <w:rPr>
          <w:rFonts w:cs="Arial"/>
          <w:szCs w:val="20"/>
        </w:rPr>
        <w:t xml:space="preserve">Spodbujanje inovacij, podjetništva in gospodarske konkurenčnosti </w:t>
      </w:r>
      <w:r>
        <w:rPr>
          <w:rFonts w:cs="Arial"/>
          <w:szCs w:val="20"/>
        </w:rPr>
        <w:t xml:space="preserve">s povečevanjem </w:t>
      </w:r>
      <w:r w:rsidRPr="00056D23">
        <w:rPr>
          <w:rFonts w:cs="Arial"/>
          <w:szCs w:val="20"/>
        </w:rPr>
        <w:t>zavedanj</w:t>
      </w:r>
      <w:r>
        <w:rPr>
          <w:rFonts w:cs="Arial"/>
          <w:szCs w:val="20"/>
        </w:rPr>
        <w:t>a</w:t>
      </w:r>
      <w:r w:rsidRPr="00056D23">
        <w:rPr>
          <w:rFonts w:cs="Arial"/>
          <w:szCs w:val="20"/>
        </w:rPr>
        <w:t xml:space="preserve"> in razumevanj</w:t>
      </w:r>
      <w:r>
        <w:rPr>
          <w:rFonts w:cs="Arial"/>
          <w:szCs w:val="20"/>
        </w:rPr>
        <w:t xml:space="preserve">a QT. </w:t>
      </w:r>
    </w:p>
    <w:p w14:paraId="621547C3" w14:textId="77777777" w:rsidR="00962D85" w:rsidRDefault="00962D85" w:rsidP="00962D85">
      <w:pPr>
        <w:spacing w:line="240" w:lineRule="auto"/>
        <w:rPr>
          <w:rFonts w:cs="Arial"/>
          <w:szCs w:val="20"/>
        </w:rPr>
      </w:pPr>
    </w:p>
    <w:p w14:paraId="2D755D4A" w14:textId="77777777" w:rsidR="009F0F48" w:rsidRPr="004D69F7" w:rsidRDefault="00386E05" w:rsidP="009F0F48">
      <w:pPr>
        <w:pStyle w:val="Odstavekseznama"/>
        <w:numPr>
          <w:ilvl w:val="1"/>
          <w:numId w:val="32"/>
        </w:numPr>
        <w:spacing w:line="240" w:lineRule="auto"/>
        <w:ind w:left="714" w:hanging="357"/>
        <w:rPr>
          <w:rFonts w:cs="Arial"/>
          <w:i/>
          <w:iCs/>
          <w:szCs w:val="20"/>
          <w:u w:val="single"/>
        </w:rPr>
      </w:pPr>
      <w:r w:rsidRPr="004D69F7">
        <w:rPr>
          <w:rFonts w:cs="Arial"/>
          <w:i/>
          <w:iCs/>
          <w:szCs w:val="20"/>
          <w:u w:val="single"/>
        </w:rPr>
        <w:t>Ključna razvojna področja in ukrep</w:t>
      </w:r>
      <w:r w:rsidR="009F0F48" w:rsidRPr="004D69F7">
        <w:rPr>
          <w:rFonts w:cs="Arial"/>
          <w:i/>
          <w:iCs/>
          <w:szCs w:val="20"/>
          <w:u w:val="single"/>
        </w:rPr>
        <w:t>i</w:t>
      </w:r>
    </w:p>
    <w:p w14:paraId="4D07BF35" w14:textId="77777777" w:rsidR="00242239" w:rsidRPr="00242239" w:rsidRDefault="00242239" w:rsidP="00242239">
      <w:pPr>
        <w:pStyle w:val="Odstavekseznama"/>
        <w:spacing w:line="240" w:lineRule="auto"/>
        <w:ind w:left="714"/>
        <w:rPr>
          <w:rFonts w:cs="Arial"/>
          <w:szCs w:val="20"/>
          <w:u w:val="single"/>
        </w:rPr>
      </w:pPr>
    </w:p>
    <w:p w14:paraId="6C13BFC4" w14:textId="09AC0229" w:rsidR="009C61B6" w:rsidRDefault="009F0F48" w:rsidP="009F0F48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Poglavje predstavlja osrednji del strategije. Navaja </w:t>
      </w:r>
      <w:r w:rsidRPr="009F0F48">
        <w:rPr>
          <w:rFonts w:cs="Arial"/>
          <w:szCs w:val="20"/>
        </w:rPr>
        <w:t>ključna razvojna področja</w:t>
      </w:r>
      <w:r>
        <w:rPr>
          <w:rFonts w:cs="Arial"/>
          <w:szCs w:val="20"/>
        </w:rPr>
        <w:t xml:space="preserve"> s specifični cilji in predvidenimi rezultati</w:t>
      </w:r>
      <w:r w:rsidRPr="009F0F48">
        <w:rPr>
          <w:rFonts w:cs="Arial"/>
          <w:szCs w:val="20"/>
        </w:rPr>
        <w:t xml:space="preserve">, znotraj katerih se umeščajo ukrepi, ki zagotavljajo ali podpirajo uresničevanje navedenih ciljev. Zaradi večplastnosti in prepletanja področja QT z drugimi področji je nabor ukrepov raznolik in prilagojen specifičnim potrebam njihovega razvoja in uporabe. </w:t>
      </w:r>
      <w:r w:rsidRPr="00056D23">
        <w:rPr>
          <w:rFonts w:cs="Arial"/>
          <w:szCs w:val="20"/>
        </w:rPr>
        <w:t xml:space="preserve">Pri tem </w:t>
      </w:r>
      <w:r>
        <w:rPr>
          <w:rFonts w:cs="Arial"/>
          <w:szCs w:val="20"/>
        </w:rPr>
        <w:t xml:space="preserve">se </w:t>
      </w:r>
      <w:r w:rsidRPr="009F0F48">
        <w:rPr>
          <w:rFonts w:cs="Arial"/>
          <w:szCs w:val="20"/>
        </w:rPr>
        <w:t>ločijo neposredn</w:t>
      </w:r>
      <w:r w:rsidR="00740F95">
        <w:rPr>
          <w:rFonts w:cs="Arial"/>
          <w:szCs w:val="20"/>
        </w:rPr>
        <w:t>i</w:t>
      </w:r>
      <w:r w:rsidRPr="009F0F48">
        <w:rPr>
          <w:rFonts w:cs="Arial"/>
          <w:szCs w:val="20"/>
        </w:rPr>
        <w:t xml:space="preserve"> ukrep</w:t>
      </w:r>
      <w:r w:rsidR="00740F95">
        <w:rPr>
          <w:rFonts w:cs="Arial"/>
          <w:szCs w:val="20"/>
        </w:rPr>
        <w:t>i</w:t>
      </w:r>
      <w:r w:rsidRPr="009F0F48">
        <w:rPr>
          <w:rFonts w:cs="Arial"/>
          <w:szCs w:val="20"/>
        </w:rPr>
        <w:t xml:space="preserve"> ter horizontaln</w:t>
      </w:r>
      <w:r w:rsidR="00740F95">
        <w:rPr>
          <w:rFonts w:cs="Arial"/>
          <w:szCs w:val="20"/>
        </w:rPr>
        <w:t>i</w:t>
      </w:r>
      <w:r w:rsidRPr="009F0F48">
        <w:rPr>
          <w:rFonts w:cs="Arial"/>
          <w:szCs w:val="20"/>
        </w:rPr>
        <w:t xml:space="preserve"> instrument</w:t>
      </w:r>
      <w:r w:rsidR="00740F95">
        <w:rPr>
          <w:rFonts w:cs="Arial"/>
          <w:szCs w:val="20"/>
        </w:rPr>
        <w:t>i</w:t>
      </w:r>
      <w:r w:rsidRPr="009F0F48">
        <w:rPr>
          <w:rFonts w:cs="Arial"/>
          <w:szCs w:val="20"/>
        </w:rPr>
        <w:t xml:space="preserve"> financiranja</w:t>
      </w:r>
      <w:r>
        <w:rPr>
          <w:rFonts w:cs="Arial"/>
          <w:szCs w:val="20"/>
        </w:rPr>
        <w:t>.</w:t>
      </w:r>
      <w:r w:rsidRPr="00056D23">
        <w:rPr>
          <w:rFonts w:cs="Arial"/>
          <w:szCs w:val="20"/>
        </w:rPr>
        <w:t xml:space="preserve"> </w:t>
      </w:r>
    </w:p>
    <w:p w14:paraId="30E5E692" w14:textId="77777777" w:rsidR="009C61B6" w:rsidRDefault="009C61B6" w:rsidP="009F0F48">
      <w:pPr>
        <w:spacing w:line="240" w:lineRule="auto"/>
        <w:jc w:val="both"/>
        <w:rPr>
          <w:rFonts w:cs="Arial"/>
          <w:szCs w:val="20"/>
        </w:rPr>
      </w:pPr>
    </w:p>
    <w:p w14:paraId="6FB6ABCD" w14:textId="7BA758AE" w:rsidR="009F0F48" w:rsidRDefault="009F0F48" w:rsidP="009F0F48">
      <w:pPr>
        <w:spacing w:line="240" w:lineRule="auto"/>
        <w:jc w:val="both"/>
        <w:rPr>
          <w:rFonts w:cs="Arial"/>
          <w:szCs w:val="20"/>
        </w:rPr>
      </w:pPr>
      <w:r w:rsidRPr="00056D23">
        <w:rPr>
          <w:rFonts w:cs="Arial"/>
          <w:szCs w:val="20"/>
        </w:rPr>
        <w:t>Neposredni ukrepi se nanašajo na konkretne mehanizme financiranja, programe ali projekte, ki imajo jasno določene vire financiranja, časovne okvire in pričakovane rezultate, kazalnike ter učinke.</w:t>
      </w:r>
      <w:r>
        <w:rPr>
          <w:rFonts w:cs="Arial"/>
          <w:szCs w:val="20"/>
        </w:rPr>
        <w:t xml:space="preserve"> Horizontalni instrumenti financiranja</w:t>
      </w:r>
      <w:r w:rsidRPr="00056D23">
        <w:rPr>
          <w:rFonts w:cs="Arial"/>
          <w:szCs w:val="20"/>
        </w:rPr>
        <w:t xml:space="preserve"> </w:t>
      </w:r>
      <w:bookmarkStart w:id="4" w:name="_Hlk202374835"/>
      <w:r w:rsidRPr="00056D23">
        <w:rPr>
          <w:rFonts w:cs="Arial"/>
          <w:szCs w:val="20"/>
        </w:rPr>
        <w:t xml:space="preserve">pa izpostavljajo nacionalne in skupne evropske sistemske spodbude ali strateške usmeritve, ki </w:t>
      </w:r>
      <w:r>
        <w:rPr>
          <w:rFonts w:cs="Arial"/>
          <w:szCs w:val="20"/>
        </w:rPr>
        <w:t xml:space="preserve">imajo pomembno podporno vlogo pri krepitvi priložnosti za razvoj področja </w:t>
      </w:r>
      <w:bookmarkEnd w:id="4"/>
      <w:r>
        <w:rPr>
          <w:rFonts w:cs="Arial"/>
          <w:szCs w:val="20"/>
        </w:rPr>
        <w:t>QT</w:t>
      </w:r>
      <w:r w:rsidRPr="00056D23">
        <w:rPr>
          <w:rFonts w:cs="Arial"/>
          <w:szCs w:val="20"/>
        </w:rPr>
        <w:t>, vendar vnaprej</w:t>
      </w:r>
      <w:r w:rsidR="00740F95">
        <w:rPr>
          <w:rFonts w:cs="Arial"/>
          <w:szCs w:val="20"/>
        </w:rPr>
        <w:t xml:space="preserve"> </w:t>
      </w:r>
      <w:r w:rsidR="00740F95" w:rsidRPr="00056D23">
        <w:rPr>
          <w:rFonts w:cs="Arial"/>
          <w:szCs w:val="20"/>
        </w:rPr>
        <w:t>ni mogoče</w:t>
      </w:r>
      <w:r w:rsidRPr="00056D23">
        <w:rPr>
          <w:rFonts w:cs="Arial"/>
          <w:szCs w:val="20"/>
        </w:rPr>
        <w:t xml:space="preserve"> določiti finančnega učinka oziroma je le-ta odvisen od različnih dejavnikov (razpoložljivost sredstev v vsakoletnem proračunu, uspešnost slovenskih prijaviteljev na razpisih, skupni evropski dejavniki</w:t>
      </w:r>
      <w:r>
        <w:rPr>
          <w:rFonts w:cs="Arial"/>
          <w:szCs w:val="20"/>
        </w:rPr>
        <w:t xml:space="preserve"> in vsakokratne politične smernice</w:t>
      </w:r>
      <w:r w:rsidRPr="00056D23">
        <w:rPr>
          <w:rFonts w:cs="Arial"/>
          <w:szCs w:val="20"/>
        </w:rPr>
        <w:t xml:space="preserve">, idr.). Takšna razmejitev omogoča boljše razumevanje različnih oblik podpore QT v času sprejemanja in kasnejše uresničevanje strategije. </w:t>
      </w:r>
    </w:p>
    <w:p w14:paraId="587869DA" w14:textId="77777777" w:rsidR="00242239" w:rsidRDefault="00242239" w:rsidP="009F0F48">
      <w:pPr>
        <w:spacing w:line="240" w:lineRule="auto"/>
        <w:jc w:val="both"/>
        <w:rPr>
          <w:rFonts w:eastAsia="Arial" w:cs="Arial"/>
          <w:szCs w:val="20"/>
        </w:rPr>
      </w:pPr>
    </w:p>
    <w:p w14:paraId="6FD10A20" w14:textId="084ABB10" w:rsidR="009F0F48" w:rsidRDefault="009F0F48" w:rsidP="009F0F48">
      <w:pPr>
        <w:spacing w:line="240" w:lineRule="auto"/>
        <w:jc w:val="both"/>
        <w:rPr>
          <w:rFonts w:eastAsia="Arial" w:cs="Arial"/>
          <w:szCs w:val="20"/>
        </w:rPr>
      </w:pPr>
      <w:r w:rsidRPr="00F5643F">
        <w:rPr>
          <w:rFonts w:eastAsia="Arial" w:cs="Arial"/>
          <w:szCs w:val="20"/>
        </w:rPr>
        <w:t>Strategija opredeljuje štiri ključna razvojna področja, znotraj katerih je umeščenih 13 neposrednih ukrepov, ki so</w:t>
      </w:r>
      <w:r w:rsidR="00740F95">
        <w:rPr>
          <w:rFonts w:eastAsia="Arial" w:cs="Arial"/>
          <w:szCs w:val="20"/>
        </w:rPr>
        <w:t xml:space="preserve"> prikazani tabelarno in so</w:t>
      </w:r>
      <w:r w:rsidRPr="00F5643F">
        <w:rPr>
          <w:rFonts w:eastAsia="Arial" w:cs="Arial"/>
          <w:szCs w:val="20"/>
        </w:rPr>
        <w:t xml:space="preserve"> jasno definirani z vidika ciljev, izvajalcev, časovnega okvira, kazalnikov in </w:t>
      </w:r>
      <w:r w:rsidR="003F3983">
        <w:rPr>
          <w:rFonts w:eastAsia="Arial" w:cs="Arial"/>
          <w:szCs w:val="20"/>
        </w:rPr>
        <w:t xml:space="preserve">obsega </w:t>
      </w:r>
      <w:r w:rsidRPr="00F5643F">
        <w:rPr>
          <w:rFonts w:eastAsia="Arial" w:cs="Arial"/>
          <w:szCs w:val="20"/>
        </w:rPr>
        <w:t>financiranja:</w:t>
      </w:r>
    </w:p>
    <w:p w14:paraId="48A1D824" w14:textId="77777777" w:rsidR="009F0F48" w:rsidRPr="00F5643F" w:rsidRDefault="009F0F48" w:rsidP="009F0F48">
      <w:pPr>
        <w:spacing w:line="240" w:lineRule="auto"/>
        <w:jc w:val="both"/>
        <w:rPr>
          <w:rFonts w:eastAsia="Arial" w:cs="Arial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97"/>
        <w:gridCol w:w="2962"/>
      </w:tblGrid>
      <w:tr w:rsidR="009F0F48" w:rsidRPr="00F5643F" w14:paraId="152722F1" w14:textId="77777777" w:rsidTr="00242239">
        <w:tc>
          <w:tcPr>
            <w:tcW w:w="0" w:type="auto"/>
            <w:hideMark/>
          </w:tcPr>
          <w:p w14:paraId="417E5E3E" w14:textId="77777777" w:rsidR="009F0F48" w:rsidRPr="00F5643F" w:rsidRDefault="009F0F48" w:rsidP="00E64596">
            <w:pPr>
              <w:spacing w:line="240" w:lineRule="auto"/>
              <w:jc w:val="both"/>
              <w:rPr>
                <w:rFonts w:eastAsia="Arial" w:cs="Arial"/>
                <w:b/>
                <w:bCs/>
                <w:szCs w:val="20"/>
              </w:rPr>
            </w:pPr>
            <w:r w:rsidRPr="00F5643F">
              <w:rPr>
                <w:rFonts w:eastAsia="Arial" w:cs="Arial"/>
                <w:b/>
                <w:bCs/>
                <w:szCs w:val="20"/>
              </w:rPr>
              <w:t>Razvojno področje</w:t>
            </w:r>
          </w:p>
        </w:tc>
        <w:tc>
          <w:tcPr>
            <w:tcW w:w="0" w:type="auto"/>
            <w:hideMark/>
          </w:tcPr>
          <w:p w14:paraId="27F24AAA" w14:textId="77777777" w:rsidR="009F0F48" w:rsidRPr="00F5643F" w:rsidRDefault="009F0F48" w:rsidP="00E64596">
            <w:pPr>
              <w:spacing w:line="240" w:lineRule="auto"/>
              <w:jc w:val="both"/>
              <w:rPr>
                <w:rFonts w:eastAsia="Arial" w:cs="Arial"/>
                <w:b/>
                <w:bCs/>
                <w:szCs w:val="20"/>
              </w:rPr>
            </w:pPr>
            <w:r w:rsidRPr="00F5643F">
              <w:rPr>
                <w:rFonts w:eastAsia="Arial" w:cs="Arial"/>
                <w:b/>
                <w:bCs/>
                <w:szCs w:val="20"/>
              </w:rPr>
              <w:t>Število neposrednih ukrepov</w:t>
            </w:r>
          </w:p>
        </w:tc>
      </w:tr>
      <w:tr w:rsidR="009F0F48" w:rsidRPr="00F5643F" w14:paraId="05B1CD1A" w14:textId="77777777" w:rsidTr="00242239">
        <w:tc>
          <w:tcPr>
            <w:tcW w:w="0" w:type="auto"/>
            <w:hideMark/>
          </w:tcPr>
          <w:p w14:paraId="19744075" w14:textId="77777777" w:rsidR="009F0F48" w:rsidRPr="00F5643F" w:rsidRDefault="009F0F48" w:rsidP="00E64596">
            <w:pPr>
              <w:spacing w:line="240" w:lineRule="auto"/>
              <w:jc w:val="both"/>
              <w:rPr>
                <w:rFonts w:eastAsia="Arial" w:cs="Arial"/>
                <w:szCs w:val="20"/>
              </w:rPr>
            </w:pPr>
            <w:r w:rsidRPr="00F5643F">
              <w:rPr>
                <w:rFonts w:eastAsia="Arial" w:cs="Arial"/>
                <w:szCs w:val="20"/>
              </w:rPr>
              <w:t>1. Raziskovalne, razvojne in inovacijske dejavnosti</w:t>
            </w:r>
          </w:p>
        </w:tc>
        <w:tc>
          <w:tcPr>
            <w:tcW w:w="0" w:type="auto"/>
            <w:hideMark/>
          </w:tcPr>
          <w:p w14:paraId="1BD9983B" w14:textId="77777777" w:rsidR="009F0F48" w:rsidRPr="00F5643F" w:rsidRDefault="009F0F48" w:rsidP="00E64596">
            <w:pPr>
              <w:spacing w:line="240" w:lineRule="auto"/>
              <w:jc w:val="both"/>
              <w:rPr>
                <w:rFonts w:eastAsia="Arial" w:cs="Arial"/>
                <w:szCs w:val="20"/>
              </w:rPr>
            </w:pPr>
            <w:r w:rsidRPr="00F5643F">
              <w:rPr>
                <w:rFonts w:eastAsia="Arial" w:cs="Arial"/>
                <w:szCs w:val="20"/>
              </w:rPr>
              <w:t>6</w:t>
            </w:r>
          </w:p>
        </w:tc>
      </w:tr>
      <w:tr w:rsidR="009F0F48" w:rsidRPr="00F5643F" w14:paraId="2581ADBB" w14:textId="77777777" w:rsidTr="00242239">
        <w:tc>
          <w:tcPr>
            <w:tcW w:w="0" w:type="auto"/>
            <w:hideMark/>
          </w:tcPr>
          <w:p w14:paraId="111624BB" w14:textId="77777777" w:rsidR="009F0F48" w:rsidRPr="00F5643F" w:rsidRDefault="009F0F48" w:rsidP="00E64596">
            <w:pPr>
              <w:spacing w:line="240" w:lineRule="auto"/>
              <w:jc w:val="both"/>
              <w:rPr>
                <w:rFonts w:eastAsia="Arial" w:cs="Arial"/>
                <w:szCs w:val="20"/>
              </w:rPr>
            </w:pPr>
            <w:r w:rsidRPr="00F5643F">
              <w:rPr>
                <w:rFonts w:eastAsia="Arial" w:cs="Arial"/>
                <w:szCs w:val="20"/>
              </w:rPr>
              <w:t>2. Infrastruktura</w:t>
            </w:r>
          </w:p>
        </w:tc>
        <w:tc>
          <w:tcPr>
            <w:tcW w:w="0" w:type="auto"/>
            <w:hideMark/>
          </w:tcPr>
          <w:p w14:paraId="198BDBF3" w14:textId="77777777" w:rsidR="009F0F48" w:rsidRPr="00F5643F" w:rsidRDefault="009F0F48" w:rsidP="00E64596">
            <w:pPr>
              <w:spacing w:line="240" w:lineRule="auto"/>
              <w:jc w:val="both"/>
              <w:rPr>
                <w:rFonts w:eastAsia="Arial" w:cs="Arial"/>
                <w:szCs w:val="20"/>
              </w:rPr>
            </w:pPr>
            <w:r w:rsidRPr="00F5643F">
              <w:rPr>
                <w:rFonts w:eastAsia="Arial" w:cs="Arial"/>
                <w:szCs w:val="20"/>
              </w:rPr>
              <w:t>4</w:t>
            </w:r>
          </w:p>
        </w:tc>
      </w:tr>
      <w:tr w:rsidR="009F0F48" w:rsidRPr="00F5643F" w14:paraId="7A9F7627" w14:textId="77777777" w:rsidTr="00242239">
        <w:tc>
          <w:tcPr>
            <w:tcW w:w="0" w:type="auto"/>
            <w:hideMark/>
          </w:tcPr>
          <w:p w14:paraId="7AF2981A" w14:textId="77777777" w:rsidR="009F0F48" w:rsidRPr="00F5643F" w:rsidRDefault="009F0F48" w:rsidP="00E64596">
            <w:pPr>
              <w:spacing w:line="240" w:lineRule="auto"/>
              <w:jc w:val="both"/>
              <w:rPr>
                <w:rFonts w:eastAsia="Arial" w:cs="Arial"/>
                <w:szCs w:val="20"/>
              </w:rPr>
            </w:pPr>
            <w:r w:rsidRPr="00F5643F">
              <w:rPr>
                <w:rFonts w:eastAsia="Arial" w:cs="Arial"/>
                <w:szCs w:val="20"/>
              </w:rPr>
              <w:t>3. Razvoj kadrov in talentov</w:t>
            </w:r>
          </w:p>
        </w:tc>
        <w:tc>
          <w:tcPr>
            <w:tcW w:w="0" w:type="auto"/>
            <w:hideMark/>
          </w:tcPr>
          <w:p w14:paraId="47C20DFD" w14:textId="77777777" w:rsidR="009F0F48" w:rsidRPr="00F5643F" w:rsidRDefault="009F0F48" w:rsidP="00E64596">
            <w:pPr>
              <w:spacing w:line="240" w:lineRule="auto"/>
              <w:jc w:val="both"/>
              <w:rPr>
                <w:rFonts w:eastAsia="Arial" w:cs="Arial"/>
                <w:szCs w:val="20"/>
              </w:rPr>
            </w:pPr>
            <w:r w:rsidRPr="00F5643F">
              <w:rPr>
                <w:rFonts w:eastAsia="Arial" w:cs="Arial"/>
                <w:szCs w:val="20"/>
              </w:rPr>
              <w:t>2</w:t>
            </w:r>
          </w:p>
        </w:tc>
      </w:tr>
      <w:tr w:rsidR="009F0F48" w:rsidRPr="00F5643F" w14:paraId="04CAD941" w14:textId="77777777" w:rsidTr="00242239">
        <w:tc>
          <w:tcPr>
            <w:tcW w:w="0" w:type="auto"/>
            <w:hideMark/>
          </w:tcPr>
          <w:p w14:paraId="5284AECD" w14:textId="77777777" w:rsidR="009F0F48" w:rsidRPr="00F5643F" w:rsidRDefault="009F0F48" w:rsidP="00E64596">
            <w:pPr>
              <w:spacing w:line="240" w:lineRule="auto"/>
              <w:jc w:val="both"/>
              <w:rPr>
                <w:rFonts w:eastAsia="Arial" w:cs="Arial"/>
                <w:szCs w:val="20"/>
              </w:rPr>
            </w:pPr>
            <w:r w:rsidRPr="00F5643F">
              <w:rPr>
                <w:rFonts w:eastAsia="Arial" w:cs="Arial"/>
                <w:szCs w:val="20"/>
              </w:rPr>
              <w:t>4. Komuniciranje in osveščanje ciljnih javnosti</w:t>
            </w:r>
          </w:p>
        </w:tc>
        <w:tc>
          <w:tcPr>
            <w:tcW w:w="0" w:type="auto"/>
            <w:hideMark/>
          </w:tcPr>
          <w:p w14:paraId="4732D965" w14:textId="77777777" w:rsidR="009F0F48" w:rsidRPr="00F5643F" w:rsidRDefault="009F0F48" w:rsidP="00E64596">
            <w:pPr>
              <w:spacing w:line="240" w:lineRule="auto"/>
              <w:jc w:val="both"/>
              <w:rPr>
                <w:rFonts w:eastAsia="Arial" w:cs="Arial"/>
                <w:szCs w:val="20"/>
              </w:rPr>
            </w:pPr>
            <w:r w:rsidRPr="00F5643F">
              <w:rPr>
                <w:rFonts w:eastAsia="Arial" w:cs="Arial"/>
                <w:szCs w:val="20"/>
              </w:rPr>
              <w:t>1</w:t>
            </w:r>
          </w:p>
        </w:tc>
      </w:tr>
    </w:tbl>
    <w:p w14:paraId="74FD32C1" w14:textId="77777777" w:rsidR="009F0F48" w:rsidRDefault="009F0F48" w:rsidP="009F0F48">
      <w:pPr>
        <w:spacing w:line="240" w:lineRule="auto"/>
        <w:jc w:val="both"/>
        <w:rPr>
          <w:rFonts w:eastAsia="Arial" w:cs="Arial"/>
          <w:szCs w:val="20"/>
        </w:rPr>
      </w:pPr>
    </w:p>
    <w:p w14:paraId="51C3FD95" w14:textId="3652E5C6" w:rsidR="009F0F48" w:rsidRPr="004D69F7" w:rsidRDefault="009F0F48" w:rsidP="009F0F48">
      <w:pPr>
        <w:pStyle w:val="Odstavekseznama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i/>
          <w:iCs/>
          <w:szCs w:val="20"/>
          <w:u w:val="single"/>
        </w:rPr>
      </w:pPr>
      <w:r w:rsidRPr="004D69F7">
        <w:rPr>
          <w:rFonts w:cs="Arial"/>
          <w:i/>
          <w:iCs/>
          <w:szCs w:val="20"/>
          <w:u w:val="single"/>
        </w:rPr>
        <w:t>Posvetovanje z deležniki</w:t>
      </w:r>
    </w:p>
    <w:p w14:paraId="40C509DB" w14:textId="77777777" w:rsidR="009F0F48" w:rsidRDefault="009F0F48" w:rsidP="009F0F48">
      <w:pPr>
        <w:pStyle w:val="Odstavekseznama"/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bCs/>
          <w:szCs w:val="20"/>
        </w:rPr>
      </w:pPr>
    </w:p>
    <w:p w14:paraId="4920D28F" w14:textId="67E219A4" w:rsidR="009F0F48" w:rsidRPr="009F0F48" w:rsidRDefault="009F0F48" w:rsidP="009F0F48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</w:rPr>
      </w:pPr>
      <w:r w:rsidRPr="009F0F48">
        <w:rPr>
          <w:rFonts w:cs="Arial"/>
          <w:szCs w:val="20"/>
        </w:rPr>
        <w:t xml:space="preserve">Poglavje </w:t>
      </w:r>
      <w:r>
        <w:rPr>
          <w:rFonts w:cs="Arial"/>
          <w:szCs w:val="20"/>
        </w:rPr>
        <w:t>zajema</w:t>
      </w:r>
      <w:r w:rsidRPr="009F0F48">
        <w:rPr>
          <w:rFonts w:cs="Arial"/>
          <w:szCs w:val="20"/>
        </w:rPr>
        <w:t xml:space="preserve"> organizacijski okvir priprave Strategije</w:t>
      </w:r>
      <w:r w:rsidR="00242239">
        <w:rPr>
          <w:rFonts w:cs="Arial"/>
          <w:szCs w:val="20"/>
        </w:rPr>
        <w:t xml:space="preserve">, ki je </w:t>
      </w:r>
      <w:r w:rsidR="00740F95">
        <w:rPr>
          <w:rFonts w:cs="Arial"/>
          <w:szCs w:val="20"/>
        </w:rPr>
        <w:t xml:space="preserve">že </w:t>
      </w:r>
      <w:r w:rsidR="00242239">
        <w:rPr>
          <w:rFonts w:cs="Arial"/>
          <w:szCs w:val="20"/>
        </w:rPr>
        <w:t>pojasnjen v točki b te obrazložitve</w:t>
      </w:r>
      <w:r w:rsidRPr="009F0F48">
        <w:rPr>
          <w:rFonts w:cs="Arial"/>
          <w:szCs w:val="20"/>
        </w:rPr>
        <w:t xml:space="preserve">. </w:t>
      </w:r>
    </w:p>
    <w:p w14:paraId="76E9B815" w14:textId="77777777" w:rsidR="009F0F48" w:rsidRDefault="009F0F48" w:rsidP="009F0F48">
      <w:pPr>
        <w:pStyle w:val="Odstavekseznama"/>
        <w:widowControl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b/>
          <w:bCs/>
          <w:szCs w:val="20"/>
        </w:rPr>
      </w:pPr>
    </w:p>
    <w:p w14:paraId="34C1817F" w14:textId="20359782" w:rsidR="009F0F48" w:rsidRPr="004D69F7" w:rsidRDefault="009F0F48" w:rsidP="009F0F48">
      <w:pPr>
        <w:pStyle w:val="Odstavekseznama"/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i/>
          <w:iCs/>
          <w:szCs w:val="20"/>
          <w:u w:val="single"/>
        </w:rPr>
      </w:pPr>
      <w:r w:rsidRPr="004D69F7">
        <w:rPr>
          <w:rFonts w:cs="Arial"/>
          <w:i/>
          <w:iCs/>
          <w:szCs w:val="20"/>
          <w:u w:val="single"/>
        </w:rPr>
        <w:t>Spremljanje in poročanje</w:t>
      </w:r>
    </w:p>
    <w:p w14:paraId="0FF82C6C" w14:textId="77777777" w:rsidR="009F0F48" w:rsidRDefault="009F0F48" w:rsidP="009F0F48">
      <w:pPr>
        <w:spacing w:line="240" w:lineRule="auto"/>
        <w:rPr>
          <w:rFonts w:cs="Arial"/>
          <w:szCs w:val="20"/>
        </w:rPr>
      </w:pPr>
    </w:p>
    <w:p w14:paraId="4B75783D" w14:textId="43BB1832" w:rsidR="00242239" w:rsidRDefault="009F0F48" w:rsidP="009F0F48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Poglavje </w:t>
      </w:r>
      <w:r w:rsidR="00242239">
        <w:rPr>
          <w:rFonts w:cs="Arial"/>
          <w:szCs w:val="20"/>
        </w:rPr>
        <w:t xml:space="preserve">izpostavlja letno poročanje o izvajanju neposrednih ukrepov s strani pristojnih resorjev vodji DS ter </w:t>
      </w:r>
      <w:r w:rsidR="00242239">
        <w:rPr>
          <w:rFonts w:eastAsia="Calibri" w:cs="Arial"/>
          <w:szCs w:val="20"/>
        </w:rPr>
        <w:t>r</w:t>
      </w:r>
      <w:r w:rsidR="00242239" w:rsidRPr="00056D23">
        <w:rPr>
          <w:rFonts w:eastAsia="Calibri" w:cs="Arial"/>
          <w:szCs w:val="20"/>
        </w:rPr>
        <w:t>evizij</w:t>
      </w:r>
      <w:r w:rsidR="00242239">
        <w:rPr>
          <w:rFonts w:eastAsia="Calibri" w:cs="Arial"/>
          <w:szCs w:val="20"/>
        </w:rPr>
        <w:t>e</w:t>
      </w:r>
      <w:r w:rsidR="00242239" w:rsidRPr="00056D23">
        <w:rPr>
          <w:rFonts w:eastAsia="Calibri" w:cs="Arial"/>
          <w:szCs w:val="20"/>
        </w:rPr>
        <w:t xml:space="preserve"> strategije </w:t>
      </w:r>
      <w:r w:rsidR="00242239">
        <w:rPr>
          <w:rFonts w:eastAsia="Calibri" w:cs="Arial"/>
          <w:szCs w:val="20"/>
        </w:rPr>
        <w:t xml:space="preserve">v </w:t>
      </w:r>
      <w:r w:rsidR="00242239" w:rsidRPr="00056D23">
        <w:rPr>
          <w:rFonts w:eastAsia="Calibri" w:cs="Arial"/>
          <w:szCs w:val="20"/>
        </w:rPr>
        <w:t>2028, 2031 in 2035</w:t>
      </w:r>
      <w:r w:rsidR="00242239">
        <w:rPr>
          <w:rFonts w:eastAsia="Calibri" w:cs="Arial"/>
          <w:szCs w:val="20"/>
        </w:rPr>
        <w:t xml:space="preserve">. </w:t>
      </w:r>
      <w:r w:rsidR="0008509B" w:rsidRPr="0008509B">
        <w:rPr>
          <w:rFonts w:eastAsia="Calibri" w:cs="Arial"/>
          <w:szCs w:val="20"/>
        </w:rPr>
        <w:t>Strategija se ne izvaja z ločenim akcijskim načrtom, saj že vključuje vse operativne elemente izvajanja.</w:t>
      </w:r>
    </w:p>
    <w:p w14:paraId="09D042F3" w14:textId="77777777" w:rsidR="009F0F48" w:rsidRDefault="009F0F48" w:rsidP="009F0F48">
      <w:pPr>
        <w:spacing w:line="240" w:lineRule="auto"/>
        <w:rPr>
          <w:rFonts w:cs="Arial"/>
          <w:szCs w:val="20"/>
        </w:rPr>
      </w:pPr>
    </w:p>
    <w:p w14:paraId="728F55DD" w14:textId="77777777" w:rsidR="004416EC" w:rsidRDefault="004416EC" w:rsidP="009F0F48">
      <w:pPr>
        <w:spacing w:line="240" w:lineRule="auto"/>
        <w:rPr>
          <w:rFonts w:cs="Arial"/>
          <w:szCs w:val="20"/>
        </w:rPr>
      </w:pPr>
    </w:p>
    <w:p w14:paraId="035A07AE" w14:textId="77777777" w:rsidR="004416EC" w:rsidRDefault="004416EC" w:rsidP="009F0F48">
      <w:pPr>
        <w:spacing w:line="240" w:lineRule="auto"/>
        <w:rPr>
          <w:rFonts w:cs="Arial"/>
          <w:szCs w:val="20"/>
        </w:rPr>
      </w:pPr>
    </w:p>
    <w:p w14:paraId="34B60BA7" w14:textId="0ED6D995" w:rsidR="00242239" w:rsidRPr="00242239" w:rsidRDefault="00242239" w:rsidP="00242239">
      <w:pPr>
        <w:pStyle w:val="Odstavekseznama"/>
        <w:numPr>
          <w:ilvl w:val="1"/>
          <w:numId w:val="32"/>
        </w:numPr>
        <w:spacing w:line="240" w:lineRule="auto"/>
        <w:rPr>
          <w:rFonts w:cs="Arial"/>
          <w:szCs w:val="20"/>
          <w:u w:val="single"/>
        </w:rPr>
      </w:pPr>
      <w:r w:rsidRPr="004D69F7">
        <w:rPr>
          <w:rFonts w:cs="Arial"/>
          <w:i/>
          <w:iCs/>
          <w:szCs w:val="20"/>
          <w:u w:val="single"/>
        </w:rPr>
        <w:t>Zaključek</w:t>
      </w:r>
    </w:p>
    <w:p w14:paraId="577016CE" w14:textId="77777777" w:rsidR="00242239" w:rsidRDefault="00242239" w:rsidP="00242239">
      <w:pPr>
        <w:spacing w:line="240" w:lineRule="auto"/>
        <w:rPr>
          <w:rFonts w:cs="Arial"/>
          <w:szCs w:val="20"/>
        </w:rPr>
      </w:pPr>
    </w:p>
    <w:p w14:paraId="60B643DB" w14:textId="07877830" w:rsidR="00242239" w:rsidRDefault="00242239" w:rsidP="00242239">
      <w:pPr>
        <w:spacing w:line="240" w:lineRule="auto"/>
        <w:jc w:val="both"/>
        <w:rPr>
          <w:rFonts w:cs="Arial"/>
          <w:iCs/>
          <w:color w:val="000000"/>
          <w:szCs w:val="20"/>
          <w:lang w:eastAsia="sl-SI"/>
        </w:rPr>
      </w:pPr>
      <w:r>
        <w:rPr>
          <w:rFonts w:cs="Arial"/>
          <w:szCs w:val="20"/>
        </w:rPr>
        <w:t xml:space="preserve">Poglavje poda sklepne misli, saj bo aktivno prizadevanje za oblikovanje in kasnejše uresničevanje Strategije ter </w:t>
      </w:r>
      <w:r>
        <w:rPr>
          <w:rFonts w:cs="Arial"/>
          <w:iCs/>
          <w:color w:val="000000"/>
          <w:szCs w:val="20"/>
          <w:lang w:eastAsia="sl-SI"/>
        </w:rPr>
        <w:t>aktivno sodelovanje pri</w:t>
      </w:r>
      <w:r w:rsidRPr="00834C5C">
        <w:rPr>
          <w:rFonts w:cs="Arial"/>
          <w:iCs/>
          <w:color w:val="000000"/>
          <w:szCs w:val="20"/>
          <w:lang w:eastAsia="sl-SI"/>
        </w:rPr>
        <w:t xml:space="preserve"> uresničevanj</w:t>
      </w:r>
      <w:r>
        <w:rPr>
          <w:rFonts w:cs="Arial"/>
          <w:iCs/>
          <w:color w:val="000000"/>
          <w:szCs w:val="20"/>
          <w:lang w:eastAsia="sl-SI"/>
        </w:rPr>
        <w:t>u</w:t>
      </w:r>
      <w:r w:rsidRPr="00834C5C">
        <w:rPr>
          <w:rFonts w:cs="Arial"/>
          <w:iCs/>
          <w:color w:val="000000"/>
          <w:szCs w:val="20"/>
          <w:lang w:eastAsia="sl-SI"/>
        </w:rPr>
        <w:t xml:space="preserve"> </w:t>
      </w:r>
      <w:r>
        <w:rPr>
          <w:rFonts w:cs="Arial"/>
          <w:iCs/>
          <w:color w:val="000000"/>
          <w:szCs w:val="20"/>
          <w:lang w:eastAsia="sl-SI"/>
        </w:rPr>
        <w:t xml:space="preserve">izpostavljenih strateških nacionalnih ciljev ter skupnih evropskih zavez prepoznano kot poglavitno orodje za </w:t>
      </w:r>
      <w:r w:rsidRPr="00834C5C">
        <w:rPr>
          <w:rFonts w:cs="Arial"/>
          <w:iCs/>
          <w:color w:val="000000"/>
          <w:szCs w:val="20"/>
          <w:lang w:eastAsia="sl-SI"/>
        </w:rPr>
        <w:t>umeščanje Slovenije med vodilne evropske deležnike na področju kvantnih tehnologij</w:t>
      </w:r>
      <w:r>
        <w:rPr>
          <w:rFonts w:cs="Arial"/>
          <w:iCs/>
          <w:color w:val="000000"/>
          <w:szCs w:val="20"/>
          <w:lang w:eastAsia="sl-SI"/>
        </w:rPr>
        <w:t xml:space="preserve"> v prihodnjem desetletju. </w:t>
      </w:r>
    </w:p>
    <w:p w14:paraId="5711C95E" w14:textId="77777777" w:rsidR="00242239" w:rsidRPr="004D69F7" w:rsidRDefault="00242239" w:rsidP="00242239">
      <w:pPr>
        <w:spacing w:line="240" w:lineRule="auto"/>
        <w:rPr>
          <w:rFonts w:cs="Arial"/>
          <w:i/>
          <w:iCs/>
          <w:szCs w:val="20"/>
        </w:rPr>
      </w:pPr>
    </w:p>
    <w:p w14:paraId="0D11D57B" w14:textId="50604C85" w:rsidR="00242239" w:rsidRPr="004D69F7" w:rsidRDefault="00242239" w:rsidP="00242239">
      <w:pPr>
        <w:pStyle w:val="Odstavekseznama"/>
        <w:numPr>
          <w:ilvl w:val="1"/>
          <w:numId w:val="32"/>
        </w:numPr>
        <w:spacing w:line="240" w:lineRule="auto"/>
        <w:rPr>
          <w:rFonts w:cs="Arial"/>
          <w:i/>
          <w:iCs/>
          <w:szCs w:val="20"/>
          <w:u w:val="single"/>
        </w:rPr>
      </w:pPr>
      <w:r w:rsidRPr="004D69F7">
        <w:rPr>
          <w:rFonts w:cs="Arial"/>
          <w:i/>
          <w:iCs/>
          <w:szCs w:val="20"/>
          <w:u w:val="single"/>
        </w:rPr>
        <w:t>Priloge Strategije</w:t>
      </w:r>
    </w:p>
    <w:p w14:paraId="3AAB2C7B" w14:textId="77777777" w:rsidR="00242239" w:rsidRDefault="00242239" w:rsidP="00242239">
      <w:pPr>
        <w:spacing w:line="240" w:lineRule="auto"/>
        <w:rPr>
          <w:rFonts w:cs="Arial"/>
          <w:szCs w:val="20"/>
          <w:u w:val="single"/>
        </w:rPr>
      </w:pPr>
    </w:p>
    <w:p w14:paraId="4EC4C35A" w14:textId="42E6A4E1" w:rsidR="004D69F7" w:rsidRDefault="00242239" w:rsidP="00242239">
      <w:pPr>
        <w:spacing w:line="240" w:lineRule="auto"/>
        <w:rPr>
          <w:rFonts w:cs="Arial"/>
          <w:szCs w:val="20"/>
        </w:rPr>
      </w:pPr>
      <w:r w:rsidRPr="004D69F7">
        <w:rPr>
          <w:rFonts w:cs="Arial"/>
          <w:szCs w:val="20"/>
        </w:rPr>
        <w:t xml:space="preserve">Strategija vključuje </w:t>
      </w:r>
      <w:r w:rsidR="004D69F7">
        <w:rPr>
          <w:rFonts w:cs="Arial"/>
          <w:szCs w:val="20"/>
        </w:rPr>
        <w:t>2</w:t>
      </w:r>
      <w:r w:rsidRPr="004D69F7">
        <w:rPr>
          <w:rFonts w:cs="Arial"/>
          <w:szCs w:val="20"/>
        </w:rPr>
        <w:t xml:space="preserve"> samostojn</w:t>
      </w:r>
      <w:r w:rsidR="004D69F7">
        <w:rPr>
          <w:rFonts w:cs="Arial"/>
          <w:szCs w:val="20"/>
        </w:rPr>
        <w:t>i</w:t>
      </w:r>
      <w:r w:rsidRPr="004D69F7">
        <w:rPr>
          <w:rFonts w:cs="Arial"/>
          <w:szCs w:val="20"/>
        </w:rPr>
        <w:t xml:space="preserve"> prilog</w:t>
      </w:r>
      <w:r w:rsidR="00740F95">
        <w:rPr>
          <w:rFonts w:cs="Arial"/>
          <w:szCs w:val="20"/>
        </w:rPr>
        <w:t>i</w:t>
      </w:r>
      <w:r w:rsidRPr="004D69F7">
        <w:rPr>
          <w:rFonts w:cs="Arial"/>
          <w:szCs w:val="20"/>
        </w:rPr>
        <w:t>, ki predstavlja</w:t>
      </w:r>
      <w:r w:rsidR="004D69F7">
        <w:rPr>
          <w:rFonts w:cs="Arial"/>
          <w:szCs w:val="20"/>
        </w:rPr>
        <w:t>ta</w:t>
      </w:r>
      <w:r w:rsidRPr="004D69F7">
        <w:rPr>
          <w:rFonts w:cs="Arial"/>
          <w:szCs w:val="20"/>
        </w:rPr>
        <w:t xml:space="preserve"> ključne vidike um</w:t>
      </w:r>
      <w:r w:rsidR="004D69F7" w:rsidRPr="004D69F7">
        <w:rPr>
          <w:rFonts w:cs="Arial"/>
          <w:szCs w:val="20"/>
        </w:rPr>
        <w:t>e</w:t>
      </w:r>
      <w:r w:rsidRPr="004D69F7">
        <w:rPr>
          <w:rFonts w:cs="Arial"/>
          <w:szCs w:val="20"/>
        </w:rPr>
        <w:t xml:space="preserve">ščenih </w:t>
      </w:r>
      <w:r w:rsidR="00740F95">
        <w:rPr>
          <w:rFonts w:cs="Arial"/>
          <w:szCs w:val="20"/>
        </w:rPr>
        <w:t xml:space="preserve">neposrednih </w:t>
      </w:r>
      <w:r w:rsidRPr="004D69F7">
        <w:rPr>
          <w:rFonts w:cs="Arial"/>
          <w:szCs w:val="20"/>
        </w:rPr>
        <w:t>ukrepov</w:t>
      </w:r>
      <w:r w:rsidR="004D69F7">
        <w:rPr>
          <w:rFonts w:cs="Arial"/>
          <w:szCs w:val="20"/>
        </w:rPr>
        <w:t xml:space="preserve">, </w:t>
      </w:r>
      <w:r w:rsidR="00740F95">
        <w:rPr>
          <w:rFonts w:cs="Arial"/>
          <w:szCs w:val="20"/>
        </w:rPr>
        <w:t>dodana je še tretja priloga:</w:t>
      </w:r>
    </w:p>
    <w:p w14:paraId="12F87E30" w14:textId="1748612D" w:rsidR="00242239" w:rsidRPr="004D69F7" w:rsidRDefault="00242239" w:rsidP="00242239">
      <w:pPr>
        <w:spacing w:line="240" w:lineRule="auto"/>
        <w:rPr>
          <w:rFonts w:cs="Arial"/>
          <w:szCs w:val="20"/>
        </w:rPr>
      </w:pPr>
      <w:r w:rsidRPr="004D69F7">
        <w:rPr>
          <w:rFonts w:cs="Arial"/>
          <w:szCs w:val="20"/>
        </w:rPr>
        <w:t xml:space="preserve"> </w:t>
      </w:r>
    </w:p>
    <w:p w14:paraId="4A877DC6" w14:textId="5BB860E8" w:rsidR="00242239" w:rsidRPr="00242239" w:rsidRDefault="00242239" w:rsidP="00242239">
      <w:pPr>
        <w:pStyle w:val="Odstavekseznama"/>
        <w:numPr>
          <w:ilvl w:val="0"/>
          <w:numId w:val="32"/>
        </w:numPr>
        <w:spacing w:line="240" w:lineRule="auto"/>
        <w:rPr>
          <w:rFonts w:cs="Arial"/>
          <w:szCs w:val="20"/>
        </w:rPr>
      </w:pPr>
      <w:r w:rsidRPr="00242239">
        <w:rPr>
          <w:rFonts w:cs="Arial"/>
          <w:szCs w:val="20"/>
        </w:rPr>
        <w:t>Finančni načrt</w:t>
      </w:r>
      <w:r>
        <w:rPr>
          <w:rFonts w:cs="Arial"/>
          <w:szCs w:val="20"/>
        </w:rPr>
        <w:t xml:space="preserve"> </w:t>
      </w:r>
      <w:r w:rsidR="00740F95">
        <w:rPr>
          <w:rFonts w:cs="Arial"/>
          <w:szCs w:val="20"/>
        </w:rPr>
        <w:t>(za neposredne ukrepe</w:t>
      </w:r>
      <w:r w:rsidR="002D0B9F">
        <w:rPr>
          <w:rFonts w:cs="Arial"/>
          <w:szCs w:val="20"/>
        </w:rPr>
        <w:t xml:space="preserve"> institucionalne kadrovske kapacitete</w:t>
      </w:r>
      <w:r w:rsidR="00740F95">
        <w:rPr>
          <w:rFonts w:cs="Arial"/>
          <w:szCs w:val="20"/>
        </w:rPr>
        <w:t>)</w:t>
      </w:r>
    </w:p>
    <w:p w14:paraId="0C33DCA6" w14:textId="3C207246" w:rsidR="00242239" w:rsidRDefault="00242239" w:rsidP="00242239">
      <w:pPr>
        <w:pStyle w:val="Odstavekseznama"/>
        <w:numPr>
          <w:ilvl w:val="0"/>
          <w:numId w:val="32"/>
        </w:numPr>
        <w:spacing w:line="240" w:lineRule="auto"/>
        <w:rPr>
          <w:rFonts w:cs="Arial"/>
          <w:szCs w:val="20"/>
        </w:rPr>
      </w:pPr>
      <w:r w:rsidRPr="00242239">
        <w:rPr>
          <w:rFonts w:cs="Arial"/>
          <w:szCs w:val="20"/>
        </w:rPr>
        <w:t>Povzetek kazalnikov/rezultato</w:t>
      </w:r>
      <w:bookmarkStart w:id="5" w:name="_Toc201140636"/>
      <w:r>
        <w:rPr>
          <w:rFonts w:cs="Arial"/>
          <w:szCs w:val="20"/>
        </w:rPr>
        <w:t>v</w:t>
      </w:r>
      <w:r w:rsidR="009E1E1E">
        <w:rPr>
          <w:rFonts w:cs="Arial"/>
          <w:szCs w:val="20"/>
        </w:rPr>
        <w:t xml:space="preserve"> </w:t>
      </w:r>
      <w:r w:rsidR="00740F95">
        <w:rPr>
          <w:rFonts w:cs="Arial"/>
          <w:szCs w:val="20"/>
        </w:rPr>
        <w:t>(za neposredne ukrepe)</w:t>
      </w:r>
    </w:p>
    <w:p w14:paraId="7ED55009" w14:textId="7E3A5DE8" w:rsidR="00242239" w:rsidRPr="00B44304" w:rsidRDefault="00242239" w:rsidP="00242239">
      <w:pPr>
        <w:pStyle w:val="Odstavekseznama"/>
        <w:numPr>
          <w:ilvl w:val="0"/>
          <w:numId w:val="32"/>
        </w:numPr>
        <w:spacing w:line="240" w:lineRule="auto"/>
        <w:rPr>
          <w:rFonts w:cs="Arial"/>
          <w:szCs w:val="20"/>
        </w:rPr>
      </w:pPr>
      <w:r w:rsidRPr="00242239">
        <w:rPr>
          <w:rFonts w:cs="Arial"/>
        </w:rPr>
        <w:t>Izpis raziskovalnih inovacijskih projektov na področju kvantnih tehnologij s slovenskimi deležniki v programu Obzorje Evropa iz platforme CORDIS (ju</w:t>
      </w:r>
      <w:r w:rsidR="00F32C4B">
        <w:rPr>
          <w:rFonts w:cs="Arial"/>
        </w:rPr>
        <w:t>lij</w:t>
      </w:r>
      <w:r w:rsidRPr="00242239">
        <w:rPr>
          <w:rFonts w:cs="Arial"/>
        </w:rPr>
        <w:t xml:space="preserve"> 2025)</w:t>
      </w:r>
      <w:bookmarkEnd w:id="5"/>
    </w:p>
    <w:p w14:paraId="0A91324D" w14:textId="77777777" w:rsidR="00B44304" w:rsidRDefault="00B44304" w:rsidP="00B44304">
      <w:pPr>
        <w:spacing w:line="240" w:lineRule="auto"/>
        <w:rPr>
          <w:rFonts w:cs="Arial"/>
          <w:szCs w:val="20"/>
        </w:rPr>
      </w:pPr>
    </w:p>
    <w:p w14:paraId="54E1A846" w14:textId="38E0954C" w:rsidR="00242239" w:rsidRDefault="004D69F7" w:rsidP="00242239">
      <w:pPr>
        <w:pStyle w:val="Odstavekseznama"/>
        <w:numPr>
          <w:ilvl w:val="0"/>
          <w:numId w:val="34"/>
        </w:numPr>
        <w:spacing w:line="240" w:lineRule="auto"/>
        <w:rPr>
          <w:rFonts w:cs="Arial"/>
          <w:b/>
          <w:bCs/>
          <w:szCs w:val="20"/>
        </w:rPr>
      </w:pPr>
      <w:r w:rsidRPr="004D69F7">
        <w:rPr>
          <w:rFonts w:cs="Arial"/>
          <w:b/>
          <w:bCs/>
          <w:szCs w:val="20"/>
        </w:rPr>
        <w:t>Zaključek</w:t>
      </w:r>
    </w:p>
    <w:p w14:paraId="2AA305AE" w14:textId="77777777" w:rsidR="004D69F7" w:rsidRDefault="004D69F7" w:rsidP="004D69F7">
      <w:pPr>
        <w:spacing w:line="240" w:lineRule="auto"/>
        <w:rPr>
          <w:rFonts w:cs="Arial"/>
          <w:b/>
          <w:bCs/>
          <w:szCs w:val="20"/>
        </w:rPr>
      </w:pPr>
    </w:p>
    <w:p w14:paraId="65EAB9C6" w14:textId="3FC87233" w:rsidR="00573298" w:rsidRDefault="004D69F7" w:rsidP="004D69F7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Strategija, ki jo Vladi </w:t>
      </w:r>
      <w:r w:rsidR="001B0182">
        <w:rPr>
          <w:rFonts w:cs="Arial"/>
          <w:szCs w:val="20"/>
        </w:rPr>
        <w:t>RS</w:t>
      </w:r>
      <w:r>
        <w:rPr>
          <w:rFonts w:cs="Arial"/>
          <w:szCs w:val="20"/>
        </w:rPr>
        <w:t xml:space="preserve"> predlagamo v obravnavo in sprejem, </w:t>
      </w:r>
      <w:r w:rsidRPr="004D69F7">
        <w:rPr>
          <w:rFonts w:cs="Arial"/>
          <w:szCs w:val="20"/>
        </w:rPr>
        <w:t xml:space="preserve">predstavlja sistemski odgovor na potrebe razvoja </w:t>
      </w:r>
      <w:r>
        <w:rPr>
          <w:rFonts w:cs="Arial"/>
          <w:szCs w:val="20"/>
        </w:rPr>
        <w:t xml:space="preserve">kvantnih </w:t>
      </w:r>
      <w:r w:rsidRPr="004D69F7">
        <w:rPr>
          <w:rFonts w:cs="Arial"/>
          <w:szCs w:val="20"/>
        </w:rPr>
        <w:t>tehnologij, ki bo</w:t>
      </w:r>
      <w:r>
        <w:rPr>
          <w:rFonts w:cs="Arial"/>
          <w:szCs w:val="20"/>
        </w:rPr>
        <w:t>do</w:t>
      </w:r>
      <w:r w:rsidRPr="004D69F7">
        <w:rPr>
          <w:rFonts w:cs="Arial"/>
          <w:szCs w:val="20"/>
        </w:rPr>
        <w:t xml:space="preserve"> v prihodnjem desetletju močno vplival</w:t>
      </w:r>
      <w:r>
        <w:rPr>
          <w:rFonts w:cs="Arial"/>
          <w:szCs w:val="20"/>
        </w:rPr>
        <w:t>e</w:t>
      </w:r>
      <w:r w:rsidRPr="004D69F7">
        <w:rPr>
          <w:rFonts w:cs="Arial"/>
          <w:szCs w:val="20"/>
        </w:rPr>
        <w:t xml:space="preserve"> na znanost, gospodarstvo, varnost in </w:t>
      </w:r>
      <w:r w:rsidR="00740F95">
        <w:rPr>
          <w:rFonts w:cs="Arial"/>
          <w:szCs w:val="20"/>
        </w:rPr>
        <w:t>tehnološko</w:t>
      </w:r>
      <w:r w:rsidRPr="004D69F7">
        <w:rPr>
          <w:rFonts w:cs="Arial"/>
          <w:szCs w:val="20"/>
        </w:rPr>
        <w:t xml:space="preserve"> suverenost</w:t>
      </w:r>
      <w:r>
        <w:rPr>
          <w:rFonts w:cs="Arial"/>
          <w:szCs w:val="20"/>
        </w:rPr>
        <w:t xml:space="preserve"> Slovenije in Evropske unije. </w:t>
      </w:r>
      <w:r w:rsidRPr="004D69F7">
        <w:rPr>
          <w:rFonts w:cs="Arial"/>
          <w:szCs w:val="20"/>
        </w:rPr>
        <w:t xml:space="preserve">Njeno izvajanje bo omogočilo, da Slovenija postane prepoznana kot vodilna država </w:t>
      </w:r>
      <w:r w:rsidR="00740F95">
        <w:rPr>
          <w:rFonts w:cs="Arial"/>
          <w:szCs w:val="20"/>
        </w:rPr>
        <w:t>na</w:t>
      </w:r>
      <w:r w:rsidRPr="004D69F7">
        <w:rPr>
          <w:rFonts w:cs="Arial"/>
          <w:szCs w:val="20"/>
        </w:rPr>
        <w:t xml:space="preserve"> nišnih področjih kvantnih tehnologij, obenem pa bo prispevala k izpolnjevanju skupnih evropskih ciljev.</w:t>
      </w:r>
      <w:r w:rsidR="0008509B">
        <w:rPr>
          <w:rFonts w:cs="Arial"/>
          <w:szCs w:val="20"/>
        </w:rPr>
        <w:t xml:space="preserve"> </w:t>
      </w:r>
    </w:p>
    <w:p w14:paraId="21FE34F0" w14:textId="77777777" w:rsidR="00573298" w:rsidRDefault="00573298" w:rsidP="004D69F7">
      <w:pPr>
        <w:spacing w:line="240" w:lineRule="auto"/>
        <w:jc w:val="both"/>
        <w:rPr>
          <w:rFonts w:cs="Arial"/>
          <w:szCs w:val="20"/>
        </w:rPr>
      </w:pPr>
    </w:p>
    <w:p w14:paraId="69D6C9DF" w14:textId="2678B340" w:rsidR="004D69F7" w:rsidRPr="004D69F7" w:rsidRDefault="004D69F7" w:rsidP="004D69F7">
      <w:pPr>
        <w:spacing w:line="240" w:lineRule="auto"/>
        <w:jc w:val="both"/>
        <w:rPr>
          <w:rFonts w:cs="Arial"/>
          <w:szCs w:val="20"/>
        </w:rPr>
      </w:pPr>
    </w:p>
    <w:sectPr w:rsidR="004D69F7" w:rsidRPr="004D69F7" w:rsidSect="00783310">
      <w:headerReference w:type="default" r:id="rId16"/>
      <w:footerReference w:type="even" r:id="rId17"/>
      <w:footerReference w:type="default" r:id="rId18"/>
      <w:headerReference w:type="first" r:id="rId19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B97C" w14:textId="77777777" w:rsidR="00F77521" w:rsidRDefault="00F77521" w:rsidP="008A4089">
      <w:pPr>
        <w:spacing w:line="240" w:lineRule="auto"/>
      </w:pPr>
      <w:r>
        <w:separator/>
      </w:r>
    </w:p>
  </w:endnote>
  <w:endnote w:type="continuationSeparator" w:id="0">
    <w:p w14:paraId="65F64713" w14:textId="77777777" w:rsidR="00F77521" w:rsidRDefault="00F77521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543723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543723" w:rsidRDefault="0054372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543723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543723" w:rsidRDefault="0054372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D544" w14:textId="77777777" w:rsidR="00F77521" w:rsidRDefault="00F77521" w:rsidP="008A4089">
      <w:pPr>
        <w:spacing w:line="240" w:lineRule="auto"/>
      </w:pPr>
      <w:r>
        <w:separator/>
      </w:r>
    </w:p>
  </w:footnote>
  <w:footnote w:type="continuationSeparator" w:id="0">
    <w:p w14:paraId="5AB1FD68" w14:textId="77777777" w:rsidR="00F77521" w:rsidRDefault="00F77521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543723" w:rsidRPr="00110CBD" w:rsidRDefault="0054372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543723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543723" w:rsidRPr="006D42D9" w:rsidRDefault="00543723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543723" w:rsidRPr="006D42D9" w:rsidRDefault="00543723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543723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>
          <w:pict w14:anchorId="649DA7A6">
            <v:line id="Line 5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alt="&quot;&quot;" o:spid="_x0000_s1026" o:allowincell="f" strokecolor="#428299" strokeweight=".5pt" from="-34pt,283.5pt" to="-14.15pt,283.5pt" w14:anchorId="15D21D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543723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7A8FD8EE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 xml:space="preserve">01 </w:t>
    </w:r>
    <w:r w:rsidR="00B17C9B">
      <w:rPr>
        <w:rFonts w:cs="Arial"/>
        <w:sz w:val="16"/>
      </w:rPr>
      <w:t>478 46 00</w:t>
    </w:r>
  </w:p>
  <w:p w14:paraId="68DE6C0D" w14:textId="1C60C534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543723" w:rsidRPr="008F3500" w:rsidRDefault="00543723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678"/>
    <w:multiLevelType w:val="hybridMultilevel"/>
    <w:tmpl w:val="5AD4EBD4"/>
    <w:lvl w:ilvl="0" w:tplc="D062C3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CED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A8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0C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AA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3C8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A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21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8C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46D4"/>
    <w:multiLevelType w:val="hybridMultilevel"/>
    <w:tmpl w:val="AA0638D4"/>
    <w:lvl w:ilvl="0" w:tplc="8D906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5BD6"/>
    <w:multiLevelType w:val="hybridMultilevel"/>
    <w:tmpl w:val="F01021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94277"/>
    <w:multiLevelType w:val="multilevel"/>
    <w:tmpl w:val="FF1A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059CA"/>
    <w:multiLevelType w:val="multilevel"/>
    <w:tmpl w:val="2BFCED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 w:val="0"/>
        <w:bCs/>
        <w:i/>
        <w:i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B678E"/>
    <w:multiLevelType w:val="hybridMultilevel"/>
    <w:tmpl w:val="CCCE6FB2"/>
    <w:lvl w:ilvl="0" w:tplc="677A4F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BE9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08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8F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C0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A9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45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0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24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B0C9D"/>
    <w:multiLevelType w:val="hybridMultilevel"/>
    <w:tmpl w:val="FFC27936"/>
    <w:lvl w:ilvl="0" w:tplc="F7CE4050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D26D2"/>
    <w:multiLevelType w:val="hybridMultilevel"/>
    <w:tmpl w:val="9DE03C2E"/>
    <w:lvl w:ilvl="0" w:tplc="F3A8F3B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34BB9"/>
    <w:multiLevelType w:val="hybridMultilevel"/>
    <w:tmpl w:val="E67245A4"/>
    <w:lvl w:ilvl="0" w:tplc="07B2B6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732E7"/>
    <w:multiLevelType w:val="multilevel"/>
    <w:tmpl w:val="FD7C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51C42"/>
    <w:multiLevelType w:val="multilevel"/>
    <w:tmpl w:val="94E0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DE3227"/>
    <w:multiLevelType w:val="multilevel"/>
    <w:tmpl w:val="6430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B3878"/>
    <w:multiLevelType w:val="hybridMultilevel"/>
    <w:tmpl w:val="641AA560"/>
    <w:lvl w:ilvl="0" w:tplc="FB104E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0E812C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300D7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D2C50D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2FC541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158FFA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8663C4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8AA27D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DC2B8A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CE60A1"/>
    <w:multiLevelType w:val="hybridMultilevel"/>
    <w:tmpl w:val="77D46982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984686"/>
    <w:multiLevelType w:val="hybridMultilevel"/>
    <w:tmpl w:val="03DA456E"/>
    <w:lvl w:ilvl="0" w:tplc="367E0174">
      <w:start w:val="1"/>
      <w:numFmt w:val="decimal"/>
      <w:lvlText w:val="%1."/>
      <w:lvlJc w:val="left"/>
      <w:pPr>
        <w:ind w:left="1056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776" w:hanging="360"/>
      </w:pPr>
    </w:lvl>
    <w:lvl w:ilvl="2" w:tplc="0424001B" w:tentative="1">
      <w:start w:val="1"/>
      <w:numFmt w:val="lowerRoman"/>
      <w:lvlText w:val="%3."/>
      <w:lvlJc w:val="right"/>
      <w:pPr>
        <w:ind w:left="2496" w:hanging="180"/>
      </w:pPr>
    </w:lvl>
    <w:lvl w:ilvl="3" w:tplc="0424000F" w:tentative="1">
      <w:start w:val="1"/>
      <w:numFmt w:val="decimal"/>
      <w:lvlText w:val="%4."/>
      <w:lvlJc w:val="left"/>
      <w:pPr>
        <w:ind w:left="3216" w:hanging="360"/>
      </w:pPr>
    </w:lvl>
    <w:lvl w:ilvl="4" w:tplc="04240019" w:tentative="1">
      <w:start w:val="1"/>
      <w:numFmt w:val="lowerLetter"/>
      <w:lvlText w:val="%5."/>
      <w:lvlJc w:val="left"/>
      <w:pPr>
        <w:ind w:left="3936" w:hanging="360"/>
      </w:pPr>
    </w:lvl>
    <w:lvl w:ilvl="5" w:tplc="0424001B" w:tentative="1">
      <w:start w:val="1"/>
      <w:numFmt w:val="lowerRoman"/>
      <w:lvlText w:val="%6."/>
      <w:lvlJc w:val="right"/>
      <w:pPr>
        <w:ind w:left="4656" w:hanging="180"/>
      </w:pPr>
    </w:lvl>
    <w:lvl w:ilvl="6" w:tplc="0424000F" w:tentative="1">
      <w:start w:val="1"/>
      <w:numFmt w:val="decimal"/>
      <w:lvlText w:val="%7."/>
      <w:lvlJc w:val="left"/>
      <w:pPr>
        <w:ind w:left="5376" w:hanging="360"/>
      </w:pPr>
    </w:lvl>
    <w:lvl w:ilvl="7" w:tplc="04240019" w:tentative="1">
      <w:start w:val="1"/>
      <w:numFmt w:val="lowerLetter"/>
      <w:lvlText w:val="%8."/>
      <w:lvlJc w:val="left"/>
      <w:pPr>
        <w:ind w:left="6096" w:hanging="360"/>
      </w:pPr>
    </w:lvl>
    <w:lvl w:ilvl="8" w:tplc="0424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4DE17802"/>
    <w:multiLevelType w:val="hybridMultilevel"/>
    <w:tmpl w:val="A50657C8"/>
    <w:lvl w:ilvl="0" w:tplc="1F428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453B0"/>
    <w:multiLevelType w:val="hybridMultilevel"/>
    <w:tmpl w:val="8C982F0A"/>
    <w:lvl w:ilvl="0" w:tplc="F294B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F0535C"/>
    <w:multiLevelType w:val="hybridMultilevel"/>
    <w:tmpl w:val="ADB6C6B6"/>
    <w:lvl w:ilvl="0" w:tplc="76AC1A70">
      <w:start w:val="49"/>
      <w:numFmt w:val="bullet"/>
      <w:lvlText w:val="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76AC1A70">
      <w:start w:val="49"/>
      <w:numFmt w:val="bullet"/>
      <w:lvlText w:val=""/>
      <w:lvlJc w:val="left"/>
      <w:pPr>
        <w:ind w:left="1647" w:hanging="360"/>
      </w:pPr>
      <w:rPr>
        <w:rFonts w:ascii="Symbol" w:eastAsia="Times New Roman" w:hAnsi="Symbol" w:cs="Times New Roman" w:hint="default"/>
      </w:rPr>
    </w:lvl>
    <w:lvl w:ilvl="2" w:tplc="1B4CBA00">
      <w:start w:val="3"/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4070A8D"/>
    <w:multiLevelType w:val="hybridMultilevel"/>
    <w:tmpl w:val="7234A312"/>
    <w:lvl w:ilvl="0" w:tplc="8BCC76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14CBE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E34CF0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0443BF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5D0769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710D00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334CAF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8EEF1A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E7CE6E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6426B"/>
    <w:multiLevelType w:val="multilevel"/>
    <w:tmpl w:val="ACE43430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52FB8"/>
    <w:multiLevelType w:val="multilevel"/>
    <w:tmpl w:val="BCEC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302F6"/>
    <w:multiLevelType w:val="hybridMultilevel"/>
    <w:tmpl w:val="D6E81834"/>
    <w:lvl w:ilvl="0" w:tplc="2E76D2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66157"/>
    <w:multiLevelType w:val="hybridMultilevel"/>
    <w:tmpl w:val="77D46982"/>
    <w:lvl w:ilvl="0" w:tplc="0D6EA68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D20267"/>
    <w:multiLevelType w:val="hybridMultilevel"/>
    <w:tmpl w:val="B5D06F2C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C535D"/>
    <w:multiLevelType w:val="hybridMultilevel"/>
    <w:tmpl w:val="259C3ED6"/>
    <w:lvl w:ilvl="0" w:tplc="97D0929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F3E43"/>
    <w:multiLevelType w:val="hybridMultilevel"/>
    <w:tmpl w:val="BE52F8B0"/>
    <w:lvl w:ilvl="0" w:tplc="68923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E3569"/>
    <w:multiLevelType w:val="hybridMultilevel"/>
    <w:tmpl w:val="7FA44D9E"/>
    <w:lvl w:ilvl="0" w:tplc="FDEABCF8">
      <w:numFmt w:val="bullet"/>
      <w:lvlText w:val=""/>
      <w:lvlJc w:val="left"/>
      <w:pPr>
        <w:ind w:left="828" w:hanging="360"/>
      </w:pPr>
      <w:rPr>
        <w:rFonts w:ascii="Symbol" w:eastAsia="Symbol" w:hAnsi="Symbol" w:cs="Symbol" w:hint="default"/>
        <w:w w:val="100"/>
        <w:sz w:val="20"/>
        <w:szCs w:val="20"/>
        <w:lang w:val="sl-SI" w:eastAsia="en-US" w:bidi="ar-SA"/>
      </w:rPr>
    </w:lvl>
    <w:lvl w:ilvl="1" w:tplc="27DEF33E">
      <w:numFmt w:val="bullet"/>
      <w:lvlText w:val="•"/>
      <w:lvlJc w:val="left"/>
      <w:pPr>
        <w:ind w:left="1653" w:hanging="360"/>
      </w:pPr>
      <w:rPr>
        <w:rFonts w:hint="default"/>
        <w:lang w:val="sl-SI" w:eastAsia="en-US" w:bidi="ar-SA"/>
      </w:rPr>
    </w:lvl>
    <w:lvl w:ilvl="2" w:tplc="303E2928">
      <w:numFmt w:val="bullet"/>
      <w:lvlText w:val="•"/>
      <w:lvlJc w:val="left"/>
      <w:pPr>
        <w:ind w:left="2486" w:hanging="360"/>
      </w:pPr>
      <w:rPr>
        <w:rFonts w:hint="default"/>
        <w:lang w:val="sl-SI" w:eastAsia="en-US" w:bidi="ar-SA"/>
      </w:rPr>
    </w:lvl>
    <w:lvl w:ilvl="3" w:tplc="2FBCC6FC">
      <w:numFmt w:val="bullet"/>
      <w:lvlText w:val="•"/>
      <w:lvlJc w:val="left"/>
      <w:pPr>
        <w:ind w:left="3319" w:hanging="360"/>
      </w:pPr>
      <w:rPr>
        <w:rFonts w:hint="default"/>
        <w:lang w:val="sl-SI" w:eastAsia="en-US" w:bidi="ar-SA"/>
      </w:rPr>
    </w:lvl>
    <w:lvl w:ilvl="4" w:tplc="25EC3628">
      <w:numFmt w:val="bullet"/>
      <w:lvlText w:val="•"/>
      <w:lvlJc w:val="left"/>
      <w:pPr>
        <w:ind w:left="4153" w:hanging="360"/>
      </w:pPr>
      <w:rPr>
        <w:rFonts w:hint="default"/>
        <w:lang w:val="sl-SI" w:eastAsia="en-US" w:bidi="ar-SA"/>
      </w:rPr>
    </w:lvl>
    <w:lvl w:ilvl="5" w:tplc="E37A7DA0">
      <w:numFmt w:val="bullet"/>
      <w:lvlText w:val="•"/>
      <w:lvlJc w:val="left"/>
      <w:pPr>
        <w:ind w:left="4986" w:hanging="360"/>
      </w:pPr>
      <w:rPr>
        <w:rFonts w:hint="default"/>
        <w:lang w:val="sl-SI" w:eastAsia="en-US" w:bidi="ar-SA"/>
      </w:rPr>
    </w:lvl>
    <w:lvl w:ilvl="6" w:tplc="CD3CF512">
      <w:numFmt w:val="bullet"/>
      <w:lvlText w:val="•"/>
      <w:lvlJc w:val="left"/>
      <w:pPr>
        <w:ind w:left="5819" w:hanging="360"/>
      </w:pPr>
      <w:rPr>
        <w:rFonts w:hint="default"/>
        <w:lang w:val="sl-SI" w:eastAsia="en-US" w:bidi="ar-SA"/>
      </w:rPr>
    </w:lvl>
    <w:lvl w:ilvl="7" w:tplc="394ED136">
      <w:numFmt w:val="bullet"/>
      <w:lvlText w:val="•"/>
      <w:lvlJc w:val="left"/>
      <w:pPr>
        <w:ind w:left="6653" w:hanging="360"/>
      </w:pPr>
      <w:rPr>
        <w:rFonts w:hint="default"/>
        <w:lang w:val="sl-SI" w:eastAsia="en-US" w:bidi="ar-SA"/>
      </w:rPr>
    </w:lvl>
    <w:lvl w:ilvl="8" w:tplc="952E7958">
      <w:numFmt w:val="bullet"/>
      <w:lvlText w:val="•"/>
      <w:lvlJc w:val="left"/>
      <w:pPr>
        <w:ind w:left="7486" w:hanging="360"/>
      </w:pPr>
      <w:rPr>
        <w:rFonts w:hint="default"/>
        <w:lang w:val="sl-SI" w:eastAsia="en-US" w:bidi="ar-SA"/>
      </w:rPr>
    </w:lvl>
  </w:abstractNum>
  <w:abstractNum w:abstractNumId="31" w15:restartNumberingAfterBreak="0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0309A4"/>
    <w:multiLevelType w:val="multilevel"/>
    <w:tmpl w:val="1AEE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9B56A6"/>
    <w:multiLevelType w:val="hybridMultilevel"/>
    <w:tmpl w:val="D23C02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D087E"/>
    <w:multiLevelType w:val="multilevel"/>
    <w:tmpl w:val="D28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E825A4"/>
    <w:multiLevelType w:val="hybridMultilevel"/>
    <w:tmpl w:val="B2CCDD9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824116">
    <w:abstractNumId w:val="6"/>
  </w:num>
  <w:num w:numId="2" w16cid:durableId="1816995146">
    <w:abstractNumId w:val="22"/>
  </w:num>
  <w:num w:numId="3" w16cid:durableId="1244416244">
    <w:abstractNumId w:val="29"/>
  </w:num>
  <w:num w:numId="4" w16cid:durableId="2146699741">
    <w:abstractNumId w:val="36"/>
  </w:num>
  <w:num w:numId="5" w16cid:durableId="581986103">
    <w:abstractNumId w:val="14"/>
  </w:num>
  <w:num w:numId="6" w16cid:durableId="77902805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856621">
    <w:abstractNumId w:val="19"/>
  </w:num>
  <w:num w:numId="8" w16cid:durableId="1782452994">
    <w:abstractNumId w:val="8"/>
  </w:num>
  <w:num w:numId="9" w16cid:durableId="1507206705">
    <w:abstractNumId w:val="26"/>
  </w:num>
  <w:num w:numId="10" w16cid:durableId="1849980576">
    <w:abstractNumId w:val="7"/>
  </w:num>
  <w:num w:numId="11" w16cid:durableId="1221554570">
    <w:abstractNumId w:val="16"/>
  </w:num>
  <w:num w:numId="12" w16cid:durableId="556085160">
    <w:abstractNumId w:val="25"/>
  </w:num>
  <w:num w:numId="13" w16cid:durableId="1784225663">
    <w:abstractNumId w:val="17"/>
  </w:num>
  <w:num w:numId="14" w16cid:durableId="1470779957">
    <w:abstractNumId w:val="2"/>
  </w:num>
  <w:num w:numId="15" w16cid:durableId="955597173">
    <w:abstractNumId w:val="15"/>
  </w:num>
  <w:num w:numId="16" w16cid:durableId="551044732">
    <w:abstractNumId w:val="27"/>
  </w:num>
  <w:num w:numId="17" w16cid:durableId="531840935">
    <w:abstractNumId w:val="28"/>
  </w:num>
  <w:num w:numId="18" w16cid:durableId="1558027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8252287">
    <w:abstractNumId w:val="1"/>
  </w:num>
  <w:num w:numId="20" w16cid:durableId="773094748">
    <w:abstractNumId w:val="24"/>
  </w:num>
  <w:num w:numId="21" w16cid:durableId="1356153651">
    <w:abstractNumId w:val="30"/>
  </w:num>
  <w:num w:numId="22" w16cid:durableId="541020563">
    <w:abstractNumId w:val="11"/>
  </w:num>
  <w:num w:numId="23" w16cid:durableId="1110665531">
    <w:abstractNumId w:val="12"/>
  </w:num>
  <w:num w:numId="24" w16cid:durableId="299192165">
    <w:abstractNumId w:val="23"/>
  </w:num>
  <w:num w:numId="25" w16cid:durableId="53435767">
    <w:abstractNumId w:val="10"/>
  </w:num>
  <w:num w:numId="26" w16cid:durableId="327487797">
    <w:abstractNumId w:val="9"/>
  </w:num>
  <w:num w:numId="27" w16cid:durableId="815951210">
    <w:abstractNumId w:val="32"/>
  </w:num>
  <w:num w:numId="28" w16cid:durableId="297957292">
    <w:abstractNumId w:val="0"/>
  </w:num>
  <w:num w:numId="29" w16cid:durableId="1547452547">
    <w:abstractNumId w:val="5"/>
  </w:num>
  <w:num w:numId="30" w16cid:durableId="1820925990">
    <w:abstractNumId w:val="20"/>
  </w:num>
  <w:num w:numId="31" w16cid:durableId="1514496862">
    <w:abstractNumId w:val="13"/>
  </w:num>
  <w:num w:numId="32" w16cid:durableId="1428117452">
    <w:abstractNumId w:val="4"/>
  </w:num>
  <w:num w:numId="33" w16cid:durableId="793061467">
    <w:abstractNumId w:val="21"/>
  </w:num>
  <w:num w:numId="34" w16cid:durableId="945505706">
    <w:abstractNumId w:val="35"/>
  </w:num>
  <w:num w:numId="35" w16cid:durableId="346830773">
    <w:abstractNumId w:val="18"/>
  </w:num>
  <w:num w:numId="36" w16cid:durableId="1255818404">
    <w:abstractNumId w:val="3"/>
  </w:num>
  <w:num w:numId="37" w16cid:durableId="816801150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4AD9"/>
    <w:rsid w:val="00007644"/>
    <w:rsid w:val="00010473"/>
    <w:rsid w:val="000132E7"/>
    <w:rsid w:val="00020CF8"/>
    <w:rsid w:val="00025256"/>
    <w:rsid w:val="000325F1"/>
    <w:rsid w:val="000456BD"/>
    <w:rsid w:val="000457AD"/>
    <w:rsid w:val="000677AA"/>
    <w:rsid w:val="00076E19"/>
    <w:rsid w:val="000820B4"/>
    <w:rsid w:val="0008362F"/>
    <w:rsid w:val="00083ADE"/>
    <w:rsid w:val="00084D5D"/>
    <w:rsid w:val="0008509B"/>
    <w:rsid w:val="0009105C"/>
    <w:rsid w:val="0009594A"/>
    <w:rsid w:val="000A54CA"/>
    <w:rsid w:val="000B4FAE"/>
    <w:rsid w:val="000B6F62"/>
    <w:rsid w:val="000C7DD2"/>
    <w:rsid w:val="000D02FC"/>
    <w:rsid w:val="000D7266"/>
    <w:rsid w:val="000E0460"/>
    <w:rsid w:val="000E1059"/>
    <w:rsid w:val="000E16E7"/>
    <w:rsid w:val="000E4FE0"/>
    <w:rsid w:val="000F5AB2"/>
    <w:rsid w:val="000F6190"/>
    <w:rsid w:val="000F7486"/>
    <w:rsid w:val="00103049"/>
    <w:rsid w:val="00111FCB"/>
    <w:rsid w:val="00130FB4"/>
    <w:rsid w:val="0013390B"/>
    <w:rsid w:val="00136057"/>
    <w:rsid w:val="0013683F"/>
    <w:rsid w:val="0014054D"/>
    <w:rsid w:val="00140697"/>
    <w:rsid w:val="001462B0"/>
    <w:rsid w:val="0014796A"/>
    <w:rsid w:val="00151026"/>
    <w:rsid w:val="0015107C"/>
    <w:rsid w:val="0015769F"/>
    <w:rsid w:val="00160FC0"/>
    <w:rsid w:val="00161C2A"/>
    <w:rsid w:val="00162EE0"/>
    <w:rsid w:val="001640DA"/>
    <w:rsid w:val="00176CB7"/>
    <w:rsid w:val="001775D1"/>
    <w:rsid w:val="00184273"/>
    <w:rsid w:val="0018554C"/>
    <w:rsid w:val="0019110E"/>
    <w:rsid w:val="0019418F"/>
    <w:rsid w:val="00194557"/>
    <w:rsid w:val="00195733"/>
    <w:rsid w:val="001A4B62"/>
    <w:rsid w:val="001A5CEB"/>
    <w:rsid w:val="001B0182"/>
    <w:rsid w:val="001B2FDD"/>
    <w:rsid w:val="001B7D0E"/>
    <w:rsid w:val="001C1C55"/>
    <w:rsid w:val="001C5BE3"/>
    <w:rsid w:val="001E47DD"/>
    <w:rsid w:val="001F126A"/>
    <w:rsid w:val="00207F92"/>
    <w:rsid w:val="0021296D"/>
    <w:rsid w:val="00212AB4"/>
    <w:rsid w:val="0022190C"/>
    <w:rsid w:val="00225600"/>
    <w:rsid w:val="002330A4"/>
    <w:rsid w:val="002333CE"/>
    <w:rsid w:val="00237B0E"/>
    <w:rsid w:val="002408FE"/>
    <w:rsid w:val="00242239"/>
    <w:rsid w:val="00244909"/>
    <w:rsid w:val="00254EB2"/>
    <w:rsid w:val="002622AC"/>
    <w:rsid w:val="00281578"/>
    <w:rsid w:val="002869FD"/>
    <w:rsid w:val="00286A3F"/>
    <w:rsid w:val="002900B9"/>
    <w:rsid w:val="002912DC"/>
    <w:rsid w:val="00295899"/>
    <w:rsid w:val="00295A98"/>
    <w:rsid w:val="002A1DB8"/>
    <w:rsid w:val="002B0DDC"/>
    <w:rsid w:val="002B35E9"/>
    <w:rsid w:val="002B4E16"/>
    <w:rsid w:val="002B6133"/>
    <w:rsid w:val="002B723C"/>
    <w:rsid w:val="002D0B9F"/>
    <w:rsid w:val="002D38DE"/>
    <w:rsid w:val="002D639B"/>
    <w:rsid w:val="002D7923"/>
    <w:rsid w:val="002E16BB"/>
    <w:rsid w:val="002E4A2E"/>
    <w:rsid w:val="002F60B7"/>
    <w:rsid w:val="003011FA"/>
    <w:rsid w:val="00312A6D"/>
    <w:rsid w:val="0031583A"/>
    <w:rsid w:val="00320902"/>
    <w:rsid w:val="00324ABB"/>
    <w:rsid w:val="003332F9"/>
    <w:rsid w:val="00333339"/>
    <w:rsid w:val="00343336"/>
    <w:rsid w:val="00356E4C"/>
    <w:rsid w:val="00360515"/>
    <w:rsid w:val="00363E78"/>
    <w:rsid w:val="003642B8"/>
    <w:rsid w:val="003670B9"/>
    <w:rsid w:val="003702FA"/>
    <w:rsid w:val="00382930"/>
    <w:rsid w:val="00384457"/>
    <w:rsid w:val="00386E05"/>
    <w:rsid w:val="0039221D"/>
    <w:rsid w:val="00392ED2"/>
    <w:rsid w:val="003B0BCE"/>
    <w:rsid w:val="003B36B1"/>
    <w:rsid w:val="003B4020"/>
    <w:rsid w:val="003B56D1"/>
    <w:rsid w:val="003D0180"/>
    <w:rsid w:val="003D1C89"/>
    <w:rsid w:val="003D3668"/>
    <w:rsid w:val="003D5874"/>
    <w:rsid w:val="003E41CB"/>
    <w:rsid w:val="003E7F24"/>
    <w:rsid w:val="003F3983"/>
    <w:rsid w:val="003F3ABB"/>
    <w:rsid w:val="003F736A"/>
    <w:rsid w:val="004103D4"/>
    <w:rsid w:val="00413CFB"/>
    <w:rsid w:val="004202C1"/>
    <w:rsid w:val="004237EB"/>
    <w:rsid w:val="00423BBF"/>
    <w:rsid w:val="00426DA0"/>
    <w:rsid w:val="0042731A"/>
    <w:rsid w:val="00433BEE"/>
    <w:rsid w:val="004416EC"/>
    <w:rsid w:val="00463517"/>
    <w:rsid w:val="0048198B"/>
    <w:rsid w:val="00483DE3"/>
    <w:rsid w:val="0048485E"/>
    <w:rsid w:val="00490598"/>
    <w:rsid w:val="004941CD"/>
    <w:rsid w:val="00495433"/>
    <w:rsid w:val="004A008C"/>
    <w:rsid w:val="004B6304"/>
    <w:rsid w:val="004D03A3"/>
    <w:rsid w:val="004D4539"/>
    <w:rsid w:val="004D69F7"/>
    <w:rsid w:val="004E7892"/>
    <w:rsid w:val="004F16FA"/>
    <w:rsid w:val="004F54BA"/>
    <w:rsid w:val="004F5606"/>
    <w:rsid w:val="004F79DC"/>
    <w:rsid w:val="0050153C"/>
    <w:rsid w:val="00503778"/>
    <w:rsid w:val="0051079F"/>
    <w:rsid w:val="005128BD"/>
    <w:rsid w:val="005144AF"/>
    <w:rsid w:val="00520F60"/>
    <w:rsid w:val="00543723"/>
    <w:rsid w:val="00544740"/>
    <w:rsid w:val="005566BF"/>
    <w:rsid w:val="00562814"/>
    <w:rsid w:val="0056649B"/>
    <w:rsid w:val="00573298"/>
    <w:rsid w:val="00574513"/>
    <w:rsid w:val="00576DEC"/>
    <w:rsid w:val="00583065"/>
    <w:rsid w:val="00583DC3"/>
    <w:rsid w:val="0058739F"/>
    <w:rsid w:val="00590629"/>
    <w:rsid w:val="00590C39"/>
    <w:rsid w:val="005924E5"/>
    <w:rsid w:val="005A45A6"/>
    <w:rsid w:val="005A5585"/>
    <w:rsid w:val="005A7908"/>
    <w:rsid w:val="005B026A"/>
    <w:rsid w:val="005B2AAE"/>
    <w:rsid w:val="005B2C4F"/>
    <w:rsid w:val="005D0208"/>
    <w:rsid w:val="005D29BB"/>
    <w:rsid w:val="005D49CC"/>
    <w:rsid w:val="005E1F8A"/>
    <w:rsid w:val="005E5129"/>
    <w:rsid w:val="005E671F"/>
    <w:rsid w:val="005F282D"/>
    <w:rsid w:val="00605A31"/>
    <w:rsid w:val="00612F75"/>
    <w:rsid w:val="00621223"/>
    <w:rsid w:val="0062741B"/>
    <w:rsid w:val="00633F4B"/>
    <w:rsid w:val="00641B0F"/>
    <w:rsid w:val="006436F5"/>
    <w:rsid w:val="0064610E"/>
    <w:rsid w:val="00646F48"/>
    <w:rsid w:val="0065041F"/>
    <w:rsid w:val="0066212F"/>
    <w:rsid w:val="006633F9"/>
    <w:rsid w:val="0066632C"/>
    <w:rsid w:val="006731FD"/>
    <w:rsid w:val="006816FE"/>
    <w:rsid w:val="00681CA1"/>
    <w:rsid w:val="006909EF"/>
    <w:rsid w:val="00691E92"/>
    <w:rsid w:val="00694F60"/>
    <w:rsid w:val="006966EF"/>
    <w:rsid w:val="006A0279"/>
    <w:rsid w:val="006A3240"/>
    <w:rsid w:val="006A32A8"/>
    <w:rsid w:val="006A4192"/>
    <w:rsid w:val="006A4D49"/>
    <w:rsid w:val="006A5B4F"/>
    <w:rsid w:val="006B06C7"/>
    <w:rsid w:val="006C0767"/>
    <w:rsid w:val="006C0AC1"/>
    <w:rsid w:val="006C68E9"/>
    <w:rsid w:val="006D08E9"/>
    <w:rsid w:val="006D69DA"/>
    <w:rsid w:val="006E0624"/>
    <w:rsid w:val="006E0C6F"/>
    <w:rsid w:val="006F0797"/>
    <w:rsid w:val="006F181F"/>
    <w:rsid w:val="006F24D3"/>
    <w:rsid w:val="00700349"/>
    <w:rsid w:val="00711D9E"/>
    <w:rsid w:val="00713EF9"/>
    <w:rsid w:val="00722E8D"/>
    <w:rsid w:val="00723323"/>
    <w:rsid w:val="007330C4"/>
    <w:rsid w:val="0073767E"/>
    <w:rsid w:val="00740ED4"/>
    <w:rsid w:val="00740F95"/>
    <w:rsid w:val="00743895"/>
    <w:rsid w:val="00743AC3"/>
    <w:rsid w:val="0074717E"/>
    <w:rsid w:val="00753715"/>
    <w:rsid w:val="00764F5F"/>
    <w:rsid w:val="00767C79"/>
    <w:rsid w:val="0077203B"/>
    <w:rsid w:val="00772C24"/>
    <w:rsid w:val="00772DAF"/>
    <w:rsid w:val="0078109E"/>
    <w:rsid w:val="007830AB"/>
    <w:rsid w:val="00783E7A"/>
    <w:rsid w:val="0079098D"/>
    <w:rsid w:val="0079287B"/>
    <w:rsid w:val="00793FBE"/>
    <w:rsid w:val="0079510C"/>
    <w:rsid w:val="0079680A"/>
    <w:rsid w:val="007A1E73"/>
    <w:rsid w:val="007A1EEC"/>
    <w:rsid w:val="007A64F5"/>
    <w:rsid w:val="007B7579"/>
    <w:rsid w:val="007C2711"/>
    <w:rsid w:val="007D1648"/>
    <w:rsid w:val="007F1E13"/>
    <w:rsid w:val="007F55A3"/>
    <w:rsid w:val="007F7741"/>
    <w:rsid w:val="0080393E"/>
    <w:rsid w:val="00805E89"/>
    <w:rsid w:val="00817230"/>
    <w:rsid w:val="00821CA6"/>
    <w:rsid w:val="008228A8"/>
    <w:rsid w:val="008241AD"/>
    <w:rsid w:val="008315F1"/>
    <w:rsid w:val="00834D87"/>
    <w:rsid w:val="008424C0"/>
    <w:rsid w:val="0084442E"/>
    <w:rsid w:val="00850D04"/>
    <w:rsid w:val="00851E91"/>
    <w:rsid w:val="00857A59"/>
    <w:rsid w:val="008614EF"/>
    <w:rsid w:val="00863AA6"/>
    <w:rsid w:val="00863D54"/>
    <w:rsid w:val="008678BC"/>
    <w:rsid w:val="008729D5"/>
    <w:rsid w:val="0087731A"/>
    <w:rsid w:val="00883974"/>
    <w:rsid w:val="00884ADC"/>
    <w:rsid w:val="0088762B"/>
    <w:rsid w:val="0089158C"/>
    <w:rsid w:val="00894A6A"/>
    <w:rsid w:val="008952FC"/>
    <w:rsid w:val="008A4089"/>
    <w:rsid w:val="008B0CF6"/>
    <w:rsid w:val="008B6DE4"/>
    <w:rsid w:val="008C4C52"/>
    <w:rsid w:val="008D001E"/>
    <w:rsid w:val="008E1FDE"/>
    <w:rsid w:val="008E382A"/>
    <w:rsid w:val="008E68AE"/>
    <w:rsid w:val="008F4F63"/>
    <w:rsid w:val="00907786"/>
    <w:rsid w:val="0091259F"/>
    <w:rsid w:val="00912A69"/>
    <w:rsid w:val="00914238"/>
    <w:rsid w:val="009151A6"/>
    <w:rsid w:val="009211CE"/>
    <w:rsid w:val="009265DD"/>
    <w:rsid w:val="009320B4"/>
    <w:rsid w:val="009322B8"/>
    <w:rsid w:val="009337C2"/>
    <w:rsid w:val="00956D27"/>
    <w:rsid w:val="00962D85"/>
    <w:rsid w:val="00963C9C"/>
    <w:rsid w:val="009802E7"/>
    <w:rsid w:val="00982F38"/>
    <w:rsid w:val="00990C1B"/>
    <w:rsid w:val="009A2EB7"/>
    <w:rsid w:val="009C0418"/>
    <w:rsid w:val="009C61B6"/>
    <w:rsid w:val="009D4D8B"/>
    <w:rsid w:val="009E1E1E"/>
    <w:rsid w:val="009E4851"/>
    <w:rsid w:val="009E5221"/>
    <w:rsid w:val="009F0F48"/>
    <w:rsid w:val="009F31FC"/>
    <w:rsid w:val="00A05C7D"/>
    <w:rsid w:val="00A0607D"/>
    <w:rsid w:val="00A16ABC"/>
    <w:rsid w:val="00A172FA"/>
    <w:rsid w:val="00A21528"/>
    <w:rsid w:val="00A23C9A"/>
    <w:rsid w:val="00A277A9"/>
    <w:rsid w:val="00A31778"/>
    <w:rsid w:val="00A32046"/>
    <w:rsid w:val="00A339E3"/>
    <w:rsid w:val="00A36091"/>
    <w:rsid w:val="00A40B9A"/>
    <w:rsid w:val="00A40C9E"/>
    <w:rsid w:val="00A4167E"/>
    <w:rsid w:val="00A52FF9"/>
    <w:rsid w:val="00A539C9"/>
    <w:rsid w:val="00A54D90"/>
    <w:rsid w:val="00A5744E"/>
    <w:rsid w:val="00A63EDE"/>
    <w:rsid w:val="00A737C2"/>
    <w:rsid w:val="00A74AF4"/>
    <w:rsid w:val="00A80764"/>
    <w:rsid w:val="00A82BC5"/>
    <w:rsid w:val="00A91C38"/>
    <w:rsid w:val="00A954DF"/>
    <w:rsid w:val="00AA76CE"/>
    <w:rsid w:val="00AB0AE7"/>
    <w:rsid w:val="00AB660A"/>
    <w:rsid w:val="00AC3DBD"/>
    <w:rsid w:val="00AC55A4"/>
    <w:rsid w:val="00AC6447"/>
    <w:rsid w:val="00AC74CB"/>
    <w:rsid w:val="00AC7A7C"/>
    <w:rsid w:val="00AD3034"/>
    <w:rsid w:val="00AE0B5C"/>
    <w:rsid w:val="00AE67E3"/>
    <w:rsid w:val="00AE7472"/>
    <w:rsid w:val="00AF1D0F"/>
    <w:rsid w:val="00AF4ADD"/>
    <w:rsid w:val="00B0530A"/>
    <w:rsid w:val="00B10739"/>
    <w:rsid w:val="00B12A00"/>
    <w:rsid w:val="00B12F1A"/>
    <w:rsid w:val="00B1394D"/>
    <w:rsid w:val="00B154F1"/>
    <w:rsid w:val="00B17C9B"/>
    <w:rsid w:val="00B20048"/>
    <w:rsid w:val="00B3272F"/>
    <w:rsid w:val="00B32DFE"/>
    <w:rsid w:val="00B349AE"/>
    <w:rsid w:val="00B40A96"/>
    <w:rsid w:val="00B4397D"/>
    <w:rsid w:val="00B44304"/>
    <w:rsid w:val="00B457F0"/>
    <w:rsid w:val="00B45928"/>
    <w:rsid w:val="00B52115"/>
    <w:rsid w:val="00B539E4"/>
    <w:rsid w:val="00B56A51"/>
    <w:rsid w:val="00B621DD"/>
    <w:rsid w:val="00B6515A"/>
    <w:rsid w:val="00B657DA"/>
    <w:rsid w:val="00B67212"/>
    <w:rsid w:val="00B67D2F"/>
    <w:rsid w:val="00B80418"/>
    <w:rsid w:val="00B81A61"/>
    <w:rsid w:val="00B81FD1"/>
    <w:rsid w:val="00B90082"/>
    <w:rsid w:val="00B942BA"/>
    <w:rsid w:val="00B947F4"/>
    <w:rsid w:val="00B9582B"/>
    <w:rsid w:val="00B97862"/>
    <w:rsid w:val="00BA1EB0"/>
    <w:rsid w:val="00BA26EC"/>
    <w:rsid w:val="00BB0DD2"/>
    <w:rsid w:val="00BB4610"/>
    <w:rsid w:val="00BB5F37"/>
    <w:rsid w:val="00BC0403"/>
    <w:rsid w:val="00BC6BC9"/>
    <w:rsid w:val="00BD205C"/>
    <w:rsid w:val="00BD368D"/>
    <w:rsid w:val="00BD3E2E"/>
    <w:rsid w:val="00BE654D"/>
    <w:rsid w:val="00BF4529"/>
    <w:rsid w:val="00BF4E8F"/>
    <w:rsid w:val="00BF4F05"/>
    <w:rsid w:val="00BF7E07"/>
    <w:rsid w:val="00BF7EC7"/>
    <w:rsid w:val="00C00577"/>
    <w:rsid w:val="00C051EB"/>
    <w:rsid w:val="00C0592E"/>
    <w:rsid w:val="00C102AE"/>
    <w:rsid w:val="00C10587"/>
    <w:rsid w:val="00C1081B"/>
    <w:rsid w:val="00C11E85"/>
    <w:rsid w:val="00C164EE"/>
    <w:rsid w:val="00C173B7"/>
    <w:rsid w:val="00C3025A"/>
    <w:rsid w:val="00C32C6C"/>
    <w:rsid w:val="00C344DA"/>
    <w:rsid w:val="00C40F04"/>
    <w:rsid w:val="00C608D7"/>
    <w:rsid w:val="00C6284E"/>
    <w:rsid w:val="00C65581"/>
    <w:rsid w:val="00C67341"/>
    <w:rsid w:val="00C762C9"/>
    <w:rsid w:val="00C76C03"/>
    <w:rsid w:val="00C809D7"/>
    <w:rsid w:val="00C80B81"/>
    <w:rsid w:val="00C84804"/>
    <w:rsid w:val="00C86C36"/>
    <w:rsid w:val="00C953C7"/>
    <w:rsid w:val="00C95FC4"/>
    <w:rsid w:val="00CA267E"/>
    <w:rsid w:val="00CA6A12"/>
    <w:rsid w:val="00CB0636"/>
    <w:rsid w:val="00CC711D"/>
    <w:rsid w:val="00CD0EE2"/>
    <w:rsid w:val="00CD2304"/>
    <w:rsid w:val="00CF1B54"/>
    <w:rsid w:val="00CF4672"/>
    <w:rsid w:val="00CF6D2C"/>
    <w:rsid w:val="00CF7CDC"/>
    <w:rsid w:val="00D00A6B"/>
    <w:rsid w:val="00D03A5E"/>
    <w:rsid w:val="00D06D5B"/>
    <w:rsid w:val="00D1694C"/>
    <w:rsid w:val="00D17B1E"/>
    <w:rsid w:val="00D229F1"/>
    <w:rsid w:val="00D25CE5"/>
    <w:rsid w:val="00D3370C"/>
    <w:rsid w:val="00D362E9"/>
    <w:rsid w:val="00D37635"/>
    <w:rsid w:val="00D4112F"/>
    <w:rsid w:val="00D45E67"/>
    <w:rsid w:val="00D47316"/>
    <w:rsid w:val="00D60CC8"/>
    <w:rsid w:val="00D70525"/>
    <w:rsid w:val="00D70ADB"/>
    <w:rsid w:val="00D74EED"/>
    <w:rsid w:val="00D765CB"/>
    <w:rsid w:val="00D804A6"/>
    <w:rsid w:val="00D924BE"/>
    <w:rsid w:val="00D927E9"/>
    <w:rsid w:val="00D92951"/>
    <w:rsid w:val="00D9621D"/>
    <w:rsid w:val="00DA6ADD"/>
    <w:rsid w:val="00DB692E"/>
    <w:rsid w:val="00DC68F1"/>
    <w:rsid w:val="00DC7426"/>
    <w:rsid w:val="00DC78FA"/>
    <w:rsid w:val="00DD58D8"/>
    <w:rsid w:val="00DE00F6"/>
    <w:rsid w:val="00DF2E8F"/>
    <w:rsid w:val="00DF4523"/>
    <w:rsid w:val="00E02EA3"/>
    <w:rsid w:val="00E1264A"/>
    <w:rsid w:val="00E137ED"/>
    <w:rsid w:val="00E17EED"/>
    <w:rsid w:val="00E24981"/>
    <w:rsid w:val="00E262D1"/>
    <w:rsid w:val="00E263A1"/>
    <w:rsid w:val="00E26598"/>
    <w:rsid w:val="00E30483"/>
    <w:rsid w:val="00E30848"/>
    <w:rsid w:val="00E32BFD"/>
    <w:rsid w:val="00E36324"/>
    <w:rsid w:val="00E41EA5"/>
    <w:rsid w:val="00E45CA8"/>
    <w:rsid w:val="00E54229"/>
    <w:rsid w:val="00E575B2"/>
    <w:rsid w:val="00E57764"/>
    <w:rsid w:val="00E60BA3"/>
    <w:rsid w:val="00E62CA0"/>
    <w:rsid w:val="00E6535B"/>
    <w:rsid w:val="00E738B3"/>
    <w:rsid w:val="00E777C2"/>
    <w:rsid w:val="00E82912"/>
    <w:rsid w:val="00E86529"/>
    <w:rsid w:val="00E8698C"/>
    <w:rsid w:val="00E90576"/>
    <w:rsid w:val="00E91DB5"/>
    <w:rsid w:val="00E92E97"/>
    <w:rsid w:val="00E97C34"/>
    <w:rsid w:val="00EA09A6"/>
    <w:rsid w:val="00EA7D80"/>
    <w:rsid w:val="00EB3378"/>
    <w:rsid w:val="00EC122C"/>
    <w:rsid w:val="00EC28FF"/>
    <w:rsid w:val="00ED0CC2"/>
    <w:rsid w:val="00ED339F"/>
    <w:rsid w:val="00ED3B65"/>
    <w:rsid w:val="00EE3E63"/>
    <w:rsid w:val="00EE6E2E"/>
    <w:rsid w:val="00EE6E34"/>
    <w:rsid w:val="00EF4B5D"/>
    <w:rsid w:val="00F03CFD"/>
    <w:rsid w:val="00F03F4E"/>
    <w:rsid w:val="00F11AA1"/>
    <w:rsid w:val="00F11AF3"/>
    <w:rsid w:val="00F13FDD"/>
    <w:rsid w:val="00F1484F"/>
    <w:rsid w:val="00F17F85"/>
    <w:rsid w:val="00F25461"/>
    <w:rsid w:val="00F26304"/>
    <w:rsid w:val="00F31167"/>
    <w:rsid w:val="00F31F46"/>
    <w:rsid w:val="00F32C4B"/>
    <w:rsid w:val="00F36E22"/>
    <w:rsid w:val="00F549F0"/>
    <w:rsid w:val="00F5643F"/>
    <w:rsid w:val="00F600B7"/>
    <w:rsid w:val="00F63647"/>
    <w:rsid w:val="00F65FCD"/>
    <w:rsid w:val="00F705CA"/>
    <w:rsid w:val="00F708C9"/>
    <w:rsid w:val="00F740F8"/>
    <w:rsid w:val="00F75D8A"/>
    <w:rsid w:val="00F77521"/>
    <w:rsid w:val="00F93EF7"/>
    <w:rsid w:val="00F96E6C"/>
    <w:rsid w:val="00FA3D3F"/>
    <w:rsid w:val="00FA7FF9"/>
    <w:rsid w:val="00FB4C38"/>
    <w:rsid w:val="00FC2ACA"/>
    <w:rsid w:val="00FC4913"/>
    <w:rsid w:val="00FC7068"/>
    <w:rsid w:val="00FD2735"/>
    <w:rsid w:val="00FD2930"/>
    <w:rsid w:val="00FD4791"/>
    <w:rsid w:val="00FD4E53"/>
    <w:rsid w:val="00FF0B4B"/>
    <w:rsid w:val="0EC3AE60"/>
    <w:rsid w:val="2AC37F13"/>
    <w:rsid w:val="42571F4B"/>
    <w:rsid w:val="4C640746"/>
    <w:rsid w:val="547F9F61"/>
    <w:rsid w:val="7F559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29F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3F39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42239"/>
    <w:pPr>
      <w:keepNext/>
      <w:keepLines/>
      <w:spacing w:before="160" w:after="80" w:line="259" w:lineRule="auto"/>
      <w:outlineLvl w:val="2"/>
    </w:pPr>
    <w:rPr>
      <w:rFonts w:eastAsiaTheme="minorEastAsia" w:cstheme="majorEastAsia"/>
      <w:color w:val="2F5496" w:themeColor="accent1" w:themeShade="BF"/>
      <w:kern w:val="2"/>
      <w:szCs w:val="28"/>
      <w14:ligatures w14:val="standardContextual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customStyle="1" w:styleId="Preformatted">
    <w:name w:val="Preformatted"/>
    <w:basedOn w:val="Navaden"/>
    <w:rsid w:val="00641B0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line="240" w:lineRule="auto"/>
    </w:pPr>
    <w:rPr>
      <w:rFonts w:ascii="Courier New" w:hAnsi="Courier New"/>
      <w:szCs w:val="20"/>
      <w:lang w:eastAsia="sl-SI"/>
    </w:rPr>
  </w:style>
  <w:style w:type="paragraph" w:customStyle="1" w:styleId="Default">
    <w:name w:val="Default"/>
    <w:rsid w:val="00641B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log1">
    <w:name w:val="Slog1"/>
    <w:basedOn w:val="Privzetapisavaodstavka"/>
    <w:uiPriority w:val="1"/>
    <w:rsid w:val="00641B0F"/>
    <w:rPr>
      <w:rFonts w:ascii="Arial" w:hAnsi="Arial" w:cs="Arial" w:hint="default"/>
      <w:sz w:val="20"/>
    </w:rPr>
  </w:style>
  <w:style w:type="character" w:customStyle="1" w:styleId="i-drugo-copy">
    <w:name w:val="i-drugo-copy"/>
    <w:basedOn w:val="Privzetapisavaodstavka"/>
    <w:rsid w:val="00641B0F"/>
  </w:style>
  <w:style w:type="character" w:styleId="Hiperpovezava">
    <w:name w:val="Hyperlink"/>
    <w:basedOn w:val="Privzetapisavaodstavka"/>
    <w:uiPriority w:val="99"/>
    <w:unhideWhenUsed/>
    <w:rsid w:val="00CD0EE2"/>
    <w:rPr>
      <w:color w:val="0000FF"/>
      <w:u w:val="single"/>
    </w:rPr>
  </w:style>
  <w:style w:type="paragraph" w:customStyle="1" w:styleId="odstavek">
    <w:name w:val="odstavek"/>
    <w:basedOn w:val="Navaden"/>
    <w:rsid w:val="00C6558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Revizija">
    <w:name w:val="Revision"/>
    <w:hidden/>
    <w:uiPriority w:val="99"/>
    <w:semiHidden/>
    <w:rsid w:val="00AC74C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Odstavekseznama">
    <w:name w:val="List Paragraph"/>
    <w:aliases w:val="Normal bullet 2,Bullet list,Numbered List,List Paragraph1,1st level - Bullet List Paragraph,Lettre d'introduction,Paragrafo elenco,Fiche List Paragraph,Task Body,Viñetas (Inicio Parrafo),3 Txt tabla,Zerrenda-paragrafoa,Dot pt,lp1,2"/>
    <w:basedOn w:val="Navaden"/>
    <w:link w:val="OdstavekseznamaZnak"/>
    <w:uiPriority w:val="34"/>
    <w:qFormat/>
    <w:rsid w:val="00AC74C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583DC3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426DA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26DA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26DA0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26DA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26DA0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lineazaodstavkom">
    <w:name w:val="alineazaodstavkom"/>
    <w:basedOn w:val="Navaden"/>
    <w:rsid w:val="000325F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TableParagraph">
    <w:name w:val="Table Paragraph"/>
    <w:basedOn w:val="Navaden"/>
    <w:uiPriority w:val="1"/>
    <w:qFormat/>
    <w:rsid w:val="00694F60"/>
    <w:pPr>
      <w:widowControl w:val="0"/>
      <w:autoSpaceDE w:val="0"/>
      <w:autoSpaceDN w:val="0"/>
      <w:spacing w:line="240" w:lineRule="auto"/>
      <w:ind w:left="108"/>
    </w:pPr>
    <w:rPr>
      <w:rFonts w:ascii="Arial MT" w:eastAsia="Arial MT" w:hAnsi="Arial MT" w:cs="Arial MT"/>
      <w:sz w:val="22"/>
      <w:szCs w:val="22"/>
    </w:rPr>
  </w:style>
  <w:style w:type="character" w:customStyle="1" w:styleId="OdstavekseznamaZnak">
    <w:name w:val="Odstavek seznama Znak"/>
    <w:aliases w:val="Normal bullet 2 Znak,Bullet list Znak,Numbered List Znak,List Paragraph1 Znak,1st level - Bullet List Paragraph Znak,Lettre d'introduction Znak,Paragrafo elenco Znak,Fiche List Paragraph Znak,Task Body Znak,3 Txt tabla Znak,2 Znak"/>
    <w:basedOn w:val="Privzetapisavaodstavka"/>
    <w:link w:val="Odstavekseznama"/>
    <w:uiPriority w:val="34"/>
    <w:qFormat/>
    <w:locked/>
    <w:rsid w:val="00962D85"/>
    <w:rPr>
      <w:rFonts w:ascii="Arial" w:eastAsia="Times New Roman" w:hAnsi="Arial" w:cs="Times New Roman"/>
      <w:sz w:val="20"/>
      <w:szCs w:val="24"/>
    </w:rPr>
  </w:style>
  <w:style w:type="paragraph" w:styleId="Navadensplet">
    <w:name w:val="Normal (Web)"/>
    <w:basedOn w:val="Navaden"/>
    <w:uiPriority w:val="99"/>
    <w:unhideWhenUsed/>
    <w:rsid w:val="00962D8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242239"/>
    <w:rPr>
      <w:rFonts w:ascii="Arial" w:eastAsiaTheme="minorEastAsia" w:hAnsi="Arial" w:cstheme="majorEastAsia"/>
      <w:color w:val="2F5496" w:themeColor="accent1" w:themeShade="BF"/>
      <w:kern w:val="2"/>
      <w:sz w:val="20"/>
      <w:szCs w:val="28"/>
      <w14:ligatures w14:val="standardContextual"/>
    </w:rPr>
  </w:style>
  <w:style w:type="table" w:styleId="Tabelamrea">
    <w:name w:val="Table Grid"/>
    <w:basedOn w:val="Navadnatabela"/>
    <w:uiPriority w:val="39"/>
    <w:rsid w:val="0024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3F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F5AB2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F5AB2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F5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2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95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57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51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358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9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4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9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5273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single" w:sz="48" w:space="0" w:color="auto"/>
                                            <w:left w:val="single" w:sz="48" w:space="0" w:color="auto"/>
                                            <w:bottom w:val="single" w:sz="48" w:space="0" w:color="auto"/>
                                            <w:right w:val="single" w:sz="48" w:space="0" w:color="auto"/>
                                          </w:divBdr>
                                          <w:divsChild>
                                            <w:div w:id="111825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7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16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84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64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95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15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57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56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375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664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1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67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25-01-058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24-01-330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25-01-0860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25-01-128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F8D8348CF414C93D439B237020AF6" ma:contentTypeVersion="9" ma:contentTypeDescription="Create a new document." ma:contentTypeScope="" ma:versionID="ddfa1f87ab73e5acfedd1951a588ddb7">
  <xsd:schema xmlns:xsd="http://www.w3.org/2001/XMLSchema" xmlns:xs="http://www.w3.org/2001/XMLSchema" xmlns:p="http://schemas.microsoft.com/office/2006/metadata/properties" xmlns:ns2="492efdf0-f615-4980-afc6-0c432f385d7c" xmlns:ns3="93549e4a-03eb-4f03-a238-92c0240ecc14" targetNamespace="http://schemas.microsoft.com/office/2006/metadata/properties" ma:root="true" ma:fieldsID="73d0a48c865a3f20d452bd37835564f6" ns2:_="" ns3:_="">
    <xsd:import namespace="492efdf0-f615-4980-afc6-0c432f385d7c"/>
    <xsd:import namespace="93549e4a-03eb-4f03-a238-92c0240e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fdf0-f615-4980-afc6-0c432f38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9e4a-03eb-4f03-a238-92c0240ec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0A54F-278F-4822-BC12-344A21A55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A52CF-AF2E-41B4-9F10-53ABD9A2C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D970F3-4369-4A29-933B-826DB20352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73A329-1E98-4A48-8661-12A4FA1B9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efdf0-f615-4980-afc6-0c432f385d7c"/>
    <ds:schemaRef ds:uri="93549e4a-03eb-4f03-a238-92c0240ec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4922</Words>
  <Characters>28058</Characters>
  <Application>Microsoft Office Word</Application>
  <DocSecurity>0</DocSecurity>
  <Lines>233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Predloga dokumenta MVZI SLO</vt:lpstr>
    </vt:vector>
  </TitlesOfParts>
  <Company/>
  <LinksUpToDate>false</LinksUpToDate>
  <CharactersWithSpaces>32915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MVZI SLO</dc:title>
  <dc:subject/>
  <dc:creator>Polona Srebotnjak Verbinc</dc:creator>
  <cp:keywords/>
  <dc:description/>
  <cp:lastModifiedBy>Anamarija Meglič</cp:lastModifiedBy>
  <cp:revision>6</cp:revision>
  <cp:lastPrinted>2025-08-19T12:35:00Z</cp:lastPrinted>
  <dcterms:created xsi:type="dcterms:W3CDTF">2025-09-18T11:58:00Z</dcterms:created>
  <dcterms:modified xsi:type="dcterms:W3CDTF">2025-09-30T09:19:00Z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0x0101006F4F8D8348CF414C93D439B237020AF6</vt:lpwstr>
  </property>
</Properties>
</file>