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EAECB" w14:textId="1F5648E4" w:rsidR="009C178D" w:rsidRDefault="009C178D" w:rsidP="009C178D">
      <w:pPr>
        <w:pStyle w:val="TechnicalBlock"/>
        <w:ind w:left="-1134" w:right="-1134"/>
      </w:pPr>
      <w:bookmarkStart w:id="0" w:name="DW_BM_COVERPAGE"/>
      <w:r>
        <w:rPr>
          <w:noProof/>
        </w:rPr>
        <w:drawing>
          <wp:inline distT="0" distB="0" distL="0" distR="0" wp14:anchorId="08D6A6DB" wp14:editId="0BDFAF57">
            <wp:extent cx="7219950" cy="4857750"/>
            <wp:effectExtent l="0" t="0" r="0" b="0"/>
            <wp:docPr id="6" name="Picture 6" descr="Document Cover Page.&#10;Document Number: 13860/23.&#10;Subject Codes: PECHE 418.&#10;Heading: PREDLOG.&#10;Originator: za generalno sekretarko Evropske komisije: direktorica Martine DEPREZ.&#10;Recipient: Thérèse BLANCHET, generalna sekretarka Sveta Evropske unije.&#10;Subject: Predlog UREDBE SVETA o določitvi ribolovnih možnosti za leto 2024 za nekatere staleže rib in skupine staležev rib, ki se uporabljajo v Sredozemskem in Črnem morju.&#10;Commission Document Number: COM(2023) 578 final.&#10;Preceeding Document Number: Not Set.&#10;Location: Bruselj.&#10;Date: 10. oktober 2023.&#10;Interinstitutional Files: 2023/0350 (NLE).&#10;Institutional Framework: Svet Evropske unije.&#10;Language: SL.&#10;Distribution Code: PUBLIC.&#10;GUID: 505425700158337150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ument Cover Page.&#10;Document Number: 13860/23.&#10;Subject Codes: PECHE 418.&#10;Heading: PREDLOG.&#10;Originator: za generalno sekretarko Evropske komisije: direktorica Martine DEPREZ.&#10;Recipient: Thérèse BLANCHET, generalna sekretarka Sveta Evropske unije.&#10;Subject: Predlog UREDBE SVETA o določitvi ribolovnih možnosti za leto 2024 za nekatere staleže rib in skupine staležev rib, ki se uporabljajo v Sredozemskem in Črnem morju.&#10;Commission Document Number: COM(2023) 578 final.&#10;Preceeding Document Number: Not Set.&#10;Location: Bruselj.&#10;Date: 10. oktober 2023.&#10;Interinstitutional Files: 2023/0350 (NLE).&#10;Institutional Framework: Svet Evropske unije.&#10;Language: SL.&#10;Distribution Code: PUBLIC.&#10;GUID: 5054257001583371501_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19950" cy="4857750"/>
                    </a:xfrm>
                    <a:prstGeom prst="rect">
                      <a:avLst/>
                    </a:prstGeom>
                    <a:noFill/>
                    <a:ln>
                      <a:noFill/>
                    </a:ln>
                  </pic:spPr>
                </pic:pic>
              </a:graphicData>
            </a:graphic>
          </wp:inline>
        </w:drawing>
      </w:r>
      <w:bookmarkEnd w:id="0"/>
    </w:p>
    <w:p w14:paraId="007F14E5" w14:textId="2462AC1C" w:rsidR="009C178D" w:rsidRDefault="009C178D" w:rsidP="009C178D">
      <w:pPr>
        <w:pStyle w:val="EntText"/>
        <w:spacing w:before="480"/>
      </w:pPr>
      <w:r w:rsidRPr="009C178D">
        <w:t xml:space="preserve">Delegacije prejmejo priloženi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9C178D">
        <w:instrText>COM(2023) 578 final</w:instrText>
      </w:r>
      <w:r>
        <w:instrText xml:space="preserve">" </w:instrText>
      </w:r>
      <w:r>
        <w:fldChar w:fldCharType="separate"/>
      </w:r>
      <w:r w:rsidRPr="009C178D">
        <w:t>COM(2023) 578 final</w:t>
      </w:r>
      <w:r>
        <w:fldChar w:fldCharType="end"/>
      </w:r>
      <w:r w:rsidRPr="009C178D">
        <w:t>.</w:t>
      </w:r>
    </w:p>
    <w:p w14:paraId="14249EEA" w14:textId="77777777" w:rsidR="009C178D" w:rsidRDefault="009C178D" w:rsidP="009C178D">
      <w:pPr>
        <w:pStyle w:val="Lignefinal"/>
      </w:pPr>
    </w:p>
    <w:p w14:paraId="13E8C5EF" w14:textId="0709149A" w:rsidR="009C178D" w:rsidRDefault="009C178D" w:rsidP="009C178D">
      <w:pPr>
        <w:pStyle w:val="pj"/>
        <w:spacing w:before="120"/>
      </w:pPr>
      <w:r w:rsidRPr="009C178D">
        <w:t xml:space="preserve">Priloga: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9C178D">
        <w:instrText>COM(2023) 578 final</w:instrText>
      </w:r>
      <w:r>
        <w:instrText xml:space="preserve">" </w:instrText>
      </w:r>
      <w:r>
        <w:fldChar w:fldCharType="separate"/>
      </w:r>
      <w:r w:rsidRPr="009C178D">
        <w:t>COM(2023) 578 final</w:t>
      </w:r>
      <w:r>
        <w:fldChar w:fldCharType="end"/>
      </w:r>
    </w:p>
    <w:p w14:paraId="4E7712DF" w14:textId="7A5116E8" w:rsidR="009C178D" w:rsidRPr="009C178D" w:rsidRDefault="009C178D" w:rsidP="009C178D"/>
    <w:p w14:paraId="2065B6C8" w14:textId="77777777" w:rsidR="009C178D" w:rsidRDefault="009C178D" w:rsidP="009C178D">
      <w:pPr>
        <w:rPr>
          <w:noProof/>
        </w:rPr>
        <w:sectPr w:rsidR="009C178D" w:rsidSect="009C178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39"/>
          <w:pgMar w:top="624" w:right="1134" w:bottom="1134" w:left="1134" w:header="567" w:footer="567" w:gutter="0"/>
          <w:pgNumType w:start="0"/>
          <w:cols w:space="720"/>
          <w:titlePg/>
          <w:docGrid w:linePitch="360"/>
        </w:sectPr>
      </w:pPr>
    </w:p>
    <w:p w14:paraId="0D032FF6" w14:textId="4056A427" w:rsidR="00B858D4" w:rsidRPr="00322F2F" w:rsidRDefault="009C178D" w:rsidP="00BB4793">
      <w:pPr>
        <w:pStyle w:val="Pagedecouverture"/>
        <w:rPr>
          <w:noProof/>
        </w:rPr>
      </w:pPr>
      <w:r>
        <w:rPr>
          <w:noProof/>
        </w:rPr>
        <w:lastRenderedPageBreak/>
        <w:drawing>
          <wp:inline distT="0" distB="0" distL="0" distR="0" wp14:anchorId="7EFCD420" wp14:editId="4EF8F833">
            <wp:extent cx="5781675" cy="4514850"/>
            <wp:effectExtent l="0" t="0" r="0" b="0"/>
            <wp:docPr id="1" name="Picture 1" descr="D81DEC0A-D068-40C6-A70E-5D6358A15C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1DEC0A-D068-40C6-A70E-5D6358A15C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81675" cy="4514850"/>
                    </a:xfrm>
                    <a:prstGeom prst="rect">
                      <a:avLst/>
                    </a:prstGeom>
                    <a:noFill/>
                    <a:ln>
                      <a:noFill/>
                    </a:ln>
                  </pic:spPr>
                </pic:pic>
              </a:graphicData>
            </a:graphic>
          </wp:inline>
        </w:drawing>
      </w:r>
    </w:p>
    <w:p w14:paraId="4E53AA10" w14:textId="77777777" w:rsidR="00B858D4" w:rsidRPr="00322F2F" w:rsidRDefault="00B858D4" w:rsidP="00B858D4">
      <w:pPr>
        <w:rPr>
          <w:noProof/>
        </w:rPr>
        <w:sectPr w:rsidR="00B858D4" w:rsidRPr="00322F2F" w:rsidSect="00BB479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39"/>
          <w:pgMar w:top="1134" w:right="1417" w:bottom="1134" w:left="1417" w:header="709" w:footer="709" w:gutter="0"/>
          <w:pgNumType w:start="0"/>
          <w:cols w:space="720"/>
          <w:docGrid w:linePitch="360"/>
        </w:sectPr>
      </w:pPr>
    </w:p>
    <w:p w14:paraId="7AB01366" w14:textId="77777777" w:rsidR="008D2FA3" w:rsidRPr="00322F2F" w:rsidRDefault="00B858D4" w:rsidP="007E3AC5">
      <w:pPr>
        <w:pStyle w:val="Exposdesmotifstitre"/>
        <w:rPr>
          <w:noProof/>
        </w:rPr>
      </w:pPr>
      <w:r w:rsidRPr="00322F2F">
        <w:rPr>
          <w:noProof/>
        </w:rPr>
        <w:t>OBRAZLOŽITVENI MEMORANDUM</w:t>
      </w:r>
    </w:p>
    <w:p w14:paraId="4FE51AAD" w14:textId="77777777" w:rsidR="00B858D4" w:rsidRPr="00322F2F" w:rsidRDefault="00B858D4" w:rsidP="008154B4">
      <w:pPr>
        <w:pStyle w:val="ManualHeading1"/>
        <w:rPr>
          <w:noProof/>
        </w:rPr>
      </w:pPr>
      <w:r w:rsidRPr="00322F2F">
        <w:rPr>
          <w:noProof/>
        </w:rPr>
        <w:t>1.</w:t>
      </w:r>
      <w:r w:rsidRPr="00322F2F">
        <w:rPr>
          <w:noProof/>
        </w:rPr>
        <w:tab/>
        <w:t>OZADJE PREDLOGA</w:t>
      </w:r>
    </w:p>
    <w:p w14:paraId="233D4AF9" w14:textId="77777777" w:rsidR="008D2FA3" w:rsidRPr="00322F2F" w:rsidRDefault="00B858D4" w:rsidP="007E3AC5">
      <w:pPr>
        <w:pStyle w:val="ManualHeading2"/>
        <w:rPr>
          <w:rFonts w:eastAsia="Arial Unicode MS"/>
          <w:noProof/>
        </w:rPr>
      </w:pPr>
      <w:r w:rsidRPr="00322F2F">
        <w:rPr>
          <w:noProof/>
          <w:color w:val="000000"/>
          <w:u w:color="000000"/>
          <w:bdr w:val="nil"/>
        </w:rPr>
        <w:t>•</w:t>
      </w:r>
      <w:r w:rsidRPr="00322F2F">
        <w:rPr>
          <w:noProof/>
        </w:rPr>
        <w:tab/>
        <w:t>Razlogi za predlog in njegovi cilji</w:t>
      </w:r>
    </w:p>
    <w:p w14:paraId="0171EA0F" w14:textId="77777777" w:rsidR="008D2FA3" w:rsidRPr="00322F2F" w:rsidRDefault="00935BEA" w:rsidP="008D2FA3">
      <w:pPr>
        <w:pBdr>
          <w:top w:val="nil"/>
          <w:left w:val="nil"/>
          <w:bottom w:val="nil"/>
          <w:right w:val="nil"/>
          <w:between w:val="nil"/>
          <w:bar w:val="nil"/>
        </w:pBdr>
        <w:spacing w:before="0" w:after="240"/>
        <w:rPr>
          <w:rFonts w:eastAsia="Arial Unicode MS"/>
          <w:noProof/>
        </w:rPr>
      </w:pPr>
      <w:r w:rsidRPr="00322F2F">
        <w:rPr>
          <w:noProof/>
        </w:rPr>
        <w:t>Cilj Uredbe (EU) št. 1380/2013 Evropskega parlamenta in Sveta o skupni ribiški politiki (v nadaljnjem besedilu: osnovna uredba o SRP)</w:t>
      </w:r>
      <w:r w:rsidRPr="00322F2F">
        <w:rPr>
          <w:rStyle w:val="FootnoteReference"/>
          <w:rFonts w:eastAsia="Arial Unicode MS"/>
          <w:noProof/>
        </w:rPr>
        <w:footnoteReference w:id="1"/>
      </w:r>
      <w:r w:rsidRPr="00322F2F">
        <w:rPr>
          <w:noProof/>
        </w:rPr>
        <w:t xml:space="preserve"> je zagotoviti, da se živi vodni viri izkoriščajo v skladu s trajnostnimi gospodarskimi, okoljskimi in socialnimi pogoji. Pomembno orodje za dosego tega cilja je letno določanje ribolovnih možnosti. Vse uredbe o določitvi ribolovnih možnosti morajo omejevati ulov staležev rib na ravneh, skladnih s splošnimi cilji skupne ribiške politike (SRP).</w:t>
      </w:r>
    </w:p>
    <w:p w14:paraId="0A2CEC63" w14:textId="77777777" w:rsidR="008D2FA3" w:rsidRPr="00322F2F" w:rsidRDefault="008D2FA3" w:rsidP="008D2FA3">
      <w:pPr>
        <w:pBdr>
          <w:top w:val="nil"/>
          <w:left w:val="nil"/>
          <w:bottom w:val="nil"/>
          <w:right w:val="nil"/>
          <w:between w:val="nil"/>
          <w:bar w:val="nil"/>
        </w:pBdr>
        <w:spacing w:before="0" w:after="240"/>
        <w:rPr>
          <w:rFonts w:eastAsia="Arial Unicode MS"/>
          <w:noProof/>
        </w:rPr>
      </w:pPr>
      <w:r w:rsidRPr="00322F2F">
        <w:rPr>
          <w:noProof/>
        </w:rPr>
        <w:t>Cilj tega predloga je določiti ribolovne možnosti za nekatere staleže in skupine staležev v Sredozemskem in Črnem morju.</w:t>
      </w:r>
    </w:p>
    <w:p w14:paraId="78754883" w14:textId="77777777" w:rsidR="008D2FA3" w:rsidRPr="00322F2F" w:rsidRDefault="009623DE" w:rsidP="008D2FA3">
      <w:pPr>
        <w:pBdr>
          <w:top w:val="nil"/>
          <w:left w:val="nil"/>
          <w:bottom w:val="nil"/>
          <w:right w:val="nil"/>
          <w:between w:val="nil"/>
          <w:bar w:val="nil"/>
        </w:pBdr>
        <w:spacing w:before="0" w:after="240"/>
        <w:rPr>
          <w:rFonts w:eastAsia="Arial Unicode MS"/>
          <w:noProof/>
        </w:rPr>
      </w:pPr>
      <w:r w:rsidRPr="00322F2F">
        <w:rPr>
          <w:noProof/>
        </w:rPr>
        <w:t>Predlog v skladu z večletnim načrtom za pridnene staleže v zahodnem Sredozemskem morju</w:t>
      </w:r>
      <w:r w:rsidRPr="00322F2F">
        <w:rPr>
          <w:rStyle w:val="FootnoteReference"/>
          <w:noProof/>
        </w:rPr>
        <w:footnoteReference w:id="2"/>
      </w:r>
      <w:r w:rsidRPr="00322F2F">
        <w:rPr>
          <w:noProof/>
        </w:rPr>
        <w:t xml:space="preserve"> vključuje določitev ribolovnih možnosti za zadevne države članice (Španija, Francija in Italija), izraženih kot največji dovoljeni ribolovni napor in največja omejitev ulova za kozice.</w:t>
      </w:r>
    </w:p>
    <w:p w14:paraId="466BB7EC" w14:textId="77777777" w:rsidR="008D2FA3" w:rsidRPr="00322F2F" w:rsidRDefault="008D2FA3" w:rsidP="008D2FA3">
      <w:pPr>
        <w:pBdr>
          <w:top w:val="nil"/>
          <w:left w:val="nil"/>
          <w:bottom w:val="nil"/>
          <w:right w:val="nil"/>
          <w:between w:val="nil"/>
          <w:bar w:val="nil"/>
        </w:pBdr>
        <w:spacing w:before="0" w:after="240"/>
        <w:rPr>
          <w:rFonts w:eastAsia="Arial Unicode MS"/>
          <w:noProof/>
        </w:rPr>
      </w:pPr>
      <w:r w:rsidRPr="00322F2F">
        <w:rPr>
          <w:noProof/>
        </w:rPr>
        <w:t>Poleg tega so v njem določene ribolovne možnosti v skladu s sporazumi, sklenjenimi v okviru Generalne komisije za ribištvo v Sredozemlju (GFCM), regionalne organizacije za upravljanje ribištva, ki je pristojna za ohranjanje in upravljanje živih morskih virov v Sredozemskem in Črnem morju. Evropska unija je članica GFCM skupaj z Bolgarijo, Ciprom, Francijo, Grčijo, Hrvaško, Italijo, Malto, Romunijo, Slovenijo in Španijo. Ukrepi, sprejeti v okviru GFCM, so za njene članice zavezujoči.</w:t>
      </w:r>
    </w:p>
    <w:p w14:paraId="2D7BB160" w14:textId="77777777" w:rsidR="008D2FA3" w:rsidRPr="00322F2F" w:rsidRDefault="008D2FA3" w:rsidP="008D2FA3">
      <w:pPr>
        <w:pBdr>
          <w:top w:val="nil"/>
          <w:left w:val="nil"/>
          <w:bottom w:val="nil"/>
          <w:right w:val="nil"/>
          <w:between w:val="nil"/>
          <w:bar w:val="nil"/>
        </w:pBdr>
        <w:spacing w:before="0" w:after="240"/>
        <w:rPr>
          <w:rFonts w:eastAsia="Arial Unicode MS"/>
          <w:noProof/>
        </w:rPr>
      </w:pPr>
      <w:r w:rsidRPr="00322F2F">
        <w:rPr>
          <w:noProof/>
        </w:rPr>
        <w:t>V predlogu je določena tudi avtonomna kvota za papalino v Črnem morju, da se ne bi povečala trenutna stopnja ribolovne umrljivosti. Poleg tega v pravo Unije prenaša celotni dovoljeni ulov (TAC) in kvote za romba, kot jih je določila GFCM.</w:t>
      </w:r>
    </w:p>
    <w:p w14:paraId="7D508524" w14:textId="77777777" w:rsidR="00B858D4" w:rsidRPr="00322F2F" w:rsidRDefault="008D2FA3" w:rsidP="008D2FA3">
      <w:pPr>
        <w:pBdr>
          <w:top w:val="nil"/>
          <w:left w:val="nil"/>
          <w:bottom w:val="nil"/>
          <w:right w:val="nil"/>
          <w:between w:val="nil"/>
          <w:bar w:val="nil"/>
        </w:pBdr>
        <w:spacing w:before="0" w:after="240"/>
        <w:rPr>
          <w:rFonts w:eastAsia="Arial Unicode MS"/>
          <w:noProof/>
        </w:rPr>
      </w:pPr>
      <w:r w:rsidRPr="00322F2F">
        <w:rPr>
          <w:noProof/>
        </w:rPr>
        <w:t>Končni cilj predloga je pripeljati staleže na ravni, ki lahko zagotovijo največji trajnostni donos, in jih na teh ravneh tudi obdržati. Namen večletnega načrta za pridnene staleže v zahodnem Sredozemlju je postopoma in z rastočim ritmom po možnosti do leta 2020, najpozneje pa do 1. januarja 2025, doseči ribolovno umrljivost na ravni največjega trajnostnega donosa.</w:t>
      </w:r>
    </w:p>
    <w:p w14:paraId="1510AB0B" w14:textId="77777777" w:rsidR="00B858D4" w:rsidRPr="00322F2F" w:rsidRDefault="00B858D4" w:rsidP="008154B4">
      <w:pPr>
        <w:pStyle w:val="ManualHeading2"/>
        <w:rPr>
          <w:rFonts w:eastAsia="Arial Unicode MS"/>
          <w:noProof/>
        </w:rPr>
      </w:pPr>
      <w:r w:rsidRPr="00322F2F">
        <w:rPr>
          <w:noProof/>
          <w:color w:val="000000"/>
          <w:u w:color="000000"/>
          <w:bdr w:val="nil"/>
        </w:rPr>
        <w:t>•</w:t>
      </w:r>
      <w:r w:rsidRPr="00322F2F">
        <w:rPr>
          <w:noProof/>
        </w:rPr>
        <w:tab/>
        <w:t>Skladnost z veljavnimi predpisi s področja zadevne politike</w:t>
      </w:r>
    </w:p>
    <w:p w14:paraId="3B7E8D4D" w14:textId="77777777" w:rsidR="008D2FA3" w:rsidRPr="00322F2F" w:rsidRDefault="008D2FA3" w:rsidP="003B6F86">
      <w:pPr>
        <w:rPr>
          <w:noProof/>
        </w:rPr>
      </w:pPr>
      <w:r w:rsidRPr="00322F2F">
        <w:rPr>
          <w:noProof/>
        </w:rPr>
        <w:t>Predlagani ukrepi so zasnovani v skladu s cilji in pravili SRP.</w:t>
      </w:r>
    </w:p>
    <w:p w14:paraId="00FFA7AE" w14:textId="77777777" w:rsidR="00B858D4" w:rsidRPr="00322F2F" w:rsidRDefault="00B858D4" w:rsidP="008154B4">
      <w:pPr>
        <w:pStyle w:val="ManualHeading2"/>
        <w:rPr>
          <w:rFonts w:eastAsia="Arial Unicode MS"/>
          <w:noProof/>
        </w:rPr>
      </w:pPr>
      <w:r w:rsidRPr="00322F2F">
        <w:rPr>
          <w:noProof/>
          <w:color w:val="000000"/>
          <w:u w:color="000000"/>
          <w:bdr w:val="nil"/>
        </w:rPr>
        <w:t>•</w:t>
      </w:r>
      <w:r w:rsidRPr="00322F2F">
        <w:rPr>
          <w:noProof/>
        </w:rPr>
        <w:tab/>
        <w:t>Skladnost z drugimi politikami Unije</w:t>
      </w:r>
    </w:p>
    <w:p w14:paraId="6AD0767B" w14:textId="77777777" w:rsidR="008D2FA3" w:rsidRPr="00322F2F" w:rsidRDefault="008D2FA3" w:rsidP="008154B4">
      <w:pPr>
        <w:pBdr>
          <w:top w:val="nil"/>
          <w:left w:val="nil"/>
          <w:bottom w:val="nil"/>
          <w:right w:val="nil"/>
          <w:between w:val="nil"/>
          <w:bar w:val="nil"/>
        </w:pBdr>
        <w:spacing w:before="0" w:after="240"/>
        <w:rPr>
          <w:rFonts w:eastAsia="Arial Unicode MS"/>
          <w:noProof/>
        </w:rPr>
      </w:pPr>
      <w:r w:rsidRPr="00322F2F">
        <w:rPr>
          <w:noProof/>
        </w:rPr>
        <w:t>Predlagani ukrepi so skladni z drugimi politikami Unije, zlasti s politikami na področju okolja.</w:t>
      </w:r>
    </w:p>
    <w:p w14:paraId="5A5E3655" w14:textId="77777777" w:rsidR="00B858D4" w:rsidRPr="00322F2F" w:rsidRDefault="00B858D4" w:rsidP="008154B4">
      <w:pPr>
        <w:pStyle w:val="ManualHeading1"/>
        <w:rPr>
          <w:noProof/>
        </w:rPr>
      </w:pPr>
      <w:r w:rsidRPr="00322F2F">
        <w:rPr>
          <w:noProof/>
        </w:rPr>
        <w:t>2.</w:t>
      </w:r>
      <w:r w:rsidRPr="00322F2F">
        <w:rPr>
          <w:noProof/>
        </w:rPr>
        <w:tab/>
        <w:t>PRAVNA PODLAGA, SUBSIDIARNOST IN SORAZMERNOST</w:t>
      </w:r>
    </w:p>
    <w:p w14:paraId="6B57449A" w14:textId="77777777" w:rsidR="0013763F" w:rsidRPr="00322F2F" w:rsidRDefault="00B858D4" w:rsidP="0013763F">
      <w:pPr>
        <w:pStyle w:val="ManualHeading2"/>
        <w:rPr>
          <w:noProof/>
        </w:rPr>
      </w:pPr>
      <w:r w:rsidRPr="00322F2F">
        <w:rPr>
          <w:noProof/>
          <w:u w:color="000000"/>
          <w:bdr w:val="nil"/>
        </w:rPr>
        <w:t>•</w:t>
      </w:r>
      <w:r w:rsidRPr="00322F2F">
        <w:rPr>
          <w:noProof/>
        </w:rPr>
        <w:tab/>
      </w:r>
      <w:r w:rsidRPr="00322F2F">
        <w:rPr>
          <w:noProof/>
          <w:u w:color="000000"/>
          <w:bdr w:val="nil"/>
        </w:rPr>
        <w:t>Pravna podlaga</w:t>
      </w:r>
    </w:p>
    <w:p w14:paraId="0DEFAD1A" w14:textId="77777777" w:rsidR="0013763F" w:rsidRPr="00322F2F" w:rsidRDefault="0013763F" w:rsidP="0013763F">
      <w:pPr>
        <w:pBdr>
          <w:top w:val="nil"/>
          <w:left w:val="nil"/>
          <w:bottom w:val="nil"/>
          <w:right w:val="nil"/>
          <w:between w:val="nil"/>
          <w:bar w:val="nil"/>
        </w:pBdr>
        <w:spacing w:before="0" w:after="240"/>
        <w:rPr>
          <w:noProof/>
        </w:rPr>
      </w:pPr>
      <w:r w:rsidRPr="00322F2F">
        <w:rPr>
          <w:noProof/>
        </w:rPr>
        <w:t>Pravna podlaga tega predloga je člen (43)3 Pogodbe o delovanju Evropske unije (PDEU).</w:t>
      </w:r>
    </w:p>
    <w:p w14:paraId="3ED07A50" w14:textId="77777777" w:rsidR="00B858D4" w:rsidRPr="00322F2F" w:rsidRDefault="00B858D4" w:rsidP="008154B4">
      <w:pPr>
        <w:pStyle w:val="ManualHeading2"/>
        <w:rPr>
          <w:rFonts w:eastAsia="Arial Unicode MS"/>
          <w:noProof/>
          <w:u w:color="000000"/>
          <w:bdr w:val="nil"/>
        </w:rPr>
      </w:pPr>
      <w:r w:rsidRPr="00322F2F">
        <w:rPr>
          <w:noProof/>
          <w:u w:color="000000"/>
          <w:bdr w:val="nil"/>
        </w:rPr>
        <w:t>•</w:t>
      </w:r>
      <w:r w:rsidRPr="00322F2F">
        <w:rPr>
          <w:noProof/>
        </w:rPr>
        <w:tab/>
      </w:r>
      <w:r w:rsidRPr="00322F2F">
        <w:rPr>
          <w:noProof/>
          <w:u w:color="000000"/>
          <w:bdr w:val="nil"/>
        </w:rPr>
        <w:t xml:space="preserve">Subsidiarnost (za neizključno pristojnost) </w:t>
      </w:r>
    </w:p>
    <w:p w14:paraId="5EF12DEC" w14:textId="77777777" w:rsidR="00B858D4" w:rsidRPr="00322F2F" w:rsidRDefault="0013763F" w:rsidP="008154B4">
      <w:pPr>
        <w:pBdr>
          <w:top w:val="nil"/>
          <w:left w:val="nil"/>
          <w:bottom w:val="nil"/>
          <w:right w:val="nil"/>
          <w:between w:val="nil"/>
          <w:bar w:val="nil"/>
        </w:pBdr>
        <w:spacing w:before="0" w:after="240"/>
        <w:rPr>
          <w:rFonts w:eastAsia="Arial Unicode MS"/>
          <w:noProof/>
        </w:rPr>
      </w:pPr>
      <w:r w:rsidRPr="00322F2F">
        <w:rPr>
          <w:noProof/>
        </w:rPr>
        <w:t>Predlog spada pod izključno pristojnost Unije iz člena 3(1), točka (d), PDEU. Načelo subsidiarnosti se zato ne uporablja.</w:t>
      </w:r>
    </w:p>
    <w:p w14:paraId="657B8EEC" w14:textId="77777777" w:rsidR="00B858D4" w:rsidRPr="00322F2F" w:rsidRDefault="00B858D4" w:rsidP="0013763F">
      <w:pPr>
        <w:pStyle w:val="ManualHeading2"/>
        <w:ind w:left="0" w:firstLine="0"/>
        <w:rPr>
          <w:rFonts w:eastAsia="Arial Unicode MS"/>
          <w:noProof/>
          <w:u w:color="000000"/>
          <w:bdr w:val="nil"/>
        </w:rPr>
      </w:pPr>
      <w:r w:rsidRPr="00322F2F">
        <w:rPr>
          <w:noProof/>
          <w:u w:color="000000"/>
          <w:bdr w:val="nil"/>
        </w:rPr>
        <w:t>•</w:t>
      </w:r>
      <w:r w:rsidRPr="00322F2F">
        <w:rPr>
          <w:noProof/>
        </w:rPr>
        <w:tab/>
      </w:r>
      <w:r w:rsidRPr="00322F2F">
        <w:rPr>
          <w:noProof/>
          <w:u w:color="000000"/>
          <w:bdr w:val="nil"/>
        </w:rPr>
        <w:t>Sorazmernost</w:t>
      </w:r>
    </w:p>
    <w:p w14:paraId="5026EBEB" w14:textId="77777777" w:rsidR="0013763F" w:rsidRPr="00322F2F" w:rsidRDefault="0013763F" w:rsidP="0013763F">
      <w:pPr>
        <w:pBdr>
          <w:top w:val="nil"/>
          <w:left w:val="nil"/>
          <w:bottom w:val="nil"/>
          <w:right w:val="nil"/>
          <w:between w:val="nil"/>
          <w:bar w:val="nil"/>
        </w:pBdr>
        <w:spacing w:before="0" w:after="240"/>
        <w:rPr>
          <w:noProof/>
        </w:rPr>
      </w:pPr>
      <w:r w:rsidRPr="00322F2F">
        <w:rPr>
          <w:noProof/>
        </w:rPr>
        <w:t>Predlog je v skladu z načelom sorazmernosti, saj je SRP skupna politika, tako da je vsak regionalni morski bazen EU (npr. Baltsko morje, Sredozemlje) predmet uredbe o ribolovnih možnostih, s katero se zagotavljajo enaki konkurenčni pogoji pri izvajanju SRP. Svet mora v skladu s členom 43(3) PDEU sprejeti ukrepe o določitvi in dodelitvi ribolovnih možnosti.</w:t>
      </w:r>
    </w:p>
    <w:p w14:paraId="00357DB4" w14:textId="77777777" w:rsidR="0013763F" w:rsidRPr="00322F2F" w:rsidRDefault="0013763F" w:rsidP="0013763F">
      <w:pPr>
        <w:pBdr>
          <w:top w:val="nil"/>
          <w:left w:val="nil"/>
          <w:bottom w:val="nil"/>
          <w:right w:val="nil"/>
          <w:between w:val="nil"/>
          <w:bar w:val="nil"/>
        </w:pBdr>
        <w:spacing w:before="0" w:after="240"/>
        <w:rPr>
          <w:noProof/>
        </w:rPr>
      </w:pPr>
      <w:r w:rsidRPr="00322F2F">
        <w:rPr>
          <w:noProof/>
        </w:rPr>
        <w:t>Predlog dodeljuje ribolovne možnosti državam članicam. Države članice se na podlagi člena 16(6) in (7) ter člena 17 osnovne uredbe o SRP  v skladu z nekaterimi merili iz navedenih členov svobodno odločijo, kako se ribolovne možnosti, ki so jim dodeljene, dodelijo ribiškim plovilom, ki plujejo pod njihovo zastavo. Zato imajo države članice potrebno polje proste presoje pri razdeljevanju dodeljenih ribolovnih možnosti v skladu s svojimi družbenimi in gospodarskimi modeli.</w:t>
      </w:r>
    </w:p>
    <w:p w14:paraId="1F240203" w14:textId="77777777" w:rsidR="00B858D4" w:rsidRPr="00322F2F" w:rsidRDefault="00B858D4" w:rsidP="008154B4">
      <w:pPr>
        <w:pStyle w:val="ManualHeading2"/>
        <w:rPr>
          <w:rFonts w:eastAsia="Arial Unicode MS"/>
          <w:noProof/>
          <w:u w:color="000000"/>
          <w:bdr w:val="nil"/>
        </w:rPr>
      </w:pPr>
      <w:r w:rsidRPr="00322F2F">
        <w:rPr>
          <w:noProof/>
          <w:u w:color="000000"/>
          <w:bdr w:val="nil"/>
        </w:rPr>
        <w:t>•</w:t>
      </w:r>
      <w:r w:rsidRPr="00322F2F">
        <w:rPr>
          <w:noProof/>
        </w:rPr>
        <w:tab/>
      </w:r>
      <w:r w:rsidRPr="00322F2F">
        <w:rPr>
          <w:noProof/>
          <w:u w:color="000000"/>
          <w:bdr w:val="nil"/>
        </w:rPr>
        <w:t>Izbira instrumenta</w:t>
      </w:r>
    </w:p>
    <w:p w14:paraId="436DF998" w14:textId="77777777" w:rsidR="00B76224" w:rsidRPr="00322F2F" w:rsidRDefault="00955179" w:rsidP="0013763F">
      <w:pPr>
        <w:pBdr>
          <w:top w:val="nil"/>
          <w:left w:val="nil"/>
          <w:bottom w:val="nil"/>
          <w:right w:val="nil"/>
          <w:between w:val="nil"/>
          <w:bar w:val="nil"/>
        </w:pBdr>
        <w:spacing w:before="0" w:after="240"/>
        <w:rPr>
          <w:rFonts w:eastAsia="Arial Unicode MS"/>
          <w:noProof/>
        </w:rPr>
      </w:pPr>
      <w:r w:rsidRPr="00322F2F">
        <w:rPr>
          <w:noProof/>
        </w:rPr>
        <w:t>Uredba se šteje za najprimernejši instrument, saj omogoča določitev zahtev, ki se uporabljajo neposredno za države članice in zadevne gospodarske subjekte. To bo pripomoglo k pravočasnemu in usklajenemu izvajanju zahtev ter s tem k večji pravni varnosti.</w:t>
      </w:r>
    </w:p>
    <w:p w14:paraId="6D0D0F89" w14:textId="77777777" w:rsidR="00B858D4" w:rsidRPr="00322F2F" w:rsidRDefault="00B858D4" w:rsidP="008154B4">
      <w:pPr>
        <w:pStyle w:val="ManualHeading1"/>
        <w:rPr>
          <w:noProof/>
        </w:rPr>
      </w:pPr>
      <w:r w:rsidRPr="00322F2F">
        <w:rPr>
          <w:noProof/>
        </w:rPr>
        <w:t>3.</w:t>
      </w:r>
      <w:r w:rsidRPr="00322F2F">
        <w:rPr>
          <w:noProof/>
        </w:rPr>
        <w:tab/>
        <w:t>REZULTATI NAKNADNIH OCEN, POSVETOVANJ Z DELEŽNIKI IN OCEN UČINKA</w:t>
      </w:r>
    </w:p>
    <w:p w14:paraId="2919FA60" w14:textId="77777777" w:rsidR="00B858D4" w:rsidRPr="00322F2F" w:rsidRDefault="00B858D4" w:rsidP="008154B4">
      <w:pPr>
        <w:pStyle w:val="ManualHeading2"/>
        <w:rPr>
          <w:rFonts w:eastAsia="Arial Unicode MS"/>
          <w:noProof/>
          <w:u w:color="000000"/>
          <w:bdr w:val="nil"/>
        </w:rPr>
      </w:pPr>
      <w:r w:rsidRPr="00322F2F">
        <w:rPr>
          <w:noProof/>
          <w:u w:color="000000"/>
          <w:bdr w:val="nil"/>
        </w:rPr>
        <w:t>•</w:t>
      </w:r>
      <w:r w:rsidRPr="00322F2F">
        <w:rPr>
          <w:noProof/>
        </w:rPr>
        <w:tab/>
      </w:r>
      <w:r w:rsidRPr="00322F2F">
        <w:rPr>
          <w:noProof/>
          <w:u w:color="000000"/>
          <w:bdr w:val="nil"/>
        </w:rPr>
        <w:t>Naknadne ocene/preverjanja primernosti obstoječe zakonodaje</w:t>
      </w:r>
    </w:p>
    <w:p w14:paraId="64A6F53D" w14:textId="77777777" w:rsidR="0013763F" w:rsidRPr="00322F2F" w:rsidRDefault="0013763F" w:rsidP="0013763F">
      <w:pPr>
        <w:pBdr>
          <w:top w:val="nil"/>
          <w:left w:val="nil"/>
          <w:bottom w:val="nil"/>
          <w:right w:val="nil"/>
          <w:between w:val="nil"/>
          <w:bar w:val="nil"/>
        </w:pBdr>
        <w:spacing w:before="0" w:after="240"/>
        <w:rPr>
          <w:rFonts w:eastAsia="Arial Unicode MS"/>
          <w:noProof/>
        </w:rPr>
      </w:pPr>
      <w:r w:rsidRPr="00322F2F">
        <w:rPr>
          <w:noProof/>
        </w:rPr>
        <w:t>Ni relevantno.</w:t>
      </w:r>
    </w:p>
    <w:p w14:paraId="741B001F" w14:textId="77777777" w:rsidR="00B858D4" w:rsidRPr="00322F2F" w:rsidRDefault="00B858D4" w:rsidP="008154B4">
      <w:pPr>
        <w:pStyle w:val="ManualHeading2"/>
        <w:rPr>
          <w:rFonts w:eastAsia="Arial Unicode MS"/>
          <w:noProof/>
          <w:u w:color="000000"/>
          <w:bdr w:val="nil"/>
        </w:rPr>
      </w:pPr>
      <w:r w:rsidRPr="00322F2F">
        <w:rPr>
          <w:noProof/>
          <w:u w:color="000000"/>
          <w:bdr w:val="nil"/>
        </w:rPr>
        <w:t>•</w:t>
      </w:r>
      <w:r w:rsidRPr="00322F2F">
        <w:rPr>
          <w:noProof/>
        </w:rPr>
        <w:tab/>
      </w:r>
      <w:r w:rsidRPr="00322F2F">
        <w:rPr>
          <w:noProof/>
          <w:u w:color="000000"/>
          <w:bdr w:val="nil"/>
        </w:rPr>
        <w:t>Posvetovanja z deležniki</w:t>
      </w:r>
    </w:p>
    <w:p w14:paraId="4AE092BB" w14:textId="77777777" w:rsidR="0013763F" w:rsidRPr="00322F2F" w:rsidRDefault="0013763F" w:rsidP="0013763F">
      <w:pPr>
        <w:pBdr>
          <w:top w:val="nil"/>
          <w:left w:val="nil"/>
          <w:bottom w:val="nil"/>
          <w:right w:val="nil"/>
          <w:between w:val="nil"/>
          <w:bar w:val="nil"/>
        </w:pBdr>
        <w:spacing w:before="0" w:after="240"/>
        <w:rPr>
          <w:noProof/>
        </w:rPr>
      </w:pPr>
      <w:r w:rsidRPr="00322F2F">
        <w:rPr>
          <w:noProof/>
        </w:rPr>
        <w:t xml:space="preserve">Posvetovanja z zainteresiranimi stranmi so potekala v okviru Sporočila Komisije Evropskemu parlamentu in Svetu </w:t>
      </w:r>
      <w:r w:rsidRPr="00322F2F">
        <w:rPr>
          <w:i/>
          <w:noProof/>
        </w:rPr>
        <w:t>Trajnostni ribolov v EU: trenutno stanje in usmeritve za leto 2024</w:t>
      </w:r>
      <w:r w:rsidRPr="00322F2F">
        <w:rPr>
          <w:noProof/>
        </w:rPr>
        <w:t xml:space="preserve"> (COM(2023) 303 final). </w:t>
      </w:r>
    </w:p>
    <w:p w14:paraId="2469F850" w14:textId="77777777" w:rsidR="00B858D4" w:rsidRPr="00322F2F" w:rsidRDefault="00B858D4" w:rsidP="008154B4">
      <w:pPr>
        <w:pStyle w:val="ManualHeading2"/>
        <w:rPr>
          <w:rFonts w:eastAsia="Arial Unicode MS"/>
          <w:noProof/>
          <w:u w:color="000000"/>
          <w:bdr w:val="nil"/>
        </w:rPr>
      </w:pPr>
      <w:r w:rsidRPr="00322F2F">
        <w:rPr>
          <w:noProof/>
          <w:u w:color="000000"/>
          <w:bdr w:val="nil"/>
        </w:rPr>
        <w:t>•</w:t>
      </w:r>
      <w:r w:rsidRPr="00322F2F">
        <w:rPr>
          <w:noProof/>
        </w:rPr>
        <w:tab/>
      </w:r>
      <w:r w:rsidRPr="00322F2F">
        <w:rPr>
          <w:noProof/>
          <w:u w:color="000000"/>
          <w:bdr w:val="nil"/>
        </w:rPr>
        <w:t>Zbiranje in uporaba strokovnih mnenj</w:t>
      </w:r>
    </w:p>
    <w:p w14:paraId="1067C984" w14:textId="77777777" w:rsidR="00B858D4" w:rsidRPr="00322F2F" w:rsidRDefault="0013763F" w:rsidP="008154B4">
      <w:pPr>
        <w:pBdr>
          <w:top w:val="nil"/>
          <w:left w:val="nil"/>
          <w:bottom w:val="nil"/>
          <w:right w:val="nil"/>
          <w:between w:val="nil"/>
          <w:bar w:val="nil"/>
        </w:pBdr>
        <w:spacing w:before="0" w:after="240"/>
        <w:rPr>
          <w:rFonts w:eastAsia="Arial Unicode MS"/>
          <w:noProof/>
        </w:rPr>
      </w:pPr>
      <w:r w:rsidRPr="00322F2F">
        <w:rPr>
          <w:noProof/>
        </w:rPr>
        <w:t xml:space="preserve">Ocena stanja staležev v Sredozemskem in Črnem morju temelji na najnovejšem delu Znanstvenega, tehničnega in gospodarskega odbora za ribištvo in Znanstvenega svetovalnega odbora GFCM za ribištvo. </w:t>
      </w:r>
    </w:p>
    <w:p w14:paraId="78AA861F" w14:textId="77777777" w:rsidR="00B858D4" w:rsidRPr="00322F2F" w:rsidRDefault="00B858D4" w:rsidP="008154B4">
      <w:pPr>
        <w:pStyle w:val="ManualHeading2"/>
        <w:rPr>
          <w:rFonts w:eastAsia="Arial Unicode MS"/>
          <w:noProof/>
          <w:u w:color="000000"/>
          <w:bdr w:val="nil"/>
        </w:rPr>
      </w:pPr>
      <w:r w:rsidRPr="00322F2F">
        <w:rPr>
          <w:noProof/>
          <w:u w:color="000000"/>
          <w:bdr w:val="nil"/>
        </w:rPr>
        <w:t>•</w:t>
      </w:r>
      <w:r w:rsidRPr="00322F2F">
        <w:rPr>
          <w:noProof/>
        </w:rPr>
        <w:tab/>
      </w:r>
      <w:r w:rsidRPr="00322F2F">
        <w:rPr>
          <w:noProof/>
          <w:u w:color="000000"/>
          <w:bdr w:val="nil"/>
        </w:rPr>
        <w:t>Ocena učinka</w:t>
      </w:r>
    </w:p>
    <w:p w14:paraId="40E843CE" w14:textId="77777777" w:rsidR="0013763F" w:rsidRPr="00322F2F" w:rsidRDefault="0013763F" w:rsidP="0013763F">
      <w:pPr>
        <w:pBdr>
          <w:top w:val="nil"/>
          <w:left w:val="nil"/>
          <w:bottom w:val="nil"/>
          <w:right w:val="nil"/>
          <w:between w:val="nil"/>
          <w:bar w:val="nil"/>
        </w:pBdr>
        <w:spacing w:before="0" w:after="240"/>
        <w:rPr>
          <w:noProof/>
        </w:rPr>
      </w:pPr>
      <w:r w:rsidRPr="00322F2F">
        <w:rPr>
          <w:noProof/>
        </w:rPr>
        <w:t>Področje uporabe uredb o ribolovnih možnostih je omejeno s členom 43(3) PDEU.</w:t>
      </w:r>
    </w:p>
    <w:p w14:paraId="297E0915" w14:textId="77777777" w:rsidR="0013763F" w:rsidRPr="00322F2F" w:rsidRDefault="0013763F" w:rsidP="0013763F">
      <w:pPr>
        <w:pBdr>
          <w:top w:val="nil"/>
          <w:left w:val="nil"/>
          <w:bottom w:val="nil"/>
          <w:right w:val="nil"/>
          <w:between w:val="nil"/>
          <w:bar w:val="nil"/>
        </w:pBdr>
        <w:spacing w:before="0" w:after="240"/>
        <w:rPr>
          <w:noProof/>
        </w:rPr>
      </w:pPr>
      <w:r w:rsidRPr="00322F2F">
        <w:rPr>
          <w:noProof/>
        </w:rPr>
        <w:t>Z večletnim načrtom za pridneni ribolov v zahodnem Sredozemlju je bila uvedena ureditev ribolovnega napora, namenjena reševanju problema prelova pri pridnenem ribolovu v zahodnem Sredozemlju. Poleg tega člen 7(3)(b) večletnega načrta določa, da se lahko za dosego vrednosti ocenjene ribolovne umrljivosti, ki z določenim ribolovnim vzorcem in v trenutnih okoljskih razmerah daje dolgoročno največji trajnostni donos</w:t>
      </w:r>
      <w:r w:rsidRPr="00322F2F">
        <w:rPr>
          <w:noProof/>
          <w:sz w:val="19"/>
        </w:rPr>
        <w:t xml:space="preserve"> </w:t>
      </w:r>
      <w:r w:rsidRPr="00322F2F">
        <w:rPr>
          <w:noProof/>
        </w:rPr>
        <w:t>(Fmsy), do 1. januarja 2025 poleg zmanjšanja ribolovnega napora uporabijo vsi ustrezni tehničnimi ali drugi ohranitvenimi ukrepi, sprejeti v skladu s pravom Unije. Na podlagi znanstvenega mnenja je bila z Uredbo Sveta (EU) 2022/110 (uredba o ribolovnih možnostih za leto 2022)</w:t>
      </w:r>
      <w:r w:rsidRPr="00322F2F">
        <w:rPr>
          <w:rStyle w:val="FootnoteReference"/>
          <w:noProof/>
        </w:rPr>
        <w:footnoteReference w:id="3"/>
      </w:r>
      <w:r w:rsidRPr="00322F2F">
        <w:rPr>
          <w:noProof/>
        </w:rPr>
        <w:t xml:space="preserve"> uvedena ureditev ribolovnega napora za plovila s parangali in omejitev ulova za kozice, ki jo je Uredba Sveta (EU) 2023/195 (uredba o ribolovnih možnostih za leto 2023)</w:t>
      </w:r>
      <w:r w:rsidRPr="00322F2F">
        <w:rPr>
          <w:rStyle w:val="FootnoteReference"/>
          <w:noProof/>
        </w:rPr>
        <w:footnoteReference w:id="4"/>
      </w:r>
      <w:r w:rsidRPr="00322F2F">
        <w:rPr>
          <w:noProof/>
        </w:rPr>
        <w:t xml:space="preserve"> ohranila. </w:t>
      </w:r>
      <w:r w:rsidRPr="00322F2F">
        <w:rPr>
          <w:i/>
          <w:noProof/>
        </w:rPr>
        <w:t xml:space="preserve"> </w:t>
      </w:r>
    </w:p>
    <w:p w14:paraId="632F3CE6" w14:textId="77777777" w:rsidR="0013763F" w:rsidRPr="00322F2F" w:rsidRDefault="0013763F" w:rsidP="0013763F">
      <w:pPr>
        <w:pBdr>
          <w:top w:val="nil"/>
          <w:left w:val="nil"/>
          <w:bottom w:val="nil"/>
          <w:right w:val="nil"/>
          <w:between w:val="nil"/>
          <w:bar w:val="nil"/>
        </w:pBdr>
        <w:spacing w:before="0" w:after="240"/>
        <w:rPr>
          <w:noProof/>
        </w:rPr>
      </w:pPr>
      <w:r w:rsidRPr="00322F2F">
        <w:rPr>
          <w:noProof/>
        </w:rPr>
        <w:t>Kar zadeva ribolovne možnosti, ki jih je GFCM določila v Sredozemskem in Črnem morju, je v tem predlogu predvideno predvsem izvajanje mednarodno dogovorjenih ukrepov. Morebitni elementi, ki so pomembni za oceno možnih učinkov ribolovnih možnosti, se obravnavajo v fazi priprav na mednarodna pogajanja, v okviru katerih se Unija s tretjimi stranmi dogovori o ribolovnih možnostih, in vodenja teh pogajanj.</w:t>
      </w:r>
    </w:p>
    <w:p w14:paraId="26402E54" w14:textId="77777777" w:rsidR="0013763F" w:rsidRPr="00322F2F" w:rsidRDefault="0013763F" w:rsidP="0013763F">
      <w:pPr>
        <w:pBdr>
          <w:top w:val="nil"/>
          <w:left w:val="nil"/>
          <w:bottom w:val="nil"/>
          <w:right w:val="nil"/>
          <w:between w:val="nil"/>
          <w:bar w:val="nil"/>
        </w:pBdr>
        <w:spacing w:before="0" w:after="240"/>
        <w:rPr>
          <w:noProof/>
        </w:rPr>
      </w:pPr>
      <w:r w:rsidRPr="00322F2F">
        <w:rPr>
          <w:noProof/>
        </w:rPr>
        <w:t xml:space="preserve">Predlog ne odraža le kratkoročnih pomislekov, temveč tudi dolgoročni pristop, s katerim se ribolovni napor postopno prilagaja trajnostnim ravnem na dolgi rok. </w:t>
      </w:r>
    </w:p>
    <w:p w14:paraId="073E2024" w14:textId="77777777" w:rsidR="00B858D4" w:rsidRPr="00322F2F" w:rsidRDefault="00B858D4" w:rsidP="008154B4">
      <w:pPr>
        <w:pStyle w:val="ManualHeading2"/>
        <w:rPr>
          <w:rFonts w:eastAsia="Arial Unicode MS"/>
          <w:noProof/>
          <w:u w:color="000000"/>
          <w:bdr w:val="nil"/>
        </w:rPr>
      </w:pPr>
      <w:r w:rsidRPr="00322F2F">
        <w:rPr>
          <w:noProof/>
          <w:u w:color="000000"/>
          <w:bdr w:val="nil"/>
        </w:rPr>
        <w:t>•</w:t>
      </w:r>
      <w:r w:rsidRPr="00322F2F">
        <w:rPr>
          <w:noProof/>
        </w:rPr>
        <w:tab/>
      </w:r>
      <w:r w:rsidRPr="00322F2F">
        <w:rPr>
          <w:noProof/>
          <w:u w:color="000000"/>
          <w:bdr w:val="nil"/>
        </w:rPr>
        <w:t>Primernost in poenostavitev ureditve</w:t>
      </w:r>
    </w:p>
    <w:p w14:paraId="7563AD76" w14:textId="77777777" w:rsidR="005D5ADD" w:rsidRPr="00322F2F" w:rsidRDefault="005D5ADD" w:rsidP="005D5ADD">
      <w:pPr>
        <w:pBdr>
          <w:top w:val="nil"/>
          <w:left w:val="nil"/>
          <w:bottom w:val="nil"/>
          <w:right w:val="nil"/>
          <w:between w:val="nil"/>
          <w:bar w:val="nil"/>
        </w:pBdr>
        <w:spacing w:before="0" w:after="240"/>
        <w:rPr>
          <w:rFonts w:eastAsia="Arial Unicode MS"/>
          <w:noProof/>
        </w:rPr>
      </w:pPr>
      <w:r w:rsidRPr="00322F2F">
        <w:rPr>
          <w:noProof/>
        </w:rPr>
        <w:t>Ni relevantno.</w:t>
      </w:r>
    </w:p>
    <w:p w14:paraId="0C028467" w14:textId="77777777" w:rsidR="00B858D4" w:rsidRPr="00322F2F" w:rsidRDefault="00B858D4" w:rsidP="008154B4">
      <w:pPr>
        <w:pStyle w:val="ManualHeading2"/>
        <w:rPr>
          <w:rFonts w:eastAsia="Arial Unicode MS"/>
          <w:noProof/>
          <w:u w:color="000000"/>
          <w:bdr w:val="nil"/>
        </w:rPr>
      </w:pPr>
      <w:r w:rsidRPr="00322F2F">
        <w:rPr>
          <w:noProof/>
          <w:u w:color="000000"/>
          <w:bdr w:val="nil"/>
        </w:rPr>
        <w:t>•</w:t>
      </w:r>
      <w:r w:rsidRPr="00322F2F">
        <w:rPr>
          <w:noProof/>
        </w:rPr>
        <w:tab/>
      </w:r>
      <w:r w:rsidRPr="00322F2F">
        <w:rPr>
          <w:noProof/>
          <w:u w:color="000000"/>
          <w:bdr w:val="nil"/>
        </w:rPr>
        <w:t>Temeljne pravice</w:t>
      </w:r>
    </w:p>
    <w:p w14:paraId="579E12B2" w14:textId="77777777" w:rsidR="00C35FB6" w:rsidRPr="00322F2F" w:rsidRDefault="006C7E08" w:rsidP="00A62250">
      <w:pPr>
        <w:pStyle w:val="ManualHeading1"/>
        <w:ind w:left="0" w:firstLine="0"/>
        <w:rPr>
          <w:b w:val="0"/>
          <w:bCs/>
          <w:smallCaps w:val="0"/>
          <w:noProof/>
        </w:rPr>
      </w:pPr>
      <w:r w:rsidRPr="00322F2F">
        <w:rPr>
          <w:b w:val="0"/>
          <w:smallCaps w:val="0"/>
          <w:noProof/>
        </w:rPr>
        <w:t>V predlogu se spoštujejo temeljne pravice in zlasti tiste, ki jih priznava Listina Evropske unije o temeljnih pravicah.</w:t>
      </w:r>
    </w:p>
    <w:p w14:paraId="6640281A" w14:textId="77777777" w:rsidR="00B858D4" w:rsidRPr="00322F2F" w:rsidRDefault="00C35FB6" w:rsidP="008154B4">
      <w:pPr>
        <w:pStyle w:val="ManualHeading1"/>
        <w:rPr>
          <w:noProof/>
        </w:rPr>
      </w:pPr>
      <w:r w:rsidRPr="00322F2F">
        <w:rPr>
          <w:noProof/>
        </w:rPr>
        <w:t>4.</w:t>
      </w:r>
      <w:r w:rsidRPr="00322F2F">
        <w:rPr>
          <w:noProof/>
        </w:rPr>
        <w:tab/>
        <w:t>PRORAČUNSKE POSLEDICE</w:t>
      </w:r>
    </w:p>
    <w:p w14:paraId="464F6DCC" w14:textId="77777777" w:rsidR="005D5ADD" w:rsidRPr="00322F2F" w:rsidRDefault="005D5ADD" w:rsidP="005D5ADD">
      <w:pPr>
        <w:pBdr>
          <w:top w:val="nil"/>
          <w:left w:val="nil"/>
          <w:bottom w:val="nil"/>
          <w:right w:val="nil"/>
          <w:between w:val="nil"/>
          <w:bar w:val="nil"/>
        </w:pBdr>
        <w:spacing w:before="0" w:after="240"/>
        <w:rPr>
          <w:rFonts w:eastAsia="Arial Unicode MS"/>
          <w:noProof/>
        </w:rPr>
      </w:pPr>
      <w:r w:rsidRPr="00322F2F">
        <w:rPr>
          <w:noProof/>
        </w:rPr>
        <w:t>Predlog nima proračunskih posledic.</w:t>
      </w:r>
    </w:p>
    <w:p w14:paraId="70340AB7" w14:textId="77777777" w:rsidR="00B858D4" w:rsidRPr="00322F2F" w:rsidRDefault="00B858D4" w:rsidP="008154B4">
      <w:pPr>
        <w:pStyle w:val="ManualHeading1"/>
        <w:rPr>
          <w:noProof/>
        </w:rPr>
      </w:pPr>
      <w:r w:rsidRPr="00322F2F">
        <w:rPr>
          <w:noProof/>
        </w:rPr>
        <w:t>5.</w:t>
      </w:r>
      <w:r w:rsidRPr="00322F2F">
        <w:rPr>
          <w:noProof/>
        </w:rPr>
        <w:tab/>
        <w:t>DRUGI ELEMENTI</w:t>
      </w:r>
    </w:p>
    <w:p w14:paraId="178C05FE" w14:textId="77777777" w:rsidR="00B858D4" w:rsidRPr="00322F2F" w:rsidRDefault="00B858D4" w:rsidP="008154B4">
      <w:pPr>
        <w:pStyle w:val="ManualHeading2"/>
        <w:rPr>
          <w:rFonts w:eastAsia="Arial Unicode MS"/>
          <w:noProof/>
          <w:u w:color="000000"/>
          <w:bdr w:val="nil"/>
        </w:rPr>
      </w:pPr>
      <w:r w:rsidRPr="00322F2F">
        <w:rPr>
          <w:noProof/>
          <w:u w:color="000000"/>
          <w:bdr w:val="nil"/>
        </w:rPr>
        <w:t>•</w:t>
      </w:r>
      <w:r w:rsidRPr="00322F2F">
        <w:rPr>
          <w:noProof/>
        </w:rPr>
        <w:tab/>
      </w:r>
      <w:r w:rsidRPr="00322F2F">
        <w:rPr>
          <w:noProof/>
          <w:u w:color="000000"/>
          <w:bdr w:val="nil"/>
        </w:rPr>
        <w:t>Načrti za izvedbo ter ureditev spremljanja, ocenjevanja in poročanja</w:t>
      </w:r>
    </w:p>
    <w:p w14:paraId="71CEB052" w14:textId="77777777" w:rsidR="00B858D4" w:rsidRPr="00322F2F" w:rsidRDefault="004D3D81" w:rsidP="00C35FB6">
      <w:pPr>
        <w:pBdr>
          <w:top w:val="nil"/>
          <w:left w:val="nil"/>
          <w:bottom w:val="nil"/>
          <w:right w:val="nil"/>
          <w:between w:val="nil"/>
          <w:bar w:val="nil"/>
        </w:pBdr>
        <w:spacing w:before="0" w:after="240"/>
        <w:rPr>
          <w:noProof/>
        </w:rPr>
      </w:pPr>
      <w:r w:rsidRPr="00322F2F">
        <w:rPr>
          <w:noProof/>
        </w:rPr>
        <w:t>Spremljanje in skladnost s pravili se bosta zagotavljala v skladu z Uredbo (ES) št. 1224/2009</w:t>
      </w:r>
      <w:r w:rsidRPr="00322F2F">
        <w:rPr>
          <w:rStyle w:val="FootnoteReference"/>
          <w:noProof/>
        </w:rPr>
        <w:footnoteReference w:id="5"/>
      </w:r>
      <w:r w:rsidRPr="00322F2F">
        <w:rPr>
          <w:noProof/>
        </w:rPr>
        <w:t>.</w:t>
      </w:r>
    </w:p>
    <w:p w14:paraId="214F2BD5" w14:textId="77777777" w:rsidR="00B858D4" w:rsidRPr="00322F2F" w:rsidRDefault="00B858D4" w:rsidP="008154B4">
      <w:pPr>
        <w:pStyle w:val="ManualHeading2"/>
        <w:rPr>
          <w:rFonts w:eastAsia="Arial Unicode MS"/>
          <w:noProof/>
          <w:u w:color="000000"/>
          <w:bdr w:val="nil"/>
        </w:rPr>
      </w:pPr>
      <w:r w:rsidRPr="00322F2F">
        <w:rPr>
          <w:noProof/>
          <w:u w:color="000000"/>
          <w:bdr w:val="nil"/>
        </w:rPr>
        <w:t>•</w:t>
      </w:r>
      <w:r w:rsidRPr="00322F2F">
        <w:rPr>
          <w:noProof/>
        </w:rPr>
        <w:tab/>
      </w:r>
      <w:r w:rsidRPr="00322F2F">
        <w:rPr>
          <w:noProof/>
          <w:u w:color="000000"/>
          <w:bdr w:val="nil"/>
        </w:rPr>
        <w:t>Podrobna pojasnitev posameznih določb predloga</w:t>
      </w:r>
    </w:p>
    <w:p w14:paraId="75514F89" w14:textId="77777777" w:rsidR="007E3AC5" w:rsidRPr="00322F2F" w:rsidRDefault="004D3D81" w:rsidP="004D3D81">
      <w:pPr>
        <w:pBdr>
          <w:top w:val="nil"/>
          <w:left w:val="nil"/>
          <w:bottom w:val="nil"/>
          <w:right w:val="nil"/>
          <w:between w:val="nil"/>
          <w:bar w:val="nil"/>
        </w:pBdr>
        <w:rPr>
          <w:noProof/>
          <w:szCs w:val="24"/>
        </w:rPr>
      </w:pPr>
      <w:r w:rsidRPr="00322F2F">
        <w:rPr>
          <w:noProof/>
        </w:rPr>
        <w:t>V predlogu so določene ribolovne možnosti za leto 2024 za nekatere staleže ali skupine staležev v Sredozemskem in Črnem morju, zlasti:</w:t>
      </w:r>
    </w:p>
    <w:p w14:paraId="4B652DB6" w14:textId="77777777" w:rsidR="004D3D81" w:rsidRPr="00322F2F" w:rsidRDefault="004D3D81" w:rsidP="004D3D81">
      <w:pPr>
        <w:pBdr>
          <w:top w:val="nil"/>
          <w:left w:val="nil"/>
          <w:bottom w:val="nil"/>
          <w:right w:val="nil"/>
          <w:between w:val="nil"/>
          <w:bar w:val="nil"/>
        </w:pBdr>
        <w:rPr>
          <w:b/>
          <w:noProof/>
          <w:szCs w:val="24"/>
        </w:rPr>
      </w:pPr>
      <w:r w:rsidRPr="00322F2F">
        <w:rPr>
          <w:b/>
          <w:noProof/>
        </w:rPr>
        <w:t>A.</w:t>
      </w:r>
      <w:r w:rsidRPr="00322F2F">
        <w:rPr>
          <w:noProof/>
        </w:rPr>
        <w:tab/>
      </w:r>
      <w:r w:rsidRPr="00322F2F">
        <w:rPr>
          <w:b/>
          <w:noProof/>
        </w:rPr>
        <w:t xml:space="preserve">Izvajanje večletnega načrta upravljanja za zahodno Sredozemlje </w:t>
      </w:r>
    </w:p>
    <w:p w14:paraId="03976B2C" w14:textId="77777777" w:rsidR="007E3AC5" w:rsidRPr="00322F2F" w:rsidRDefault="004D3D81" w:rsidP="00771361">
      <w:pPr>
        <w:rPr>
          <w:noProof/>
        </w:rPr>
      </w:pPr>
      <w:r w:rsidRPr="00322F2F">
        <w:rPr>
          <w:noProof/>
        </w:rPr>
        <w:t xml:space="preserve">Na podlagi večletnega načrta za pridneni ribolov v zahodnem Sredozemlju Svet določi največji dovoljeni ribolovni napor za plovila z vlečnimi mrežami, ki izkoriščajo pridnene staleže v zahodnem Sredozemlju, za vsako skupino ribolovnega napora posamezne države članice in za skupine staležev iz Priloge I k načrtu. </w:t>
      </w:r>
    </w:p>
    <w:p w14:paraId="62F73878" w14:textId="77777777" w:rsidR="004D3D81" w:rsidRPr="00322F2F" w:rsidRDefault="004D3D81" w:rsidP="004D3D81">
      <w:pPr>
        <w:pBdr>
          <w:top w:val="nil"/>
          <w:left w:val="nil"/>
          <w:bottom w:val="nil"/>
          <w:right w:val="nil"/>
          <w:between w:val="nil"/>
          <w:bar w:val="nil"/>
        </w:pBdr>
        <w:rPr>
          <w:noProof/>
          <w:szCs w:val="24"/>
        </w:rPr>
      </w:pPr>
      <w:r w:rsidRPr="00322F2F">
        <w:rPr>
          <w:noProof/>
        </w:rPr>
        <w:t>STECF in Znanstveni svetovalni odbor GFCM sta leta 2022 v znanstvenem mnenju priporočila, da je treba za dosego največjega trajnostnega donosa za pridnene staleže v zahodnem Sredozemlju hitro ukrepati in dejansko zmanjšati ribolovno umrljivosti. Staleži osliča in en stalež globokomorske kozice so prekomerno izkoriščeni v tolikšni meri, da je odbor STECF ocenil, da so na ravni pod B</w:t>
      </w:r>
      <w:r w:rsidRPr="00322F2F">
        <w:rPr>
          <w:noProof/>
          <w:vertAlign w:val="subscript"/>
        </w:rPr>
        <w:t>lim</w:t>
      </w:r>
      <w:r w:rsidRPr="00322F2F">
        <w:rPr>
          <w:noProof/>
        </w:rPr>
        <w:t xml:space="preserve">, tj. mejno referenčno točko, ki je izražena kot biomasa drstitvenega staleža in izhaja iz najboljšega razpoložljivega znanstvenega mnenja, zlasti mnenja odbora STECF ali podobnega neodvisnega znanstvenega organa, priznanega na ravni Unije ali mednarodni ravni, in pod katero je lahko sposobnost razmnoževanja zmanjšana. </w:t>
      </w:r>
    </w:p>
    <w:p w14:paraId="413E4A5B" w14:textId="77777777" w:rsidR="004D3D81" w:rsidRPr="00322F2F" w:rsidRDefault="00F626EE" w:rsidP="004D3D81">
      <w:pPr>
        <w:pBdr>
          <w:top w:val="nil"/>
          <w:left w:val="nil"/>
          <w:bottom w:val="nil"/>
          <w:right w:val="nil"/>
          <w:between w:val="nil"/>
          <w:bar w:val="nil"/>
        </w:pBdr>
        <w:rPr>
          <w:noProof/>
          <w:szCs w:val="24"/>
        </w:rPr>
      </w:pPr>
      <w:r w:rsidRPr="00322F2F">
        <w:rPr>
          <w:noProof/>
        </w:rPr>
        <w:t xml:space="preserve">Odbor STECF (STECF-22-11 in PLEN-22-03) je menil, da je treba za nujno zmanjšanje ribolovne umrljivosti, zlasti pri staležih osliča in globokomorskih kozic, uporabiti celosten pristop, ki bo združeval ukrepe ribolovnega napora za plovila z vlečnimi mrežami in plovila s parangali ter omejitve ulova za globokomorske kozice. Komisija predlaga, da se ta pristop, ki je bil uveden z uredbama o ribolovnih možnostih za leti 2022 in 2023, v letu 2024 še naprej izvaja. </w:t>
      </w:r>
    </w:p>
    <w:p w14:paraId="0DB75B14" w14:textId="77777777" w:rsidR="00DE3AFB" w:rsidRPr="00322F2F" w:rsidRDefault="005434F8" w:rsidP="004D3D81">
      <w:pPr>
        <w:pBdr>
          <w:top w:val="nil"/>
          <w:left w:val="nil"/>
          <w:bottom w:val="nil"/>
          <w:right w:val="nil"/>
          <w:between w:val="nil"/>
          <w:bar w:val="nil"/>
        </w:pBdr>
        <w:rPr>
          <w:noProof/>
          <w:szCs w:val="24"/>
        </w:rPr>
      </w:pPr>
      <w:r w:rsidRPr="00322F2F">
        <w:rPr>
          <w:noProof/>
        </w:rPr>
        <w:t xml:space="preserve">Ta predlog vključuje vrsto zaznamkov „pro memoria“ (pm) za raven ribolovnega napora in raven ulova, ki se bosta dokončno določili, ko bo na voljo mnenje odbora STECF.  </w:t>
      </w:r>
    </w:p>
    <w:p w14:paraId="4E2DD5D2" w14:textId="77777777" w:rsidR="004D3D81" w:rsidRPr="00322F2F" w:rsidRDefault="004D3D81" w:rsidP="004D3D81">
      <w:pPr>
        <w:pStyle w:val="Text1"/>
        <w:ind w:left="0"/>
        <w:rPr>
          <w:noProof/>
        </w:rPr>
      </w:pPr>
      <w:r w:rsidRPr="00322F2F">
        <w:rPr>
          <w:noProof/>
        </w:rPr>
        <w:t xml:space="preserve">Da bi spodbudili uporabo selektivnega orodja in določili območja dejanske prepovedi ribolova in tako zaščitili mladice in drsnice, je uredba o ribolovnih možnostih za leto 2023 ohranila mehanizem nadomestil, vzpostavljen z uredbo o ribolovnih možnostih za leto 2022 za ribolovni napor za plovila z vlečnimi mrežami. Komisija predlaga ohranitev tega mehanizma v letu 2024. </w:t>
      </w:r>
    </w:p>
    <w:p w14:paraId="4F70C509" w14:textId="77777777" w:rsidR="004D3D81" w:rsidRPr="00322F2F" w:rsidRDefault="004D3D81" w:rsidP="00771361">
      <w:pPr>
        <w:rPr>
          <w:b/>
          <w:bCs/>
          <w:noProof/>
        </w:rPr>
      </w:pPr>
      <w:r w:rsidRPr="00322F2F">
        <w:rPr>
          <w:b/>
          <w:noProof/>
        </w:rPr>
        <w:t>B.</w:t>
      </w:r>
      <w:r w:rsidRPr="00322F2F">
        <w:rPr>
          <w:noProof/>
        </w:rPr>
        <w:tab/>
      </w:r>
      <w:r w:rsidRPr="00322F2F">
        <w:rPr>
          <w:b/>
          <w:noProof/>
        </w:rPr>
        <w:t xml:space="preserve">Ukrepi GFCM, ki se uporabljajo v Sredozemskem morju </w:t>
      </w:r>
    </w:p>
    <w:p w14:paraId="3443CBC1" w14:textId="7CBE83BB" w:rsidR="004D3D81" w:rsidRPr="00322F2F" w:rsidRDefault="00974354" w:rsidP="00F85AAD">
      <w:pPr>
        <w:pStyle w:val="Tiret0"/>
        <w:numPr>
          <w:ilvl w:val="0"/>
          <w:numId w:val="17"/>
        </w:numPr>
        <w:rPr>
          <w:noProof/>
        </w:rPr>
      </w:pPr>
      <w:r w:rsidRPr="00322F2F">
        <w:rPr>
          <w:noProof/>
        </w:rPr>
        <w:t>Omejitve ulova in omejitve števila ribolovnih dovoljenj za nabiranje rdeče korale v celotnem Sredozemskem morju (geografska podobmočja 1–27)</w:t>
      </w:r>
    </w:p>
    <w:p w14:paraId="27EC6AA7" w14:textId="65B03375" w:rsidR="004D3D81" w:rsidRPr="00322F2F" w:rsidRDefault="006C7E08" w:rsidP="002F6A65">
      <w:pPr>
        <w:pStyle w:val="Tiret0"/>
        <w:rPr>
          <w:noProof/>
        </w:rPr>
      </w:pPr>
      <w:r w:rsidRPr="00322F2F">
        <w:rPr>
          <w:noProof/>
        </w:rPr>
        <w:t xml:space="preserve">Največje omejitve ulova za dolgoostno rdečo kozico ter največji dovoljeni ribolovni napor in zmogljivost flote za osliča v Sicilski ožini (geografska podobmočja 12 do 16) </w:t>
      </w:r>
    </w:p>
    <w:p w14:paraId="33C463B5" w14:textId="736C3298" w:rsidR="006C7E08" w:rsidRPr="00322F2F" w:rsidRDefault="006C7E08" w:rsidP="002F6A65">
      <w:pPr>
        <w:pStyle w:val="Tiret0"/>
        <w:rPr>
          <w:noProof/>
        </w:rPr>
      </w:pPr>
      <w:r w:rsidRPr="00322F2F">
        <w:rPr>
          <w:noProof/>
        </w:rPr>
        <w:t>Največja zmogljivost flote in omejitev ulova za orjaško rdečo kozico ter rdeče-modro kozico v Sicilski ožini (geografska podobmočja 12–16), Jonskem morju (geografska podobmočja 19–21) in Levantskem morju (geografska podobmočja 24–27)</w:t>
      </w:r>
    </w:p>
    <w:p w14:paraId="1031E4D5" w14:textId="11B519C0" w:rsidR="008275C8" w:rsidRPr="00322F2F" w:rsidRDefault="006C7E08" w:rsidP="002F6A65">
      <w:pPr>
        <w:pStyle w:val="Tiret0"/>
        <w:rPr>
          <w:noProof/>
        </w:rPr>
      </w:pPr>
      <w:r w:rsidRPr="00322F2F">
        <w:rPr>
          <w:noProof/>
        </w:rPr>
        <w:t>Najvišja raven ulova ter največje število parangalov in ročnih ribiških vrvic za okatega ribona v Alboranskem morju (geografska podobmočja 1 do 3)</w:t>
      </w:r>
    </w:p>
    <w:p w14:paraId="65247D31" w14:textId="65151DF8" w:rsidR="004D3D81" w:rsidRPr="00322F2F" w:rsidRDefault="00974354" w:rsidP="002F6A65">
      <w:pPr>
        <w:pStyle w:val="Tiret0"/>
        <w:rPr>
          <w:noProof/>
        </w:rPr>
      </w:pPr>
      <w:r w:rsidRPr="00322F2F">
        <w:rPr>
          <w:noProof/>
        </w:rPr>
        <w:t xml:space="preserve">Ukrepi za male pelagične staleže v okviru večletnega načrta upravljanja GFCM za male pelagične vrste za leto 2021 v Jadranskem morju (geografski podobmočji 17 in 18) </w:t>
      </w:r>
    </w:p>
    <w:p w14:paraId="43E3BB62" w14:textId="77777777" w:rsidR="00947E31" w:rsidRPr="00322F2F" w:rsidRDefault="004D3D81" w:rsidP="00771361">
      <w:pPr>
        <w:rPr>
          <w:noProof/>
        </w:rPr>
      </w:pPr>
      <w:r w:rsidRPr="00322F2F">
        <w:rPr>
          <w:noProof/>
        </w:rPr>
        <w:t>Komisija predlaga, naj se v letu 2024 še naprej izvajajo določbe načrta, ki temelji na dvostopenjskem pristopu s triletnim prehodnim obdobjem, ki mu sledi petletno obdobje dolgoročnih ukrepov.</w:t>
      </w:r>
    </w:p>
    <w:p w14:paraId="12987EBD" w14:textId="77777777" w:rsidR="002F044E" w:rsidRPr="00322F2F" w:rsidRDefault="000B72D6" w:rsidP="00D63054">
      <w:pPr>
        <w:rPr>
          <w:noProof/>
        </w:rPr>
      </w:pPr>
      <w:r w:rsidRPr="00322F2F">
        <w:rPr>
          <w:noProof/>
        </w:rPr>
        <w:t>Leto 2024 je tretje leto prehodnega obdobja in Komisija predlaga nadaljnje izvajanje omejitev ulova s prehodnim notranjim deležem med Italijo in Hrvaško ter prehodno rezervo za Slovenijo, pa tudi zgornjo mejo zmogljivosti flote za plovila z zaporno plavarico in plovila s pelagično vlečno mrežo, s katerimi se lovijo mali pelagični staleži. Ta zgornja meja zmogljivosti bi morala biti enaka kot v uredbi o ribolovnih možnostih za leto 2023 in temeljiti na zmogljivostih, sporočenih GFCM leta 2014.</w:t>
      </w:r>
    </w:p>
    <w:p w14:paraId="7F42CDDB" w14:textId="6218AE19" w:rsidR="004D3D81" w:rsidRPr="00322F2F" w:rsidRDefault="00974354" w:rsidP="00723239">
      <w:pPr>
        <w:pStyle w:val="Tiret0"/>
        <w:numPr>
          <w:ilvl w:val="0"/>
          <w:numId w:val="14"/>
        </w:numPr>
        <w:rPr>
          <w:noProof/>
        </w:rPr>
      </w:pPr>
      <w:r w:rsidRPr="00322F2F">
        <w:rPr>
          <w:noProof/>
        </w:rPr>
        <w:t>Ukrepi za pridnene staleže v okviru večletnega načrta upravljanja GFCM za pridnene vrste za leto 2019 v Jadranskem morju (geografski podobmočji 17 in 18):</w:t>
      </w:r>
    </w:p>
    <w:p w14:paraId="40E0496A" w14:textId="77777777" w:rsidR="00947E31" w:rsidRPr="00322F2F" w:rsidRDefault="00801F50" w:rsidP="002F6A65">
      <w:pPr>
        <w:pStyle w:val="Text1"/>
        <w:rPr>
          <w:noProof/>
        </w:rPr>
      </w:pPr>
      <w:r w:rsidRPr="00322F2F">
        <w:rPr>
          <w:noProof/>
        </w:rPr>
        <w:t xml:space="preserve">GFCM naj bi na 46. letnem zasedanju novembra 2023 sprejela novo priporočilo o zmanjšanju ribolovnega napora za leto 2024 za plovila z vlečno mrežo s širilkami in plovila z vlečno mrežo z gredjo. Tako se bo po letnem zasedanju GFCM predlog posodobil z neuradnim dokumentom, v katerem bodo navedene ravni zmanjšanja. </w:t>
      </w:r>
    </w:p>
    <w:p w14:paraId="776D2EE9" w14:textId="77777777" w:rsidR="004D3D81" w:rsidRPr="00322F2F" w:rsidRDefault="004D3D81" w:rsidP="002F6A65">
      <w:pPr>
        <w:pStyle w:val="Text1"/>
        <w:rPr>
          <w:noProof/>
        </w:rPr>
      </w:pPr>
      <w:r w:rsidRPr="00322F2F">
        <w:rPr>
          <w:noProof/>
        </w:rPr>
        <w:t xml:space="preserve">Največja zmogljivost flote iz uredbe o ribolovnih možnostih za leto 2023 bi morala ostati v veljavi leta 2024. </w:t>
      </w:r>
    </w:p>
    <w:p w14:paraId="32ADA4D2" w14:textId="77777777" w:rsidR="0080741C" w:rsidRPr="00322F2F" w:rsidRDefault="004D3D81" w:rsidP="002F6A65">
      <w:pPr>
        <w:pStyle w:val="Text1"/>
        <w:rPr>
          <w:noProof/>
        </w:rPr>
      </w:pPr>
      <w:r w:rsidRPr="00322F2F">
        <w:rPr>
          <w:noProof/>
        </w:rPr>
        <w:t>Predlog vključuje vrsto prostornikov za staleže, za katere prehodni ukrepi GFCM prenehajo veljati konec leta 2023 in za katere naj bi GFCM na 46. letnem zasedanju novembra 2023 sprejela nove ukrepe, na primer za delfinke. Tako se bo po letnem zasedanju GFCM predlog posodobil z neuradnim dokumentom, v katerem bodo navedeni novi ukrepi.</w:t>
      </w:r>
    </w:p>
    <w:p w14:paraId="4A98CFA6" w14:textId="77777777" w:rsidR="000E0EEF" w:rsidRPr="00322F2F" w:rsidRDefault="004D3D81" w:rsidP="000E0EEF">
      <w:pPr>
        <w:rPr>
          <w:b/>
          <w:bCs/>
          <w:noProof/>
        </w:rPr>
      </w:pPr>
      <w:r w:rsidRPr="00322F2F">
        <w:rPr>
          <w:b/>
          <w:noProof/>
        </w:rPr>
        <w:t>C.</w:t>
      </w:r>
      <w:r w:rsidRPr="00322F2F">
        <w:rPr>
          <w:noProof/>
        </w:rPr>
        <w:tab/>
      </w:r>
      <w:r w:rsidRPr="00322F2F">
        <w:rPr>
          <w:b/>
          <w:noProof/>
        </w:rPr>
        <w:t xml:space="preserve">Ukrepi GFCM, ki veljajo za Črno morje </w:t>
      </w:r>
    </w:p>
    <w:p w14:paraId="6362F875" w14:textId="11BD77D0" w:rsidR="000E0EEF" w:rsidRPr="00322F2F" w:rsidRDefault="00E70628" w:rsidP="00723239">
      <w:pPr>
        <w:pStyle w:val="Tiret0"/>
        <w:numPr>
          <w:ilvl w:val="0"/>
          <w:numId w:val="15"/>
        </w:numPr>
        <w:rPr>
          <w:noProof/>
        </w:rPr>
      </w:pPr>
      <w:r w:rsidRPr="00322F2F">
        <w:rPr>
          <w:noProof/>
        </w:rPr>
        <w:t xml:space="preserve">Avtonomna kvota za papalino, ki temelji na znanstvenem mnenju </w:t>
      </w:r>
    </w:p>
    <w:p w14:paraId="66E28295" w14:textId="4829F1EC" w:rsidR="000E0EEF" w:rsidRPr="00322F2F" w:rsidRDefault="00E70628" w:rsidP="00723239">
      <w:pPr>
        <w:pStyle w:val="Tiret0"/>
        <w:numPr>
          <w:ilvl w:val="0"/>
          <w:numId w:val="16"/>
        </w:numPr>
        <w:rPr>
          <w:noProof/>
        </w:rPr>
      </w:pPr>
      <w:r w:rsidRPr="00322F2F">
        <w:rPr>
          <w:noProof/>
        </w:rPr>
        <w:t xml:space="preserve">Celotni dovoljeni ulov (TAC) in dodelitev kvot za romba v okviru večletnega načrta upravljanja GFCM za ribolov romba za leto 2017 v skladu s Priporočilom GFCM/43/2019/3 (geografsko podobmočje 29) </w:t>
      </w:r>
    </w:p>
    <w:p w14:paraId="1AB8856B" w14:textId="77777777" w:rsidR="004D3D81" w:rsidRPr="00322F2F" w:rsidRDefault="004D3D81" w:rsidP="000E0EEF">
      <w:pPr>
        <w:rPr>
          <w:noProof/>
        </w:rPr>
      </w:pPr>
      <w:r w:rsidRPr="00322F2F">
        <w:rPr>
          <w:noProof/>
        </w:rPr>
        <w:t xml:space="preserve">Kar zadeva ravni TAC in kvot za romba, bo predlog posodobljen po 46. letnem zasedanju GFCM novembra 2023.  </w:t>
      </w:r>
    </w:p>
    <w:p w14:paraId="33E313F1" w14:textId="77777777" w:rsidR="000B72D6" w:rsidRPr="00322F2F" w:rsidRDefault="004D3D81" w:rsidP="004D3D81">
      <w:pPr>
        <w:rPr>
          <w:noProof/>
          <w:szCs w:val="24"/>
        </w:rPr>
      </w:pPr>
      <w:r w:rsidRPr="00322F2F">
        <w:rPr>
          <w:noProof/>
        </w:rPr>
        <w:t>Priporočila GFCM do leta 2017 so se prenesla v pravo Unije z Uredbo (EU) št. 1343/2011 (kakor je bila spremenjena)</w:t>
      </w:r>
      <w:r w:rsidRPr="00322F2F">
        <w:rPr>
          <w:rStyle w:val="FootnoteReference"/>
          <w:noProof/>
          <w:szCs w:val="24"/>
        </w:rPr>
        <w:footnoteReference w:id="6"/>
      </w:r>
      <w:r w:rsidRPr="00322F2F">
        <w:rPr>
          <w:noProof/>
        </w:rPr>
        <w:t>, poleg tega je Komisija za izvajanje priporočil, ki jih je leta 2018 in 2019 sprejela GFCM, pripravila predlog (</w:t>
      </w:r>
      <w:r w:rsidRPr="00322F2F">
        <w:rPr>
          <w:noProof/>
          <w:color w:val="333333"/>
          <w:shd w:val="clear" w:color="auto" w:fill="FFFFFF"/>
        </w:rPr>
        <w:t>COM(2021) 434 final)</w:t>
      </w:r>
      <w:r w:rsidRPr="00322F2F">
        <w:rPr>
          <w:noProof/>
        </w:rPr>
        <w:t>, o katerem sta sozakonodajalca sprejela politični dogovor julija 2023</w:t>
      </w:r>
      <w:r w:rsidRPr="00322F2F">
        <w:rPr>
          <w:rStyle w:val="FootnoteReference"/>
          <w:noProof/>
          <w:szCs w:val="24"/>
        </w:rPr>
        <w:footnoteReference w:id="7"/>
      </w:r>
      <w:r w:rsidRPr="00322F2F">
        <w:rPr>
          <w:noProof/>
        </w:rPr>
        <w:t xml:space="preserve">. </w:t>
      </w:r>
    </w:p>
    <w:p w14:paraId="2980D5A0" w14:textId="77777777" w:rsidR="00B858D4" w:rsidRPr="00322F2F" w:rsidRDefault="004D3D81" w:rsidP="008154B4">
      <w:pPr>
        <w:rPr>
          <w:noProof/>
          <w:szCs w:val="24"/>
        </w:rPr>
      </w:pPr>
      <w:r w:rsidRPr="00322F2F">
        <w:rPr>
          <w:noProof/>
        </w:rPr>
        <w:t xml:space="preserve">Ukrepi, ki so funkcionalno povezani z ribolovnimi možnostmi, kot je prepoved ribolova v času drstenja, so del tega predloga, saj brez teh obdobij prepovedi (na primer prepovedi ribolova romba v Črnem morju) ribolovnih možnosti ni mogoče določiti na enaki ravni. Trajanje prepovedi se lahko razlikuje, odvisno od stanja staleža, ocenjenega na podlagi znanstvenega mnenja. </w:t>
      </w:r>
    </w:p>
    <w:p w14:paraId="4E902321" w14:textId="77777777" w:rsidR="00B52751" w:rsidRPr="00322F2F" w:rsidRDefault="00B52751" w:rsidP="00B52751">
      <w:pPr>
        <w:rPr>
          <w:noProof/>
        </w:rPr>
      </w:pPr>
      <w:r w:rsidRPr="00322F2F">
        <w:rPr>
          <w:noProof/>
        </w:rPr>
        <w:t>Z Uredbo Sveta (ES) št. 847/96</w:t>
      </w:r>
      <w:r w:rsidRPr="00322F2F">
        <w:rPr>
          <w:rStyle w:val="FootnoteReference"/>
          <w:noProof/>
        </w:rPr>
        <w:footnoteReference w:id="8"/>
      </w:r>
      <w:r w:rsidRPr="00322F2F">
        <w:rPr>
          <w:noProof/>
        </w:rPr>
        <w:t xml:space="preserve"> so določeni dodatni pogoji za vsakoletno upravljanje ribolovnih možnosti, vključno z določbami glede prilagodljivosti za staleže, za katere veljajo previdnostni in analitski TAC iz členov 3 oziroma 4. V členu 2 Uredbe je določeno, da mora Svet pri določanju TAC odločiti, za katere staleže se člena 3 in 4 ne uporabljata, zlasti na podlagi biološkega statusa staležev. Poleg tega člen 15(9) osnovne uredbe o SRP določa mehanizem vsakoletne prilagodljivosti za vse staleže, za katere velja obveznost iztovarjanja. Da bi se torej izognili prekomerni prilagodljivosti, ki bi ogrozila načelo razumnega in odgovornega izkoriščanja živih morskih bioloških virov ter otežila doseganje ciljev SRP, bi bilo treba pojasniti, da se člena 3 in 4 Uredbe (ES) št. 847/96 uporabljata le, če države članice ne uporabljajo vsakoletne prilagodljivosti iz člena 15(9) osnovne uredbe o SRP. </w:t>
      </w:r>
    </w:p>
    <w:p w14:paraId="0AA0982F" w14:textId="77777777" w:rsidR="00B52751" w:rsidRPr="00322F2F" w:rsidRDefault="00B52751" w:rsidP="008154B4">
      <w:pPr>
        <w:rPr>
          <w:noProof/>
          <w:szCs w:val="24"/>
        </w:rPr>
        <w:sectPr w:rsidR="00B52751" w:rsidRPr="00322F2F" w:rsidSect="00BB4793">
          <w:footerReference w:type="default" r:id="rId25"/>
          <w:footerReference w:type="first" r:id="rId26"/>
          <w:footnotePr>
            <w:numRestart w:val="eachSect"/>
          </w:footnotePr>
          <w:pgSz w:w="11907" w:h="16839"/>
          <w:pgMar w:top="1134" w:right="1417" w:bottom="1134" w:left="1417" w:header="709" w:footer="709" w:gutter="0"/>
          <w:cols w:space="708"/>
          <w:docGrid w:linePitch="360"/>
        </w:sectPr>
      </w:pPr>
    </w:p>
    <w:p w14:paraId="4DFB0BD4" w14:textId="72D1F5BF" w:rsidR="005224C2" w:rsidRPr="00322F2F" w:rsidRDefault="00850245" w:rsidP="00850245">
      <w:pPr>
        <w:pStyle w:val="Rfrenceinterinstitutionnelle"/>
        <w:rPr>
          <w:noProof/>
        </w:rPr>
      </w:pPr>
      <w:r w:rsidRPr="00850245">
        <w:t>2023/0350 (NLE)</w:t>
      </w:r>
    </w:p>
    <w:p w14:paraId="3301AC2B" w14:textId="45550204" w:rsidR="00B858D4" w:rsidRPr="00322F2F" w:rsidRDefault="00322F2F" w:rsidP="00322F2F">
      <w:pPr>
        <w:pStyle w:val="Statut"/>
        <w:rPr>
          <w:noProof/>
        </w:rPr>
      </w:pPr>
      <w:r w:rsidRPr="00322F2F">
        <w:rPr>
          <w:noProof/>
        </w:rPr>
        <w:t>Predlog</w:t>
      </w:r>
    </w:p>
    <w:p w14:paraId="6236B387" w14:textId="1B8DC738" w:rsidR="00B858D4" w:rsidRPr="00322F2F" w:rsidRDefault="00322F2F" w:rsidP="00322F2F">
      <w:pPr>
        <w:pStyle w:val="Typedudocument"/>
        <w:rPr>
          <w:noProof/>
        </w:rPr>
      </w:pPr>
      <w:r w:rsidRPr="00322F2F">
        <w:rPr>
          <w:noProof/>
        </w:rPr>
        <w:t>UREDBA SVETA</w:t>
      </w:r>
    </w:p>
    <w:p w14:paraId="67922DF0" w14:textId="5A64E4FF" w:rsidR="00B858D4" w:rsidRPr="00322F2F" w:rsidRDefault="00322F2F" w:rsidP="00322F2F">
      <w:pPr>
        <w:pStyle w:val="Titreobjet"/>
        <w:rPr>
          <w:noProof/>
        </w:rPr>
      </w:pPr>
      <w:r w:rsidRPr="00322F2F">
        <w:rPr>
          <w:noProof/>
        </w:rPr>
        <w:t>o določitvi ribolovnih možnosti za leto 2024 za nekatere staleže rib in skupine staležev rib, ki se uporabljajo v Sredozemskem in Črnem morju</w:t>
      </w:r>
    </w:p>
    <w:p w14:paraId="6DF93F9A" w14:textId="77777777" w:rsidR="00B858D4" w:rsidRPr="00322F2F" w:rsidRDefault="00B858D4" w:rsidP="008154B4">
      <w:pPr>
        <w:pStyle w:val="Institutionquiagit"/>
        <w:rPr>
          <w:noProof/>
        </w:rPr>
      </w:pPr>
      <w:r w:rsidRPr="00322F2F">
        <w:rPr>
          <w:noProof/>
        </w:rPr>
        <w:t>SVET EVROPSKE UNIJE JE –</w:t>
      </w:r>
    </w:p>
    <w:p w14:paraId="0E09FAF9" w14:textId="77777777" w:rsidR="00B858D4" w:rsidRPr="00322F2F" w:rsidRDefault="00B858D4" w:rsidP="008154B4">
      <w:pPr>
        <w:rPr>
          <w:noProof/>
        </w:rPr>
      </w:pPr>
      <w:r w:rsidRPr="00322F2F">
        <w:rPr>
          <w:noProof/>
        </w:rPr>
        <w:t>ob upoštevanju Pogodbe o delovanju Evropske unije in zlasti člena 43(3) Pogodbe,</w:t>
      </w:r>
    </w:p>
    <w:p w14:paraId="2FEDD808" w14:textId="77777777" w:rsidR="00B858D4" w:rsidRPr="00322F2F" w:rsidRDefault="00B858D4" w:rsidP="008154B4">
      <w:pPr>
        <w:rPr>
          <w:noProof/>
        </w:rPr>
      </w:pPr>
      <w:r w:rsidRPr="00322F2F">
        <w:rPr>
          <w:noProof/>
        </w:rPr>
        <w:t>ob upoštevanju predloga Evropske komisije,</w:t>
      </w:r>
    </w:p>
    <w:p w14:paraId="52857FE0" w14:textId="77777777" w:rsidR="00B858D4" w:rsidRPr="00322F2F" w:rsidRDefault="00B858D4" w:rsidP="008154B4">
      <w:pPr>
        <w:rPr>
          <w:noProof/>
        </w:rPr>
      </w:pPr>
      <w:r w:rsidRPr="00322F2F">
        <w:rPr>
          <w:noProof/>
        </w:rPr>
        <w:t>ob upoštevanju naslednjega:</w:t>
      </w:r>
    </w:p>
    <w:p w14:paraId="66878D76" w14:textId="3E57F55C" w:rsidR="008D3B67" w:rsidRPr="00322F2F" w:rsidRDefault="005535CC" w:rsidP="005535CC">
      <w:pPr>
        <w:pStyle w:val="ManualConsidrant"/>
        <w:rPr>
          <w:noProof/>
        </w:rPr>
      </w:pPr>
      <w:r w:rsidRPr="005535CC">
        <w:t>(1)</w:t>
      </w:r>
      <w:r w:rsidRPr="005535CC">
        <w:tab/>
      </w:r>
      <w:r w:rsidR="008D3B67" w:rsidRPr="00322F2F">
        <w:rPr>
          <w:noProof/>
        </w:rPr>
        <w:t>Člen 6 Uredbe (EU) št. 1380/2013 Evropskega parlamenta in Sveta</w:t>
      </w:r>
      <w:r w:rsidR="008D3B67" w:rsidRPr="00322F2F">
        <w:rPr>
          <w:rStyle w:val="FootnoteReference"/>
          <w:noProof/>
        </w:rPr>
        <w:footnoteReference w:id="9"/>
      </w:r>
      <w:r w:rsidR="008D3B67" w:rsidRPr="00322F2F">
        <w:rPr>
          <w:noProof/>
        </w:rPr>
        <w:t xml:space="preserve"> določa, da je treba sprejeti ohranitvene ukrepe ob upoštevanju razpoložljivih znanstvenih, tehničnih in gospodarskih mnenj, kar vključuje, če je ustrezno, priporočila, ki jih pripravi Znanstveni, tehnični in gospodarski odbor za ribištvo (STECF), in mnenja svetovalnih svetov, </w:t>
      </w:r>
    </w:p>
    <w:p w14:paraId="794AE6F1" w14:textId="4BFCDA85" w:rsidR="001D2F0F" w:rsidRPr="00322F2F" w:rsidRDefault="005535CC" w:rsidP="005535CC">
      <w:pPr>
        <w:pStyle w:val="ManualConsidrant"/>
        <w:rPr>
          <w:noProof/>
        </w:rPr>
      </w:pPr>
      <w:r w:rsidRPr="005535CC">
        <w:t>(2)</w:t>
      </w:r>
      <w:r w:rsidRPr="005535CC">
        <w:tab/>
      </w:r>
      <w:r w:rsidR="00023167" w:rsidRPr="00322F2F">
        <w:rPr>
          <w:noProof/>
        </w:rPr>
        <w:t>Svet mora sprejeti ukrepe za določitev in dodelitev ribolovnih možnosti, po potrebi vključno z nekaterimi pogoji, ki so funkcionalno povezani s temi ribolovnimi možnostmi. Na podlagi člena 16(4) Uredbe (EU) št. 1380/2013 se ribolovne možnosti določijo v skladu s cilji skupne ribiške politike (SRP), kot je določena v členu 2(2) navedene uredbe. Na podlagi člena 16(1) Uredbe (EU) št. 1380/2013 se ribolovne možnosti državam članicam dodelijo tako, da zagotavljajo relativno stabilnost ribolovnih dejavnosti vsake države članice za vsak stalež rib ali ribištvo</w:t>
      </w:r>
      <w:r w:rsidR="00023167" w:rsidRPr="00322F2F">
        <w:rPr>
          <w:i/>
          <w:noProof/>
        </w:rPr>
        <w:t>.</w:t>
      </w:r>
      <w:r w:rsidR="00023167" w:rsidRPr="00322F2F">
        <w:rPr>
          <w:noProof/>
        </w:rPr>
        <w:t xml:space="preserve"> </w:t>
      </w:r>
    </w:p>
    <w:p w14:paraId="498AAE27" w14:textId="714054A9" w:rsidR="00B76224" w:rsidRPr="00322F2F" w:rsidRDefault="005535CC" w:rsidP="005535CC">
      <w:pPr>
        <w:pStyle w:val="ManualConsidrant"/>
        <w:rPr>
          <w:noProof/>
        </w:rPr>
      </w:pPr>
      <w:r w:rsidRPr="005535CC">
        <w:t>(3)</w:t>
      </w:r>
      <w:r w:rsidRPr="005535CC">
        <w:tab/>
      </w:r>
      <w:r w:rsidR="003D0945" w:rsidRPr="00322F2F">
        <w:rPr>
          <w:noProof/>
        </w:rPr>
        <w:t>V skladu z Uredbo (EU) št. 1380/2013 bi bilo treba torej celotne dovoljene ulove (TAC) določiti na podlagi razpoložljivega znanstvenega mnenja, pri čemer bi bilo treba upoštevati biološke in socialno-ekonomske vidike ob zagotavljanju pravične obravnave med ribiškimi sektorji ter upoštevati mnenja, izražena med posvetovanjem z deležniki.</w:t>
      </w:r>
    </w:p>
    <w:p w14:paraId="6847D8B8" w14:textId="20FEFD18" w:rsidR="00F603EC" w:rsidRPr="00322F2F" w:rsidRDefault="005535CC" w:rsidP="005535CC">
      <w:pPr>
        <w:pStyle w:val="ManualConsidrant"/>
        <w:rPr>
          <w:noProof/>
        </w:rPr>
      </w:pPr>
      <w:r w:rsidRPr="005535CC">
        <w:t>(4)</w:t>
      </w:r>
      <w:r w:rsidRPr="005535CC">
        <w:tab/>
      </w:r>
      <w:r w:rsidR="00A62250" w:rsidRPr="00322F2F">
        <w:rPr>
          <w:noProof/>
        </w:rPr>
        <w:t>Uredba (EU) 2019/1022 Evropskega parlamenta in Sveta</w:t>
      </w:r>
      <w:r w:rsidR="00A62250" w:rsidRPr="00322F2F">
        <w:rPr>
          <w:rStyle w:val="FootnoteReference"/>
          <w:noProof/>
        </w:rPr>
        <w:footnoteReference w:id="10"/>
      </w:r>
      <w:r w:rsidR="00A62250" w:rsidRPr="00322F2F">
        <w:rPr>
          <w:noProof/>
        </w:rPr>
        <w:t xml:space="preserve"> je vzpostavila večletni načrt za ribolov, ki izkorišča pridnene staleže v zahodnem Sredozemskem morju (v nadaljnjem besedilu: načrt). Cilj načrta je doseči in ohraniti največji trajnostni donos za ciljne staleže in zagotoviti, da se pri izkoriščanju živih morskih bioloških virov populacije lovljenih vrst obnavljajo in ohranjajo nad ravnmi, ki omogočajo največji trajnostni donos. </w:t>
      </w:r>
    </w:p>
    <w:p w14:paraId="275200C8" w14:textId="554A5DD8" w:rsidR="00F603EC" w:rsidRPr="00322F2F" w:rsidRDefault="005535CC" w:rsidP="005535CC">
      <w:pPr>
        <w:pStyle w:val="ManualConsidrant"/>
        <w:rPr>
          <w:i/>
          <w:iCs/>
          <w:noProof/>
        </w:rPr>
      </w:pPr>
      <w:r w:rsidRPr="005535CC">
        <w:t>(5)</w:t>
      </w:r>
      <w:r w:rsidRPr="005535CC">
        <w:tab/>
      </w:r>
      <w:r w:rsidR="00F603EC" w:rsidRPr="00322F2F">
        <w:rPr>
          <w:noProof/>
        </w:rPr>
        <w:t>V skladu s členom 4(1) načrta bi bilo treba ribolovne možnosti za staleže iz člena 1 navedene uredbe določiti tako, da se postopoma, po možnosti do leta 2020 in najpozneje do 1. januarja 2025, doseže ribolovna umrljivost na ravni največjega trajnostnega donosa. Ribolovne možnosti bi morale biti izražene kot največji dovoljeni ribolovni napor za plovila z vlečnimi mrežami in plovila s parangali in določene v skladu z ureditvijo ribolovnega napora iz člena 7 načrta ter kot največje omejitve ulova za rdeče-modro kozico (</w:t>
      </w:r>
      <w:r w:rsidR="00F603EC" w:rsidRPr="00322F2F">
        <w:rPr>
          <w:i/>
          <w:noProof/>
        </w:rPr>
        <w:t>Aristeus antennatus</w:t>
      </w:r>
      <w:r w:rsidR="00F603EC" w:rsidRPr="00322F2F">
        <w:rPr>
          <w:noProof/>
        </w:rPr>
        <w:t>) in orjaško rdečo kozico (</w:t>
      </w:r>
      <w:r w:rsidR="00F603EC" w:rsidRPr="00322F2F">
        <w:rPr>
          <w:i/>
          <w:noProof/>
        </w:rPr>
        <w:t>Aristaeomorpha foliacea</w:t>
      </w:r>
      <w:r w:rsidR="00F603EC" w:rsidRPr="00322F2F">
        <w:rPr>
          <w:noProof/>
        </w:rPr>
        <w:t>) v globokih vodah v  skladu z znanstvenim mnenjem in členom 7(3), točka (b), načrta.</w:t>
      </w:r>
    </w:p>
    <w:p w14:paraId="0FF4CEC1" w14:textId="17EF6034" w:rsidR="005F0623" w:rsidRPr="00322F2F" w:rsidRDefault="005535CC" w:rsidP="005535CC">
      <w:pPr>
        <w:pStyle w:val="ManualConsidrant"/>
        <w:rPr>
          <w:i/>
          <w:noProof/>
        </w:rPr>
      </w:pPr>
      <w:r w:rsidRPr="005535CC">
        <w:t>(6)</w:t>
      </w:r>
      <w:r w:rsidRPr="005535CC">
        <w:tab/>
      </w:r>
      <w:r w:rsidR="00F603EC" w:rsidRPr="00322F2F">
        <w:rPr>
          <w:noProof/>
        </w:rPr>
        <w:t>[</w:t>
      </w:r>
      <w:r w:rsidR="00F603EC" w:rsidRPr="00322F2F">
        <w:rPr>
          <w:i/>
          <w:noProof/>
        </w:rPr>
        <w:t>Prostornik: mnenje STECF, ki je v pripravi</w:t>
      </w:r>
      <w:r w:rsidR="00F603EC" w:rsidRPr="00322F2F">
        <w:rPr>
          <w:noProof/>
        </w:rPr>
        <w:t>] Na podlagi tega mnenja bi bilo treba največji dovoljeni ribolovni napor za plovila z vlečnimi mrežami v zahodnem Sredozemskem morju za leto 2024 zmanjšati za pm % v primerjavi z referenčno vrednostjo med letoma 2015 in 2017, kar se odšteje od največjega dovoljenega ribolovnega napora, določenega za leto 2023 z Uredbo Sveta (EU) 2023/195</w:t>
      </w:r>
      <w:r w:rsidR="00F603EC" w:rsidRPr="00322F2F">
        <w:rPr>
          <w:rStyle w:val="FootnoteReference"/>
          <w:noProof/>
        </w:rPr>
        <w:footnoteReference w:id="11"/>
      </w:r>
      <w:r w:rsidR="00F603EC" w:rsidRPr="00322F2F">
        <w:rPr>
          <w:noProof/>
        </w:rPr>
        <w:t xml:space="preserve">. </w:t>
      </w:r>
      <w:r w:rsidR="00F603EC" w:rsidRPr="00322F2F">
        <w:rPr>
          <w:i/>
          <w:noProof/>
        </w:rPr>
        <w:t xml:space="preserve"> </w:t>
      </w:r>
    </w:p>
    <w:p w14:paraId="3DAC6A46" w14:textId="36F61F0D" w:rsidR="00DC199D" w:rsidRPr="00322F2F" w:rsidRDefault="005535CC" w:rsidP="005535CC">
      <w:pPr>
        <w:pStyle w:val="ManualConsidrant"/>
        <w:rPr>
          <w:noProof/>
        </w:rPr>
      </w:pPr>
      <w:r w:rsidRPr="005535CC">
        <w:t>(7)</w:t>
      </w:r>
      <w:r w:rsidRPr="005535CC">
        <w:tab/>
      </w:r>
      <w:r w:rsidR="007E3819" w:rsidRPr="00322F2F">
        <w:rPr>
          <w:noProof/>
        </w:rPr>
        <w:t>[</w:t>
      </w:r>
      <w:r w:rsidR="007E3819" w:rsidRPr="00322F2F">
        <w:rPr>
          <w:i/>
          <w:noProof/>
        </w:rPr>
        <w:t>Prostornik: mnenje STECF, ki je v pripravi</w:t>
      </w:r>
      <w:r w:rsidR="007E3819" w:rsidRPr="00322F2F">
        <w:rPr>
          <w:noProof/>
        </w:rPr>
        <w:t>.] Na podlagi tega mnenja bi moral biti  za leto 2024 največji dovoljeni ribolovni napor plovil s parangalom pm v primerjavi z referenčno vrednostjo med letoma 2015 in 2017.</w:t>
      </w:r>
      <w:bookmarkStart w:id="2" w:name="_Hlk140653533"/>
    </w:p>
    <w:bookmarkEnd w:id="2"/>
    <w:p w14:paraId="1A75E70F" w14:textId="33E01799" w:rsidR="005434F8" w:rsidRPr="00322F2F" w:rsidRDefault="005535CC" w:rsidP="005535CC">
      <w:pPr>
        <w:pStyle w:val="ManualConsidrant"/>
        <w:rPr>
          <w:noProof/>
        </w:rPr>
      </w:pPr>
      <w:r w:rsidRPr="005535CC">
        <w:t>(8)</w:t>
      </w:r>
      <w:r w:rsidRPr="005535CC">
        <w:tab/>
      </w:r>
      <w:r w:rsidR="005434F8" w:rsidRPr="00322F2F">
        <w:rPr>
          <w:noProof/>
        </w:rPr>
        <w:t>[</w:t>
      </w:r>
      <w:r w:rsidR="005434F8" w:rsidRPr="00322F2F">
        <w:rPr>
          <w:i/>
          <w:noProof/>
        </w:rPr>
        <w:t>Prostornik: mnenje STECF, ki je v pripravi</w:t>
      </w:r>
      <w:r w:rsidR="005434F8" w:rsidRPr="00322F2F">
        <w:rPr>
          <w:noProof/>
        </w:rPr>
        <w:t>] Glede na znanstveno mnenje bi torej morale največje omejitve ulova za rdeče-modro kozico na geografskih podobmočjih 1, 2, 5, 6 in 7 za leto 2024 znašati pm %.</w:t>
      </w:r>
    </w:p>
    <w:p w14:paraId="382DE5F1" w14:textId="1678D069" w:rsidR="00923948" w:rsidRPr="00322F2F" w:rsidRDefault="005535CC" w:rsidP="005535CC">
      <w:pPr>
        <w:pStyle w:val="ManualConsidrant"/>
        <w:rPr>
          <w:noProof/>
        </w:rPr>
      </w:pPr>
      <w:r w:rsidRPr="005535CC">
        <w:t>(9)</w:t>
      </w:r>
      <w:r w:rsidRPr="005535CC">
        <w:tab/>
      </w:r>
      <w:r w:rsidR="002A76EB" w:rsidRPr="00322F2F">
        <w:rPr>
          <w:noProof/>
        </w:rPr>
        <w:t>[</w:t>
      </w:r>
      <w:r w:rsidR="002A76EB" w:rsidRPr="00322F2F">
        <w:rPr>
          <w:i/>
          <w:noProof/>
        </w:rPr>
        <w:t>Prostornik: mnenje STECF, ki je v pripravi</w:t>
      </w:r>
      <w:r w:rsidR="002A76EB" w:rsidRPr="00322F2F">
        <w:rPr>
          <w:noProof/>
        </w:rPr>
        <w:t>] Glede na znanstveno mnenje bi morale največje omejitve ulova za rdeče-modro kozico na geografskih podobmočjih 8, 9, 10 in 11 za leto 2024 znašati pm %.</w:t>
      </w:r>
    </w:p>
    <w:p w14:paraId="53DB30EE" w14:textId="77E7E63E" w:rsidR="008154B4" w:rsidRPr="00322F2F" w:rsidRDefault="005535CC" w:rsidP="005535CC">
      <w:pPr>
        <w:pStyle w:val="ManualConsidrant"/>
        <w:rPr>
          <w:noProof/>
        </w:rPr>
      </w:pPr>
      <w:r w:rsidRPr="005535CC">
        <w:t>(10)</w:t>
      </w:r>
      <w:r w:rsidRPr="005535CC">
        <w:tab/>
      </w:r>
      <w:r w:rsidR="00C7705C" w:rsidRPr="00322F2F">
        <w:rPr>
          <w:noProof/>
        </w:rPr>
        <w:t>[</w:t>
      </w:r>
      <w:r w:rsidR="00C7705C" w:rsidRPr="00322F2F">
        <w:rPr>
          <w:i/>
          <w:noProof/>
        </w:rPr>
        <w:t>Prostornik: mnenje STECF, ki je v pripravi</w:t>
      </w:r>
      <w:r w:rsidR="00C7705C" w:rsidRPr="00322F2F">
        <w:rPr>
          <w:noProof/>
        </w:rPr>
        <w:t>] V skladu s členom 7(3), točka (b), načrta je zato primerno še naprej določati največje omejitve ulova, da se z njimi dopolni ureditev ribolovnega napora z vlečno mrežo. Glede na znanstveno mnenje bi morale največje omejitve ulova za orjaško rdečo kozico na geografskih podobmočjih 8, 9, 10 in 11 za leto 2024 znašati pm %.</w:t>
      </w:r>
    </w:p>
    <w:p w14:paraId="1AF10742" w14:textId="506CC5AA" w:rsidR="002F044E" w:rsidRPr="00322F2F" w:rsidRDefault="005535CC" w:rsidP="005535CC">
      <w:pPr>
        <w:pStyle w:val="ManualConsidrant"/>
        <w:rPr>
          <w:noProof/>
        </w:rPr>
      </w:pPr>
      <w:r w:rsidRPr="005535CC">
        <w:t>(11)</w:t>
      </w:r>
      <w:r w:rsidRPr="005535CC">
        <w:tab/>
      </w:r>
      <w:r w:rsidR="00F603EC" w:rsidRPr="00322F2F">
        <w:rPr>
          <w:noProof/>
        </w:rPr>
        <w:t>GFCM je na 43. letnem zasedanju leta 2019 sprejela Priporočilo GFCM/43/2019/5 o večletnem načrtu upravljanja za trajnostni pridneni ribolov v Jadranskem morju (geografski podobmočji GFCM 17 in 18</w:t>
      </w:r>
      <w:bookmarkStart w:id="3" w:name="_Hlk140654589"/>
      <w:r w:rsidR="00F603EC" w:rsidRPr="00322F2F">
        <w:rPr>
          <w:noProof/>
        </w:rPr>
        <w:t>)</w:t>
      </w:r>
      <w:r w:rsidR="00F603EC" w:rsidRPr="00322F2F">
        <w:rPr>
          <w:rStyle w:val="FootnoteReference"/>
          <w:noProof/>
        </w:rPr>
        <w:footnoteReference w:id="12"/>
      </w:r>
      <w:bookmarkEnd w:id="3"/>
      <w:r w:rsidR="00F603EC" w:rsidRPr="00322F2F">
        <w:rPr>
          <w:noProof/>
        </w:rPr>
        <w:t xml:space="preserve">, s katerim sta bili za nekatere pridnene staleže za obdobje 2020–2026 uvedeni ureditev ribolovnega napora in zgornja meja zmogljivosti flote. Te ukrepe za leto 2024 bi bilo zato treba prenesti v pravo Unije. </w:t>
      </w:r>
    </w:p>
    <w:p w14:paraId="2BB03EED" w14:textId="6C21314A" w:rsidR="002F044E" w:rsidRPr="00322F2F" w:rsidRDefault="005535CC" w:rsidP="005535CC">
      <w:pPr>
        <w:pStyle w:val="ManualConsidrant"/>
        <w:rPr>
          <w:noProof/>
        </w:rPr>
      </w:pPr>
      <w:r w:rsidRPr="005535CC">
        <w:t>(12)</w:t>
      </w:r>
      <w:r w:rsidRPr="005535CC">
        <w:tab/>
      </w:r>
      <w:r w:rsidR="002F044E" w:rsidRPr="00322F2F">
        <w:rPr>
          <w:noProof/>
        </w:rPr>
        <w:t>[Prostornik: novi ukrepi za pridnene staleže v Jadranskem morju s 46. letnega zasedanja GFCM ]</w:t>
      </w:r>
    </w:p>
    <w:p w14:paraId="236ADCAC" w14:textId="554250C3" w:rsidR="002F044E" w:rsidRPr="00322F2F" w:rsidRDefault="005535CC" w:rsidP="005535CC">
      <w:pPr>
        <w:pStyle w:val="ManualConsidrant"/>
        <w:rPr>
          <w:noProof/>
        </w:rPr>
      </w:pPr>
      <w:r w:rsidRPr="005535CC">
        <w:t>(13)</w:t>
      </w:r>
      <w:r w:rsidRPr="005535CC">
        <w:tab/>
      </w:r>
      <w:r w:rsidR="00A358E0" w:rsidRPr="00322F2F">
        <w:rPr>
          <w:noProof/>
        </w:rPr>
        <w:t>GFCM je na 44. letnem zasedanju leta 2021 sprejela Priporočilo GFCM/44/2021/20 o večletnem načrtu upravljanja za trajnostno izkoriščanje malih pelagičnih staležev v Jadranskem morju (geografski podobmočji GFCM 17 in 18)</w:t>
      </w:r>
      <w:r w:rsidR="00A358E0" w:rsidRPr="00322F2F">
        <w:rPr>
          <w:rStyle w:val="FootnoteReference"/>
          <w:noProof/>
        </w:rPr>
        <w:footnoteReference w:id="13"/>
      </w:r>
      <w:r w:rsidR="00A358E0" w:rsidRPr="00322F2F">
        <w:rPr>
          <w:noProof/>
        </w:rPr>
        <w:t>, s katerim sta bili  za obdobje 2022–2029 uvedeni najvišja raven ulova in zadevna zgornja meja zmogljivosti flote za plovila z zaporno plavarico in plovila z vlečnimi mrežami, z odstopanjem za nacionalne flote z manj kot 10 plovili z zaporno plavarico ali plovili z vlečnimi mrežami, ki dejavno lovijo male pelagične vrste. Te ukrepe za leto 2024 bi bilo zato treba prenesti v pravo Unije.</w:t>
      </w:r>
    </w:p>
    <w:p w14:paraId="55A06C67" w14:textId="280EA7A6" w:rsidR="002F044E" w:rsidRPr="00322F2F" w:rsidRDefault="005535CC" w:rsidP="005535CC">
      <w:pPr>
        <w:pStyle w:val="ManualConsidrant"/>
        <w:rPr>
          <w:noProof/>
        </w:rPr>
      </w:pPr>
      <w:r w:rsidRPr="005535CC">
        <w:t>(14)</w:t>
      </w:r>
      <w:r w:rsidRPr="005535CC">
        <w:tab/>
      </w:r>
      <w:r w:rsidR="00210011" w:rsidRPr="00322F2F">
        <w:rPr>
          <w:noProof/>
        </w:rPr>
        <w:t>[Prostornik: novi ukrepi za male pelagične staleže v Jadranskem morju s 46. letnega zasedanja GFCM ]</w:t>
      </w:r>
    </w:p>
    <w:p w14:paraId="066B94EC" w14:textId="7A765102" w:rsidR="002F044E" w:rsidRPr="00322F2F" w:rsidRDefault="005535CC" w:rsidP="005535CC">
      <w:pPr>
        <w:pStyle w:val="ManualConsidrant"/>
        <w:rPr>
          <w:noProof/>
        </w:rPr>
      </w:pPr>
      <w:r w:rsidRPr="005535CC">
        <w:t>(15)</w:t>
      </w:r>
      <w:r w:rsidRPr="005535CC">
        <w:tab/>
      </w:r>
      <w:r w:rsidR="00F603EC" w:rsidRPr="00322F2F">
        <w:rPr>
          <w:noProof/>
        </w:rPr>
        <w:t>Ob upoštevanju posebnosti slovenske flote in njenega zanemarljivega vpliva na staleže malih pelagičnih in pridnenih vrst ter v skladu z odstavkom 33 Priporočila GFCM/44/2021/20 in odstavkom 13 Priporočila GFCM/43/2019/5 je primerno ohraniti obstoječe ribolovne vzorce ter slovenski floti omogočiti dostop do minimalne količine malih pelagičnih vrst in dodelitve minimalnega napora za pridnene staleže.</w:t>
      </w:r>
    </w:p>
    <w:p w14:paraId="683CCB9E" w14:textId="525DFB16" w:rsidR="00210011" w:rsidRPr="00322F2F" w:rsidRDefault="005535CC" w:rsidP="005535CC">
      <w:pPr>
        <w:pStyle w:val="ManualConsidrant"/>
        <w:rPr>
          <w:noProof/>
        </w:rPr>
      </w:pPr>
      <w:r w:rsidRPr="005535CC">
        <w:t>(16)</w:t>
      </w:r>
      <w:r w:rsidRPr="005535CC">
        <w:tab/>
      </w:r>
      <w:r w:rsidR="00210011" w:rsidRPr="00322F2F">
        <w:rPr>
          <w:noProof/>
        </w:rPr>
        <w:t>[Prostornik: novi ukrepi za rdeče korale s 46. letnega zasedanja GFCM ]</w:t>
      </w:r>
    </w:p>
    <w:p w14:paraId="7F5C5AD7" w14:textId="1737CA70" w:rsidR="008154B4" w:rsidRPr="00322F2F" w:rsidRDefault="005535CC" w:rsidP="005535CC">
      <w:pPr>
        <w:pStyle w:val="ManualConsidrant"/>
        <w:rPr>
          <w:noProof/>
        </w:rPr>
      </w:pPr>
      <w:r w:rsidRPr="005535CC">
        <w:t>(17)</w:t>
      </w:r>
      <w:r w:rsidRPr="005535CC">
        <w:tab/>
      </w:r>
      <w:r w:rsidR="00210011" w:rsidRPr="00322F2F">
        <w:rPr>
          <w:noProof/>
        </w:rPr>
        <w:t>[Prostornik: novi ukrepi za delfinke s 46. letnega zasedanja GFCM ]</w:t>
      </w:r>
    </w:p>
    <w:p w14:paraId="1515E045" w14:textId="227C578F" w:rsidR="00210011" w:rsidRPr="00322F2F" w:rsidRDefault="005535CC" w:rsidP="005535CC">
      <w:pPr>
        <w:pStyle w:val="ManualConsidrant"/>
        <w:rPr>
          <w:noProof/>
        </w:rPr>
      </w:pPr>
      <w:r w:rsidRPr="005535CC">
        <w:t>(18)</w:t>
      </w:r>
      <w:r w:rsidRPr="005535CC">
        <w:tab/>
      </w:r>
      <w:r w:rsidR="00210011" w:rsidRPr="00322F2F">
        <w:rPr>
          <w:noProof/>
        </w:rPr>
        <w:t>GFCM je na 45. letnem zasedanju leta 2022 sprejela Priporočilo GFCM/45/2022/4 o večletnem načrtu upravljanja za trajnostno izkoriščanje pridnenih staležev v Sicilski ožini (geografska podobmočja 12 do 16)</w:t>
      </w:r>
      <w:r w:rsidR="00210011" w:rsidRPr="00322F2F">
        <w:rPr>
          <w:rStyle w:val="FootnoteReference"/>
          <w:noProof/>
        </w:rPr>
        <w:footnoteReference w:id="14"/>
      </w:r>
      <w:r w:rsidR="00210011" w:rsidRPr="00322F2F">
        <w:rPr>
          <w:noProof/>
        </w:rPr>
        <w:t>, s katerim sta bili razveljavljeni priporočili GFCM/44/2021/12 in GFCM/42/2018/5. S Priporočilom GFCM/45/2022/4 so bili uvedeni ureditev ribolovnega napora za osliča, omejitve ulova za dolgoostno rdečo kozico ter zamrznitev ribolovne zmogljivosti. Navedeno priporočilo za leto 2024 določa 3-odstotno zmanjšanje omejitev ulova za dolgoostne rdeče kozice. Za izvajanje navedenih ukrepov v pravu Unije bi bilo zato treba od največjih dovoljenih omejitev ulova za dolgoostno rdečo kozico, določenih za leto 2023 z Uredbo Sveta (EU) 2023/195, odšteti 3 %.</w:t>
      </w:r>
    </w:p>
    <w:p w14:paraId="03497BC8" w14:textId="58BE958E" w:rsidR="008154B4" w:rsidRPr="00322F2F" w:rsidRDefault="005535CC" w:rsidP="005535CC">
      <w:pPr>
        <w:pStyle w:val="ManualConsidrant"/>
        <w:rPr>
          <w:noProof/>
        </w:rPr>
      </w:pPr>
      <w:r w:rsidRPr="005535CC">
        <w:t>(19)</w:t>
      </w:r>
      <w:r w:rsidRPr="005535CC">
        <w:tab/>
      </w:r>
      <w:r w:rsidR="00EE0CA5" w:rsidRPr="00322F2F">
        <w:rPr>
          <w:noProof/>
        </w:rPr>
        <w:t>GFCM je na 45. letnem zasedanju leta 2022 sprejela Priporočilo GFCM/45/2022/5 o večletnem načrtu upravljanja za trajnostno izkoriščanje staležev orjaške rdeče kozice in rdeče-modre kozice v Sicilski ožini (geografska podobmočja 12 do 16)</w:t>
      </w:r>
      <w:r w:rsidR="00EE0CA5" w:rsidRPr="00322F2F">
        <w:rPr>
          <w:rStyle w:val="FootnoteReference"/>
          <w:noProof/>
        </w:rPr>
        <w:footnoteReference w:id="15"/>
      </w:r>
      <w:r w:rsidR="00EE0CA5" w:rsidRPr="00322F2F">
        <w:rPr>
          <w:noProof/>
        </w:rPr>
        <w:t>, s katerim sta bili razveljavljeni priporočili GFCM/44/2021/7 in GFCM/43/2019/6. S Priporočilom GFCM/45/2022/5 sta bili uvedeni omejitev ulova in zamrznitev ribolovne zmogljivosti. Navedeno priporočilo za leto 2024 določa 3-odstotno zmanjšanje omejitev ulova za orjaško rdečo kozico in rdeče-modro kozico. Za izvajanje navedenih ukrepov v pravu Unije bi bilo zato treba od največjih dovoljenih omejitev ulova za orjaško rdečo kozico in rdeče-modro kozico, določenih za leto 2023 z Uredbo Sveta (EU) 2023/195, odšteti 3 %.</w:t>
      </w:r>
    </w:p>
    <w:p w14:paraId="351E4A6D" w14:textId="000B9E25" w:rsidR="008154B4" w:rsidRPr="00322F2F" w:rsidRDefault="005535CC" w:rsidP="005535CC">
      <w:pPr>
        <w:pStyle w:val="ManualConsidrant"/>
        <w:rPr>
          <w:noProof/>
        </w:rPr>
      </w:pPr>
      <w:r w:rsidRPr="005535CC">
        <w:t>(20)</w:t>
      </w:r>
      <w:r w:rsidRPr="005535CC">
        <w:tab/>
      </w:r>
      <w:r w:rsidR="00EE0CA5" w:rsidRPr="00322F2F">
        <w:rPr>
          <w:noProof/>
        </w:rPr>
        <w:t xml:space="preserve">GFCM je na 45. letnem zasedanju leta 2022 sprejela Priporočilo </w:t>
      </w:r>
      <w:bookmarkStart w:id="4" w:name="_Hlk139990266"/>
      <w:r w:rsidR="00EE0CA5" w:rsidRPr="00322F2F">
        <w:rPr>
          <w:noProof/>
        </w:rPr>
        <w:t>GFCM/45/2022/6</w:t>
      </w:r>
      <w:bookmarkEnd w:id="4"/>
      <w:r w:rsidR="00EE0CA5" w:rsidRPr="00322F2F">
        <w:rPr>
          <w:noProof/>
        </w:rPr>
        <w:t xml:space="preserve"> o večletnem načrtu upravljanja za trajnostno izkoriščanje staležev orjaške rdeče kozice in rdeče-modre kozice v Jonskem morju (geografska podobmočja 19 do 21)</w:t>
      </w:r>
      <w:r w:rsidR="00EE0CA5" w:rsidRPr="00322F2F">
        <w:rPr>
          <w:rStyle w:val="FootnoteReference"/>
          <w:noProof/>
        </w:rPr>
        <w:footnoteReference w:id="16"/>
      </w:r>
      <w:r w:rsidR="00EE0CA5" w:rsidRPr="00322F2F">
        <w:rPr>
          <w:noProof/>
        </w:rPr>
        <w:t xml:space="preserve">, s katerim sta bili razveljavljeni priporočili GFCM/44/2021/8 in GFCM/42/2018/4. S Priporočilom GFCM/45/2022/6 sta bili uvedeni omejitev ulova in zamrznitev ribolovne zmogljivosti. Navedeno priporočilo za leto 2024 določa 3-odstotno zmanjšanje omejitev ulova za </w:t>
      </w:r>
      <w:bookmarkStart w:id="5" w:name="_Hlk141362640"/>
      <w:r w:rsidR="00EE0CA5" w:rsidRPr="00322F2F">
        <w:rPr>
          <w:noProof/>
        </w:rPr>
        <w:t>orjaško rdečo kozico in rdeče-modro kozico</w:t>
      </w:r>
      <w:bookmarkEnd w:id="5"/>
      <w:r w:rsidR="00EE0CA5" w:rsidRPr="00322F2F">
        <w:rPr>
          <w:noProof/>
        </w:rPr>
        <w:t>. Za izvajanje navedenih ukrepov v pravu Unije bi bilo zato treba od največjih dovoljenih omejitev ulova za orjaško rdečo kozico in rdeče-modro kozico, določenih za leto 2023 z Uredbo Sveta (EU) 2023/195, odšteti 3 %.</w:t>
      </w:r>
    </w:p>
    <w:p w14:paraId="6619F5DD" w14:textId="663AFD13" w:rsidR="008154B4" w:rsidRPr="00322F2F" w:rsidRDefault="005535CC" w:rsidP="005535CC">
      <w:pPr>
        <w:pStyle w:val="ManualConsidrant"/>
        <w:rPr>
          <w:noProof/>
        </w:rPr>
      </w:pPr>
      <w:r w:rsidRPr="005535CC">
        <w:t>(21)</w:t>
      </w:r>
      <w:r w:rsidRPr="005535CC">
        <w:tab/>
      </w:r>
      <w:r w:rsidR="00EE0CA5" w:rsidRPr="00322F2F">
        <w:rPr>
          <w:noProof/>
        </w:rPr>
        <w:t>GFCM je na 45. letnem zasedanju leta 2022 sprejela Priporočilo GFCM/45/2022/7 o večletnem načrtu upravljanja za trajnostno izkoriščanje staležev orjaške rdeče kozice in rdeče-modre kozice v Levantskem morju (geografska podobmočja 24 do 27)</w:t>
      </w:r>
      <w:r w:rsidR="00EE0CA5" w:rsidRPr="00322F2F">
        <w:rPr>
          <w:rStyle w:val="FootnoteReference"/>
          <w:noProof/>
        </w:rPr>
        <w:footnoteReference w:id="17"/>
      </w:r>
      <w:r w:rsidR="00EE0CA5" w:rsidRPr="00322F2F">
        <w:rPr>
          <w:noProof/>
        </w:rPr>
        <w:t xml:space="preserve">, s katerim sta bili razveljavljeni priporočili GFCM/44/2021/8 in GFCM/42/2018/4. S Priporočilom GFCM/45/2022/7 sta bili uvedeni omejitev ulova in zamrznitev ribolovne zmogljivosti. Navedeno priporočilo za leto 2024 določa 3-odstotno zmanjšanje omejitev ulova za orjaško rdečo kozico in rdeče-modro kozico. Za izvajanje navedenih ukrepov v pravu Unije bi bilo zato treba od največjih dovoljenih omejitev ulova za orjaško rdečo kozico in rdeče-modro kozico, določenih za leto 2023 z Uredbo Sveta (EU) 2023/195, odšteti 3 %. </w:t>
      </w:r>
    </w:p>
    <w:p w14:paraId="0CFA0DF5" w14:textId="1168380D" w:rsidR="002F044E" w:rsidRPr="00322F2F" w:rsidRDefault="005535CC" w:rsidP="005535CC">
      <w:pPr>
        <w:pStyle w:val="ManualConsidrant"/>
        <w:rPr>
          <w:noProof/>
        </w:rPr>
      </w:pPr>
      <w:r w:rsidRPr="005535CC">
        <w:t>(22)</w:t>
      </w:r>
      <w:r w:rsidRPr="005535CC">
        <w:tab/>
      </w:r>
      <w:r w:rsidR="00EE0CA5" w:rsidRPr="00322F2F">
        <w:rPr>
          <w:noProof/>
        </w:rPr>
        <w:t>GFCM je na 45. letnem zasedanju leta 2022 sprejela Priporočilo GFCM/45/2022/3 o večletnem načrtu upravljanja za trajnostno izkoriščanje okatega ribona v Alboranskem morju (geografska podobmočja 1 do 3)</w:t>
      </w:r>
      <w:r w:rsidR="00EE0CA5" w:rsidRPr="00322F2F">
        <w:rPr>
          <w:rStyle w:val="FootnoteReference"/>
          <w:noProof/>
        </w:rPr>
        <w:footnoteReference w:id="18"/>
      </w:r>
      <w:r w:rsidR="00EE0CA5" w:rsidRPr="00322F2F">
        <w:rPr>
          <w:noProof/>
        </w:rPr>
        <w:t>, s katerim so bila razveljavljena priporočila GFCM/44/2021/4, GFCM/43/2019/2 in GFCM/41/2017/2. Priporočilo GFCM/45/2022/3 je uvedlo najvišje ravni ulova za leta 2023, 2024 in 2025, največje število dovoljenih parangalov in ročnih ribiških vrvic ter nove ukrepe za rekreacijski ribolov. Za izvajanje navedenih ukrepov v pravu Unije bi bilo zato treba od največjih dovoljenih omejitev ulova za okatega ribona, določenih za leto 2023 z Uredbo Sveta (EU) 2023/195, odšteti 7 %.</w:t>
      </w:r>
    </w:p>
    <w:p w14:paraId="6FF62E57" w14:textId="0AC0617A" w:rsidR="00D855EA" w:rsidRPr="00322F2F" w:rsidRDefault="005535CC" w:rsidP="005535CC">
      <w:pPr>
        <w:pStyle w:val="ManualConsidrant"/>
        <w:rPr>
          <w:rStyle w:val="CommentReference"/>
          <w:noProof/>
          <w:sz w:val="24"/>
          <w:szCs w:val="22"/>
        </w:rPr>
      </w:pPr>
      <w:r w:rsidRPr="005535CC">
        <w:rPr>
          <w:rStyle w:val="CommentReference"/>
        </w:rPr>
        <w:t>(23)</w:t>
      </w:r>
      <w:r w:rsidRPr="005535CC">
        <w:rPr>
          <w:rStyle w:val="CommentReference"/>
        </w:rPr>
        <w:tab/>
      </w:r>
      <w:r w:rsidR="00F603EC" w:rsidRPr="00322F2F">
        <w:rPr>
          <w:noProof/>
        </w:rPr>
        <w:t>GFCM je na 43. letnem zasedanju leta 2019 sprejela Priporočilo GFCM/43/2019/3</w:t>
      </w:r>
      <w:r w:rsidR="00F603EC" w:rsidRPr="00322F2F">
        <w:rPr>
          <w:rStyle w:val="FootnoteReference"/>
          <w:noProof/>
        </w:rPr>
        <w:footnoteReference w:id="19"/>
      </w:r>
      <w:r w:rsidR="00F603EC" w:rsidRPr="00322F2F">
        <w:rPr>
          <w:noProof/>
        </w:rPr>
        <w:t xml:space="preserve"> o spremembi Priporočila GFCM/41/2017/4 o večletnem načrtu upravljanja za ribolov romba v Črnem morju (geografsko podobmočje GFMC 29). Priporočilo GFCM/43/2019/3 je za obdobje 2020–2024 uvedlo posodobljen regionalni TAC in sistem za dodeljevanje kvot za romba ter nadaljnje ohranitvene ukrepe, zlasti dvomesečno prepoved ribolova in omejitev ribolovnih dni na 180 dni na leto. V skladu s Priporočilom GFCM/43/2019/3 so ti dodatni ohranitveni ukrepi funkcionalno povezani z ribolovnimi možnostmi, saj bi bilo treba brez teh ukrepov zmanjšati TAC za romba, da se zagotovi njegova obnova. Te ukrepe bi bilo zato treba prenesti v pravo Unije.</w:t>
      </w:r>
    </w:p>
    <w:p w14:paraId="525CC49A" w14:textId="3781D475" w:rsidR="00F603EC" w:rsidRPr="00322F2F" w:rsidRDefault="005535CC" w:rsidP="005535CC">
      <w:pPr>
        <w:pStyle w:val="ManualConsidrant"/>
        <w:rPr>
          <w:noProof/>
        </w:rPr>
      </w:pPr>
      <w:r w:rsidRPr="005535CC">
        <w:t>(24)</w:t>
      </w:r>
      <w:r w:rsidRPr="005535CC">
        <w:tab/>
      </w:r>
      <w:r w:rsidR="00F603EC" w:rsidRPr="00322F2F">
        <w:rPr>
          <w:noProof/>
        </w:rPr>
        <w:t>[Prostornik: sklep o podaljšanju kvot za romba s 46. letnega zasedanja GFCM ]</w:t>
      </w:r>
    </w:p>
    <w:p w14:paraId="4BEF31AB" w14:textId="4261A849" w:rsidR="00D855EA" w:rsidRPr="00322F2F" w:rsidRDefault="005535CC" w:rsidP="005535CC">
      <w:pPr>
        <w:pStyle w:val="ManualConsidrant"/>
        <w:rPr>
          <w:noProof/>
        </w:rPr>
      </w:pPr>
      <w:r w:rsidRPr="005535CC">
        <w:t>(25)</w:t>
      </w:r>
      <w:r w:rsidRPr="005535CC">
        <w:tab/>
      </w:r>
      <w:r w:rsidR="00D855EA" w:rsidRPr="00322F2F">
        <w:rPr>
          <w:noProof/>
        </w:rPr>
        <w:t>[Prostornik: sklep o prenosu kvot za romba s 46. letnega zasedanja GFCM ]</w:t>
      </w:r>
    </w:p>
    <w:p w14:paraId="32515247" w14:textId="70DBFC0E" w:rsidR="008154B4" w:rsidRPr="00322F2F" w:rsidRDefault="005535CC" w:rsidP="005535CC">
      <w:pPr>
        <w:pStyle w:val="ManualConsidrant"/>
        <w:rPr>
          <w:noProof/>
        </w:rPr>
      </w:pPr>
      <w:r w:rsidRPr="005535CC">
        <w:t>(26)</w:t>
      </w:r>
      <w:r w:rsidRPr="005535CC">
        <w:tab/>
      </w:r>
      <w:r w:rsidR="003F7858" w:rsidRPr="00322F2F">
        <w:rPr>
          <w:noProof/>
        </w:rPr>
        <w:t xml:space="preserve">V skladu z znanstvenim mnenjem delovne skupine GFCM za Črno morje je treba ohraniti trenutno raven ribolovne umrljivosti papaline, da se zagotovi trajnostnost staleža papaline v Črnem morju. Zato je primerno še naprej določati avtonomno kvoto za navedene staleže. </w:t>
      </w:r>
    </w:p>
    <w:p w14:paraId="74CE2982" w14:textId="226752B0" w:rsidR="00F603EC" w:rsidRPr="00322F2F" w:rsidRDefault="005535CC" w:rsidP="005535CC">
      <w:pPr>
        <w:pStyle w:val="ManualConsidrant"/>
        <w:rPr>
          <w:noProof/>
        </w:rPr>
      </w:pPr>
      <w:r w:rsidRPr="005535CC">
        <w:t>(27)</w:t>
      </w:r>
      <w:r w:rsidRPr="005535CC">
        <w:tab/>
      </w:r>
      <w:r w:rsidR="00F603EC" w:rsidRPr="00322F2F">
        <w:rPr>
          <w:noProof/>
        </w:rPr>
        <w:t>Uporabo ribolovnih možnosti, ki so na voljo ribiškim plovilom Unije in so določene v tej uredbi, ureja Uredba Sveta (ES) št. 1224/2009</w:t>
      </w:r>
      <w:r w:rsidR="00F603EC" w:rsidRPr="00322F2F">
        <w:rPr>
          <w:rStyle w:val="FootnoteReference"/>
          <w:noProof/>
        </w:rPr>
        <w:footnoteReference w:id="20"/>
      </w:r>
      <w:r w:rsidR="00F603EC" w:rsidRPr="00322F2F">
        <w:rPr>
          <w:noProof/>
        </w:rPr>
        <w:t>, zlasti člena 33 in 34 navedene uredbe o evidentiranju ulova in ribolovnega napora ter sporočanju podatkov o izčrpanju ribolovnih možnosti. Zato je treba določiti kode, ki jih države članice uporabljajo pri pošiljanju podatkov Komisiji v zvezi z iztovarjanjem staležev, ki jih ureja ta uredba.</w:t>
      </w:r>
    </w:p>
    <w:p w14:paraId="241B5784" w14:textId="089DA248" w:rsidR="00B76224" w:rsidRPr="00322F2F" w:rsidRDefault="005535CC" w:rsidP="005535CC">
      <w:pPr>
        <w:pStyle w:val="ManualConsidrant"/>
        <w:rPr>
          <w:noProof/>
        </w:rPr>
      </w:pPr>
      <w:r w:rsidRPr="005535CC">
        <w:t>(28)</w:t>
      </w:r>
      <w:r w:rsidRPr="005535CC">
        <w:tab/>
      </w:r>
      <w:r w:rsidR="00E23EB0" w:rsidRPr="00322F2F">
        <w:rPr>
          <w:noProof/>
        </w:rPr>
        <w:t>Da bi spodbudili uporabo selektivnega orodja in določili območja dejanske prepovedi ribolova in tako zaščitili mladice in drsnice, je bil z Uredbo (EU) 2022/110 vzpostavljen mehanizem nadomestil v ureditvi ribolovnega napora za plovila z vlečnimi mrežami.</w:t>
      </w:r>
      <w:r w:rsidR="00E23EB0" w:rsidRPr="00322F2F">
        <w:rPr>
          <w:i/>
          <w:noProof/>
        </w:rPr>
        <w:t xml:space="preserve"> </w:t>
      </w:r>
      <w:r w:rsidR="00E23EB0" w:rsidRPr="00322F2F">
        <w:rPr>
          <w:noProof/>
        </w:rPr>
        <w:t xml:space="preserve">Ker STECF v letu 2024 še naprej priporoča nadaljnje izboljšanje selektivnosti in dejansko prepoved ribolova za zaščito mladic, je primerno dodeliti </w:t>
      </w:r>
      <w:r w:rsidR="00E23EB0" w:rsidRPr="00322F2F">
        <w:rPr>
          <w:i/>
          <w:noProof/>
        </w:rPr>
        <w:t>pm</w:t>
      </w:r>
      <w:r w:rsidR="00E23EB0" w:rsidRPr="00322F2F">
        <w:rPr>
          <w:noProof/>
        </w:rPr>
        <w:t xml:space="preserve"> % ribolovnih dni.</w:t>
      </w:r>
    </w:p>
    <w:p w14:paraId="47F91D06" w14:textId="3B13FB54" w:rsidR="00E25659" w:rsidRPr="00322F2F" w:rsidRDefault="005535CC" w:rsidP="005535CC">
      <w:pPr>
        <w:pStyle w:val="ManualConsidrant"/>
        <w:rPr>
          <w:noProof/>
        </w:rPr>
      </w:pPr>
      <w:r w:rsidRPr="005535CC">
        <w:t>(29)</w:t>
      </w:r>
      <w:r w:rsidRPr="005535CC">
        <w:tab/>
      </w:r>
      <w:r w:rsidR="00E25659" w:rsidRPr="00322F2F">
        <w:rPr>
          <w:noProof/>
          <w:bdr w:val="none" w:sz="0" w:space="0" w:color="auto" w:frame="1"/>
          <w:shd w:val="clear" w:color="auto" w:fill="FFFFFF"/>
        </w:rPr>
        <w:t>Uredba Sveta (ES) št. 847/96</w:t>
      </w:r>
      <w:r w:rsidR="00E25659" w:rsidRPr="00322F2F">
        <w:rPr>
          <w:rStyle w:val="FootnoteReference"/>
          <w:noProof/>
          <w:color w:val="000000"/>
          <w:bdr w:val="none" w:sz="0" w:space="0" w:color="auto" w:frame="1"/>
        </w:rPr>
        <w:footnoteReference w:id="21"/>
      </w:r>
      <w:r w:rsidR="00E25659" w:rsidRPr="00322F2F">
        <w:rPr>
          <w:noProof/>
          <w:bdr w:val="none" w:sz="0" w:space="0" w:color="auto" w:frame="1"/>
          <w:shd w:val="clear" w:color="auto" w:fill="FFFFFF"/>
        </w:rPr>
        <w:t xml:space="preserve"> določa dodatne pogoje za vsakoletno upravljanje TAC, vključno z določbami glede prilagodljivosti za previdnostne in analitske TAC iz členov 3 in 4 Uredbe. V skladu s členom 2 navedene uredbe Svet pri določanju TAC odloči, za katere staleže se člena 3 in 4 navedene uredbe ne uporabljata, zlasti na podlagi biološkega statusa staležev. Da bi se torej izognili prekomerni prilagodljivosti, ki bi ogrozila načelo razumnega in odgovornega izkoriščanja živih morskih bioloških virov, ovirala doseganje ciljev skupne ribiške politike in povzročila poslabšanje biološkega statusa staležev, bi bilo treba izrecno določiti, da se člen 3(2) in (3) ter člen 4 Uredbe (ES) št. 847/96 za analitske TAC uporabljata le, kadar se ne uporablja vsakoletna prilagodljivost iz člena 15(9) Uredbe (EU) št. 1380/2013.</w:t>
      </w:r>
    </w:p>
    <w:p w14:paraId="0138CE2F" w14:textId="18D83FCB" w:rsidR="009B4B5A" w:rsidRPr="00322F2F" w:rsidRDefault="005535CC" w:rsidP="005535CC">
      <w:pPr>
        <w:pStyle w:val="ManualConsidrant"/>
        <w:rPr>
          <w:noProof/>
        </w:rPr>
      </w:pPr>
      <w:r w:rsidRPr="005535CC">
        <w:t>(30)</w:t>
      </w:r>
      <w:r w:rsidRPr="005535CC">
        <w:tab/>
      </w:r>
      <w:r w:rsidR="0097237F" w:rsidRPr="00322F2F">
        <w:rPr>
          <w:noProof/>
        </w:rPr>
        <w:t>Da bi se izognili prekinitvi ribolovnih dejavnosti in bi ribičem Unije zagotovili preživetje, bi bilo treba to uredbo uporabljati od 1. januarja 2024. Ta uredba mora zaradi nujnosti začeti veljati na dan po objavi.</w:t>
      </w:r>
    </w:p>
    <w:p w14:paraId="1E762D98" w14:textId="77777777" w:rsidR="00B858D4" w:rsidRPr="00322F2F" w:rsidRDefault="00B858D4" w:rsidP="008154B4">
      <w:pPr>
        <w:pStyle w:val="Formuledadoption"/>
        <w:rPr>
          <w:noProof/>
        </w:rPr>
      </w:pPr>
      <w:r w:rsidRPr="00322F2F">
        <w:rPr>
          <w:noProof/>
        </w:rPr>
        <w:t>SPREJEL NASLEDNJO UREDBO:</w:t>
      </w:r>
    </w:p>
    <w:p w14:paraId="36BFE8FA" w14:textId="77777777" w:rsidR="00A21729" w:rsidRPr="00322F2F" w:rsidRDefault="00DE265A" w:rsidP="00535D68">
      <w:pPr>
        <w:pStyle w:val="PartTitle"/>
        <w:rPr>
          <w:i/>
          <w:noProof/>
        </w:rPr>
      </w:pPr>
      <w:r w:rsidRPr="00322F2F">
        <w:rPr>
          <w:noProof/>
        </w:rPr>
        <w:t xml:space="preserve">NASLOV I </w:t>
      </w:r>
      <w:r w:rsidRPr="00322F2F">
        <w:rPr>
          <w:noProof/>
        </w:rPr>
        <w:br/>
        <w:t xml:space="preserve">SPLOŠNE DOLOČBE </w:t>
      </w:r>
    </w:p>
    <w:p w14:paraId="7B59809B" w14:textId="77777777" w:rsidR="008316E7" w:rsidRPr="00322F2F" w:rsidRDefault="008316E7" w:rsidP="005A0E81">
      <w:pPr>
        <w:pStyle w:val="Titrearticle"/>
        <w:rPr>
          <w:noProof/>
        </w:rPr>
      </w:pPr>
      <w:r w:rsidRPr="00322F2F">
        <w:rPr>
          <w:noProof/>
        </w:rPr>
        <w:t>Člen 1</w:t>
      </w:r>
      <w:r w:rsidRPr="00322F2F">
        <w:rPr>
          <w:noProof/>
        </w:rPr>
        <w:br/>
      </w:r>
      <w:r w:rsidRPr="00322F2F">
        <w:rPr>
          <w:b/>
          <w:noProof/>
        </w:rPr>
        <w:t>Področje uporabe</w:t>
      </w:r>
    </w:p>
    <w:p w14:paraId="33A7A695" w14:textId="77777777" w:rsidR="008316E7" w:rsidRPr="00322F2F" w:rsidRDefault="00A91347" w:rsidP="00A91347">
      <w:pPr>
        <w:pStyle w:val="ManualNumPar1"/>
        <w:rPr>
          <w:noProof/>
        </w:rPr>
      </w:pPr>
      <w:r w:rsidRPr="00322F2F">
        <w:rPr>
          <w:noProof/>
        </w:rPr>
        <w:t>1.</w:t>
      </w:r>
      <w:r w:rsidRPr="00322F2F">
        <w:rPr>
          <w:noProof/>
        </w:rPr>
        <w:tab/>
        <w:t>Ta uredba se uporablja za ribiška plovila Unije, ki lovijo v Sredozemskem in Črnem morju in izkoriščajo naslednje staleže:</w:t>
      </w:r>
    </w:p>
    <w:p w14:paraId="41AE67BD" w14:textId="3407586E" w:rsidR="00E60DAB" w:rsidRPr="00322F2F" w:rsidRDefault="005535CC" w:rsidP="005535CC">
      <w:pPr>
        <w:pStyle w:val="Point1"/>
        <w:rPr>
          <w:noProof/>
        </w:rPr>
      </w:pPr>
      <w:r w:rsidRPr="005535CC">
        <w:t>(a)</w:t>
      </w:r>
      <w:r w:rsidRPr="005535CC">
        <w:tab/>
      </w:r>
      <w:r w:rsidR="008316E7" w:rsidRPr="00322F2F">
        <w:rPr>
          <w:noProof/>
        </w:rPr>
        <w:t>rdeče korale (</w:t>
      </w:r>
      <w:r w:rsidR="008316E7" w:rsidRPr="00322F2F">
        <w:rPr>
          <w:i/>
          <w:noProof/>
        </w:rPr>
        <w:t>Corallium rubrum</w:t>
      </w:r>
      <w:r w:rsidR="008316E7" w:rsidRPr="00322F2F">
        <w:rPr>
          <w:noProof/>
        </w:rPr>
        <w:t>) in delfinke (</w:t>
      </w:r>
      <w:r w:rsidR="008316E7" w:rsidRPr="00322F2F">
        <w:rPr>
          <w:i/>
          <w:noProof/>
        </w:rPr>
        <w:t>Coryphaena hippurus</w:t>
      </w:r>
      <w:r w:rsidR="008316E7" w:rsidRPr="00322F2F">
        <w:rPr>
          <w:noProof/>
        </w:rPr>
        <w:t xml:space="preserve">) v Sredozemskem morju; </w:t>
      </w:r>
    </w:p>
    <w:p w14:paraId="5ACE8DAF" w14:textId="27F318B3" w:rsidR="00E60DAB" w:rsidRPr="00322F2F" w:rsidRDefault="005535CC" w:rsidP="005535CC">
      <w:pPr>
        <w:pStyle w:val="Point1"/>
        <w:rPr>
          <w:noProof/>
        </w:rPr>
      </w:pPr>
      <w:r w:rsidRPr="005535CC">
        <w:t>(b)</w:t>
      </w:r>
      <w:r w:rsidRPr="005535CC">
        <w:tab/>
      </w:r>
      <w:r w:rsidR="00A91347" w:rsidRPr="00322F2F">
        <w:rPr>
          <w:noProof/>
        </w:rPr>
        <w:tab/>
        <w:t>rdeče-modre kozice (</w:t>
      </w:r>
      <w:r w:rsidR="00A91347" w:rsidRPr="00322F2F">
        <w:rPr>
          <w:i/>
          <w:noProof/>
        </w:rPr>
        <w:t>Aristeus antennatus</w:t>
      </w:r>
      <w:r w:rsidR="00A91347" w:rsidRPr="00322F2F">
        <w:rPr>
          <w:noProof/>
        </w:rPr>
        <w:t>), dolgoostne rdeče kozice (</w:t>
      </w:r>
      <w:r w:rsidR="00A91347" w:rsidRPr="00322F2F">
        <w:rPr>
          <w:i/>
          <w:noProof/>
        </w:rPr>
        <w:t>Parapenaeus longirostris</w:t>
      </w:r>
      <w:r w:rsidR="00A91347" w:rsidRPr="00322F2F">
        <w:rPr>
          <w:noProof/>
        </w:rPr>
        <w:t>), orjaške rdeče kozice (</w:t>
      </w:r>
      <w:r w:rsidR="00A91347" w:rsidRPr="00322F2F">
        <w:rPr>
          <w:i/>
          <w:noProof/>
        </w:rPr>
        <w:t>Aristaeomorpha foliacea</w:t>
      </w:r>
      <w:r w:rsidR="00A91347" w:rsidRPr="00322F2F">
        <w:rPr>
          <w:noProof/>
        </w:rPr>
        <w:t>), osliča (</w:t>
      </w:r>
      <w:r w:rsidR="00A91347" w:rsidRPr="00322F2F">
        <w:rPr>
          <w:i/>
          <w:noProof/>
        </w:rPr>
        <w:t>Merluccius merluccius</w:t>
      </w:r>
      <w:r w:rsidR="00A91347" w:rsidRPr="00322F2F">
        <w:rPr>
          <w:noProof/>
        </w:rPr>
        <w:t>), škampa (</w:t>
      </w:r>
      <w:r w:rsidR="00A91347" w:rsidRPr="00322F2F">
        <w:rPr>
          <w:i/>
          <w:noProof/>
        </w:rPr>
        <w:t>Nephrops norvegicus</w:t>
      </w:r>
      <w:r w:rsidR="00A91347" w:rsidRPr="00322F2F">
        <w:rPr>
          <w:noProof/>
        </w:rPr>
        <w:t>) in bradača (</w:t>
      </w:r>
      <w:r w:rsidR="00A91347" w:rsidRPr="00322F2F">
        <w:rPr>
          <w:i/>
          <w:noProof/>
        </w:rPr>
        <w:t>Mullus barbatus</w:t>
      </w:r>
      <w:r w:rsidR="00A91347" w:rsidRPr="00322F2F">
        <w:rPr>
          <w:noProof/>
        </w:rPr>
        <w:t>) v zahodnem Sredozemskem morju;</w:t>
      </w:r>
    </w:p>
    <w:p w14:paraId="411E4C1D" w14:textId="5BA36F56" w:rsidR="00E60DAB" w:rsidRPr="00322F2F" w:rsidRDefault="005535CC" w:rsidP="005535CC">
      <w:pPr>
        <w:pStyle w:val="Point1"/>
        <w:rPr>
          <w:noProof/>
        </w:rPr>
      </w:pPr>
      <w:r w:rsidRPr="005535CC">
        <w:t>(c)</w:t>
      </w:r>
      <w:r w:rsidRPr="005535CC">
        <w:tab/>
      </w:r>
      <w:r w:rsidR="00A91347" w:rsidRPr="00322F2F">
        <w:rPr>
          <w:noProof/>
        </w:rPr>
        <w:tab/>
        <w:t>sardona (</w:t>
      </w:r>
      <w:r w:rsidR="00A91347" w:rsidRPr="00322F2F">
        <w:rPr>
          <w:i/>
          <w:noProof/>
        </w:rPr>
        <w:t>Engraulis encrasicolus</w:t>
      </w:r>
      <w:r w:rsidR="00A91347" w:rsidRPr="00322F2F">
        <w:rPr>
          <w:noProof/>
        </w:rPr>
        <w:t>) in sardele (</w:t>
      </w:r>
      <w:r w:rsidR="00A91347" w:rsidRPr="00322F2F">
        <w:rPr>
          <w:i/>
          <w:noProof/>
        </w:rPr>
        <w:t>Sardina pilchardus</w:t>
      </w:r>
      <w:r w:rsidR="00A91347" w:rsidRPr="00322F2F">
        <w:rPr>
          <w:noProof/>
        </w:rPr>
        <w:t xml:space="preserve">) v Jadranskem morju; </w:t>
      </w:r>
    </w:p>
    <w:p w14:paraId="425AD0B2" w14:textId="257D86A7" w:rsidR="00E60DAB" w:rsidRPr="00322F2F" w:rsidRDefault="005535CC" w:rsidP="005535CC">
      <w:pPr>
        <w:pStyle w:val="Point1"/>
        <w:rPr>
          <w:noProof/>
        </w:rPr>
      </w:pPr>
      <w:r w:rsidRPr="005535CC">
        <w:t>(d)</w:t>
      </w:r>
      <w:r w:rsidRPr="005535CC">
        <w:tab/>
      </w:r>
      <w:r w:rsidR="00A91347" w:rsidRPr="00322F2F">
        <w:rPr>
          <w:noProof/>
        </w:rPr>
        <w:tab/>
        <w:t>osliča (</w:t>
      </w:r>
      <w:r w:rsidR="00A91347" w:rsidRPr="00322F2F">
        <w:rPr>
          <w:i/>
          <w:noProof/>
        </w:rPr>
        <w:t>Merluccius merluccius</w:t>
      </w:r>
      <w:r w:rsidR="00A91347" w:rsidRPr="00322F2F">
        <w:rPr>
          <w:noProof/>
        </w:rPr>
        <w:t>), škampa (</w:t>
      </w:r>
      <w:r w:rsidR="00A91347" w:rsidRPr="00322F2F">
        <w:rPr>
          <w:i/>
          <w:noProof/>
        </w:rPr>
        <w:t>Nephrops norvegicus</w:t>
      </w:r>
      <w:r w:rsidR="00A91347" w:rsidRPr="00322F2F">
        <w:rPr>
          <w:noProof/>
        </w:rPr>
        <w:t>), morskega lista (</w:t>
      </w:r>
      <w:r w:rsidR="00A91347" w:rsidRPr="00322F2F">
        <w:rPr>
          <w:i/>
          <w:noProof/>
        </w:rPr>
        <w:t>Solea solea</w:t>
      </w:r>
      <w:r w:rsidR="00A91347" w:rsidRPr="00322F2F">
        <w:rPr>
          <w:noProof/>
        </w:rPr>
        <w:t>), dolgoostne rdeče kozice (</w:t>
      </w:r>
      <w:r w:rsidR="00A91347" w:rsidRPr="00322F2F">
        <w:rPr>
          <w:i/>
          <w:noProof/>
        </w:rPr>
        <w:t>Parapenaeus longirostris</w:t>
      </w:r>
      <w:r w:rsidR="00A91347" w:rsidRPr="00322F2F">
        <w:rPr>
          <w:noProof/>
        </w:rPr>
        <w:t>) in bradača (</w:t>
      </w:r>
      <w:r w:rsidR="00A91347" w:rsidRPr="00322F2F">
        <w:rPr>
          <w:i/>
          <w:noProof/>
        </w:rPr>
        <w:t>Mullus barbatus</w:t>
      </w:r>
      <w:r w:rsidR="00A91347" w:rsidRPr="00322F2F">
        <w:rPr>
          <w:noProof/>
        </w:rPr>
        <w:t>) v Jadranskem morju;</w:t>
      </w:r>
    </w:p>
    <w:p w14:paraId="3105268A" w14:textId="6A890479" w:rsidR="00DC422F" w:rsidRPr="00322F2F" w:rsidRDefault="005535CC" w:rsidP="005535CC">
      <w:pPr>
        <w:pStyle w:val="Point1"/>
        <w:rPr>
          <w:noProof/>
        </w:rPr>
      </w:pPr>
      <w:r w:rsidRPr="005535CC">
        <w:t>(e)</w:t>
      </w:r>
      <w:r w:rsidRPr="005535CC">
        <w:tab/>
      </w:r>
      <w:r w:rsidR="00DC422F" w:rsidRPr="00322F2F">
        <w:rPr>
          <w:noProof/>
        </w:rPr>
        <w:tab/>
        <w:t>osliča (</w:t>
      </w:r>
      <w:r w:rsidR="00DC422F" w:rsidRPr="00322F2F">
        <w:rPr>
          <w:i/>
          <w:noProof/>
        </w:rPr>
        <w:t>Merluccius merluccius</w:t>
      </w:r>
      <w:r w:rsidR="00DC422F" w:rsidRPr="00322F2F">
        <w:rPr>
          <w:noProof/>
        </w:rPr>
        <w:t>) in dolgoostne rdeče kozice (</w:t>
      </w:r>
      <w:r w:rsidR="00DC422F" w:rsidRPr="00322F2F">
        <w:rPr>
          <w:i/>
          <w:noProof/>
        </w:rPr>
        <w:t>Parapenaeus longirostris</w:t>
      </w:r>
      <w:r w:rsidR="00DC422F" w:rsidRPr="00322F2F">
        <w:rPr>
          <w:noProof/>
        </w:rPr>
        <w:t>) v Sicilski ožini;</w:t>
      </w:r>
    </w:p>
    <w:p w14:paraId="2DA448DC" w14:textId="1ED84984" w:rsidR="00E60DAB" w:rsidRPr="00322F2F" w:rsidRDefault="005535CC" w:rsidP="005535CC">
      <w:pPr>
        <w:pStyle w:val="Point1"/>
        <w:rPr>
          <w:noProof/>
        </w:rPr>
      </w:pPr>
      <w:r w:rsidRPr="005535CC">
        <w:t>(f)</w:t>
      </w:r>
      <w:r w:rsidRPr="005535CC">
        <w:tab/>
      </w:r>
      <w:r w:rsidR="00A91347" w:rsidRPr="00322F2F">
        <w:rPr>
          <w:noProof/>
        </w:rPr>
        <w:tab/>
        <w:t>orjaške rdeče kozice (</w:t>
      </w:r>
      <w:r w:rsidR="00A91347" w:rsidRPr="00322F2F">
        <w:rPr>
          <w:i/>
          <w:noProof/>
        </w:rPr>
        <w:t>Aristaeomorpha foliacea</w:t>
      </w:r>
      <w:r w:rsidR="00A91347" w:rsidRPr="00322F2F">
        <w:rPr>
          <w:noProof/>
        </w:rPr>
        <w:t>) in rdeče-modre kozice (</w:t>
      </w:r>
      <w:r w:rsidR="00A91347" w:rsidRPr="00322F2F">
        <w:rPr>
          <w:i/>
          <w:noProof/>
        </w:rPr>
        <w:t>Aristeus antennatus</w:t>
      </w:r>
      <w:r w:rsidR="00A91347" w:rsidRPr="00322F2F">
        <w:rPr>
          <w:noProof/>
        </w:rPr>
        <w:t xml:space="preserve">) v Sicilski ožini ter Jonskem in Levantskem morju; </w:t>
      </w:r>
    </w:p>
    <w:p w14:paraId="128BF9C4" w14:textId="6BCFD2D6" w:rsidR="00E60DAB" w:rsidRPr="00322F2F" w:rsidRDefault="005535CC" w:rsidP="005535CC">
      <w:pPr>
        <w:pStyle w:val="Point1"/>
        <w:rPr>
          <w:noProof/>
        </w:rPr>
      </w:pPr>
      <w:r w:rsidRPr="005535CC">
        <w:t>(g)</w:t>
      </w:r>
      <w:r w:rsidRPr="005535CC">
        <w:tab/>
      </w:r>
      <w:r w:rsidR="00A91347" w:rsidRPr="00322F2F">
        <w:rPr>
          <w:noProof/>
        </w:rPr>
        <w:tab/>
        <w:t>okatega ribona (</w:t>
      </w:r>
      <w:r w:rsidR="00A91347" w:rsidRPr="00322F2F">
        <w:rPr>
          <w:i/>
          <w:noProof/>
        </w:rPr>
        <w:t>Pagellus bogaraveo</w:t>
      </w:r>
      <w:r w:rsidR="00A91347" w:rsidRPr="00322F2F">
        <w:rPr>
          <w:noProof/>
        </w:rPr>
        <w:t>) v Alboranskem morju;</w:t>
      </w:r>
    </w:p>
    <w:p w14:paraId="1EF97F84" w14:textId="7FF16C2C" w:rsidR="008316E7" w:rsidRPr="00322F2F" w:rsidRDefault="005535CC" w:rsidP="005535CC">
      <w:pPr>
        <w:pStyle w:val="Point1"/>
        <w:rPr>
          <w:noProof/>
        </w:rPr>
      </w:pPr>
      <w:r w:rsidRPr="005535CC">
        <w:t>(h)</w:t>
      </w:r>
      <w:r w:rsidRPr="005535CC">
        <w:tab/>
      </w:r>
      <w:r w:rsidR="00A91347" w:rsidRPr="00322F2F">
        <w:rPr>
          <w:noProof/>
        </w:rPr>
        <w:tab/>
        <w:t>papaline (</w:t>
      </w:r>
      <w:r w:rsidR="00A91347" w:rsidRPr="00322F2F">
        <w:rPr>
          <w:i/>
          <w:noProof/>
        </w:rPr>
        <w:t>Sprattus sprattus</w:t>
      </w:r>
      <w:r w:rsidR="00A91347" w:rsidRPr="00322F2F">
        <w:rPr>
          <w:noProof/>
        </w:rPr>
        <w:t>) in romba (</w:t>
      </w:r>
      <w:r w:rsidR="00A91347" w:rsidRPr="00322F2F">
        <w:rPr>
          <w:i/>
          <w:noProof/>
        </w:rPr>
        <w:t>Scophthalmus maximus</w:t>
      </w:r>
      <w:r w:rsidR="00A91347" w:rsidRPr="00322F2F">
        <w:rPr>
          <w:noProof/>
        </w:rPr>
        <w:t>) v Črnem morju.</w:t>
      </w:r>
    </w:p>
    <w:p w14:paraId="649D9DFA" w14:textId="77777777" w:rsidR="008316E7" w:rsidRPr="00322F2F" w:rsidRDefault="00A91347" w:rsidP="00A91347">
      <w:pPr>
        <w:pStyle w:val="ManualNumPar1"/>
        <w:rPr>
          <w:noProof/>
        </w:rPr>
      </w:pPr>
      <w:r w:rsidRPr="00322F2F">
        <w:rPr>
          <w:noProof/>
        </w:rPr>
        <w:t>2.</w:t>
      </w:r>
      <w:r w:rsidRPr="00322F2F">
        <w:rPr>
          <w:noProof/>
        </w:rPr>
        <w:tab/>
        <w:t>Ta uredba se uporablja tudi za druge ribolovne dejavnosti v Uniji, vključno z rekreacijskim ribolovom, če so izrecno navedene v zadevnih določbah.</w:t>
      </w:r>
    </w:p>
    <w:p w14:paraId="0DC2746A" w14:textId="77777777" w:rsidR="00E64D71" w:rsidRPr="00322F2F" w:rsidRDefault="00E64D71" w:rsidP="00E64D71">
      <w:pPr>
        <w:pStyle w:val="Titrearticle"/>
        <w:rPr>
          <w:b/>
          <w:i w:val="0"/>
          <w:noProof/>
        </w:rPr>
      </w:pPr>
      <w:r w:rsidRPr="00322F2F">
        <w:rPr>
          <w:noProof/>
        </w:rPr>
        <w:t xml:space="preserve">Člen 2 </w:t>
      </w:r>
      <w:r w:rsidRPr="00322F2F">
        <w:rPr>
          <w:noProof/>
        </w:rPr>
        <w:br/>
      </w:r>
      <w:r w:rsidRPr="00322F2F">
        <w:rPr>
          <w:b/>
          <w:i w:val="0"/>
          <w:noProof/>
        </w:rPr>
        <w:t>Opredelitev pojmov</w:t>
      </w:r>
    </w:p>
    <w:p w14:paraId="77F8ABE5" w14:textId="77777777" w:rsidR="00E64D71" w:rsidRPr="00322F2F" w:rsidRDefault="00E64D71" w:rsidP="005A0E81">
      <w:pPr>
        <w:rPr>
          <w:noProof/>
        </w:rPr>
      </w:pPr>
      <w:r w:rsidRPr="00322F2F">
        <w:rPr>
          <w:noProof/>
        </w:rPr>
        <w:t>Za namene te uredbe se uporabljajo opredelitve pojmov iz člena 4(1) Uredbe (EU) št. 1380/2013. Poleg tega se uporabljajo naslednje opredelitve pojmov:</w:t>
      </w:r>
    </w:p>
    <w:p w14:paraId="19E76289" w14:textId="6092EF41" w:rsidR="00E64D71" w:rsidRPr="00322F2F" w:rsidRDefault="005535CC" w:rsidP="005535CC">
      <w:pPr>
        <w:pStyle w:val="Point0"/>
        <w:rPr>
          <w:noProof/>
        </w:rPr>
      </w:pPr>
      <w:r w:rsidRPr="005535CC">
        <w:t>(a)</w:t>
      </w:r>
      <w:r w:rsidRPr="005535CC">
        <w:tab/>
      </w:r>
      <w:r w:rsidR="00E64D71" w:rsidRPr="00322F2F">
        <w:rPr>
          <w:noProof/>
        </w:rPr>
        <w:t>„mednarodne vode“ pomeni vode, ki so zunaj suverenosti ali jurisdikcije katere koli države;</w:t>
      </w:r>
    </w:p>
    <w:p w14:paraId="5CBBDC70" w14:textId="1B993BAC" w:rsidR="00E64D71" w:rsidRPr="00322F2F" w:rsidRDefault="005535CC" w:rsidP="005535CC">
      <w:pPr>
        <w:pStyle w:val="Point0"/>
        <w:rPr>
          <w:noProof/>
        </w:rPr>
      </w:pPr>
      <w:r w:rsidRPr="005535CC">
        <w:t>(b)</w:t>
      </w:r>
      <w:r w:rsidRPr="005535CC">
        <w:tab/>
      </w:r>
      <w:r w:rsidR="00E64D71" w:rsidRPr="00322F2F">
        <w:rPr>
          <w:noProof/>
        </w:rPr>
        <w:t>„rekreacijski ribolov“ pomeni negospodarske ribolovne dejavnosti, ki morske žive vodne vire izkoriščajo za rekreacijo, turizem ali šport;</w:t>
      </w:r>
    </w:p>
    <w:p w14:paraId="2E049725" w14:textId="70C0480E" w:rsidR="00E64D71" w:rsidRPr="00322F2F" w:rsidRDefault="005535CC" w:rsidP="005535CC">
      <w:pPr>
        <w:pStyle w:val="Point0"/>
        <w:rPr>
          <w:noProof/>
        </w:rPr>
      </w:pPr>
      <w:r w:rsidRPr="005535CC">
        <w:t>(c)</w:t>
      </w:r>
      <w:r w:rsidRPr="005535CC">
        <w:tab/>
      </w:r>
      <w:r w:rsidR="00E64D71" w:rsidRPr="00322F2F">
        <w:rPr>
          <w:noProof/>
        </w:rPr>
        <w:t>„celotni dovoljeni ulov“  ali „TAC“ pomeni:</w:t>
      </w:r>
    </w:p>
    <w:p w14:paraId="012733D9" w14:textId="77777777" w:rsidR="00E64D71" w:rsidRPr="00322F2F" w:rsidRDefault="004167E4" w:rsidP="003B6F86">
      <w:pPr>
        <w:pStyle w:val="Point1"/>
        <w:rPr>
          <w:noProof/>
        </w:rPr>
      </w:pPr>
      <w:r w:rsidRPr="00322F2F">
        <w:rPr>
          <w:noProof/>
        </w:rPr>
        <w:t>(i)</w:t>
      </w:r>
      <w:r w:rsidRPr="00322F2F">
        <w:rPr>
          <w:noProof/>
        </w:rPr>
        <w:tab/>
        <w:t>za ribolov, za katerega velja izjema od obveznosti iztovarjanja iz člena 15(4) do (7) Uredbe (EU) št. 1380/2013, količino rib, ki se lahko iz posameznega staleža iztovori vsako leto;</w:t>
      </w:r>
    </w:p>
    <w:p w14:paraId="57FCB14C" w14:textId="77777777" w:rsidR="00E64D71" w:rsidRPr="00322F2F" w:rsidRDefault="004167E4" w:rsidP="003B6F86">
      <w:pPr>
        <w:pStyle w:val="Point1"/>
        <w:rPr>
          <w:noProof/>
        </w:rPr>
      </w:pPr>
      <w:r w:rsidRPr="00322F2F">
        <w:rPr>
          <w:noProof/>
        </w:rPr>
        <w:t>(ii)</w:t>
      </w:r>
      <w:r w:rsidRPr="00322F2F">
        <w:rPr>
          <w:noProof/>
        </w:rPr>
        <w:tab/>
        <w:t>za vse druge vrste ribolova količino rib, ki se lahko iz posameznega staleža ulovi v obdobju enega leta;</w:t>
      </w:r>
    </w:p>
    <w:p w14:paraId="142A838F" w14:textId="1DA8D356" w:rsidR="00E64D71" w:rsidRPr="00322F2F" w:rsidRDefault="005535CC" w:rsidP="005535CC">
      <w:pPr>
        <w:pStyle w:val="Point0"/>
        <w:rPr>
          <w:noProof/>
        </w:rPr>
      </w:pPr>
      <w:r w:rsidRPr="005535CC">
        <w:t>(d)</w:t>
      </w:r>
      <w:r w:rsidRPr="005535CC">
        <w:tab/>
      </w:r>
      <w:r w:rsidR="00E64D71" w:rsidRPr="00322F2F">
        <w:rPr>
          <w:noProof/>
        </w:rPr>
        <w:t>„kvota“ pomeni delež TAC, ki je dodeljen Uniji ali državi članici;</w:t>
      </w:r>
    </w:p>
    <w:p w14:paraId="3E05C6D0" w14:textId="34DD022A" w:rsidR="00E64D71" w:rsidRPr="00322F2F" w:rsidRDefault="005535CC" w:rsidP="005535CC">
      <w:pPr>
        <w:pStyle w:val="Point0"/>
        <w:rPr>
          <w:noProof/>
        </w:rPr>
      </w:pPr>
      <w:r w:rsidRPr="005535CC">
        <w:t>(e)</w:t>
      </w:r>
      <w:r w:rsidRPr="005535CC">
        <w:tab/>
      </w:r>
      <w:r w:rsidR="00E64D71" w:rsidRPr="00322F2F">
        <w:rPr>
          <w:noProof/>
        </w:rPr>
        <w:t>„avtonomna kvota Unije“ pomeni omejitev ulova, samostojno dodeljeno ribiškim plovilom Unije, če ni dogovora o TAC;</w:t>
      </w:r>
    </w:p>
    <w:p w14:paraId="7EA8E66F" w14:textId="291C11A0" w:rsidR="00E64D71" w:rsidRPr="00322F2F" w:rsidRDefault="005535CC" w:rsidP="005535CC">
      <w:pPr>
        <w:pStyle w:val="Point0"/>
        <w:rPr>
          <w:noProof/>
        </w:rPr>
      </w:pPr>
      <w:r w:rsidRPr="005535CC">
        <w:t>(f)</w:t>
      </w:r>
      <w:r w:rsidRPr="005535CC">
        <w:tab/>
      </w:r>
      <w:r w:rsidR="00E64D71" w:rsidRPr="00322F2F">
        <w:rPr>
          <w:noProof/>
        </w:rPr>
        <w:t>„analitska kvota“ pomeni avtonomno kvoto Unije, za katero je na voljo analitična ocena;</w:t>
      </w:r>
    </w:p>
    <w:p w14:paraId="309D3E77" w14:textId="75DC8D0D" w:rsidR="00E64D71" w:rsidRPr="00322F2F" w:rsidRDefault="005535CC" w:rsidP="005535CC">
      <w:pPr>
        <w:pStyle w:val="Point0"/>
        <w:rPr>
          <w:noProof/>
        </w:rPr>
      </w:pPr>
      <w:r w:rsidRPr="005535CC">
        <w:t>(g)</w:t>
      </w:r>
      <w:r w:rsidRPr="005535CC">
        <w:tab/>
      </w:r>
      <w:r w:rsidR="00E64D71" w:rsidRPr="00322F2F">
        <w:rPr>
          <w:noProof/>
        </w:rPr>
        <w:t>„analitična ocena“ pomeni količinsko oceno trendov v danem staležu na podlagi podatkov o biologiji in izkoriščanju staleža, ki so bili v znanstvenem pregledu označeni kot dovolj kakovostni za pripravo znanstvenega mnenja o možnostih za prihodnje ulove;</w:t>
      </w:r>
    </w:p>
    <w:p w14:paraId="1B7224BD" w14:textId="512E3CBA" w:rsidR="00E64D71" w:rsidRPr="00322F2F" w:rsidRDefault="005535CC" w:rsidP="005535CC">
      <w:pPr>
        <w:pStyle w:val="Point0"/>
        <w:rPr>
          <w:noProof/>
        </w:rPr>
      </w:pPr>
      <w:r w:rsidRPr="005535CC">
        <w:t>(h)</w:t>
      </w:r>
      <w:r w:rsidRPr="005535CC">
        <w:tab/>
      </w:r>
      <w:r w:rsidR="00E64D71" w:rsidRPr="00322F2F">
        <w:rPr>
          <w:noProof/>
        </w:rPr>
        <w:t xml:space="preserve">„naprava za zbiranje rib“ pomeni kakršno koli sidrno opremo, ki plava na morski gladini in katere namen je privabiti ribe. </w:t>
      </w:r>
    </w:p>
    <w:p w14:paraId="04F82168" w14:textId="77777777" w:rsidR="00E64D71" w:rsidRPr="00322F2F" w:rsidRDefault="00894596" w:rsidP="00E64D71">
      <w:pPr>
        <w:pStyle w:val="Titrearticle"/>
        <w:rPr>
          <w:b/>
          <w:i w:val="0"/>
          <w:noProof/>
        </w:rPr>
      </w:pPr>
      <w:r w:rsidRPr="00322F2F">
        <w:rPr>
          <w:noProof/>
        </w:rPr>
        <w:t xml:space="preserve"> Člen 3 </w:t>
      </w:r>
      <w:r w:rsidRPr="00322F2F">
        <w:rPr>
          <w:noProof/>
        </w:rPr>
        <w:br/>
      </w:r>
      <w:r w:rsidRPr="00322F2F">
        <w:rPr>
          <w:b/>
          <w:i w:val="0"/>
          <w:noProof/>
        </w:rPr>
        <w:t>Ribolovna območja</w:t>
      </w:r>
    </w:p>
    <w:p w14:paraId="3E2655D8" w14:textId="77777777" w:rsidR="007C0429" w:rsidRPr="00322F2F" w:rsidRDefault="00E64D71" w:rsidP="007C0429">
      <w:pPr>
        <w:rPr>
          <w:noProof/>
        </w:rPr>
      </w:pPr>
      <w:r w:rsidRPr="00322F2F">
        <w:rPr>
          <w:noProof/>
        </w:rPr>
        <w:t>V tej uredbi se uporabljajo naslednje opredelitve geografskih območij:</w:t>
      </w:r>
    </w:p>
    <w:p w14:paraId="5FB808BF" w14:textId="7B3C3E48" w:rsidR="00E64D71" w:rsidRPr="00322F2F" w:rsidRDefault="005535CC" w:rsidP="005535CC">
      <w:pPr>
        <w:pStyle w:val="Point0"/>
        <w:rPr>
          <w:noProof/>
        </w:rPr>
      </w:pPr>
      <w:r w:rsidRPr="005535CC">
        <w:t>(a)</w:t>
      </w:r>
      <w:r w:rsidRPr="005535CC">
        <w:tab/>
      </w:r>
      <w:r w:rsidR="00E64D71" w:rsidRPr="00322F2F">
        <w:rPr>
          <w:noProof/>
        </w:rPr>
        <w:t>„geografska podobmočja GFCM“ so območja, opredeljena v Prilogi I k Uredbi (EU) št. </w:t>
      </w:r>
      <w:bookmarkStart w:id="6" w:name="_Hlk141367148"/>
      <w:r w:rsidR="00E64D71" w:rsidRPr="00322F2F">
        <w:rPr>
          <w:noProof/>
        </w:rPr>
        <w:t>1343/2011</w:t>
      </w:r>
      <w:bookmarkEnd w:id="6"/>
      <w:r w:rsidR="00E64D71" w:rsidRPr="00322F2F">
        <w:rPr>
          <w:noProof/>
        </w:rPr>
        <w:t xml:space="preserve"> Evropskega parlamenta in Sveta</w:t>
      </w:r>
      <w:r w:rsidR="00E64D71" w:rsidRPr="00322F2F">
        <w:rPr>
          <w:rStyle w:val="FootnoteReference"/>
          <w:noProof/>
          <w:szCs w:val="24"/>
        </w:rPr>
        <w:footnoteReference w:id="22"/>
      </w:r>
      <w:r w:rsidR="00E64D71" w:rsidRPr="00322F2F">
        <w:rPr>
          <w:noProof/>
        </w:rPr>
        <w:t xml:space="preserve">; </w:t>
      </w:r>
    </w:p>
    <w:p w14:paraId="323479F4" w14:textId="31328C47" w:rsidR="00E64D71" w:rsidRPr="00322F2F" w:rsidRDefault="005535CC" w:rsidP="005535CC">
      <w:pPr>
        <w:pStyle w:val="Point0"/>
        <w:rPr>
          <w:noProof/>
        </w:rPr>
      </w:pPr>
      <w:r w:rsidRPr="005535CC">
        <w:t>(b)</w:t>
      </w:r>
      <w:r w:rsidRPr="005535CC">
        <w:tab/>
      </w:r>
      <w:r w:rsidR="00E64D71" w:rsidRPr="00322F2F">
        <w:rPr>
          <w:noProof/>
        </w:rPr>
        <w:t xml:space="preserve">„Sredozemsko morje“ pomeni vode na geografskih podobmočjih GFCM 1–27, kot so opredeljena v Prilogi I k Uredbi (EU) št. 1343/2011; </w:t>
      </w:r>
    </w:p>
    <w:p w14:paraId="22375511" w14:textId="379D8636" w:rsidR="00E64D71" w:rsidRPr="00322F2F" w:rsidRDefault="005535CC" w:rsidP="005535CC">
      <w:pPr>
        <w:pStyle w:val="Point0"/>
        <w:rPr>
          <w:noProof/>
        </w:rPr>
      </w:pPr>
      <w:r w:rsidRPr="005535CC">
        <w:t>(c)</w:t>
      </w:r>
      <w:r w:rsidRPr="005535CC">
        <w:tab/>
      </w:r>
      <w:r w:rsidR="00E64D71" w:rsidRPr="00322F2F">
        <w:rPr>
          <w:noProof/>
        </w:rPr>
        <w:t>„zahodno Sredozemsko morje“ pomeni vode na geografskih podobmočjih GFCM 1, 2, 5, 6, 7, 8, 9, 10 in 11, kot so opredeljena v Prilogi I k Uredbi (EU) št. 1343/2011;</w:t>
      </w:r>
    </w:p>
    <w:p w14:paraId="3FC73555" w14:textId="56ACA0B1" w:rsidR="00E64D71" w:rsidRPr="00322F2F" w:rsidRDefault="005535CC" w:rsidP="005535CC">
      <w:pPr>
        <w:pStyle w:val="Point0"/>
        <w:rPr>
          <w:noProof/>
        </w:rPr>
      </w:pPr>
      <w:r w:rsidRPr="005535CC">
        <w:t>(d)</w:t>
      </w:r>
      <w:r w:rsidRPr="005535CC">
        <w:tab/>
      </w:r>
      <w:r w:rsidR="00E64D71" w:rsidRPr="00322F2F">
        <w:rPr>
          <w:noProof/>
        </w:rPr>
        <w:t>„Jadransko morje“ pomeni vode na geografskih podobmočjih GFCM 17 in 18, kot sta opredeljeni v Prilogi I k Uredbi (EU) št. 1343/2011;</w:t>
      </w:r>
    </w:p>
    <w:p w14:paraId="5855D4A5" w14:textId="0B4E5201" w:rsidR="00E64D71" w:rsidRPr="00322F2F" w:rsidRDefault="005535CC" w:rsidP="005535CC">
      <w:pPr>
        <w:pStyle w:val="Point0"/>
        <w:rPr>
          <w:noProof/>
        </w:rPr>
      </w:pPr>
      <w:r w:rsidRPr="005535CC">
        <w:t>(e)</w:t>
      </w:r>
      <w:r w:rsidRPr="005535CC">
        <w:tab/>
      </w:r>
      <w:r w:rsidR="00E64D71" w:rsidRPr="00322F2F">
        <w:rPr>
          <w:noProof/>
        </w:rPr>
        <w:t xml:space="preserve">„Sicilska ožina“ pomeni vode na geografskih podobmočjih GFCM 12, 13, 14, 15 in 16, kot so opredeljena v Prilogi I k Uredbi (EU) št. 1343/2011; </w:t>
      </w:r>
    </w:p>
    <w:p w14:paraId="6FCBA4D1" w14:textId="6B3C81D9" w:rsidR="00E64D71" w:rsidRPr="00322F2F" w:rsidRDefault="005535CC" w:rsidP="005535CC">
      <w:pPr>
        <w:pStyle w:val="Point0"/>
        <w:rPr>
          <w:noProof/>
        </w:rPr>
      </w:pPr>
      <w:r w:rsidRPr="005535CC">
        <w:t>(f)</w:t>
      </w:r>
      <w:r w:rsidRPr="005535CC">
        <w:tab/>
      </w:r>
      <w:r w:rsidR="00E64D71" w:rsidRPr="00322F2F">
        <w:rPr>
          <w:noProof/>
        </w:rPr>
        <w:t>„Jonsko morje“ pomeni vode na geografskih podobmočjih GFCM 19, 20 in 21, kot so opredeljena v Prilogi I k Uredbi (EU) št. 1343/2011;</w:t>
      </w:r>
    </w:p>
    <w:p w14:paraId="727ECED3" w14:textId="19158FDB" w:rsidR="00E64D71" w:rsidRPr="00322F2F" w:rsidRDefault="005535CC" w:rsidP="005535CC">
      <w:pPr>
        <w:pStyle w:val="Point0"/>
        <w:rPr>
          <w:noProof/>
        </w:rPr>
      </w:pPr>
      <w:r w:rsidRPr="005535CC">
        <w:t>(g)</w:t>
      </w:r>
      <w:r w:rsidRPr="005535CC">
        <w:tab/>
      </w:r>
      <w:r w:rsidR="00E64D71" w:rsidRPr="00322F2F">
        <w:rPr>
          <w:noProof/>
        </w:rPr>
        <w:t>„Levantsko morje“ pomeni vode na geografskih podobmočjih GFCM 24, 25, 26 in 27, kot so opredeljena v Prilogi I k Uredbi (EU) št. 1343/2011;</w:t>
      </w:r>
    </w:p>
    <w:p w14:paraId="05D159E2" w14:textId="0C6BA7EB" w:rsidR="00E64D71" w:rsidRPr="00322F2F" w:rsidRDefault="005535CC" w:rsidP="005535CC">
      <w:pPr>
        <w:pStyle w:val="Point0"/>
        <w:rPr>
          <w:noProof/>
        </w:rPr>
      </w:pPr>
      <w:r w:rsidRPr="005535CC">
        <w:t>(h)</w:t>
      </w:r>
      <w:r w:rsidRPr="005535CC">
        <w:tab/>
      </w:r>
      <w:r w:rsidR="00E64D71" w:rsidRPr="00322F2F">
        <w:rPr>
          <w:noProof/>
        </w:rPr>
        <w:t>„Alboransko morje“ pomeni vode na geografskih podobmočjih GFCM 1–3, kot so opredeljena v Prilogi I k Uredbi (EU) št. 1343/2011;</w:t>
      </w:r>
    </w:p>
    <w:p w14:paraId="4B71F5DD" w14:textId="1B14EA42" w:rsidR="00903B03" w:rsidRPr="00322F2F" w:rsidRDefault="005535CC" w:rsidP="005535CC">
      <w:pPr>
        <w:pStyle w:val="Point0"/>
        <w:rPr>
          <w:noProof/>
        </w:rPr>
      </w:pPr>
      <w:r w:rsidRPr="005535CC">
        <w:t>(i)</w:t>
      </w:r>
      <w:r w:rsidRPr="005535CC">
        <w:tab/>
      </w:r>
      <w:r w:rsidR="00E64D71" w:rsidRPr="00322F2F">
        <w:rPr>
          <w:noProof/>
        </w:rPr>
        <w:t>„Črno morje“ pomeni vode na geografskem podobmočju GFCM 29, kot je opredeljeno v Prilogi I k Uredbi (EU) št. 1343/2011.</w:t>
      </w:r>
    </w:p>
    <w:p w14:paraId="6DF1F30D" w14:textId="77777777" w:rsidR="00E64D71" w:rsidRPr="00322F2F" w:rsidRDefault="00E64D71" w:rsidP="00015D62">
      <w:pPr>
        <w:pStyle w:val="PartTitle"/>
        <w:rPr>
          <w:noProof/>
        </w:rPr>
      </w:pPr>
      <w:r w:rsidRPr="00322F2F">
        <w:rPr>
          <w:noProof/>
        </w:rPr>
        <w:t xml:space="preserve">NASLOV II </w:t>
      </w:r>
      <w:r w:rsidRPr="00322F2F">
        <w:rPr>
          <w:noProof/>
        </w:rPr>
        <w:br/>
        <w:t>RIBOLOVNE MOŽNOSTI</w:t>
      </w:r>
    </w:p>
    <w:p w14:paraId="76063CC5" w14:textId="77777777" w:rsidR="00E64D71" w:rsidRPr="00322F2F" w:rsidRDefault="00E64D71" w:rsidP="00E64D71">
      <w:pPr>
        <w:pStyle w:val="ChapterTitle"/>
        <w:rPr>
          <w:noProof/>
        </w:rPr>
      </w:pPr>
      <w:r w:rsidRPr="00322F2F">
        <w:rPr>
          <w:noProof/>
        </w:rPr>
        <w:t xml:space="preserve">POGLAVJE I </w:t>
      </w:r>
      <w:r w:rsidRPr="00322F2F">
        <w:rPr>
          <w:noProof/>
        </w:rPr>
        <w:br/>
        <w:t>Sredozemsko morje</w:t>
      </w:r>
    </w:p>
    <w:p w14:paraId="685645EE" w14:textId="77777777" w:rsidR="00E64D71" w:rsidRPr="00322F2F" w:rsidRDefault="00E64D71" w:rsidP="005A0E81">
      <w:pPr>
        <w:pStyle w:val="Titrearticle"/>
        <w:spacing w:before="120"/>
        <w:rPr>
          <w:noProof/>
        </w:rPr>
      </w:pPr>
      <w:r w:rsidRPr="00322F2F">
        <w:rPr>
          <w:noProof/>
        </w:rPr>
        <w:t xml:space="preserve">Člen 4 </w:t>
      </w:r>
      <w:r w:rsidRPr="00322F2F">
        <w:rPr>
          <w:noProof/>
        </w:rPr>
        <w:br/>
      </w:r>
      <w:r w:rsidRPr="00322F2F">
        <w:rPr>
          <w:b/>
          <w:i w:val="0"/>
          <w:noProof/>
        </w:rPr>
        <w:t>Rdeča korala</w:t>
      </w:r>
    </w:p>
    <w:p w14:paraId="50C598BF" w14:textId="77777777" w:rsidR="00E64D71" w:rsidRPr="00322F2F" w:rsidRDefault="00A91347" w:rsidP="00A91347">
      <w:pPr>
        <w:pStyle w:val="ManualNumPar1"/>
        <w:rPr>
          <w:noProof/>
        </w:rPr>
      </w:pPr>
      <w:r w:rsidRPr="00322F2F">
        <w:rPr>
          <w:noProof/>
        </w:rPr>
        <w:t>1.</w:t>
      </w:r>
      <w:r w:rsidRPr="00322F2F">
        <w:rPr>
          <w:noProof/>
        </w:rPr>
        <w:tab/>
        <w:t>Ta člen se uporablja za vse dejavnosti ribiških plovil Unije in druge ribolovne dejavnosti Unije, pri katerih se nabira rdeča korala (</w:t>
      </w:r>
      <w:r w:rsidRPr="00322F2F">
        <w:rPr>
          <w:i/>
          <w:noProof/>
        </w:rPr>
        <w:t>Corallium rubrum</w:t>
      </w:r>
      <w:r w:rsidRPr="00322F2F">
        <w:rPr>
          <w:noProof/>
        </w:rPr>
        <w:t>), in sicer usmerjeni in rekreacijski ribolov v Sredozemskem morju.</w:t>
      </w:r>
    </w:p>
    <w:p w14:paraId="4781B6B2" w14:textId="77777777" w:rsidR="00E64D71" w:rsidRPr="00322F2F" w:rsidRDefault="00A91347" w:rsidP="00A91347">
      <w:pPr>
        <w:pStyle w:val="ManualNumPar1"/>
        <w:rPr>
          <w:noProof/>
        </w:rPr>
      </w:pPr>
      <w:r w:rsidRPr="00322F2F">
        <w:rPr>
          <w:noProof/>
        </w:rPr>
        <w:t>2.</w:t>
      </w:r>
      <w:r w:rsidRPr="00322F2F">
        <w:rPr>
          <w:noProof/>
        </w:rPr>
        <w:tab/>
        <w:t>Kar zadeva usmerjeni ribolov, največje število dovoljenj za ribolov in največje količine staležev rdečih koral, ki jih naberejo ribiška plovila Unije in ki se naberejo pri dejavnostih nabiranja Unije, ne presegajo ravni, določenih v Prilogi I.</w:t>
      </w:r>
    </w:p>
    <w:p w14:paraId="564AA64D" w14:textId="77777777" w:rsidR="00E64D71" w:rsidRPr="00322F2F" w:rsidRDefault="00A91347" w:rsidP="00A91347">
      <w:pPr>
        <w:pStyle w:val="ManualNumPar1"/>
        <w:rPr>
          <w:noProof/>
        </w:rPr>
      </w:pPr>
      <w:r w:rsidRPr="00322F2F">
        <w:rPr>
          <w:noProof/>
        </w:rPr>
        <w:t>3.</w:t>
      </w:r>
      <w:r w:rsidRPr="00322F2F">
        <w:rPr>
          <w:noProof/>
        </w:rPr>
        <w:tab/>
        <w:t xml:space="preserve">Ribiškim plovilom Unije, za katere velja odstavek 2, je prepovedano pretovarjanje rdeče korale na morju. </w:t>
      </w:r>
    </w:p>
    <w:p w14:paraId="08DAB76F" w14:textId="77777777" w:rsidR="00E64D71" w:rsidRPr="00322F2F" w:rsidRDefault="00A91347" w:rsidP="00A91347">
      <w:pPr>
        <w:pStyle w:val="ManualNumPar1"/>
        <w:rPr>
          <w:noProof/>
        </w:rPr>
      </w:pPr>
      <w:r w:rsidRPr="00322F2F">
        <w:rPr>
          <w:noProof/>
        </w:rPr>
        <w:t>4.</w:t>
      </w:r>
      <w:r w:rsidRPr="00322F2F">
        <w:rPr>
          <w:noProof/>
        </w:rPr>
        <w:tab/>
        <w:t xml:space="preserve">Za rekreacijski ribolov države članice sprejmejo potrebne ukrepe za prepoved ulova in zadrževanja na krovu, pretovarjanja ali iztovarjanja rdeče korale. </w:t>
      </w:r>
    </w:p>
    <w:p w14:paraId="49BBE089" w14:textId="77777777" w:rsidR="000669A3" w:rsidRPr="00322F2F" w:rsidRDefault="000669A3" w:rsidP="00D03F94">
      <w:pPr>
        <w:rPr>
          <w:noProof/>
        </w:rPr>
      </w:pPr>
    </w:p>
    <w:p w14:paraId="47A1BEFC" w14:textId="77777777" w:rsidR="00E64D71" w:rsidRPr="00322F2F" w:rsidRDefault="00E64D71" w:rsidP="00E64D71">
      <w:pPr>
        <w:pStyle w:val="Titrearticle"/>
        <w:rPr>
          <w:noProof/>
        </w:rPr>
      </w:pPr>
      <w:r w:rsidRPr="00322F2F">
        <w:rPr>
          <w:noProof/>
        </w:rPr>
        <w:t xml:space="preserve">Člen 5 </w:t>
      </w:r>
      <w:r w:rsidRPr="00322F2F">
        <w:rPr>
          <w:noProof/>
        </w:rPr>
        <w:br/>
      </w:r>
      <w:r w:rsidRPr="00322F2F">
        <w:rPr>
          <w:b/>
          <w:i w:val="0"/>
          <w:noProof/>
        </w:rPr>
        <w:t>Delfinka</w:t>
      </w:r>
    </w:p>
    <w:p w14:paraId="2328B3DF" w14:textId="77777777" w:rsidR="00A9710E" w:rsidRPr="00322F2F" w:rsidRDefault="00873436" w:rsidP="00844A67">
      <w:pPr>
        <w:pStyle w:val="ChapterTitle"/>
        <w:rPr>
          <w:b w:val="0"/>
          <w:bCs/>
          <w:noProof/>
          <w:sz w:val="28"/>
          <w:szCs w:val="28"/>
          <w:u w:val="single"/>
        </w:rPr>
      </w:pPr>
      <w:r w:rsidRPr="00322F2F">
        <w:rPr>
          <w:b w:val="0"/>
          <w:noProof/>
          <w:sz w:val="28"/>
          <w:u w:val="single"/>
        </w:rPr>
        <w:t>[Prostornik: novi ukrepi]</w:t>
      </w:r>
    </w:p>
    <w:p w14:paraId="6B89422F" w14:textId="77777777" w:rsidR="00844A67" w:rsidRPr="00322F2F" w:rsidRDefault="00844A67" w:rsidP="00844A67">
      <w:pPr>
        <w:pStyle w:val="ChapterTitle"/>
        <w:rPr>
          <w:noProof/>
        </w:rPr>
      </w:pPr>
      <w:r w:rsidRPr="00322F2F">
        <w:rPr>
          <w:noProof/>
        </w:rPr>
        <w:t xml:space="preserve">POGLAVJE II </w:t>
      </w:r>
      <w:r w:rsidRPr="00322F2F">
        <w:rPr>
          <w:noProof/>
        </w:rPr>
        <w:br/>
        <w:t>Zahodno Sredozemsko morje</w:t>
      </w:r>
    </w:p>
    <w:p w14:paraId="0BBCEC8E" w14:textId="77777777" w:rsidR="00844A67" w:rsidRPr="00322F2F" w:rsidRDefault="00844A67" w:rsidP="00844A67">
      <w:pPr>
        <w:pStyle w:val="Titrearticle"/>
        <w:rPr>
          <w:b/>
          <w:i w:val="0"/>
          <w:noProof/>
        </w:rPr>
      </w:pPr>
      <w:r w:rsidRPr="00322F2F">
        <w:rPr>
          <w:noProof/>
        </w:rPr>
        <w:t xml:space="preserve">Člen 6 </w:t>
      </w:r>
      <w:r w:rsidRPr="00322F2F">
        <w:rPr>
          <w:noProof/>
        </w:rPr>
        <w:br/>
      </w:r>
      <w:r w:rsidRPr="00322F2F">
        <w:rPr>
          <w:b/>
          <w:i w:val="0"/>
          <w:noProof/>
        </w:rPr>
        <w:t>Pridneni staleži</w:t>
      </w:r>
    </w:p>
    <w:p w14:paraId="69CBB137" w14:textId="77777777" w:rsidR="00844A67" w:rsidRPr="00322F2F" w:rsidRDefault="00A91347" w:rsidP="00A91347">
      <w:pPr>
        <w:pStyle w:val="ManualNumPar1"/>
        <w:rPr>
          <w:noProof/>
        </w:rPr>
      </w:pPr>
      <w:r w:rsidRPr="00322F2F">
        <w:rPr>
          <w:noProof/>
        </w:rPr>
        <w:t>1.</w:t>
      </w:r>
      <w:r w:rsidRPr="00322F2F">
        <w:rPr>
          <w:noProof/>
        </w:rPr>
        <w:tab/>
        <w:t xml:space="preserve">Ta člen se uporablja za vse dejavnosti ribiških plovil Unije in druge ribolovne dejavnosti Unije, pri katerih se lovijo pridneni staleži iz člena 1(2) Uredbe (EU) 2019/1022, v zahodnem Sredozemskem morju. </w:t>
      </w:r>
    </w:p>
    <w:p w14:paraId="465A7C92" w14:textId="77777777" w:rsidR="00844A67" w:rsidRPr="00322F2F" w:rsidRDefault="00A91347" w:rsidP="00A91347">
      <w:pPr>
        <w:pStyle w:val="ManualNumPar1"/>
        <w:rPr>
          <w:noProof/>
        </w:rPr>
      </w:pPr>
      <w:r w:rsidRPr="00322F2F">
        <w:rPr>
          <w:noProof/>
        </w:rPr>
        <w:t>2.</w:t>
      </w:r>
      <w:r w:rsidRPr="00322F2F">
        <w:rPr>
          <w:noProof/>
        </w:rPr>
        <w:tab/>
        <w:t>Največji dovoljeni ribolovni napor za plovila z vlečnimi mrežami in plovila s parangali je določen v Prilogi III k tej uredbi. Države članice največji dovoljeni ribolovni napor upravljajo v skladu s členom 9 Uredbe (EU) 2019/1022 in členi 26 do 34 Uredbe (ES) št. 1224/2009.</w:t>
      </w:r>
    </w:p>
    <w:p w14:paraId="1869D4F8" w14:textId="77777777" w:rsidR="00844A67" w:rsidRPr="00322F2F" w:rsidRDefault="00A91347" w:rsidP="00A91347">
      <w:pPr>
        <w:pStyle w:val="ManualNumPar1"/>
        <w:rPr>
          <w:noProof/>
        </w:rPr>
      </w:pPr>
      <w:r w:rsidRPr="00322F2F">
        <w:rPr>
          <w:noProof/>
        </w:rPr>
        <w:t>3.</w:t>
      </w:r>
      <w:r w:rsidRPr="00322F2F">
        <w:rPr>
          <w:noProof/>
        </w:rPr>
        <w:tab/>
        <w:t>Dodelitev največjih omejitev ulova državam članicam za ribiška plovila Unije v vodah Unije v zahodnem Sredozemskem morju je določena v Prilogi III.</w:t>
      </w:r>
    </w:p>
    <w:p w14:paraId="2F1BDF19" w14:textId="77777777" w:rsidR="00622822" w:rsidRPr="00322F2F" w:rsidRDefault="00844A67" w:rsidP="005A0E81">
      <w:pPr>
        <w:pStyle w:val="ManualNumPar1"/>
        <w:rPr>
          <w:noProof/>
        </w:rPr>
      </w:pPr>
      <w:r w:rsidRPr="00322F2F">
        <w:rPr>
          <w:noProof/>
        </w:rPr>
        <w:t>4.</w:t>
      </w:r>
      <w:r w:rsidRPr="00322F2F">
        <w:rPr>
          <w:noProof/>
        </w:rPr>
        <w:tab/>
        <w:t>Dodelitev ribolovnih možnosti držav članic, kot je določena v tem členu in Prilogi III, izpolnjuje naslednje pogoje:</w:t>
      </w:r>
    </w:p>
    <w:p w14:paraId="5B4A93FA" w14:textId="4487715E" w:rsidR="00622822" w:rsidRPr="00322F2F" w:rsidRDefault="005535CC" w:rsidP="005535CC">
      <w:pPr>
        <w:pStyle w:val="Point1"/>
        <w:rPr>
          <w:noProof/>
        </w:rPr>
      </w:pPr>
      <w:r w:rsidRPr="005535CC">
        <w:t>(a)</w:t>
      </w:r>
      <w:r w:rsidRPr="005535CC">
        <w:tab/>
      </w:r>
      <w:r w:rsidR="00622822" w:rsidRPr="00322F2F">
        <w:rPr>
          <w:noProof/>
        </w:rPr>
        <w:tab/>
        <w:t xml:space="preserve">je v skladu z merili iz člena 17 Uredbe </w:t>
      </w:r>
      <w:r w:rsidR="00622822" w:rsidRPr="00322F2F">
        <w:rPr>
          <w:noProof/>
        </w:rPr>
        <w:tab/>
        <w:t xml:space="preserve">(EU) št. 1380/2013 </w:t>
      </w:r>
    </w:p>
    <w:p w14:paraId="571BCC1D" w14:textId="7885EAA3" w:rsidR="00695130" w:rsidRPr="00322F2F" w:rsidRDefault="005535CC" w:rsidP="005535CC">
      <w:pPr>
        <w:pStyle w:val="Point1"/>
        <w:rPr>
          <w:noProof/>
        </w:rPr>
      </w:pPr>
      <w:r w:rsidRPr="005535CC">
        <w:t>(b)</w:t>
      </w:r>
      <w:r w:rsidRPr="005535CC">
        <w:tab/>
      </w:r>
      <w:r w:rsidR="00695130" w:rsidRPr="00322F2F">
        <w:rPr>
          <w:noProof/>
        </w:rPr>
        <w:t xml:space="preserve"> ne posega v: </w:t>
      </w:r>
    </w:p>
    <w:p w14:paraId="60725CC2" w14:textId="77777777" w:rsidR="00695130" w:rsidRPr="00322F2F" w:rsidRDefault="00622822" w:rsidP="005A0E81">
      <w:pPr>
        <w:pStyle w:val="Point2"/>
        <w:rPr>
          <w:noProof/>
        </w:rPr>
      </w:pPr>
      <w:r w:rsidRPr="00322F2F">
        <w:rPr>
          <w:noProof/>
        </w:rPr>
        <w:t>(i)</w:t>
      </w:r>
      <w:r w:rsidRPr="00322F2F">
        <w:rPr>
          <w:noProof/>
        </w:rPr>
        <w:tab/>
        <w:t xml:space="preserve">izmenjave v skladu s členom 16(8) Uredbe (EU) št. 1380/2013; </w:t>
      </w:r>
    </w:p>
    <w:p w14:paraId="1E5D71B8" w14:textId="77777777" w:rsidR="00695130" w:rsidRPr="00322F2F" w:rsidRDefault="00622822" w:rsidP="005A0E81">
      <w:pPr>
        <w:pStyle w:val="Point2"/>
        <w:rPr>
          <w:noProof/>
        </w:rPr>
      </w:pPr>
      <w:r w:rsidRPr="00322F2F">
        <w:rPr>
          <w:noProof/>
        </w:rPr>
        <w:t>(ii)</w:t>
      </w:r>
      <w:r w:rsidRPr="00322F2F">
        <w:rPr>
          <w:noProof/>
        </w:rPr>
        <w:tab/>
        <w:t xml:space="preserve">odbitke in ponovne dodelitve v skladu s členom 37 Uredbe (ES) </w:t>
      </w:r>
      <w:r w:rsidRPr="00322F2F">
        <w:rPr>
          <w:noProof/>
        </w:rPr>
        <w:tab/>
        <w:t>št. 1224/2009;</w:t>
      </w:r>
    </w:p>
    <w:p w14:paraId="01E06143" w14:textId="77777777" w:rsidR="0015138E" w:rsidRPr="00322F2F" w:rsidRDefault="00622822" w:rsidP="005A0E81">
      <w:pPr>
        <w:pStyle w:val="Point2"/>
        <w:rPr>
          <w:noProof/>
        </w:rPr>
      </w:pPr>
      <w:r w:rsidRPr="00322F2F">
        <w:rPr>
          <w:noProof/>
        </w:rPr>
        <w:t>(iii)</w:t>
      </w:r>
      <w:r w:rsidRPr="00322F2F">
        <w:rPr>
          <w:noProof/>
        </w:rPr>
        <w:tab/>
        <w:t>dodatna iztovarjanja, dovoljena na podlagi člena 3 Uredbe Sveta (ES) št. 847/96 ali člena 15(9) Uredbe (EU) št. 1380/2013;</w:t>
      </w:r>
    </w:p>
    <w:p w14:paraId="17FFEA69" w14:textId="77777777" w:rsidR="00695130" w:rsidRPr="00322F2F" w:rsidRDefault="00622822" w:rsidP="005A0E81">
      <w:pPr>
        <w:pStyle w:val="Point2"/>
        <w:rPr>
          <w:noProof/>
        </w:rPr>
      </w:pPr>
      <w:r w:rsidRPr="00322F2F">
        <w:rPr>
          <w:noProof/>
        </w:rPr>
        <w:t>(iv)</w:t>
      </w:r>
      <w:r w:rsidRPr="00322F2F">
        <w:rPr>
          <w:noProof/>
        </w:rPr>
        <w:tab/>
        <w:t xml:space="preserve">količine, zadržane v skladu s členom 4 Uredbe (ES) št. 847/96 ali prenesene na podlagi člena 15(9) Uredbe (EU) št. 1380/2013; </w:t>
      </w:r>
    </w:p>
    <w:p w14:paraId="4FD071EC" w14:textId="77777777" w:rsidR="00695130" w:rsidRPr="00322F2F" w:rsidRDefault="00622822" w:rsidP="005A0E81">
      <w:pPr>
        <w:pStyle w:val="Point2"/>
        <w:rPr>
          <w:noProof/>
        </w:rPr>
      </w:pPr>
      <w:r w:rsidRPr="00322F2F">
        <w:rPr>
          <w:noProof/>
        </w:rPr>
        <w:t>(v)</w:t>
      </w:r>
      <w:r w:rsidRPr="00322F2F">
        <w:rPr>
          <w:noProof/>
        </w:rPr>
        <w:tab/>
        <w:t>odbitke, izvedene v skladu s členi 105, 106 in 107 Uredbe (ES) št. 1224/2009.</w:t>
      </w:r>
    </w:p>
    <w:p w14:paraId="0AAF48EC" w14:textId="77777777" w:rsidR="00436A77" w:rsidRPr="00322F2F" w:rsidRDefault="00436A77" w:rsidP="00734245">
      <w:pPr>
        <w:rPr>
          <w:noProof/>
        </w:rPr>
      </w:pPr>
    </w:p>
    <w:p w14:paraId="018D4594" w14:textId="77777777" w:rsidR="00436A77" w:rsidRPr="00322F2F" w:rsidRDefault="00436A77" w:rsidP="00734245">
      <w:pPr>
        <w:jc w:val="center"/>
        <w:rPr>
          <w:b/>
          <w:noProof/>
        </w:rPr>
      </w:pPr>
      <w:r w:rsidRPr="00322F2F">
        <w:rPr>
          <w:i/>
          <w:noProof/>
        </w:rPr>
        <w:t>Člen 7</w:t>
      </w:r>
      <w:r w:rsidRPr="00322F2F">
        <w:rPr>
          <w:noProof/>
        </w:rPr>
        <w:t xml:space="preserve"> </w:t>
      </w:r>
      <w:r w:rsidRPr="00322F2F">
        <w:rPr>
          <w:noProof/>
        </w:rPr>
        <w:br/>
      </w:r>
      <w:r w:rsidRPr="00322F2F">
        <w:rPr>
          <w:b/>
          <w:noProof/>
        </w:rPr>
        <w:t>Mehanizem nadomestil</w:t>
      </w:r>
    </w:p>
    <w:p w14:paraId="23B2E8F4" w14:textId="77777777" w:rsidR="00A9710E" w:rsidRPr="00322F2F" w:rsidRDefault="00A91347" w:rsidP="00A91347">
      <w:pPr>
        <w:pStyle w:val="ManualNumPar1"/>
        <w:rPr>
          <w:noProof/>
        </w:rPr>
      </w:pPr>
      <w:r w:rsidRPr="00322F2F">
        <w:rPr>
          <w:noProof/>
        </w:rPr>
        <w:t>1.</w:t>
      </w:r>
      <w:r w:rsidRPr="00322F2F">
        <w:rPr>
          <w:noProof/>
        </w:rPr>
        <w:tab/>
        <w:t xml:space="preserve">Za zadevni segment flote lahko država članica plovilom, ki plujejo pod njeno zastavo, za leto 2024 odobri dodatno dodelitev ribolovnih dni v višini  pm %, izračunano na podlagi referenčne vrednosti med letoma 2015 in 2017 navedene  države članice, kot je določeno v odstavku 4. </w:t>
      </w:r>
    </w:p>
    <w:p w14:paraId="219F963C" w14:textId="77777777" w:rsidR="0043729D" w:rsidRPr="00322F2F" w:rsidRDefault="00A91347" w:rsidP="00A91347">
      <w:pPr>
        <w:pStyle w:val="ManualNumPar1"/>
        <w:rPr>
          <w:noProof/>
        </w:rPr>
      </w:pPr>
      <w:r w:rsidRPr="00322F2F">
        <w:rPr>
          <w:noProof/>
        </w:rPr>
        <w:t>2.</w:t>
      </w:r>
      <w:r w:rsidRPr="00322F2F">
        <w:rPr>
          <w:noProof/>
        </w:rPr>
        <w:tab/>
        <w:t xml:space="preserve">Zadevna država članica Komisiji priglasi seznam ribiških plovil, ki jih ta dodatna dodelitev ribolovnih dni zadeva, in s tem povezano število dodatnih ribolovnih dni. </w:t>
      </w:r>
    </w:p>
    <w:p w14:paraId="0253469E" w14:textId="77777777" w:rsidR="00557F7F" w:rsidRPr="00322F2F" w:rsidRDefault="00A91347" w:rsidP="00A91347">
      <w:pPr>
        <w:pStyle w:val="ManualNumPar1"/>
        <w:rPr>
          <w:noProof/>
        </w:rPr>
      </w:pPr>
      <w:r w:rsidRPr="00322F2F">
        <w:rPr>
          <w:noProof/>
        </w:rPr>
        <w:t>3.</w:t>
      </w:r>
      <w:r w:rsidRPr="00322F2F">
        <w:rPr>
          <w:noProof/>
        </w:rPr>
        <w:tab/>
        <w:t xml:space="preserve">Dodatna dodelitev se za ustrezni segment flote zadevne države članice izračuna na podlagi največjega dovoljenega napora iz referenčne vrednosti med letoma 2015 in 2017, in sicer od 1. januarja 2024. </w:t>
      </w:r>
    </w:p>
    <w:p w14:paraId="4FC8C9D1" w14:textId="77777777" w:rsidR="00695130" w:rsidRPr="00322F2F" w:rsidRDefault="00A91347" w:rsidP="00A91347">
      <w:pPr>
        <w:pStyle w:val="ManualNumPar1"/>
        <w:rPr>
          <w:noProof/>
        </w:rPr>
      </w:pPr>
      <w:r w:rsidRPr="00322F2F">
        <w:rPr>
          <w:noProof/>
        </w:rPr>
        <w:t>4.</w:t>
      </w:r>
      <w:r w:rsidRPr="00322F2F">
        <w:rPr>
          <w:noProof/>
        </w:rPr>
        <w:tab/>
        <w:t xml:space="preserve">Država članica lahko odobri dodatno dodelitev ribolovnih dni iz odstavka 1, če plovilo izpolnjuje enega od naslednjih pogojev: </w:t>
      </w:r>
    </w:p>
    <w:p w14:paraId="64F331C7" w14:textId="3EA91B37" w:rsidR="004E7BDC" w:rsidRPr="00322F2F" w:rsidRDefault="005535CC" w:rsidP="005535CC">
      <w:pPr>
        <w:pStyle w:val="Point1"/>
        <w:rPr>
          <w:noProof/>
        </w:rPr>
      </w:pPr>
      <w:r w:rsidRPr="005535CC">
        <w:t>(a)</w:t>
      </w:r>
      <w:r w:rsidRPr="005535CC">
        <w:tab/>
      </w:r>
      <w:r w:rsidR="00695130" w:rsidRPr="00322F2F">
        <w:rPr>
          <w:noProof/>
        </w:rPr>
        <w:t xml:space="preserve">plovilo uporablja vlečno mrežo z vrečo s kvadratastimi mrežnimi očesi velikosti 45 mm, da se za vsaj 25 % zmanjša ulov mladic osliča;  </w:t>
      </w:r>
    </w:p>
    <w:p w14:paraId="60C98618" w14:textId="0891063E" w:rsidR="00695130" w:rsidRPr="00322F2F" w:rsidRDefault="005535CC" w:rsidP="005535CC">
      <w:pPr>
        <w:pStyle w:val="Point1"/>
        <w:rPr>
          <w:noProof/>
        </w:rPr>
      </w:pPr>
      <w:r w:rsidRPr="005535CC">
        <w:t>(b)</w:t>
      </w:r>
      <w:r w:rsidRPr="005535CC">
        <w:tab/>
      </w:r>
      <w:r w:rsidR="00695130" w:rsidRPr="00322F2F">
        <w:rPr>
          <w:noProof/>
        </w:rPr>
        <w:t xml:space="preserve">plovilo uporablja vlečno mrežo z vrečo s kvadratastimi mrežnimi očesi velikosti 50 mm za globokomorski ribolov, da se za vsaj 25 % zmanjša ulov rdeče-modrih kozic z dolžino oklepa manj kot 25 mm na geografskih podobmočjih 1, 2, 5, 6, 7, 8, 9, 10 in 11 oziroma za vsaj 25 % zmanjša ulov orjaških rdečih kozic z dolžino oklepa manj kot 35 mm na geografskih podobmočjih 8, 9, 10 in 11; </w:t>
      </w:r>
    </w:p>
    <w:p w14:paraId="2E2A28A7" w14:textId="35A15044" w:rsidR="00695130" w:rsidRPr="00322F2F" w:rsidRDefault="005535CC" w:rsidP="005535CC">
      <w:pPr>
        <w:pStyle w:val="Point1"/>
        <w:rPr>
          <w:noProof/>
        </w:rPr>
      </w:pPr>
      <w:r w:rsidRPr="005535CC">
        <w:t>(c)</w:t>
      </w:r>
      <w:r w:rsidRPr="005535CC">
        <w:tab/>
      </w:r>
      <w:r w:rsidR="00695130" w:rsidRPr="00322F2F">
        <w:rPr>
          <w:noProof/>
        </w:rPr>
        <w:t xml:space="preserve">plovilo uporablja regulirano zelo selektivno orodje, katerega tehnične specifikacije v skladu z znanstveno študijo STECF omogočajo vsaj 25-odstotno zmanjšanje ulova mladic vseh pridnenih vrst oziroma vsaj 20-odstotno zmanjšanje ulova drstnic vseh pridnenih vrst v primerjavi z letom 2020, kot je na primer izločevalna rešetka z razdaljo med prečkami vsaj 20 mm;  </w:t>
      </w:r>
    </w:p>
    <w:p w14:paraId="226651A8" w14:textId="4693F816" w:rsidR="0024151E" w:rsidRPr="00322F2F" w:rsidRDefault="005535CC" w:rsidP="005535CC">
      <w:pPr>
        <w:pStyle w:val="Point1"/>
        <w:rPr>
          <w:noProof/>
        </w:rPr>
      </w:pPr>
      <w:r w:rsidRPr="005535CC">
        <w:t>(d)</w:t>
      </w:r>
      <w:r w:rsidRPr="005535CC">
        <w:tab/>
      </w:r>
      <w:r w:rsidR="00A91347" w:rsidRPr="00322F2F">
        <w:rPr>
          <w:noProof/>
        </w:rPr>
        <w:tab/>
        <w:t>zadevna država članica je določila začasna območja prepovedi ribolova za vsaj 25-odstotno zmanjšanje ulova mladic vseh pridnenih vrst ali za vsaj 20-odstotno zmanjšanje ulova drsnic vseh pridnenih vrst;</w:t>
      </w:r>
    </w:p>
    <w:p w14:paraId="4A575C58" w14:textId="12F470B1" w:rsidR="0024151E" w:rsidRPr="00322F2F" w:rsidRDefault="005535CC" w:rsidP="005535CC">
      <w:pPr>
        <w:pStyle w:val="Point1"/>
        <w:rPr>
          <w:noProof/>
        </w:rPr>
      </w:pPr>
      <w:r w:rsidRPr="005535CC">
        <w:t>(e)</w:t>
      </w:r>
      <w:r w:rsidRPr="005535CC">
        <w:tab/>
      </w:r>
      <w:r w:rsidR="0024151E" w:rsidRPr="00322F2F">
        <w:rPr>
          <w:noProof/>
        </w:rPr>
        <w:tab/>
        <w:t>zadevna država članica je sprejela novo najmanjšo referenčno velikost ohranjanja za osliča, ki znaša vsaj 26 cm, in zagotovila izvajanje ustreznih tehničnih ukrepov za uskladitev s to najmanjšo referenčno velikostjo ohranjanja, da bi postopoma dosegla dolžino ob prvi spolni zrelosti in izboljšala status staležev osliča;</w:t>
      </w:r>
    </w:p>
    <w:p w14:paraId="147E6C4B" w14:textId="52BC0ABA" w:rsidR="00155582" w:rsidRPr="00322F2F" w:rsidRDefault="005535CC" w:rsidP="005535CC">
      <w:pPr>
        <w:pStyle w:val="Point1"/>
        <w:rPr>
          <w:noProof/>
        </w:rPr>
      </w:pPr>
      <w:bookmarkStart w:id="7" w:name="_Hlk138948407"/>
      <w:r w:rsidRPr="005535CC">
        <w:t>(f)</w:t>
      </w:r>
      <w:r w:rsidRPr="005535CC">
        <w:tab/>
      </w:r>
      <w:r w:rsidR="00155582" w:rsidRPr="00322F2F">
        <w:rPr>
          <w:noProof/>
        </w:rPr>
        <w:tab/>
        <w:t>zadevna država članica je sprejela novo najmanjšo referenčno velikost ohranjanja za rdeče-modro kozico (</w:t>
      </w:r>
      <w:r w:rsidR="00155582" w:rsidRPr="00322F2F">
        <w:rPr>
          <w:i/>
          <w:noProof/>
        </w:rPr>
        <w:t>Aristeus antennatus</w:t>
      </w:r>
      <w:r w:rsidR="00155582" w:rsidRPr="00322F2F">
        <w:rPr>
          <w:noProof/>
        </w:rPr>
        <w:t>), tj. dolžino oklepa vsaj 25 mm, in za  orjaško rdečo kozico (</w:t>
      </w:r>
      <w:r w:rsidR="00155582" w:rsidRPr="00322F2F">
        <w:rPr>
          <w:i/>
          <w:noProof/>
        </w:rPr>
        <w:t>Aristaeomorpha foliacea</w:t>
      </w:r>
      <w:r w:rsidR="00155582" w:rsidRPr="00322F2F">
        <w:rPr>
          <w:noProof/>
        </w:rPr>
        <w:t xml:space="preserve">), tj. dolžino oklepa vsaj 35 mm, in zagotovila izvajanje ustreznih tehničnih ukrepov za uskladitev s tema najmanjšima referenčnima velikostma ohranjanja, da bi postopoma dosegla dolžino ob prvi spolni zrelosti in  izboljšala status staležev; </w:t>
      </w:r>
    </w:p>
    <w:bookmarkEnd w:id="7"/>
    <w:p w14:paraId="510D484B" w14:textId="7099AE2E" w:rsidR="00695130" w:rsidRPr="00322F2F" w:rsidRDefault="005535CC" w:rsidP="005535CC">
      <w:pPr>
        <w:pStyle w:val="Point1"/>
        <w:rPr>
          <w:noProof/>
        </w:rPr>
      </w:pPr>
      <w:r w:rsidRPr="005535CC">
        <w:t>(g)</w:t>
      </w:r>
      <w:r w:rsidRPr="005535CC">
        <w:tab/>
      </w:r>
      <w:r w:rsidR="0024151E" w:rsidRPr="00322F2F">
        <w:rPr>
          <w:noProof/>
        </w:rPr>
        <w:tab/>
        <w:t>zadevna država članica je določila prepoved ribolova, ki traja vsaj štiri zaporedne tedne, za ribolovne dejavnosti s plovili z vlečnimi mrežami na območjih in v obdobjih, ki se na podlagi najboljšega razpoložljivega znanstvenega mnenja štejejo za pomembna za zaščito drstišč staležev osliča. Taka območja upoštevajo tudi vzorce prostorske razporeditve drstnic, vključno z globino od 150 m do 500 m. Obdobji začasne prepovedi ribolova trajata od februarja do marca in od oktobra do novembra.</w:t>
      </w:r>
      <w:r w:rsidR="0024151E" w:rsidRPr="00322F2F">
        <w:rPr>
          <w:i/>
          <w:noProof/>
        </w:rPr>
        <w:t xml:space="preserve"> </w:t>
      </w:r>
    </w:p>
    <w:p w14:paraId="059B574A" w14:textId="77777777" w:rsidR="00844A67" w:rsidRPr="00322F2F" w:rsidRDefault="00A91347" w:rsidP="00A91347">
      <w:pPr>
        <w:pStyle w:val="ManualNumPar1"/>
        <w:rPr>
          <w:noProof/>
        </w:rPr>
      </w:pPr>
      <w:r w:rsidRPr="00322F2F">
        <w:rPr>
          <w:noProof/>
        </w:rPr>
        <w:t>5.</w:t>
      </w:r>
      <w:r w:rsidRPr="00322F2F">
        <w:rPr>
          <w:noProof/>
        </w:rPr>
        <w:tab/>
        <w:t>Zadevna država članica vsak mesec Komisijo tudi ločeno obvesti o ribolovnem naporu, ki se odšteje od dodatne dodelitve iz odstavka 1, pri čemer uporabi posebne kode poročanja za navedeno dodelitev.</w:t>
      </w:r>
    </w:p>
    <w:p w14:paraId="337076E5" w14:textId="77777777" w:rsidR="00844A67" w:rsidRPr="00322F2F" w:rsidRDefault="00A91347" w:rsidP="00A17F1C">
      <w:pPr>
        <w:pStyle w:val="ManualNumPar1"/>
        <w:rPr>
          <w:noProof/>
        </w:rPr>
      </w:pPr>
      <w:r w:rsidRPr="00322F2F">
        <w:rPr>
          <w:noProof/>
        </w:rPr>
        <w:t>6.</w:t>
      </w:r>
      <w:r w:rsidRPr="00322F2F">
        <w:rPr>
          <w:noProof/>
        </w:rPr>
        <w:tab/>
        <w:t xml:space="preserve">Zadevna država članica Komisiji najpozneje do 15. oktobra predloži vse razpoložljive informacije o izvajanju ukrepov iz odstavka 4, točke (a) do (g). </w:t>
      </w:r>
    </w:p>
    <w:p w14:paraId="7C8DEDD4" w14:textId="77777777" w:rsidR="00844A67" w:rsidRPr="00322F2F" w:rsidRDefault="00D8118C" w:rsidP="00844A67">
      <w:pPr>
        <w:pStyle w:val="Titrearticle"/>
        <w:rPr>
          <w:b/>
          <w:i w:val="0"/>
          <w:noProof/>
        </w:rPr>
      </w:pPr>
      <w:r w:rsidRPr="00322F2F">
        <w:rPr>
          <w:noProof/>
        </w:rPr>
        <w:t xml:space="preserve">Člen 8 </w:t>
      </w:r>
      <w:r w:rsidRPr="00322F2F">
        <w:rPr>
          <w:noProof/>
        </w:rPr>
        <w:br/>
      </w:r>
      <w:r w:rsidRPr="00322F2F">
        <w:rPr>
          <w:b/>
          <w:i w:val="0"/>
          <w:noProof/>
        </w:rPr>
        <w:t>Evidentiranje in prenos podatkov</w:t>
      </w:r>
      <w:r w:rsidRPr="00322F2F">
        <w:rPr>
          <w:noProof/>
        </w:rPr>
        <w:t xml:space="preserve"> </w:t>
      </w:r>
      <w:r w:rsidRPr="00322F2F">
        <w:rPr>
          <w:noProof/>
        </w:rPr>
        <w:br/>
      </w:r>
    </w:p>
    <w:p w14:paraId="6BE9D885" w14:textId="77777777" w:rsidR="00844A67" w:rsidRPr="00322F2F" w:rsidRDefault="00695130" w:rsidP="005A0E81">
      <w:pPr>
        <w:pStyle w:val="ManualNumPar1"/>
        <w:rPr>
          <w:noProof/>
        </w:rPr>
      </w:pPr>
      <w:r w:rsidRPr="00322F2F">
        <w:rPr>
          <w:noProof/>
        </w:rPr>
        <w:t>1.</w:t>
      </w:r>
      <w:r w:rsidRPr="00322F2F">
        <w:rPr>
          <w:noProof/>
        </w:rPr>
        <w:tab/>
        <w:t xml:space="preserve">Države članice evidentirajo podatke o ribolovnem naporu in jih posredujejo Komisiji v skladu s členom 10 Uredbe (EU) 2019/1022.  </w:t>
      </w:r>
    </w:p>
    <w:p w14:paraId="052465EC" w14:textId="77777777" w:rsidR="00650CD3" w:rsidRPr="00322F2F" w:rsidRDefault="00695130" w:rsidP="005A0E81">
      <w:pPr>
        <w:pStyle w:val="ManualNumPar1"/>
        <w:rPr>
          <w:noProof/>
        </w:rPr>
      </w:pPr>
      <w:r w:rsidRPr="00322F2F">
        <w:rPr>
          <w:noProof/>
        </w:rPr>
        <w:t>2.</w:t>
      </w:r>
      <w:r w:rsidRPr="00322F2F">
        <w:rPr>
          <w:noProof/>
        </w:rPr>
        <w:tab/>
        <w:t xml:space="preserve">Države članice pri pošiljanju podatkov o ribolovnem naporu Komisiji v skladu s tem členom uporabijo kode skupine ribolovnega napora iz Priloge III. </w:t>
      </w:r>
    </w:p>
    <w:p w14:paraId="6066CF19" w14:textId="77777777" w:rsidR="004E7BDC" w:rsidRPr="00322F2F" w:rsidRDefault="004E7BDC" w:rsidP="00D63054">
      <w:pPr>
        <w:rPr>
          <w:noProof/>
        </w:rPr>
      </w:pPr>
    </w:p>
    <w:p w14:paraId="6323CD0B" w14:textId="77777777" w:rsidR="00695130" w:rsidRPr="00322F2F" w:rsidRDefault="00695130" w:rsidP="00695130">
      <w:pPr>
        <w:pStyle w:val="ChapterTitle"/>
        <w:rPr>
          <w:noProof/>
        </w:rPr>
      </w:pPr>
      <w:r w:rsidRPr="00322F2F">
        <w:rPr>
          <w:noProof/>
        </w:rPr>
        <w:t xml:space="preserve">POGLAVJE III </w:t>
      </w:r>
      <w:r w:rsidRPr="00322F2F">
        <w:rPr>
          <w:noProof/>
        </w:rPr>
        <w:br/>
        <w:t>Jadransko morje</w:t>
      </w:r>
    </w:p>
    <w:p w14:paraId="6F7E0C77" w14:textId="77777777" w:rsidR="00695130" w:rsidRPr="00322F2F" w:rsidRDefault="00695130" w:rsidP="00A17F1C">
      <w:pPr>
        <w:pStyle w:val="Titrearticle"/>
        <w:rPr>
          <w:noProof/>
        </w:rPr>
      </w:pPr>
      <w:r w:rsidRPr="00322F2F">
        <w:rPr>
          <w:noProof/>
        </w:rPr>
        <w:t xml:space="preserve">Člen 9 </w:t>
      </w:r>
      <w:r w:rsidRPr="00322F2F">
        <w:rPr>
          <w:noProof/>
        </w:rPr>
        <w:br/>
      </w:r>
      <w:r w:rsidRPr="00322F2F">
        <w:rPr>
          <w:b/>
          <w:i w:val="0"/>
          <w:noProof/>
        </w:rPr>
        <w:t>Mali pelagični staleži</w:t>
      </w:r>
      <w:r w:rsidRPr="00322F2F">
        <w:rPr>
          <w:noProof/>
        </w:rPr>
        <w:t xml:space="preserve"> </w:t>
      </w:r>
    </w:p>
    <w:p w14:paraId="51B11988" w14:textId="77777777" w:rsidR="00A9710E" w:rsidRPr="00322F2F" w:rsidRDefault="00695130" w:rsidP="005A0E81">
      <w:pPr>
        <w:pStyle w:val="ManualNumPar1"/>
        <w:rPr>
          <w:noProof/>
        </w:rPr>
      </w:pPr>
      <w:r w:rsidRPr="00322F2F">
        <w:rPr>
          <w:noProof/>
        </w:rPr>
        <w:t>1.</w:t>
      </w:r>
      <w:r w:rsidRPr="00322F2F">
        <w:rPr>
          <w:noProof/>
        </w:rPr>
        <w:tab/>
        <w:t>Ta člen se uporablja za vse dejavnosti ribiških plovil Unije in druge ribolovne dejavnosti Unije v Jadranskem morju, pri katerih se lovita sardela (</w:t>
      </w:r>
      <w:r w:rsidRPr="00322F2F">
        <w:rPr>
          <w:i/>
          <w:noProof/>
        </w:rPr>
        <w:t>Sardina pilchardus</w:t>
      </w:r>
      <w:r w:rsidRPr="00322F2F">
        <w:rPr>
          <w:noProof/>
        </w:rPr>
        <w:t>) in sardon (</w:t>
      </w:r>
      <w:r w:rsidRPr="00322F2F">
        <w:rPr>
          <w:i/>
          <w:noProof/>
        </w:rPr>
        <w:t>Engraulis encrasicolus</w:t>
      </w:r>
      <w:r w:rsidRPr="00322F2F">
        <w:rPr>
          <w:noProof/>
        </w:rPr>
        <w:t>).</w:t>
      </w:r>
    </w:p>
    <w:p w14:paraId="122D4A41" w14:textId="77777777" w:rsidR="00A9710E" w:rsidRPr="00322F2F" w:rsidRDefault="00695130" w:rsidP="005A0E81">
      <w:pPr>
        <w:pStyle w:val="ManualNumPar1"/>
        <w:rPr>
          <w:noProof/>
        </w:rPr>
      </w:pPr>
      <w:r w:rsidRPr="00322F2F">
        <w:rPr>
          <w:noProof/>
        </w:rPr>
        <w:t xml:space="preserve">2. </w:t>
      </w:r>
      <w:r w:rsidRPr="00322F2F">
        <w:rPr>
          <w:noProof/>
        </w:rPr>
        <w:tab/>
        <w:t xml:space="preserve">Najvišja raven ulova ne sme preseči ravni iz Priloge IV. </w:t>
      </w:r>
    </w:p>
    <w:p w14:paraId="6E865CE7" w14:textId="77777777" w:rsidR="00695130" w:rsidRPr="00322F2F" w:rsidRDefault="00A9710E" w:rsidP="005A0E81">
      <w:pPr>
        <w:pStyle w:val="ManualNumPar1"/>
        <w:rPr>
          <w:noProof/>
        </w:rPr>
      </w:pPr>
      <w:r w:rsidRPr="00322F2F">
        <w:rPr>
          <w:noProof/>
        </w:rPr>
        <w:t>3.</w:t>
      </w:r>
      <w:r w:rsidRPr="00322F2F">
        <w:rPr>
          <w:noProof/>
        </w:rPr>
        <w:tab/>
        <w:t>V Prilogi IV je določena največja zmogljivost flote ribiških plovil Unije z dovoljenjem za ribolov malih pelagičnih vrst, izražena v kW, bruto tonaži (BT) in številu.</w:t>
      </w:r>
    </w:p>
    <w:p w14:paraId="33A6FA16" w14:textId="77777777" w:rsidR="000669A3" w:rsidRPr="00322F2F" w:rsidRDefault="000669A3" w:rsidP="005A0E81">
      <w:pPr>
        <w:pStyle w:val="ManualNumPar1"/>
        <w:rPr>
          <w:noProof/>
        </w:rPr>
      </w:pPr>
      <w:r w:rsidRPr="00322F2F">
        <w:rPr>
          <w:noProof/>
        </w:rPr>
        <w:t>4.</w:t>
      </w:r>
      <w:r w:rsidRPr="00322F2F">
        <w:rPr>
          <w:noProof/>
        </w:rPr>
        <w:tab/>
        <w:t xml:space="preserve">Člena 3 in 4 Uredbe (ES) št. 847/96 se ne uporabljata, kadar država članica uporabi vsakoletno prilagodljivost, določeno v členu 15(9) Uredbe (EU) št. 1380/2013. </w:t>
      </w:r>
    </w:p>
    <w:p w14:paraId="27D4F4B0" w14:textId="77777777" w:rsidR="000669A3" w:rsidRPr="00322F2F" w:rsidRDefault="000669A3" w:rsidP="00695130">
      <w:pPr>
        <w:rPr>
          <w:noProof/>
        </w:rPr>
      </w:pPr>
    </w:p>
    <w:p w14:paraId="2FBBBD7C" w14:textId="77777777" w:rsidR="00695130" w:rsidRPr="00322F2F" w:rsidRDefault="00D8118C" w:rsidP="00A17F1C">
      <w:pPr>
        <w:pStyle w:val="Titrearticle"/>
        <w:rPr>
          <w:b/>
          <w:noProof/>
        </w:rPr>
      </w:pPr>
      <w:r w:rsidRPr="00322F2F">
        <w:rPr>
          <w:noProof/>
        </w:rPr>
        <w:t xml:space="preserve">Člen 10 </w:t>
      </w:r>
      <w:r w:rsidRPr="00322F2F">
        <w:rPr>
          <w:noProof/>
        </w:rPr>
        <w:br/>
      </w:r>
      <w:r w:rsidRPr="00322F2F">
        <w:rPr>
          <w:b/>
          <w:i w:val="0"/>
          <w:noProof/>
        </w:rPr>
        <w:t>Pridneni staleži</w:t>
      </w:r>
      <w:r w:rsidRPr="00322F2F">
        <w:rPr>
          <w:b/>
          <w:noProof/>
        </w:rPr>
        <w:t xml:space="preserve"> </w:t>
      </w:r>
    </w:p>
    <w:p w14:paraId="506104B4" w14:textId="77777777" w:rsidR="00695130" w:rsidRPr="00322F2F" w:rsidRDefault="00A91347" w:rsidP="00A91347">
      <w:pPr>
        <w:pStyle w:val="ManualNumPar1"/>
        <w:rPr>
          <w:noProof/>
        </w:rPr>
      </w:pPr>
      <w:r w:rsidRPr="00322F2F">
        <w:rPr>
          <w:noProof/>
        </w:rPr>
        <w:t>1.</w:t>
      </w:r>
      <w:r w:rsidRPr="00322F2F">
        <w:rPr>
          <w:noProof/>
        </w:rPr>
        <w:tab/>
        <w:t>Ta člen se uporablja za vse dejavnosti ribiških plovil Unije in druge ribolovne dejavnosti Unije v Jadranskem morju, pri katerih se lovijo oslič (</w:t>
      </w:r>
      <w:r w:rsidRPr="00322F2F">
        <w:rPr>
          <w:i/>
          <w:noProof/>
        </w:rPr>
        <w:t>Merluccius merluccius</w:t>
      </w:r>
      <w:r w:rsidRPr="00322F2F">
        <w:rPr>
          <w:noProof/>
        </w:rPr>
        <w:t>), škamp (</w:t>
      </w:r>
      <w:r w:rsidRPr="00322F2F">
        <w:rPr>
          <w:i/>
          <w:noProof/>
        </w:rPr>
        <w:t>Nephrops norvegicus</w:t>
      </w:r>
      <w:r w:rsidRPr="00322F2F">
        <w:rPr>
          <w:noProof/>
        </w:rPr>
        <w:t>), morski list (</w:t>
      </w:r>
      <w:r w:rsidRPr="00322F2F">
        <w:rPr>
          <w:i/>
          <w:noProof/>
        </w:rPr>
        <w:t>Solea solea</w:t>
      </w:r>
      <w:r w:rsidRPr="00322F2F">
        <w:rPr>
          <w:noProof/>
        </w:rPr>
        <w:t>), dolgoostna rdeča kozica (</w:t>
      </w:r>
      <w:r w:rsidRPr="00322F2F">
        <w:rPr>
          <w:i/>
          <w:noProof/>
        </w:rPr>
        <w:t>Parapenaeus longirostris</w:t>
      </w:r>
      <w:r w:rsidRPr="00322F2F">
        <w:rPr>
          <w:noProof/>
        </w:rPr>
        <w:t>) in bradač (</w:t>
      </w:r>
      <w:r w:rsidRPr="00322F2F">
        <w:rPr>
          <w:i/>
          <w:noProof/>
        </w:rPr>
        <w:t>Mullus barbatus</w:t>
      </w:r>
      <w:r w:rsidRPr="00322F2F">
        <w:rPr>
          <w:noProof/>
        </w:rPr>
        <w:t xml:space="preserve">). </w:t>
      </w:r>
    </w:p>
    <w:p w14:paraId="34FE523F" w14:textId="77777777" w:rsidR="00695130" w:rsidRPr="00322F2F" w:rsidRDefault="00A91347" w:rsidP="00A91347">
      <w:pPr>
        <w:pStyle w:val="ManualNumPar1"/>
        <w:rPr>
          <w:noProof/>
        </w:rPr>
      </w:pPr>
      <w:r w:rsidRPr="00322F2F">
        <w:rPr>
          <w:noProof/>
        </w:rPr>
        <w:t>2.</w:t>
      </w:r>
      <w:r w:rsidRPr="00322F2F">
        <w:rPr>
          <w:noProof/>
        </w:rPr>
        <w:tab/>
        <w:t xml:space="preserve">Največji dovoljeni ribolovni napor za pridnene staleže in največja zmogljivost flote v okviru področja uporabe tega člena sta določena v Prilogi IV.  </w:t>
      </w:r>
    </w:p>
    <w:p w14:paraId="1BA60119" w14:textId="77777777" w:rsidR="00695130" w:rsidRPr="00322F2F" w:rsidRDefault="00A91347" w:rsidP="00A91347">
      <w:pPr>
        <w:pStyle w:val="ManualNumPar1"/>
        <w:rPr>
          <w:noProof/>
        </w:rPr>
      </w:pPr>
      <w:r w:rsidRPr="00322F2F">
        <w:rPr>
          <w:noProof/>
        </w:rPr>
        <w:t>3.</w:t>
      </w:r>
      <w:r w:rsidRPr="00322F2F">
        <w:rPr>
          <w:noProof/>
        </w:rPr>
        <w:tab/>
        <w:t>Država članica lahko svoje dodelitve ribolovnega napora iz Priloge IV spremeni, tako da ribolovne dni z ene skupine ribolovnega napora prenese na drugo skupino napora z istega geografskega območja in/ali istim orodjem, vendar pod pogojem, da uporablja nacionalni faktor pretvorbe, ki je podprt z najboljšim razpoložljivim znanstvenim mnenjem.</w:t>
      </w:r>
    </w:p>
    <w:p w14:paraId="4A84D720" w14:textId="77777777" w:rsidR="00695130" w:rsidRPr="00322F2F" w:rsidRDefault="00A91347" w:rsidP="00A91347">
      <w:pPr>
        <w:pStyle w:val="ManualNumPar1"/>
        <w:rPr>
          <w:noProof/>
        </w:rPr>
      </w:pPr>
      <w:r w:rsidRPr="00322F2F">
        <w:rPr>
          <w:noProof/>
        </w:rPr>
        <w:t>4.</w:t>
      </w:r>
      <w:r w:rsidRPr="00322F2F">
        <w:rPr>
          <w:noProof/>
        </w:rPr>
        <w:tab/>
        <w:t>Države članice največji dovoljeni napor upravljajo v skladu s členi 26 do 35 Uredbe (ES) št. 1224/2009.</w:t>
      </w:r>
    </w:p>
    <w:p w14:paraId="653DC58F" w14:textId="77777777" w:rsidR="00695130" w:rsidRPr="00322F2F" w:rsidRDefault="00D8118C" w:rsidP="00695130">
      <w:pPr>
        <w:pStyle w:val="Titrearticle"/>
        <w:rPr>
          <w:b/>
          <w:i w:val="0"/>
          <w:noProof/>
        </w:rPr>
      </w:pPr>
      <w:r w:rsidRPr="00322F2F">
        <w:rPr>
          <w:noProof/>
        </w:rPr>
        <w:t xml:space="preserve">Člen 11 </w:t>
      </w:r>
      <w:r w:rsidRPr="00322F2F">
        <w:rPr>
          <w:noProof/>
        </w:rPr>
        <w:br/>
      </w:r>
      <w:r w:rsidRPr="00322F2F">
        <w:rPr>
          <w:b/>
          <w:i w:val="0"/>
          <w:noProof/>
        </w:rPr>
        <w:t>Prenos podatkov</w:t>
      </w:r>
    </w:p>
    <w:p w14:paraId="0DD0DE1D" w14:textId="77777777" w:rsidR="00E64D71" w:rsidRPr="00322F2F" w:rsidRDefault="00695130" w:rsidP="005A0E81">
      <w:pPr>
        <w:rPr>
          <w:noProof/>
        </w:rPr>
      </w:pPr>
      <w:r w:rsidRPr="00322F2F">
        <w:rPr>
          <w:noProof/>
        </w:rPr>
        <w:t xml:space="preserve">Kadar države članice na podlagi členov 33 in 34 Uredbe (ES) št. 1224/2009 Komisiji pošljejo podatke v zvezi z iztovarjanjem količin ulovljenih staležev, pri tem uporabijo kode staležev iz Priloge IV. </w:t>
      </w:r>
    </w:p>
    <w:p w14:paraId="20E5A5E0" w14:textId="77777777" w:rsidR="005A0E81" w:rsidRPr="00322F2F" w:rsidRDefault="005A0E81" w:rsidP="005A0E81">
      <w:pPr>
        <w:rPr>
          <w:noProof/>
        </w:rPr>
      </w:pPr>
    </w:p>
    <w:p w14:paraId="251943B7" w14:textId="77777777" w:rsidR="00560626" w:rsidRPr="00322F2F" w:rsidRDefault="00560626" w:rsidP="00560626">
      <w:pPr>
        <w:pStyle w:val="ChapterTitle"/>
        <w:rPr>
          <w:noProof/>
        </w:rPr>
      </w:pPr>
      <w:r w:rsidRPr="00322F2F">
        <w:rPr>
          <w:noProof/>
        </w:rPr>
        <w:t xml:space="preserve">POGLAVJE IV </w:t>
      </w:r>
      <w:r w:rsidRPr="00322F2F">
        <w:rPr>
          <w:noProof/>
        </w:rPr>
        <w:br/>
        <w:t xml:space="preserve">Sicilska ožina </w:t>
      </w:r>
    </w:p>
    <w:p w14:paraId="554785F1" w14:textId="77777777" w:rsidR="000037A3" w:rsidRPr="00322F2F" w:rsidRDefault="00D8118C" w:rsidP="00A17F1C">
      <w:pPr>
        <w:pStyle w:val="Titrearticle"/>
        <w:rPr>
          <w:noProof/>
          <w:szCs w:val="24"/>
        </w:rPr>
      </w:pPr>
      <w:r w:rsidRPr="00322F2F">
        <w:rPr>
          <w:noProof/>
        </w:rPr>
        <w:t xml:space="preserve">Člen 12 </w:t>
      </w:r>
      <w:r w:rsidRPr="00322F2F">
        <w:rPr>
          <w:noProof/>
        </w:rPr>
        <w:br/>
      </w:r>
      <w:r w:rsidRPr="00322F2F">
        <w:rPr>
          <w:b/>
          <w:i w:val="0"/>
          <w:noProof/>
        </w:rPr>
        <w:t>Pridneni staleži</w:t>
      </w:r>
      <w:r w:rsidRPr="00322F2F">
        <w:rPr>
          <w:noProof/>
        </w:rPr>
        <w:t xml:space="preserve"> </w:t>
      </w:r>
    </w:p>
    <w:p w14:paraId="33EA4CD0" w14:textId="77777777" w:rsidR="000037A3" w:rsidRPr="00322F2F" w:rsidRDefault="000037A3" w:rsidP="005A0E81">
      <w:pPr>
        <w:pStyle w:val="ManualNumPar1"/>
        <w:rPr>
          <w:b/>
          <w:noProof/>
        </w:rPr>
      </w:pPr>
      <w:r w:rsidRPr="00322F2F">
        <w:rPr>
          <w:noProof/>
        </w:rPr>
        <w:t>1.</w:t>
      </w:r>
      <w:r w:rsidRPr="00322F2F">
        <w:rPr>
          <w:noProof/>
        </w:rPr>
        <w:tab/>
        <w:t>Ta člen se uporablja za vse dejavnosti ribiških plovil Unije in druge ribolovne dejavnosti Unije v Sicilski ožini, pri katerih se lovita oslič (</w:t>
      </w:r>
      <w:r w:rsidRPr="00322F2F">
        <w:rPr>
          <w:i/>
          <w:noProof/>
        </w:rPr>
        <w:t>Merluccius merluccius</w:t>
      </w:r>
      <w:r w:rsidRPr="00322F2F">
        <w:rPr>
          <w:noProof/>
        </w:rPr>
        <w:t>) in dolgoostna rdeča kozica (</w:t>
      </w:r>
      <w:r w:rsidRPr="00322F2F">
        <w:rPr>
          <w:i/>
          <w:noProof/>
        </w:rPr>
        <w:t>Parapenaeus longirostris</w:t>
      </w:r>
      <w:r w:rsidRPr="00322F2F">
        <w:rPr>
          <w:noProof/>
        </w:rPr>
        <w:t xml:space="preserve">). </w:t>
      </w:r>
    </w:p>
    <w:p w14:paraId="3E918E5F" w14:textId="77777777" w:rsidR="000037A3" w:rsidRPr="00322F2F" w:rsidRDefault="000037A3" w:rsidP="005A0E81">
      <w:pPr>
        <w:pStyle w:val="ManualNumPar1"/>
        <w:rPr>
          <w:b/>
          <w:noProof/>
        </w:rPr>
      </w:pPr>
      <w:r w:rsidRPr="00322F2F">
        <w:rPr>
          <w:noProof/>
        </w:rPr>
        <w:t>2.</w:t>
      </w:r>
      <w:r w:rsidRPr="00322F2F">
        <w:rPr>
          <w:noProof/>
        </w:rPr>
        <w:tab/>
        <w:t xml:space="preserve">Najvišja raven ulova dolgoostne rdeče kozice ne sme preseči ravni iz Priloge V. </w:t>
      </w:r>
    </w:p>
    <w:p w14:paraId="710F9EF0" w14:textId="77777777" w:rsidR="000037A3" w:rsidRPr="00322F2F" w:rsidRDefault="000037A3" w:rsidP="005A0E81">
      <w:pPr>
        <w:pStyle w:val="ManualNumPar1"/>
        <w:rPr>
          <w:b/>
          <w:noProof/>
        </w:rPr>
      </w:pPr>
      <w:r w:rsidRPr="00322F2F">
        <w:rPr>
          <w:noProof/>
        </w:rPr>
        <w:t>3.</w:t>
      </w:r>
      <w:r w:rsidRPr="00322F2F">
        <w:rPr>
          <w:noProof/>
        </w:rPr>
        <w:tab/>
        <w:t xml:space="preserve">V Prilogi V sta določena največji dovoljeni ribolovni napor za osliča in največja zmogljivost flote plovil s pridneno vlečno mrežo z dovoljenjem za ribolov pridnenih staležev v okviru področja uporabe tega člena, izražena v številu plovil, kW in BT. </w:t>
      </w:r>
    </w:p>
    <w:p w14:paraId="7F514183" w14:textId="77777777" w:rsidR="00560626" w:rsidRPr="00322F2F" w:rsidRDefault="000037A3" w:rsidP="005A0E81">
      <w:pPr>
        <w:pStyle w:val="ManualNumPar1"/>
        <w:rPr>
          <w:b/>
          <w:noProof/>
        </w:rPr>
      </w:pPr>
      <w:r w:rsidRPr="00322F2F">
        <w:rPr>
          <w:noProof/>
        </w:rPr>
        <w:t>4.</w:t>
      </w:r>
      <w:r w:rsidRPr="00322F2F">
        <w:rPr>
          <w:noProof/>
        </w:rPr>
        <w:tab/>
        <w:t>Države članice največji dovoljeni ribolovni napor upravljajo v skladu s členi 26 do 35 Uredbe (ES) št. 1224/2009.</w:t>
      </w:r>
    </w:p>
    <w:p w14:paraId="6B4B472F" w14:textId="77777777" w:rsidR="00E9261A" w:rsidRPr="00322F2F" w:rsidRDefault="00E9261A" w:rsidP="005A0E81">
      <w:pPr>
        <w:pStyle w:val="Titrearticle"/>
        <w:spacing w:before="0"/>
        <w:rPr>
          <w:noProof/>
        </w:rPr>
      </w:pPr>
      <w:r w:rsidRPr="00322F2F">
        <w:rPr>
          <w:noProof/>
        </w:rPr>
        <w:t xml:space="preserve">Člen 13 </w:t>
      </w:r>
      <w:r w:rsidRPr="00322F2F">
        <w:rPr>
          <w:noProof/>
        </w:rPr>
        <w:br/>
      </w:r>
      <w:r w:rsidRPr="00322F2F">
        <w:rPr>
          <w:b/>
          <w:i w:val="0"/>
          <w:noProof/>
        </w:rPr>
        <w:t>Globokomorske kozice</w:t>
      </w:r>
    </w:p>
    <w:p w14:paraId="41F6B502" w14:textId="77777777" w:rsidR="00E9261A" w:rsidRPr="00322F2F" w:rsidRDefault="00E9261A" w:rsidP="005A0E81">
      <w:pPr>
        <w:pStyle w:val="ManualNumPar1"/>
        <w:rPr>
          <w:noProof/>
        </w:rPr>
      </w:pPr>
      <w:r w:rsidRPr="00322F2F">
        <w:rPr>
          <w:noProof/>
        </w:rPr>
        <w:t>1.</w:t>
      </w:r>
      <w:r w:rsidRPr="00322F2F">
        <w:rPr>
          <w:noProof/>
        </w:rPr>
        <w:tab/>
        <w:t>Ta člen se uporablja za vse dejavnosti ribiških plovil Unije in druge ribolovne dejavnosti Unije, pri katerih se v Sicilski ožini lovita orjaška rdeča kozica (</w:t>
      </w:r>
      <w:r w:rsidRPr="00322F2F">
        <w:rPr>
          <w:i/>
          <w:noProof/>
        </w:rPr>
        <w:t>Aristaeomorpha foliacea</w:t>
      </w:r>
      <w:r w:rsidRPr="00322F2F">
        <w:rPr>
          <w:noProof/>
        </w:rPr>
        <w:t>) in rdeče-modra kozica (</w:t>
      </w:r>
      <w:r w:rsidRPr="00322F2F">
        <w:rPr>
          <w:i/>
          <w:noProof/>
        </w:rPr>
        <w:t>Aristeus antennatus</w:t>
      </w:r>
      <w:r w:rsidRPr="00322F2F">
        <w:rPr>
          <w:noProof/>
        </w:rPr>
        <w:t xml:space="preserve">). </w:t>
      </w:r>
    </w:p>
    <w:p w14:paraId="308AECF6" w14:textId="77777777" w:rsidR="00E9261A" w:rsidRPr="00322F2F" w:rsidRDefault="00E9261A" w:rsidP="005A0E81">
      <w:pPr>
        <w:pStyle w:val="ManualNumPar1"/>
        <w:rPr>
          <w:noProof/>
        </w:rPr>
      </w:pPr>
      <w:r w:rsidRPr="00322F2F">
        <w:rPr>
          <w:noProof/>
        </w:rPr>
        <w:t>2.</w:t>
      </w:r>
      <w:r w:rsidRPr="00322F2F">
        <w:rPr>
          <w:noProof/>
        </w:rPr>
        <w:tab/>
        <w:t xml:space="preserve"> V Prilogi V je določena največja zmogljivost flote plovil s pridneno vlečno mrežo z dovoljenjem za ribolov pridnenih staležev v okviru področja uporabe tega člena, izražena v številu plovil, kW in BT. </w:t>
      </w:r>
    </w:p>
    <w:p w14:paraId="5CB16E09" w14:textId="77777777" w:rsidR="009C4671" w:rsidRPr="00322F2F" w:rsidRDefault="00E9261A" w:rsidP="005A0E81">
      <w:pPr>
        <w:pStyle w:val="ManualNumPar1"/>
        <w:rPr>
          <w:noProof/>
        </w:rPr>
      </w:pPr>
      <w:r w:rsidRPr="00322F2F">
        <w:rPr>
          <w:noProof/>
        </w:rPr>
        <w:t>3.</w:t>
      </w:r>
      <w:r w:rsidRPr="00322F2F">
        <w:rPr>
          <w:noProof/>
        </w:rPr>
        <w:tab/>
        <w:t>Najvišja raven ulova ne sme preseči ravni iz Priloge V.</w:t>
      </w:r>
    </w:p>
    <w:p w14:paraId="1DD732DA" w14:textId="77777777" w:rsidR="009C4671" w:rsidRPr="00322F2F" w:rsidRDefault="009C4671" w:rsidP="005A0E81">
      <w:pPr>
        <w:pStyle w:val="Titrearticle"/>
        <w:rPr>
          <w:noProof/>
        </w:rPr>
      </w:pPr>
      <w:r w:rsidRPr="00322F2F">
        <w:rPr>
          <w:noProof/>
        </w:rPr>
        <w:t xml:space="preserve">Člen 14 </w:t>
      </w:r>
      <w:r w:rsidRPr="00322F2F">
        <w:rPr>
          <w:noProof/>
        </w:rPr>
        <w:br/>
      </w:r>
      <w:r w:rsidRPr="00322F2F">
        <w:rPr>
          <w:b/>
          <w:i w:val="0"/>
          <w:noProof/>
        </w:rPr>
        <w:t>Prenos podatkov</w:t>
      </w:r>
    </w:p>
    <w:p w14:paraId="63C69808" w14:textId="77777777" w:rsidR="009C4671" w:rsidRPr="00322F2F" w:rsidRDefault="009C4671" w:rsidP="00873436">
      <w:pPr>
        <w:rPr>
          <w:noProof/>
        </w:rPr>
      </w:pPr>
      <w:r w:rsidRPr="00322F2F">
        <w:rPr>
          <w:noProof/>
        </w:rPr>
        <w:t>Kadar države članice na podlagi členov 33 in 34 Uredbe (ES) št. 1224/2009 Komisiji pošljejo podatke o iztovarjanju količin ulovljenih staležev, pri tem uporabijo kode staležev iz Priloge V.</w:t>
      </w:r>
    </w:p>
    <w:p w14:paraId="54C345A5" w14:textId="77777777" w:rsidR="00003687" w:rsidRPr="00322F2F" w:rsidRDefault="00003687" w:rsidP="00B55078">
      <w:pPr>
        <w:rPr>
          <w:noProof/>
        </w:rPr>
      </w:pPr>
    </w:p>
    <w:p w14:paraId="6253A381" w14:textId="77777777" w:rsidR="009C4671" w:rsidRPr="00322F2F" w:rsidRDefault="00560626" w:rsidP="00560626">
      <w:pPr>
        <w:pStyle w:val="ChapterTitle"/>
        <w:rPr>
          <w:noProof/>
        </w:rPr>
      </w:pPr>
      <w:r w:rsidRPr="00322F2F">
        <w:rPr>
          <w:noProof/>
        </w:rPr>
        <w:t>POGLAVJE V</w:t>
      </w:r>
    </w:p>
    <w:p w14:paraId="3DB48087" w14:textId="77777777" w:rsidR="004569F0" w:rsidRPr="00322F2F" w:rsidRDefault="004569F0" w:rsidP="00560626">
      <w:pPr>
        <w:pStyle w:val="ChapterTitle"/>
        <w:rPr>
          <w:noProof/>
        </w:rPr>
      </w:pPr>
      <w:r w:rsidRPr="00322F2F">
        <w:rPr>
          <w:noProof/>
        </w:rPr>
        <w:t xml:space="preserve">Jonsko in Levantsko morje </w:t>
      </w:r>
    </w:p>
    <w:p w14:paraId="50B38DC3" w14:textId="77777777" w:rsidR="004569F0" w:rsidRPr="00322F2F" w:rsidRDefault="004569F0" w:rsidP="00B55078">
      <w:pPr>
        <w:pStyle w:val="Titrearticle"/>
        <w:rPr>
          <w:b/>
          <w:noProof/>
        </w:rPr>
      </w:pPr>
      <w:r w:rsidRPr="00322F2F">
        <w:rPr>
          <w:noProof/>
        </w:rPr>
        <w:t xml:space="preserve">Člen 15  </w:t>
      </w:r>
      <w:r w:rsidRPr="00322F2F">
        <w:rPr>
          <w:noProof/>
        </w:rPr>
        <w:br/>
      </w:r>
      <w:r w:rsidRPr="00322F2F">
        <w:rPr>
          <w:b/>
          <w:i w:val="0"/>
          <w:noProof/>
        </w:rPr>
        <w:t>Globokomorske kozice</w:t>
      </w:r>
    </w:p>
    <w:p w14:paraId="13526010" w14:textId="77777777" w:rsidR="004569F0" w:rsidRPr="00322F2F" w:rsidRDefault="004569F0" w:rsidP="00B55078">
      <w:pPr>
        <w:pStyle w:val="ManualNumPar1"/>
        <w:rPr>
          <w:b/>
          <w:noProof/>
        </w:rPr>
      </w:pPr>
      <w:r w:rsidRPr="00322F2F">
        <w:rPr>
          <w:noProof/>
        </w:rPr>
        <w:t>1.</w:t>
      </w:r>
      <w:r w:rsidRPr="00322F2F">
        <w:rPr>
          <w:noProof/>
        </w:rPr>
        <w:tab/>
        <w:t>Ta člen se uporablja za vse dejavnosti ribiških plovil Unije in druge ribolovne dejavnosti Unije, pri katerih se v Jonskem in Levantskem morju lovita orjaška rdeča kozica (</w:t>
      </w:r>
      <w:r w:rsidRPr="00322F2F">
        <w:rPr>
          <w:i/>
          <w:noProof/>
        </w:rPr>
        <w:t>Aristaeomorpha foliacea</w:t>
      </w:r>
      <w:r w:rsidRPr="00322F2F">
        <w:rPr>
          <w:noProof/>
        </w:rPr>
        <w:t>) in rdeče-modra kozica (</w:t>
      </w:r>
      <w:r w:rsidRPr="00322F2F">
        <w:rPr>
          <w:i/>
          <w:noProof/>
        </w:rPr>
        <w:t>Aristeus antennatus</w:t>
      </w:r>
      <w:r w:rsidRPr="00322F2F">
        <w:rPr>
          <w:noProof/>
        </w:rPr>
        <w:t xml:space="preserve">). </w:t>
      </w:r>
    </w:p>
    <w:p w14:paraId="5A3C00B4" w14:textId="77777777" w:rsidR="004569F0" w:rsidRPr="00322F2F" w:rsidRDefault="004569F0" w:rsidP="00B55078">
      <w:pPr>
        <w:pStyle w:val="ManualNumPar1"/>
        <w:rPr>
          <w:b/>
          <w:noProof/>
        </w:rPr>
      </w:pPr>
      <w:r w:rsidRPr="00322F2F">
        <w:rPr>
          <w:noProof/>
        </w:rPr>
        <w:t>2.</w:t>
      </w:r>
      <w:r w:rsidRPr="00322F2F">
        <w:rPr>
          <w:noProof/>
        </w:rPr>
        <w:tab/>
        <w:t xml:space="preserve">V Prilogi VI je določena največja zmogljivost flote plovil s pridneno vlečno mrežo z dovoljenjem za ribolov pridnenih staležev v okviru področja uporabe tega člena, izražena v številu plovil, kW in BT. </w:t>
      </w:r>
    </w:p>
    <w:p w14:paraId="4AF3F0C0" w14:textId="77777777" w:rsidR="004569F0" w:rsidRPr="00322F2F" w:rsidRDefault="004569F0" w:rsidP="00B55078">
      <w:pPr>
        <w:pStyle w:val="ManualNumPar1"/>
        <w:rPr>
          <w:noProof/>
        </w:rPr>
      </w:pPr>
      <w:r w:rsidRPr="00322F2F">
        <w:rPr>
          <w:noProof/>
        </w:rPr>
        <w:t>3.</w:t>
      </w:r>
      <w:r w:rsidRPr="00322F2F">
        <w:rPr>
          <w:noProof/>
        </w:rPr>
        <w:tab/>
        <w:t xml:space="preserve">Najvišja raven ulova ne sme preseči ravni iz Priloge VI. </w:t>
      </w:r>
    </w:p>
    <w:p w14:paraId="0B67DD28" w14:textId="77777777" w:rsidR="00B55078" w:rsidRPr="00322F2F" w:rsidRDefault="00B55078" w:rsidP="00B55078">
      <w:pPr>
        <w:rPr>
          <w:noProof/>
        </w:rPr>
      </w:pPr>
    </w:p>
    <w:p w14:paraId="2A9BEE1F" w14:textId="77777777" w:rsidR="00C66479" w:rsidRPr="00322F2F" w:rsidRDefault="004569F0" w:rsidP="00560626">
      <w:pPr>
        <w:pStyle w:val="ChapterTitle"/>
        <w:rPr>
          <w:noProof/>
        </w:rPr>
      </w:pPr>
      <w:r w:rsidRPr="00322F2F">
        <w:rPr>
          <w:noProof/>
        </w:rPr>
        <w:t xml:space="preserve">POGLAVJE VI </w:t>
      </w:r>
    </w:p>
    <w:p w14:paraId="3B0AE3A5" w14:textId="77777777" w:rsidR="00C66479" w:rsidRPr="00322F2F" w:rsidRDefault="004569F0" w:rsidP="00560626">
      <w:pPr>
        <w:pStyle w:val="ChapterTitle"/>
        <w:rPr>
          <w:noProof/>
        </w:rPr>
      </w:pPr>
      <w:r w:rsidRPr="00322F2F">
        <w:rPr>
          <w:noProof/>
        </w:rPr>
        <w:t xml:space="preserve">Alboransko morje </w:t>
      </w:r>
    </w:p>
    <w:p w14:paraId="2BCBF640" w14:textId="77777777" w:rsidR="00C66479" w:rsidRPr="00322F2F" w:rsidRDefault="004569F0" w:rsidP="00B55078">
      <w:pPr>
        <w:pStyle w:val="Titrearticle"/>
        <w:rPr>
          <w:b/>
          <w:noProof/>
        </w:rPr>
      </w:pPr>
      <w:r w:rsidRPr="00322F2F">
        <w:rPr>
          <w:noProof/>
        </w:rPr>
        <w:t xml:space="preserve">Člen 16  </w:t>
      </w:r>
      <w:r w:rsidRPr="00322F2F">
        <w:rPr>
          <w:noProof/>
        </w:rPr>
        <w:br/>
      </w:r>
      <w:r w:rsidRPr="00322F2F">
        <w:rPr>
          <w:b/>
          <w:i w:val="0"/>
          <w:noProof/>
        </w:rPr>
        <w:t xml:space="preserve">Okati ribon </w:t>
      </w:r>
    </w:p>
    <w:p w14:paraId="4AB2CFC3" w14:textId="77777777" w:rsidR="00C66479" w:rsidRPr="00322F2F" w:rsidRDefault="004569F0" w:rsidP="00B55078">
      <w:pPr>
        <w:pStyle w:val="ManualNumPar1"/>
        <w:rPr>
          <w:b/>
          <w:noProof/>
        </w:rPr>
      </w:pPr>
      <w:r w:rsidRPr="00322F2F">
        <w:rPr>
          <w:noProof/>
        </w:rPr>
        <w:t>1.</w:t>
      </w:r>
      <w:r w:rsidRPr="00322F2F">
        <w:rPr>
          <w:noProof/>
        </w:rPr>
        <w:tab/>
        <w:t>Ta člen se uporablja za gospodarski in rekreacijski ribolov s parangali in ročnimi ribiškimi vrvicami, pri katerem ribiška plovila Unije v Alboranskem morju lovijo okatega ribona (</w:t>
      </w:r>
      <w:r w:rsidRPr="00322F2F">
        <w:rPr>
          <w:i/>
          <w:noProof/>
        </w:rPr>
        <w:t>Pagellus bogaraveo</w:t>
      </w:r>
      <w:r w:rsidRPr="00322F2F">
        <w:rPr>
          <w:noProof/>
        </w:rPr>
        <w:t>).</w:t>
      </w:r>
    </w:p>
    <w:p w14:paraId="48D955DD" w14:textId="77777777" w:rsidR="00C66479" w:rsidRPr="00322F2F" w:rsidRDefault="004569F0" w:rsidP="00B55078">
      <w:pPr>
        <w:pStyle w:val="ManualNumPar1"/>
        <w:rPr>
          <w:b/>
          <w:noProof/>
        </w:rPr>
      </w:pPr>
      <w:r w:rsidRPr="00322F2F">
        <w:rPr>
          <w:noProof/>
        </w:rPr>
        <w:t>2.</w:t>
      </w:r>
      <w:r w:rsidRPr="00322F2F">
        <w:rPr>
          <w:noProof/>
        </w:rPr>
        <w:tab/>
        <w:t xml:space="preserve">Najvišja raven ulova ne sme preseči ravni iz Priloge VII. </w:t>
      </w:r>
    </w:p>
    <w:p w14:paraId="54BFD9F3" w14:textId="77777777" w:rsidR="00AA1CB8" w:rsidRPr="00322F2F" w:rsidRDefault="004569F0" w:rsidP="00B55078">
      <w:pPr>
        <w:pStyle w:val="ManualNumPar1"/>
        <w:rPr>
          <w:noProof/>
        </w:rPr>
      </w:pPr>
      <w:r w:rsidRPr="00322F2F">
        <w:rPr>
          <w:noProof/>
        </w:rPr>
        <w:t>3.</w:t>
      </w:r>
      <w:r w:rsidRPr="00322F2F">
        <w:rPr>
          <w:noProof/>
        </w:rPr>
        <w:tab/>
        <w:t>V Prilogi VII je določeno največje število parangalov in ročnih ribiških vrvic z dovoljenjem za ribolov okatega ribona.</w:t>
      </w:r>
    </w:p>
    <w:p w14:paraId="5F1910DF" w14:textId="77777777" w:rsidR="00A17F1C" w:rsidRPr="00322F2F" w:rsidRDefault="004569F0" w:rsidP="00B55078">
      <w:pPr>
        <w:pStyle w:val="ManualNumPar1"/>
        <w:rPr>
          <w:noProof/>
        </w:rPr>
      </w:pPr>
      <w:r w:rsidRPr="00322F2F">
        <w:rPr>
          <w:noProof/>
        </w:rPr>
        <w:t>4.</w:t>
      </w:r>
      <w:r w:rsidRPr="00322F2F">
        <w:rPr>
          <w:noProof/>
        </w:rPr>
        <w:tab/>
        <w:t>Pri dejavnostih rekreacijskega ribolova je ulov omejen na eno ribo na ribiča na dan. Za rekreacijski ribolov v Alboranskem morju se za okatega ribona (</w:t>
      </w:r>
      <w:r w:rsidRPr="00322F2F">
        <w:rPr>
          <w:i/>
          <w:noProof/>
        </w:rPr>
        <w:t>Pagellus bogaraveo</w:t>
      </w:r>
      <w:r w:rsidRPr="00322F2F">
        <w:rPr>
          <w:noProof/>
        </w:rPr>
        <w:t>) uporablja najmanjša referenčna velikost ohranjanja 40 cm. Rekreacijski ribolov te vrste je prepovedan v obdobju prepovedi gospodarskega ribolova, določene na nacionalni ravni.</w:t>
      </w:r>
    </w:p>
    <w:p w14:paraId="5FA933CB" w14:textId="77777777" w:rsidR="00003687" w:rsidRPr="00322F2F" w:rsidRDefault="00003687" w:rsidP="00B55078">
      <w:pPr>
        <w:rPr>
          <w:noProof/>
        </w:rPr>
      </w:pPr>
    </w:p>
    <w:p w14:paraId="7934EB74" w14:textId="77777777" w:rsidR="00560626" w:rsidRPr="00322F2F" w:rsidRDefault="00560626" w:rsidP="00560626">
      <w:pPr>
        <w:pStyle w:val="ChapterTitle"/>
        <w:rPr>
          <w:noProof/>
        </w:rPr>
      </w:pPr>
      <w:r w:rsidRPr="00322F2F">
        <w:rPr>
          <w:noProof/>
        </w:rPr>
        <w:t xml:space="preserve">POGLAVJE VII </w:t>
      </w:r>
      <w:r w:rsidRPr="00322F2F">
        <w:rPr>
          <w:noProof/>
        </w:rPr>
        <w:br/>
        <w:t>Črno morje</w:t>
      </w:r>
    </w:p>
    <w:p w14:paraId="7E39B2E1" w14:textId="77777777" w:rsidR="00560626" w:rsidRPr="00322F2F" w:rsidRDefault="00D8118C" w:rsidP="00560626">
      <w:pPr>
        <w:pStyle w:val="Titrearticle"/>
        <w:rPr>
          <w:b/>
          <w:i w:val="0"/>
          <w:noProof/>
        </w:rPr>
      </w:pPr>
      <w:r w:rsidRPr="00322F2F">
        <w:rPr>
          <w:noProof/>
        </w:rPr>
        <w:t xml:space="preserve">Člen 17 </w:t>
      </w:r>
      <w:r w:rsidRPr="00322F2F">
        <w:rPr>
          <w:noProof/>
        </w:rPr>
        <w:br/>
      </w:r>
      <w:r w:rsidRPr="00322F2F">
        <w:rPr>
          <w:b/>
          <w:i w:val="0"/>
          <w:noProof/>
        </w:rPr>
        <w:t>Dodelitev ribolovnih možnosti za papalino</w:t>
      </w:r>
      <w:r w:rsidRPr="00322F2F">
        <w:rPr>
          <w:noProof/>
        </w:rPr>
        <w:t xml:space="preserve"> </w:t>
      </w:r>
      <w:r w:rsidRPr="00322F2F">
        <w:rPr>
          <w:noProof/>
        </w:rPr>
        <w:br/>
      </w:r>
    </w:p>
    <w:p w14:paraId="069057C1" w14:textId="77777777" w:rsidR="00560626" w:rsidRPr="00322F2F" w:rsidRDefault="00A91347" w:rsidP="00A91347">
      <w:pPr>
        <w:pStyle w:val="ManualNumPar1"/>
        <w:rPr>
          <w:noProof/>
        </w:rPr>
      </w:pPr>
      <w:r w:rsidRPr="00322F2F">
        <w:rPr>
          <w:noProof/>
        </w:rPr>
        <w:t>1.</w:t>
      </w:r>
      <w:r w:rsidRPr="00322F2F">
        <w:rPr>
          <w:noProof/>
        </w:rPr>
        <w:tab/>
        <w:t>Ta člen se uporablja za vse dejavnosti ribiških plovil Unije in druge ribolovne dejavnosti Unije v Črnem morju, pri katerih se lovi papalina (</w:t>
      </w:r>
      <w:r w:rsidRPr="00322F2F">
        <w:rPr>
          <w:i/>
          <w:noProof/>
        </w:rPr>
        <w:t>Sprattus sprattus</w:t>
      </w:r>
      <w:r w:rsidRPr="00322F2F">
        <w:rPr>
          <w:noProof/>
        </w:rPr>
        <w:t>).</w:t>
      </w:r>
    </w:p>
    <w:p w14:paraId="6A833DE2" w14:textId="77777777" w:rsidR="00141D7B" w:rsidRPr="00322F2F" w:rsidRDefault="00A91347" w:rsidP="00141D7B">
      <w:pPr>
        <w:pStyle w:val="ManualNumPar1"/>
        <w:rPr>
          <w:noProof/>
        </w:rPr>
      </w:pPr>
      <w:r w:rsidRPr="00322F2F">
        <w:rPr>
          <w:noProof/>
        </w:rPr>
        <w:t>2.</w:t>
      </w:r>
      <w:r w:rsidRPr="00322F2F">
        <w:rPr>
          <w:noProof/>
        </w:rPr>
        <w:tab/>
        <w:t>Avtonomna kvota Unije za papalino, dodeljevanje te kvote državam članicam in po potrebi pogoji, ki so s tem funkcionalno povezani, so določeni v Prilogi VIII.</w:t>
      </w:r>
    </w:p>
    <w:p w14:paraId="47E9FED6" w14:textId="77777777" w:rsidR="00141D7B" w:rsidRPr="00322F2F" w:rsidRDefault="00141D7B" w:rsidP="00141D7B">
      <w:pPr>
        <w:pStyle w:val="ManualNumPar1"/>
        <w:rPr>
          <w:noProof/>
        </w:rPr>
      </w:pPr>
      <w:r w:rsidRPr="00322F2F">
        <w:rPr>
          <w:noProof/>
        </w:rPr>
        <w:t>3.</w:t>
      </w:r>
      <w:r w:rsidRPr="00322F2F">
        <w:rPr>
          <w:noProof/>
        </w:rPr>
        <w:tab/>
        <w:t xml:space="preserve">Člena 3 in 4 Uredbe (ES) št. 847/96 se ne uporabljata, kadar država članica uporabi vsakoletno prilagodljivost, določeno v členu 15(9) Uredbe (EU) št. 1380/2013. </w:t>
      </w:r>
    </w:p>
    <w:p w14:paraId="76E23B9E" w14:textId="77777777" w:rsidR="00560626" w:rsidRPr="00322F2F" w:rsidRDefault="00D8118C" w:rsidP="00560626">
      <w:pPr>
        <w:pStyle w:val="Titrearticle"/>
        <w:rPr>
          <w:b/>
          <w:i w:val="0"/>
          <w:noProof/>
        </w:rPr>
      </w:pPr>
      <w:r w:rsidRPr="00322F2F">
        <w:rPr>
          <w:noProof/>
        </w:rPr>
        <w:t xml:space="preserve">Člen 18 </w:t>
      </w:r>
      <w:r w:rsidRPr="00322F2F">
        <w:rPr>
          <w:noProof/>
        </w:rPr>
        <w:br/>
      </w:r>
      <w:r w:rsidRPr="00322F2F">
        <w:rPr>
          <w:b/>
          <w:i w:val="0"/>
          <w:noProof/>
        </w:rPr>
        <w:t xml:space="preserve">Dodelitev ribolovnih možnosti za romba </w:t>
      </w:r>
    </w:p>
    <w:p w14:paraId="60162178" w14:textId="77777777" w:rsidR="00560626" w:rsidRPr="00322F2F" w:rsidRDefault="00A91347" w:rsidP="00A91347">
      <w:pPr>
        <w:pStyle w:val="ManualNumPar1"/>
        <w:rPr>
          <w:noProof/>
        </w:rPr>
      </w:pPr>
      <w:r w:rsidRPr="00322F2F">
        <w:rPr>
          <w:noProof/>
        </w:rPr>
        <w:t>1.</w:t>
      </w:r>
      <w:r w:rsidRPr="00322F2F">
        <w:rPr>
          <w:noProof/>
        </w:rPr>
        <w:tab/>
        <w:t>Ta člen se uporablja za vse dejavnosti ribiških plovil Unije in druge ribolovne dejavnosti Unije v Črnem morju, pri katerih se lovi romb (</w:t>
      </w:r>
      <w:r w:rsidRPr="00322F2F">
        <w:rPr>
          <w:i/>
          <w:noProof/>
        </w:rPr>
        <w:t>Scophthalmus maximus</w:t>
      </w:r>
      <w:r w:rsidRPr="00322F2F">
        <w:rPr>
          <w:noProof/>
        </w:rPr>
        <w:t>).</w:t>
      </w:r>
    </w:p>
    <w:p w14:paraId="4C0EE936" w14:textId="77777777" w:rsidR="00141D7B" w:rsidRPr="00322F2F" w:rsidRDefault="00A91347" w:rsidP="00141D7B">
      <w:pPr>
        <w:pStyle w:val="ManualNumPar1"/>
        <w:rPr>
          <w:noProof/>
        </w:rPr>
      </w:pPr>
      <w:r w:rsidRPr="00322F2F">
        <w:rPr>
          <w:noProof/>
        </w:rPr>
        <w:t>2.</w:t>
      </w:r>
      <w:r w:rsidRPr="00322F2F">
        <w:rPr>
          <w:noProof/>
        </w:rPr>
        <w:tab/>
        <w:t>TAC za romba, ki se uporablja v vodah Unije v Črnem morju, dodeljevanje teh TAC državam članicam in po potrebi pogoji, ki so s tem funkcionalno povezani, so določeni v Prilogi VIII.</w:t>
      </w:r>
    </w:p>
    <w:p w14:paraId="731596AE" w14:textId="77777777" w:rsidR="00141D7B" w:rsidRPr="00322F2F" w:rsidRDefault="00141D7B" w:rsidP="00141D7B">
      <w:pPr>
        <w:pStyle w:val="ManualNumPar1"/>
        <w:rPr>
          <w:noProof/>
        </w:rPr>
      </w:pPr>
      <w:r w:rsidRPr="00322F2F">
        <w:rPr>
          <w:noProof/>
        </w:rPr>
        <w:t>3.</w:t>
      </w:r>
      <w:r w:rsidRPr="00322F2F">
        <w:rPr>
          <w:noProof/>
        </w:rPr>
        <w:tab/>
        <w:t xml:space="preserve">Člena 3 in 4 Uredbe (ES) št. 847/96 se ne uporabljata, kadar država članica uporabi vsakoletno prilagodljivost, določeno v členu 15(9) Uredbe (EU) št. 1380/2013. </w:t>
      </w:r>
    </w:p>
    <w:p w14:paraId="1E4277CA" w14:textId="77777777" w:rsidR="00560626" w:rsidRPr="00322F2F" w:rsidRDefault="00D8118C" w:rsidP="00560626">
      <w:pPr>
        <w:pStyle w:val="Titrearticle"/>
        <w:rPr>
          <w:b/>
          <w:i w:val="0"/>
          <w:noProof/>
        </w:rPr>
      </w:pPr>
      <w:r w:rsidRPr="00322F2F">
        <w:rPr>
          <w:noProof/>
        </w:rPr>
        <w:t xml:space="preserve">Člen 19 </w:t>
      </w:r>
      <w:r w:rsidRPr="00322F2F">
        <w:rPr>
          <w:noProof/>
        </w:rPr>
        <w:br/>
      </w:r>
      <w:r w:rsidRPr="00322F2F">
        <w:rPr>
          <w:b/>
          <w:i w:val="0"/>
          <w:noProof/>
        </w:rPr>
        <w:t>Upravljanje ribolovnega napora za romba</w:t>
      </w:r>
    </w:p>
    <w:p w14:paraId="76FA4D7B" w14:textId="77777777" w:rsidR="00560626" w:rsidRPr="00322F2F" w:rsidRDefault="00560626" w:rsidP="00B55078">
      <w:pPr>
        <w:rPr>
          <w:noProof/>
        </w:rPr>
      </w:pPr>
      <w:r w:rsidRPr="00322F2F">
        <w:rPr>
          <w:noProof/>
        </w:rPr>
        <w:t>Ribiška plovila Unije, ki imajo dovoljenje za ribolov romba v okviru področja uporabe člena 19, ne presegajo 180 ribolovnih dni na leto, ne glede na skupno dolžino teh plovil.</w:t>
      </w:r>
    </w:p>
    <w:p w14:paraId="7B7B645C" w14:textId="77777777" w:rsidR="00560626" w:rsidRPr="00322F2F" w:rsidRDefault="00D8118C" w:rsidP="00560626">
      <w:pPr>
        <w:pStyle w:val="Titrearticle"/>
        <w:rPr>
          <w:b/>
          <w:i w:val="0"/>
          <w:noProof/>
        </w:rPr>
      </w:pPr>
      <w:r w:rsidRPr="00322F2F">
        <w:rPr>
          <w:noProof/>
        </w:rPr>
        <w:t xml:space="preserve">Člen 20 </w:t>
      </w:r>
      <w:r w:rsidRPr="00322F2F">
        <w:rPr>
          <w:noProof/>
        </w:rPr>
        <w:br/>
      </w:r>
      <w:r w:rsidRPr="00322F2F">
        <w:rPr>
          <w:b/>
          <w:i w:val="0"/>
          <w:noProof/>
        </w:rPr>
        <w:t>Prepoved ribolova romba</w:t>
      </w:r>
    </w:p>
    <w:p w14:paraId="47C62737" w14:textId="77777777" w:rsidR="00560626" w:rsidRPr="00322F2F" w:rsidRDefault="00560626" w:rsidP="00B55078">
      <w:pPr>
        <w:rPr>
          <w:noProof/>
        </w:rPr>
      </w:pPr>
      <w:r w:rsidRPr="00322F2F">
        <w:rPr>
          <w:noProof/>
        </w:rPr>
        <w:t>Ribiškim plovilom Unije je prepovedano izvajati kakršne koli ribolovne dejavnosti, vključno s pretovarjanjem, zadrževanjem na krovu, iztovarjanjem in prvo prodajo romba, v vodah Unije v Črnem morju od 15. aprila do 15. junija.</w:t>
      </w:r>
    </w:p>
    <w:p w14:paraId="17DB4452" w14:textId="77777777" w:rsidR="00560626" w:rsidRPr="00322F2F" w:rsidRDefault="00560626" w:rsidP="00B55078">
      <w:pPr>
        <w:pStyle w:val="Titrearticle"/>
        <w:rPr>
          <w:noProof/>
        </w:rPr>
      </w:pPr>
      <w:r w:rsidRPr="00322F2F">
        <w:rPr>
          <w:noProof/>
        </w:rPr>
        <w:t xml:space="preserve">Člen 21 </w:t>
      </w:r>
      <w:r w:rsidRPr="00322F2F">
        <w:rPr>
          <w:noProof/>
        </w:rPr>
        <w:br/>
      </w:r>
      <w:r w:rsidRPr="00322F2F">
        <w:rPr>
          <w:b/>
          <w:i w:val="0"/>
          <w:noProof/>
        </w:rPr>
        <w:t>Posebne določbe o dodelitvah ribolovnih možnosti v Črnem morju</w:t>
      </w:r>
    </w:p>
    <w:p w14:paraId="51D8C160" w14:textId="77777777" w:rsidR="00560626" w:rsidRPr="00322F2F" w:rsidRDefault="00560626" w:rsidP="00B55078">
      <w:pPr>
        <w:rPr>
          <w:noProof/>
        </w:rPr>
      </w:pPr>
      <w:r w:rsidRPr="00322F2F">
        <w:rPr>
          <w:noProof/>
        </w:rPr>
        <w:t>Dodelitev ribolovnih možnosti državam članicam, kot je določena v členih 18 in 19 te uredbe, ne posega v:</w:t>
      </w:r>
    </w:p>
    <w:p w14:paraId="037F5393" w14:textId="69E77C55" w:rsidR="00560626" w:rsidRPr="00322F2F" w:rsidRDefault="005535CC" w:rsidP="005535CC">
      <w:pPr>
        <w:pStyle w:val="Point0"/>
        <w:rPr>
          <w:noProof/>
        </w:rPr>
      </w:pPr>
      <w:r w:rsidRPr="005535CC">
        <w:t>(a)</w:t>
      </w:r>
      <w:r w:rsidRPr="005535CC">
        <w:tab/>
      </w:r>
      <w:r w:rsidR="00560626" w:rsidRPr="00322F2F">
        <w:rPr>
          <w:noProof/>
        </w:rPr>
        <w:t xml:space="preserve">izmenjave v skladu s členom 16(8) Uredbe (EU) št. 1380/2013; </w:t>
      </w:r>
    </w:p>
    <w:p w14:paraId="46B5DDC2" w14:textId="5D2EDD2A" w:rsidR="00560626" w:rsidRPr="00322F2F" w:rsidRDefault="005535CC" w:rsidP="005535CC">
      <w:pPr>
        <w:pStyle w:val="Point0"/>
        <w:rPr>
          <w:noProof/>
        </w:rPr>
      </w:pPr>
      <w:r w:rsidRPr="005535CC">
        <w:t>(b)</w:t>
      </w:r>
      <w:r w:rsidRPr="005535CC">
        <w:tab/>
      </w:r>
      <w:r w:rsidR="00560626" w:rsidRPr="00322F2F">
        <w:rPr>
          <w:noProof/>
        </w:rPr>
        <w:t xml:space="preserve">odbitke in ponovne dodelitve v skladu s členom 37 Uredbe (ES) št. 1224/2009 </w:t>
      </w:r>
    </w:p>
    <w:p w14:paraId="4A092D86" w14:textId="0E5B3C8E" w:rsidR="00560626" w:rsidRPr="00322F2F" w:rsidRDefault="005535CC" w:rsidP="005535CC">
      <w:pPr>
        <w:pStyle w:val="Point0"/>
        <w:rPr>
          <w:noProof/>
        </w:rPr>
      </w:pPr>
      <w:r w:rsidRPr="005535CC">
        <w:t>(c)</w:t>
      </w:r>
      <w:r w:rsidRPr="005535CC">
        <w:tab/>
      </w:r>
      <w:r w:rsidR="00560626" w:rsidRPr="00322F2F">
        <w:rPr>
          <w:noProof/>
        </w:rPr>
        <w:t xml:space="preserve">odbitke, izvedene v skladu s členoma 105 in 107 Uredbe (ES) št. 1224/2009. </w:t>
      </w:r>
    </w:p>
    <w:p w14:paraId="5D24438C" w14:textId="77777777" w:rsidR="00560626" w:rsidRPr="00322F2F" w:rsidRDefault="00D8118C" w:rsidP="00560626">
      <w:pPr>
        <w:pStyle w:val="Titrearticle"/>
        <w:rPr>
          <w:b/>
          <w:i w:val="0"/>
          <w:noProof/>
        </w:rPr>
      </w:pPr>
      <w:r w:rsidRPr="00322F2F">
        <w:rPr>
          <w:noProof/>
        </w:rPr>
        <w:t xml:space="preserve">Člen 22 </w:t>
      </w:r>
      <w:r w:rsidRPr="00322F2F">
        <w:rPr>
          <w:noProof/>
        </w:rPr>
        <w:br/>
      </w:r>
      <w:r w:rsidRPr="00322F2F">
        <w:rPr>
          <w:b/>
          <w:i w:val="0"/>
          <w:noProof/>
        </w:rPr>
        <w:t>Prenos podatkov</w:t>
      </w:r>
    </w:p>
    <w:p w14:paraId="534031D7" w14:textId="77777777" w:rsidR="00560626" w:rsidRPr="00322F2F" w:rsidRDefault="00560626" w:rsidP="00560626">
      <w:pPr>
        <w:rPr>
          <w:noProof/>
        </w:rPr>
      </w:pPr>
      <w:r w:rsidRPr="00322F2F">
        <w:rPr>
          <w:noProof/>
        </w:rPr>
        <w:t xml:space="preserve">Kadar države članice na podlagi členov 33 in 34 Uredbe (ES) št. 1224/2009 Komisiji pošljejo podatke v zvezi z iztovarjanjem količin staležev papaline in romba, ulovljenih v vodah Unije v Črnem morju, pri tem uporabijo kode staležev iz Priloge VIII. </w:t>
      </w:r>
    </w:p>
    <w:p w14:paraId="60C4F918" w14:textId="77777777" w:rsidR="00B55078" w:rsidRPr="00322F2F" w:rsidRDefault="00B55078" w:rsidP="00560626">
      <w:pPr>
        <w:rPr>
          <w:noProof/>
        </w:rPr>
      </w:pPr>
    </w:p>
    <w:p w14:paraId="7F94EE73" w14:textId="77777777" w:rsidR="00560626" w:rsidRPr="00322F2F" w:rsidRDefault="00560626" w:rsidP="00A17F1C">
      <w:pPr>
        <w:pStyle w:val="ChapterTitle"/>
        <w:rPr>
          <w:noProof/>
        </w:rPr>
      </w:pPr>
      <w:r w:rsidRPr="00322F2F">
        <w:rPr>
          <w:noProof/>
        </w:rPr>
        <w:t xml:space="preserve">NASLOV III </w:t>
      </w:r>
      <w:r w:rsidRPr="00322F2F">
        <w:rPr>
          <w:noProof/>
        </w:rPr>
        <w:br/>
        <w:t>KONČNE DOLOČBE</w:t>
      </w:r>
    </w:p>
    <w:p w14:paraId="0F8C9EBA" w14:textId="77777777" w:rsidR="00560626" w:rsidRPr="00322F2F" w:rsidRDefault="00D8118C" w:rsidP="00560626">
      <w:pPr>
        <w:pStyle w:val="Titrearticle"/>
        <w:rPr>
          <w:b/>
          <w:i w:val="0"/>
          <w:noProof/>
        </w:rPr>
      </w:pPr>
      <w:r w:rsidRPr="00322F2F">
        <w:rPr>
          <w:noProof/>
        </w:rPr>
        <w:t xml:space="preserve">Člen 23 </w:t>
      </w:r>
      <w:r w:rsidRPr="00322F2F">
        <w:rPr>
          <w:noProof/>
        </w:rPr>
        <w:br/>
      </w:r>
      <w:r w:rsidRPr="00322F2F">
        <w:rPr>
          <w:b/>
          <w:i w:val="0"/>
          <w:noProof/>
        </w:rPr>
        <w:t>Začetek veljavnosti in uporaba</w:t>
      </w:r>
    </w:p>
    <w:p w14:paraId="20B1FD3F" w14:textId="77777777" w:rsidR="00560626" w:rsidRPr="00322F2F" w:rsidRDefault="00560626" w:rsidP="00560626">
      <w:pPr>
        <w:rPr>
          <w:noProof/>
        </w:rPr>
      </w:pPr>
      <w:r w:rsidRPr="00322F2F">
        <w:rPr>
          <w:noProof/>
        </w:rPr>
        <w:t>Ta uredba začne veljati dan po objavi v </w:t>
      </w:r>
      <w:r w:rsidRPr="00322F2F">
        <w:rPr>
          <w:i/>
          <w:noProof/>
        </w:rPr>
        <w:t>Uradnem listu Evropske unije</w:t>
      </w:r>
      <w:r w:rsidRPr="00322F2F">
        <w:rPr>
          <w:noProof/>
        </w:rPr>
        <w:t>.</w:t>
      </w:r>
    </w:p>
    <w:p w14:paraId="674D0BC9" w14:textId="77777777" w:rsidR="00560626" w:rsidRPr="00322F2F" w:rsidRDefault="00560626" w:rsidP="00560626">
      <w:pPr>
        <w:rPr>
          <w:i/>
          <w:iCs/>
          <w:noProof/>
        </w:rPr>
      </w:pPr>
      <w:r w:rsidRPr="00322F2F">
        <w:rPr>
          <w:noProof/>
        </w:rPr>
        <w:t>Uporablja se od 1. januarja 2024 do 31. decembra 2024.</w:t>
      </w:r>
    </w:p>
    <w:p w14:paraId="11CA1D2D" w14:textId="77777777" w:rsidR="00560626" w:rsidRPr="00322F2F" w:rsidRDefault="00560626" w:rsidP="00560626">
      <w:pPr>
        <w:pStyle w:val="Applicationdirecte"/>
        <w:rPr>
          <w:noProof/>
        </w:rPr>
      </w:pPr>
      <w:r w:rsidRPr="00322F2F">
        <w:rPr>
          <w:noProof/>
        </w:rPr>
        <w:t>Ta uredba je v celoti zavezujoča in se neposredno uporablja v vseh državah članicah.</w:t>
      </w:r>
    </w:p>
    <w:p w14:paraId="11CE0431" w14:textId="4BF8A3DF" w:rsidR="00560626" w:rsidRPr="00322F2F" w:rsidRDefault="001C244B" w:rsidP="000F2BFB">
      <w:pPr>
        <w:pStyle w:val="Fait"/>
        <w:rPr>
          <w:noProof/>
        </w:rPr>
      </w:pPr>
      <w:r w:rsidRPr="001C244B">
        <w:t>V Bruslju,</w:t>
      </w:r>
    </w:p>
    <w:p w14:paraId="27839229" w14:textId="77777777" w:rsidR="00B858D4" w:rsidRPr="00322F2F" w:rsidRDefault="00560626" w:rsidP="000F2BFB">
      <w:pPr>
        <w:pStyle w:val="Institutionquisigne"/>
        <w:rPr>
          <w:noProof/>
        </w:rPr>
      </w:pPr>
      <w:r w:rsidRPr="00322F2F">
        <w:rPr>
          <w:noProof/>
        </w:rPr>
        <w:tab/>
      </w:r>
      <w:r w:rsidRPr="00322F2F">
        <w:rPr>
          <w:noProof/>
        </w:rPr>
        <w:tab/>
        <w:t>Za Svet</w:t>
      </w:r>
    </w:p>
    <w:p w14:paraId="7D8AF7DF" w14:textId="77777777" w:rsidR="00B858D4" w:rsidRPr="00322F2F" w:rsidRDefault="00B858D4" w:rsidP="00B858D4">
      <w:pPr>
        <w:pStyle w:val="Personnequisigne"/>
        <w:rPr>
          <w:noProof/>
        </w:rPr>
      </w:pPr>
      <w:r w:rsidRPr="00322F2F">
        <w:rPr>
          <w:noProof/>
        </w:rPr>
        <w:tab/>
        <w:t>predsednik</w:t>
      </w:r>
    </w:p>
    <w:sectPr w:rsidR="00B858D4" w:rsidRPr="00322F2F" w:rsidSect="00BB4793">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096D" w14:textId="77777777" w:rsidR="003A37C6" w:rsidRDefault="003A37C6" w:rsidP="00B858D4">
      <w:pPr>
        <w:spacing w:before="0" w:after="0"/>
      </w:pPr>
      <w:r>
        <w:separator/>
      </w:r>
    </w:p>
  </w:endnote>
  <w:endnote w:type="continuationSeparator" w:id="0">
    <w:p w14:paraId="193358EA" w14:textId="77777777" w:rsidR="003A37C6" w:rsidRDefault="003A37C6" w:rsidP="00B858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0212" w14:textId="77777777" w:rsidR="00065C9D" w:rsidRDefault="00065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9C178D" w:rsidRPr="00D94637" w14:paraId="49184435" w14:textId="77777777" w:rsidTr="009C178D">
      <w:trPr>
        <w:jc w:val="center"/>
      </w:trPr>
      <w:tc>
        <w:tcPr>
          <w:tcW w:w="5000" w:type="pct"/>
          <w:gridSpan w:val="7"/>
          <w:shd w:val="clear" w:color="auto" w:fill="auto"/>
          <w:tcMar>
            <w:top w:w="57" w:type="dxa"/>
          </w:tcMar>
        </w:tcPr>
        <w:p w14:paraId="232E7A58" w14:textId="77777777" w:rsidR="009C178D" w:rsidRPr="00D94637" w:rsidRDefault="009C178D" w:rsidP="00D94637">
          <w:pPr>
            <w:pStyle w:val="FooterText"/>
            <w:pBdr>
              <w:top w:val="single" w:sz="4" w:space="1" w:color="auto"/>
            </w:pBdr>
            <w:spacing w:before="200"/>
            <w:rPr>
              <w:sz w:val="2"/>
              <w:szCs w:val="2"/>
            </w:rPr>
          </w:pPr>
          <w:bookmarkStart w:id="1" w:name="FOOTER_STANDARD"/>
        </w:p>
      </w:tc>
    </w:tr>
    <w:tr w:rsidR="009C178D" w:rsidRPr="00B310DC" w14:paraId="4C32A41D" w14:textId="77777777" w:rsidTr="009C178D">
      <w:trPr>
        <w:jc w:val="center"/>
      </w:trPr>
      <w:tc>
        <w:tcPr>
          <w:tcW w:w="2500" w:type="pct"/>
          <w:gridSpan w:val="2"/>
          <w:shd w:val="clear" w:color="auto" w:fill="auto"/>
          <w:tcMar>
            <w:top w:w="0" w:type="dxa"/>
          </w:tcMar>
        </w:tcPr>
        <w:p w14:paraId="42FD6E9C" w14:textId="4112DCBC" w:rsidR="009C178D" w:rsidRPr="00AD7BF2" w:rsidRDefault="009C178D" w:rsidP="004F54B2">
          <w:pPr>
            <w:pStyle w:val="FooterText"/>
          </w:pPr>
          <w:r>
            <w:t>13860/23</w:t>
          </w:r>
          <w:r w:rsidRPr="002511D8">
            <w:t xml:space="preserve"> </w:t>
          </w:r>
        </w:p>
      </w:tc>
      <w:tc>
        <w:tcPr>
          <w:tcW w:w="625" w:type="pct"/>
          <w:shd w:val="clear" w:color="auto" w:fill="auto"/>
          <w:tcMar>
            <w:top w:w="0" w:type="dxa"/>
          </w:tcMar>
        </w:tcPr>
        <w:p w14:paraId="0F8929D8" w14:textId="77777777" w:rsidR="009C178D" w:rsidRPr="00AD7BF2" w:rsidRDefault="009C178D" w:rsidP="00D94637">
          <w:pPr>
            <w:pStyle w:val="FooterText"/>
            <w:jc w:val="center"/>
          </w:pPr>
        </w:p>
      </w:tc>
      <w:tc>
        <w:tcPr>
          <w:tcW w:w="1286" w:type="pct"/>
          <w:gridSpan w:val="3"/>
          <w:shd w:val="clear" w:color="auto" w:fill="auto"/>
          <w:tcMar>
            <w:top w:w="0" w:type="dxa"/>
          </w:tcMar>
        </w:tcPr>
        <w:p w14:paraId="1C170EC6" w14:textId="567DBB3F" w:rsidR="009C178D" w:rsidRPr="002511D8" w:rsidRDefault="009C178D" w:rsidP="00D94637">
          <w:pPr>
            <w:pStyle w:val="FooterText"/>
            <w:jc w:val="center"/>
          </w:pPr>
          <w:r>
            <w:t>nr</w:t>
          </w:r>
        </w:p>
      </w:tc>
      <w:tc>
        <w:tcPr>
          <w:tcW w:w="589" w:type="pct"/>
          <w:shd w:val="clear" w:color="auto" w:fill="auto"/>
          <w:tcMar>
            <w:top w:w="0" w:type="dxa"/>
          </w:tcMar>
        </w:tcPr>
        <w:p w14:paraId="3B9E8A76" w14:textId="297BA03A" w:rsidR="009C178D" w:rsidRPr="00B310DC" w:rsidRDefault="009C178D"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9C178D" w:rsidRPr="00D94637" w14:paraId="367FEAE1" w14:textId="77777777" w:rsidTr="009C178D">
      <w:trPr>
        <w:jc w:val="center"/>
      </w:trPr>
      <w:tc>
        <w:tcPr>
          <w:tcW w:w="1774" w:type="pct"/>
          <w:shd w:val="clear" w:color="auto" w:fill="auto"/>
        </w:tcPr>
        <w:p w14:paraId="4DCEBECE" w14:textId="4D39BA4D" w:rsidR="009C178D" w:rsidRPr="00AD7BF2" w:rsidRDefault="009C178D" w:rsidP="00D94637">
          <w:pPr>
            <w:pStyle w:val="FooterText"/>
            <w:spacing w:before="40"/>
          </w:pPr>
        </w:p>
      </w:tc>
      <w:tc>
        <w:tcPr>
          <w:tcW w:w="1455" w:type="pct"/>
          <w:gridSpan w:val="3"/>
          <w:shd w:val="clear" w:color="auto" w:fill="auto"/>
        </w:tcPr>
        <w:p w14:paraId="0F7ACF9D" w14:textId="4600D463" w:rsidR="009C178D" w:rsidRPr="00AD7BF2" w:rsidRDefault="009C178D" w:rsidP="00D204D6">
          <w:pPr>
            <w:pStyle w:val="FooterText"/>
            <w:spacing w:before="40"/>
            <w:jc w:val="center"/>
          </w:pPr>
          <w:r>
            <w:t>LIFE 2</w:t>
          </w:r>
        </w:p>
      </w:tc>
      <w:tc>
        <w:tcPr>
          <w:tcW w:w="742" w:type="pct"/>
          <w:shd w:val="clear" w:color="auto" w:fill="auto"/>
        </w:tcPr>
        <w:p w14:paraId="757B674A" w14:textId="42A6DF33" w:rsidR="009C178D" w:rsidRPr="00D94637" w:rsidRDefault="009C178D" w:rsidP="002F0099">
          <w:pPr>
            <w:pStyle w:val="FooterText"/>
            <w:jc w:val="center"/>
            <w:rPr>
              <w:b/>
              <w:position w:val="-4"/>
              <w:sz w:val="36"/>
            </w:rPr>
          </w:pPr>
        </w:p>
      </w:tc>
      <w:tc>
        <w:tcPr>
          <w:tcW w:w="1029" w:type="pct"/>
          <w:gridSpan w:val="2"/>
          <w:shd w:val="clear" w:color="auto" w:fill="auto"/>
        </w:tcPr>
        <w:p w14:paraId="1A367700" w14:textId="7D20F15F" w:rsidR="009C178D" w:rsidRPr="00695BAF" w:rsidRDefault="009C178D" w:rsidP="00D94637">
          <w:pPr>
            <w:pStyle w:val="FooterText"/>
            <w:jc w:val="right"/>
            <w:rPr>
              <w:caps/>
              <w:spacing w:val="-20"/>
              <w:sz w:val="16"/>
            </w:rPr>
          </w:pPr>
          <w:r>
            <w:rPr>
              <w:b/>
              <w:caps/>
              <w:spacing w:val="-20"/>
              <w:position w:val="-4"/>
              <w:sz w:val="36"/>
            </w:rPr>
            <w:t>SL</w:t>
          </w:r>
        </w:p>
      </w:tc>
    </w:tr>
    <w:bookmarkEnd w:id="1"/>
  </w:tbl>
  <w:p w14:paraId="2C585974" w14:textId="52800EED" w:rsidR="00A42EA5" w:rsidRPr="009C178D" w:rsidRDefault="00A42EA5" w:rsidP="009C178D">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9C178D" w:rsidRPr="00D94637" w14:paraId="0847E879" w14:textId="77777777" w:rsidTr="009C178D">
      <w:trPr>
        <w:jc w:val="center"/>
      </w:trPr>
      <w:tc>
        <w:tcPr>
          <w:tcW w:w="5000" w:type="pct"/>
          <w:gridSpan w:val="7"/>
          <w:shd w:val="clear" w:color="auto" w:fill="auto"/>
          <w:tcMar>
            <w:top w:w="57" w:type="dxa"/>
          </w:tcMar>
        </w:tcPr>
        <w:p w14:paraId="2304C009" w14:textId="77777777" w:rsidR="009C178D" w:rsidRPr="00D94637" w:rsidRDefault="009C178D" w:rsidP="00D94637">
          <w:pPr>
            <w:pStyle w:val="FooterText"/>
            <w:pBdr>
              <w:top w:val="single" w:sz="4" w:space="1" w:color="auto"/>
            </w:pBdr>
            <w:spacing w:before="200"/>
            <w:rPr>
              <w:sz w:val="2"/>
              <w:szCs w:val="2"/>
            </w:rPr>
          </w:pPr>
        </w:p>
      </w:tc>
    </w:tr>
    <w:tr w:rsidR="009C178D" w:rsidRPr="00B310DC" w14:paraId="0ECF7937" w14:textId="77777777" w:rsidTr="009C178D">
      <w:trPr>
        <w:jc w:val="center"/>
      </w:trPr>
      <w:tc>
        <w:tcPr>
          <w:tcW w:w="2500" w:type="pct"/>
          <w:gridSpan w:val="2"/>
          <w:shd w:val="clear" w:color="auto" w:fill="auto"/>
          <w:tcMar>
            <w:top w:w="0" w:type="dxa"/>
          </w:tcMar>
        </w:tcPr>
        <w:p w14:paraId="49AE1D35" w14:textId="44F84829" w:rsidR="009C178D" w:rsidRPr="00AD7BF2" w:rsidRDefault="009C178D" w:rsidP="004F54B2">
          <w:pPr>
            <w:pStyle w:val="FooterText"/>
          </w:pPr>
          <w:r>
            <w:t>13860/23</w:t>
          </w:r>
          <w:r w:rsidRPr="002511D8">
            <w:t xml:space="preserve"> </w:t>
          </w:r>
        </w:p>
      </w:tc>
      <w:tc>
        <w:tcPr>
          <w:tcW w:w="625" w:type="pct"/>
          <w:shd w:val="clear" w:color="auto" w:fill="auto"/>
          <w:tcMar>
            <w:top w:w="0" w:type="dxa"/>
          </w:tcMar>
        </w:tcPr>
        <w:p w14:paraId="37A35D63" w14:textId="77777777" w:rsidR="009C178D" w:rsidRPr="00AD7BF2" w:rsidRDefault="009C178D" w:rsidP="00D94637">
          <w:pPr>
            <w:pStyle w:val="FooterText"/>
            <w:jc w:val="center"/>
          </w:pPr>
        </w:p>
      </w:tc>
      <w:tc>
        <w:tcPr>
          <w:tcW w:w="1286" w:type="pct"/>
          <w:gridSpan w:val="3"/>
          <w:shd w:val="clear" w:color="auto" w:fill="auto"/>
          <w:tcMar>
            <w:top w:w="0" w:type="dxa"/>
          </w:tcMar>
        </w:tcPr>
        <w:p w14:paraId="11425E5B" w14:textId="0F80662E" w:rsidR="009C178D" w:rsidRPr="002511D8" w:rsidRDefault="009C178D" w:rsidP="00D94637">
          <w:pPr>
            <w:pStyle w:val="FooterText"/>
            <w:jc w:val="center"/>
          </w:pPr>
          <w:r>
            <w:t>nr</w:t>
          </w:r>
        </w:p>
      </w:tc>
      <w:tc>
        <w:tcPr>
          <w:tcW w:w="589" w:type="pct"/>
          <w:shd w:val="clear" w:color="auto" w:fill="auto"/>
          <w:tcMar>
            <w:top w:w="0" w:type="dxa"/>
          </w:tcMar>
        </w:tcPr>
        <w:p w14:paraId="3A2A9629" w14:textId="72AA4D4B" w:rsidR="009C178D" w:rsidRPr="00B310DC" w:rsidRDefault="009C178D" w:rsidP="00D94637">
          <w:pPr>
            <w:pStyle w:val="FooterText"/>
            <w:jc w:val="right"/>
          </w:pPr>
        </w:p>
      </w:tc>
    </w:tr>
    <w:tr w:rsidR="009C178D" w:rsidRPr="00D94637" w14:paraId="2C0E3673" w14:textId="77777777" w:rsidTr="009C178D">
      <w:trPr>
        <w:jc w:val="center"/>
      </w:trPr>
      <w:tc>
        <w:tcPr>
          <w:tcW w:w="1774" w:type="pct"/>
          <w:shd w:val="clear" w:color="auto" w:fill="auto"/>
        </w:tcPr>
        <w:p w14:paraId="4869F00C" w14:textId="6ECCB041" w:rsidR="009C178D" w:rsidRPr="00AD7BF2" w:rsidRDefault="009C178D" w:rsidP="00D94637">
          <w:pPr>
            <w:pStyle w:val="FooterText"/>
            <w:spacing w:before="40"/>
          </w:pPr>
        </w:p>
      </w:tc>
      <w:tc>
        <w:tcPr>
          <w:tcW w:w="1455" w:type="pct"/>
          <w:gridSpan w:val="3"/>
          <w:shd w:val="clear" w:color="auto" w:fill="auto"/>
        </w:tcPr>
        <w:p w14:paraId="232AD7A0" w14:textId="789AF88A" w:rsidR="009C178D" w:rsidRPr="00AD7BF2" w:rsidRDefault="009C178D" w:rsidP="00D204D6">
          <w:pPr>
            <w:pStyle w:val="FooterText"/>
            <w:spacing w:before="40"/>
            <w:jc w:val="center"/>
          </w:pPr>
          <w:r>
            <w:t>LIFE 2</w:t>
          </w:r>
        </w:p>
      </w:tc>
      <w:tc>
        <w:tcPr>
          <w:tcW w:w="742" w:type="pct"/>
          <w:shd w:val="clear" w:color="auto" w:fill="auto"/>
        </w:tcPr>
        <w:p w14:paraId="3D9ED1BE" w14:textId="4411F512" w:rsidR="009C178D" w:rsidRPr="00D94637" w:rsidRDefault="009C178D" w:rsidP="002F0099">
          <w:pPr>
            <w:pStyle w:val="FooterText"/>
            <w:jc w:val="center"/>
            <w:rPr>
              <w:b/>
              <w:position w:val="-4"/>
              <w:sz w:val="36"/>
            </w:rPr>
          </w:pPr>
        </w:p>
      </w:tc>
      <w:tc>
        <w:tcPr>
          <w:tcW w:w="1029" w:type="pct"/>
          <w:gridSpan w:val="2"/>
          <w:shd w:val="clear" w:color="auto" w:fill="auto"/>
        </w:tcPr>
        <w:p w14:paraId="10E13DD8" w14:textId="189BD109" w:rsidR="009C178D" w:rsidRPr="00695BAF" w:rsidRDefault="009C178D" w:rsidP="00D94637">
          <w:pPr>
            <w:pStyle w:val="FooterText"/>
            <w:jc w:val="right"/>
            <w:rPr>
              <w:caps/>
              <w:spacing w:val="-20"/>
              <w:sz w:val="16"/>
            </w:rPr>
          </w:pPr>
          <w:r>
            <w:rPr>
              <w:b/>
              <w:caps/>
              <w:spacing w:val="-20"/>
              <w:position w:val="-4"/>
              <w:sz w:val="36"/>
            </w:rPr>
            <w:t>SL</w:t>
          </w:r>
        </w:p>
      </w:tc>
    </w:tr>
  </w:tbl>
  <w:p w14:paraId="592182A7" w14:textId="77777777" w:rsidR="009C178D" w:rsidRPr="009C178D" w:rsidRDefault="009C178D" w:rsidP="009C178D">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F8FF" w14:textId="77777777" w:rsidR="009C178D" w:rsidRDefault="009C17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14F2" w14:textId="77777777" w:rsidR="009C178D" w:rsidRPr="00BB4793" w:rsidRDefault="009C178D" w:rsidP="00BB4793">
    <w:pPr>
      <w:pStyle w:val="Footer"/>
      <w:rPr>
        <w:rFonts w:ascii="Arial" w:hAnsi="Arial" w:cs="Arial"/>
        <w:b/>
        <w:sz w:val="48"/>
      </w:rPr>
    </w:pPr>
    <w:r w:rsidRPr="00BB4793">
      <w:rPr>
        <w:rFonts w:ascii="Arial" w:hAnsi="Arial" w:cs="Arial"/>
        <w:b/>
        <w:sz w:val="48"/>
      </w:rPr>
      <w:t>SL</w:t>
    </w:r>
    <w:r w:rsidRPr="00BB4793">
      <w:rPr>
        <w:rFonts w:ascii="Arial" w:hAnsi="Arial" w:cs="Arial"/>
        <w:b/>
        <w:sz w:val="48"/>
      </w:rPr>
      <w:tab/>
    </w:r>
    <w:r w:rsidRPr="00BB4793">
      <w:rPr>
        <w:rFonts w:ascii="Arial" w:hAnsi="Arial" w:cs="Arial"/>
        <w:b/>
        <w:sz w:val="48"/>
      </w:rPr>
      <w:tab/>
    </w:r>
    <w:r w:rsidRPr="00BB4793">
      <w:tab/>
    </w:r>
    <w:r w:rsidRPr="00BB4793">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C91C" w14:textId="77777777" w:rsidR="009C178D" w:rsidRDefault="009C178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6365" w14:textId="01FC0D60" w:rsidR="00BB4793" w:rsidRPr="00BB4793" w:rsidRDefault="00BB4793" w:rsidP="00BB4793">
    <w:pPr>
      <w:pStyle w:val="Footer"/>
      <w:rPr>
        <w:rFonts w:ascii="Arial" w:hAnsi="Arial" w:cs="Arial"/>
        <w:b/>
        <w:sz w:val="48"/>
      </w:rPr>
    </w:pPr>
    <w:r w:rsidRPr="00BB4793">
      <w:rPr>
        <w:rFonts w:ascii="Arial" w:hAnsi="Arial" w:cs="Arial"/>
        <w:b/>
        <w:sz w:val="48"/>
      </w:rPr>
      <w:t>SL</w:t>
    </w:r>
    <w:r w:rsidRPr="00BB4793">
      <w:rPr>
        <w:rFonts w:ascii="Arial" w:hAnsi="Arial" w:cs="Arial"/>
        <w:b/>
        <w:sz w:val="48"/>
      </w:rPr>
      <w:tab/>
    </w:r>
    <w:r>
      <w:fldChar w:fldCharType="begin"/>
    </w:r>
    <w:r>
      <w:instrText xml:space="preserve"> PAGE  \* MERGEFORMAT </w:instrText>
    </w:r>
    <w:r>
      <w:fldChar w:fldCharType="separate"/>
    </w:r>
    <w:r w:rsidR="000F2BFB">
      <w:rPr>
        <w:noProof/>
      </w:rPr>
      <w:t>20</w:t>
    </w:r>
    <w:r>
      <w:fldChar w:fldCharType="end"/>
    </w:r>
    <w:r>
      <w:tab/>
    </w:r>
    <w:r w:rsidRPr="00BB4793">
      <w:tab/>
    </w:r>
    <w:r w:rsidRPr="00BB4793">
      <w:rPr>
        <w:rFonts w:ascii="Arial" w:hAnsi="Arial" w:cs="Arial"/>
        <w:b/>
        <w:sz w:val="48"/>
      </w:rPr>
      <w:t>SL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6DD7" w14:textId="77777777" w:rsidR="00BB4793" w:rsidRPr="00BB4793" w:rsidRDefault="00BB4793" w:rsidP="00BB4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35428" w14:textId="77777777" w:rsidR="003A37C6" w:rsidRDefault="003A37C6" w:rsidP="00B858D4">
      <w:pPr>
        <w:spacing w:before="0" w:after="0"/>
      </w:pPr>
      <w:r>
        <w:separator/>
      </w:r>
    </w:p>
  </w:footnote>
  <w:footnote w:type="continuationSeparator" w:id="0">
    <w:p w14:paraId="243A3E41" w14:textId="77777777" w:rsidR="003A37C6" w:rsidRDefault="003A37C6" w:rsidP="00B858D4">
      <w:pPr>
        <w:spacing w:before="0" w:after="0"/>
      </w:pPr>
      <w:r>
        <w:continuationSeparator/>
      </w:r>
    </w:p>
  </w:footnote>
  <w:footnote w:id="1">
    <w:p w14:paraId="412D9BB0" w14:textId="77777777" w:rsidR="00A42EA5" w:rsidRPr="00A2363A" w:rsidRDefault="00A42EA5" w:rsidP="00A2363A">
      <w:pPr>
        <w:pStyle w:val="FootnoteText"/>
        <w:ind w:left="0" w:firstLine="0"/>
      </w:pPr>
      <w:r>
        <w:rPr>
          <w:rStyle w:val="FootnoteReference"/>
        </w:rPr>
        <w:footnoteRef/>
      </w:r>
      <w:r>
        <w:tab/>
        <w:t>Uredba (EU) št. 1380/2013 Evropskega parlamenta in Sveta z dne 11. decembra 2013 o skupni ribiški politiki in o spremembi uredb Sveta (ES) št. 1954/2003 in (ES) št. 1224/2009 ter razveljavitvi uredb Sveta (ES) št. 2371/2002 in (ES) št. 639/2004 ter Sklepa Sveta 2004/585/ES (UL L 354, 28.12.2013, str. 22).</w:t>
      </w:r>
    </w:p>
  </w:footnote>
  <w:footnote w:id="2">
    <w:p w14:paraId="0DBA9166" w14:textId="77777777" w:rsidR="00A42EA5" w:rsidRPr="00A2363A" w:rsidRDefault="00A42EA5" w:rsidP="005E1DC7">
      <w:pPr>
        <w:pStyle w:val="FootnoteText"/>
        <w:ind w:left="0" w:firstLine="0"/>
      </w:pPr>
      <w:r>
        <w:rPr>
          <w:rStyle w:val="FootnoteReference"/>
        </w:rPr>
        <w:footnoteRef/>
      </w:r>
      <w:r>
        <w:tab/>
        <w:t>Uredba (EU) 2019/1022 Evropskega parlamenta in Sveta z dne 20. junija 2019 o vzpostavitvi večletnega načrta za ribolov, ki izkorišča pridnene staleže v zahodnem Sredozemskem morju, in spremembi Uredbe (EU) št. 508/2014 (UL L 172, 26.6.2019, str. 1).</w:t>
      </w:r>
    </w:p>
  </w:footnote>
  <w:footnote w:id="3">
    <w:p w14:paraId="49689D18" w14:textId="77777777" w:rsidR="00A42EA5" w:rsidRPr="00A2363A" w:rsidRDefault="00A42EA5" w:rsidP="00A2363A">
      <w:pPr>
        <w:pStyle w:val="FootnoteText"/>
        <w:ind w:left="0" w:firstLine="0"/>
      </w:pPr>
      <w:r>
        <w:rPr>
          <w:rStyle w:val="FootnoteReference"/>
        </w:rPr>
        <w:footnoteRef/>
      </w:r>
      <w:r>
        <w:tab/>
        <w:t>Uredba Sveta (EU) 2022/110 z dne 27. januarja 2022 o določitvi ribolovnih možnosti za leto 2022 za nekatere staleže rib in skupine staležev rib, ki se uporabljajo v Sredozemskem in Črnem morju (UL L 21, 31.1.2022, str. 165).</w:t>
      </w:r>
    </w:p>
  </w:footnote>
  <w:footnote w:id="4">
    <w:p w14:paraId="4D5F6D8C" w14:textId="77777777" w:rsidR="00123AA5" w:rsidRPr="00A2363A" w:rsidRDefault="00123AA5" w:rsidP="00123AA5">
      <w:pPr>
        <w:pStyle w:val="FootnoteText"/>
        <w:ind w:left="0" w:firstLine="0"/>
      </w:pPr>
      <w:r>
        <w:rPr>
          <w:rStyle w:val="FootnoteReference"/>
        </w:rPr>
        <w:footnoteRef/>
      </w:r>
      <w:r>
        <w:tab/>
        <w:t>Uredba Sveta (EU) 2023/195 z dne 30. januarja 2023 o določitvi ribolovnih možnosti za leto 2023 za nekatere staleže in skupine staležev rib, ki se uporabljajo v Sredozemskem in Črnem morju (UL L 28, 31.1.2023, str. 220).</w:t>
      </w:r>
    </w:p>
  </w:footnote>
  <w:footnote w:id="5">
    <w:p w14:paraId="60FA66CE" w14:textId="77777777" w:rsidR="00A42EA5" w:rsidRPr="003D2F53" w:rsidRDefault="00A42EA5" w:rsidP="00C35FB6">
      <w:pPr>
        <w:pStyle w:val="FootnoteText"/>
        <w:ind w:left="0" w:firstLine="0"/>
      </w:pPr>
      <w:r>
        <w:rPr>
          <w:rStyle w:val="FootnoteReference"/>
        </w:rPr>
        <w:footnoteRef/>
      </w:r>
      <w:r>
        <w:tab/>
        <w:t>Uredba Sveta (ES) št. 1224/2009 z dne 20. novembra 2009 o vzpostavitvi nadzornega sistema Skupnosti za zagotavljanje skladnosti s pravili skupne ribiške politike, o spremembi uredb (ES) št. 847/96, (ES) št. 2371/2002, (ES) št. 811/2004, (ES) št. 768/2005, (ES) št. 2115/2005, (ES) št. 2166/2005, (ES) št. 388/2006, (ES) št. 509/2007, (ES) št. 676/2007, (ES) št. 1098/2007, (ES) št. 1300/2008, (ES) št. 1342/2008 in razveljavitvi uredb (EGS) št. 2847/93, (ES) št. 1627/94 in (ES) št. 1966/2006 (UL L 343, 22.12.2009, str. 1).</w:t>
      </w:r>
    </w:p>
  </w:footnote>
  <w:footnote w:id="6">
    <w:p w14:paraId="0146C99A" w14:textId="77777777" w:rsidR="00A42EA5" w:rsidRPr="00142835" w:rsidRDefault="00A42EA5" w:rsidP="0084037D">
      <w:pPr>
        <w:pStyle w:val="FootnoteText"/>
        <w:ind w:left="0" w:firstLine="0"/>
      </w:pPr>
      <w:r>
        <w:rPr>
          <w:rStyle w:val="FootnoteReference"/>
        </w:rPr>
        <w:footnoteRef/>
      </w:r>
      <w:r>
        <w:tab/>
        <w:t>Uredba (EU) št. 1343/2011 Evropskega parlamenta in Sveta z dne 13. decembra 2011 o nekaterih določbah za ribolov na območju Sporazuma GFCM (Generalne komisije za ribištvo v Sredozemlju) in spremembi Uredbe Sveta (ES) št. 1967/2006 o ukrepih za upravljanje za trajnostno izkoriščanje ribolovnih virov v Sredozemskem morju (UL L 347, 30.12.2011, str. 44).</w:t>
      </w:r>
    </w:p>
  </w:footnote>
  <w:footnote w:id="7">
    <w:p w14:paraId="13B0C77B" w14:textId="229155BA" w:rsidR="006202E1" w:rsidRPr="009C178D" w:rsidRDefault="006202E1">
      <w:pPr>
        <w:pStyle w:val="FootnoteText"/>
      </w:pPr>
      <w:r>
        <w:rPr>
          <w:rStyle w:val="FootnoteReference"/>
        </w:rPr>
        <w:footnoteRef/>
      </w:r>
      <w:r w:rsidRPr="009C178D">
        <w:tab/>
      </w:r>
      <w:hyperlink r:id="rId1" w:history="1">
        <w:r w:rsidRPr="009C178D">
          <w:rPr>
            <w:color w:val="0000FF"/>
            <w:u w:val="single"/>
          </w:rPr>
          <w:t>eur-lex.europa.eu/legal-content/EN/TXT/PDF/?uri=CONSIL:ST_11623_2023_INIT</w:t>
        </w:r>
      </w:hyperlink>
      <w:r w:rsidRPr="009C178D">
        <w:t xml:space="preserve"> </w:t>
      </w:r>
    </w:p>
  </w:footnote>
  <w:footnote w:id="8">
    <w:p w14:paraId="7FE16570" w14:textId="74932C09" w:rsidR="00E87CA4" w:rsidRPr="009C178D" w:rsidRDefault="00E87CA4">
      <w:pPr>
        <w:pStyle w:val="FootnoteText"/>
      </w:pPr>
      <w:r>
        <w:rPr>
          <w:rStyle w:val="FootnoteReference"/>
        </w:rPr>
        <w:footnoteRef/>
      </w:r>
      <w:r w:rsidRPr="009C178D">
        <w:tab/>
      </w:r>
      <w:hyperlink r:id="rId2" w:history="1">
        <w:r w:rsidRPr="009C178D">
          <w:rPr>
            <w:rStyle w:val="Hyperlink"/>
          </w:rPr>
          <w:t>http://data.europa.eu/eli/reg/1996/847/oj</w:t>
        </w:r>
      </w:hyperlink>
      <w:r w:rsidRPr="009C178D">
        <w:t xml:space="preserve"> </w:t>
      </w:r>
    </w:p>
  </w:footnote>
  <w:footnote w:id="9">
    <w:p w14:paraId="04FD8864" w14:textId="77777777" w:rsidR="00A42EA5" w:rsidRPr="009C178D" w:rsidRDefault="001648B3" w:rsidP="008D3B67">
      <w:pPr>
        <w:pStyle w:val="FootnoteText"/>
      </w:pPr>
      <w:r>
        <w:rPr>
          <w:rStyle w:val="FootnoteReference"/>
        </w:rPr>
        <w:footnoteRef/>
      </w:r>
      <w:r w:rsidRPr="009C178D">
        <w:tab/>
        <w:t>Uredba (EU) št. 1380/2013 Evropskega parlamenta in Sveta z dne 11. decembra 2013 o skupni ribiški politiki in o spremembi uredb Sveta (ES) št. 1954/2003 in (ES) št. 1224/2009 ter razveljavitvi uredb Sveta (ES) št. 2371/2002 in (ES) št. 639/2004 ter Sklepa Sveta 2004/585/ES (UL L 354, 28.12.2013, str. 22).</w:t>
      </w:r>
      <w:r w:rsidRPr="009C178D">
        <w:tab/>
      </w:r>
    </w:p>
  </w:footnote>
  <w:footnote w:id="10">
    <w:p w14:paraId="0D662897" w14:textId="77777777" w:rsidR="00A62250" w:rsidRPr="009C178D" w:rsidRDefault="00A62250" w:rsidP="00A62250">
      <w:pPr>
        <w:pStyle w:val="FootnoteText"/>
      </w:pPr>
      <w:r>
        <w:rPr>
          <w:rStyle w:val="FootnoteReference"/>
        </w:rPr>
        <w:footnoteRef/>
      </w:r>
      <w:r w:rsidRPr="009C178D">
        <w:tab/>
        <w:t>Uredba (EU) 2019/1022 Evropskega parlamenta in Sveta z dne 20. junija 2019 o vzpostavitvi večletnega načrta za ribolov, ki izkorišča pridnene staleže v zahodnem Sredozemskem morju, in spremembi Uredbe (EU) št. 508/2014 (UL L 172, 26.6.2019, str. 1).</w:t>
      </w:r>
    </w:p>
  </w:footnote>
  <w:footnote w:id="11">
    <w:p w14:paraId="232FEE8A" w14:textId="77777777" w:rsidR="00A42EA5" w:rsidRPr="009C178D" w:rsidRDefault="00A42EA5" w:rsidP="00E70628">
      <w:pPr>
        <w:pStyle w:val="FootnoteText"/>
      </w:pPr>
      <w:r>
        <w:rPr>
          <w:rStyle w:val="FootnoteReference"/>
        </w:rPr>
        <w:footnoteRef/>
      </w:r>
      <w:r w:rsidRPr="009C178D">
        <w:tab/>
        <w:t xml:space="preserve">Uredba Sveta (EU) 2023/195 z dne 30. januarja 2023 o določitvi ribolovnih možnosti za leto 2023 za nekatere staleže in skupine staležev rib, ki se uporabljajo v Sredozemskem in Črnem morju (UL L 28, 31.1.2023, str. 220). </w:t>
      </w:r>
    </w:p>
  </w:footnote>
  <w:footnote w:id="12">
    <w:p w14:paraId="00DEFB21" w14:textId="4F631184" w:rsidR="00B559EA" w:rsidRPr="009C178D" w:rsidRDefault="00B559EA">
      <w:pPr>
        <w:pStyle w:val="FootnoteText"/>
        <w:rPr>
          <w:b/>
          <w:bCs/>
        </w:rPr>
      </w:pPr>
      <w:r>
        <w:rPr>
          <w:rStyle w:val="FootnoteReference"/>
        </w:rPr>
        <w:footnoteRef/>
      </w:r>
      <w:r w:rsidRPr="009C178D">
        <w:tab/>
      </w:r>
      <w:hyperlink r:id="rId3" w:history="1">
        <w:r w:rsidRPr="009C178D">
          <w:rPr>
            <w:color w:val="0000FF"/>
            <w:u w:val="single"/>
          </w:rPr>
          <w:t>Portal odbora o skladnosti – REC.CM_GFCM_43_2019_5-e.pdf – Vsi dokumenti (sharepoint.com)</w:t>
        </w:r>
      </w:hyperlink>
      <w:r w:rsidRPr="009C178D">
        <w:t xml:space="preserve">  </w:t>
      </w:r>
    </w:p>
  </w:footnote>
  <w:footnote w:id="13">
    <w:p w14:paraId="0554D00C" w14:textId="001C3C69" w:rsidR="00A92FE7" w:rsidRPr="009C178D" w:rsidRDefault="00A92FE7">
      <w:pPr>
        <w:pStyle w:val="FootnoteText"/>
      </w:pPr>
      <w:r>
        <w:rPr>
          <w:rStyle w:val="FootnoteReference"/>
        </w:rPr>
        <w:footnoteRef/>
      </w:r>
      <w:r w:rsidRPr="009C178D">
        <w:tab/>
      </w:r>
      <w:hyperlink r:id="rId4" w:history="1">
        <w:r w:rsidRPr="009C178D">
          <w:rPr>
            <w:color w:val="0000FF"/>
            <w:u w:val="single"/>
          </w:rPr>
          <w:t>Portal odbora o skladnosti – REC.CM_GFCM_44_2021_20-e.pdf – Vsi dokumenti (sharepoint.com)</w:t>
        </w:r>
      </w:hyperlink>
    </w:p>
  </w:footnote>
  <w:footnote w:id="14">
    <w:p w14:paraId="21BE1289" w14:textId="37FDB977" w:rsidR="000A587A" w:rsidRPr="009C178D" w:rsidRDefault="000A587A">
      <w:pPr>
        <w:pStyle w:val="FootnoteText"/>
      </w:pPr>
      <w:r>
        <w:rPr>
          <w:rStyle w:val="FootnoteReference"/>
        </w:rPr>
        <w:footnoteRef/>
      </w:r>
      <w:r w:rsidRPr="009C178D">
        <w:tab/>
      </w:r>
      <w:hyperlink r:id="rId5" w:history="1">
        <w:r w:rsidRPr="009C178D">
          <w:rPr>
            <w:color w:val="0000FF"/>
            <w:u w:val="single"/>
          </w:rPr>
          <w:t>Portal odbora o skladnosti – REC.CM_GFCM_45_2022_4-e.pdf  – Vsi dokumenti (sharepoint.com)</w:t>
        </w:r>
      </w:hyperlink>
    </w:p>
  </w:footnote>
  <w:footnote w:id="15">
    <w:p w14:paraId="13D9DD42" w14:textId="445A6604" w:rsidR="00FC5F63" w:rsidRPr="009C178D" w:rsidRDefault="00FC5F63">
      <w:pPr>
        <w:pStyle w:val="FootnoteText"/>
      </w:pPr>
      <w:r>
        <w:rPr>
          <w:rStyle w:val="FootnoteReference"/>
        </w:rPr>
        <w:footnoteRef/>
      </w:r>
      <w:r w:rsidRPr="009C178D">
        <w:tab/>
      </w:r>
      <w:hyperlink r:id="rId6" w:history="1">
        <w:r w:rsidRPr="009C178D">
          <w:rPr>
            <w:color w:val="0000FF"/>
            <w:u w:val="single"/>
          </w:rPr>
          <w:t>Portal odbora o skladnosti – REC.CM_GFCM_45_2022_5-e.pdf– Vsi dokumenti (sharepoint.com)</w:t>
        </w:r>
      </w:hyperlink>
      <w:r w:rsidRPr="009C178D">
        <w:t xml:space="preserve"> </w:t>
      </w:r>
    </w:p>
  </w:footnote>
  <w:footnote w:id="16">
    <w:p w14:paraId="2809EC1B" w14:textId="3770A7EE" w:rsidR="00427962" w:rsidRPr="009C178D" w:rsidRDefault="00427962">
      <w:pPr>
        <w:pStyle w:val="FootnoteText"/>
      </w:pPr>
      <w:r>
        <w:rPr>
          <w:rStyle w:val="FootnoteReference"/>
        </w:rPr>
        <w:footnoteRef/>
      </w:r>
      <w:r w:rsidRPr="009C178D">
        <w:tab/>
      </w:r>
      <w:hyperlink r:id="rId7" w:history="1">
        <w:r w:rsidRPr="009C178D">
          <w:rPr>
            <w:color w:val="0000FF"/>
            <w:u w:val="single"/>
          </w:rPr>
          <w:t>Portal odbora o skladnosti – REC.CM_GFCM_45_2022_6-e.pdf– Vsi dokumenti (sharepoint.com)</w:t>
        </w:r>
      </w:hyperlink>
    </w:p>
  </w:footnote>
  <w:footnote w:id="17">
    <w:p w14:paraId="1FB38FB4" w14:textId="10D693A6" w:rsidR="00691069" w:rsidRPr="009C178D" w:rsidRDefault="00691069">
      <w:pPr>
        <w:pStyle w:val="FootnoteText"/>
      </w:pPr>
      <w:r>
        <w:rPr>
          <w:rStyle w:val="FootnoteReference"/>
        </w:rPr>
        <w:footnoteRef/>
      </w:r>
      <w:r w:rsidRPr="009C178D">
        <w:tab/>
      </w:r>
      <w:hyperlink r:id="rId8" w:history="1">
        <w:r w:rsidRPr="009C178D">
          <w:rPr>
            <w:color w:val="0000FF"/>
            <w:u w:val="single"/>
          </w:rPr>
          <w:t>Portal odbora o skladnosti – REC.CM_GFCM_45_2022_7-e.pdf– Vsi dokumenti (sharepoint.com)</w:t>
        </w:r>
      </w:hyperlink>
    </w:p>
  </w:footnote>
  <w:footnote w:id="18">
    <w:p w14:paraId="469CBDF3" w14:textId="1B9DFDD7" w:rsidR="00342F8D" w:rsidRPr="009C178D" w:rsidRDefault="00342F8D">
      <w:pPr>
        <w:pStyle w:val="FootnoteText"/>
      </w:pPr>
      <w:r>
        <w:rPr>
          <w:rStyle w:val="FootnoteReference"/>
        </w:rPr>
        <w:footnoteRef/>
      </w:r>
      <w:r w:rsidRPr="009C178D">
        <w:tab/>
      </w:r>
      <w:hyperlink r:id="rId9" w:history="1">
        <w:r w:rsidRPr="009C178D">
          <w:rPr>
            <w:color w:val="0000FF"/>
            <w:u w:val="single"/>
          </w:rPr>
          <w:t>Portal odbora o skladnosti – REC.CM_GFCM_45_2022_3-e.pdf– Vsi dokumenti (sharepoint.com)</w:t>
        </w:r>
      </w:hyperlink>
    </w:p>
  </w:footnote>
  <w:footnote w:id="19">
    <w:p w14:paraId="062FF566" w14:textId="65A9F245" w:rsidR="00744246" w:rsidRPr="009C178D" w:rsidRDefault="00744246">
      <w:pPr>
        <w:pStyle w:val="FootnoteText"/>
      </w:pPr>
      <w:r>
        <w:rPr>
          <w:rStyle w:val="FootnoteReference"/>
        </w:rPr>
        <w:footnoteRef/>
      </w:r>
      <w:r w:rsidRPr="009C178D">
        <w:tab/>
      </w:r>
      <w:hyperlink r:id="rId10" w:history="1">
        <w:r w:rsidRPr="009C178D">
          <w:rPr>
            <w:color w:val="0000FF"/>
            <w:u w:val="single"/>
          </w:rPr>
          <w:t>Portal odbora o skladnosti – REC.CM_GFCM_45_2022_9-e.pdf– Vsi dokumenti (sharepoint.com)</w:t>
        </w:r>
      </w:hyperlink>
    </w:p>
  </w:footnote>
  <w:footnote w:id="20">
    <w:p w14:paraId="78E60B3D" w14:textId="77777777" w:rsidR="00A42EA5" w:rsidRPr="009C178D" w:rsidRDefault="00A42EA5" w:rsidP="004A466C">
      <w:pPr>
        <w:pStyle w:val="FootnoteText"/>
      </w:pPr>
      <w:r>
        <w:rPr>
          <w:rStyle w:val="FootnoteReference"/>
        </w:rPr>
        <w:footnoteRef/>
      </w:r>
      <w:r w:rsidRPr="009C178D">
        <w:tab/>
        <w:t>Uredba Sveta (ES) št. 1224/2009 z dne 20. novembra 2009 o vzpostavitvi nadzornega sistema Skupnosti za zagotavljanje skladnosti s pravili skupne ribiške politike, o spremembi uredb (ES) št. 847/96, (ES) št. 2371/2002, (ES) št. 811/2004, (ES) št. 768/2005, (ES) št. 2115/2005, (ES) št. 2166/2005, (ES) št. 388/2006, (ES) št. 509/2007, (ES) št. 676/2007, (ES) št. 1098/2007, (ES) št. 1300/2008, (ES) št. 1342/2008 in razveljavitvi uredb (EGS) št. 2847/93, (ES) št. 1627/94 in (ES) št. 1966/2006 (UL L 343, 22.12.2009, str. 1).</w:t>
      </w:r>
    </w:p>
  </w:footnote>
  <w:footnote w:id="21">
    <w:p w14:paraId="2C4A246A" w14:textId="5EC9AAAF" w:rsidR="00E87CA4" w:rsidRPr="009C178D" w:rsidRDefault="00E87CA4">
      <w:pPr>
        <w:pStyle w:val="FootnoteText"/>
      </w:pPr>
      <w:r>
        <w:rPr>
          <w:rStyle w:val="FootnoteReference"/>
        </w:rPr>
        <w:footnoteRef/>
      </w:r>
      <w:r w:rsidRPr="009C178D">
        <w:tab/>
        <w:t>Uredba Sveta (ES) št. 847/96 z dne 6. maja 1996 o uvedbi dodatnih pogojev za upravljanje celotnih dovoljenih ulovov (TAC) in kvot iz leta v leto (UL L 115, 9.5.1996, str. 3).</w:t>
      </w:r>
    </w:p>
  </w:footnote>
  <w:footnote w:id="22">
    <w:p w14:paraId="3363B6B9" w14:textId="77777777" w:rsidR="00E11F41" w:rsidRPr="009C178D" w:rsidRDefault="00E11F41" w:rsidP="00E11F41">
      <w:pPr>
        <w:pStyle w:val="FootnoteText"/>
        <w:ind w:left="0" w:firstLine="0"/>
      </w:pPr>
      <w:r>
        <w:rPr>
          <w:rStyle w:val="FootnoteReference"/>
        </w:rPr>
        <w:footnoteRef/>
      </w:r>
      <w:r w:rsidRPr="009C178D">
        <w:tab/>
        <w:t>Uredba (EU) št. 1343/2011 Evropskega parlamenta in Sveta z dne 13. decembra 2011 o nekaterih določbah za ribolov na območju Sporazuma GFCM (Generalne komisije za ribištvo v Sredozemlju) in spremembi Uredbe Sveta (ES) št. 1967/2006 o ukrepih za upravljanje za trajnostno izkoriščanje ribolovnih virov v Sredozemskem morju (UL L 347, 30.12.2011, str. 44).</w:t>
      </w:r>
    </w:p>
    <w:p w14:paraId="1365A43D" w14:textId="77777777" w:rsidR="00E11F41" w:rsidRPr="009C178D" w:rsidRDefault="00E11F41" w:rsidP="00E11F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671A" w14:textId="77777777" w:rsidR="00065C9D" w:rsidRDefault="00065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AF8E" w14:textId="781B5EA5" w:rsidR="009C178D" w:rsidRPr="009C178D" w:rsidRDefault="009C178D" w:rsidP="009C178D">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A999" w14:textId="18DEF03A" w:rsidR="009C178D" w:rsidRPr="009C178D" w:rsidRDefault="009C178D" w:rsidP="009C178D">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5E56" w14:textId="77777777" w:rsidR="009C178D" w:rsidRDefault="009C17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2B4A" w14:textId="77777777" w:rsidR="009C178D" w:rsidRDefault="009C17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7686" w14:textId="77777777" w:rsidR="009C178D" w:rsidRDefault="009C1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200029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1468FA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34C995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EDEF17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0A473C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2A42DD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56E97D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9A4FE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490556483">
    <w:abstractNumId w:val="7"/>
  </w:num>
  <w:num w:numId="2" w16cid:durableId="889419098">
    <w:abstractNumId w:val="5"/>
  </w:num>
  <w:num w:numId="3" w16cid:durableId="1892155873">
    <w:abstractNumId w:val="4"/>
  </w:num>
  <w:num w:numId="4" w16cid:durableId="1108544370">
    <w:abstractNumId w:val="3"/>
  </w:num>
  <w:num w:numId="5" w16cid:durableId="1643151068">
    <w:abstractNumId w:val="6"/>
  </w:num>
  <w:num w:numId="6" w16cid:durableId="1536307356">
    <w:abstractNumId w:val="2"/>
  </w:num>
  <w:num w:numId="7" w16cid:durableId="1309480559">
    <w:abstractNumId w:val="1"/>
  </w:num>
  <w:num w:numId="8" w16cid:durableId="174003766">
    <w:abstractNumId w:val="0"/>
  </w:num>
  <w:num w:numId="9" w16cid:durableId="582642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726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3325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0567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88709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5920215">
    <w:abstractNumId w:val="19"/>
    <w:lvlOverride w:ilvl="0">
      <w:startOverride w:val="1"/>
    </w:lvlOverride>
  </w:num>
  <w:num w:numId="15" w16cid:durableId="1220478651">
    <w:abstractNumId w:val="19"/>
    <w:lvlOverride w:ilvl="0">
      <w:startOverride w:val="1"/>
    </w:lvlOverride>
  </w:num>
  <w:num w:numId="16" w16cid:durableId="685835022">
    <w:abstractNumId w:val="19"/>
    <w:lvlOverride w:ilvl="0">
      <w:startOverride w:val="1"/>
    </w:lvlOverride>
  </w:num>
  <w:num w:numId="17" w16cid:durableId="535043301">
    <w:abstractNumId w:val="19"/>
    <w:lvlOverride w:ilvl="0">
      <w:startOverride w:val="1"/>
    </w:lvlOverride>
  </w:num>
  <w:num w:numId="18" w16cid:durableId="468596596">
    <w:abstractNumId w:val="22"/>
    <w:lvlOverride w:ilvl="0">
      <w:startOverride w:val="1"/>
    </w:lvlOverride>
  </w:num>
  <w:num w:numId="19" w16cid:durableId="202405991">
    <w:abstractNumId w:val="19"/>
  </w:num>
  <w:num w:numId="20" w16cid:durableId="1570143874">
    <w:abstractNumId w:val="12"/>
  </w:num>
  <w:num w:numId="21" w16cid:durableId="1345398750">
    <w:abstractNumId w:val="21"/>
  </w:num>
  <w:num w:numId="22" w16cid:durableId="196940603">
    <w:abstractNumId w:val="11"/>
  </w:num>
  <w:num w:numId="23" w16cid:durableId="2126193429">
    <w:abstractNumId w:val="13"/>
  </w:num>
  <w:num w:numId="24" w16cid:durableId="1552376940">
    <w:abstractNumId w:val="14"/>
  </w:num>
  <w:num w:numId="25" w16cid:durableId="238559878">
    <w:abstractNumId w:val="9"/>
  </w:num>
  <w:num w:numId="26" w16cid:durableId="169371134">
    <w:abstractNumId w:val="20"/>
  </w:num>
  <w:num w:numId="27" w16cid:durableId="1997414169">
    <w:abstractNumId w:val="8"/>
  </w:num>
  <w:num w:numId="28" w16cid:durableId="1933124265">
    <w:abstractNumId w:val="15"/>
  </w:num>
  <w:num w:numId="29" w16cid:durableId="734477445">
    <w:abstractNumId w:val="17"/>
  </w:num>
  <w:num w:numId="30" w16cid:durableId="1159266484">
    <w:abstractNumId w:val="18"/>
  </w:num>
  <w:num w:numId="31" w16cid:durableId="579876859">
    <w:abstractNumId w:val="10"/>
  </w:num>
  <w:num w:numId="32" w16cid:durableId="994258086">
    <w:abstractNumId w:val="16"/>
  </w:num>
  <w:num w:numId="33" w16cid:durableId="79182948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en-IE" w:vendorID="64" w:dllVersion="6" w:nlCheck="1" w:checkStyle="1"/>
  <w:activeWritingStyle w:appName="MSWord" w:lang="it-IT" w:vendorID="64" w:dllVersion="0" w:nlCheck="1" w:checkStyle="0"/>
  <w:activeWritingStyle w:appName="MSWord" w:lang="fr-FR" w:vendorID="64" w:dllVersion="0" w:nlCheck="1" w:checkStyle="0"/>
  <w:attachedTemplate r:id="rId1"/>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Council" w:val="true"/>
    <w:docVar w:name="CoverPageOnWordDoc" w:val="false"/>
    <w:docVar w:name="DocuWriteMetaData" w:val="&lt;metadataset docuwriteversion=&quot;4.8.5&quot; technicalblockguid=&quot;5054257001583371501&quot;&gt;_x000d__x000a_  &lt;metadata key=&quot;md_DocumentLanguages&quot;&gt;_x000d__x000a_    &lt;basicdatatypelist&gt;_x000d__x000a_      &lt;language key=&quot;SL&quot; text=&quot;S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EDLOG&quot; /&gt;_x000d__x000a_    &lt;/basicdatatype&gt;_x000d__x000a_  &lt;/metadata&gt;_x000d__x000a_  &lt;metadata key=&quot;md_HeadingText&quot;&gt;_x000d__x000a_    &lt;headingtext text=&quot;PREDLOG&quot;&gt;_x000d__x000a_      &lt;formattedtext&gt;_x000d__x000a_        &lt;xaml text=&quot;PREDLOG&quot;&gt;&amp;lt;FlowDocument xmlns=&quot;http://schemas.microsoft.com/winfx/2006/xaml/presentation&quot;&amp;gt;&amp;lt;Paragraph&amp;gt;PREDLOG&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elj&quot; /&gt;_x000d__x000a_    &lt;/basicdatatype&gt;_x000d__x000a_  &lt;/metadata&gt;_x000d__x000a_  &lt;metadata key=&quot;md_DocumentDate&quot;&gt;_x000d__x000a_    &lt;text&gt;2023-10-10&lt;/text&gt;_x000d__x000a_  &lt;/metadata&gt;_x000d__x000a_  &lt;metadata key=&quot;md_Prefix&quot;&gt;_x000d__x000a_    &lt;text&gt;&lt;/text&gt;_x000d__x000a_  &lt;/metadata&gt;_x000d__x000a_  &lt;metadata key=&quot;md_DocumentNumber&quot;&gt;_x000d__x000a_    &lt;text&gt;13860&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ECHE 41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50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za generalno sekretarko Evropske komisije: direktorica Martine DEPREZ&quot; /&gt;_x000d__x000a_    &lt;/basicdatatype&gt;_x000d__x000a_  &lt;/metadata&gt;_x000d__x000a_  &lt;metadata key=&quot;md_Recipient&quot;&gt;_x000d__x000a_    &lt;basicdatatype&gt;_x000d__x000a_      &lt;recipient key=&quot;re_47&quot; text=&quot;Thérèse BLANCHET, generalna sekretarka Sveta Evropske unije&quot; /&gt;_x000d__x000a_    &lt;/basicdatatype&gt;_x000d__x000a_  &lt;/metadata&gt;_x000d__x000a_  &lt;metadata key=&quot;md_DateOfReceipt&quot;&gt;_x000d__x000a_    &lt;text&gt;2023-10-10&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578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edlog UREDBE SVETA o dolo&amp;#269;itvi ribolovnih mo&amp;#382;nosti za leto 2024 za nekatere stale&amp;#382;e rib in skupine stale&amp;#382;ev rib, ki se uporabljajo v Sredozemskem in &amp;#268;rnem morju&quot;&gt;&amp;lt;FlowDocument FontFamily=&quot;Segoe UI&quot; FontSize=&quot;12&quot; LineHeight=&quot;6&quot; PageWidth=&quot;329&quot; PagePadding=&quot;2,2,2,2&quot; AllowDrop=&quot;False&quot; xmlns=&quot;http://schemas.microsoft.com/winfx/2006/xaml/presentation&quot;&amp;gt;&amp;lt;Paragraph&amp;gt;Predlog UREDB&amp;lt;Run xml:lang=&quot;en-gb&quot;&amp;gt;E&amp;lt;/Run&amp;gt; SVETA o dolo&amp;#269;itvi ribolovnih mo&amp;#382;nosti za leto 2024 za nekatere stale&amp;#382;e rib in skupine stale&amp;#382;ev rib, ki se uporabljajo v Sredozemskem in &amp;#268;rnem morju&amp;lt;/Paragraph&amp;gt;&amp;lt;/FlowDocument&amp;gt;&lt;/xaml&gt;_x000d__x000a_  &lt;/metadata&gt;_x000d__x000a_  &lt;metadata key=&quot;md_SubjectFootnote&quot; /&gt;_x000d__x000a_  &lt;metadata key=&quot;md_DG&quot;&gt;_x000d__x000a_    &lt;text&gt;LIFE 2&lt;/text&gt;_x000d__x000a_  &lt;/metadata&gt;_x000d__x000a_  &lt;metadata key=&quot;md_Initials&quot;&gt;_x000d__x000a_    &lt;text&gt;nr&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SL&lt;/text&gt;_x000d__x000a_  &lt;/metadata&gt;_x000d__x000a_  &lt;metadata key=&quot;md_SourceDocType&quot;&gt;_x000d__x000a_    &lt;text&gt;Predlog _x000d__x000a_UREDBA SVETA&lt;/text&gt;_x000d__x000a_  &lt;/metadata&gt;_x000d__x000a_  &lt;metadata key=&quot;md_SourceDocTitle&quot;&gt;_x000d__x000a_    &lt;text&gt;o dolo&amp;#269;itvi ribolovnih mo&amp;#382;nosti za leto 2024 za nekatere stale&amp;#382;e rib in skupine stale&amp;#382;ev rib, ki se uporabljajo v Sredozemskem in &amp;#268;rnem morju&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 /&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10-06 11:12:3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81DEC0A-D068-40C6-A70E-5D6358A15C96"/>
    <w:docVar w:name="LW_COVERPAGE_TYPE" w:val="1"/>
    <w:docVar w:name="LW_CROSSREFERENCE" w:val="&lt;UNUSED&gt;"/>
    <w:docVar w:name="LW_DocType" w:val="COM"/>
    <w:docVar w:name="LW_EMISSION" w:val="10.10.2023"/>
    <w:docVar w:name="LW_EMISSION_ISODATE" w:val="2023-10-10"/>
    <w:docVar w:name="LW_EMISSION_LOCATION" w:val="BRX"/>
    <w:docVar w:name="LW_EMISSION_PREFIX" w:val="Bruselj,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350"/>
    <w:docVar w:name="LW_REF.II.NEW.CP_YEAR" w:val="2023"/>
    <w:docVar w:name="LW_REF.INST.NEW" w:val="COM"/>
    <w:docVar w:name="LW_REF.INST.NEW_ADOPTED" w:val="final"/>
    <w:docVar w:name="LW_REF.INST.NEW_TEXT" w:val="(2023) 5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določitvi ribolovnih možnosti za leto 2024 za nekatere staleže rib in skupine staležev rib, ki se uporabljajo v Sredozemskem in Črnem morju"/>
    <w:docVar w:name="LW_TYPE.DOC.CP" w:val="UREDBA SVETA"/>
    <w:docVar w:name="LwApiVersions" w:val="LW4CoDe 1.23.2.0; LW 8.0, Build 20211117"/>
  </w:docVars>
  <w:rsids>
    <w:rsidRoot w:val="00B858D4"/>
    <w:rsid w:val="00000BEC"/>
    <w:rsid w:val="00000E40"/>
    <w:rsid w:val="000029CB"/>
    <w:rsid w:val="00003687"/>
    <w:rsid w:val="000037A3"/>
    <w:rsid w:val="00004A57"/>
    <w:rsid w:val="00013D25"/>
    <w:rsid w:val="00015D62"/>
    <w:rsid w:val="00020FAD"/>
    <w:rsid w:val="00023167"/>
    <w:rsid w:val="00027024"/>
    <w:rsid w:val="000276E4"/>
    <w:rsid w:val="00027962"/>
    <w:rsid w:val="000309D1"/>
    <w:rsid w:val="00032875"/>
    <w:rsid w:val="00032AF0"/>
    <w:rsid w:val="000417D3"/>
    <w:rsid w:val="00055B4B"/>
    <w:rsid w:val="000577CF"/>
    <w:rsid w:val="00065C9D"/>
    <w:rsid w:val="000669A3"/>
    <w:rsid w:val="000748EF"/>
    <w:rsid w:val="00075946"/>
    <w:rsid w:val="00080E71"/>
    <w:rsid w:val="00081738"/>
    <w:rsid w:val="000872F8"/>
    <w:rsid w:val="00093581"/>
    <w:rsid w:val="00093EEA"/>
    <w:rsid w:val="0009602B"/>
    <w:rsid w:val="00096D47"/>
    <w:rsid w:val="0009701F"/>
    <w:rsid w:val="00097657"/>
    <w:rsid w:val="000A587A"/>
    <w:rsid w:val="000B3043"/>
    <w:rsid w:val="000B607F"/>
    <w:rsid w:val="000B72D6"/>
    <w:rsid w:val="000B7A7D"/>
    <w:rsid w:val="000C2016"/>
    <w:rsid w:val="000C77E7"/>
    <w:rsid w:val="000D1A30"/>
    <w:rsid w:val="000D608D"/>
    <w:rsid w:val="000E0BB7"/>
    <w:rsid w:val="000E0EEF"/>
    <w:rsid w:val="000E0EFC"/>
    <w:rsid w:val="000E43D2"/>
    <w:rsid w:val="000E681B"/>
    <w:rsid w:val="000F1D8D"/>
    <w:rsid w:val="000F2BFB"/>
    <w:rsid w:val="000F4B98"/>
    <w:rsid w:val="000F5CBC"/>
    <w:rsid w:val="00102DC4"/>
    <w:rsid w:val="001042F7"/>
    <w:rsid w:val="001058DA"/>
    <w:rsid w:val="00105B1E"/>
    <w:rsid w:val="001072E1"/>
    <w:rsid w:val="00112116"/>
    <w:rsid w:val="001130F0"/>
    <w:rsid w:val="00113358"/>
    <w:rsid w:val="00115C2D"/>
    <w:rsid w:val="00116EBA"/>
    <w:rsid w:val="001203E9"/>
    <w:rsid w:val="00123AA5"/>
    <w:rsid w:val="00132154"/>
    <w:rsid w:val="00137464"/>
    <w:rsid w:val="0013763F"/>
    <w:rsid w:val="00140610"/>
    <w:rsid w:val="001417BE"/>
    <w:rsid w:val="00141D7B"/>
    <w:rsid w:val="00142205"/>
    <w:rsid w:val="00142835"/>
    <w:rsid w:val="0015138E"/>
    <w:rsid w:val="00151FEF"/>
    <w:rsid w:val="00152894"/>
    <w:rsid w:val="00155582"/>
    <w:rsid w:val="00161B51"/>
    <w:rsid w:val="0016212F"/>
    <w:rsid w:val="001648B3"/>
    <w:rsid w:val="00172EB3"/>
    <w:rsid w:val="00176222"/>
    <w:rsid w:val="001776D1"/>
    <w:rsid w:val="00183585"/>
    <w:rsid w:val="00185C90"/>
    <w:rsid w:val="0018759E"/>
    <w:rsid w:val="00187BD9"/>
    <w:rsid w:val="00190152"/>
    <w:rsid w:val="001A4B75"/>
    <w:rsid w:val="001B0C54"/>
    <w:rsid w:val="001B2A8B"/>
    <w:rsid w:val="001C05A0"/>
    <w:rsid w:val="001C0D38"/>
    <w:rsid w:val="001C244B"/>
    <w:rsid w:val="001C280F"/>
    <w:rsid w:val="001C46CE"/>
    <w:rsid w:val="001C4EAB"/>
    <w:rsid w:val="001C55CA"/>
    <w:rsid w:val="001D27D5"/>
    <w:rsid w:val="001D2F0F"/>
    <w:rsid w:val="001E1980"/>
    <w:rsid w:val="001E4040"/>
    <w:rsid w:val="001E477A"/>
    <w:rsid w:val="001F2712"/>
    <w:rsid w:val="001F62D8"/>
    <w:rsid w:val="00203FD3"/>
    <w:rsid w:val="00207729"/>
    <w:rsid w:val="00207F32"/>
    <w:rsid w:val="00210011"/>
    <w:rsid w:val="00210D16"/>
    <w:rsid w:val="00212A17"/>
    <w:rsid w:val="00217716"/>
    <w:rsid w:val="00223E34"/>
    <w:rsid w:val="00224F42"/>
    <w:rsid w:val="00225B6C"/>
    <w:rsid w:val="002265E8"/>
    <w:rsid w:val="00227EAD"/>
    <w:rsid w:val="00230075"/>
    <w:rsid w:val="0023032E"/>
    <w:rsid w:val="002323A0"/>
    <w:rsid w:val="00233190"/>
    <w:rsid w:val="002331B1"/>
    <w:rsid w:val="0024151E"/>
    <w:rsid w:val="00247535"/>
    <w:rsid w:val="00260EBB"/>
    <w:rsid w:val="00262497"/>
    <w:rsid w:val="002655FB"/>
    <w:rsid w:val="00274CBD"/>
    <w:rsid w:val="00283CC2"/>
    <w:rsid w:val="00287EB1"/>
    <w:rsid w:val="0029087D"/>
    <w:rsid w:val="00296697"/>
    <w:rsid w:val="002A0008"/>
    <w:rsid w:val="002A3179"/>
    <w:rsid w:val="002A38FB"/>
    <w:rsid w:val="002A649D"/>
    <w:rsid w:val="002A76EB"/>
    <w:rsid w:val="002B40C6"/>
    <w:rsid w:val="002B4F0C"/>
    <w:rsid w:val="002C0D09"/>
    <w:rsid w:val="002D1068"/>
    <w:rsid w:val="002D1839"/>
    <w:rsid w:val="002D2065"/>
    <w:rsid w:val="002D29E6"/>
    <w:rsid w:val="002E37EF"/>
    <w:rsid w:val="002E7091"/>
    <w:rsid w:val="002E732A"/>
    <w:rsid w:val="002F044E"/>
    <w:rsid w:val="002F606F"/>
    <w:rsid w:val="002F6A65"/>
    <w:rsid w:val="0030303C"/>
    <w:rsid w:val="003043DD"/>
    <w:rsid w:val="003073BE"/>
    <w:rsid w:val="0031150F"/>
    <w:rsid w:val="00312191"/>
    <w:rsid w:val="003129C5"/>
    <w:rsid w:val="0031340B"/>
    <w:rsid w:val="00322F2F"/>
    <w:rsid w:val="00323531"/>
    <w:rsid w:val="003249E5"/>
    <w:rsid w:val="0032564A"/>
    <w:rsid w:val="00325FB0"/>
    <w:rsid w:val="0032629B"/>
    <w:rsid w:val="00326C5A"/>
    <w:rsid w:val="00341031"/>
    <w:rsid w:val="00342F8D"/>
    <w:rsid w:val="00344C7F"/>
    <w:rsid w:val="00347CE7"/>
    <w:rsid w:val="003546D5"/>
    <w:rsid w:val="00354BA0"/>
    <w:rsid w:val="003668DC"/>
    <w:rsid w:val="0037324B"/>
    <w:rsid w:val="003754ED"/>
    <w:rsid w:val="003767C7"/>
    <w:rsid w:val="00396ACD"/>
    <w:rsid w:val="003974D6"/>
    <w:rsid w:val="003A37C6"/>
    <w:rsid w:val="003A3C7B"/>
    <w:rsid w:val="003B0705"/>
    <w:rsid w:val="003B1842"/>
    <w:rsid w:val="003B6F86"/>
    <w:rsid w:val="003B75AA"/>
    <w:rsid w:val="003C2ED9"/>
    <w:rsid w:val="003C57B6"/>
    <w:rsid w:val="003D0945"/>
    <w:rsid w:val="003D2F53"/>
    <w:rsid w:val="003E045B"/>
    <w:rsid w:val="003E1602"/>
    <w:rsid w:val="003E6812"/>
    <w:rsid w:val="003F17FE"/>
    <w:rsid w:val="003F7539"/>
    <w:rsid w:val="003F7858"/>
    <w:rsid w:val="00400F4A"/>
    <w:rsid w:val="00402770"/>
    <w:rsid w:val="00406050"/>
    <w:rsid w:val="004167E4"/>
    <w:rsid w:val="004215FC"/>
    <w:rsid w:val="0042579B"/>
    <w:rsid w:val="00426B63"/>
    <w:rsid w:val="00427962"/>
    <w:rsid w:val="004307EC"/>
    <w:rsid w:val="00430F4D"/>
    <w:rsid w:val="00431929"/>
    <w:rsid w:val="004345CF"/>
    <w:rsid w:val="00436A77"/>
    <w:rsid w:val="0043729D"/>
    <w:rsid w:val="00437AA5"/>
    <w:rsid w:val="004417D5"/>
    <w:rsid w:val="00442FF6"/>
    <w:rsid w:val="00445B5A"/>
    <w:rsid w:val="004509AF"/>
    <w:rsid w:val="004529F3"/>
    <w:rsid w:val="004569F0"/>
    <w:rsid w:val="0047658D"/>
    <w:rsid w:val="00477C52"/>
    <w:rsid w:val="00482876"/>
    <w:rsid w:val="00484999"/>
    <w:rsid w:val="004849EE"/>
    <w:rsid w:val="00484E26"/>
    <w:rsid w:val="00486445"/>
    <w:rsid w:val="004920CA"/>
    <w:rsid w:val="00492396"/>
    <w:rsid w:val="0049431F"/>
    <w:rsid w:val="00497B95"/>
    <w:rsid w:val="004A0F36"/>
    <w:rsid w:val="004A2126"/>
    <w:rsid w:val="004A3A98"/>
    <w:rsid w:val="004A466C"/>
    <w:rsid w:val="004A6034"/>
    <w:rsid w:val="004C066B"/>
    <w:rsid w:val="004C1D78"/>
    <w:rsid w:val="004C47D0"/>
    <w:rsid w:val="004D0232"/>
    <w:rsid w:val="004D3D81"/>
    <w:rsid w:val="004E19F9"/>
    <w:rsid w:val="004E218B"/>
    <w:rsid w:val="004E36E8"/>
    <w:rsid w:val="004E54BC"/>
    <w:rsid w:val="004E613A"/>
    <w:rsid w:val="004E7BDC"/>
    <w:rsid w:val="004F0ED4"/>
    <w:rsid w:val="004F450E"/>
    <w:rsid w:val="004F5CFE"/>
    <w:rsid w:val="00500F23"/>
    <w:rsid w:val="00501BDA"/>
    <w:rsid w:val="005106C3"/>
    <w:rsid w:val="00517205"/>
    <w:rsid w:val="005224C2"/>
    <w:rsid w:val="00524D90"/>
    <w:rsid w:val="00526974"/>
    <w:rsid w:val="00533BE0"/>
    <w:rsid w:val="005346BC"/>
    <w:rsid w:val="00535D68"/>
    <w:rsid w:val="0053604B"/>
    <w:rsid w:val="005401C7"/>
    <w:rsid w:val="00542487"/>
    <w:rsid w:val="005434F8"/>
    <w:rsid w:val="0054407F"/>
    <w:rsid w:val="00545CF6"/>
    <w:rsid w:val="00546186"/>
    <w:rsid w:val="00546586"/>
    <w:rsid w:val="00547886"/>
    <w:rsid w:val="005534AB"/>
    <w:rsid w:val="005535CC"/>
    <w:rsid w:val="0055640E"/>
    <w:rsid w:val="005573CB"/>
    <w:rsid w:val="00557832"/>
    <w:rsid w:val="00557F7F"/>
    <w:rsid w:val="00560626"/>
    <w:rsid w:val="00562DFA"/>
    <w:rsid w:val="00571AF0"/>
    <w:rsid w:val="00582810"/>
    <w:rsid w:val="00587A30"/>
    <w:rsid w:val="00593086"/>
    <w:rsid w:val="0059396C"/>
    <w:rsid w:val="00594E45"/>
    <w:rsid w:val="00595540"/>
    <w:rsid w:val="0059606B"/>
    <w:rsid w:val="005A0E81"/>
    <w:rsid w:val="005A2CDB"/>
    <w:rsid w:val="005A3648"/>
    <w:rsid w:val="005A3BFF"/>
    <w:rsid w:val="005A5A17"/>
    <w:rsid w:val="005B14B1"/>
    <w:rsid w:val="005B360E"/>
    <w:rsid w:val="005B5FA6"/>
    <w:rsid w:val="005C3B12"/>
    <w:rsid w:val="005C65CA"/>
    <w:rsid w:val="005D004A"/>
    <w:rsid w:val="005D23EE"/>
    <w:rsid w:val="005D43C1"/>
    <w:rsid w:val="005D5ADD"/>
    <w:rsid w:val="005D650F"/>
    <w:rsid w:val="005E1DC7"/>
    <w:rsid w:val="005E577A"/>
    <w:rsid w:val="005E6AC8"/>
    <w:rsid w:val="005F0623"/>
    <w:rsid w:val="005F0851"/>
    <w:rsid w:val="005F1E97"/>
    <w:rsid w:val="005F4416"/>
    <w:rsid w:val="005F54D5"/>
    <w:rsid w:val="005F5AC5"/>
    <w:rsid w:val="006017B1"/>
    <w:rsid w:val="0060229F"/>
    <w:rsid w:val="006200E3"/>
    <w:rsid w:val="006202E1"/>
    <w:rsid w:val="00621F45"/>
    <w:rsid w:val="00622822"/>
    <w:rsid w:val="006257D7"/>
    <w:rsid w:val="00627100"/>
    <w:rsid w:val="00641E47"/>
    <w:rsid w:val="00646169"/>
    <w:rsid w:val="00650CD3"/>
    <w:rsid w:val="006654AB"/>
    <w:rsid w:val="0067095E"/>
    <w:rsid w:val="0067187A"/>
    <w:rsid w:val="00674BE7"/>
    <w:rsid w:val="00682E6F"/>
    <w:rsid w:val="00691069"/>
    <w:rsid w:val="00691AF2"/>
    <w:rsid w:val="00695130"/>
    <w:rsid w:val="006C1D82"/>
    <w:rsid w:val="006C4025"/>
    <w:rsid w:val="006C4620"/>
    <w:rsid w:val="006C6C12"/>
    <w:rsid w:val="006C7E08"/>
    <w:rsid w:val="006D27B8"/>
    <w:rsid w:val="006D2F14"/>
    <w:rsid w:val="006D4399"/>
    <w:rsid w:val="006E0F47"/>
    <w:rsid w:val="006E2394"/>
    <w:rsid w:val="006F7EFE"/>
    <w:rsid w:val="0070348B"/>
    <w:rsid w:val="00704881"/>
    <w:rsid w:val="007115C5"/>
    <w:rsid w:val="00712182"/>
    <w:rsid w:val="00713427"/>
    <w:rsid w:val="0071635B"/>
    <w:rsid w:val="0071645B"/>
    <w:rsid w:val="00723239"/>
    <w:rsid w:val="007241BA"/>
    <w:rsid w:val="00731447"/>
    <w:rsid w:val="00734245"/>
    <w:rsid w:val="00744246"/>
    <w:rsid w:val="007476E2"/>
    <w:rsid w:val="007506A7"/>
    <w:rsid w:val="00752372"/>
    <w:rsid w:val="007536EF"/>
    <w:rsid w:val="00754C98"/>
    <w:rsid w:val="00754E81"/>
    <w:rsid w:val="00771361"/>
    <w:rsid w:val="00775F82"/>
    <w:rsid w:val="007A1955"/>
    <w:rsid w:val="007A2114"/>
    <w:rsid w:val="007B51F4"/>
    <w:rsid w:val="007C0429"/>
    <w:rsid w:val="007C06E0"/>
    <w:rsid w:val="007C2360"/>
    <w:rsid w:val="007C6A5B"/>
    <w:rsid w:val="007D0861"/>
    <w:rsid w:val="007D6E12"/>
    <w:rsid w:val="007E010B"/>
    <w:rsid w:val="007E0F20"/>
    <w:rsid w:val="007E3819"/>
    <w:rsid w:val="007E3AC5"/>
    <w:rsid w:val="007E6C8C"/>
    <w:rsid w:val="007F0D48"/>
    <w:rsid w:val="007F1D22"/>
    <w:rsid w:val="007F30FF"/>
    <w:rsid w:val="007F63AA"/>
    <w:rsid w:val="00801584"/>
    <w:rsid w:val="00801F50"/>
    <w:rsid w:val="00802FC2"/>
    <w:rsid w:val="00804343"/>
    <w:rsid w:val="008056B5"/>
    <w:rsid w:val="00806E93"/>
    <w:rsid w:val="0080741C"/>
    <w:rsid w:val="008154B4"/>
    <w:rsid w:val="008156F1"/>
    <w:rsid w:val="008260B4"/>
    <w:rsid w:val="008261F6"/>
    <w:rsid w:val="008275C8"/>
    <w:rsid w:val="00827EB1"/>
    <w:rsid w:val="008316E7"/>
    <w:rsid w:val="00833D9D"/>
    <w:rsid w:val="00837B2F"/>
    <w:rsid w:val="0084037D"/>
    <w:rsid w:val="0084109D"/>
    <w:rsid w:val="00844044"/>
    <w:rsid w:val="00844A67"/>
    <w:rsid w:val="00850245"/>
    <w:rsid w:val="00862BCD"/>
    <w:rsid w:val="00863315"/>
    <w:rsid w:val="00863D50"/>
    <w:rsid w:val="00863F01"/>
    <w:rsid w:val="00864F53"/>
    <w:rsid w:val="00873436"/>
    <w:rsid w:val="008745D7"/>
    <w:rsid w:val="00874CEB"/>
    <w:rsid w:val="008757A3"/>
    <w:rsid w:val="00891F48"/>
    <w:rsid w:val="00894596"/>
    <w:rsid w:val="00896056"/>
    <w:rsid w:val="00897A11"/>
    <w:rsid w:val="008A08E2"/>
    <w:rsid w:val="008A2F2C"/>
    <w:rsid w:val="008A3799"/>
    <w:rsid w:val="008A5948"/>
    <w:rsid w:val="008B02A2"/>
    <w:rsid w:val="008C6955"/>
    <w:rsid w:val="008D152E"/>
    <w:rsid w:val="008D2FA3"/>
    <w:rsid w:val="008D3379"/>
    <w:rsid w:val="008D3B67"/>
    <w:rsid w:val="008D40C0"/>
    <w:rsid w:val="008E0DA4"/>
    <w:rsid w:val="008E166C"/>
    <w:rsid w:val="008E2694"/>
    <w:rsid w:val="008E56F8"/>
    <w:rsid w:val="008E65C8"/>
    <w:rsid w:val="008F030A"/>
    <w:rsid w:val="008F481C"/>
    <w:rsid w:val="008F5CB2"/>
    <w:rsid w:val="00902DA8"/>
    <w:rsid w:val="00903A56"/>
    <w:rsid w:val="00903B03"/>
    <w:rsid w:val="009049C9"/>
    <w:rsid w:val="00904D8A"/>
    <w:rsid w:val="00913CCD"/>
    <w:rsid w:val="00922437"/>
    <w:rsid w:val="00922E55"/>
    <w:rsid w:val="00923948"/>
    <w:rsid w:val="00923FD2"/>
    <w:rsid w:val="0092677E"/>
    <w:rsid w:val="00931612"/>
    <w:rsid w:val="00932E99"/>
    <w:rsid w:val="00935BEA"/>
    <w:rsid w:val="00937EB0"/>
    <w:rsid w:val="00940731"/>
    <w:rsid w:val="00940B86"/>
    <w:rsid w:val="00941548"/>
    <w:rsid w:val="00947E31"/>
    <w:rsid w:val="00952352"/>
    <w:rsid w:val="00955179"/>
    <w:rsid w:val="009623DE"/>
    <w:rsid w:val="00962B76"/>
    <w:rsid w:val="009638D7"/>
    <w:rsid w:val="00966F5C"/>
    <w:rsid w:val="0097237F"/>
    <w:rsid w:val="00974354"/>
    <w:rsid w:val="0097478B"/>
    <w:rsid w:val="00975271"/>
    <w:rsid w:val="00985686"/>
    <w:rsid w:val="00990F1B"/>
    <w:rsid w:val="009928EB"/>
    <w:rsid w:val="00992C75"/>
    <w:rsid w:val="009945C0"/>
    <w:rsid w:val="009957C5"/>
    <w:rsid w:val="0099650A"/>
    <w:rsid w:val="009972CE"/>
    <w:rsid w:val="009A4ED6"/>
    <w:rsid w:val="009B3D15"/>
    <w:rsid w:val="009B4B5A"/>
    <w:rsid w:val="009B729F"/>
    <w:rsid w:val="009C03BD"/>
    <w:rsid w:val="009C178D"/>
    <w:rsid w:val="009C4671"/>
    <w:rsid w:val="009D3EA0"/>
    <w:rsid w:val="009D7F05"/>
    <w:rsid w:val="009E0C77"/>
    <w:rsid w:val="009E4DD2"/>
    <w:rsid w:val="009E73D0"/>
    <w:rsid w:val="009E7A7D"/>
    <w:rsid w:val="009F1867"/>
    <w:rsid w:val="009F2AD9"/>
    <w:rsid w:val="009F4EA5"/>
    <w:rsid w:val="009F6E96"/>
    <w:rsid w:val="00A013A7"/>
    <w:rsid w:val="00A023FC"/>
    <w:rsid w:val="00A0342A"/>
    <w:rsid w:val="00A045EF"/>
    <w:rsid w:val="00A06F16"/>
    <w:rsid w:val="00A1668F"/>
    <w:rsid w:val="00A17F1C"/>
    <w:rsid w:val="00A21729"/>
    <w:rsid w:val="00A228F3"/>
    <w:rsid w:val="00A22D69"/>
    <w:rsid w:val="00A2363A"/>
    <w:rsid w:val="00A31383"/>
    <w:rsid w:val="00A32023"/>
    <w:rsid w:val="00A326EE"/>
    <w:rsid w:val="00A358E0"/>
    <w:rsid w:val="00A37D2C"/>
    <w:rsid w:val="00A42EA5"/>
    <w:rsid w:val="00A45EC3"/>
    <w:rsid w:val="00A50BC0"/>
    <w:rsid w:val="00A54C49"/>
    <w:rsid w:val="00A565C7"/>
    <w:rsid w:val="00A57A6F"/>
    <w:rsid w:val="00A600CF"/>
    <w:rsid w:val="00A62250"/>
    <w:rsid w:val="00A64241"/>
    <w:rsid w:val="00A71F5E"/>
    <w:rsid w:val="00A72D34"/>
    <w:rsid w:val="00A744BC"/>
    <w:rsid w:val="00A75EC8"/>
    <w:rsid w:val="00A76780"/>
    <w:rsid w:val="00A77125"/>
    <w:rsid w:val="00A82612"/>
    <w:rsid w:val="00A90CC8"/>
    <w:rsid w:val="00A91347"/>
    <w:rsid w:val="00A92FE7"/>
    <w:rsid w:val="00A9710E"/>
    <w:rsid w:val="00A97DCF"/>
    <w:rsid w:val="00AA07A9"/>
    <w:rsid w:val="00AA1CB8"/>
    <w:rsid w:val="00AA4D71"/>
    <w:rsid w:val="00AB4411"/>
    <w:rsid w:val="00AC05B1"/>
    <w:rsid w:val="00AC372C"/>
    <w:rsid w:val="00AD7A51"/>
    <w:rsid w:val="00AE1D93"/>
    <w:rsid w:val="00AE4069"/>
    <w:rsid w:val="00AE41EB"/>
    <w:rsid w:val="00AE69D4"/>
    <w:rsid w:val="00AF116D"/>
    <w:rsid w:val="00AF2A84"/>
    <w:rsid w:val="00AF5220"/>
    <w:rsid w:val="00B003C9"/>
    <w:rsid w:val="00B11FB4"/>
    <w:rsid w:val="00B1317A"/>
    <w:rsid w:val="00B216BA"/>
    <w:rsid w:val="00B23C0D"/>
    <w:rsid w:val="00B262C4"/>
    <w:rsid w:val="00B27303"/>
    <w:rsid w:val="00B27BA2"/>
    <w:rsid w:val="00B34824"/>
    <w:rsid w:val="00B35E63"/>
    <w:rsid w:val="00B44071"/>
    <w:rsid w:val="00B4658C"/>
    <w:rsid w:val="00B50940"/>
    <w:rsid w:val="00B52751"/>
    <w:rsid w:val="00B55078"/>
    <w:rsid w:val="00B559EA"/>
    <w:rsid w:val="00B6201E"/>
    <w:rsid w:val="00B63298"/>
    <w:rsid w:val="00B664A1"/>
    <w:rsid w:val="00B72678"/>
    <w:rsid w:val="00B728F7"/>
    <w:rsid w:val="00B760C1"/>
    <w:rsid w:val="00B76224"/>
    <w:rsid w:val="00B80452"/>
    <w:rsid w:val="00B81A88"/>
    <w:rsid w:val="00B858D4"/>
    <w:rsid w:val="00B93428"/>
    <w:rsid w:val="00B93458"/>
    <w:rsid w:val="00BA09C1"/>
    <w:rsid w:val="00BA1092"/>
    <w:rsid w:val="00BA3464"/>
    <w:rsid w:val="00BA43A1"/>
    <w:rsid w:val="00BA4509"/>
    <w:rsid w:val="00BA51C1"/>
    <w:rsid w:val="00BB4793"/>
    <w:rsid w:val="00BC37F0"/>
    <w:rsid w:val="00BD558B"/>
    <w:rsid w:val="00BD60A4"/>
    <w:rsid w:val="00BE287E"/>
    <w:rsid w:val="00BE463D"/>
    <w:rsid w:val="00BE48C0"/>
    <w:rsid w:val="00BE5A7F"/>
    <w:rsid w:val="00BF35FB"/>
    <w:rsid w:val="00BF423F"/>
    <w:rsid w:val="00BF681C"/>
    <w:rsid w:val="00C0667C"/>
    <w:rsid w:val="00C069F4"/>
    <w:rsid w:val="00C14B7B"/>
    <w:rsid w:val="00C21C24"/>
    <w:rsid w:val="00C25667"/>
    <w:rsid w:val="00C272A0"/>
    <w:rsid w:val="00C31665"/>
    <w:rsid w:val="00C35FB6"/>
    <w:rsid w:val="00C3731F"/>
    <w:rsid w:val="00C379A8"/>
    <w:rsid w:val="00C37AE3"/>
    <w:rsid w:val="00C40C5A"/>
    <w:rsid w:val="00C42845"/>
    <w:rsid w:val="00C46472"/>
    <w:rsid w:val="00C56CF9"/>
    <w:rsid w:val="00C5772E"/>
    <w:rsid w:val="00C60AE3"/>
    <w:rsid w:val="00C61045"/>
    <w:rsid w:val="00C6142E"/>
    <w:rsid w:val="00C62167"/>
    <w:rsid w:val="00C627C1"/>
    <w:rsid w:val="00C635BE"/>
    <w:rsid w:val="00C638A5"/>
    <w:rsid w:val="00C63CAE"/>
    <w:rsid w:val="00C66479"/>
    <w:rsid w:val="00C71730"/>
    <w:rsid w:val="00C7705C"/>
    <w:rsid w:val="00C85D6C"/>
    <w:rsid w:val="00C9091B"/>
    <w:rsid w:val="00C96CBA"/>
    <w:rsid w:val="00CA02D3"/>
    <w:rsid w:val="00CB013E"/>
    <w:rsid w:val="00CB4A43"/>
    <w:rsid w:val="00CC15EB"/>
    <w:rsid w:val="00CC68E0"/>
    <w:rsid w:val="00CD1BDA"/>
    <w:rsid w:val="00CD65BC"/>
    <w:rsid w:val="00CD7A6A"/>
    <w:rsid w:val="00CE3CBB"/>
    <w:rsid w:val="00CE4054"/>
    <w:rsid w:val="00CF72D6"/>
    <w:rsid w:val="00D03F94"/>
    <w:rsid w:val="00D06ABF"/>
    <w:rsid w:val="00D10AEC"/>
    <w:rsid w:val="00D10CA1"/>
    <w:rsid w:val="00D1269B"/>
    <w:rsid w:val="00D21817"/>
    <w:rsid w:val="00D278FF"/>
    <w:rsid w:val="00D30CCF"/>
    <w:rsid w:val="00D31D3E"/>
    <w:rsid w:val="00D44AC3"/>
    <w:rsid w:val="00D4593A"/>
    <w:rsid w:val="00D51148"/>
    <w:rsid w:val="00D6047A"/>
    <w:rsid w:val="00D615AA"/>
    <w:rsid w:val="00D63054"/>
    <w:rsid w:val="00D659BE"/>
    <w:rsid w:val="00D668EF"/>
    <w:rsid w:val="00D67EB6"/>
    <w:rsid w:val="00D72C76"/>
    <w:rsid w:val="00D74260"/>
    <w:rsid w:val="00D76067"/>
    <w:rsid w:val="00D77984"/>
    <w:rsid w:val="00D8118C"/>
    <w:rsid w:val="00D855EA"/>
    <w:rsid w:val="00DA2523"/>
    <w:rsid w:val="00DA3F4A"/>
    <w:rsid w:val="00DA646D"/>
    <w:rsid w:val="00DA7D43"/>
    <w:rsid w:val="00DB4B20"/>
    <w:rsid w:val="00DC199D"/>
    <w:rsid w:val="00DC32CB"/>
    <w:rsid w:val="00DC422F"/>
    <w:rsid w:val="00DD0271"/>
    <w:rsid w:val="00DD25C3"/>
    <w:rsid w:val="00DE265A"/>
    <w:rsid w:val="00DE3AFB"/>
    <w:rsid w:val="00DE57BE"/>
    <w:rsid w:val="00DE5E13"/>
    <w:rsid w:val="00DE6949"/>
    <w:rsid w:val="00DE6FE4"/>
    <w:rsid w:val="00DF2134"/>
    <w:rsid w:val="00DF48A9"/>
    <w:rsid w:val="00E05EE8"/>
    <w:rsid w:val="00E07235"/>
    <w:rsid w:val="00E11F41"/>
    <w:rsid w:val="00E12A0D"/>
    <w:rsid w:val="00E15109"/>
    <w:rsid w:val="00E23EB0"/>
    <w:rsid w:val="00E23EE2"/>
    <w:rsid w:val="00E24BA9"/>
    <w:rsid w:val="00E25659"/>
    <w:rsid w:val="00E31F1B"/>
    <w:rsid w:val="00E3289C"/>
    <w:rsid w:val="00E33C9F"/>
    <w:rsid w:val="00E40E80"/>
    <w:rsid w:val="00E440E3"/>
    <w:rsid w:val="00E448E2"/>
    <w:rsid w:val="00E51765"/>
    <w:rsid w:val="00E575B0"/>
    <w:rsid w:val="00E60DAB"/>
    <w:rsid w:val="00E61881"/>
    <w:rsid w:val="00E64D71"/>
    <w:rsid w:val="00E70628"/>
    <w:rsid w:val="00E72E36"/>
    <w:rsid w:val="00E7319E"/>
    <w:rsid w:val="00E74765"/>
    <w:rsid w:val="00E7651B"/>
    <w:rsid w:val="00E80EA1"/>
    <w:rsid w:val="00E8445E"/>
    <w:rsid w:val="00E846C4"/>
    <w:rsid w:val="00E87CA4"/>
    <w:rsid w:val="00E908DA"/>
    <w:rsid w:val="00E9261A"/>
    <w:rsid w:val="00E95FC3"/>
    <w:rsid w:val="00E979AB"/>
    <w:rsid w:val="00EA099A"/>
    <w:rsid w:val="00EA7847"/>
    <w:rsid w:val="00EB0D53"/>
    <w:rsid w:val="00EB51A5"/>
    <w:rsid w:val="00EC37DC"/>
    <w:rsid w:val="00EC39BC"/>
    <w:rsid w:val="00EC6FE1"/>
    <w:rsid w:val="00EC7812"/>
    <w:rsid w:val="00ED0984"/>
    <w:rsid w:val="00ED52A1"/>
    <w:rsid w:val="00ED58E0"/>
    <w:rsid w:val="00ED782D"/>
    <w:rsid w:val="00EE0300"/>
    <w:rsid w:val="00EE0CA5"/>
    <w:rsid w:val="00EE140B"/>
    <w:rsid w:val="00EE5B5D"/>
    <w:rsid w:val="00EF33D2"/>
    <w:rsid w:val="00EF3518"/>
    <w:rsid w:val="00EF35FA"/>
    <w:rsid w:val="00EF4B38"/>
    <w:rsid w:val="00EF4CEF"/>
    <w:rsid w:val="00EF50F0"/>
    <w:rsid w:val="00F0189F"/>
    <w:rsid w:val="00F0526A"/>
    <w:rsid w:val="00F065F8"/>
    <w:rsid w:val="00F06C69"/>
    <w:rsid w:val="00F102FD"/>
    <w:rsid w:val="00F14EE1"/>
    <w:rsid w:val="00F15BAD"/>
    <w:rsid w:val="00F23202"/>
    <w:rsid w:val="00F264EF"/>
    <w:rsid w:val="00F304C2"/>
    <w:rsid w:val="00F32E99"/>
    <w:rsid w:val="00F42D78"/>
    <w:rsid w:val="00F432B1"/>
    <w:rsid w:val="00F43CC8"/>
    <w:rsid w:val="00F44463"/>
    <w:rsid w:val="00F454AA"/>
    <w:rsid w:val="00F51201"/>
    <w:rsid w:val="00F56677"/>
    <w:rsid w:val="00F603EC"/>
    <w:rsid w:val="00F60942"/>
    <w:rsid w:val="00F6187C"/>
    <w:rsid w:val="00F61B89"/>
    <w:rsid w:val="00F626EE"/>
    <w:rsid w:val="00F72270"/>
    <w:rsid w:val="00F74A3E"/>
    <w:rsid w:val="00F8083E"/>
    <w:rsid w:val="00F85AAD"/>
    <w:rsid w:val="00F8792B"/>
    <w:rsid w:val="00F901CB"/>
    <w:rsid w:val="00F90414"/>
    <w:rsid w:val="00F95C43"/>
    <w:rsid w:val="00FA0E33"/>
    <w:rsid w:val="00FA23B3"/>
    <w:rsid w:val="00FA360B"/>
    <w:rsid w:val="00FA528B"/>
    <w:rsid w:val="00FA7910"/>
    <w:rsid w:val="00FB0961"/>
    <w:rsid w:val="00FB0B66"/>
    <w:rsid w:val="00FB2482"/>
    <w:rsid w:val="00FB557B"/>
    <w:rsid w:val="00FB5C20"/>
    <w:rsid w:val="00FB6FB7"/>
    <w:rsid w:val="00FC2396"/>
    <w:rsid w:val="00FC5F63"/>
    <w:rsid w:val="00FD198B"/>
    <w:rsid w:val="00FE2638"/>
    <w:rsid w:val="00FE31A6"/>
    <w:rsid w:val="00FE4DB3"/>
    <w:rsid w:val="00FE7D8E"/>
    <w:rsid w:val="00FF49C6"/>
    <w:rsid w:val="00FF6C8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FC1E"/>
  <w15:docId w15:val="{D6A7602D-3E8F-4BCB-9ED2-3D501286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6"/>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47E31"/>
    <w:rPr>
      <w:sz w:val="16"/>
      <w:szCs w:val="16"/>
    </w:rPr>
  </w:style>
  <w:style w:type="paragraph" w:styleId="CommentText">
    <w:name w:val="annotation text"/>
    <w:basedOn w:val="Normal"/>
    <w:link w:val="CommentTextChar"/>
    <w:uiPriority w:val="99"/>
    <w:unhideWhenUsed/>
    <w:rsid w:val="00947E31"/>
    <w:rPr>
      <w:sz w:val="20"/>
      <w:szCs w:val="20"/>
    </w:rPr>
  </w:style>
  <w:style w:type="character" w:customStyle="1" w:styleId="CommentTextChar">
    <w:name w:val="Comment Text Char"/>
    <w:basedOn w:val="DefaultParagraphFont"/>
    <w:link w:val="CommentText"/>
    <w:uiPriority w:val="99"/>
    <w:rsid w:val="00947E31"/>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947E31"/>
    <w:rPr>
      <w:b/>
      <w:bCs/>
    </w:rPr>
  </w:style>
  <w:style w:type="character" w:customStyle="1" w:styleId="CommentSubjectChar">
    <w:name w:val="Comment Subject Char"/>
    <w:basedOn w:val="CommentTextChar"/>
    <w:link w:val="CommentSubject"/>
    <w:uiPriority w:val="99"/>
    <w:semiHidden/>
    <w:rsid w:val="00947E31"/>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rsid w:val="00947E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E31"/>
    <w:rPr>
      <w:rFonts w:ascii="Segoe UI" w:hAnsi="Segoe UI" w:cs="Segoe UI"/>
      <w:sz w:val="18"/>
      <w:szCs w:val="18"/>
      <w:lang w:val="sl-SI"/>
    </w:rPr>
  </w:style>
  <w:style w:type="paragraph" w:styleId="ListBullet">
    <w:name w:val="List Bullet"/>
    <w:basedOn w:val="Normal"/>
    <w:uiPriority w:val="99"/>
    <w:semiHidden/>
    <w:unhideWhenUsed/>
    <w:rsid w:val="00F603EC"/>
    <w:pPr>
      <w:numPr>
        <w:numId w:val="1"/>
      </w:numPr>
      <w:contextualSpacing/>
    </w:pPr>
  </w:style>
  <w:style w:type="paragraph" w:styleId="ListBullet2">
    <w:name w:val="List Bullet 2"/>
    <w:basedOn w:val="Normal"/>
    <w:uiPriority w:val="99"/>
    <w:semiHidden/>
    <w:unhideWhenUsed/>
    <w:rsid w:val="00F603EC"/>
    <w:pPr>
      <w:numPr>
        <w:numId w:val="2"/>
      </w:numPr>
      <w:contextualSpacing/>
    </w:pPr>
  </w:style>
  <w:style w:type="paragraph" w:styleId="ListBullet3">
    <w:name w:val="List Bullet 3"/>
    <w:basedOn w:val="Normal"/>
    <w:uiPriority w:val="99"/>
    <w:semiHidden/>
    <w:unhideWhenUsed/>
    <w:rsid w:val="00F603EC"/>
    <w:pPr>
      <w:numPr>
        <w:numId w:val="3"/>
      </w:numPr>
      <w:contextualSpacing/>
    </w:pPr>
  </w:style>
  <w:style w:type="paragraph" w:styleId="ListBullet4">
    <w:name w:val="List Bullet 4"/>
    <w:basedOn w:val="Normal"/>
    <w:uiPriority w:val="99"/>
    <w:semiHidden/>
    <w:unhideWhenUsed/>
    <w:rsid w:val="00F603EC"/>
    <w:pPr>
      <w:numPr>
        <w:numId w:val="4"/>
      </w:numPr>
      <w:contextualSpacing/>
    </w:pPr>
  </w:style>
  <w:style w:type="paragraph" w:customStyle="1" w:styleId="Default">
    <w:name w:val="Default"/>
    <w:rsid w:val="00844A67"/>
    <w:pPr>
      <w:autoSpaceDE w:val="0"/>
      <w:autoSpaceDN w:val="0"/>
      <w:adjustRightInd w:val="0"/>
      <w:spacing w:after="0" w:line="240" w:lineRule="auto"/>
    </w:pPr>
    <w:rPr>
      <w:rFonts w:ascii="EUAlbertina" w:hAnsi="EUAlbertina" w:cs="EUAlbertina"/>
      <w:color w:val="000000"/>
      <w:sz w:val="24"/>
      <w:szCs w:val="24"/>
    </w:rPr>
  </w:style>
  <w:style w:type="paragraph" w:styleId="Caption">
    <w:name w:val="caption"/>
    <w:basedOn w:val="Normal"/>
    <w:next w:val="Normal"/>
    <w:uiPriority w:val="35"/>
    <w:semiHidden/>
    <w:unhideWhenUsed/>
    <w:qFormat/>
    <w:rsid w:val="00FB24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B2482"/>
    <w:pPr>
      <w:spacing w:after="0"/>
    </w:pPr>
  </w:style>
  <w:style w:type="paragraph" w:styleId="ListNumber">
    <w:name w:val="List Number"/>
    <w:basedOn w:val="Normal"/>
    <w:uiPriority w:val="99"/>
    <w:semiHidden/>
    <w:unhideWhenUsed/>
    <w:rsid w:val="00FB2482"/>
    <w:pPr>
      <w:numPr>
        <w:numId w:val="5"/>
      </w:numPr>
      <w:contextualSpacing/>
    </w:pPr>
  </w:style>
  <w:style w:type="paragraph" w:styleId="ListNumber2">
    <w:name w:val="List Number 2"/>
    <w:basedOn w:val="Normal"/>
    <w:uiPriority w:val="99"/>
    <w:semiHidden/>
    <w:unhideWhenUsed/>
    <w:rsid w:val="00FB2482"/>
    <w:pPr>
      <w:numPr>
        <w:numId w:val="6"/>
      </w:numPr>
      <w:contextualSpacing/>
    </w:pPr>
  </w:style>
  <w:style w:type="paragraph" w:styleId="ListNumber3">
    <w:name w:val="List Number 3"/>
    <w:basedOn w:val="Normal"/>
    <w:uiPriority w:val="99"/>
    <w:semiHidden/>
    <w:unhideWhenUsed/>
    <w:rsid w:val="00FB2482"/>
    <w:pPr>
      <w:numPr>
        <w:numId w:val="7"/>
      </w:numPr>
      <w:contextualSpacing/>
    </w:pPr>
  </w:style>
  <w:style w:type="paragraph" w:styleId="ListNumber4">
    <w:name w:val="List Number 4"/>
    <w:basedOn w:val="Normal"/>
    <w:uiPriority w:val="99"/>
    <w:semiHidden/>
    <w:unhideWhenUsed/>
    <w:rsid w:val="00FB2482"/>
    <w:pPr>
      <w:numPr>
        <w:numId w:val="8"/>
      </w:numPr>
      <w:contextualSpacing/>
    </w:pPr>
  </w:style>
  <w:style w:type="paragraph" w:styleId="ListParagraph">
    <w:name w:val="List Paragraph"/>
    <w:basedOn w:val="Normal"/>
    <w:uiPriority w:val="34"/>
    <w:qFormat/>
    <w:rsid w:val="00341031"/>
    <w:pPr>
      <w:ind w:left="720"/>
      <w:contextualSpacing/>
    </w:pPr>
  </w:style>
  <w:style w:type="character" w:styleId="Hyperlink">
    <w:name w:val="Hyperlink"/>
    <w:basedOn w:val="DefaultParagraphFont"/>
    <w:uiPriority w:val="99"/>
    <w:unhideWhenUsed/>
    <w:rsid w:val="00A31383"/>
    <w:rPr>
      <w:color w:val="0000FF" w:themeColor="hyperlink"/>
      <w:u w:val="single"/>
    </w:rPr>
  </w:style>
  <w:style w:type="paragraph" w:styleId="Revision">
    <w:name w:val="Revision"/>
    <w:hidden/>
    <w:uiPriority w:val="99"/>
    <w:semiHidden/>
    <w:rsid w:val="00913CCD"/>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1648B3"/>
    <w:rPr>
      <w:color w:val="605E5C"/>
      <w:shd w:val="clear" w:color="auto" w:fill="E1DFDD"/>
    </w:rPr>
  </w:style>
  <w:style w:type="paragraph" w:styleId="Header">
    <w:name w:val="header"/>
    <w:basedOn w:val="Normal"/>
    <w:link w:val="HeaderChar"/>
    <w:uiPriority w:val="99"/>
    <w:unhideWhenUsed/>
    <w:rsid w:val="00BB4793"/>
    <w:pPr>
      <w:tabs>
        <w:tab w:val="center" w:pos="4535"/>
        <w:tab w:val="right" w:pos="9071"/>
      </w:tabs>
      <w:spacing w:before="0"/>
    </w:pPr>
  </w:style>
  <w:style w:type="character" w:customStyle="1" w:styleId="HeaderChar">
    <w:name w:val="Header Char"/>
    <w:basedOn w:val="DefaultParagraphFont"/>
    <w:link w:val="Header"/>
    <w:uiPriority w:val="99"/>
    <w:rsid w:val="00BB4793"/>
    <w:rPr>
      <w:rFonts w:ascii="Times New Roman" w:hAnsi="Times New Roman" w:cs="Times New Roman"/>
      <w:sz w:val="24"/>
      <w:lang w:val="sl-SI"/>
    </w:rPr>
  </w:style>
  <w:style w:type="paragraph" w:styleId="Footer">
    <w:name w:val="footer"/>
    <w:basedOn w:val="Normal"/>
    <w:link w:val="FooterChar"/>
    <w:uiPriority w:val="99"/>
    <w:unhideWhenUsed/>
    <w:rsid w:val="00BB479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B4793"/>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B4793"/>
    <w:pPr>
      <w:tabs>
        <w:tab w:val="center" w:pos="7285"/>
        <w:tab w:val="right" w:pos="14003"/>
      </w:tabs>
      <w:spacing w:before="0"/>
    </w:pPr>
  </w:style>
  <w:style w:type="paragraph" w:customStyle="1" w:styleId="FooterLandscape">
    <w:name w:val="FooterLandscape"/>
    <w:basedOn w:val="Normal"/>
    <w:rsid w:val="00BB479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B479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B4793"/>
    <w:pPr>
      <w:spacing w:before="0"/>
      <w:jc w:val="right"/>
    </w:pPr>
    <w:rPr>
      <w:sz w:val="28"/>
    </w:rPr>
  </w:style>
  <w:style w:type="paragraph" w:customStyle="1" w:styleId="FooterSensitivity">
    <w:name w:val="Footer Sensitivity"/>
    <w:basedOn w:val="Normal"/>
    <w:rsid w:val="00BB479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Tiret5">
    <w:name w:val="Tiret 5"/>
    <w:basedOn w:val="Point5"/>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NumPar5">
    <w:name w:val="NumPar 5"/>
    <w:basedOn w:val="Normal"/>
    <w:next w:val="Text2"/>
    <w:pPr>
      <w:numPr>
        <w:ilvl w:val="4"/>
        <w:numId w:val="25"/>
      </w:numPr>
    </w:pPr>
  </w:style>
  <w:style w:type="paragraph" w:customStyle="1" w:styleId="NumPar6">
    <w:name w:val="NumPar 6"/>
    <w:basedOn w:val="Normal"/>
    <w:next w:val="Text2"/>
    <w:pPr>
      <w:numPr>
        <w:ilvl w:val="5"/>
        <w:numId w:val="25"/>
      </w:numPr>
    </w:pPr>
  </w:style>
  <w:style w:type="paragraph" w:customStyle="1" w:styleId="NumPar7">
    <w:name w:val="NumPar 7"/>
    <w:basedOn w:val="Normal"/>
    <w:next w:val="Text2"/>
    <w:pPr>
      <w:numPr>
        <w:ilvl w:val="6"/>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9C178D"/>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9C178D"/>
    <w:pPr>
      <w:spacing w:before="0" w:after="240"/>
      <w:jc w:val="center"/>
    </w:pPr>
  </w:style>
  <w:style w:type="character" w:customStyle="1" w:styleId="TechnicalBlockChar">
    <w:name w:val="Technical Block Char"/>
    <w:basedOn w:val="DefaultParagraphFont"/>
    <w:link w:val="TechnicalBlock"/>
    <w:rsid w:val="009C178D"/>
    <w:rPr>
      <w:rFonts w:ascii="Times New Roman" w:hAnsi="Times New Roman" w:cs="Times New Roman"/>
      <w:sz w:val="24"/>
      <w:lang w:val="sl-SI"/>
    </w:rPr>
  </w:style>
  <w:style w:type="paragraph" w:customStyle="1" w:styleId="Lignefinal">
    <w:name w:val="Ligne final"/>
    <w:basedOn w:val="Normal"/>
    <w:next w:val="Normal"/>
    <w:rsid w:val="009C178D"/>
    <w:pPr>
      <w:pBdr>
        <w:bottom w:val="single" w:sz="4" w:space="0" w:color="000000"/>
      </w:pBdr>
      <w:spacing w:before="360" w:line="360" w:lineRule="auto"/>
      <w:ind w:left="3400" w:right="3400"/>
      <w:jc w:val="center"/>
    </w:pPr>
    <w:rPr>
      <w:b/>
    </w:rPr>
  </w:style>
  <w:style w:type="paragraph" w:customStyle="1" w:styleId="EntText">
    <w:name w:val="EntText"/>
    <w:basedOn w:val="Normal"/>
    <w:rsid w:val="009C178D"/>
    <w:pPr>
      <w:spacing w:line="360" w:lineRule="auto"/>
      <w:jc w:val="left"/>
    </w:pPr>
  </w:style>
  <w:style w:type="paragraph" w:customStyle="1" w:styleId="pj">
    <w:name w:val="p.j."/>
    <w:basedOn w:val="TechnicalBlock"/>
    <w:link w:val="pjChar"/>
    <w:rsid w:val="009C178D"/>
    <w:pPr>
      <w:spacing w:before="1200" w:after="120"/>
      <w:ind w:left="1440" w:hanging="1440"/>
      <w:jc w:val="left"/>
    </w:pPr>
  </w:style>
  <w:style w:type="character" w:customStyle="1" w:styleId="pjChar">
    <w:name w:val="p.j. Char"/>
    <w:basedOn w:val="TechnicalBlockChar"/>
    <w:link w:val="pj"/>
    <w:rsid w:val="009C178D"/>
    <w:rPr>
      <w:rFonts w:ascii="Times New Roman" w:hAnsi="Times New Roman" w:cs="Times New Roman"/>
      <w:sz w:val="24"/>
      <w:lang w:val="sl-SI"/>
    </w:rPr>
  </w:style>
  <w:style w:type="paragraph" w:customStyle="1" w:styleId="nbbordered">
    <w:name w:val="nb bordered"/>
    <w:basedOn w:val="TechnicalBlock"/>
    <w:link w:val="nbborderedChar"/>
    <w:rsid w:val="009C178D"/>
    <w:pPr>
      <w:pBdr>
        <w:top w:val="single" w:sz="4" w:space="1" w:color="auto"/>
        <w:left w:val="single" w:sz="4" w:space="4" w:color="auto"/>
        <w:bottom w:val="single" w:sz="4" w:space="1" w:color="auto"/>
        <w:right w:val="single" w:sz="4" w:space="4" w:color="auto"/>
        <w:between w:val="single" w:sz="4" w:space="0" w:color="auto"/>
      </w:pBdr>
      <w:spacing w:before="120" w:after="160"/>
      <w:ind w:left="480" w:hanging="480"/>
      <w:jc w:val="both"/>
    </w:pPr>
    <w:rPr>
      <w:b/>
    </w:rPr>
  </w:style>
  <w:style w:type="character" w:customStyle="1" w:styleId="nbborderedChar">
    <w:name w:val="nb bordered Char"/>
    <w:basedOn w:val="TechnicalBlockChar"/>
    <w:link w:val="nbbordered"/>
    <w:rsid w:val="009C178D"/>
    <w:rPr>
      <w:rFonts w:ascii="Times New Roman" w:hAnsi="Times New Roman" w:cs="Times New Roman"/>
      <w:b/>
      <w:sz w:val="24"/>
      <w:lang w:val="sl-SI"/>
    </w:rPr>
  </w:style>
  <w:style w:type="paragraph" w:customStyle="1" w:styleId="HeaderCouncil">
    <w:name w:val="Header Council"/>
    <w:basedOn w:val="Normal"/>
    <w:link w:val="HeaderCouncilChar"/>
    <w:rsid w:val="009C178D"/>
    <w:pPr>
      <w:spacing w:before="0" w:after="0"/>
    </w:pPr>
    <w:rPr>
      <w:sz w:val="2"/>
    </w:rPr>
  </w:style>
  <w:style w:type="character" w:customStyle="1" w:styleId="HeaderCouncilChar">
    <w:name w:val="Header Council Char"/>
    <w:basedOn w:val="DefaultParagraphFont"/>
    <w:link w:val="HeaderCouncil"/>
    <w:rsid w:val="009C178D"/>
    <w:rPr>
      <w:rFonts w:ascii="Times New Roman" w:hAnsi="Times New Roman" w:cs="Times New Roman"/>
      <w:sz w:val="2"/>
      <w:lang w:val="sl-SI"/>
    </w:rPr>
  </w:style>
  <w:style w:type="paragraph" w:customStyle="1" w:styleId="HeaderCouncilLarge">
    <w:name w:val="Header Council Large"/>
    <w:basedOn w:val="Normal"/>
    <w:link w:val="HeaderCouncilLargeChar"/>
    <w:rsid w:val="009C178D"/>
    <w:pPr>
      <w:spacing w:before="0" w:after="440"/>
    </w:pPr>
    <w:rPr>
      <w:sz w:val="2"/>
    </w:rPr>
  </w:style>
  <w:style w:type="character" w:customStyle="1" w:styleId="HeaderCouncilLargeChar">
    <w:name w:val="Header Council Large Char"/>
    <w:basedOn w:val="DefaultParagraphFont"/>
    <w:link w:val="HeaderCouncilLarge"/>
    <w:rsid w:val="009C178D"/>
    <w:rPr>
      <w:rFonts w:ascii="Times New Roman" w:hAnsi="Times New Roman" w:cs="Times New Roman"/>
      <w:sz w:val="2"/>
      <w:lang w:val="sl-SI"/>
    </w:rPr>
  </w:style>
  <w:style w:type="paragraph" w:customStyle="1" w:styleId="FooterCouncil">
    <w:name w:val="Footer Council"/>
    <w:basedOn w:val="Normal"/>
    <w:link w:val="FooterCouncilChar"/>
    <w:rsid w:val="009C178D"/>
    <w:pPr>
      <w:spacing w:before="0" w:after="0"/>
    </w:pPr>
    <w:rPr>
      <w:sz w:val="2"/>
    </w:rPr>
  </w:style>
  <w:style w:type="character" w:customStyle="1" w:styleId="FooterCouncilChar">
    <w:name w:val="Footer Council Char"/>
    <w:basedOn w:val="DefaultParagraphFont"/>
    <w:link w:val="FooterCouncil"/>
    <w:rsid w:val="009C178D"/>
    <w:rPr>
      <w:rFonts w:ascii="Times New Roman" w:hAnsi="Times New Roman" w:cs="Times New Roman"/>
      <w:sz w:val="2"/>
      <w:lang w:val="sl-SI"/>
    </w:rPr>
  </w:style>
  <w:style w:type="paragraph" w:customStyle="1" w:styleId="FooterText">
    <w:name w:val="Footer Text"/>
    <w:basedOn w:val="Normal"/>
    <w:rsid w:val="009C178D"/>
    <w:pPr>
      <w:spacing w:before="0" w:after="0"/>
      <w:jc w:val="left"/>
    </w:pPr>
    <w:rPr>
      <w:rFonts w:eastAsia="Times New Roman"/>
      <w:szCs w:val="24"/>
      <w:lang w:val="en-GB"/>
    </w:rPr>
  </w:style>
  <w:style w:type="character" w:styleId="PlaceholderText">
    <w:name w:val="Placeholder Text"/>
    <w:basedOn w:val="DefaultParagraphFont"/>
    <w:uiPriority w:val="99"/>
    <w:semiHidden/>
    <w:rsid w:val="009C17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185">
      <w:bodyDiv w:val="1"/>
      <w:marLeft w:val="0"/>
      <w:marRight w:val="0"/>
      <w:marTop w:val="0"/>
      <w:marBottom w:val="0"/>
      <w:divBdr>
        <w:top w:val="none" w:sz="0" w:space="0" w:color="auto"/>
        <w:left w:val="none" w:sz="0" w:space="0" w:color="auto"/>
        <w:bottom w:val="none" w:sz="0" w:space="0" w:color="auto"/>
        <w:right w:val="none" w:sz="0" w:space="0" w:color="auto"/>
      </w:divBdr>
    </w:div>
    <w:div w:id="202795401">
      <w:bodyDiv w:val="1"/>
      <w:marLeft w:val="0"/>
      <w:marRight w:val="0"/>
      <w:marTop w:val="0"/>
      <w:marBottom w:val="0"/>
      <w:divBdr>
        <w:top w:val="none" w:sz="0" w:space="0" w:color="auto"/>
        <w:left w:val="none" w:sz="0" w:space="0" w:color="auto"/>
        <w:bottom w:val="none" w:sz="0" w:space="0" w:color="auto"/>
        <w:right w:val="none" w:sz="0" w:space="0" w:color="auto"/>
      </w:divBdr>
    </w:div>
    <w:div w:id="208928905">
      <w:bodyDiv w:val="1"/>
      <w:marLeft w:val="0"/>
      <w:marRight w:val="0"/>
      <w:marTop w:val="0"/>
      <w:marBottom w:val="0"/>
      <w:divBdr>
        <w:top w:val="none" w:sz="0" w:space="0" w:color="auto"/>
        <w:left w:val="none" w:sz="0" w:space="0" w:color="auto"/>
        <w:bottom w:val="none" w:sz="0" w:space="0" w:color="auto"/>
        <w:right w:val="none" w:sz="0" w:space="0" w:color="auto"/>
      </w:divBdr>
    </w:div>
    <w:div w:id="850098986">
      <w:bodyDiv w:val="1"/>
      <w:marLeft w:val="0"/>
      <w:marRight w:val="0"/>
      <w:marTop w:val="0"/>
      <w:marBottom w:val="0"/>
      <w:divBdr>
        <w:top w:val="none" w:sz="0" w:space="0" w:color="auto"/>
        <w:left w:val="none" w:sz="0" w:space="0" w:color="auto"/>
        <w:bottom w:val="none" w:sz="0" w:space="0" w:color="auto"/>
        <w:right w:val="none" w:sz="0" w:space="0" w:color="auto"/>
      </w:divBdr>
    </w:div>
    <w:div w:id="1132939395">
      <w:bodyDiv w:val="1"/>
      <w:marLeft w:val="0"/>
      <w:marRight w:val="0"/>
      <w:marTop w:val="0"/>
      <w:marBottom w:val="0"/>
      <w:divBdr>
        <w:top w:val="none" w:sz="0" w:space="0" w:color="auto"/>
        <w:left w:val="none" w:sz="0" w:space="0" w:color="auto"/>
        <w:bottom w:val="none" w:sz="0" w:space="0" w:color="auto"/>
        <w:right w:val="none" w:sz="0" w:space="0" w:color="auto"/>
      </w:divBdr>
    </w:div>
    <w:div w:id="1220750806">
      <w:bodyDiv w:val="1"/>
      <w:marLeft w:val="0"/>
      <w:marRight w:val="0"/>
      <w:marTop w:val="0"/>
      <w:marBottom w:val="0"/>
      <w:divBdr>
        <w:top w:val="none" w:sz="0" w:space="0" w:color="auto"/>
        <w:left w:val="none" w:sz="0" w:space="0" w:color="auto"/>
        <w:bottom w:val="none" w:sz="0" w:space="0" w:color="auto"/>
        <w:right w:val="none" w:sz="0" w:space="0" w:color="auto"/>
      </w:divBdr>
    </w:div>
    <w:div w:id="1220898004">
      <w:bodyDiv w:val="1"/>
      <w:marLeft w:val="0"/>
      <w:marRight w:val="0"/>
      <w:marTop w:val="0"/>
      <w:marBottom w:val="0"/>
      <w:divBdr>
        <w:top w:val="none" w:sz="0" w:space="0" w:color="auto"/>
        <w:left w:val="none" w:sz="0" w:space="0" w:color="auto"/>
        <w:bottom w:val="none" w:sz="0" w:space="0" w:color="auto"/>
        <w:right w:val="none" w:sz="0" w:space="0" w:color="auto"/>
      </w:divBdr>
    </w:div>
    <w:div w:id="1230192560">
      <w:bodyDiv w:val="1"/>
      <w:marLeft w:val="0"/>
      <w:marRight w:val="0"/>
      <w:marTop w:val="0"/>
      <w:marBottom w:val="0"/>
      <w:divBdr>
        <w:top w:val="none" w:sz="0" w:space="0" w:color="auto"/>
        <w:left w:val="none" w:sz="0" w:space="0" w:color="auto"/>
        <w:bottom w:val="none" w:sz="0" w:space="0" w:color="auto"/>
        <w:right w:val="none" w:sz="0" w:space="0" w:color="auto"/>
      </w:divBdr>
    </w:div>
    <w:div w:id="1253901024">
      <w:bodyDiv w:val="1"/>
      <w:marLeft w:val="0"/>
      <w:marRight w:val="0"/>
      <w:marTop w:val="0"/>
      <w:marBottom w:val="0"/>
      <w:divBdr>
        <w:top w:val="none" w:sz="0" w:space="0" w:color="auto"/>
        <w:left w:val="none" w:sz="0" w:space="0" w:color="auto"/>
        <w:bottom w:val="none" w:sz="0" w:space="0" w:color="auto"/>
        <w:right w:val="none" w:sz="0" w:space="0" w:color="auto"/>
      </w:divBdr>
    </w:div>
    <w:div w:id="1267230884">
      <w:bodyDiv w:val="1"/>
      <w:marLeft w:val="0"/>
      <w:marRight w:val="0"/>
      <w:marTop w:val="0"/>
      <w:marBottom w:val="0"/>
      <w:divBdr>
        <w:top w:val="none" w:sz="0" w:space="0" w:color="auto"/>
        <w:left w:val="none" w:sz="0" w:space="0" w:color="auto"/>
        <w:bottom w:val="none" w:sz="0" w:space="0" w:color="auto"/>
        <w:right w:val="none" w:sz="0" w:space="0" w:color="auto"/>
      </w:divBdr>
    </w:div>
    <w:div w:id="1400205688">
      <w:bodyDiv w:val="1"/>
      <w:marLeft w:val="0"/>
      <w:marRight w:val="0"/>
      <w:marTop w:val="0"/>
      <w:marBottom w:val="0"/>
      <w:divBdr>
        <w:top w:val="none" w:sz="0" w:space="0" w:color="auto"/>
        <w:left w:val="none" w:sz="0" w:space="0" w:color="auto"/>
        <w:bottom w:val="none" w:sz="0" w:space="0" w:color="auto"/>
        <w:right w:val="none" w:sz="0" w:space="0" w:color="auto"/>
      </w:divBdr>
    </w:div>
    <w:div w:id="1404179552">
      <w:bodyDiv w:val="1"/>
      <w:marLeft w:val="0"/>
      <w:marRight w:val="0"/>
      <w:marTop w:val="0"/>
      <w:marBottom w:val="0"/>
      <w:divBdr>
        <w:top w:val="none" w:sz="0" w:space="0" w:color="auto"/>
        <w:left w:val="none" w:sz="0" w:space="0" w:color="auto"/>
        <w:bottom w:val="none" w:sz="0" w:space="0" w:color="auto"/>
        <w:right w:val="none" w:sz="0" w:space="0" w:color="auto"/>
      </w:divBdr>
    </w:div>
    <w:div w:id="1572932547">
      <w:bodyDiv w:val="1"/>
      <w:marLeft w:val="0"/>
      <w:marRight w:val="0"/>
      <w:marTop w:val="0"/>
      <w:marBottom w:val="0"/>
      <w:divBdr>
        <w:top w:val="none" w:sz="0" w:space="0" w:color="auto"/>
        <w:left w:val="none" w:sz="0" w:space="0" w:color="auto"/>
        <w:bottom w:val="none" w:sz="0" w:space="0" w:color="auto"/>
        <w:right w:val="none" w:sz="0" w:space="0" w:color="auto"/>
      </w:divBdr>
    </w:div>
    <w:div w:id="1574194327">
      <w:bodyDiv w:val="1"/>
      <w:marLeft w:val="0"/>
      <w:marRight w:val="0"/>
      <w:marTop w:val="0"/>
      <w:marBottom w:val="0"/>
      <w:divBdr>
        <w:top w:val="none" w:sz="0" w:space="0" w:color="auto"/>
        <w:left w:val="none" w:sz="0" w:space="0" w:color="auto"/>
        <w:bottom w:val="none" w:sz="0" w:space="0" w:color="auto"/>
        <w:right w:val="none" w:sz="0" w:space="0" w:color="auto"/>
      </w:divBdr>
    </w:div>
    <w:div w:id="1576167498">
      <w:bodyDiv w:val="1"/>
      <w:marLeft w:val="0"/>
      <w:marRight w:val="0"/>
      <w:marTop w:val="0"/>
      <w:marBottom w:val="0"/>
      <w:divBdr>
        <w:top w:val="none" w:sz="0" w:space="0" w:color="auto"/>
        <w:left w:val="none" w:sz="0" w:space="0" w:color="auto"/>
        <w:bottom w:val="none" w:sz="0" w:space="0" w:color="auto"/>
        <w:right w:val="none" w:sz="0" w:space="0" w:color="auto"/>
      </w:divBdr>
    </w:div>
    <w:div w:id="1654144712">
      <w:bodyDiv w:val="1"/>
      <w:marLeft w:val="0"/>
      <w:marRight w:val="0"/>
      <w:marTop w:val="0"/>
      <w:marBottom w:val="0"/>
      <w:divBdr>
        <w:top w:val="none" w:sz="0" w:space="0" w:color="auto"/>
        <w:left w:val="none" w:sz="0" w:space="0" w:color="auto"/>
        <w:bottom w:val="none" w:sz="0" w:space="0" w:color="auto"/>
        <w:right w:val="none" w:sz="0" w:space="0" w:color="auto"/>
      </w:divBdr>
    </w:div>
    <w:div w:id="1664967158">
      <w:bodyDiv w:val="1"/>
      <w:marLeft w:val="0"/>
      <w:marRight w:val="0"/>
      <w:marTop w:val="0"/>
      <w:marBottom w:val="0"/>
      <w:divBdr>
        <w:top w:val="none" w:sz="0" w:space="0" w:color="auto"/>
        <w:left w:val="none" w:sz="0" w:space="0" w:color="auto"/>
        <w:bottom w:val="none" w:sz="0" w:space="0" w:color="auto"/>
        <w:right w:val="none" w:sz="0" w:space="0" w:color="auto"/>
      </w:divBdr>
    </w:div>
    <w:div w:id="1701736603">
      <w:bodyDiv w:val="1"/>
      <w:marLeft w:val="0"/>
      <w:marRight w:val="0"/>
      <w:marTop w:val="0"/>
      <w:marBottom w:val="0"/>
      <w:divBdr>
        <w:top w:val="none" w:sz="0" w:space="0" w:color="auto"/>
        <w:left w:val="none" w:sz="0" w:space="0" w:color="auto"/>
        <w:bottom w:val="none" w:sz="0" w:space="0" w:color="auto"/>
        <w:right w:val="none" w:sz="0" w:space="0" w:color="auto"/>
      </w:divBdr>
    </w:div>
    <w:div w:id="1861890574">
      <w:bodyDiv w:val="1"/>
      <w:marLeft w:val="0"/>
      <w:marRight w:val="0"/>
      <w:marTop w:val="0"/>
      <w:marBottom w:val="0"/>
      <w:divBdr>
        <w:top w:val="none" w:sz="0" w:space="0" w:color="auto"/>
        <w:left w:val="none" w:sz="0" w:space="0" w:color="auto"/>
        <w:bottom w:val="none" w:sz="0" w:space="0" w:color="auto"/>
        <w:right w:val="none" w:sz="0" w:space="0" w:color="auto"/>
      </w:divBdr>
    </w:div>
    <w:div w:id="1981835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fcm.sharepoint.com/CoC/Decisions%20Texts/Forms/AllItems.aspx?id=%2FCoC%2FDecisions%20Texts%2FREC%2ECM%5FGFCM%5F45%5F2022%5F7%2De%2Epdf&amp;parent=%2FCoC%2FDecisions%20Texts&amp;p=true&amp;ga=1" TargetMode="External"/><Relationship Id="rId3" Type="http://schemas.openxmlformats.org/officeDocument/2006/relationships/hyperlink" Target="https://gfcm.sharepoint.com/CoC/Decisions%20Texts/Forms/AllItems.aspx?id=%2FCoC%2FDecisions%20Texts%2FREC%2ECM%5FGFCM%5F43%5F2019%5F5%2De%2Epdf&amp;parent=%2FCoC%2FDecisions%20Texts&amp;p=true&amp;ga=1" TargetMode="External"/><Relationship Id="rId7" Type="http://schemas.openxmlformats.org/officeDocument/2006/relationships/hyperlink" Target="https://gfcm.sharepoint.com/CoC/Decisions%20Texts/Forms/AllItems.aspx?id=%2FCoC%2FDecisions%20Texts%2FREC%2ECM%5FGFCM%5F45%5F2022%5F6%2De%2Epdf&amp;parent=%2FCoC%2FDecisions%20Texts&amp;p=true&amp;ga=1" TargetMode="External"/><Relationship Id="rId2" Type="http://schemas.openxmlformats.org/officeDocument/2006/relationships/hyperlink" Target="http://data.europa.eu/eli/reg/1996/847/oj" TargetMode="External"/><Relationship Id="rId1" Type="http://schemas.openxmlformats.org/officeDocument/2006/relationships/hyperlink" Target="https://eur-lex.europa.eu/legal-content/SL/TXT/PDF/?uri=CONSIL:ST_11623_2023_INIT" TargetMode="External"/><Relationship Id="rId6" Type="http://schemas.openxmlformats.org/officeDocument/2006/relationships/hyperlink" Target="https://gfcm.sharepoint.com/CoC/Decisions%20Texts/Forms/AllItems.aspx?id=%2FCoC%2FDecisions%20Texts%2FREC%2ECM%5FGFCM%5F45%5F2022%5F5%2De%2Epdf&amp;parent=%2FCoC%2FDecisions%20Texts&amp;p=true&amp;ga=1" TargetMode="External"/><Relationship Id="rId5" Type="http://schemas.openxmlformats.org/officeDocument/2006/relationships/hyperlink" Target="https://gfcm.sharepoint.com/CoC/Decisions%20Texts/Forms/AllItems.aspx?id=%2FCoC%2FDecisions%20Texts%2FREC%2ECM%5FGFCM%5F45%5F2022%5F4%2De%2Epdf&amp;parent=%2FCoC%2FDecisions%20Texts&amp;p=true&amp;ga=1" TargetMode="External"/><Relationship Id="rId10" Type="http://schemas.openxmlformats.org/officeDocument/2006/relationships/hyperlink" Target="https://gfcm.sharepoint.com/CoC/Decisions%20Texts/Forms/AllItems.aspx?id=%2FCoC%2FDecisions%20Texts%2FREC%2ECM%5FGFCM%5F45%5F2022%5F9%2De%2Epdf&amp;parent=%2FCoC%2FDecisions%20Texts&amp;p=true&amp;ga=1" TargetMode="External"/><Relationship Id="rId4" Type="http://schemas.openxmlformats.org/officeDocument/2006/relationships/hyperlink" Target="https://gfcm.sharepoint.com/CoC/Decisions%20Texts/Forms/AllItems.aspx?id=%2FCoC%2FDecisions%20Texts%2FREC%2ECM%5FGFCM%5F44%5F2021%5F20%2De%2Epdf&amp;parent=%2FCoC%2FDecisions%20Texts&amp;p=true&amp;ga=1" TargetMode="External"/><Relationship Id="rId9" Type="http://schemas.openxmlformats.org/officeDocument/2006/relationships/hyperlink" Target="https://gfcm.sharepoint.com/CoC/Decisions%20Texts/Forms/AllItems.aspx?id=%2FCoC%2FDecisions%20Texts%2FREC%2ECM%5FGFCM%5F45%5F2022%5F3%2De%2Epdf&amp;parent=%2FCoC%2FDecisions%20Texts&amp;p=true&amp;g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Props1.xml><?xml version="1.0" encoding="utf-8"?>
<ds:datastoreItem xmlns:ds="http://schemas.openxmlformats.org/officeDocument/2006/customXml" ds:itemID="{CCBFAAFE-63C8-4706-A0ED-146609F26DEE}">
  <ds:schemaRefs>
    <ds:schemaRef ds:uri="http://schemas.openxmlformats.org/officeDocument/2006/bibliography"/>
  </ds:schemaRefs>
</ds:datastoreItem>
</file>

<file path=customXml/itemProps2.xml><?xml version="1.0" encoding="utf-8"?>
<ds:datastoreItem xmlns:ds="http://schemas.openxmlformats.org/officeDocument/2006/customXml" ds:itemID="{FCEF4AC8-5F56-4C00-8264-B94126FDF18D}">
  <ds:schemaRefs>
    <ds:schemaRef ds:uri="http://schemas.microsoft.com/sharepoint/v3/contenttype/forms"/>
  </ds:schemaRefs>
</ds:datastoreItem>
</file>

<file path=customXml/itemProps3.xml><?xml version="1.0" encoding="utf-8"?>
<ds:datastoreItem xmlns:ds="http://schemas.openxmlformats.org/officeDocument/2006/customXml" ds:itemID="{B7736DE6-C1D7-4EE8-9E95-AB2BA9A5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EB812-6D68-4C8F-B3E8-93688CA81ADC}">
  <ds:schemaRefs>
    <ds:schemaRef ds:uri="http://purl.org/dc/terms/"/>
    <ds:schemaRef ds:uri="http://schemas.microsoft.com/office/infopath/2007/PartnerControls"/>
    <ds:schemaRef ds:uri="http://schemas.openxmlformats.org/package/2006/metadata/core-properties"/>
    <ds:schemaRef ds:uri="http://schemas.microsoft.com/sharepoint/v3/fields"/>
    <ds:schemaRef ds:uri="http://schemas.microsoft.com/office/2006/documentManagement/types"/>
    <ds:schemaRef ds:uri="http://purl.org/dc/elements/1.1/"/>
    <ds:schemaRef ds:uri="http://schemas.microsoft.com/office/2006/metadata/properties"/>
    <ds:schemaRef ds:uri="379e0a09-5deb-44c7-a703-b352a170740d"/>
    <ds:schemaRef ds:uri="39d607b5-3019-4139-86e9-2e131faaffa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Pages>
  <Words>6531</Words>
  <Characters>37231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NOVAK Roman</dc:creator>
  <cp:keywords/>
  <dc:description/>
  <cp:lastModifiedBy>NOVAK Roman</cp:lastModifiedBy>
  <cp:revision>3</cp:revision>
  <cp:lastPrinted>2023-06-26T09:33:00Z</cp:lastPrinted>
  <dcterms:created xsi:type="dcterms:W3CDTF">2023-10-13T09:11:00Z</dcterms:created>
  <dcterms:modified xsi:type="dcterms:W3CDTF">2023-10-13T09:11:00Z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DocuWrite 4.8.5, Build 20230921</vt:lpwstr>
  </property>
  <property fmtid="{D5CDD505-2E9C-101B-9397-08002B2CF9AE}" pid="5" name="Created using">
    <vt:lpwstr>DocuWrite 4.8.5, Build 20230921</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MSIP_Label_6bd9ddd1-4d20-43f6-abfa-fc3c07406f94_Enabled">
    <vt:lpwstr>true</vt:lpwstr>
  </property>
  <property fmtid="{D5CDD505-2E9C-101B-9397-08002B2CF9AE}" pid="11" name="MSIP_Label_6bd9ddd1-4d20-43f6-abfa-fc3c07406f94_SetDate">
    <vt:lpwstr>2023-05-12T09:19:05Z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a96f2bda-b0fe-4b62-ac20-321c0bb0a9cc</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DQCStatus">
    <vt:lpwstr>Green (DQC version 03)</vt:lpwstr>
  </property>
  <property fmtid="{D5CDD505-2E9C-101B-9397-08002B2CF9AE}" pid="19" name="MSIP_Label_b1df41d6-74a9-4a97-809c-213cd32520cc_Enabled">
    <vt:lpwstr>true</vt:lpwstr>
  </property>
  <property fmtid="{D5CDD505-2E9C-101B-9397-08002B2CF9AE}" pid="20" name="MSIP_Label_b1df41d6-74a9-4a97-809c-213cd32520cc_SetDate">
    <vt:lpwstr>2023-10-13T09:11:08Z</vt:lpwstr>
  </property>
  <property fmtid="{D5CDD505-2E9C-101B-9397-08002B2CF9AE}" pid="21" name="MSIP_Label_b1df41d6-74a9-4a97-809c-213cd32520cc_Method">
    <vt:lpwstr>Privileged</vt:lpwstr>
  </property>
  <property fmtid="{D5CDD505-2E9C-101B-9397-08002B2CF9AE}" pid="22" name="MSIP_Label_b1df41d6-74a9-4a97-809c-213cd32520cc_Name">
    <vt:lpwstr>GSCEU - NON PUBLIC Label</vt:lpwstr>
  </property>
  <property fmtid="{D5CDD505-2E9C-101B-9397-08002B2CF9AE}" pid="23" name="MSIP_Label_b1df41d6-74a9-4a97-809c-213cd32520cc_SiteId">
    <vt:lpwstr>03ad1c97-0a4d-4e82-8f93-27291a6a0767</vt:lpwstr>
  </property>
  <property fmtid="{D5CDD505-2E9C-101B-9397-08002B2CF9AE}" pid="24" name="MSIP_Label_b1df41d6-74a9-4a97-809c-213cd32520cc_ActionId">
    <vt:lpwstr>e9aed9e7-72e2-40ce-a880-1609ed87dad6</vt:lpwstr>
  </property>
  <property fmtid="{D5CDD505-2E9C-101B-9397-08002B2CF9AE}" pid="25" name="MSIP_Label_b1df41d6-74a9-4a97-809c-213cd32520cc_ContentBits">
    <vt:lpwstr>0</vt:lpwstr>
  </property>
</Properties>
</file>