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EDA32B" w14:textId="77777777" w:rsidR="003636EA" w:rsidRPr="00F7519C" w:rsidRDefault="003636EA" w:rsidP="00F7519C">
      <w:pPr>
        <w:pStyle w:val="datumtevilka"/>
        <w:rPr>
          <w:rFonts w:cs="Arial"/>
          <w:color w:val="000000"/>
        </w:rPr>
      </w:pPr>
    </w:p>
    <w:p w14:paraId="57995C78" w14:textId="77777777" w:rsidR="00591C95" w:rsidRPr="00F7519C" w:rsidRDefault="00591C95" w:rsidP="00F7519C">
      <w:pPr>
        <w:pStyle w:val="datumtevilka"/>
        <w:rPr>
          <w:rFonts w:cs="Arial"/>
          <w:color w:val="000000"/>
        </w:rPr>
      </w:pPr>
    </w:p>
    <w:p w14:paraId="317D5C1C" w14:textId="77777777" w:rsidR="00BC4830" w:rsidRPr="00F7519C" w:rsidRDefault="00BC4830" w:rsidP="00F7519C">
      <w:pPr>
        <w:pStyle w:val="datumtevilka"/>
        <w:rPr>
          <w:rFonts w:cs="Arial"/>
        </w:rPr>
      </w:pPr>
    </w:p>
    <w:p w14:paraId="314362F5" w14:textId="7B90E10D" w:rsidR="003636EA" w:rsidRPr="00F7519C" w:rsidRDefault="003636EA" w:rsidP="00F7519C">
      <w:pPr>
        <w:pStyle w:val="datumtevilka"/>
        <w:rPr>
          <w:rFonts w:cs="Arial"/>
        </w:rPr>
      </w:pPr>
      <w:r w:rsidRPr="00F7519C">
        <w:rPr>
          <w:rFonts w:cs="Arial"/>
        </w:rPr>
        <w:t xml:space="preserve">Številka: </w:t>
      </w:r>
      <w:r w:rsidRPr="00F7519C">
        <w:rPr>
          <w:rFonts w:cs="Arial"/>
        </w:rPr>
        <w:tab/>
      </w:r>
      <w:r w:rsidR="001B2327">
        <w:rPr>
          <w:rFonts w:cs="Arial"/>
          <w:color w:val="000000"/>
        </w:rPr>
        <w:t>09500-8/2023/4</w:t>
      </w:r>
    </w:p>
    <w:p w14:paraId="0138211B" w14:textId="77777777" w:rsidR="003636EA" w:rsidRPr="00F7519C" w:rsidRDefault="003636EA" w:rsidP="00F7519C">
      <w:pPr>
        <w:pStyle w:val="datumtevilka"/>
        <w:rPr>
          <w:rFonts w:cs="Arial"/>
        </w:rPr>
      </w:pPr>
      <w:r w:rsidRPr="00F7519C">
        <w:rPr>
          <w:rFonts w:cs="Arial"/>
        </w:rPr>
        <w:t xml:space="preserve">Datum: </w:t>
      </w:r>
      <w:r w:rsidRPr="00F7519C">
        <w:rPr>
          <w:rFonts w:cs="Arial"/>
        </w:rPr>
        <w:tab/>
      </w:r>
      <w:r w:rsidR="006E091A" w:rsidRPr="00F7519C">
        <w:rPr>
          <w:rFonts w:cs="Arial"/>
          <w:color w:val="000000"/>
        </w:rPr>
        <w:t>28. 9. 2023</w:t>
      </w:r>
      <w:r w:rsidRPr="00F7519C">
        <w:rPr>
          <w:rFonts w:cs="Arial"/>
        </w:rPr>
        <w:t xml:space="preserve"> </w:t>
      </w:r>
    </w:p>
    <w:p w14:paraId="615AC2F4" w14:textId="77777777" w:rsidR="003636EA" w:rsidRPr="00F7519C" w:rsidRDefault="003636EA" w:rsidP="00F7519C">
      <w:pPr>
        <w:rPr>
          <w:rFonts w:cs="Arial"/>
          <w:szCs w:val="20"/>
        </w:rPr>
      </w:pPr>
    </w:p>
    <w:p w14:paraId="71F5E2AE" w14:textId="77777777" w:rsidR="00F7519C" w:rsidRPr="00F7519C" w:rsidRDefault="00F7519C" w:rsidP="00F7519C">
      <w:pPr>
        <w:ind w:left="720"/>
        <w:contextualSpacing/>
        <w:rPr>
          <w:rFonts w:cs="Arial"/>
          <w:b/>
          <w:szCs w:val="20"/>
          <w:lang w:eastAsia="sl-SI"/>
        </w:rPr>
      </w:pPr>
    </w:p>
    <w:p w14:paraId="010622ED" w14:textId="77777777" w:rsidR="00F7519C" w:rsidRPr="00F7519C" w:rsidRDefault="00F7519C" w:rsidP="00F7519C">
      <w:pPr>
        <w:overflowPunct w:val="0"/>
        <w:autoSpaceDE w:val="0"/>
        <w:autoSpaceDN w:val="0"/>
        <w:adjustRightInd w:val="0"/>
        <w:jc w:val="center"/>
        <w:textAlignment w:val="baseline"/>
        <w:rPr>
          <w:rFonts w:cs="Arial"/>
          <w:b/>
          <w:szCs w:val="20"/>
          <w:lang w:eastAsia="sl-SI"/>
        </w:rPr>
      </w:pPr>
      <w:r w:rsidRPr="00F7519C">
        <w:rPr>
          <w:rFonts w:cs="Arial"/>
          <w:b/>
          <w:szCs w:val="20"/>
          <w:lang w:eastAsia="sl-SI"/>
        </w:rPr>
        <w:t xml:space="preserve">SPREMEMBE PROGRAMA </w:t>
      </w:r>
    </w:p>
    <w:p w14:paraId="63769F5C" w14:textId="4A386866" w:rsidR="00F7519C" w:rsidRPr="00F7519C" w:rsidRDefault="00F7519C" w:rsidP="00F7519C">
      <w:pPr>
        <w:overflowPunct w:val="0"/>
        <w:autoSpaceDE w:val="0"/>
        <w:autoSpaceDN w:val="0"/>
        <w:adjustRightInd w:val="0"/>
        <w:jc w:val="center"/>
        <w:textAlignment w:val="baseline"/>
        <w:rPr>
          <w:rFonts w:cs="Arial"/>
          <w:b/>
          <w:szCs w:val="20"/>
          <w:lang w:eastAsia="sl-SI"/>
        </w:rPr>
      </w:pPr>
      <w:r w:rsidRPr="00F7519C">
        <w:rPr>
          <w:rFonts w:cs="Arial"/>
          <w:b/>
          <w:szCs w:val="20"/>
          <w:lang w:eastAsia="sl-SI"/>
        </w:rPr>
        <w:t xml:space="preserve">SPODBUJANJA GOSPODARSKE OSNOVE MADŽARSKE NARODNE SKUPNOSTI </w:t>
      </w:r>
      <w:r>
        <w:rPr>
          <w:rFonts w:cs="Arial"/>
          <w:b/>
          <w:szCs w:val="20"/>
          <w:lang w:eastAsia="sl-SI"/>
        </w:rPr>
        <w:br/>
      </w:r>
      <w:r w:rsidRPr="00F7519C">
        <w:rPr>
          <w:rFonts w:cs="Arial"/>
          <w:b/>
          <w:szCs w:val="20"/>
          <w:lang w:eastAsia="sl-SI"/>
        </w:rPr>
        <w:t>2021</w:t>
      </w:r>
      <w:r w:rsidR="009C217D">
        <w:rPr>
          <w:rFonts w:cs="Arial"/>
          <w:b/>
          <w:szCs w:val="20"/>
          <w:lang w:eastAsia="sl-SI"/>
        </w:rPr>
        <w:sym w:font="Symbol" w:char="F02D"/>
      </w:r>
      <w:r w:rsidRPr="00F7519C">
        <w:rPr>
          <w:rFonts w:cs="Arial"/>
          <w:b/>
          <w:szCs w:val="20"/>
          <w:lang w:eastAsia="sl-SI"/>
        </w:rPr>
        <w:t>2024</w:t>
      </w:r>
    </w:p>
    <w:p w14:paraId="58CC6E47" w14:textId="77777777" w:rsidR="00F7519C" w:rsidRDefault="00F7519C" w:rsidP="00F7519C">
      <w:pPr>
        <w:overflowPunct w:val="0"/>
        <w:autoSpaceDE w:val="0"/>
        <w:autoSpaceDN w:val="0"/>
        <w:adjustRightInd w:val="0"/>
        <w:jc w:val="center"/>
        <w:textAlignment w:val="baseline"/>
        <w:rPr>
          <w:rFonts w:cs="Arial"/>
          <w:b/>
          <w:szCs w:val="20"/>
          <w:lang w:eastAsia="sl-SI"/>
        </w:rPr>
      </w:pPr>
    </w:p>
    <w:p w14:paraId="35AF87A4" w14:textId="77777777" w:rsidR="00F7519C" w:rsidRPr="00F7519C" w:rsidRDefault="00F7519C" w:rsidP="00F7519C">
      <w:pPr>
        <w:overflowPunct w:val="0"/>
        <w:autoSpaceDE w:val="0"/>
        <w:autoSpaceDN w:val="0"/>
        <w:adjustRightInd w:val="0"/>
        <w:jc w:val="center"/>
        <w:textAlignment w:val="baseline"/>
        <w:rPr>
          <w:rFonts w:cs="Arial"/>
          <w:b/>
          <w:szCs w:val="20"/>
          <w:lang w:eastAsia="sl-SI"/>
        </w:rPr>
      </w:pPr>
    </w:p>
    <w:p w14:paraId="29F35CFF" w14:textId="77777777" w:rsidR="00F7519C" w:rsidRDefault="00F7519C" w:rsidP="00F7519C">
      <w:pPr>
        <w:overflowPunct w:val="0"/>
        <w:autoSpaceDE w:val="0"/>
        <w:autoSpaceDN w:val="0"/>
        <w:adjustRightInd w:val="0"/>
        <w:jc w:val="center"/>
        <w:textAlignment w:val="baseline"/>
        <w:rPr>
          <w:rFonts w:cs="Arial"/>
          <w:szCs w:val="20"/>
          <w:lang w:eastAsia="sl-SI"/>
        </w:rPr>
      </w:pPr>
      <w:r w:rsidRPr="00F7519C">
        <w:rPr>
          <w:rFonts w:cs="Arial"/>
          <w:szCs w:val="20"/>
          <w:lang w:eastAsia="sl-SI"/>
        </w:rPr>
        <w:t>I.</w:t>
      </w:r>
    </w:p>
    <w:p w14:paraId="784361E0" w14:textId="77777777" w:rsidR="00F7519C" w:rsidRPr="00F7519C" w:rsidRDefault="00F7519C" w:rsidP="00F7519C">
      <w:pPr>
        <w:overflowPunct w:val="0"/>
        <w:autoSpaceDE w:val="0"/>
        <w:autoSpaceDN w:val="0"/>
        <w:adjustRightInd w:val="0"/>
        <w:jc w:val="center"/>
        <w:textAlignment w:val="baseline"/>
        <w:rPr>
          <w:rFonts w:cs="Arial"/>
          <w:szCs w:val="20"/>
          <w:lang w:eastAsia="sl-SI"/>
        </w:rPr>
      </w:pPr>
    </w:p>
    <w:p w14:paraId="4C0EB3E7" w14:textId="44EE11FA" w:rsidR="00F7519C" w:rsidRPr="00F7519C" w:rsidRDefault="00F7519C" w:rsidP="00F7519C">
      <w:pPr>
        <w:jc w:val="both"/>
        <w:rPr>
          <w:rFonts w:cs="Arial"/>
          <w:szCs w:val="20"/>
          <w:u w:color="000000"/>
        </w:rPr>
      </w:pPr>
      <w:r w:rsidRPr="00F7519C">
        <w:rPr>
          <w:rFonts w:cs="Arial"/>
          <w:szCs w:val="20"/>
          <w:u w:color="000000"/>
        </w:rPr>
        <w:t xml:space="preserve">V Programu spodbujanja gospodarske osnove madžarske narodne skupnosti 2021–2024 </w:t>
      </w:r>
      <w:r>
        <w:rPr>
          <w:rFonts w:cs="Arial"/>
          <w:szCs w:val="20"/>
          <w:u w:color="000000"/>
        </w:rPr>
        <w:br/>
      </w:r>
      <w:r w:rsidRPr="00F7519C">
        <w:rPr>
          <w:rFonts w:cs="Arial"/>
          <w:szCs w:val="20"/>
          <w:u w:color="000000"/>
        </w:rPr>
        <w:t>(v nadaljnjem besedilu: Program)</w:t>
      </w:r>
      <w:r w:rsidR="00BC1E5F">
        <w:rPr>
          <w:rFonts w:cs="Arial"/>
          <w:szCs w:val="20"/>
          <w:u w:color="000000"/>
        </w:rPr>
        <w:t xml:space="preserve"> </w:t>
      </w:r>
      <w:r w:rsidRPr="00F7519C">
        <w:rPr>
          <w:rFonts w:cs="Arial"/>
          <w:szCs w:val="20"/>
          <w:u w:color="000000"/>
        </w:rPr>
        <w:t>se v poglavju 3 v točki 3.4. pri ukrepu 4 drugi odstav</w:t>
      </w:r>
      <w:r>
        <w:rPr>
          <w:rFonts w:cs="Arial"/>
          <w:szCs w:val="20"/>
          <w:u w:color="000000"/>
        </w:rPr>
        <w:t>ek spremeni tako, da se glasi:</w:t>
      </w:r>
      <w:r w:rsidR="00BC1E5F">
        <w:rPr>
          <w:rFonts w:cs="Arial"/>
          <w:szCs w:val="20"/>
          <w:u w:color="000000"/>
        </w:rPr>
        <w:t xml:space="preserve"> </w:t>
      </w:r>
      <w:r>
        <w:rPr>
          <w:rFonts w:cs="Arial"/>
          <w:szCs w:val="20"/>
          <w:u w:color="000000"/>
        </w:rPr>
        <w:t>»</w:t>
      </w:r>
      <w:r w:rsidRPr="00F7519C">
        <w:rPr>
          <w:rFonts w:cs="Arial"/>
          <w:szCs w:val="20"/>
          <w:lang w:eastAsia="zh-CN"/>
        </w:rPr>
        <w:t>Kmetijski proizvod pomeni kmetijski proizvod, kot je opr</w:t>
      </w:r>
      <w:r w:rsidR="009447A0">
        <w:rPr>
          <w:rFonts w:cs="Arial"/>
          <w:szCs w:val="20"/>
          <w:lang w:eastAsia="zh-CN"/>
        </w:rPr>
        <w:t>edeljen v 7. točki 2. </w:t>
      </w:r>
      <w:r w:rsidRPr="00F7519C">
        <w:rPr>
          <w:rFonts w:cs="Arial"/>
          <w:szCs w:val="20"/>
          <w:lang w:eastAsia="zh-CN"/>
        </w:rPr>
        <w:t>člena Uredbe Komisije (EU) 2022/2472 z dne 14. decembra 2022 o razglasitvi nekaterih vrst pomoči v kmetijskem in gozdarskem sektorju ter na podeželju za združljive z notranjim trgom z uporabo členov 107 in 108 Pogodbe o delovanju Evropske unije (UL L št. 327 z dne 21. 12. 2022, str. 1; v nadaljnjem besedilu: Uredba 2022/2472/EU).«</w:t>
      </w:r>
      <w:r w:rsidRPr="00F7519C">
        <w:rPr>
          <w:rFonts w:cs="Arial"/>
          <w:szCs w:val="20"/>
          <w:u w:color="000000"/>
        </w:rPr>
        <w:t>.</w:t>
      </w:r>
    </w:p>
    <w:p w14:paraId="267BA1E0" w14:textId="77777777" w:rsidR="00F7519C" w:rsidRDefault="00F7519C" w:rsidP="00F7519C">
      <w:pPr>
        <w:overflowPunct w:val="0"/>
        <w:autoSpaceDE w:val="0"/>
        <w:autoSpaceDN w:val="0"/>
        <w:adjustRightInd w:val="0"/>
        <w:textAlignment w:val="baseline"/>
        <w:rPr>
          <w:rFonts w:cs="Arial"/>
          <w:szCs w:val="20"/>
          <w:lang w:eastAsia="sl-SI"/>
        </w:rPr>
      </w:pPr>
    </w:p>
    <w:p w14:paraId="76B40D19" w14:textId="77777777" w:rsidR="00055314" w:rsidRPr="00F7519C" w:rsidRDefault="00055314" w:rsidP="00F7519C">
      <w:pPr>
        <w:overflowPunct w:val="0"/>
        <w:autoSpaceDE w:val="0"/>
        <w:autoSpaceDN w:val="0"/>
        <w:adjustRightInd w:val="0"/>
        <w:textAlignment w:val="baseline"/>
        <w:rPr>
          <w:rFonts w:cs="Arial"/>
          <w:szCs w:val="20"/>
          <w:lang w:eastAsia="sl-SI"/>
        </w:rPr>
      </w:pPr>
    </w:p>
    <w:p w14:paraId="6FFDC658" w14:textId="77777777" w:rsidR="00F7519C" w:rsidRPr="00F7519C" w:rsidRDefault="00F7519C" w:rsidP="00F7519C">
      <w:pPr>
        <w:overflowPunct w:val="0"/>
        <w:autoSpaceDE w:val="0"/>
        <w:autoSpaceDN w:val="0"/>
        <w:adjustRightInd w:val="0"/>
        <w:jc w:val="center"/>
        <w:textAlignment w:val="baseline"/>
        <w:rPr>
          <w:rFonts w:cs="Arial"/>
          <w:szCs w:val="20"/>
          <w:lang w:eastAsia="sl-SI"/>
        </w:rPr>
      </w:pPr>
      <w:r w:rsidRPr="00F7519C">
        <w:rPr>
          <w:rFonts w:cs="Arial"/>
          <w:szCs w:val="20"/>
          <w:lang w:eastAsia="sl-SI"/>
        </w:rPr>
        <w:t>II.</w:t>
      </w:r>
    </w:p>
    <w:p w14:paraId="75AF121B" w14:textId="77777777" w:rsidR="00F7519C" w:rsidRPr="00F7519C" w:rsidRDefault="00F7519C" w:rsidP="00F7519C">
      <w:pPr>
        <w:overflowPunct w:val="0"/>
        <w:autoSpaceDE w:val="0"/>
        <w:autoSpaceDN w:val="0"/>
        <w:adjustRightInd w:val="0"/>
        <w:jc w:val="center"/>
        <w:textAlignment w:val="baseline"/>
        <w:rPr>
          <w:rFonts w:cs="Arial"/>
          <w:szCs w:val="20"/>
          <w:lang w:eastAsia="sl-SI"/>
        </w:rPr>
      </w:pPr>
    </w:p>
    <w:p w14:paraId="585684A0" w14:textId="77777777" w:rsidR="00F7519C" w:rsidRPr="00F7519C" w:rsidRDefault="00F7519C" w:rsidP="00F7519C">
      <w:pPr>
        <w:jc w:val="both"/>
        <w:rPr>
          <w:rFonts w:cs="Arial"/>
          <w:szCs w:val="20"/>
          <w:u w:color="000000"/>
        </w:rPr>
      </w:pPr>
      <w:r w:rsidRPr="00F7519C">
        <w:rPr>
          <w:rFonts w:cs="Arial"/>
          <w:szCs w:val="20"/>
          <w:u w:color="000000"/>
        </w:rPr>
        <w:t xml:space="preserve">Pri </w:t>
      </w:r>
      <w:proofErr w:type="spellStart"/>
      <w:r w:rsidRPr="00F7519C">
        <w:rPr>
          <w:rFonts w:cs="Arial"/>
          <w:szCs w:val="20"/>
          <w:u w:color="000000"/>
        </w:rPr>
        <w:t>podukrepu</w:t>
      </w:r>
      <w:proofErr w:type="spellEnd"/>
      <w:r w:rsidRPr="00F7519C">
        <w:rPr>
          <w:rFonts w:cs="Arial"/>
          <w:szCs w:val="20"/>
          <w:u w:color="000000"/>
        </w:rPr>
        <w:t xml:space="preserve"> 4.1 se v prvem odstavku pod naslovom »Sheme državnih pomoči:« besedilo », kar se </w:t>
      </w:r>
      <w:proofErr w:type="spellStart"/>
      <w:r w:rsidRPr="00F7519C">
        <w:rPr>
          <w:rFonts w:cs="Arial"/>
          <w:szCs w:val="20"/>
          <w:u w:color="000000"/>
        </w:rPr>
        <w:t>zavede</w:t>
      </w:r>
      <w:proofErr w:type="spellEnd"/>
      <w:r w:rsidRPr="00F7519C">
        <w:rPr>
          <w:rFonts w:cs="Arial"/>
          <w:szCs w:val="20"/>
          <w:u w:color="000000"/>
        </w:rPr>
        <w:t xml:space="preserve"> v Zemljiški knjigi na stroške PMSNS« črta.</w:t>
      </w:r>
    </w:p>
    <w:p w14:paraId="2A007578" w14:textId="77777777" w:rsidR="00F7519C" w:rsidRDefault="00F7519C" w:rsidP="00F7519C">
      <w:pPr>
        <w:jc w:val="both"/>
        <w:rPr>
          <w:rFonts w:cs="Arial"/>
          <w:szCs w:val="20"/>
          <w:u w:color="000000"/>
        </w:rPr>
      </w:pPr>
    </w:p>
    <w:p w14:paraId="746771FD" w14:textId="77777777" w:rsidR="00055314" w:rsidRPr="00F7519C" w:rsidRDefault="00055314" w:rsidP="00F7519C">
      <w:pPr>
        <w:jc w:val="both"/>
        <w:rPr>
          <w:rFonts w:cs="Arial"/>
          <w:szCs w:val="20"/>
          <w:u w:color="000000"/>
        </w:rPr>
      </w:pPr>
    </w:p>
    <w:p w14:paraId="6EA73C81" w14:textId="77777777" w:rsidR="00F7519C" w:rsidRDefault="00F7519C" w:rsidP="00F7519C">
      <w:pPr>
        <w:jc w:val="center"/>
        <w:rPr>
          <w:rFonts w:cs="Arial"/>
          <w:szCs w:val="20"/>
          <w:u w:color="000000"/>
        </w:rPr>
      </w:pPr>
      <w:r w:rsidRPr="00F7519C">
        <w:rPr>
          <w:rFonts w:cs="Arial"/>
          <w:szCs w:val="20"/>
          <w:u w:color="000000"/>
        </w:rPr>
        <w:t>III.</w:t>
      </w:r>
    </w:p>
    <w:p w14:paraId="20C91EBF" w14:textId="77777777" w:rsidR="00F7519C" w:rsidRPr="00F7519C" w:rsidRDefault="00F7519C" w:rsidP="00F7519C">
      <w:pPr>
        <w:jc w:val="center"/>
        <w:rPr>
          <w:rFonts w:cs="Arial"/>
          <w:szCs w:val="20"/>
          <w:u w:color="000000"/>
        </w:rPr>
      </w:pPr>
    </w:p>
    <w:p w14:paraId="5EAD3EDB" w14:textId="77777777" w:rsidR="00F7519C" w:rsidRPr="00F7519C" w:rsidRDefault="00F7519C" w:rsidP="00F7519C">
      <w:pPr>
        <w:jc w:val="both"/>
        <w:rPr>
          <w:rFonts w:cs="Arial"/>
          <w:szCs w:val="20"/>
          <w:u w:color="000000"/>
        </w:rPr>
      </w:pPr>
      <w:r w:rsidRPr="00F7519C">
        <w:rPr>
          <w:rFonts w:cs="Arial"/>
          <w:szCs w:val="20"/>
          <w:u w:color="000000"/>
        </w:rPr>
        <w:t xml:space="preserve">Besedilo </w:t>
      </w:r>
      <w:proofErr w:type="spellStart"/>
      <w:r w:rsidRPr="00F7519C">
        <w:rPr>
          <w:rFonts w:cs="Arial"/>
          <w:szCs w:val="20"/>
          <w:u w:color="000000"/>
        </w:rPr>
        <w:t>podukrepa</w:t>
      </w:r>
      <w:proofErr w:type="spellEnd"/>
      <w:r w:rsidRPr="00F7519C">
        <w:rPr>
          <w:rFonts w:cs="Arial"/>
          <w:szCs w:val="20"/>
          <w:u w:color="000000"/>
        </w:rPr>
        <w:t xml:space="preserve"> 4.2 se spremeni tako, da se glasi:</w:t>
      </w:r>
    </w:p>
    <w:p w14:paraId="37513D9D" w14:textId="77777777" w:rsidR="00F7519C" w:rsidRPr="00F7519C" w:rsidRDefault="00F7519C" w:rsidP="00F7519C">
      <w:pPr>
        <w:jc w:val="both"/>
        <w:rPr>
          <w:rFonts w:cs="Arial"/>
          <w:szCs w:val="20"/>
          <w:u w:color="000000"/>
        </w:rPr>
      </w:pPr>
    </w:p>
    <w:p w14:paraId="42B572A6" w14:textId="77777777" w:rsidR="00F7519C" w:rsidRPr="00F7519C" w:rsidRDefault="00F7519C" w:rsidP="00F7519C">
      <w:pPr>
        <w:keepNext/>
        <w:ind w:left="1410" w:hanging="1410"/>
        <w:jc w:val="both"/>
        <w:outlineLvl w:val="2"/>
        <w:rPr>
          <w:rFonts w:cs="Arial"/>
          <w:szCs w:val="20"/>
        </w:rPr>
      </w:pPr>
      <w:bookmarkStart w:id="0" w:name="_Toc139876299"/>
      <w:r w:rsidRPr="00F7519C">
        <w:rPr>
          <w:rFonts w:cs="Arial"/>
          <w:szCs w:val="20"/>
        </w:rPr>
        <w:t>»</w:t>
      </w:r>
      <w:proofErr w:type="spellStart"/>
      <w:r w:rsidRPr="00F7519C">
        <w:rPr>
          <w:rFonts w:cs="Arial"/>
          <w:b/>
          <w:szCs w:val="20"/>
        </w:rPr>
        <w:t>Podukrep</w:t>
      </w:r>
      <w:proofErr w:type="spellEnd"/>
      <w:r w:rsidRPr="00F7519C">
        <w:rPr>
          <w:rFonts w:cs="Arial"/>
          <w:b/>
          <w:szCs w:val="20"/>
        </w:rPr>
        <w:t xml:space="preserve"> 4.2: Spodbujanje razvoja kmetijstva in kmetijskih proizvodov iz programskega območja</w:t>
      </w:r>
      <w:bookmarkEnd w:id="0"/>
    </w:p>
    <w:p w14:paraId="45FC1023" w14:textId="77777777" w:rsidR="00F7519C" w:rsidRPr="00F7519C" w:rsidRDefault="00F7519C" w:rsidP="00F7519C">
      <w:pPr>
        <w:jc w:val="both"/>
        <w:rPr>
          <w:rFonts w:cs="Arial"/>
          <w:szCs w:val="20"/>
        </w:rPr>
      </w:pPr>
    </w:p>
    <w:p w14:paraId="7203F3A4" w14:textId="77777777" w:rsidR="00F7519C" w:rsidRPr="00F7519C" w:rsidRDefault="00F7519C" w:rsidP="00F7519C">
      <w:pPr>
        <w:jc w:val="both"/>
        <w:rPr>
          <w:rFonts w:cs="Arial"/>
          <w:b/>
          <w:szCs w:val="20"/>
          <w:u w:val="single" w:color="000000"/>
        </w:rPr>
      </w:pPr>
      <w:r w:rsidRPr="00F7519C">
        <w:rPr>
          <w:rFonts w:cs="Arial"/>
          <w:b/>
          <w:szCs w:val="20"/>
          <w:u w:val="single" w:color="000000"/>
        </w:rPr>
        <w:t xml:space="preserve">Namen in cilji </w:t>
      </w:r>
      <w:proofErr w:type="spellStart"/>
      <w:r w:rsidRPr="00F7519C">
        <w:rPr>
          <w:rFonts w:cs="Arial"/>
          <w:b/>
          <w:szCs w:val="20"/>
          <w:u w:val="single" w:color="000000"/>
        </w:rPr>
        <w:t>podukrepa</w:t>
      </w:r>
      <w:proofErr w:type="spellEnd"/>
      <w:r w:rsidRPr="00F7519C">
        <w:rPr>
          <w:rFonts w:cs="Arial"/>
          <w:b/>
          <w:szCs w:val="20"/>
          <w:u w:val="single" w:color="000000"/>
        </w:rPr>
        <w:t xml:space="preserve"> 4.2</w:t>
      </w:r>
    </w:p>
    <w:p w14:paraId="1CA6CE1F" w14:textId="77777777" w:rsidR="00F7519C" w:rsidRPr="00F7519C" w:rsidRDefault="00F7519C" w:rsidP="00F7519C">
      <w:pPr>
        <w:jc w:val="both"/>
        <w:rPr>
          <w:rFonts w:cs="Arial"/>
          <w:szCs w:val="20"/>
        </w:rPr>
      </w:pPr>
      <w:proofErr w:type="spellStart"/>
      <w:r w:rsidRPr="00F7519C">
        <w:rPr>
          <w:rFonts w:cs="Arial"/>
          <w:szCs w:val="20"/>
        </w:rPr>
        <w:t>Podukrep</w:t>
      </w:r>
      <w:proofErr w:type="spellEnd"/>
      <w:r w:rsidRPr="00F7519C">
        <w:rPr>
          <w:rFonts w:cs="Arial"/>
          <w:szCs w:val="20"/>
        </w:rPr>
        <w:t xml:space="preserve"> 4.2 ima za namen spodbujanje razvoja odpornega in konkurenčnega kmetijstva na programskem območju s spodbujanjem organiziranja tržnic, sejmov, degustacij, dogodkov oziroma razstav z namenom ozaveščanja o kmetijskih proizvodih, kakovostni prehrani, načinih pridelave in predelave, prenosu dobrih praks na področju krožnega gospodarjenja v kmetijstvu, shemah kakovosti, zmanjšanju izgub in količin odpadne hrane ter pomenu kmetijstva za razvoj podeželja in kakovostnega načina prehranjevanja na programskem območju. Namen </w:t>
      </w:r>
      <w:proofErr w:type="spellStart"/>
      <w:r w:rsidRPr="00F7519C">
        <w:rPr>
          <w:rFonts w:cs="Arial"/>
          <w:szCs w:val="20"/>
        </w:rPr>
        <w:t>podukrepa</w:t>
      </w:r>
      <w:proofErr w:type="spellEnd"/>
      <w:r w:rsidRPr="00F7519C">
        <w:rPr>
          <w:rFonts w:cs="Arial"/>
          <w:szCs w:val="20"/>
        </w:rPr>
        <w:t xml:space="preserve"> 4.2 je tudi vzpostaviti enotno spletno platformo s celostno grafično podobo za generično informiranje o kmetijskih proizvodih z območja</w:t>
      </w:r>
      <w:r w:rsidR="001315B8">
        <w:rPr>
          <w:rFonts w:cs="Arial"/>
          <w:szCs w:val="20"/>
        </w:rPr>
        <w:t>,</w:t>
      </w:r>
      <w:r w:rsidRPr="00F7519C">
        <w:rPr>
          <w:rFonts w:cs="Arial"/>
          <w:szCs w:val="20"/>
        </w:rPr>
        <w:t xml:space="preserve"> na katerem živi madžarska narodna skupnost</w:t>
      </w:r>
      <w:r w:rsidR="001315B8">
        <w:rPr>
          <w:rFonts w:cs="Arial"/>
          <w:szCs w:val="20"/>
        </w:rPr>
        <w:t>, in informiranje</w:t>
      </w:r>
      <w:r w:rsidRPr="00F7519C">
        <w:rPr>
          <w:rFonts w:cs="Arial"/>
          <w:szCs w:val="20"/>
        </w:rPr>
        <w:t xml:space="preserve"> o primerih dobrih praks, ki jih izvaja »vzorčna kmetija«. Namen </w:t>
      </w:r>
      <w:proofErr w:type="spellStart"/>
      <w:r w:rsidRPr="00F7519C">
        <w:rPr>
          <w:rFonts w:cs="Arial"/>
          <w:szCs w:val="20"/>
        </w:rPr>
        <w:t>podukrepa</w:t>
      </w:r>
      <w:proofErr w:type="spellEnd"/>
      <w:r w:rsidRPr="00F7519C">
        <w:rPr>
          <w:rFonts w:cs="Arial"/>
          <w:szCs w:val="20"/>
        </w:rPr>
        <w:t xml:space="preserve"> 4.2 je tudi podjetjem, dejavnim v kmetijskem sektorju</w:t>
      </w:r>
      <w:r w:rsidR="001315B8">
        <w:rPr>
          <w:rFonts w:cs="Arial"/>
          <w:szCs w:val="20"/>
        </w:rPr>
        <w:t>,</w:t>
      </w:r>
      <w:r w:rsidRPr="00F7519C">
        <w:rPr>
          <w:rFonts w:cs="Arial"/>
          <w:szCs w:val="20"/>
        </w:rPr>
        <w:t xml:space="preserve"> in mladim kmetom pomagati pri uporabi storitev svetovanja za izboljšanje gospodarske in </w:t>
      </w:r>
      <w:proofErr w:type="spellStart"/>
      <w:r w:rsidRPr="00F7519C">
        <w:rPr>
          <w:rFonts w:cs="Arial"/>
          <w:szCs w:val="20"/>
        </w:rPr>
        <w:t>okoljske</w:t>
      </w:r>
      <w:proofErr w:type="spellEnd"/>
      <w:r w:rsidRPr="00F7519C">
        <w:rPr>
          <w:rFonts w:cs="Arial"/>
          <w:szCs w:val="20"/>
        </w:rPr>
        <w:t xml:space="preserve"> učinkovitosti ter zmanjšanje negativnega vpliva </w:t>
      </w:r>
      <w:r w:rsidRPr="00F7519C">
        <w:rPr>
          <w:rFonts w:cs="Arial"/>
          <w:szCs w:val="20"/>
        </w:rPr>
        <w:lastRenderedPageBreak/>
        <w:t xml:space="preserve">njihovega podjetja ali naložbe na podnebje in povečanje odpornosti teh podjetij ali naložb na podnebne spremembe. </w:t>
      </w:r>
    </w:p>
    <w:p w14:paraId="463E3255" w14:textId="77777777" w:rsidR="00F7519C" w:rsidRPr="00F7519C" w:rsidRDefault="00F7519C" w:rsidP="00F7519C">
      <w:pPr>
        <w:jc w:val="both"/>
        <w:rPr>
          <w:rFonts w:cs="Arial"/>
          <w:szCs w:val="20"/>
        </w:rPr>
      </w:pPr>
    </w:p>
    <w:p w14:paraId="5B1DD41F" w14:textId="0F639070" w:rsidR="00F7519C" w:rsidRPr="00F7519C" w:rsidRDefault="00F7519C" w:rsidP="00F7519C">
      <w:pPr>
        <w:jc w:val="both"/>
        <w:rPr>
          <w:rFonts w:cs="Arial"/>
          <w:szCs w:val="20"/>
        </w:rPr>
      </w:pPr>
      <w:r w:rsidRPr="00F7519C">
        <w:rPr>
          <w:rFonts w:cs="Arial"/>
          <w:szCs w:val="20"/>
        </w:rPr>
        <w:t>Pojmi</w:t>
      </w:r>
      <w:r w:rsidR="00DF5369">
        <w:rPr>
          <w:rFonts w:cs="Arial"/>
          <w:szCs w:val="20"/>
        </w:rPr>
        <w:t>,</w:t>
      </w:r>
      <w:r w:rsidRPr="00F7519C">
        <w:rPr>
          <w:rFonts w:cs="Arial"/>
          <w:szCs w:val="20"/>
        </w:rPr>
        <w:t xml:space="preserve"> uporabljeni v okviru </w:t>
      </w:r>
      <w:proofErr w:type="spellStart"/>
      <w:r w:rsidRPr="00F7519C">
        <w:rPr>
          <w:rFonts w:cs="Arial"/>
          <w:szCs w:val="20"/>
        </w:rPr>
        <w:t>podukrepa</w:t>
      </w:r>
      <w:proofErr w:type="spellEnd"/>
      <w:r w:rsidRPr="00F7519C">
        <w:rPr>
          <w:rFonts w:cs="Arial"/>
          <w:szCs w:val="20"/>
        </w:rPr>
        <w:t xml:space="preserve"> 4.2</w:t>
      </w:r>
      <w:r w:rsidR="001315B8">
        <w:rPr>
          <w:rFonts w:cs="Arial"/>
          <w:szCs w:val="20"/>
        </w:rPr>
        <w:t>,</w:t>
      </w:r>
      <w:r w:rsidRPr="00F7519C">
        <w:rPr>
          <w:rFonts w:cs="Arial"/>
          <w:szCs w:val="20"/>
        </w:rPr>
        <w:t xml:space="preserve"> imajo naslednji pomen:</w:t>
      </w:r>
    </w:p>
    <w:p w14:paraId="225FA306" w14:textId="77777777" w:rsidR="00F7519C" w:rsidRPr="00F7519C" w:rsidRDefault="001315B8" w:rsidP="00BD41EA">
      <w:pPr>
        <w:pStyle w:val="Odstavekseznama"/>
        <w:numPr>
          <w:ilvl w:val="0"/>
          <w:numId w:val="11"/>
        </w:numPr>
        <w:suppressAutoHyphens/>
        <w:ind w:hanging="720"/>
        <w:jc w:val="both"/>
        <w:rPr>
          <w:rFonts w:cs="Arial"/>
          <w:szCs w:val="20"/>
        </w:rPr>
      </w:pPr>
      <w:r>
        <w:rPr>
          <w:rFonts w:cs="Arial"/>
          <w:szCs w:val="20"/>
        </w:rPr>
        <w:t>»</w:t>
      </w:r>
      <w:r w:rsidR="00F7519C" w:rsidRPr="00F7519C">
        <w:rPr>
          <w:rFonts w:cs="Arial"/>
          <w:szCs w:val="20"/>
        </w:rPr>
        <w:t>kmetijski sektor</w:t>
      </w:r>
      <w:r>
        <w:rPr>
          <w:rFonts w:cs="Arial"/>
          <w:szCs w:val="20"/>
        </w:rPr>
        <w:t>«</w:t>
      </w:r>
      <w:r w:rsidR="00F7519C" w:rsidRPr="00F7519C">
        <w:rPr>
          <w:rFonts w:cs="Arial"/>
          <w:szCs w:val="20"/>
        </w:rPr>
        <w:t xml:space="preserve"> pomeni vsa podjetja, ki so dejavna v primarni kmetijski proizvodnji, predelavi in trženju kmetijskih proizvodov</w:t>
      </w:r>
      <w:r>
        <w:rPr>
          <w:rFonts w:cs="Arial"/>
          <w:szCs w:val="20"/>
        </w:rPr>
        <w:t>;</w:t>
      </w:r>
    </w:p>
    <w:p w14:paraId="49FDD706" w14:textId="77777777" w:rsidR="00F7519C" w:rsidRPr="00F7519C" w:rsidRDefault="001315B8" w:rsidP="00BD41EA">
      <w:pPr>
        <w:pStyle w:val="Odstavekseznama"/>
        <w:numPr>
          <w:ilvl w:val="0"/>
          <w:numId w:val="11"/>
        </w:numPr>
        <w:suppressAutoHyphens/>
        <w:ind w:hanging="720"/>
        <w:jc w:val="both"/>
        <w:rPr>
          <w:rFonts w:cs="Arial"/>
          <w:szCs w:val="20"/>
        </w:rPr>
      </w:pPr>
      <w:r>
        <w:rPr>
          <w:rFonts w:cs="Arial"/>
          <w:szCs w:val="20"/>
        </w:rPr>
        <w:t>»p</w:t>
      </w:r>
      <w:r w:rsidR="00F7519C" w:rsidRPr="00F7519C">
        <w:rPr>
          <w:rFonts w:cs="Arial"/>
          <w:szCs w:val="20"/>
        </w:rPr>
        <w:t>rimarna kmetijska proizvodnja« pomeni proizvodnjo rastlinskih in živinorejskih proizvodov s seznama v Prilogi I k Pogodbi o delovanju Evropske unije brez kakršnih koli nadaljnjih postopkov, ki bi spr</w:t>
      </w:r>
      <w:r>
        <w:rPr>
          <w:rFonts w:cs="Arial"/>
          <w:szCs w:val="20"/>
        </w:rPr>
        <w:t>emenili naravo takih proizvodov;</w:t>
      </w:r>
    </w:p>
    <w:p w14:paraId="2A2EE3B6" w14:textId="77777777" w:rsidR="00F7519C" w:rsidRPr="00F7519C" w:rsidRDefault="001315B8" w:rsidP="00BD41EA">
      <w:pPr>
        <w:pStyle w:val="Odstavekseznama"/>
        <w:numPr>
          <w:ilvl w:val="0"/>
          <w:numId w:val="11"/>
        </w:numPr>
        <w:suppressAutoHyphens/>
        <w:ind w:hanging="720"/>
        <w:jc w:val="both"/>
        <w:rPr>
          <w:rFonts w:cs="Arial"/>
          <w:szCs w:val="20"/>
        </w:rPr>
      </w:pPr>
      <w:r>
        <w:rPr>
          <w:rFonts w:cs="Arial"/>
          <w:szCs w:val="20"/>
        </w:rPr>
        <w:t>»</w:t>
      </w:r>
      <w:r w:rsidR="00F7519C" w:rsidRPr="00F7519C">
        <w:rPr>
          <w:rFonts w:cs="Arial"/>
          <w:szCs w:val="20"/>
        </w:rPr>
        <w:t>predelava kmetijskih proizvodov</w:t>
      </w:r>
      <w:r>
        <w:rPr>
          <w:rFonts w:cs="Arial"/>
          <w:szCs w:val="20"/>
        </w:rPr>
        <w:t>«</w:t>
      </w:r>
      <w:r w:rsidR="00F7519C" w:rsidRPr="00F7519C">
        <w:rPr>
          <w:rFonts w:cs="Arial"/>
          <w:szCs w:val="20"/>
        </w:rPr>
        <w:t xml:space="preserve"> pomeni vsak postopek na kmetijskem proizvodu, po katerem proizvod ostane kmetijski proizvod, razen dejavnosti na kmetiji, potrebnih za pripravo živalskega ali rastlinskega proizvoda za prvo prodajo; </w:t>
      </w:r>
    </w:p>
    <w:p w14:paraId="63E2917C" w14:textId="77777777" w:rsidR="00F7519C" w:rsidRPr="00F7519C" w:rsidRDefault="00BD41EA" w:rsidP="00BD41EA">
      <w:pPr>
        <w:pStyle w:val="Odstavekseznama"/>
        <w:numPr>
          <w:ilvl w:val="0"/>
          <w:numId w:val="11"/>
        </w:numPr>
        <w:suppressAutoHyphens/>
        <w:ind w:hanging="720"/>
        <w:jc w:val="both"/>
        <w:rPr>
          <w:rFonts w:cs="Arial"/>
          <w:szCs w:val="20"/>
        </w:rPr>
      </w:pPr>
      <w:r>
        <w:rPr>
          <w:rFonts w:cs="Arial"/>
          <w:szCs w:val="20"/>
        </w:rPr>
        <w:t>»</w:t>
      </w:r>
      <w:r w:rsidR="00F7519C" w:rsidRPr="00F7519C">
        <w:rPr>
          <w:rFonts w:cs="Arial"/>
          <w:szCs w:val="20"/>
        </w:rPr>
        <w:t>trženje kmetijskih proizvodov</w:t>
      </w:r>
      <w:r>
        <w:rPr>
          <w:rFonts w:cs="Arial"/>
          <w:szCs w:val="20"/>
        </w:rPr>
        <w:t>«</w:t>
      </w:r>
      <w:r w:rsidR="00F7519C" w:rsidRPr="00F7519C">
        <w:rPr>
          <w:rFonts w:cs="Arial"/>
          <w:szCs w:val="20"/>
        </w:rPr>
        <w:t xml:space="preserve"> pomeni imeti na zalogi ali razstavljati z namenom prodaje, ponujati za prodajo, dobavljati ali na kateri koli drug način dajati na trg, razen prve prodaje, ki jo izvrši kmet prodajnemu posredniku ali predelovalcu, ter vsake dejavnosti, s katero se proizvod pripravi za tako prvo prodajo; prodaja s strani kmeta končnemu potrošniku se šteje za trženje kmetijskih proizvodov, če se opravlja v ločenih, za to namenjenih prostorih ali obratih;</w:t>
      </w:r>
    </w:p>
    <w:p w14:paraId="05F4301F" w14:textId="77777777" w:rsidR="00F7519C" w:rsidRPr="00F7519C" w:rsidRDefault="00BD41EA" w:rsidP="00BD41EA">
      <w:pPr>
        <w:pStyle w:val="Odstavekseznama"/>
        <w:numPr>
          <w:ilvl w:val="0"/>
          <w:numId w:val="11"/>
        </w:numPr>
        <w:suppressAutoHyphens/>
        <w:ind w:hanging="720"/>
        <w:jc w:val="both"/>
        <w:rPr>
          <w:rFonts w:cs="Arial"/>
          <w:szCs w:val="20"/>
        </w:rPr>
      </w:pPr>
      <w:r>
        <w:rPr>
          <w:rFonts w:cs="Arial"/>
          <w:szCs w:val="20"/>
        </w:rPr>
        <w:t>»</w:t>
      </w:r>
      <w:r w:rsidR="00F7519C" w:rsidRPr="00F7519C">
        <w:rPr>
          <w:rFonts w:cs="Arial"/>
          <w:szCs w:val="20"/>
        </w:rPr>
        <w:t>mladi kmet</w:t>
      </w:r>
      <w:r>
        <w:rPr>
          <w:rFonts w:cs="Arial"/>
          <w:szCs w:val="20"/>
        </w:rPr>
        <w:t>«</w:t>
      </w:r>
      <w:r w:rsidR="00F7519C" w:rsidRPr="00F7519C">
        <w:rPr>
          <w:rFonts w:cs="Arial"/>
          <w:szCs w:val="20"/>
        </w:rPr>
        <w:t xml:space="preserve"> pomeni osebo, ki na dan predložitve vloge za pomoč ni stara več kot 40 let, ima ustrezno poklicno znanje in kompetence ter prvič vzpostavlja kmetijsko gospodarstvo kot nosilec tega gospodarstva</w:t>
      </w:r>
      <w:r>
        <w:rPr>
          <w:rFonts w:cs="Arial"/>
          <w:szCs w:val="20"/>
        </w:rPr>
        <w:t>.</w:t>
      </w:r>
    </w:p>
    <w:p w14:paraId="03E6C239" w14:textId="77777777" w:rsidR="00F7519C" w:rsidRPr="00F7519C" w:rsidRDefault="00F7519C" w:rsidP="00F7519C">
      <w:pPr>
        <w:jc w:val="both"/>
        <w:rPr>
          <w:rFonts w:cs="Arial"/>
          <w:szCs w:val="20"/>
        </w:rPr>
      </w:pPr>
    </w:p>
    <w:p w14:paraId="46B5B795" w14:textId="5B319E7D" w:rsidR="00F7519C" w:rsidRPr="00F7519C" w:rsidRDefault="00F7519C" w:rsidP="00F7519C">
      <w:pPr>
        <w:jc w:val="both"/>
        <w:rPr>
          <w:rFonts w:cs="Arial"/>
          <w:szCs w:val="20"/>
        </w:rPr>
      </w:pPr>
      <w:r w:rsidRPr="00F7519C">
        <w:rPr>
          <w:rFonts w:cs="Arial"/>
          <w:szCs w:val="20"/>
        </w:rPr>
        <w:t xml:space="preserve">Pomoč </w:t>
      </w:r>
      <w:bookmarkStart w:id="1" w:name="_Hlk139875765"/>
      <w:r w:rsidRPr="00F7519C">
        <w:rPr>
          <w:rFonts w:cs="Arial"/>
          <w:szCs w:val="20"/>
        </w:rPr>
        <w:t xml:space="preserve">v okviru </w:t>
      </w:r>
      <w:proofErr w:type="spellStart"/>
      <w:r w:rsidRPr="00F7519C">
        <w:rPr>
          <w:rFonts w:cs="Arial"/>
          <w:szCs w:val="20"/>
        </w:rPr>
        <w:t>podukrepa</w:t>
      </w:r>
      <w:proofErr w:type="spellEnd"/>
      <w:r w:rsidRPr="00F7519C">
        <w:rPr>
          <w:rFonts w:cs="Arial"/>
          <w:szCs w:val="20"/>
        </w:rPr>
        <w:t xml:space="preserve"> 4.2 </w:t>
      </w:r>
      <w:bookmarkEnd w:id="1"/>
      <w:r w:rsidRPr="00F7519C">
        <w:rPr>
          <w:rFonts w:cs="Arial"/>
          <w:szCs w:val="20"/>
        </w:rPr>
        <w:t>je tako, na podlagi objektivno opredeljenih pogoj</w:t>
      </w:r>
      <w:r w:rsidR="00BD41EA">
        <w:rPr>
          <w:rFonts w:cs="Arial"/>
          <w:szCs w:val="20"/>
        </w:rPr>
        <w:t>ev dostopna vsem upravičencem</w:t>
      </w:r>
      <w:r w:rsidR="00DF5369">
        <w:rPr>
          <w:rFonts w:cs="Arial"/>
          <w:szCs w:val="20"/>
        </w:rPr>
        <w:t xml:space="preserve"> </w:t>
      </w:r>
      <w:r w:rsidR="00BD41EA">
        <w:rPr>
          <w:rFonts w:cs="Arial"/>
          <w:szCs w:val="20"/>
        </w:rPr>
        <w:sym w:font="Symbol" w:char="F02D"/>
      </w:r>
      <w:r w:rsidR="00DF5369">
        <w:rPr>
          <w:rFonts w:cs="Arial"/>
          <w:szCs w:val="20"/>
        </w:rPr>
        <w:t xml:space="preserve"> </w:t>
      </w:r>
      <w:r w:rsidRPr="00F7519C">
        <w:rPr>
          <w:rFonts w:cs="Arial"/>
          <w:szCs w:val="20"/>
        </w:rPr>
        <w:t>podjetjem na programskem območju, o čemer jih PMSNS javno seznani.</w:t>
      </w:r>
    </w:p>
    <w:p w14:paraId="4450B5C8" w14:textId="77777777" w:rsidR="00F7519C" w:rsidRPr="00F7519C" w:rsidRDefault="00F7519C" w:rsidP="00F7519C">
      <w:pPr>
        <w:jc w:val="both"/>
        <w:rPr>
          <w:rFonts w:cs="Arial"/>
          <w:szCs w:val="20"/>
        </w:rPr>
      </w:pPr>
    </w:p>
    <w:p w14:paraId="675A8DA6" w14:textId="77777777" w:rsidR="00F7519C" w:rsidRPr="00F7519C" w:rsidRDefault="00F7519C" w:rsidP="00F7519C">
      <w:pPr>
        <w:jc w:val="both"/>
        <w:rPr>
          <w:rFonts w:cs="Arial"/>
          <w:szCs w:val="20"/>
        </w:rPr>
      </w:pPr>
      <w:r w:rsidRPr="00F7519C">
        <w:rPr>
          <w:rFonts w:cs="Arial"/>
          <w:b/>
          <w:szCs w:val="20"/>
          <w:u w:val="single" w:color="000000"/>
        </w:rPr>
        <w:t xml:space="preserve">Osnovni cilj </w:t>
      </w:r>
      <w:proofErr w:type="spellStart"/>
      <w:r w:rsidRPr="00F7519C">
        <w:rPr>
          <w:rFonts w:cs="Arial"/>
          <w:b/>
          <w:szCs w:val="20"/>
          <w:u w:val="single" w:color="000000"/>
        </w:rPr>
        <w:t>podukrepa</w:t>
      </w:r>
      <w:proofErr w:type="spellEnd"/>
      <w:r w:rsidRPr="00F7519C">
        <w:rPr>
          <w:rFonts w:cs="Arial"/>
          <w:b/>
          <w:szCs w:val="20"/>
          <w:u w:val="single" w:color="000000"/>
        </w:rPr>
        <w:t xml:space="preserve"> 4.2</w:t>
      </w:r>
      <w:r w:rsidRPr="00F7519C">
        <w:rPr>
          <w:rFonts w:cs="Arial"/>
          <w:szCs w:val="20"/>
        </w:rPr>
        <w:t xml:space="preserve"> je z aktivnostmi spodbujanja razvoja kmetijstva ozavestiti kmetijske proizvajalce ter širšo javnost o pomenu kmetijske proizvodnje za razvoj podeželja in območja, na katerem živi madžarska narodna skupnost</w:t>
      </w:r>
      <w:r w:rsidR="00BD41EA">
        <w:rPr>
          <w:rFonts w:cs="Arial"/>
          <w:szCs w:val="20"/>
        </w:rPr>
        <w:t>,</w:t>
      </w:r>
      <w:r w:rsidRPr="00F7519C">
        <w:rPr>
          <w:rFonts w:cs="Arial"/>
          <w:szCs w:val="20"/>
        </w:rPr>
        <w:t xml:space="preserve"> in o razvojnih možnostih in priložnostih v kmetijstvu na programskem območju, na katerem živi madžarska narodna skupnost.</w:t>
      </w:r>
    </w:p>
    <w:p w14:paraId="17F90AE6" w14:textId="77777777" w:rsidR="00F7519C" w:rsidRPr="00F7519C" w:rsidRDefault="00F7519C" w:rsidP="00F7519C">
      <w:pPr>
        <w:jc w:val="both"/>
        <w:rPr>
          <w:rFonts w:cs="Arial"/>
          <w:szCs w:val="20"/>
        </w:rPr>
      </w:pPr>
    </w:p>
    <w:p w14:paraId="4823DB1E" w14:textId="77777777" w:rsidR="00F7519C" w:rsidRPr="00F7519C" w:rsidRDefault="00F7519C" w:rsidP="00F7519C">
      <w:pPr>
        <w:jc w:val="both"/>
        <w:rPr>
          <w:rFonts w:cs="Arial"/>
          <w:b/>
          <w:szCs w:val="20"/>
          <w:u w:val="single" w:color="000000"/>
        </w:rPr>
      </w:pPr>
      <w:r w:rsidRPr="00F7519C">
        <w:rPr>
          <w:rFonts w:cs="Arial"/>
          <w:b/>
          <w:szCs w:val="20"/>
          <w:u w:val="single" w:color="000000"/>
        </w:rPr>
        <w:t>Nadaljnji cilji so še:</w:t>
      </w:r>
    </w:p>
    <w:p w14:paraId="2299E544" w14:textId="77777777" w:rsidR="00F7519C" w:rsidRPr="00F7519C" w:rsidRDefault="00F7519C" w:rsidP="00BD41EA">
      <w:pPr>
        <w:numPr>
          <w:ilvl w:val="0"/>
          <w:numId w:val="12"/>
        </w:numPr>
        <w:suppressAutoHyphens/>
        <w:ind w:hanging="720"/>
        <w:jc w:val="both"/>
        <w:rPr>
          <w:rFonts w:cs="Arial"/>
          <w:szCs w:val="20"/>
        </w:rPr>
      </w:pPr>
      <w:r w:rsidRPr="00F7519C">
        <w:rPr>
          <w:rFonts w:cs="Arial"/>
          <w:szCs w:val="20"/>
        </w:rPr>
        <w:t>informiranje in spodbujanje kmetijskih proizvajalcev za sodelovanje in uvajanje dobrih praks s področja kmetijstva;</w:t>
      </w:r>
    </w:p>
    <w:p w14:paraId="04FD339B" w14:textId="77777777" w:rsidR="00F7519C" w:rsidRPr="00F7519C" w:rsidRDefault="00F7519C" w:rsidP="00BD41EA">
      <w:pPr>
        <w:numPr>
          <w:ilvl w:val="0"/>
          <w:numId w:val="12"/>
        </w:numPr>
        <w:suppressAutoHyphens/>
        <w:ind w:hanging="720"/>
        <w:jc w:val="both"/>
        <w:rPr>
          <w:rFonts w:cs="Arial"/>
          <w:szCs w:val="20"/>
        </w:rPr>
      </w:pPr>
      <w:r w:rsidRPr="00F7519C">
        <w:rPr>
          <w:rFonts w:cs="Arial"/>
          <w:szCs w:val="20"/>
        </w:rPr>
        <w:t>spodbujanje kmetijskih proizvajalcev k aktivni udeležbi na organiziranih dogodkih;</w:t>
      </w:r>
    </w:p>
    <w:p w14:paraId="00B162E1" w14:textId="77777777" w:rsidR="00F7519C" w:rsidRPr="00F7519C" w:rsidRDefault="00F7519C" w:rsidP="00BD41EA">
      <w:pPr>
        <w:numPr>
          <w:ilvl w:val="0"/>
          <w:numId w:val="12"/>
        </w:numPr>
        <w:suppressAutoHyphens/>
        <w:ind w:hanging="720"/>
        <w:jc w:val="both"/>
        <w:rPr>
          <w:rFonts w:cs="Arial"/>
          <w:szCs w:val="20"/>
        </w:rPr>
      </w:pPr>
      <w:r w:rsidRPr="00F7519C">
        <w:rPr>
          <w:rFonts w:cs="Arial"/>
          <w:szCs w:val="20"/>
        </w:rPr>
        <w:t>spodbujanje kmetijskih proizvajalcev k aktivni predstavitvi na vzpostavljeni spletni platformi;</w:t>
      </w:r>
    </w:p>
    <w:p w14:paraId="302B139A" w14:textId="77777777" w:rsidR="00F7519C" w:rsidRPr="00F7519C" w:rsidRDefault="00F7519C" w:rsidP="00BD41EA">
      <w:pPr>
        <w:numPr>
          <w:ilvl w:val="0"/>
          <w:numId w:val="12"/>
        </w:numPr>
        <w:suppressAutoHyphens/>
        <w:ind w:hanging="720"/>
        <w:jc w:val="both"/>
        <w:rPr>
          <w:rFonts w:cs="Arial"/>
          <w:szCs w:val="20"/>
        </w:rPr>
      </w:pPr>
      <w:r w:rsidRPr="00F7519C">
        <w:rPr>
          <w:rFonts w:cs="Arial"/>
          <w:szCs w:val="20"/>
        </w:rPr>
        <w:t>vključitev kmetijskih proizvajalcev v sheme kakovosti (ekološka shema, IK, ZOP, ZTP, ZGO);</w:t>
      </w:r>
    </w:p>
    <w:p w14:paraId="7F9BC7D2" w14:textId="77777777" w:rsidR="00F7519C" w:rsidRPr="00F7519C" w:rsidRDefault="00F7519C" w:rsidP="00BD41EA">
      <w:pPr>
        <w:numPr>
          <w:ilvl w:val="0"/>
          <w:numId w:val="12"/>
        </w:numPr>
        <w:suppressAutoHyphens/>
        <w:ind w:hanging="720"/>
        <w:jc w:val="both"/>
        <w:rPr>
          <w:rFonts w:cs="Arial"/>
          <w:szCs w:val="20"/>
        </w:rPr>
      </w:pPr>
      <w:r w:rsidRPr="00F7519C">
        <w:rPr>
          <w:rFonts w:cs="Arial"/>
          <w:szCs w:val="20"/>
        </w:rPr>
        <w:t>usposobiti čim večje število kmetijskih proizvajalcev o možnostih povezovanja v skupine proizvajalcev ter načinih skupnega trženja;</w:t>
      </w:r>
    </w:p>
    <w:p w14:paraId="164DB692" w14:textId="77777777" w:rsidR="00F7519C" w:rsidRPr="00F7519C" w:rsidRDefault="00F7519C" w:rsidP="00BD41EA">
      <w:pPr>
        <w:numPr>
          <w:ilvl w:val="0"/>
          <w:numId w:val="12"/>
        </w:numPr>
        <w:suppressAutoHyphens/>
        <w:ind w:hanging="720"/>
        <w:jc w:val="both"/>
        <w:rPr>
          <w:rFonts w:cs="Arial"/>
          <w:szCs w:val="20"/>
        </w:rPr>
      </w:pPr>
      <w:r w:rsidRPr="00F7519C">
        <w:rPr>
          <w:rFonts w:cs="Arial"/>
          <w:szCs w:val="20"/>
        </w:rPr>
        <w:t>informirati čim večje število kmetijskih proizvajalcev o načinih zagotavljanja stalne ponudbe glede na povpraševanje in trende na programskem območju;</w:t>
      </w:r>
    </w:p>
    <w:p w14:paraId="3E61B0DE" w14:textId="77777777" w:rsidR="00F7519C" w:rsidRPr="00F7519C" w:rsidRDefault="00F7519C" w:rsidP="00BD41EA">
      <w:pPr>
        <w:numPr>
          <w:ilvl w:val="0"/>
          <w:numId w:val="12"/>
        </w:numPr>
        <w:suppressAutoHyphens/>
        <w:ind w:hanging="720"/>
        <w:jc w:val="both"/>
        <w:rPr>
          <w:rFonts w:cs="Arial"/>
          <w:szCs w:val="20"/>
        </w:rPr>
      </w:pPr>
      <w:r w:rsidRPr="00F7519C">
        <w:rPr>
          <w:rFonts w:cs="Arial"/>
          <w:szCs w:val="20"/>
        </w:rPr>
        <w:t>informirati čim večje število kmetijskih proizvajalcev o načinih in pomenu shranjevanja, skladiščenja ter o drugih načinih uporabe kmetijskih proizvodov;</w:t>
      </w:r>
    </w:p>
    <w:p w14:paraId="44CB0678" w14:textId="77777777" w:rsidR="00F7519C" w:rsidRPr="00F7519C" w:rsidRDefault="00F7519C" w:rsidP="00BD41EA">
      <w:pPr>
        <w:numPr>
          <w:ilvl w:val="0"/>
          <w:numId w:val="12"/>
        </w:numPr>
        <w:suppressAutoHyphens/>
        <w:ind w:hanging="720"/>
        <w:jc w:val="both"/>
        <w:rPr>
          <w:rFonts w:cs="Arial"/>
          <w:szCs w:val="20"/>
        </w:rPr>
      </w:pPr>
      <w:r w:rsidRPr="00F7519C">
        <w:rPr>
          <w:rFonts w:cs="Arial"/>
          <w:szCs w:val="20"/>
        </w:rPr>
        <w:t xml:space="preserve">nuditi storitve svetovanja za izboljšanje gospodarske in </w:t>
      </w:r>
      <w:proofErr w:type="spellStart"/>
      <w:r w:rsidRPr="00F7519C">
        <w:rPr>
          <w:rFonts w:cs="Arial"/>
          <w:szCs w:val="20"/>
        </w:rPr>
        <w:t>okoljske</w:t>
      </w:r>
      <w:proofErr w:type="spellEnd"/>
      <w:r w:rsidRPr="00F7519C">
        <w:rPr>
          <w:rFonts w:cs="Arial"/>
          <w:szCs w:val="20"/>
        </w:rPr>
        <w:t xml:space="preserve"> učinkovitosti kmetijskim gospodarstvom in mladim kmetom na programskem območju, v povezavi z vsebinami, opredeljenimi v tretjem in čet</w:t>
      </w:r>
      <w:r w:rsidR="00BD41EA">
        <w:rPr>
          <w:rFonts w:cs="Arial"/>
          <w:szCs w:val="20"/>
        </w:rPr>
        <w:t xml:space="preserve">rtem odstavku 22. člena Uredbe </w:t>
      </w:r>
      <w:r w:rsidRPr="00F7519C">
        <w:rPr>
          <w:rFonts w:cs="Arial"/>
          <w:szCs w:val="20"/>
        </w:rPr>
        <w:t>2022/2472/EU.</w:t>
      </w:r>
    </w:p>
    <w:p w14:paraId="3BC410EC" w14:textId="77777777" w:rsidR="00F7519C" w:rsidRPr="00F7519C" w:rsidRDefault="00F7519C" w:rsidP="00F7519C">
      <w:pPr>
        <w:ind w:hanging="720"/>
        <w:jc w:val="both"/>
        <w:rPr>
          <w:rFonts w:cs="Arial"/>
          <w:szCs w:val="20"/>
        </w:rPr>
      </w:pPr>
    </w:p>
    <w:p w14:paraId="6BC9F3B7" w14:textId="77777777" w:rsidR="00F7519C" w:rsidRPr="00F7519C" w:rsidRDefault="00F7519C" w:rsidP="00F7519C">
      <w:pPr>
        <w:jc w:val="both"/>
        <w:rPr>
          <w:rFonts w:cs="Arial"/>
          <w:b/>
          <w:szCs w:val="20"/>
          <w:u w:val="single" w:color="000000"/>
        </w:rPr>
      </w:pPr>
      <w:r w:rsidRPr="00F7519C">
        <w:rPr>
          <w:rFonts w:cs="Arial"/>
          <w:b/>
          <w:szCs w:val="20"/>
          <w:u w:val="single" w:color="000000"/>
        </w:rPr>
        <w:t>Sheme pomoči:</w:t>
      </w:r>
    </w:p>
    <w:p w14:paraId="3D97A659" w14:textId="77777777" w:rsidR="00F7519C" w:rsidRPr="00F7519C" w:rsidRDefault="00F7519C" w:rsidP="00F7519C">
      <w:pPr>
        <w:autoSpaceDE w:val="0"/>
        <w:jc w:val="both"/>
        <w:rPr>
          <w:rFonts w:cs="Arial"/>
          <w:szCs w:val="20"/>
        </w:rPr>
      </w:pPr>
      <w:proofErr w:type="spellStart"/>
      <w:r w:rsidRPr="00F7519C">
        <w:rPr>
          <w:rFonts w:cs="Arial"/>
          <w:szCs w:val="20"/>
        </w:rPr>
        <w:t>Podukrep</w:t>
      </w:r>
      <w:proofErr w:type="spellEnd"/>
      <w:r w:rsidRPr="00F7519C">
        <w:rPr>
          <w:rFonts w:cs="Arial"/>
          <w:szCs w:val="20"/>
        </w:rPr>
        <w:t xml:space="preserve"> 4.2 se izvede v skladu z:</w:t>
      </w:r>
    </w:p>
    <w:p w14:paraId="7DD56956" w14:textId="77777777" w:rsidR="00F7519C" w:rsidRPr="00F7519C" w:rsidRDefault="00BD41EA" w:rsidP="00BD41EA">
      <w:pPr>
        <w:numPr>
          <w:ilvl w:val="0"/>
          <w:numId w:val="9"/>
        </w:numPr>
        <w:suppressAutoHyphens/>
        <w:autoSpaceDE w:val="0"/>
        <w:ind w:left="709" w:hanging="709"/>
        <w:contextualSpacing/>
        <w:jc w:val="both"/>
        <w:rPr>
          <w:rFonts w:cs="Arial"/>
          <w:szCs w:val="20"/>
        </w:rPr>
      </w:pPr>
      <w:r>
        <w:rPr>
          <w:rFonts w:cs="Arial"/>
          <w:szCs w:val="20"/>
        </w:rPr>
        <w:t>Uredbo</w:t>
      </w:r>
      <w:r w:rsidR="00F7519C" w:rsidRPr="00F7519C">
        <w:rPr>
          <w:rFonts w:cs="Arial"/>
          <w:szCs w:val="20"/>
        </w:rPr>
        <w:t xml:space="preserve"> 2022/2472/EU in</w:t>
      </w:r>
    </w:p>
    <w:p w14:paraId="7F37139B" w14:textId="77777777" w:rsidR="00F7519C" w:rsidRPr="00F7519C" w:rsidRDefault="00F7519C" w:rsidP="00BD41EA">
      <w:pPr>
        <w:numPr>
          <w:ilvl w:val="0"/>
          <w:numId w:val="9"/>
        </w:numPr>
        <w:suppressAutoHyphens/>
        <w:autoSpaceDE w:val="0"/>
        <w:ind w:left="709" w:hanging="709"/>
        <w:contextualSpacing/>
        <w:jc w:val="both"/>
        <w:rPr>
          <w:rFonts w:cs="Arial"/>
          <w:szCs w:val="20"/>
        </w:rPr>
      </w:pPr>
      <w:r w:rsidRPr="00F7519C">
        <w:rPr>
          <w:rFonts w:cs="Arial"/>
          <w:szCs w:val="20"/>
        </w:rPr>
        <w:t xml:space="preserve">Uredbo Komisije (EU) št. 1407/2013 z dne 18. decembra 2013 o uporabi členov 107 in 108 Pogodbe o delovanju Evropske unije pri pomoči de </w:t>
      </w:r>
      <w:proofErr w:type="spellStart"/>
      <w:r w:rsidRPr="00F7519C">
        <w:rPr>
          <w:rFonts w:cs="Arial"/>
          <w:szCs w:val="20"/>
        </w:rPr>
        <w:t>minimis</w:t>
      </w:r>
      <w:proofErr w:type="spellEnd"/>
      <w:r w:rsidRPr="00F7519C">
        <w:rPr>
          <w:rFonts w:cs="Arial"/>
          <w:szCs w:val="20"/>
        </w:rPr>
        <w:t xml:space="preserve"> (UL L št. 352 z dne 24. </w:t>
      </w:r>
      <w:r w:rsidRPr="00F7519C">
        <w:rPr>
          <w:rFonts w:cs="Arial"/>
          <w:szCs w:val="20"/>
        </w:rPr>
        <w:lastRenderedPageBreak/>
        <w:t xml:space="preserve">12. 2013, str. 1), zadnjič spremenjeno z Uredbo Komisije (EU) 2020/972 z dne 2. julija 2020 o spremembi Uredbe (EU) št. 1407/2013 v zvezi s podaljšanjem njene veljavnosti in o spremembi Uredbe (EU) št. 651/2014 v zvezi s podaljšanjem njene veljavnosti in ustreznimi prilagoditvami (UL L št. 215 z dne 7. 7. 2020, str. 3), (v nadaljnjem besedilu: </w:t>
      </w:r>
      <w:bookmarkStart w:id="2" w:name="_Hlk93670101"/>
      <w:r w:rsidRPr="00F7519C">
        <w:rPr>
          <w:rFonts w:cs="Arial"/>
          <w:szCs w:val="20"/>
        </w:rPr>
        <w:t>Uredba 1407/2013/EU</w:t>
      </w:r>
      <w:bookmarkEnd w:id="2"/>
      <w:r w:rsidRPr="00F7519C">
        <w:rPr>
          <w:rFonts w:cs="Arial"/>
          <w:szCs w:val="20"/>
        </w:rPr>
        <w:t xml:space="preserve">). </w:t>
      </w:r>
    </w:p>
    <w:p w14:paraId="7EF81BD0" w14:textId="77777777" w:rsidR="00F7519C" w:rsidRPr="00F7519C" w:rsidRDefault="00F7519C" w:rsidP="00F7519C">
      <w:pPr>
        <w:autoSpaceDE w:val="0"/>
        <w:jc w:val="both"/>
        <w:rPr>
          <w:rFonts w:cs="Arial"/>
          <w:szCs w:val="20"/>
        </w:rPr>
      </w:pPr>
    </w:p>
    <w:p w14:paraId="0F4FFA2B" w14:textId="77777777" w:rsidR="00F7519C" w:rsidRPr="00F7519C" w:rsidRDefault="00F7519C" w:rsidP="00BD41EA">
      <w:pPr>
        <w:numPr>
          <w:ilvl w:val="0"/>
          <w:numId w:val="10"/>
        </w:numPr>
        <w:suppressAutoHyphens/>
        <w:autoSpaceDE w:val="0"/>
        <w:ind w:left="709" w:hanging="709"/>
        <w:contextualSpacing/>
        <w:jc w:val="both"/>
        <w:rPr>
          <w:rFonts w:cs="Arial"/>
          <w:b/>
          <w:szCs w:val="20"/>
        </w:rPr>
      </w:pPr>
      <w:r w:rsidRPr="00F7519C">
        <w:rPr>
          <w:rFonts w:cs="Arial"/>
          <w:b/>
          <w:szCs w:val="20"/>
          <w:u w:val="single" w:color="000000"/>
        </w:rPr>
        <w:t xml:space="preserve">Shema državnih pomoči v skladu z </w:t>
      </w:r>
      <w:r w:rsidR="00BD41EA">
        <w:rPr>
          <w:rFonts w:cs="Arial"/>
          <w:b/>
          <w:szCs w:val="20"/>
          <w:u w:val="single"/>
        </w:rPr>
        <w:t>Uredbo</w:t>
      </w:r>
      <w:r w:rsidRPr="00F7519C">
        <w:rPr>
          <w:rFonts w:cs="Arial"/>
          <w:b/>
          <w:szCs w:val="20"/>
          <w:u w:val="single" w:color="000000"/>
        </w:rPr>
        <w:t xml:space="preserve"> 2022/2472/EU</w:t>
      </w:r>
    </w:p>
    <w:p w14:paraId="0A3D03FD" w14:textId="77777777" w:rsidR="00F7519C" w:rsidRPr="00F7519C" w:rsidRDefault="00F7519C" w:rsidP="00F7519C">
      <w:pPr>
        <w:autoSpaceDE w:val="0"/>
        <w:jc w:val="both"/>
        <w:rPr>
          <w:rFonts w:cs="Arial"/>
          <w:szCs w:val="20"/>
          <w:u w:val="single" w:color="000000"/>
        </w:rPr>
      </w:pPr>
    </w:p>
    <w:p w14:paraId="61CEB582" w14:textId="77777777" w:rsidR="00F7519C" w:rsidRPr="00F7519C" w:rsidRDefault="00F7519C" w:rsidP="00F7519C">
      <w:pPr>
        <w:autoSpaceDE w:val="0"/>
        <w:jc w:val="both"/>
        <w:rPr>
          <w:rFonts w:cs="Arial"/>
          <w:b/>
          <w:szCs w:val="20"/>
          <w:u w:val="single" w:color="000000"/>
        </w:rPr>
      </w:pPr>
      <w:r w:rsidRPr="00F7519C">
        <w:rPr>
          <w:rFonts w:cs="Arial"/>
          <w:b/>
          <w:szCs w:val="20"/>
          <w:u w:val="single" w:color="000000"/>
        </w:rPr>
        <w:t xml:space="preserve">Izvzeta področja uporabe </w:t>
      </w:r>
      <w:proofErr w:type="spellStart"/>
      <w:r w:rsidRPr="00F7519C">
        <w:rPr>
          <w:rFonts w:cs="Arial"/>
          <w:b/>
          <w:szCs w:val="20"/>
          <w:u w:val="single" w:color="000000"/>
        </w:rPr>
        <w:t>podukrepa</w:t>
      </w:r>
      <w:proofErr w:type="spellEnd"/>
      <w:r w:rsidRPr="00F7519C">
        <w:rPr>
          <w:rFonts w:cs="Arial"/>
          <w:b/>
          <w:szCs w:val="20"/>
          <w:u w:val="single" w:color="000000"/>
        </w:rPr>
        <w:t xml:space="preserve"> 4.2:</w:t>
      </w:r>
    </w:p>
    <w:p w14:paraId="521629B2" w14:textId="77777777" w:rsidR="00F7519C" w:rsidRPr="00F7519C" w:rsidRDefault="00F7519C" w:rsidP="00BD41EA">
      <w:pPr>
        <w:numPr>
          <w:ilvl w:val="0"/>
          <w:numId w:val="12"/>
        </w:numPr>
        <w:suppressAutoHyphens/>
        <w:ind w:hanging="720"/>
        <w:jc w:val="both"/>
        <w:rPr>
          <w:rFonts w:cs="Arial"/>
          <w:szCs w:val="20"/>
        </w:rPr>
      </w:pPr>
      <w:r w:rsidRPr="00F7519C">
        <w:rPr>
          <w:rFonts w:cs="Arial"/>
          <w:szCs w:val="20"/>
        </w:rPr>
        <w:t>naslovniki neporavnanega naloga za izterjavo na podlagi predhodnega sklepa Evrops</w:t>
      </w:r>
      <w:r w:rsidR="00BD41EA">
        <w:rPr>
          <w:rFonts w:cs="Arial"/>
          <w:szCs w:val="20"/>
        </w:rPr>
        <w:t>ke komisije, s katerim je pomoč,</w:t>
      </w:r>
      <w:r w:rsidRPr="00F7519C">
        <w:rPr>
          <w:rFonts w:cs="Arial"/>
          <w:szCs w:val="20"/>
        </w:rPr>
        <w:t xml:space="preserve"> ki jo je dodelil organ iz Republike Slovenije, razglasila za nezakonito in nezdružljivo z notranjim trgom;</w:t>
      </w:r>
    </w:p>
    <w:p w14:paraId="374A79F7" w14:textId="77777777" w:rsidR="00F7519C" w:rsidRPr="00F7519C" w:rsidRDefault="00F7519C" w:rsidP="00BD41EA">
      <w:pPr>
        <w:numPr>
          <w:ilvl w:val="0"/>
          <w:numId w:val="14"/>
        </w:numPr>
        <w:suppressAutoHyphens/>
        <w:ind w:hanging="720"/>
        <w:jc w:val="both"/>
        <w:rPr>
          <w:rFonts w:cs="Arial"/>
          <w:szCs w:val="20"/>
        </w:rPr>
      </w:pPr>
      <w:r w:rsidRPr="00F7519C">
        <w:rPr>
          <w:rFonts w:cs="Arial"/>
          <w:szCs w:val="20"/>
        </w:rPr>
        <w:t>podjetja v težavah, kot so opredeljena v 59. toč</w:t>
      </w:r>
      <w:r w:rsidR="00BD41EA">
        <w:rPr>
          <w:rFonts w:cs="Arial"/>
          <w:szCs w:val="20"/>
        </w:rPr>
        <w:t>ki 2. člena Uredbe 2022/2472/EU</w:t>
      </w:r>
      <w:r w:rsidRPr="00F7519C">
        <w:rPr>
          <w:rFonts w:cs="Arial"/>
          <w:szCs w:val="20"/>
        </w:rPr>
        <w:t>.</w:t>
      </w:r>
    </w:p>
    <w:p w14:paraId="3F35CC93" w14:textId="77777777" w:rsidR="00F7519C" w:rsidRPr="00F7519C" w:rsidRDefault="00F7519C" w:rsidP="00F7519C">
      <w:pPr>
        <w:jc w:val="both"/>
        <w:rPr>
          <w:rFonts w:cs="Arial"/>
          <w:szCs w:val="20"/>
        </w:rPr>
      </w:pPr>
    </w:p>
    <w:p w14:paraId="0DF6070F" w14:textId="77777777" w:rsidR="00F7519C" w:rsidRPr="00F7519C" w:rsidRDefault="00F7519C" w:rsidP="00F7519C">
      <w:pPr>
        <w:jc w:val="both"/>
        <w:rPr>
          <w:rFonts w:cs="Arial"/>
          <w:szCs w:val="20"/>
        </w:rPr>
      </w:pPr>
      <w:r w:rsidRPr="00F7519C">
        <w:rPr>
          <w:rFonts w:cs="Arial"/>
          <w:szCs w:val="20"/>
        </w:rPr>
        <w:t xml:space="preserve">Ne glede na drugo alinejo prejšnjega odstavka so lahko upravičena do pomoči v okviru tega </w:t>
      </w:r>
      <w:proofErr w:type="spellStart"/>
      <w:r w:rsidRPr="00F7519C">
        <w:rPr>
          <w:rFonts w:cs="Arial"/>
          <w:szCs w:val="20"/>
        </w:rPr>
        <w:t>podukrepa</w:t>
      </w:r>
      <w:proofErr w:type="spellEnd"/>
      <w:r w:rsidRPr="00F7519C">
        <w:rPr>
          <w:rFonts w:cs="Arial"/>
          <w:szCs w:val="20"/>
        </w:rPr>
        <w:t xml:space="preserve"> tudi podjetja v težavah, kadar se pomoč dodeli za ukrepe informiranja v kmetijskem in gozdarskem sektorju v skladu z 21. členom Uredbe 2022/2472/EU ter za promocijske ukrepe v obliki publikacij, katerih cilj je ozaveščanje širše javnosti o </w:t>
      </w:r>
      <w:r w:rsidR="00BD41EA">
        <w:rPr>
          <w:rFonts w:cs="Arial"/>
          <w:szCs w:val="20"/>
        </w:rPr>
        <w:t>kmetijskih proizvodih v skladu z</w:t>
      </w:r>
      <w:r w:rsidRPr="00F7519C">
        <w:rPr>
          <w:rFonts w:cs="Arial"/>
          <w:szCs w:val="20"/>
        </w:rPr>
        <w:t xml:space="preserve"> </w:t>
      </w:r>
      <w:r w:rsidR="00BD41EA">
        <w:rPr>
          <w:rFonts w:cs="Arial"/>
          <w:szCs w:val="20"/>
        </w:rPr>
        <w:br/>
      </w:r>
      <w:r w:rsidRPr="00F7519C">
        <w:rPr>
          <w:rFonts w:cs="Arial"/>
          <w:szCs w:val="20"/>
        </w:rPr>
        <w:t>b) točko 2. odstavka 24. člena Uredbe 2022/2472/EU.</w:t>
      </w:r>
    </w:p>
    <w:p w14:paraId="1BFAA860" w14:textId="77777777" w:rsidR="00F7519C" w:rsidRPr="00F7519C" w:rsidRDefault="00F7519C" w:rsidP="00F7519C">
      <w:pPr>
        <w:jc w:val="both"/>
        <w:rPr>
          <w:rFonts w:cs="Arial"/>
          <w:szCs w:val="20"/>
        </w:rPr>
      </w:pPr>
    </w:p>
    <w:p w14:paraId="7A1A35BA" w14:textId="77777777" w:rsidR="00F7519C" w:rsidRPr="00F7519C" w:rsidRDefault="00F7519C" w:rsidP="00F7519C">
      <w:pPr>
        <w:jc w:val="both"/>
        <w:rPr>
          <w:rFonts w:cs="Arial"/>
          <w:b/>
          <w:szCs w:val="20"/>
          <w:u w:val="single" w:color="000000"/>
        </w:rPr>
      </w:pPr>
      <w:r w:rsidRPr="00F7519C">
        <w:rPr>
          <w:rFonts w:cs="Arial"/>
          <w:b/>
          <w:szCs w:val="20"/>
          <w:u w:val="single" w:color="000000"/>
        </w:rPr>
        <w:t xml:space="preserve">Pomoč iz </w:t>
      </w:r>
      <w:proofErr w:type="spellStart"/>
      <w:r w:rsidRPr="00F7519C">
        <w:rPr>
          <w:rFonts w:cs="Arial"/>
          <w:b/>
          <w:szCs w:val="20"/>
          <w:u w:val="single" w:color="000000"/>
        </w:rPr>
        <w:t>podukrepa</w:t>
      </w:r>
      <w:proofErr w:type="spellEnd"/>
      <w:r w:rsidRPr="00F7519C">
        <w:rPr>
          <w:rFonts w:cs="Arial"/>
          <w:b/>
          <w:szCs w:val="20"/>
          <w:u w:val="single" w:color="000000"/>
        </w:rPr>
        <w:t xml:space="preserve"> 4.2: </w:t>
      </w:r>
    </w:p>
    <w:p w14:paraId="5A8C0C04" w14:textId="77777777" w:rsidR="00F7519C" w:rsidRPr="00F7519C" w:rsidRDefault="00F7519C" w:rsidP="00BD41EA">
      <w:pPr>
        <w:numPr>
          <w:ilvl w:val="0"/>
          <w:numId w:val="12"/>
        </w:numPr>
        <w:suppressAutoHyphens/>
        <w:ind w:hanging="720"/>
        <w:jc w:val="both"/>
        <w:rPr>
          <w:rFonts w:cs="Arial"/>
          <w:szCs w:val="20"/>
        </w:rPr>
      </w:pPr>
      <w:r w:rsidRPr="00F7519C">
        <w:rPr>
          <w:rFonts w:cs="Arial"/>
          <w:szCs w:val="20"/>
        </w:rPr>
        <w:t>se ne uporablja za pomoč za dejavnosti, povezane z izvozom v tretje države ali države članice Evropske unije, in sicer če je pomoč neposredno povezana z izvoženimi količinami, vzpostavitvijo in delovanjem distribucijske mreže ali drugimi tekočimi stroški, povezanimi z izvozno dejavnostjo</w:t>
      </w:r>
      <w:r w:rsidR="00BD41EA">
        <w:rPr>
          <w:rFonts w:cs="Arial"/>
          <w:szCs w:val="20"/>
        </w:rPr>
        <w:t>,</w:t>
      </w:r>
      <w:r w:rsidRPr="00F7519C">
        <w:rPr>
          <w:rFonts w:cs="Arial"/>
          <w:szCs w:val="20"/>
        </w:rPr>
        <w:t xml:space="preserve"> in </w:t>
      </w:r>
    </w:p>
    <w:p w14:paraId="49B5E193" w14:textId="77777777" w:rsidR="00F7519C" w:rsidRPr="00F7519C" w:rsidRDefault="00F7519C" w:rsidP="00BD41EA">
      <w:pPr>
        <w:numPr>
          <w:ilvl w:val="0"/>
          <w:numId w:val="12"/>
        </w:numPr>
        <w:suppressAutoHyphens/>
        <w:ind w:hanging="720"/>
        <w:jc w:val="both"/>
        <w:rPr>
          <w:rFonts w:cs="Arial"/>
          <w:szCs w:val="20"/>
        </w:rPr>
      </w:pPr>
      <w:r w:rsidRPr="00F7519C">
        <w:rPr>
          <w:rFonts w:cs="Arial"/>
          <w:szCs w:val="20"/>
        </w:rPr>
        <w:t>pomoč, ki je odvisna od prednostne uporabe domačega blaga pred uporabo uvoženega blaga;</w:t>
      </w:r>
    </w:p>
    <w:p w14:paraId="619BA25C" w14:textId="77777777" w:rsidR="00F7519C" w:rsidRPr="00F7519C" w:rsidRDefault="00F7519C" w:rsidP="00BD41EA">
      <w:pPr>
        <w:numPr>
          <w:ilvl w:val="0"/>
          <w:numId w:val="12"/>
        </w:numPr>
        <w:suppressAutoHyphens/>
        <w:ind w:hanging="720"/>
        <w:jc w:val="both"/>
        <w:rPr>
          <w:rFonts w:cs="Arial"/>
          <w:szCs w:val="20"/>
        </w:rPr>
      </w:pPr>
      <w:r w:rsidRPr="00F7519C">
        <w:rPr>
          <w:rFonts w:cs="Arial"/>
          <w:szCs w:val="20"/>
        </w:rPr>
        <w:t>se ne dodeli za davek na dodano vrednost, razen kadar po predpisih, ki urejajo davek na dodano vrednost, le-ta ni izterljiv.</w:t>
      </w:r>
    </w:p>
    <w:p w14:paraId="2AB09B15" w14:textId="77777777" w:rsidR="00F7519C" w:rsidRPr="00F7519C" w:rsidRDefault="00F7519C" w:rsidP="00F7519C">
      <w:pPr>
        <w:jc w:val="both"/>
        <w:rPr>
          <w:rFonts w:cs="Arial"/>
          <w:szCs w:val="20"/>
        </w:rPr>
      </w:pPr>
    </w:p>
    <w:p w14:paraId="543A518A" w14:textId="77777777" w:rsidR="00F7519C" w:rsidRDefault="00F7519C" w:rsidP="00F7519C">
      <w:pPr>
        <w:pStyle w:val="Podnaslov"/>
        <w:spacing w:after="0"/>
        <w:rPr>
          <w:rFonts w:ascii="Arial" w:hAnsi="Arial" w:cs="Arial"/>
          <w:b/>
          <w:bCs/>
          <w:color w:val="auto"/>
          <w:spacing w:val="0"/>
          <w:sz w:val="20"/>
          <w:szCs w:val="20"/>
          <w:u w:val="single"/>
        </w:rPr>
      </w:pPr>
      <w:r w:rsidRPr="00F7519C">
        <w:rPr>
          <w:rFonts w:ascii="Arial" w:hAnsi="Arial" w:cs="Arial"/>
          <w:b/>
          <w:bCs/>
          <w:color w:val="auto"/>
          <w:spacing w:val="0"/>
          <w:sz w:val="20"/>
          <w:szCs w:val="20"/>
          <w:u w:val="single"/>
        </w:rPr>
        <w:t xml:space="preserve">Pomoč za ukrepe izmenjave znanja in informiranja (21. člen Uredbe 2022/2472/EU) </w:t>
      </w:r>
    </w:p>
    <w:p w14:paraId="25FA055E" w14:textId="77777777" w:rsidR="004946BD" w:rsidRPr="004946BD" w:rsidRDefault="004946BD" w:rsidP="004946BD">
      <w:pPr>
        <w:rPr>
          <w:lang w:eastAsia="zh-CN"/>
        </w:rPr>
      </w:pPr>
    </w:p>
    <w:p w14:paraId="5C56FDF6" w14:textId="77777777" w:rsidR="00F7519C" w:rsidRPr="00F7519C" w:rsidRDefault="00BD41EA" w:rsidP="00B150EC">
      <w:pPr>
        <w:jc w:val="both"/>
        <w:rPr>
          <w:rFonts w:cs="Arial"/>
          <w:szCs w:val="20"/>
        </w:rPr>
      </w:pPr>
      <w:r>
        <w:rPr>
          <w:rFonts w:cs="Arial"/>
          <w:szCs w:val="20"/>
        </w:rPr>
        <w:t xml:space="preserve">1. </w:t>
      </w:r>
      <w:r>
        <w:rPr>
          <w:rFonts w:cs="Arial"/>
          <w:szCs w:val="20"/>
        </w:rPr>
        <w:tab/>
      </w:r>
      <w:r w:rsidR="00F7519C" w:rsidRPr="00F7519C">
        <w:rPr>
          <w:rFonts w:cs="Arial"/>
          <w:szCs w:val="20"/>
        </w:rPr>
        <w:t xml:space="preserve">Pomoč krije dejavnosti poklicnega usposabljanja in pridobivanja strokovnih znanj, vključno z usposabljanji, delavnicami, konferencami in </w:t>
      </w:r>
      <w:proofErr w:type="spellStart"/>
      <w:r w:rsidR="00F7519C" w:rsidRPr="00F7519C">
        <w:rPr>
          <w:rFonts w:cs="Arial"/>
          <w:szCs w:val="20"/>
        </w:rPr>
        <w:t>mentoriranjem</w:t>
      </w:r>
      <w:proofErr w:type="spellEnd"/>
      <w:r w:rsidR="00F7519C" w:rsidRPr="00F7519C">
        <w:rPr>
          <w:rFonts w:cs="Arial"/>
          <w:szCs w:val="20"/>
        </w:rPr>
        <w:t xml:space="preserve">, predstavitvenimi dejavnostmi, informacijskimi ukrepi in spodbujanjem inovacij. Pomoč lahko krije tudi kratkoročne izmenjave upravnikov kmetij in obiske kmetij. </w:t>
      </w:r>
      <w:bookmarkStart w:id="3" w:name="_Hlk139358049"/>
      <w:r w:rsidR="00F7519C" w:rsidRPr="00F7519C">
        <w:rPr>
          <w:rFonts w:cs="Arial"/>
          <w:szCs w:val="20"/>
        </w:rPr>
        <w:t>Pomurska madžarska samoupravna narodna skupnost zagotovi</w:t>
      </w:r>
      <w:bookmarkEnd w:id="3"/>
      <w:r w:rsidR="00F7519C" w:rsidRPr="00F7519C">
        <w:rPr>
          <w:rFonts w:cs="Arial"/>
          <w:szCs w:val="20"/>
        </w:rPr>
        <w:t>, da so ukrepi, podprti na podlagi tega člena, v skladu z opisom sistemov znanja in inovacij na področju kmetijstva (AKIS) iz strateških načrtov SKP. Pomoč za predstavitvene dejavnosti lahko krije ustrezne naložbene stroške.</w:t>
      </w:r>
    </w:p>
    <w:p w14:paraId="1059B69D" w14:textId="77777777" w:rsidR="00F7519C" w:rsidRPr="00F7519C" w:rsidRDefault="00F7519C" w:rsidP="00F7519C">
      <w:pPr>
        <w:jc w:val="both"/>
        <w:rPr>
          <w:rFonts w:cs="Arial"/>
          <w:szCs w:val="20"/>
        </w:rPr>
      </w:pPr>
    </w:p>
    <w:p w14:paraId="5CBF5C42" w14:textId="77777777" w:rsidR="00F7519C" w:rsidRPr="00F7519C" w:rsidRDefault="00BD41EA" w:rsidP="00BD41EA">
      <w:pPr>
        <w:ind w:left="709" w:hanging="709"/>
        <w:jc w:val="both"/>
        <w:rPr>
          <w:rFonts w:cs="Arial"/>
          <w:szCs w:val="20"/>
        </w:rPr>
      </w:pPr>
      <w:r>
        <w:rPr>
          <w:rFonts w:cs="Arial"/>
          <w:szCs w:val="20"/>
        </w:rPr>
        <w:t>2.</w:t>
      </w:r>
      <w:r w:rsidR="00F7519C" w:rsidRPr="00F7519C">
        <w:rPr>
          <w:rFonts w:cs="Arial"/>
          <w:szCs w:val="20"/>
        </w:rPr>
        <w:t xml:space="preserve"> </w:t>
      </w:r>
      <w:r>
        <w:rPr>
          <w:rFonts w:cs="Arial"/>
          <w:szCs w:val="20"/>
        </w:rPr>
        <w:tab/>
      </w:r>
      <w:r w:rsidR="00F7519C" w:rsidRPr="00F7519C">
        <w:rPr>
          <w:rFonts w:cs="Arial"/>
          <w:szCs w:val="20"/>
        </w:rPr>
        <w:t>Pomoč krije naslednje upravičene stroške:</w:t>
      </w:r>
    </w:p>
    <w:p w14:paraId="344324CC" w14:textId="77777777" w:rsidR="00F7519C" w:rsidRPr="00F7519C" w:rsidRDefault="00F7519C" w:rsidP="00A35C54">
      <w:pPr>
        <w:pStyle w:val="Odstavekseznama"/>
        <w:numPr>
          <w:ilvl w:val="0"/>
          <w:numId w:val="15"/>
        </w:numPr>
        <w:suppressAutoHyphens/>
        <w:ind w:left="709" w:hanging="709"/>
        <w:jc w:val="both"/>
        <w:rPr>
          <w:rFonts w:cs="Arial"/>
          <w:szCs w:val="20"/>
        </w:rPr>
      </w:pPr>
      <w:r w:rsidRPr="00F7519C">
        <w:rPr>
          <w:rFonts w:cs="Arial"/>
          <w:szCs w:val="20"/>
        </w:rPr>
        <w:t xml:space="preserve">stroške organizacije poklicnega usposabljanja, dejavnosti pridobivanja strokovnih znanj, vključno z usposabljanji, delavnicami, konferencami in </w:t>
      </w:r>
      <w:proofErr w:type="spellStart"/>
      <w:r w:rsidRPr="00F7519C">
        <w:rPr>
          <w:rFonts w:cs="Arial"/>
          <w:szCs w:val="20"/>
        </w:rPr>
        <w:t>mentoriranjem</w:t>
      </w:r>
      <w:proofErr w:type="spellEnd"/>
      <w:r w:rsidRPr="00F7519C">
        <w:rPr>
          <w:rFonts w:cs="Arial"/>
          <w:szCs w:val="20"/>
        </w:rPr>
        <w:t>, ter stroške predstavitvenih dejavnosti ali dejavnosti informiranja;</w:t>
      </w:r>
    </w:p>
    <w:p w14:paraId="0EE77144" w14:textId="77777777" w:rsidR="00F7519C" w:rsidRPr="00F7519C" w:rsidRDefault="00F7519C" w:rsidP="00A35C54">
      <w:pPr>
        <w:pStyle w:val="Odstavekseznama"/>
        <w:numPr>
          <w:ilvl w:val="0"/>
          <w:numId w:val="15"/>
        </w:numPr>
        <w:suppressAutoHyphens/>
        <w:ind w:left="709" w:hanging="709"/>
        <w:jc w:val="both"/>
        <w:rPr>
          <w:rFonts w:cs="Arial"/>
          <w:szCs w:val="20"/>
        </w:rPr>
      </w:pPr>
      <w:r w:rsidRPr="00F7519C">
        <w:rPr>
          <w:rFonts w:cs="Arial"/>
          <w:szCs w:val="20"/>
        </w:rPr>
        <w:t>stroške potovanja, nastanitve in dnevnic udeležencev;</w:t>
      </w:r>
    </w:p>
    <w:p w14:paraId="5FF0F84C" w14:textId="77777777" w:rsidR="00F7519C" w:rsidRPr="00F7519C" w:rsidRDefault="00F7519C" w:rsidP="00A35C54">
      <w:pPr>
        <w:pStyle w:val="Odstavekseznama"/>
        <w:numPr>
          <w:ilvl w:val="0"/>
          <w:numId w:val="15"/>
        </w:numPr>
        <w:suppressAutoHyphens/>
        <w:ind w:left="709" w:hanging="709"/>
        <w:jc w:val="both"/>
        <w:rPr>
          <w:rFonts w:cs="Arial"/>
          <w:szCs w:val="20"/>
        </w:rPr>
      </w:pPr>
      <w:r w:rsidRPr="00F7519C">
        <w:rPr>
          <w:rFonts w:cs="Arial"/>
          <w:szCs w:val="20"/>
        </w:rPr>
        <w:t>stroške zagotavljanja storitev nadomeščanja med odsotnostjo udeležencev;</w:t>
      </w:r>
    </w:p>
    <w:p w14:paraId="3A725719" w14:textId="77777777" w:rsidR="00F7519C" w:rsidRPr="00F7519C" w:rsidRDefault="00F7519C" w:rsidP="00A35C54">
      <w:pPr>
        <w:pStyle w:val="Odstavekseznama"/>
        <w:suppressAutoHyphens/>
        <w:ind w:left="709" w:hanging="709"/>
        <w:jc w:val="both"/>
        <w:rPr>
          <w:rFonts w:cs="Arial"/>
          <w:szCs w:val="20"/>
        </w:rPr>
      </w:pPr>
      <w:r w:rsidRPr="00F7519C">
        <w:rPr>
          <w:rFonts w:cs="Arial"/>
          <w:szCs w:val="20"/>
        </w:rPr>
        <w:t xml:space="preserve">(č) </w:t>
      </w:r>
      <w:r w:rsidR="00BD41EA">
        <w:rPr>
          <w:rFonts w:cs="Arial"/>
          <w:szCs w:val="20"/>
        </w:rPr>
        <w:tab/>
      </w:r>
      <w:r w:rsidRPr="00F7519C">
        <w:rPr>
          <w:rFonts w:cs="Arial"/>
          <w:szCs w:val="20"/>
        </w:rPr>
        <w:t>v primeru predstavitvenih projektov v zvezi z naložbami:</w:t>
      </w:r>
    </w:p>
    <w:p w14:paraId="4F842B9A" w14:textId="77777777" w:rsidR="00F7519C" w:rsidRPr="00F7519C" w:rsidRDefault="00F7519C" w:rsidP="00A35C54">
      <w:pPr>
        <w:pStyle w:val="Odstavekseznama"/>
        <w:numPr>
          <w:ilvl w:val="0"/>
          <w:numId w:val="16"/>
        </w:numPr>
        <w:suppressAutoHyphens/>
        <w:ind w:left="1276" w:hanging="567"/>
        <w:jc w:val="both"/>
        <w:rPr>
          <w:rFonts w:cs="Arial"/>
          <w:szCs w:val="20"/>
        </w:rPr>
      </w:pPr>
      <w:r w:rsidRPr="00F7519C">
        <w:rPr>
          <w:rFonts w:cs="Arial"/>
          <w:szCs w:val="20"/>
        </w:rPr>
        <w:t>gradnjo, nakup, vključno z zakupom, ali izboljšanje nepremičnin, pri čemer je nakup zemljišč upravičen le v obsegu, ki ne presega 10 % skupnih upravičenih stroškov zadevne dejavnosti;</w:t>
      </w:r>
    </w:p>
    <w:p w14:paraId="1C89A4C4" w14:textId="77777777" w:rsidR="00F7519C" w:rsidRPr="00F7519C" w:rsidRDefault="00F7519C" w:rsidP="00A35C54">
      <w:pPr>
        <w:pStyle w:val="Odstavekseznama"/>
        <w:numPr>
          <w:ilvl w:val="0"/>
          <w:numId w:val="16"/>
        </w:numPr>
        <w:suppressAutoHyphens/>
        <w:ind w:left="1276" w:hanging="567"/>
        <w:jc w:val="both"/>
        <w:rPr>
          <w:rFonts w:cs="Arial"/>
          <w:szCs w:val="20"/>
        </w:rPr>
      </w:pPr>
      <w:r w:rsidRPr="00F7519C">
        <w:rPr>
          <w:rFonts w:cs="Arial"/>
          <w:szCs w:val="20"/>
        </w:rPr>
        <w:t>nakup ali zakup strojev in opreme do tržne vrednosti sredstva;</w:t>
      </w:r>
    </w:p>
    <w:p w14:paraId="6782A34E" w14:textId="77777777" w:rsidR="00F7519C" w:rsidRPr="00F7519C" w:rsidRDefault="00F7519C" w:rsidP="00A35C54">
      <w:pPr>
        <w:pStyle w:val="Odstavekseznama"/>
        <w:numPr>
          <w:ilvl w:val="0"/>
          <w:numId w:val="16"/>
        </w:numPr>
        <w:suppressAutoHyphens/>
        <w:ind w:left="1276" w:hanging="567"/>
        <w:jc w:val="both"/>
        <w:rPr>
          <w:rFonts w:cs="Arial"/>
          <w:szCs w:val="20"/>
        </w:rPr>
      </w:pPr>
      <w:r w:rsidRPr="00F7519C">
        <w:rPr>
          <w:rFonts w:cs="Arial"/>
          <w:szCs w:val="20"/>
        </w:rPr>
        <w:t xml:space="preserve">splošne stroške, povezane z izdatki iz točk (i) in (ii), kot so honorarji arhitektov, inženirjev in svetovalcev, plačila za storitve svetovanja v zvezi z </w:t>
      </w:r>
      <w:proofErr w:type="spellStart"/>
      <w:r w:rsidRPr="00F7519C">
        <w:rPr>
          <w:rFonts w:cs="Arial"/>
          <w:szCs w:val="20"/>
        </w:rPr>
        <w:t>okoljsko</w:t>
      </w:r>
      <w:proofErr w:type="spellEnd"/>
      <w:r w:rsidRPr="00F7519C">
        <w:rPr>
          <w:rFonts w:cs="Arial"/>
          <w:szCs w:val="20"/>
        </w:rPr>
        <w:t xml:space="preserve"> in </w:t>
      </w:r>
      <w:r w:rsidRPr="00F7519C">
        <w:rPr>
          <w:rFonts w:cs="Arial"/>
          <w:szCs w:val="20"/>
        </w:rPr>
        <w:lastRenderedPageBreak/>
        <w:t xml:space="preserve">ekonomsko </w:t>
      </w:r>
      <w:proofErr w:type="spellStart"/>
      <w:r w:rsidRPr="00F7519C">
        <w:rPr>
          <w:rFonts w:cs="Arial"/>
          <w:szCs w:val="20"/>
        </w:rPr>
        <w:t>trajnostnostjo</w:t>
      </w:r>
      <w:proofErr w:type="spellEnd"/>
      <w:r w:rsidRPr="00F7519C">
        <w:rPr>
          <w:rFonts w:cs="Arial"/>
          <w:szCs w:val="20"/>
        </w:rPr>
        <w:t>, vključno s stroški za študije izvedljivosti; študije izvedljivosti ostanejo upravičen izdatek tudi takrat, ko glede na njihove rezultate niso nastali nobeni izdatki v okviru točk (i) in (ii);</w:t>
      </w:r>
    </w:p>
    <w:p w14:paraId="19BFD8B5" w14:textId="77777777" w:rsidR="00F7519C" w:rsidRPr="00F7519C" w:rsidRDefault="00F7519C" w:rsidP="00A35C54">
      <w:pPr>
        <w:pStyle w:val="Odstavekseznama"/>
        <w:numPr>
          <w:ilvl w:val="0"/>
          <w:numId w:val="16"/>
        </w:numPr>
        <w:suppressAutoHyphens/>
        <w:ind w:left="1276" w:hanging="567"/>
        <w:jc w:val="both"/>
        <w:rPr>
          <w:rFonts w:cs="Arial"/>
          <w:szCs w:val="20"/>
        </w:rPr>
      </w:pPr>
      <w:r w:rsidRPr="00F7519C">
        <w:rPr>
          <w:rFonts w:cs="Arial"/>
          <w:szCs w:val="20"/>
        </w:rPr>
        <w:t>pristojbine za pridobitev, razvoj ali uporabo računalniške programske opreme, računalniškega oblaka in podobnih rešitev ter pridobitve patentov, licenc, avtorskih pravic in blagovnih znamk.</w:t>
      </w:r>
    </w:p>
    <w:p w14:paraId="6FE94469" w14:textId="77777777" w:rsidR="00F7519C" w:rsidRPr="00F7519C" w:rsidRDefault="00F7519C" w:rsidP="00F7519C">
      <w:pPr>
        <w:jc w:val="both"/>
        <w:rPr>
          <w:rFonts w:cs="Arial"/>
          <w:szCs w:val="20"/>
        </w:rPr>
      </w:pPr>
    </w:p>
    <w:p w14:paraId="62F253DF" w14:textId="77777777" w:rsidR="00F7519C" w:rsidRPr="00F7519C" w:rsidRDefault="00BD41EA" w:rsidP="00A35C54">
      <w:pPr>
        <w:tabs>
          <w:tab w:val="left" w:pos="0"/>
        </w:tabs>
        <w:jc w:val="both"/>
        <w:rPr>
          <w:rFonts w:cs="Arial"/>
          <w:szCs w:val="20"/>
        </w:rPr>
      </w:pPr>
      <w:r>
        <w:rPr>
          <w:rFonts w:cs="Arial"/>
          <w:szCs w:val="20"/>
        </w:rPr>
        <w:t>3.</w:t>
      </w:r>
      <w:r w:rsidR="00F7519C" w:rsidRPr="00F7519C">
        <w:rPr>
          <w:rFonts w:cs="Arial"/>
          <w:szCs w:val="20"/>
        </w:rPr>
        <w:t xml:space="preserve"> </w:t>
      </w:r>
      <w:r>
        <w:rPr>
          <w:rFonts w:cs="Arial"/>
          <w:szCs w:val="20"/>
        </w:rPr>
        <w:tab/>
      </w:r>
      <w:r w:rsidR="00F7519C" w:rsidRPr="00F7519C">
        <w:rPr>
          <w:rFonts w:cs="Arial"/>
          <w:szCs w:val="20"/>
        </w:rPr>
        <w:t>Stroški iz točke (č) prejšnjega odstavka so upravičeni samo v obsegu, v katerem so nastali za predstavitveni projekt, in za obdobje trajanja predstavitvenega projekta. Za upravičene se štejejo le stroški amortizacije, ki ustrezajo trajanju projekta in so izračunani na podlagi splošno sprejetih računovodskih načel.</w:t>
      </w:r>
    </w:p>
    <w:p w14:paraId="0588893A" w14:textId="77777777" w:rsidR="00F7519C" w:rsidRPr="00F7519C" w:rsidRDefault="00F7519C" w:rsidP="00F7519C">
      <w:pPr>
        <w:jc w:val="both"/>
        <w:rPr>
          <w:rFonts w:cs="Arial"/>
          <w:szCs w:val="20"/>
        </w:rPr>
      </w:pPr>
    </w:p>
    <w:p w14:paraId="6205292B" w14:textId="77777777" w:rsidR="00F7519C" w:rsidRPr="00F7519C" w:rsidRDefault="00BD41EA" w:rsidP="00A35C54">
      <w:pPr>
        <w:jc w:val="both"/>
        <w:rPr>
          <w:rFonts w:cs="Arial"/>
          <w:szCs w:val="20"/>
        </w:rPr>
      </w:pPr>
      <w:r>
        <w:rPr>
          <w:rFonts w:cs="Arial"/>
          <w:szCs w:val="20"/>
        </w:rPr>
        <w:t>4.</w:t>
      </w:r>
      <w:r w:rsidR="00F7519C" w:rsidRPr="00F7519C">
        <w:rPr>
          <w:rFonts w:cs="Arial"/>
          <w:szCs w:val="20"/>
        </w:rPr>
        <w:t xml:space="preserve"> </w:t>
      </w:r>
      <w:r>
        <w:rPr>
          <w:rFonts w:cs="Arial"/>
          <w:szCs w:val="20"/>
        </w:rPr>
        <w:tab/>
      </w:r>
      <w:r w:rsidR="00F7519C" w:rsidRPr="00F7519C">
        <w:rPr>
          <w:rFonts w:cs="Arial"/>
          <w:szCs w:val="20"/>
        </w:rPr>
        <w:t>Pomoč iz točk (a) in (c) drugega odstavka pod tem naslovom ne vključuje neposrednih plačil upravičencem. Pomoč za stroške zagotavljanja storitev nadomeščanja iz točke (c) tretjega odstavka pod tem naslovom se lahko plača neposredno ponudniku storitve nadomeščanja.</w:t>
      </w:r>
    </w:p>
    <w:p w14:paraId="7B09522D" w14:textId="77777777" w:rsidR="00F7519C" w:rsidRPr="00F7519C" w:rsidRDefault="00F7519C" w:rsidP="00F7519C">
      <w:pPr>
        <w:jc w:val="both"/>
        <w:rPr>
          <w:rFonts w:cs="Arial"/>
          <w:szCs w:val="20"/>
        </w:rPr>
      </w:pPr>
    </w:p>
    <w:p w14:paraId="2FA27658" w14:textId="77777777" w:rsidR="00F7519C" w:rsidRPr="00F7519C" w:rsidRDefault="00BD41EA" w:rsidP="00A35C54">
      <w:pPr>
        <w:jc w:val="both"/>
        <w:rPr>
          <w:rFonts w:cs="Arial"/>
          <w:szCs w:val="20"/>
        </w:rPr>
      </w:pPr>
      <w:r>
        <w:rPr>
          <w:rFonts w:cs="Arial"/>
          <w:szCs w:val="20"/>
        </w:rPr>
        <w:t xml:space="preserve">5. </w:t>
      </w:r>
      <w:r>
        <w:rPr>
          <w:rFonts w:cs="Arial"/>
          <w:szCs w:val="20"/>
        </w:rPr>
        <w:tab/>
      </w:r>
      <w:r w:rsidR="00F7519C" w:rsidRPr="00F7519C">
        <w:rPr>
          <w:rFonts w:cs="Arial"/>
          <w:szCs w:val="20"/>
        </w:rPr>
        <w:t>Subjekti, ki izvajajo ukrepe izmenjave znanja in informiranja, zagotovijo ustrezno zmogljivost v obliki usposobljenosti in rednega izobraževanja osebja za opravljanje navedenih nalog. Dejavnosti iz prvega odstavka te točke lahko opravljajo skupine proizvajalcev ali druge organizacije, ne glede na njihovo velikost.</w:t>
      </w:r>
    </w:p>
    <w:p w14:paraId="06A2DA53" w14:textId="77777777" w:rsidR="00F7519C" w:rsidRPr="00F7519C" w:rsidRDefault="00F7519C" w:rsidP="00F7519C">
      <w:pPr>
        <w:jc w:val="both"/>
        <w:rPr>
          <w:rFonts w:cs="Arial"/>
          <w:szCs w:val="20"/>
        </w:rPr>
      </w:pPr>
    </w:p>
    <w:p w14:paraId="309E5927" w14:textId="77777777" w:rsidR="00F7519C" w:rsidRPr="00F7519C" w:rsidRDefault="00BD41EA" w:rsidP="00A35C54">
      <w:pPr>
        <w:jc w:val="both"/>
        <w:rPr>
          <w:rFonts w:cs="Arial"/>
          <w:szCs w:val="20"/>
        </w:rPr>
      </w:pPr>
      <w:r>
        <w:rPr>
          <w:rFonts w:cs="Arial"/>
          <w:szCs w:val="20"/>
        </w:rPr>
        <w:t xml:space="preserve">6. </w:t>
      </w:r>
      <w:r>
        <w:rPr>
          <w:rFonts w:cs="Arial"/>
          <w:szCs w:val="20"/>
        </w:rPr>
        <w:tab/>
      </w:r>
      <w:r w:rsidR="00F7519C" w:rsidRPr="00F7519C">
        <w:rPr>
          <w:rFonts w:cs="Arial"/>
          <w:szCs w:val="20"/>
        </w:rPr>
        <w:t>Pomoč je na podlagi objektivno opredeljenih pogojev dostopna vsem upravičenim podjetjem na zadevnem območju. Če dejavnosti iz prvega odstavka pod tem naslovom zagotavljajo skupine in organizacije proizvajalcev, članstvo v takih skupinah ali organizacijah ni pogoj za dostop do navedenih dejavnosti. Vsak prispevek nečlanov za kritje upravnih stroškov zadevne skupine ali organizacije proizvajalcev je omejen na stroške zagotavljanja dejavnosti iz prvega odstavka pod tem naslovom.</w:t>
      </w:r>
    </w:p>
    <w:p w14:paraId="45CEED15" w14:textId="77777777" w:rsidR="00F7519C" w:rsidRPr="00F7519C" w:rsidRDefault="00F7519C" w:rsidP="00F7519C">
      <w:pPr>
        <w:jc w:val="both"/>
        <w:rPr>
          <w:rFonts w:cs="Arial"/>
          <w:szCs w:val="20"/>
        </w:rPr>
      </w:pPr>
    </w:p>
    <w:p w14:paraId="2E6A1626" w14:textId="77777777" w:rsidR="00F7519C" w:rsidRPr="00F7519C" w:rsidRDefault="00BD41EA" w:rsidP="00A35C54">
      <w:pPr>
        <w:jc w:val="both"/>
        <w:rPr>
          <w:rFonts w:cs="Arial"/>
          <w:szCs w:val="20"/>
        </w:rPr>
      </w:pPr>
      <w:r>
        <w:rPr>
          <w:rFonts w:cs="Arial"/>
          <w:szCs w:val="20"/>
        </w:rPr>
        <w:t>7.</w:t>
      </w:r>
      <w:r w:rsidR="00F7519C" w:rsidRPr="00F7519C">
        <w:rPr>
          <w:rFonts w:cs="Arial"/>
          <w:szCs w:val="20"/>
        </w:rPr>
        <w:t xml:space="preserve"> </w:t>
      </w:r>
      <w:r>
        <w:rPr>
          <w:rFonts w:cs="Arial"/>
          <w:szCs w:val="20"/>
        </w:rPr>
        <w:tab/>
      </w:r>
      <w:r w:rsidR="00F7519C" w:rsidRPr="00F7519C">
        <w:rPr>
          <w:rFonts w:cs="Arial"/>
          <w:szCs w:val="20"/>
        </w:rPr>
        <w:t>Intenzivnost pomoči je omejena na 100 % upravičenih stroškov. V primeru predstavitvenih projektov iz točke (č) drugega odstavka pod tem naslovom, je najvišji znesek pomoči omejen na 100 000 EUR v treh obračunskih letih.</w:t>
      </w:r>
    </w:p>
    <w:p w14:paraId="36E06947" w14:textId="77777777" w:rsidR="00F7519C" w:rsidRPr="00F7519C" w:rsidRDefault="00F7519C" w:rsidP="00F7519C">
      <w:pPr>
        <w:overflowPunct w:val="0"/>
        <w:autoSpaceDE w:val="0"/>
        <w:ind w:left="780"/>
        <w:jc w:val="both"/>
        <w:textAlignment w:val="baseline"/>
        <w:rPr>
          <w:rFonts w:cs="Arial"/>
          <w:szCs w:val="20"/>
        </w:rPr>
      </w:pPr>
    </w:p>
    <w:p w14:paraId="5A33887B" w14:textId="77777777" w:rsidR="00F7519C" w:rsidRDefault="00F7519C" w:rsidP="00F7519C">
      <w:pPr>
        <w:pStyle w:val="Podnaslov"/>
        <w:spacing w:after="0"/>
        <w:rPr>
          <w:rFonts w:ascii="Arial" w:hAnsi="Arial" w:cs="Arial"/>
          <w:b/>
          <w:bCs/>
          <w:color w:val="auto"/>
          <w:spacing w:val="0"/>
          <w:sz w:val="20"/>
          <w:szCs w:val="20"/>
          <w:u w:val="single"/>
        </w:rPr>
      </w:pPr>
      <w:r w:rsidRPr="00F7519C">
        <w:rPr>
          <w:rFonts w:ascii="Arial" w:hAnsi="Arial" w:cs="Arial"/>
          <w:b/>
          <w:bCs/>
          <w:color w:val="auto"/>
          <w:spacing w:val="0"/>
          <w:sz w:val="20"/>
          <w:szCs w:val="20"/>
          <w:u w:val="single"/>
        </w:rPr>
        <w:t>Pomoč za storitve svetovanja (22. člen Uredbe 2022/2472/EU)</w:t>
      </w:r>
    </w:p>
    <w:p w14:paraId="0607BFA9" w14:textId="77777777" w:rsidR="00CB643D" w:rsidRPr="00CB643D" w:rsidRDefault="00CB643D" w:rsidP="00CB643D">
      <w:pPr>
        <w:rPr>
          <w:lang w:eastAsia="zh-CN"/>
        </w:rPr>
      </w:pPr>
    </w:p>
    <w:p w14:paraId="72507C3A" w14:textId="235D3633" w:rsidR="00F7519C" w:rsidRDefault="004946BD" w:rsidP="00A35C54">
      <w:pPr>
        <w:pStyle w:val="Podnaslov"/>
        <w:spacing w:after="0"/>
        <w:jc w:val="both"/>
        <w:rPr>
          <w:rFonts w:ascii="Arial" w:hAnsi="Arial" w:cs="Arial"/>
          <w:color w:val="auto"/>
          <w:spacing w:val="0"/>
          <w:sz w:val="20"/>
          <w:szCs w:val="20"/>
        </w:rPr>
      </w:pPr>
      <w:r>
        <w:rPr>
          <w:rFonts w:ascii="Arial" w:hAnsi="Arial" w:cs="Arial"/>
          <w:color w:val="auto"/>
          <w:spacing w:val="0"/>
          <w:sz w:val="20"/>
          <w:szCs w:val="20"/>
        </w:rPr>
        <w:t>1.</w:t>
      </w:r>
      <w:r w:rsidR="00BD41EA">
        <w:rPr>
          <w:rFonts w:ascii="Arial" w:hAnsi="Arial" w:cs="Arial"/>
          <w:color w:val="auto"/>
          <w:spacing w:val="0"/>
          <w:sz w:val="20"/>
          <w:szCs w:val="20"/>
        </w:rPr>
        <w:tab/>
      </w:r>
      <w:r w:rsidR="00F7519C" w:rsidRPr="00F7519C">
        <w:rPr>
          <w:rFonts w:ascii="Arial" w:hAnsi="Arial" w:cs="Arial"/>
          <w:color w:val="auto"/>
          <w:spacing w:val="0"/>
          <w:sz w:val="20"/>
          <w:szCs w:val="20"/>
        </w:rPr>
        <w:t>Pomoč je namenjena za podporo podjetjem, ki delujejo v kmetijskem sektorju na programskem območju, in mladim kmetom, ki koristijo storitve svetovanja na programskem območju. Pomurska madžarska samoupravna narodna skupnost zagotovi, da so ukrepi, podprti na podlagi 22. člena Uredbe 2022/2472/EU, v skladu z opisom sistemov znanja in inovacij na področju kmetijstva (AKIS) iz strateških načrtov SKP.</w:t>
      </w:r>
    </w:p>
    <w:p w14:paraId="14BAA200" w14:textId="77777777" w:rsidR="00BD41EA" w:rsidRPr="00BD41EA" w:rsidRDefault="00BD41EA" w:rsidP="00BD41EA">
      <w:pPr>
        <w:rPr>
          <w:lang w:eastAsia="zh-CN"/>
        </w:rPr>
      </w:pPr>
    </w:p>
    <w:p w14:paraId="03ACBE98" w14:textId="15187FB9" w:rsidR="004946BD" w:rsidRPr="004946BD" w:rsidRDefault="004946BD" w:rsidP="00A35C54">
      <w:pPr>
        <w:pStyle w:val="Podnaslov"/>
        <w:spacing w:after="0"/>
        <w:jc w:val="both"/>
        <w:rPr>
          <w:rFonts w:ascii="Arial" w:hAnsi="Arial" w:cs="Arial"/>
          <w:color w:val="auto"/>
          <w:spacing w:val="0"/>
          <w:sz w:val="20"/>
          <w:szCs w:val="20"/>
        </w:rPr>
      </w:pPr>
      <w:r>
        <w:rPr>
          <w:rFonts w:ascii="Arial" w:hAnsi="Arial" w:cs="Arial"/>
          <w:color w:val="auto"/>
          <w:spacing w:val="0"/>
          <w:sz w:val="20"/>
          <w:szCs w:val="20"/>
        </w:rPr>
        <w:t>2.</w:t>
      </w:r>
      <w:r w:rsidR="00F7519C" w:rsidRPr="00F7519C">
        <w:rPr>
          <w:rFonts w:ascii="Arial" w:hAnsi="Arial" w:cs="Arial"/>
          <w:color w:val="auto"/>
          <w:spacing w:val="0"/>
          <w:sz w:val="20"/>
          <w:szCs w:val="20"/>
        </w:rPr>
        <w:t> </w:t>
      </w:r>
      <w:r w:rsidR="00BD41EA">
        <w:rPr>
          <w:rFonts w:ascii="Arial" w:hAnsi="Arial" w:cs="Arial"/>
          <w:color w:val="auto"/>
          <w:spacing w:val="0"/>
          <w:sz w:val="20"/>
          <w:szCs w:val="20"/>
        </w:rPr>
        <w:tab/>
      </w:r>
      <w:r w:rsidR="00F7519C" w:rsidRPr="00F7519C">
        <w:rPr>
          <w:rFonts w:ascii="Arial" w:hAnsi="Arial" w:cs="Arial"/>
          <w:color w:val="auto"/>
          <w:spacing w:val="0"/>
          <w:sz w:val="20"/>
          <w:szCs w:val="20"/>
        </w:rPr>
        <w:t>Storitev svetovanja je povezana z vsaj enim specifičnim ciljem, določenim v 6. členu Uredbe (EU) 2021/2115 Evropskega parlamenta in Sveta z dne 2. decembra 2021 o določitvi pravil o podpori za strateške načrte, ki jih pripravijo države članice v okviru skupne kmetijske politike (strateški načrti SKP) in se financirajo iz Evropskega kmetijskega jamstvenega sklada (EKJS) in Evropskega kmetijskega sklada za razvoj podeželja (EKSRP), ter o razveljavitvi uredb (EU) št. 1305/2013 in (EU) št. 1307/2013 (UL L št. 435 z dne 6. 12. 2021, str. 1), zadnjič spremenjene z Delegirano uredbo Komisije (EU) 2023/813 z dne 8. februarja 2023 o spremembi Uredbe (EU) 2021/2115 Evropskega parlamenta in Sveta glede dodeljenih sredstev držav članic za neposredna plačila in letne razdelitve podpore Unije in razvoj podeželja po državah članicah (UL L št. 102 z dne 17. 4. 2023, str. 1), ( v nadaljnjem besedilu: Uredba 2021/2115/EU), in obsega vsaj eno od naslednjega:</w:t>
      </w:r>
    </w:p>
    <w:p w14:paraId="434E2681" w14:textId="77777777" w:rsidR="00934944" w:rsidRDefault="00934944" w:rsidP="004A4A44">
      <w:pPr>
        <w:ind w:left="709" w:hanging="709"/>
        <w:jc w:val="both"/>
        <w:rPr>
          <w:lang w:eastAsia="zh-CN"/>
        </w:rPr>
      </w:pPr>
      <w:r>
        <w:rPr>
          <w:lang w:eastAsia="zh-CN"/>
        </w:rPr>
        <w:t>(a)</w:t>
      </w:r>
      <w:r>
        <w:rPr>
          <w:lang w:eastAsia="zh-CN"/>
        </w:rPr>
        <w:tab/>
        <w:t>obveznosti, ki izhajajo iz predpisanih zahtev ravnanja in standardov GAEC iz naslova III, poglavja I, oddelka 2, Uredbe 2021/2115/EU;</w:t>
      </w:r>
    </w:p>
    <w:p w14:paraId="2827FE0E" w14:textId="77777777" w:rsidR="00934944" w:rsidRDefault="00934944" w:rsidP="004A4A44">
      <w:pPr>
        <w:ind w:left="709" w:hanging="709"/>
        <w:jc w:val="both"/>
        <w:rPr>
          <w:lang w:eastAsia="zh-CN"/>
        </w:rPr>
      </w:pPr>
      <w:r>
        <w:rPr>
          <w:lang w:eastAsia="zh-CN"/>
        </w:rPr>
        <w:lastRenderedPageBreak/>
        <w:t>(b)</w:t>
      </w:r>
      <w:r>
        <w:rPr>
          <w:lang w:eastAsia="zh-CN"/>
        </w:rPr>
        <w:tab/>
        <w:t>zahteve, ki jih določijo države članice za izvajanje:</w:t>
      </w:r>
    </w:p>
    <w:p w14:paraId="214A14BD" w14:textId="77777777" w:rsidR="00934944" w:rsidRDefault="00934944" w:rsidP="004A4A44">
      <w:pPr>
        <w:ind w:left="1276" w:hanging="567"/>
        <w:jc w:val="both"/>
        <w:rPr>
          <w:lang w:eastAsia="zh-CN"/>
        </w:rPr>
      </w:pPr>
      <w:r>
        <w:rPr>
          <w:lang w:eastAsia="zh-CN"/>
        </w:rPr>
        <w:sym w:font="Symbol" w:char="F02D"/>
      </w:r>
      <w:r>
        <w:rPr>
          <w:lang w:eastAsia="zh-CN"/>
        </w:rPr>
        <w:tab/>
        <w:t>Direktive Evropskega parlamenta in Sveta 2000/60/ES z dne 23. oktobra 2000 o določitvi okvira za ukrepe Skupnosti na področju vodne politike (UL L št. 327 z dne 22. 12. 2000, str. 1), zadnjič spremenjene z Direktivo Komisije 2014/101/EU z dne 30. oktobra 2014 o spremembi Direktive Evropskega parlamenta in Sveta 2000/60/ES o določitvi okvira za ukrepe Skupnosti na področju vodne politike (UL L št. 311 z dne 31. 10. 2014, str. 32);</w:t>
      </w:r>
    </w:p>
    <w:p w14:paraId="320A4C3C" w14:textId="77777777" w:rsidR="00934944" w:rsidRDefault="00934944" w:rsidP="004A4A44">
      <w:pPr>
        <w:ind w:left="1276" w:hanging="567"/>
        <w:jc w:val="both"/>
        <w:rPr>
          <w:lang w:eastAsia="zh-CN"/>
        </w:rPr>
      </w:pPr>
      <w:r>
        <w:rPr>
          <w:lang w:eastAsia="zh-CN"/>
        </w:rPr>
        <w:sym w:font="Symbol" w:char="F02D"/>
      </w:r>
      <w:r>
        <w:rPr>
          <w:lang w:eastAsia="zh-CN"/>
        </w:rPr>
        <w:tab/>
        <w:t>Direktive Sveta 92/43/EGS z dne 21. maja 1992 o ohranjanju naravnih habitatov ter prosto živečih živalskih in rastlinskih vrst (UL L št. 206 z dne 22. 7. 1992, str. 7), zadnjič spremenjene z Direktivo Sveta 2013/17/EU z dne 13. maja 2013 o prilagoditvi nekaterih direktiv na področju okolja zaradi pristopa Republike Hrvaške (UL L št. 158 z dne 10. 6. 2013, str. 193);</w:t>
      </w:r>
    </w:p>
    <w:p w14:paraId="501B6EC4" w14:textId="77777777" w:rsidR="00934944" w:rsidRDefault="00934944" w:rsidP="004A4A44">
      <w:pPr>
        <w:ind w:left="1276" w:hanging="567"/>
        <w:jc w:val="both"/>
        <w:rPr>
          <w:lang w:eastAsia="zh-CN"/>
        </w:rPr>
      </w:pPr>
      <w:r>
        <w:rPr>
          <w:lang w:eastAsia="zh-CN"/>
        </w:rPr>
        <w:sym w:font="Symbol" w:char="F02D"/>
      </w:r>
      <w:r>
        <w:rPr>
          <w:lang w:eastAsia="zh-CN"/>
        </w:rPr>
        <w:tab/>
        <w:t xml:space="preserve">Direktive 2009/147/ES Evropskega parlamenta in Sveta z dne 30. novembra 2009 o ohranjanju prosto živečih ptic (UL L št. 20 z dne 26. 1. 2010, str. 7), zadnjič spremenjene z Uredbo (EU) 2019/1010 Evropskega parlamenta in Sveta z dne 5. junija 2019 o uskladitvi obveznosti poročanja na področju zakonodaje, povezane z okoljem, ter spremembi uredb (ES) št. 166/2006 in (EU) št. 995/2010 Evropskega parlamenta in Sveta, direktiv 2002/49/ES, 2004/35/ES, 2007/2/ES, 2009/147/ES in 2010/63/EU Evropskega parlamenta in Sveta, uredb Sveta (ES) št. 338/97 in (ES) št. 2173/2005 ter Direktive Sveta 86/278/EGS (UL L št. 170 z dne 25. 6. 2019, str. 115); </w:t>
      </w:r>
    </w:p>
    <w:p w14:paraId="47752E4B" w14:textId="77777777" w:rsidR="00934944" w:rsidRDefault="00934944" w:rsidP="004A4A44">
      <w:pPr>
        <w:ind w:left="1276" w:hanging="567"/>
        <w:jc w:val="both"/>
        <w:rPr>
          <w:lang w:eastAsia="zh-CN"/>
        </w:rPr>
      </w:pPr>
      <w:r>
        <w:rPr>
          <w:lang w:eastAsia="zh-CN"/>
        </w:rPr>
        <w:sym w:font="Symbol" w:char="F02D"/>
      </w:r>
      <w:r>
        <w:rPr>
          <w:lang w:eastAsia="zh-CN"/>
        </w:rPr>
        <w:tab/>
        <w:t>Direktive 2008/50/ES Evropskega parlamenta in Sveta z dne 21. maja 2008 o kakovosti zunanjega zraka in čistejšem zraku za Evropo (UL L št. 152 z dne 11. 6. 2008, str. 1), zadnjič spremenjene z Direktivo Komisije (EU) 2015/1480 z dne 28. avgusta 2015 o spremembi nekaterih prilog k direktivama 2004/107/ES in 2008/50/ES Evropskega parlamenta in Sveta ter določitvi pravil glede referenčnih metod, potrjevanja podatkov in umestitve mest vzorčenja za ocenjevanje kakovosti zunanjega zraka (UL L št. 226 z dne 29. 8. 2015, str. 4);</w:t>
      </w:r>
    </w:p>
    <w:p w14:paraId="757DCBF5" w14:textId="77777777" w:rsidR="00934944" w:rsidRDefault="00934944" w:rsidP="004A4A44">
      <w:pPr>
        <w:ind w:left="1276" w:hanging="567"/>
        <w:jc w:val="both"/>
        <w:rPr>
          <w:lang w:eastAsia="zh-CN"/>
        </w:rPr>
      </w:pPr>
      <w:r>
        <w:rPr>
          <w:lang w:eastAsia="zh-CN"/>
        </w:rPr>
        <w:sym w:font="Symbol" w:char="F02D"/>
      </w:r>
      <w:r>
        <w:rPr>
          <w:lang w:eastAsia="zh-CN"/>
        </w:rPr>
        <w:tab/>
        <w:t>Direktive (EU) 2016/2284 Evropskega parlamenta in Sveta z dne 14. decembra 2016 o zmanjšanju nacionalnih emisij za nekatera onesnaževala zraka, spremembi Direktive 2003/35/ES in razveljavitvi Direktive 2001/81/ES (UL L št. 344 z dne 17. 12. 2016, str. 1);</w:t>
      </w:r>
    </w:p>
    <w:p w14:paraId="7606789A" w14:textId="77777777" w:rsidR="00934944" w:rsidRDefault="00934944" w:rsidP="004A4A44">
      <w:pPr>
        <w:ind w:left="1276" w:hanging="567"/>
        <w:jc w:val="both"/>
        <w:rPr>
          <w:lang w:eastAsia="zh-CN"/>
        </w:rPr>
      </w:pPr>
      <w:r>
        <w:rPr>
          <w:lang w:eastAsia="zh-CN"/>
        </w:rPr>
        <w:sym w:font="Symbol" w:char="F02D"/>
      </w:r>
      <w:r>
        <w:rPr>
          <w:lang w:eastAsia="zh-CN"/>
        </w:rPr>
        <w:tab/>
        <w:t>Uredbe (EU) 2016/2031 Evropskega parlamenta in Sveta z dne 26. oktobra 2016 o ukrepih varstva pred škodljivimi organizmi rastlin, spremembi uredb (EU) št. 228/2013, (EU) št. 652/2014 in (EU) št. 1143/2014 Evropskega parlamenta in Sveta ter razveljavitvi direktiv Sveta 69/464/EGS, 74/647/EGS, 93/85/EGS, 98/57/ES, 2000/29/ES, 2006/91/ES in 2007/33/ES (UL L št. 317 z dne 23. 11. 2016, str. 4), zadnjič spremenjena z Delegirano uredbo Komisije (EU) 2022/2404 z dne 14. septembra 2022 o dopolnitvi Uredbe (EU) 2016/2031 Evropskega parlamenta in Sveta z določitvijo podrobnih pravil za preiskave karantenskih škodljivih organizmov za varovano območje in razveljavitvi Direktive Komisije 92/70/EGS (UL L št. 317 z dne 9. 12. 2022, str. 42);</w:t>
      </w:r>
    </w:p>
    <w:p w14:paraId="714D9CDC" w14:textId="77777777" w:rsidR="00934944" w:rsidRDefault="00934944" w:rsidP="004A4A44">
      <w:pPr>
        <w:ind w:left="1276" w:hanging="567"/>
        <w:jc w:val="both"/>
        <w:rPr>
          <w:lang w:eastAsia="zh-CN"/>
        </w:rPr>
      </w:pPr>
      <w:r>
        <w:rPr>
          <w:lang w:eastAsia="zh-CN"/>
        </w:rPr>
        <w:sym w:font="Symbol" w:char="F02D"/>
      </w:r>
      <w:r>
        <w:rPr>
          <w:lang w:eastAsia="zh-CN"/>
        </w:rPr>
        <w:tab/>
        <w:t>Uredbe (EU) 2016/429 Evropskega parlamenta in Sveta z dne 9. marca 2016 o prenosljivih boleznih živali in o spremembi ter razveljavitvi določenih aktov na področju zdravja živali (UL L št. 84 z dne 31. 3. 2016, str. 1), zadnjič spremenjene z Delegirano uredbo Komisije (EU) 2023/361 z dne 28. novembra 2022 o dopolnitvi Uredbe (EU) 2016/429 Evropskega parlamenta in Sveta glede pravil o uporabi nekaterih zdravil za uporabo v veterinarski medicini za preprečevanje in obvladovanje nekaterih bolezni s seznama (UL L št. 52 z dne 20. 2. 2023, str. 1);</w:t>
      </w:r>
    </w:p>
    <w:p w14:paraId="498799EF" w14:textId="77777777" w:rsidR="00934944" w:rsidRDefault="00934944" w:rsidP="004A4A44">
      <w:pPr>
        <w:ind w:left="1276" w:hanging="567"/>
        <w:jc w:val="both"/>
        <w:rPr>
          <w:lang w:eastAsia="zh-CN"/>
        </w:rPr>
      </w:pPr>
      <w:r>
        <w:rPr>
          <w:lang w:eastAsia="zh-CN"/>
        </w:rPr>
        <w:sym w:font="Symbol" w:char="F02D"/>
      </w:r>
      <w:r>
        <w:rPr>
          <w:lang w:eastAsia="zh-CN"/>
        </w:rPr>
        <w:tab/>
        <w:t xml:space="preserve">55. člena Uredbe (ES) št. 1107/2009 Evropskega parlamenta in Sveta z dne 21. oktobra 2009 o dajanju fitofarmacevtskih sredstev v promet in razveljavitvi direktiv Sveta 79/117/EGS in 91/414/EGS (UL L št. 309 z dne 24. 11. 2009, str. 1), zadnjič spremenjene z Uredbo Komisije (EU) 2022/1438 z dne 31. avgusta 2022 o </w:t>
      </w:r>
      <w:r>
        <w:rPr>
          <w:lang w:eastAsia="zh-CN"/>
        </w:rPr>
        <w:lastRenderedPageBreak/>
        <w:t>spremembi Priloge II k Uredbi (ES) št. 1107/2009 Evropskega parlamenta in Sveta glede posebnih meril za odobritev aktivnih snovi, ki so mikroorganizmi (UL L št. 227 z dne 1. 9. 2022, str. 2) ter</w:t>
      </w:r>
    </w:p>
    <w:p w14:paraId="722942F5" w14:textId="77777777" w:rsidR="00934944" w:rsidRDefault="00934944" w:rsidP="004A4A44">
      <w:pPr>
        <w:ind w:left="1276" w:hanging="567"/>
        <w:jc w:val="both"/>
        <w:rPr>
          <w:lang w:eastAsia="zh-CN"/>
        </w:rPr>
      </w:pPr>
      <w:r>
        <w:rPr>
          <w:lang w:eastAsia="zh-CN"/>
        </w:rPr>
        <w:sym w:font="Symbol" w:char="F02D"/>
      </w:r>
      <w:r>
        <w:rPr>
          <w:lang w:eastAsia="zh-CN"/>
        </w:rPr>
        <w:tab/>
        <w:t>Direktive 2009/128/ES Evropskega parlamenta in Sveta z dne 21. oktobra 2009 o določitvi okvira za ukrepe Skupnosti za doseganje trajnostne rabe pesticidov (UL L št. 309 z dne 24. 11. 2009, str. 71), zadnjič spremenjene z Uredbo (EU) 2019/1243 Evropskega parlamenta in Sveta z dne 20. junija 2019 o prilagoditvi več zakonodajnih aktov, v katerih je določena uporaba regulativnega postopka s pregledom, členoma 290 in 291 Pogodbe o delovanju Evropske unije (UL L št. 1</w:t>
      </w:r>
      <w:r w:rsidR="00CB643D">
        <w:rPr>
          <w:lang w:eastAsia="zh-CN"/>
        </w:rPr>
        <w:t>98 z dne 25. 7. 2019, str. 241);</w:t>
      </w:r>
    </w:p>
    <w:p w14:paraId="33FAA8BE" w14:textId="77777777" w:rsidR="00934944" w:rsidRDefault="00934944" w:rsidP="004A4A44">
      <w:pPr>
        <w:ind w:left="709" w:hanging="709"/>
        <w:jc w:val="both"/>
        <w:rPr>
          <w:lang w:eastAsia="zh-CN"/>
        </w:rPr>
      </w:pPr>
      <w:r>
        <w:rPr>
          <w:lang w:eastAsia="zh-CN"/>
        </w:rPr>
        <w:t>(c)</w:t>
      </w:r>
      <w:r>
        <w:rPr>
          <w:lang w:eastAsia="zh-CN"/>
        </w:rPr>
        <w:tab/>
        <w:t xml:space="preserve">kmetijske prakse, ki preprečujejo razvoj odpornosti proti </w:t>
      </w:r>
      <w:proofErr w:type="spellStart"/>
      <w:r>
        <w:rPr>
          <w:lang w:eastAsia="zh-CN"/>
        </w:rPr>
        <w:t>antimikrobikom</w:t>
      </w:r>
      <w:proofErr w:type="spellEnd"/>
      <w:r>
        <w:rPr>
          <w:lang w:eastAsia="zh-CN"/>
        </w:rPr>
        <w:t xml:space="preserve">, kot je navedeno v sporočilu o evropskem akcijskem načrtu </w:t>
      </w:r>
      <w:r w:rsidR="00CB643D">
        <w:rPr>
          <w:rFonts w:cs="Arial"/>
          <w:lang w:eastAsia="zh-CN"/>
        </w:rPr>
        <w:t>»</w:t>
      </w:r>
      <w:r>
        <w:rPr>
          <w:lang w:eastAsia="zh-CN"/>
        </w:rPr>
        <w:t>eno zdravje</w:t>
      </w:r>
      <w:r w:rsidR="00CB643D">
        <w:rPr>
          <w:rFonts w:cs="Arial"/>
          <w:lang w:eastAsia="zh-CN"/>
        </w:rPr>
        <w:t>«</w:t>
      </w:r>
      <w:r>
        <w:rPr>
          <w:lang w:eastAsia="zh-CN"/>
        </w:rPr>
        <w:t xml:space="preserve"> zoper</w:t>
      </w:r>
      <w:r w:rsidR="00CB643D">
        <w:rPr>
          <w:lang w:eastAsia="zh-CN"/>
        </w:rPr>
        <w:t xml:space="preserve"> odpornost proti </w:t>
      </w:r>
      <w:proofErr w:type="spellStart"/>
      <w:r w:rsidR="00CB643D">
        <w:rPr>
          <w:lang w:eastAsia="zh-CN"/>
        </w:rPr>
        <w:t>antimikrobikom</w:t>
      </w:r>
      <w:proofErr w:type="spellEnd"/>
      <w:r>
        <w:rPr>
          <w:lang w:eastAsia="zh-CN"/>
        </w:rPr>
        <w:t>;</w:t>
      </w:r>
    </w:p>
    <w:p w14:paraId="32283EB1" w14:textId="77777777" w:rsidR="00934944" w:rsidRDefault="00934944" w:rsidP="004A4A44">
      <w:pPr>
        <w:ind w:left="709" w:hanging="709"/>
        <w:jc w:val="both"/>
        <w:rPr>
          <w:lang w:eastAsia="zh-CN"/>
        </w:rPr>
      </w:pPr>
      <w:r>
        <w:rPr>
          <w:lang w:eastAsia="zh-CN"/>
        </w:rPr>
        <w:t>(č)</w:t>
      </w:r>
      <w:r>
        <w:rPr>
          <w:lang w:eastAsia="zh-CN"/>
        </w:rPr>
        <w:tab/>
        <w:t>preprečevanje in obvladovanje tveganja;</w:t>
      </w:r>
    </w:p>
    <w:p w14:paraId="4CF9D295" w14:textId="77777777" w:rsidR="00934944" w:rsidRDefault="00934944" w:rsidP="004A4A44">
      <w:pPr>
        <w:ind w:left="709" w:hanging="709"/>
        <w:jc w:val="both"/>
        <w:rPr>
          <w:lang w:eastAsia="zh-CN"/>
        </w:rPr>
      </w:pPr>
      <w:r>
        <w:rPr>
          <w:lang w:eastAsia="zh-CN"/>
        </w:rPr>
        <w:t>(d)</w:t>
      </w:r>
      <w:r>
        <w:rPr>
          <w:lang w:eastAsia="zh-CN"/>
        </w:rPr>
        <w:tab/>
        <w:t>modernizacijo, krepitev konkurenčnosti, sektorsko povezovanje, tržno usmerjenost ter spodbujanje podjetništva in inovacij, zlasti za pripravo in izvajanje projektov operativnih skupin evropskega partnerstva za inovacije;</w:t>
      </w:r>
    </w:p>
    <w:p w14:paraId="27108682" w14:textId="77777777" w:rsidR="00934944" w:rsidRDefault="00CB643D" w:rsidP="004A4A44">
      <w:pPr>
        <w:ind w:left="709" w:hanging="709"/>
        <w:jc w:val="both"/>
        <w:rPr>
          <w:lang w:eastAsia="zh-CN"/>
        </w:rPr>
      </w:pPr>
      <w:r>
        <w:rPr>
          <w:lang w:eastAsia="zh-CN"/>
        </w:rPr>
        <w:t>(e)</w:t>
      </w:r>
      <w:r>
        <w:rPr>
          <w:lang w:eastAsia="zh-CN"/>
        </w:rPr>
        <w:tab/>
      </w:r>
      <w:r w:rsidR="00934944">
        <w:rPr>
          <w:lang w:eastAsia="zh-CN"/>
        </w:rPr>
        <w:t>digitalne tehnologije v kmetijstvu iz točke (b</w:t>
      </w:r>
      <w:r w:rsidR="00D27C2A">
        <w:rPr>
          <w:lang w:eastAsia="zh-CN"/>
        </w:rPr>
        <w:t>) 114. člena Uredbe 2021/2115/EU</w:t>
      </w:r>
      <w:r w:rsidR="00934944">
        <w:rPr>
          <w:lang w:eastAsia="zh-CN"/>
        </w:rPr>
        <w:t>;</w:t>
      </w:r>
    </w:p>
    <w:p w14:paraId="4004DDAD" w14:textId="16569717" w:rsidR="00934944" w:rsidRDefault="00CB643D" w:rsidP="004A4A44">
      <w:pPr>
        <w:ind w:left="709" w:hanging="709"/>
        <w:jc w:val="both"/>
        <w:rPr>
          <w:lang w:eastAsia="zh-CN"/>
        </w:rPr>
      </w:pPr>
      <w:r>
        <w:rPr>
          <w:lang w:eastAsia="zh-CN"/>
        </w:rPr>
        <w:t>(f)</w:t>
      </w:r>
      <w:r>
        <w:rPr>
          <w:lang w:eastAsia="zh-CN"/>
        </w:rPr>
        <w:tab/>
      </w:r>
      <w:r w:rsidR="00934944">
        <w:rPr>
          <w:lang w:eastAsia="zh-CN"/>
        </w:rPr>
        <w:t xml:space="preserve">trajnostno upravljanje hranil, vključno z uporabo orodja za </w:t>
      </w:r>
      <w:proofErr w:type="spellStart"/>
      <w:r w:rsidR="00934944">
        <w:rPr>
          <w:lang w:eastAsia="zh-CN"/>
        </w:rPr>
        <w:t>trajnostnost</w:t>
      </w:r>
      <w:proofErr w:type="spellEnd"/>
      <w:r w:rsidR="00934944">
        <w:rPr>
          <w:lang w:eastAsia="zh-CN"/>
        </w:rPr>
        <w:t xml:space="preserve"> kmetij za hranila iz četrtega odstavka</w:t>
      </w:r>
      <w:r w:rsidR="004946BD">
        <w:rPr>
          <w:lang w:eastAsia="zh-CN"/>
        </w:rPr>
        <w:t xml:space="preserve"> 15. člena Uredbe 2021/2115/EU;</w:t>
      </w:r>
      <w:r w:rsidR="00934944">
        <w:rPr>
          <w:lang w:eastAsia="zh-CN"/>
        </w:rPr>
        <w:t xml:space="preserve"> </w:t>
      </w:r>
    </w:p>
    <w:p w14:paraId="15B91562" w14:textId="77777777" w:rsidR="00934944" w:rsidRDefault="00CB643D" w:rsidP="004A4A44">
      <w:pPr>
        <w:ind w:left="709" w:hanging="709"/>
        <w:jc w:val="both"/>
        <w:rPr>
          <w:lang w:eastAsia="zh-CN"/>
        </w:rPr>
      </w:pPr>
      <w:r>
        <w:rPr>
          <w:lang w:eastAsia="zh-CN"/>
        </w:rPr>
        <w:t>(g)</w:t>
      </w:r>
      <w:r>
        <w:rPr>
          <w:lang w:eastAsia="zh-CN"/>
        </w:rPr>
        <w:tab/>
      </w:r>
      <w:r w:rsidR="00934944">
        <w:rPr>
          <w:lang w:eastAsia="zh-CN"/>
        </w:rPr>
        <w:t>pogoje za zaposlitev in obveznosti delodajalca, zdravje in varnost pri delu ter socialno podporo v kmečkih skupnostih;</w:t>
      </w:r>
    </w:p>
    <w:p w14:paraId="78761AC7" w14:textId="77777777" w:rsidR="00934944" w:rsidRDefault="00CB643D" w:rsidP="004A4A44">
      <w:pPr>
        <w:ind w:left="709" w:hanging="709"/>
        <w:jc w:val="both"/>
        <w:rPr>
          <w:lang w:eastAsia="zh-CN"/>
        </w:rPr>
      </w:pPr>
      <w:r>
        <w:rPr>
          <w:lang w:eastAsia="zh-CN"/>
        </w:rPr>
        <w:t>(h)</w:t>
      </w:r>
      <w:r>
        <w:rPr>
          <w:lang w:eastAsia="zh-CN"/>
        </w:rPr>
        <w:tab/>
      </w:r>
      <w:r w:rsidR="00934944">
        <w:rPr>
          <w:lang w:eastAsia="zh-CN"/>
        </w:rPr>
        <w:t xml:space="preserve">trajnostno proizvodnjo krme, ocenjevanje krme v smislu vsebnosti hranil in vrednosti krme, dokumentacijo, načrtovanje in nadzor krmljenja </w:t>
      </w:r>
      <w:proofErr w:type="spellStart"/>
      <w:r w:rsidR="00934944">
        <w:rPr>
          <w:lang w:eastAsia="zh-CN"/>
        </w:rPr>
        <w:t>rejnih</w:t>
      </w:r>
      <w:proofErr w:type="spellEnd"/>
      <w:r w:rsidR="00934944">
        <w:rPr>
          <w:lang w:eastAsia="zh-CN"/>
        </w:rPr>
        <w:t xml:space="preserve"> živali na podlagi potreb.</w:t>
      </w:r>
    </w:p>
    <w:p w14:paraId="65EE3DC0" w14:textId="77777777" w:rsidR="00934944" w:rsidRDefault="00934944" w:rsidP="00934944">
      <w:pPr>
        <w:rPr>
          <w:lang w:eastAsia="zh-CN"/>
        </w:rPr>
      </w:pPr>
    </w:p>
    <w:p w14:paraId="7FC3D985" w14:textId="46E68753" w:rsidR="00F7519C" w:rsidRDefault="004946BD" w:rsidP="004A4A44">
      <w:pPr>
        <w:pStyle w:val="oj-normal"/>
        <w:shd w:val="clear" w:color="auto" w:fill="FFFFFF"/>
        <w:spacing w:before="0" w:beforeAutospacing="0" w:after="0" w:afterAutospacing="0" w:line="260" w:lineRule="exact"/>
        <w:jc w:val="both"/>
        <w:rPr>
          <w:rFonts w:ascii="Arial" w:hAnsi="Arial" w:cs="Arial"/>
          <w:sz w:val="20"/>
          <w:szCs w:val="20"/>
        </w:rPr>
      </w:pPr>
      <w:r>
        <w:rPr>
          <w:rFonts w:ascii="Arial" w:hAnsi="Arial" w:cs="Arial"/>
          <w:sz w:val="20"/>
          <w:szCs w:val="20"/>
        </w:rPr>
        <w:t>3.</w:t>
      </w:r>
      <w:r w:rsidR="00F7519C" w:rsidRPr="00F7519C">
        <w:rPr>
          <w:rFonts w:ascii="Arial" w:hAnsi="Arial" w:cs="Arial"/>
          <w:sz w:val="20"/>
          <w:szCs w:val="20"/>
        </w:rPr>
        <w:t> </w:t>
      </w:r>
      <w:r w:rsidR="00CB643D">
        <w:rPr>
          <w:rFonts w:ascii="Arial" w:hAnsi="Arial" w:cs="Arial"/>
          <w:sz w:val="20"/>
          <w:szCs w:val="20"/>
        </w:rPr>
        <w:tab/>
      </w:r>
      <w:r w:rsidR="00F7519C" w:rsidRPr="00F7519C">
        <w:rPr>
          <w:rFonts w:ascii="Arial" w:hAnsi="Arial" w:cs="Arial"/>
          <w:sz w:val="20"/>
          <w:szCs w:val="20"/>
        </w:rPr>
        <w:t xml:space="preserve">Svetovanje lahko zajema tudi vprašanja, ki niso navedena v prejšnjem odstavku ter so povezana z gospodarsko in </w:t>
      </w:r>
      <w:proofErr w:type="spellStart"/>
      <w:r w:rsidR="00F7519C" w:rsidRPr="00F7519C">
        <w:rPr>
          <w:rFonts w:ascii="Arial" w:hAnsi="Arial" w:cs="Arial"/>
          <w:sz w:val="20"/>
          <w:szCs w:val="20"/>
        </w:rPr>
        <w:t>okoljsko</w:t>
      </w:r>
      <w:proofErr w:type="spellEnd"/>
      <w:r w:rsidR="00F7519C" w:rsidRPr="00F7519C">
        <w:rPr>
          <w:rFonts w:ascii="Arial" w:hAnsi="Arial" w:cs="Arial"/>
          <w:sz w:val="20"/>
          <w:szCs w:val="20"/>
        </w:rPr>
        <w:t xml:space="preserve"> uspešnostjo kmetijskega gospodarstva, vključno z vidiki konkurenčnosti. To lahko vključuje svetovanje za razvoj kratkih dobavnih verig, ekološko kmetovanje, varčevanje s trajnostno energijo, energijsko učinkovitost ter proizvodnjo in uporabo energije iz obnovljivih virov za kmetijstvo, povečanje biotske raznovrstnosti ali uspešnosti biotske raznovrstnosti ter zdravstvene vidike živinoreje.</w:t>
      </w:r>
    </w:p>
    <w:p w14:paraId="177CBD4D" w14:textId="77777777" w:rsidR="00CB643D" w:rsidRPr="00F7519C" w:rsidRDefault="00CB643D" w:rsidP="00CB643D">
      <w:pPr>
        <w:pStyle w:val="oj-normal"/>
        <w:shd w:val="clear" w:color="auto" w:fill="FFFFFF"/>
        <w:spacing w:before="0" w:beforeAutospacing="0" w:after="0" w:afterAutospacing="0" w:line="260" w:lineRule="exact"/>
        <w:ind w:left="709" w:hanging="709"/>
        <w:jc w:val="both"/>
        <w:rPr>
          <w:rFonts w:ascii="Arial" w:hAnsi="Arial" w:cs="Arial"/>
          <w:sz w:val="20"/>
          <w:szCs w:val="20"/>
        </w:rPr>
      </w:pPr>
    </w:p>
    <w:p w14:paraId="277701B9" w14:textId="3BC7D519" w:rsidR="00F7519C" w:rsidRDefault="004946BD" w:rsidP="00CB643D">
      <w:pPr>
        <w:pStyle w:val="oj-normal"/>
        <w:shd w:val="clear" w:color="auto" w:fill="FFFFFF"/>
        <w:spacing w:before="0" w:beforeAutospacing="0" w:after="0" w:afterAutospacing="0" w:line="260" w:lineRule="exact"/>
        <w:ind w:left="709" w:hanging="709"/>
        <w:jc w:val="both"/>
        <w:rPr>
          <w:rFonts w:ascii="Arial" w:hAnsi="Arial" w:cs="Arial"/>
          <w:sz w:val="20"/>
          <w:szCs w:val="20"/>
        </w:rPr>
      </w:pPr>
      <w:r>
        <w:rPr>
          <w:rFonts w:ascii="Arial" w:hAnsi="Arial" w:cs="Arial"/>
          <w:sz w:val="20"/>
          <w:szCs w:val="20"/>
        </w:rPr>
        <w:t>4.</w:t>
      </w:r>
      <w:r w:rsidR="00F7519C" w:rsidRPr="00F7519C">
        <w:rPr>
          <w:rFonts w:ascii="Arial" w:hAnsi="Arial" w:cs="Arial"/>
          <w:sz w:val="20"/>
          <w:szCs w:val="20"/>
        </w:rPr>
        <w:t> </w:t>
      </w:r>
      <w:r w:rsidR="00CB643D">
        <w:rPr>
          <w:rFonts w:ascii="Arial" w:hAnsi="Arial" w:cs="Arial"/>
          <w:sz w:val="20"/>
          <w:szCs w:val="20"/>
        </w:rPr>
        <w:tab/>
      </w:r>
      <w:r w:rsidR="00F7519C" w:rsidRPr="00F7519C">
        <w:rPr>
          <w:rFonts w:ascii="Arial" w:hAnsi="Arial" w:cs="Arial"/>
          <w:sz w:val="20"/>
          <w:szCs w:val="20"/>
        </w:rPr>
        <w:t>Pomoč je v obliki subvencionirane storitve.</w:t>
      </w:r>
    </w:p>
    <w:p w14:paraId="1B89EC61" w14:textId="77777777" w:rsidR="00CB643D" w:rsidRPr="00F7519C" w:rsidRDefault="00CB643D" w:rsidP="00CB643D">
      <w:pPr>
        <w:pStyle w:val="oj-normal"/>
        <w:shd w:val="clear" w:color="auto" w:fill="FFFFFF"/>
        <w:spacing w:before="0" w:beforeAutospacing="0" w:after="0" w:afterAutospacing="0" w:line="260" w:lineRule="exact"/>
        <w:ind w:left="709" w:hanging="709"/>
        <w:jc w:val="both"/>
        <w:rPr>
          <w:rFonts w:ascii="Arial" w:hAnsi="Arial" w:cs="Arial"/>
          <w:sz w:val="20"/>
          <w:szCs w:val="20"/>
        </w:rPr>
      </w:pPr>
    </w:p>
    <w:p w14:paraId="153DF45F" w14:textId="7C46E5B0" w:rsidR="00F7519C" w:rsidRDefault="004946BD" w:rsidP="004A4A44">
      <w:pPr>
        <w:pStyle w:val="oj-normal"/>
        <w:shd w:val="clear" w:color="auto" w:fill="FFFFFF"/>
        <w:spacing w:before="0" w:beforeAutospacing="0" w:after="0" w:afterAutospacing="0" w:line="260" w:lineRule="exact"/>
        <w:jc w:val="both"/>
        <w:rPr>
          <w:rFonts w:ascii="Arial" w:hAnsi="Arial" w:cs="Arial"/>
          <w:sz w:val="20"/>
          <w:szCs w:val="20"/>
        </w:rPr>
      </w:pPr>
      <w:r>
        <w:rPr>
          <w:rFonts w:ascii="Arial" w:hAnsi="Arial" w:cs="Arial"/>
          <w:sz w:val="20"/>
          <w:szCs w:val="20"/>
        </w:rPr>
        <w:t>5.</w:t>
      </w:r>
      <w:r w:rsidR="00F7519C" w:rsidRPr="00F7519C">
        <w:rPr>
          <w:rFonts w:ascii="Arial" w:hAnsi="Arial" w:cs="Arial"/>
          <w:sz w:val="20"/>
          <w:szCs w:val="20"/>
        </w:rPr>
        <w:t> </w:t>
      </w:r>
      <w:r w:rsidR="00CB643D">
        <w:rPr>
          <w:rFonts w:ascii="Arial" w:hAnsi="Arial" w:cs="Arial"/>
          <w:sz w:val="20"/>
          <w:szCs w:val="20"/>
        </w:rPr>
        <w:tab/>
      </w:r>
      <w:r w:rsidR="00F7519C" w:rsidRPr="00F7519C">
        <w:rPr>
          <w:rFonts w:ascii="Arial" w:hAnsi="Arial" w:cs="Arial"/>
          <w:sz w:val="20"/>
          <w:szCs w:val="20"/>
        </w:rPr>
        <w:t>Organi, izbrani za zagotavljanje storitev svetovanja, zagotovijo zadostne vire v obliki osebja, ki se redno usposablja in izobražuje, ima izkušnje s svetovanjem ter je zanesljivo na področjih, v zvezi s katerimi svetuje. Storitve svetovanja lahko opravljajo skupine proizvajalcev ali druge organizacije ne glede na njihovo velikost. Pomurska madžarska samoupravna narodna skupnost zagotovi, da je izvajalec storitve svetovanja nepristranski in da ni navzkrižja interesov.</w:t>
      </w:r>
    </w:p>
    <w:p w14:paraId="04D49DA8" w14:textId="77777777" w:rsidR="00CB643D" w:rsidRPr="00F7519C" w:rsidRDefault="00CB643D" w:rsidP="00F7519C">
      <w:pPr>
        <w:pStyle w:val="oj-normal"/>
        <w:shd w:val="clear" w:color="auto" w:fill="FFFFFF"/>
        <w:spacing w:before="0" w:beforeAutospacing="0" w:after="0" w:afterAutospacing="0" w:line="260" w:lineRule="exact"/>
        <w:jc w:val="both"/>
        <w:rPr>
          <w:rFonts w:ascii="Arial" w:hAnsi="Arial" w:cs="Arial"/>
          <w:sz w:val="20"/>
          <w:szCs w:val="20"/>
        </w:rPr>
      </w:pPr>
    </w:p>
    <w:p w14:paraId="6BB0F1E6" w14:textId="762DBAFB" w:rsidR="00F7519C" w:rsidRDefault="004946BD" w:rsidP="004A4A44">
      <w:pPr>
        <w:pStyle w:val="oj-normal"/>
        <w:shd w:val="clear" w:color="auto" w:fill="FFFFFF"/>
        <w:spacing w:before="0" w:beforeAutospacing="0" w:after="0" w:afterAutospacing="0" w:line="260" w:lineRule="exact"/>
        <w:jc w:val="both"/>
        <w:rPr>
          <w:rFonts w:ascii="Arial" w:hAnsi="Arial" w:cs="Arial"/>
          <w:sz w:val="20"/>
          <w:szCs w:val="20"/>
        </w:rPr>
      </w:pPr>
      <w:r>
        <w:rPr>
          <w:rFonts w:ascii="Arial" w:hAnsi="Arial" w:cs="Arial"/>
          <w:sz w:val="20"/>
          <w:szCs w:val="20"/>
        </w:rPr>
        <w:t>6.</w:t>
      </w:r>
      <w:r w:rsidR="00F7519C" w:rsidRPr="00F7519C">
        <w:rPr>
          <w:rFonts w:ascii="Arial" w:hAnsi="Arial" w:cs="Arial"/>
          <w:sz w:val="20"/>
          <w:szCs w:val="20"/>
        </w:rPr>
        <w:t> </w:t>
      </w:r>
      <w:r w:rsidR="00CB643D">
        <w:rPr>
          <w:rFonts w:ascii="Arial" w:hAnsi="Arial" w:cs="Arial"/>
          <w:sz w:val="20"/>
          <w:szCs w:val="20"/>
        </w:rPr>
        <w:tab/>
      </w:r>
      <w:r w:rsidR="00F7519C" w:rsidRPr="00F7519C">
        <w:rPr>
          <w:rFonts w:ascii="Arial" w:hAnsi="Arial" w:cs="Arial"/>
          <w:sz w:val="20"/>
          <w:szCs w:val="20"/>
        </w:rPr>
        <w:t>Pomoč je na podlagi objektivno opredeljenih pogojev dostopna vsem upravičenim podjetjem na zadevnem območju. Kadar storitve svetovanja zagotavljajo skupine in organizacije proizvajalcev, članstvo v takih skupinah ali organizacijah ni pogoj za dostop do storitev. Vsak prispevek nečlanov za kritje upravnih stroškov zadevne skupine ali organizacije je omejen na stroške zagotavljanja storitev svetovanja.</w:t>
      </w:r>
    </w:p>
    <w:p w14:paraId="7E3CE369" w14:textId="77777777" w:rsidR="00CB643D" w:rsidRPr="00F7519C" w:rsidRDefault="00CB643D" w:rsidP="00CB643D">
      <w:pPr>
        <w:pStyle w:val="oj-normal"/>
        <w:shd w:val="clear" w:color="auto" w:fill="FFFFFF"/>
        <w:spacing w:before="0" w:beforeAutospacing="0" w:after="0" w:afterAutospacing="0" w:line="260" w:lineRule="exact"/>
        <w:ind w:left="709" w:hanging="709"/>
        <w:jc w:val="both"/>
        <w:rPr>
          <w:rFonts w:ascii="Arial" w:hAnsi="Arial" w:cs="Arial"/>
          <w:sz w:val="20"/>
          <w:szCs w:val="20"/>
        </w:rPr>
      </w:pPr>
    </w:p>
    <w:p w14:paraId="00ED31DA" w14:textId="3EA1944E" w:rsidR="00F7519C" w:rsidRDefault="004946BD" w:rsidP="004A4A44">
      <w:pPr>
        <w:pStyle w:val="oj-normal"/>
        <w:shd w:val="clear" w:color="auto" w:fill="FFFFFF"/>
        <w:spacing w:before="0" w:beforeAutospacing="0" w:after="0" w:afterAutospacing="0" w:line="260" w:lineRule="exact"/>
        <w:jc w:val="both"/>
        <w:rPr>
          <w:rFonts w:ascii="Arial" w:hAnsi="Arial" w:cs="Arial"/>
          <w:sz w:val="20"/>
          <w:szCs w:val="20"/>
        </w:rPr>
      </w:pPr>
      <w:r>
        <w:rPr>
          <w:rFonts w:ascii="Arial" w:hAnsi="Arial" w:cs="Arial"/>
          <w:sz w:val="20"/>
          <w:szCs w:val="20"/>
        </w:rPr>
        <w:t>7.</w:t>
      </w:r>
      <w:r w:rsidR="00F7519C" w:rsidRPr="00F7519C">
        <w:rPr>
          <w:rFonts w:ascii="Arial" w:hAnsi="Arial" w:cs="Arial"/>
          <w:sz w:val="20"/>
          <w:szCs w:val="20"/>
        </w:rPr>
        <w:t> </w:t>
      </w:r>
      <w:r w:rsidR="00CB643D">
        <w:rPr>
          <w:rFonts w:ascii="Arial" w:hAnsi="Arial" w:cs="Arial"/>
          <w:sz w:val="20"/>
          <w:szCs w:val="20"/>
        </w:rPr>
        <w:tab/>
      </w:r>
      <w:r w:rsidR="00F7519C" w:rsidRPr="00F7519C">
        <w:rPr>
          <w:rFonts w:ascii="Arial" w:hAnsi="Arial" w:cs="Arial"/>
          <w:sz w:val="20"/>
          <w:szCs w:val="20"/>
        </w:rPr>
        <w:t>Znesek pomoči je omejen na 100 % upravičenih stroškov do 25 000 </w:t>
      </w:r>
      <w:r w:rsidR="00CB643D">
        <w:rPr>
          <w:rFonts w:ascii="Arial" w:hAnsi="Arial" w:cs="Arial"/>
          <w:sz w:val="20"/>
          <w:szCs w:val="20"/>
        </w:rPr>
        <w:t>EUR</w:t>
      </w:r>
      <w:r w:rsidR="00F7519C" w:rsidRPr="00F7519C">
        <w:rPr>
          <w:rFonts w:ascii="Arial" w:hAnsi="Arial" w:cs="Arial"/>
          <w:sz w:val="20"/>
          <w:szCs w:val="20"/>
        </w:rPr>
        <w:t xml:space="preserve"> (razen stroškov iz tretjega odstavka tega naslova) za obdobje treh let za svetovanje, ki ga ponudniki storitev zagotovijo enemu upravičencu, dejavnemu v primarni kmetijski proizvodnji.</w:t>
      </w:r>
    </w:p>
    <w:p w14:paraId="269E31AB" w14:textId="77777777" w:rsidR="00CB643D" w:rsidRPr="00F7519C" w:rsidRDefault="00CB643D" w:rsidP="00F7519C">
      <w:pPr>
        <w:pStyle w:val="oj-normal"/>
        <w:shd w:val="clear" w:color="auto" w:fill="FFFFFF"/>
        <w:spacing w:before="0" w:beforeAutospacing="0" w:after="0" w:afterAutospacing="0" w:line="260" w:lineRule="exact"/>
        <w:jc w:val="both"/>
        <w:rPr>
          <w:rFonts w:ascii="Arial" w:hAnsi="Arial" w:cs="Arial"/>
          <w:sz w:val="20"/>
          <w:szCs w:val="20"/>
        </w:rPr>
      </w:pPr>
    </w:p>
    <w:p w14:paraId="1DE42CD0" w14:textId="57C33E70" w:rsidR="00F7519C" w:rsidRPr="00F7519C" w:rsidRDefault="004946BD" w:rsidP="004A4A44">
      <w:pPr>
        <w:pStyle w:val="oj-normal"/>
        <w:shd w:val="clear" w:color="auto" w:fill="FFFFFF"/>
        <w:spacing w:before="0" w:beforeAutospacing="0" w:after="0" w:afterAutospacing="0" w:line="260" w:lineRule="exact"/>
        <w:jc w:val="both"/>
        <w:rPr>
          <w:rFonts w:ascii="Arial" w:hAnsi="Arial" w:cs="Arial"/>
          <w:sz w:val="20"/>
          <w:szCs w:val="20"/>
        </w:rPr>
      </w:pPr>
      <w:r>
        <w:rPr>
          <w:rFonts w:ascii="Arial" w:hAnsi="Arial" w:cs="Arial"/>
          <w:sz w:val="20"/>
          <w:szCs w:val="20"/>
        </w:rPr>
        <w:t>8.</w:t>
      </w:r>
      <w:r w:rsidR="00F7519C" w:rsidRPr="00F7519C">
        <w:rPr>
          <w:rFonts w:ascii="Arial" w:hAnsi="Arial" w:cs="Arial"/>
          <w:sz w:val="20"/>
          <w:szCs w:val="20"/>
        </w:rPr>
        <w:t> </w:t>
      </w:r>
      <w:r w:rsidR="00CB643D">
        <w:rPr>
          <w:rFonts w:ascii="Arial" w:hAnsi="Arial" w:cs="Arial"/>
          <w:sz w:val="20"/>
          <w:szCs w:val="20"/>
        </w:rPr>
        <w:tab/>
      </w:r>
      <w:r w:rsidR="00F7519C" w:rsidRPr="00F7519C">
        <w:rPr>
          <w:rFonts w:ascii="Arial" w:hAnsi="Arial" w:cs="Arial"/>
          <w:sz w:val="20"/>
          <w:szCs w:val="20"/>
        </w:rPr>
        <w:t>Znesek pomoči je omejen na 100 % upravičenih stroškov do 200 000 </w:t>
      </w:r>
      <w:r w:rsidR="00CB643D">
        <w:rPr>
          <w:rFonts w:ascii="Arial" w:hAnsi="Arial" w:cs="Arial"/>
          <w:sz w:val="20"/>
          <w:szCs w:val="20"/>
        </w:rPr>
        <w:t>EUR</w:t>
      </w:r>
      <w:r w:rsidR="00F7519C" w:rsidRPr="00F7519C">
        <w:rPr>
          <w:rFonts w:ascii="Arial" w:hAnsi="Arial" w:cs="Arial"/>
          <w:sz w:val="20"/>
          <w:szCs w:val="20"/>
        </w:rPr>
        <w:t xml:space="preserve"> (razen stroškov iz tretjega odstavka tega naslova) za obdobje treh let, če ponudniki storitev svetujejo enemu upravičencu, ki se ukvarja s predelavo in trženjem kmetijskih proizvodov.</w:t>
      </w:r>
    </w:p>
    <w:p w14:paraId="5597F5AD" w14:textId="77777777" w:rsidR="00F7519C" w:rsidRPr="00F7519C" w:rsidRDefault="00F7519C" w:rsidP="00F7519C">
      <w:pPr>
        <w:pStyle w:val="oj-normal"/>
        <w:shd w:val="clear" w:color="auto" w:fill="FFFFFF"/>
        <w:spacing w:before="0" w:beforeAutospacing="0" w:after="0" w:afterAutospacing="0" w:line="260" w:lineRule="exact"/>
        <w:jc w:val="both"/>
        <w:rPr>
          <w:rFonts w:ascii="Arial" w:hAnsi="Arial" w:cs="Arial"/>
          <w:sz w:val="20"/>
          <w:szCs w:val="20"/>
        </w:rPr>
      </w:pPr>
    </w:p>
    <w:p w14:paraId="41B8C254" w14:textId="77777777" w:rsidR="00F7519C" w:rsidRDefault="00F7519C" w:rsidP="00F7519C">
      <w:pPr>
        <w:pStyle w:val="Podnaslov"/>
        <w:spacing w:after="0"/>
        <w:rPr>
          <w:rFonts w:ascii="Arial" w:hAnsi="Arial" w:cs="Arial"/>
          <w:b/>
          <w:bCs/>
          <w:color w:val="auto"/>
          <w:spacing w:val="0"/>
          <w:sz w:val="20"/>
          <w:szCs w:val="20"/>
          <w:u w:val="single"/>
        </w:rPr>
      </w:pPr>
      <w:bookmarkStart w:id="4" w:name="_Hlk139366163"/>
      <w:r w:rsidRPr="00F7519C">
        <w:rPr>
          <w:rFonts w:ascii="Arial" w:hAnsi="Arial" w:cs="Arial"/>
          <w:b/>
          <w:bCs/>
          <w:color w:val="auto"/>
          <w:spacing w:val="0"/>
          <w:sz w:val="20"/>
          <w:szCs w:val="20"/>
          <w:u w:val="single"/>
        </w:rPr>
        <w:t xml:space="preserve">Pomoč za promocijske ukrepe za kmetijske proizvode (24. člen </w:t>
      </w:r>
      <w:bookmarkStart w:id="5" w:name="_Hlk139365074"/>
      <w:r w:rsidRPr="00F7519C">
        <w:rPr>
          <w:rFonts w:ascii="Arial" w:hAnsi="Arial" w:cs="Arial"/>
          <w:b/>
          <w:bCs/>
          <w:color w:val="auto"/>
          <w:spacing w:val="0"/>
          <w:sz w:val="20"/>
          <w:szCs w:val="20"/>
          <w:u w:val="single"/>
        </w:rPr>
        <w:t>Uredbe 2022/2472/EU)</w:t>
      </w:r>
      <w:bookmarkEnd w:id="5"/>
    </w:p>
    <w:p w14:paraId="6803F5D1" w14:textId="77777777" w:rsidR="00CB643D" w:rsidRPr="00CB643D" w:rsidRDefault="00CB643D" w:rsidP="00CB643D">
      <w:pPr>
        <w:rPr>
          <w:lang w:eastAsia="zh-CN"/>
        </w:rPr>
      </w:pPr>
    </w:p>
    <w:bookmarkEnd w:id="4"/>
    <w:p w14:paraId="7AFA42F1" w14:textId="4DD2AB14" w:rsidR="00F7519C" w:rsidRDefault="004946BD" w:rsidP="00CB643D">
      <w:pPr>
        <w:shd w:val="clear" w:color="auto" w:fill="FFFFFF"/>
        <w:tabs>
          <w:tab w:val="left" w:pos="709"/>
        </w:tabs>
        <w:jc w:val="both"/>
        <w:rPr>
          <w:rFonts w:cs="Arial"/>
          <w:szCs w:val="20"/>
          <w:lang w:eastAsia="sl-SI"/>
        </w:rPr>
      </w:pPr>
      <w:r>
        <w:rPr>
          <w:rFonts w:cs="Arial"/>
          <w:szCs w:val="20"/>
          <w:lang w:eastAsia="sl-SI"/>
        </w:rPr>
        <w:t>1.</w:t>
      </w:r>
      <w:r w:rsidR="00F7519C" w:rsidRPr="00F7519C">
        <w:rPr>
          <w:rFonts w:cs="Arial"/>
          <w:szCs w:val="20"/>
          <w:lang w:eastAsia="sl-SI"/>
        </w:rPr>
        <w:t> </w:t>
      </w:r>
      <w:r w:rsidR="00CB643D">
        <w:rPr>
          <w:rFonts w:cs="Arial"/>
          <w:szCs w:val="20"/>
          <w:lang w:eastAsia="sl-SI"/>
        </w:rPr>
        <w:tab/>
      </w:r>
      <w:r w:rsidR="00F7519C" w:rsidRPr="00F7519C">
        <w:rPr>
          <w:rFonts w:cs="Arial"/>
          <w:szCs w:val="20"/>
          <w:lang w:eastAsia="sl-SI"/>
        </w:rPr>
        <w:t>Pomoč krije stroške:</w:t>
      </w:r>
    </w:p>
    <w:p w14:paraId="6DE70698" w14:textId="77777777" w:rsidR="00CB643D" w:rsidRPr="00CB643D" w:rsidRDefault="00CB643D" w:rsidP="00DB56BF">
      <w:pPr>
        <w:shd w:val="clear" w:color="auto" w:fill="FFFFFF"/>
        <w:ind w:left="709" w:hanging="709"/>
        <w:jc w:val="both"/>
        <w:rPr>
          <w:rFonts w:cs="Arial"/>
          <w:szCs w:val="20"/>
          <w:lang w:eastAsia="sl-SI"/>
        </w:rPr>
      </w:pPr>
      <w:r w:rsidRPr="00CB643D">
        <w:rPr>
          <w:rFonts w:cs="Arial"/>
          <w:szCs w:val="20"/>
          <w:lang w:eastAsia="sl-SI"/>
        </w:rPr>
        <w:t>(a)</w:t>
      </w:r>
      <w:r w:rsidRPr="00CB643D">
        <w:rPr>
          <w:rFonts w:cs="Arial"/>
          <w:szCs w:val="20"/>
          <w:lang w:eastAsia="sl-SI"/>
        </w:rPr>
        <w:tab/>
        <w:t>organizacije tekmovanj, sejmov ali razstav ter udeležbe na njih;</w:t>
      </w:r>
    </w:p>
    <w:p w14:paraId="52F4D68D" w14:textId="77777777" w:rsidR="00CB643D" w:rsidRPr="00CB643D" w:rsidRDefault="00CB643D" w:rsidP="00DB56BF">
      <w:pPr>
        <w:shd w:val="clear" w:color="auto" w:fill="FFFFFF"/>
        <w:ind w:left="709" w:hanging="709"/>
        <w:jc w:val="both"/>
        <w:rPr>
          <w:rFonts w:cs="Arial"/>
          <w:szCs w:val="20"/>
          <w:lang w:eastAsia="sl-SI"/>
        </w:rPr>
      </w:pPr>
      <w:r w:rsidRPr="00CB643D">
        <w:rPr>
          <w:rFonts w:cs="Arial"/>
          <w:szCs w:val="20"/>
          <w:lang w:eastAsia="sl-SI"/>
        </w:rPr>
        <w:t>(b)</w:t>
      </w:r>
      <w:r w:rsidRPr="00CB643D">
        <w:rPr>
          <w:rFonts w:cs="Arial"/>
          <w:szCs w:val="20"/>
          <w:lang w:eastAsia="sl-SI"/>
        </w:rPr>
        <w:tab/>
        <w:t>publikacij, katerih cilj je ozaveščanje širše javnosti o kmetijskih proizvodih.</w:t>
      </w:r>
    </w:p>
    <w:p w14:paraId="15D7B744" w14:textId="77777777" w:rsidR="00CB643D" w:rsidRPr="00CB643D" w:rsidRDefault="00CB643D" w:rsidP="00CB643D">
      <w:pPr>
        <w:shd w:val="clear" w:color="auto" w:fill="FFFFFF"/>
        <w:jc w:val="both"/>
        <w:rPr>
          <w:rFonts w:cs="Arial"/>
          <w:szCs w:val="20"/>
          <w:lang w:eastAsia="sl-SI"/>
        </w:rPr>
      </w:pPr>
    </w:p>
    <w:p w14:paraId="008B0B54" w14:textId="77777777" w:rsidR="00D24F52" w:rsidRDefault="00CB643D" w:rsidP="00B15EFB">
      <w:pPr>
        <w:shd w:val="clear" w:color="auto" w:fill="FFFFFF"/>
        <w:tabs>
          <w:tab w:val="left" w:pos="0"/>
        </w:tabs>
        <w:jc w:val="both"/>
        <w:rPr>
          <w:rFonts w:cs="Arial"/>
          <w:szCs w:val="20"/>
          <w:lang w:eastAsia="sl-SI"/>
        </w:rPr>
      </w:pPr>
      <w:r>
        <w:rPr>
          <w:rFonts w:cs="Arial"/>
          <w:szCs w:val="20"/>
          <w:lang w:eastAsia="sl-SI"/>
        </w:rPr>
        <w:t xml:space="preserve">2. </w:t>
      </w:r>
      <w:r>
        <w:rPr>
          <w:rFonts w:cs="Arial"/>
          <w:szCs w:val="20"/>
          <w:lang w:eastAsia="sl-SI"/>
        </w:rPr>
        <w:tab/>
      </w:r>
      <w:r w:rsidRPr="00CB643D">
        <w:rPr>
          <w:rFonts w:cs="Arial"/>
          <w:szCs w:val="20"/>
          <w:lang w:eastAsia="sl-SI"/>
        </w:rPr>
        <w:t>Publikacije iz točke (</w:t>
      </w:r>
      <w:r>
        <w:rPr>
          <w:rFonts w:cs="Arial"/>
          <w:szCs w:val="20"/>
          <w:lang w:eastAsia="sl-SI"/>
        </w:rPr>
        <w:t>b) prvega odstavka tega naslova</w:t>
      </w:r>
      <w:r w:rsidRPr="00CB643D">
        <w:rPr>
          <w:rFonts w:cs="Arial"/>
          <w:szCs w:val="20"/>
          <w:lang w:eastAsia="sl-SI"/>
        </w:rPr>
        <w:t xml:space="preserve"> ne vsebujejo navedb o posameznem podjetju, blagovni znamki ali poreklu.</w:t>
      </w:r>
      <w:r w:rsidR="00B15EFB">
        <w:rPr>
          <w:rFonts w:cs="Arial"/>
          <w:szCs w:val="20"/>
          <w:lang w:eastAsia="sl-SI"/>
        </w:rPr>
        <w:t xml:space="preserve"> </w:t>
      </w:r>
    </w:p>
    <w:p w14:paraId="4C2BBD0F" w14:textId="713E332F" w:rsidR="00CB643D" w:rsidRPr="00CB643D" w:rsidRDefault="00CB643D" w:rsidP="00B15EFB">
      <w:pPr>
        <w:shd w:val="clear" w:color="auto" w:fill="FFFFFF"/>
        <w:tabs>
          <w:tab w:val="left" w:pos="0"/>
        </w:tabs>
        <w:jc w:val="both"/>
        <w:rPr>
          <w:rFonts w:cs="Arial"/>
          <w:szCs w:val="20"/>
          <w:lang w:eastAsia="sl-SI"/>
        </w:rPr>
      </w:pPr>
      <w:r w:rsidRPr="00CB643D">
        <w:rPr>
          <w:rFonts w:cs="Arial"/>
          <w:szCs w:val="20"/>
          <w:lang w:eastAsia="sl-SI"/>
        </w:rPr>
        <w:t>Prejšnji stavek se ne uporablja za navedbe o poreklu kmetijskih proizvodov, ki jih zajemajo:</w:t>
      </w:r>
    </w:p>
    <w:p w14:paraId="4500D40C" w14:textId="77777777" w:rsidR="00CB643D" w:rsidRPr="00CB643D" w:rsidRDefault="00CB643D" w:rsidP="00DB56BF">
      <w:pPr>
        <w:shd w:val="clear" w:color="auto" w:fill="FFFFFF"/>
        <w:ind w:left="709" w:hanging="709"/>
        <w:jc w:val="both"/>
        <w:rPr>
          <w:rFonts w:cs="Arial"/>
          <w:szCs w:val="20"/>
          <w:lang w:eastAsia="sl-SI"/>
        </w:rPr>
      </w:pPr>
      <w:r>
        <w:rPr>
          <w:rFonts w:cs="Arial"/>
          <w:szCs w:val="20"/>
          <w:lang w:eastAsia="sl-SI"/>
        </w:rPr>
        <w:t>(a)</w:t>
      </w:r>
      <w:r>
        <w:rPr>
          <w:rFonts w:cs="Arial"/>
          <w:szCs w:val="20"/>
          <w:lang w:eastAsia="sl-SI"/>
        </w:rPr>
        <w:tab/>
      </w:r>
      <w:r w:rsidRPr="00CB643D">
        <w:rPr>
          <w:rFonts w:cs="Arial"/>
          <w:szCs w:val="20"/>
          <w:lang w:eastAsia="sl-SI"/>
        </w:rPr>
        <w:t>sheme kakovosti iz točke (a) drugega odstavka 20. člena Uredbe 2022/2472/EU, če taka navedba natanko ustreza označbi, zaščiteni v Uniji;</w:t>
      </w:r>
    </w:p>
    <w:p w14:paraId="4BD3A3E7" w14:textId="77777777" w:rsidR="00CB643D" w:rsidRDefault="00CB643D" w:rsidP="00DB56BF">
      <w:pPr>
        <w:shd w:val="clear" w:color="auto" w:fill="FFFFFF"/>
        <w:ind w:left="709" w:hanging="709"/>
        <w:jc w:val="both"/>
        <w:rPr>
          <w:rFonts w:cs="Arial"/>
          <w:szCs w:val="20"/>
          <w:lang w:eastAsia="sl-SI"/>
        </w:rPr>
      </w:pPr>
      <w:r>
        <w:rPr>
          <w:rFonts w:cs="Arial"/>
          <w:szCs w:val="20"/>
          <w:lang w:eastAsia="sl-SI"/>
        </w:rPr>
        <w:t>(b)</w:t>
      </w:r>
      <w:r>
        <w:rPr>
          <w:rFonts w:cs="Arial"/>
          <w:szCs w:val="20"/>
          <w:lang w:eastAsia="sl-SI"/>
        </w:rPr>
        <w:tab/>
      </w:r>
      <w:r w:rsidRPr="00CB643D">
        <w:rPr>
          <w:rFonts w:cs="Arial"/>
          <w:szCs w:val="20"/>
          <w:lang w:eastAsia="sl-SI"/>
        </w:rPr>
        <w:t>sheme kakovosti iz točk (b) in (c) drugega odstavka 20. člena Uredbe 2022/2472/EU, če je taka navedba sekundarna v sporočilu.</w:t>
      </w:r>
    </w:p>
    <w:p w14:paraId="1143C311" w14:textId="77777777" w:rsidR="00CB643D" w:rsidRPr="00CB643D" w:rsidRDefault="00CB643D" w:rsidP="00CB643D">
      <w:pPr>
        <w:shd w:val="clear" w:color="auto" w:fill="FFFFFF"/>
        <w:ind w:left="1276" w:hanging="567"/>
        <w:jc w:val="both"/>
        <w:rPr>
          <w:rFonts w:cs="Arial"/>
          <w:szCs w:val="20"/>
          <w:lang w:eastAsia="sl-SI"/>
        </w:rPr>
      </w:pPr>
    </w:p>
    <w:p w14:paraId="6F9F1719" w14:textId="77777777" w:rsidR="00CB643D" w:rsidRPr="00CB643D" w:rsidRDefault="00CB643D" w:rsidP="00B15EFB">
      <w:pPr>
        <w:shd w:val="clear" w:color="auto" w:fill="FFFFFF"/>
        <w:jc w:val="both"/>
        <w:rPr>
          <w:rFonts w:cs="Arial"/>
          <w:szCs w:val="20"/>
          <w:lang w:eastAsia="sl-SI"/>
        </w:rPr>
      </w:pPr>
      <w:r>
        <w:rPr>
          <w:rFonts w:cs="Arial"/>
          <w:szCs w:val="20"/>
          <w:lang w:eastAsia="sl-SI"/>
        </w:rPr>
        <w:t>3.</w:t>
      </w:r>
      <w:r>
        <w:rPr>
          <w:rFonts w:cs="Arial"/>
          <w:szCs w:val="20"/>
          <w:lang w:eastAsia="sl-SI"/>
        </w:rPr>
        <w:tab/>
      </w:r>
      <w:r w:rsidRPr="00CB643D">
        <w:rPr>
          <w:rFonts w:cs="Arial"/>
          <w:szCs w:val="20"/>
          <w:lang w:eastAsia="sl-SI"/>
        </w:rPr>
        <w:t>Pomoč krije naslednje upravičene stroške za organizacijo tekmovanj, sejmov in razstav ter udeležbo na njih:</w:t>
      </w:r>
    </w:p>
    <w:p w14:paraId="45461590" w14:textId="77777777" w:rsidR="00CB643D" w:rsidRPr="00CB643D" w:rsidRDefault="00CB643D" w:rsidP="00DB56BF">
      <w:pPr>
        <w:shd w:val="clear" w:color="auto" w:fill="FFFFFF"/>
        <w:ind w:left="709" w:hanging="709"/>
        <w:jc w:val="both"/>
        <w:rPr>
          <w:rFonts w:cs="Arial"/>
          <w:szCs w:val="20"/>
          <w:lang w:eastAsia="sl-SI"/>
        </w:rPr>
      </w:pPr>
      <w:r w:rsidRPr="00CB643D">
        <w:rPr>
          <w:rFonts w:cs="Arial"/>
          <w:szCs w:val="20"/>
          <w:lang w:eastAsia="sl-SI"/>
        </w:rPr>
        <w:t>(a)</w:t>
      </w:r>
      <w:r w:rsidRPr="00CB643D">
        <w:rPr>
          <w:rFonts w:cs="Arial"/>
          <w:szCs w:val="20"/>
          <w:lang w:eastAsia="sl-SI"/>
        </w:rPr>
        <w:tab/>
        <w:t>stroške udeležbe;</w:t>
      </w:r>
    </w:p>
    <w:p w14:paraId="2CB61C57" w14:textId="77777777" w:rsidR="00CB643D" w:rsidRPr="00CB643D" w:rsidRDefault="00CB643D" w:rsidP="00DB56BF">
      <w:pPr>
        <w:shd w:val="clear" w:color="auto" w:fill="FFFFFF"/>
        <w:ind w:left="709" w:hanging="709"/>
        <w:jc w:val="both"/>
        <w:rPr>
          <w:rFonts w:cs="Arial"/>
          <w:szCs w:val="20"/>
          <w:lang w:eastAsia="sl-SI"/>
        </w:rPr>
      </w:pPr>
      <w:r w:rsidRPr="00CB643D">
        <w:rPr>
          <w:rFonts w:cs="Arial"/>
          <w:szCs w:val="20"/>
          <w:lang w:eastAsia="sl-SI"/>
        </w:rPr>
        <w:t>(b)</w:t>
      </w:r>
      <w:r w:rsidRPr="00CB643D">
        <w:rPr>
          <w:rFonts w:cs="Arial"/>
          <w:szCs w:val="20"/>
          <w:lang w:eastAsia="sl-SI"/>
        </w:rPr>
        <w:tab/>
        <w:t>potne stroške in stroške prevoza živali in proizvodov, ki bodo zajeti v promocijskem ukrepu;</w:t>
      </w:r>
    </w:p>
    <w:p w14:paraId="616A0614" w14:textId="77777777" w:rsidR="00CB643D" w:rsidRPr="00CB643D" w:rsidRDefault="00CB643D" w:rsidP="00DB56BF">
      <w:pPr>
        <w:shd w:val="clear" w:color="auto" w:fill="FFFFFF"/>
        <w:ind w:left="709" w:hanging="709"/>
        <w:jc w:val="both"/>
        <w:rPr>
          <w:rFonts w:cs="Arial"/>
          <w:szCs w:val="20"/>
          <w:lang w:eastAsia="sl-SI"/>
        </w:rPr>
      </w:pPr>
      <w:r w:rsidRPr="00CB643D">
        <w:rPr>
          <w:rFonts w:cs="Arial"/>
          <w:szCs w:val="20"/>
          <w:lang w:eastAsia="sl-SI"/>
        </w:rPr>
        <w:t>(c)</w:t>
      </w:r>
      <w:r w:rsidRPr="00CB643D">
        <w:rPr>
          <w:rFonts w:cs="Arial"/>
          <w:szCs w:val="20"/>
          <w:lang w:eastAsia="sl-SI"/>
        </w:rPr>
        <w:tab/>
        <w:t>stroške publikacij in spletišč, ki napovedujejo dogodek;</w:t>
      </w:r>
    </w:p>
    <w:p w14:paraId="3B780A41" w14:textId="77777777" w:rsidR="00CB643D" w:rsidRPr="00CB643D" w:rsidRDefault="00CB643D" w:rsidP="00DB56BF">
      <w:pPr>
        <w:shd w:val="clear" w:color="auto" w:fill="FFFFFF"/>
        <w:ind w:left="709" w:hanging="709"/>
        <w:jc w:val="both"/>
        <w:rPr>
          <w:rFonts w:cs="Arial"/>
          <w:szCs w:val="20"/>
          <w:lang w:eastAsia="sl-SI"/>
        </w:rPr>
      </w:pPr>
      <w:r w:rsidRPr="00CB643D">
        <w:rPr>
          <w:rFonts w:cs="Arial"/>
          <w:szCs w:val="20"/>
          <w:lang w:eastAsia="sl-SI"/>
        </w:rPr>
        <w:t>(č)</w:t>
      </w:r>
      <w:r w:rsidRPr="00CB643D">
        <w:rPr>
          <w:rFonts w:cs="Arial"/>
          <w:szCs w:val="20"/>
          <w:lang w:eastAsia="sl-SI"/>
        </w:rPr>
        <w:tab/>
        <w:t>najemnine razstavnih prostorov in stojnic ter stroške njihove postavitve in razstavljanja;</w:t>
      </w:r>
    </w:p>
    <w:p w14:paraId="072E230D" w14:textId="77777777" w:rsidR="00CB643D" w:rsidRDefault="00CB643D" w:rsidP="00DB56BF">
      <w:pPr>
        <w:shd w:val="clear" w:color="auto" w:fill="FFFFFF"/>
        <w:ind w:left="709" w:hanging="709"/>
        <w:jc w:val="both"/>
        <w:rPr>
          <w:rFonts w:cs="Arial"/>
          <w:szCs w:val="20"/>
          <w:lang w:eastAsia="sl-SI"/>
        </w:rPr>
      </w:pPr>
      <w:r w:rsidRPr="00CB643D">
        <w:rPr>
          <w:rFonts w:cs="Arial"/>
          <w:szCs w:val="20"/>
          <w:lang w:eastAsia="sl-SI"/>
        </w:rPr>
        <w:t>(d)</w:t>
      </w:r>
      <w:r w:rsidRPr="00CB643D">
        <w:rPr>
          <w:rFonts w:cs="Arial"/>
          <w:szCs w:val="20"/>
          <w:lang w:eastAsia="sl-SI"/>
        </w:rPr>
        <w:tab/>
        <w:t xml:space="preserve">simbolične </w:t>
      </w:r>
      <w:r w:rsidR="00C70FA1">
        <w:rPr>
          <w:rFonts w:cs="Arial"/>
          <w:szCs w:val="20"/>
          <w:lang w:eastAsia="sl-SI"/>
        </w:rPr>
        <w:t>nagrade do vrednosti 3 000 EUR</w:t>
      </w:r>
      <w:r w:rsidRPr="00CB643D">
        <w:rPr>
          <w:rFonts w:cs="Arial"/>
          <w:szCs w:val="20"/>
          <w:lang w:eastAsia="sl-SI"/>
        </w:rPr>
        <w:t xml:space="preserve"> na nagrado in zmagovalca tekmovanja.</w:t>
      </w:r>
    </w:p>
    <w:p w14:paraId="10036F7C" w14:textId="77777777" w:rsidR="00CB643D" w:rsidRPr="00CB643D" w:rsidRDefault="00CB643D" w:rsidP="00CB643D">
      <w:pPr>
        <w:shd w:val="clear" w:color="auto" w:fill="FFFFFF"/>
        <w:ind w:left="1276" w:hanging="567"/>
        <w:jc w:val="both"/>
        <w:rPr>
          <w:rFonts w:cs="Arial"/>
          <w:szCs w:val="20"/>
          <w:lang w:eastAsia="sl-SI"/>
        </w:rPr>
      </w:pPr>
    </w:p>
    <w:p w14:paraId="6ED89FA4" w14:textId="77777777" w:rsidR="00CB643D" w:rsidRPr="00CB643D" w:rsidRDefault="00CB643D" w:rsidP="00B15EFB">
      <w:pPr>
        <w:shd w:val="clear" w:color="auto" w:fill="FFFFFF"/>
        <w:jc w:val="both"/>
        <w:rPr>
          <w:rFonts w:cs="Arial"/>
          <w:szCs w:val="20"/>
          <w:lang w:eastAsia="sl-SI"/>
        </w:rPr>
      </w:pPr>
      <w:r>
        <w:rPr>
          <w:rFonts w:cs="Arial"/>
          <w:szCs w:val="20"/>
          <w:lang w:eastAsia="sl-SI"/>
        </w:rPr>
        <w:t>4.</w:t>
      </w:r>
      <w:r w:rsidRPr="00CB643D">
        <w:rPr>
          <w:rFonts w:cs="Arial"/>
          <w:szCs w:val="20"/>
          <w:lang w:eastAsia="sl-SI"/>
        </w:rPr>
        <w:t xml:space="preserve"> </w:t>
      </w:r>
      <w:r>
        <w:rPr>
          <w:rFonts w:cs="Arial"/>
          <w:szCs w:val="20"/>
          <w:lang w:eastAsia="sl-SI"/>
        </w:rPr>
        <w:tab/>
      </w:r>
      <w:r w:rsidRPr="00CB643D">
        <w:rPr>
          <w:rFonts w:cs="Arial"/>
          <w:szCs w:val="20"/>
          <w:lang w:eastAsia="sl-SI"/>
        </w:rPr>
        <w:t>Pomoč krije naslednje upravičene stroške za publikacije, katerih cilj je ozaveščanje širše javnosti o kmetijskih proizvodih:</w:t>
      </w:r>
    </w:p>
    <w:p w14:paraId="07714E3E" w14:textId="77777777" w:rsidR="00CB643D" w:rsidRPr="00CB643D" w:rsidRDefault="00CB643D" w:rsidP="00DB56BF">
      <w:pPr>
        <w:shd w:val="clear" w:color="auto" w:fill="FFFFFF"/>
        <w:ind w:left="709" w:hanging="709"/>
        <w:jc w:val="both"/>
        <w:rPr>
          <w:rFonts w:cs="Arial"/>
          <w:szCs w:val="20"/>
          <w:lang w:eastAsia="sl-SI"/>
        </w:rPr>
      </w:pPr>
      <w:r>
        <w:rPr>
          <w:rFonts w:cs="Arial"/>
          <w:szCs w:val="20"/>
          <w:lang w:eastAsia="sl-SI"/>
        </w:rPr>
        <w:t>(a)</w:t>
      </w:r>
      <w:r>
        <w:rPr>
          <w:rFonts w:cs="Arial"/>
          <w:szCs w:val="20"/>
          <w:lang w:eastAsia="sl-SI"/>
        </w:rPr>
        <w:tab/>
      </w:r>
      <w:r w:rsidRPr="00CB643D">
        <w:rPr>
          <w:rFonts w:cs="Arial"/>
          <w:szCs w:val="20"/>
          <w:lang w:eastAsia="sl-SI"/>
        </w:rPr>
        <w:t>stroške tiskanih in elektronskih publikacij, spletišč in spotov v elektronskih medijih, na radiu ali televiziji, namenjenih predstavljanju dejanskih informacij o upravičencih iz določene regije ali proizvajalcih določenega kmetijskega proizvoda, če so informacije nevtralne in imajo zadevni upravičenci enake možnosti, da so predstavljeni v publikaciji;</w:t>
      </w:r>
    </w:p>
    <w:p w14:paraId="20D35726" w14:textId="77777777" w:rsidR="00CB643D" w:rsidRPr="00CB643D" w:rsidRDefault="00CB643D" w:rsidP="00DB56BF">
      <w:pPr>
        <w:shd w:val="clear" w:color="auto" w:fill="FFFFFF"/>
        <w:ind w:left="709" w:hanging="709"/>
        <w:jc w:val="both"/>
        <w:rPr>
          <w:rFonts w:cs="Arial"/>
          <w:szCs w:val="20"/>
          <w:lang w:eastAsia="sl-SI"/>
        </w:rPr>
      </w:pPr>
      <w:r>
        <w:rPr>
          <w:rFonts w:cs="Arial"/>
          <w:szCs w:val="20"/>
          <w:lang w:eastAsia="sl-SI"/>
        </w:rPr>
        <w:t>(b)</w:t>
      </w:r>
      <w:r>
        <w:rPr>
          <w:rFonts w:cs="Arial"/>
          <w:szCs w:val="20"/>
          <w:lang w:eastAsia="sl-SI"/>
        </w:rPr>
        <w:tab/>
      </w:r>
      <w:r w:rsidRPr="00CB643D">
        <w:rPr>
          <w:rFonts w:cs="Arial"/>
          <w:szCs w:val="20"/>
          <w:lang w:eastAsia="sl-SI"/>
        </w:rPr>
        <w:t>stroške širjenja znanstvenih spoznanj in dejanskih informacij o:</w:t>
      </w:r>
    </w:p>
    <w:p w14:paraId="66C3103D" w14:textId="77777777" w:rsidR="00CB643D" w:rsidRPr="00CB643D" w:rsidRDefault="00CB643D" w:rsidP="00DB56BF">
      <w:pPr>
        <w:shd w:val="clear" w:color="auto" w:fill="FFFFFF"/>
        <w:ind w:left="1276" w:hanging="567"/>
        <w:jc w:val="both"/>
        <w:rPr>
          <w:rFonts w:cs="Arial"/>
          <w:szCs w:val="20"/>
          <w:lang w:eastAsia="sl-SI"/>
        </w:rPr>
      </w:pPr>
      <w:r>
        <w:rPr>
          <w:rFonts w:cs="Arial"/>
          <w:szCs w:val="20"/>
          <w:lang w:eastAsia="sl-SI"/>
        </w:rPr>
        <w:t>–</w:t>
      </w:r>
      <w:r>
        <w:rPr>
          <w:rFonts w:cs="Arial"/>
          <w:szCs w:val="20"/>
          <w:lang w:eastAsia="sl-SI"/>
        </w:rPr>
        <w:tab/>
      </w:r>
      <w:r w:rsidRPr="00CB643D">
        <w:rPr>
          <w:rFonts w:cs="Arial"/>
          <w:szCs w:val="20"/>
          <w:lang w:eastAsia="sl-SI"/>
        </w:rPr>
        <w:t>shemah kakovosti iz drugega odstavka 20. člena Uredbe 2022/2472/EU, odprtih za kmetijske proizvode iz drugih držav članic in tretjih držav;</w:t>
      </w:r>
    </w:p>
    <w:p w14:paraId="6452E048" w14:textId="77777777" w:rsidR="00CB643D" w:rsidRPr="00CB643D" w:rsidRDefault="00CB643D" w:rsidP="00DB56BF">
      <w:pPr>
        <w:shd w:val="clear" w:color="auto" w:fill="FFFFFF"/>
        <w:ind w:left="1276" w:hanging="567"/>
        <w:jc w:val="both"/>
        <w:rPr>
          <w:rFonts w:cs="Arial"/>
          <w:szCs w:val="20"/>
          <w:lang w:eastAsia="sl-SI"/>
        </w:rPr>
      </w:pPr>
      <w:r>
        <w:rPr>
          <w:rFonts w:cs="Arial"/>
          <w:szCs w:val="20"/>
          <w:lang w:eastAsia="sl-SI"/>
        </w:rPr>
        <w:t>–</w:t>
      </w:r>
      <w:r>
        <w:rPr>
          <w:rFonts w:cs="Arial"/>
          <w:szCs w:val="20"/>
          <w:lang w:eastAsia="sl-SI"/>
        </w:rPr>
        <w:tab/>
      </w:r>
      <w:r w:rsidRPr="00CB643D">
        <w:rPr>
          <w:rFonts w:cs="Arial"/>
          <w:szCs w:val="20"/>
          <w:lang w:eastAsia="sl-SI"/>
        </w:rPr>
        <w:t>generičnih kmetijskih proizvodih, njihovi hranilni vrednosti in njihovi priporočeni uporabi.</w:t>
      </w:r>
    </w:p>
    <w:p w14:paraId="5A73081D" w14:textId="77777777" w:rsidR="00CB643D" w:rsidRPr="00CB643D" w:rsidRDefault="00CB643D" w:rsidP="00CB643D">
      <w:pPr>
        <w:shd w:val="clear" w:color="auto" w:fill="FFFFFF"/>
        <w:jc w:val="both"/>
        <w:rPr>
          <w:rFonts w:cs="Arial"/>
          <w:szCs w:val="20"/>
          <w:lang w:eastAsia="sl-SI"/>
        </w:rPr>
      </w:pPr>
    </w:p>
    <w:p w14:paraId="0A0B3833" w14:textId="77777777" w:rsidR="00CB643D" w:rsidRPr="00CB643D" w:rsidRDefault="00CB643D" w:rsidP="00CB643D">
      <w:pPr>
        <w:shd w:val="clear" w:color="auto" w:fill="FFFFFF"/>
        <w:ind w:left="709" w:hanging="709"/>
        <w:jc w:val="both"/>
        <w:rPr>
          <w:rFonts w:cs="Arial"/>
          <w:szCs w:val="20"/>
          <w:lang w:eastAsia="sl-SI"/>
        </w:rPr>
      </w:pPr>
      <w:r>
        <w:rPr>
          <w:rFonts w:cs="Arial"/>
          <w:szCs w:val="20"/>
          <w:lang w:eastAsia="sl-SI"/>
        </w:rPr>
        <w:t xml:space="preserve">5. </w:t>
      </w:r>
      <w:r>
        <w:rPr>
          <w:rFonts w:cs="Arial"/>
          <w:szCs w:val="20"/>
          <w:lang w:eastAsia="sl-SI"/>
        </w:rPr>
        <w:tab/>
      </w:r>
      <w:r w:rsidRPr="00CB643D">
        <w:rPr>
          <w:rFonts w:cs="Arial"/>
          <w:szCs w:val="20"/>
          <w:lang w:eastAsia="sl-SI"/>
        </w:rPr>
        <w:t>Pomoč se dodeli v eni od naslednjih oblik:</w:t>
      </w:r>
    </w:p>
    <w:p w14:paraId="6B77B313" w14:textId="77777777" w:rsidR="00CB643D" w:rsidRPr="00CB643D" w:rsidRDefault="00CB643D" w:rsidP="00DB56BF">
      <w:pPr>
        <w:shd w:val="clear" w:color="auto" w:fill="FFFFFF"/>
        <w:ind w:left="709" w:hanging="709"/>
        <w:jc w:val="both"/>
        <w:rPr>
          <w:rFonts w:cs="Arial"/>
          <w:szCs w:val="20"/>
          <w:lang w:eastAsia="sl-SI"/>
        </w:rPr>
      </w:pPr>
      <w:r w:rsidRPr="00CB643D">
        <w:rPr>
          <w:rFonts w:cs="Arial"/>
          <w:szCs w:val="20"/>
          <w:lang w:eastAsia="sl-SI"/>
        </w:rPr>
        <w:t>(a)</w:t>
      </w:r>
      <w:r w:rsidRPr="00CB643D">
        <w:rPr>
          <w:rFonts w:cs="Arial"/>
          <w:szCs w:val="20"/>
          <w:lang w:eastAsia="sl-SI"/>
        </w:rPr>
        <w:tab/>
        <w:t>v naravi</w:t>
      </w:r>
      <w:r w:rsidR="00C70FA1">
        <w:rPr>
          <w:rFonts w:cs="Arial"/>
          <w:szCs w:val="20"/>
          <w:lang w:eastAsia="sl-SI"/>
        </w:rPr>
        <w:t>;</w:t>
      </w:r>
    </w:p>
    <w:p w14:paraId="6A1DC2BB" w14:textId="77777777" w:rsidR="00CB643D" w:rsidRPr="00CB643D" w:rsidRDefault="00CB643D" w:rsidP="00DB56BF">
      <w:pPr>
        <w:shd w:val="clear" w:color="auto" w:fill="FFFFFF"/>
        <w:ind w:left="709" w:hanging="709"/>
        <w:jc w:val="both"/>
        <w:rPr>
          <w:rFonts w:cs="Arial"/>
          <w:szCs w:val="20"/>
          <w:lang w:eastAsia="sl-SI"/>
        </w:rPr>
      </w:pPr>
      <w:r w:rsidRPr="00CB643D">
        <w:rPr>
          <w:rFonts w:cs="Arial"/>
          <w:szCs w:val="20"/>
          <w:lang w:eastAsia="sl-SI"/>
        </w:rPr>
        <w:t>(b)</w:t>
      </w:r>
      <w:r w:rsidRPr="00CB643D">
        <w:rPr>
          <w:rFonts w:cs="Arial"/>
          <w:szCs w:val="20"/>
          <w:lang w:eastAsia="sl-SI"/>
        </w:rPr>
        <w:tab/>
        <w:t>na podlagi vračila dejanskih stroškov, ki jih je imel upravičenec;</w:t>
      </w:r>
    </w:p>
    <w:p w14:paraId="12C47041" w14:textId="77777777" w:rsidR="00CB643D" w:rsidRPr="00CB643D" w:rsidRDefault="00CB643D" w:rsidP="00DB56BF">
      <w:pPr>
        <w:shd w:val="clear" w:color="auto" w:fill="FFFFFF"/>
        <w:ind w:left="709" w:hanging="709"/>
        <w:jc w:val="both"/>
        <w:rPr>
          <w:rFonts w:cs="Arial"/>
          <w:szCs w:val="20"/>
          <w:lang w:eastAsia="sl-SI"/>
        </w:rPr>
      </w:pPr>
      <w:r w:rsidRPr="00CB643D">
        <w:rPr>
          <w:rFonts w:cs="Arial"/>
          <w:szCs w:val="20"/>
          <w:lang w:eastAsia="sl-SI"/>
        </w:rPr>
        <w:t>(c)</w:t>
      </w:r>
      <w:r w:rsidRPr="00CB643D">
        <w:rPr>
          <w:rFonts w:cs="Arial"/>
          <w:szCs w:val="20"/>
          <w:lang w:eastAsia="sl-SI"/>
        </w:rPr>
        <w:tab/>
        <w:t>kar zadeva pomoč za simbolične nagrade, tudi v gotovini.</w:t>
      </w:r>
    </w:p>
    <w:p w14:paraId="15132BCF" w14:textId="77777777" w:rsidR="00CB643D" w:rsidRPr="00F7519C" w:rsidRDefault="00CB643D" w:rsidP="00F7519C">
      <w:pPr>
        <w:shd w:val="clear" w:color="auto" w:fill="FFFFFF"/>
        <w:jc w:val="both"/>
        <w:rPr>
          <w:rFonts w:cs="Arial"/>
          <w:szCs w:val="20"/>
          <w:lang w:eastAsia="sl-SI"/>
        </w:rPr>
      </w:pPr>
    </w:p>
    <w:p w14:paraId="1B844E89" w14:textId="77777777" w:rsidR="00F7519C" w:rsidRPr="00F7519C" w:rsidRDefault="00F7519C" w:rsidP="00F7519C">
      <w:pPr>
        <w:shd w:val="clear" w:color="auto" w:fill="FFFFFF"/>
        <w:jc w:val="both"/>
        <w:rPr>
          <w:rFonts w:cs="Arial"/>
          <w:szCs w:val="20"/>
          <w:lang w:eastAsia="sl-SI"/>
        </w:rPr>
      </w:pPr>
      <w:r w:rsidRPr="00F7519C">
        <w:rPr>
          <w:rFonts w:cs="Arial"/>
          <w:szCs w:val="20"/>
          <w:lang w:eastAsia="sl-SI"/>
        </w:rPr>
        <w:t>Če je pomoč dodeljena v naravi, je pomoč v obliki subvencionirane storitve. Promocijske ukrepe lahko izvajajo skupine proizvajalcev ali druge organizacije ne glede na njihovo velikost. Pomoč za simbolične nagrade iz (d) točke tretjega odstavka tega naslova se izplača ponudniku promocijskih ukrepov le, če je bila nagrada dejansko podeljena in je bil predložen dokaz o tem.</w:t>
      </w:r>
    </w:p>
    <w:p w14:paraId="3DC5A94C" w14:textId="77777777" w:rsidR="00F7519C" w:rsidRPr="00F7519C" w:rsidRDefault="00F7519C" w:rsidP="00F7519C">
      <w:pPr>
        <w:shd w:val="clear" w:color="auto" w:fill="FFFFFF"/>
        <w:jc w:val="both"/>
        <w:rPr>
          <w:rFonts w:cs="Arial"/>
          <w:szCs w:val="20"/>
          <w:lang w:eastAsia="sl-SI"/>
        </w:rPr>
      </w:pPr>
    </w:p>
    <w:p w14:paraId="62FCA60B" w14:textId="77BC4626" w:rsidR="00F7519C" w:rsidRDefault="004946BD" w:rsidP="00DB56BF">
      <w:pPr>
        <w:shd w:val="clear" w:color="auto" w:fill="FFFFFF"/>
        <w:jc w:val="both"/>
        <w:rPr>
          <w:rFonts w:cs="Arial"/>
          <w:szCs w:val="20"/>
          <w:lang w:eastAsia="sl-SI"/>
        </w:rPr>
      </w:pPr>
      <w:r>
        <w:rPr>
          <w:rFonts w:cs="Arial"/>
          <w:szCs w:val="20"/>
          <w:lang w:eastAsia="sl-SI"/>
        </w:rPr>
        <w:t>6. </w:t>
      </w:r>
      <w:r w:rsidR="00C70FA1">
        <w:rPr>
          <w:rFonts w:cs="Arial"/>
          <w:szCs w:val="20"/>
          <w:lang w:eastAsia="sl-SI"/>
        </w:rPr>
        <w:tab/>
      </w:r>
      <w:r w:rsidR="00F7519C" w:rsidRPr="00F7519C">
        <w:rPr>
          <w:rFonts w:cs="Arial"/>
          <w:szCs w:val="20"/>
          <w:lang w:eastAsia="sl-SI"/>
        </w:rPr>
        <w:t>Pomoč za promocijske ukrepe je na podlagi objektivno opredeljenih pogojev dostopna vsem upravičenim podjetjem na zadevnem območju. Kadar promocijski ukrep zagotavljajo skupine in organizacije proizvajalcev, članstvo v takih skupinah ali organizacijah ni pogoj za sodelovanje. Vsak prispevek nečlanov za kritje upravnih pristojbin zadevne skupine ali organizacije proizvajalcev je omejen na stroške zagotavljanja promocijskih ukrepov.</w:t>
      </w:r>
    </w:p>
    <w:p w14:paraId="117AE13F" w14:textId="77777777" w:rsidR="00C70FA1" w:rsidRPr="00F7519C" w:rsidRDefault="00C70FA1" w:rsidP="00F7519C">
      <w:pPr>
        <w:shd w:val="clear" w:color="auto" w:fill="FFFFFF"/>
        <w:jc w:val="both"/>
        <w:rPr>
          <w:rFonts w:cs="Arial"/>
          <w:szCs w:val="20"/>
          <w:lang w:eastAsia="sl-SI"/>
        </w:rPr>
      </w:pPr>
    </w:p>
    <w:p w14:paraId="321FDAEB" w14:textId="22EFFBBA" w:rsidR="00F7519C" w:rsidRPr="00F7519C" w:rsidRDefault="004946BD" w:rsidP="00C70FA1">
      <w:pPr>
        <w:shd w:val="clear" w:color="auto" w:fill="FFFFFF"/>
        <w:ind w:left="709" w:hanging="709"/>
        <w:jc w:val="both"/>
        <w:rPr>
          <w:rFonts w:cs="Arial"/>
          <w:szCs w:val="20"/>
          <w:lang w:eastAsia="sl-SI"/>
        </w:rPr>
      </w:pPr>
      <w:r>
        <w:rPr>
          <w:rFonts w:cs="Arial"/>
          <w:szCs w:val="20"/>
          <w:lang w:eastAsia="sl-SI"/>
        </w:rPr>
        <w:t>7.</w:t>
      </w:r>
      <w:r w:rsidR="00F7519C" w:rsidRPr="00F7519C">
        <w:rPr>
          <w:rFonts w:cs="Arial"/>
          <w:szCs w:val="20"/>
          <w:lang w:eastAsia="sl-SI"/>
        </w:rPr>
        <w:t> </w:t>
      </w:r>
      <w:r w:rsidR="00C70FA1">
        <w:rPr>
          <w:rFonts w:cs="Arial"/>
          <w:szCs w:val="20"/>
          <w:lang w:eastAsia="sl-SI"/>
        </w:rPr>
        <w:tab/>
      </w:r>
      <w:r w:rsidR="00F7519C" w:rsidRPr="00F7519C">
        <w:rPr>
          <w:rFonts w:cs="Arial"/>
          <w:szCs w:val="20"/>
          <w:lang w:eastAsia="sl-SI"/>
        </w:rPr>
        <w:t>Intenzivnost pomoči je omejena na 100 % upravičenih stroškov.</w:t>
      </w:r>
    </w:p>
    <w:p w14:paraId="0B1E4995" w14:textId="77777777" w:rsidR="00F7519C" w:rsidRPr="00F7519C" w:rsidRDefault="00F7519C" w:rsidP="00F7519C">
      <w:pPr>
        <w:shd w:val="clear" w:color="auto" w:fill="FFFFFF"/>
        <w:jc w:val="both"/>
        <w:rPr>
          <w:rFonts w:cs="Arial"/>
          <w:szCs w:val="20"/>
          <w:lang w:eastAsia="sl-SI"/>
        </w:rPr>
      </w:pPr>
    </w:p>
    <w:p w14:paraId="23F9954C" w14:textId="3450EABD" w:rsidR="00F7519C" w:rsidRPr="00F7519C" w:rsidRDefault="004946BD" w:rsidP="00DB56BF">
      <w:pPr>
        <w:overflowPunct w:val="0"/>
        <w:autoSpaceDE w:val="0"/>
        <w:jc w:val="both"/>
        <w:textAlignment w:val="baseline"/>
        <w:rPr>
          <w:rFonts w:cs="Arial"/>
          <w:szCs w:val="20"/>
        </w:rPr>
      </w:pPr>
      <w:r>
        <w:rPr>
          <w:rFonts w:cs="Arial"/>
          <w:szCs w:val="20"/>
          <w:lang w:eastAsia="sl-SI"/>
        </w:rPr>
        <w:t xml:space="preserve">8. </w:t>
      </w:r>
      <w:r w:rsidR="00C70FA1">
        <w:rPr>
          <w:rFonts w:cs="Arial"/>
          <w:szCs w:val="20"/>
          <w:lang w:eastAsia="sl-SI"/>
        </w:rPr>
        <w:tab/>
      </w:r>
      <w:r w:rsidR="00F7519C" w:rsidRPr="00F7519C">
        <w:rPr>
          <w:rFonts w:cs="Arial"/>
          <w:szCs w:val="20"/>
          <w:lang w:eastAsia="sl-SI"/>
        </w:rPr>
        <w:t xml:space="preserve">Pomoč za promocijske ukrepe je omejena na kmetijske proizvode, kot so opredeljeni v </w:t>
      </w:r>
      <w:r w:rsidR="00C70FA1">
        <w:rPr>
          <w:rFonts w:cs="Arial"/>
          <w:szCs w:val="20"/>
          <w:lang w:eastAsia="sl-SI"/>
        </w:rPr>
        <w:br/>
      </w:r>
      <w:r w:rsidR="00F7519C" w:rsidRPr="00F7519C">
        <w:rPr>
          <w:rFonts w:cs="Arial"/>
          <w:szCs w:val="20"/>
          <w:lang w:eastAsia="sl-SI"/>
        </w:rPr>
        <w:t>7. točki 2. člena Uredbe</w:t>
      </w:r>
      <w:r w:rsidR="00F7519C" w:rsidRPr="00F7519C">
        <w:rPr>
          <w:rFonts w:cs="Arial"/>
          <w:szCs w:val="20"/>
        </w:rPr>
        <w:t xml:space="preserve"> 2022/2472/EU. </w:t>
      </w:r>
    </w:p>
    <w:p w14:paraId="38E158FB" w14:textId="77777777" w:rsidR="00F7519C" w:rsidRPr="00F7519C" w:rsidRDefault="00F7519C" w:rsidP="00F7519C">
      <w:pPr>
        <w:overflowPunct w:val="0"/>
        <w:autoSpaceDE w:val="0"/>
        <w:jc w:val="both"/>
        <w:textAlignment w:val="baseline"/>
        <w:rPr>
          <w:rFonts w:cs="Arial"/>
          <w:szCs w:val="20"/>
        </w:rPr>
      </w:pPr>
    </w:p>
    <w:p w14:paraId="381F5CE4" w14:textId="77777777" w:rsidR="00F7519C" w:rsidRPr="00F7519C" w:rsidRDefault="00F7519C" w:rsidP="00F7519C">
      <w:pPr>
        <w:jc w:val="both"/>
        <w:rPr>
          <w:rFonts w:cs="Arial"/>
          <w:szCs w:val="20"/>
        </w:rPr>
      </w:pPr>
      <w:r w:rsidRPr="00F7519C">
        <w:rPr>
          <w:rFonts w:cs="Arial"/>
          <w:szCs w:val="20"/>
        </w:rPr>
        <w:t xml:space="preserve">Upravičencem se pomoč iz tega </w:t>
      </w:r>
      <w:proofErr w:type="spellStart"/>
      <w:r w:rsidRPr="00F7519C">
        <w:rPr>
          <w:rFonts w:cs="Arial"/>
          <w:szCs w:val="20"/>
        </w:rPr>
        <w:t>podukrepa</w:t>
      </w:r>
      <w:proofErr w:type="spellEnd"/>
      <w:r w:rsidRPr="00F7519C">
        <w:rPr>
          <w:rFonts w:cs="Arial"/>
          <w:szCs w:val="20"/>
        </w:rPr>
        <w:t xml:space="preserve"> dodeli le za stroške, nasta</w:t>
      </w:r>
      <w:r w:rsidR="00C70FA1">
        <w:rPr>
          <w:rFonts w:cs="Arial"/>
          <w:szCs w:val="20"/>
        </w:rPr>
        <w:t>le po predložitvi vloge PMSNS</w:t>
      </w:r>
      <w:r w:rsidRPr="00F7519C">
        <w:rPr>
          <w:rFonts w:cs="Arial"/>
          <w:szCs w:val="20"/>
        </w:rPr>
        <w:t xml:space="preserve"> oziroma izbranemu zunanjemu izvajalcu subvencionirane storitve. </w:t>
      </w:r>
      <w:bookmarkStart w:id="6" w:name="_Hlk139873950"/>
      <w:bookmarkStart w:id="7" w:name="_Hlk92099463"/>
    </w:p>
    <w:bookmarkEnd w:id="6"/>
    <w:p w14:paraId="263B6A26" w14:textId="77777777" w:rsidR="00F7519C" w:rsidRPr="00F7519C" w:rsidRDefault="00F7519C" w:rsidP="00F7519C">
      <w:pPr>
        <w:jc w:val="both"/>
        <w:rPr>
          <w:rFonts w:cs="Arial"/>
          <w:szCs w:val="20"/>
        </w:rPr>
      </w:pPr>
    </w:p>
    <w:bookmarkEnd w:id="7"/>
    <w:p w14:paraId="50640D0B" w14:textId="77777777" w:rsidR="00F7519C" w:rsidRPr="00F7519C" w:rsidRDefault="00F7519C" w:rsidP="00F7519C">
      <w:pPr>
        <w:jc w:val="both"/>
        <w:rPr>
          <w:rFonts w:cs="Arial"/>
          <w:b/>
          <w:szCs w:val="20"/>
        </w:rPr>
      </w:pPr>
      <w:r w:rsidRPr="00F7519C">
        <w:rPr>
          <w:rFonts w:cs="Arial"/>
          <w:b/>
          <w:szCs w:val="20"/>
          <w:u w:val="single" w:color="000000"/>
        </w:rPr>
        <w:t>Financiranje:</w:t>
      </w:r>
      <w:r w:rsidRPr="00F7519C">
        <w:rPr>
          <w:rFonts w:cs="Arial"/>
          <w:b/>
          <w:szCs w:val="20"/>
        </w:rPr>
        <w:t xml:space="preserve"> </w:t>
      </w:r>
    </w:p>
    <w:p w14:paraId="295545A6" w14:textId="77777777" w:rsidR="00F7519C" w:rsidRPr="00F7519C" w:rsidRDefault="00F7519C" w:rsidP="00F7519C">
      <w:pPr>
        <w:jc w:val="both"/>
        <w:rPr>
          <w:rFonts w:cs="Arial"/>
          <w:szCs w:val="20"/>
        </w:rPr>
      </w:pPr>
      <w:bookmarkStart w:id="8" w:name="_Hlk93909139"/>
      <w:bookmarkEnd w:id="8"/>
      <w:r w:rsidRPr="00F7519C">
        <w:rPr>
          <w:rFonts w:cs="Arial"/>
          <w:szCs w:val="20"/>
        </w:rPr>
        <w:t xml:space="preserve">Finančna sredstva za pomoč v okviru </w:t>
      </w:r>
      <w:proofErr w:type="spellStart"/>
      <w:r w:rsidRPr="00F7519C">
        <w:rPr>
          <w:rFonts w:cs="Arial"/>
          <w:szCs w:val="20"/>
        </w:rPr>
        <w:t>podukrepa</w:t>
      </w:r>
      <w:proofErr w:type="spellEnd"/>
      <w:r w:rsidRPr="00F7519C">
        <w:rPr>
          <w:rFonts w:cs="Arial"/>
          <w:szCs w:val="20"/>
        </w:rPr>
        <w:t xml:space="preserve"> 4.2 se zagotovijo iz proračuna MKGP.</w:t>
      </w:r>
    </w:p>
    <w:p w14:paraId="475DC54D" w14:textId="77777777" w:rsidR="00F7519C" w:rsidRPr="00F7519C" w:rsidRDefault="00F7519C" w:rsidP="00F7519C">
      <w:pPr>
        <w:jc w:val="both"/>
        <w:rPr>
          <w:rFonts w:cs="Arial"/>
          <w:szCs w:val="20"/>
        </w:rPr>
      </w:pPr>
    </w:p>
    <w:p w14:paraId="7366E633" w14:textId="77777777" w:rsidR="00F7519C" w:rsidRPr="00F7519C" w:rsidRDefault="00F7519C" w:rsidP="00F7519C">
      <w:pPr>
        <w:jc w:val="both"/>
        <w:rPr>
          <w:rFonts w:cs="Arial"/>
          <w:szCs w:val="20"/>
        </w:rPr>
      </w:pPr>
      <w:r w:rsidRPr="00F7519C">
        <w:rPr>
          <w:rFonts w:cs="Arial"/>
          <w:b/>
          <w:szCs w:val="20"/>
          <w:u w:val="single" w:color="000000"/>
        </w:rPr>
        <w:t>Upravičenci</w:t>
      </w:r>
      <w:r w:rsidRPr="00F7519C">
        <w:rPr>
          <w:rFonts w:cs="Arial"/>
          <w:szCs w:val="20"/>
        </w:rPr>
        <w:t xml:space="preserve"> do pomoči v okviru </w:t>
      </w:r>
      <w:proofErr w:type="spellStart"/>
      <w:r w:rsidRPr="00F7519C">
        <w:rPr>
          <w:rFonts w:cs="Arial"/>
          <w:szCs w:val="20"/>
        </w:rPr>
        <w:t>podukrepa</w:t>
      </w:r>
      <w:proofErr w:type="spellEnd"/>
      <w:r w:rsidRPr="00F7519C">
        <w:rPr>
          <w:rFonts w:cs="Arial"/>
          <w:szCs w:val="20"/>
        </w:rPr>
        <w:t xml:space="preserve"> 4.2 so kmetijska gospodarstva, ki so </w:t>
      </w:r>
      <w:proofErr w:type="spellStart"/>
      <w:r w:rsidRPr="00F7519C">
        <w:rPr>
          <w:rFonts w:cs="Arial"/>
          <w:szCs w:val="20"/>
        </w:rPr>
        <w:t>mikro</w:t>
      </w:r>
      <w:proofErr w:type="spellEnd"/>
      <w:r w:rsidRPr="00F7519C">
        <w:rPr>
          <w:rFonts w:cs="Arial"/>
          <w:szCs w:val="20"/>
        </w:rPr>
        <w:t>, mala in srednja podjetja, kot so opredeljena v</w:t>
      </w:r>
      <w:r w:rsidR="00C70FA1">
        <w:rPr>
          <w:rFonts w:cs="Arial"/>
          <w:szCs w:val="20"/>
        </w:rPr>
        <w:t xml:space="preserve"> 52.</w:t>
      </w:r>
      <w:r w:rsidRPr="00F7519C">
        <w:rPr>
          <w:rFonts w:cs="Arial"/>
          <w:szCs w:val="20"/>
        </w:rPr>
        <w:t xml:space="preserve"> točki 2. člena Uredbe 2022/2472/EU, vpisana v register kmetijskih gospodarstev in so dejavna v primarni kmetijski proizvodnji, predelavi in trženju kmetijskih proizvodov.</w:t>
      </w:r>
    </w:p>
    <w:p w14:paraId="4D9A1A74" w14:textId="77777777" w:rsidR="00F7519C" w:rsidRPr="00F7519C" w:rsidRDefault="00F7519C" w:rsidP="00F7519C">
      <w:pPr>
        <w:jc w:val="both"/>
        <w:rPr>
          <w:rFonts w:cs="Arial"/>
          <w:szCs w:val="20"/>
        </w:rPr>
      </w:pPr>
    </w:p>
    <w:p w14:paraId="2BF5AB95" w14:textId="77777777" w:rsidR="00F7519C" w:rsidRPr="00F7519C" w:rsidRDefault="00F7519C" w:rsidP="00F7519C">
      <w:pPr>
        <w:jc w:val="both"/>
        <w:rPr>
          <w:rFonts w:cs="Arial"/>
          <w:szCs w:val="20"/>
        </w:rPr>
      </w:pPr>
      <w:r w:rsidRPr="00F7519C">
        <w:rPr>
          <w:rFonts w:cs="Arial"/>
          <w:szCs w:val="20"/>
        </w:rPr>
        <w:t>Če se pomoč ne dodeli v obliki nepovratnih sredstev, je znesek pomoči enak bruto ekvivalentu nepovratnih sredstev.</w:t>
      </w:r>
    </w:p>
    <w:p w14:paraId="0AC44BFF" w14:textId="77777777" w:rsidR="00F7519C" w:rsidRPr="00F7519C" w:rsidRDefault="00F7519C" w:rsidP="00F7519C">
      <w:pPr>
        <w:jc w:val="both"/>
        <w:rPr>
          <w:rFonts w:cs="Arial"/>
          <w:szCs w:val="20"/>
        </w:rPr>
      </w:pPr>
    </w:p>
    <w:p w14:paraId="27A43973" w14:textId="77777777" w:rsidR="00F7519C" w:rsidRPr="00F7519C" w:rsidRDefault="00F7519C" w:rsidP="00F7519C">
      <w:pPr>
        <w:pStyle w:val="Pripombabesedilo"/>
        <w:jc w:val="both"/>
        <w:rPr>
          <w:rFonts w:cs="Arial"/>
          <w:lang w:val="sl-SI"/>
        </w:rPr>
      </w:pPr>
      <w:r w:rsidRPr="00F7519C">
        <w:rPr>
          <w:rFonts w:cs="Arial"/>
          <w:lang w:val="sl-SI"/>
        </w:rPr>
        <w:t>PMSNS se zavezuje, da bo prekinil dodelitev in/ali izplačilo katere koli pomoči v okviru priglašene sheme pomoči kateremu koli podjetju, ki je pred tem koristilo nezakonito pomoč, ki je bila s sklepom Evropske komisije razglašena za nerazdružljivo (ad hoc pomoč ali pomoč iz sheme pomoči, ki je bila razglašena za nerazdružljivo), dokler navedeno podjetje ne vrne ali vplača na blokiran račun skupnega zneska nezakonite in nezdružljive pomoči ter ustreznih obresti za vračilo.</w:t>
      </w:r>
    </w:p>
    <w:p w14:paraId="623CB303" w14:textId="77777777" w:rsidR="00F7519C" w:rsidRPr="00F7519C" w:rsidRDefault="00F7519C" w:rsidP="00F7519C">
      <w:pPr>
        <w:pStyle w:val="Pripombabesedilo"/>
        <w:jc w:val="both"/>
        <w:rPr>
          <w:rFonts w:cs="Arial"/>
          <w:lang w:val="sl-SI"/>
        </w:rPr>
      </w:pPr>
    </w:p>
    <w:p w14:paraId="4DAC69CF" w14:textId="77777777" w:rsidR="00F7519C" w:rsidRPr="00F7519C" w:rsidRDefault="00F7519C" w:rsidP="00F7519C">
      <w:pPr>
        <w:pStyle w:val="Pripombabesedilo"/>
        <w:jc w:val="both"/>
        <w:rPr>
          <w:rFonts w:cs="Arial"/>
          <w:lang w:val="sl-SI"/>
        </w:rPr>
      </w:pPr>
      <w:r w:rsidRPr="00F7519C">
        <w:rPr>
          <w:rFonts w:cs="Arial"/>
          <w:lang w:val="sl-SI"/>
        </w:rPr>
        <w:t>Upravičenec bo pred začetkom izvajanja katerega koli projekta ali dejavnosti organu, ki dodeli pomoč, predložil vlogo za pomoč in bo vloga vsebovala vsaj ime vlagatelja in velikost podjetja (</w:t>
      </w:r>
      <w:proofErr w:type="spellStart"/>
      <w:r w:rsidRPr="00F7519C">
        <w:rPr>
          <w:rFonts w:cs="Arial"/>
          <w:lang w:val="sl-SI"/>
        </w:rPr>
        <w:t>mikro</w:t>
      </w:r>
      <w:proofErr w:type="spellEnd"/>
      <w:r w:rsidRPr="00F7519C">
        <w:rPr>
          <w:rFonts w:cs="Arial"/>
          <w:lang w:val="sl-SI"/>
        </w:rPr>
        <w:t xml:space="preserve">, malo ali srednje podjetje), opis projekta ali dejavnost, vključeno z lokacijo ter datumom začetka in konca, vrsto in znesek pomoči, ki je potreben za izvedbo projekta ali dejavnost, ter seznam upravičen stroškov. </w:t>
      </w:r>
    </w:p>
    <w:p w14:paraId="6A63FD5E" w14:textId="77777777" w:rsidR="00F7519C" w:rsidRPr="00F7519C" w:rsidRDefault="00F7519C" w:rsidP="00F7519C">
      <w:pPr>
        <w:pStyle w:val="Pripombabesedilo"/>
        <w:jc w:val="both"/>
        <w:rPr>
          <w:rFonts w:cs="Arial"/>
          <w:lang w:val="sl-SI"/>
        </w:rPr>
      </w:pPr>
    </w:p>
    <w:p w14:paraId="18FBF0D1" w14:textId="72DBE905" w:rsidR="00F7519C" w:rsidRPr="00F7519C" w:rsidRDefault="00F7519C" w:rsidP="00F7519C">
      <w:pPr>
        <w:pStyle w:val="Pripombabesedilo"/>
        <w:jc w:val="both"/>
        <w:rPr>
          <w:rFonts w:cs="Arial"/>
          <w:lang w:val="sl-SI"/>
        </w:rPr>
      </w:pPr>
      <w:r w:rsidRPr="00F7519C">
        <w:rPr>
          <w:rFonts w:cs="Arial"/>
          <w:lang w:val="sl-SI"/>
        </w:rPr>
        <w:t>Za izračun intenzivnosti pomoči in upravičenih stro</w:t>
      </w:r>
      <w:r w:rsidRPr="00F7519C">
        <w:rPr>
          <w:rFonts w:cs="Arial"/>
          <w:noProof/>
          <w:lang w:val="sl-SI"/>
        </w:rPr>
        <w:t>š</w:t>
      </w:r>
      <w:r w:rsidRPr="00F7519C">
        <w:rPr>
          <w:rFonts w:cs="Arial"/>
          <w:lang w:val="sl-SI"/>
        </w:rPr>
        <w:t>kov se uporabijo samo zneski, od katerih niso bili odbiti nikakršni davki ali druge dajatve. Upošteva se tudi, da davek na dodano vrednost (v nadaljnjem besedilu: DDV) v skladu s tretjim odstavkom 7. člena Uredbe 2022/2472/EU ni upravičen do pomoči, razen kadar na podlagi nacionalne zakonodaje o DD</w:t>
      </w:r>
      <w:r w:rsidR="004946BD">
        <w:rPr>
          <w:rFonts w:cs="Arial"/>
          <w:lang w:val="sl-SI"/>
        </w:rPr>
        <w:t>V ni izterljiv oz. povračljiv.</w:t>
      </w:r>
    </w:p>
    <w:p w14:paraId="14524A76" w14:textId="77777777" w:rsidR="00F7519C" w:rsidRPr="00F7519C" w:rsidRDefault="00F7519C" w:rsidP="00F7519C">
      <w:pPr>
        <w:jc w:val="both"/>
        <w:rPr>
          <w:rFonts w:cs="Arial"/>
          <w:szCs w:val="20"/>
          <w:u w:val="single" w:color="000000"/>
        </w:rPr>
      </w:pPr>
    </w:p>
    <w:p w14:paraId="33FF3DC0" w14:textId="77777777" w:rsidR="00F7519C" w:rsidRPr="00F7519C" w:rsidRDefault="00F7519C" w:rsidP="00F7519C">
      <w:pPr>
        <w:jc w:val="both"/>
        <w:rPr>
          <w:rFonts w:cs="Arial"/>
          <w:b/>
          <w:szCs w:val="20"/>
          <w:u w:val="single" w:color="000000"/>
        </w:rPr>
      </w:pPr>
      <w:r w:rsidRPr="00F7519C">
        <w:rPr>
          <w:rFonts w:cs="Arial"/>
          <w:b/>
          <w:szCs w:val="20"/>
          <w:u w:val="single" w:color="000000"/>
        </w:rPr>
        <w:t>Način izvajanja:</w:t>
      </w:r>
    </w:p>
    <w:p w14:paraId="61F0C105" w14:textId="77777777" w:rsidR="00F7519C" w:rsidRPr="00F7519C" w:rsidRDefault="00F7519C" w:rsidP="00F7519C">
      <w:pPr>
        <w:jc w:val="both"/>
        <w:rPr>
          <w:rFonts w:cs="Arial"/>
          <w:szCs w:val="20"/>
        </w:rPr>
      </w:pPr>
      <w:r w:rsidRPr="00F7519C">
        <w:rPr>
          <w:rFonts w:cs="Arial"/>
          <w:szCs w:val="20"/>
        </w:rPr>
        <w:t xml:space="preserve">Aktivnosti v okviru tega </w:t>
      </w:r>
      <w:proofErr w:type="spellStart"/>
      <w:r w:rsidRPr="00F7519C">
        <w:rPr>
          <w:rFonts w:cs="Arial"/>
          <w:szCs w:val="20"/>
        </w:rPr>
        <w:t>podukrepa</w:t>
      </w:r>
      <w:proofErr w:type="spellEnd"/>
      <w:r w:rsidRPr="00F7519C">
        <w:rPr>
          <w:rFonts w:cs="Arial"/>
          <w:szCs w:val="20"/>
        </w:rPr>
        <w:t xml:space="preserve"> bo izvajala PMSNS. Sredstva se bodo dodeljevala na podlagi tripartitne sklenjene pogodbe med MKGP, ARSKTRP in PMSNS</w:t>
      </w:r>
      <w:r w:rsidR="00C70FA1">
        <w:rPr>
          <w:rFonts w:cs="Arial"/>
          <w:szCs w:val="20"/>
        </w:rPr>
        <w:t>,</w:t>
      </w:r>
      <w:r w:rsidRPr="00F7519C">
        <w:rPr>
          <w:rFonts w:cs="Arial"/>
          <w:szCs w:val="20"/>
        </w:rPr>
        <w:t xml:space="preserve"> v kateri se podrobneje opredelijo pravice in obveznosti, naloge, roki, sankcije in finančna sredstva za izvedbo </w:t>
      </w:r>
      <w:proofErr w:type="spellStart"/>
      <w:r w:rsidRPr="00F7519C">
        <w:rPr>
          <w:rFonts w:cs="Arial"/>
          <w:szCs w:val="20"/>
        </w:rPr>
        <w:t>podukrepa</w:t>
      </w:r>
      <w:proofErr w:type="spellEnd"/>
      <w:r w:rsidRPr="00F7519C">
        <w:rPr>
          <w:rFonts w:cs="Arial"/>
          <w:szCs w:val="20"/>
        </w:rPr>
        <w:t xml:space="preserve"> 4.2. Vse navedene naloge in aktivnosti tega </w:t>
      </w:r>
      <w:proofErr w:type="spellStart"/>
      <w:r w:rsidRPr="00F7519C">
        <w:rPr>
          <w:rFonts w:cs="Arial"/>
          <w:szCs w:val="20"/>
        </w:rPr>
        <w:t>podukrepa</w:t>
      </w:r>
      <w:proofErr w:type="spellEnd"/>
      <w:r w:rsidRPr="00F7519C">
        <w:rPr>
          <w:rFonts w:cs="Arial"/>
          <w:szCs w:val="20"/>
        </w:rPr>
        <w:t xml:space="preserve"> bo PMSNS izvajala na podlagi podrobnega letnega načrta dela, v katerem bodo naloge konkretizirane, finančno ter terminsko ovrednotene in ga bo MKGP in ARSKTRP posredovala v roku, ki bo določen v pogodbi. Za naloge, za katere PMSNS ni usposobljena, kot npr. za izvedbo dogodkov, promocijskih aktivnosti, oblikovanje, tisk itd., PMSNS izbere zunanje izvajalce ob upoštevanju </w:t>
      </w:r>
      <w:bookmarkStart w:id="9" w:name="_Hlk92099662"/>
      <w:r w:rsidRPr="00F7519C">
        <w:rPr>
          <w:rFonts w:cs="Arial"/>
          <w:szCs w:val="20"/>
        </w:rPr>
        <w:t xml:space="preserve">zakona, ki ureja javno naročanje </w:t>
      </w:r>
      <w:bookmarkEnd w:id="9"/>
      <w:r w:rsidRPr="00F7519C">
        <w:rPr>
          <w:rFonts w:cs="Arial"/>
          <w:szCs w:val="20"/>
        </w:rPr>
        <w:t xml:space="preserve">ter načela preglednosti, odprtosti in </w:t>
      </w:r>
      <w:proofErr w:type="spellStart"/>
      <w:r w:rsidRPr="00F7519C">
        <w:rPr>
          <w:rFonts w:cs="Arial"/>
          <w:szCs w:val="20"/>
        </w:rPr>
        <w:t>nediskriminatornosti</w:t>
      </w:r>
      <w:proofErr w:type="spellEnd"/>
      <w:r w:rsidRPr="00F7519C">
        <w:rPr>
          <w:rFonts w:cs="Arial"/>
          <w:szCs w:val="20"/>
        </w:rPr>
        <w:t xml:space="preserve"> v izbirnem postopku. </w:t>
      </w:r>
    </w:p>
    <w:p w14:paraId="6C29C796" w14:textId="77777777" w:rsidR="00F7519C" w:rsidRPr="00F7519C" w:rsidRDefault="00F7519C" w:rsidP="00F7519C">
      <w:pPr>
        <w:jc w:val="both"/>
        <w:rPr>
          <w:rFonts w:cs="Arial"/>
          <w:szCs w:val="20"/>
        </w:rPr>
      </w:pPr>
    </w:p>
    <w:p w14:paraId="19DABF7A" w14:textId="7987670A" w:rsidR="00F7519C" w:rsidRPr="00F7519C" w:rsidRDefault="00F7519C" w:rsidP="00F7519C">
      <w:pPr>
        <w:jc w:val="both"/>
        <w:rPr>
          <w:rFonts w:cs="Arial"/>
          <w:szCs w:val="20"/>
        </w:rPr>
      </w:pPr>
      <w:bookmarkStart w:id="10" w:name="_Hlk92099689"/>
      <w:r w:rsidRPr="00F7519C">
        <w:rPr>
          <w:rFonts w:cs="Arial"/>
          <w:szCs w:val="20"/>
        </w:rPr>
        <w:t xml:space="preserve">Ne glede na prejšnji odstavek, se je v letu 2022 </w:t>
      </w:r>
      <w:proofErr w:type="spellStart"/>
      <w:r w:rsidRPr="00F7519C">
        <w:rPr>
          <w:rFonts w:cs="Arial"/>
          <w:szCs w:val="20"/>
        </w:rPr>
        <w:t>podukrep</w:t>
      </w:r>
      <w:proofErr w:type="spellEnd"/>
      <w:r w:rsidRPr="00F7519C">
        <w:rPr>
          <w:rFonts w:cs="Arial"/>
          <w:szCs w:val="20"/>
        </w:rPr>
        <w:t xml:space="preserve"> 4.2 izvajal na podlagi podrobnega načrta dela za leto 2022, ki je bil sestavni del tripartitne pogodbe in v katerem so bile naloge konkretizirane, finančno ter terminsko ovrednot</w:t>
      </w:r>
      <w:r w:rsidR="00C70FA1">
        <w:rPr>
          <w:rFonts w:cs="Arial"/>
          <w:szCs w:val="20"/>
        </w:rPr>
        <w:t>en</w:t>
      </w:r>
      <w:r w:rsidRPr="00F7519C">
        <w:rPr>
          <w:rFonts w:cs="Arial"/>
          <w:szCs w:val="20"/>
        </w:rPr>
        <w:t>e.</w:t>
      </w:r>
      <w:bookmarkEnd w:id="10"/>
      <w:r w:rsidRPr="00F7519C">
        <w:rPr>
          <w:rFonts w:cs="Arial"/>
          <w:szCs w:val="20"/>
        </w:rPr>
        <w:t xml:space="preserve"> </w:t>
      </w:r>
    </w:p>
    <w:p w14:paraId="77F07A11" w14:textId="77777777" w:rsidR="00F7519C" w:rsidRPr="00F7519C" w:rsidRDefault="00F7519C" w:rsidP="00F7519C">
      <w:pPr>
        <w:jc w:val="both"/>
        <w:rPr>
          <w:rFonts w:cs="Arial"/>
          <w:szCs w:val="20"/>
        </w:rPr>
      </w:pPr>
    </w:p>
    <w:p w14:paraId="5F87DAB4" w14:textId="77777777" w:rsidR="00F7519C" w:rsidRPr="00F7519C" w:rsidRDefault="00F7519C" w:rsidP="00F7519C">
      <w:pPr>
        <w:jc w:val="both"/>
        <w:rPr>
          <w:rFonts w:cs="Arial"/>
          <w:szCs w:val="20"/>
        </w:rPr>
      </w:pPr>
      <w:r w:rsidRPr="00F7519C">
        <w:rPr>
          <w:rFonts w:cs="Arial"/>
          <w:szCs w:val="20"/>
        </w:rPr>
        <w:lastRenderedPageBreak/>
        <w:t xml:space="preserve">Izvajalcem storitev, ki bodo izbrani v skladu </w:t>
      </w:r>
      <w:bookmarkStart w:id="11" w:name="_Hlk92099773"/>
      <w:r w:rsidR="00D73221">
        <w:rPr>
          <w:rFonts w:cs="Arial"/>
          <w:szCs w:val="20"/>
        </w:rPr>
        <w:t>z zakonom, ki ureja javno</w:t>
      </w:r>
      <w:r w:rsidRPr="00F7519C">
        <w:rPr>
          <w:rFonts w:cs="Arial"/>
          <w:szCs w:val="20"/>
        </w:rPr>
        <w:t xml:space="preserve"> naročanje</w:t>
      </w:r>
      <w:bookmarkEnd w:id="11"/>
      <w:r w:rsidRPr="00F7519C">
        <w:rPr>
          <w:rFonts w:cs="Arial"/>
          <w:szCs w:val="20"/>
        </w:rPr>
        <w:t xml:space="preserve">, bodo storitve izplačane na podlagi prejetih računov s priloženimi: </w:t>
      </w:r>
    </w:p>
    <w:p w14:paraId="79DE2765" w14:textId="77777777" w:rsidR="00F7519C" w:rsidRPr="00F7519C" w:rsidRDefault="00F7519C" w:rsidP="00D73221">
      <w:pPr>
        <w:numPr>
          <w:ilvl w:val="0"/>
          <w:numId w:val="12"/>
        </w:numPr>
        <w:suppressAutoHyphens/>
        <w:ind w:hanging="720"/>
        <w:jc w:val="both"/>
        <w:rPr>
          <w:rFonts w:cs="Arial"/>
          <w:szCs w:val="20"/>
        </w:rPr>
      </w:pPr>
      <w:r w:rsidRPr="00F7519C">
        <w:rPr>
          <w:rFonts w:cs="Arial"/>
          <w:szCs w:val="20"/>
        </w:rPr>
        <w:t>dokazili o izvedbi dejavnosti v skladu s pogodbo ali naročilnico in</w:t>
      </w:r>
    </w:p>
    <w:p w14:paraId="5A9A3F22" w14:textId="77777777" w:rsidR="00F7519C" w:rsidRPr="00F7519C" w:rsidRDefault="00F7519C" w:rsidP="00D73221">
      <w:pPr>
        <w:numPr>
          <w:ilvl w:val="0"/>
          <w:numId w:val="12"/>
        </w:numPr>
        <w:suppressAutoHyphens/>
        <w:ind w:hanging="720"/>
        <w:jc w:val="both"/>
        <w:rPr>
          <w:rFonts w:cs="Arial"/>
          <w:szCs w:val="20"/>
        </w:rPr>
      </w:pPr>
      <w:r w:rsidRPr="00F7519C">
        <w:rPr>
          <w:rFonts w:cs="Arial"/>
          <w:szCs w:val="20"/>
        </w:rPr>
        <w:t>drugimi dokazili, določenimi v javnem naročilu.</w:t>
      </w:r>
    </w:p>
    <w:p w14:paraId="6A74D57D" w14:textId="77777777" w:rsidR="00F7519C" w:rsidRPr="00F7519C" w:rsidRDefault="00F7519C" w:rsidP="00F7519C">
      <w:pPr>
        <w:ind w:hanging="720"/>
        <w:jc w:val="both"/>
        <w:rPr>
          <w:rFonts w:cs="Arial"/>
          <w:szCs w:val="20"/>
        </w:rPr>
      </w:pPr>
    </w:p>
    <w:p w14:paraId="1F2F09F5" w14:textId="77777777" w:rsidR="00F7519C" w:rsidRPr="00F7519C" w:rsidRDefault="00F7519C" w:rsidP="00F7519C">
      <w:pPr>
        <w:jc w:val="both"/>
        <w:rPr>
          <w:rFonts w:cs="Arial"/>
          <w:szCs w:val="20"/>
        </w:rPr>
      </w:pPr>
      <w:r w:rsidRPr="00F7519C">
        <w:rPr>
          <w:rFonts w:cs="Arial"/>
          <w:szCs w:val="20"/>
        </w:rPr>
        <w:t>ARSKTRP izvede plačilo v skladu s tripartitno pogodbo na podlagi zahtevkov PMSNS po izvedenih aktivnostih, katerim se priložijo: vsa dokazila o izvedenih aktivnostih, vso dokumentacijo</w:t>
      </w:r>
      <w:r w:rsidR="00D73221">
        <w:rPr>
          <w:rFonts w:cs="Arial"/>
          <w:szCs w:val="20"/>
        </w:rPr>
        <w:t>,</w:t>
      </w:r>
      <w:r w:rsidRPr="00F7519C">
        <w:rPr>
          <w:rFonts w:cs="Arial"/>
          <w:szCs w:val="20"/>
        </w:rPr>
        <w:t xml:space="preserve"> vezano na izvedbo postopkov javnega naročanja, račune, dokazila o plačilu, skladno s tem programom in pogodbo ter s predpisi s področja izvrševanja proračuna. </w:t>
      </w:r>
    </w:p>
    <w:p w14:paraId="6A9DC4E8" w14:textId="77777777" w:rsidR="00F7519C" w:rsidRPr="00F7519C" w:rsidRDefault="00F7519C" w:rsidP="00F7519C">
      <w:pPr>
        <w:jc w:val="both"/>
        <w:rPr>
          <w:rFonts w:cs="Arial"/>
          <w:szCs w:val="20"/>
        </w:rPr>
      </w:pPr>
    </w:p>
    <w:p w14:paraId="4197EE5E" w14:textId="77777777" w:rsidR="00F7519C" w:rsidRPr="00F7519C" w:rsidRDefault="00F7519C" w:rsidP="00F7519C">
      <w:pPr>
        <w:jc w:val="both"/>
        <w:rPr>
          <w:rFonts w:cs="Arial"/>
          <w:b/>
          <w:szCs w:val="20"/>
          <w:u w:val="single" w:color="000000"/>
        </w:rPr>
      </w:pPr>
      <w:r w:rsidRPr="00F7519C">
        <w:rPr>
          <w:rFonts w:cs="Arial"/>
          <w:b/>
          <w:szCs w:val="20"/>
          <w:u w:val="single" w:color="000000"/>
        </w:rPr>
        <w:t>Združevanje pomoči:</w:t>
      </w:r>
    </w:p>
    <w:p w14:paraId="7CA0702D" w14:textId="77777777" w:rsidR="00F7519C" w:rsidRPr="00F7519C" w:rsidRDefault="00F7519C" w:rsidP="00F7519C">
      <w:pPr>
        <w:jc w:val="both"/>
        <w:rPr>
          <w:rFonts w:cs="Arial"/>
          <w:szCs w:val="20"/>
        </w:rPr>
      </w:pPr>
      <w:r w:rsidRPr="00F7519C">
        <w:rPr>
          <w:rFonts w:cs="Arial"/>
          <w:szCs w:val="20"/>
        </w:rPr>
        <w:t xml:space="preserve">Državna pomoč po </w:t>
      </w:r>
      <w:proofErr w:type="spellStart"/>
      <w:r w:rsidRPr="00F7519C">
        <w:rPr>
          <w:rFonts w:cs="Arial"/>
          <w:szCs w:val="20"/>
        </w:rPr>
        <w:t>podukrepu</w:t>
      </w:r>
      <w:proofErr w:type="spellEnd"/>
      <w:r w:rsidRPr="00F7519C">
        <w:rPr>
          <w:rFonts w:cs="Arial"/>
          <w:szCs w:val="20"/>
        </w:rPr>
        <w:t xml:space="preserve"> 4.2 se lahko dodeli hkrati na podlagi več shem ali skupaj s pomočjo ad hoc pod pogojem, da skupni znesek državne pomoči za isti namen oziroma dejavnost prenosa znanja in informiranja ne presega največje intenzivnosti pomoči ali zneska pomoči iz 21. člena Uredbe 2022/2472/EU, v primeru aktivnosti promocijskih ukrepov za kmetijske proizvode ne presega največje intenzivnosti pomoči ali zneska pomoči iz 24. člena Uredbe 2022/2472/EU ter v primeru pomoči za storitve svetovanja ne presega največje intenzivnosti pomoči ali zneska pomoči iz 22. člena Uredbe 2022/2472/EU.</w:t>
      </w:r>
    </w:p>
    <w:p w14:paraId="31FC5AFF" w14:textId="77777777" w:rsidR="00F7519C" w:rsidRPr="00F7519C" w:rsidRDefault="00F7519C" w:rsidP="00F7519C">
      <w:pPr>
        <w:jc w:val="both"/>
        <w:rPr>
          <w:rFonts w:cs="Arial"/>
          <w:szCs w:val="20"/>
        </w:rPr>
      </w:pPr>
    </w:p>
    <w:p w14:paraId="393BAACD" w14:textId="77777777" w:rsidR="00F7519C" w:rsidRPr="00F7519C" w:rsidRDefault="00F7519C" w:rsidP="00F7519C">
      <w:pPr>
        <w:jc w:val="both"/>
        <w:rPr>
          <w:rFonts w:cs="Arial"/>
          <w:szCs w:val="20"/>
        </w:rPr>
      </w:pPr>
      <w:r w:rsidRPr="00F7519C">
        <w:rPr>
          <w:rFonts w:cs="Arial"/>
          <w:szCs w:val="20"/>
        </w:rPr>
        <w:t xml:space="preserve">Državna pomoč po </w:t>
      </w:r>
      <w:proofErr w:type="spellStart"/>
      <w:r w:rsidRPr="00F7519C">
        <w:rPr>
          <w:rFonts w:cs="Arial"/>
          <w:szCs w:val="20"/>
        </w:rPr>
        <w:t>podukrepu</w:t>
      </w:r>
      <w:proofErr w:type="spellEnd"/>
      <w:r w:rsidRPr="00F7519C">
        <w:rPr>
          <w:rFonts w:cs="Arial"/>
          <w:szCs w:val="20"/>
        </w:rPr>
        <w:t xml:space="preserve"> 4.2 se lahko dodeli skupaj s katerokoli drugo državno pomočjo v zvezi z istimi upravičenimi stroški, ki se deloma ali v celoti prekrivajo samo, če s takim združevanjem ne bo presežena največja intenzivnost pomoči ali znesek pomoči, ki se uporablja za to vrsto pomoči v skladu z Uredbo 2022/2472/EU. </w:t>
      </w:r>
    </w:p>
    <w:p w14:paraId="41143CDC" w14:textId="77777777" w:rsidR="00F7519C" w:rsidRPr="00F7519C" w:rsidRDefault="00F7519C" w:rsidP="00F7519C">
      <w:pPr>
        <w:jc w:val="both"/>
        <w:rPr>
          <w:rFonts w:cs="Arial"/>
          <w:szCs w:val="20"/>
        </w:rPr>
      </w:pPr>
    </w:p>
    <w:p w14:paraId="406F9B37" w14:textId="77777777" w:rsidR="00F7519C" w:rsidRPr="00F7519C" w:rsidRDefault="00F7519C" w:rsidP="00F7519C">
      <w:pPr>
        <w:jc w:val="both"/>
        <w:rPr>
          <w:rFonts w:cs="Arial"/>
          <w:szCs w:val="20"/>
        </w:rPr>
      </w:pPr>
      <w:r w:rsidRPr="00F7519C">
        <w:rPr>
          <w:rFonts w:cs="Arial"/>
          <w:szCs w:val="20"/>
        </w:rPr>
        <w:t xml:space="preserve">Državna pomoč po </w:t>
      </w:r>
      <w:proofErr w:type="spellStart"/>
      <w:r w:rsidRPr="00F7519C">
        <w:rPr>
          <w:rFonts w:cs="Arial"/>
          <w:szCs w:val="20"/>
        </w:rPr>
        <w:t>podukrepu</w:t>
      </w:r>
      <w:proofErr w:type="spellEnd"/>
      <w:r w:rsidRPr="00F7519C">
        <w:rPr>
          <w:rFonts w:cs="Arial"/>
          <w:szCs w:val="20"/>
        </w:rPr>
        <w:t xml:space="preserve"> 4.2 se ne kumulira s plačili iz drugega odstavka 145. člena in 146. člena Uredbe 2021/2115/EU v zvezi z istimi upravičenimi stroški, če bi bila s tako kumulacijo presežena intenzivnost pomoči ali znesek pomoči, ki sta določena v Uredbi 2022/2472/EU.</w:t>
      </w:r>
    </w:p>
    <w:p w14:paraId="14A257E9" w14:textId="77777777" w:rsidR="00F7519C" w:rsidRPr="00F7519C" w:rsidRDefault="00F7519C" w:rsidP="00F7519C">
      <w:pPr>
        <w:jc w:val="both"/>
        <w:rPr>
          <w:rFonts w:cs="Arial"/>
          <w:szCs w:val="20"/>
        </w:rPr>
      </w:pPr>
    </w:p>
    <w:p w14:paraId="331351B3" w14:textId="4FE579AA" w:rsidR="00F7519C" w:rsidRPr="00F7519C" w:rsidRDefault="00F7519C" w:rsidP="00F7519C">
      <w:pPr>
        <w:jc w:val="both"/>
        <w:rPr>
          <w:rFonts w:cs="Arial"/>
          <w:szCs w:val="20"/>
        </w:rPr>
      </w:pPr>
      <w:r w:rsidRPr="00F7519C">
        <w:rPr>
          <w:rFonts w:cs="Arial"/>
          <w:szCs w:val="20"/>
        </w:rPr>
        <w:t xml:space="preserve">Poleg državne pomoči po </w:t>
      </w:r>
      <w:proofErr w:type="spellStart"/>
      <w:r w:rsidRPr="00F7519C">
        <w:rPr>
          <w:rFonts w:cs="Arial"/>
          <w:szCs w:val="20"/>
        </w:rPr>
        <w:t>podukrepu</w:t>
      </w:r>
      <w:proofErr w:type="spellEnd"/>
      <w:r w:rsidRPr="00F7519C">
        <w:rPr>
          <w:rFonts w:cs="Arial"/>
          <w:szCs w:val="20"/>
        </w:rPr>
        <w:t xml:space="preserve"> 4.2 se ne sme dodeliti nobena pomoč de </w:t>
      </w:r>
      <w:proofErr w:type="spellStart"/>
      <w:r w:rsidRPr="00F7519C">
        <w:rPr>
          <w:rFonts w:cs="Arial"/>
          <w:szCs w:val="20"/>
        </w:rPr>
        <w:t>minimis</w:t>
      </w:r>
      <w:proofErr w:type="spellEnd"/>
      <w:r w:rsidRPr="00F7519C">
        <w:rPr>
          <w:rFonts w:cs="Arial"/>
          <w:szCs w:val="20"/>
        </w:rPr>
        <w:t xml:space="preserve"> v zvezi z istimi upravičenimi stroški, če bi bila s takim združevanjem presežena intenzivnost pomoči ali zneski pomoči, ki so določeni v 21., 22. oziroma</w:t>
      </w:r>
      <w:r w:rsidR="004946BD">
        <w:rPr>
          <w:rFonts w:cs="Arial"/>
          <w:szCs w:val="20"/>
        </w:rPr>
        <w:t xml:space="preserve"> 24. členu Uredbe 2022/2472/EU.</w:t>
      </w:r>
      <w:r w:rsidRPr="00F7519C">
        <w:rPr>
          <w:rFonts w:cs="Arial"/>
          <w:szCs w:val="20"/>
        </w:rPr>
        <w:t xml:space="preserve"> </w:t>
      </w:r>
    </w:p>
    <w:p w14:paraId="07320185" w14:textId="77777777" w:rsidR="00F7519C" w:rsidRPr="00F7519C" w:rsidRDefault="00F7519C" w:rsidP="00F7519C">
      <w:pPr>
        <w:jc w:val="both"/>
        <w:rPr>
          <w:rFonts w:cs="Arial"/>
          <w:szCs w:val="20"/>
        </w:rPr>
      </w:pPr>
    </w:p>
    <w:p w14:paraId="2470F55A" w14:textId="77777777" w:rsidR="00F7519C" w:rsidRPr="00F7519C" w:rsidRDefault="00F7519C" w:rsidP="00F7519C">
      <w:pPr>
        <w:jc w:val="both"/>
        <w:rPr>
          <w:rFonts w:cs="Arial"/>
          <w:b/>
          <w:szCs w:val="20"/>
          <w:u w:val="single" w:color="000000"/>
        </w:rPr>
      </w:pPr>
      <w:r w:rsidRPr="00F7519C">
        <w:rPr>
          <w:rFonts w:cs="Arial"/>
          <w:b/>
          <w:szCs w:val="20"/>
          <w:u w:val="single" w:color="000000"/>
        </w:rPr>
        <w:t>Preglednost in poročanje:</w:t>
      </w:r>
    </w:p>
    <w:p w14:paraId="1C8153B7" w14:textId="77777777" w:rsidR="00F7519C" w:rsidRPr="00F7519C" w:rsidRDefault="00F7519C" w:rsidP="00F7519C">
      <w:pPr>
        <w:jc w:val="both"/>
        <w:rPr>
          <w:rFonts w:cs="Arial"/>
          <w:szCs w:val="20"/>
        </w:rPr>
      </w:pPr>
      <w:r w:rsidRPr="00F7519C">
        <w:rPr>
          <w:rFonts w:cs="Arial"/>
          <w:szCs w:val="20"/>
        </w:rPr>
        <w:t xml:space="preserve">V skladu z 9. členom Uredbe 2022/2472/EU se na spletni strani MKGP objavijo vse zahtevane informacije o shemi državne pomoči po tem </w:t>
      </w:r>
      <w:proofErr w:type="spellStart"/>
      <w:r w:rsidRPr="00F7519C">
        <w:rPr>
          <w:rFonts w:cs="Arial"/>
          <w:szCs w:val="20"/>
        </w:rPr>
        <w:t>podukrepu</w:t>
      </w:r>
      <w:proofErr w:type="spellEnd"/>
      <w:r w:rsidRPr="00F7519C">
        <w:rPr>
          <w:rFonts w:cs="Arial"/>
          <w:szCs w:val="20"/>
        </w:rPr>
        <w:t>, in sicer: celotno besedilo sheme pomoči, vključno s povzetkom informacij, in njene izvedbene določbe ali povezave na ta besedila ter podatki o organu, ki dodeljuje pomoč. Te informacije so na voljo splošni javnosti brez omejitev najmanj 10 let od datuma dodelitve pomoči.</w:t>
      </w:r>
    </w:p>
    <w:p w14:paraId="28755B0A" w14:textId="77777777" w:rsidR="00F7519C" w:rsidRPr="00F7519C" w:rsidRDefault="00F7519C" w:rsidP="00F7519C">
      <w:pPr>
        <w:jc w:val="both"/>
        <w:rPr>
          <w:rFonts w:cs="Arial"/>
          <w:szCs w:val="20"/>
        </w:rPr>
      </w:pPr>
    </w:p>
    <w:p w14:paraId="39325404" w14:textId="77777777" w:rsidR="00F7519C" w:rsidRPr="00F7519C" w:rsidRDefault="00F7519C" w:rsidP="00F7519C">
      <w:pPr>
        <w:jc w:val="both"/>
        <w:rPr>
          <w:rFonts w:cs="Arial"/>
          <w:szCs w:val="20"/>
        </w:rPr>
      </w:pPr>
      <w:r w:rsidRPr="00F7519C">
        <w:rPr>
          <w:rFonts w:cs="Arial"/>
          <w:szCs w:val="20"/>
        </w:rPr>
        <w:t xml:space="preserve">PMSNS poroča MKGP o dodeljenih državnih pomočeh v okviru tega </w:t>
      </w:r>
      <w:proofErr w:type="spellStart"/>
      <w:r w:rsidRPr="00F7519C">
        <w:rPr>
          <w:rFonts w:cs="Arial"/>
          <w:szCs w:val="20"/>
        </w:rPr>
        <w:t>podukrepa</w:t>
      </w:r>
      <w:proofErr w:type="spellEnd"/>
      <w:r w:rsidRPr="00F7519C">
        <w:rPr>
          <w:rFonts w:cs="Arial"/>
          <w:szCs w:val="20"/>
        </w:rPr>
        <w:t xml:space="preserve"> v skladu s pravilnikom, ki ureja način dajanja podatkov in poročanje o državnih pomočeh s kmetijskega področja, in navodili, ki so objavljena na osrednjem spletnem mestu državne uprave.</w:t>
      </w:r>
    </w:p>
    <w:p w14:paraId="5ACDFEEF" w14:textId="77777777" w:rsidR="00F7519C" w:rsidRPr="00F7519C" w:rsidRDefault="00F7519C" w:rsidP="00F7519C">
      <w:pPr>
        <w:jc w:val="both"/>
        <w:rPr>
          <w:rFonts w:cs="Arial"/>
          <w:szCs w:val="20"/>
        </w:rPr>
      </w:pPr>
    </w:p>
    <w:p w14:paraId="2BB9FCBA" w14:textId="77777777" w:rsidR="00F7519C" w:rsidRPr="00F7519C" w:rsidRDefault="00F7519C" w:rsidP="00F7519C">
      <w:pPr>
        <w:jc w:val="both"/>
        <w:rPr>
          <w:rFonts w:cs="Arial"/>
          <w:b/>
          <w:szCs w:val="20"/>
          <w:u w:val="single" w:color="000000"/>
        </w:rPr>
      </w:pPr>
      <w:r w:rsidRPr="00F7519C">
        <w:rPr>
          <w:rFonts w:cs="Arial"/>
          <w:b/>
          <w:szCs w:val="20"/>
          <w:u w:val="single" w:color="000000"/>
        </w:rPr>
        <w:t>Hramba dokumentacije:</w:t>
      </w:r>
    </w:p>
    <w:p w14:paraId="1921469C" w14:textId="77777777" w:rsidR="00F7519C" w:rsidRPr="00F7519C" w:rsidRDefault="00F7519C" w:rsidP="00F7519C">
      <w:pPr>
        <w:jc w:val="both"/>
        <w:rPr>
          <w:rFonts w:cs="Arial"/>
          <w:szCs w:val="20"/>
        </w:rPr>
      </w:pPr>
      <w:r w:rsidRPr="00F7519C">
        <w:rPr>
          <w:rFonts w:cs="Arial"/>
          <w:szCs w:val="20"/>
        </w:rPr>
        <w:t xml:space="preserve">PMSNS natančne evidence z informacijami in dokazili o posameznih dodeljenih pomočeh hrani še 10 let od dneva, ko mu je bila dodeljena zadnja posamična pomoč v okviru </w:t>
      </w:r>
      <w:proofErr w:type="spellStart"/>
      <w:r w:rsidRPr="00F7519C">
        <w:rPr>
          <w:rFonts w:cs="Arial"/>
          <w:szCs w:val="20"/>
        </w:rPr>
        <w:t>podukrepa</w:t>
      </w:r>
      <w:proofErr w:type="spellEnd"/>
      <w:r w:rsidRPr="00F7519C">
        <w:rPr>
          <w:rFonts w:cs="Arial"/>
          <w:szCs w:val="20"/>
        </w:rPr>
        <w:t xml:space="preserve"> 4.2.</w:t>
      </w:r>
    </w:p>
    <w:p w14:paraId="2C9E9CC0" w14:textId="77777777" w:rsidR="00F7519C" w:rsidRPr="00F7519C" w:rsidRDefault="00F7519C" w:rsidP="00F7519C">
      <w:pPr>
        <w:tabs>
          <w:tab w:val="left" w:pos="1214"/>
        </w:tabs>
        <w:jc w:val="both"/>
        <w:rPr>
          <w:rFonts w:cs="Arial"/>
          <w:szCs w:val="20"/>
        </w:rPr>
      </w:pPr>
    </w:p>
    <w:p w14:paraId="5BF02F91" w14:textId="77777777" w:rsidR="00F7519C" w:rsidRPr="00F7519C" w:rsidRDefault="00F7519C" w:rsidP="00030305">
      <w:pPr>
        <w:numPr>
          <w:ilvl w:val="0"/>
          <w:numId w:val="10"/>
        </w:numPr>
        <w:suppressAutoHyphens/>
        <w:autoSpaceDE w:val="0"/>
        <w:ind w:left="709" w:hanging="709"/>
        <w:contextualSpacing/>
        <w:jc w:val="both"/>
        <w:rPr>
          <w:rFonts w:cs="Arial"/>
          <w:b/>
          <w:szCs w:val="20"/>
          <w:u w:val="single" w:color="000000"/>
        </w:rPr>
      </w:pPr>
      <w:bookmarkStart w:id="12" w:name="_GoBack"/>
      <w:bookmarkEnd w:id="12"/>
      <w:r w:rsidRPr="00F7519C">
        <w:rPr>
          <w:rFonts w:cs="Arial"/>
          <w:b/>
          <w:szCs w:val="20"/>
          <w:u w:val="single" w:color="000000"/>
        </w:rPr>
        <w:t xml:space="preserve">Shema de </w:t>
      </w:r>
      <w:proofErr w:type="spellStart"/>
      <w:r w:rsidRPr="00F7519C">
        <w:rPr>
          <w:rFonts w:cs="Arial"/>
          <w:b/>
          <w:szCs w:val="20"/>
          <w:u w:val="single" w:color="000000"/>
        </w:rPr>
        <w:t>minimis</w:t>
      </w:r>
      <w:proofErr w:type="spellEnd"/>
      <w:r w:rsidRPr="00F7519C">
        <w:rPr>
          <w:rFonts w:cs="Arial"/>
          <w:b/>
          <w:szCs w:val="20"/>
          <w:u w:val="single" w:color="000000"/>
        </w:rPr>
        <w:t xml:space="preserve"> pomoči v skladu z Uredbo 1407/2013/EU</w:t>
      </w:r>
    </w:p>
    <w:p w14:paraId="285DA1E6" w14:textId="77777777" w:rsidR="00F7519C" w:rsidRPr="00F7519C" w:rsidRDefault="00F7519C" w:rsidP="00F7519C">
      <w:pPr>
        <w:tabs>
          <w:tab w:val="left" w:pos="1214"/>
        </w:tabs>
        <w:jc w:val="both"/>
        <w:rPr>
          <w:rFonts w:cs="Arial"/>
          <w:szCs w:val="20"/>
        </w:rPr>
      </w:pPr>
    </w:p>
    <w:p w14:paraId="2B18AE53" w14:textId="77777777" w:rsidR="00F7519C" w:rsidRPr="00F7519C" w:rsidRDefault="00F7519C" w:rsidP="00F7519C">
      <w:pPr>
        <w:tabs>
          <w:tab w:val="left" w:pos="1214"/>
        </w:tabs>
        <w:jc w:val="both"/>
        <w:rPr>
          <w:rFonts w:cs="Arial"/>
          <w:szCs w:val="20"/>
        </w:rPr>
      </w:pPr>
      <w:r w:rsidRPr="00F7519C">
        <w:rPr>
          <w:rFonts w:cs="Arial"/>
          <w:szCs w:val="20"/>
        </w:rPr>
        <w:t>Do d</w:t>
      </w:r>
      <w:r w:rsidR="00EC65E1">
        <w:rPr>
          <w:rFonts w:cs="Arial"/>
          <w:szCs w:val="20"/>
        </w:rPr>
        <w:t xml:space="preserve">e </w:t>
      </w:r>
      <w:proofErr w:type="spellStart"/>
      <w:r w:rsidR="00EC65E1">
        <w:rPr>
          <w:rFonts w:cs="Arial"/>
          <w:szCs w:val="20"/>
        </w:rPr>
        <w:t>minimis</w:t>
      </w:r>
      <w:proofErr w:type="spellEnd"/>
      <w:r w:rsidR="00EC65E1">
        <w:rPr>
          <w:rFonts w:cs="Arial"/>
          <w:szCs w:val="20"/>
        </w:rPr>
        <w:t xml:space="preserve"> pomoči po </w:t>
      </w:r>
      <w:proofErr w:type="spellStart"/>
      <w:r w:rsidR="00EC65E1">
        <w:rPr>
          <w:rFonts w:cs="Arial"/>
          <w:szCs w:val="20"/>
        </w:rPr>
        <w:t>podukrepu</w:t>
      </w:r>
      <w:proofErr w:type="spellEnd"/>
      <w:r w:rsidR="00EC65E1">
        <w:rPr>
          <w:rFonts w:cs="Arial"/>
          <w:szCs w:val="20"/>
        </w:rPr>
        <w:t xml:space="preserve"> 4.</w:t>
      </w:r>
      <w:r w:rsidRPr="00F7519C">
        <w:rPr>
          <w:rFonts w:cs="Arial"/>
          <w:szCs w:val="20"/>
        </w:rPr>
        <w:t xml:space="preserve">2 niso upravičena podjetja iz sektorjev: </w:t>
      </w:r>
    </w:p>
    <w:p w14:paraId="6CE481B6" w14:textId="77777777" w:rsidR="00F7519C" w:rsidRPr="00F7519C" w:rsidRDefault="00F7519C" w:rsidP="00EC65E1">
      <w:pPr>
        <w:numPr>
          <w:ilvl w:val="0"/>
          <w:numId w:val="12"/>
        </w:numPr>
        <w:suppressAutoHyphens/>
        <w:ind w:hanging="720"/>
        <w:jc w:val="both"/>
        <w:rPr>
          <w:rFonts w:cs="Arial"/>
          <w:szCs w:val="20"/>
        </w:rPr>
      </w:pPr>
      <w:r w:rsidRPr="00F7519C">
        <w:rPr>
          <w:rFonts w:cs="Arial"/>
          <w:szCs w:val="20"/>
        </w:rPr>
        <w:t xml:space="preserve">ribištva in akvakulture, </w:t>
      </w:r>
    </w:p>
    <w:p w14:paraId="155121F9" w14:textId="77777777" w:rsidR="00F7519C" w:rsidRPr="00F7519C" w:rsidRDefault="00F7519C" w:rsidP="00EC65E1">
      <w:pPr>
        <w:numPr>
          <w:ilvl w:val="0"/>
          <w:numId w:val="12"/>
        </w:numPr>
        <w:suppressAutoHyphens/>
        <w:ind w:hanging="720"/>
        <w:jc w:val="both"/>
        <w:rPr>
          <w:rFonts w:cs="Arial"/>
          <w:szCs w:val="20"/>
        </w:rPr>
      </w:pPr>
      <w:r w:rsidRPr="00F7519C">
        <w:rPr>
          <w:rFonts w:cs="Arial"/>
          <w:szCs w:val="20"/>
        </w:rPr>
        <w:t xml:space="preserve">primarne proizvodnje kmetijskih proizvodov iz seznama v Prilogi I k Pogodbi o ustanovitvi Evropske skupnosti, </w:t>
      </w:r>
    </w:p>
    <w:p w14:paraId="649114DD" w14:textId="77777777" w:rsidR="00F7519C" w:rsidRPr="00F7519C" w:rsidRDefault="00F7519C" w:rsidP="00EC65E1">
      <w:pPr>
        <w:numPr>
          <w:ilvl w:val="0"/>
          <w:numId w:val="12"/>
        </w:numPr>
        <w:suppressAutoHyphens/>
        <w:ind w:hanging="720"/>
        <w:jc w:val="both"/>
        <w:rPr>
          <w:rFonts w:cs="Arial"/>
          <w:szCs w:val="20"/>
        </w:rPr>
      </w:pPr>
      <w:r w:rsidRPr="00F7519C">
        <w:rPr>
          <w:rFonts w:cs="Arial"/>
          <w:szCs w:val="20"/>
        </w:rPr>
        <w:lastRenderedPageBreak/>
        <w:t>predelave in trženja kmetijskih proizvodov iz seznama v Prilogi I k Pogodbi v naslednjih primerih:</w:t>
      </w:r>
    </w:p>
    <w:p w14:paraId="2CDA4019" w14:textId="77777777" w:rsidR="00F7519C" w:rsidRPr="00F7519C" w:rsidRDefault="00F7519C" w:rsidP="00DB56BF">
      <w:pPr>
        <w:numPr>
          <w:ilvl w:val="0"/>
          <w:numId w:val="13"/>
        </w:numPr>
        <w:tabs>
          <w:tab w:val="left" w:pos="709"/>
        </w:tabs>
        <w:suppressAutoHyphens/>
        <w:ind w:left="709" w:hanging="709"/>
        <w:jc w:val="both"/>
        <w:rPr>
          <w:rFonts w:cs="Arial"/>
          <w:szCs w:val="20"/>
        </w:rPr>
      </w:pPr>
      <w:r w:rsidRPr="00F7519C">
        <w:rPr>
          <w:rFonts w:cs="Arial"/>
          <w:szCs w:val="20"/>
        </w:rPr>
        <w:t>če je znesek pomoči določen na podlagi cene ali k</w:t>
      </w:r>
      <w:r w:rsidR="00EC65E1">
        <w:rPr>
          <w:rFonts w:cs="Arial"/>
          <w:szCs w:val="20"/>
        </w:rPr>
        <w:t xml:space="preserve">oličine zadevnih proizvodov, ki </w:t>
      </w:r>
      <w:r w:rsidRPr="00F7519C">
        <w:rPr>
          <w:rFonts w:cs="Arial"/>
          <w:szCs w:val="20"/>
        </w:rPr>
        <w:t>so kupljeni od primarnih proizvajalcev ali jih zadevna podjetja dajo na trg,</w:t>
      </w:r>
    </w:p>
    <w:p w14:paraId="4BD9C271" w14:textId="77777777" w:rsidR="00F7519C" w:rsidRPr="00F7519C" w:rsidRDefault="00F7519C" w:rsidP="00DB56BF">
      <w:pPr>
        <w:numPr>
          <w:ilvl w:val="0"/>
          <w:numId w:val="13"/>
        </w:numPr>
        <w:tabs>
          <w:tab w:val="left" w:pos="709"/>
        </w:tabs>
        <w:suppressAutoHyphens/>
        <w:ind w:left="709" w:hanging="709"/>
        <w:jc w:val="both"/>
        <w:rPr>
          <w:rFonts w:cs="Arial"/>
          <w:szCs w:val="20"/>
        </w:rPr>
      </w:pPr>
      <w:r w:rsidRPr="00F7519C">
        <w:rPr>
          <w:rFonts w:cs="Arial"/>
          <w:szCs w:val="20"/>
        </w:rPr>
        <w:t xml:space="preserve">če je pomoč pogojena s tem, da se delno ali v celoti prenese na primarne proizvajalce. </w:t>
      </w:r>
    </w:p>
    <w:p w14:paraId="7C054E33" w14:textId="77777777" w:rsidR="00F7519C" w:rsidRPr="00F7519C" w:rsidRDefault="00F7519C" w:rsidP="00F7519C">
      <w:pPr>
        <w:tabs>
          <w:tab w:val="left" w:pos="1214"/>
        </w:tabs>
        <w:jc w:val="both"/>
        <w:rPr>
          <w:rFonts w:cs="Arial"/>
          <w:szCs w:val="20"/>
        </w:rPr>
      </w:pPr>
    </w:p>
    <w:p w14:paraId="729602F8" w14:textId="77777777" w:rsidR="00F7519C" w:rsidRPr="00F7519C" w:rsidRDefault="00F7519C" w:rsidP="00F7519C">
      <w:pPr>
        <w:tabs>
          <w:tab w:val="left" w:pos="1214"/>
        </w:tabs>
        <w:jc w:val="both"/>
        <w:rPr>
          <w:rFonts w:cs="Arial"/>
          <w:b/>
          <w:szCs w:val="20"/>
          <w:u w:val="single"/>
        </w:rPr>
      </w:pPr>
      <w:r w:rsidRPr="00F7519C">
        <w:rPr>
          <w:rFonts w:cs="Arial"/>
          <w:b/>
          <w:szCs w:val="20"/>
          <w:u w:val="single"/>
        </w:rPr>
        <w:t>Pomoč:</w:t>
      </w:r>
    </w:p>
    <w:p w14:paraId="7FFCDB73" w14:textId="77777777" w:rsidR="00F7519C" w:rsidRPr="00F7519C" w:rsidRDefault="00F7519C" w:rsidP="00EC65E1">
      <w:pPr>
        <w:numPr>
          <w:ilvl w:val="0"/>
          <w:numId w:val="12"/>
        </w:numPr>
        <w:suppressAutoHyphens/>
        <w:ind w:hanging="720"/>
        <w:jc w:val="both"/>
        <w:rPr>
          <w:rFonts w:cs="Arial"/>
          <w:szCs w:val="20"/>
        </w:rPr>
      </w:pPr>
      <w:r w:rsidRPr="00F7519C">
        <w:rPr>
          <w:rFonts w:cs="Arial"/>
          <w:szCs w:val="20"/>
        </w:rPr>
        <w:t>ne bo namenjena izvozu oz. z izvozom povezanimi dejavnostmi v tretje države ali države članice, kot je pomoč, neposredno povezana z izvoženimi količinami, z ustanovitvijo in delovanjem distribucijske mreže ali drugimi tekočimi izdatki, povezanimi z izvozno dejavnostjo;</w:t>
      </w:r>
    </w:p>
    <w:p w14:paraId="227BD89E" w14:textId="77777777" w:rsidR="00F7519C" w:rsidRPr="00F7519C" w:rsidRDefault="00F7519C" w:rsidP="00EC65E1">
      <w:pPr>
        <w:numPr>
          <w:ilvl w:val="0"/>
          <w:numId w:val="12"/>
        </w:numPr>
        <w:suppressAutoHyphens/>
        <w:ind w:hanging="720"/>
        <w:jc w:val="both"/>
        <w:rPr>
          <w:rFonts w:cs="Arial"/>
          <w:szCs w:val="20"/>
        </w:rPr>
      </w:pPr>
      <w:r w:rsidRPr="00F7519C">
        <w:rPr>
          <w:rFonts w:cs="Arial"/>
          <w:szCs w:val="20"/>
        </w:rPr>
        <w:t>ne bo pogojena s prednostno rabo domačih proizvodov pred uvoženimi.</w:t>
      </w:r>
    </w:p>
    <w:p w14:paraId="0431F966" w14:textId="77777777" w:rsidR="00F7519C" w:rsidRPr="00F7519C" w:rsidRDefault="00F7519C" w:rsidP="00F7519C">
      <w:pPr>
        <w:tabs>
          <w:tab w:val="left" w:pos="1214"/>
        </w:tabs>
        <w:jc w:val="both"/>
        <w:rPr>
          <w:rFonts w:cs="Arial"/>
          <w:szCs w:val="20"/>
        </w:rPr>
      </w:pPr>
    </w:p>
    <w:p w14:paraId="0C3962EC" w14:textId="77777777" w:rsidR="00F7519C" w:rsidRPr="00F7519C" w:rsidRDefault="00F7519C" w:rsidP="00F7519C">
      <w:pPr>
        <w:jc w:val="both"/>
        <w:rPr>
          <w:rFonts w:cs="Arial"/>
          <w:b/>
          <w:szCs w:val="20"/>
        </w:rPr>
      </w:pPr>
      <w:r w:rsidRPr="00F7519C">
        <w:rPr>
          <w:rFonts w:cs="Arial"/>
          <w:b/>
          <w:szCs w:val="20"/>
          <w:u w:val="single" w:color="000000"/>
        </w:rPr>
        <w:t>Stopnja intenzivnosti pomoči in financiranje:</w:t>
      </w:r>
      <w:r w:rsidRPr="00F7519C">
        <w:rPr>
          <w:rFonts w:cs="Arial"/>
          <w:b/>
          <w:szCs w:val="20"/>
        </w:rPr>
        <w:t xml:space="preserve"> </w:t>
      </w:r>
    </w:p>
    <w:p w14:paraId="1094B94D" w14:textId="77777777" w:rsidR="00F7519C" w:rsidRPr="00F7519C" w:rsidRDefault="00F7519C" w:rsidP="00F7519C">
      <w:pPr>
        <w:tabs>
          <w:tab w:val="left" w:pos="1214"/>
        </w:tabs>
        <w:jc w:val="both"/>
        <w:rPr>
          <w:rFonts w:cs="Arial"/>
          <w:szCs w:val="20"/>
        </w:rPr>
      </w:pPr>
      <w:r w:rsidRPr="00F7519C">
        <w:rPr>
          <w:rFonts w:cs="Arial"/>
          <w:szCs w:val="20"/>
        </w:rPr>
        <w:t>Skupni znesek pomoči, dodeljen upravičencu oziroma enotnemu podjetju, kot je opredeljeno v drugem odstavku 3. člena Uredbe 1407/2013/EU,</w:t>
      </w:r>
      <w:r w:rsidR="00EC65E1">
        <w:rPr>
          <w:rFonts w:cs="Arial"/>
          <w:szCs w:val="20"/>
        </w:rPr>
        <w:t xml:space="preserve"> ne bo presegel 200.000,00 EUR</w:t>
      </w:r>
      <w:r w:rsidRPr="00F7519C">
        <w:rPr>
          <w:rFonts w:cs="Arial"/>
          <w:szCs w:val="20"/>
        </w:rPr>
        <w:t xml:space="preserve"> v obdobju zadnjih treh proračunskih let, ne glede na obliko ali namen pomoči ter ne glede na to, ali se pomoč dodeli iz sredstev države, lokalnih skupnosti ali Unije.</w:t>
      </w:r>
    </w:p>
    <w:p w14:paraId="34956FFA" w14:textId="77777777" w:rsidR="00F7519C" w:rsidRPr="00F7519C" w:rsidRDefault="00F7519C" w:rsidP="00F7519C">
      <w:pPr>
        <w:tabs>
          <w:tab w:val="left" w:pos="1214"/>
        </w:tabs>
        <w:jc w:val="both"/>
        <w:rPr>
          <w:rFonts w:cs="Arial"/>
          <w:szCs w:val="20"/>
        </w:rPr>
      </w:pPr>
    </w:p>
    <w:p w14:paraId="63F59BB7" w14:textId="77777777" w:rsidR="00F7519C" w:rsidRPr="00F7519C" w:rsidRDefault="00F7519C" w:rsidP="00F7519C">
      <w:pPr>
        <w:tabs>
          <w:tab w:val="left" w:pos="1214"/>
        </w:tabs>
        <w:jc w:val="both"/>
        <w:rPr>
          <w:rFonts w:cs="Arial"/>
          <w:b/>
          <w:szCs w:val="20"/>
          <w:u w:val="single"/>
        </w:rPr>
      </w:pPr>
      <w:r w:rsidRPr="00F7519C">
        <w:rPr>
          <w:rFonts w:cs="Arial"/>
          <w:b/>
          <w:szCs w:val="20"/>
          <w:u w:val="single"/>
        </w:rPr>
        <w:t xml:space="preserve">Združevanje pomoči: </w:t>
      </w:r>
    </w:p>
    <w:p w14:paraId="6063A9C6" w14:textId="77777777" w:rsidR="00F7519C" w:rsidRPr="00F7519C" w:rsidRDefault="00F7519C" w:rsidP="00EC65E1">
      <w:pPr>
        <w:numPr>
          <w:ilvl w:val="0"/>
          <w:numId w:val="12"/>
        </w:numPr>
        <w:suppressAutoHyphens/>
        <w:ind w:hanging="720"/>
        <w:jc w:val="both"/>
        <w:rPr>
          <w:rFonts w:cs="Arial"/>
          <w:szCs w:val="20"/>
        </w:rPr>
      </w:pPr>
      <w:r w:rsidRPr="00F7519C">
        <w:rPr>
          <w:rFonts w:cs="Arial"/>
          <w:szCs w:val="20"/>
        </w:rPr>
        <w:t xml:space="preserve">pomoč de </w:t>
      </w:r>
      <w:proofErr w:type="spellStart"/>
      <w:r w:rsidRPr="00F7519C">
        <w:rPr>
          <w:rFonts w:cs="Arial"/>
          <w:szCs w:val="20"/>
        </w:rPr>
        <w:t>minimis</w:t>
      </w:r>
      <w:proofErr w:type="spellEnd"/>
      <w:r w:rsidRPr="00F7519C">
        <w:rPr>
          <w:rFonts w:cs="Arial"/>
          <w:szCs w:val="20"/>
        </w:rPr>
        <w:t xml:space="preserve"> se ne sme kumulirati z državno pomočjo v zvezi z istimi upravičenimi stroški ali državno pomočjo za isti ukrep za financiranje tveganja, če bi se s takšno kumulacijo presegla največja intenzivnost pomoči ali znesek pomoči;</w:t>
      </w:r>
    </w:p>
    <w:p w14:paraId="6A74F927" w14:textId="77777777" w:rsidR="00F7519C" w:rsidRPr="00F7519C" w:rsidRDefault="00F7519C" w:rsidP="00EC65E1">
      <w:pPr>
        <w:numPr>
          <w:ilvl w:val="0"/>
          <w:numId w:val="12"/>
        </w:numPr>
        <w:suppressAutoHyphens/>
        <w:ind w:hanging="720"/>
        <w:jc w:val="both"/>
        <w:rPr>
          <w:rFonts w:cs="Arial"/>
          <w:szCs w:val="20"/>
        </w:rPr>
      </w:pPr>
      <w:r w:rsidRPr="00F7519C">
        <w:rPr>
          <w:rFonts w:cs="Arial"/>
          <w:szCs w:val="20"/>
        </w:rPr>
        <w:t xml:space="preserve">pomoč de </w:t>
      </w:r>
      <w:proofErr w:type="spellStart"/>
      <w:r w:rsidRPr="00F7519C">
        <w:rPr>
          <w:rFonts w:cs="Arial"/>
          <w:szCs w:val="20"/>
        </w:rPr>
        <w:t>minimis</w:t>
      </w:r>
      <w:proofErr w:type="spellEnd"/>
      <w:r w:rsidRPr="00F7519C">
        <w:rPr>
          <w:rFonts w:cs="Arial"/>
          <w:szCs w:val="20"/>
        </w:rPr>
        <w:t xml:space="preserve">, dodeljena v skladu z Uredbo 1407/2013/EU, se lahko kumulira s pomočjo de </w:t>
      </w:r>
      <w:proofErr w:type="spellStart"/>
      <w:r w:rsidRPr="00F7519C">
        <w:rPr>
          <w:rFonts w:cs="Arial"/>
          <w:szCs w:val="20"/>
        </w:rPr>
        <w:t>minimis</w:t>
      </w:r>
      <w:proofErr w:type="spellEnd"/>
      <w:r w:rsidRPr="00F7519C">
        <w:rPr>
          <w:rFonts w:cs="Arial"/>
          <w:szCs w:val="20"/>
        </w:rPr>
        <w:t xml:space="preserve">, dodeljeno v skladu z Uredbo Komisije (EU) št. 360/2012 z dne 25. aprila 2012 o uporabi členov 107 in 108 Pogodbe o delovanju Evropske unije pri pomoči de </w:t>
      </w:r>
      <w:proofErr w:type="spellStart"/>
      <w:r w:rsidRPr="00F7519C">
        <w:rPr>
          <w:rFonts w:cs="Arial"/>
          <w:szCs w:val="20"/>
        </w:rPr>
        <w:t>minimis</w:t>
      </w:r>
      <w:proofErr w:type="spellEnd"/>
      <w:r w:rsidRPr="00F7519C">
        <w:rPr>
          <w:rFonts w:cs="Arial"/>
          <w:szCs w:val="20"/>
        </w:rPr>
        <w:t xml:space="preserve"> za podjetja, ki opravljajo storitve splošnega gospodarskega pomena (UL L št. 114 z dne 26. 4. 2012, str. 8), zadnjič spremenjeno z Uredbo Komisije (EU) 2020/1474 z dne 13. oktobra 2020 o spremembi Uredbe (EU) št. 360/2012 glede podaljšanja njenega obdobja uporabe in časovno omejenega odstopanja za podjetja v težavah, da bi se upošteval učinek pandemije COVID-19 (UL L št. 337 z dne 14. 10. 2020, str. 1), (v nadaljnjem besedilu: Uredba 360/2012/EU)</w:t>
      </w:r>
      <w:r w:rsidR="00730285">
        <w:rPr>
          <w:rFonts w:cs="Arial"/>
          <w:szCs w:val="20"/>
        </w:rPr>
        <w:t>,</w:t>
      </w:r>
      <w:r w:rsidRPr="00F7519C">
        <w:rPr>
          <w:rFonts w:cs="Arial"/>
          <w:szCs w:val="20"/>
        </w:rPr>
        <w:t xml:space="preserve"> do zgornje meje, določene v Uredbi 360/2012/EU;</w:t>
      </w:r>
    </w:p>
    <w:p w14:paraId="24874069" w14:textId="77777777" w:rsidR="00F7519C" w:rsidRPr="00F7519C" w:rsidRDefault="00F7519C" w:rsidP="00EC65E1">
      <w:pPr>
        <w:numPr>
          <w:ilvl w:val="0"/>
          <w:numId w:val="12"/>
        </w:numPr>
        <w:suppressAutoHyphens/>
        <w:ind w:hanging="720"/>
        <w:jc w:val="both"/>
        <w:rPr>
          <w:rFonts w:cs="Arial"/>
          <w:szCs w:val="20"/>
        </w:rPr>
      </w:pPr>
      <w:r w:rsidRPr="00F7519C">
        <w:rPr>
          <w:rFonts w:cs="Arial"/>
          <w:szCs w:val="20"/>
        </w:rPr>
        <w:t xml:space="preserve">pomoč de </w:t>
      </w:r>
      <w:proofErr w:type="spellStart"/>
      <w:r w:rsidRPr="00F7519C">
        <w:rPr>
          <w:rFonts w:cs="Arial"/>
          <w:szCs w:val="20"/>
        </w:rPr>
        <w:t>minimis</w:t>
      </w:r>
      <w:proofErr w:type="spellEnd"/>
      <w:r w:rsidRPr="00F7519C">
        <w:rPr>
          <w:rFonts w:cs="Arial"/>
          <w:szCs w:val="20"/>
        </w:rPr>
        <w:t>, dodeljena v skladu z Uredbo 1407/2013/EU</w:t>
      </w:r>
      <w:r w:rsidR="00730285">
        <w:rPr>
          <w:rFonts w:cs="Arial"/>
          <w:szCs w:val="20"/>
        </w:rPr>
        <w:t>,</w:t>
      </w:r>
      <w:r w:rsidRPr="00F7519C">
        <w:rPr>
          <w:rFonts w:cs="Arial"/>
          <w:szCs w:val="20"/>
        </w:rPr>
        <w:t xml:space="preserve"> se lahko kumulira s pomočjo de </w:t>
      </w:r>
      <w:proofErr w:type="spellStart"/>
      <w:r w:rsidRPr="00F7519C">
        <w:rPr>
          <w:rFonts w:cs="Arial"/>
          <w:szCs w:val="20"/>
        </w:rPr>
        <w:t>minimis</w:t>
      </w:r>
      <w:proofErr w:type="spellEnd"/>
      <w:r w:rsidRPr="00F7519C">
        <w:rPr>
          <w:rFonts w:cs="Arial"/>
          <w:szCs w:val="20"/>
        </w:rPr>
        <w:t xml:space="preserve">, dodeljeno v skladu z drugimi uredbami de </w:t>
      </w:r>
      <w:proofErr w:type="spellStart"/>
      <w:r w:rsidRPr="00F7519C">
        <w:rPr>
          <w:rFonts w:cs="Arial"/>
          <w:szCs w:val="20"/>
        </w:rPr>
        <w:t>minimis</w:t>
      </w:r>
      <w:proofErr w:type="spellEnd"/>
      <w:r w:rsidRPr="00F7519C">
        <w:rPr>
          <w:rFonts w:cs="Arial"/>
          <w:szCs w:val="20"/>
        </w:rPr>
        <w:t xml:space="preserve"> do ustrezne zgornje</w:t>
      </w:r>
      <w:r w:rsidR="00730285">
        <w:rPr>
          <w:rFonts w:cs="Arial"/>
          <w:szCs w:val="20"/>
        </w:rPr>
        <w:t xml:space="preserve"> meje (200.000 oz. 100.000 EUR</w:t>
      </w:r>
      <w:r w:rsidRPr="00F7519C">
        <w:rPr>
          <w:rFonts w:cs="Arial"/>
          <w:szCs w:val="20"/>
        </w:rPr>
        <w:t>).</w:t>
      </w:r>
    </w:p>
    <w:p w14:paraId="73BEBD8E" w14:textId="77777777" w:rsidR="00F7519C" w:rsidRPr="00F7519C" w:rsidRDefault="00F7519C" w:rsidP="00F7519C">
      <w:pPr>
        <w:tabs>
          <w:tab w:val="left" w:pos="1214"/>
        </w:tabs>
        <w:jc w:val="both"/>
        <w:rPr>
          <w:rFonts w:cs="Arial"/>
          <w:szCs w:val="20"/>
        </w:rPr>
      </w:pPr>
    </w:p>
    <w:p w14:paraId="777AE060" w14:textId="77777777" w:rsidR="00F7519C" w:rsidRPr="00F7519C" w:rsidRDefault="00F7519C" w:rsidP="00F7519C">
      <w:pPr>
        <w:jc w:val="both"/>
        <w:rPr>
          <w:rFonts w:cs="Arial"/>
          <w:b/>
          <w:szCs w:val="20"/>
          <w:u w:val="single" w:color="000000"/>
        </w:rPr>
      </w:pPr>
      <w:r w:rsidRPr="00F7519C">
        <w:rPr>
          <w:rFonts w:cs="Arial"/>
          <w:b/>
          <w:szCs w:val="20"/>
          <w:u w:val="single" w:color="000000"/>
        </w:rPr>
        <w:t>Preglednost in poročanje:</w:t>
      </w:r>
    </w:p>
    <w:p w14:paraId="3FFEC361" w14:textId="77777777" w:rsidR="00F7519C" w:rsidRPr="00F7519C" w:rsidRDefault="00F7519C" w:rsidP="00F7519C">
      <w:pPr>
        <w:tabs>
          <w:tab w:val="left" w:pos="1214"/>
        </w:tabs>
        <w:jc w:val="both"/>
        <w:rPr>
          <w:rFonts w:cs="Arial"/>
          <w:szCs w:val="20"/>
        </w:rPr>
      </w:pPr>
      <w:r w:rsidRPr="00F7519C">
        <w:rPr>
          <w:rFonts w:cs="Arial"/>
          <w:szCs w:val="20"/>
        </w:rPr>
        <w:t>PMSNS bo od prejemnika pomoči pred dodelitvijo sredstev pridobila pisno izjavo o:</w:t>
      </w:r>
    </w:p>
    <w:p w14:paraId="2B9A277F" w14:textId="77777777" w:rsidR="00F7519C" w:rsidRPr="00F7519C" w:rsidRDefault="00F7519C" w:rsidP="00730285">
      <w:pPr>
        <w:numPr>
          <w:ilvl w:val="0"/>
          <w:numId w:val="12"/>
        </w:numPr>
        <w:suppressAutoHyphens/>
        <w:ind w:hanging="720"/>
        <w:jc w:val="both"/>
        <w:rPr>
          <w:rFonts w:cs="Arial"/>
          <w:szCs w:val="20"/>
        </w:rPr>
      </w:pPr>
      <w:r w:rsidRPr="00F7519C">
        <w:rPr>
          <w:rFonts w:cs="Arial"/>
          <w:szCs w:val="20"/>
        </w:rPr>
        <w:t xml:space="preserve">vseh drugih pomočeh de </w:t>
      </w:r>
      <w:proofErr w:type="spellStart"/>
      <w:r w:rsidRPr="00F7519C">
        <w:rPr>
          <w:rFonts w:cs="Arial"/>
          <w:szCs w:val="20"/>
        </w:rPr>
        <w:t>minimis</w:t>
      </w:r>
      <w:proofErr w:type="spellEnd"/>
      <w:r w:rsidRPr="00F7519C">
        <w:rPr>
          <w:rFonts w:cs="Arial"/>
          <w:szCs w:val="20"/>
        </w:rPr>
        <w:t xml:space="preserve">, ki jih je podjetje prejelo na podlagi Uredbe 1407/2013/EU ali drugih uredb de </w:t>
      </w:r>
      <w:proofErr w:type="spellStart"/>
      <w:r w:rsidRPr="00F7519C">
        <w:rPr>
          <w:rFonts w:cs="Arial"/>
          <w:szCs w:val="20"/>
        </w:rPr>
        <w:t>minimis</w:t>
      </w:r>
      <w:proofErr w:type="spellEnd"/>
      <w:r w:rsidRPr="00F7519C">
        <w:rPr>
          <w:rFonts w:cs="Arial"/>
          <w:szCs w:val="20"/>
        </w:rPr>
        <w:t xml:space="preserve"> v predhodnih dveh in v tekočem proračunskem letu,</w:t>
      </w:r>
    </w:p>
    <w:p w14:paraId="53EA0302" w14:textId="14788C0B" w:rsidR="00F7519C" w:rsidRPr="00F7519C" w:rsidRDefault="00F7519C" w:rsidP="00730285">
      <w:pPr>
        <w:numPr>
          <w:ilvl w:val="0"/>
          <w:numId w:val="12"/>
        </w:numPr>
        <w:suppressAutoHyphens/>
        <w:ind w:hanging="720"/>
        <w:jc w:val="both"/>
        <w:rPr>
          <w:rFonts w:cs="Arial"/>
          <w:szCs w:val="20"/>
        </w:rPr>
      </w:pPr>
      <w:r w:rsidRPr="00F7519C">
        <w:rPr>
          <w:rFonts w:cs="Arial"/>
          <w:szCs w:val="20"/>
        </w:rPr>
        <w:t>drugih že prejetih (ali zaprošenih) pomo</w:t>
      </w:r>
      <w:r w:rsidR="004946BD">
        <w:rPr>
          <w:rFonts w:cs="Arial"/>
          <w:szCs w:val="20"/>
        </w:rPr>
        <w:t>čeh za iste upravičene stroške.</w:t>
      </w:r>
      <w:r w:rsidRPr="00F7519C">
        <w:rPr>
          <w:rFonts w:cs="Arial"/>
          <w:szCs w:val="20"/>
        </w:rPr>
        <w:t xml:space="preserve"> </w:t>
      </w:r>
    </w:p>
    <w:p w14:paraId="538255B1" w14:textId="77777777" w:rsidR="00F7519C" w:rsidRPr="00F7519C" w:rsidRDefault="00F7519C" w:rsidP="00F7519C">
      <w:pPr>
        <w:tabs>
          <w:tab w:val="left" w:pos="1214"/>
        </w:tabs>
        <w:ind w:left="360"/>
        <w:jc w:val="both"/>
        <w:rPr>
          <w:rFonts w:cs="Arial"/>
          <w:szCs w:val="20"/>
        </w:rPr>
      </w:pPr>
    </w:p>
    <w:p w14:paraId="4A1E4BB4" w14:textId="77777777" w:rsidR="00F7519C" w:rsidRPr="00F7519C" w:rsidRDefault="00F7519C" w:rsidP="00F7519C">
      <w:pPr>
        <w:tabs>
          <w:tab w:val="left" w:pos="1214"/>
        </w:tabs>
        <w:jc w:val="both"/>
        <w:rPr>
          <w:rFonts w:cs="Arial"/>
          <w:szCs w:val="20"/>
        </w:rPr>
      </w:pPr>
      <w:r w:rsidRPr="00F7519C">
        <w:rPr>
          <w:rFonts w:cs="Arial"/>
          <w:szCs w:val="20"/>
        </w:rPr>
        <w:t>PMSNS zagotovi, da z dodel</w:t>
      </w:r>
      <w:r w:rsidR="00730285">
        <w:rPr>
          <w:rFonts w:cs="Arial"/>
          <w:szCs w:val="20"/>
        </w:rPr>
        <w:t xml:space="preserve">jenim zneskom pomoči de </w:t>
      </w:r>
      <w:proofErr w:type="spellStart"/>
      <w:r w:rsidR="00730285">
        <w:rPr>
          <w:rFonts w:cs="Arial"/>
          <w:szCs w:val="20"/>
        </w:rPr>
        <w:t>minimis</w:t>
      </w:r>
      <w:proofErr w:type="spellEnd"/>
      <w:r w:rsidRPr="00F7519C">
        <w:rPr>
          <w:rFonts w:cs="Arial"/>
          <w:szCs w:val="20"/>
        </w:rPr>
        <w:t xml:space="preserve"> ne bo presežena zgornja meja de </w:t>
      </w:r>
      <w:proofErr w:type="spellStart"/>
      <w:r w:rsidRPr="00F7519C">
        <w:rPr>
          <w:rFonts w:cs="Arial"/>
          <w:szCs w:val="20"/>
        </w:rPr>
        <w:t>minimis</w:t>
      </w:r>
      <w:proofErr w:type="spellEnd"/>
      <w:r w:rsidRPr="00F7519C">
        <w:rPr>
          <w:rFonts w:cs="Arial"/>
          <w:szCs w:val="20"/>
        </w:rPr>
        <w:t xml:space="preserve"> pomoči ter intenzivnosti pomoči po drugih predpisih. </w:t>
      </w:r>
    </w:p>
    <w:p w14:paraId="074B2185" w14:textId="77777777" w:rsidR="00F7519C" w:rsidRPr="00F7519C" w:rsidRDefault="00F7519C" w:rsidP="00F7519C">
      <w:pPr>
        <w:tabs>
          <w:tab w:val="left" w:pos="1214"/>
        </w:tabs>
        <w:jc w:val="both"/>
        <w:rPr>
          <w:rFonts w:cs="Arial"/>
          <w:szCs w:val="20"/>
        </w:rPr>
      </w:pPr>
    </w:p>
    <w:p w14:paraId="685198B9" w14:textId="77777777" w:rsidR="00F7519C" w:rsidRPr="00F7519C" w:rsidRDefault="00F7519C" w:rsidP="00F7519C">
      <w:pPr>
        <w:tabs>
          <w:tab w:val="left" w:pos="1214"/>
        </w:tabs>
        <w:jc w:val="both"/>
        <w:rPr>
          <w:rFonts w:cs="Arial"/>
          <w:szCs w:val="20"/>
        </w:rPr>
      </w:pPr>
      <w:r w:rsidRPr="00F7519C">
        <w:rPr>
          <w:rFonts w:cs="Arial"/>
          <w:szCs w:val="20"/>
        </w:rPr>
        <w:t xml:space="preserve">PMSNS bo pisno obvestil prejemnika: </w:t>
      </w:r>
    </w:p>
    <w:p w14:paraId="1D5CCDE5" w14:textId="77777777" w:rsidR="00F7519C" w:rsidRPr="00F7519C" w:rsidRDefault="00F7519C" w:rsidP="00730285">
      <w:pPr>
        <w:numPr>
          <w:ilvl w:val="0"/>
          <w:numId w:val="12"/>
        </w:numPr>
        <w:suppressAutoHyphens/>
        <w:ind w:hanging="720"/>
        <w:jc w:val="both"/>
        <w:rPr>
          <w:rFonts w:cs="Arial"/>
          <w:szCs w:val="20"/>
        </w:rPr>
      </w:pPr>
      <w:r w:rsidRPr="00F7519C">
        <w:rPr>
          <w:rFonts w:cs="Arial"/>
          <w:szCs w:val="20"/>
        </w:rPr>
        <w:t>da mu</w:t>
      </w:r>
      <w:r w:rsidR="00730285">
        <w:rPr>
          <w:rFonts w:cs="Arial"/>
          <w:szCs w:val="20"/>
        </w:rPr>
        <w:t xml:space="preserve"> je pomoč dodeljena po pravilu </w:t>
      </w:r>
      <w:r w:rsidRPr="00F7519C">
        <w:rPr>
          <w:rFonts w:cs="Arial"/>
          <w:szCs w:val="20"/>
        </w:rPr>
        <w:t xml:space="preserve">de </w:t>
      </w:r>
      <w:proofErr w:type="spellStart"/>
      <w:r w:rsidRPr="00F7519C">
        <w:rPr>
          <w:rFonts w:cs="Arial"/>
          <w:szCs w:val="20"/>
        </w:rPr>
        <w:t>minimis</w:t>
      </w:r>
      <w:proofErr w:type="spellEnd"/>
      <w:r w:rsidRPr="00F7519C">
        <w:rPr>
          <w:rFonts w:cs="Arial"/>
          <w:szCs w:val="20"/>
        </w:rPr>
        <w:t xml:space="preserve"> v skladu z Uredbo 1407/2013/EU,</w:t>
      </w:r>
    </w:p>
    <w:p w14:paraId="0C53981F" w14:textId="77777777" w:rsidR="00F7519C" w:rsidRPr="00F7519C" w:rsidRDefault="00F7519C" w:rsidP="00730285">
      <w:pPr>
        <w:numPr>
          <w:ilvl w:val="0"/>
          <w:numId w:val="12"/>
        </w:numPr>
        <w:suppressAutoHyphens/>
        <w:ind w:hanging="720"/>
        <w:jc w:val="both"/>
        <w:rPr>
          <w:rFonts w:cs="Arial"/>
          <w:szCs w:val="20"/>
        </w:rPr>
      </w:pPr>
      <w:r w:rsidRPr="00F7519C">
        <w:rPr>
          <w:rFonts w:cs="Arial"/>
          <w:szCs w:val="20"/>
        </w:rPr>
        <w:t xml:space="preserve">o znesku de </w:t>
      </w:r>
      <w:proofErr w:type="spellStart"/>
      <w:r w:rsidRPr="00F7519C">
        <w:rPr>
          <w:rFonts w:cs="Arial"/>
          <w:szCs w:val="20"/>
        </w:rPr>
        <w:t>minimis</w:t>
      </w:r>
      <w:proofErr w:type="spellEnd"/>
      <w:r w:rsidRPr="00F7519C">
        <w:rPr>
          <w:rFonts w:cs="Arial"/>
          <w:szCs w:val="20"/>
        </w:rPr>
        <w:t xml:space="preserve"> pomoči.</w:t>
      </w:r>
    </w:p>
    <w:p w14:paraId="7DFF8D23" w14:textId="77777777" w:rsidR="00F7519C" w:rsidRPr="00F7519C" w:rsidRDefault="00F7519C" w:rsidP="00F7519C">
      <w:pPr>
        <w:tabs>
          <w:tab w:val="left" w:pos="1214"/>
        </w:tabs>
        <w:ind w:left="359"/>
        <w:jc w:val="both"/>
        <w:rPr>
          <w:rFonts w:cs="Arial"/>
          <w:szCs w:val="20"/>
        </w:rPr>
      </w:pPr>
    </w:p>
    <w:p w14:paraId="4FD67A8A" w14:textId="77777777" w:rsidR="00F7519C" w:rsidRPr="00F7519C" w:rsidRDefault="00F7519C" w:rsidP="00F7519C">
      <w:pPr>
        <w:tabs>
          <w:tab w:val="left" w:pos="1214"/>
        </w:tabs>
        <w:jc w:val="both"/>
        <w:rPr>
          <w:rFonts w:cs="Arial"/>
          <w:b/>
          <w:szCs w:val="20"/>
          <w:u w:val="single" w:color="000000"/>
        </w:rPr>
      </w:pPr>
      <w:r w:rsidRPr="00F7519C">
        <w:rPr>
          <w:rFonts w:cs="Arial"/>
          <w:b/>
          <w:szCs w:val="20"/>
          <w:u w:val="single" w:color="000000"/>
        </w:rPr>
        <w:t>Hramba dokumentacije:</w:t>
      </w:r>
    </w:p>
    <w:p w14:paraId="7227DFAA" w14:textId="77777777" w:rsidR="00F7519C" w:rsidRPr="00F7519C" w:rsidRDefault="00F7519C" w:rsidP="00F7519C">
      <w:pPr>
        <w:tabs>
          <w:tab w:val="left" w:pos="1214"/>
        </w:tabs>
        <w:jc w:val="both"/>
        <w:rPr>
          <w:rFonts w:cs="Arial"/>
          <w:szCs w:val="20"/>
        </w:rPr>
      </w:pPr>
      <w:r w:rsidRPr="00F7519C">
        <w:rPr>
          <w:rFonts w:cs="Arial"/>
          <w:szCs w:val="20"/>
        </w:rPr>
        <w:lastRenderedPageBreak/>
        <w:t xml:space="preserve">PMSNS hrani evidence o individualni pomoči de </w:t>
      </w:r>
      <w:proofErr w:type="spellStart"/>
      <w:r w:rsidRPr="00F7519C">
        <w:rPr>
          <w:rFonts w:cs="Arial"/>
          <w:szCs w:val="20"/>
        </w:rPr>
        <w:t>minimis</w:t>
      </w:r>
      <w:proofErr w:type="spellEnd"/>
      <w:r w:rsidRPr="00F7519C">
        <w:rPr>
          <w:rFonts w:cs="Arial"/>
          <w:szCs w:val="20"/>
        </w:rPr>
        <w:t xml:space="preserve"> še najmanj 10 </w:t>
      </w:r>
      <w:r w:rsidR="00730285">
        <w:rPr>
          <w:rFonts w:cs="Arial"/>
          <w:szCs w:val="20"/>
        </w:rPr>
        <w:t>let od datuma dodelitve pomoči.«.</w:t>
      </w:r>
    </w:p>
    <w:p w14:paraId="1DB9F638" w14:textId="77777777" w:rsidR="00F7519C" w:rsidRDefault="00F7519C" w:rsidP="00F7519C">
      <w:pPr>
        <w:jc w:val="both"/>
        <w:rPr>
          <w:rFonts w:cs="Arial"/>
          <w:szCs w:val="20"/>
          <w:u w:color="000000"/>
        </w:rPr>
      </w:pPr>
    </w:p>
    <w:p w14:paraId="3F8CE521" w14:textId="77777777" w:rsidR="00055314" w:rsidRPr="00F7519C" w:rsidRDefault="00055314" w:rsidP="00F7519C">
      <w:pPr>
        <w:jc w:val="both"/>
        <w:rPr>
          <w:rFonts w:cs="Arial"/>
          <w:szCs w:val="20"/>
          <w:u w:color="000000"/>
        </w:rPr>
      </w:pPr>
    </w:p>
    <w:p w14:paraId="022794B2" w14:textId="77777777" w:rsidR="00F7519C" w:rsidRPr="00F7519C" w:rsidRDefault="00F7519C" w:rsidP="00F7519C">
      <w:pPr>
        <w:jc w:val="center"/>
        <w:rPr>
          <w:rFonts w:cs="Arial"/>
          <w:szCs w:val="20"/>
          <w:u w:color="000000"/>
        </w:rPr>
      </w:pPr>
      <w:r w:rsidRPr="00F7519C">
        <w:rPr>
          <w:rFonts w:cs="Arial"/>
          <w:szCs w:val="20"/>
          <w:u w:color="000000"/>
        </w:rPr>
        <w:t>IV.</w:t>
      </w:r>
    </w:p>
    <w:p w14:paraId="438015AE" w14:textId="77777777" w:rsidR="00F7519C" w:rsidRPr="00F7519C" w:rsidRDefault="00F7519C" w:rsidP="00F7519C">
      <w:pPr>
        <w:jc w:val="center"/>
        <w:rPr>
          <w:rFonts w:cs="Arial"/>
          <w:szCs w:val="20"/>
          <w:u w:color="000000"/>
        </w:rPr>
      </w:pPr>
    </w:p>
    <w:p w14:paraId="23CC83B7" w14:textId="77777777" w:rsidR="00F7519C" w:rsidRPr="00F7519C" w:rsidRDefault="00F7519C" w:rsidP="00F7519C">
      <w:pPr>
        <w:jc w:val="both"/>
        <w:rPr>
          <w:rFonts w:cs="Arial"/>
          <w:szCs w:val="20"/>
          <w:u w:color="000000"/>
        </w:rPr>
      </w:pPr>
      <w:r w:rsidRPr="00F7519C">
        <w:rPr>
          <w:rFonts w:cs="Arial"/>
          <w:szCs w:val="20"/>
          <w:u w:color="000000"/>
        </w:rPr>
        <w:t>V poglavju 4 se točka 4.2 spremeni tako, da se glasi:</w:t>
      </w:r>
    </w:p>
    <w:p w14:paraId="77E5C33E" w14:textId="77777777" w:rsidR="00F7519C" w:rsidRPr="00F7519C" w:rsidRDefault="00F7519C" w:rsidP="00F7519C">
      <w:pPr>
        <w:jc w:val="both"/>
        <w:rPr>
          <w:rFonts w:cs="Arial"/>
          <w:szCs w:val="20"/>
        </w:rPr>
      </w:pPr>
    </w:p>
    <w:p w14:paraId="44801177" w14:textId="77777777" w:rsidR="00F7519C" w:rsidRPr="00F7519C" w:rsidRDefault="00F7519C" w:rsidP="00F7519C">
      <w:pPr>
        <w:jc w:val="both"/>
        <w:rPr>
          <w:rFonts w:cs="Arial"/>
          <w:szCs w:val="20"/>
          <w:u w:color="000000"/>
        </w:rPr>
      </w:pPr>
      <w:r w:rsidRPr="00F7519C">
        <w:rPr>
          <w:rFonts w:cs="Arial"/>
          <w:szCs w:val="20"/>
          <w:u w:color="000000"/>
        </w:rPr>
        <w:t>»4.2</w:t>
      </w:r>
      <w:r w:rsidRPr="00F7519C">
        <w:rPr>
          <w:rFonts w:cs="Arial"/>
          <w:szCs w:val="20"/>
        </w:rPr>
        <w:t xml:space="preserve"> </w:t>
      </w:r>
      <w:r w:rsidRPr="00F7519C">
        <w:rPr>
          <w:rFonts w:cs="Arial"/>
          <w:szCs w:val="20"/>
          <w:u w:color="000000"/>
        </w:rPr>
        <w:t xml:space="preserve">Sredstva za izvedbo ukrepa št. 4 s </w:t>
      </w:r>
      <w:proofErr w:type="spellStart"/>
      <w:r w:rsidRPr="00F7519C">
        <w:rPr>
          <w:rFonts w:cs="Arial"/>
          <w:szCs w:val="20"/>
          <w:u w:color="000000"/>
        </w:rPr>
        <w:t>podukrepoma</w:t>
      </w:r>
      <w:proofErr w:type="spellEnd"/>
      <w:r w:rsidRPr="00F7519C">
        <w:rPr>
          <w:rFonts w:cs="Arial"/>
          <w:szCs w:val="20"/>
          <w:u w:color="000000"/>
        </w:rPr>
        <w:t xml:space="preserve"> 4.1 in 4.2 iz tega programa so zagotovljena na posebni proračunski postavki MKGP PP 211016 - Podpora narodnim skupnostim</w:t>
      </w:r>
      <w:r w:rsidR="00730285">
        <w:rPr>
          <w:rFonts w:cs="Arial"/>
          <w:szCs w:val="20"/>
          <w:u w:color="000000"/>
        </w:rPr>
        <w:t>,</w:t>
      </w:r>
      <w:r w:rsidRPr="00F7519C">
        <w:rPr>
          <w:rFonts w:cs="Arial"/>
          <w:szCs w:val="20"/>
          <w:u w:color="000000"/>
        </w:rPr>
        <w:t xml:space="preserve"> in sicer za leto 2022 (1.990.401,91 EUR), za leto 2023 (1,5 mio EUR) in za leto 2024 (1,250 mio EUR). </w:t>
      </w:r>
    </w:p>
    <w:p w14:paraId="002AEA76" w14:textId="77777777" w:rsidR="00F7519C" w:rsidRPr="00F7519C" w:rsidRDefault="00F7519C" w:rsidP="00F7519C">
      <w:pPr>
        <w:jc w:val="both"/>
        <w:rPr>
          <w:rFonts w:cs="Arial"/>
          <w:szCs w:val="20"/>
          <w:u w:color="000000"/>
        </w:rPr>
      </w:pPr>
    </w:p>
    <w:p w14:paraId="23DD015E" w14:textId="1E65622D" w:rsidR="001802D8" w:rsidRDefault="00F7519C" w:rsidP="00F7519C">
      <w:pPr>
        <w:jc w:val="both"/>
        <w:rPr>
          <w:rFonts w:cs="Arial"/>
          <w:szCs w:val="20"/>
          <w:u w:color="000000"/>
        </w:rPr>
      </w:pPr>
      <w:r w:rsidRPr="00F7519C">
        <w:rPr>
          <w:rFonts w:cs="Arial"/>
          <w:szCs w:val="20"/>
          <w:u w:color="000000"/>
        </w:rPr>
        <w:t>Načrtovana proračunska sredstva za izplačila v letih 2022, 2023 in 2024 skupaj znašajo 4.740.401,91 EUR. MKGP bo prevzelo obveznosti v skladu z zakonodajo in vsakokratnim veljavnim proračunom. V primeru, da sredstva v vsakokratnem državnem proračunu ne bodo razpoložljiva, mora biti predložena sprememba programa in sklenjen aneks k tripartitni pogodbi. Celotna vrednost 4. ukrepa iz tega programa za obdobje med leti 2021 do 2024 tako znaša 4.740.401,91 EUR.«.</w:t>
      </w:r>
    </w:p>
    <w:p w14:paraId="708A38D4" w14:textId="77777777" w:rsidR="001802D8" w:rsidRPr="00F7519C" w:rsidRDefault="001802D8" w:rsidP="00F7519C">
      <w:pPr>
        <w:jc w:val="both"/>
        <w:rPr>
          <w:rFonts w:cs="Arial"/>
          <w:szCs w:val="20"/>
          <w:u w:color="000000"/>
        </w:rPr>
      </w:pPr>
    </w:p>
    <w:p w14:paraId="01B31A60" w14:textId="77777777" w:rsidR="00730285" w:rsidRDefault="00F7519C" w:rsidP="00F7519C">
      <w:pPr>
        <w:jc w:val="both"/>
        <w:rPr>
          <w:rFonts w:cs="Arial"/>
          <w:szCs w:val="20"/>
          <w:u w:color="000000"/>
        </w:rPr>
      </w:pPr>
      <w:r w:rsidRPr="00F7519C">
        <w:rPr>
          <w:rFonts w:cs="Arial"/>
          <w:szCs w:val="20"/>
          <w:u w:color="000000"/>
        </w:rPr>
        <w:t xml:space="preserve">Preglednica 6: Finančni načrt programa v obdobju 2021–2024 (v EUR) se nadomesti z novo Preglednica 6: Finančni načrt programa v obdobju 2021–2024 (v EUR), ki se glasi: </w:t>
      </w:r>
    </w:p>
    <w:p w14:paraId="4F078401" w14:textId="77777777" w:rsidR="00F7519C" w:rsidRPr="00F7519C" w:rsidRDefault="00F7519C" w:rsidP="00730285">
      <w:pPr>
        <w:ind w:left="-426"/>
        <w:jc w:val="both"/>
        <w:rPr>
          <w:rFonts w:cs="Arial"/>
          <w:szCs w:val="20"/>
          <w:u w:color="000000"/>
        </w:rPr>
      </w:pPr>
      <w:r w:rsidRPr="00F7519C">
        <w:rPr>
          <w:rFonts w:cs="Arial"/>
          <w:szCs w:val="20"/>
          <w:u w:color="000000"/>
        </w:rPr>
        <w:t>»</w:t>
      </w:r>
    </w:p>
    <w:tbl>
      <w:tblPr>
        <w:tblpPr w:leftFromText="141" w:rightFromText="141" w:vertAnchor="text" w:horzAnchor="margin" w:tblpXSpec="center" w:tblpY="170"/>
        <w:tblW w:w="9468" w:type="dxa"/>
        <w:tblCellMar>
          <w:left w:w="70" w:type="dxa"/>
          <w:right w:w="70" w:type="dxa"/>
        </w:tblCellMar>
        <w:tblLook w:val="04A0" w:firstRow="1" w:lastRow="0" w:firstColumn="1" w:lastColumn="0" w:noHBand="0" w:noVBand="1"/>
      </w:tblPr>
      <w:tblGrid>
        <w:gridCol w:w="2194"/>
        <w:gridCol w:w="1008"/>
        <w:gridCol w:w="1308"/>
        <w:gridCol w:w="1208"/>
        <w:gridCol w:w="1308"/>
        <w:gridCol w:w="2642"/>
      </w:tblGrid>
      <w:tr w:rsidR="00F7519C" w:rsidRPr="00F7519C" w14:paraId="739B26E1" w14:textId="77777777" w:rsidTr="00234A1F">
        <w:trPr>
          <w:trHeight w:val="216"/>
        </w:trPr>
        <w:tc>
          <w:tcPr>
            <w:tcW w:w="9468"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FFDDE" w14:textId="77777777" w:rsidR="00F7519C" w:rsidRPr="00F7519C" w:rsidRDefault="00F7519C" w:rsidP="00F7519C">
            <w:pPr>
              <w:jc w:val="both"/>
              <w:rPr>
                <w:rFonts w:cs="Arial"/>
                <w:szCs w:val="20"/>
                <w:u w:color="000000"/>
              </w:rPr>
            </w:pPr>
            <w:r w:rsidRPr="00F7519C">
              <w:rPr>
                <w:rFonts w:cs="Arial"/>
                <w:szCs w:val="20"/>
                <w:u w:color="000000"/>
              </w:rPr>
              <w:t>Finančn</w:t>
            </w:r>
            <w:r w:rsidR="00730285">
              <w:rPr>
                <w:rFonts w:cs="Arial"/>
                <w:szCs w:val="20"/>
                <w:u w:color="000000"/>
              </w:rPr>
              <w:t>i načrt Programa v obdobju 2021</w:t>
            </w:r>
            <w:r w:rsidR="00730285">
              <w:rPr>
                <w:rFonts w:cs="Arial"/>
                <w:szCs w:val="20"/>
                <w:u w:color="000000"/>
              </w:rPr>
              <w:sym w:font="Symbol" w:char="F02D"/>
            </w:r>
            <w:r w:rsidRPr="00F7519C">
              <w:rPr>
                <w:rFonts w:cs="Arial"/>
                <w:szCs w:val="20"/>
                <w:u w:color="000000"/>
              </w:rPr>
              <w:t>2024 (v EUR)</w:t>
            </w:r>
          </w:p>
        </w:tc>
      </w:tr>
      <w:tr w:rsidR="00F7519C" w:rsidRPr="00F7519C" w14:paraId="3EC9A795" w14:textId="77777777" w:rsidTr="00234A1F">
        <w:trPr>
          <w:trHeight w:val="1086"/>
        </w:trPr>
        <w:tc>
          <w:tcPr>
            <w:tcW w:w="2194" w:type="dxa"/>
            <w:tcBorders>
              <w:top w:val="nil"/>
              <w:left w:val="single" w:sz="4" w:space="0" w:color="auto"/>
              <w:bottom w:val="single" w:sz="4" w:space="0" w:color="auto"/>
              <w:right w:val="single" w:sz="4" w:space="0" w:color="auto"/>
            </w:tcBorders>
            <w:shd w:val="clear" w:color="auto" w:fill="auto"/>
            <w:noWrap/>
            <w:vAlign w:val="center"/>
            <w:hideMark/>
          </w:tcPr>
          <w:p w14:paraId="222F820C" w14:textId="77777777" w:rsidR="00F7519C" w:rsidRPr="00F7519C" w:rsidRDefault="00F7519C" w:rsidP="00F7519C">
            <w:pPr>
              <w:jc w:val="both"/>
              <w:rPr>
                <w:rFonts w:cs="Arial"/>
                <w:szCs w:val="20"/>
                <w:u w:color="000000"/>
              </w:rPr>
            </w:pPr>
            <w:r w:rsidRPr="00F7519C">
              <w:rPr>
                <w:rFonts w:cs="Arial"/>
                <w:szCs w:val="20"/>
                <w:u w:color="000000"/>
              </w:rPr>
              <w:t xml:space="preserve">Ukrepi Programa </w:t>
            </w:r>
          </w:p>
        </w:tc>
        <w:tc>
          <w:tcPr>
            <w:tcW w:w="1008" w:type="dxa"/>
            <w:tcBorders>
              <w:top w:val="nil"/>
              <w:left w:val="nil"/>
              <w:bottom w:val="single" w:sz="4" w:space="0" w:color="auto"/>
              <w:right w:val="single" w:sz="4" w:space="0" w:color="auto"/>
            </w:tcBorders>
            <w:shd w:val="clear" w:color="auto" w:fill="auto"/>
            <w:noWrap/>
            <w:vAlign w:val="center"/>
            <w:hideMark/>
          </w:tcPr>
          <w:p w14:paraId="139CC707" w14:textId="77777777" w:rsidR="00F7519C" w:rsidRPr="00F7519C" w:rsidRDefault="00F7519C" w:rsidP="00F7519C">
            <w:pPr>
              <w:jc w:val="center"/>
              <w:rPr>
                <w:rFonts w:cs="Arial"/>
                <w:szCs w:val="20"/>
                <w:u w:color="000000"/>
              </w:rPr>
            </w:pPr>
            <w:r w:rsidRPr="00F7519C">
              <w:rPr>
                <w:rFonts w:cs="Arial"/>
                <w:szCs w:val="20"/>
                <w:u w:color="000000"/>
              </w:rPr>
              <w:t>2021</w:t>
            </w:r>
          </w:p>
        </w:tc>
        <w:tc>
          <w:tcPr>
            <w:tcW w:w="1208" w:type="dxa"/>
            <w:tcBorders>
              <w:top w:val="nil"/>
              <w:left w:val="nil"/>
              <w:bottom w:val="single" w:sz="4" w:space="0" w:color="auto"/>
              <w:right w:val="single" w:sz="4" w:space="0" w:color="auto"/>
            </w:tcBorders>
            <w:shd w:val="clear" w:color="auto" w:fill="auto"/>
            <w:noWrap/>
            <w:vAlign w:val="center"/>
            <w:hideMark/>
          </w:tcPr>
          <w:p w14:paraId="008C01A8" w14:textId="77777777" w:rsidR="00F7519C" w:rsidRPr="00F7519C" w:rsidRDefault="00F7519C" w:rsidP="00F7519C">
            <w:pPr>
              <w:jc w:val="center"/>
              <w:rPr>
                <w:rFonts w:cs="Arial"/>
                <w:szCs w:val="20"/>
                <w:u w:color="000000"/>
              </w:rPr>
            </w:pPr>
            <w:r w:rsidRPr="00F7519C">
              <w:rPr>
                <w:rFonts w:cs="Arial"/>
                <w:szCs w:val="20"/>
                <w:u w:color="000000"/>
              </w:rPr>
              <w:t>2022</w:t>
            </w:r>
          </w:p>
        </w:tc>
        <w:tc>
          <w:tcPr>
            <w:tcW w:w="1208" w:type="dxa"/>
            <w:tcBorders>
              <w:top w:val="nil"/>
              <w:left w:val="nil"/>
              <w:bottom w:val="single" w:sz="4" w:space="0" w:color="auto"/>
              <w:right w:val="single" w:sz="4" w:space="0" w:color="auto"/>
            </w:tcBorders>
            <w:shd w:val="clear" w:color="auto" w:fill="auto"/>
            <w:noWrap/>
            <w:vAlign w:val="center"/>
            <w:hideMark/>
          </w:tcPr>
          <w:p w14:paraId="162840A8" w14:textId="77777777" w:rsidR="00F7519C" w:rsidRPr="00F7519C" w:rsidRDefault="00F7519C" w:rsidP="00F7519C">
            <w:pPr>
              <w:jc w:val="center"/>
              <w:rPr>
                <w:rFonts w:cs="Arial"/>
                <w:szCs w:val="20"/>
                <w:u w:color="000000"/>
              </w:rPr>
            </w:pPr>
            <w:r w:rsidRPr="00F7519C">
              <w:rPr>
                <w:rFonts w:cs="Arial"/>
                <w:szCs w:val="20"/>
                <w:u w:color="000000"/>
              </w:rPr>
              <w:t>2023</w:t>
            </w:r>
          </w:p>
        </w:tc>
        <w:tc>
          <w:tcPr>
            <w:tcW w:w="1208" w:type="dxa"/>
            <w:tcBorders>
              <w:top w:val="nil"/>
              <w:left w:val="nil"/>
              <w:bottom w:val="single" w:sz="4" w:space="0" w:color="auto"/>
              <w:right w:val="single" w:sz="4" w:space="0" w:color="auto"/>
            </w:tcBorders>
            <w:shd w:val="clear" w:color="auto" w:fill="auto"/>
            <w:noWrap/>
            <w:vAlign w:val="center"/>
            <w:hideMark/>
          </w:tcPr>
          <w:p w14:paraId="21453078" w14:textId="77777777" w:rsidR="00F7519C" w:rsidRPr="00F7519C" w:rsidRDefault="00F7519C" w:rsidP="00F7519C">
            <w:pPr>
              <w:jc w:val="center"/>
              <w:rPr>
                <w:rFonts w:cs="Arial"/>
                <w:szCs w:val="20"/>
                <w:u w:color="000000"/>
              </w:rPr>
            </w:pPr>
            <w:r w:rsidRPr="00F7519C">
              <w:rPr>
                <w:rFonts w:cs="Arial"/>
                <w:szCs w:val="20"/>
                <w:u w:color="000000"/>
              </w:rPr>
              <w:t>2024</w:t>
            </w:r>
          </w:p>
        </w:tc>
        <w:tc>
          <w:tcPr>
            <w:tcW w:w="2642" w:type="dxa"/>
            <w:tcBorders>
              <w:top w:val="nil"/>
              <w:left w:val="nil"/>
              <w:bottom w:val="single" w:sz="4" w:space="0" w:color="auto"/>
              <w:right w:val="single" w:sz="4" w:space="0" w:color="auto"/>
            </w:tcBorders>
            <w:shd w:val="clear" w:color="auto" w:fill="auto"/>
            <w:vAlign w:val="center"/>
            <w:hideMark/>
          </w:tcPr>
          <w:p w14:paraId="76613CDA" w14:textId="77777777" w:rsidR="00F7519C" w:rsidRPr="00F7519C" w:rsidRDefault="00F7519C" w:rsidP="00F7519C">
            <w:pPr>
              <w:jc w:val="center"/>
              <w:rPr>
                <w:rFonts w:cs="Arial"/>
                <w:szCs w:val="20"/>
                <w:u w:color="000000"/>
              </w:rPr>
            </w:pPr>
            <w:r w:rsidRPr="00F7519C">
              <w:rPr>
                <w:rFonts w:cs="Arial"/>
                <w:szCs w:val="20"/>
                <w:u w:color="000000"/>
              </w:rPr>
              <w:t>SKUPAJ VREDNOST PO POSAMEZNIH UKREPIH/</w:t>
            </w:r>
          </w:p>
          <w:p w14:paraId="0B6863CF" w14:textId="77777777" w:rsidR="00F7519C" w:rsidRPr="00F7519C" w:rsidRDefault="00F7519C" w:rsidP="00F7519C">
            <w:pPr>
              <w:jc w:val="center"/>
              <w:rPr>
                <w:rFonts w:cs="Arial"/>
                <w:szCs w:val="20"/>
                <w:u w:color="000000"/>
              </w:rPr>
            </w:pPr>
            <w:r w:rsidRPr="00F7519C">
              <w:rPr>
                <w:rFonts w:cs="Arial"/>
                <w:szCs w:val="20"/>
                <w:u w:color="000000"/>
              </w:rPr>
              <w:t>PODUKREPIH</w:t>
            </w:r>
          </w:p>
        </w:tc>
      </w:tr>
      <w:tr w:rsidR="00F7519C" w:rsidRPr="00F7519C" w14:paraId="1E9505E8" w14:textId="77777777" w:rsidTr="00234A1F">
        <w:trPr>
          <w:trHeight w:val="216"/>
        </w:trPr>
        <w:tc>
          <w:tcPr>
            <w:tcW w:w="2194" w:type="dxa"/>
            <w:tcBorders>
              <w:top w:val="nil"/>
              <w:left w:val="single" w:sz="4" w:space="0" w:color="auto"/>
              <w:bottom w:val="single" w:sz="4" w:space="0" w:color="auto"/>
              <w:right w:val="single" w:sz="4" w:space="0" w:color="auto"/>
            </w:tcBorders>
            <w:shd w:val="clear" w:color="auto" w:fill="auto"/>
            <w:noWrap/>
            <w:vAlign w:val="bottom"/>
            <w:hideMark/>
          </w:tcPr>
          <w:p w14:paraId="592EDF7C" w14:textId="77777777" w:rsidR="00F7519C" w:rsidRPr="00F7519C" w:rsidRDefault="00F7519C" w:rsidP="00F7519C">
            <w:pPr>
              <w:jc w:val="both"/>
              <w:rPr>
                <w:rFonts w:cs="Arial"/>
                <w:szCs w:val="20"/>
                <w:u w:color="000000"/>
              </w:rPr>
            </w:pPr>
            <w:r w:rsidRPr="00F7519C">
              <w:rPr>
                <w:rFonts w:cs="Arial"/>
                <w:szCs w:val="20"/>
                <w:u w:color="000000"/>
              </w:rPr>
              <w:t>Ukrep 1</w:t>
            </w:r>
          </w:p>
        </w:tc>
        <w:tc>
          <w:tcPr>
            <w:tcW w:w="1008" w:type="dxa"/>
            <w:tcBorders>
              <w:top w:val="nil"/>
              <w:left w:val="nil"/>
              <w:bottom w:val="single" w:sz="4" w:space="0" w:color="auto"/>
              <w:right w:val="single" w:sz="4" w:space="0" w:color="auto"/>
            </w:tcBorders>
            <w:shd w:val="clear" w:color="auto" w:fill="auto"/>
            <w:noWrap/>
            <w:vAlign w:val="bottom"/>
            <w:hideMark/>
          </w:tcPr>
          <w:p w14:paraId="76408883" w14:textId="77777777" w:rsidR="00F7519C" w:rsidRPr="00F7519C" w:rsidRDefault="00F7519C" w:rsidP="00F7519C">
            <w:pPr>
              <w:jc w:val="center"/>
              <w:rPr>
                <w:rFonts w:cs="Arial"/>
                <w:szCs w:val="20"/>
                <w:u w:color="000000"/>
              </w:rPr>
            </w:pPr>
            <w:r w:rsidRPr="00F7519C">
              <w:rPr>
                <w:rFonts w:cs="Arial"/>
                <w:szCs w:val="20"/>
                <w:u w:color="000000"/>
              </w:rPr>
              <w:t>300.000</w:t>
            </w:r>
          </w:p>
        </w:tc>
        <w:tc>
          <w:tcPr>
            <w:tcW w:w="1208" w:type="dxa"/>
            <w:tcBorders>
              <w:top w:val="nil"/>
              <w:left w:val="nil"/>
              <w:bottom w:val="single" w:sz="4" w:space="0" w:color="auto"/>
              <w:right w:val="single" w:sz="4" w:space="0" w:color="auto"/>
            </w:tcBorders>
            <w:shd w:val="clear" w:color="auto" w:fill="auto"/>
            <w:noWrap/>
            <w:vAlign w:val="bottom"/>
            <w:hideMark/>
          </w:tcPr>
          <w:p w14:paraId="24C1FC15" w14:textId="77777777" w:rsidR="00F7519C" w:rsidRPr="00F7519C" w:rsidRDefault="00F7519C" w:rsidP="00F7519C">
            <w:pPr>
              <w:jc w:val="center"/>
              <w:rPr>
                <w:rFonts w:cs="Arial"/>
                <w:szCs w:val="20"/>
                <w:u w:color="000000"/>
              </w:rPr>
            </w:pPr>
            <w:r w:rsidRPr="00F7519C">
              <w:rPr>
                <w:rFonts w:cs="Arial"/>
                <w:szCs w:val="20"/>
                <w:u w:color="000000"/>
              </w:rPr>
              <w:t>268.004,49</w:t>
            </w:r>
          </w:p>
        </w:tc>
        <w:tc>
          <w:tcPr>
            <w:tcW w:w="1208" w:type="dxa"/>
            <w:tcBorders>
              <w:top w:val="nil"/>
              <w:left w:val="nil"/>
              <w:bottom w:val="single" w:sz="4" w:space="0" w:color="auto"/>
              <w:right w:val="single" w:sz="4" w:space="0" w:color="auto"/>
            </w:tcBorders>
            <w:shd w:val="clear" w:color="auto" w:fill="auto"/>
            <w:noWrap/>
            <w:vAlign w:val="bottom"/>
            <w:hideMark/>
          </w:tcPr>
          <w:p w14:paraId="40F07A16" w14:textId="77777777" w:rsidR="00F7519C" w:rsidRPr="00F7519C" w:rsidRDefault="00F7519C" w:rsidP="00F7519C">
            <w:pPr>
              <w:jc w:val="center"/>
              <w:rPr>
                <w:rFonts w:cs="Arial"/>
                <w:szCs w:val="20"/>
                <w:u w:color="000000"/>
              </w:rPr>
            </w:pPr>
            <w:r w:rsidRPr="00F7519C">
              <w:rPr>
                <w:rFonts w:cs="Arial"/>
                <w:szCs w:val="20"/>
                <w:u w:color="000000"/>
              </w:rPr>
              <w:t>300.000</w:t>
            </w:r>
          </w:p>
        </w:tc>
        <w:tc>
          <w:tcPr>
            <w:tcW w:w="1208" w:type="dxa"/>
            <w:tcBorders>
              <w:top w:val="nil"/>
              <w:left w:val="nil"/>
              <w:bottom w:val="single" w:sz="4" w:space="0" w:color="auto"/>
              <w:right w:val="single" w:sz="4" w:space="0" w:color="auto"/>
            </w:tcBorders>
            <w:shd w:val="clear" w:color="auto" w:fill="auto"/>
            <w:noWrap/>
            <w:vAlign w:val="bottom"/>
            <w:hideMark/>
          </w:tcPr>
          <w:p w14:paraId="64886A44" w14:textId="77777777" w:rsidR="00F7519C" w:rsidRPr="00F7519C" w:rsidRDefault="00F7519C" w:rsidP="00F7519C">
            <w:pPr>
              <w:jc w:val="center"/>
              <w:rPr>
                <w:rFonts w:cs="Arial"/>
                <w:szCs w:val="20"/>
                <w:u w:color="000000"/>
              </w:rPr>
            </w:pPr>
            <w:r w:rsidRPr="00F7519C">
              <w:rPr>
                <w:rFonts w:cs="Arial"/>
                <w:szCs w:val="20"/>
                <w:u w:color="000000"/>
              </w:rPr>
              <w:t>331.995,51</w:t>
            </w:r>
          </w:p>
        </w:tc>
        <w:tc>
          <w:tcPr>
            <w:tcW w:w="2642" w:type="dxa"/>
            <w:tcBorders>
              <w:top w:val="nil"/>
              <w:left w:val="nil"/>
              <w:bottom w:val="single" w:sz="4" w:space="0" w:color="auto"/>
              <w:right w:val="single" w:sz="4" w:space="0" w:color="auto"/>
            </w:tcBorders>
            <w:shd w:val="clear" w:color="auto" w:fill="auto"/>
            <w:noWrap/>
            <w:vAlign w:val="bottom"/>
            <w:hideMark/>
          </w:tcPr>
          <w:p w14:paraId="6061AF75" w14:textId="77777777" w:rsidR="00F7519C" w:rsidRPr="00F7519C" w:rsidRDefault="00F7519C" w:rsidP="00F7519C">
            <w:pPr>
              <w:jc w:val="center"/>
              <w:rPr>
                <w:rFonts w:cs="Arial"/>
                <w:szCs w:val="20"/>
                <w:u w:color="000000"/>
              </w:rPr>
            </w:pPr>
            <w:r w:rsidRPr="00F7519C">
              <w:rPr>
                <w:rFonts w:cs="Arial"/>
                <w:szCs w:val="20"/>
                <w:u w:color="000000"/>
              </w:rPr>
              <w:t>1.200.000</w:t>
            </w:r>
          </w:p>
        </w:tc>
      </w:tr>
      <w:tr w:rsidR="00F7519C" w:rsidRPr="00F7519C" w14:paraId="6466BDA1" w14:textId="77777777" w:rsidTr="00234A1F">
        <w:trPr>
          <w:trHeight w:val="216"/>
        </w:trPr>
        <w:tc>
          <w:tcPr>
            <w:tcW w:w="2194" w:type="dxa"/>
            <w:tcBorders>
              <w:top w:val="nil"/>
              <w:left w:val="single" w:sz="4" w:space="0" w:color="auto"/>
              <w:bottom w:val="single" w:sz="4" w:space="0" w:color="auto"/>
              <w:right w:val="single" w:sz="4" w:space="0" w:color="auto"/>
            </w:tcBorders>
            <w:shd w:val="clear" w:color="auto" w:fill="auto"/>
            <w:noWrap/>
            <w:vAlign w:val="bottom"/>
            <w:hideMark/>
          </w:tcPr>
          <w:p w14:paraId="5610460F" w14:textId="77777777" w:rsidR="00F7519C" w:rsidRPr="00F7519C" w:rsidRDefault="00F7519C" w:rsidP="00F7519C">
            <w:pPr>
              <w:jc w:val="both"/>
              <w:rPr>
                <w:rFonts w:cs="Arial"/>
                <w:szCs w:val="20"/>
                <w:u w:color="000000"/>
              </w:rPr>
            </w:pPr>
            <w:r w:rsidRPr="00F7519C">
              <w:rPr>
                <w:rFonts w:cs="Arial"/>
                <w:szCs w:val="20"/>
                <w:u w:color="000000"/>
              </w:rPr>
              <w:t>Ukrep 2</w:t>
            </w:r>
          </w:p>
        </w:tc>
        <w:tc>
          <w:tcPr>
            <w:tcW w:w="1008" w:type="dxa"/>
            <w:tcBorders>
              <w:top w:val="nil"/>
              <w:left w:val="nil"/>
              <w:bottom w:val="single" w:sz="4" w:space="0" w:color="auto"/>
              <w:right w:val="single" w:sz="4" w:space="0" w:color="auto"/>
            </w:tcBorders>
            <w:shd w:val="clear" w:color="auto" w:fill="auto"/>
            <w:noWrap/>
            <w:vAlign w:val="bottom"/>
            <w:hideMark/>
          </w:tcPr>
          <w:p w14:paraId="495C90CE" w14:textId="77777777" w:rsidR="00F7519C" w:rsidRPr="00F7519C" w:rsidRDefault="00F7519C" w:rsidP="00F7519C">
            <w:pPr>
              <w:jc w:val="center"/>
              <w:rPr>
                <w:rFonts w:cs="Arial"/>
                <w:szCs w:val="20"/>
                <w:u w:color="000000"/>
              </w:rPr>
            </w:pPr>
            <w:r w:rsidRPr="00F7519C">
              <w:rPr>
                <w:rFonts w:cs="Arial"/>
                <w:szCs w:val="20"/>
                <w:u w:color="000000"/>
              </w:rPr>
              <w:t>180.000</w:t>
            </w:r>
          </w:p>
        </w:tc>
        <w:tc>
          <w:tcPr>
            <w:tcW w:w="1208" w:type="dxa"/>
            <w:tcBorders>
              <w:top w:val="nil"/>
              <w:left w:val="nil"/>
              <w:bottom w:val="single" w:sz="4" w:space="0" w:color="auto"/>
              <w:right w:val="single" w:sz="4" w:space="0" w:color="auto"/>
            </w:tcBorders>
            <w:shd w:val="clear" w:color="auto" w:fill="auto"/>
            <w:noWrap/>
            <w:vAlign w:val="bottom"/>
            <w:hideMark/>
          </w:tcPr>
          <w:p w14:paraId="7F2C0320" w14:textId="77777777" w:rsidR="00F7519C" w:rsidRPr="00F7519C" w:rsidRDefault="00F7519C" w:rsidP="00F7519C">
            <w:pPr>
              <w:jc w:val="center"/>
              <w:rPr>
                <w:rFonts w:cs="Arial"/>
                <w:szCs w:val="20"/>
                <w:u w:color="000000"/>
              </w:rPr>
            </w:pPr>
            <w:r w:rsidRPr="00F7519C">
              <w:rPr>
                <w:rFonts w:cs="Arial"/>
                <w:szCs w:val="20"/>
                <w:u w:color="000000"/>
              </w:rPr>
              <w:t>180.000</w:t>
            </w:r>
          </w:p>
        </w:tc>
        <w:tc>
          <w:tcPr>
            <w:tcW w:w="1208" w:type="dxa"/>
            <w:tcBorders>
              <w:top w:val="nil"/>
              <w:left w:val="nil"/>
              <w:bottom w:val="single" w:sz="4" w:space="0" w:color="auto"/>
              <w:right w:val="single" w:sz="4" w:space="0" w:color="auto"/>
            </w:tcBorders>
            <w:shd w:val="clear" w:color="auto" w:fill="auto"/>
            <w:noWrap/>
            <w:vAlign w:val="bottom"/>
            <w:hideMark/>
          </w:tcPr>
          <w:p w14:paraId="5680F017" w14:textId="77777777" w:rsidR="00F7519C" w:rsidRPr="00F7519C" w:rsidRDefault="00F7519C" w:rsidP="00F7519C">
            <w:pPr>
              <w:jc w:val="center"/>
              <w:rPr>
                <w:rFonts w:cs="Arial"/>
                <w:szCs w:val="20"/>
                <w:u w:color="000000"/>
              </w:rPr>
            </w:pPr>
            <w:r w:rsidRPr="00F7519C">
              <w:rPr>
                <w:rFonts w:cs="Arial"/>
                <w:szCs w:val="20"/>
                <w:u w:color="000000"/>
              </w:rPr>
              <w:t>180.000</w:t>
            </w:r>
          </w:p>
        </w:tc>
        <w:tc>
          <w:tcPr>
            <w:tcW w:w="1208" w:type="dxa"/>
            <w:tcBorders>
              <w:top w:val="nil"/>
              <w:left w:val="nil"/>
              <w:bottom w:val="single" w:sz="4" w:space="0" w:color="auto"/>
              <w:right w:val="single" w:sz="4" w:space="0" w:color="auto"/>
            </w:tcBorders>
            <w:shd w:val="clear" w:color="auto" w:fill="auto"/>
            <w:noWrap/>
            <w:vAlign w:val="bottom"/>
            <w:hideMark/>
          </w:tcPr>
          <w:p w14:paraId="2B8779CC" w14:textId="77777777" w:rsidR="00F7519C" w:rsidRPr="00F7519C" w:rsidRDefault="00F7519C" w:rsidP="00F7519C">
            <w:pPr>
              <w:jc w:val="center"/>
              <w:rPr>
                <w:rFonts w:cs="Arial"/>
                <w:szCs w:val="20"/>
                <w:u w:color="000000"/>
              </w:rPr>
            </w:pPr>
            <w:r w:rsidRPr="00F7519C">
              <w:rPr>
                <w:rFonts w:cs="Arial"/>
                <w:szCs w:val="20"/>
                <w:u w:color="000000"/>
              </w:rPr>
              <w:t>180.000</w:t>
            </w:r>
          </w:p>
        </w:tc>
        <w:tc>
          <w:tcPr>
            <w:tcW w:w="2642" w:type="dxa"/>
            <w:tcBorders>
              <w:top w:val="nil"/>
              <w:left w:val="nil"/>
              <w:bottom w:val="single" w:sz="4" w:space="0" w:color="auto"/>
              <w:right w:val="single" w:sz="4" w:space="0" w:color="auto"/>
            </w:tcBorders>
            <w:shd w:val="clear" w:color="auto" w:fill="auto"/>
            <w:noWrap/>
            <w:vAlign w:val="bottom"/>
            <w:hideMark/>
          </w:tcPr>
          <w:p w14:paraId="07585FFA" w14:textId="77777777" w:rsidR="00F7519C" w:rsidRPr="00F7519C" w:rsidRDefault="00F7519C" w:rsidP="00F7519C">
            <w:pPr>
              <w:jc w:val="center"/>
              <w:rPr>
                <w:rFonts w:cs="Arial"/>
                <w:szCs w:val="20"/>
                <w:u w:color="000000"/>
              </w:rPr>
            </w:pPr>
            <w:r w:rsidRPr="00F7519C">
              <w:rPr>
                <w:rFonts w:cs="Arial"/>
                <w:szCs w:val="20"/>
                <w:u w:color="000000"/>
              </w:rPr>
              <w:t>720.000</w:t>
            </w:r>
          </w:p>
        </w:tc>
      </w:tr>
      <w:tr w:rsidR="00F7519C" w:rsidRPr="00F7519C" w14:paraId="033019F5" w14:textId="77777777" w:rsidTr="00234A1F">
        <w:trPr>
          <w:trHeight w:val="216"/>
        </w:trPr>
        <w:tc>
          <w:tcPr>
            <w:tcW w:w="2194" w:type="dxa"/>
            <w:tcBorders>
              <w:top w:val="nil"/>
              <w:left w:val="single" w:sz="4" w:space="0" w:color="auto"/>
              <w:bottom w:val="single" w:sz="4" w:space="0" w:color="auto"/>
              <w:right w:val="single" w:sz="4" w:space="0" w:color="auto"/>
            </w:tcBorders>
            <w:shd w:val="clear" w:color="auto" w:fill="auto"/>
            <w:noWrap/>
            <w:vAlign w:val="bottom"/>
            <w:hideMark/>
          </w:tcPr>
          <w:p w14:paraId="5485B216" w14:textId="77777777" w:rsidR="00F7519C" w:rsidRPr="00F7519C" w:rsidRDefault="00F7519C" w:rsidP="00F7519C">
            <w:pPr>
              <w:jc w:val="both"/>
              <w:rPr>
                <w:rFonts w:cs="Arial"/>
                <w:szCs w:val="20"/>
                <w:u w:color="000000"/>
              </w:rPr>
            </w:pPr>
            <w:r w:rsidRPr="00F7519C">
              <w:rPr>
                <w:rFonts w:cs="Arial"/>
                <w:szCs w:val="20"/>
                <w:u w:color="000000"/>
              </w:rPr>
              <w:t>Ukrep 3</w:t>
            </w:r>
          </w:p>
        </w:tc>
        <w:tc>
          <w:tcPr>
            <w:tcW w:w="1008" w:type="dxa"/>
            <w:tcBorders>
              <w:top w:val="nil"/>
              <w:left w:val="nil"/>
              <w:bottom w:val="single" w:sz="4" w:space="0" w:color="auto"/>
              <w:right w:val="single" w:sz="4" w:space="0" w:color="auto"/>
            </w:tcBorders>
            <w:shd w:val="clear" w:color="auto" w:fill="auto"/>
            <w:noWrap/>
            <w:vAlign w:val="bottom"/>
            <w:hideMark/>
          </w:tcPr>
          <w:p w14:paraId="280DE5B6" w14:textId="77777777" w:rsidR="00F7519C" w:rsidRPr="00F7519C" w:rsidRDefault="00F7519C" w:rsidP="00F7519C">
            <w:pPr>
              <w:jc w:val="center"/>
              <w:rPr>
                <w:rFonts w:cs="Arial"/>
                <w:szCs w:val="20"/>
                <w:u w:color="000000"/>
              </w:rPr>
            </w:pPr>
            <w:r w:rsidRPr="00F7519C">
              <w:rPr>
                <w:rFonts w:cs="Arial"/>
                <w:szCs w:val="20"/>
                <w:u w:color="000000"/>
              </w:rPr>
              <w:t>220.000</w:t>
            </w:r>
          </w:p>
        </w:tc>
        <w:tc>
          <w:tcPr>
            <w:tcW w:w="1208" w:type="dxa"/>
            <w:tcBorders>
              <w:top w:val="nil"/>
              <w:left w:val="nil"/>
              <w:bottom w:val="single" w:sz="4" w:space="0" w:color="auto"/>
              <w:right w:val="single" w:sz="4" w:space="0" w:color="auto"/>
            </w:tcBorders>
            <w:shd w:val="clear" w:color="auto" w:fill="auto"/>
            <w:noWrap/>
            <w:vAlign w:val="bottom"/>
            <w:hideMark/>
          </w:tcPr>
          <w:p w14:paraId="38324A4A" w14:textId="77777777" w:rsidR="00F7519C" w:rsidRPr="00F7519C" w:rsidRDefault="00F7519C" w:rsidP="00F7519C">
            <w:pPr>
              <w:jc w:val="center"/>
              <w:rPr>
                <w:rFonts w:cs="Arial"/>
                <w:szCs w:val="20"/>
                <w:u w:color="000000"/>
              </w:rPr>
            </w:pPr>
            <w:r w:rsidRPr="00F7519C">
              <w:rPr>
                <w:rFonts w:cs="Arial"/>
                <w:szCs w:val="20"/>
                <w:u w:color="000000"/>
              </w:rPr>
              <w:t>220.000</w:t>
            </w:r>
          </w:p>
        </w:tc>
        <w:tc>
          <w:tcPr>
            <w:tcW w:w="1208" w:type="dxa"/>
            <w:tcBorders>
              <w:top w:val="nil"/>
              <w:left w:val="nil"/>
              <w:bottom w:val="single" w:sz="4" w:space="0" w:color="auto"/>
              <w:right w:val="single" w:sz="4" w:space="0" w:color="auto"/>
            </w:tcBorders>
            <w:shd w:val="clear" w:color="auto" w:fill="auto"/>
            <w:noWrap/>
            <w:vAlign w:val="bottom"/>
            <w:hideMark/>
          </w:tcPr>
          <w:p w14:paraId="7C58C42F" w14:textId="77777777" w:rsidR="00F7519C" w:rsidRPr="00F7519C" w:rsidRDefault="00F7519C" w:rsidP="00F7519C">
            <w:pPr>
              <w:jc w:val="center"/>
              <w:rPr>
                <w:rFonts w:cs="Arial"/>
                <w:szCs w:val="20"/>
                <w:u w:color="000000"/>
              </w:rPr>
            </w:pPr>
            <w:r w:rsidRPr="00F7519C">
              <w:rPr>
                <w:rFonts w:cs="Arial"/>
                <w:szCs w:val="20"/>
                <w:u w:color="000000"/>
              </w:rPr>
              <w:t>220.000</w:t>
            </w:r>
          </w:p>
        </w:tc>
        <w:tc>
          <w:tcPr>
            <w:tcW w:w="1208" w:type="dxa"/>
            <w:tcBorders>
              <w:top w:val="nil"/>
              <w:left w:val="nil"/>
              <w:bottom w:val="single" w:sz="4" w:space="0" w:color="auto"/>
              <w:right w:val="single" w:sz="4" w:space="0" w:color="auto"/>
            </w:tcBorders>
            <w:shd w:val="clear" w:color="auto" w:fill="auto"/>
            <w:noWrap/>
            <w:vAlign w:val="bottom"/>
            <w:hideMark/>
          </w:tcPr>
          <w:p w14:paraId="746B2DF7" w14:textId="77777777" w:rsidR="00F7519C" w:rsidRPr="00F7519C" w:rsidRDefault="00F7519C" w:rsidP="00F7519C">
            <w:pPr>
              <w:jc w:val="center"/>
              <w:rPr>
                <w:rFonts w:cs="Arial"/>
                <w:szCs w:val="20"/>
                <w:u w:color="000000"/>
              </w:rPr>
            </w:pPr>
            <w:r w:rsidRPr="00F7519C">
              <w:rPr>
                <w:rFonts w:cs="Arial"/>
                <w:szCs w:val="20"/>
                <w:u w:color="000000"/>
              </w:rPr>
              <w:t>220.000</w:t>
            </w:r>
          </w:p>
        </w:tc>
        <w:tc>
          <w:tcPr>
            <w:tcW w:w="2642" w:type="dxa"/>
            <w:tcBorders>
              <w:top w:val="nil"/>
              <w:left w:val="nil"/>
              <w:bottom w:val="single" w:sz="4" w:space="0" w:color="auto"/>
              <w:right w:val="single" w:sz="4" w:space="0" w:color="auto"/>
            </w:tcBorders>
            <w:shd w:val="clear" w:color="auto" w:fill="auto"/>
            <w:noWrap/>
            <w:vAlign w:val="bottom"/>
            <w:hideMark/>
          </w:tcPr>
          <w:p w14:paraId="4ECF5657" w14:textId="77777777" w:rsidR="00F7519C" w:rsidRPr="00F7519C" w:rsidRDefault="00F7519C" w:rsidP="00F7519C">
            <w:pPr>
              <w:jc w:val="center"/>
              <w:rPr>
                <w:rFonts w:cs="Arial"/>
                <w:szCs w:val="20"/>
                <w:u w:color="000000"/>
              </w:rPr>
            </w:pPr>
            <w:r w:rsidRPr="00F7519C">
              <w:rPr>
                <w:rFonts w:cs="Arial"/>
                <w:szCs w:val="20"/>
                <w:u w:color="000000"/>
              </w:rPr>
              <w:t>880.000</w:t>
            </w:r>
          </w:p>
        </w:tc>
      </w:tr>
      <w:tr w:rsidR="00F7519C" w:rsidRPr="00F7519C" w14:paraId="164423EF" w14:textId="77777777" w:rsidTr="00234A1F">
        <w:trPr>
          <w:trHeight w:val="216"/>
        </w:trPr>
        <w:tc>
          <w:tcPr>
            <w:tcW w:w="2194" w:type="dxa"/>
            <w:tcBorders>
              <w:top w:val="nil"/>
              <w:left w:val="single" w:sz="4" w:space="0" w:color="auto"/>
              <w:bottom w:val="single" w:sz="4" w:space="0" w:color="auto"/>
              <w:right w:val="single" w:sz="4" w:space="0" w:color="auto"/>
            </w:tcBorders>
            <w:shd w:val="clear" w:color="auto" w:fill="auto"/>
            <w:noWrap/>
            <w:vAlign w:val="bottom"/>
          </w:tcPr>
          <w:p w14:paraId="67607104" w14:textId="77777777" w:rsidR="00F7519C" w:rsidRPr="00F7519C" w:rsidRDefault="00F7519C" w:rsidP="00F7519C">
            <w:pPr>
              <w:jc w:val="both"/>
              <w:rPr>
                <w:rFonts w:cs="Arial"/>
                <w:szCs w:val="20"/>
                <w:u w:color="000000"/>
              </w:rPr>
            </w:pPr>
            <w:r w:rsidRPr="00F7519C">
              <w:rPr>
                <w:rFonts w:cs="Arial"/>
                <w:szCs w:val="20"/>
                <w:u w:color="000000"/>
              </w:rPr>
              <w:t xml:space="preserve">Ukrep 4 – </w:t>
            </w:r>
            <w:proofErr w:type="spellStart"/>
            <w:r w:rsidRPr="00F7519C">
              <w:rPr>
                <w:rFonts w:cs="Arial"/>
                <w:szCs w:val="20"/>
                <w:u w:color="000000"/>
              </w:rPr>
              <w:t>podukrep</w:t>
            </w:r>
            <w:proofErr w:type="spellEnd"/>
            <w:r w:rsidRPr="00F7519C">
              <w:rPr>
                <w:rFonts w:cs="Arial"/>
                <w:szCs w:val="20"/>
                <w:u w:color="000000"/>
              </w:rPr>
              <w:t xml:space="preserve"> 4.1.</w:t>
            </w:r>
          </w:p>
        </w:tc>
        <w:tc>
          <w:tcPr>
            <w:tcW w:w="1008" w:type="dxa"/>
            <w:tcBorders>
              <w:top w:val="nil"/>
              <w:left w:val="nil"/>
              <w:bottom w:val="single" w:sz="4" w:space="0" w:color="auto"/>
              <w:right w:val="single" w:sz="4" w:space="0" w:color="auto"/>
            </w:tcBorders>
            <w:shd w:val="clear" w:color="auto" w:fill="auto"/>
            <w:noWrap/>
            <w:vAlign w:val="center"/>
          </w:tcPr>
          <w:p w14:paraId="79DC9C51" w14:textId="77777777" w:rsidR="00F7519C" w:rsidRPr="00F7519C" w:rsidRDefault="00F7519C" w:rsidP="00F7519C">
            <w:pPr>
              <w:jc w:val="center"/>
              <w:rPr>
                <w:rFonts w:cs="Arial"/>
                <w:szCs w:val="20"/>
                <w:u w:color="000000"/>
              </w:rPr>
            </w:pPr>
            <w:r w:rsidRPr="00F7519C">
              <w:rPr>
                <w:rFonts w:cs="Arial"/>
                <w:szCs w:val="20"/>
                <w:u w:color="000000"/>
              </w:rPr>
              <w:t>-</w:t>
            </w:r>
          </w:p>
        </w:tc>
        <w:tc>
          <w:tcPr>
            <w:tcW w:w="1208" w:type="dxa"/>
            <w:tcBorders>
              <w:top w:val="nil"/>
              <w:left w:val="nil"/>
              <w:bottom w:val="single" w:sz="4" w:space="0" w:color="auto"/>
              <w:right w:val="single" w:sz="4" w:space="0" w:color="auto"/>
            </w:tcBorders>
            <w:shd w:val="clear" w:color="auto" w:fill="auto"/>
            <w:noWrap/>
            <w:vAlign w:val="center"/>
          </w:tcPr>
          <w:p w14:paraId="1F65B58E" w14:textId="77777777" w:rsidR="00F7519C" w:rsidRPr="00F7519C" w:rsidRDefault="00F7519C" w:rsidP="00F7519C">
            <w:pPr>
              <w:jc w:val="center"/>
              <w:rPr>
                <w:rFonts w:cs="Arial"/>
                <w:szCs w:val="20"/>
                <w:u w:color="000000"/>
              </w:rPr>
            </w:pPr>
            <w:r w:rsidRPr="00F7519C">
              <w:rPr>
                <w:rFonts w:cs="Arial"/>
                <w:szCs w:val="20"/>
                <w:u w:color="000000"/>
              </w:rPr>
              <w:t>1.914.918,15</w:t>
            </w:r>
          </w:p>
        </w:tc>
        <w:tc>
          <w:tcPr>
            <w:tcW w:w="1208" w:type="dxa"/>
            <w:tcBorders>
              <w:top w:val="nil"/>
              <w:left w:val="nil"/>
              <w:bottom w:val="single" w:sz="4" w:space="0" w:color="auto"/>
              <w:right w:val="single" w:sz="4" w:space="0" w:color="auto"/>
            </w:tcBorders>
            <w:shd w:val="clear" w:color="auto" w:fill="auto"/>
            <w:noWrap/>
            <w:vAlign w:val="center"/>
          </w:tcPr>
          <w:p w14:paraId="1BF2D23E" w14:textId="77777777" w:rsidR="00F7519C" w:rsidRPr="00F7519C" w:rsidRDefault="00F7519C" w:rsidP="00F7519C">
            <w:pPr>
              <w:jc w:val="center"/>
              <w:rPr>
                <w:rFonts w:cs="Arial"/>
                <w:szCs w:val="20"/>
                <w:u w:color="000000"/>
              </w:rPr>
            </w:pPr>
            <w:r w:rsidRPr="00F7519C">
              <w:rPr>
                <w:rFonts w:cs="Arial"/>
                <w:szCs w:val="20"/>
                <w:u w:color="000000"/>
              </w:rPr>
              <w:t>1.300.000</w:t>
            </w:r>
          </w:p>
        </w:tc>
        <w:tc>
          <w:tcPr>
            <w:tcW w:w="1208" w:type="dxa"/>
            <w:tcBorders>
              <w:top w:val="nil"/>
              <w:left w:val="nil"/>
              <w:bottom w:val="single" w:sz="4" w:space="0" w:color="auto"/>
              <w:right w:val="single" w:sz="4" w:space="0" w:color="auto"/>
            </w:tcBorders>
            <w:shd w:val="clear" w:color="auto" w:fill="auto"/>
            <w:noWrap/>
            <w:vAlign w:val="center"/>
          </w:tcPr>
          <w:p w14:paraId="4D785D34" w14:textId="77777777" w:rsidR="00F7519C" w:rsidRPr="00F7519C" w:rsidRDefault="00F7519C" w:rsidP="00F7519C">
            <w:pPr>
              <w:jc w:val="center"/>
              <w:rPr>
                <w:rFonts w:cs="Arial"/>
                <w:szCs w:val="20"/>
                <w:u w:color="000000"/>
              </w:rPr>
            </w:pPr>
            <w:r w:rsidRPr="00F7519C">
              <w:rPr>
                <w:rFonts w:cs="Arial"/>
                <w:szCs w:val="20"/>
                <w:u w:color="000000"/>
              </w:rPr>
              <w:t>960.000</w:t>
            </w:r>
          </w:p>
        </w:tc>
        <w:tc>
          <w:tcPr>
            <w:tcW w:w="2642" w:type="dxa"/>
            <w:tcBorders>
              <w:top w:val="nil"/>
              <w:left w:val="nil"/>
              <w:bottom w:val="single" w:sz="4" w:space="0" w:color="auto"/>
              <w:right w:val="single" w:sz="4" w:space="0" w:color="auto"/>
            </w:tcBorders>
            <w:shd w:val="clear" w:color="auto" w:fill="auto"/>
            <w:noWrap/>
            <w:vAlign w:val="center"/>
          </w:tcPr>
          <w:p w14:paraId="1D9C7513" w14:textId="77777777" w:rsidR="00F7519C" w:rsidRPr="00F7519C" w:rsidRDefault="00F7519C" w:rsidP="00F7519C">
            <w:pPr>
              <w:jc w:val="center"/>
              <w:rPr>
                <w:rFonts w:cs="Arial"/>
                <w:szCs w:val="20"/>
                <w:u w:color="000000"/>
              </w:rPr>
            </w:pPr>
            <w:r w:rsidRPr="00F7519C">
              <w:rPr>
                <w:rFonts w:cs="Arial"/>
                <w:szCs w:val="20"/>
                <w:u w:color="000000"/>
              </w:rPr>
              <w:t>4.174.918,15</w:t>
            </w:r>
          </w:p>
        </w:tc>
      </w:tr>
      <w:tr w:rsidR="00F7519C" w:rsidRPr="00F7519C" w14:paraId="28976717" w14:textId="77777777" w:rsidTr="00234A1F">
        <w:trPr>
          <w:trHeight w:val="216"/>
        </w:trPr>
        <w:tc>
          <w:tcPr>
            <w:tcW w:w="2194" w:type="dxa"/>
            <w:tcBorders>
              <w:top w:val="nil"/>
              <w:left w:val="single" w:sz="4" w:space="0" w:color="auto"/>
              <w:bottom w:val="single" w:sz="4" w:space="0" w:color="auto"/>
              <w:right w:val="single" w:sz="4" w:space="0" w:color="auto"/>
            </w:tcBorders>
            <w:shd w:val="clear" w:color="auto" w:fill="auto"/>
            <w:noWrap/>
            <w:vAlign w:val="bottom"/>
          </w:tcPr>
          <w:p w14:paraId="4F234CFC" w14:textId="77777777" w:rsidR="00F7519C" w:rsidRPr="00F7519C" w:rsidRDefault="00F7519C" w:rsidP="00F7519C">
            <w:pPr>
              <w:jc w:val="both"/>
              <w:rPr>
                <w:rFonts w:cs="Arial"/>
                <w:szCs w:val="20"/>
                <w:u w:color="000000"/>
              </w:rPr>
            </w:pPr>
            <w:r w:rsidRPr="00F7519C">
              <w:rPr>
                <w:rFonts w:cs="Arial"/>
                <w:szCs w:val="20"/>
                <w:u w:color="000000"/>
              </w:rPr>
              <w:t xml:space="preserve">Ukrep 4 – </w:t>
            </w:r>
            <w:proofErr w:type="spellStart"/>
            <w:r w:rsidRPr="00F7519C">
              <w:rPr>
                <w:rFonts w:cs="Arial"/>
                <w:szCs w:val="20"/>
                <w:u w:color="000000"/>
              </w:rPr>
              <w:t>podukrep</w:t>
            </w:r>
            <w:proofErr w:type="spellEnd"/>
            <w:r w:rsidRPr="00F7519C">
              <w:rPr>
                <w:rFonts w:cs="Arial"/>
                <w:szCs w:val="20"/>
                <w:u w:color="000000"/>
              </w:rPr>
              <w:t xml:space="preserve"> 4.2.</w:t>
            </w:r>
          </w:p>
        </w:tc>
        <w:tc>
          <w:tcPr>
            <w:tcW w:w="1008" w:type="dxa"/>
            <w:tcBorders>
              <w:top w:val="nil"/>
              <w:left w:val="nil"/>
              <w:bottom w:val="single" w:sz="4" w:space="0" w:color="auto"/>
              <w:right w:val="single" w:sz="4" w:space="0" w:color="auto"/>
            </w:tcBorders>
            <w:shd w:val="clear" w:color="auto" w:fill="auto"/>
            <w:noWrap/>
            <w:vAlign w:val="center"/>
          </w:tcPr>
          <w:p w14:paraId="184D2C20" w14:textId="77777777" w:rsidR="00F7519C" w:rsidRPr="00F7519C" w:rsidRDefault="00F7519C" w:rsidP="00F7519C">
            <w:pPr>
              <w:jc w:val="center"/>
              <w:rPr>
                <w:rFonts w:cs="Arial"/>
                <w:szCs w:val="20"/>
                <w:u w:color="000000"/>
              </w:rPr>
            </w:pPr>
            <w:r w:rsidRPr="00F7519C">
              <w:rPr>
                <w:rFonts w:cs="Arial"/>
                <w:szCs w:val="20"/>
                <w:u w:color="000000"/>
              </w:rPr>
              <w:t>-</w:t>
            </w:r>
          </w:p>
        </w:tc>
        <w:tc>
          <w:tcPr>
            <w:tcW w:w="1208" w:type="dxa"/>
            <w:tcBorders>
              <w:top w:val="nil"/>
              <w:left w:val="nil"/>
              <w:bottom w:val="single" w:sz="4" w:space="0" w:color="auto"/>
              <w:right w:val="single" w:sz="4" w:space="0" w:color="auto"/>
            </w:tcBorders>
            <w:shd w:val="clear" w:color="auto" w:fill="auto"/>
            <w:noWrap/>
            <w:vAlign w:val="center"/>
          </w:tcPr>
          <w:p w14:paraId="63A29387" w14:textId="77777777" w:rsidR="00F7519C" w:rsidRPr="00F7519C" w:rsidRDefault="00F7519C" w:rsidP="00F7519C">
            <w:pPr>
              <w:jc w:val="center"/>
              <w:rPr>
                <w:rFonts w:cs="Arial"/>
                <w:szCs w:val="20"/>
                <w:u w:color="000000"/>
              </w:rPr>
            </w:pPr>
            <w:r w:rsidRPr="00F7519C">
              <w:rPr>
                <w:rFonts w:cs="Arial"/>
                <w:szCs w:val="20"/>
                <w:u w:color="000000"/>
              </w:rPr>
              <w:t>75.483,76</w:t>
            </w:r>
          </w:p>
        </w:tc>
        <w:tc>
          <w:tcPr>
            <w:tcW w:w="1208" w:type="dxa"/>
            <w:tcBorders>
              <w:top w:val="nil"/>
              <w:left w:val="nil"/>
              <w:bottom w:val="single" w:sz="4" w:space="0" w:color="auto"/>
              <w:right w:val="single" w:sz="4" w:space="0" w:color="auto"/>
            </w:tcBorders>
            <w:shd w:val="clear" w:color="auto" w:fill="auto"/>
            <w:noWrap/>
            <w:vAlign w:val="center"/>
          </w:tcPr>
          <w:p w14:paraId="6F027BF4" w14:textId="77777777" w:rsidR="00F7519C" w:rsidRPr="00F7519C" w:rsidRDefault="00F7519C" w:rsidP="00F7519C">
            <w:pPr>
              <w:jc w:val="center"/>
              <w:rPr>
                <w:rFonts w:cs="Arial"/>
                <w:szCs w:val="20"/>
                <w:u w:color="000000"/>
              </w:rPr>
            </w:pPr>
            <w:r w:rsidRPr="00F7519C">
              <w:rPr>
                <w:rFonts w:cs="Arial"/>
                <w:szCs w:val="20"/>
                <w:u w:color="000000"/>
              </w:rPr>
              <w:t>200.000</w:t>
            </w:r>
          </w:p>
        </w:tc>
        <w:tc>
          <w:tcPr>
            <w:tcW w:w="1208" w:type="dxa"/>
            <w:tcBorders>
              <w:top w:val="nil"/>
              <w:left w:val="nil"/>
              <w:bottom w:val="single" w:sz="4" w:space="0" w:color="auto"/>
              <w:right w:val="single" w:sz="4" w:space="0" w:color="auto"/>
            </w:tcBorders>
            <w:shd w:val="clear" w:color="auto" w:fill="auto"/>
            <w:noWrap/>
            <w:vAlign w:val="center"/>
          </w:tcPr>
          <w:p w14:paraId="4D5A3EA5" w14:textId="77777777" w:rsidR="00F7519C" w:rsidRPr="00F7519C" w:rsidRDefault="00F7519C" w:rsidP="00F7519C">
            <w:pPr>
              <w:jc w:val="center"/>
              <w:rPr>
                <w:rFonts w:cs="Arial"/>
                <w:szCs w:val="20"/>
                <w:u w:color="000000"/>
              </w:rPr>
            </w:pPr>
            <w:r w:rsidRPr="00F7519C">
              <w:rPr>
                <w:rFonts w:cs="Arial"/>
                <w:szCs w:val="20"/>
                <w:u w:color="000000"/>
              </w:rPr>
              <w:t>290.000</w:t>
            </w:r>
          </w:p>
        </w:tc>
        <w:tc>
          <w:tcPr>
            <w:tcW w:w="2642" w:type="dxa"/>
            <w:tcBorders>
              <w:top w:val="nil"/>
              <w:left w:val="nil"/>
              <w:bottom w:val="single" w:sz="4" w:space="0" w:color="auto"/>
              <w:right w:val="single" w:sz="4" w:space="0" w:color="auto"/>
            </w:tcBorders>
            <w:shd w:val="clear" w:color="auto" w:fill="auto"/>
            <w:noWrap/>
            <w:vAlign w:val="center"/>
          </w:tcPr>
          <w:p w14:paraId="1A22154A" w14:textId="77777777" w:rsidR="00F7519C" w:rsidRPr="00F7519C" w:rsidRDefault="00F7519C" w:rsidP="00F7519C">
            <w:pPr>
              <w:jc w:val="center"/>
              <w:rPr>
                <w:rFonts w:cs="Arial"/>
                <w:szCs w:val="20"/>
                <w:u w:color="000000"/>
              </w:rPr>
            </w:pPr>
            <w:r w:rsidRPr="00F7519C">
              <w:rPr>
                <w:rFonts w:cs="Arial"/>
                <w:szCs w:val="20"/>
                <w:u w:color="000000"/>
              </w:rPr>
              <w:t>565.483,76</w:t>
            </w:r>
          </w:p>
        </w:tc>
      </w:tr>
      <w:tr w:rsidR="00F7519C" w:rsidRPr="00F7519C" w14:paraId="788F92FC" w14:textId="77777777" w:rsidTr="00234A1F">
        <w:trPr>
          <w:trHeight w:val="1521"/>
        </w:trPr>
        <w:tc>
          <w:tcPr>
            <w:tcW w:w="2194" w:type="dxa"/>
            <w:tcBorders>
              <w:top w:val="nil"/>
              <w:left w:val="single" w:sz="4" w:space="0" w:color="auto"/>
              <w:bottom w:val="single" w:sz="4" w:space="0" w:color="auto"/>
              <w:right w:val="single" w:sz="4" w:space="0" w:color="auto"/>
            </w:tcBorders>
            <w:shd w:val="clear" w:color="auto" w:fill="auto"/>
            <w:vAlign w:val="bottom"/>
            <w:hideMark/>
          </w:tcPr>
          <w:p w14:paraId="535AA177" w14:textId="77777777" w:rsidR="00F7519C" w:rsidRPr="00F7519C" w:rsidRDefault="00F7519C" w:rsidP="00F7519C">
            <w:pPr>
              <w:jc w:val="both"/>
              <w:rPr>
                <w:rFonts w:cs="Arial"/>
                <w:szCs w:val="20"/>
                <w:u w:color="000000"/>
              </w:rPr>
            </w:pPr>
            <w:r w:rsidRPr="00F7519C">
              <w:rPr>
                <w:rFonts w:cs="Arial"/>
                <w:szCs w:val="20"/>
                <w:u w:color="000000"/>
              </w:rPr>
              <w:t>SKUPNA VREDNOST UKREPOV PROGRAMA PO POSAMEZNEM PRORAČUNSKEM LETU</w:t>
            </w:r>
          </w:p>
        </w:tc>
        <w:tc>
          <w:tcPr>
            <w:tcW w:w="1008" w:type="dxa"/>
            <w:tcBorders>
              <w:top w:val="nil"/>
              <w:left w:val="nil"/>
              <w:bottom w:val="single" w:sz="4" w:space="0" w:color="auto"/>
              <w:right w:val="single" w:sz="4" w:space="0" w:color="auto"/>
            </w:tcBorders>
            <w:shd w:val="clear" w:color="auto" w:fill="auto"/>
            <w:noWrap/>
            <w:vAlign w:val="center"/>
            <w:hideMark/>
          </w:tcPr>
          <w:p w14:paraId="56F13057" w14:textId="77777777" w:rsidR="00F7519C" w:rsidRPr="00F7519C" w:rsidRDefault="00F7519C" w:rsidP="00F7519C">
            <w:pPr>
              <w:jc w:val="center"/>
              <w:rPr>
                <w:rFonts w:cs="Arial"/>
                <w:szCs w:val="20"/>
                <w:u w:color="000000"/>
              </w:rPr>
            </w:pPr>
            <w:r w:rsidRPr="00F7519C">
              <w:rPr>
                <w:rFonts w:cs="Arial"/>
                <w:szCs w:val="20"/>
                <w:u w:color="000000"/>
              </w:rPr>
              <w:t>700.000</w:t>
            </w:r>
          </w:p>
        </w:tc>
        <w:tc>
          <w:tcPr>
            <w:tcW w:w="1208" w:type="dxa"/>
            <w:tcBorders>
              <w:top w:val="nil"/>
              <w:left w:val="nil"/>
              <w:bottom w:val="single" w:sz="4" w:space="0" w:color="auto"/>
              <w:right w:val="single" w:sz="4" w:space="0" w:color="auto"/>
            </w:tcBorders>
            <w:shd w:val="clear" w:color="auto" w:fill="auto"/>
            <w:noWrap/>
            <w:vAlign w:val="center"/>
            <w:hideMark/>
          </w:tcPr>
          <w:p w14:paraId="7DD858D6" w14:textId="77777777" w:rsidR="00F7519C" w:rsidRPr="00F7519C" w:rsidRDefault="00F7519C" w:rsidP="00F7519C">
            <w:pPr>
              <w:jc w:val="center"/>
              <w:rPr>
                <w:rFonts w:cs="Arial"/>
                <w:szCs w:val="20"/>
                <w:u w:color="000000"/>
              </w:rPr>
            </w:pPr>
            <w:r w:rsidRPr="00F7519C">
              <w:rPr>
                <w:rFonts w:cs="Arial"/>
                <w:szCs w:val="20"/>
                <w:u w:color="000000"/>
              </w:rPr>
              <w:t>2.658.406,4</w:t>
            </w:r>
          </w:p>
        </w:tc>
        <w:tc>
          <w:tcPr>
            <w:tcW w:w="1208" w:type="dxa"/>
            <w:tcBorders>
              <w:top w:val="nil"/>
              <w:left w:val="nil"/>
              <w:bottom w:val="single" w:sz="4" w:space="0" w:color="auto"/>
              <w:right w:val="single" w:sz="4" w:space="0" w:color="auto"/>
            </w:tcBorders>
            <w:shd w:val="clear" w:color="auto" w:fill="auto"/>
            <w:noWrap/>
            <w:vAlign w:val="center"/>
            <w:hideMark/>
          </w:tcPr>
          <w:p w14:paraId="6FD504C6" w14:textId="77777777" w:rsidR="00F7519C" w:rsidRPr="00F7519C" w:rsidRDefault="00F7519C" w:rsidP="00F7519C">
            <w:pPr>
              <w:jc w:val="center"/>
              <w:rPr>
                <w:rFonts w:cs="Arial"/>
                <w:szCs w:val="20"/>
                <w:u w:color="000000"/>
              </w:rPr>
            </w:pPr>
            <w:r w:rsidRPr="00F7519C">
              <w:rPr>
                <w:rFonts w:cs="Arial"/>
                <w:szCs w:val="20"/>
                <w:u w:color="000000"/>
              </w:rPr>
              <w:t>2.200.000</w:t>
            </w:r>
          </w:p>
        </w:tc>
        <w:tc>
          <w:tcPr>
            <w:tcW w:w="1208" w:type="dxa"/>
            <w:tcBorders>
              <w:top w:val="nil"/>
              <w:left w:val="nil"/>
              <w:bottom w:val="single" w:sz="4" w:space="0" w:color="auto"/>
              <w:right w:val="single" w:sz="4" w:space="0" w:color="auto"/>
            </w:tcBorders>
            <w:shd w:val="clear" w:color="auto" w:fill="auto"/>
            <w:noWrap/>
            <w:vAlign w:val="center"/>
            <w:hideMark/>
          </w:tcPr>
          <w:p w14:paraId="5A2503A8" w14:textId="77777777" w:rsidR="00F7519C" w:rsidRPr="00F7519C" w:rsidRDefault="00F7519C" w:rsidP="00F7519C">
            <w:pPr>
              <w:jc w:val="center"/>
              <w:rPr>
                <w:rFonts w:cs="Arial"/>
                <w:szCs w:val="20"/>
                <w:u w:color="000000"/>
              </w:rPr>
            </w:pPr>
            <w:r w:rsidRPr="00F7519C">
              <w:rPr>
                <w:rFonts w:cs="Arial"/>
                <w:szCs w:val="20"/>
                <w:u w:color="000000"/>
              </w:rPr>
              <w:t>1.981.995,51</w:t>
            </w:r>
          </w:p>
        </w:tc>
        <w:tc>
          <w:tcPr>
            <w:tcW w:w="2642" w:type="dxa"/>
            <w:tcBorders>
              <w:top w:val="nil"/>
              <w:left w:val="nil"/>
              <w:bottom w:val="single" w:sz="4" w:space="0" w:color="auto"/>
              <w:right w:val="single" w:sz="4" w:space="0" w:color="auto"/>
            </w:tcBorders>
            <w:shd w:val="clear" w:color="auto" w:fill="auto"/>
            <w:noWrap/>
            <w:vAlign w:val="bottom"/>
            <w:hideMark/>
          </w:tcPr>
          <w:p w14:paraId="590A3B3E" w14:textId="77777777" w:rsidR="00F7519C" w:rsidRPr="00F7519C" w:rsidRDefault="00F7519C" w:rsidP="00F7519C">
            <w:pPr>
              <w:jc w:val="center"/>
              <w:rPr>
                <w:rFonts w:cs="Arial"/>
                <w:szCs w:val="20"/>
                <w:u w:color="000000"/>
              </w:rPr>
            </w:pPr>
          </w:p>
        </w:tc>
      </w:tr>
      <w:tr w:rsidR="00F7519C" w:rsidRPr="00F7519C" w14:paraId="71183DAB" w14:textId="77777777" w:rsidTr="00234A1F">
        <w:trPr>
          <w:trHeight w:val="434"/>
        </w:trPr>
        <w:tc>
          <w:tcPr>
            <w:tcW w:w="2194" w:type="dxa"/>
            <w:tcBorders>
              <w:top w:val="nil"/>
              <w:left w:val="single" w:sz="4" w:space="0" w:color="auto"/>
              <w:bottom w:val="single" w:sz="4" w:space="0" w:color="auto"/>
              <w:right w:val="single" w:sz="4" w:space="0" w:color="auto"/>
            </w:tcBorders>
            <w:shd w:val="clear" w:color="auto" w:fill="auto"/>
            <w:vAlign w:val="bottom"/>
            <w:hideMark/>
          </w:tcPr>
          <w:p w14:paraId="3706C91B" w14:textId="77777777" w:rsidR="00F7519C" w:rsidRPr="00F7519C" w:rsidRDefault="00F7519C" w:rsidP="00F7519C">
            <w:pPr>
              <w:jc w:val="both"/>
              <w:rPr>
                <w:rFonts w:cs="Arial"/>
                <w:szCs w:val="20"/>
                <w:u w:color="000000"/>
              </w:rPr>
            </w:pPr>
            <w:r w:rsidRPr="00F7519C">
              <w:rPr>
                <w:rFonts w:cs="Arial"/>
                <w:szCs w:val="20"/>
                <w:u w:color="000000"/>
              </w:rPr>
              <w:t xml:space="preserve">SKUPAJ VREDNOST PROGRAMA </w:t>
            </w:r>
          </w:p>
        </w:tc>
        <w:tc>
          <w:tcPr>
            <w:tcW w:w="4632" w:type="dxa"/>
            <w:gridSpan w:val="4"/>
            <w:tcBorders>
              <w:top w:val="single" w:sz="4" w:space="0" w:color="auto"/>
              <w:left w:val="nil"/>
              <w:bottom w:val="single" w:sz="4" w:space="0" w:color="auto"/>
              <w:right w:val="single" w:sz="4" w:space="0" w:color="auto"/>
            </w:tcBorders>
            <w:shd w:val="clear" w:color="auto" w:fill="auto"/>
            <w:noWrap/>
            <w:vAlign w:val="center"/>
            <w:hideMark/>
          </w:tcPr>
          <w:p w14:paraId="1A5DD885" w14:textId="77777777" w:rsidR="00F7519C" w:rsidRPr="00F7519C" w:rsidRDefault="00F7519C" w:rsidP="00F7519C">
            <w:pPr>
              <w:jc w:val="center"/>
              <w:rPr>
                <w:rFonts w:cs="Arial"/>
                <w:bCs/>
                <w:szCs w:val="20"/>
                <w:u w:color="000000"/>
              </w:rPr>
            </w:pPr>
            <w:r w:rsidRPr="00F7519C">
              <w:rPr>
                <w:rFonts w:cs="Arial"/>
                <w:bCs/>
                <w:szCs w:val="20"/>
                <w:u w:color="000000"/>
              </w:rPr>
              <w:t>7.540.401,91</w:t>
            </w:r>
          </w:p>
        </w:tc>
        <w:tc>
          <w:tcPr>
            <w:tcW w:w="2642" w:type="dxa"/>
            <w:tcBorders>
              <w:top w:val="nil"/>
              <w:left w:val="nil"/>
              <w:bottom w:val="single" w:sz="4" w:space="0" w:color="auto"/>
              <w:right w:val="single" w:sz="4" w:space="0" w:color="auto"/>
            </w:tcBorders>
            <w:shd w:val="clear" w:color="auto" w:fill="auto"/>
            <w:noWrap/>
            <w:vAlign w:val="bottom"/>
            <w:hideMark/>
          </w:tcPr>
          <w:p w14:paraId="1D481347" w14:textId="77777777" w:rsidR="00F7519C" w:rsidRPr="00F7519C" w:rsidRDefault="00F7519C" w:rsidP="00F7519C">
            <w:pPr>
              <w:jc w:val="both"/>
              <w:rPr>
                <w:rFonts w:cs="Arial"/>
                <w:szCs w:val="20"/>
                <w:u w:color="000000"/>
              </w:rPr>
            </w:pPr>
            <w:r w:rsidRPr="00F7519C">
              <w:rPr>
                <w:rFonts w:cs="Arial"/>
                <w:szCs w:val="20"/>
                <w:u w:color="000000"/>
              </w:rPr>
              <w:t> </w:t>
            </w:r>
          </w:p>
        </w:tc>
      </w:tr>
    </w:tbl>
    <w:p w14:paraId="4A02AFC6" w14:textId="77777777" w:rsidR="00F7519C" w:rsidRPr="00F7519C" w:rsidRDefault="00730285" w:rsidP="00730285">
      <w:pPr>
        <w:keepNext/>
        <w:keepLines/>
        <w:ind w:right="-427"/>
        <w:jc w:val="right"/>
        <w:outlineLvl w:val="0"/>
        <w:rPr>
          <w:rFonts w:cs="Arial"/>
          <w:szCs w:val="20"/>
          <w:lang w:eastAsia="sl-SI"/>
        </w:rPr>
      </w:pPr>
      <w:r>
        <w:rPr>
          <w:rFonts w:cs="Arial"/>
          <w:szCs w:val="20"/>
          <w:lang w:eastAsia="sl-SI"/>
        </w:rPr>
        <w:t xml:space="preserve"> </w:t>
      </w:r>
      <w:r w:rsidR="00F7519C" w:rsidRPr="00F7519C">
        <w:rPr>
          <w:rFonts w:cs="Arial"/>
          <w:szCs w:val="20"/>
          <w:lang w:eastAsia="sl-SI"/>
        </w:rPr>
        <w:t>«.</w:t>
      </w:r>
    </w:p>
    <w:p w14:paraId="641E1313" w14:textId="77777777" w:rsidR="00591C95" w:rsidRPr="00F7519C" w:rsidRDefault="00591C95" w:rsidP="00F7519C">
      <w:pPr>
        <w:tabs>
          <w:tab w:val="left" w:pos="7920"/>
        </w:tabs>
        <w:autoSpaceDE w:val="0"/>
        <w:autoSpaceDN w:val="0"/>
        <w:adjustRightInd w:val="0"/>
        <w:jc w:val="both"/>
        <w:rPr>
          <w:rFonts w:cs="Arial"/>
          <w:color w:val="000000"/>
          <w:szCs w:val="20"/>
        </w:rPr>
      </w:pPr>
    </w:p>
    <w:p w14:paraId="70CE9910" w14:textId="77777777" w:rsidR="00591C95" w:rsidRPr="00F7519C" w:rsidRDefault="00591C95" w:rsidP="00F7519C">
      <w:pPr>
        <w:tabs>
          <w:tab w:val="left" w:pos="7920"/>
        </w:tabs>
        <w:autoSpaceDE w:val="0"/>
        <w:autoSpaceDN w:val="0"/>
        <w:adjustRightInd w:val="0"/>
        <w:jc w:val="both"/>
        <w:rPr>
          <w:rFonts w:cs="Arial"/>
          <w:color w:val="000000"/>
          <w:szCs w:val="20"/>
        </w:rPr>
      </w:pPr>
    </w:p>
    <w:p w14:paraId="40D300DC" w14:textId="77777777" w:rsidR="00591C95" w:rsidRPr="00F7519C" w:rsidRDefault="00591C95" w:rsidP="00F7519C">
      <w:pPr>
        <w:jc w:val="both"/>
        <w:rPr>
          <w:rFonts w:cs="Arial"/>
          <w:iCs/>
          <w:color w:val="000000"/>
          <w:szCs w:val="20"/>
        </w:rPr>
      </w:pPr>
    </w:p>
    <w:p w14:paraId="79D4D01C" w14:textId="77777777" w:rsidR="00591C95" w:rsidRPr="00F7519C" w:rsidRDefault="00591C95" w:rsidP="00F7519C">
      <w:pPr>
        <w:rPr>
          <w:rFonts w:cs="Arial"/>
          <w:szCs w:val="20"/>
        </w:rPr>
      </w:pPr>
    </w:p>
    <w:p w14:paraId="7440BA5B" w14:textId="77777777" w:rsidR="003636EA" w:rsidRPr="00F7519C" w:rsidRDefault="003636EA" w:rsidP="00F7519C">
      <w:pPr>
        <w:tabs>
          <w:tab w:val="left" w:pos="7920"/>
        </w:tabs>
        <w:autoSpaceDE w:val="0"/>
        <w:autoSpaceDN w:val="0"/>
        <w:adjustRightInd w:val="0"/>
        <w:jc w:val="both"/>
        <w:rPr>
          <w:rFonts w:cs="Arial"/>
          <w:color w:val="000000"/>
          <w:szCs w:val="20"/>
        </w:rPr>
      </w:pPr>
    </w:p>
    <w:p w14:paraId="723A1C62" w14:textId="77777777" w:rsidR="003636EA" w:rsidRPr="00F7519C" w:rsidRDefault="003636EA" w:rsidP="00F7519C">
      <w:pPr>
        <w:tabs>
          <w:tab w:val="left" w:pos="7920"/>
        </w:tabs>
        <w:autoSpaceDE w:val="0"/>
        <w:autoSpaceDN w:val="0"/>
        <w:adjustRightInd w:val="0"/>
        <w:jc w:val="both"/>
        <w:rPr>
          <w:rFonts w:cs="Arial"/>
          <w:color w:val="000000"/>
          <w:szCs w:val="20"/>
        </w:rPr>
      </w:pPr>
    </w:p>
    <w:p w14:paraId="3A5FC806" w14:textId="77777777" w:rsidR="003636EA" w:rsidRPr="00F7519C" w:rsidRDefault="003636EA" w:rsidP="00F7519C">
      <w:pPr>
        <w:tabs>
          <w:tab w:val="left" w:pos="7920"/>
        </w:tabs>
        <w:autoSpaceDE w:val="0"/>
        <w:autoSpaceDN w:val="0"/>
        <w:adjustRightInd w:val="0"/>
        <w:ind w:left="3400"/>
        <w:rPr>
          <w:rFonts w:cs="Arial"/>
          <w:color w:val="000000"/>
          <w:szCs w:val="20"/>
        </w:rPr>
      </w:pPr>
    </w:p>
    <w:p w14:paraId="078961BA" w14:textId="77777777" w:rsidR="003636EA" w:rsidRPr="00F7519C" w:rsidRDefault="003636EA" w:rsidP="00F7519C">
      <w:pPr>
        <w:tabs>
          <w:tab w:val="left" w:pos="5570"/>
        </w:tabs>
        <w:autoSpaceDE w:val="0"/>
        <w:autoSpaceDN w:val="0"/>
        <w:adjustRightInd w:val="0"/>
        <w:jc w:val="both"/>
        <w:rPr>
          <w:rFonts w:cs="Arial"/>
          <w:color w:val="000000"/>
          <w:szCs w:val="20"/>
        </w:rPr>
      </w:pPr>
    </w:p>
    <w:sectPr w:rsidR="003636EA" w:rsidRPr="00F7519C" w:rsidSect="005C3E50">
      <w:headerReference w:type="even" r:id="rId7"/>
      <w:headerReference w:type="default" r:id="rId8"/>
      <w:footerReference w:type="even" r:id="rId9"/>
      <w:footerReference w:type="default" r:id="rId10"/>
      <w:headerReference w:type="first" r:id="rId11"/>
      <w:footerReference w:type="first" r:id="rId12"/>
      <w:pgSz w:w="11906" w:h="16838"/>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98FCC1" w14:textId="77777777" w:rsidR="00F86EE0" w:rsidRDefault="00F86EE0" w:rsidP="00767987">
      <w:pPr>
        <w:spacing w:line="240" w:lineRule="auto"/>
      </w:pPr>
      <w:r>
        <w:separator/>
      </w:r>
    </w:p>
  </w:endnote>
  <w:endnote w:type="continuationSeparator" w:id="0">
    <w:p w14:paraId="359D3A1B" w14:textId="77777777" w:rsidR="00F86EE0" w:rsidRDefault="00F86EE0" w:rsidP="00767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DAEAD" w14:textId="77777777" w:rsidR="00DA6DBE" w:rsidRDefault="00DA6DBE">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5608314"/>
      <w:docPartObj>
        <w:docPartGallery w:val="Page Numbers (Bottom of Page)"/>
        <w:docPartUnique/>
      </w:docPartObj>
    </w:sdtPr>
    <w:sdtEndPr/>
    <w:sdtContent>
      <w:p w14:paraId="397B9111" w14:textId="77777777" w:rsidR="00E37094" w:rsidRDefault="00E37094">
        <w:pPr>
          <w:pStyle w:val="Noga"/>
          <w:jc w:val="right"/>
        </w:pPr>
        <w:r>
          <w:fldChar w:fldCharType="begin"/>
        </w:r>
        <w:r>
          <w:instrText>PAGE   \* MERGEFORMAT</w:instrText>
        </w:r>
        <w:r>
          <w:fldChar w:fldCharType="separate"/>
        </w:r>
        <w:r w:rsidR="00030305">
          <w:rPr>
            <w:noProof/>
          </w:rPr>
          <w:t>11</w:t>
        </w:r>
        <w:r>
          <w:fldChar w:fldCharType="end"/>
        </w:r>
      </w:p>
    </w:sdtContent>
  </w:sdt>
  <w:p w14:paraId="54790274" w14:textId="77777777" w:rsidR="00E37094" w:rsidRDefault="00E37094">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378B6" w14:textId="77777777" w:rsidR="00552E5C" w:rsidRDefault="00552E5C" w:rsidP="00B01357">
    <w:pPr>
      <w:pStyle w:val="Noga"/>
      <w:jc w:val="right"/>
    </w:pPr>
  </w:p>
  <w:p w14:paraId="3E6ACCDD" w14:textId="77777777" w:rsidR="006C69EC" w:rsidRDefault="006C69EC">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917E34" w14:textId="77777777" w:rsidR="00F86EE0" w:rsidRDefault="00F86EE0" w:rsidP="00767987">
      <w:pPr>
        <w:spacing w:line="240" w:lineRule="auto"/>
      </w:pPr>
      <w:r>
        <w:separator/>
      </w:r>
    </w:p>
  </w:footnote>
  <w:footnote w:type="continuationSeparator" w:id="0">
    <w:p w14:paraId="0E1C78C3" w14:textId="77777777" w:rsidR="00F86EE0" w:rsidRDefault="00F86EE0" w:rsidP="0076798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26AB3" w14:textId="77777777" w:rsidR="00DA6DBE" w:rsidRDefault="00DA6DBE">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B3649" w14:textId="77777777" w:rsidR="00DA6DBE" w:rsidRDefault="00DA6DBE">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1052E" w14:textId="77777777" w:rsidR="005C3E50" w:rsidRPr="00A9231D" w:rsidRDefault="005C3E50" w:rsidP="005C3E50">
    <w:pPr>
      <w:pStyle w:val="Glava"/>
      <w:tabs>
        <w:tab w:val="clear" w:pos="4536"/>
        <w:tab w:val="clear" w:pos="9072"/>
        <w:tab w:val="left" w:pos="5112"/>
        <w:tab w:val="left" w:pos="8641"/>
      </w:tabs>
      <w:spacing w:before="340" w:line="240" w:lineRule="exact"/>
      <w:ind w:left="-765"/>
      <w:rPr>
        <w:rFonts w:cs="Arial"/>
        <w:sz w:val="16"/>
      </w:rPr>
    </w:pPr>
    <w:r w:rsidRPr="00CE234E">
      <w:rPr>
        <w:noProof/>
        <w:lang w:eastAsia="sl-SI"/>
      </w:rPr>
      <w:drawing>
        <wp:inline distT="0" distB="0" distL="0" distR="0" wp14:anchorId="2114A3F6" wp14:editId="2FE2C8AB">
          <wp:extent cx="2165350" cy="325120"/>
          <wp:effectExtent l="0" t="0" r="6350" b="0"/>
          <wp:docPr id="2" name="Slika 2"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16D07DDF" w14:textId="77777777" w:rsidR="005C3E50" w:rsidRPr="00A9231D" w:rsidRDefault="005C3E50" w:rsidP="005C3E50">
    <w:pPr>
      <w:pStyle w:val="Glava"/>
      <w:tabs>
        <w:tab w:val="clear" w:pos="4536"/>
        <w:tab w:val="clear" w:pos="9072"/>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14:paraId="5779846A" w14:textId="77777777"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F: +386 1 478 1607</w:t>
    </w:r>
  </w:p>
  <w:p w14:paraId="6BD9BD62" w14:textId="77777777"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E: gp.gs@gov.si</w:t>
    </w:r>
  </w:p>
  <w:p w14:paraId="1B434181" w14:textId="77777777"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http://www.vlada.si/</w:t>
    </w:r>
  </w:p>
  <w:p w14:paraId="7E34B0BA" w14:textId="77777777" w:rsidR="006C69EC" w:rsidRDefault="006C69E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818"/>
    <w:multiLevelType w:val="hybridMultilevel"/>
    <w:tmpl w:val="4FC24E8A"/>
    <w:lvl w:ilvl="0" w:tplc="FFFFFFFF">
      <w:start w:val="49"/>
      <w:numFmt w:val="bullet"/>
      <w:lvlText w:val=""/>
      <w:lvlJc w:val="left"/>
      <w:pPr>
        <w:ind w:left="720" w:hanging="360"/>
      </w:pPr>
      <w:rPr>
        <w:rFonts w:ascii="Symbol" w:eastAsia="Times New Roman" w:hAnsi="Symbol" w:cs="Times New Roman" w:hint="default"/>
      </w:rPr>
    </w:lvl>
    <w:lvl w:ilvl="1" w:tplc="6F2C66EC">
      <w:numFmt w:val="bullet"/>
      <w:lvlText w:val="−"/>
      <w:lvlJc w:val="left"/>
      <w:pPr>
        <w:ind w:left="1440" w:hanging="360"/>
      </w:pPr>
      <w:rPr>
        <w:rFonts w:ascii="Arial" w:eastAsia="Times New Roman"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3B06A9A"/>
    <w:multiLevelType w:val="hybridMultilevel"/>
    <w:tmpl w:val="E8222842"/>
    <w:lvl w:ilvl="0" w:tplc="2344465A">
      <w:start w:val="1"/>
      <w:numFmt w:val="bullet"/>
      <w:lvlText w:val="–"/>
      <w:lvlJc w:val="left"/>
      <w:pPr>
        <w:ind w:left="1428" w:hanging="720"/>
      </w:pPr>
      <w:rPr>
        <w:rFonts w:ascii="Calibri" w:hAnsi="Calibri"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 w15:restartNumberingAfterBreak="0">
    <w:nsid w:val="269C6A0C"/>
    <w:multiLevelType w:val="multilevel"/>
    <w:tmpl w:val="5A083BE4"/>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92F36A3"/>
    <w:multiLevelType w:val="multilevel"/>
    <w:tmpl w:val="7E7A9152"/>
    <w:lvl w:ilvl="0">
      <w:start w:val="1"/>
      <w:numFmt w:val="lowerLetter"/>
      <w:lvlText w:val="%1."/>
      <w:lvlJc w:val="left"/>
      <w:pPr>
        <w:tabs>
          <w:tab w:val="num" w:pos="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AE4D39"/>
    <w:multiLevelType w:val="multilevel"/>
    <w:tmpl w:val="AB8CCA2C"/>
    <w:lvl w:ilvl="0">
      <w:start w:val="1"/>
      <w:numFmt w:val="upperLetter"/>
      <w:lvlText w:val="%1."/>
      <w:lvlJc w:val="left"/>
      <w:pPr>
        <w:tabs>
          <w:tab w:val="num" w:pos="0"/>
        </w:tabs>
        <w:ind w:left="7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B728ED"/>
    <w:multiLevelType w:val="multilevel"/>
    <w:tmpl w:val="9FC60BC8"/>
    <w:lvl w:ilvl="0">
      <w:start w:val="1"/>
      <w:numFmt w:val="bullet"/>
      <w:lvlText w:val="­"/>
      <w:lvlJc w:val="left"/>
      <w:pPr>
        <w:tabs>
          <w:tab w:val="num" w:pos="0"/>
        </w:tabs>
        <w:ind w:left="720" w:hanging="360"/>
      </w:pPr>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5F7568"/>
    <w:multiLevelType w:val="hybridMultilevel"/>
    <w:tmpl w:val="CA26B806"/>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7" w15:restartNumberingAfterBreak="0">
    <w:nsid w:val="49086B88"/>
    <w:multiLevelType w:val="hybridMultilevel"/>
    <w:tmpl w:val="2F24F0C2"/>
    <w:lvl w:ilvl="0" w:tplc="106A19E8">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C080309"/>
    <w:multiLevelType w:val="hybridMultilevel"/>
    <w:tmpl w:val="596E5182"/>
    <w:lvl w:ilvl="0" w:tplc="795AEB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5583524C"/>
    <w:multiLevelType w:val="hybridMultilevel"/>
    <w:tmpl w:val="D07CA032"/>
    <w:lvl w:ilvl="0" w:tplc="5684846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C9354A"/>
    <w:multiLevelType w:val="hybridMultilevel"/>
    <w:tmpl w:val="177405C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B761028"/>
    <w:multiLevelType w:val="hybridMultilevel"/>
    <w:tmpl w:val="2440FF34"/>
    <w:lvl w:ilvl="0" w:tplc="68AADA7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326732A"/>
    <w:multiLevelType w:val="multilevel"/>
    <w:tmpl w:val="A4F6F6F4"/>
    <w:lvl w:ilvl="0">
      <w:start w:val="1"/>
      <w:numFmt w:val="upperLetter"/>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5EB237B"/>
    <w:multiLevelType w:val="hybridMultilevel"/>
    <w:tmpl w:val="7B7CE352"/>
    <w:lvl w:ilvl="0" w:tplc="E8825B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B155255"/>
    <w:multiLevelType w:val="multilevel"/>
    <w:tmpl w:val="163EA6CA"/>
    <w:lvl w:ilvl="0">
      <w:start w:val="1"/>
      <w:numFmt w:val="bullet"/>
      <w:lvlText w:val=""/>
      <w:lvlJc w:val="left"/>
      <w:pPr>
        <w:tabs>
          <w:tab w:val="num" w:pos="0"/>
        </w:tabs>
        <w:ind w:left="720" w:hanging="360"/>
      </w:pPr>
      <w:rPr>
        <w:rFonts w:ascii="Symbol" w:hAnsi="Symbol" w:hint="default"/>
        <w:b/>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CB931C3"/>
    <w:multiLevelType w:val="hybridMultilevel"/>
    <w:tmpl w:val="66647DFC"/>
    <w:lvl w:ilvl="0" w:tplc="2344465A">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num w:numId="1">
    <w:abstractNumId w:val="16"/>
  </w:num>
  <w:num w:numId="2">
    <w:abstractNumId w:val="8"/>
  </w:num>
  <w:num w:numId="3">
    <w:abstractNumId w:val="9"/>
  </w:num>
  <w:num w:numId="4">
    <w:abstractNumId w:val="13"/>
  </w:num>
  <w:num w:numId="5">
    <w:abstractNumId w:val="0"/>
  </w:num>
  <w:num w:numId="6">
    <w:abstractNumId w:val="6"/>
  </w:num>
  <w:num w:numId="7">
    <w:abstractNumId w:val="11"/>
  </w:num>
  <w:num w:numId="8">
    <w:abstractNumId w:val="10"/>
  </w:num>
  <w:num w:numId="9">
    <w:abstractNumId w:val="4"/>
  </w:num>
  <w:num w:numId="10">
    <w:abstractNumId w:val="12"/>
  </w:num>
  <w:num w:numId="11">
    <w:abstractNumId w:val="14"/>
  </w:num>
  <w:num w:numId="12">
    <w:abstractNumId w:val="5"/>
  </w:num>
  <w:num w:numId="13">
    <w:abstractNumId w:val="3"/>
  </w:num>
  <w:num w:numId="14">
    <w:abstractNumId w:val="2"/>
  </w:num>
  <w:num w:numId="15">
    <w:abstractNumId w:val="7"/>
  </w:num>
  <w:num w:numId="16">
    <w:abstractNumId w:val="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CE"/>
    <w:rsid w:val="00030305"/>
    <w:rsid w:val="00044DDB"/>
    <w:rsid w:val="00055314"/>
    <w:rsid w:val="000718ED"/>
    <w:rsid w:val="000B3FE6"/>
    <w:rsid w:val="000E21B2"/>
    <w:rsid w:val="00111A52"/>
    <w:rsid w:val="001315B8"/>
    <w:rsid w:val="00167B6F"/>
    <w:rsid w:val="001802D8"/>
    <w:rsid w:val="00183F0F"/>
    <w:rsid w:val="001B2327"/>
    <w:rsid w:val="001D0BE5"/>
    <w:rsid w:val="00204177"/>
    <w:rsid w:val="0023318D"/>
    <w:rsid w:val="0027678D"/>
    <w:rsid w:val="00280CF5"/>
    <w:rsid w:val="002F185F"/>
    <w:rsid w:val="003636EA"/>
    <w:rsid w:val="00366636"/>
    <w:rsid w:val="00367DE6"/>
    <w:rsid w:val="003B3E19"/>
    <w:rsid w:val="003F1521"/>
    <w:rsid w:val="004076C6"/>
    <w:rsid w:val="004914E2"/>
    <w:rsid w:val="004946BD"/>
    <w:rsid w:val="004A4A44"/>
    <w:rsid w:val="004B7F76"/>
    <w:rsid w:val="004E1BCE"/>
    <w:rsid w:val="005138C1"/>
    <w:rsid w:val="00552E5C"/>
    <w:rsid w:val="005729C6"/>
    <w:rsid w:val="00591C95"/>
    <w:rsid w:val="00592079"/>
    <w:rsid w:val="005C3E50"/>
    <w:rsid w:val="00682FFE"/>
    <w:rsid w:val="00692EB6"/>
    <w:rsid w:val="00697217"/>
    <w:rsid w:val="006C69EC"/>
    <w:rsid w:val="006D17B5"/>
    <w:rsid w:val="006E091A"/>
    <w:rsid w:val="007039D0"/>
    <w:rsid w:val="00710C90"/>
    <w:rsid w:val="00717DDF"/>
    <w:rsid w:val="00730285"/>
    <w:rsid w:val="00767987"/>
    <w:rsid w:val="00782FD4"/>
    <w:rsid w:val="007C3F95"/>
    <w:rsid w:val="007D04F3"/>
    <w:rsid w:val="00804844"/>
    <w:rsid w:val="00811140"/>
    <w:rsid w:val="00834401"/>
    <w:rsid w:val="008769E7"/>
    <w:rsid w:val="008A27E1"/>
    <w:rsid w:val="008A3F94"/>
    <w:rsid w:val="008D30A8"/>
    <w:rsid w:val="00904A48"/>
    <w:rsid w:val="00934944"/>
    <w:rsid w:val="009447A0"/>
    <w:rsid w:val="00980294"/>
    <w:rsid w:val="009818D6"/>
    <w:rsid w:val="009C217D"/>
    <w:rsid w:val="009C5392"/>
    <w:rsid w:val="009E0C40"/>
    <w:rsid w:val="009F7668"/>
    <w:rsid w:val="00A35C54"/>
    <w:rsid w:val="00A50E4B"/>
    <w:rsid w:val="00A715DC"/>
    <w:rsid w:val="00A87AF3"/>
    <w:rsid w:val="00A9231D"/>
    <w:rsid w:val="00A928F9"/>
    <w:rsid w:val="00AA13D8"/>
    <w:rsid w:val="00AA3AA7"/>
    <w:rsid w:val="00B01357"/>
    <w:rsid w:val="00B150EC"/>
    <w:rsid w:val="00B15EFB"/>
    <w:rsid w:val="00B40287"/>
    <w:rsid w:val="00B47B8B"/>
    <w:rsid w:val="00BC1E5F"/>
    <w:rsid w:val="00BC4830"/>
    <w:rsid w:val="00BD41EA"/>
    <w:rsid w:val="00C0216A"/>
    <w:rsid w:val="00C70FA1"/>
    <w:rsid w:val="00CA1460"/>
    <w:rsid w:val="00CA592A"/>
    <w:rsid w:val="00CB643D"/>
    <w:rsid w:val="00CB7053"/>
    <w:rsid w:val="00CC6C23"/>
    <w:rsid w:val="00CD4C61"/>
    <w:rsid w:val="00CD6077"/>
    <w:rsid w:val="00CE234E"/>
    <w:rsid w:val="00D02973"/>
    <w:rsid w:val="00D03942"/>
    <w:rsid w:val="00D24F52"/>
    <w:rsid w:val="00D27C2A"/>
    <w:rsid w:val="00D47E98"/>
    <w:rsid w:val="00D73221"/>
    <w:rsid w:val="00DA09BE"/>
    <w:rsid w:val="00DA6DBE"/>
    <w:rsid w:val="00DB56BF"/>
    <w:rsid w:val="00DE3553"/>
    <w:rsid w:val="00DF5369"/>
    <w:rsid w:val="00E30579"/>
    <w:rsid w:val="00E37094"/>
    <w:rsid w:val="00EC65E1"/>
    <w:rsid w:val="00EE6686"/>
    <w:rsid w:val="00F46C2D"/>
    <w:rsid w:val="00F7519C"/>
    <w:rsid w:val="00F8444F"/>
    <w:rsid w:val="00F86EE0"/>
    <w:rsid w:val="00FB00DD"/>
    <w:rsid w:val="00FE1680"/>
  </w:rsids>
  <m:mathPr>
    <m:mathFont m:val="Cambria Math"/>
    <m:brkBin m:val="before"/>
    <m:brkBinSub m:val="--"/>
    <m:smallFrac m:val="0"/>
    <m:dispDef/>
    <m:lMargin m:val="0"/>
    <m:rMargin m:val="0"/>
    <m:defJc m:val="centerGroup"/>
    <m:wrapIndent m:val="1440"/>
    <m:intLim m:val="subSup"/>
    <m:naryLim m:val="undOvr"/>
  </m:mathPr>
  <w:themeFontLang w:val="sl-SI" w:bidi="s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C7A43"/>
  <w15:chartTrackingRefBased/>
  <w15:docId w15:val="{A289029D-D534-4CF9-8555-38669BE2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A3F94"/>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767987"/>
    <w:pPr>
      <w:tabs>
        <w:tab w:val="left" w:pos="1701"/>
      </w:tabs>
    </w:pPr>
    <w:rPr>
      <w:szCs w:val="20"/>
      <w:lang w:eastAsia="sl-SI"/>
    </w:rPr>
  </w:style>
  <w:style w:type="paragraph" w:styleId="Glava">
    <w:name w:val="header"/>
    <w:basedOn w:val="Navaden"/>
    <w:link w:val="GlavaZnak"/>
    <w:unhideWhenUsed/>
    <w:rsid w:val="00767987"/>
    <w:pPr>
      <w:tabs>
        <w:tab w:val="center" w:pos="4536"/>
        <w:tab w:val="right" w:pos="9072"/>
      </w:tabs>
      <w:spacing w:line="240" w:lineRule="auto"/>
    </w:pPr>
  </w:style>
  <w:style w:type="character" w:customStyle="1" w:styleId="GlavaZnak">
    <w:name w:val="Glava Znak"/>
    <w:basedOn w:val="Privzetapisavaodstavka"/>
    <w:link w:val="Glava"/>
    <w:rsid w:val="00767987"/>
  </w:style>
  <w:style w:type="paragraph" w:styleId="Noga">
    <w:name w:val="footer"/>
    <w:basedOn w:val="Navaden"/>
    <w:link w:val="NogaZnak"/>
    <w:uiPriority w:val="99"/>
    <w:unhideWhenUsed/>
    <w:rsid w:val="00767987"/>
    <w:pPr>
      <w:tabs>
        <w:tab w:val="center" w:pos="4536"/>
        <w:tab w:val="right" w:pos="9072"/>
      </w:tabs>
      <w:spacing w:line="240" w:lineRule="auto"/>
    </w:pPr>
  </w:style>
  <w:style w:type="character" w:customStyle="1" w:styleId="NogaZnak">
    <w:name w:val="Noga Znak"/>
    <w:basedOn w:val="Privzetapisavaodstavka"/>
    <w:link w:val="Noga"/>
    <w:uiPriority w:val="99"/>
    <w:rsid w:val="00767987"/>
  </w:style>
  <w:style w:type="paragraph" w:styleId="Odstavekseznama">
    <w:name w:val="List Paragraph"/>
    <w:aliases w:val="Normal bullet 2,Bullet list,List Paragraph1,Numbered List,1st level - Bullet List Paragraph,Lettre d'introduction,Paragrafo elenco,List Paragraph11,Normal bullet 21,List Paragraph111,Bullet list1,Proposal Bullet List,TOC style,Table,EC"/>
    <w:basedOn w:val="Navaden"/>
    <w:link w:val="OdstavekseznamaZnak"/>
    <w:qFormat/>
    <w:rsid w:val="00E30579"/>
    <w:pPr>
      <w:ind w:left="720"/>
      <w:contextualSpacing/>
    </w:pPr>
  </w:style>
  <w:style w:type="paragraph" w:customStyle="1" w:styleId="ZADEVA">
    <w:name w:val="ZADEVA"/>
    <w:basedOn w:val="Navaden"/>
    <w:qFormat/>
    <w:rsid w:val="008A3F94"/>
    <w:pPr>
      <w:tabs>
        <w:tab w:val="left" w:pos="1701"/>
      </w:tabs>
      <w:ind w:left="1701" w:hanging="1701"/>
    </w:pPr>
    <w:rPr>
      <w:b/>
      <w:lang w:val="it-IT"/>
    </w:rPr>
  </w:style>
  <w:style w:type="paragraph" w:customStyle="1" w:styleId="podpisi">
    <w:name w:val="podpisi"/>
    <w:basedOn w:val="Navaden"/>
    <w:qFormat/>
    <w:rsid w:val="008A3F94"/>
    <w:pPr>
      <w:tabs>
        <w:tab w:val="left" w:pos="3402"/>
      </w:tabs>
    </w:pPr>
    <w:rPr>
      <w:lang w:val="it-IT"/>
    </w:rPr>
  </w:style>
  <w:style w:type="paragraph" w:customStyle="1" w:styleId="Neotevilenodstavek">
    <w:name w:val="Neoštevilčen odstavek"/>
    <w:basedOn w:val="Navaden"/>
    <w:link w:val="NeotevilenodstavekZnak"/>
    <w:qFormat/>
    <w:rsid w:val="00AA13D8"/>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AA13D8"/>
    <w:rPr>
      <w:rFonts w:ascii="Arial" w:eastAsia="Times New Roman" w:hAnsi="Arial" w:cs="Arial"/>
      <w:lang w:eastAsia="sl-SI"/>
    </w:rPr>
  </w:style>
  <w:style w:type="character" w:styleId="Hiperpovezava">
    <w:name w:val="Hyperlink"/>
    <w:rsid w:val="00591C95"/>
    <w:rPr>
      <w:color w:val="0000FF"/>
      <w:u w:val="single"/>
    </w:rPr>
  </w:style>
  <w:style w:type="paragraph" w:styleId="Sprotnaopomba-besedilo">
    <w:name w:val="footnote text"/>
    <w:basedOn w:val="Navaden"/>
    <w:link w:val="Sprotnaopomba-besediloZnak"/>
    <w:rsid w:val="00591C95"/>
    <w:pPr>
      <w:spacing w:line="260" w:lineRule="atLeast"/>
    </w:pPr>
    <w:rPr>
      <w:szCs w:val="20"/>
      <w:lang w:val="en-US"/>
    </w:rPr>
  </w:style>
  <w:style w:type="character" w:customStyle="1" w:styleId="Sprotnaopomba-besediloZnak">
    <w:name w:val="Sprotna opomba - besedilo Znak"/>
    <w:basedOn w:val="Privzetapisavaodstavka"/>
    <w:link w:val="Sprotnaopomba-besedilo"/>
    <w:rsid w:val="00591C95"/>
    <w:rPr>
      <w:rFonts w:ascii="Arial" w:eastAsia="Times New Roman" w:hAnsi="Arial" w:cs="Times New Roman"/>
      <w:sz w:val="20"/>
      <w:szCs w:val="20"/>
      <w:lang w:val="en-US"/>
    </w:rPr>
  </w:style>
  <w:style w:type="character" w:styleId="Sprotnaopomba-sklic">
    <w:name w:val="footnote reference"/>
    <w:rsid w:val="00591C95"/>
    <w:rPr>
      <w:vertAlign w:val="superscript"/>
    </w:rPr>
  </w:style>
  <w:style w:type="character" w:customStyle="1" w:styleId="OdstavekseznamaZnak">
    <w:name w:val="Odstavek seznama Znak"/>
    <w:aliases w:val="Normal bullet 2 Znak,Bullet list Znak,List Paragraph1 Znak,Numbered List Znak,1st level - Bullet List Paragraph Znak,Lettre d'introduction Znak,Paragrafo elenco Znak,List Paragraph11 Znak,Normal bullet 21 Znak,Bullet list1 Znak"/>
    <w:link w:val="Odstavekseznama"/>
    <w:uiPriority w:val="34"/>
    <w:qFormat/>
    <w:rsid w:val="005138C1"/>
    <w:rPr>
      <w:rFonts w:ascii="Arial" w:eastAsia="Times New Roman" w:hAnsi="Arial" w:cs="Times New Roman"/>
      <w:sz w:val="20"/>
      <w:szCs w:val="24"/>
    </w:rPr>
  </w:style>
  <w:style w:type="paragraph" w:customStyle="1" w:styleId="Default">
    <w:name w:val="Default"/>
    <w:rsid w:val="005138C1"/>
    <w:pPr>
      <w:autoSpaceDE w:val="0"/>
      <w:autoSpaceDN w:val="0"/>
      <w:adjustRightInd w:val="0"/>
      <w:spacing w:after="0" w:line="240" w:lineRule="auto"/>
    </w:pPr>
    <w:rPr>
      <w:rFonts w:ascii="Times New Roman" w:hAnsi="Times New Roman" w:cs="Times New Roman"/>
      <w:color w:val="000000"/>
      <w:sz w:val="24"/>
      <w:szCs w:val="24"/>
    </w:rPr>
  </w:style>
  <w:style w:type="paragraph" w:styleId="Pripombabesedilo">
    <w:name w:val="annotation text"/>
    <w:basedOn w:val="Navaden"/>
    <w:link w:val="PripombabesediloZnak"/>
    <w:uiPriority w:val="99"/>
    <w:qFormat/>
    <w:rsid w:val="00F7519C"/>
    <w:rPr>
      <w:szCs w:val="20"/>
      <w:lang w:val="en-US"/>
    </w:rPr>
  </w:style>
  <w:style w:type="character" w:customStyle="1" w:styleId="PripombabesediloZnak">
    <w:name w:val="Pripomba – besedilo Znak"/>
    <w:basedOn w:val="Privzetapisavaodstavka"/>
    <w:link w:val="Pripombabesedilo"/>
    <w:uiPriority w:val="99"/>
    <w:rsid w:val="00F7519C"/>
    <w:rPr>
      <w:rFonts w:ascii="Arial" w:eastAsia="Times New Roman" w:hAnsi="Arial" w:cs="Times New Roman"/>
      <w:sz w:val="20"/>
      <w:szCs w:val="20"/>
      <w:lang w:val="en-US"/>
    </w:rPr>
  </w:style>
  <w:style w:type="paragraph" w:styleId="Podnaslov">
    <w:name w:val="Subtitle"/>
    <w:basedOn w:val="Navaden"/>
    <w:next w:val="Navaden"/>
    <w:link w:val="PodnaslovZnak"/>
    <w:uiPriority w:val="11"/>
    <w:qFormat/>
    <w:rsid w:val="00F7519C"/>
    <w:pPr>
      <w:numPr>
        <w:ilvl w:val="1"/>
      </w:numPr>
      <w:suppressAutoHyphens/>
      <w:spacing w:after="160"/>
    </w:pPr>
    <w:rPr>
      <w:rFonts w:ascii="Calibri" w:hAnsi="Calibri"/>
      <w:color w:val="5A5A5A"/>
      <w:spacing w:val="15"/>
      <w:sz w:val="22"/>
      <w:szCs w:val="22"/>
      <w:lang w:eastAsia="zh-CN"/>
    </w:rPr>
  </w:style>
  <w:style w:type="character" w:customStyle="1" w:styleId="PodnaslovZnak">
    <w:name w:val="Podnaslov Znak"/>
    <w:basedOn w:val="Privzetapisavaodstavka"/>
    <w:link w:val="Podnaslov"/>
    <w:uiPriority w:val="11"/>
    <w:rsid w:val="00F7519C"/>
    <w:rPr>
      <w:rFonts w:ascii="Calibri" w:eastAsia="Times New Roman" w:hAnsi="Calibri" w:cs="Times New Roman"/>
      <w:color w:val="5A5A5A"/>
      <w:spacing w:val="15"/>
      <w:lang w:eastAsia="zh-CN"/>
    </w:rPr>
  </w:style>
  <w:style w:type="paragraph" w:customStyle="1" w:styleId="oj-normal">
    <w:name w:val="oj-normal"/>
    <w:basedOn w:val="Navaden"/>
    <w:rsid w:val="00F7519C"/>
    <w:pPr>
      <w:spacing w:before="100" w:beforeAutospacing="1" w:after="100" w:afterAutospacing="1" w:line="240" w:lineRule="auto"/>
    </w:pPr>
    <w:rPr>
      <w:rFonts w:ascii="Times New Roman" w:hAnsi="Times New Roman"/>
      <w:sz w:val="24"/>
      <w:lang w:eastAsia="sl-SI"/>
    </w:rPr>
  </w:style>
  <w:style w:type="character" w:styleId="Pripombasklic">
    <w:name w:val="annotation reference"/>
    <w:basedOn w:val="Privzetapisavaodstavka"/>
    <w:uiPriority w:val="99"/>
    <w:semiHidden/>
    <w:unhideWhenUsed/>
    <w:rsid w:val="0023318D"/>
    <w:rPr>
      <w:sz w:val="16"/>
      <w:szCs w:val="16"/>
    </w:rPr>
  </w:style>
  <w:style w:type="paragraph" w:styleId="Zadevapripombe">
    <w:name w:val="annotation subject"/>
    <w:basedOn w:val="Pripombabesedilo"/>
    <w:next w:val="Pripombabesedilo"/>
    <w:link w:val="ZadevapripombeZnak"/>
    <w:uiPriority w:val="99"/>
    <w:semiHidden/>
    <w:unhideWhenUsed/>
    <w:rsid w:val="0023318D"/>
    <w:pPr>
      <w:spacing w:line="240" w:lineRule="auto"/>
    </w:pPr>
    <w:rPr>
      <w:b/>
      <w:bCs/>
      <w:lang w:val="sl-SI"/>
    </w:rPr>
  </w:style>
  <w:style w:type="character" w:customStyle="1" w:styleId="ZadevapripombeZnak">
    <w:name w:val="Zadeva pripombe Znak"/>
    <w:basedOn w:val="PripombabesediloZnak"/>
    <w:link w:val="Zadevapripombe"/>
    <w:uiPriority w:val="99"/>
    <w:semiHidden/>
    <w:rsid w:val="0023318D"/>
    <w:rPr>
      <w:rFonts w:ascii="Arial" w:eastAsia="Times New Roman" w:hAnsi="Arial" w:cs="Times New Roman"/>
      <w:b/>
      <w:bCs/>
      <w:sz w:val="20"/>
      <w:szCs w:val="20"/>
      <w:lang w:val="en-US"/>
    </w:rPr>
  </w:style>
  <w:style w:type="paragraph" w:styleId="Besedilooblaka">
    <w:name w:val="Balloon Text"/>
    <w:basedOn w:val="Navaden"/>
    <w:link w:val="BesedilooblakaZnak"/>
    <w:uiPriority w:val="99"/>
    <w:semiHidden/>
    <w:unhideWhenUsed/>
    <w:rsid w:val="0023318D"/>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3318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761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11</Pages>
  <Words>5083</Words>
  <Characters>28975</Characters>
  <Application>Microsoft Office Word</Application>
  <DocSecurity>0</DocSecurity>
  <Lines>241</Lines>
  <Paragraphs>67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Rajh</dc:creator>
  <cp:keywords/>
  <dc:description/>
  <cp:lastModifiedBy>Katja Plečnik</cp:lastModifiedBy>
  <cp:revision>23</cp:revision>
  <dcterms:created xsi:type="dcterms:W3CDTF">2023-09-26T12:08:00Z</dcterms:created>
  <dcterms:modified xsi:type="dcterms:W3CDTF">2023-09-28T08:44:00Z</dcterms:modified>
</cp:coreProperties>
</file>