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DDF6" w14:textId="2B38B2AC" w:rsidR="00191425" w:rsidRPr="0005287D" w:rsidRDefault="0005287D" w:rsidP="0005287D">
      <w:pPr>
        <w:pStyle w:val="TechnicalBlock"/>
        <w:ind w:left="-1134" w:right="-1134"/>
      </w:pPr>
      <w:bookmarkStart w:id="0" w:name="DW_BM_COVERPAGE"/>
      <w:r>
        <w:pict w14:anchorId="66E64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9056/23 ADD 1.&#10;Subject Codes: TRANS 179 ENV 467 FISC 78 CODEC 791 IA 96.&#10;Heading: PREDLOG.&#10;Originator: za generalno sekretarko Evropske komisije: direktorica Martine DEPREZ.&#10;Recipient: Thérèse BLANCHET, generalna sekretarka Sveta Evropske unije.&#10;Subject: PRILOGA k predlogu DIREKTIVE EVROPSKEGA PARLAMENTA IN SVETA o spremembi Direktive 1999/62/ES, Direktive Sveta 1999/37/ES in Direktive (EU) 2019/520 glede emisijskega razreda CO2 za težka vozila s priklopniki.&#10;Commission Document Number: COM(2023) 189 final.&#10;Preceeding Document Number: Not Set.&#10;Location: Bruselj.&#10;Date: 4. maj 2023.&#10;Interinstitutional Files: 2023/0134 (COD).&#10;Institutional Framework: Svet Evropske unije.&#10;Language: SL.&#10;Distribution Code: PUBLIC.&#10;GUID: 5427155989728557079_0" style="width:568.7pt;height:414.25pt">
            <v:imagedata r:id="rId10" o:title=""/>
          </v:shape>
        </w:pict>
      </w:r>
      <w:bookmarkEnd w:id="0"/>
    </w:p>
    <w:p w14:paraId="126EC240" w14:textId="7231484E" w:rsidR="00191425" w:rsidRDefault="00191425" w:rsidP="0005287D">
      <w:pPr>
        <w:pStyle w:val="EntText"/>
        <w:spacing w:before="480"/>
      </w:pPr>
      <w:r w:rsidRPr="00191425">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05287D" w:rsidRPr="0005287D">
        <w:instrText>COM(2023) 189 final</w:instrText>
      </w:r>
      <w:r>
        <w:instrText xml:space="preserve">" </w:instrText>
      </w:r>
      <w:r>
        <w:fldChar w:fldCharType="separate"/>
      </w:r>
      <w:r w:rsidR="0005287D" w:rsidRPr="0005287D">
        <w:t xml:space="preserve">COM(2023) 189 </w:t>
      </w:r>
      <w:proofErr w:type="spellStart"/>
      <w:r w:rsidR="0005287D" w:rsidRPr="0005287D">
        <w:t>final</w:t>
      </w:r>
      <w:proofErr w:type="spellEnd"/>
      <w:r>
        <w:fldChar w:fldCharType="end"/>
      </w:r>
      <w:r w:rsidRPr="00191425">
        <w:t>.</w:t>
      </w:r>
    </w:p>
    <w:p w14:paraId="3C2913DB" w14:textId="77777777" w:rsidR="00191425" w:rsidRDefault="00191425" w:rsidP="00191425">
      <w:pPr>
        <w:pStyle w:val="Lignefinal"/>
      </w:pPr>
    </w:p>
    <w:p w14:paraId="2B12AE5F" w14:textId="4CB2AC13" w:rsidR="00191425" w:rsidRDefault="00191425" w:rsidP="0005287D">
      <w:pPr>
        <w:pStyle w:val="pj"/>
        <w:spacing w:before="120"/>
      </w:pPr>
      <w:r w:rsidRPr="00191425">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05287D" w:rsidRPr="0005287D">
        <w:instrText>COM(2023) 189 final</w:instrText>
      </w:r>
      <w:r>
        <w:instrText xml:space="preserve">" </w:instrText>
      </w:r>
      <w:r>
        <w:fldChar w:fldCharType="separate"/>
      </w:r>
      <w:r w:rsidR="0005287D" w:rsidRPr="0005287D">
        <w:t xml:space="preserve">COM(2023) 189 </w:t>
      </w:r>
      <w:proofErr w:type="spellStart"/>
      <w:r w:rsidR="0005287D" w:rsidRPr="0005287D">
        <w:t>final</w:t>
      </w:r>
      <w:proofErr w:type="spellEnd"/>
      <w:r>
        <w:fldChar w:fldCharType="end"/>
      </w:r>
    </w:p>
    <w:p w14:paraId="1F6AC801" w14:textId="78BAA32B" w:rsidR="00191425" w:rsidRPr="00191425" w:rsidRDefault="00191425" w:rsidP="00191425"/>
    <w:p w14:paraId="64846ABA" w14:textId="77777777" w:rsidR="00191425" w:rsidRDefault="00191425" w:rsidP="00191425">
      <w:pPr>
        <w:rPr>
          <w:noProof/>
        </w:rPr>
        <w:sectPr w:rsidR="00191425" w:rsidSect="00191425">
          <w:headerReference w:type="even" r:id="rId11"/>
          <w:headerReference w:type="default" r:id="rId12"/>
          <w:footerReference w:type="even" r:id="rId13"/>
          <w:footerReference w:type="default" r:id="rId14"/>
          <w:headerReference w:type="first" r:id="rId15"/>
          <w:footerReference w:type="first" r:id="rId16"/>
          <w:pgSz w:w="11907" w:h="16839"/>
          <w:pgMar w:top="624" w:right="1134" w:bottom="1134" w:left="1134" w:header="567" w:footer="567" w:gutter="0"/>
          <w:pgNumType w:start="0"/>
          <w:cols w:space="720"/>
          <w:titlePg/>
          <w:docGrid w:linePitch="360"/>
        </w:sectPr>
      </w:pPr>
    </w:p>
    <w:p w14:paraId="73154C87" w14:textId="6AECF473" w:rsidR="00F727B3" w:rsidRPr="00E921FF" w:rsidRDefault="0005287D" w:rsidP="00771FC2">
      <w:pPr>
        <w:pStyle w:val="Pagedecouverture"/>
        <w:rPr>
          <w:noProof/>
        </w:rPr>
      </w:pPr>
      <w:r>
        <w:rPr>
          <w:noProof/>
        </w:rPr>
        <w:lastRenderedPageBreak/>
        <w:pict w14:anchorId="60612CAD">
          <v:shape id="_x0000_i1026" type="#_x0000_t75" alt="5691F175-629C-44B7-AE11-797CA6403D07" style="width:454.95pt;height:388.15pt">
            <v:imagedata r:id="rId17" o:title=""/>
          </v:shape>
        </w:pict>
      </w:r>
    </w:p>
    <w:p w14:paraId="1325BF45" w14:textId="77777777" w:rsidR="00F727B3" w:rsidRPr="00E921FF" w:rsidRDefault="00F727B3" w:rsidP="00F727B3">
      <w:pPr>
        <w:rPr>
          <w:noProof/>
        </w:rPr>
        <w:sectPr w:rsidR="00F727B3" w:rsidRPr="00E921FF" w:rsidSect="00771FC2">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pgNumType w:start="0"/>
          <w:cols w:space="720"/>
          <w:docGrid w:linePitch="360"/>
        </w:sectPr>
      </w:pPr>
    </w:p>
    <w:p w14:paraId="2A278705" w14:textId="77777777" w:rsidR="00F727B3" w:rsidRPr="00E921FF" w:rsidRDefault="00F727B3" w:rsidP="00F727B3">
      <w:pPr>
        <w:pStyle w:val="Annexetitre"/>
        <w:rPr>
          <w:noProof/>
        </w:rPr>
      </w:pPr>
      <w:r w:rsidRPr="00E921FF">
        <w:rPr>
          <w:noProof/>
        </w:rPr>
        <w:lastRenderedPageBreak/>
        <w:t xml:space="preserve">PRILOGA </w:t>
      </w:r>
    </w:p>
    <w:p w14:paraId="58ED4053" w14:textId="1EACBFC2" w:rsidR="00EE6D56" w:rsidRPr="00E921FF" w:rsidRDefault="005F570D" w:rsidP="00C73BFF">
      <w:pPr>
        <w:jc w:val="center"/>
        <w:rPr>
          <w:noProof/>
          <w:sz w:val="22"/>
        </w:rPr>
      </w:pPr>
      <w:r w:rsidRPr="00E921FF">
        <w:rPr>
          <w:noProof/>
          <w:sz w:val="22"/>
        </w:rPr>
        <w:t>„PRILOGA VIII</w:t>
      </w:r>
    </w:p>
    <w:p w14:paraId="3C4B54DE" w14:textId="4ABD3D80" w:rsidR="00C73BFF" w:rsidRPr="00E921FF" w:rsidRDefault="00C73BFF" w:rsidP="00C73BFF">
      <w:pPr>
        <w:jc w:val="center"/>
        <w:rPr>
          <w:noProof/>
          <w:sz w:val="22"/>
        </w:rPr>
      </w:pPr>
      <w:r w:rsidRPr="00E921FF">
        <w:rPr>
          <w:noProof/>
          <w:sz w:val="22"/>
        </w:rPr>
        <w:t>MERILA ZA RAZVRSTITEV PRIKLOPNIKOV</w:t>
      </w:r>
    </w:p>
    <w:p w14:paraId="2FF51A93" w14:textId="77561407" w:rsidR="006D039A" w:rsidRPr="00E921FF" w:rsidRDefault="006D039A" w:rsidP="006D039A">
      <w:pPr>
        <w:rPr>
          <w:noProof/>
          <w:sz w:val="22"/>
        </w:rPr>
      </w:pPr>
      <w:r w:rsidRPr="00E921FF">
        <w:rPr>
          <w:noProof/>
          <w:sz w:val="22"/>
        </w:rPr>
        <w:t>V tej prilogi so določena merila za razlikovanje, na podlagi katerih se v skladu s členom 7gc razvrstijo emisijski razredi CO</w:t>
      </w:r>
      <w:r w:rsidRPr="00E921FF">
        <w:rPr>
          <w:noProof/>
          <w:sz w:val="22"/>
          <w:vertAlign w:val="subscript"/>
        </w:rPr>
        <w:t>2</w:t>
      </w:r>
      <w:r w:rsidRPr="00E921FF">
        <w:rPr>
          <w:noProof/>
          <w:sz w:val="22"/>
        </w:rPr>
        <w:t xml:space="preserve"> skupine vozil.</w:t>
      </w:r>
    </w:p>
    <w:tbl>
      <w:tblPr>
        <w:tblStyle w:val="TableGrid"/>
        <w:tblW w:w="0" w:type="auto"/>
        <w:tblLook w:val="04A0" w:firstRow="1" w:lastRow="0" w:firstColumn="1" w:lastColumn="0" w:noHBand="0" w:noVBand="1"/>
      </w:tblPr>
      <w:tblGrid>
        <w:gridCol w:w="1818"/>
        <w:gridCol w:w="1003"/>
        <w:gridCol w:w="975"/>
        <w:gridCol w:w="1886"/>
        <w:gridCol w:w="1999"/>
        <w:gridCol w:w="1608"/>
      </w:tblGrid>
      <w:tr w:rsidR="006D039A" w:rsidRPr="00E921FF" w14:paraId="71AC0DBE" w14:textId="77777777" w:rsidTr="00885544">
        <w:tc>
          <w:tcPr>
            <w:tcW w:w="1475" w:type="dxa"/>
            <w:vMerge w:val="restart"/>
            <w:vAlign w:val="center"/>
          </w:tcPr>
          <w:p w14:paraId="690955B6" w14:textId="77777777" w:rsidR="006D039A" w:rsidRPr="00E921FF" w:rsidRDefault="006D039A" w:rsidP="00260F23">
            <w:pPr>
              <w:jc w:val="center"/>
              <w:rPr>
                <w:noProof/>
                <w:sz w:val="22"/>
              </w:rPr>
            </w:pPr>
            <w:r w:rsidRPr="00E921FF">
              <w:rPr>
                <w:noProof/>
                <w:sz w:val="22"/>
              </w:rPr>
              <w:t>Tip vlečnega vozila</w:t>
            </w:r>
          </w:p>
          <w:p w14:paraId="262A1EEE" w14:textId="77777777" w:rsidR="006D039A" w:rsidRPr="00E921FF" w:rsidRDefault="006D039A" w:rsidP="00260F23">
            <w:pPr>
              <w:jc w:val="center"/>
              <w:rPr>
                <w:noProof/>
                <w:sz w:val="22"/>
              </w:rPr>
            </w:pPr>
          </w:p>
        </w:tc>
        <w:tc>
          <w:tcPr>
            <w:tcW w:w="2061" w:type="dxa"/>
            <w:gridSpan w:val="2"/>
            <w:vAlign w:val="center"/>
          </w:tcPr>
          <w:p w14:paraId="38F154F2" w14:textId="77777777" w:rsidR="006D039A" w:rsidRPr="00E921FF" w:rsidRDefault="006D039A" w:rsidP="00260F23">
            <w:pPr>
              <w:jc w:val="center"/>
              <w:rPr>
                <w:noProof/>
                <w:sz w:val="22"/>
              </w:rPr>
            </w:pPr>
          </w:p>
          <w:p w14:paraId="1D54A281" w14:textId="050C72D3" w:rsidR="006D039A" w:rsidRPr="00E921FF" w:rsidRDefault="006D039A" w:rsidP="00260F23">
            <w:pPr>
              <w:jc w:val="center"/>
              <w:rPr>
                <w:noProof/>
                <w:sz w:val="22"/>
              </w:rPr>
            </w:pPr>
            <w:r w:rsidRPr="00E921FF">
              <w:rPr>
                <w:noProof/>
                <w:sz w:val="22"/>
              </w:rPr>
              <w:t xml:space="preserve">Razmerje učinkovitosti </w:t>
            </w:r>
          </w:p>
        </w:tc>
        <w:tc>
          <w:tcPr>
            <w:tcW w:w="2048" w:type="dxa"/>
            <w:vMerge w:val="restart"/>
            <w:vAlign w:val="center"/>
          </w:tcPr>
          <w:p w14:paraId="52EAF97E" w14:textId="77777777" w:rsidR="006D039A" w:rsidRPr="00E921FF" w:rsidRDefault="006D039A" w:rsidP="00260F23">
            <w:pPr>
              <w:jc w:val="center"/>
              <w:rPr>
                <w:noProof/>
                <w:sz w:val="22"/>
              </w:rPr>
            </w:pPr>
            <w:r w:rsidRPr="00E921FF">
              <w:rPr>
                <w:noProof/>
                <w:sz w:val="22"/>
              </w:rPr>
              <w:t>Emisijski razred CO</w:t>
            </w:r>
            <w:r w:rsidRPr="00E921FF">
              <w:rPr>
                <w:noProof/>
                <w:sz w:val="22"/>
                <w:vertAlign w:val="subscript"/>
              </w:rPr>
              <w:t>2</w:t>
            </w:r>
            <w:r w:rsidRPr="00E921FF">
              <w:rPr>
                <w:noProof/>
                <w:sz w:val="22"/>
              </w:rPr>
              <w:t xml:space="preserve"> motornega vozila v skladu s členom 7ga brez upoštevanja učinka priklopnika</w:t>
            </w:r>
          </w:p>
        </w:tc>
        <w:tc>
          <w:tcPr>
            <w:tcW w:w="2323" w:type="dxa"/>
            <w:vMerge w:val="restart"/>
            <w:vAlign w:val="center"/>
          </w:tcPr>
          <w:p w14:paraId="1B722D51" w14:textId="77777777" w:rsidR="006D039A" w:rsidRPr="00E921FF" w:rsidRDefault="006D039A" w:rsidP="00260F23">
            <w:pPr>
              <w:jc w:val="center"/>
              <w:rPr>
                <w:noProof/>
                <w:sz w:val="22"/>
              </w:rPr>
            </w:pPr>
            <w:r w:rsidRPr="00E921FF">
              <w:rPr>
                <w:noProof/>
                <w:sz w:val="22"/>
              </w:rPr>
              <w:t>Emisijski razred CO</w:t>
            </w:r>
            <w:r w:rsidRPr="00E921FF">
              <w:rPr>
                <w:noProof/>
                <w:sz w:val="22"/>
                <w:vertAlign w:val="subscript"/>
              </w:rPr>
              <w:t>2</w:t>
            </w:r>
            <w:r w:rsidRPr="00E921FF">
              <w:rPr>
                <w:noProof/>
                <w:sz w:val="22"/>
              </w:rPr>
              <w:t>, dodeljen skupini vozil ob upoštevanju učinka priklopnika</w:t>
            </w:r>
          </w:p>
        </w:tc>
        <w:tc>
          <w:tcPr>
            <w:tcW w:w="1382" w:type="dxa"/>
            <w:vMerge w:val="restart"/>
          </w:tcPr>
          <w:p w14:paraId="06414E67" w14:textId="77777777" w:rsidR="006D039A" w:rsidRPr="00E921FF" w:rsidRDefault="006D039A" w:rsidP="00260F23">
            <w:pPr>
              <w:jc w:val="center"/>
              <w:rPr>
                <w:noProof/>
                <w:sz w:val="22"/>
              </w:rPr>
            </w:pPr>
          </w:p>
          <w:p w14:paraId="12696DF5" w14:textId="77777777" w:rsidR="006D039A" w:rsidRPr="00E921FF" w:rsidRDefault="006D039A" w:rsidP="00260F23">
            <w:pPr>
              <w:jc w:val="center"/>
              <w:rPr>
                <w:noProof/>
                <w:sz w:val="22"/>
              </w:rPr>
            </w:pPr>
            <w:r w:rsidRPr="00E921FF">
              <w:rPr>
                <w:noProof/>
                <w:sz w:val="22"/>
              </w:rPr>
              <w:t>Razred priklopnika</w:t>
            </w:r>
          </w:p>
        </w:tc>
      </w:tr>
      <w:tr w:rsidR="00885544" w:rsidRPr="00E921FF" w14:paraId="2D0A103D" w14:textId="77777777" w:rsidTr="00885544">
        <w:tc>
          <w:tcPr>
            <w:tcW w:w="1475" w:type="dxa"/>
            <w:vMerge/>
            <w:vAlign w:val="center"/>
          </w:tcPr>
          <w:p w14:paraId="709825A3" w14:textId="77777777" w:rsidR="006D039A" w:rsidRPr="00E921FF" w:rsidRDefault="006D039A" w:rsidP="00260F23">
            <w:pPr>
              <w:jc w:val="center"/>
              <w:rPr>
                <w:noProof/>
                <w:sz w:val="22"/>
              </w:rPr>
            </w:pPr>
          </w:p>
        </w:tc>
        <w:tc>
          <w:tcPr>
            <w:tcW w:w="1052" w:type="dxa"/>
            <w:vAlign w:val="center"/>
          </w:tcPr>
          <w:p w14:paraId="17E8C28C" w14:textId="77777777" w:rsidR="006D039A" w:rsidRPr="00E921FF" w:rsidRDefault="006D039A" w:rsidP="00260F23">
            <w:pPr>
              <w:jc w:val="center"/>
              <w:rPr>
                <w:noProof/>
                <w:sz w:val="22"/>
              </w:rPr>
            </w:pPr>
            <w:r w:rsidRPr="00E921FF">
              <w:rPr>
                <w:noProof/>
                <w:sz w:val="22"/>
              </w:rPr>
              <w:t>manj kot</w:t>
            </w:r>
          </w:p>
        </w:tc>
        <w:tc>
          <w:tcPr>
            <w:tcW w:w="1009" w:type="dxa"/>
            <w:vAlign w:val="center"/>
          </w:tcPr>
          <w:p w14:paraId="577C30BA" w14:textId="77777777" w:rsidR="006D039A" w:rsidRPr="00E921FF" w:rsidRDefault="006D039A" w:rsidP="00260F23">
            <w:pPr>
              <w:jc w:val="center"/>
              <w:rPr>
                <w:noProof/>
                <w:sz w:val="22"/>
              </w:rPr>
            </w:pPr>
            <w:r w:rsidRPr="00E921FF">
              <w:rPr>
                <w:noProof/>
                <w:sz w:val="22"/>
              </w:rPr>
              <w:t>ne manj kot</w:t>
            </w:r>
          </w:p>
        </w:tc>
        <w:tc>
          <w:tcPr>
            <w:tcW w:w="2048" w:type="dxa"/>
            <w:vMerge/>
            <w:vAlign w:val="center"/>
          </w:tcPr>
          <w:p w14:paraId="52662E6E" w14:textId="77777777" w:rsidR="006D039A" w:rsidRPr="00E921FF" w:rsidRDefault="006D039A" w:rsidP="00260F23">
            <w:pPr>
              <w:jc w:val="center"/>
              <w:rPr>
                <w:noProof/>
                <w:sz w:val="22"/>
              </w:rPr>
            </w:pPr>
          </w:p>
        </w:tc>
        <w:tc>
          <w:tcPr>
            <w:tcW w:w="2323" w:type="dxa"/>
            <w:vMerge/>
            <w:vAlign w:val="center"/>
          </w:tcPr>
          <w:p w14:paraId="35100A27" w14:textId="77777777" w:rsidR="006D039A" w:rsidRPr="00E921FF" w:rsidRDefault="006D039A" w:rsidP="00260F23">
            <w:pPr>
              <w:jc w:val="center"/>
              <w:rPr>
                <w:noProof/>
                <w:sz w:val="22"/>
              </w:rPr>
            </w:pPr>
          </w:p>
        </w:tc>
        <w:tc>
          <w:tcPr>
            <w:tcW w:w="1382" w:type="dxa"/>
            <w:vMerge/>
          </w:tcPr>
          <w:p w14:paraId="43624BFD" w14:textId="77777777" w:rsidR="006D039A" w:rsidRPr="00E921FF" w:rsidRDefault="006D039A" w:rsidP="00260F23">
            <w:pPr>
              <w:jc w:val="center"/>
              <w:rPr>
                <w:noProof/>
                <w:sz w:val="22"/>
              </w:rPr>
            </w:pPr>
          </w:p>
        </w:tc>
      </w:tr>
      <w:tr w:rsidR="00885544" w:rsidRPr="00E921FF" w14:paraId="58C12D0F" w14:textId="77777777" w:rsidTr="00885544">
        <w:trPr>
          <w:trHeight w:val="495"/>
        </w:trPr>
        <w:tc>
          <w:tcPr>
            <w:tcW w:w="1475" w:type="dxa"/>
            <w:vMerge w:val="restart"/>
            <w:vAlign w:val="center"/>
          </w:tcPr>
          <w:p w14:paraId="6D7AE9F1" w14:textId="26ED2665" w:rsidR="00885544" w:rsidRPr="00E921FF" w:rsidRDefault="00885544" w:rsidP="00BD5513">
            <w:pPr>
              <w:jc w:val="center"/>
              <w:rPr>
                <w:noProof/>
                <w:sz w:val="22"/>
              </w:rPr>
            </w:pPr>
            <w:r w:rsidRPr="00E921FF">
              <w:rPr>
                <w:noProof/>
                <w:sz w:val="22"/>
              </w:rPr>
              <w:t>Polpriklopnik</w:t>
            </w:r>
          </w:p>
        </w:tc>
        <w:tc>
          <w:tcPr>
            <w:tcW w:w="1052" w:type="dxa"/>
            <w:vMerge w:val="restart"/>
            <w:vAlign w:val="center"/>
          </w:tcPr>
          <w:p w14:paraId="1F6DADED" w14:textId="61DBBC48" w:rsidR="00885544" w:rsidRPr="00E921FF" w:rsidRDefault="00852F4E" w:rsidP="00260F23">
            <w:pPr>
              <w:jc w:val="center"/>
              <w:rPr>
                <w:noProof/>
                <w:sz w:val="22"/>
              </w:rPr>
            </w:pPr>
            <w:r w:rsidRPr="00E921FF">
              <w:rPr>
                <w:noProof/>
                <w:sz w:val="22"/>
              </w:rPr>
              <w:t>ST1</w:t>
            </w:r>
          </w:p>
        </w:tc>
        <w:tc>
          <w:tcPr>
            <w:tcW w:w="1009" w:type="dxa"/>
            <w:vMerge w:val="restart"/>
            <w:vAlign w:val="center"/>
          </w:tcPr>
          <w:p w14:paraId="4DB61BD0" w14:textId="4CF105E6" w:rsidR="00885544" w:rsidRPr="00E921FF" w:rsidRDefault="00852F4E" w:rsidP="00260F23">
            <w:pPr>
              <w:jc w:val="center"/>
              <w:rPr>
                <w:noProof/>
                <w:sz w:val="22"/>
              </w:rPr>
            </w:pPr>
            <w:r w:rsidRPr="00E921FF">
              <w:rPr>
                <w:noProof/>
                <w:sz w:val="22"/>
              </w:rPr>
              <w:t>ST2</w:t>
            </w:r>
          </w:p>
        </w:tc>
        <w:tc>
          <w:tcPr>
            <w:tcW w:w="2048" w:type="dxa"/>
            <w:vAlign w:val="center"/>
          </w:tcPr>
          <w:p w14:paraId="5E55D5AC" w14:textId="77777777" w:rsidR="00885544" w:rsidRPr="00E921FF" w:rsidRDefault="00885544" w:rsidP="00260F23">
            <w:pPr>
              <w:jc w:val="center"/>
              <w:rPr>
                <w:noProof/>
                <w:sz w:val="22"/>
              </w:rPr>
            </w:pPr>
            <w:r w:rsidRPr="00E921FF">
              <w:rPr>
                <w:noProof/>
                <w:sz w:val="22"/>
              </w:rPr>
              <w:t>1</w:t>
            </w:r>
          </w:p>
        </w:tc>
        <w:tc>
          <w:tcPr>
            <w:tcW w:w="2323" w:type="dxa"/>
            <w:vAlign w:val="center"/>
          </w:tcPr>
          <w:p w14:paraId="1DF322E5" w14:textId="77777777" w:rsidR="00885544" w:rsidRPr="00E921FF" w:rsidRDefault="00885544" w:rsidP="00260F23">
            <w:pPr>
              <w:jc w:val="center"/>
              <w:rPr>
                <w:noProof/>
                <w:sz w:val="22"/>
              </w:rPr>
            </w:pPr>
            <w:r w:rsidRPr="00E921FF">
              <w:rPr>
                <w:noProof/>
                <w:sz w:val="22"/>
              </w:rPr>
              <w:t>2</w:t>
            </w:r>
          </w:p>
        </w:tc>
        <w:tc>
          <w:tcPr>
            <w:tcW w:w="1382" w:type="dxa"/>
            <w:vMerge w:val="restart"/>
            <w:vAlign w:val="center"/>
          </w:tcPr>
          <w:p w14:paraId="138E64E4" w14:textId="77777777" w:rsidR="00885544" w:rsidRPr="00E921FF" w:rsidRDefault="00885544" w:rsidP="00260F23">
            <w:pPr>
              <w:jc w:val="center"/>
              <w:rPr>
                <w:noProof/>
                <w:sz w:val="22"/>
              </w:rPr>
            </w:pPr>
            <w:r w:rsidRPr="00E921FF">
              <w:rPr>
                <w:noProof/>
                <w:sz w:val="22"/>
              </w:rPr>
              <w:t>1</w:t>
            </w:r>
          </w:p>
        </w:tc>
      </w:tr>
      <w:tr w:rsidR="00885544" w:rsidRPr="00E921FF" w14:paraId="2B92F9A5" w14:textId="77777777" w:rsidTr="00885544">
        <w:trPr>
          <w:trHeight w:val="495"/>
        </w:trPr>
        <w:tc>
          <w:tcPr>
            <w:tcW w:w="1475" w:type="dxa"/>
            <w:vMerge/>
            <w:vAlign w:val="center"/>
          </w:tcPr>
          <w:p w14:paraId="7C4F6703" w14:textId="77777777" w:rsidR="00885544" w:rsidRPr="00E921FF" w:rsidRDefault="00885544" w:rsidP="00885544">
            <w:pPr>
              <w:jc w:val="center"/>
              <w:rPr>
                <w:noProof/>
                <w:sz w:val="22"/>
              </w:rPr>
            </w:pPr>
          </w:p>
        </w:tc>
        <w:tc>
          <w:tcPr>
            <w:tcW w:w="1052" w:type="dxa"/>
            <w:vMerge/>
            <w:vAlign w:val="center"/>
          </w:tcPr>
          <w:p w14:paraId="0D2FC7DB" w14:textId="77777777" w:rsidR="00885544" w:rsidRPr="00E921FF" w:rsidRDefault="00885544" w:rsidP="00885544">
            <w:pPr>
              <w:jc w:val="center"/>
              <w:rPr>
                <w:noProof/>
                <w:sz w:val="22"/>
              </w:rPr>
            </w:pPr>
          </w:p>
        </w:tc>
        <w:tc>
          <w:tcPr>
            <w:tcW w:w="1009" w:type="dxa"/>
            <w:vMerge/>
            <w:vAlign w:val="center"/>
          </w:tcPr>
          <w:p w14:paraId="7D12CBAF" w14:textId="77777777" w:rsidR="00885544" w:rsidRPr="00E921FF" w:rsidRDefault="00885544" w:rsidP="00885544">
            <w:pPr>
              <w:jc w:val="center"/>
              <w:rPr>
                <w:noProof/>
                <w:sz w:val="22"/>
              </w:rPr>
            </w:pPr>
          </w:p>
        </w:tc>
        <w:tc>
          <w:tcPr>
            <w:tcW w:w="2048" w:type="dxa"/>
            <w:vAlign w:val="center"/>
          </w:tcPr>
          <w:p w14:paraId="551D0271" w14:textId="42B31528" w:rsidR="00885544" w:rsidRPr="00E921FF" w:rsidRDefault="00885544" w:rsidP="00885544">
            <w:pPr>
              <w:jc w:val="center"/>
              <w:rPr>
                <w:noProof/>
                <w:sz w:val="22"/>
              </w:rPr>
            </w:pPr>
            <w:r w:rsidRPr="00E921FF">
              <w:rPr>
                <w:noProof/>
                <w:sz w:val="22"/>
              </w:rPr>
              <w:t>2</w:t>
            </w:r>
          </w:p>
        </w:tc>
        <w:tc>
          <w:tcPr>
            <w:tcW w:w="2323" w:type="dxa"/>
            <w:vAlign w:val="center"/>
          </w:tcPr>
          <w:p w14:paraId="54F38B48" w14:textId="6B3F6AD5" w:rsidR="00885544" w:rsidRPr="00E921FF" w:rsidRDefault="00885544" w:rsidP="00885544">
            <w:pPr>
              <w:jc w:val="center"/>
              <w:rPr>
                <w:noProof/>
                <w:sz w:val="22"/>
              </w:rPr>
            </w:pPr>
            <w:r w:rsidRPr="00E921FF">
              <w:rPr>
                <w:noProof/>
                <w:sz w:val="22"/>
              </w:rPr>
              <w:t>3</w:t>
            </w:r>
          </w:p>
        </w:tc>
        <w:tc>
          <w:tcPr>
            <w:tcW w:w="1382" w:type="dxa"/>
            <w:vMerge/>
            <w:vAlign w:val="center"/>
          </w:tcPr>
          <w:p w14:paraId="1E332805" w14:textId="77777777" w:rsidR="00885544" w:rsidRPr="00E921FF" w:rsidRDefault="00885544" w:rsidP="00885544">
            <w:pPr>
              <w:jc w:val="center"/>
              <w:rPr>
                <w:noProof/>
                <w:sz w:val="22"/>
              </w:rPr>
            </w:pPr>
          </w:p>
        </w:tc>
      </w:tr>
      <w:tr w:rsidR="00885544" w:rsidRPr="00E921FF" w14:paraId="07B461C9" w14:textId="77777777" w:rsidTr="00885544">
        <w:trPr>
          <w:trHeight w:val="683"/>
        </w:trPr>
        <w:tc>
          <w:tcPr>
            <w:tcW w:w="1475" w:type="dxa"/>
            <w:vMerge w:val="restart"/>
            <w:vAlign w:val="center"/>
          </w:tcPr>
          <w:p w14:paraId="0E99ADC6" w14:textId="179CA31A" w:rsidR="00885544" w:rsidRPr="00E921FF" w:rsidRDefault="00885544" w:rsidP="00BD5513">
            <w:pPr>
              <w:jc w:val="center"/>
              <w:rPr>
                <w:noProof/>
                <w:sz w:val="22"/>
              </w:rPr>
            </w:pPr>
            <w:r w:rsidRPr="00E921FF">
              <w:rPr>
                <w:noProof/>
                <w:sz w:val="22"/>
              </w:rPr>
              <w:t>Priklopnik, ki ni polpriklopnik</w:t>
            </w:r>
          </w:p>
        </w:tc>
        <w:tc>
          <w:tcPr>
            <w:tcW w:w="1052" w:type="dxa"/>
            <w:vMerge w:val="restart"/>
            <w:vAlign w:val="center"/>
          </w:tcPr>
          <w:p w14:paraId="38AC38EE" w14:textId="14158753" w:rsidR="00885544" w:rsidRPr="00E921FF" w:rsidRDefault="00852F4E" w:rsidP="00885544">
            <w:pPr>
              <w:jc w:val="center"/>
              <w:rPr>
                <w:noProof/>
                <w:sz w:val="22"/>
              </w:rPr>
            </w:pPr>
            <w:r w:rsidRPr="00E921FF">
              <w:rPr>
                <w:noProof/>
                <w:sz w:val="22"/>
              </w:rPr>
              <w:t>T1</w:t>
            </w:r>
          </w:p>
        </w:tc>
        <w:tc>
          <w:tcPr>
            <w:tcW w:w="1009" w:type="dxa"/>
            <w:vMerge w:val="restart"/>
            <w:vAlign w:val="center"/>
          </w:tcPr>
          <w:p w14:paraId="4210DE8C" w14:textId="152F5871" w:rsidR="00885544" w:rsidRPr="00E921FF" w:rsidRDefault="00852F4E" w:rsidP="00885544">
            <w:pPr>
              <w:jc w:val="center"/>
              <w:rPr>
                <w:noProof/>
                <w:sz w:val="22"/>
              </w:rPr>
            </w:pPr>
            <w:r w:rsidRPr="00E921FF">
              <w:rPr>
                <w:noProof/>
                <w:sz w:val="22"/>
              </w:rPr>
              <w:t>T2</w:t>
            </w:r>
          </w:p>
        </w:tc>
        <w:tc>
          <w:tcPr>
            <w:tcW w:w="2048" w:type="dxa"/>
            <w:vAlign w:val="center"/>
          </w:tcPr>
          <w:p w14:paraId="1C3683C4" w14:textId="4540AF3A" w:rsidR="00885544" w:rsidRPr="00E921FF" w:rsidRDefault="00885544" w:rsidP="00885544">
            <w:pPr>
              <w:jc w:val="center"/>
              <w:rPr>
                <w:noProof/>
                <w:sz w:val="22"/>
              </w:rPr>
            </w:pPr>
            <w:r w:rsidRPr="00E921FF">
              <w:rPr>
                <w:noProof/>
                <w:sz w:val="22"/>
              </w:rPr>
              <w:t>1</w:t>
            </w:r>
          </w:p>
        </w:tc>
        <w:tc>
          <w:tcPr>
            <w:tcW w:w="2323" w:type="dxa"/>
            <w:vAlign w:val="center"/>
          </w:tcPr>
          <w:p w14:paraId="7269C70C" w14:textId="54C3791A" w:rsidR="00885544" w:rsidRPr="00E921FF" w:rsidRDefault="00885544" w:rsidP="00885544">
            <w:pPr>
              <w:jc w:val="center"/>
              <w:rPr>
                <w:noProof/>
                <w:sz w:val="22"/>
              </w:rPr>
            </w:pPr>
            <w:r w:rsidRPr="00E921FF">
              <w:rPr>
                <w:noProof/>
                <w:sz w:val="22"/>
              </w:rPr>
              <w:t>2</w:t>
            </w:r>
          </w:p>
        </w:tc>
        <w:tc>
          <w:tcPr>
            <w:tcW w:w="1382" w:type="dxa"/>
            <w:vMerge/>
          </w:tcPr>
          <w:p w14:paraId="5F06172F" w14:textId="77777777" w:rsidR="00885544" w:rsidRPr="00E921FF" w:rsidRDefault="00885544" w:rsidP="00885544">
            <w:pPr>
              <w:jc w:val="center"/>
              <w:rPr>
                <w:noProof/>
                <w:sz w:val="22"/>
              </w:rPr>
            </w:pPr>
          </w:p>
        </w:tc>
      </w:tr>
      <w:tr w:rsidR="00885544" w:rsidRPr="00E921FF" w14:paraId="2D912490" w14:textId="77777777" w:rsidTr="00885544">
        <w:trPr>
          <w:trHeight w:val="682"/>
        </w:trPr>
        <w:tc>
          <w:tcPr>
            <w:tcW w:w="1475" w:type="dxa"/>
            <w:vMerge/>
            <w:vAlign w:val="center"/>
          </w:tcPr>
          <w:p w14:paraId="372FCE03" w14:textId="77777777" w:rsidR="00885544" w:rsidRPr="00E921FF" w:rsidRDefault="00885544" w:rsidP="00885544">
            <w:pPr>
              <w:jc w:val="center"/>
              <w:rPr>
                <w:noProof/>
                <w:sz w:val="22"/>
              </w:rPr>
            </w:pPr>
          </w:p>
        </w:tc>
        <w:tc>
          <w:tcPr>
            <w:tcW w:w="1052" w:type="dxa"/>
            <w:vMerge/>
            <w:vAlign w:val="center"/>
          </w:tcPr>
          <w:p w14:paraId="3FFF25DA" w14:textId="77777777" w:rsidR="00885544" w:rsidRPr="00E921FF" w:rsidRDefault="00885544" w:rsidP="00885544">
            <w:pPr>
              <w:jc w:val="center"/>
              <w:rPr>
                <w:noProof/>
                <w:sz w:val="22"/>
              </w:rPr>
            </w:pPr>
          </w:p>
        </w:tc>
        <w:tc>
          <w:tcPr>
            <w:tcW w:w="1009" w:type="dxa"/>
            <w:vMerge/>
            <w:vAlign w:val="center"/>
          </w:tcPr>
          <w:p w14:paraId="3A5BF117" w14:textId="77777777" w:rsidR="00885544" w:rsidRPr="00E921FF" w:rsidRDefault="00885544" w:rsidP="00885544">
            <w:pPr>
              <w:jc w:val="center"/>
              <w:rPr>
                <w:noProof/>
                <w:sz w:val="22"/>
              </w:rPr>
            </w:pPr>
          </w:p>
        </w:tc>
        <w:tc>
          <w:tcPr>
            <w:tcW w:w="2048" w:type="dxa"/>
            <w:vAlign w:val="center"/>
          </w:tcPr>
          <w:p w14:paraId="743CD179" w14:textId="6A09C48B" w:rsidR="00885544" w:rsidRPr="00E921FF" w:rsidRDefault="00885544" w:rsidP="00885544">
            <w:pPr>
              <w:jc w:val="center"/>
              <w:rPr>
                <w:noProof/>
                <w:sz w:val="22"/>
              </w:rPr>
            </w:pPr>
            <w:r w:rsidRPr="00E921FF">
              <w:rPr>
                <w:noProof/>
                <w:sz w:val="22"/>
              </w:rPr>
              <w:t>2</w:t>
            </w:r>
          </w:p>
        </w:tc>
        <w:tc>
          <w:tcPr>
            <w:tcW w:w="2323" w:type="dxa"/>
            <w:vAlign w:val="center"/>
          </w:tcPr>
          <w:p w14:paraId="5C3D1228" w14:textId="13C5EA21" w:rsidR="00885544" w:rsidRPr="00E921FF" w:rsidRDefault="00885544" w:rsidP="00885544">
            <w:pPr>
              <w:jc w:val="center"/>
              <w:rPr>
                <w:noProof/>
                <w:sz w:val="22"/>
              </w:rPr>
            </w:pPr>
            <w:r w:rsidRPr="00E921FF">
              <w:rPr>
                <w:noProof/>
                <w:sz w:val="22"/>
              </w:rPr>
              <w:t>3</w:t>
            </w:r>
          </w:p>
        </w:tc>
        <w:tc>
          <w:tcPr>
            <w:tcW w:w="1382" w:type="dxa"/>
            <w:vMerge/>
          </w:tcPr>
          <w:p w14:paraId="2DEE6478" w14:textId="77777777" w:rsidR="00885544" w:rsidRPr="00E921FF" w:rsidRDefault="00885544" w:rsidP="00885544">
            <w:pPr>
              <w:jc w:val="center"/>
              <w:rPr>
                <w:noProof/>
                <w:sz w:val="22"/>
              </w:rPr>
            </w:pPr>
          </w:p>
        </w:tc>
      </w:tr>
      <w:tr w:rsidR="00885544" w:rsidRPr="00E921FF" w14:paraId="6EB42334" w14:textId="77777777" w:rsidTr="00885544">
        <w:trPr>
          <w:trHeight w:val="1119"/>
        </w:trPr>
        <w:tc>
          <w:tcPr>
            <w:tcW w:w="1475" w:type="dxa"/>
            <w:vAlign w:val="center"/>
          </w:tcPr>
          <w:p w14:paraId="6B73742E" w14:textId="0B1BC659" w:rsidR="00885544" w:rsidRPr="00E921FF" w:rsidRDefault="00885544" w:rsidP="009536BE">
            <w:pPr>
              <w:jc w:val="center"/>
              <w:rPr>
                <w:noProof/>
                <w:sz w:val="22"/>
              </w:rPr>
            </w:pPr>
            <w:r w:rsidRPr="00E921FF">
              <w:rPr>
                <w:noProof/>
                <w:sz w:val="22"/>
              </w:rPr>
              <w:t>Polpriklopnik</w:t>
            </w:r>
          </w:p>
        </w:tc>
        <w:tc>
          <w:tcPr>
            <w:tcW w:w="1052" w:type="dxa"/>
            <w:vAlign w:val="center"/>
          </w:tcPr>
          <w:p w14:paraId="473CE6D2" w14:textId="1B178791" w:rsidR="00885544" w:rsidRPr="00E921FF" w:rsidRDefault="00852F4E" w:rsidP="00885544">
            <w:pPr>
              <w:jc w:val="center"/>
              <w:rPr>
                <w:noProof/>
                <w:sz w:val="22"/>
              </w:rPr>
            </w:pPr>
            <w:r w:rsidRPr="00E921FF">
              <w:rPr>
                <w:noProof/>
                <w:sz w:val="22"/>
              </w:rPr>
              <w:t>ST2</w:t>
            </w:r>
          </w:p>
        </w:tc>
        <w:tc>
          <w:tcPr>
            <w:tcW w:w="1009" w:type="dxa"/>
            <w:vAlign w:val="center"/>
          </w:tcPr>
          <w:p w14:paraId="066FE587" w14:textId="746ACC87" w:rsidR="00885544" w:rsidRPr="00E921FF" w:rsidRDefault="00852F4E" w:rsidP="00885544">
            <w:pPr>
              <w:jc w:val="center"/>
              <w:rPr>
                <w:noProof/>
                <w:sz w:val="22"/>
              </w:rPr>
            </w:pPr>
            <w:r w:rsidRPr="00E921FF">
              <w:rPr>
                <w:noProof/>
                <w:sz w:val="22"/>
              </w:rPr>
              <w:t>ST3</w:t>
            </w:r>
          </w:p>
        </w:tc>
        <w:tc>
          <w:tcPr>
            <w:tcW w:w="2048" w:type="dxa"/>
            <w:vMerge w:val="restart"/>
            <w:vAlign w:val="center"/>
          </w:tcPr>
          <w:p w14:paraId="0DC51A5A" w14:textId="52E992E9" w:rsidR="00885544" w:rsidRPr="00E921FF" w:rsidRDefault="00885544" w:rsidP="00885544">
            <w:pPr>
              <w:jc w:val="center"/>
              <w:rPr>
                <w:noProof/>
                <w:sz w:val="22"/>
              </w:rPr>
            </w:pPr>
            <w:r w:rsidRPr="00E921FF">
              <w:rPr>
                <w:noProof/>
                <w:sz w:val="22"/>
              </w:rPr>
              <w:t>1 ali 2</w:t>
            </w:r>
          </w:p>
        </w:tc>
        <w:tc>
          <w:tcPr>
            <w:tcW w:w="2323" w:type="dxa"/>
            <w:vMerge w:val="restart"/>
            <w:vAlign w:val="center"/>
          </w:tcPr>
          <w:p w14:paraId="5D90ABE9" w14:textId="2221F031" w:rsidR="00885544" w:rsidRPr="00E921FF" w:rsidRDefault="00885544" w:rsidP="00885544">
            <w:pPr>
              <w:jc w:val="center"/>
              <w:rPr>
                <w:noProof/>
                <w:sz w:val="22"/>
              </w:rPr>
            </w:pPr>
            <w:r w:rsidRPr="00E921FF">
              <w:rPr>
                <w:noProof/>
                <w:sz w:val="22"/>
              </w:rPr>
              <w:t>3</w:t>
            </w:r>
          </w:p>
        </w:tc>
        <w:tc>
          <w:tcPr>
            <w:tcW w:w="1382" w:type="dxa"/>
            <w:vMerge w:val="restart"/>
            <w:vAlign w:val="center"/>
          </w:tcPr>
          <w:p w14:paraId="121FF2D9" w14:textId="77777777" w:rsidR="00885544" w:rsidRPr="00E921FF" w:rsidRDefault="00885544" w:rsidP="00885544">
            <w:pPr>
              <w:jc w:val="center"/>
              <w:rPr>
                <w:noProof/>
                <w:sz w:val="22"/>
              </w:rPr>
            </w:pPr>
            <w:r w:rsidRPr="00E921FF">
              <w:rPr>
                <w:noProof/>
                <w:sz w:val="22"/>
              </w:rPr>
              <w:t>2</w:t>
            </w:r>
          </w:p>
        </w:tc>
      </w:tr>
      <w:tr w:rsidR="00885544" w:rsidRPr="00E921FF" w14:paraId="24FFD206" w14:textId="77777777" w:rsidTr="00885544">
        <w:trPr>
          <w:trHeight w:val="1372"/>
        </w:trPr>
        <w:tc>
          <w:tcPr>
            <w:tcW w:w="1475" w:type="dxa"/>
            <w:vAlign w:val="center"/>
          </w:tcPr>
          <w:p w14:paraId="0DD5C6BE" w14:textId="03569848" w:rsidR="00885544" w:rsidRPr="00E921FF" w:rsidRDefault="00885544" w:rsidP="00BD5513">
            <w:pPr>
              <w:jc w:val="center"/>
              <w:rPr>
                <w:noProof/>
                <w:sz w:val="22"/>
              </w:rPr>
            </w:pPr>
            <w:r w:rsidRPr="00E921FF">
              <w:rPr>
                <w:noProof/>
                <w:sz w:val="22"/>
              </w:rPr>
              <w:t>Priklopnik, ki ni polpriklopnik</w:t>
            </w:r>
          </w:p>
        </w:tc>
        <w:tc>
          <w:tcPr>
            <w:tcW w:w="1052" w:type="dxa"/>
            <w:vAlign w:val="center"/>
          </w:tcPr>
          <w:p w14:paraId="5D362151" w14:textId="5A8BD02F" w:rsidR="00885544" w:rsidRPr="00E921FF" w:rsidRDefault="00852F4E" w:rsidP="00885544">
            <w:pPr>
              <w:jc w:val="center"/>
              <w:rPr>
                <w:noProof/>
                <w:sz w:val="22"/>
              </w:rPr>
            </w:pPr>
            <w:r w:rsidRPr="00E921FF">
              <w:rPr>
                <w:noProof/>
                <w:sz w:val="22"/>
              </w:rPr>
              <w:t>T2</w:t>
            </w:r>
          </w:p>
        </w:tc>
        <w:tc>
          <w:tcPr>
            <w:tcW w:w="1009" w:type="dxa"/>
            <w:vAlign w:val="center"/>
          </w:tcPr>
          <w:p w14:paraId="00A90668" w14:textId="659526CF" w:rsidR="00885544" w:rsidRPr="00E921FF" w:rsidRDefault="00852F4E" w:rsidP="00885544">
            <w:pPr>
              <w:jc w:val="center"/>
              <w:rPr>
                <w:noProof/>
                <w:sz w:val="22"/>
              </w:rPr>
            </w:pPr>
            <w:r w:rsidRPr="00E921FF">
              <w:rPr>
                <w:noProof/>
                <w:sz w:val="22"/>
              </w:rPr>
              <w:t>T3</w:t>
            </w:r>
          </w:p>
        </w:tc>
        <w:tc>
          <w:tcPr>
            <w:tcW w:w="2048" w:type="dxa"/>
            <w:vMerge/>
            <w:vAlign w:val="center"/>
          </w:tcPr>
          <w:p w14:paraId="6F677F6C" w14:textId="29C23592" w:rsidR="00885544" w:rsidRPr="00E921FF" w:rsidRDefault="00885544" w:rsidP="00885544">
            <w:pPr>
              <w:jc w:val="center"/>
              <w:rPr>
                <w:noProof/>
                <w:sz w:val="22"/>
              </w:rPr>
            </w:pPr>
          </w:p>
        </w:tc>
        <w:tc>
          <w:tcPr>
            <w:tcW w:w="2323" w:type="dxa"/>
            <w:vMerge/>
            <w:vAlign w:val="center"/>
          </w:tcPr>
          <w:p w14:paraId="7090428D" w14:textId="69D82EE5" w:rsidR="00885544" w:rsidRPr="00E921FF" w:rsidRDefault="00885544" w:rsidP="00885544">
            <w:pPr>
              <w:jc w:val="center"/>
              <w:rPr>
                <w:noProof/>
                <w:sz w:val="22"/>
              </w:rPr>
            </w:pPr>
          </w:p>
        </w:tc>
        <w:tc>
          <w:tcPr>
            <w:tcW w:w="1382" w:type="dxa"/>
            <w:vMerge/>
          </w:tcPr>
          <w:p w14:paraId="69560B63" w14:textId="77777777" w:rsidR="00885544" w:rsidRPr="00E921FF" w:rsidRDefault="00885544" w:rsidP="00885544">
            <w:pPr>
              <w:jc w:val="center"/>
              <w:rPr>
                <w:noProof/>
                <w:sz w:val="22"/>
              </w:rPr>
            </w:pPr>
          </w:p>
        </w:tc>
      </w:tr>
      <w:tr w:rsidR="00885544" w:rsidRPr="00E921FF" w14:paraId="30973CBD" w14:textId="77777777" w:rsidTr="00885544">
        <w:trPr>
          <w:trHeight w:val="1499"/>
        </w:trPr>
        <w:tc>
          <w:tcPr>
            <w:tcW w:w="1475" w:type="dxa"/>
            <w:tcBorders>
              <w:bottom w:val="single" w:sz="4" w:space="0" w:color="auto"/>
            </w:tcBorders>
            <w:vAlign w:val="center"/>
          </w:tcPr>
          <w:p w14:paraId="19A1D4ED" w14:textId="13771FD9" w:rsidR="00885544" w:rsidRPr="00E921FF" w:rsidRDefault="00885544" w:rsidP="00BD5513">
            <w:pPr>
              <w:jc w:val="center"/>
              <w:rPr>
                <w:noProof/>
                <w:sz w:val="22"/>
              </w:rPr>
            </w:pPr>
            <w:r w:rsidRPr="00E921FF">
              <w:rPr>
                <w:noProof/>
                <w:sz w:val="22"/>
              </w:rPr>
              <w:t>Polpriklopnik</w:t>
            </w:r>
          </w:p>
        </w:tc>
        <w:tc>
          <w:tcPr>
            <w:tcW w:w="1052" w:type="dxa"/>
            <w:tcBorders>
              <w:bottom w:val="single" w:sz="4" w:space="0" w:color="auto"/>
            </w:tcBorders>
            <w:vAlign w:val="center"/>
          </w:tcPr>
          <w:p w14:paraId="70724E4E" w14:textId="36CE03F8" w:rsidR="00885544" w:rsidRPr="00E921FF" w:rsidRDefault="00852F4E" w:rsidP="00885544">
            <w:pPr>
              <w:jc w:val="center"/>
              <w:rPr>
                <w:noProof/>
                <w:sz w:val="22"/>
              </w:rPr>
            </w:pPr>
            <w:r w:rsidRPr="00E921FF">
              <w:rPr>
                <w:noProof/>
                <w:sz w:val="22"/>
              </w:rPr>
              <w:t>ST3</w:t>
            </w:r>
          </w:p>
          <w:p w14:paraId="6C32E7BE" w14:textId="77777777" w:rsidR="00885544" w:rsidRPr="00E921FF" w:rsidRDefault="00885544" w:rsidP="00885544">
            <w:pPr>
              <w:jc w:val="center"/>
              <w:rPr>
                <w:noProof/>
                <w:sz w:val="22"/>
              </w:rPr>
            </w:pPr>
          </w:p>
          <w:p w14:paraId="77F142F4" w14:textId="77777777" w:rsidR="00885544" w:rsidRPr="00E921FF" w:rsidRDefault="00885544" w:rsidP="00885544">
            <w:pPr>
              <w:jc w:val="center"/>
              <w:rPr>
                <w:noProof/>
                <w:sz w:val="22"/>
              </w:rPr>
            </w:pPr>
          </w:p>
        </w:tc>
        <w:tc>
          <w:tcPr>
            <w:tcW w:w="1009" w:type="dxa"/>
            <w:tcBorders>
              <w:bottom w:val="single" w:sz="4" w:space="0" w:color="auto"/>
            </w:tcBorders>
            <w:vAlign w:val="center"/>
          </w:tcPr>
          <w:p w14:paraId="7DA2903C" w14:textId="442FC6BB" w:rsidR="00885544" w:rsidRPr="00E921FF" w:rsidRDefault="00852F4E" w:rsidP="00885544">
            <w:pPr>
              <w:jc w:val="center"/>
              <w:rPr>
                <w:noProof/>
                <w:sz w:val="22"/>
              </w:rPr>
            </w:pPr>
            <w:r w:rsidRPr="00E921FF">
              <w:rPr>
                <w:noProof/>
                <w:sz w:val="22"/>
              </w:rPr>
              <w:t>ST4</w:t>
            </w:r>
          </w:p>
          <w:p w14:paraId="608448E7" w14:textId="77777777" w:rsidR="00885544" w:rsidRPr="00E921FF" w:rsidRDefault="00885544" w:rsidP="00885544">
            <w:pPr>
              <w:jc w:val="center"/>
              <w:rPr>
                <w:noProof/>
                <w:sz w:val="22"/>
              </w:rPr>
            </w:pPr>
          </w:p>
          <w:p w14:paraId="4DEDB08A" w14:textId="77777777" w:rsidR="00885544" w:rsidRPr="00E921FF" w:rsidRDefault="00885544" w:rsidP="00885544">
            <w:pPr>
              <w:jc w:val="center"/>
              <w:rPr>
                <w:noProof/>
                <w:sz w:val="22"/>
              </w:rPr>
            </w:pPr>
          </w:p>
        </w:tc>
        <w:tc>
          <w:tcPr>
            <w:tcW w:w="2048" w:type="dxa"/>
            <w:vMerge w:val="restart"/>
            <w:tcBorders>
              <w:bottom w:val="single" w:sz="4" w:space="0" w:color="auto"/>
            </w:tcBorders>
            <w:vAlign w:val="center"/>
          </w:tcPr>
          <w:p w14:paraId="329A8A2E" w14:textId="0FF0F090" w:rsidR="00885544" w:rsidRPr="00E921FF" w:rsidRDefault="00885544" w:rsidP="00885544">
            <w:pPr>
              <w:jc w:val="center"/>
              <w:rPr>
                <w:noProof/>
                <w:sz w:val="22"/>
              </w:rPr>
            </w:pPr>
            <w:r w:rsidRPr="00E921FF">
              <w:rPr>
                <w:noProof/>
                <w:sz w:val="22"/>
              </w:rPr>
              <w:t>1 ali 2 ali 3</w:t>
            </w:r>
          </w:p>
        </w:tc>
        <w:tc>
          <w:tcPr>
            <w:tcW w:w="2323" w:type="dxa"/>
            <w:vMerge w:val="restart"/>
            <w:tcBorders>
              <w:bottom w:val="single" w:sz="4" w:space="0" w:color="auto"/>
            </w:tcBorders>
            <w:vAlign w:val="center"/>
          </w:tcPr>
          <w:p w14:paraId="6DB3DDB3" w14:textId="2462BD16" w:rsidR="00885544" w:rsidRPr="00E921FF" w:rsidRDefault="00885544" w:rsidP="00885544">
            <w:pPr>
              <w:jc w:val="center"/>
              <w:rPr>
                <w:noProof/>
                <w:sz w:val="22"/>
              </w:rPr>
            </w:pPr>
            <w:r w:rsidRPr="00E921FF">
              <w:rPr>
                <w:noProof/>
                <w:sz w:val="22"/>
              </w:rPr>
              <w:t>4</w:t>
            </w:r>
          </w:p>
        </w:tc>
        <w:tc>
          <w:tcPr>
            <w:tcW w:w="1382" w:type="dxa"/>
            <w:vMerge w:val="restart"/>
            <w:tcBorders>
              <w:bottom w:val="single" w:sz="4" w:space="0" w:color="auto"/>
            </w:tcBorders>
            <w:vAlign w:val="center"/>
          </w:tcPr>
          <w:p w14:paraId="284D17D0" w14:textId="77777777" w:rsidR="00885544" w:rsidRPr="00E921FF" w:rsidRDefault="00885544" w:rsidP="00885544">
            <w:pPr>
              <w:jc w:val="center"/>
              <w:rPr>
                <w:noProof/>
                <w:sz w:val="22"/>
              </w:rPr>
            </w:pPr>
            <w:r w:rsidRPr="00E921FF">
              <w:rPr>
                <w:noProof/>
                <w:sz w:val="22"/>
              </w:rPr>
              <w:t>3</w:t>
            </w:r>
          </w:p>
        </w:tc>
      </w:tr>
      <w:tr w:rsidR="00885544" w:rsidRPr="00E921FF" w14:paraId="648538E4" w14:textId="77777777" w:rsidTr="00885544">
        <w:trPr>
          <w:trHeight w:val="1379"/>
        </w:trPr>
        <w:tc>
          <w:tcPr>
            <w:tcW w:w="1475" w:type="dxa"/>
            <w:tcBorders>
              <w:bottom w:val="single" w:sz="4" w:space="0" w:color="auto"/>
            </w:tcBorders>
            <w:vAlign w:val="center"/>
          </w:tcPr>
          <w:p w14:paraId="7D425CAC" w14:textId="6273C8EC" w:rsidR="00885544" w:rsidRPr="00E921FF" w:rsidRDefault="00885544" w:rsidP="00BD5513">
            <w:pPr>
              <w:jc w:val="center"/>
              <w:rPr>
                <w:noProof/>
                <w:sz w:val="22"/>
              </w:rPr>
            </w:pPr>
            <w:r w:rsidRPr="00E921FF">
              <w:rPr>
                <w:noProof/>
                <w:sz w:val="22"/>
              </w:rPr>
              <w:t>Priklopnik, ki ni polpriklopnik</w:t>
            </w:r>
          </w:p>
        </w:tc>
        <w:tc>
          <w:tcPr>
            <w:tcW w:w="1052" w:type="dxa"/>
            <w:tcBorders>
              <w:bottom w:val="single" w:sz="4" w:space="0" w:color="auto"/>
            </w:tcBorders>
            <w:vAlign w:val="center"/>
          </w:tcPr>
          <w:p w14:paraId="75EA1B28" w14:textId="13944DAE" w:rsidR="00885544" w:rsidRPr="00E921FF" w:rsidRDefault="00852F4E" w:rsidP="00885544">
            <w:pPr>
              <w:jc w:val="center"/>
              <w:rPr>
                <w:noProof/>
                <w:sz w:val="22"/>
              </w:rPr>
            </w:pPr>
            <w:r w:rsidRPr="00E921FF">
              <w:rPr>
                <w:noProof/>
                <w:sz w:val="22"/>
              </w:rPr>
              <w:t>T3</w:t>
            </w:r>
          </w:p>
        </w:tc>
        <w:tc>
          <w:tcPr>
            <w:tcW w:w="1009" w:type="dxa"/>
            <w:tcBorders>
              <w:bottom w:val="single" w:sz="4" w:space="0" w:color="auto"/>
            </w:tcBorders>
            <w:vAlign w:val="center"/>
          </w:tcPr>
          <w:p w14:paraId="3120C44B" w14:textId="0C3D6E55" w:rsidR="00885544" w:rsidRPr="00E921FF" w:rsidRDefault="00852F4E" w:rsidP="00885544">
            <w:pPr>
              <w:jc w:val="center"/>
              <w:rPr>
                <w:noProof/>
                <w:sz w:val="22"/>
              </w:rPr>
            </w:pPr>
            <w:r w:rsidRPr="00E921FF">
              <w:rPr>
                <w:noProof/>
                <w:sz w:val="22"/>
              </w:rPr>
              <w:t>T4</w:t>
            </w:r>
          </w:p>
        </w:tc>
        <w:tc>
          <w:tcPr>
            <w:tcW w:w="2048" w:type="dxa"/>
            <w:vMerge/>
            <w:tcBorders>
              <w:bottom w:val="single" w:sz="4" w:space="0" w:color="auto"/>
            </w:tcBorders>
            <w:vAlign w:val="center"/>
          </w:tcPr>
          <w:p w14:paraId="51174757" w14:textId="4BBA6A02" w:rsidR="00885544" w:rsidRPr="00E921FF" w:rsidRDefault="00885544" w:rsidP="00885544">
            <w:pPr>
              <w:jc w:val="center"/>
              <w:rPr>
                <w:noProof/>
                <w:sz w:val="22"/>
              </w:rPr>
            </w:pPr>
          </w:p>
        </w:tc>
        <w:tc>
          <w:tcPr>
            <w:tcW w:w="2323" w:type="dxa"/>
            <w:vMerge/>
            <w:tcBorders>
              <w:bottom w:val="single" w:sz="4" w:space="0" w:color="auto"/>
            </w:tcBorders>
            <w:vAlign w:val="center"/>
          </w:tcPr>
          <w:p w14:paraId="0518A322" w14:textId="65ED8A2E" w:rsidR="00885544" w:rsidRPr="00E921FF" w:rsidRDefault="00885544" w:rsidP="00885544">
            <w:pPr>
              <w:jc w:val="center"/>
              <w:rPr>
                <w:noProof/>
                <w:sz w:val="22"/>
              </w:rPr>
            </w:pPr>
          </w:p>
        </w:tc>
        <w:tc>
          <w:tcPr>
            <w:tcW w:w="1382" w:type="dxa"/>
            <w:vMerge/>
            <w:tcBorders>
              <w:bottom w:val="single" w:sz="4" w:space="0" w:color="auto"/>
            </w:tcBorders>
          </w:tcPr>
          <w:p w14:paraId="1D37109E" w14:textId="77777777" w:rsidR="00885544" w:rsidRPr="00E921FF" w:rsidRDefault="00885544" w:rsidP="00885544">
            <w:pPr>
              <w:jc w:val="center"/>
              <w:rPr>
                <w:noProof/>
                <w:sz w:val="22"/>
              </w:rPr>
            </w:pPr>
          </w:p>
        </w:tc>
      </w:tr>
      <w:tr w:rsidR="00885544" w:rsidRPr="00E921FF" w14:paraId="5222EF3C" w14:textId="77777777" w:rsidTr="00260F23">
        <w:trPr>
          <w:trHeight w:val="996"/>
        </w:trPr>
        <w:tc>
          <w:tcPr>
            <w:tcW w:w="0" w:type="auto"/>
            <w:gridSpan w:val="6"/>
            <w:vAlign w:val="center"/>
          </w:tcPr>
          <w:p w14:paraId="53BF8DAB" w14:textId="7BF3C5EB" w:rsidR="00885544" w:rsidRPr="00E921FF" w:rsidRDefault="00885544" w:rsidP="00885544">
            <w:pPr>
              <w:rPr>
                <w:noProof/>
                <w:sz w:val="22"/>
              </w:rPr>
            </w:pPr>
            <w:r w:rsidRPr="00E921FF">
              <w:rPr>
                <w:noProof/>
                <w:sz w:val="22"/>
                <w:vertAlign w:val="superscript"/>
              </w:rPr>
              <w:t xml:space="preserve">1 </w:t>
            </w:r>
            <w:r w:rsidRPr="00E921FF">
              <w:rPr>
                <w:noProof/>
                <w:sz w:val="22"/>
              </w:rPr>
              <w:t xml:space="preserve">Razmerje učinkovitosti priklopnika: </w:t>
            </w:r>
          </w:p>
          <w:p w14:paraId="76AAA8EB" w14:textId="1234B98E" w:rsidR="00885544" w:rsidRPr="00E921FF" w:rsidRDefault="00885544" w:rsidP="00885544">
            <w:pPr>
              <w:rPr>
                <w:noProof/>
                <w:sz w:val="22"/>
              </w:rPr>
            </w:pPr>
            <w:r w:rsidRPr="00E921FF">
              <w:rPr>
                <w:noProof/>
                <w:sz w:val="22"/>
              </w:rPr>
              <w:t>1) Razmerje učinkovitosti za priklopnike brez postavitve za velik tovor – na podlagi tonskih kilometrov, kadar je navedeno v točki 49.11.2 certifikata o skladnosti, opredeljenega v Dodatku k Prilogi VIII k Izvedbeni uredbi Komisije (EU) 2020/683</w:t>
            </w:r>
            <w:r w:rsidRPr="00E921FF">
              <w:rPr>
                <w:noProof/>
                <w:sz w:val="22"/>
                <w:vertAlign w:val="superscript"/>
              </w:rPr>
              <w:t>*1</w:t>
            </w:r>
            <w:r w:rsidRPr="00E921FF">
              <w:rPr>
                <w:noProof/>
                <w:sz w:val="22"/>
              </w:rPr>
              <w:t xml:space="preserve">, ali v točki 49.11.2 certifikata o posamični odobritvi vozila, opredeljenega v Dodatku 1 k Prilogi III k navedeni uredbi. </w:t>
            </w:r>
          </w:p>
          <w:p w14:paraId="0C1F2A5F" w14:textId="77777777" w:rsidR="00885544" w:rsidRPr="00E921FF" w:rsidRDefault="00885544" w:rsidP="00885544">
            <w:pPr>
              <w:rPr>
                <w:noProof/>
                <w:sz w:val="22"/>
              </w:rPr>
            </w:pPr>
            <w:r w:rsidRPr="00E921FF">
              <w:rPr>
                <w:noProof/>
                <w:sz w:val="22"/>
              </w:rPr>
              <w:t xml:space="preserve">2) Razmerje učinkovitosti za priklopnike s postavitvijo za velik tovor – na podlagi m3-kilometrov, kadar je navedeno v točki 49.11.3 certifikata o skladnosti vozil, opredeljenega v Dodatku k Prilogi VIII k Izvedbeni uredbi Komisije (EU) 2020/683, ali v točki 49.11.3 certifikata o posamični odobritvi vozila, opredeljenega v Dodatku 1 k Prilogi III k navedeni uredbi. </w:t>
            </w:r>
          </w:p>
          <w:p w14:paraId="3D9D848F" w14:textId="77777777" w:rsidR="00885544" w:rsidRPr="00E921FF" w:rsidRDefault="00885544" w:rsidP="00885544">
            <w:pPr>
              <w:rPr>
                <w:noProof/>
                <w:sz w:val="22"/>
              </w:rPr>
            </w:pPr>
            <w:r w:rsidRPr="00E921FF">
              <w:rPr>
                <w:noProof/>
                <w:sz w:val="22"/>
              </w:rPr>
              <w:t>Postavitev za velik tovor vozila je navedena v točki 49.10 certifikata o skladnosti, opredeljenega v Dodatku k Prilogi VIII k Izvedbeni uredbi Komisije (EU) 2020/683, ali v točki 49.10 certifikata o posamični odobritvi vozila, opredeljenega v Dodatku 1 k Prilogi III k navedeni uredbi.</w:t>
            </w:r>
          </w:p>
          <w:p w14:paraId="22A940AD" w14:textId="7B71DAD1" w:rsidR="00885544" w:rsidRPr="00E921FF" w:rsidRDefault="00885544" w:rsidP="00885544">
            <w:pPr>
              <w:rPr>
                <w:noProof/>
                <w:sz w:val="22"/>
              </w:rPr>
            </w:pPr>
            <w:r w:rsidRPr="00E921FF">
              <w:rPr>
                <w:noProof/>
                <w:sz w:val="22"/>
                <w:vertAlign w:val="superscript"/>
              </w:rPr>
              <w:t>*1</w:t>
            </w:r>
            <w:r w:rsidRPr="00E921FF">
              <w:rPr>
                <w:noProof/>
                <w:sz w:val="22"/>
              </w:rPr>
              <w:t xml:space="preserve"> Izvedbena uredba Komisije (EU) 2020/683 z dne 15. aprila 2020 o izvajanju Uredbe (EU) 2018/858 Evropskega parlamenta in Sveta glede upravnih zahtev za odobritev in tržni nadzor motornih vozil in njihovih priklopnikov ter sistemov, sestavnih delov in samostojnih tehničnih enot, namenjenih za taka vozila (UL L 163, 26.5.2020, str. 1).</w:t>
            </w:r>
          </w:p>
        </w:tc>
      </w:tr>
    </w:tbl>
    <w:p w14:paraId="49739332" w14:textId="5C3B9759" w:rsidR="00905D22" w:rsidRPr="00E921FF" w:rsidRDefault="005F570D" w:rsidP="00F727B3">
      <w:pPr>
        <w:rPr>
          <w:noProof/>
        </w:rPr>
      </w:pPr>
      <w:r w:rsidRPr="00E921FF">
        <w:rPr>
          <w:noProof/>
        </w:rPr>
        <w:t>“</w:t>
      </w:r>
    </w:p>
    <w:sectPr w:rsidR="00905D22" w:rsidRPr="00E921FF" w:rsidSect="00771FC2">
      <w:footerReference w:type="default" r:id="rId24"/>
      <w:footerReference w:type="first" r:id="rId2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25F3" w14:textId="77777777" w:rsidR="005B445B" w:rsidRDefault="005B445B" w:rsidP="00F727B3">
      <w:pPr>
        <w:spacing w:before="0" w:after="0"/>
      </w:pPr>
      <w:r>
        <w:separator/>
      </w:r>
    </w:p>
  </w:endnote>
  <w:endnote w:type="continuationSeparator" w:id="0">
    <w:p w14:paraId="2DC3A7C2" w14:textId="77777777" w:rsidR="005B445B" w:rsidRDefault="005B445B" w:rsidP="00F727B3">
      <w:pPr>
        <w:spacing w:before="0" w:after="0"/>
      </w:pPr>
      <w:r>
        <w:continuationSeparator/>
      </w:r>
    </w:p>
  </w:endnote>
  <w:endnote w:type="continuationNotice" w:id="1">
    <w:p w14:paraId="2C41F03A" w14:textId="77777777" w:rsidR="005B445B" w:rsidRDefault="005B44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4926" w14:textId="77777777" w:rsidR="00191425" w:rsidRDefault="00191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191425" w:rsidRPr="00D94637" w14:paraId="7D36841E" w14:textId="77777777" w:rsidTr="00191425">
      <w:trPr>
        <w:jc w:val="center"/>
      </w:trPr>
      <w:tc>
        <w:tcPr>
          <w:tcW w:w="5000" w:type="pct"/>
          <w:gridSpan w:val="7"/>
          <w:shd w:val="clear" w:color="auto" w:fill="auto"/>
          <w:tcMar>
            <w:top w:w="57" w:type="dxa"/>
          </w:tcMar>
        </w:tcPr>
        <w:p w14:paraId="031CA6C5" w14:textId="77777777" w:rsidR="00191425" w:rsidRPr="00D94637" w:rsidRDefault="00191425" w:rsidP="00D94637">
          <w:pPr>
            <w:pStyle w:val="FooterText"/>
            <w:pBdr>
              <w:top w:val="single" w:sz="4" w:space="1" w:color="auto"/>
            </w:pBdr>
            <w:spacing w:before="200"/>
            <w:rPr>
              <w:sz w:val="2"/>
              <w:szCs w:val="2"/>
            </w:rPr>
          </w:pPr>
          <w:bookmarkStart w:id="1" w:name="FOOTER_STANDARD"/>
        </w:p>
      </w:tc>
    </w:tr>
    <w:tr w:rsidR="00191425" w:rsidRPr="00B310DC" w14:paraId="556D0B16" w14:textId="77777777" w:rsidTr="00191425">
      <w:trPr>
        <w:jc w:val="center"/>
      </w:trPr>
      <w:tc>
        <w:tcPr>
          <w:tcW w:w="2500" w:type="pct"/>
          <w:gridSpan w:val="2"/>
          <w:shd w:val="clear" w:color="auto" w:fill="auto"/>
          <w:tcMar>
            <w:top w:w="0" w:type="dxa"/>
          </w:tcMar>
        </w:tcPr>
        <w:p w14:paraId="2F7767B7" w14:textId="6E01E75E" w:rsidR="00191425" w:rsidRPr="00AD7BF2" w:rsidRDefault="00191425" w:rsidP="004F54B2">
          <w:pPr>
            <w:pStyle w:val="FooterText"/>
          </w:pPr>
          <w:r>
            <w:t>9056/23</w:t>
          </w:r>
          <w:r w:rsidRPr="002511D8">
            <w:t xml:space="preserve"> </w:t>
          </w:r>
          <w:r>
            <w:t>ADD 1</w:t>
          </w:r>
        </w:p>
      </w:tc>
      <w:tc>
        <w:tcPr>
          <w:tcW w:w="625" w:type="pct"/>
          <w:shd w:val="clear" w:color="auto" w:fill="auto"/>
          <w:tcMar>
            <w:top w:w="0" w:type="dxa"/>
          </w:tcMar>
        </w:tcPr>
        <w:p w14:paraId="12D2A8C8" w14:textId="77777777" w:rsidR="00191425" w:rsidRPr="00AD7BF2" w:rsidRDefault="00191425" w:rsidP="00D94637">
          <w:pPr>
            <w:pStyle w:val="FooterText"/>
            <w:jc w:val="center"/>
          </w:pPr>
        </w:p>
      </w:tc>
      <w:tc>
        <w:tcPr>
          <w:tcW w:w="1286" w:type="pct"/>
          <w:gridSpan w:val="3"/>
          <w:shd w:val="clear" w:color="auto" w:fill="auto"/>
          <w:tcMar>
            <w:top w:w="0" w:type="dxa"/>
          </w:tcMar>
        </w:tcPr>
        <w:p w14:paraId="36A1B734" w14:textId="7DFBEC25" w:rsidR="00191425" w:rsidRPr="002511D8" w:rsidRDefault="00191425" w:rsidP="00D94637">
          <w:pPr>
            <w:pStyle w:val="FooterText"/>
            <w:jc w:val="center"/>
          </w:pPr>
          <w:proofErr w:type="spellStart"/>
          <w:r>
            <w:t>ako</w:t>
          </w:r>
          <w:proofErr w:type="spellEnd"/>
        </w:p>
      </w:tc>
      <w:tc>
        <w:tcPr>
          <w:tcW w:w="589" w:type="pct"/>
          <w:shd w:val="clear" w:color="auto" w:fill="auto"/>
          <w:tcMar>
            <w:top w:w="0" w:type="dxa"/>
          </w:tcMar>
        </w:tcPr>
        <w:p w14:paraId="74FE28B8" w14:textId="3A2E272B" w:rsidR="00191425" w:rsidRPr="00B310DC" w:rsidRDefault="00191425"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191425" w:rsidRPr="00D94637" w14:paraId="518ED2C8" w14:textId="77777777" w:rsidTr="00191425">
      <w:trPr>
        <w:jc w:val="center"/>
      </w:trPr>
      <w:tc>
        <w:tcPr>
          <w:tcW w:w="1774" w:type="pct"/>
          <w:shd w:val="clear" w:color="auto" w:fill="auto"/>
        </w:tcPr>
        <w:p w14:paraId="534F28BA" w14:textId="39EAE8E1" w:rsidR="00191425" w:rsidRPr="00AD7BF2" w:rsidRDefault="00191425" w:rsidP="00D94637">
          <w:pPr>
            <w:pStyle w:val="FooterText"/>
            <w:spacing w:before="40"/>
          </w:pPr>
        </w:p>
      </w:tc>
      <w:tc>
        <w:tcPr>
          <w:tcW w:w="1455" w:type="pct"/>
          <w:gridSpan w:val="3"/>
          <w:shd w:val="clear" w:color="auto" w:fill="auto"/>
        </w:tcPr>
        <w:p w14:paraId="1EDA4A54" w14:textId="36564238" w:rsidR="00191425" w:rsidRPr="00AD7BF2" w:rsidRDefault="00191425" w:rsidP="00D204D6">
          <w:pPr>
            <w:pStyle w:val="FooterText"/>
            <w:spacing w:before="40"/>
            <w:jc w:val="center"/>
          </w:pPr>
          <w:r>
            <w:t>TREE.</w:t>
          </w:r>
          <w:proofErr w:type="gramStart"/>
          <w:r>
            <w:t>2.A</w:t>
          </w:r>
          <w:proofErr w:type="gramEnd"/>
        </w:p>
      </w:tc>
      <w:tc>
        <w:tcPr>
          <w:tcW w:w="742" w:type="pct"/>
          <w:shd w:val="clear" w:color="auto" w:fill="auto"/>
        </w:tcPr>
        <w:p w14:paraId="37623B6D" w14:textId="1022EBA3" w:rsidR="00191425" w:rsidRPr="00D94637" w:rsidRDefault="00191425" w:rsidP="002F0099">
          <w:pPr>
            <w:pStyle w:val="FooterText"/>
            <w:jc w:val="center"/>
            <w:rPr>
              <w:b/>
              <w:position w:val="-4"/>
              <w:sz w:val="36"/>
            </w:rPr>
          </w:pPr>
        </w:p>
      </w:tc>
      <w:tc>
        <w:tcPr>
          <w:tcW w:w="1029" w:type="pct"/>
          <w:gridSpan w:val="2"/>
          <w:shd w:val="clear" w:color="auto" w:fill="auto"/>
        </w:tcPr>
        <w:p w14:paraId="4E8EA64E" w14:textId="4799828E" w:rsidR="00191425" w:rsidRPr="000310C2" w:rsidRDefault="00191425" w:rsidP="00D94637">
          <w:pPr>
            <w:pStyle w:val="FooterText"/>
            <w:jc w:val="right"/>
            <w:rPr>
              <w:spacing w:val="-20"/>
              <w:sz w:val="16"/>
            </w:rPr>
          </w:pPr>
          <w:r>
            <w:rPr>
              <w:b/>
              <w:spacing w:val="-20"/>
              <w:position w:val="-4"/>
              <w:sz w:val="36"/>
            </w:rPr>
            <w:t>SL</w:t>
          </w:r>
        </w:p>
      </w:tc>
    </w:tr>
    <w:bookmarkEnd w:id="1"/>
  </w:tbl>
  <w:p w14:paraId="565827B4" w14:textId="2C53EDDD" w:rsidR="00B3471F" w:rsidRPr="00191425" w:rsidRDefault="00B3471F" w:rsidP="00191425">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191425" w:rsidRPr="00D94637" w14:paraId="457F2B7B" w14:textId="77777777" w:rsidTr="00191425">
      <w:trPr>
        <w:jc w:val="center"/>
      </w:trPr>
      <w:tc>
        <w:tcPr>
          <w:tcW w:w="5000" w:type="pct"/>
          <w:gridSpan w:val="7"/>
          <w:shd w:val="clear" w:color="auto" w:fill="auto"/>
          <w:tcMar>
            <w:top w:w="57" w:type="dxa"/>
          </w:tcMar>
        </w:tcPr>
        <w:p w14:paraId="535A2D0D" w14:textId="77777777" w:rsidR="00191425" w:rsidRPr="00D94637" w:rsidRDefault="00191425" w:rsidP="00D94637">
          <w:pPr>
            <w:pStyle w:val="FooterText"/>
            <w:pBdr>
              <w:top w:val="single" w:sz="4" w:space="1" w:color="auto"/>
            </w:pBdr>
            <w:spacing w:before="200"/>
            <w:rPr>
              <w:sz w:val="2"/>
              <w:szCs w:val="2"/>
            </w:rPr>
          </w:pPr>
        </w:p>
      </w:tc>
    </w:tr>
    <w:tr w:rsidR="00191425" w:rsidRPr="00B310DC" w14:paraId="031620EE" w14:textId="77777777" w:rsidTr="00191425">
      <w:trPr>
        <w:jc w:val="center"/>
      </w:trPr>
      <w:tc>
        <w:tcPr>
          <w:tcW w:w="2500" w:type="pct"/>
          <w:gridSpan w:val="2"/>
          <w:shd w:val="clear" w:color="auto" w:fill="auto"/>
          <w:tcMar>
            <w:top w:w="0" w:type="dxa"/>
          </w:tcMar>
        </w:tcPr>
        <w:p w14:paraId="3AB3ECC5" w14:textId="3F9504F0" w:rsidR="00191425" w:rsidRPr="00AD7BF2" w:rsidRDefault="00191425" w:rsidP="004F54B2">
          <w:pPr>
            <w:pStyle w:val="FooterText"/>
          </w:pPr>
          <w:r>
            <w:t>9056/23</w:t>
          </w:r>
          <w:r w:rsidRPr="002511D8">
            <w:t xml:space="preserve"> </w:t>
          </w:r>
          <w:r>
            <w:t>ADD 1</w:t>
          </w:r>
        </w:p>
      </w:tc>
      <w:tc>
        <w:tcPr>
          <w:tcW w:w="625" w:type="pct"/>
          <w:shd w:val="clear" w:color="auto" w:fill="auto"/>
          <w:tcMar>
            <w:top w:w="0" w:type="dxa"/>
          </w:tcMar>
        </w:tcPr>
        <w:p w14:paraId="238F084D" w14:textId="77777777" w:rsidR="00191425" w:rsidRPr="00AD7BF2" w:rsidRDefault="00191425" w:rsidP="00D94637">
          <w:pPr>
            <w:pStyle w:val="FooterText"/>
            <w:jc w:val="center"/>
          </w:pPr>
        </w:p>
      </w:tc>
      <w:tc>
        <w:tcPr>
          <w:tcW w:w="1286" w:type="pct"/>
          <w:gridSpan w:val="3"/>
          <w:shd w:val="clear" w:color="auto" w:fill="auto"/>
          <w:tcMar>
            <w:top w:w="0" w:type="dxa"/>
          </w:tcMar>
        </w:tcPr>
        <w:p w14:paraId="413E376E" w14:textId="766D7D04" w:rsidR="00191425" w:rsidRPr="002511D8" w:rsidRDefault="00191425" w:rsidP="00D94637">
          <w:pPr>
            <w:pStyle w:val="FooterText"/>
            <w:jc w:val="center"/>
          </w:pPr>
          <w:proofErr w:type="spellStart"/>
          <w:r>
            <w:t>ako</w:t>
          </w:r>
          <w:proofErr w:type="spellEnd"/>
        </w:p>
      </w:tc>
      <w:tc>
        <w:tcPr>
          <w:tcW w:w="589" w:type="pct"/>
          <w:shd w:val="clear" w:color="auto" w:fill="auto"/>
          <w:tcMar>
            <w:top w:w="0" w:type="dxa"/>
          </w:tcMar>
        </w:tcPr>
        <w:p w14:paraId="0AE15F6A" w14:textId="4E732080" w:rsidR="00191425" w:rsidRPr="00B310DC" w:rsidRDefault="00191425" w:rsidP="00D94637">
          <w:pPr>
            <w:pStyle w:val="FooterText"/>
            <w:jc w:val="right"/>
          </w:pPr>
        </w:p>
      </w:tc>
    </w:tr>
    <w:tr w:rsidR="00191425" w:rsidRPr="00D94637" w14:paraId="1C55E660" w14:textId="77777777" w:rsidTr="00191425">
      <w:trPr>
        <w:jc w:val="center"/>
      </w:trPr>
      <w:tc>
        <w:tcPr>
          <w:tcW w:w="1774" w:type="pct"/>
          <w:shd w:val="clear" w:color="auto" w:fill="auto"/>
        </w:tcPr>
        <w:p w14:paraId="02F9FF84" w14:textId="6B907D70" w:rsidR="00191425" w:rsidRPr="00AD7BF2" w:rsidRDefault="00191425" w:rsidP="00D94637">
          <w:pPr>
            <w:pStyle w:val="FooterText"/>
            <w:spacing w:before="40"/>
          </w:pPr>
        </w:p>
      </w:tc>
      <w:tc>
        <w:tcPr>
          <w:tcW w:w="1455" w:type="pct"/>
          <w:gridSpan w:val="3"/>
          <w:shd w:val="clear" w:color="auto" w:fill="auto"/>
        </w:tcPr>
        <w:p w14:paraId="4BCC0F25" w14:textId="2A2323F2" w:rsidR="00191425" w:rsidRPr="00AD7BF2" w:rsidRDefault="00191425" w:rsidP="00D204D6">
          <w:pPr>
            <w:pStyle w:val="FooterText"/>
            <w:spacing w:before="40"/>
            <w:jc w:val="center"/>
          </w:pPr>
          <w:r>
            <w:t>TREE.</w:t>
          </w:r>
          <w:proofErr w:type="gramStart"/>
          <w:r>
            <w:t>2.A</w:t>
          </w:r>
          <w:proofErr w:type="gramEnd"/>
        </w:p>
      </w:tc>
      <w:tc>
        <w:tcPr>
          <w:tcW w:w="742" w:type="pct"/>
          <w:shd w:val="clear" w:color="auto" w:fill="auto"/>
        </w:tcPr>
        <w:p w14:paraId="6E6DE503" w14:textId="3F83A324" w:rsidR="00191425" w:rsidRPr="00D94637" w:rsidRDefault="00191425" w:rsidP="002F0099">
          <w:pPr>
            <w:pStyle w:val="FooterText"/>
            <w:jc w:val="center"/>
            <w:rPr>
              <w:b/>
              <w:position w:val="-4"/>
              <w:sz w:val="36"/>
            </w:rPr>
          </w:pPr>
        </w:p>
      </w:tc>
      <w:tc>
        <w:tcPr>
          <w:tcW w:w="1029" w:type="pct"/>
          <w:gridSpan w:val="2"/>
          <w:shd w:val="clear" w:color="auto" w:fill="auto"/>
        </w:tcPr>
        <w:p w14:paraId="08F78FD7" w14:textId="3DE0F44D" w:rsidR="00191425" w:rsidRPr="000310C2" w:rsidRDefault="00191425" w:rsidP="00D94637">
          <w:pPr>
            <w:pStyle w:val="FooterText"/>
            <w:jc w:val="right"/>
            <w:rPr>
              <w:spacing w:val="-20"/>
              <w:sz w:val="16"/>
            </w:rPr>
          </w:pPr>
          <w:r>
            <w:rPr>
              <w:b/>
              <w:spacing w:val="-20"/>
              <w:position w:val="-4"/>
              <w:sz w:val="36"/>
            </w:rPr>
            <w:t>SL</w:t>
          </w:r>
        </w:p>
      </w:tc>
    </w:tr>
  </w:tbl>
  <w:p w14:paraId="2BDF5F18" w14:textId="77777777" w:rsidR="00771FC2" w:rsidRPr="00191425" w:rsidRDefault="00771FC2" w:rsidP="00191425">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ED5D" w14:textId="77777777" w:rsidR="00191425" w:rsidRPr="00771FC2" w:rsidRDefault="00191425" w:rsidP="00771F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A3A" w14:textId="77777777" w:rsidR="00191425" w:rsidRPr="00771FC2" w:rsidRDefault="00191425" w:rsidP="00771FC2">
    <w:pPr>
      <w:pStyle w:val="Footer"/>
      <w:rPr>
        <w:rFonts w:ascii="Arial" w:hAnsi="Arial" w:cs="Arial"/>
        <w:b/>
        <w:sz w:val="48"/>
      </w:rPr>
    </w:pPr>
    <w:r w:rsidRPr="00771FC2">
      <w:rPr>
        <w:rFonts w:ascii="Arial" w:hAnsi="Arial" w:cs="Arial"/>
        <w:b/>
        <w:sz w:val="48"/>
      </w:rPr>
      <w:t>SL</w:t>
    </w:r>
    <w:r w:rsidRPr="00771FC2">
      <w:rPr>
        <w:rFonts w:ascii="Arial" w:hAnsi="Arial" w:cs="Arial"/>
        <w:b/>
        <w:sz w:val="48"/>
      </w:rPr>
      <w:tab/>
    </w:r>
    <w:r w:rsidRPr="00771FC2">
      <w:rPr>
        <w:rFonts w:ascii="Arial" w:hAnsi="Arial" w:cs="Arial"/>
        <w:b/>
        <w:sz w:val="48"/>
      </w:rPr>
      <w:tab/>
    </w:r>
    <w:r w:rsidRPr="00771FC2">
      <w:tab/>
    </w:r>
    <w:proofErr w:type="spellStart"/>
    <w:r w:rsidRPr="00771FC2">
      <w:rPr>
        <w:rFonts w:ascii="Arial" w:hAnsi="Arial" w:cs="Arial"/>
        <w:b/>
        <w:sz w:val="48"/>
      </w:rPr>
      <w:t>SL</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1012" w14:textId="77777777" w:rsidR="00191425" w:rsidRPr="00771FC2" w:rsidRDefault="00191425" w:rsidP="00771F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5B2E" w14:textId="2087E3B1" w:rsidR="00771FC2" w:rsidRPr="00771FC2" w:rsidRDefault="00771FC2" w:rsidP="00771FC2">
    <w:pPr>
      <w:pStyle w:val="Footer"/>
      <w:rPr>
        <w:rFonts w:ascii="Arial" w:hAnsi="Arial" w:cs="Arial"/>
        <w:b/>
        <w:sz w:val="48"/>
      </w:rPr>
    </w:pPr>
    <w:r w:rsidRPr="00771FC2">
      <w:rPr>
        <w:rFonts w:ascii="Arial" w:hAnsi="Arial" w:cs="Arial"/>
        <w:b/>
        <w:sz w:val="48"/>
      </w:rPr>
      <w:t>SL</w:t>
    </w:r>
    <w:r w:rsidRPr="00771FC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1FC2">
      <w:tab/>
    </w:r>
    <w:r w:rsidRPr="00771FC2">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7493" w14:textId="77777777" w:rsidR="00771FC2" w:rsidRPr="00771FC2" w:rsidRDefault="00771FC2" w:rsidP="00771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98CC" w14:textId="77777777" w:rsidR="005B445B" w:rsidRDefault="005B445B" w:rsidP="00F727B3">
      <w:pPr>
        <w:spacing w:before="0" w:after="0"/>
      </w:pPr>
      <w:r>
        <w:separator/>
      </w:r>
    </w:p>
  </w:footnote>
  <w:footnote w:type="continuationSeparator" w:id="0">
    <w:p w14:paraId="74280D46" w14:textId="77777777" w:rsidR="005B445B" w:rsidRDefault="005B445B" w:rsidP="00F727B3">
      <w:pPr>
        <w:spacing w:before="0" w:after="0"/>
      </w:pPr>
      <w:r>
        <w:continuationSeparator/>
      </w:r>
    </w:p>
  </w:footnote>
  <w:footnote w:type="continuationNotice" w:id="1">
    <w:p w14:paraId="6407FC0C" w14:textId="77777777" w:rsidR="005B445B" w:rsidRDefault="005B44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B672" w14:textId="77777777" w:rsidR="00191425" w:rsidRDefault="00191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53EB" w14:textId="65835E6F" w:rsidR="00771FC2" w:rsidRPr="00191425" w:rsidRDefault="00191425" w:rsidP="00191425">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1598" w14:textId="3738A31F" w:rsidR="00771FC2" w:rsidRPr="00191425" w:rsidRDefault="00191425" w:rsidP="00191425">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72D7" w14:textId="77777777" w:rsidR="00191425" w:rsidRPr="00771FC2" w:rsidRDefault="00191425" w:rsidP="00771F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2C12" w14:textId="77777777" w:rsidR="00191425" w:rsidRPr="00771FC2" w:rsidRDefault="00191425" w:rsidP="00771F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4B81" w14:textId="77777777" w:rsidR="00191425" w:rsidRPr="00771FC2" w:rsidRDefault="00191425" w:rsidP="00771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AA87AE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ACE370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118F6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6B2C5D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C8EE3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3EAC3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A36DF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1BE117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96246714">
    <w:abstractNumId w:val="7"/>
  </w:num>
  <w:num w:numId="2" w16cid:durableId="1947537099">
    <w:abstractNumId w:val="5"/>
  </w:num>
  <w:num w:numId="3" w16cid:durableId="1027177509">
    <w:abstractNumId w:val="4"/>
  </w:num>
  <w:num w:numId="4" w16cid:durableId="613245934">
    <w:abstractNumId w:val="3"/>
  </w:num>
  <w:num w:numId="5" w16cid:durableId="1532693831">
    <w:abstractNumId w:val="6"/>
  </w:num>
  <w:num w:numId="6" w16cid:durableId="384137120">
    <w:abstractNumId w:val="2"/>
  </w:num>
  <w:num w:numId="7" w16cid:durableId="545407313">
    <w:abstractNumId w:val="1"/>
  </w:num>
  <w:num w:numId="8" w16cid:durableId="1828202945">
    <w:abstractNumId w:val="0"/>
  </w:num>
  <w:num w:numId="9" w16cid:durableId="1000163617">
    <w:abstractNumId w:val="19"/>
  </w:num>
  <w:num w:numId="10" w16cid:durableId="829709513">
    <w:abstractNumId w:val="12"/>
  </w:num>
  <w:num w:numId="11" w16cid:durableId="777412771">
    <w:abstractNumId w:val="21"/>
  </w:num>
  <w:num w:numId="12" w16cid:durableId="198131432">
    <w:abstractNumId w:val="11"/>
  </w:num>
  <w:num w:numId="13" w16cid:durableId="710570003">
    <w:abstractNumId w:val="13"/>
  </w:num>
  <w:num w:numId="14" w16cid:durableId="33310973">
    <w:abstractNumId w:val="14"/>
  </w:num>
  <w:num w:numId="15" w16cid:durableId="546717891">
    <w:abstractNumId w:val="9"/>
  </w:num>
  <w:num w:numId="16" w16cid:durableId="1393236180">
    <w:abstractNumId w:val="20"/>
  </w:num>
  <w:num w:numId="17" w16cid:durableId="937370472">
    <w:abstractNumId w:val="8"/>
  </w:num>
  <w:num w:numId="18" w16cid:durableId="1123885153">
    <w:abstractNumId w:val="15"/>
  </w:num>
  <w:num w:numId="19" w16cid:durableId="2143880057">
    <w:abstractNumId w:val="17"/>
  </w:num>
  <w:num w:numId="20" w16cid:durableId="304774934">
    <w:abstractNumId w:val="18"/>
  </w:num>
  <w:num w:numId="21" w16cid:durableId="746876206">
    <w:abstractNumId w:val="10"/>
  </w:num>
  <w:num w:numId="22" w16cid:durableId="659961547">
    <w:abstractNumId w:val="16"/>
  </w:num>
  <w:num w:numId="23" w16cid:durableId="43695229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proofState w:spelling="clean" w:grammar="clean"/>
  <w:attachedTemplate r:id="rId1"/>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5427155989728557079&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05-04&lt;/text&gt;_x000d__x000a_  &lt;/metadata&gt;_x000d__x000a_  &lt;metadata key=&quot;md_Prefix&quot;&gt;_x000d__x000a_    &lt;text&gt;&lt;/text&gt;_x000d__x000a_  &lt;/metadata&gt;_x000d__x000a_  &lt;metadata key=&quot;md_DocumentNumber&quot;&gt;_x000d__x000a_    &lt;text&gt;9056&lt;/text&gt;_x000d__x000a_  &lt;/metadata&gt;_x000d__x000a_  &lt;metadata key=&quot;md_YearDocumentNumber&quot;&gt;_x000d__x000a_    &lt;text&gt;2023&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RANS 179&lt;/text&gt;_x000d__x000a_      &lt;text&gt;ENV 467&lt;/text&gt;_x000d__x000a_      &lt;text&gt;FISC 78&lt;/text&gt;_x000d__x000a_      &lt;text&gt;CODEC 791&lt;/text&gt;_x000d__x000a_      &lt;text&gt;IA 9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134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05-0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189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ILOGA k predlogu DIREKTIVE EVROPSKEGA PARLAMENTA IN SVETA o spremembi Direktive 1999/62/ES, Direktive Sveta 1999/37/ES in Direktive (EU) 2019/520 glede emisijskega razreda CO2 za te&amp;#382;ka vozila s priklopniki&quot;&gt;&amp;lt;FlowDocument FontFamily=&quot;Segoe UI&quot; FontSize=&quot;12&quot; PagePadding=&quot;2,2,2,2&quot; AllowDrop=&quot;False&quot; xmlns=&quot;http://schemas.microsoft.com/winfx/2006/xaml/presentation&quot;&amp;gt;&amp;lt;Paragraph&amp;gt;PRILOGA k predlogu DIREKTIVE EVROPSKEGA PARLAMENTA IN SVETA o spremembi Direktive 1999/62/ES, Direktive Sveta 1999/37/ES in Direktive (EU) 2019/520 glede emisijskega razreda CO2 za te&amp;#382;ka vozila s priklopniki&amp;lt;/Paragraph&amp;gt;&amp;lt;/FlowDocument&amp;gt;&lt;/xaml&gt;_x000d__x000a_  &lt;/metadata&gt;_x000d__x000a_  &lt;metadata key=&quot;md_SubjectFootnote&quot; /&gt;_x000d__x000a_  &lt;metadata key=&quot;md_DG&quot;&gt;_x000d__x000a_    &lt;text&gt;TREE.2.A&lt;/text&gt;_x000d__x000a_  &lt;/metadata&gt;_x000d__x000a_  &lt;metadata key=&quot;md_Initials&quot;&gt;_x000d__x000a_    &lt;text&gt;ako&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ILOGA&lt;/text&gt;_x000d__x000a_  &lt;/metadata&gt;_x000d__x000a_  &lt;metadata key=&quot;md_SourceDocTitle&quot;&gt;_x000d__x000a_    &lt;text&gt;k _x000d__x000a_predlogu DIREKTIVE EVROPSKEGA PARLAMENTA IN SVETA _x000d__x000a_o spremembi Direktive 1999/62/ES, Direktive Sveta 1999/37/ES in Direktive (EU) 2019/520 glede emisijskega razreda CO2 za te&amp;#382;ka vozila s priklopniki&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4-26 08:41: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5691F175-629C-44B7-AE11-797CA6403D07"/>
    <w:docVar w:name="LW_COVERPAGE_TYPE" w:val="1"/>
    <w:docVar w:name="LW_CROSSREFERENCE" w:val="&lt;UNUSED&gt;"/>
    <w:docVar w:name="LW_DocType" w:val="ANNEX"/>
    <w:docVar w:name="LW_EMISSION" w:val="4.5.2023"/>
    <w:docVar w:name="LW_EMISSION_ISODATE" w:val="2023-05-04"/>
    <w:docVar w:name="LW_EMISSION_LOCATION" w:val="BRX"/>
    <w:docVar w:name="LW_EMISSION_PREFIX" w:val="Bruselj, "/>
    <w:docVar w:name="LW_EMISSION_SUFFIX" w:val=" "/>
    <w:docVar w:name="LW_ID_DOCSTRUCTURE" w:val="COM/ANNEX"/>
    <w:docVar w:name="LW_ID_DOCTYPE" w:val="SG-017"/>
    <w:docVar w:name="LW_LANGUE" w:val="SL"/>
    <w:docVar w:name="LW_LEVEL_OF_SENSITIVITY" w:val="Standard treatment"/>
    <w:docVar w:name="LW_NOM.INST" w:val="EVROPSKA KOMISIJA"/>
    <w:docVar w:name="LW_NOM.INST_JOINTDOC" w:val="&lt;EMPTY&gt;"/>
    <w:docVar w:name="LW_OBJETACTEPRINCIPAL" w:val="o spremembi Direktive 1999/62/ES, Direktive Sveta 1999/37/ES in Direktive (EU) 2019/520 glede emisijskega razreda CO2 za te\u382?ka vozila s priklopniki "/>
    <w:docVar w:name="LW_OBJETACTEPRINCIPAL.CP" w:val="o spremembi Direktive 1999/62/ES, Direktive Sveta 1999/37/ES in Direktive (EU) 2019/520 glede emisijskega razreda CO2 za težka vozila s priklopniki "/>
    <w:docVar w:name="LW_PART_NBR" w:val="1"/>
    <w:docVar w:name="LW_PART_NBR_TOTAL" w:val="1"/>
    <w:docVar w:name="LW_REF.INST.NEW" w:val="COM"/>
    <w:docVar w:name="LW_REF.INST.NEW_ADOPTED" w:val="final"/>
    <w:docVar w:name="LW_REF.INST.NEW_TEXT" w:val="(2023)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predlogu DIREKTIVE EVROPSKEGA PARLAMENTA IN SVETA"/>
    <w:docVar w:name="LW_TYPEACTEPRINCIPAL.CP" w:val="predlogu DIREKTIVE EVROPSKEGA PARLAMENTA IN SVETA"/>
    <w:docVar w:name="LwApiVersions" w:val="LW4CoDe 1.23.2.0; LW 8.0, Build 20211117"/>
  </w:docVars>
  <w:rsids>
    <w:rsidRoot w:val="00F727B3"/>
    <w:rsid w:val="000008AC"/>
    <w:rsid w:val="0000554C"/>
    <w:rsid w:val="00022BA7"/>
    <w:rsid w:val="0005287D"/>
    <w:rsid w:val="00095707"/>
    <w:rsid w:val="000A1CBD"/>
    <w:rsid w:val="000B5FE6"/>
    <w:rsid w:val="000B7BFE"/>
    <w:rsid w:val="000E49C2"/>
    <w:rsid w:val="000F5712"/>
    <w:rsid w:val="00101366"/>
    <w:rsid w:val="00105FF5"/>
    <w:rsid w:val="0014035F"/>
    <w:rsid w:val="00142E9F"/>
    <w:rsid w:val="00165C4F"/>
    <w:rsid w:val="00170774"/>
    <w:rsid w:val="001867CA"/>
    <w:rsid w:val="00186BDE"/>
    <w:rsid w:val="00191425"/>
    <w:rsid w:val="00197A7C"/>
    <w:rsid w:val="001B5967"/>
    <w:rsid w:val="001E15D8"/>
    <w:rsid w:val="001E299C"/>
    <w:rsid w:val="001E3486"/>
    <w:rsid w:val="001F343E"/>
    <w:rsid w:val="00222E7C"/>
    <w:rsid w:val="002419CB"/>
    <w:rsid w:val="00241FC4"/>
    <w:rsid w:val="00242291"/>
    <w:rsid w:val="0025221F"/>
    <w:rsid w:val="00253D32"/>
    <w:rsid w:val="002648F7"/>
    <w:rsid w:val="00285DC7"/>
    <w:rsid w:val="00290F59"/>
    <w:rsid w:val="002C3C59"/>
    <w:rsid w:val="002F22C5"/>
    <w:rsid w:val="002F3E34"/>
    <w:rsid w:val="00306E62"/>
    <w:rsid w:val="0031050A"/>
    <w:rsid w:val="003109B9"/>
    <w:rsid w:val="00333871"/>
    <w:rsid w:val="003455DC"/>
    <w:rsid w:val="00390451"/>
    <w:rsid w:val="003970CD"/>
    <w:rsid w:val="00400FBA"/>
    <w:rsid w:val="004250EC"/>
    <w:rsid w:val="00431576"/>
    <w:rsid w:val="00434F71"/>
    <w:rsid w:val="004476D9"/>
    <w:rsid w:val="004845D0"/>
    <w:rsid w:val="00492EB7"/>
    <w:rsid w:val="004A47D3"/>
    <w:rsid w:val="004C0496"/>
    <w:rsid w:val="00503070"/>
    <w:rsid w:val="00540BA7"/>
    <w:rsid w:val="00543616"/>
    <w:rsid w:val="0055100A"/>
    <w:rsid w:val="005B445B"/>
    <w:rsid w:val="005C1784"/>
    <w:rsid w:val="005D7CEE"/>
    <w:rsid w:val="005E2431"/>
    <w:rsid w:val="005E41EF"/>
    <w:rsid w:val="005F570D"/>
    <w:rsid w:val="005F675E"/>
    <w:rsid w:val="00620027"/>
    <w:rsid w:val="00626E37"/>
    <w:rsid w:val="0063517E"/>
    <w:rsid w:val="006A6BCB"/>
    <w:rsid w:val="006C6672"/>
    <w:rsid w:val="006D039A"/>
    <w:rsid w:val="006E219E"/>
    <w:rsid w:val="006F0353"/>
    <w:rsid w:val="00707A6A"/>
    <w:rsid w:val="00771FC2"/>
    <w:rsid w:val="0078216C"/>
    <w:rsid w:val="007A29FF"/>
    <w:rsid w:val="007C5FA4"/>
    <w:rsid w:val="007D3E5B"/>
    <w:rsid w:val="008028FD"/>
    <w:rsid w:val="00804982"/>
    <w:rsid w:val="00846E07"/>
    <w:rsid w:val="00852F4E"/>
    <w:rsid w:val="008537FD"/>
    <w:rsid w:val="00874A98"/>
    <w:rsid w:val="00877310"/>
    <w:rsid w:val="00885544"/>
    <w:rsid w:val="008A1407"/>
    <w:rsid w:val="008A3CD4"/>
    <w:rsid w:val="008D6398"/>
    <w:rsid w:val="00905D22"/>
    <w:rsid w:val="00930EA4"/>
    <w:rsid w:val="009536BE"/>
    <w:rsid w:val="00954423"/>
    <w:rsid w:val="009821AD"/>
    <w:rsid w:val="009B43F8"/>
    <w:rsid w:val="009E18B6"/>
    <w:rsid w:val="009F6E22"/>
    <w:rsid w:val="00A6243B"/>
    <w:rsid w:val="00A71F6D"/>
    <w:rsid w:val="00A75EDD"/>
    <w:rsid w:val="00AA42DC"/>
    <w:rsid w:val="00AE008C"/>
    <w:rsid w:val="00AE33AE"/>
    <w:rsid w:val="00AF4FC8"/>
    <w:rsid w:val="00B03D22"/>
    <w:rsid w:val="00B2273C"/>
    <w:rsid w:val="00B3471F"/>
    <w:rsid w:val="00B650E8"/>
    <w:rsid w:val="00B7743E"/>
    <w:rsid w:val="00BA4F3C"/>
    <w:rsid w:val="00BB30BC"/>
    <w:rsid w:val="00BB7899"/>
    <w:rsid w:val="00BB7F10"/>
    <w:rsid w:val="00BC10B9"/>
    <w:rsid w:val="00BD17D6"/>
    <w:rsid w:val="00BD5513"/>
    <w:rsid w:val="00BF7E3F"/>
    <w:rsid w:val="00C73BFF"/>
    <w:rsid w:val="00C953CA"/>
    <w:rsid w:val="00D07C34"/>
    <w:rsid w:val="00D231DA"/>
    <w:rsid w:val="00D328C4"/>
    <w:rsid w:val="00D33986"/>
    <w:rsid w:val="00D37D55"/>
    <w:rsid w:val="00D415AC"/>
    <w:rsid w:val="00D73600"/>
    <w:rsid w:val="00D91026"/>
    <w:rsid w:val="00DB0B92"/>
    <w:rsid w:val="00DD1AEE"/>
    <w:rsid w:val="00DD6E67"/>
    <w:rsid w:val="00DE2BBB"/>
    <w:rsid w:val="00E4600D"/>
    <w:rsid w:val="00E533FF"/>
    <w:rsid w:val="00E53590"/>
    <w:rsid w:val="00E63562"/>
    <w:rsid w:val="00E921FF"/>
    <w:rsid w:val="00EE6D56"/>
    <w:rsid w:val="00F02335"/>
    <w:rsid w:val="00F049FE"/>
    <w:rsid w:val="00F32633"/>
    <w:rsid w:val="00F41512"/>
    <w:rsid w:val="00F6145B"/>
    <w:rsid w:val="00F7024E"/>
    <w:rsid w:val="00F727B3"/>
    <w:rsid w:val="00F82260"/>
    <w:rsid w:val="00FD3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86424C"/>
  <w15:docId w15:val="{919E9325-6179-4068-956C-4A5D3A7A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0B7BFE"/>
    <w:pPr>
      <w:numPr>
        <w:numId w:val="1"/>
      </w:numPr>
      <w:contextualSpacing/>
    </w:pPr>
  </w:style>
  <w:style w:type="paragraph" w:styleId="ListBullet2">
    <w:name w:val="List Bullet 2"/>
    <w:basedOn w:val="Normal"/>
    <w:uiPriority w:val="99"/>
    <w:semiHidden/>
    <w:unhideWhenUsed/>
    <w:rsid w:val="000B7BFE"/>
    <w:pPr>
      <w:numPr>
        <w:numId w:val="2"/>
      </w:numPr>
      <w:contextualSpacing/>
    </w:pPr>
  </w:style>
  <w:style w:type="paragraph" w:styleId="ListBullet3">
    <w:name w:val="List Bullet 3"/>
    <w:basedOn w:val="Normal"/>
    <w:uiPriority w:val="99"/>
    <w:semiHidden/>
    <w:unhideWhenUsed/>
    <w:rsid w:val="000B7BFE"/>
    <w:pPr>
      <w:numPr>
        <w:numId w:val="3"/>
      </w:numPr>
      <w:contextualSpacing/>
    </w:pPr>
  </w:style>
  <w:style w:type="paragraph" w:styleId="ListBullet4">
    <w:name w:val="List Bullet 4"/>
    <w:basedOn w:val="Normal"/>
    <w:uiPriority w:val="99"/>
    <w:semiHidden/>
    <w:unhideWhenUsed/>
    <w:rsid w:val="000B7BFE"/>
    <w:pPr>
      <w:numPr>
        <w:numId w:val="4"/>
      </w:numPr>
      <w:contextualSpacing/>
    </w:pPr>
  </w:style>
  <w:style w:type="table" w:styleId="TableGrid">
    <w:name w:val="Table Grid"/>
    <w:basedOn w:val="TableNormal"/>
    <w:uiPriority w:val="59"/>
    <w:rsid w:val="006D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576"/>
    <w:rPr>
      <w:sz w:val="16"/>
      <w:szCs w:val="16"/>
    </w:rPr>
  </w:style>
  <w:style w:type="paragraph" w:styleId="CommentText">
    <w:name w:val="annotation text"/>
    <w:basedOn w:val="Normal"/>
    <w:link w:val="CommentTextChar"/>
    <w:uiPriority w:val="99"/>
    <w:semiHidden/>
    <w:unhideWhenUsed/>
    <w:rsid w:val="00431576"/>
    <w:rPr>
      <w:sz w:val="20"/>
      <w:szCs w:val="20"/>
    </w:rPr>
  </w:style>
  <w:style w:type="character" w:customStyle="1" w:styleId="CommentTextChar">
    <w:name w:val="Comment Text Char"/>
    <w:basedOn w:val="DefaultParagraphFont"/>
    <w:link w:val="CommentText"/>
    <w:uiPriority w:val="99"/>
    <w:semiHidden/>
    <w:rsid w:val="00431576"/>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431576"/>
    <w:rPr>
      <w:b/>
      <w:bCs/>
    </w:rPr>
  </w:style>
  <w:style w:type="character" w:customStyle="1" w:styleId="CommentSubjectChar">
    <w:name w:val="Comment Subject Char"/>
    <w:basedOn w:val="CommentTextChar"/>
    <w:link w:val="CommentSubject"/>
    <w:uiPriority w:val="99"/>
    <w:semiHidden/>
    <w:rsid w:val="00431576"/>
    <w:rPr>
      <w:rFonts w:ascii="Times New Roman" w:hAnsi="Times New Roman" w:cs="Times New Roman"/>
      <w:b/>
      <w:bCs/>
      <w:sz w:val="20"/>
      <w:szCs w:val="20"/>
      <w:lang w:val="sl-SI"/>
    </w:rPr>
  </w:style>
  <w:style w:type="paragraph" w:styleId="Caption">
    <w:name w:val="caption"/>
    <w:basedOn w:val="Normal"/>
    <w:next w:val="Normal"/>
    <w:uiPriority w:val="35"/>
    <w:semiHidden/>
    <w:unhideWhenUsed/>
    <w:qFormat/>
    <w:rsid w:val="006E219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E219E"/>
    <w:pPr>
      <w:spacing w:after="0"/>
    </w:pPr>
  </w:style>
  <w:style w:type="paragraph" w:styleId="ListNumber">
    <w:name w:val="List Number"/>
    <w:basedOn w:val="Normal"/>
    <w:uiPriority w:val="99"/>
    <w:semiHidden/>
    <w:unhideWhenUsed/>
    <w:rsid w:val="006E219E"/>
    <w:pPr>
      <w:numPr>
        <w:numId w:val="5"/>
      </w:numPr>
      <w:contextualSpacing/>
    </w:pPr>
  </w:style>
  <w:style w:type="paragraph" w:styleId="ListNumber2">
    <w:name w:val="List Number 2"/>
    <w:basedOn w:val="Normal"/>
    <w:uiPriority w:val="99"/>
    <w:semiHidden/>
    <w:unhideWhenUsed/>
    <w:rsid w:val="006E219E"/>
    <w:pPr>
      <w:numPr>
        <w:numId w:val="6"/>
      </w:numPr>
      <w:contextualSpacing/>
    </w:pPr>
  </w:style>
  <w:style w:type="paragraph" w:styleId="ListNumber3">
    <w:name w:val="List Number 3"/>
    <w:basedOn w:val="Normal"/>
    <w:uiPriority w:val="99"/>
    <w:semiHidden/>
    <w:unhideWhenUsed/>
    <w:rsid w:val="006E219E"/>
    <w:pPr>
      <w:numPr>
        <w:numId w:val="7"/>
      </w:numPr>
      <w:contextualSpacing/>
    </w:pPr>
  </w:style>
  <w:style w:type="paragraph" w:styleId="ListNumber4">
    <w:name w:val="List Number 4"/>
    <w:basedOn w:val="Normal"/>
    <w:uiPriority w:val="99"/>
    <w:semiHidden/>
    <w:unhideWhenUsed/>
    <w:rsid w:val="006E219E"/>
    <w:pPr>
      <w:numPr>
        <w:numId w:val="8"/>
      </w:numPr>
      <w:contextualSpacing/>
    </w:pPr>
  </w:style>
  <w:style w:type="paragraph" w:styleId="BalloonText">
    <w:name w:val="Balloon Text"/>
    <w:basedOn w:val="Normal"/>
    <w:link w:val="BalloonTextChar"/>
    <w:uiPriority w:val="99"/>
    <w:semiHidden/>
    <w:unhideWhenUsed/>
    <w:rsid w:val="009821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AD"/>
    <w:rPr>
      <w:rFonts w:ascii="Segoe UI" w:hAnsi="Segoe UI" w:cs="Segoe UI"/>
      <w:sz w:val="18"/>
      <w:szCs w:val="18"/>
      <w:lang w:val="sl-SI"/>
    </w:rPr>
  </w:style>
  <w:style w:type="character" w:styleId="Hyperlink">
    <w:name w:val="Hyperlink"/>
    <w:basedOn w:val="DefaultParagraphFont"/>
    <w:uiPriority w:val="99"/>
    <w:unhideWhenUsed/>
    <w:rsid w:val="009821AD"/>
    <w:rPr>
      <w:color w:val="0000FF" w:themeColor="hyperlink"/>
      <w:u w:val="single"/>
    </w:rPr>
  </w:style>
  <w:style w:type="paragraph" w:styleId="Header">
    <w:name w:val="header"/>
    <w:basedOn w:val="Normal"/>
    <w:link w:val="HeaderChar"/>
    <w:uiPriority w:val="99"/>
    <w:unhideWhenUsed/>
    <w:rsid w:val="00771FC2"/>
    <w:pPr>
      <w:tabs>
        <w:tab w:val="center" w:pos="4535"/>
        <w:tab w:val="right" w:pos="9071"/>
      </w:tabs>
      <w:spacing w:before="0"/>
    </w:pPr>
  </w:style>
  <w:style w:type="character" w:customStyle="1" w:styleId="HeaderChar">
    <w:name w:val="Header Char"/>
    <w:basedOn w:val="DefaultParagraphFont"/>
    <w:link w:val="Header"/>
    <w:uiPriority w:val="99"/>
    <w:rsid w:val="00771FC2"/>
    <w:rPr>
      <w:rFonts w:ascii="Times New Roman" w:hAnsi="Times New Roman" w:cs="Times New Roman"/>
      <w:sz w:val="24"/>
      <w:lang w:val="sl-SI"/>
    </w:rPr>
  </w:style>
  <w:style w:type="paragraph" w:styleId="Footer">
    <w:name w:val="footer"/>
    <w:basedOn w:val="Normal"/>
    <w:link w:val="FooterChar"/>
    <w:uiPriority w:val="99"/>
    <w:unhideWhenUsed/>
    <w:rsid w:val="00771FC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71FC2"/>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71FC2"/>
    <w:pPr>
      <w:tabs>
        <w:tab w:val="center" w:pos="7285"/>
        <w:tab w:val="right" w:pos="14003"/>
      </w:tabs>
      <w:spacing w:before="0"/>
    </w:pPr>
  </w:style>
  <w:style w:type="paragraph" w:customStyle="1" w:styleId="FooterLandscape">
    <w:name w:val="FooterLandscape"/>
    <w:basedOn w:val="Normal"/>
    <w:rsid w:val="00771FC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71FC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71FC2"/>
    <w:pPr>
      <w:spacing w:before="0"/>
      <w:jc w:val="right"/>
    </w:pPr>
    <w:rPr>
      <w:sz w:val="28"/>
    </w:rPr>
  </w:style>
  <w:style w:type="paragraph" w:customStyle="1" w:styleId="FooterSensitivity">
    <w:name w:val="Footer Sensitivity"/>
    <w:basedOn w:val="Normal"/>
    <w:rsid w:val="00771FC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191425"/>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191425"/>
    <w:pPr>
      <w:spacing w:before="0" w:after="240"/>
      <w:jc w:val="center"/>
    </w:pPr>
  </w:style>
  <w:style w:type="character" w:customStyle="1" w:styleId="TechnicalBlockChar">
    <w:name w:val="Technical Block Char"/>
    <w:basedOn w:val="DefaultParagraphFont"/>
    <w:link w:val="TechnicalBlock"/>
    <w:rsid w:val="00191425"/>
    <w:rPr>
      <w:rFonts w:ascii="Times New Roman" w:hAnsi="Times New Roman" w:cs="Times New Roman"/>
      <w:sz w:val="24"/>
      <w:lang w:val="sl-SI"/>
    </w:rPr>
  </w:style>
  <w:style w:type="paragraph" w:customStyle="1" w:styleId="Lignefinal">
    <w:name w:val="Ligne final"/>
    <w:basedOn w:val="Normal"/>
    <w:next w:val="Normal"/>
    <w:rsid w:val="00191425"/>
    <w:pPr>
      <w:pBdr>
        <w:bottom w:val="single" w:sz="4" w:space="0" w:color="000000"/>
      </w:pBdr>
      <w:spacing w:before="360" w:line="360" w:lineRule="auto"/>
      <w:ind w:left="3400" w:right="3400"/>
      <w:jc w:val="center"/>
    </w:pPr>
    <w:rPr>
      <w:b/>
    </w:rPr>
  </w:style>
  <w:style w:type="paragraph" w:customStyle="1" w:styleId="EntText">
    <w:name w:val="EntText"/>
    <w:basedOn w:val="Normal"/>
    <w:rsid w:val="00191425"/>
    <w:pPr>
      <w:spacing w:line="360" w:lineRule="auto"/>
      <w:jc w:val="left"/>
    </w:pPr>
  </w:style>
  <w:style w:type="paragraph" w:customStyle="1" w:styleId="pj">
    <w:name w:val="p.j."/>
    <w:basedOn w:val="Normal"/>
    <w:link w:val="pjChar"/>
    <w:rsid w:val="00191425"/>
    <w:pPr>
      <w:spacing w:before="1200"/>
      <w:ind w:left="1440" w:hanging="1440"/>
      <w:jc w:val="left"/>
    </w:pPr>
  </w:style>
  <w:style w:type="character" w:customStyle="1" w:styleId="pjChar">
    <w:name w:val="p.j. Char"/>
    <w:basedOn w:val="TechnicalBlockChar"/>
    <w:link w:val="pj"/>
    <w:rsid w:val="00191425"/>
    <w:rPr>
      <w:rFonts w:ascii="Times New Roman" w:hAnsi="Times New Roman" w:cs="Times New Roman"/>
      <w:sz w:val="24"/>
      <w:lang w:val="sl-SI"/>
    </w:rPr>
  </w:style>
  <w:style w:type="paragraph" w:customStyle="1" w:styleId="nbbordered">
    <w:name w:val="nb bordered"/>
    <w:basedOn w:val="Normal"/>
    <w:link w:val="nbborderedChar"/>
    <w:rsid w:val="00191425"/>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191425"/>
    <w:rPr>
      <w:rFonts w:ascii="Times New Roman" w:hAnsi="Times New Roman" w:cs="Times New Roman"/>
      <w:b/>
      <w:sz w:val="24"/>
      <w:lang w:val="sl-SI"/>
    </w:rPr>
  </w:style>
  <w:style w:type="paragraph" w:customStyle="1" w:styleId="HeaderCouncil">
    <w:name w:val="Header Council"/>
    <w:basedOn w:val="Normal"/>
    <w:link w:val="HeaderCouncilChar"/>
    <w:rsid w:val="00191425"/>
    <w:pPr>
      <w:spacing w:before="0" w:after="0"/>
    </w:pPr>
    <w:rPr>
      <w:sz w:val="2"/>
    </w:rPr>
  </w:style>
  <w:style w:type="character" w:customStyle="1" w:styleId="HeaderCouncilChar">
    <w:name w:val="Header Council Char"/>
    <w:basedOn w:val="DefaultParagraphFont"/>
    <w:link w:val="HeaderCouncil"/>
    <w:rsid w:val="00191425"/>
    <w:rPr>
      <w:rFonts w:ascii="Times New Roman" w:hAnsi="Times New Roman" w:cs="Times New Roman"/>
      <w:sz w:val="2"/>
      <w:lang w:val="sl-SI"/>
    </w:rPr>
  </w:style>
  <w:style w:type="paragraph" w:customStyle="1" w:styleId="HeaderCouncilLarge">
    <w:name w:val="Header Council Large"/>
    <w:basedOn w:val="Normal"/>
    <w:link w:val="HeaderCouncilLargeChar"/>
    <w:rsid w:val="00191425"/>
    <w:pPr>
      <w:spacing w:before="0" w:after="440"/>
    </w:pPr>
    <w:rPr>
      <w:sz w:val="2"/>
    </w:rPr>
  </w:style>
  <w:style w:type="character" w:customStyle="1" w:styleId="HeaderCouncilLargeChar">
    <w:name w:val="Header Council Large Char"/>
    <w:basedOn w:val="DefaultParagraphFont"/>
    <w:link w:val="HeaderCouncilLarge"/>
    <w:rsid w:val="00191425"/>
    <w:rPr>
      <w:rFonts w:ascii="Times New Roman" w:hAnsi="Times New Roman" w:cs="Times New Roman"/>
      <w:sz w:val="2"/>
      <w:lang w:val="sl-SI"/>
    </w:rPr>
  </w:style>
  <w:style w:type="paragraph" w:customStyle="1" w:styleId="FooterCouncil">
    <w:name w:val="Footer Council"/>
    <w:basedOn w:val="Normal"/>
    <w:link w:val="FooterCouncilChar"/>
    <w:rsid w:val="00191425"/>
    <w:pPr>
      <w:spacing w:before="0" w:after="0"/>
    </w:pPr>
    <w:rPr>
      <w:sz w:val="2"/>
    </w:rPr>
  </w:style>
  <w:style w:type="character" w:customStyle="1" w:styleId="FooterCouncilChar">
    <w:name w:val="Footer Council Char"/>
    <w:basedOn w:val="DefaultParagraphFont"/>
    <w:link w:val="FooterCouncil"/>
    <w:rsid w:val="00191425"/>
    <w:rPr>
      <w:rFonts w:ascii="Times New Roman" w:hAnsi="Times New Roman" w:cs="Times New Roman"/>
      <w:sz w:val="2"/>
      <w:lang w:val="sl-SI"/>
    </w:rPr>
  </w:style>
  <w:style w:type="paragraph" w:customStyle="1" w:styleId="FooterText">
    <w:name w:val="Footer Text"/>
    <w:basedOn w:val="Normal"/>
    <w:rsid w:val="00191425"/>
    <w:pPr>
      <w:spacing w:before="0" w:after="0"/>
      <w:jc w:val="left"/>
    </w:pPr>
    <w:rPr>
      <w:rFonts w:eastAsia="Times New Roman"/>
      <w:szCs w:val="24"/>
      <w:lang w:val="en-GB"/>
    </w:rPr>
  </w:style>
  <w:style w:type="character" w:styleId="PlaceholderText">
    <w:name w:val="Placeholder Text"/>
    <w:basedOn w:val="DefaultParagraphFont"/>
    <w:uiPriority w:val="99"/>
    <w:semiHidden/>
    <w:rsid w:val="001914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89967">
      <w:bodyDiv w:val="1"/>
      <w:marLeft w:val="0"/>
      <w:marRight w:val="0"/>
      <w:marTop w:val="0"/>
      <w:marBottom w:val="0"/>
      <w:divBdr>
        <w:top w:val="none" w:sz="0" w:space="0" w:color="auto"/>
        <w:left w:val="none" w:sz="0" w:space="0" w:color="auto"/>
        <w:bottom w:val="none" w:sz="0" w:space="0" w:color="auto"/>
        <w:right w:val="none" w:sz="0" w:space="0" w:color="auto"/>
      </w:divBdr>
    </w:div>
    <w:div w:id="20127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16fcc4-0958-451c-a4fe-3f901aea85b6" xsi:nil="true"/>
    <_ip_UnifiedCompliancePolicyUIAction xmlns="http://schemas.microsoft.com/sharepoint/v3" xsi:nil="true"/>
    <lcf76f155ced4ddcb4097134ff3c332f xmlns="ff27b533-0480-4fe0-b5ab-51440d87a12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69CEAB7846C43B6127B8768A1CFCE" ma:contentTypeVersion="16" ma:contentTypeDescription="Create a new document." ma:contentTypeScope="" ma:versionID="484305415d7424dad995e56a7b34b49f">
  <xsd:schema xmlns:xsd="http://www.w3.org/2001/XMLSchema" xmlns:xs="http://www.w3.org/2001/XMLSchema" xmlns:p="http://schemas.microsoft.com/office/2006/metadata/properties" xmlns:ns1="http://schemas.microsoft.com/sharepoint/v3" xmlns:ns2="ff27b533-0480-4fe0-b5ab-51440d87a129" xmlns:ns3="cc16fcc4-0958-451c-a4fe-3f901aea85b6" targetNamespace="http://schemas.microsoft.com/office/2006/metadata/properties" ma:root="true" ma:fieldsID="d7649a4daeb41ff30c9f5b8da50fb5b4" ns1:_="" ns2:_="" ns3:_="">
    <xsd:import namespace="http://schemas.microsoft.com/sharepoint/v3"/>
    <xsd:import namespace="ff27b533-0480-4fe0-b5ab-51440d87a129"/>
    <xsd:import namespace="cc16fcc4-0958-451c-a4fe-3f901aea8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7b533-0480-4fe0-b5ab-51440d87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6fcc4-0958-451c-a4fe-3f901aea8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ac74a-ca9c-41a3-87d0-26614606d57c}" ma:internalName="TaxCatchAll" ma:showField="CatchAllData" ma:web="cc16fcc4-0958-451c-a4fe-3f901aea85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71421-4AA0-4097-A49C-6C616C480F7B}">
  <ds:schemaRefs>
    <ds:schemaRef ds:uri="http://purl.org/dc/elements/1.1/"/>
    <ds:schemaRef ds:uri="http://schemas.microsoft.com/office/2006/metadata/properties"/>
    <ds:schemaRef ds:uri="http://schemas.microsoft.com/sharepoint/v3"/>
    <ds:schemaRef ds:uri="http://purl.org/dc/terms/"/>
    <ds:schemaRef ds:uri="ff27b533-0480-4fe0-b5ab-51440d87a12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16fcc4-0958-451c-a4fe-3f901aea85b6"/>
    <ds:schemaRef ds:uri="http://www.w3.org/XML/1998/namespace"/>
  </ds:schemaRefs>
</ds:datastoreItem>
</file>

<file path=customXml/itemProps2.xml><?xml version="1.0" encoding="utf-8"?>
<ds:datastoreItem xmlns:ds="http://schemas.openxmlformats.org/officeDocument/2006/customXml" ds:itemID="{DBB95C67-1256-4D11-8466-45B37C2ADAB7}">
  <ds:schemaRefs>
    <ds:schemaRef ds:uri="http://schemas.microsoft.com/sharepoint/v3/contenttype/forms"/>
  </ds:schemaRefs>
</ds:datastoreItem>
</file>

<file path=customXml/itemProps3.xml><?xml version="1.0" encoding="utf-8"?>
<ds:datastoreItem xmlns:ds="http://schemas.openxmlformats.org/officeDocument/2006/customXml" ds:itemID="{A9E5B215-B5AA-407D-9602-28D68416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7b533-0480-4fe0-b5ab-51440d87a129"/>
    <ds:schemaRef ds:uri="cc16fcc4-0958-451c-a4fe-3f901aea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4</Pages>
  <Words>363</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MIGLIORE Giacomo (MOVE)</dc:creator>
  <cp:keywords/>
  <dc:description/>
  <cp:lastModifiedBy>KOZELNIK Alenka</cp:lastModifiedBy>
  <cp:revision>4</cp:revision>
  <dcterms:created xsi:type="dcterms:W3CDTF">2023-05-05T06:46:00Z</dcterms:created>
  <dcterms:modified xsi:type="dcterms:W3CDTF">2023-05-05T06:56:00Z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MSIP_Label_6bd9ddd1-4d20-43f6-abfa-fc3c07406f94_Enabled">
    <vt:lpwstr>true</vt:lpwstr>
  </property>
  <property fmtid="{D5CDD505-2E9C-101B-9397-08002B2CF9AE}" pid="6" name="MSIP_Label_6bd9ddd1-4d20-43f6-abfa-fc3c07406f94_SetDate">
    <vt:lpwstr>2023-01-09T10:33:40Z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e14a31a7-4485-4f79-b3a8-82f0996765ce</vt:lpwstr>
  </property>
  <property fmtid="{D5CDD505-2E9C-101B-9397-08002B2CF9AE}" pid="11" name="MSIP_Label_6bd9ddd1-4d20-43f6-abfa-fc3c07406f94_ContentBits">
    <vt:lpwstr>0</vt:lpwstr>
  </property>
  <property fmtid="{D5CDD505-2E9C-101B-9397-08002B2CF9AE}" pid="12" name="Created using">
    <vt:lpwstr>DocuWrite 4.8.2, Build 20230330</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ContentTypeId">
    <vt:lpwstr>0x0101006B369CEAB7846C43B6127B8768A1CFCE</vt:lpwstr>
  </property>
  <property fmtid="{D5CDD505-2E9C-101B-9397-08002B2CF9AE}" pid="21" name="MediaServiceImageTags">
    <vt:lpwstr/>
  </property>
  <property fmtid="{D5CDD505-2E9C-101B-9397-08002B2CF9AE}" pid="22" name="DQCStatus">
    <vt:lpwstr>Green (DQC version 03)</vt:lpwstr>
  </property>
  <property fmtid="{D5CDD505-2E9C-101B-9397-08002B2CF9AE}" pid="23" name="MSIP_Label_b1df41d6-74a9-4a97-809c-213cd32520cc_Enabled">
    <vt:lpwstr>true</vt:lpwstr>
  </property>
  <property fmtid="{D5CDD505-2E9C-101B-9397-08002B2CF9AE}" pid="24" name="MSIP_Label_b1df41d6-74a9-4a97-809c-213cd32520cc_SetDate">
    <vt:lpwstr>2023-05-05T06:46:37Z</vt:lpwstr>
  </property>
  <property fmtid="{D5CDD505-2E9C-101B-9397-08002B2CF9AE}" pid="25" name="MSIP_Label_b1df41d6-74a9-4a97-809c-213cd32520cc_Method">
    <vt:lpwstr>Privileged</vt:lpwstr>
  </property>
  <property fmtid="{D5CDD505-2E9C-101B-9397-08002B2CF9AE}" pid="26" name="MSIP_Label_b1df41d6-74a9-4a97-809c-213cd32520cc_Name">
    <vt:lpwstr>GSCEU - NON PUBLIC Label</vt:lpwstr>
  </property>
  <property fmtid="{D5CDD505-2E9C-101B-9397-08002B2CF9AE}" pid="27" name="MSIP_Label_b1df41d6-74a9-4a97-809c-213cd32520cc_SiteId">
    <vt:lpwstr>03ad1c97-0a4d-4e82-8f93-27291a6a0767</vt:lpwstr>
  </property>
  <property fmtid="{D5CDD505-2E9C-101B-9397-08002B2CF9AE}" pid="28" name="MSIP_Label_b1df41d6-74a9-4a97-809c-213cd32520cc_ActionId">
    <vt:lpwstr>06a73232-88ad-4e8e-8c78-10332607a453</vt:lpwstr>
  </property>
  <property fmtid="{D5CDD505-2E9C-101B-9397-08002B2CF9AE}" pid="29" name="MSIP_Label_b1df41d6-74a9-4a97-809c-213cd32520cc_ContentBits">
    <vt:lpwstr>0</vt:lpwstr>
  </property>
</Properties>
</file>