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576DF" w14:textId="77777777" w:rsidR="008D11E0" w:rsidRDefault="00C65F3A" w:rsidP="008D11E0">
      <w:pPr>
        <w:pStyle w:val="TechnicalBlock"/>
        <w:ind w:left="-1134" w:right="-1134"/>
      </w:pPr>
      <w:bookmarkStart w:id="0" w:name="DW_BM_COVERPAGE"/>
      <w:r>
        <w:pict w14:anchorId="64965A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ocument Cover Page.&#10;Document Number: 9056/23.&#10;Subject Codes: TRANS 179 ENV 467 FISC 78 CODEC 791 IA 96.&#10;Heading: PROPOSAL.&#10;Originator: Secretary-General of the European Commission, signed by Ms Martine DEPREZ, Director.&#10;Recipient: Ms Thérèse BLANCHET, Secretary-General of the Council of the European Union.&#10;Subject: Proposal for a DIRECTIVE OF THE EUROPEAN PARLIAMENT AND OF THE COUNCIL amending Directive 1999/62/EC, Council Directive 1999/37/EC and Directive (EU) 2019/520 as regards the CO2 emission class of heavy-duty vehicles with trailers.&#10;Commission Document Number: COM(2023) 189 final.&#10;Preceeding Document Number: Not Set.&#10;Location: Brussels.&#10;Date: 4 May 2023.&#10;Interinstitutional Files: 2023/0134(COD).&#10;Institutional Framework: Council of the European Union.&#10;Language: EN.&#10;Distribution Code: PUBLIC.&#10;GUID: 4714903015767807819_0" style="width:568.5pt;height:427.5pt">
            <v:imagedata r:id="rId11" o:title=""/>
          </v:shape>
        </w:pict>
      </w:r>
      <w:bookmarkEnd w:id="0"/>
    </w:p>
    <w:p w14:paraId="53266D06" w14:textId="602DF585" w:rsidR="008D11E0" w:rsidRDefault="008D11E0" w:rsidP="008D11E0">
      <w:pPr>
        <w:pStyle w:val="EntText"/>
        <w:spacing w:before="480"/>
      </w:pPr>
      <w:r w:rsidRPr="008D11E0">
        <w:t xml:space="preserve">Delegations will find attached document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8D11E0">
        <w:instrText>COM(2023) 189 final</w:instrText>
      </w:r>
      <w:r>
        <w:instrText xml:space="preserve">" </w:instrText>
      </w:r>
      <w:r>
        <w:fldChar w:fldCharType="separate"/>
      </w:r>
      <w:r w:rsidRPr="008D11E0">
        <w:t>COM(2023) 189 final</w:t>
      </w:r>
      <w:r>
        <w:fldChar w:fldCharType="end"/>
      </w:r>
      <w:r w:rsidRPr="008D11E0">
        <w:t>.</w:t>
      </w:r>
    </w:p>
    <w:p w14:paraId="73A9CC90" w14:textId="77777777" w:rsidR="008D11E0" w:rsidRDefault="008D11E0" w:rsidP="008D11E0">
      <w:pPr>
        <w:pStyle w:val="Lignefinal"/>
      </w:pPr>
    </w:p>
    <w:p w14:paraId="7D2A991C" w14:textId="62ED1EFD" w:rsidR="008D11E0" w:rsidRDefault="008D11E0" w:rsidP="008D11E0">
      <w:pPr>
        <w:pStyle w:val="pj"/>
        <w:spacing w:before="120"/>
      </w:pPr>
      <w:r w:rsidRPr="008D11E0">
        <w:t xml:space="preserve">Encl.: </w:t>
      </w:r>
      <w:r>
        <w:fldChar w:fldCharType="begin"/>
      </w:r>
      <w:r>
        <w:instrText xml:space="preserve"> QUOTE "</w:instrText>
      </w:r>
      <w:r>
        <w:fldChar w:fldCharType="begin">
          <w:fldData xml:space="preserve">QwBvAG0AbQBEAG8AYwBzAHwAUwBMAA==
</w:fldData>
        </w:fldChar>
      </w:r>
      <w:r>
        <w:instrText xml:space="preserve"> ADDIN "DocuWrite metadata link" </w:instrText>
      </w:r>
      <w:r>
        <w:fldChar w:fldCharType="end"/>
      </w:r>
      <w:r w:rsidRPr="008D11E0">
        <w:instrText>COM(2023) 189 final</w:instrText>
      </w:r>
      <w:r>
        <w:instrText xml:space="preserve">" </w:instrText>
      </w:r>
      <w:r>
        <w:fldChar w:fldCharType="separate"/>
      </w:r>
      <w:r w:rsidRPr="008D11E0">
        <w:t>COM(2023) 189 final</w:t>
      </w:r>
      <w:r>
        <w:fldChar w:fldCharType="end"/>
      </w:r>
    </w:p>
    <w:p w14:paraId="03FD1B1C" w14:textId="42EF9B6E" w:rsidR="008D11E0" w:rsidRPr="008D11E0" w:rsidRDefault="008D11E0" w:rsidP="008D11E0"/>
    <w:p w14:paraId="04079071" w14:textId="77777777" w:rsidR="008D11E0" w:rsidRDefault="008D11E0" w:rsidP="008D11E0">
      <w:pPr>
        <w:rPr>
          <w:noProof/>
        </w:rPr>
        <w:sectPr w:rsidR="008D11E0" w:rsidSect="008D11E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39"/>
          <w:pgMar w:top="624" w:right="1134" w:bottom="1134" w:left="1134" w:header="567" w:footer="567" w:gutter="0"/>
          <w:pgNumType w:start="0"/>
          <w:cols w:space="720"/>
          <w:titlePg/>
          <w:docGrid w:linePitch="360"/>
        </w:sectPr>
      </w:pPr>
    </w:p>
    <w:p w14:paraId="1891112A" w14:textId="1BB1830C" w:rsidR="001D54E7" w:rsidRDefault="00C65F3A" w:rsidP="00AF4524">
      <w:pPr>
        <w:pStyle w:val="Pagedecouverture"/>
        <w:rPr>
          <w:noProof/>
        </w:rPr>
      </w:pPr>
      <w:r>
        <w:rPr>
          <w:noProof/>
        </w:rPr>
        <w:lastRenderedPageBreak/>
        <w:pict w14:anchorId="5B5FED86">
          <v:shape id="_x0000_i1026" type="#_x0000_t75" alt="D5DD6B4A-1048-4A17-B96D-3E09E23312B1" style="width:455.25pt;height:369.75pt">
            <v:imagedata r:id="rId18" o:title=""/>
          </v:shape>
        </w:pict>
      </w:r>
    </w:p>
    <w:p w14:paraId="104C3F11" w14:textId="77777777" w:rsidR="001D54E7" w:rsidRDefault="001D54E7" w:rsidP="001D54E7">
      <w:pPr>
        <w:rPr>
          <w:noProof/>
        </w:rPr>
        <w:sectPr w:rsidR="001D54E7" w:rsidSect="00AF4524">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39"/>
          <w:pgMar w:top="1134" w:right="1417" w:bottom="1134" w:left="1417" w:header="709" w:footer="709" w:gutter="0"/>
          <w:pgNumType w:start="0"/>
          <w:cols w:space="720"/>
          <w:docGrid w:linePitch="360"/>
        </w:sectPr>
      </w:pPr>
    </w:p>
    <w:p w14:paraId="581C3B9A" w14:textId="77777777" w:rsidR="001D54E7" w:rsidRDefault="001D54E7" w:rsidP="00A92ADB">
      <w:pPr>
        <w:pStyle w:val="Exposdesmotifstitre"/>
        <w:rPr>
          <w:noProof/>
        </w:rPr>
      </w:pPr>
      <w:r w:rsidRPr="006F770D">
        <w:rPr>
          <w:noProof/>
        </w:rPr>
        <w:lastRenderedPageBreak/>
        <w:t>EXPLANATORY MEMORANDUM</w:t>
      </w:r>
    </w:p>
    <w:p w14:paraId="4E276746" w14:textId="77777777" w:rsidR="001D54E7" w:rsidRPr="006F770D" w:rsidRDefault="001D54E7" w:rsidP="00A92ADB">
      <w:pPr>
        <w:pStyle w:val="ManualHeading1"/>
        <w:rPr>
          <w:noProof/>
        </w:rPr>
      </w:pPr>
      <w:r w:rsidRPr="00C567EE">
        <w:rPr>
          <w:noProof/>
        </w:rPr>
        <w:t>1.</w:t>
      </w:r>
      <w:r w:rsidRPr="00C567EE">
        <w:rPr>
          <w:noProof/>
        </w:rPr>
        <w:tab/>
      </w:r>
      <w:r w:rsidRPr="006F770D">
        <w:rPr>
          <w:noProof/>
        </w:rPr>
        <w:t>CONTEXT OF THE PROPOSAL</w:t>
      </w:r>
    </w:p>
    <w:p w14:paraId="58B1CA96" w14:textId="77777777" w:rsidR="001D54E7" w:rsidRPr="00044058" w:rsidRDefault="001D54E7" w:rsidP="00A92ADB">
      <w:pPr>
        <w:pStyle w:val="ManualHeading2"/>
        <w:rPr>
          <w:rFonts w:eastAsia="Arial Unicode MS"/>
          <w:noProof/>
        </w:rPr>
      </w:pPr>
      <w:r w:rsidRPr="0029266A">
        <w:rPr>
          <w:rFonts w:eastAsia="Arial Unicode MS"/>
          <w:noProof/>
          <w:color w:val="000000"/>
          <w:u w:color="000000"/>
          <w:bdr w:val="nil"/>
          <w:lang w:val="en-US" w:eastAsia="en-GB"/>
        </w:rPr>
        <w:t>•</w:t>
      </w:r>
      <w:r w:rsidRPr="0029266A">
        <w:rPr>
          <w:rFonts w:eastAsia="Arial Unicode MS"/>
          <w:noProof/>
          <w:color w:val="000000"/>
          <w:u w:color="000000"/>
          <w:bdr w:val="nil"/>
          <w:lang w:val="en-US" w:eastAsia="en-GB"/>
        </w:rPr>
        <w:tab/>
      </w:r>
      <w:r w:rsidRPr="00044058">
        <w:rPr>
          <w:rFonts w:eastAsia="Arial Unicode MS"/>
          <w:noProof/>
        </w:rPr>
        <w:t>Reasons for and objectives of the proposal</w:t>
      </w:r>
    </w:p>
    <w:p w14:paraId="37B5B462" w14:textId="77777777" w:rsidR="00B808C1" w:rsidRPr="00BE28DF" w:rsidRDefault="001436E8" w:rsidP="00A92ADB">
      <w:pPr>
        <w:pBdr>
          <w:top w:val="nil"/>
          <w:left w:val="nil"/>
          <w:bottom w:val="nil"/>
          <w:right w:val="nil"/>
          <w:between w:val="nil"/>
          <w:bar w:val="nil"/>
        </w:pBdr>
        <w:spacing w:before="0" w:after="240"/>
        <w:rPr>
          <w:noProof/>
        </w:rPr>
      </w:pPr>
      <w:r w:rsidRPr="00BE28DF">
        <w:rPr>
          <w:noProof/>
        </w:rPr>
        <w:t>Directive (EU) 2022/362</w:t>
      </w:r>
      <w:r w:rsidR="000B20E4" w:rsidRPr="00BE28DF">
        <w:rPr>
          <w:noProof/>
        </w:rPr>
        <w:t xml:space="preserve"> of the European Parliament and of the Council</w:t>
      </w:r>
      <w:r w:rsidR="00314B25" w:rsidRPr="00870E8E">
        <w:rPr>
          <w:rStyle w:val="FootnoteReference"/>
          <w:noProof/>
        </w:rPr>
        <w:footnoteReference w:id="2"/>
      </w:r>
      <w:r w:rsidRPr="00BE28DF">
        <w:rPr>
          <w:noProof/>
        </w:rPr>
        <w:t xml:space="preserve"> amending Directive 1999/62/EC</w:t>
      </w:r>
      <w:r w:rsidR="000B20E4" w:rsidRPr="00BE28DF">
        <w:rPr>
          <w:noProof/>
        </w:rPr>
        <w:t xml:space="preserve"> of the European Parliament and of the Council</w:t>
      </w:r>
      <w:r w:rsidR="000B20E4" w:rsidRPr="00870E8E">
        <w:rPr>
          <w:rStyle w:val="FootnoteReference"/>
          <w:rFonts w:eastAsia="Arial Unicode MS"/>
          <w:noProof/>
        </w:rPr>
        <w:footnoteReference w:id="3"/>
      </w:r>
      <w:r w:rsidR="00EC0D9D" w:rsidRPr="00BE28DF">
        <w:rPr>
          <w:noProof/>
        </w:rPr>
        <w:t xml:space="preserve"> </w:t>
      </w:r>
      <w:r w:rsidRPr="00BE28DF">
        <w:rPr>
          <w:noProof/>
        </w:rPr>
        <w:t>addressed a number of socio-economic and environmental challenges, including climate change</w:t>
      </w:r>
      <w:r w:rsidR="00314B25" w:rsidRPr="00BE28DF">
        <w:rPr>
          <w:noProof/>
        </w:rPr>
        <w:t xml:space="preserve">. It did so by </w:t>
      </w:r>
      <w:r w:rsidRPr="00BE28DF">
        <w:rPr>
          <w:noProof/>
        </w:rPr>
        <w:t xml:space="preserve">enabling </w:t>
      </w:r>
      <w:r w:rsidR="00D41412" w:rsidRPr="00BE28DF">
        <w:rPr>
          <w:noProof/>
        </w:rPr>
        <w:t xml:space="preserve">CO2 </w:t>
      </w:r>
      <w:r w:rsidR="000B20E4" w:rsidRPr="00BE28DF">
        <w:rPr>
          <w:noProof/>
        </w:rPr>
        <w:t>emission</w:t>
      </w:r>
      <w:r w:rsidR="0024661C" w:rsidRPr="00BE28DF">
        <w:rPr>
          <w:noProof/>
        </w:rPr>
        <w:t>-</w:t>
      </w:r>
      <w:r w:rsidR="00BC03A6" w:rsidRPr="00BE28DF">
        <w:rPr>
          <w:noProof/>
        </w:rPr>
        <w:t>based</w:t>
      </w:r>
      <w:r w:rsidR="000B20E4" w:rsidRPr="00BE28DF">
        <w:rPr>
          <w:noProof/>
        </w:rPr>
        <w:t xml:space="preserve"> </w:t>
      </w:r>
      <w:r w:rsidRPr="00BE28DF">
        <w:rPr>
          <w:noProof/>
        </w:rPr>
        <w:t>differentiation</w:t>
      </w:r>
      <w:r w:rsidR="0085354E" w:rsidRPr="00BE28DF">
        <w:rPr>
          <w:noProof/>
        </w:rPr>
        <w:t xml:space="preserve"> of road charges</w:t>
      </w:r>
      <w:r w:rsidRPr="00BE28DF">
        <w:rPr>
          <w:noProof/>
        </w:rPr>
        <w:t xml:space="preserve"> for he</w:t>
      </w:r>
      <w:r w:rsidR="00D56362" w:rsidRPr="00BE28DF">
        <w:rPr>
          <w:noProof/>
        </w:rPr>
        <w:t>a</w:t>
      </w:r>
      <w:r w:rsidRPr="00BE28DF">
        <w:rPr>
          <w:noProof/>
        </w:rPr>
        <w:t>vy-duty vehicles as well as for light-duty vehicles</w:t>
      </w:r>
      <w:r w:rsidR="0014334D" w:rsidRPr="00BE28DF">
        <w:rPr>
          <w:noProof/>
        </w:rPr>
        <w:t xml:space="preserve"> in order to incentivise operators to deploy more efficient vehicles</w:t>
      </w:r>
      <w:r w:rsidRPr="00BE28DF">
        <w:rPr>
          <w:noProof/>
        </w:rPr>
        <w:t xml:space="preserve">. At the </w:t>
      </w:r>
      <w:r w:rsidR="000B20E4" w:rsidRPr="00BE28DF">
        <w:rPr>
          <w:noProof/>
        </w:rPr>
        <w:t xml:space="preserve">time </w:t>
      </w:r>
      <w:r w:rsidRPr="00BE28DF">
        <w:rPr>
          <w:noProof/>
        </w:rPr>
        <w:t xml:space="preserve">of </w:t>
      </w:r>
      <w:r w:rsidR="00314B25" w:rsidRPr="00BE28DF">
        <w:rPr>
          <w:noProof/>
        </w:rPr>
        <w:t xml:space="preserve">its </w:t>
      </w:r>
      <w:r w:rsidRPr="00BE28DF">
        <w:rPr>
          <w:noProof/>
        </w:rPr>
        <w:t xml:space="preserve">adoption, a legal framework for the certification of the effect of </w:t>
      </w:r>
      <w:r w:rsidR="00FF75DE" w:rsidRPr="00BE28DF">
        <w:rPr>
          <w:noProof/>
        </w:rPr>
        <w:t>trailers</w:t>
      </w:r>
      <w:r w:rsidRPr="00BE28DF">
        <w:rPr>
          <w:noProof/>
        </w:rPr>
        <w:t xml:space="preserve"> on the CO2 emissions of heavy goods vehicle combinations was </w:t>
      </w:r>
      <w:r w:rsidR="00314B25" w:rsidRPr="00BE28DF">
        <w:rPr>
          <w:noProof/>
        </w:rPr>
        <w:t>not</w:t>
      </w:r>
      <w:r w:rsidRPr="00BE28DF">
        <w:rPr>
          <w:noProof/>
        </w:rPr>
        <w:t xml:space="preserve"> available</w:t>
      </w:r>
      <w:r w:rsidR="00314B25" w:rsidRPr="00BE28DF">
        <w:rPr>
          <w:noProof/>
        </w:rPr>
        <w:t xml:space="preserve"> yet. T</w:t>
      </w:r>
      <w:r w:rsidRPr="00BE28DF">
        <w:rPr>
          <w:noProof/>
        </w:rPr>
        <w:t>herefore</w:t>
      </w:r>
      <w:r w:rsidR="00B808C1" w:rsidRPr="00BE28DF">
        <w:rPr>
          <w:noProof/>
        </w:rPr>
        <w:t>,</w:t>
      </w:r>
      <w:r w:rsidRPr="00BE28DF">
        <w:rPr>
          <w:noProof/>
        </w:rPr>
        <w:t xml:space="preserve"> </w:t>
      </w:r>
      <w:r w:rsidR="00FF75DE" w:rsidRPr="00BE28DF">
        <w:rPr>
          <w:noProof/>
        </w:rPr>
        <w:t>trailers</w:t>
      </w:r>
      <w:r w:rsidR="00B808C1" w:rsidRPr="00BE28DF">
        <w:rPr>
          <w:noProof/>
        </w:rPr>
        <w:t xml:space="preserve"> could not be included</w:t>
      </w:r>
      <w:r w:rsidRPr="00BE28DF">
        <w:rPr>
          <w:noProof/>
        </w:rPr>
        <w:t xml:space="preserve"> in the CO2</w:t>
      </w:r>
      <w:r w:rsidR="000B20E4" w:rsidRPr="00BE28DF">
        <w:rPr>
          <w:noProof/>
        </w:rPr>
        <w:t xml:space="preserve"> </w:t>
      </w:r>
      <w:r w:rsidR="005E5560" w:rsidRPr="00BE28DF">
        <w:rPr>
          <w:noProof/>
        </w:rPr>
        <w:t>emission-based</w:t>
      </w:r>
      <w:r w:rsidR="00BC03A6" w:rsidRPr="00BE28DF">
        <w:rPr>
          <w:noProof/>
        </w:rPr>
        <w:t xml:space="preserve"> </w:t>
      </w:r>
      <w:r w:rsidRPr="00BE28DF">
        <w:rPr>
          <w:noProof/>
        </w:rPr>
        <w:t xml:space="preserve">differentiation of road charges. </w:t>
      </w:r>
    </w:p>
    <w:p w14:paraId="50D5EFEA" w14:textId="77777777" w:rsidR="00B808C1" w:rsidRPr="00BE28DF" w:rsidRDefault="00D56362" w:rsidP="00A92ADB">
      <w:pPr>
        <w:pBdr>
          <w:top w:val="nil"/>
          <w:left w:val="nil"/>
          <w:bottom w:val="nil"/>
          <w:right w:val="nil"/>
          <w:between w:val="nil"/>
          <w:bar w:val="nil"/>
        </w:pBdr>
        <w:spacing w:before="0" w:after="240"/>
        <w:rPr>
          <w:noProof/>
        </w:rPr>
      </w:pPr>
      <w:r w:rsidRPr="00BE28DF">
        <w:rPr>
          <w:noProof/>
        </w:rPr>
        <w:t>As a result</w:t>
      </w:r>
      <w:r w:rsidR="0071056E" w:rsidRPr="00BE28DF">
        <w:rPr>
          <w:noProof/>
        </w:rPr>
        <w:t>,</w:t>
      </w:r>
      <w:r w:rsidRPr="00BE28DF">
        <w:rPr>
          <w:noProof/>
        </w:rPr>
        <w:t xml:space="preserve"> </w:t>
      </w:r>
      <w:r w:rsidR="00B808C1" w:rsidRPr="00BE28DF">
        <w:rPr>
          <w:noProof/>
        </w:rPr>
        <w:t>Recital 31 of Directive (EU) 2022/362 called for the Commission to include the effect of trailers and semi-trailers on the CO2 emissions of heavy goods vehicle combinations when determining the reduction of road charges once legally certified values for the effect of trailers and semi-trailers</w:t>
      </w:r>
      <w:r w:rsidR="0085354E" w:rsidRPr="00BE28DF">
        <w:rPr>
          <w:noProof/>
        </w:rPr>
        <w:t xml:space="preserve"> on the </w:t>
      </w:r>
      <w:r w:rsidR="00D41412" w:rsidRPr="00BE28DF">
        <w:rPr>
          <w:noProof/>
        </w:rPr>
        <w:t xml:space="preserve">CO2 </w:t>
      </w:r>
      <w:r w:rsidR="0085354E" w:rsidRPr="00BE28DF">
        <w:rPr>
          <w:noProof/>
        </w:rPr>
        <w:t>emissions of heavy goods vehicle combinations</w:t>
      </w:r>
      <w:r w:rsidR="00B808C1" w:rsidRPr="00BE28DF">
        <w:rPr>
          <w:noProof/>
        </w:rPr>
        <w:t xml:space="preserve"> are available. </w:t>
      </w:r>
      <w:r w:rsidR="00902139" w:rsidRPr="00BE28DF">
        <w:rPr>
          <w:noProof/>
        </w:rPr>
        <w:t xml:space="preserve">The condition laid down in the recital </w:t>
      </w:r>
      <w:r w:rsidR="0085354E" w:rsidRPr="00BE28DF">
        <w:rPr>
          <w:noProof/>
        </w:rPr>
        <w:t xml:space="preserve">was </w:t>
      </w:r>
      <w:r w:rsidR="00902139" w:rsidRPr="00BE28DF">
        <w:rPr>
          <w:noProof/>
        </w:rPr>
        <w:t xml:space="preserve">fulfilled by the </w:t>
      </w:r>
      <w:r w:rsidR="0085354E" w:rsidRPr="00BE28DF">
        <w:rPr>
          <w:noProof/>
        </w:rPr>
        <w:t>adoption of</w:t>
      </w:r>
      <w:r w:rsidR="00B808C1" w:rsidRPr="00BE28DF">
        <w:rPr>
          <w:noProof/>
        </w:rPr>
        <w:t xml:space="preserve"> Commission Implementing Regulation (EU) 2022/1362</w:t>
      </w:r>
      <w:r w:rsidR="00B808C1" w:rsidRPr="00870E8E">
        <w:rPr>
          <w:rStyle w:val="FootnoteReference"/>
          <w:noProof/>
        </w:rPr>
        <w:footnoteReference w:id="4"/>
      </w:r>
      <w:r w:rsidR="00B808C1" w:rsidRPr="00BE28DF">
        <w:rPr>
          <w:noProof/>
        </w:rPr>
        <w:t xml:space="preserve">. </w:t>
      </w:r>
    </w:p>
    <w:p w14:paraId="3A61B575" w14:textId="77777777" w:rsidR="00B808C1" w:rsidRPr="00BE28DF" w:rsidRDefault="00FF75DE" w:rsidP="00A92ADB">
      <w:pPr>
        <w:pBdr>
          <w:top w:val="nil"/>
          <w:left w:val="nil"/>
          <w:bottom w:val="nil"/>
          <w:right w:val="nil"/>
          <w:between w:val="nil"/>
          <w:bar w:val="nil"/>
        </w:pBdr>
        <w:spacing w:before="0" w:after="240"/>
        <w:rPr>
          <w:noProof/>
        </w:rPr>
      </w:pPr>
      <w:r w:rsidRPr="00BE28DF">
        <w:rPr>
          <w:noProof/>
        </w:rPr>
        <w:t>Trailers</w:t>
      </w:r>
      <w:r w:rsidR="00B808C1" w:rsidRPr="00BE28DF">
        <w:rPr>
          <w:noProof/>
        </w:rPr>
        <w:t xml:space="preserve"> have a significant potential for reduction of CO2 emissions of heavy goods vehicle combinations and demand-oriented measure reducing operational costs of more energy-efficient trailers can </w:t>
      </w:r>
      <w:r w:rsidR="00314B25" w:rsidRPr="00BE28DF">
        <w:rPr>
          <w:noProof/>
        </w:rPr>
        <w:t>incentivi</w:t>
      </w:r>
      <w:r w:rsidR="00EE6CF5" w:rsidRPr="00BE28DF">
        <w:rPr>
          <w:noProof/>
        </w:rPr>
        <w:t>s</w:t>
      </w:r>
      <w:r w:rsidR="00314B25" w:rsidRPr="00BE28DF">
        <w:rPr>
          <w:noProof/>
        </w:rPr>
        <w:t>e their more rapid deployment. Therefore, t</w:t>
      </w:r>
      <w:r w:rsidR="00F153DD" w:rsidRPr="00BE28DF">
        <w:rPr>
          <w:noProof/>
        </w:rPr>
        <w:t>he objective of t</w:t>
      </w:r>
      <w:r w:rsidR="00314B25" w:rsidRPr="00BE28DF">
        <w:rPr>
          <w:noProof/>
        </w:rPr>
        <w:t xml:space="preserve">his proposal </w:t>
      </w:r>
      <w:r w:rsidR="00F153DD" w:rsidRPr="00BE28DF">
        <w:rPr>
          <w:noProof/>
        </w:rPr>
        <w:t xml:space="preserve">is to set out the rules to include the effect of </w:t>
      </w:r>
      <w:r w:rsidRPr="00BE28DF">
        <w:rPr>
          <w:noProof/>
        </w:rPr>
        <w:t>trailers</w:t>
      </w:r>
      <w:r w:rsidR="00F153DD" w:rsidRPr="00BE28DF">
        <w:rPr>
          <w:noProof/>
        </w:rPr>
        <w:t xml:space="preserve"> on the CO2 emissions of heavy goods vehicle combinations in road charging schemes </w:t>
      </w:r>
      <w:r w:rsidR="00DA7120" w:rsidRPr="00BE28DF">
        <w:rPr>
          <w:noProof/>
        </w:rPr>
        <w:t>that differentiate road charges based on</w:t>
      </w:r>
      <w:r w:rsidR="00F153DD" w:rsidRPr="00BE28DF">
        <w:rPr>
          <w:noProof/>
        </w:rPr>
        <w:t xml:space="preserve"> </w:t>
      </w:r>
      <w:r w:rsidR="00DA7120" w:rsidRPr="00BE28DF">
        <w:rPr>
          <w:noProof/>
        </w:rPr>
        <w:t xml:space="preserve">vehicles’ </w:t>
      </w:r>
      <w:r w:rsidR="00F153DD" w:rsidRPr="00BE28DF">
        <w:rPr>
          <w:noProof/>
        </w:rPr>
        <w:t xml:space="preserve">CO2 </w:t>
      </w:r>
      <w:r w:rsidR="000B20E4" w:rsidRPr="00BE28DF">
        <w:rPr>
          <w:noProof/>
        </w:rPr>
        <w:t>emission.</w:t>
      </w:r>
    </w:p>
    <w:p w14:paraId="517B0DFD" w14:textId="77777777" w:rsidR="00EA44DD" w:rsidRPr="00BE28DF" w:rsidRDefault="00EA44DD" w:rsidP="00A92ADB">
      <w:pPr>
        <w:pBdr>
          <w:top w:val="nil"/>
          <w:left w:val="nil"/>
          <w:bottom w:val="nil"/>
          <w:right w:val="nil"/>
          <w:between w:val="nil"/>
          <w:bar w:val="nil"/>
        </w:pBdr>
        <w:spacing w:before="0" w:after="240"/>
        <w:rPr>
          <w:noProof/>
        </w:rPr>
      </w:pPr>
      <w:bookmarkStart w:id="2" w:name="_Hlk126246759"/>
      <w:r w:rsidRPr="00BE28DF">
        <w:rPr>
          <w:noProof/>
        </w:rPr>
        <w:t>Additionally</w:t>
      </w:r>
      <w:r w:rsidR="00466DB5" w:rsidRPr="00BE28DF">
        <w:rPr>
          <w:noProof/>
        </w:rPr>
        <w:t>,</w:t>
      </w:r>
      <w:r w:rsidR="00FC20C4" w:rsidRPr="00BE28DF">
        <w:rPr>
          <w:noProof/>
        </w:rPr>
        <w:t xml:space="preserve"> </w:t>
      </w:r>
      <w:r w:rsidRPr="00BE28DF">
        <w:rPr>
          <w:noProof/>
        </w:rPr>
        <w:t xml:space="preserve">this proposal </w:t>
      </w:r>
      <w:r w:rsidR="00BB6F2C" w:rsidRPr="00BE28DF">
        <w:rPr>
          <w:noProof/>
        </w:rPr>
        <w:t xml:space="preserve">modifies </w:t>
      </w:r>
      <w:r w:rsidR="00FC20C4" w:rsidRPr="00BE28DF">
        <w:rPr>
          <w:noProof/>
        </w:rPr>
        <w:t xml:space="preserve">the </w:t>
      </w:r>
      <w:r w:rsidR="00BB6F2C" w:rsidRPr="00BE28DF">
        <w:rPr>
          <w:noProof/>
        </w:rPr>
        <w:t>existing</w:t>
      </w:r>
      <w:r w:rsidRPr="00BE28DF">
        <w:rPr>
          <w:noProof/>
        </w:rPr>
        <w:t xml:space="preserve"> provisions of Directive (EU) 2022/362 </w:t>
      </w:r>
      <w:r w:rsidR="00FC20C4" w:rsidRPr="00BE28DF">
        <w:rPr>
          <w:noProof/>
        </w:rPr>
        <w:t xml:space="preserve">concerning the variation of the infrastructure and user charges of heavy-duty vehicles according to their CO2 emissions </w:t>
      </w:r>
      <w:r w:rsidRPr="00BE28DF">
        <w:rPr>
          <w:noProof/>
        </w:rPr>
        <w:t>to reflect the new structure of Regulation (EU) 2019/1242</w:t>
      </w:r>
      <w:r w:rsidR="000615B2" w:rsidRPr="00BE28DF">
        <w:rPr>
          <w:noProof/>
        </w:rPr>
        <w:t xml:space="preserve"> resulting from </w:t>
      </w:r>
      <w:r w:rsidR="00342ED6" w:rsidRPr="00BE28DF">
        <w:rPr>
          <w:noProof/>
        </w:rPr>
        <w:t>its revision</w:t>
      </w:r>
      <w:r w:rsidR="000615B2" w:rsidRPr="00BE28DF">
        <w:rPr>
          <w:noProof/>
        </w:rPr>
        <w:t xml:space="preserve"> under proposal </w:t>
      </w:r>
      <w:r w:rsidR="008D6F06">
        <w:rPr>
          <w:noProof/>
        </w:rPr>
        <w:t>COM(2023) 88 final</w:t>
      </w:r>
      <w:r w:rsidR="00342ED6" w:rsidRPr="006204D9">
        <w:rPr>
          <w:rStyle w:val="FootnoteReference"/>
          <w:noProof/>
        </w:rPr>
        <w:footnoteReference w:id="5"/>
      </w:r>
      <w:r w:rsidR="00F47104" w:rsidRPr="00BE28DF">
        <w:rPr>
          <w:noProof/>
        </w:rPr>
        <w:t>.</w:t>
      </w:r>
    </w:p>
    <w:bookmarkEnd w:id="2"/>
    <w:p w14:paraId="78D47D7F"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r>
      <w:r w:rsidRPr="00870E8E">
        <w:rPr>
          <w:rFonts w:eastAsia="Arial Unicode MS"/>
          <w:noProof/>
        </w:rPr>
        <w:t>Consistency with existing policy provisions in the policy area</w:t>
      </w:r>
    </w:p>
    <w:p w14:paraId="0ADF6222" w14:textId="77777777" w:rsidR="00A53E9D" w:rsidRPr="00BE28DF" w:rsidRDefault="00A23971" w:rsidP="00A53E9D">
      <w:pPr>
        <w:rPr>
          <w:noProof/>
        </w:rPr>
      </w:pPr>
      <w:r w:rsidRPr="00BE28DF">
        <w:rPr>
          <w:noProof/>
        </w:rPr>
        <w:t xml:space="preserve">This initiative </w:t>
      </w:r>
      <w:r w:rsidR="001758D9" w:rsidRPr="00BE28DF">
        <w:rPr>
          <w:noProof/>
        </w:rPr>
        <w:t>complements</w:t>
      </w:r>
      <w:r w:rsidRPr="00BE28DF">
        <w:rPr>
          <w:noProof/>
        </w:rPr>
        <w:t xml:space="preserve"> </w:t>
      </w:r>
      <w:r w:rsidR="00314B25" w:rsidRPr="00BE28DF">
        <w:rPr>
          <w:noProof/>
        </w:rPr>
        <w:t>CO2</w:t>
      </w:r>
      <w:r w:rsidR="000B20E4" w:rsidRPr="00BE28DF">
        <w:rPr>
          <w:noProof/>
        </w:rPr>
        <w:t xml:space="preserve"> emission</w:t>
      </w:r>
      <w:r w:rsidR="00E172AC" w:rsidRPr="00BE28DF">
        <w:rPr>
          <w:noProof/>
        </w:rPr>
        <w:t>-</w:t>
      </w:r>
      <w:r w:rsidRPr="00BE28DF">
        <w:rPr>
          <w:noProof/>
        </w:rPr>
        <w:t>based tolling introduced by Directive (EU) 2022/362, as s</w:t>
      </w:r>
      <w:r w:rsidR="001758D9" w:rsidRPr="00BE28DF">
        <w:rPr>
          <w:noProof/>
        </w:rPr>
        <w:t>et out in re</w:t>
      </w:r>
      <w:r w:rsidRPr="00BE28DF">
        <w:rPr>
          <w:noProof/>
        </w:rPr>
        <w:t xml:space="preserve">cital 31 of that Directive. </w:t>
      </w:r>
    </w:p>
    <w:p w14:paraId="36C46288" w14:textId="77777777" w:rsidR="001D54E7" w:rsidRPr="00870E8E" w:rsidRDefault="001D54E7" w:rsidP="00A92ADB">
      <w:pPr>
        <w:pStyle w:val="ManualHeading2"/>
        <w:rPr>
          <w:rFonts w:eastAsia="Arial Unicode MS"/>
          <w:noProof/>
        </w:rPr>
      </w:pPr>
      <w:r w:rsidRPr="00870E8E">
        <w:rPr>
          <w:rFonts w:eastAsia="Arial Unicode MS"/>
          <w:noProof/>
          <w:u w:color="000000"/>
          <w:bdr w:val="nil"/>
          <w:lang w:val="en-US" w:eastAsia="en-GB"/>
        </w:rPr>
        <w:lastRenderedPageBreak/>
        <w:t>•</w:t>
      </w:r>
      <w:r w:rsidRPr="00870E8E">
        <w:rPr>
          <w:rFonts w:eastAsia="Arial Unicode MS"/>
          <w:noProof/>
          <w:u w:color="000000"/>
          <w:bdr w:val="nil"/>
          <w:lang w:val="en-US" w:eastAsia="en-GB"/>
        </w:rPr>
        <w:tab/>
      </w:r>
      <w:r w:rsidRPr="00870E8E">
        <w:rPr>
          <w:rFonts w:eastAsia="Arial Unicode MS"/>
          <w:noProof/>
        </w:rPr>
        <w:t>Consistency with other Union policies</w:t>
      </w:r>
    </w:p>
    <w:p w14:paraId="2704CD61" w14:textId="77777777" w:rsidR="00B1684B" w:rsidRPr="00BE28DF" w:rsidRDefault="00360176" w:rsidP="00DA3BE0">
      <w:pPr>
        <w:pBdr>
          <w:top w:val="nil"/>
          <w:left w:val="nil"/>
          <w:bottom w:val="nil"/>
          <w:right w:val="nil"/>
          <w:between w:val="nil"/>
          <w:bar w:val="nil"/>
        </w:pBdr>
        <w:spacing w:before="0" w:after="240"/>
        <w:rPr>
          <w:noProof/>
        </w:rPr>
      </w:pPr>
      <w:r w:rsidRPr="00BE28DF">
        <w:rPr>
          <w:noProof/>
        </w:rPr>
        <w:t xml:space="preserve">This proposal </w:t>
      </w:r>
      <w:r w:rsidR="00DA3BE0" w:rsidRPr="00BE28DF">
        <w:rPr>
          <w:noProof/>
        </w:rPr>
        <w:t>complements</w:t>
      </w:r>
      <w:r w:rsidR="00C376A7" w:rsidRPr="00BE28DF">
        <w:rPr>
          <w:noProof/>
        </w:rPr>
        <w:t xml:space="preserve"> the </w:t>
      </w:r>
      <w:r w:rsidR="00DA7120" w:rsidRPr="00BE28DF">
        <w:rPr>
          <w:noProof/>
        </w:rPr>
        <w:t xml:space="preserve">proposal </w:t>
      </w:r>
      <w:bookmarkStart w:id="3" w:name="_Hlk128903128"/>
      <w:r w:rsidR="000F6119" w:rsidRPr="00A80EDE">
        <w:rPr>
          <w:noProof/>
        </w:rPr>
        <w:t>COM(2023) 88 final</w:t>
      </w:r>
      <w:r w:rsidR="000615B2" w:rsidRPr="00A80EDE">
        <w:rPr>
          <w:noProof/>
        </w:rPr>
        <w:t xml:space="preserve"> for a Regulation amending</w:t>
      </w:r>
      <w:r w:rsidR="000615B2" w:rsidRPr="00BE28DF">
        <w:rPr>
          <w:noProof/>
        </w:rPr>
        <w:t xml:space="preserve"> Regulation (EU) 2019/1242</w:t>
      </w:r>
      <w:bookmarkEnd w:id="3"/>
      <w:r w:rsidR="0048373C" w:rsidRPr="00BE28DF">
        <w:rPr>
          <w:noProof/>
        </w:rPr>
        <w:t xml:space="preserve">, </w:t>
      </w:r>
      <w:r w:rsidR="00DA3BE0" w:rsidRPr="00BE28DF">
        <w:rPr>
          <w:noProof/>
        </w:rPr>
        <w:t>which extends</w:t>
      </w:r>
      <w:r w:rsidR="0048373C" w:rsidRPr="00BE28DF">
        <w:rPr>
          <w:noProof/>
        </w:rPr>
        <w:t xml:space="preserve"> its scope</w:t>
      </w:r>
      <w:r w:rsidR="00DA3BE0" w:rsidRPr="00BE28DF">
        <w:rPr>
          <w:noProof/>
        </w:rPr>
        <w:t xml:space="preserve"> </w:t>
      </w:r>
      <w:r w:rsidR="00DA7120" w:rsidRPr="00BE28DF">
        <w:rPr>
          <w:noProof/>
        </w:rPr>
        <w:t>so as to set requirements on trailers’ manufacturers with regard to their new fleets</w:t>
      </w:r>
      <w:r w:rsidR="00DA3BE0" w:rsidRPr="00BE28DF">
        <w:rPr>
          <w:noProof/>
        </w:rPr>
        <w:t xml:space="preserve">, </w:t>
      </w:r>
      <w:r w:rsidR="009D75D4" w:rsidRPr="00BE28DF">
        <w:rPr>
          <w:noProof/>
        </w:rPr>
        <w:t xml:space="preserve">and </w:t>
      </w:r>
      <w:r w:rsidR="000615B2" w:rsidRPr="00BE28DF">
        <w:rPr>
          <w:noProof/>
        </w:rPr>
        <w:t>thus applies to</w:t>
      </w:r>
      <w:r w:rsidR="00DA7120" w:rsidRPr="00BE28DF">
        <w:rPr>
          <w:noProof/>
        </w:rPr>
        <w:t xml:space="preserve"> </w:t>
      </w:r>
      <w:r w:rsidR="00DA3BE0" w:rsidRPr="00BE28DF">
        <w:rPr>
          <w:noProof/>
        </w:rPr>
        <w:t xml:space="preserve">the supply side of </w:t>
      </w:r>
      <w:r w:rsidR="008A5687" w:rsidRPr="00BE28DF">
        <w:rPr>
          <w:noProof/>
        </w:rPr>
        <w:t>the road freight transport sector</w:t>
      </w:r>
      <w:r w:rsidR="00DA7120" w:rsidRPr="00BE28DF">
        <w:rPr>
          <w:noProof/>
        </w:rPr>
        <w:t xml:space="preserve">. This proposal applies </w:t>
      </w:r>
      <w:r w:rsidR="000615B2" w:rsidRPr="00BE28DF">
        <w:rPr>
          <w:noProof/>
        </w:rPr>
        <w:t xml:space="preserve">to </w:t>
      </w:r>
      <w:r w:rsidR="00DA7120" w:rsidRPr="00BE28DF">
        <w:rPr>
          <w:noProof/>
        </w:rPr>
        <w:t>the demand side of this sector</w:t>
      </w:r>
      <w:r w:rsidR="00DA3BE0" w:rsidRPr="00BE28DF">
        <w:rPr>
          <w:noProof/>
        </w:rPr>
        <w:t xml:space="preserve"> by incentivizing the purchase of more efficient </w:t>
      </w:r>
      <w:r w:rsidR="00FF75DE" w:rsidRPr="00BE28DF">
        <w:rPr>
          <w:noProof/>
        </w:rPr>
        <w:t>trailers</w:t>
      </w:r>
      <w:r w:rsidR="00DA3BE0" w:rsidRPr="00BE28DF">
        <w:rPr>
          <w:noProof/>
        </w:rPr>
        <w:t xml:space="preserve"> by transport operators</w:t>
      </w:r>
      <w:r w:rsidR="00C376A7" w:rsidRPr="00BE28DF">
        <w:rPr>
          <w:noProof/>
        </w:rPr>
        <w:t>.</w:t>
      </w:r>
      <w:r w:rsidR="00DA3BE0" w:rsidRPr="00BE28DF">
        <w:rPr>
          <w:noProof/>
        </w:rPr>
        <w:t xml:space="preserve"> </w:t>
      </w:r>
      <w:r w:rsidR="00CC0C8A" w:rsidRPr="00BE28DF">
        <w:rPr>
          <w:noProof/>
        </w:rPr>
        <w:t xml:space="preserve">This proposal also reflects </w:t>
      </w:r>
      <w:r w:rsidR="000615B2" w:rsidRPr="00BE28DF">
        <w:rPr>
          <w:noProof/>
        </w:rPr>
        <w:t>the amendments made to Regulation (EU) 2019/1242</w:t>
      </w:r>
      <w:r w:rsidR="00812024" w:rsidRPr="00BE28DF">
        <w:rPr>
          <w:noProof/>
        </w:rPr>
        <w:t xml:space="preserve"> </w:t>
      </w:r>
      <w:r w:rsidR="0098154F" w:rsidRPr="00BE28DF">
        <w:rPr>
          <w:noProof/>
        </w:rPr>
        <w:t xml:space="preserve">in the provisions of Directive (EU) 2022/362 making reference to </w:t>
      </w:r>
      <w:r w:rsidR="000615B2" w:rsidRPr="00BE28DF">
        <w:rPr>
          <w:noProof/>
        </w:rPr>
        <w:t xml:space="preserve">that </w:t>
      </w:r>
      <w:r w:rsidR="0098154F" w:rsidRPr="00BE28DF">
        <w:rPr>
          <w:noProof/>
        </w:rPr>
        <w:t>Regulation</w:t>
      </w:r>
      <w:r w:rsidR="000615B2" w:rsidRPr="00BE28DF">
        <w:rPr>
          <w:noProof/>
        </w:rPr>
        <w:t>.</w:t>
      </w:r>
      <w:r w:rsidR="0098154F" w:rsidRPr="00BE28DF">
        <w:rPr>
          <w:noProof/>
        </w:rPr>
        <w:t xml:space="preserve"> </w:t>
      </w:r>
    </w:p>
    <w:p w14:paraId="7E47D122" w14:textId="77777777" w:rsidR="001D54E7" w:rsidRPr="00870E8E" w:rsidRDefault="00360176" w:rsidP="00DA3BE0">
      <w:pPr>
        <w:pBdr>
          <w:top w:val="nil"/>
          <w:left w:val="nil"/>
          <w:bottom w:val="nil"/>
          <w:right w:val="nil"/>
          <w:between w:val="nil"/>
          <w:bar w:val="nil"/>
        </w:pBdr>
        <w:spacing w:before="0" w:after="240"/>
        <w:rPr>
          <w:rFonts w:eastAsia="Arial Unicode MS"/>
          <w:noProof/>
        </w:rPr>
      </w:pPr>
      <w:r w:rsidRPr="00BE28DF">
        <w:rPr>
          <w:noProof/>
        </w:rPr>
        <w:t xml:space="preserve">This proposal </w:t>
      </w:r>
      <w:r w:rsidR="00DA7120" w:rsidRPr="00BE28DF">
        <w:rPr>
          <w:noProof/>
        </w:rPr>
        <w:t xml:space="preserve">also </w:t>
      </w:r>
      <w:r w:rsidR="00DA3BE0" w:rsidRPr="00BE28DF">
        <w:rPr>
          <w:noProof/>
        </w:rPr>
        <w:t>contributes to</w:t>
      </w:r>
      <w:r w:rsidRPr="00BE28DF">
        <w:rPr>
          <w:noProof/>
        </w:rPr>
        <w:t xml:space="preserve"> the</w:t>
      </w:r>
      <w:r w:rsidR="007E4112" w:rsidRPr="00BE28DF">
        <w:rPr>
          <w:noProof/>
        </w:rPr>
        <w:t xml:space="preserve"> objectives of the</w:t>
      </w:r>
      <w:r w:rsidRPr="00BE28DF">
        <w:rPr>
          <w:noProof/>
        </w:rPr>
        <w:t xml:space="preserve"> REPowerEU Plan</w:t>
      </w:r>
      <w:r w:rsidR="00957F70" w:rsidRPr="00870E8E">
        <w:rPr>
          <w:rStyle w:val="FootnoteReference"/>
          <w:rFonts w:eastAsia="Arial Unicode MS"/>
          <w:noProof/>
        </w:rPr>
        <w:footnoteReference w:id="6"/>
      </w:r>
      <w:r w:rsidR="0086724B" w:rsidRPr="00BE28DF">
        <w:rPr>
          <w:noProof/>
        </w:rPr>
        <w:t xml:space="preserve"> by enhancing energy savings and efficiencies in the road transport sector</w:t>
      </w:r>
      <w:r w:rsidR="00957F70" w:rsidRPr="00BE28DF">
        <w:rPr>
          <w:noProof/>
        </w:rPr>
        <w:t xml:space="preserve">. </w:t>
      </w:r>
    </w:p>
    <w:p w14:paraId="242F0FD2" w14:textId="77777777" w:rsidR="001D54E7" w:rsidRPr="00870E8E" w:rsidRDefault="001D54E7" w:rsidP="00A92ADB">
      <w:pPr>
        <w:pStyle w:val="ManualHeading1"/>
        <w:rPr>
          <w:noProof/>
        </w:rPr>
      </w:pPr>
      <w:r w:rsidRPr="00870E8E">
        <w:rPr>
          <w:noProof/>
        </w:rPr>
        <w:t>2.</w:t>
      </w:r>
      <w:r w:rsidRPr="00870E8E">
        <w:rPr>
          <w:noProof/>
        </w:rPr>
        <w:tab/>
        <w:t>LEGAL BASIS, SUBSIDIARITY AND PROPORTIONALITY</w:t>
      </w:r>
    </w:p>
    <w:p w14:paraId="3C7EB88A"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Legal basis</w:t>
      </w:r>
    </w:p>
    <w:p w14:paraId="647A6A63" w14:textId="77777777" w:rsidR="00737F56" w:rsidRPr="00BE28DF" w:rsidRDefault="00737F56" w:rsidP="00737F56">
      <w:pPr>
        <w:pBdr>
          <w:top w:val="nil"/>
          <w:left w:val="nil"/>
          <w:bottom w:val="nil"/>
          <w:right w:val="nil"/>
          <w:between w:val="nil"/>
          <w:bar w:val="nil"/>
        </w:pBdr>
        <w:spacing w:before="0" w:after="240"/>
        <w:rPr>
          <w:noProof/>
        </w:rPr>
      </w:pPr>
      <w:r w:rsidRPr="00BE28DF">
        <w:rPr>
          <w:noProof/>
        </w:rPr>
        <w:t>The legal bas</w:t>
      </w:r>
      <w:r w:rsidR="00FF650E" w:rsidRPr="00BE28DF">
        <w:rPr>
          <w:noProof/>
        </w:rPr>
        <w:t>i</w:t>
      </w:r>
      <w:r w:rsidRPr="00BE28DF">
        <w:rPr>
          <w:noProof/>
        </w:rPr>
        <w:t xml:space="preserve">s for Directive 1999/62/EC </w:t>
      </w:r>
      <w:r w:rsidR="003D7728" w:rsidRPr="00BE28DF">
        <w:rPr>
          <w:noProof/>
        </w:rPr>
        <w:t>is</w:t>
      </w:r>
      <w:r w:rsidRPr="00BE28DF">
        <w:rPr>
          <w:noProof/>
        </w:rPr>
        <w:t xml:space="preserve"> Articles 71 and 93 of the Treaty </w:t>
      </w:r>
      <w:r w:rsidR="000B20E4" w:rsidRPr="00BE28DF">
        <w:rPr>
          <w:noProof/>
        </w:rPr>
        <w:t xml:space="preserve">establishing the European Community, </w:t>
      </w:r>
      <w:r w:rsidRPr="00BE28DF">
        <w:rPr>
          <w:noProof/>
        </w:rPr>
        <w:t>now Articles 91 and 113</w:t>
      </w:r>
      <w:r w:rsidR="000B20E4" w:rsidRPr="00BE28DF">
        <w:rPr>
          <w:noProof/>
        </w:rPr>
        <w:t xml:space="preserve"> on the Treaty on the functioning of the European Union TFEU)</w:t>
      </w:r>
      <w:r w:rsidRPr="00BE28DF">
        <w:rPr>
          <w:noProof/>
        </w:rPr>
        <w:t>.</w:t>
      </w:r>
    </w:p>
    <w:p w14:paraId="47503327" w14:textId="77777777" w:rsidR="00737F56" w:rsidRPr="00BE28DF" w:rsidRDefault="00737F56" w:rsidP="00737F56">
      <w:pPr>
        <w:pBdr>
          <w:top w:val="nil"/>
          <w:left w:val="nil"/>
          <w:bottom w:val="nil"/>
          <w:right w:val="nil"/>
          <w:between w:val="nil"/>
          <w:bar w:val="nil"/>
        </w:pBdr>
        <w:spacing w:before="0" w:after="240"/>
        <w:rPr>
          <w:noProof/>
        </w:rPr>
      </w:pPr>
      <w:r w:rsidRPr="00BE28DF">
        <w:rPr>
          <w:noProof/>
        </w:rPr>
        <w:t xml:space="preserve">The provisions of the Directive affected by this proposal pertain to </w:t>
      </w:r>
      <w:r w:rsidR="00184F27" w:rsidRPr="00BE28DF">
        <w:rPr>
          <w:noProof/>
        </w:rPr>
        <w:t xml:space="preserve">road charges </w:t>
      </w:r>
      <w:r w:rsidR="000B20E4" w:rsidRPr="00BE28DF">
        <w:rPr>
          <w:noProof/>
        </w:rPr>
        <w:t>on vehicles</w:t>
      </w:r>
      <w:r w:rsidRPr="00BE28DF">
        <w:rPr>
          <w:noProof/>
        </w:rPr>
        <w:t>, an area to which Article 91 TFEU applies.</w:t>
      </w:r>
    </w:p>
    <w:p w14:paraId="6AC73B2D"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 xml:space="preserve">Subsidiarity (for non-exclusive competence) </w:t>
      </w:r>
    </w:p>
    <w:p w14:paraId="78362FA5" w14:textId="77777777" w:rsidR="001E765D" w:rsidRPr="00BE28DF" w:rsidRDefault="001E765D" w:rsidP="001E765D">
      <w:pPr>
        <w:pBdr>
          <w:top w:val="nil"/>
          <w:left w:val="nil"/>
          <w:bottom w:val="nil"/>
          <w:right w:val="nil"/>
          <w:between w:val="nil"/>
          <w:bar w:val="nil"/>
        </w:pBdr>
        <w:spacing w:before="0" w:after="240"/>
        <w:rPr>
          <w:noProof/>
        </w:rPr>
      </w:pPr>
      <w:r w:rsidRPr="00BE28DF">
        <w:rPr>
          <w:noProof/>
        </w:rPr>
        <w:t xml:space="preserve">The EU shares competence with Member States to regulate in the field of transport pursuant to Article 4(2)(g) TFEU. However, an adaptation of the existing rules can only be operated by the </w:t>
      </w:r>
      <w:r w:rsidR="000B20E4" w:rsidRPr="00BE28DF">
        <w:rPr>
          <w:noProof/>
        </w:rPr>
        <w:t xml:space="preserve">EU </w:t>
      </w:r>
      <w:r w:rsidRPr="00BE28DF">
        <w:rPr>
          <w:noProof/>
        </w:rPr>
        <w:t xml:space="preserve">itself. The extension of EU rules to </w:t>
      </w:r>
      <w:r w:rsidR="00FF75DE" w:rsidRPr="00BE28DF">
        <w:rPr>
          <w:noProof/>
        </w:rPr>
        <w:t>trailers</w:t>
      </w:r>
      <w:r w:rsidRPr="00BE28DF">
        <w:rPr>
          <w:noProof/>
        </w:rPr>
        <w:t xml:space="preserve"> is justified by the impacts of </w:t>
      </w:r>
      <w:r w:rsidR="00634F20" w:rsidRPr="00BE28DF">
        <w:rPr>
          <w:noProof/>
        </w:rPr>
        <w:t>vehicle combinations</w:t>
      </w:r>
      <w:r w:rsidRPr="00BE28DF">
        <w:rPr>
          <w:noProof/>
        </w:rPr>
        <w:t xml:space="preserve"> on</w:t>
      </w:r>
      <w:r w:rsidR="00634F20" w:rsidRPr="00BE28DF">
        <w:rPr>
          <w:noProof/>
        </w:rPr>
        <w:t xml:space="preserve"> climate </w:t>
      </w:r>
      <w:r w:rsidR="00420D09" w:rsidRPr="00BE28DF">
        <w:rPr>
          <w:noProof/>
        </w:rPr>
        <w:t>change since</w:t>
      </w:r>
      <w:r w:rsidRPr="00BE28DF">
        <w:rPr>
          <w:noProof/>
        </w:rPr>
        <w:t xml:space="preserve"> </w:t>
      </w:r>
      <w:r w:rsidR="008A5687" w:rsidRPr="00BE28DF">
        <w:rPr>
          <w:noProof/>
        </w:rPr>
        <w:t>these vehicles</w:t>
      </w:r>
      <w:r w:rsidRPr="00BE28DF">
        <w:rPr>
          <w:noProof/>
        </w:rPr>
        <w:t xml:space="preserve"> make use of the same road infrastructure and contribute to </w:t>
      </w:r>
      <w:r w:rsidR="00ED0111" w:rsidRPr="00BE28DF">
        <w:rPr>
          <w:noProof/>
        </w:rPr>
        <w:t xml:space="preserve">CO2 </w:t>
      </w:r>
      <w:r w:rsidRPr="00BE28DF">
        <w:rPr>
          <w:noProof/>
        </w:rPr>
        <w:t>emissions.</w:t>
      </w:r>
    </w:p>
    <w:p w14:paraId="51CEC859"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Proportionality</w:t>
      </w:r>
    </w:p>
    <w:p w14:paraId="04E8DE78" w14:textId="77777777" w:rsidR="00C376A7" w:rsidRPr="00BE28DF" w:rsidRDefault="00C376A7" w:rsidP="00C376A7">
      <w:pPr>
        <w:pBdr>
          <w:top w:val="nil"/>
          <w:left w:val="nil"/>
          <w:bottom w:val="nil"/>
          <w:right w:val="nil"/>
          <w:between w:val="nil"/>
          <w:bar w:val="nil"/>
        </w:pBdr>
        <w:spacing w:before="0" w:after="240"/>
        <w:rPr>
          <w:noProof/>
        </w:rPr>
      </w:pPr>
      <w:r w:rsidRPr="00BE28DF">
        <w:rPr>
          <w:noProof/>
        </w:rPr>
        <w:t xml:space="preserve">The proposed measures only contribute to achieving the objectives set, notably of a consistent application of the 'polluter pays' and 'user pays' principles, and do not go beyond what is necessary to </w:t>
      </w:r>
      <w:r w:rsidR="00C462D8" w:rsidRPr="00BE28DF">
        <w:rPr>
          <w:noProof/>
        </w:rPr>
        <w:t>achieve the Union’s objectives of reducing greenhouse gas emissions in a cost-effective manner, while ensuring fairness and environmental integrity.</w:t>
      </w:r>
    </w:p>
    <w:p w14:paraId="74AB56CA"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Choice of the instrument</w:t>
      </w:r>
    </w:p>
    <w:p w14:paraId="6C2D823C" w14:textId="77777777" w:rsidR="00745810" w:rsidRPr="00BE28DF" w:rsidRDefault="00745810" w:rsidP="00745810">
      <w:pPr>
        <w:pBdr>
          <w:top w:val="nil"/>
          <w:left w:val="nil"/>
          <w:bottom w:val="nil"/>
          <w:right w:val="nil"/>
          <w:between w:val="nil"/>
          <w:bar w:val="nil"/>
        </w:pBdr>
        <w:spacing w:before="0" w:after="240"/>
        <w:rPr>
          <w:noProof/>
        </w:rPr>
      </w:pPr>
      <w:r w:rsidRPr="00BE28DF">
        <w:rPr>
          <w:noProof/>
        </w:rPr>
        <w:t>Since the legal act to be amended is a Directive, the amending act should take the same form.</w:t>
      </w:r>
    </w:p>
    <w:p w14:paraId="28EA2592" w14:textId="77777777" w:rsidR="001D54E7" w:rsidRPr="00870E8E" w:rsidRDefault="001D54E7" w:rsidP="00A92ADB">
      <w:pPr>
        <w:pStyle w:val="ManualHeading1"/>
        <w:rPr>
          <w:noProof/>
        </w:rPr>
      </w:pPr>
      <w:r w:rsidRPr="00870E8E">
        <w:rPr>
          <w:noProof/>
        </w:rPr>
        <w:t>3.</w:t>
      </w:r>
      <w:r w:rsidRPr="00870E8E">
        <w:rPr>
          <w:noProof/>
        </w:rPr>
        <w:tab/>
        <w:t>RESULTS OF EX-POST EVALUATIONS, STAKEHOLDER CONSULTATIONS AND IMPACT ASSESSMENTS</w:t>
      </w:r>
    </w:p>
    <w:p w14:paraId="39B00990"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Ex-post evaluations/fitness checks of existing legislation</w:t>
      </w:r>
    </w:p>
    <w:p w14:paraId="316BA3A5" w14:textId="77777777" w:rsidR="00BD701C" w:rsidRPr="00BE28DF" w:rsidRDefault="00BD701C" w:rsidP="00BD701C">
      <w:pPr>
        <w:pBdr>
          <w:top w:val="nil"/>
          <w:left w:val="nil"/>
          <w:bottom w:val="nil"/>
          <w:right w:val="nil"/>
          <w:between w:val="nil"/>
          <w:bar w:val="nil"/>
        </w:pBdr>
        <w:spacing w:before="0" w:after="240"/>
        <w:rPr>
          <w:noProof/>
        </w:rPr>
      </w:pPr>
      <w:r w:rsidRPr="00BE28DF">
        <w:rPr>
          <w:noProof/>
        </w:rPr>
        <w:t>Directive (EU) 2022/362 addressed various problems linked to road charging of heavy goods vehicles. The stakeholders</w:t>
      </w:r>
      <w:r w:rsidR="00743521">
        <w:rPr>
          <w:noProof/>
        </w:rPr>
        <w:t>’</w:t>
      </w:r>
      <w:r w:rsidRPr="00BE28DF">
        <w:rPr>
          <w:noProof/>
        </w:rPr>
        <w:t xml:space="preserve"> contribution to the evaluation leading to that Directive pointed at the need to reduce </w:t>
      </w:r>
      <w:r w:rsidR="00ED0111" w:rsidRPr="00BE28DF">
        <w:rPr>
          <w:noProof/>
        </w:rPr>
        <w:t xml:space="preserve">CO2 </w:t>
      </w:r>
      <w:r w:rsidRPr="00BE28DF">
        <w:rPr>
          <w:noProof/>
        </w:rPr>
        <w:t xml:space="preserve">emissions of the road sector. </w:t>
      </w:r>
    </w:p>
    <w:p w14:paraId="0971AB9D" w14:textId="77777777" w:rsidR="000678B8" w:rsidRPr="00870E8E" w:rsidRDefault="00BD701C" w:rsidP="00BD701C">
      <w:pPr>
        <w:pBdr>
          <w:top w:val="nil"/>
          <w:left w:val="nil"/>
          <w:bottom w:val="nil"/>
          <w:right w:val="nil"/>
          <w:between w:val="nil"/>
          <w:bar w:val="nil"/>
        </w:pBdr>
        <w:spacing w:before="0" w:after="240"/>
        <w:rPr>
          <w:rFonts w:eastAsia="Arial Unicode MS"/>
          <w:noProof/>
        </w:rPr>
      </w:pPr>
      <w:r w:rsidRPr="00BE28DF">
        <w:rPr>
          <w:noProof/>
        </w:rPr>
        <w:lastRenderedPageBreak/>
        <w:t xml:space="preserve">Directive (EU) 2022/362 mandated differentiated road charges for heavy-duty vehicles and included the possibility for Member States to differentiate road charges for light duty vehicles based on </w:t>
      </w:r>
      <w:r w:rsidR="00E1710B" w:rsidRPr="00BE28DF">
        <w:rPr>
          <w:noProof/>
        </w:rPr>
        <w:t xml:space="preserve">CO2 </w:t>
      </w:r>
      <w:r w:rsidRPr="00BE28DF">
        <w:rPr>
          <w:noProof/>
        </w:rPr>
        <w:t xml:space="preserve">emissions. Due to the lack of a legislative framework for the certification of the effect of </w:t>
      </w:r>
      <w:r w:rsidR="00FF75DE" w:rsidRPr="00BE28DF">
        <w:rPr>
          <w:noProof/>
        </w:rPr>
        <w:t>trailers</w:t>
      </w:r>
      <w:r w:rsidRPr="00BE28DF">
        <w:rPr>
          <w:noProof/>
        </w:rPr>
        <w:t xml:space="preserve"> on the </w:t>
      </w:r>
      <w:r w:rsidR="00E1710B" w:rsidRPr="00BE28DF">
        <w:rPr>
          <w:noProof/>
        </w:rPr>
        <w:t xml:space="preserve">CO2 </w:t>
      </w:r>
      <w:r w:rsidRPr="00BE28DF">
        <w:rPr>
          <w:noProof/>
        </w:rPr>
        <w:t xml:space="preserve">emissions of vehicle combinations at the </w:t>
      </w:r>
      <w:r w:rsidR="009D75D4" w:rsidRPr="00BE28DF">
        <w:rPr>
          <w:noProof/>
        </w:rPr>
        <w:t xml:space="preserve">time </w:t>
      </w:r>
      <w:r w:rsidRPr="00BE28DF">
        <w:rPr>
          <w:noProof/>
        </w:rPr>
        <w:t xml:space="preserve">of its adoption, Directive (EU) 2022/362 did not take into account the effect of </w:t>
      </w:r>
      <w:r w:rsidR="00FF75DE" w:rsidRPr="00BE28DF">
        <w:rPr>
          <w:noProof/>
        </w:rPr>
        <w:t>trailers</w:t>
      </w:r>
      <w:r w:rsidRPr="00BE28DF">
        <w:rPr>
          <w:noProof/>
        </w:rPr>
        <w:t xml:space="preserve"> in the heavy-duty vehicle road charges differentiation. For full regulatory consistency, recital 31 of the Directive </w:t>
      </w:r>
      <w:r w:rsidR="00FF650E" w:rsidRPr="00BE28DF">
        <w:rPr>
          <w:noProof/>
        </w:rPr>
        <w:t>suggests</w:t>
      </w:r>
      <w:r w:rsidRPr="00BE28DF">
        <w:rPr>
          <w:noProof/>
        </w:rPr>
        <w:t xml:space="preserve"> an amendment to fill this gap by including the effect of </w:t>
      </w:r>
      <w:r w:rsidR="00FF75DE" w:rsidRPr="00BE28DF">
        <w:rPr>
          <w:noProof/>
        </w:rPr>
        <w:t>trailers</w:t>
      </w:r>
      <w:r w:rsidRPr="00BE28DF">
        <w:rPr>
          <w:noProof/>
        </w:rPr>
        <w:t xml:space="preserve"> in the heavy-duty vehicle road charges differentiation.</w:t>
      </w:r>
    </w:p>
    <w:p w14:paraId="68D16220"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Stakeholder consultations</w:t>
      </w:r>
    </w:p>
    <w:p w14:paraId="43AE5964" w14:textId="77777777" w:rsidR="001D54E7" w:rsidRPr="00BE28DF" w:rsidRDefault="00A46AD9" w:rsidP="00A92ADB">
      <w:pPr>
        <w:pBdr>
          <w:top w:val="nil"/>
          <w:left w:val="nil"/>
          <w:bottom w:val="nil"/>
          <w:right w:val="nil"/>
          <w:between w:val="nil"/>
          <w:bar w:val="nil"/>
        </w:pBdr>
        <w:spacing w:before="0" w:after="240"/>
        <w:rPr>
          <w:noProof/>
        </w:rPr>
      </w:pPr>
      <w:r w:rsidRPr="00BE28DF">
        <w:rPr>
          <w:noProof/>
        </w:rPr>
        <w:t>Targeted consultation methods with specific stakeholders and specialists were used.</w:t>
      </w:r>
      <w:r w:rsidR="00E1710B" w:rsidRPr="00BE28DF">
        <w:rPr>
          <w:noProof/>
        </w:rPr>
        <w:t xml:space="preserve"> </w:t>
      </w:r>
      <w:r w:rsidR="00CB4687" w:rsidRPr="00BE28DF">
        <w:rPr>
          <w:noProof/>
        </w:rPr>
        <w:t>Nine</w:t>
      </w:r>
      <w:r w:rsidR="00CE2A23" w:rsidRPr="00BE28DF">
        <w:rPr>
          <w:noProof/>
        </w:rPr>
        <w:t xml:space="preserve"> </w:t>
      </w:r>
      <w:r w:rsidR="00E1710B" w:rsidRPr="00BE28DF">
        <w:rPr>
          <w:noProof/>
        </w:rPr>
        <w:t>interviews were conducted with representative</w:t>
      </w:r>
      <w:r w:rsidR="00BC03A6" w:rsidRPr="00BE28DF">
        <w:rPr>
          <w:noProof/>
        </w:rPr>
        <w:t>s</w:t>
      </w:r>
      <w:r w:rsidR="00E1710B" w:rsidRPr="00BE28DF">
        <w:rPr>
          <w:noProof/>
        </w:rPr>
        <w:t xml:space="preserve"> from Member States’ transport ministries, </w:t>
      </w:r>
      <w:r w:rsidR="00CE2A23" w:rsidRPr="00BE28DF">
        <w:rPr>
          <w:noProof/>
        </w:rPr>
        <w:t>transport operator</w:t>
      </w:r>
      <w:r w:rsidR="00D03F76" w:rsidRPr="00BE28DF">
        <w:rPr>
          <w:noProof/>
        </w:rPr>
        <w:t>s</w:t>
      </w:r>
      <w:r w:rsidR="00CE2A23" w:rsidRPr="00BE28DF">
        <w:rPr>
          <w:noProof/>
        </w:rPr>
        <w:t>,</w:t>
      </w:r>
      <w:r w:rsidR="00CB4687" w:rsidRPr="00BE28DF">
        <w:rPr>
          <w:noProof/>
        </w:rPr>
        <w:t xml:space="preserve"> vehicle compliance authorities</w:t>
      </w:r>
      <w:r w:rsidR="00C0748C" w:rsidRPr="00BE28DF">
        <w:rPr>
          <w:noProof/>
        </w:rPr>
        <w:t xml:space="preserve"> representative</w:t>
      </w:r>
      <w:r w:rsidR="00AA4CDB">
        <w:rPr>
          <w:noProof/>
        </w:rPr>
        <w:t>s</w:t>
      </w:r>
      <w:r w:rsidR="00CB4687" w:rsidRPr="00BE28DF">
        <w:rPr>
          <w:noProof/>
        </w:rPr>
        <w:t>,</w:t>
      </w:r>
      <w:r w:rsidR="00CE2A23" w:rsidRPr="00BE28DF">
        <w:rPr>
          <w:noProof/>
        </w:rPr>
        <w:t xml:space="preserve"> </w:t>
      </w:r>
      <w:r w:rsidR="00E1710B" w:rsidRPr="00BE28DF">
        <w:rPr>
          <w:noProof/>
        </w:rPr>
        <w:t xml:space="preserve">tolling service providers and manufacturers, and standardisation bodies. </w:t>
      </w:r>
    </w:p>
    <w:p w14:paraId="12A81D29" w14:textId="77777777" w:rsidR="00A46AD9" w:rsidRPr="00870E8E" w:rsidRDefault="00A46AD9" w:rsidP="00074FFC">
      <w:pPr>
        <w:pStyle w:val="Bullet0"/>
        <w:numPr>
          <w:ilvl w:val="0"/>
          <w:numId w:val="10"/>
        </w:numPr>
        <w:rPr>
          <w:noProof/>
        </w:rPr>
      </w:pPr>
      <w:r w:rsidRPr="00870E8E">
        <w:rPr>
          <w:noProof/>
        </w:rPr>
        <w:t>Summary of input received and use of results</w:t>
      </w:r>
    </w:p>
    <w:p w14:paraId="56735A7A" w14:textId="77777777" w:rsidR="00047B9B" w:rsidRPr="00870E8E" w:rsidRDefault="00E1710B" w:rsidP="00A46AD9">
      <w:pPr>
        <w:rPr>
          <w:noProof/>
        </w:rPr>
      </w:pPr>
      <w:r w:rsidRPr="00870E8E">
        <w:rPr>
          <w:rFonts w:eastAsia="Arial Unicode MS"/>
          <w:noProof/>
        </w:rPr>
        <w:t xml:space="preserve">The inclusion </w:t>
      </w:r>
      <w:r w:rsidRPr="00BE28DF">
        <w:rPr>
          <w:noProof/>
        </w:rPr>
        <w:t xml:space="preserve">of </w:t>
      </w:r>
      <w:r w:rsidR="00FF75DE" w:rsidRPr="00BE28DF">
        <w:rPr>
          <w:noProof/>
        </w:rPr>
        <w:t>trailers</w:t>
      </w:r>
      <w:r w:rsidRPr="00BE28DF">
        <w:rPr>
          <w:noProof/>
        </w:rPr>
        <w:t xml:space="preserve"> in the differentiation of road charges based on CO2 </w:t>
      </w:r>
      <w:r w:rsidRPr="00870E8E">
        <w:rPr>
          <w:noProof/>
        </w:rPr>
        <w:t xml:space="preserve">emissions was considered technically feasible by </w:t>
      </w:r>
      <w:r w:rsidR="003853C9" w:rsidRPr="00870E8E">
        <w:rPr>
          <w:noProof/>
        </w:rPr>
        <w:t>stakeholders. At the same time, stakeholders pointed</w:t>
      </w:r>
      <w:r w:rsidR="0098594D" w:rsidRPr="00870E8E">
        <w:rPr>
          <w:noProof/>
        </w:rPr>
        <w:t xml:space="preserve"> at possible </w:t>
      </w:r>
      <w:r w:rsidR="003853C9" w:rsidRPr="00870E8E">
        <w:rPr>
          <w:noProof/>
        </w:rPr>
        <w:t xml:space="preserve">implementation-related </w:t>
      </w:r>
      <w:r w:rsidR="0098594D" w:rsidRPr="00870E8E">
        <w:rPr>
          <w:noProof/>
        </w:rPr>
        <w:t xml:space="preserve">complexities </w:t>
      </w:r>
      <w:r w:rsidR="003853C9" w:rsidRPr="00870E8E">
        <w:rPr>
          <w:noProof/>
        </w:rPr>
        <w:t>as well as at scope for simplification and improvement</w:t>
      </w:r>
      <w:r w:rsidRPr="00870E8E">
        <w:rPr>
          <w:noProof/>
        </w:rPr>
        <w:t xml:space="preserve">. </w:t>
      </w:r>
      <w:r w:rsidR="003853C9" w:rsidRPr="00870E8E">
        <w:rPr>
          <w:noProof/>
        </w:rPr>
        <w:t>Below is described how the input received was taken into account in the proposal.</w:t>
      </w:r>
    </w:p>
    <w:p w14:paraId="2262D715" w14:textId="77777777" w:rsidR="000E426E" w:rsidRPr="00870E8E" w:rsidRDefault="004D019C" w:rsidP="00A46AD9">
      <w:pPr>
        <w:rPr>
          <w:noProof/>
        </w:rPr>
      </w:pPr>
      <w:r w:rsidRPr="00870E8E">
        <w:rPr>
          <w:rFonts w:eastAsia="Arial Unicode MS"/>
          <w:noProof/>
        </w:rPr>
        <w:t xml:space="preserve">The </w:t>
      </w:r>
      <w:r w:rsidR="009D75D4" w:rsidRPr="00870E8E">
        <w:rPr>
          <w:rFonts w:eastAsia="Arial Unicode MS"/>
          <w:noProof/>
        </w:rPr>
        <w:t xml:space="preserve">draft </w:t>
      </w:r>
      <w:r w:rsidR="003853C9" w:rsidRPr="00870E8E">
        <w:rPr>
          <w:rFonts w:eastAsia="Arial Unicode MS"/>
          <w:noProof/>
        </w:rPr>
        <w:t xml:space="preserve">proposal </w:t>
      </w:r>
      <w:r w:rsidRPr="00870E8E">
        <w:rPr>
          <w:rFonts w:eastAsia="Arial Unicode MS"/>
          <w:noProof/>
        </w:rPr>
        <w:t>that was discussed with stakeholder</w:t>
      </w:r>
      <w:r w:rsidR="00671357">
        <w:rPr>
          <w:rFonts w:eastAsia="Arial Unicode MS"/>
          <w:noProof/>
        </w:rPr>
        <w:t>s</w:t>
      </w:r>
      <w:r w:rsidRPr="00870E8E">
        <w:rPr>
          <w:rFonts w:eastAsia="Arial Unicode MS"/>
          <w:noProof/>
        </w:rPr>
        <w:t xml:space="preserve"> </w:t>
      </w:r>
      <w:r w:rsidR="003853C9" w:rsidRPr="00870E8E">
        <w:rPr>
          <w:rFonts w:eastAsia="Arial Unicode MS"/>
          <w:noProof/>
        </w:rPr>
        <w:t>consisted in</w:t>
      </w:r>
      <w:r w:rsidRPr="00870E8E">
        <w:rPr>
          <w:rFonts w:eastAsia="Arial Unicode MS"/>
          <w:noProof/>
        </w:rPr>
        <w:t xml:space="preserve"> the computation</w:t>
      </w:r>
      <w:r w:rsidR="009F5B94" w:rsidRPr="00870E8E">
        <w:rPr>
          <w:rFonts w:eastAsia="Arial Unicode MS"/>
          <w:noProof/>
        </w:rPr>
        <w:t xml:space="preserve"> of</w:t>
      </w:r>
      <w:r w:rsidRPr="00870E8E">
        <w:rPr>
          <w:rFonts w:eastAsia="Arial Unicode MS"/>
          <w:noProof/>
        </w:rPr>
        <w:t xml:space="preserve"> the </w:t>
      </w:r>
      <w:r w:rsidR="003853C9" w:rsidRPr="00870E8E">
        <w:rPr>
          <w:rFonts w:eastAsia="Arial Unicode MS"/>
          <w:noProof/>
        </w:rPr>
        <w:t xml:space="preserve">total </w:t>
      </w:r>
      <w:r w:rsidR="003853C9" w:rsidRPr="00BE28DF">
        <w:rPr>
          <w:noProof/>
        </w:rPr>
        <w:t xml:space="preserve">CO2 </w:t>
      </w:r>
      <w:r w:rsidRPr="00870E8E">
        <w:rPr>
          <w:noProof/>
        </w:rPr>
        <w:t xml:space="preserve">emissions of vehicle combinations as the product </w:t>
      </w:r>
      <w:r w:rsidR="009F5B94" w:rsidRPr="00870E8E">
        <w:rPr>
          <w:noProof/>
        </w:rPr>
        <w:t>of</w:t>
      </w:r>
      <w:r w:rsidRPr="00870E8E">
        <w:rPr>
          <w:noProof/>
        </w:rPr>
        <w:t xml:space="preserve"> the </w:t>
      </w:r>
      <w:r w:rsidR="003853C9" w:rsidRPr="00BE28DF">
        <w:rPr>
          <w:noProof/>
        </w:rPr>
        <w:t xml:space="preserve">CO2 </w:t>
      </w:r>
      <w:r w:rsidRPr="00870E8E">
        <w:rPr>
          <w:noProof/>
        </w:rPr>
        <w:t>emissions of the motor vehicle</w:t>
      </w:r>
      <w:r w:rsidR="00F97CA2" w:rsidRPr="00870E8E">
        <w:rPr>
          <w:noProof/>
        </w:rPr>
        <w:t xml:space="preserve"> in grams per </w:t>
      </w:r>
      <w:r w:rsidR="00336AE8" w:rsidRPr="00870E8E">
        <w:rPr>
          <w:noProof/>
        </w:rPr>
        <w:t>ton</w:t>
      </w:r>
      <w:r w:rsidR="00F97CA2" w:rsidRPr="00870E8E">
        <w:rPr>
          <w:noProof/>
        </w:rPr>
        <w:t>-kilometre</w:t>
      </w:r>
      <w:r w:rsidRPr="00870E8E">
        <w:rPr>
          <w:noProof/>
        </w:rPr>
        <w:t xml:space="preserve"> </w:t>
      </w:r>
      <w:r w:rsidR="009F5B94" w:rsidRPr="00870E8E">
        <w:rPr>
          <w:noProof/>
        </w:rPr>
        <w:t>times</w:t>
      </w:r>
      <w:r w:rsidRPr="00870E8E">
        <w:rPr>
          <w:noProof/>
        </w:rPr>
        <w:t xml:space="preserve"> the </w:t>
      </w:r>
      <w:r w:rsidR="003853C9" w:rsidRPr="00870E8E">
        <w:rPr>
          <w:noProof/>
        </w:rPr>
        <w:t xml:space="preserve">efficiency ratio of the </w:t>
      </w:r>
      <w:r w:rsidR="00BF1D69" w:rsidRPr="00870E8E">
        <w:rPr>
          <w:noProof/>
        </w:rPr>
        <w:t>trailer</w:t>
      </w:r>
      <w:r w:rsidR="003853C9" w:rsidRPr="00870E8E">
        <w:rPr>
          <w:noProof/>
        </w:rPr>
        <w:t xml:space="preserve"> </w:t>
      </w:r>
      <w:r w:rsidR="00F97CA2" w:rsidRPr="00870E8E">
        <w:rPr>
          <w:noProof/>
        </w:rPr>
        <w:t>linked to it</w:t>
      </w:r>
      <w:r w:rsidRPr="00870E8E">
        <w:rPr>
          <w:noProof/>
        </w:rPr>
        <w:t>.</w:t>
      </w:r>
      <w:r w:rsidR="003853C9" w:rsidRPr="00870E8E">
        <w:rPr>
          <w:noProof/>
        </w:rPr>
        <w:t xml:space="preserve"> The </w:t>
      </w:r>
      <w:r w:rsidR="003853C9" w:rsidRPr="00BE28DF">
        <w:rPr>
          <w:noProof/>
        </w:rPr>
        <w:t xml:space="preserve">CO2 </w:t>
      </w:r>
      <w:r w:rsidR="003853C9" w:rsidRPr="00870E8E">
        <w:rPr>
          <w:noProof/>
        </w:rPr>
        <w:t xml:space="preserve">emission class of the vehicle combination would then be defined </w:t>
      </w:r>
      <w:r w:rsidR="00F97CA2" w:rsidRPr="00870E8E">
        <w:rPr>
          <w:noProof/>
        </w:rPr>
        <w:t>in accordance with</w:t>
      </w:r>
      <w:r w:rsidR="003853C9" w:rsidRPr="00870E8E">
        <w:rPr>
          <w:noProof/>
        </w:rPr>
        <w:t xml:space="preserve"> Article 7ga</w:t>
      </w:r>
      <w:r w:rsidR="00BC03A6" w:rsidRPr="00870E8E">
        <w:rPr>
          <w:noProof/>
        </w:rPr>
        <w:t>(2)</w:t>
      </w:r>
      <w:r w:rsidR="003853C9" w:rsidRPr="00870E8E">
        <w:rPr>
          <w:noProof/>
        </w:rPr>
        <w:t xml:space="preserve">. However, both Member States and tolling service providers identified </w:t>
      </w:r>
      <w:r w:rsidR="009F5B94" w:rsidRPr="00870E8E">
        <w:rPr>
          <w:noProof/>
        </w:rPr>
        <w:t>issues with the process.</w:t>
      </w:r>
      <w:r w:rsidRPr="00870E8E">
        <w:rPr>
          <w:noProof/>
        </w:rPr>
        <w:t xml:space="preserve"> Member States’ transport ministries highlighted possible inconsistencies with the</w:t>
      </w:r>
      <w:r w:rsidR="000E426E" w:rsidRPr="00870E8E">
        <w:rPr>
          <w:noProof/>
        </w:rPr>
        <w:t>ir</w:t>
      </w:r>
      <w:r w:rsidR="009F5B94" w:rsidRPr="00870E8E">
        <w:rPr>
          <w:noProof/>
        </w:rPr>
        <w:t xml:space="preserve"> </w:t>
      </w:r>
      <w:r w:rsidRPr="00870E8E">
        <w:rPr>
          <w:noProof/>
        </w:rPr>
        <w:t xml:space="preserve">implementation </w:t>
      </w:r>
      <w:r w:rsidR="00F97CA2" w:rsidRPr="00870E8E">
        <w:rPr>
          <w:noProof/>
        </w:rPr>
        <w:t xml:space="preserve">of </w:t>
      </w:r>
      <w:r w:rsidRPr="00870E8E">
        <w:rPr>
          <w:noProof/>
        </w:rPr>
        <w:t>Directive (EU) 2022/362</w:t>
      </w:r>
      <w:r w:rsidR="009F5B94" w:rsidRPr="00870E8E">
        <w:rPr>
          <w:noProof/>
        </w:rPr>
        <w:t>. Specifically,</w:t>
      </w:r>
      <w:r w:rsidR="000E426E" w:rsidRPr="00870E8E">
        <w:rPr>
          <w:noProof/>
        </w:rPr>
        <w:t xml:space="preserve"> </w:t>
      </w:r>
      <w:r w:rsidR="00F97CA2" w:rsidRPr="00870E8E">
        <w:rPr>
          <w:noProof/>
        </w:rPr>
        <w:t xml:space="preserve">to implement the </w:t>
      </w:r>
      <w:r w:rsidR="00F97CA2" w:rsidRPr="00BE28DF">
        <w:rPr>
          <w:noProof/>
        </w:rPr>
        <w:t xml:space="preserve">CO2 </w:t>
      </w:r>
      <w:r w:rsidR="00F128B4" w:rsidRPr="00BE28DF">
        <w:rPr>
          <w:noProof/>
        </w:rPr>
        <w:t>emission-based</w:t>
      </w:r>
      <w:r w:rsidR="00BC03A6" w:rsidRPr="00BE28DF">
        <w:rPr>
          <w:noProof/>
        </w:rPr>
        <w:t xml:space="preserve"> </w:t>
      </w:r>
      <w:r w:rsidR="00F97CA2" w:rsidRPr="00870E8E">
        <w:rPr>
          <w:noProof/>
        </w:rPr>
        <w:t>differentiation</w:t>
      </w:r>
      <w:r w:rsidR="009D75D4" w:rsidRPr="00870E8E">
        <w:rPr>
          <w:noProof/>
        </w:rPr>
        <w:t xml:space="preserve"> in these Member States</w:t>
      </w:r>
      <w:r w:rsidR="00F97CA2" w:rsidRPr="00870E8E">
        <w:rPr>
          <w:noProof/>
        </w:rPr>
        <w:t xml:space="preserve">, </w:t>
      </w:r>
      <w:r w:rsidR="000E426E" w:rsidRPr="00870E8E">
        <w:rPr>
          <w:noProof/>
        </w:rPr>
        <w:t>the</w:t>
      </w:r>
      <w:r w:rsidRPr="00870E8E">
        <w:rPr>
          <w:noProof/>
        </w:rPr>
        <w:t xml:space="preserve"> on-board equipment</w:t>
      </w:r>
      <w:r w:rsidR="00D14BAE" w:rsidRPr="00870E8E">
        <w:rPr>
          <w:rStyle w:val="FootnoteReference"/>
          <w:noProof/>
        </w:rPr>
        <w:footnoteReference w:id="7"/>
      </w:r>
      <w:r w:rsidRPr="00870E8E">
        <w:rPr>
          <w:noProof/>
        </w:rPr>
        <w:t xml:space="preserve"> store</w:t>
      </w:r>
      <w:r w:rsidR="00F97CA2" w:rsidRPr="00870E8E">
        <w:rPr>
          <w:noProof/>
        </w:rPr>
        <w:t>s</w:t>
      </w:r>
      <w:r w:rsidRPr="00870E8E">
        <w:rPr>
          <w:noProof/>
        </w:rPr>
        <w:t xml:space="preserve"> the </w:t>
      </w:r>
      <w:r w:rsidR="00047B9B" w:rsidRPr="00BE28DF">
        <w:rPr>
          <w:noProof/>
        </w:rPr>
        <w:t xml:space="preserve">CO2 </w:t>
      </w:r>
      <w:r w:rsidRPr="00870E8E">
        <w:rPr>
          <w:noProof/>
        </w:rPr>
        <w:t xml:space="preserve">emissions class </w:t>
      </w:r>
      <w:r w:rsidR="00F97CA2" w:rsidRPr="00870E8E">
        <w:rPr>
          <w:noProof/>
        </w:rPr>
        <w:t xml:space="preserve">of the motor vehicle </w:t>
      </w:r>
      <w:r w:rsidRPr="00870E8E">
        <w:rPr>
          <w:noProof/>
        </w:rPr>
        <w:t xml:space="preserve">and </w:t>
      </w:r>
      <w:r w:rsidR="00F97CA2" w:rsidRPr="00870E8E">
        <w:rPr>
          <w:noProof/>
        </w:rPr>
        <w:t xml:space="preserve">is not required to store </w:t>
      </w:r>
      <w:r w:rsidRPr="00870E8E">
        <w:rPr>
          <w:noProof/>
        </w:rPr>
        <w:t xml:space="preserve">the </w:t>
      </w:r>
      <w:r w:rsidR="00047B9B" w:rsidRPr="00BE28DF">
        <w:rPr>
          <w:noProof/>
        </w:rPr>
        <w:t xml:space="preserve">CO2 </w:t>
      </w:r>
      <w:r w:rsidRPr="00870E8E">
        <w:rPr>
          <w:noProof/>
        </w:rPr>
        <w:t xml:space="preserve">emissions in grams per </w:t>
      </w:r>
      <w:r w:rsidR="00336AE8" w:rsidRPr="00870E8E">
        <w:rPr>
          <w:noProof/>
        </w:rPr>
        <w:t>ton</w:t>
      </w:r>
      <w:r w:rsidRPr="00870E8E">
        <w:rPr>
          <w:noProof/>
        </w:rPr>
        <w:t>-kilometre.</w:t>
      </w:r>
      <w:r w:rsidRPr="00BE28DF">
        <w:rPr>
          <w:noProof/>
        </w:rPr>
        <w:t xml:space="preserve"> </w:t>
      </w:r>
      <w:r w:rsidR="009F5B94" w:rsidRPr="00BE28DF">
        <w:rPr>
          <w:noProof/>
        </w:rPr>
        <w:t>T</w:t>
      </w:r>
      <w:r w:rsidR="004800F9" w:rsidRPr="00870E8E">
        <w:rPr>
          <w:noProof/>
        </w:rPr>
        <w:t xml:space="preserve">olling service providers </w:t>
      </w:r>
      <w:r w:rsidR="00D14BAE" w:rsidRPr="00870E8E">
        <w:rPr>
          <w:noProof/>
        </w:rPr>
        <w:t>recogni</w:t>
      </w:r>
      <w:r w:rsidR="00EE6CF5">
        <w:rPr>
          <w:noProof/>
        </w:rPr>
        <w:t>s</w:t>
      </w:r>
      <w:r w:rsidR="00D14BAE" w:rsidRPr="00870E8E">
        <w:rPr>
          <w:noProof/>
        </w:rPr>
        <w:t xml:space="preserve">ed that such a computation would require </w:t>
      </w:r>
      <w:r w:rsidR="00BC03A6" w:rsidRPr="00870E8E">
        <w:rPr>
          <w:noProof/>
        </w:rPr>
        <w:t>storing</w:t>
      </w:r>
      <w:r w:rsidR="00D14BAE" w:rsidRPr="00870E8E">
        <w:rPr>
          <w:noProof/>
        </w:rPr>
        <w:t xml:space="preserve"> </w:t>
      </w:r>
      <w:r w:rsidR="000E426E" w:rsidRPr="00870E8E">
        <w:rPr>
          <w:noProof/>
        </w:rPr>
        <w:t xml:space="preserve">the efficiency ratio </w:t>
      </w:r>
      <w:r w:rsidR="00BC03A6" w:rsidRPr="00870E8E">
        <w:rPr>
          <w:noProof/>
        </w:rPr>
        <w:t xml:space="preserve">on the on-board equipment </w:t>
      </w:r>
      <w:r w:rsidR="000E426E" w:rsidRPr="00870E8E">
        <w:rPr>
          <w:noProof/>
        </w:rPr>
        <w:t xml:space="preserve">for each </w:t>
      </w:r>
      <w:r w:rsidR="00BF1D69" w:rsidRPr="00870E8E">
        <w:rPr>
          <w:noProof/>
        </w:rPr>
        <w:t>trailer</w:t>
      </w:r>
      <w:r w:rsidR="000E426E" w:rsidRPr="00870E8E">
        <w:rPr>
          <w:noProof/>
        </w:rPr>
        <w:t xml:space="preserve"> that is </w:t>
      </w:r>
      <w:r w:rsidR="00F97CA2" w:rsidRPr="00870E8E">
        <w:rPr>
          <w:noProof/>
        </w:rPr>
        <w:t>usually</w:t>
      </w:r>
      <w:r w:rsidR="000E426E" w:rsidRPr="00870E8E">
        <w:rPr>
          <w:noProof/>
        </w:rPr>
        <w:t xml:space="preserve"> linked to the motor vehicle. The driver of this vehicle would have to select the </w:t>
      </w:r>
      <w:r w:rsidR="00BF1D69" w:rsidRPr="00870E8E">
        <w:rPr>
          <w:noProof/>
        </w:rPr>
        <w:t>trailer</w:t>
      </w:r>
      <w:r w:rsidR="000E426E" w:rsidRPr="00870E8E">
        <w:rPr>
          <w:noProof/>
        </w:rPr>
        <w:t xml:space="preserve"> used </w:t>
      </w:r>
      <w:r w:rsidR="00F97CA2" w:rsidRPr="00870E8E">
        <w:rPr>
          <w:noProof/>
        </w:rPr>
        <w:t xml:space="preserve">during a specific journey </w:t>
      </w:r>
      <w:r w:rsidR="000E426E" w:rsidRPr="00870E8E">
        <w:rPr>
          <w:noProof/>
        </w:rPr>
        <w:t xml:space="preserve">from a list of </w:t>
      </w:r>
      <w:r w:rsidR="00F97CA2" w:rsidRPr="00870E8E">
        <w:rPr>
          <w:noProof/>
        </w:rPr>
        <w:t>these</w:t>
      </w:r>
      <w:r w:rsidR="000E426E" w:rsidRPr="00870E8E">
        <w:rPr>
          <w:noProof/>
        </w:rPr>
        <w:t xml:space="preserve"> </w:t>
      </w:r>
      <w:r w:rsidR="00FF75DE" w:rsidRPr="00870E8E">
        <w:rPr>
          <w:noProof/>
        </w:rPr>
        <w:t>trailers</w:t>
      </w:r>
      <w:r w:rsidR="00F97CA2" w:rsidRPr="00870E8E">
        <w:rPr>
          <w:noProof/>
        </w:rPr>
        <w:t xml:space="preserve">. Such a </w:t>
      </w:r>
      <w:r w:rsidR="000E426E" w:rsidRPr="00870E8E">
        <w:rPr>
          <w:noProof/>
        </w:rPr>
        <w:t>list could be</w:t>
      </w:r>
      <w:r w:rsidR="00F97CA2" w:rsidRPr="00870E8E">
        <w:rPr>
          <w:noProof/>
        </w:rPr>
        <w:t xml:space="preserve"> significantly</w:t>
      </w:r>
      <w:r w:rsidR="000E426E" w:rsidRPr="00870E8E">
        <w:rPr>
          <w:noProof/>
        </w:rPr>
        <w:t xml:space="preserve"> long for undertakings with a large </w:t>
      </w:r>
      <w:r w:rsidR="00BF1D69" w:rsidRPr="00870E8E">
        <w:rPr>
          <w:noProof/>
        </w:rPr>
        <w:t>trailer</w:t>
      </w:r>
      <w:r w:rsidR="000E426E" w:rsidRPr="00870E8E">
        <w:rPr>
          <w:noProof/>
        </w:rPr>
        <w:t xml:space="preserve"> fleet. In light of this, tolling service providers </w:t>
      </w:r>
      <w:r w:rsidR="009F5B94" w:rsidRPr="00870E8E">
        <w:rPr>
          <w:noProof/>
        </w:rPr>
        <w:t xml:space="preserve">highlighted that </w:t>
      </w:r>
      <w:r w:rsidR="000E426E" w:rsidRPr="00870E8E">
        <w:rPr>
          <w:noProof/>
        </w:rPr>
        <w:t>it is important to keep the on-board equipment’s interface simple to reduce</w:t>
      </w:r>
      <w:r w:rsidR="009F5B94" w:rsidRPr="00870E8E">
        <w:rPr>
          <w:noProof/>
        </w:rPr>
        <w:t xml:space="preserve"> the risk of misinterpretation or mistake from part of the </w:t>
      </w:r>
      <w:r w:rsidR="000E426E" w:rsidRPr="00870E8E">
        <w:rPr>
          <w:noProof/>
        </w:rPr>
        <w:t>drivers</w:t>
      </w:r>
      <w:r w:rsidR="009F5B94" w:rsidRPr="00870E8E">
        <w:rPr>
          <w:noProof/>
        </w:rPr>
        <w:t>.</w:t>
      </w:r>
      <w:r w:rsidR="000E426E" w:rsidRPr="00870E8E">
        <w:rPr>
          <w:noProof/>
        </w:rPr>
        <w:t xml:space="preserve"> At the same time, tolling service providers shared that on-board equipment</w:t>
      </w:r>
      <w:r w:rsidR="00FF650E" w:rsidRPr="00870E8E">
        <w:rPr>
          <w:noProof/>
        </w:rPr>
        <w:t>’</w:t>
      </w:r>
      <w:r w:rsidR="000E426E" w:rsidRPr="00870E8E">
        <w:rPr>
          <w:noProof/>
        </w:rPr>
        <w:t xml:space="preserve">s </w:t>
      </w:r>
      <w:r w:rsidR="00F97CA2" w:rsidRPr="00870E8E">
        <w:rPr>
          <w:noProof/>
        </w:rPr>
        <w:t xml:space="preserve">with similar </w:t>
      </w:r>
      <w:r w:rsidR="000E426E" w:rsidRPr="00870E8E">
        <w:rPr>
          <w:noProof/>
        </w:rPr>
        <w:t xml:space="preserve">functionalities </w:t>
      </w:r>
      <w:r w:rsidR="00F97CA2" w:rsidRPr="00870E8E">
        <w:rPr>
          <w:noProof/>
        </w:rPr>
        <w:t>already exist</w:t>
      </w:r>
      <w:r w:rsidR="000E426E" w:rsidRPr="00870E8E">
        <w:rPr>
          <w:noProof/>
        </w:rPr>
        <w:t xml:space="preserve">, </w:t>
      </w:r>
      <w:r w:rsidR="004800F9" w:rsidRPr="00870E8E">
        <w:rPr>
          <w:noProof/>
        </w:rPr>
        <w:t xml:space="preserve">such as the </w:t>
      </w:r>
      <w:r w:rsidR="000E426E" w:rsidRPr="00870E8E">
        <w:rPr>
          <w:noProof/>
        </w:rPr>
        <w:t>possibility</w:t>
      </w:r>
      <w:r w:rsidR="00F97CA2" w:rsidRPr="00870E8E">
        <w:rPr>
          <w:noProof/>
        </w:rPr>
        <w:t xml:space="preserve"> for a driver</w:t>
      </w:r>
      <w:r w:rsidR="000E426E" w:rsidRPr="00870E8E">
        <w:rPr>
          <w:noProof/>
        </w:rPr>
        <w:t xml:space="preserve"> to select the </w:t>
      </w:r>
      <w:r w:rsidR="004800F9" w:rsidRPr="00870E8E">
        <w:rPr>
          <w:noProof/>
        </w:rPr>
        <w:t xml:space="preserve">number of axels and </w:t>
      </w:r>
      <w:r w:rsidR="000E426E" w:rsidRPr="00870E8E">
        <w:rPr>
          <w:noProof/>
        </w:rPr>
        <w:t>the weight of the vehicle</w:t>
      </w:r>
      <w:r w:rsidR="00F97CA2" w:rsidRPr="00870E8E">
        <w:rPr>
          <w:noProof/>
        </w:rPr>
        <w:t xml:space="preserve"> combination</w:t>
      </w:r>
      <w:r w:rsidR="000E426E" w:rsidRPr="00870E8E">
        <w:rPr>
          <w:noProof/>
        </w:rPr>
        <w:t xml:space="preserve">. </w:t>
      </w:r>
      <w:r w:rsidR="008B2619" w:rsidRPr="00870E8E">
        <w:rPr>
          <w:noProof/>
        </w:rPr>
        <w:t xml:space="preserve">A similar </w:t>
      </w:r>
      <w:r w:rsidR="00DD7680" w:rsidRPr="00870E8E">
        <w:rPr>
          <w:noProof/>
        </w:rPr>
        <w:t xml:space="preserve">observation on the importance of simplicity </w:t>
      </w:r>
      <w:r w:rsidR="008E0AED" w:rsidRPr="00870E8E">
        <w:rPr>
          <w:noProof/>
        </w:rPr>
        <w:t xml:space="preserve">and risk of additional burden </w:t>
      </w:r>
      <w:r w:rsidR="00DD7680" w:rsidRPr="00870E8E">
        <w:rPr>
          <w:noProof/>
        </w:rPr>
        <w:t xml:space="preserve">was advanced by transport operators. </w:t>
      </w:r>
    </w:p>
    <w:p w14:paraId="44E21586" w14:textId="77777777" w:rsidR="00076ABB" w:rsidRPr="00870E8E" w:rsidRDefault="000E426E" w:rsidP="00A46AD9">
      <w:pPr>
        <w:rPr>
          <w:noProof/>
        </w:rPr>
      </w:pPr>
      <w:r w:rsidRPr="00870E8E">
        <w:rPr>
          <w:noProof/>
        </w:rPr>
        <w:t xml:space="preserve">In response to </w:t>
      </w:r>
      <w:r w:rsidR="00F97CA2" w:rsidRPr="00870E8E">
        <w:rPr>
          <w:noProof/>
        </w:rPr>
        <w:t>the above points</w:t>
      </w:r>
      <w:r w:rsidRPr="00870E8E">
        <w:rPr>
          <w:noProof/>
        </w:rPr>
        <w:t xml:space="preserve">, </w:t>
      </w:r>
      <w:r w:rsidR="003171E3" w:rsidRPr="00870E8E">
        <w:rPr>
          <w:noProof/>
        </w:rPr>
        <w:t xml:space="preserve">this </w:t>
      </w:r>
      <w:r w:rsidRPr="00870E8E">
        <w:rPr>
          <w:noProof/>
        </w:rPr>
        <w:t>proposal defines</w:t>
      </w:r>
      <w:r w:rsidR="003171E3" w:rsidRPr="00870E8E">
        <w:rPr>
          <w:noProof/>
        </w:rPr>
        <w:t xml:space="preserve"> in a new annex to the Directive</w:t>
      </w:r>
      <w:r w:rsidRPr="00870E8E">
        <w:rPr>
          <w:noProof/>
        </w:rPr>
        <w:t xml:space="preserve"> three </w:t>
      </w:r>
      <w:r w:rsidR="006B5757" w:rsidRPr="00870E8E">
        <w:rPr>
          <w:noProof/>
        </w:rPr>
        <w:t xml:space="preserve">trailer </w:t>
      </w:r>
      <w:r w:rsidRPr="00870E8E">
        <w:rPr>
          <w:noProof/>
        </w:rPr>
        <w:t xml:space="preserve">classes based on </w:t>
      </w:r>
      <w:r w:rsidR="00047B9B" w:rsidRPr="00870E8E">
        <w:rPr>
          <w:noProof/>
        </w:rPr>
        <w:t>efficiency ratio thresholds</w:t>
      </w:r>
      <w:r w:rsidRPr="00870E8E">
        <w:rPr>
          <w:noProof/>
        </w:rPr>
        <w:t>.</w:t>
      </w:r>
      <w:r w:rsidR="003171E3" w:rsidRPr="00870E8E">
        <w:rPr>
          <w:noProof/>
        </w:rPr>
        <w:t xml:space="preserve"> For each </w:t>
      </w:r>
      <w:r w:rsidR="00BF1D69" w:rsidRPr="00870E8E">
        <w:rPr>
          <w:noProof/>
        </w:rPr>
        <w:t>trailer</w:t>
      </w:r>
      <w:r w:rsidR="003171E3" w:rsidRPr="00870E8E">
        <w:rPr>
          <w:noProof/>
        </w:rPr>
        <w:t xml:space="preserve"> class</w:t>
      </w:r>
      <w:r w:rsidR="00F97CA2" w:rsidRPr="00870E8E">
        <w:rPr>
          <w:noProof/>
        </w:rPr>
        <w:t>,</w:t>
      </w:r>
      <w:r w:rsidR="003171E3" w:rsidRPr="00870E8E">
        <w:rPr>
          <w:noProof/>
        </w:rPr>
        <w:t xml:space="preserve"> it is defined how the variation of the </w:t>
      </w:r>
      <w:r w:rsidR="003171E3" w:rsidRPr="00BE28DF">
        <w:rPr>
          <w:noProof/>
        </w:rPr>
        <w:t xml:space="preserve">CO2 </w:t>
      </w:r>
      <w:r w:rsidR="003171E3" w:rsidRPr="00870E8E">
        <w:rPr>
          <w:noProof/>
        </w:rPr>
        <w:t>emission class of the motor vehicle</w:t>
      </w:r>
      <w:r w:rsidR="00F97CA2" w:rsidRPr="00870E8E">
        <w:rPr>
          <w:noProof/>
        </w:rPr>
        <w:t xml:space="preserve"> is affected</w:t>
      </w:r>
      <w:r w:rsidR="003171E3" w:rsidRPr="00870E8E">
        <w:rPr>
          <w:noProof/>
        </w:rPr>
        <w:t xml:space="preserve">, resulting in the </w:t>
      </w:r>
      <w:r w:rsidR="003171E3" w:rsidRPr="00BE28DF">
        <w:rPr>
          <w:noProof/>
        </w:rPr>
        <w:t xml:space="preserve">CO2 </w:t>
      </w:r>
      <w:r w:rsidR="003171E3" w:rsidRPr="00870E8E">
        <w:rPr>
          <w:noProof/>
        </w:rPr>
        <w:lastRenderedPageBreak/>
        <w:t xml:space="preserve">emission class of the vehicle combination. This change renders this proposal more consistent with the </w:t>
      </w:r>
      <w:r w:rsidR="00F97CA2" w:rsidRPr="00870E8E">
        <w:rPr>
          <w:noProof/>
        </w:rPr>
        <w:t xml:space="preserve">ongoing </w:t>
      </w:r>
      <w:r w:rsidR="003171E3" w:rsidRPr="00870E8E">
        <w:rPr>
          <w:noProof/>
        </w:rPr>
        <w:t xml:space="preserve">implementation of the </w:t>
      </w:r>
      <w:r w:rsidR="003171E3" w:rsidRPr="00BE28DF">
        <w:rPr>
          <w:noProof/>
        </w:rPr>
        <w:t xml:space="preserve">CO2 </w:t>
      </w:r>
      <w:r w:rsidR="003171E3" w:rsidRPr="00870E8E">
        <w:rPr>
          <w:noProof/>
        </w:rPr>
        <w:t xml:space="preserve">emissions-based differentiation of road charges introduced in Directive (EU) 2022/362. </w:t>
      </w:r>
      <w:r w:rsidR="00AE4592" w:rsidRPr="00870E8E">
        <w:rPr>
          <w:noProof/>
        </w:rPr>
        <w:t xml:space="preserve">Specifically, </w:t>
      </w:r>
      <w:r w:rsidR="003171E3" w:rsidRPr="00870E8E">
        <w:rPr>
          <w:noProof/>
        </w:rPr>
        <w:t xml:space="preserve">a computation as included in the </w:t>
      </w:r>
      <w:r w:rsidR="009D75D4" w:rsidRPr="00870E8E">
        <w:rPr>
          <w:noProof/>
        </w:rPr>
        <w:t xml:space="preserve">draft </w:t>
      </w:r>
      <w:r w:rsidR="003171E3" w:rsidRPr="00870E8E">
        <w:rPr>
          <w:noProof/>
        </w:rPr>
        <w:t xml:space="preserve">proposal </w:t>
      </w:r>
      <w:r w:rsidR="009D75D4" w:rsidRPr="00870E8E">
        <w:rPr>
          <w:noProof/>
        </w:rPr>
        <w:t xml:space="preserve">that was discussed with stakeholders </w:t>
      </w:r>
      <w:r w:rsidR="003171E3" w:rsidRPr="00870E8E">
        <w:rPr>
          <w:noProof/>
        </w:rPr>
        <w:t xml:space="preserve">is not required, </w:t>
      </w:r>
      <w:r w:rsidR="009023AE" w:rsidRPr="00870E8E">
        <w:rPr>
          <w:noProof/>
        </w:rPr>
        <w:t xml:space="preserve">and consequently </w:t>
      </w:r>
      <w:r w:rsidR="003171E3" w:rsidRPr="00870E8E">
        <w:rPr>
          <w:noProof/>
        </w:rPr>
        <w:t xml:space="preserve">it is not required </w:t>
      </w:r>
      <w:r w:rsidR="000D51D9" w:rsidRPr="00870E8E">
        <w:rPr>
          <w:noProof/>
        </w:rPr>
        <w:t xml:space="preserve">to </w:t>
      </w:r>
      <w:r w:rsidR="00A6755F" w:rsidRPr="00870E8E">
        <w:rPr>
          <w:noProof/>
        </w:rPr>
        <w:t xml:space="preserve">have </w:t>
      </w:r>
      <w:r w:rsidR="006B5757" w:rsidRPr="00870E8E">
        <w:rPr>
          <w:noProof/>
        </w:rPr>
        <w:t xml:space="preserve">the motor vehicle’s </w:t>
      </w:r>
      <w:r w:rsidR="006B5757" w:rsidRPr="00BE28DF">
        <w:rPr>
          <w:noProof/>
        </w:rPr>
        <w:t xml:space="preserve">CO2 </w:t>
      </w:r>
      <w:r w:rsidR="006B5757" w:rsidRPr="00870E8E">
        <w:rPr>
          <w:noProof/>
        </w:rPr>
        <w:t>emissions in grams per ton-kilometre</w:t>
      </w:r>
      <w:r w:rsidR="00A6755F" w:rsidRPr="00870E8E">
        <w:rPr>
          <w:noProof/>
        </w:rPr>
        <w:t xml:space="preserve"> stored</w:t>
      </w:r>
      <w:r w:rsidR="000D51D9" w:rsidRPr="00870E8E">
        <w:rPr>
          <w:noProof/>
        </w:rPr>
        <w:t xml:space="preserve"> on </w:t>
      </w:r>
      <w:r w:rsidR="003171E3" w:rsidRPr="00870E8E">
        <w:rPr>
          <w:noProof/>
        </w:rPr>
        <w:t xml:space="preserve">the on-board equipment. Similarly, it is not required that the on-board equipment of a motor vehicle stores the efficiency ratio of each </w:t>
      </w:r>
      <w:r w:rsidR="00BF1D69" w:rsidRPr="00870E8E">
        <w:rPr>
          <w:noProof/>
        </w:rPr>
        <w:t>trailer</w:t>
      </w:r>
      <w:r w:rsidR="003171E3" w:rsidRPr="00870E8E">
        <w:rPr>
          <w:noProof/>
        </w:rPr>
        <w:t xml:space="preserve"> that </w:t>
      </w:r>
      <w:r w:rsidR="00A45D11" w:rsidRPr="00870E8E">
        <w:rPr>
          <w:noProof/>
        </w:rPr>
        <w:t xml:space="preserve">is </w:t>
      </w:r>
      <w:r w:rsidR="003171E3" w:rsidRPr="00870E8E">
        <w:rPr>
          <w:noProof/>
        </w:rPr>
        <w:t xml:space="preserve">normally used with a motor vehicle. </w:t>
      </w:r>
      <w:r w:rsidR="00F97CA2" w:rsidRPr="00870E8E">
        <w:rPr>
          <w:noProof/>
        </w:rPr>
        <w:t>Accordingly</w:t>
      </w:r>
      <w:r w:rsidR="003171E3" w:rsidRPr="00870E8E">
        <w:rPr>
          <w:noProof/>
        </w:rPr>
        <w:t xml:space="preserve">, the driver of a vehicle combination would </w:t>
      </w:r>
      <w:r w:rsidR="00F97CA2" w:rsidRPr="00870E8E">
        <w:rPr>
          <w:noProof/>
        </w:rPr>
        <w:t xml:space="preserve">not </w:t>
      </w:r>
      <w:r w:rsidR="003171E3" w:rsidRPr="00870E8E">
        <w:rPr>
          <w:noProof/>
        </w:rPr>
        <w:t xml:space="preserve">be required to select a value from a list of </w:t>
      </w:r>
      <w:r w:rsidR="00BF1D69" w:rsidRPr="00870E8E">
        <w:rPr>
          <w:noProof/>
        </w:rPr>
        <w:t>trailers</w:t>
      </w:r>
      <w:r w:rsidR="00D72949" w:rsidRPr="00870E8E">
        <w:rPr>
          <w:noProof/>
        </w:rPr>
        <w:t>;</w:t>
      </w:r>
      <w:r w:rsidR="003171E3" w:rsidRPr="00870E8E">
        <w:rPr>
          <w:noProof/>
        </w:rPr>
        <w:t xml:space="preserve"> </w:t>
      </w:r>
      <w:r w:rsidR="00D72949" w:rsidRPr="00870E8E">
        <w:rPr>
          <w:noProof/>
        </w:rPr>
        <w:t xml:space="preserve">instead, </w:t>
      </w:r>
      <w:r w:rsidR="003171E3" w:rsidRPr="00870E8E">
        <w:rPr>
          <w:noProof/>
        </w:rPr>
        <w:t xml:space="preserve">it would be required to select the </w:t>
      </w:r>
      <w:r w:rsidR="00BF1D69" w:rsidRPr="00870E8E">
        <w:rPr>
          <w:noProof/>
        </w:rPr>
        <w:t>trailer’s</w:t>
      </w:r>
      <w:r w:rsidR="003171E3" w:rsidRPr="00870E8E">
        <w:rPr>
          <w:noProof/>
        </w:rPr>
        <w:t xml:space="preserve"> class</w:t>
      </w:r>
      <w:r w:rsidR="005318D6" w:rsidRPr="00870E8E">
        <w:rPr>
          <w:noProof/>
        </w:rPr>
        <w:t xml:space="preserve">, resulting in the simplification of the on-board equipment’s interface and of the new functionality. </w:t>
      </w:r>
    </w:p>
    <w:p w14:paraId="306087CD" w14:textId="77777777" w:rsidR="00594B56" w:rsidRPr="00870E8E" w:rsidRDefault="003C0608" w:rsidP="00A46AD9">
      <w:pPr>
        <w:rPr>
          <w:noProof/>
        </w:rPr>
      </w:pPr>
      <w:r w:rsidRPr="00870E8E">
        <w:rPr>
          <w:noProof/>
        </w:rPr>
        <w:t>To</w:t>
      </w:r>
      <w:r w:rsidR="001B66D1" w:rsidRPr="00870E8E">
        <w:rPr>
          <w:noProof/>
        </w:rPr>
        <w:t xml:space="preserve"> reduce the risk of misinterpretation or mistake from part of the drivers, </w:t>
      </w:r>
      <w:r w:rsidR="00594B56" w:rsidRPr="00870E8E">
        <w:rPr>
          <w:noProof/>
        </w:rPr>
        <w:t xml:space="preserve">toll service providers </w:t>
      </w:r>
      <w:r w:rsidR="001B66D1" w:rsidRPr="00870E8E">
        <w:rPr>
          <w:noProof/>
        </w:rPr>
        <w:t>also suggested</w:t>
      </w:r>
      <w:r w:rsidR="004F2931" w:rsidRPr="00870E8E">
        <w:rPr>
          <w:noProof/>
        </w:rPr>
        <w:t xml:space="preserve"> that</w:t>
      </w:r>
      <w:r w:rsidR="001B66D1" w:rsidRPr="00870E8E">
        <w:rPr>
          <w:noProof/>
        </w:rPr>
        <w:t xml:space="preserve"> </w:t>
      </w:r>
      <w:r w:rsidR="00BF1D69" w:rsidRPr="00870E8E">
        <w:rPr>
          <w:noProof/>
        </w:rPr>
        <w:t>trailers’</w:t>
      </w:r>
      <w:r w:rsidR="004F2931" w:rsidRPr="00870E8E">
        <w:rPr>
          <w:noProof/>
        </w:rPr>
        <w:t xml:space="preserve"> parameters be communicated to the </w:t>
      </w:r>
      <w:r w:rsidR="001B66D1" w:rsidRPr="00870E8E">
        <w:rPr>
          <w:noProof/>
        </w:rPr>
        <w:t>motor vehicle</w:t>
      </w:r>
      <w:r w:rsidR="004F2931" w:rsidRPr="00870E8E">
        <w:rPr>
          <w:noProof/>
        </w:rPr>
        <w:t xml:space="preserve">’s on-board </w:t>
      </w:r>
      <w:r w:rsidR="001B66D1" w:rsidRPr="00870E8E">
        <w:rPr>
          <w:noProof/>
        </w:rPr>
        <w:t>equipment</w:t>
      </w:r>
      <w:r w:rsidR="004F2931" w:rsidRPr="00870E8E">
        <w:rPr>
          <w:noProof/>
        </w:rPr>
        <w:t xml:space="preserve"> electronically</w:t>
      </w:r>
      <w:r w:rsidR="001B66D1" w:rsidRPr="00870E8E">
        <w:rPr>
          <w:noProof/>
        </w:rPr>
        <w:t xml:space="preserve"> by using the </w:t>
      </w:r>
      <w:r w:rsidR="00BF1D69" w:rsidRPr="00870E8E">
        <w:rPr>
          <w:noProof/>
        </w:rPr>
        <w:t>trailers’</w:t>
      </w:r>
      <w:r w:rsidR="001B66D1" w:rsidRPr="00870E8E">
        <w:rPr>
          <w:noProof/>
        </w:rPr>
        <w:t xml:space="preserve"> on-board weighting equipment. This proposal does not further elaborate on this </w:t>
      </w:r>
      <w:r w:rsidR="00F97CA2" w:rsidRPr="00870E8E">
        <w:rPr>
          <w:noProof/>
        </w:rPr>
        <w:t>suggestion</w:t>
      </w:r>
      <w:r w:rsidR="001B66D1" w:rsidRPr="00870E8E">
        <w:rPr>
          <w:noProof/>
        </w:rPr>
        <w:t xml:space="preserve"> because of two reasons. First, the use of on-board weighting equipment is one of the options outlined in Article 10d of</w:t>
      </w:r>
      <w:r w:rsidR="005C2161" w:rsidRPr="00870E8E">
        <w:rPr>
          <w:noProof/>
        </w:rPr>
        <w:t xml:space="preserve"> the </w:t>
      </w:r>
      <w:r w:rsidR="005C2161" w:rsidRPr="00BE28DF">
        <w:rPr>
          <w:noProof/>
        </w:rPr>
        <w:t>Council Directive 96/53/EC</w:t>
      </w:r>
      <w:r w:rsidR="005C2161" w:rsidRPr="00870E8E">
        <w:rPr>
          <w:rStyle w:val="FootnoteReference"/>
          <w:noProof/>
        </w:rPr>
        <w:footnoteReference w:id="8"/>
      </w:r>
      <w:r w:rsidR="00F97CA2" w:rsidRPr="00BE28DF">
        <w:rPr>
          <w:noProof/>
        </w:rPr>
        <w:t xml:space="preserve"> and</w:t>
      </w:r>
      <w:r w:rsidR="005C2161" w:rsidRPr="00BE28DF">
        <w:rPr>
          <w:noProof/>
        </w:rPr>
        <w:t xml:space="preserve"> no Member State made use of this option at this moment </w:t>
      </w:r>
      <w:r w:rsidR="00BC03A6" w:rsidRPr="00BE28DF">
        <w:rPr>
          <w:noProof/>
        </w:rPr>
        <w:t xml:space="preserve">in </w:t>
      </w:r>
      <w:r w:rsidR="005C2161" w:rsidRPr="00BE28DF">
        <w:rPr>
          <w:noProof/>
        </w:rPr>
        <w:t xml:space="preserve">time, meaning that the </w:t>
      </w:r>
      <w:r w:rsidR="005C2161" w:rsidRPr="00870E8E">
        <w:rPr>
          <w:noProof/>
        </w:rPr>
        <w:t>on-board weighting equipment is not widely deployed.</w:t>
      </w:r>
      <w:r w:rsidR="001B66D1" w:rsidRPr="00870E8E">
        <w:rPr>
          <w:noProof/>
        </w:rPr>
        <w:t xml:space="preserve"> </w:t>
      </w:r>
      <w:r w:rsidR="005C2161" w:rsidRPr="00870E8E">
        <w:rPr>
          <w:noProof/>
        </w:rPr>
        <w:t xml:space="preserve">Secondly, the </w:t>
      </w:r>
      <w:r w:rsidR="004F2931" w:rsidRPr="00870E8E">
        <w:rPr>
          <w:noProof/>
        </w:rPr>
        <w:t>European Standard Organizations CEN and ETSI</w:t>
      </w:r>
      <w:r w:rsidR="00F97CA2" w:rsidRPr="00870E8E">
        <w:rPr>
          <w:noProof/>
        </w:rPr>
        <w:t>, consulted by the</w:t>
      </w:r>
      <w:r w:rsidR="005C2161" w:rsidRPr="00870E8E">
        <w:rPr>
          <w:noProof/>
        </w:rPr>
        <w:t xml:space="preserve"> Commission, </w:t>
      </w:r>
      <w:r w:rsidR="00F97CA2" w:rsidRPr="00870E8E">
        <w:rPr>
          <w:noProof/>
        </w:rPr>
        <w:t xml:space="preserve">shared that, </w:t>
      </w:r>
      <w:r w:rsidR="005C2161" w:rsidRPr="00870E8E">
        <w:rPr>
          <w:noProof/>
        </w:rPr>
        <w:t>while being technically possible, communication between tolling-related on-board equipment and on-board weighting equipment</w:t>
      </w:r>
      <w:r w:rsidR="004F2931" w:rsidRPr="00870E8E">
        <w:rPr>
          <w:noProof/>
        </w:rPr>
        <w:t xml:space="preserve"> </w:t>
      </w:r>
      <w:r w:rsidR="005C2161" w:rsidRPr="00870E8E">
        <w:rPr>
          <w:noProof/>
        </w:rPr>
        <w:t>is not covered by current standards</w:t>
      </w:r>
      <w:r w:rsidR="00F97CA2" w:rsidRPr="00870E8E">
        <w:rPr>
          <w:noProof/>
        </w:rPr>
        <w:t xml:space="preserve"> and not supported by all such devices currently on the market</w:t>
      </w:r>
      <w:r w:rsidR="005C2161" w:rsidRPr="00870E8E">
        <w:rPr>
          <w:noProof/>
        </w:rPr>
        <w:t xml:space="preserve">. </w:t>
      </w:r>
    </w:p>
    <w:p w14:paraId="0246A050" w14:textId="77777777" w:rsidR="00F153DD" w:rsidRPr="00870E8E" w:rsidRDefault="004D019C" w:rsidP="00A92ADB">
      <w:pPr>
        <w:pBdr>
          <w:top w:val="nil"/>
          <w:left w:val="nil"/>
          <w:bottom w:val="nil"/>
          <w:right w:val="nil"/>
          <w:between w:val="nil"/>
          <w:bar w:val="nil"/>
        </w:pBdr>
        <w:spacing w:before="0" w:after="240"/>
        <w:rPr>
          <w:noProof/>
        </w:rPr>
      </w:pPr>
      <w:r w:rsidRPr="00870E8E">
        <w:rPr>
          <w:noProof/>
        </w:rPr>
        <w:t xml:space="preserve">The Member States’ transport ministries expressed </w:t>
      </w:r>
      <w:r w:rsidR="005C2161" w:rsidRPr="00870E8E">
        <w:rPr>
          <w:noProof/>
        </w:rPr>
        <w:t xml:space="preserve">concerns with respect to </w:t>
      </w:r>
      <w:r w:rsidRPr="00870E8E">
        <w:rPr>
          <w:noProof/>
        </w:rPr>
        <w:t xml:space="preserve">enforcement. </w:t>
      </w:r>
      <w:r w:rsidR="005C2161" w:rsidRPr="00870E8E">
        <w:rPr>
          <w:noProof/>
        </w:rPr>
        <w:t xml:space="preserve">In this respect, the proposal amends </w:t>
      </w:r>
      <w:r w:rsidRPr="00870E8E">
        <w:rPr>
          <w:noProof/>
        </w:rPr>
        <w:t>Article 7j to require a driver or, if appropriate, the transport operator or the European Electronic Toll Service (EETS) provider to provide evidence of the trailer characteris</w:t>
      </w:r>
      <w:r w:rsidR="005C2161" w:rsidRPr="00870E8E">
        <w:rPr>
          <w:noProof/>
        </w:rPr>
        <w:t>tics to enforcement officers. A</w:t>
      </w:r>
      <w:r w:rsidRPr="00870E8E">
        <w:rPr>
          <w:noProof/>
        </w:rPr>
        <w:t xml:space="preserve"> </w:t>
      </w:r>
      <w:r w:rsidR="005C2161" w:rsidRPr="00870E8E">
        <w:rPr>
          <w:noProof/>
        </w:rPr>
        <w:t xml:space="preserve">potential </w:t>
      </w:r>
      <w:r w:rsidRPr="00870E8E">
        <w:rPr>
          <w:noProof/>
        </w:rPr>
        <w:t xml:space="preserve">complication </w:t>
      </w:r>
      <w:r w:rsidR="005C2161" w:rsidRPr="00870E8E">
        <w:rPr>
          <w:noProof/>
        </w:rPr>
        <w:t>linked to aerodynamic devices is that these</w:t>
      </w:r>
      <w:r w:rsidR="00F97CA2" w:rsidRPr="00870E8E">
        <w:rPr>
          <w:noProof/>
        </w:rPr>
        <w:t xml:space="preserve"> devices</w:t>
      </w:r>
      <w:r w:rsidR="005C2161" w:rsidRPr="00870E8E">
        <w:rPr>
          <w:noProof/>
        </w:rPr>
        <w:t xml:space="preserve"> can be relatively easily removed from a </w:t>
      </w:r>
      <w:r w:rsidR="00BF1D69" w:rsidRPr="00870E8E">
        <w:rPr>
          <w:noProof/>
        </w:rPr>
        <w:t>trailer</w:t>
      </w:r>
      <w:r w:rsidR="005C2161" w:rsidRPr="00870E8E">
        <w:rPr>
          <w:noProof/>
        </w:rPr>
        <w:t xml:space="preserve">. To ensure that the efficiency of </w:t>
      </w:r>
      <w:r w:rsidR="00FF75DE" w:rsidRPr="00870E8E">
        <w:rPr>
          <w:noProof/>
        </w:rPr>
        <w:t>trailers</w:t>
      </w:r>
      <w:r w:rsidR="005C2161" w:rsidRPr="00870E8E">
        <w:rPr>
          <w:noProof/>
        </w:rPr>
        <w:t xml:space="preserve"> is the same as the type-approved vehicle and </w:t>
      </w:r>
      <w:r w:rsidR="00F97CA2" w:rsidRPr="00870E8E">
        <w:rPr>
          <w:noProof/>
        </w:rPr>
        <w:t xml:space="preserve">that it </w:t>
      </w:r>
      <w:r w:rsidR="005C2161" w:rsidRPr="00870E8E">
        <w:rPr>
          <w:noProof/>
        </w:rPr>
        <w:t>is not different because of changes in the aerodynamic devices</w:t>
      </w:r>
      <w:r w:rsidR="00742FB5" w:rsidRPr="00870E8E">
        <w:rPr>
          <w:noProof/>
        </w:rPr>
        <w:t>,</w:t>
      </w:r>
      <w:r w:rsidR="005C2161" w:rsidRPr="00870E8E">
        <w:rPr>
          <w:noProof/>
        </w:rPr>
        <w:t xml:space="preserve"> </w:t>
      </w:r>
      <w:r w:rsidR="00FF75DE" w:rsidRPr="00870E8E">
        <w:rPr>
          <w:noProof/>
        </w:rPr>
        <w:t>trailers</w:t>
      </w:r>
      <w:r w:rsidRPr="00870E8E">
        <w:rPr>
          <w:noProof/>
        </w:rPr>
        <w:t xml:space="preserve"> will be equipped with a label on the</w:t>
      </w:r>
      <w:r w:rsidR="009513C0" w:rsidRPr="00870E8E">
        <w:rPr>
          <w:noProof/>
        </w:rPr>
        <w:t>ir</w:t>
      </w:r>
      <w:r w:rsidRPr="00870E8E">
        <w:rPr>
          <w:noProof/>
        </w:rPr>
        <w:t xml:space="preserve"> front, which includes a list of aerodynamic devices equipped on that very trailer, in accordance with </w:t>
      </w:r>
      <w:r w:rsidR="00602CF0" w:rsidRPr="00870E8E">
        <w:rPr>
          <w:noProof/>
        </w:rPr>
        <w:t xml:space="preserve">Points 1.8 and 1.9 of Appendix 3 to Annex V </w:t>
      </w:r>
      <w:r w:rsidR="00740C02" w:rsidRPr="00870E8E">
        <w:rPr>
          <w:noProof/>
        </w:rPr>
        <w:t xml:space="preserve">to </w:t>
      </w:r>
      <w:r w:rsidRPr="00870E8E">
        <w:rPr>
          <w:noProof/>
        </w:rPr>
        <w:t xml:space="preserve">Commission Implementing Regulation (EU) 2022/1362. </w:t>
      </w:r>
    </w:p>
    <w:p w14:paraId="6A80D28F"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Collection and use of expertise</w:t>
      </w:r>
    </w:p>
    <w:p w14:paraId="6B1AAC50" w14:textId="77777777" w:rsidR="0053233D" w:rsidRPr="00870E8E" w:rsidRDefault="0053233D" w:rsidP="0053233D">
      <w:pPr>
        <w:rPr>
          <w:noProof/>
        </w:rPr>
      </w:pPr>
      <w:r w:rsidRPr="00870E8E">
        <w:rPr>
          <w:noProof/>
        </w:rPr>
        <w:t xml:space="preserve">For the quantitative assessment of the economic, </w:t>
      </w:r>
      <w:r w:rsidR="00DC0C86" w:rsidRPr="00870E8E">
        <w:rPr>
          <w:noProof/>
        </w:rPr>
        <w:t>social,</w:t>
      </w:r>
      <w:r w:rsidRPr="00870E8E">
        <w:rPr>
          <w:noProof/>
        </w:rPr>
        <w:t xml:space="preserve"> and environmental impacts, the Impact Assessment referred to below has built on analysis from the PRIMES and JRC DIONE model as well as analysis performed by an external contractor. </w:t>
      </w:r>
    </w:p>
    <w:p w14:paraId="79516D46" w14:textId="77777777" w:rsidR="001E7B00" w:rsidRPr="00870E8E" w:rsidRDefault="0053233D" w:rsidP="00A92ADB">
      <w:pPr>
        <w:pBdr>
          <w:top w:val="nil"/>
          <w:left w:val="nil"/>
          <w:bottom w:val="nil"/>
          <w:right w:val="nil"/>
          <w:between w:val="nil"/>
          <w:bar w:val="nil"/>
        </w:pBdr>
        <w:spacing w:before="0" w:after="240"/>
        <w:rPr>
          <w:noProof/>
        </w:rPr>
      </w:pPr>
      <w:r w:rsidRPr="00870E8E">
        <w:rPr>
          <w:noProof/>
        </w:rPr>
        <w:t>Monitoring data on greenhouse gas emissions and other characteristics of the new heavy-duty vehicle fleet was sourced from the annual monitoring data as reported by Member States and manufacturers and collected by the European Environment Agency (EEA) under Regulation (EU) 2018/956.</w:t>
      </w:r>
      <w:r w:rsidRPr="00870E8E" w:rsidDel="00126C6C">
        <w:rPr>
          <w:noProof/>
        </w:rPr>
        <w:t xml:space="preserve"> </w:t>
      </w:r>
    </w:p>
    <w:p w14:paraId="43DA0C24"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Impact assessment</w:t>
      </w:r>
    </w:p>
    <w:p w14:paraId="1F10A8B5" w14:textId="77777777" w:rsidR="00FF46E0" w:rsidRPr="00BE28DF" w:rsidRDefault="00346F3D" w:rsidP="00A92ADB">
      <w:pPr>
        <w:pBdr>
          <w:top w:val="nil"/>
          <w:left w:val="nil"/>
          <w:bottom w:val="nil"/>
          <w:right w:val="nil"/>
          <w:between w:val="nil"/>
          <w:bar w:val="nil"/>
        </w:pBdr>
        <w:spacing w:before="0" w:after="240"/>
        <w:rPr>
          <w:noProof/>
        </w:rPr>
      </w:pPr>
      <w:r w:rsidRPr="00BE28DF">
        <w:rPr>
          <w:noProof/>
        </w:rPr>
        <w:t>The initiative is supported by t</w:t>
      </w:r>
      <w:r w:rsidR="007F1A55" w:rsidRPr="00BE28DF">
        <w:rPr>
          <w:noProof/>
        </w:rPr>
        <w:t xml:space="preserve">he Impact Assessment performed for the </w:t>
      </w:r>
      <w:r w:rsidR="00972E55" w:rsidRPr="00BE28DF">
        <w:rPr>
          <w:noProof/>
        </w:rPr>
        <w:t>revision</w:t>
      </w:r>
      <w:r w:rsidR="007F1A55" w:rsidRPr="00BE28DF">
        <w:rPr>
          <w:noProof/>
        </w:rPr>
        <w:t xml:space="preserve"> of Regulation (EU) 2019/1242</w:t>
      </w:r>
      <w:r w:rsidR="00A802B1" w:rsidRPr="00BE28DF">
        <w:rPr>
          <w:noProof/>
        </w:rPr>
        <w:t xml:space="preserve"> of the European Parliament and of the Council</w:t>
      </w:r>
      <w:r w:rsidR="00F22398">
        <w:rPr>
          <w:rStyle w:val="FootnoteReference"/>
          <w:noProof/>
        </w:rPr>
        <w:footnoteReference w:id="9"/>
      </w:r>
      <w:r w:rsidR="006749EE" w:rsidRPr="00870E8E">
        <w:rPr>
          <w:rFonts w:eastAsia="Arial Unicode MS"/>
          <w:noProof/>
        </w:rPr>
        <w:t>, which</w:t>
      </w:r>
      <w:r w:rsidR="00676812" w:rsidRPr="00870E8E">
        <w:rPr>
          <w:rFonts w:eastAsia="Arial Unicode MS"/>
          <w:noProof/>
        </w:rPr>
        <w:t xml:space="preserve"> </w:t>
      </w:r>
      <w:r w:rsidR="006749EE" w:rsidRPr="00870E8E">
        <w:rPr>
          <w:rFonts w:eastAsia="Arial Unicode MS"/>
          <w:noProof/>
        </w:rPr>
        <w:t xml:space="preserve">has </w:t>
      </w:r>
      <w:r w:rsidR="00676812" w:rsidRPr="00870E8E">
        <w:rPr>
          <w:rFonts w:eastAsia="Arial Unicode MS"/>
          <w:noProof/>
        </w:rPr>
        <w:t xml:space="preserve">received </w:t>
      </w:r>
      <w:r w:rsidR="006749EE" w:rsidRPr="00870E8E">
        <w:rPr>
          <w:rFonts w:eastAsia="Arial Unicode MS"/>
          <w:noProof/>
        </w:rPr>
        <w:t>a</w:t>
      </w:r>
      <w:r w:rsidR="00676812" w:rsidRPr="00870E8E">
        <w:rPr>
          <w:rFonts w:eastAsia="Arial Unicode MS"/>
          <w:noProof/>
        </w:rPr>
        <w:t xml:space="preserve"> positive opinion</w:t>
      </w:r>
      <w:r w:rsidR="00DA77E3" w:rsidRPr="00870E8E">
        <w:rPr>
          <w:rFonts w:eastAsia="Arial Unicode MS"/>
          <w:noProof/>
        </w:rPr>
        <w:t>, following a resubmission,</w:t>
      </w:r>
      <w:r w:rsidR="00676812" w:rsidRPr="00870E8E">
        <w:rPr>
          <w:rFonts w:eastAsia="Arial Unicode MS"/>
          <w:noProof/>
        </w:rPr>
        <w:t xml:space="preserve"> </w:t>
      </w:r>
      <w:r w:rsidR="006749EE" w:rsidRPr="00870E8E">
        <w:rPr>
          <w:rFonts w:eastAsia="Arial Unicode MS"/>
          <w:noProof/>
        </w:rPr>
        <w:t>from</w:t>
      </w:r>
      <w:r w:rsidR="00676812" w:rsidRPr="00870E8E">
        <w:rPr>
          <w:rFonts w:eastAsia="Arial Unicode MS"/>
          <w:noProof/>
        </w:rPr>
        <w:t xml:space="preserve"> the Regulatory Scrutiny Board on 6 December 2022</w:t>
      </w:r>
      <w:r w:rsidR="00DA77E3" w:rsidRPr="00870E8E">
        <w:rPr>
          <w:rFonts w:eastAsia="Arial Unicode MS"/>
          <w:noProof/>
        </w:rPr>
        <w:t xml:space="preserve">. The </w:t>
      </w:r>
      <w:r w:rsidR="00924B14" w:rsidRPr="00870E8E">
        <w:rPr>
          <w:rFonts w:eastAsia="Arial Unicode MS"/>
          <w:noProof/>
        </w:rPr>
        <w:t>I</w:t>
      </w:r>
      <w:r w:rsidR="00DA77E3" w:rsidRPr="00870E8E">
        <w:rPr>
          <w:rFonts w:eastAsia="Arial Unicode MS"/>
          <w:noProof/>
        </w:rPr>
        <w:t xml:space="preserve">mpact </w:t>
      </w:r>
      <w:r w:rsidR="00924B14" w:rsidRPr="00870E8E">
        <w:rPr>
          <w:rFonts w:eastAsia="Arial Unicode MS"/>
          <w:noProof/>
        </w:rPr>
        <w:t>Assessment</w:t>
      </w:r>
      <w:r w:rsidR="0030713E" w:rsidRPr="00BE28DF">
        <w:rPr>
          <w:noProof/>
        </w:rPr>
        <w:t xml:space="preserve"> </w:t>
      </w:r>
      <w:r w:rsidR="007F1A55" w:rsidRPr="00BE28DF">
        <w:rPr>
          <w:noProof/>
        </w:rPr>
        <w:t xml:space="preserve">has concluded that the energy efficiency of trailers has a significant potential for improvement and </w:t>
      </w:r>
      <w:r w:rsidR="001E0F8D" w:rsidRPr="00BE28DF">
        <w:rPr>
          <w:noProof/>
        </w:rPr>
        <w:t>such</w:t>
      </w:r>
      <w:r w:rsidR="007F1A55" w:rsidRPr="00BE28DF">
        <w:rPr>
          <w:noProof/>
        </w:rPr>
        <w:t xml:space="preserve"> measures would make a cost-efficient contribution to the reduction of </w:t>
      </w:r>
      <w:r w:rsidR="00ED0111" w:rsidRPr="00BE28DF">
        <w:rPr>
          <w:noProof/>
        </w:rPr>
        <w:t xml:space="preserve">CO2 </w:t>
      </w:r>
      <w:r w:rsidR="007F1A55" w:rsidRPr="00BE28DF">
        <w:rPr>
          <w:noProof/>
        </w:rPr>
        <w:t xml:space="preserve">emissions from </w:t>
      </w:r>
      <w:r w:rsidR="00A802B1" w:rsidRPr="00BE28DF">
        <w:rPr>
          <w:noProof/>
        </w:rPr>
        <w:t>heavy</w:t>
      </w:r>
      <w:r w:rsidR="0030713E" w:rsidRPr="00BE28DF">
        <w:rPr>
          <w:noProof/>
        </w:rPr>
        <w:t>-</w:t>
      </w:r>
      <w:r w:rsidR="00A802B1" w:rsidRPr="00BE28DF">
        <w:rPr>
          <w:noProof/>
        </w:rPr>
        <w:t>duty vehicles</w:t>
      </w:r>
      <w:r w:rsidR="007F1A55" w:rsidRPr="00BE28DF">
        <w:rPr>
          <w:noProof/>
        </w:rPr>
        <w:t xml:space="preserve">. </w:t>
      </w:r>
      <w:r w:rsidR="00F424EE" w:rsidRPr="00BE28DF">
        <w:rPr>
          <w:noProof/>
        </w:rPr>
        <w:t xml:space="preserve">In economic terms, the net economic savings over the vehicle lifetime from a societal perspective </w:t>
      </w:r>
      <w:r w:rsidR="00A076F7" w:rsidRPr="00BE28DF">
        <w:rPr>
          <w:noProof/>
        </w:rPr>
        <w:t>range</w:t>
      </w:r>
      <w:r w:rsidR="00F424EE" w:rsidRPr="00BE28DF">
        <w:rPr>
          <w:noProof/>
        </w:rPr>
        <w:t xml:space="preserve"> from nearly EUR 11 500 in the case of reefer drawbar trailers to over EUR 42 500 </w:t>
      </w:r>
      <w:r w:rsidR="00A076F7" w:rsidRPr="00BE28DF">
        <w:rPr>
          <w:noProof/>
        </w:rPr>
        <w:t>for</w:t>
      </w:r>
      <w:r w:rsidR="00F424EE" w:rsidRPr="00BE28DF">
        <w:rPr>
          <w:noProof/>
        </w:rPr>
        <w:t xml:space="preserve"> an average semi-trailer with box body.</w:t>
      </w:r>
    </w:p>
    <w:p w14:paraId="5D24E33F" w14:textId="77777777" w:rsidR="001E0F8D" w:rsidRPr="00BE28DF" w:rsidRDefault="007F1A55" w:rsidP="00A92ADB">
      <w:pPr>
        <w:pBdr>
          <w:top w:val="nil"/>
          <w:left w:val="nil"/>
          <w:bottom w:val="nil"/>
          <w:right w:val="nil"/>
          <w:between w:val="nil"/>
          <w:bar w:val="nil"/>
        </w:pBdr>
        <w:spacing w:before="0" w:after="240"/>
        <w:rPr>
          <w:noProof/>
        </w:rPr>
      </w:pPr>
      <w:r w:rsidRPr="00BE28DF">
        <w:rPr>
          <w:noProof/>
        </w:rPr>
        <w:t>Therefore</w:t>
      </w:r>
      <w:r w:rsidR="001E0F8D" w:rsidRPr="00BE28DF">
        <w:rPr>
          <w:noProof/>
        </w:rPr>
        <w:t>,</w:t>
      </w:r>
      <w:r w:rsidRPr="00BE28DF">
        <w:rPr>
          <w:noProof/>
        </w:rPr>
        <w:t xml:space="preserve"> th</w:t>
      </w:r>
      <w:r w:rsidR="001E0F8D" w:rsidRPr="00BE28DF">
        <w:rPr>
          <w:noProof/>
        </w:rPr>
        <w:t>is revi</w:t>
      </w:r>
      <w:r w:rsidR="00AA39E6" w:rsidRPr="00BE28DF">
        <w:rPr>
          <w:noProof/>
        </w:rPr>
        <w:t>sion</w:t>
      </w:r>
      <w:r w:rsidRPr="00BE28DF">
        <w:rPr>
          <w:noProof/>
        </w:rPr>
        <w:t xml:space="preserve"> will </w:t>
      </w:r>
      <w:r w:rsidR="001E0F8D" w:rsidRPr="00BE28DF">
        <w:rPr>
          <w:noProof/>
        </w:rPr>
        <w:t>provide for</w:t>
      </w:r>
      <w:r w:rsidRPr="00BE28DF">
        <w:rPr>
          <w:noProof/>
        </w:rPr>
        <w:t xml:space="preserve"> a mandatory energy efficiency improvement target </w:t>
      </w:r>
      <w:r w:rsidR="001E0F8D" w:rsidRPr="00BE28DF">
        <w:rPr>
          <w:noProof/>
        </w:rPr>
        <w:t>for</w:t>
      </w:r>
      <w:r w:rsidRPr="00BE28DF">
        <w:rPr>
          <w:noProof/>
        </w:rPr>
        <w:t xml:space="preserve"> the fleet of new trailers</w:t>
      </w:r>
      <w:r w:rsidR="001E0F8D" w:rsidRPr="00BE28DF">
        <w:rPr>
          <w:noProof/>
        </w:rPr>
        <w:t>, which</w:t>
      </w:r>
      <w:r w:rsidR="007C5E61" w:rsidRPr="00BE28DF">
        <w:rPr>
          <w:noProof/>
        </w:rPr>
        <w:t>, being</w:t>
      </w:r>
      <w:r w:rsidR="001E0F8D" w:rsidRPr="00BE28DF">
        <w:rPr>
          <w:noProof/>
        </w:rPr>
        <w:t xml:space="preserve"> addressed to manufacturers</w:t>
      </w:r>
      <w:r w:rsidR="007C5E61" w:rsidRPr="00BE28DF">
        <w:rPr>
          <w:noProof/>
        </w:rPr>
        <w:t>,</w:t>
      </w:r>
      <w:r w:rsidR="00FE5F06" w:rsidRPr="00BE28DF">
        <w:rPr>
          <w:noProof/>
        </w:rPr>
        <w:t xml:space="preserve"> is a supply-oriented measure</w:t>
      </w:r>
      <w:r w:rsidRPr="00BE28DF">
        <w:rPr>
          <w:noProof/>
        </w:rPr>
        <w:t xml:space="preserve">. As it is the case for motor vehicles, </w:t>
      </w:r>
      <w:r w:rsidR="002323FE" w:rsidRPr="00BE28DF">
        <w:rPr>
          <w:noProof/>
        </w:rPr>
        <w:t xml:space="preserve">such supply-oriented measure </w:t>
      </w:r>
      <w:r w:rsidR="00E75A6E" w:rsidRPr="00BE28DF">
        <w:rPr>
          <w:noProof/>
        </w:rPr>
        <w:t xml:space="preserve">would be strongly supported by a complementary </w:t>
      </w:r>
      <w:r w:rsidR="001229EB" w:rsidRPr="00BE28DF">
        <w:rPr>
          <w:noProof/>
        </w:rPr>
        <w:t xml:space="preserve">demand-oriented </w:t>
      </w:r>
      <w:r w:rsidR="00E75A6E" w:rsidRPr="00BE28DF">
        <w:rPr>
          <w:noProof/>
        </w:rPr>
        <w:t>measure</w:t>
      </w:r>
      <w:r w:rsidR="001229EB" w:rsidRPr="00BE28DF">
        <w:rPr>
          <w:noProof/>
        </w:rPr>
        <w:t>.</w:t>
      </w:r>
      <w:r w:rsidR="00E75A6E" w:rsidRPr="00BE28DF">
        <w:rPr>
          <w:noProof/>
        </w:rPr>
        <w:t xml:space="preserve"> </w:t>
      </w:r>
      <w:r w:rsidR="001229EB" w:rsidRPr="00BE28DF">
        <w:rPr>
          <w:noProof/>
        </w:rPr>
        <w:t>T</w:t>
      </w:r>
      <w:r w:rsidR="000646EF" w:rsidRPr="00BE28DF">
        <w:rPr>
          <w:noProof/>
        </w:rPr>
        <w:t xml:space="preserve">he reduction of </w:t>
      </w:r>
      <w:r w:rsidR="001E0F8D" w:rsidRPr="00BE28DF">
        <w:rPr>
          <w:noProof/>
        </w:rPr>
        <w:t xml:space="preserve">road charges and therefore </w:t>
      </w:r>
      <w:r w:rsidRPr="00BE28DF">
        <w:rPr>
          <w:noProof/>
        </w:rPr>
        <w:t>operational costs of</w:t>
      </w:r>
      <w:r w:rsidR="00E50EF2" w:rsidRPr="00BE28DF">
        <w:rPr>
          <w:noProof/>
        </w:rPr>
        <w:t xml:space="preserve"> vehicle combinations </w:t>
      </w:r>
      <w:r w:rsidR="00FA511A" w:rsidRPr="00BE28DF">
        <w:rPr>
          <w:noProof/>
        </w:rPr>
        <w:t xml:space="preserve">using </w:t>
      </w:r>
      <w:r w:rsidR="001E0F8D" w:rsidRPr="00BE28DF">
        <w:rPr>
          <w:noProof/>
        </w:rPr>
        <w:t xml:space="preserve">more energy-efficient </w:t>
      </w:r>
      <w:r w:rsidRPr="00BE28DF">
        <w:rPr>
          <w:noProof/>
        </w:rPr>
        <w:t>trailers</w:t>
      </w:r>
      <w:r w:rsidR="00645DD4" w:rsidRPr="00BE28DF">
        <w:rPr>
          <w:noProof/>
        </w:rPr>
        <w:t xml:space="preserve"> </w:t>
      </w:r>
      <w:r w:rsidR="001229EB" w:rsidRPr="00BE28DF">
        <w:rPr>
          <w:noProof/>
        </w:rPr>
        <w:t>has an effect on the</w:t>
      </w:r>
      <w:r w:rsidR="00645DD4" w:rsidRPr="00BE28DF">
        <w:rPr>
          <w:noProof/>
        </w:rPr>
        <w:t xml:space="preserve"> demand</w:t>
      </w:r>
      <w:r w:rsidR="001229EB" w:rsidRPr="00BE28DF">
        <w:rPr>
          <w:noProof/>
        </w:rPr>
        <w:t xml:space="preserve"> of these vehicles</w:t>
      </w:r>
      <w:r w:rsidR="000136FC" w:rsidRPr="00BE28DF">
        <w:rPr>
          <w:noProof/>
        </w:rPr>
        <w:t xml:space="preserve"> in that it supports</w:t>
      </w:r>
      <w:r w:rsidR="000612C2" w:rsidRPr="00BE28DF">
        <w:rPr>
          <w:noProof/>
        </w:rPr>
        <w:t xml:space="preserve"> </w:t>
      </w:r>
      <w:r w:rsidRPr="00BE28DF">
        <w:rPr>
          <w:noProof/>
        </w:rPr>
        <w:t>purchase</w:t>
      </w:r>
      <w:r w:rsidR="000136FC" w:rsidRPr="00BE28DF">
        <w:rPr>
          <w:noProof/>
        </w:rPr>
        <w:t>s of</w:t>
      </w:r>
      <w:r w:rsidRPr="00BE28DF">
        <w:rPr>
          <w:noProof/>
        </w:rPr>
        <w:t xml:space="preserve"> more energy efficient </w:t>
      </w:r>
      <w:r w:rsidR="001E0F8D" w:rsidRPr="00BE28DF">
        <w:rPr>
          <w:noProof/>
        </w:rPr>
        <w:t>and</w:t>
      </w:r>
      <w:r w:rsidR="004F008F" w:rsidRPr="00BE28DF">
        <w:rPr>
          <w:noProof/>
        </w:rPr>
        <w:t>,</w:t>
      </w:r>
      <w:r w:rsidR="001E0F8D" w:rsidRPr="00BE28DF">
        <w:rPr>
          <w:noProof/>
        </w:rPr>
        <w:t xml:space="preserve"> </w:t>
      </w:r>
      <w:r w:rsidR="00DC1599" w:rsidRPr="00BE28DF">
        <w:rPr>
          <w:noProof/>
        </w:rPr>
        <w:t>therefore</w:t>
      </w:r>
      <w:r w:rsidR="004F008F" w:rsidRPr="00BE28DF">
        <w:rPr>
          <w:noProof/>
        </w:rPr>
        <w:t>,</w:t>
      </w:r>
      <w:r w:rsidR="00DC1599" w:rsidRPr="00BE28DF">
        <w:rPr>
          <w:noProof/>
        </w:rPr>
        <w:t xml:space="preserve"> </w:t>
      </w:r>
      <w:r w:rsidR="001E0F8D" w:rsidRPr="00BE28DF">
        <w:rPr>
          <w:noProof/>
        </w:rPr>
        <w:t xml:space="preserve">more expensive </w:t>
      </w:r>
      <w:r w:rsidRPr="00BE28DF">
        <w:rPr>
          <w:noProof/>
        </w:rPr>
        <w:t>trailers</w:t>
      </w:r>
      <w:r w:rsidR="001E0F8D" w:rsidRPr="00BE28DF">
        <w:rPr>
          <w:noProof/>
        </w:rPr>
        <w:t>. T</w:t>
      </w:r>
      <w:r w:rsidRPr="00BE28DF">
        <w:rPr>
          <w:noProof/>
        </w:rPr>
        <w:t xml:space="preserve">his effect was also considered in the cost/benefit analysis of the </w:t>
      </w:r>
      <w:r w:rsidR="00972E55" w:rsidRPr="00BE28DF">
        <w:rPr>
          <w:noProof/>
        </w:rPr>
        <w:t xml:space="preserve">revision </w:t>
      </w:r>
      <w:r w:rsidRPr="00BE28DF">
        <w:rPr>
          <w:noProof/>
        </w:rPr>
        <w:t xml:space="preserve">of the </w:t>
      </w:r>
      <w:bookmarkStart w:id="4" w:name="_Hlk124009889"/>
      <w:r w:rsidR="0030713E" w:rsidRPr="00BE28DF">
        <w:rPr>
          <w:noProof/>
        </w:rPr>
        <w:t xml:space="preserve">heavy-duty vehicles </w:t>
      </w:r>
      <w:r w:rsidR="00ED0111" w:rsidRPr="00BE28DF">
        <w:rPr>
          <w:noProof/>
        </w:rPr>
        <w:t xml:space="preserve">CO2 </w:t>
      </w:r>
      <w:r w:rsidR="00FA511A" w:rsidRPr="00BE28DF">
        <w:rPr>
          <w:noProof/>
        </w:rPr>
        <w:t>s</w:t>
      </w:r>
      <w:r w:rsidRPr="00BE28DF">
        <w:rPr>
          <w:noProof/>
        </w:rPr>
        <w:t>tandards</w:t>
      </w:r>
      <w:bookmarkEnd w:id="4"/>
      <w:r w:rsidR="008938F3" w:rsidRPr="00BE28DF">
        <w:rPr>
          <w:noProof/>
        </w:rPr>
        <w:t xml:space="preserve"> legislation</w:t>
      </w:r>
      <w:r w:rsidRPr="00BE28DF">
        <w:rPr>
          <w:noProof/>
        </w:rPr>
        <w:t xml:space="preserve">. </w:t>
      </w:r>
    </w:p>
    <w:p w14:paraId="6B2ECA44" w14:textId="77777777" w:rsidR="001D54E7" w:rsidRPr="00870E8E" w:rsidRDefault="00B16A86" w:rsidP="00A92ADB">
      <w:pPr>
        <w:pBdr>
          <w:top w:val="nil"/>
          <w:left w:val="nil"/>
          <w:bottom w:val="nil"/>
          <w:right w:val="nil"/>
          <w:between w:val="nil"/>
          <w:bar w:val="nil"/>
        </w:pBdr>
        <w:spacing w:before="0" w:after="240"/>
        <w:rPr>
          <w:rFonts w:eastAsia="Arial Unicode MS"/>
          <w:noProof/>
        </w:rPr>
      </w:pPr>
      <w:r w:rsidRPr="00870E8E">
        <w:rPr>
          <w:rFonts w:eastAsia="Arial Unicode MS"/>
          <w:noProof/>
        </w:rPr>
        <w:t>The amendments to Directive 1999/62/EC as proposed by this act are closely related to the proposal for an amendment of Regulation (EU) 2019/1242. However, Directive 1999/62/EC can only be amended by another Directive, hence two separate acts are required</w:t>
      </w:r>
      <w:r w:rsidR="001E0F8D" w:rsidRPr="00BE28DF">
        <w:rPr>
          <w:noProof/>
        </w:rPr>
        <w:t>.</w:t>
      </w:r>
    </w:p>
    <w:p w14:paraId="7D127F7F"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Regulatory fitness and simplification</w:t>
      </w:r>
    </w:p>
    <w:p w14:paraId="49B22173" w14:textId="77777777" w:rsidR="002E031B" w:rsidRPr="00BE28DF" w:rsidRDefault="00A25DC5" w:rsidP="00A92ADB">
      <w:pPr>
        <w:pBdr>
          <w:top w:val="nil"/>
          <w:left w:val="nil"/>
          <w:bottom w:val="nil"/>
          <w:right w:val="nil"/>
          <w:between w:val="nil"/>
          <w:bar w:val="nil"/>
        </w:pBdr>
        <w:spacing w:before="0" w:after="240"/>
        <w:rPr>
          <w:noProof/>
        </w:rPr>
      </w:pPr>
      <w:r w:rsidRPr="00BE28DF">
        <w:rPr>
          <w:noProof/>
        </w:rPr>
        <w:t>Th</w:t>
      </w:r>
      <w:r w:rsidR="00AA39E6" w:rsidRPr="00BE28DF">
        <w:rPr>
          <w:noProof/>
        </w:rPr>
        <w:t>e</w:t>
      </w:r>
      <w:r w:rsidRPr="00BE28DF">
        <w:rPr>
          <w:noProof/>
        </w:rPr>
        <w:t xml:space="preserve"> </w:t>
      </w:r>
      <w:r w:rsidR="00E62CDA" w:rsidRPr="00BE28DF">
        <w:rPr>
          <w:noProof/>
        </w:rPr>
        <w:t xml:space="preserve">differentiation of road charges introduced in this proposal applies only to more efficient </w:t>
      </w:r>
      <w:r w:rsidR="00FF75DE" w:rsidRPr="00BE28DF">
        <w:rPr>
          <w:noProof/>
        </w:rPr>
        <w:t>trailers</w:t>
      </w:r>
      <w:r w:rsidRPr="00BE28DF">
        <w:rPr>
          <w:noProof/>
        </w:rPr>
        <w:t xml:space="preserve">. This means that road operators, toll service providers, and toll chargers do not need to register the relevant information </w:t>
      </w:r>
      <w:r w:rsidR="00E62CDA" w:rsidRPr="00BE28DF">
        <w:rPr>
          <w:noProof/>
        </w:rPr>
        <w:t>of</w:t>
      </w:r>
      <w:r w:rsidRPr="00BE28DF">
        <w:rPr>
          <w:noProof/>
        </w:rPr>
        <w:t xml:space="preserve"> </w:t>
      </w:r>
      <w:r w:rsidR="00E62CDA" w:rsidRPr="00BE28DF">
        <w:rPr>
          <w:noProof/>
        </w:rPr>
        <w:t>other</w:t>
      </w:r>
      <w:r w:rsidRPr="00BE28DF">
        <w:rPr>
          <w:noProof/>
        </w:rPr>
        <w:t xml:space="preserve"> </w:t>
      </w:r>
      <w:r w:rsidR="00BF1D69" w:rsidRPr="00BE28DF">
        <w:rPr>
          <w:noProof/>
        </w:rPr>
        <w:t>trailer</w:t>
      </w:r>
      <w:r w:rsidRPr="00BE28DF">
        <w:rPr>
          <w:noProof/>
        </w:rPr>
        <w:t>s.</w:t>
      </w:r>
      <w:r w:rsidR="00E62CDA" w:rsidRPr="00BE28DF">
        <w:rPr>
          <w:noProof/>
        </w:rPr>
        <w:t xml:space="preserve"> The definition of trailer classes is meant to simplify implementation for those undertakings with a significant number of trailers. </w:t>
      </w:r>
    </w:p>
    <w:p w14:paraId="51BA0B6C" w14:textId="77777777" w:rsidR="00F91432" w:rsidRPr="00BE28DF" w:rsidRDefault="00F91432" w:rsidP="00A92ADB">
      <w:pPr>
        <w:pBdr>
          <w:top w:val="nil"/>
          <w:left w:val="nil"/>
          <w:bottom w:val="nil"/>
          <w:right w:val="nil"/>
          <w:between w:val="nil"/>
          <w:bar w:val="nil"/>
        </w:pBdr>
        <w:spacing w:before="0" w:after="240"/>
        <w:rPr>
          <w:noProof/>
        </w:rPr>
      </w:pPr>
      <w:r w:rsidRPr="00BE28DF">
        <w:rPr>
          <w:noProof/>
        </w:rPr>
        <w:t xml:space="preserve">The initiative is expected to have a minor positive impact on competitiveness due to differentiated charging, leading to slightly higher uptake of more efficient </w:t>
      </w:r>
      <w:r w:rsidR="00FF75DE" w:rsidRPr="00BE28DF">
        <w:rPr>
          <w:noProof/>
        </w:rPr>
        <w:t>trailers</w:t>
      </w:r>
      <w:r w:rsidRPr="00BE28DF">
        <w:rPr>
          <w:noProof/>
        </w:rPr>
        <w:t>, driving innovation.</w:t>
      </w:r>
    </w:p>
    <w:p w14:paraId="6955157C" w14:textId="77777777" w:rsidR="002E031B" w:rsidRPr="00BE28DF" w:rsidRDefault="002E031B" w:rsidP="00A92ADB">
      <w:pPr>
        <w:pBdr>
          <w:top w:val="nil"/>
          <w:left w:val="nil"/>
          <w:bottom w:val="nil"/>
          <w:right w:val="nil"/>
          <w:between w:val="nil"/>
          <w:bar w:val="nil"/>
        </w:pBdr>
        <w:spacing w:before="0" w:after="240"/>
        <w:rPr>
          <w:noProof/>
        </w:rPr>
      </w:pPr>
      <w:r w:rsidRPr="00BE28DF">
        <w:rPr>
          <w:noProof/>
        </w:rPr>
        <w:t xml:space="preserve">This initiative clarifies the provisions laying down the obligation to variate infrastructure and user charges according to the CO2 emissions of motor vehicles. </w:t>
      </w:r>
    </w:p>
    <w:p w14:paraId="00261B6E"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Fundamental rights</w:t>
      </w:r>
    </w:p>
    <w:p w14:paraId="50F6F538" w14:textId="77777777" w:rsidR="001D54E7" w:rsidRPr="00BE28DF" w:rsidRDefault="001D54E7" w:rsidP="001D54E7">
      <w:pPr>
        <w:pBdr>
          <w:top w:val="nil"/>
          <w:left w:val="nil"/>
          <w:bottom w:val="nil"/>
          <w:right w:val="nil"/>
          <w:between w:val="nil"/>
          <w:bar w:val="nil"/>
        </w:pBdr>
        <w:spacing w:before="0" w:after="240"/>
        <w:rPr>
          <w:noProof/>
        </w:rPr>
      </w:pPr>
      <w:r w:rsidRPr="00BE28DF">
        <w:rPr>
          <w:noProof/>
        </w:rPr>
        <w:t>The proposal respects the fundamental rights and observes the principles recognised in particular by the Charter of Fundamental Rights of the European Union.</w:t>
      </w:r>
    </w:p>
    <w:p w14:paraId="2D2A5045" w14:textId="77777777" w:rsidR="001D54E7" w:rsidRPr="00870E8E" w:rsidRDefault="001D54E7" w:rsidP="00A92ADB">
      <w:pPr>
        <w:pStyle w:val="ManualHeading1"/>
        <w:rPr>
          <w:noProof/>
        </w:rPr>
      </w:pPr>
      <w:r w:rsidRPr="00870E8E">
        <w:rPr>
          <w:noProof/>
        </w:rPr>
        <w:t>4.</w:t>
      </w:r>
      <w:r w:rsidRPr="00870E8E">
        <w:rPr>
          <w:noProof/>
        </w:rPr>
        <w:tab/>
        <w:t>BUDGETARY IMPLICATIONS</w:t>
      </w:r>
    </w:p>
    <w:p w14:paraId="4B5630A5" w14:textId="77777777" w:rsidR="001D54E7" w:rsidRPr="00BE28DF" w:rsidRDefault="001D54E7" w:rsidP="001D54E7">
      <w:pPr>
        <w:pBdr>
          <w:top w:val="nil"/>
          <w:left w:val="nil"/>
          <w:bottom w:val="nil"/>
          <w:right w:val="nil"/>
          <w:between w:val="nil"/>
          <w:bar w:val="nil"/>
        </w:pBdr>
        <w:spacing w:before="0" w:after="240"/>
        <w:rPr>
          <w:noProof/>
        </w:rPr>
      </w:pPr>
      <w:r w:rsidRPr="00BE28DF">
        <w:rPr>
          <w:noProof/>
        </w:rPr>
        <w:t>The proposal has no budgetary implications for the Union.</w:t>
      </w:r>
    </w:p>
    <w:p w14:paraId="44951204" w14:textId="77777777" w:rsidR="001D54E7" w:rsidRPr="00550536" w:rsidRDefault="001D54E7" w:rsidP="00A92ADB">
      <w:pPr>
        <w:pStyle w:val="ManualHeading1"/>
        <w:rPr>
          <w:noProof/>
        </w:rPr>
      </w:pPr>
      <w:r w:rsidRPr="00550536">
        <w:rPr>
          <w:noProof/>
        </w:rPr>
        <w:t>5.</w:t>
      </w:r>
      <w:r w:rsidRPr="00550536">
        <w:rPr>
          <w:noProof/>
        </w:rPr>
        <w:tab/>
        <w:t>OTHER ELEMENTS</w:t>
      </w:r>
    </w:p>
    <w:p w14:paraId="25E108C2" w14:textId="77777777" w:rsidR="001D54E7" w:rsidRDefault="001D54E7" w:rsidP="00A92ADB">
      <w:pPr>
        <w:pStyle w:val="ManualHeading2"/>
        <w:rPr>
          <w:rFonts w:eastAsia="Arial Unicode MS"/>
          <w:noProof/>
          <w:u w:color="000000"/>
          <w:bdr w:val="nil"/>
          <w:lang w:val="en-US" w:eastAsia="en-GB"/>
        </w:rPr>
      </w:pPr>
      <w:r>
        <w:rPr>
          <w:rFonts w:eastAsia="Arial Unicode MS"/>
          <w:noProof/>
          <w:u w:color="000000"/>
          <w:bdr w:val="nil"/>
          <w:lang w:val="en-US" w:eastAsia="en-GB"/>
        </w:rPr>
        <w:t>•</w:t>
      </w:r>
      <w:r>
        <w:rPr>
          <w:rFonts w:eastAsia="Arial Unicode MS"/>
          <w:noProof/>
          <w:u w:color="000000"/>
          <w:bdr w:val="nil"/>
          <w:lang w:val="en-US" w:eastAsia="en-GB"/>
        </w:rPr>
        <w:tab/>
        <w:t xml:space="preserve">Implementation plans and </w:t>
      </w:r>
      <w:r w:rsidRPr="007718A8">
        <w:rPr>
          <w:rFonts w:eastAsia="Arial Unicode MS"/>
          <w:noProof/>
          <w:u w:color="000000"/>
          <w:bdr w:val="nil"/>
          <w:lang w:val="en-US" w:eastAsia="en-GB"/>
        </w:rPr>
        <w:t>monitoring, evaluation and reporting arrangements</w:t>
      </w:r>
    </w:p>
    <w:p w14:paraId="4519C422" w14:textId="02CD9477" w:rsidR="00C4051F" w:rsidRPr="00BE28DF" w:rsidRDefault="00C4051F" w:rsidP="00C4051F">
      <w:pPr>
        <w:pBdr>
          <w:top w:val="nil"/>
          <w:left w:val="nil"/>
          <w:bottom w:val="nil"/>
          <w:right w:val="nil"/>
          <w:between w:val="nil"/>
          <w:bar w:val="nil"/>
        </w:pBdr>
        <w:spacing w:before="0" w:after="240"/>
        <w:rPr>
          <w:noProof/>
        </w:rPr>
      </w:pPr>
      <w:r w:rsidRPr="00BE28DF">
        <w:rPr>
          <w:noProof/>
        </w:rPr>
        <w:t>The proposal includes specific reporting requirements for Member States related to the variation of infrastructure or user charges according to the environmental performance of vehicles.</w:t>
      </w:r>
    </w:p>
    <w:p w14:paraId="08861509"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t xml:space="preserve">Explanatory documents </w:t>
      </w:r>
    </w:p>
    <w:p w14:paraId="1AE1B517" w14:textId="77777777" w:rsidR="001D54E7" w:rsidRPr="00BE28DF" w:rsidRDefault="001D54E7" w:rsidP="001D54E7">
      <w:pPr>
        <w:rPr>
          <w:noProof/>
        </w:rPr>
      </w:pPr>
      <w:r w:rsidRPr="00BE28DF">
        <w:rPr>
          <w:noProof/>
        </w:rPr>
        <w:t>Conside</w:t>
      </w:r>
      <w:r w:rsidR="00905334" w:rsidRPr="00BE28DF">
        <w:rPr>
          <w:noProof/>
        </w:rPr>
        <w:t>ring the scope of the proposal</w:t>
      </w:r>
      <w:r w:rsidRPr="00BE28DF">
        <w:rPr>
          <w:noProof/>
        </w:rPr>
        <w:t xml:space="preserve"> it does not seem justified or proportional to require explanatory documents.</w:t>
      </w:r>
    </w:p>
    <w:p w14:paraId="5FECFD62" w14:textId="77777777" w:rsidR="001D54E7" w:rsidRPr="00870E8E" w:rsidRDefault="001D54E7" w:rsidP="00A92ADB">
      <w:pPr>
        <w:pStyle w:val="ManualHeading2"/>
        <w:rPr>
          <w:rFonts w:eastAsia="Arial Unicode MS"/>
          <w:noProof/>
          <w:u w:color="000000"/>
          <w:bdr w:val="nil"/>
          <w:lang w:val="en-US" w:eastAsia="en-GB"/>
        </w:rPr>
      </w:pPr>
      <w:r w:rsidRPr="00870E8E">
        <w:rPr>
          <w:rFonts w:eastAsia="Arial Unicode MS"/>
          <w:noProof/>
          <w:u w:color="000000"/>
          <w:bdr w:val="nil"/>
          <w:lang w:val="en-US" w:eastAsia="en-GB"/>
        </w:rPr>
        <w:t>•</w:t>
      </w:r>
      <w:r w:rsidRPr="00870E8E">
        <w:rPr>
          <w:rFonts w:eastAsia="Arial Unicode MS"/>
          <w:noProof/>
          <w:u w:color="000000"/>
          <w:bdr w:val="nil"/>
          <w:lang w:val="en-US" w:eastAsia="en-GB"/>
        </w:rPr>
        <w:tab/>
      </w:r>
      <w:bookmarkStart w:id="5" w:name="_Hlk126246704"/>
      <w:r w:rsidRPr="00870E8E">
        <w:rPr>
          <w:rFonts w:eastAsia="Arial Unicode MS"/>
          <w:noProof/>
          <w:u w:color="000000"/>
          <w:bdr w:val="nil"/>
          <w:lang w:val="en-US" w:eastAsia="en-GB"/>
        </w:rPr>
        <w:t>Detailed explanation of the specific provisions of the proposal</w:t>
      </w:r>
      <w:bookmarkEnd w:id="5"/>
    </w:p>
    <w:p w14:paraId="21C18420" w14:textId="5D524B87" w:rsidR="001D54E7" w:rsidRPr="00870E8E" w:rsidRDefault="000B6083" w:rsidP="000B6083">
      <w:pPr>
        <w:pStyle w:val="Point0"/>
        <w:rPr>
          <w:noProof/>
        </w:rPr>
      </w:pPr>
      <w:r w:rsidRPr="000B6083">
        <w:t>(a)</w:t>
      </w:r>
      <w:r w:rsidRPr="000B6083">
        <w:tab/>
      </w:r>
      <w:r w:rsidR="001D54E7" w:rsidRPr="00870E8E">
        <w:rPr>
          <w:noProof/>
        </w:rPr>
        <w:t>The proposal to amend Directive 1999/62/EC contains the following elements:</w:t>
      </w:r>
    </w:p>
    <w:p w14:paraId="17F68C34" w14:textId="77777777" w:rsidR="00796A9D" w:rsidRPr="00FB17BA" w:rsidRDefault="005E4A6B" w:rsidP="00796A9D">
      <w:pPr>
        <w:pBdr>
          <w:top w:val="nil"/>
          <w:left w:val="nil"/>
          <w:bottom w:val="nil"/>
          <w:right w:val="nil"/>
          <w:between w:val="nil"/>
          <w:bar w:val="nil"/>
        </w:pBdr>
        <w:spacing w:before="0" w:after="240"/>
        <w:rPr>
          <w:rFonts w:eastAsia="Arial Unicode MS"/>
          <w:b/>
          <w:bCs/>
          <w:i/>
          <w:iCs/>
          <w:noProof/>
        </w:rPr>
      </w:pPr>
      <w:r w:rsidRPr="00FB17BA">
        <w:rPr>
          <w:rFonts w:eastAsia="Arial Unicode MS"/>
          <w:b/>
          <w:bCs/>
          <w:i/>
          <w:iCs/>
          <w:noProof/>
        </w:rPr>
        <w:t xml:space="preserve">Article 1(1): </w:t>
      </w:r>
      <w:r w:rsidR="00796A9D" w:rsidRPr="00FB17BA">
        <w:rPr>
          <w:rFonts w:eastAsia="Arial Unicode MS"/>
          <w:b/>
          <w:bCs/>
          <w:i/>
          <w:iCs/>
          <w:noProof/>
        </w:rPr>
        <w:t xml:space="preserve">Article 2 – </w:t>
      </w:r>
      <w:r w:rsidR="001D54E7" w:rsidRPr="00FB17BA">
        <w:rPr>
          <w:rFonts w:eastAsia="Arial Unicode MS"/>
          <w:b/>
          <w:bCs/>
          <w:i/>
          <w:iCs/>
          <w:noProof/>
        </w:rPr>
        <w:t>Definitions</w:t>
      </w:r>
    </w:p>
    <w:p w14:paraId="686D72CA" w14:textId="77777777" w:rsidR="009535D8" w:rsidRPr="00FB17BA" w:rsidRDefault="00EA44DD" w:rsidP="00EA44DD">
      <w:pPr>
        <w:pBdr>
          <w:top w:val="nil"/>
          <w:left w:val="nil"/>
          <w:bottom w:val="nil"/>
          <w:right w:val="nil"/>
          <w:between w:val="nil"/>
          <w:bar w:val="nil"/>
        </w:pBdr>
        <w:spacing w:before="0" w:after="240"/>
        <w:rPr>
          <w:rFonts w:eastAsia="Arial Unicode MS"/>
          <w:noProof/>
        </w:rPr>
      </w:pPr>
      <w:r w:rsidRPr="00FB17BA">
        <w:rPr>
          <w:rFonts w:eastAsia="Arial Unicode MS"/>
          <w:noProof/>
        </w:rPr>
        <w:t xml:space="preserve">In point (a) of the definition of ‘zero-emission vehicle’, the reference to the definition of </w:t>
      </w:r>
      <w:r w:rsidRPr="00FB17BA">
        <w:rPr>
          <w:noProof/>
        </w:rPr>
        <w:t xml:space="preserve"> zero-emission heavy-duty vehicle in </w:t>
      </w:r>
      <w:r w:rsidRPr="00FB17BA">
        <w:rPr>
          <w:rFonts w:eastAsia="Arial Unicode MS"/>
          <w:noProof/>
        </w:rPr>
        <w:t xml:space="preserve">Regulation (EU) 2019/1242 is amended so as to </w:t>
      </w:r>
      <w:r w:rsidR="00786BD0" w:rsidRPr="00FB17BA">
        <w:rPr>
          <w:rFonts w:eastAsia="Arial Unicode MS"/>
          <w:noProof/>
        </w:rPr>
        <w:t xml:space="preserve">exclusively </w:t>
      </w:r>
      <w:r w:rsidRPr="00FB17BA">
        <w:rPr>
          <w:rFonts w:eastAsia="Arial Unicode MS"/>
          <w:noProof/>
        </w:rPr>
        <w:t xml:space="preserve">refer to </w:t>
      </w:r>
      <w:r w:rsidR="00B56A31" w:rsidRPr="00FB17BA">
        <w:rPr>
          <w:noProof/>
        </w:rPr>
        <w:t xml:space="preserve">zero-emission heavy-duty </w:t>
      </w:r>
      <w:r w:rsidRPr="00FB17BA">
        <w:rPr>
          <w:rFonts w:eastAsia="Arial Unicode MS"/>
          <w:noProof/>
        </w:rPr>
        <w:t>motor vehicles</w:t>
      </w:r>
      <w:r w:rsidR="00836681">
        <w:rPr>
          <w:rFonts w:eastAsia="Arial Unicode MS"/>
          <w:noProof/>
        </w:rPr>
        <w:t xml:space="preserve"> </w:t>
      </w:r>
      <w:r w:rsidR="003231E3">
        <w:rPr>
          <w:rFonts w:eastAsia="Arial Unicode MS"/>
          <w:noProof/>
        </w:rPr>
        <w:t>in</w:t>
      </w:r>
      <w:r w:rsidR="00836681">
        <w:rPr>
          <w:rFonts w:eastAsia="Arial Unicode MS"/>
          <w:noProof/>
        </w:rPr>
        <w:t xml:space="preserve"> the proposed</w:t>
      </w:r>
      <w:r w:rsidR="003231E3">
        <w:rPr>
          <w:rFonts w:eastAsia="Arial Unicode MS"/>
          <w:noProof/>
        </w:rPr>
        <w:t xml:space="preserve"> new definition</w:t>
      </w:r>
      <w:r w:rsidR="00786BD0" w:rsidRPr="00FB17BA">
        <w:rPr>
          <w:rFonts w:eastAsia="Arial Unicode MS"/>
          <w:noProof/>
        </w:rPr>
        <w:t xml:space="preserve">, </w:t>
      </w:r>
      <w:r w:rsidR="00A75E1D" w:rsidRPr="00FB17BA">
        <w:rPr>
          <w:rFonts w:eastAsia="Arial Unicode MS"/>
          <w:noProof/>
        </w:rPr>
        <w:t xml:space="preserve">and </w:t>
      </w:r>
      <w:r w:rsidR="009436B9" w:rsidRPr="00FB17BA">
        <w:rPr>
          <w:rFonts w:eastAsia="Arial Unicode MS"/>
          <w:noProof/>
        </w:rPr>
        <w:t>not to</w:t>
      </w:r>
      <w:r w:rsidR="00A75E1D" w:rsidRPr="00FB17BA">
        <w:rPr>
          <w:rFonts w:eastAsia="Arial Unicode MS"/>
          <w:noProof/>
        </w:rPr>
        <w:t xml:space="preserve"> trailers</w:t>
      </w:r>
      <w:r w:rsidRPr="00FB17BA">
        <w:rPr>
          <w:rFonts w:eastAsia="Arial Unicode MS"/>
          <w:noProof/>
        </w:rPr>
        <w:t>.</w:t>
      </w:r>
      <w:r w:rsidR="00A75E1D" w:rsidRPr="00FB17BA">
        <w:rPr>
          <w:rFonts w:eastAsia="Arial Unicode MS"/>
          <w:noProof/>
        </w:rPr>
        <w:t xml:space="preserve"> </w:t>
      </w:r>
      <w:r w:rsidR="00AA682B" w:rsidRPr="00FB17BA">
        <w:rPr>
          <w:rFonts w:eastAsia="Arial Unicode MS"/>
          <w:noProof/>
        </w:rPr>
        <w:t xml:space="preserve">This </w:t>
      </w:r>
      <w:r w:rsidR="00AE0504" w:rsidRPr="00FB17BA">
        <w:rPr>
          <w:rFonts w:eastAsia="Arial Unicode MS"/>
          <w:noProof/>
        </w:rPr>
        <w:t>amendment</w:t>
      </w:r>
      <w:r w:rsidR="00AA682B" w:rsidRPr="00FB17BA">
        <w:rPr>
          <w:rFonts w:eastAsia="Arial Unicode MS"/>
          <w:noProof/>
        </w:rPr>
        <w:t xml:space="preserve"> ensures that the meaning of </w:t>
      </w:r>
      <w:r w:rsidR="004160A2" w:rsidRPr="00FB17BA">
        <w:rPr>
          <w:rFonts w:eastAsia="Arial Unicode MS"/>
          <w:noProof/>
        </w:rPr>
        <w:t xml:space="preserve">the current </w:t>
      </w:r>
      <w:r w:rsidR="00177684" w:rsidRPr="00FB17BA">
        <w:rPr>
          <w:rFonts w:eastAsia="Arial Unicode MS"/>
          <w:noProof/>
        </w:rPr>
        <w:t xml:space="preserve">definition is </w:t>
      </w:r>
      <w:r w:rsidR="00BA421F" w:rsidRPr="00FB17BA">
        <w:rPr>
          <w:rFonts w:eastAsia="Arial Unicode MS"/>
          <w:noProof/>
        </w:rPr>
        <w:t>preserved</w:t>
      </w:r>
      <w:r w:rsidR="00177684" w:rsidRPr="00FB17BA">
        <w:rPr>
          <w:rFonts w:eastAsia="Arial Unicode MS"/>
          <w:noProof/>
        </w:rPr>
        <w:t xml:space="preserve"> and </w:t>
      </w:r>
      <w:r w:rsidR="008B6DF6" w:rsidRPr="00FB17BA">
        <w:rPr>
          <w:rFonts w:eastAsia="Arial Unicode MS"/>
          <w:noProof/>
        </w:rPr>
        <w:t>that</w:t>
      </w:r>
      <w:r w:rsidR="00AE0504" w:rsidRPr="00FB17BA">
        <w:rPr>
          <w:rFonts w:eastAsia="Arial Unicode MS"/>
          <w:noProof/>
        </w:rPr>
        <w:t xml:space="preserve"> the </w:t>
      </w:r>
      <w:r w:rsidR="00BC7F18" w:rsidRPr="00FB17BA">
        <w:rPr>
          <w:rFonts w:eastAsia="Arial Unicode MS"/>
          <w:noProof/>
        </w:rPr>
        <w:t>classification</w:t>
      </w:r>
      <w:r w:rsidR="00AE0504" w:rsidRPr="00FB17BA">
        <w:rPr>
          <w:rFonts w:eastAsia="Arial Unicode MS"/>
          <w:noProof/>
        </w:rPr>
        <w:t xml:space="preserve"> of </w:t>
      </w:r>
      <w:r w:rsidR="00786BD0" w:rsidRPr="00FB17BA">
        <w:rPr>
          <w:rFonts w:eastAsia="Arial Unicode MS"/>
          <w:noProof/>
        </w:rPr>
        <w:t xml:space="preserve">heavy-duty </w:t>
      </w:r>
      <w:r w:rsidR="00AE0504" w:rsidRPr="00FB17BA">
        <w:rPr>
          <w:rFonts w:eastAsia="Arial Unicode MS"/>
          <w:noProof/>
        </w:rPr>
        <w:t xml:space="preserve">vehicle combinations to </w:t>
      </w:r>
      <w:r w:rsidR="00AE0504" w:rsidRPr="00FB17BA">
        <w:rPr>
          <w:rFonts w:eastAsia="Arial Unicode MS" w:hint="eastAsia"/>
          <w:noProof/>
        </w:rPr>
        <w:t>CO</w:t>
      </w:r>
      <w:r w:rsidR="00AE0504" w:rsidRPr="00FB17BA">
        <w:rPr>
          <w:rFonts w:eastAsia="Arial Unicode MS" w:hint="eastAsia"/>
          <w:noProof/>
          <w:vertAlign w:val="subscript"/>
        </w:rPr>
        <w:t>2</w:t>
      </w:r>
      <w:r w:rsidR="00AE0504" w:rsidRPr="00FB17BA">
        <w:rPr>
          <w:rFonts w:eastAsia="Arial Unicode MS" w:hint="eastAsia"/>
          <w:noProof/>
        </w:rPr>
        <w:t> emission class 5</w:t>
      </w:r>
      <w:r w:rsidR="00786BD0" w:rsidRPr="00FB17BA">
        <w:rPr>
          <w:rFonts w:eastAsia="Arial Unicode MS"/>
          <w:noProof/>
        </w:rPr>
        <w:t>,</w:t>
      </w:r>
      <w:r w:rsidR="003039DD" w:rsidRPr="00FB17BA">
        <w:rPr>
          <w:rFonts w:eastAsia="Arial Unicode MS"/>
          <w:noProof/>
        </w:rPr>
        <w:t xml:space="preserve"> in accordance </w:t>
      </w:r>
      <w:r w:rsidR="009436B9" w:rsidRPr="00FB17BA">
        <w:rPr>
          <w:rFonts w:eastAsia="Arial Unicode MS"/>
          <w:noProof/>
        </w:rPr>
        <w:t>with</w:t>
      </w:r>
      <w:r w:rsidR="003039DD" w:rsidRPr="00FB17BA">
        <w:rPr>
          <w:rFonts w:eastAsia="Arial Unicode MS"/>
          <w:noProof/>
        </w:rPr>
        <w:t xml:space="preserve"> Article 7ga(</w:t>
      </w:r>
      <w:r w:rsidR="003E778C" w:rsidRPr="00FB17BA">
        <w:rPr>
          <w:rFonts w:eastAsia="Arial Unicode MS"/>
          <w:noProof/>
        </w:rPr>
        <w:t>2)</w:t>
      </w:r>
      <w:r w:rsidR="00786BD0" w:rsidRPr="00FB17BA">
        <w:rPr>
          <w:rFonts w:eastAsia="Arial Unicode MS"/>
          <w:noProof/>
        </w:rPr>
        <w:t>,</w:t>
      </w:r>
      <w:r w:rsidR="008B6DF6" w:rsidRPr="00FB17BA">
        <w:rPr>
          <w:rFonts w:eastAsia="Arial Unicode MS"/>
          <w:noProof/>
        </w:rPr>
        <w:t xml:space="preserve"> is based</w:t>
      </w:r>
      <w:r w:rsidR="002370FF" w:rsidRPr="00FB17BA">
        <w:rPr>
          <w:rFonts w:eastAsia="Arial Unicode MS"/>
          <w:noProof/>
        </w:rPr>
        <w:t xml:space="preserve"> exclusively</w:t>
      </w:r>
      <w:r w:rsidR="008B6DF6" w:rsidRPr="00FB17BA">
        <w:rPr>
          <w:rFonts w:eastAsia="Arial Unicode MS"/>
          <w:noProof/>
        </w:rPr>
        <w:t xml:space="preserve"> on the motor vehicle</w:t>
      </w:r>
      <w:r w:rsidR="00AE0504" w:rsidRPr="00FB17BA">
        <w:rPr>
          <w:rFonts w:eastAsia="Arial Unicode MS"/>
          <w:noProof/>
        </w:rPr>
        <w:t>.</w:t>
      </w:r>
    </w:p>
    <w:p w14:paraId="49D9AFA9" w14:textId="77777777" w:rsidR="00EA44DD" w:rsidRPr="00FB17BA" w:rsidRDefault="00EA44DD" w:rsidP="00EA44DD">
      <w:pPr>
        <w:pBdr>
          <w:top w:val="nil"/>
          <w:left w:val="nil"/>
          <w:bottom w:val="nil"/>
          <w:right w:val="nil"/>
          <w:between w:val="nil"/>
          <w:bar w:val="nil"/>
        </w:pBdr>
        <w:spacing w:before="0" w:after="240"/>
        <w:rPr>
          <w:rFonts w:eastAsia="Arial Unicode MS"/>
          <w:noProof/>
        </w:rPr>
      </w:pPr>
      <w:r w:rsidRPr="00FB17BA">
        <w:rPr>
          <w:rFonts w:eastAsia="Arial Unicode MS"/>
          <w:noProof/>
        </w:rPr>
        <w:t xml:space="preserve">In the definition of ‘low-emission vehicle’, point (b) is amended </w:t>
      </w:r>
      <w:r w:rsidR="00B826DF" w:rsidRPr="00FB17BA">
        <w:rPr>
          <w:rFonts w:eastAsia="Arial Unicode MS"/>
          <w:noProof/>
        </w:rPr>
        <w:t xml:space="preserve">so as to </w:t>
      </w:r>
      <w:r w:rsidR="00753DEE" w:rsidRPr="00FB17BA">
        <w:rPr>
          <w:rFonts w:eastAsia="Arial Unicode MS"/>
          <w:noProof/>
        </w:rPr>
        <w:t xml:space="preserve">specify </w:t>
      </w:r>
      <w:r w:rsidR="00B826DF" w:rsidRPr="00FB17BA">
        <w:rPr>
          <w:rFonts w:eastAsia="Arial Unicode MS"/>
          <w:noProof/>
        </w:rPr>
        <w:t xml:space="preserve">the concerned vehicle groups by </w:t>
      </w:r>
      <w:r w:rsidR="00686E9A" w:rsidRPr="00FB17BA">
        <w:rPr>
          <w:rFonts w:eastAsia="Arial Unicode MS"/>
          <w:noProof/>
        </w:rPr>
        <w:t>referring</w:t>
      </w:r>
      <w:r w:rsidR="00B826DF" w:rsidRPr="00FB17BA">
        <w:rPr>
          <w:rFonts w:eastAsia="Arial Unicode MS"/>
          <w:noProof/>
        </w:rPr>
        <w:t xml:space="preserve"> to </w:t>
      </w:r>
      <w:r w:rsidR="00E52A9F" w:rsidRPr="00FB17BA">
        <w:rPr>
          <w:rFonts w:eastAsia="Arial Unicode MS"/>
          <w:noProof/>
        </w:rPr>
        <w:t>those</w:t>
      </w:r>
      <w:r w:rsidR="00C0432A" w:rsidRPr="00FB17BA">
        <w:rPr>
          <w:rFonts w:eastAsia="Arial Unicode MS"/>
          <w:noProof/>
        </w:rPr>
        <w:t xml:space="preserve"> covered by</w:t>
      </w:r>
      <w:r w:rsidR="009C3F1A" w:rsidRPr="00FB17BA">
        <w:rPr>
          <w:rFonts w:eastAsia="Arial Unicode MS"/>
          <w:noProof/>
        </w:rPr>
        <w:t xml:space="preserve"> implementing acts adopted pursuant to </w:t>
      </w:r>
      <w:r w:rsidR="00B826DF" w:rsidRPr="00FB17BA">
        <w:rPr>
          <w:rFonts w:eastAsia="Arial Unicode MS"/>
          <w:noProof/>
        </w:rPr>
        <w:t>Article 7ga(7)</w:t>
      </w:r>
      <w:r w:rsidR="009C3F1A" w:rsidRPr="00BE28DF">
        <w:rPr>
          <w:noProof/>
        </w:rPr>
        <w:t xml:space="preserve">. This amendment </w:t>
      </w:r>
      <w:r w:rsidR="00AE19E5" w:rsidRPr="00FB17BA">
        <w:rPr>
          <w:rFonts w:eastAsia="Arial Unicode MS"/>
          <w:noProof/>
        </w:rPr>
        <w:t xml:space="preserve">ensures that the meaning of </w:t>
      </w:r>
      <w:r w:rsidR="004160A2" w:rsidRPr="00FB17BA">
        <w:rPr>
          <w:rFonts w:eastAsia="Arial Unicode MS"/>
          <w:noProof/>
        </w:rPr>
        <w:t xml:space="preserve">the current </w:t>
      </w:r>
      <w:r w:rsidR="00AE19E5" w:rsidRPr="00FB17BA">
        <w:rPr>
          <w:rFonts w:eastAsia="Arial Unicode MS"/>
          <w:noProof/>
        </w:rPr>
        <w:t xml:space="preserve">definition is </w:t>
      </w:r>
      <w:r w:rsidR="00BA421F" w:rsidRPr="00FB17BA">
        <w:rPr>
          <w:rFonts w:eastAsia="Arial Unicode MS"/>
          <w:noProof/>
        </w:rPr>
        <w:t>preserved</w:t>
      </w:r>
      <w:r w:rsidR="00AE19E5" w:rsidRPr="00BE28DF">
        <w:rPr>
          <w:noProof/>
        </w:rPr>
        <w:t xml:space="preserve"> and reflects</w:t>
      </w:r>
      <w:r w:rsidR="009C3F1A" w:rsidRPr="00BE28DF">
        <w:rPr>
          <w:noProof/>
        </w:rPr>
        <w:t xml:space="preserve"> </w:t>
      </w:r>
      <w:r w:rsidR="0087144F" w:rsidRPr="00FB17BA">
        <w:rPr>
          <w:rFonts w:eastAsia="Arial Unicode MS"/>
          <w:noProof/>
        </w:rPr>
        <w:t xml:space="preserve">the </w:t>
      </w:r>
      <w:r w:rsidR="0087144F" w:rsidRPr="00BE28DF">
        <w:rPr>
          <w:noProof/>
        </w:rPr>
        <w:t xml:space="preserve">new </w:t>
      </w:r>
      <w:r w:rsidR="00DA4007" w:rsidRPr="00BE28DF">
        <w:rPr>
          <w:noProof/>
        </w:rPr>
        <w:t xml:space="preserve">proposed </w:t>
      </w:r>
      <w:r w:rsidR="0087144F" w:rsidRPr="00BE28DF">
        <w:rPr>
          <w:noProof/>
        </w:rPr>
        <w:t>structure of Regulation (EU) 2019/1242</w:t>
      </w:r>
      <w:r w:rsidR="004C1524" w:rsidRPr="00FB17BA">
        <w:rPr>
          <w:noProof/>
        </w:rPr>
        <w:t xml:space="preserve">. Indeed, </w:t>
      </w:r>
      <w:r w:rsidR="00DA4007">
        <w:rPr>
          <w:noProof/>
        </w:rPr>
        <w:t xml:space="preserve">based on the proposal submitted in parallel by the Commission, </w:t>
      </w:r>
      <w:r w:rsidR="00562073" w:rsidRPr="00FB17BA">
        <w:rPr>
          <w:noProof/>
        </w:rPr>
        <w:t>Article 2(1) of that Regulation</w:t>
      </w:r>
      <w:r w:rsidR="00753DEE" w:rsidRPr="00FB17BA">
        <w:rPr>
          <w:noProof/>
        </w:rPr>
        <w:t xml:space="preserve"> </w:t>
      </w:r>
      <w:r w:rsidR="00562073" w:rsidRPr="00FB17BA">
        <w:rPr>
          <w:noProof/>
        </w:rPr>
        <w:t xml:space="preserve">will no longer </w:t>
      </w:r>
      <w:r w:rsidR="00AE19E5" w:rsidRPr="00FB17BA">
        <w:rPr>
          <w:noProof/>
        </w:rPr>
        <w:t xml:space="preserve">define the </w:t>
      </w:r>
      <w:r w:rsidR="006B53B7" w:rsidRPr="00FB17BA">
        <w:rPr>
          <w:noProof/>
        </w:rPr>
        <w:t xml:space="preserve">vehicle </w:t>
      </w:r>
      <w:r w:rsidR="00AE19E5" w:rsidRPr="00FB17BA">
        <w:rPr>
          <w:noProof/>
        </w:rPr>
        <w:t xml:space="preserve">sub-groups covered by </w:t>
      </w:r>
      <w:r w:rsidR="00562073" w:rsidRPr="00FB17BA">
        <w:rPr>
          <w:noProof/>
        </w:rPr>
        <w:t>the Regulation</w:t>
      </w:r>
      <w:r w:rsidR="00B252F6" w:rsidRPr="00BE28DF">
        <w:rPr>
          <w:noProof/>
        </w:rPr>
        <w:t>.</w:t>
      </w:r>
      <w:r w:rsidR="00466D31" w:rsidRPr="00BE28DF">
        <w:rPr>
          <w:noProof/>
        </w:rPr>
        <w:t xml:space="preserve"> </w:t>
      </w:r>
    </w:p>
    <w:p w14:paraId="3F34BF09" w14:textId="77777777" w:rsidR="006270A0" w:rsidRPr="00BE28DF" w:rsidRDefault="00EA44DD" w:rsidP="00B252F6">
      <w:pPr>
        <w:pBdr>
          <w:top w:val="nil"/>
          <w:left w:val="nil"/>
          <w:bottom w:val="nil"/>
          <w:right w:val="nil"/>
          <w:between w:val="nil"/>
          <w:bar w:val="nil"/>
        </w:pBdr>
        <w:spacing w:before="0" w:after="0"/>
        <w:rPr>
          <w:noProof/>
        </w:rPr>
      </w:pPr>
      <w:r w:rsidRPr="00FB17BA">
        <w:rPr>
          <w:rFonts w:eastAsia="Arial Unicode MS"/>
          <w:noProof/>
        </w:rPr>
        <w:t xml:space="preserve">The definition of </w:t>
      </w:r>
      <w:r w:rsidR="00DC0AB9" w:rsidRPr="00FB17BA">
        <w:rPr>
          <w:rFonts w:eastAsia="Arial Unicode MS"/>
          <w:noProof/>
        </w:rPr>
        <w:t>‘</w:t>
      </w:r>
      <w:r w:rsidRPr="00BE28DF">
        <w:rPr>
          <w:noProof/>
        </w:rPr>
        <w:t>emission reduction trajectory</w:t>
      </w:r>
      <w:r w:rsidR="00DC0AB9" w:rsidRPr="00BE28DF">
        <w:rPr>
          <w:noProof/>
        </w:rPr>
        <w:t>’</w:t>
      </w:r>
      <w:r w:rsidRPr="00BE28DF">
        <w:rPr>
          <w:noProof/>
        </w:rPr>
        <w:t xml:space="preserve"> is amended so as to</w:t>
      </w:r>
      <w:r w:rsidR="00385E82" w:rsidRPr="00BE28DF">
        <w:rPr>
          <w:noProof/>
        </w:rPr>
        <w:t>:</w:t>
      </w:r>
    </w:p>
    <w:p w14:paraId="65919189" w14:textId="77777777" w:rsidR="006270A0" w:rsidRPr="00BE28DF" w:rsidRDefault="00D87356" w:rsidP="00B01B42">
      <w:pPr>
        <w:pStyle w:val="Tiret0"/>
        <w:numPr>
          <w:ilvl w:val="0"/>
          <w:numId w:val="15"/>
        </w:numPr>
        <w:rPr>
          <w:noProof/>
        </w:rPr>
      </w:pPr>
      <w:r w:rsidRPr="00BE28DF">
        <w:rPr>
          <w:noProof/>
        </w:rPr>
        <w:t>h</w:t>
      </w:r>
      <w:r w:rsidR="002B4D6D" w:rsidRPr="00BE28DF">
        <w:rPr>
          <w:noProof/>
        </w:rPr>
        <w:t>armoni</w:t>
      </w:r>
      <w:r w:rsidR="009848BD" w:rsidRPr="00BE28DF">
        <w:rPr>
          <w:noProof/>
        </w:rPr>
        <w:t>s</w:t>
      </w:r>
      <w:r w:rsidR="002B4D6D" w:rsidRPr="00BE28DF">
        <w:rPr>
          <w:noProof/>
        </w:rPr>
        <w:t xml:space="preserve">e the </w:t>
      </w:r>
      <w:r w:rsidR="00EE6CF5" w:rsidRPr="00BE28DF">
        <w:rPr>
          <w:noProof/>
        </w:rPr>
        <w:t xml:space="preserve">terminology </w:t>
      </w:r>
      <w:r w:rsidR="006A39DF" w:rsidRPr="00BE28DF">
        <w:rPr>
          <w:noProof/>
        </w:rPr>
        <w:t xml:space="preserve">with the terminology used in the </w:t>
      </w:r>
      <w:r w:rsidR="00DA4007" w:rsidRPr="00BE28DF">
        <w:rPr>
          <w:noProof/>
        </w:rPr>
        <w:t xml:space="preserve">proposed </w:t>
      </w:r>
      <w:r w:rsidR="00252186" w:rsidRPr="00BE28DF">
        <w:rPr>
          <w:noProof/>
        </w:rPr>
        <w:t xml:space="preserve">new point 5.1 of Annex I to Regulation (EU) 2019/1242; </w:t>
      </w:r>
    </w:p>
    <w:p w14:paraId="1C8929BC" w14:textId="77777777" w:rsidR="00EE31C4" w:rsidRPr="00FB17BA" w:rsidRDefault="00D87356" w:rsidP="00B01B42">
      <w:pPr>
        <w:pStyle w:val="Tiret0"/>
        <w:rPr>
          <w:rStyle w:val="None"/>
          <w:noProof/>
          <w:szCs w:val="24"/>
        </w:rPr>
      </w:pPr>
      <w:r w:rsidRPr="00BE28DF">
        <w:rPr>
          <w:noProof/>
        </w:rPr>
        <w:t xml:space="preserve">ensure </w:t>
      </w:r>
      <w:r w:rsidR="00EA44DD" w:rsidRPr="00BE28DF">
        <w:rPr>
          <w:noProof/>
        </w:rPr>
        <w:t>its applicability</w:t>
      </w:r>
      <w:r w:rsidR="003267B0" w:rsidRPr="00FB17BA">
        <w:rPr>
          <w:rStyle w:val="None"/>
          <w:noProof/>
          <w:szCs w:val="24"/>
        </w:rPr>
        <w:t xml:space="preserve"> </w:t>
      </w:r>
      <w:r w:rsidR="00BF31EE" w:rsidRPr="00FB17BA">
        <w:rPr>
          <w:rStyle w:val="None"/>
          <w:noProof/>
          <w:szCs w:val="24"/>
        </w:rPr>
        <w:t>after</w:t>
      </w:r>
      <w:r w:rsidR="003267B0" w:rsidRPr="00FB17BA">
        <w:rPr>
          <w:rStyle w:val="None"/>
          <w:noProof/>
          <w:szCs w:val="24"/>
        </w:rPr>
        <w:t xml:space="preserve"> 2030 </w:t>
      </w:r>
      <w:r w:rsidR="001178E4" w:rsidRPr="00BE28DF">
        <w:rPr>
          <w:noProof/>
        </w:rPr>
        <w:t>based on the</w:t>
      </w:r>
      <w:r w:rsidR="00EE31C4" w:rsidRPr="00FB17BA">
        <w:rPr>
          <w:noProof/>
        </w:rPr>
        <w:t xml:space="preserve"> </w:t>
      </w:r>
      <w:r w:rsidR="00EE31C4" w:rsidRPr="00FB17BA">
        <w:rPr>
          <w:rFonts w:eastAsia="Arial Unicode MS" w:hint="eastAsia"/>
          <w:noProof/>
        </w:rPr>
        <w:t>CO</w:t>
      </w:r>
      <w:r w:rsidR="00EE31C4" w:rsidRPr="00FB17BA">
        <w:rPr>
          <w:rFonts w:eastAsia="Arial Unicode MS" w:hint="eastAsia"/>
          <w:noProof/>
          <w:vertAlign w:val="subscript"/>
        </w:rPr>
        <w:t>2</w:t>
      </w:r>
      <w:r w:rsidR="00EE31C4" w:rsidRPr="00FB17BA">
        <w:rPr>
          <w:rFonts w:eastAsia="Arial Unicode MS" w:hint="eastAsia"/>
          <w:noProof/>
        </w:rPr>
        <w:t> </w:t>
      </w:r>
      <w:r w:rsidR="00EE31C4" w:rsidRPr="00FB17BA">
        <w:rPr>
          <w:noProof/>
        </w:rPr>
        <w:t>emissions reduction</w:t>
      </w:r>
      <w:r w:rsidR="00EA44DD" w:rsidRPr="00BE28DF">
        <w:rPr>
          <w:noProof/>
        </w:rPr>
        <w:t xml:space="preserve"> </w:t>
      </w:r>
      <w:r w:rsidR="00EA44DD" w:rsidRPr="00FB17BA">
        <w:rPr>
          <w:rStyle w:val="None"/>
          <w:noProof/>
          <w:szCs w:val="24"/>
        </w:rPr>
        <w:t>target</w:t>
      </w:r>
      <w:r w:rsidR="001C24FE" w:rsidRPr="00FB17BA">
        <w:rPr>
          <w:rStyle w:val="None"/>
          <w:noProof/>
          <w:szCs w:val="24"/>
        </w:rPr>
        <w:t>s</w:t>
      </w:r>
      <w:r w:rsidR="00EA44DD" w:rsidRPr="00FB17BA">
        <w:rPr>
          <w:rStyle w:val="None"/>
          <w:noProof/>
          <w:szCs w:val="24"/>
        </w:rPr>
        <w:t xml:space="preserve"> </w:t>
      </w:r>
      <w:r w:rsidR="00930F7A" w:rsidRPr="00FB17BA">
        <w:rPr>
          <w:rStyle w:val="None"/>
          <w:noProof/>
          <w:szCs w:val="24"/>
        </w:rPr>
        <w:t>that will be set out in</w:t>
      </w:r>
      <w:r w:rsidR="00970739" w:rsidRPr="00FB17BA">
        <w:rPr>
          <w:rStyle w:val="None"/>
          <w:noProof/>
          <w:szCs w:val="24"/>
        </w:rPr>
        <w:t xml:space="preserve"> Regulation (EU) 2019/1242</w:t>
      </w:r>
      <w:r w:rsidR="002B3872">
        <w:rPr>
          <w:rStyle w:val="None"/>
          <w:noProof/>
          <w:szCs w:val="24"/>
        </w:rPr>
        <w:t xml:space="preserve"> (once amended in accordance with the parallel Commission’s proposal)</w:t>
      </w:r>
      <w:r w:rsidR="006175D8" w:rsidRPr="00FB17BA">
        <w:rPr>
          <w:rStyle w:val="None"/>
          <w:noProof/>
          <w:szCs w:val="24"/>
        </w:rPr>
        <w:t>;</w:t>
      </w:r>
      <w:r w:rsidR="00123335" w:rsidRPr="00FB17BA">
        <w:rPr>
          <w:rStyle w:val="None"/>
          <w:noProof/>
          <w:szCs w:val="24"/>
        </w:rPr>
        <w:t xml:space="preserve"> </w:t>
      </w:r>
    </w:p>
    <w:p w14:paraId="5512D987" w14:textId="77777777" w:rsidR="00C4534C" w:rsidRPr="00FB17BA" w:rsidRDefault="00BF31EE" w:rsidP="00B01B42">
      <w:pPr>
        <w:pStyle w:val="Tiret0"/>
        <w:rPr>
          <w:noProof/>
        </w:rPr>
      </w:pPr>
      <w:r w:rsidRPr="00FB17BA">
        <w:rPr>
          <w:rStyle w:val="None"/>
          <w:noProof/>
          <w:szCs w:val="24"/>
        </w:rPr>
        <w:t xml:space="preserve">ensure that the reference to </w:t>
      </w:r>
      <w:r w:rsidR="00123335" w:rsidRPr="00FB17BA">
        <w:rPr>
          <w:noProof/>
        </w:rPr>
        <w:t xml:space="preserve">reference </w:t>
      </w:r>
      <w:r w:rsidR="00123335" w:rsidRPr="00BE28DF">
        <w:rPr>
          <w:noProof/>
        </w:rPr>
        <w:t xml:space="preserve">CO2 </w:t>
      </w:r>
      <w:r w:rsidR="00123335" w:rsidRPr="00FB17BA">
        <w:rPr>
          <w:noProof/>
        </w:rPr>
        <w:t>emissions of a sub-group</w:t>
      </w:r>
      <w:r w:rsidRPr="00FB17BA">
        <w:rPr>
          <w:noProof/>
        </w:rPr>
        <w:t xml:space="preserve"> applies as defined in</w:t>
      </w:r>
      <w:r w:rsidR="00FC581E" w:rsidRPr="00FB17BA">
        <w:rPr>
          <w:noProof/>
        </w:rPr>
        <w:t xml:space="preserve"> point 38</w:t>
      </w:r>
      <w:r w:rsidR="00C4534C" w:rsidRPr="00FB17BA">
        <w:rPr>
          <w:noProof/>
        </w:rPr>
        <w:t xml:space="preserve">; </w:t>
      </w:r>
    </w:p>
    <w:p w14:paraId="4F2FEDC7" w14:textId="77777777" w:rsidR="002C12CA" w:rsidRPr="00FB17BA" w:rsidRDefault="00C4534C" w:rsidP="00B01B42">
      <w:pPr>
        <w:pStyle w:val="Tiret0"/>
        <w:rPr>
          <w:rStyle w:val="None"/>
          <w:noProof/>
          <w:szCs w:val="24"/>
        </w:rPr>
      </w:pPr>
      <w:r w:rsidRPr="00FB17BA">
        <w:rPr>
          <w:rStyle w:val="None"/>
          <w:noProof/>
          <w:szCs w:val="24"/>
        </w:rPr>
        <w:t>move the</w:t>
      </w:r>
      <w:r w:rsidR="00EA44DD" w:rsidRPr="00FB17BA">
        <w:rPr>
          <w:rStyle w:val="None"/>
          <w:noProof/>
          <w:szCs w:val="24"/>
        </w:rPr>
        <w:t xml:space="preserve"> </w:t>
      </w:r>
      <w:r w:rsidRPr="00FB17BA">
        <w:rPr>
          <w:rStyle w:val="None"/>
          <w:noProof/>
          <w:szCs w:val="24"/>
        </w:rPr>
        <w:t xml:space="preserve">last </w:t>
      </w:r>
      <w:r w:rsidR="006E0C69" w:rsidRPr="00FB17BA">
        <w:rPr>
          <w:rStyle w:val="None"/>
          <w:noProof/>
          <w:szCs w:val="24"/>
        </w:rPr>
        <w:t>section</w:t>
      </w:r>
      <w:r w:rsidRPr="00FB17BA">
        <w:rPr>
          <w:rStyle w:val="None"/>
          <w:noProof/>
          <w:szCs w:val="24"/>
        </w:rPr>
        <w:t>,</w:t>
      </w:r>
      <w:r w:rsidR="00E6168D" w:rsidRPr="00FB17BA">
        <w:rPr>
          <w:rStyle w:val="None"/>
          <w:noProof/>
          <w:szCs w:val="24"/>
        </w:rPr>
        <w:t xml:space="preserve"> concerning</w:t>
      </w:r>
      <w:r w:rsidR="00EA44DD" w:rsidRPr="00FB17BA">
        <w:rPr>
          <w:rStyle w:val="None"/>
          <w:noProof/>
          <w:szCs w:val="24"/>
        </w:rPr>
        <w:t xml:space="preserve"> possible adjustments to the reference </w:t>
      </w:r>
      <w:r w:rsidR="00EA44DD" w:rsidRPr="00BE28DF">
        <w:rPr>
          <w:noProof/>
        </w:rPr>
        <w:t xml:space="preserve">CO2 </w:t>
      </w:r>
      <w:r w:rsidR="00EA44DD" w:rsidRPr="00FB17BA">
        <w:rPr>
          <w:rStyle w:val="None"/>
          <w:noProof/>
          <w:szCs w:val="24"/>
        </w:rPr>
        <w:t>values</w:t>
      </w:r>
      <w:r w:rsidR="006E0C69" w:rsidRPr="00BE28DF">
        <w:rPr>
          <w:noProof/>
        </w:rPr>
        <w:t>,</w:t>
      </w:r>
      <w:r w:rsidR="00E6168D" w:rsidRPr="00FB17BA">
        <w:rPr>
          <w:rStyle w:val="None"/>
          <w:noProof/>
          <w:szCs w:val="24"/>
        </w:rPr>
        <w:t xml:space="preserve"> to </w:t>
      </w:r>
      <w:r w:rsidR="00F92388" w:rsidRPr="00FB17BA">
        <w:rPr>
          <w:rStyle w:val="None"/>
          <w:noProof/>
          <w:szCs w:val="24"/>
        </w:rPr>
        <w:t>Article</w:t>
      </w:r>
      <w:r w:rsidR="00E6168D" w:rsidRPr="00FB17BA">
        <w:rPr>
          <w:rStyle w:val="None"/>
          <w:noProof/>
          <w:szCs w:val="24"/>
        </w:rPr>
        <w:t xml:space="preserve"> 7</w:t>
      </w:r>
      <w:r w:rsidR="00F92388" w:rsidRPr="00FB17BA">
        <w:rPr>
          <w:rStyle w:val="None"/>
          <w:noProof/>
          <w:szCs w:val="24"/>
        </w:rPr>
        <w:t>ga(1)</w:t>
      </w:r>
      <w:r w:rsidR="00843DC0" w:rsidRPr="00FB17BA">
        <w:rPr>
          <w:rStyle w:val="None"/>
          <w:noProof/>
          <w:szCs w:val="24"/>
        </w:rPr>
        <w:t>,</w:t>
      </w:r>
      <w:r w:rsidR="001E48D0" w:rsidRPr="00FB17BA">
        <w:rPr>
          <w:rStyle w:val="None"/>
          <w:noProof/>
          <w:szCs w:val="24"/>
        </w:rPr>
        <w:t xml:space="preserve"> </w:t>
      </w:r>
      <w:r w:rsidR="00AB614F" w:rsidRPr="00FB17BA">
        <w:rPr>
          <w:rStyle w:val="None"/>
          <w:noProof/>
          <w:szCs w:val="24"/>
        </w:rPr>
        <w:t xml:space="preserve">to </w:t>
      </w:r>
      <w:r w:rsidR="001E48D0" w:rsidRPr="00FB17BA">
        <w:rPr>
          <w:rStyle w:val="None"/>
          <w:noProof/>
          <w:szCs w:val="24"/>
        </w:rPr>
        <w:t xml:space="preserve">ensure the </w:t>
      </w:r>
      <w:r w:rsidR="00F143D7" w:rsidRPr="00FB17BA">
        <w:rPr>
          <w:rStyle w:val="None"/>
          <w:noProof/>
          <w:szCs w:val="24"/>
        </w:rPr>
        <w:t xml:space="preserve">same </w:t>
      </w:r>
      <w:r w:rsidR="001E48D0" w:rsidRPr="00FB17BA">
        <w:rPr>
          <w:rStyle w:val="None"/>
          <w:noProof/>
          <w:szCs w:val="24"/>
        </w:rPr>
        <w:t xml:space="preserve">time of applicability </w:t>
      </w:r>
      <w:r w:rsidR="009F1B45" w:rsidRPr="00FB17BA">
        <w:rPr>
          <w:rStyle w:val="None"/>
          <w:noProof/>
          <w:szCs w:val="24"/>
        </w:rPr>
        <w:t>for</w:t>
      </w:r>
      <w:r w:rsidR="009F1B45" w:rsidRPr="00FB17BA">
        <w:rPr>
          <w:rFonts w:eastAsia="Arial Unicode MS" w:hint="eastAsia"/>
          <w:noProof/>
        </w:rPr>
        <w:t xml:space="preserve"> </w:t>
      </w:r>
      <w:r w:rsidR="00796078" w:rsidRPr="00FB17BA">
        <w:rPr>
          <w:rFonts w:eastAsia="Arial Unicode MS"/>
          <w:noProof/>
        </w:rPr>
        <w:t xml:space="preserve">all </w:t>
      </w:r>
      <w:r w:rsidR="009F1B45" w:rsidRPr="00FB17BA">
        <w:rPr>
          <w:rFonts w:eastAsia="Arial Unicode MS" w:hint="eastAsia"/>
          <w:noProof/>
        </w:rPr>
        <w:t>CO</w:t>
      </w:r>
      <w:r w:rsidR="009F1B45" w:rsidRPr="00FB17BA">
        <w:rPr>
          <w:rFonts w:eastAsia="Arial Unicode MS" w:hint="eastAsia"/>
          <w:noProof/>
          <w:vertAlign w:val="subscript"/>
        </w:rPr>
        <w:t>2</w:t>
      </w:r>
      <w:r w:rsidR="009F1B45" w:rsidRPr="00FB17BA">
        <w:rPr>
          <w:rFonts w:eastAsia="Arial Unicode MS" w:hint="eastAsia"/>
          <w:noProof/>
        </w:rPr>
        <w:t> emission class</w:t>
      </w:r>
      <w:r w:rsidR="009F1B45" w:rsidRPr="00FB17BA">
        <w:rPr>
          <w:rFonts w:eastAsia="Arial Unicode MS"/>
          <w:noProof/>
        </w:rPr>
        <w:t>es</w:t>
      </w:r>
      <w:r w:rsidR="00EA44DD" w:rsidRPr="00FB17BA">
        <w:rPr>
          <w:rStyle w:val="None"/>
          <w:noProof/>
          <w:szCs w:val="24"/>
        </w:rPr>
        <w:t xml:space="preserve">. </w:t>
      </w:r>
    </w:p>
    <w:p w14:paraId="7CC1CE0C" w14:textId="77777777" w:rsidR="002C12CA" w:rsidRPr="00FB17BA" w:rsidRDefault="002C12CA" w:rsidP="002C12CA">
      <w:pPr>
        <w:pBdr>
          <w:top w:val="nil"/>
          <w:left w:val="nil"/>
          <w:bottom w:val="nil"/>
          <w:right w:val="nil"/>
          <w:between w:val="nil"/>
          <w:bar w:val="nil"/>
        </w:pBdr>
        <w:spacing w:before="0" w:after="240"/>
        <w:rPr>
          <w:rStyle w:val="None"/>
          <w:noProof/>
          <w:szCs w:val="24"/>
        </w:rPr>
      </w:pPr>
      <w:r w:rsidRPr="00BE28DF">
        <w:rPr>
          <w:noProof/>
        </w:rPr>
        <w:t xml:space="preserve">This amendment </w:t>
      </w:r>
      <w:r w:rsidRPr="00FB17BA">
        <w:rPr>
          <w:rFonts w:eastAsia="Arial Unicode MS"/>
          <w:noProof/>
        </w:rPr>
        <w:t>ensures that the meaning of the current definition is preserved</w:t>
      </w:r>
      <w:r w:rsidR="001E50AE" w:rsidRPr="00FB17BA">
        <w:rPr>
          <w:rFonts w:eastAsia="Arial Unicode MS"/>
          <w:noProof/>
        </w:rPr>
        <w:t xml:space="preserve"> </w:t>
      </w:r>
      <w:r w:rsidR="00CF27A5" w:rsidRPr="00FB17BA">
        <w:rPr>
          <w:rFonts w:eastAsia="Arial Unicode MS"/>
          <w:noProof/>
        </w:rPr>
        <w:t>as well as</w:t>
      </w:r>
      <w:r w:rsidR="001E50AE" w:rsidRPr="00FB17BA">
        <w:rPr>
          <w:rFonts w:eastAsia="Arial Unicode MS"/>
          <w:noProof/>
        </w:rPr>
        <w:t xml:space="preserve"> its applicability </w:t>
      </w:r>
      <w:r w:rsidR="00BF31EE" w:rsidRPr="00FB17BA">
        <w:rPr>
          <w:rFonts w:eastAsia="Arial Unicode MS"/>
          <w:noProof/>
        </w:rPr>
        <w:t xml:space="preserve">after </w:t>
      </w:r>
      <w:r w:rsidR="001E50AE" w:rsidRPr="00FB17BA">
        <w:rPr>
          <w:rFonts w:eastAsia="Arial Unicode MS"/>
          <w:noProof/>
        </w:rPr>
        <w:t xml:space="preserve">2030. </w:t>
      </w:r>
    </w:p>
    <w:p w14:paraId="320A8BA3" w14:textId="77777777" w:rsidR="00010BB1" w:rsidRPr="00BE28DF" w:rsidRDefault="0032283B" w:rsidP="00796A9D">
      <w:pPr>
        <w:pBdr>
          <w:top w:val="nil"/>
          <w:left w:val="nil"/>
          <w:bottom w:val="nil"/>
          <w:right w:val="nil"/>
          <w:between w:val="nil"/>
          <w:bar w:val="nil"/>
        </w:pBdr>
        <w:spacing w:before="0" w:after="240"/>
        <w:rPr>
          <w:noProof/>
        </w:rPr>
      </w:pPr>
      <w:r w:rsidRPr="00FB17BA">
        <w:rPr>
          <w:rStyle w:val="None"/>
          <w:noProof/>
          <w:szCs w:val="24"/>
        </w:rPr>
        <w:t xml:space="preserve">The </w:t>
      </w:r>
      <w:r w:rsidR="00083BF4" w:rsidRPr="00FB17BA">
        <w:rPr>
          <w:rStyle w:val="None"/>
          <w:noProof/>
          <w:szCs w:val="24"/>
        </w:rPr>
        <w:t xml:space="preserve">definition of </w:t>
      </w:r>
      <w:r w:rsidR="00DC0AB9" w:rsidRPr="00FB17BA">
        <w:rPr>
          <w:rStyle w:val="None"/>
          <w:noProof/>
          <w:szCs w:val="24"/>
        </w:rPr>
        <w:t>‘</w:t>
      </w:r>
      <w:r w:rsidR="00083BF4" w:rsidRPr="00FB17BA">
        <w:rPr>
          <w:rFonts w:hint="eastAsia"/>
          <w:noProof/>
          <w:szCs w:val="24"/>
        </w:rPr>
        <w:t>reference CO</w:t>
      </w:r>
      <w:r w:rsidR="00083BF4" w:rsidRPr="00FB17BA">
        <w:rPr>
          <w:rFonts w:hint="eastAsia"/>
          <w:noProof/>
          <w:szCs w:val="24"/>
          <w:vertAlign w:val="subscript"/>
        </w:rPr>
        <w:t>2</w:t>
      </w:r>
      <w:r w:rsidR="00083BF4" w:rsidRPr="00FB17BA">
        <w:rPr>
          <w:rFonts w:hint="eastAsia"/>
          <w:noProof/>
          <w:szCs w:val="24"/>
        </w:rPr>
        <w:t> emissions of a vehicle group</w:t>
      </w:r>
      <w:r w:rsidR="00DC0AB9" w:rsidRPr="00FB17BA">
        <w:rPr>
          <w:noProof/>
          <w:szCs w:val="24"/>
        </w:rPr>
        <w:t>’</w:t>
      </w:r>
      <w:r w:rsidR="00083BF4" w:rsidRPr="00FB17BA">
        <w:rPr>
          <w:noProof/>
          <w:szCs w:val="24"/>
        </w:rPr>
        <w:t xml:space="preserve"> is amended so </w:t>
      </w:r>
      <w:r w:rsidR="00752CB6" w:rsidRPr="00FB17BA">
        <w:rPr>
          <w:rFonts w:eastAsia="Arial Unicode MS"/>
          <w:noProof/>
        </w:rPr>
        <w:t xml:space="preserve">as </w:t>
      </w:r>
      <w:r w:rsidR="00010BB1" w:rsidRPr="00FB17BA">
        <w:rPr>
          <w:rFonts w:eastAsia="Arial Unicode MS"/>
          <w:noProof/>
        </w:rPr>
        <w:t xml:space="preserve">to </w:t>
      </w:r>
      <w:r w:rsidR="008162BC" w:rsidRPr="00FB17BA">
        <w:rPr>
          <w:rFonts w:eastAsia="Arial Unicode MS"/>
          <w:noProof/>
        </w:rPr>
        <w:t>define</w:t>
      </w:r>
      <w:r w:rsidR="00A50140" w:rsidRPr="00FB17BA">
        <w:rPr>
          <w:rFonts w:eastAsia="Arial Unicode MS"/>
          <w:noProof/>
        </w:rPr>
        <w:t xml:space="preserve"> </w:t>
      </w:r>
      <w:r w:rsidR="00A50140" w:rsidRPr="00FB17BA">
        <w:rPr>
          <w:rStyle w:val="None"/>
          <w:noProof/>
          <w:szCs w:val="24"/>
        </w:rPr>
        <w:t>‘</w:t>
      </w:r>
      <w:r w:rsidR="00A50140" w:rsidRPr="00FB17BA">
        <w:rPr>
          <w:rFonts w:hint="eastAsia"/>
          <w:noProof/>
          <w:szCs w:val="24"/>
        </w:rPr>
        <w:t>reference CO</w:t>
      </w:r>
      <w:r w:rsidR="00A50140" w:rsidRPr="00FB17BA">
        <w:rPr>
          <w:rFonts w:hint="eastAsia"/>
          <w:noProof/>
          <w:szCs w:val="24"/>
          <w:vertAlign w:val="subscript"/>
        </w:rPr>
        <w:t>2</w:t>
      </w:r>
      <w:r w:rsidR="00A50140" w:rsidRPr="00FB17BA">
        <w:rPr>
          <w:rFonts w:hint="eastAsia"/>
          <w:noProof/>
          <w:szCs w:val="24"/>
        </w:rPr>
        <w:t> emissions</w:t>
      </w:r>
      <w:r w:rsidR="00A50140" w:rsidRPr="00FB17BA">
        <w:rPr>
          <w:noProof/>
          <w:szCs w:val="24"/>
        </w:rPr>
        <w:t>'</w:t>
      </w:r>
      <w:r w:rsidR="008162BC" w:rsidRPr="00FB17BA">
        <w:rPr>
          <w:noProof/>
          <w:szCs w:val="24"/>
        </w:rPr>
        <w:t xml:space="preserve">, </w:t>
      </w:r>
      <w:r w:rsidR="00DC614D" w:rsidRPr="00FB17BA">
        <w:rPr>
          <w:noProof/>
          <w:szCs w:val="24"/>
        </w:rPr>
        <w:t xml:space="preserve">referring to </w:t>
      </w:r>
      <w:r w:rsidR="008162BC" w:rsidRPr="00FB17BA">
        <w:rPr>
          <w:noProof/>
          <w:szCs w:val="24"/>
        </w:rPr>
        <w:t xml:space="preserve">both vehicle </w:t>
      </w:r>
      <w:r w:rsidR="00290D5B" w:rsidRPr="00FB17BA">
        <w:rPr>
          <w:noProof/>
          <w:szCs w:val="24"/>
        </w:rPr>
        <w:t>sub-</w:t>
      </w:r>
      <w:r w:rsidR="008162BC" w:rsidRPr="00FB17BA">
        <w:rPr>
          <w:noProof/>
          <w:szCs w:val="24"/>
        </w:rPr>
        <w:t xml:space="preserve">groups and groups, </w:t>
      </w:r>
      <w:r w:rsidR="00233B41" w:rsidRPr="00FB17BA">
        <w:rPr>
          <w:noProof/>
          <w:szCs w:val="24"/>
        </w:rPr>
        <w:t xml:space="preserve">to clarify </w:t>
      </w:r>
      <w:r w:rsidR="007C02C2" w:rsidRPr="00FB17BA">
        <w:rPr>
          <w:noProof/>
          <w:szCs w:val="24"/>
        </w:rPr>
        <w:t xml:space="preserve">in point (a) </w:t>
      </w:r>
      <w:r w:rsidR="00233B41" w:rsidRPr="00FB17BA">
        <w:rPr>
          <w:noProof/>
          <w:szCs w:val="24"/>
        </w:rPr>
        <w:t xml:space="preserve">that vehicles covered by Regulation (EU) 2019/1242 are </w:t>
      </w:r>
      <w:r w:rsidR="007C02C2" w:rsidRPr="00FB17BA">
        <w:rPr>
          <w:noProof/>
          <w:szCs w:val="24"/>
        </w:rPr>
        <w:t xml:space="preserve">grouped in sub-groups, </w:t>
      </w:r>
      <w:r w:rsidR="00A50140" w:rsidRPr="00FB17BA">
        <w:rPr>
          <w:noProof/>
          <w:szCs w:val="24"/>
        </w:rPr>
        <w:t>and</w:t>
      </w:r>
      <w:r w:rsidR="00A50140" w:rsidRPr="00FB17BA">
        <w:rPr>
          <w:rFonts w:hint="eastAsia"/>
          <w:noProof/>
          <w:szCs w:val="24"/>
        </w:rPr>
        <w:t xml:space="preserve"> </w:t>
      </w:r>
      <w:r w:rsidR="00752CB6" w:rsidRPr="00FB17BA">
        <w:rPr>
          <w:rFonts w:eastAsia="Arial Unicode MS"/>
          <w:noProof/>
        </w:rPr>
        <w:t xml:space="preserve">to </w:t>
      </w:r>
      <w:r w:rsidR="00BF31EE" w:rsidRPr="00FB17BA">
        <w:rPr>
          <w:rFonts w:eastAsia="Arial Unicode MS"/>
          <w:noProof/>
        </w:rPr>
        <w:t xml:space="preserve">specify </w:t>
      </w:r>
      <w:r w:rsidR="00752CB6" w:rsidRPr="00FB17BA">
        <w:rPr>
          <w:rFonts w:eastAsia="Arial Unicode MS"/>
          <w:noProof/>
        </w:rPr>
        <w:t xml:space="preserve">the concerned vehicle </w:t>
      </w:r>
      <w:r w:rsidR="00E52A9F" w:rsidRPr="00FB17BA">
        <w:rPr>
          <w:rFonts w:eastAsia="Arial Unicode MS"/>
          <w:noProof/>
        </w:rPr>
        <w:t xml:space="preserve">groups </w:t>
      </w:r>
      <w:r w:rsidR="00BC37DC" w:rsidRPr="00FB17BA">
        <w:rPr>
          <w:rFonts w:eastAsia="Arial Unicode MS"/>
          <w:noProof/>
        </w:rPr>
        <w:t xml:space="preserve">in point (b) </w:t>
      </w:r>
      <w:r w:rsidR="00E52A9F" w:rsidRPr="00FB17BA">
        <w:rPr>
          <w:rFonts w:eastAsia="Arial Unicode MS"/>
          <w:noProof/>
        </w:rPr>
        <w:t>by referring to those covered by implementing</w:t>
      </w:r>
      <w:r w:rsidR="00752CB6" w:rsidRPr="00FB17BA">
        <w:rPr>
          <w:rFonts w:eastAsia="Arial Unicode MS"/>
          <w:noProof/>
        </w:rPr>
        <w:t xml:space="preserve"> acts adopted pursuant to Article 7ga(7)</w:t>
      </w:r>
      <w:r w:rsidR="00752CB6" w:rsidRPr="00BE28DF">
        <w:rPr>
          <w:noProof/>
        </w:rPr>
        <w:t xml:space="preserve">. This amendment </w:t>
      </w:r>
      <w:r w:rsidR="00752CB6" w:rsidRPr="00FB17BA">
        <w:rPr>
          <w:rFonts w:eastAsia="Arial Unicode MS"/>
          <w:noProof/>
        </w:rPr>
        <w:t xml:space="preserve">ensures that the meaning of </w:t>
      </w:r>
      <w:r w:rsidR="009C57EE" w:rsidRPr="00FB17BA">
        <w:rPr>
          <w:rFonts w:eastAsia="Arial Unicode MS"/>
          <w:noProof/>
        </w:rPr>
        <w:t xml:space="preserve">the current </w:t>
      </w:r>
      <w:r w:rsidR="00752CB6" w:rsidRPr="00FB17BA">
        <w:rPr>
          <w:rFonts w:eastAsia="Arial Unicode MS"/>
          <w:noProof/>
        </w:rPr>
        <w:t xml:space="preserve">definition is </w:t>
      </w:r>
      <w:r w:rsidR="00BA421F" w:rsidRPr="00FB17BA">
        <w:rPr>
          <w:rFonts w:eastAsia="Arial Unicode MS"/>
          <w:noProof/>
        </w:rPr>
        <w:t>preserved</w:t>
      </w:r>
      <w:r w:rsidR="00752CB6" w:rsidRPr="00BE28DF">
        <w:rPr>
          <w:noProof/>
        </w:rPr>
        <w:t>.</w:t>
      </w:r>
      <w:r w:rsidR="00E96EF7" w:rsidRPr="00BE28DF">
        <w:rPr>
          <w:noProof/>
        </w:rPr>
        <w:t xml:space="preserve"> </w:t>
      </w:r>
    </w:p>
    <w:p w14:paraId="599BA7A2" w14:textId="77777777" w:rsidR="00FC7F07" w:rsidRPr="00FB17BA" w:rsidRDefault="001D54E7" w:rsidP="00EF66FE">
      <w:pPr>
        <w:pBdr>
          <w:top w:val="nil"/>
          <w:left w:val="nil"/>
          <w:bottom w:val="nil"/>
          <w:right w:val="nil"/>
          <w:between w:val="nil"/>
          <w:bar w:val="nil"/>
        </w:pBdr>
        <w:spacing w:before="0" w:after="240"/>
        <w:rPr>
          <w:rFonts w:eastAsia="Arial Unicode MS"/>
          <w:b/>
          <w:bCs/>
          <w:i/>
          <w:iCs/>
          <w:noProof/>
        </w:rPr>
      </w:pPr>
      <w:r w:rsidRPr="00FB17BA">
        <w:rPr>
          <w:rFonts w:eastAsia="Arial Unicode MS"/>
          <w:noProof/>
        </w:rPr>
        <w:t xml:space="preserve">The definitions of ‘trailer’ and ‘semi-trailer’ are added to provide legal clarity as regards </w:t>
      </w:r>
      <w:r w:rsidR="00AA39E6" w:rsidRPr="00FB17BA">
        <w:rPr>
          <w:rFonts w:eastAsia="Arial Unicode MS"/>
          <w:noProof/>
        </w:rPr>
        <w:t xml:space="preserve">these </w:t>
      </w:r>
      <w:r w:rsidRPr="00FB17BA">
        <w:rPr>
          <w:rFonts w:eastAsia="Arial Unicode MS"/>
          <w:noProof/>
        </w:rPr>
        <w:t xml:space="preserve">specific terms and to better specify the scope of </w:t>
      </w:r>
      <w:r w:rsidR="009B19B1" w:rsidRPr="00FB17BA">
        <w:rPr>
          <w:rFonts w:eastAsia="Arial Unicode MS"/>
          <w:noProof/>
        </w:rPr>
        <w:t xml:space="preserve">the relevant </w:t>
      </w:r>
      <w:r w:rsidRPr="00FB17BA">
        <w:rPr>
          <w:rFonts w:eastAsia="Arial Unicode MS"/>
          <w:noProof/>
        </w:rPr>
        <w:t>provisions.</w:t>
      </w:r>
    </w:p>
    <w:p w14:paraId="437ACD44" w14:textId="77777777" w:rsidR="00EF66FE" w:rsidRPr="00FB17BA" w:rsidRDefault="00EF66FE" w:rsidP="00EF66FE">
      <w:pPr>
        <w:pBdr>
          <w:top w:val="nil"/>
          <w:left w:val="nil"/>
          <w:bottom w:val="nil"/>
          <w:right w:val="nil"/>
          <w:between w:val="nil"/>
          <w:bar w:val="nil"/>
        </w:pBdr>
        <w:spacing w:before="0" w:after="240"/>
        <w:rPr>
          <w:rFonts w:eastAsia="Arial Unicode MS"/>
          <w:b/>
          <w:bCs/>
          <w:i/>
          <w:iCs/>
          <w:noProof/>
        </w:rPr>
      </w:pPr>
      <w:r w:rsidRPr="00FB17BA">
        <w:rPr>
          <w:rFonts w:eastAsia="Arial Unicode MS"/>
          <w:b/>
          <w:bCs/>
          <w:i/>
          <w:iCs/>
          <w:noProof/>
        </w:rPr>
        <w:t>Article 1(</w:t>
      </w:r>
      <w:r w:rsidR="00772E0C" w:rsidRPr="00FB17BA">
        <w:rPr>
          <w:rFonts w:eastAsia="Arial Unicode MS"/>
          <w:b/>
          <w:bCs/>
          <w:i/>
          <w:iCs/>
          <w:noProof/>
        </w:rPr>
        <w:t>2</w:t>
      </w:r>
      <w:r w:rsidRPr="00FB17BA">
        <w:rPr>
          <w:rFonts w:eastAsia="Arial Unicode MS"/>
          <w:b/>
          <w:bCs/>
          <w:i/>
          <w:iCs/>
          <w:noProof/>
        </w:rPr>
        <w:t>): Article 7g</w:t>
      </w:r>
      <w:r w:rsidR="00772E0C" w:rsidRPr="00FB17BA">
        <w:rPr>
          <w:rFonts w:eastAsia="Arial Unicode MS"/>
          <w:b/>
          <w:bCs/>
          <w:i/>
          <w:iCs/>
          <w:noProof/>
        </w:rPr>
        <w:t>a</w:t>
      </w:r>
      <w:r w:rsidRPr="00FB17BA">
        <w:rPr>
          <w:rFonts w:eastAsia="Arial Unicode MS"/>
          <w:b/>
          <w:bCs/>
          <w:i/>
          <w:iCs/>
          <w:noProof/>
        </w:rPr>
        <w:t xml:space="preserve"> – </w:t>
      </w:r>
      <w:r w:rsidR="00DE1AE6" w:rsidRPr="00FB17BA">
        <w:rPr>
          <w:rFonts w:eastAsia="Arial Unicode MS"/>
          <w:b/>
          <w:bCs/>
          <w:i/>
          <w:iCs/>
          <w:noProof/>
        </w:rPr>
        <w:t>Variation of charges for heavy duty vehicles</w:t>
      </w:r>
    </w:p>
    <w:p w14:paraId="59217441" w14:textId="77777777" w:rsidR="00E96EF7" w:rsidRPr="00FB17BA" w:rsidRDefault="00394C19" w:rsidP="00881FC3">
      <w:pPr>
        <w:pBdr>
          <w:top w:val="nil"/>
          <w:left w:val="nil"/>
          <w:bottom w:val="nil"/>
          <w:right w:val="nil"/>
          <w:between w:val="nil"/>
          <w:bar w:val="nil"/>
        </w:pBdr>
        <w:spacing w:before="0" w:after="0"/>
        <w:rPr>
          <w:rFonts w:eastAsia="Arial Unicode MS"/>
          <w:noProof/>
        </w:rPr>
      </w:pPr>
      <w:bookmarkStart w:id="6" w:name="_Hlk128913694"/>
      <w:r w:rsidRPr="00FB17BA">
        <w:rPr>
          <w:rFonts w:eastAsia="Arial Unicode MS"/>
          <w:noProof/>
          <w:lang w:val="en-IE"/>
        </w:rPr>
        <w:t>In paragraph 1</w:t>
      </w:r>
      <w:r w:rsidR="003D024C" w:rsidRPr="00FB17BA">
        <w:rPr>
          <w:rFonts w:eastAsia="Arial Unicode MS"/>
          <w:noProof/>
          <w:lang w:val="en-IE"/>
        </w:rPr>
        <w:t xml:space="preserve"> of Article 7ga</w:t>
      </w:r>
      <w:r w:rsidRPr="00FB17BA">
        <w:rPr>
          <w:rFonts w:eastAsia="Arial Unicode MS"/>
          <w:noProof/>
          <w:lang w:val="en-IE"/>
        </w:rPr>
        <w:t xml:space="preserve">, </w:t>
      </w:r>
      <w:r w:rsidR="00272063" w:rsidRPr="00FB17BA">
        <w:rPr>
          <w:rFonts w:eastAsia="Arial Unicode MS"/>
          <w:noProof/>
          <w:lang w:val="en-IE"/>
        </w:rPr>
        <w:t xml:space="preserve">the </w:t>
      </w:r>
      <w:r w:rsidR="00E96EF7" w:rsidRPr="00FB17BA">
        <w:rPr>
          <w:rFonts w:eastAsia="Arial Unicode MS"/>
          <w:noProof/>
          <w:lang w:val="en-IE"/>
        </w:rPr>
        <w:t>second</w:t>
      </w:r>
      <w:r w:rsidR="00010C86" w:rsidRPr="00FB17BA">
        <w:rPr>
          <w:rFonts w:eastAsia="Arial Unicode MS"/>
          <w:noProof/>
          <w:lang w:val="en-IE"/>
        </w:rPr>
        <w:t xml:space="preserve"> and fourth</w:t>
      </w:r>
      <w:r w:rsidR="00E96EF7" w:rsidRPr="00FB17BA">
        <w:rPr>
          <w:rFonts w:eastAsia="Arial Unicode MS"/>
          <w:noProof/>
          <w:lang w:val="en-IE"/>
        </w:rPr>
        <w:t xml:space="preserve"> </w:t>
      </w:r>
      <w:r w:rsidRPr="00FB17BA">
        <w:rPr>
          <w:rFonts w:eastAsia="Arial Unicode MS"/>
          <w:noProof/>
          <w:lang w:val="en-IE"/>
        </w:rPr>
        <w:t>sub-paragraph</w:t>
      </w:r>
      <w:r w:rsidR="001D5A64" w:rsidRPr="00FB17BA">
        <w:rPr>
          <w:rFonts w:eastAsia="Arial Unicode MS"/>
          <w:noProof/>
          <w:lang w:val="en-IE"/>
        </w:rPr>
        <w:t>s</w:t>
      </w:r>
      <w:r w:rsidRPr="00FB17BA">
        <w:rPr>
          <w:rFonts w:eastAsia="Arial Unicode MS"/>
          <w:noProof/>
          <w:lang w:val="en-IE"/>
        </w:rPr>
        <w:t xml:space="preserve"> </w:t>
      </w:r>
      <w:r w:rsidR="00010C86" w:rsidRPr="00FB17BA">
        <w:rPr>
          <w:rFonts w:eastAsia="Arial Unicode MS"/>
          <w:noProof/>
          <w:lang w:val="en-IE"/>
        </w:rPr>
        <w:t>are respectively</w:t>
      </w:r>
      <w:r w:rsidRPr="00FB17BA">
        <w:rPr>
          <w:rFonts w:eastAsia="Arial Unicode MS"/>
          <w:noProof/>
          <w:lang w:val="en-IE"/>
        </w:rPr>
        <w:t xml:space="preserve"> amended </w:t>
      </w:r>
      <w:r w:rsidR="003F1811" w:rsidRPr="00FB17BA">
        <w:rPr>
          <w:rFonts w:eastAsia="Arial Unicode MS"/>
          <w:noProof/>
          <w:lang w:val="en-IE"/>
        </w:rPr>
        <w:t xml:space="preserve">and </w:t>
      </w:r>
      <w:r w:rsidR="001156AB" w:rsidRPr="00FB17BA">
        <w:rPr>
          <w:rFonts w:eastAsia="Arial Unicode MS"/>
          <w:noProof/>
          <w:lang w:val="en-IE"/>
        </w:rPr>
        <w:t xml:space="preserve">deleted </w:t>
      </w:r>
      <w:r w:rsidRPr="00FB17BA">
        <w:rPr>
          <w:rFonts w:eastAsia="Arial Unicode MS"/>
          <w:noProof/>
        </w:rPr>
        <w:t>so as to</w:t>
      </w:r>
      <w:r w:rsidR="00E96EF7" w:rsidRPr="00FB17BA">
        <w:rPr>
          <w:rFonts w:eastAsia="Arial Unicode MS"/>
          <w:noProof/>
        </w:rPr>
        <w:t>:</w:t>
      </w:r>
    </w:p>
    <w:p w14:paraId="7375D78C" w14:textId="77777777" w:rsidR="002B3872" w:rsidRDefault="006474F5" w:rsidP="00B01B42">
      <w:pPr>
        <w:pStyle w:val="Tiret0"/>
        <w:rPr>
          <w:noProof/>
        </w:rPr>
      </w:pPr>
      <w:bookmarkStart w:id="7" w:name="_Hlk128944949"/>
      <w:bookmarkEnd w:id="6"/>
      <w:r w:rsidRPr="00FB17BA">
        <w:rPr>
          <w:noProof/>
        </w:rPr>
        <w:t xml:space="preserve">refer in the </w:t>
      </w:r>
      <w:r w:rsidR="00C0338C" w:rsidRPr="00FB17BA">
        <w:rPr>
          <w:noProof/>
        </w:rPr>
        <w:t xml:space="preserve">second sub-paragraph </w:t>
      </w:r>
      <w:r w:rsidRPr="00FB17BA">
        <w:rPr>
          <w:noProof/>
        </w:rPr>
        <w:t xml:space="preserve">to </w:t>
      </w:r>
      <w:r w:rsidR="00C0338C" w:rsidRPr="00FB17BA">
        <w:rPr>
          <w:noProof/>
        </w:rPr>
        <w:t>the variation</w:t>
      </w:r>
      <w:r w:rsidR="003D024C" w:rsidRPr="00FB17BA">
        <w:rPr>
          <w:noProof/>
        </w:rPr>
        <w:t xml:space="preserve"> of infrastructure charges and user charges</w:t>
      </w:r>
      <w:r w:rsidR="00C0338C" w:rsidRPr="00FB17BA">
        <w:rPr>
          <w:noProof/>
        </w:rPr>
        <w:t xml:space="preserve"> for all </w:t>
      </w:r>
      <w:r w:rsidR="00D80C8E" w:rsidRPr="00FB17BA">
        <w:rPr>
          <w:rFonts w:hint="eastAsia"/>
          <w:noProof/>
        </w:rPr>
        <w:t>CO</w:t>
      </w:r>
      <w:r w:rsidR="00D80C8E" w:rsidRPr="00FB17BA">
        <w:rPr>
          <w:rFonts w:hint="eastAsia"/>
          <w:noProof/>
          <w:vertAlign w:val="subscript"/>
        </w:rPr>
        <w:t>2</w:t>
      </w:r>
      <w:r w:rsidR="00D80C8E" w:rsidRPr="00FB17BA" w:rsidDel="00D80C8E">
        <w:rPr>
          <w:noProof/>
        </w:rPr>
        <w:t xml:space="preserve"> </w:t>
      </w:r>
      <w:r w:rsidR="00C0338C" w:rsidRPr="00FB17BA">
        <w:rPr>
          <w:noProof/>
        </w:rPr>
        <w:t xml:space="preserve">emission classes for </w:t>
      </w:r>
      <w:r w:rsidR="002B3872">
        <w:rPr>
          <w:noProof/>
        </w:rPr>
        <w:t xml:space="preserve">all </w:t>
      </w:r>
      <w:r w:rsidR="00C0338C" w:rsidRPr="00FB17BA">
        <w:rPr>
          <w:noProof/>
        </w:rPr>
        <w:t xml:space="preserve">vehicle sub-groups covered by Regulation (EU) 2019/1242, </w:t>
      </w:r>
      <w:r w:rsidR="002B3872">
        <w:rPr>
          <w:noProof/>
        </w:rPr>
        <w:t>and therefore include in that subparagraph the reference to sub</w:t>
      </w:r>
      <w:r w:rsidR="002B3872">
        <w:rPr>
          <w:noProof/>
          <w:lang w:val="en-IE"/>
        </w:rPr>
        <w:t>-</w:t>
      </w:r>
      <w:r w:rsidR="002B3872">
        <w:rPr>
          <w:noProof/>
        </w:rPr>
        <w:t>groups that will be covered once the proposed amendments to that Regulation will enter into force and which are currently referred to in the fourth sub-paragraph;</w:t>
      </w:r>
    </w:p>
    <w:p w14:paraId="0ADB1252" w14:textId="77777777" w:rsidR="003B1881" w:rsidRPr="00FB17BA" w:rsidRDefault="002B3872" w:rsidP="00B01B42">
      <w:pPr>
        <w:pStyle w:val="Tiret0"/>
        <w:rPr>
          <w:noProof/>
        </w:rPr>
      </w:pPr>
      <w:r>
        <w:rPr>
          <w:noProof/>
        </w:rPr>
        <w:t xml:space="preserve">merge </w:t>
      </w:r>
      <w:r w:rsidR="006474F5" w:rsidRPr="00FB17BA">
        <w:rPr>
          <w:noProof/>
        </w:rPr>
        <w:t xml:space="preserve">the current fourth sub-paragraph </w:t>
      </w:r>
      <w:r>
        <w:rPr>
          <w:noProof/>
        </w:rPr>
        <w:t xml:space="preserve">with </w:t>
      </w:r>
      <w:r w:rsidR="006474F5" w:rsidRPr="00FB17BA">
        <w:rPr>
          <w:noProof/>
        </w:rPr>
        <w:t>the current second sub-paragraph</w:t>
      </w:r>
      <w:r w:rsidR="0033768B" w:rsidRPr="00FB17BA">
        <w:rPr>
          <w:noProof/>
        </w:rPr>
        <w:t xml:space="preserve">; </w:t>
      </w:r>
      <w:r w:rsidR="00CC68FE" w:rsidRPr="00FB17BA">
        <w:rPr>
          <w:noProof/>
        </w:rPr>
        <w:t xml:space="preserve"> </w:t>
      </w:r>
    </w:p>
    <w:bookmarkEnd w:id="7"/>
    <w:p w14:paraId="115A7C07" w14:textId="77777777" w:rsidR="00D631B9" w:rsidRPr="00FB17BA" w:rsidRDefault="00BA421F" w:rsidP="00B01B42">
      <w:pPr>
        <w:pStyle w:val="Tiret0"/>
        <w:rPr>
          <w:noProof/>
        </w:rPr>
      </w:pPr>
      <w:r w:rsidRPr="00FB17BA">
        <w:rPr>
          <w:noProof/>
        </w:rPr>
        <w:t xml:space="preserve">preserve </w:t>
      </w:r>
      <w:r w:rsidR="0001185B" w:rsidRPr="00FB17BA">
        <w:rPr>
          <w:noProof/>
        </w:rPr>
        <w:t xml:space="preserve">the </w:t>
      </w:r>
      <w:r w:rsidR="00654631" w:rsidRPr="00FB17BA">
        <w:rPr>
          <w:noProof/>
        </w:rPr>
        <w:t xml:space="preserve">time of applicability </w:t>
      </w:r>
      <w:r w:rsidR="00485428" w:rsidRPr="00FB17BA">
        <w:rPr>
          <w:noProof/>
        </w:rPr>
        <w:t xml:space="preserve">of the variation </w:t>
      </w:r>
      <w:r w:rsidR="00AC014D" w:rsidRPr="00FB17BA">
        <w:rPr>
          <w:noProof/>
        </w:rPr>
        <w:t>for vehicle sub-groups currently covered by Regulation (EU) 2019/1242</w:t>
      </w:r>
      <w:r w:rsidR="00B757A5" w:rsidRPr="00FB17BA">
        <w:rPr>
          <w:noProof/>
        </w:rPr>
        <w:t xml:space="preserve"> </w:t>
      </w:r>
      <w:r w:rsidR="00C92729" w:rsidRPr="00FB17BA">
        <w:rPr>
          <w:noProof/>
        </w:rPr>
        <w:t xml:space="preserve">by </w:t>
      </w:r>
      <w:r w:rsidR="00E61B11" w:rsidRPr="00FB17BA">
        <w:rPr>
          <w:noProof/>
        </w:rPr>
        <w:t xml:space="preserve">explicitly referring to </w:t>
      </w:r>
      <w:r w:rsidR="00B754FC" w:rsidRPr="00FB17BA">
        <w:rPr>
          <w:noProof/>
        </w:rPr>
        <w:t xml:space="preserve">those </w:t>
      </w:r>
      <w:r w:rsidR="00E61B11" w:rsidRPr="00FB17BA">
        <w:rPr>
          <w:noProof/>
        </w:rPr>
        <w:t xml:space="preserve">vehicle sub-groups and by </w:t>
      </w:r>
      <w:r w:rsidR="00C62F46" w:rsidRPr="00FB17BA">
        <w:rPr>
          <w:noProof/>
        </w:rPr>
        <w:t>specify</w:t>
      </w:r>
      <w:r w:rsidR="00C92729" w:rsidRPr="00FB17BA">
        <w:rPr>
          <w:noProof/>
        </w:rPr>
        <w:t>ing</w:t>
      </w:r>
      <w:r w:rsidR="00C62F46" w:rsidRPr="00FB17BA">
        <w:rPr>
          <w:noProof/>
        </w:rPr>
        <w:t xml:space="preserve"> </w:t>
      </w:r>
      <w:r w:rsidR="00C92729" w:rsidRPr="00FB17BA">
        <w:rPr>
          <w:noProof/>
        </w:rPr>
        <w:t xml:space="preserve">13 May 2023 as the </w:t>
      </w:r>
      <w:r w:rsidR="00E61B11" w:rsidRPr="00FB17BA">
        <w:rPr>
          <w:noProof/>
        </w:rPr>
        <w:t xml:space="preserve">end </w:t>
      </w:r>
      <w:r w:rsidR="00C92729" w:rsidRPr="00FB17BA">
        <w:rPr>
          <w:noProof/>
        </w:rPr>
        <w:t xml:space="preserve">of </w:t>
      </w:r>
      <w:r w:rsidR="00654631" w:rsidRPr="00FB17BA">
        <w:rPr>
          <w:noProof/>
        </w:rPr>
        <w:t xml:space="preserve">the </w:t>
      </w:r>
      <w:r w:rsidR="00B45E50" w:rsidRPr="00FB17BA">
        <w:rPr>
          <w:noProof/>
        </w:rPr>
        <w:t xml:space="preserve">two-year period following the publication of the reference </w:t>
      </w:r>
      <w:r w:rsidR="00E40EEB" w:rsidRPr="00FB17BA">
        <w:rPr>
          <w:rFonts w:hint="eastAsia"/>
          <w:noProof/>
        </w:rPr>
        <w:t>CO</w:t>
      </w:r>
      <w:r w:rsidR="00E40EEB" w:rsidRPr="00FB17BA">
        <w:rPr>
          <w:rFonts w:hint="eastAsia"/>
          <w:noProof/>
          <w:vertAlign w:val="subscript"/>
        </w:rPr>
        <w:t>2</w:t>
      </w:r>
      <w:r w:rsidR="00E40EEB" w:rsidRPr="00FB17BA">
        <w:rPr>
          <w:rFonts w:hint="eastAsia"/>
          <w:noProof/>
        </w:rPr>
        <w:t> </w:t>
      </w:r>
      <w:r w:rsidR="00B45E50" w:rsidRPr="00FB17BA">
        <w:rPr>
          <w:noProof/>
        </w:rPr>
        <w:t xml:space="preserve">emissions in the implementing act adopted </w:t>
      </w:r>
      <w:r w:rsidR="00654631" w:rsidRPr="00FB17BA">
        <w:rPr>
          <w:noProof/>
        </w:rPr>
        <w:t>pursuant to</w:t>
      </w:r>
      <w:r w:rsidR="00B45E50" w:rsidRPr="00FB17BA">
        <w:rPr>
          <w:noProof/>
        </w:rPr>
        <w:t xml:space="preserve"> Article 11(1) of that Regulation</w:t>
      </w:r>
      <w:r w:rsidR="00D94E4C" w:rsidRPr="00FB17BA">
        <w:rPr>
          <w:noProof/>
        </w:rPr>
        <w:t>, namely</w:t>
      </w:r>
      <w:r w:rsidR="003D024C" w:rsidRPr="00FB17BA">
        <w:rPr>
          <w:noProof/>
        </w:rPr>
        <w:t xml:space="preserve"> Commission Imp</w:t>
      </w:r>
      <w:r w:rsidR="008D6F06">
        <w:rPr>
          <w:noProof/>
        </w:rPr>
        <w:t>lementing Decision (EU) 2021/781</w:t>
      </w:r>
      <w:r w:rsidR="00D631B9" w:rsidRPr="00FB17BA">
        <w:rPr>
          <w:rStyle w:val="FootnoteReference"/>
          <w:rFonts w:eastAsia="Arial Unicode MS"/>
          <w:noProof/>
        </w:rPr>
        <w:footnoteReference w:id="10"/>
      </w:r>
      <w:r w:rsidR="00B45E50" w:rsidRPr="00FB17BA">
        <w:rPr>
          <w:noProof/>
        </w:rPr>
        <w:t xml:space="preserve">; </w:t>
      </w:r>
    </w:p>
    <w:p w14:paraId="5754E0C6" w14:textId="77777777" w:rsidR="00CC68FE" w:rsidRPr="00FB17BA" w:rsidRDefault="00BA421F" w:rsidP="00B01B42">
      <w:pPr>
        <w:pStyle w:val="Tiret0"/>
        <w:rPr>
          <w:noProof/>
        </w:rPr>
      </w:pPr>
      <w:r w:rsidRPr="00FB17BA">
        <w:rPr>
          <w:noProof/>
        </w:rPr>
        <w:t xml:space="preserve">preserve </w:t>
      </w:r>
      <w:r w:rsidR="00D631B9" w:rsidRPr="00FB17BA">
        <w:rPr>
          <w:noProof/>
        </w:rPr>
        <w:t xml:space="preserve">the </w:t>
      </w:r>
      <w:r w:rsidR="002F09A7" w:rsidRPr="00FB17BA">
        <w:rPr>
          <w:noProof/>
        </w:rPr>
        <w:t xml:space="preserve">time of </w:t>
      </w:r>
      <w:r w:rsidR="00D631B9" w:rsidRPr="00FB17BA">
        <w:rPr>
          <w:noProof/>
        </w:rPr>
        <w:t>applicability</w:t>
      </w:r>
      <w:r w:rsidR="002E3D86" w:rsidRPr="00FB17BA">
        <w:rPr>
          <w:noProof/>
        </w:rPr>
        <w:t xml:space="preserve"> </w:t>
      </w:r>
      <w:r w:rsidR="00485428" w:rsidRPr="00FB17BA">
        <w:rPr>
          <w:noProof/>
        </w:rPr>
        <w:t xml:space="preserve">of the variation </w:t>
      </w:r>
      <w:r w:rsidR="00AC014D" w:rsidRPr="00FB17BA">
        <w:rPr>
          <w:noProof/>
        </w:rPr>
        <w:t>for vehicle sub-groups</w:t>
      </w:r>
      <w:r w:rsidR="005A4032" w:rsidRPr="00FB17BA">
        <w:rPr>
          <w:noProof/>
        </w:rPr>
        <w:t xml:space="preserve"> that will be</w:t>
      </w:r>
      <w:r w:rsidR="00AC014D" w:rsidRPr="00FB17BA">
        <w:rPr>
          <w:noProof/>
        </w:rPr>
        <w:t xml:space="preserve"> covered by Regulation (EU) 2019/1242</w:t>
      </w:r>
      <w:r w:rsidR="000E36B2">
        <w:rPr>
          <w:noProof/>
        </w:rPr>
        <w:t xml:space="preserve"> once the amendments to that Regulation enter into force</w:t>
      </w:r>
      <w:r w:rsidR="003E75EA" w:rsidRPr="00FB17BA">
        <w:rPr>
          <w:noProof/>
        </w:rPr>
        <w:t>,</w:t>
      </w:r>
      <w:r w:rsidR="00B757A5" w:rsidRPr="00FB17BA">
        <w:rPr>
          <w:noProof/>
        </w:rPr>
        <w:t xml:space="preserve"> as set out in the current fourth sub-paragraph</w:t>
      </w:r>
      <w:r w:rsidR="00026E9E" w:rsidRPr="00FB17BA">
        <w:rPr>
          <w:noProof/>
        </w:rPr>
        <w:t xml:space="preserve"> and </w:t>
      </w:r>
      <w:r w:rsidR="00F6493E" w:rsidRPr="00FB17BA">
        <w:rPr>
          <w:noProof/>
        </w:rPr>
        <w:t xml:space="preserve">in the current </w:t>
      </w:r>
      <w:r w:rsidR="00026E9E" w:rsidRPr="00FB17BA">
        <w:rPr>
          <w:noProof/>
        </w:rPr>
        <w:t xml:space="preserve">second sentence of </w:t>
      </w:r>
      <w:r w:rsidR="001B0323" w:rsidRPr="00FB17BA">
        <w:rPr>
          <w:noProof/>
        </w:rPr>
        <w:t>the third sub-paragraph</w:t>
      </w:r>
      <w:r w:rsidR="006936DE" w:rsidRPr="00FB17BA">
        <w:rPr>
          <w:noProof/>
        </w:rPr>
        <w:t xml:space="preserve">; </w:t>
      </w:r>
    </w:p>
    <w:p w14:paraId="6E3FE9AA" w14:textId="77777777" w:rsidR="00D157D3" w:rsidRPr="00FB17BA" w:rsidRDefault="007526A0" w:rsidP="00B01B42">
      <w:pPr>
        <w:pStyle w:val="Tiret0"/>
        <w:rPr>
          <w:rFonts w:eastAsia="Arial Unicode MS"/>
          <w:noProof/>
        </w:rPr>
      </w:pPr>
      <w:r w:rsidRPr="00FB17BA">
        <w:rPr>
          <w:rStyle w:val="None"/>
          <w:noProof/>
          <w:szCs w:val="24"/>
        </w:rPr>
        <w:t>ensure that the time of applicability of</w:t>
      </w:r>
      <w:r w:rsidR="00F143D7" w:rsidRPr="00FB17BA">
        <w:rPr>
          <w:rStyle w:val="None"/>
          <w:noProof/>
          <w:szCs w:val="24"/>
        </w:rPr>
        <w:t xml:space="preserve"> possible adjustments to</w:t>
      </w:r>
      <w:r w:rsidRPr="00FB17BA">
        <w:rPr>
          <w:rStyle w:val="None"/>
          <w:noProof/>
          <w:szCs w:val="24"/>
        </w:rPr>
        <w:t xml:space="preserve"> reference </w:t>
      </w:r>
      <w:r w:rsidRPr="00BE28DF">
        <w:rPr>
          <w:noProof/>
        </w:rPr>
        <w:t xml:space="preserve">CO2 </w:t>
      </w:r>
      <w:r w:rsidRPr="00FB17BA">
        <w:rPr>
          <w:rStyle w:val="None"/>
          <w:noProof/>
          <w:szCs w:val="24"/>
        </w:rPr>
        <w:t>values</w:t>
      </w:r>
      <w:r w:rsidR="00652CF7" w:rsidRPr="00FB17BA">
        <w:rPr>
          <w:rStyle w:val="None"/>
          <w:noProof/>
          <w:szCs w:val="24"/>
        </w:rPr>
        <w:t xml:space="preserve"> pursuant to </w:t>
      </w:r>
      <w:r w:rsidR="006649C5" w:rsidRPr="00FB17BA">
        <w:rPr>
          <w:rStyle w:val="None"/>
          <w:noProof/>
          <w:szCs w:val="24"/>
        </w:rPr>
        <w:t xml:space="preserve">Article 11(2) of </w:t>
      </w:r>
      <w:r w:rsidR="006649C5" w:rsidRPr="00BE28DF">
        <w:rPr>
          <w:noProof/>
        </w:rPr>
        <w:t>Regulation (EU) 2019/1242</w:t>
      </w:r>
      <w:r w:rsidR="006845D1" w:rsidRPr="00BE28DF">
        <w:rPr>
          <w:noProof/>
        </w:rPr>
        <w:t xml:space="preserve"> </w:t>
      </w:r>
      <w:r w:rsidRPr="00FB17BA">
        <w:rPr>
          <w:rStyle w:val="None"/>
          <w:noProof/>
          <w:szCs w:val="24"/>
        </w:rPr>
        <w:t>is the same for</w:t>
      </w:r>
      <w:r w:rsidRPr="00FB17BA">
        <w:rPr>
          <w:rFonts w:eastAsia="Arial Unicode MS" w:hint="eastAsia"/>
          <w:noProof/>
        </w:rPr>
        <w:t xml:space="preserve"> CO</w:t>
      </w:r>
      <w:r w:rsidRPr="00FB17BA">
        <w:rPr>
          <w:rFonts w:eastAsia="Arial Unicode MS" w:hint="eastAsia"/>
          <w:noProof/>
          <w:vertAlign w:val="subscript"/>
        </w:rPr>
        <w:t>2</w:t>
      </w:r>
      <w:r w:rsidRPr="00FB17BA">
        <w:rPr>
          <w:rFonts w:eastAsia="Arial Unicode MS" w:hint="eastAsia"/>
          <w:noProof/>
        </w:rPr>
        <w:t> emission class</w:t>
      </w:r>
      <w:r w:rsidRPr="00FB17BA">
        <w:rPr>
          <w:rFonts w:eastAsia="Arial Unicode MS"/>
          <w:noProof/>
        </w:rPr>
        <w:t>es 2, 3 and 4</w:t>
      </w:r>
      <w:r w:rsidR="00A9645F" w:rsidRPr="00FB17BA">
        <w:rPr>
          <w:rFonts w:eastAsia="Arial Unicode MS"/>
          <w:noProof/>
        </w:rPr>
        <w:t>,</w:t>
      </w:r>
      <w:r w:rsidR="006532B8" w:rsidRPr="00FB17BA">
        <w:rPr>
          <w:rStyle w:val="None"/>
          <w:noProof/>
          <w:szCs w:val="24"/>
        </w:rPr>
        <w:t xml:space="preserve"> as set out in the current defintion of ‘emission reduction trajectory’,</w:t>
      </w:r>
      <w:r w:rsidR="00A9645F" w:rsidRPr="00FB17BA">
        <w:rPr>
          <w:rFonts w:eastAsia="Arial Unicode MS"/>
          <w:noProof/>
        </w:rPr>
        <w:t xml:space="preserve"> </w:t>
      </w:r>
      <w:r w:rsidR="005C5B29" w:rsidRPr="00FB17BA">
        <w:rPr>
          <w:rFonts w:eastAsia="Arial Unicode MS"/>
          <w:noProof/>
        </w:rPr>
        <w:t xml:space="preserve">taking into account </w:t>
      </w:r>
      <w:r w:rsidR="00A9645F" w:rsidRPr="00FB17BA">
        <w:rPr>
          <w:rFonts w:eastAsia="Arial Unicode MS"/>
          <w:noProof/>
        </w:rPr>
        <w:t xml:space="preserve">the </w:t>
      </w:r>
      <w:r w:rsidR="004C62AE">
        <w:rPr>
          <w:rFonts w:eastAsia="Arial Unicode MS"/>
          <w:noProof/>
        </w:rPr>
        <w:t xml:space="preserve">proposed </w:t>
      </w:r>
      <w:r w:rsidR="00A9645F" w:rsidRPr="00FB17BA">
        <w:rPr>
          <w:rFonts w:eastAsia="Arial Unicode MS"/>
          <w:noProof/>
        </w:rPr>
        <w:t xml:space="preserve">changes </w:t>
      </w:r>
      <w:r w:rsidR="004D34A6" w:rsidRPr="00FB17BA">
        <w:rPr>
          <w:rFonts w:eastAsia="Arial Unicode MS"/>
          <w:noProof/>
        </w:rPr>
        <w:t xml:space="preserve">to </w:t>
      </w:r>
      <w:r w:rsidR="00A9645F" w:rsidRPr="00FB17BA">
        <w:rPr>
          <w:rStyle w:val="None"/>
          <w:noProof/>
          <w:szCs w:val="24"/>
        </w:rPr>
        <w:t>Article 11(2)</w:t>
      </w:r>
      <w:r w:rsidR="006845D1" w:rsidRPr="00FB17BA">
        <w:rPr>
          <w:rFonts w:eastAsia="Arial Unicode MS"/>
          <w:noProof/>
        </w:rPr>
        <w:t>.</w:t>
      </w:r>
    </w:p>
    <w:p w14:paraId="24F40184" w14:textId="77777777" w:rsidR="007526A0" w:rsidRPr="00FB17BA" w:rsidRDefault="00BB5856" w:rsidP="005B1DBA">
      <w:pPr>
        <w:pBdr>
          <w:top w:val="nil"/>
          <w:left w:val="nil"/>
          <w:bottom w:val="nil"/>
          <w:right w:val="nil"/>
          <w:between w:val="nil"/>
          <w:bar w:val="nil"/>
        </w:pBdr>
        <w:spacing w:before="0" w:after="0"/>
        <w:rPr>
          <w:rFonts w:eastAsia="Arial Unicode MS"/>
          <w:noProof/>
          <w:lang w:val="en-IE"/>
        </w:rPr>
      </w:pPr>
      <w:r w:rsidRPr="00FB17BA">
        <w:rPr>
          <w:rFonts w:eastAsia="Arial Unicode MS"/>
          <w:noProof/>
        </w:rPr>
        <w:t xml:space="preserve"> </w:t>
      </w:r>
      <w:r w:rsidR="006845D1" w:rsidRPr="00FB17BA">
        <w:rPr>
          <w:rFonts w:eastAsia="Arial Unicode MS"/>
          <w:noProof/>
        </w:rPr>
        <w:t xml:space="preserve"> </w:t>
      </w:r>
      <w:r w:rsidR="00D157D3" w:rsidRPr="00FB17BA">
        <w:rPr>
          <w:rFonts w:eastAsia="Arial Unicode MS"/>
          <w:noProof/>
          <w:lang w:val="en-IE"/>
        </w:rPr>
        <w:t>In paragraph 1, the third sub-paragraph is amended so as to:</w:t>
      </w:r>
    </w:p>
    <w:p w14:paraId="3FEAE804" w14:textId="77777777" w:rsidR="00D157D3" w:rsidRPr="00BE28DF" w:rsidRDefault="002F09A7" w:rsidP="00B01B42">
      <w:pPr>
        <w:pStyle w:val="Tiret0"/>
        <w:rPr>
          <w:noProof/>
        </w:rPr>
      </w:pPr>
      <w:bookmarkStart w:id="8" w:name="_Hlk128916470"/>
      <w:r w:rsidRPr="00FB17BA">
        <w:rPr>
          <w:noProof/>
        </w:rPr>
        <w:t xml:space="preserve">specify </w:t>
      </w:r>
      <w:r w:rsidR="00BA7C7A" w:rsidRPr="00FB17BA">
        <w:rPr>
          <w:noProof/>
        </w:rPr>
        <w:t xml:space="preserve">the concerned vehicle groups by </w:t>
      </w:r>
      <w:r w:rsidR="00CD0A89" w:rsidRPr="00FB17BA">
        <w:rPr>
          <w:noProof/>
        </w:rPr>
        <w:t xml:space="preserve">referring to those covered by </w:t>
      </w:r>
      <w:r w:rsidR="00BA7C7A" w:rsidRPr="00FB17BA">
        <w:rPr>
          <w:noProof/>
        </w:rPr>
        <w:t>implementing acts adopted pursuant to Article 7ga(7)</w:t>
      </w:r>
      <w:r w:rsidR="00BA7C7A" w:rsidRPr="00BE28DF">
        <w:rPr>
          <w:noProof/>
        </w:rPr>
        <w:t>;</w:t>
      </w:r>
    </w:p>
    <w:bookmarkEnd w:id="8"/>
    <w:p w14:paraId="31D3AABC" w14:textId="77777777" w:rsidR="002E3D86" w:rsidRPr="00FB17BA" w:rsidRDefault="00BA421F" w:rsidP="00B01B42">
      <w:pPr>
        <w:pStyle w:val="Tiret0"/>
        <w:rPr>
          <w:noProof/>
        </w:rPr>
      </w:pPr>
      <w:r w:rsidRPr="00FB17BA">
        <w:rPr>
          <w:noProof/>
        </w:rPr>
        <w:t xml:space="preserve">preserve </w:t>
      </w:r>
      <w:r w:rsidR="00E2491F" w:rsidRPr="00FB17BA">
        <w:rPr>
          <w:noProof/>
        </w:rPr>
        <w:t xml:space="preserve">the </w:t>
      </w:r>
      <w:r w:rsidR="002F09A7" w:rsidRPr="00FB17BA">
        <w:rPr>
          <w:noProof/>
        </w:rPr>
        <w:t xml:space="preserve">time of </w:t>
      </w:r>
      <w:r w:rsidR="002E3D86" w:rsidRPr="00FB17BA">
        <w:rPr>
          <w:noProof/>
        </w:rPr>
        <w:t xml:space="preserve">applicability of the reference </w:t>
      </w:r>
      <w:r w:rsidR="002E3D86" w:rsidRPr="00FB17BA">
        <w:rPr>
          <w:rFonts w:hint="eastAsia"/>
          <w:noProof/>
        </w:rPr>
        <w:t>CO</w:t>
      </w:r>
      <w:r w:rsidR="002E3D86" w:rsidRPr="00FB17BA">
        <w:rPr>
          <w:rFonts w:hint="eastAsia"/>
          <w:noProof/>
          <w:vertAlign w:val="subscript"/>
        </w:rPr>
        <w:t>2</w:t>
      </w:r>
      <w:r w:rsidR="002E3D86" w:rsidRPr="00FB17BA">
        <w:rPr>
          <w:rFonts w:hint="eastAsia"/>
          <w:noProof/>
        </w:rPr>
        <w:t> </w:t>
      </w:r>
      <w:r w:rsidR="002E3D86" w:rsidRPr="00FB17BA">
        <w:rPr>
          <w:noProof/>
        </w:rPr>
        <w:t>emissions</w:t>
      </w:r>
      <w:r w:rsidR="00E2491F" w:rsidRPr="00FB17BA">
        <w:rPr>
          <w:noProof/>
        </w:rPr>
        <w:t xml:space="preserve"> </w:t>
      </w:r>
      <w:r w:rsidR="000B1691" w:rsidRPr="00FB17BA">
        <w:rPr>
          <w:noProof/>
        </w:rPr>
        <w:t xml:space="preserve">of </w:t>
      </w:r>
      <w:r w:rsidR="005A342F" w:rsidRPr="00FB17BA">
        <w:rPr>
          <w:noProof/>
        </w:rPr>
        <w:t>vehicle sub-groups that will be covered by Regulation (EU) 2019/1242</w:t>
      </w:r>
      <w:r w:rsidR="004C62AE">
        <w:rPr>
          <w:noProof/>
        </w:rPr>
        <w:t xml:space="preserve"> once the amendments to that Regulation enter into force</w:t>
      </w:r>
      <w:r w:rsidR="00E35C46" w:rsidRPr="00FB17BA">
        <w:rPr>
          <w:noProof/>
        </w:rPr>
        <w:t>;</w:t>
      </w:r>
    </w:p>
    <w:p w14:paraId="2049BA80" w14:textId="77777777" w:rsidR="00E35C46" w:rsidRPr="00FB17BA" w:rsidRDefault="0082126A" w:rsidP="00B01B42">
      <w:pPr>
        <w:pStyle w:val="Tiret0"/>
        <w:rPr>
          <w:noProof/>
        </w:rPr>
      </w:pPr>
      <w:r w:rsidRPr="00FB17BA">
        <w:rPr>
          <w:noProof/>
        </w:rPr>
        <w:t xml:space="preserve">clarify that, following the extension of the scope of Regulation (EU) 2019/1242 to other heavy-duty vehicles, the variation applies to all </w:t>
      </w:r>
      <w:r w:rsidRPr="00BE28DF">
        <w:rPr>
          <w:noProof/>
        </w:rPr>
        <w:t xml:space="preserve">CO2 </w:t>
      </w:r>
      <w:r w:rsidRPr="00FB17BA">
        <w:rPr>
          <w:noProof/>
        </w:rPr>
        <w:t xml:space="preserve">emission classes. </w:t>
      </w:r>
    </w:p>
    <w:p w14:paraId="47848FED" w14:textId="77777777" w:rsidR="002F4F98" w:rsidRDefault="002F4F98" w:rsidP="00796A9D">
      <w:pPr>
        <w:pBdr>
          <w:top w:val="nil"/>
          <w:left w:val="nil"/>
          <w:bottom w:val="nil"/>
          <w:right w:val="nil"/>
          <w:between w:val="nil"/>
          <w:bar w:val="nil"/>
        </w:pBdr>
        <w:spacing w:before="0" w:after="240"/>
        <w:rPr>
          <w:rFonts w:eastAsia="Arial Unicode MS"/>
          <w:noProof/>
        </w:rPr>
      </w:pPr>
      <w:r w:rsidRPr="00FB17BA">
        <w:rPr>
          <w:rFonts w:eastAsia="Arial Unicode MS"/>
          <w:noProof/>
          <w:lang w:val="en-IE"/>
        </w:rPr>
        <w:t xml:space="preserve">Paragraph 7 is amended </w:t>
      </w:r>
      <w:r w:rsidRPr="00FB17BA">
        <w:rPr>
          <w:rFonts w:eastAsia="Arial Unicode MS"/>
          <w:noProof/>
        </w:rPr>
        <w:t>so as to</w:t>
      </w:r>
      <w:r w:rsidR="007165D2" w:rsidRPr="00FB17BA">
        <w:rPr>
          <w:rFonts w:eastAsia="Arial Unicode MS"/>
          <w:noProof/>
        </w:rPr>
        <w:t xml:space="preserve"> </w:t>
      </w:r>
      <w:r w:rsidR="003D024C" w:rsidRPr="00FB17BA">
        <w:rPr>
          <w:rFonts w:eastAsia="Arial Unicode MS"/>
          <w:noProof/>
        </w:rPr>
        <w:t xml:space="preserve">maintain </w:t>
      </w:r>
      <w:r w:rsidR="007165D2" w:rsidRPr="00FB17BA">
        <w:rPr>
          <w:rFonts w:eastAsia="Arial Unicode MS"/>
          <w:noProof/>
        </w:rPr>
        <w:t xml:space="preserve">the concerned vehicle sub-groups by </w:t>
      </w:r>
      <w:r w:rsidR="00ED751B" w:rsidRPr="00FB17BA">
        <w:rPr>
          <w:rFonts w:eastAsia="Arial Unicode MS"/>
          <w:noProof/>
        </w:rPr>
        <w:t>explicitly referring to the vehicle sub-groups currently covered by Regulation (EU) 2019/1242.</w:t>
      </w:r>
      <w:r w:rsidR="00ED751B">
        <w:rPr>
          <w:rFonts w:eastAsia="Arial Unicode MS"/>
          <w:noProof/>
        </w:rPr>
        <w:t xml:space="preserve"> </w:t>
      </w:r>
    </w:p>
    <w:p w14:paraId="43923F41" w14:textId="77777777" w:rsidR="001D54E7" w:rsidRPr="00870E8E" w:rsidRDefault="005E4A6B" w:rsidP="00796A9D">
      <w:pPr>
        <w:pBdr>
          <w:top w:val="nil"/>
          <w:left w:val="nil"/>
          <w:bottom w:val="nil"/>
          <w:right w:val="nil"/>
          <w:between w:val="nil"/>
          <w:bar w:val="nil"/>
        </w:pBdr>
        <w:spacing w:before="0" w:after="240"/>
        <w:rPr>
          <w:rFonts w:eastAsia="Arial Unicode MS"/>
          <w:b/>
          <w:bCs/>
          <w:i/>
          <w:iCs/>
          <w:noProof/>
        </w:rPr>
      </w:pPr>
      <w:r w:rsidRPr="00870E8E">
        <w:rPr>
          <w:rFonts w:eastAsia="Arial Unicode MS"/>
          <w:b/>
          <w:bCs/>
          <w:i/>
          <w:iCs/>
          <w:noProof/>
        </w:rPr>
        <w:t>Article 1(</w:t>
      </w:r>
      <w:r w:rsidR="00E37E59">
        <w:rPr>
          <w:rFonts w:eastAsia="Arial Unicode MS"/>
          <w:b/>
          <w:bCs/>
          <w:i/>
          <w:iCs/>
          <w:noProof/>
        </w:rPr>
        <w:t>3</w:t>
      </w:r>
      <w:r w:rsidRPr="00870E8E">
        <w:rPr>
          <w:rFonts w:eastAsia="Arial Unicode MS"/>
          <w:b/>
          <w:bCs/>
          <w:i/>
          <w:iCs/>
          <w:noProof/>
        </w:rPr>
        <w:t xml:space="preserve">): </w:t>
      </w:r>
      <w:r w:rsidR="001D54E7" w:rsidRPr="00870E8E">
        <w:rPr>
          <w:rFonts w:eastAsia="Arial Unicode MS"/>
          <w:b/>
          <w:bCs/>
          <w:i/>
          <w:iCs/>
          <w:noProof/>
        </w:rPr>
        <w:t>Article 7gc – Effect of trailers on the determination of reduction of road charges</w:t>
      </w:r>
    </w:p>
    <w:p w14:paraId="5C917761" w14:textId="77777777" w:rsidR="001D54E7" w:rsidRPr="00870E8E" w:rsidRDefault="001D54E7" w:rsidP="001D54E7">
      <w:pPr>
        <w:pBdr>
          <w:top w:val="nil"/>
          <w:left w:val="nil"/>
          <w:bottom w:val="nil"/>
          <w:right w:val="nil"/>
          <w:between w:val="nil"/>
          <w:bar w:val="nil"/>
        </w:pBdr>
        <w:spacing w:before="0" w:after="240"/>
        <w:rPr>
          <w:rFonts w:eastAsia="Arial Unicode MS"/>
          <w:noProof/>
        </w:rPr>
      </w:pPr>
      <w:r w:rsidRPr="00870E8E">
        <w:rPr>
          <w:rFonts w:eastAsia="Arial Unicode MS"/>
          <w:noProof/>
        </w:rPr>
        <w:t xml:space="preserve">New Article 7gc specifies the modalities for the determination of the variation of </w:t>
      </w:r>
      <w:r w:rsidR="00EC677A" w:rsidRPr="00870E8E">
        <w:rPr>
          <w:rFonts w:eastAsia="Arial Unicode MS"/>
          <w:noProof/>
        </w:rPr>
        <w:t xml:space="preserve">road charges </w:t>
      </w:r>
      <w:r w:rsidRPr="00870E8E">
        <w:rPr>
          <w:rFonts w:eastAsia="Arial Unicode MS"/>
          <w:noProof/>
        </w:rPr>
        <w:t xml:space="preserve">of vehicle combinations according to the effect of </w:t>
      </w:r>
      <w:r w:rsidR="00FF75DE" w:rsidRPr="00870E8E">
        <w:rPr>
          <w:rFonts w:eastAsia="Arial Unicode MS"/>
          <w:noProof/>
        </w:rPr>
        <w:t>trailers</w:t>
      </w:r>
      <w:r w:rsidRPr="00870E8E">
        <w:rPr>
          <w:rFonts w:eastAsia="Arial Unicode MS"/>
          <w:noProof/>
        </w:rPr>
        <w:t xml:space="preserve"> on the </w:t>
      </w:r>
      <w:r w:rsidR="00D012B6" w:rsidRPr="00BE28DF">
        <w:rPr>
          <w:noProof/>
        </w:rPr>
        <w:t xml:space="preserve">CO2 </w:t>
      </w:r>
      <w:r w:rsidRPr="00870E8E">
        <w:rPr>
          <w:rFonts w:eastAsia="Arial Unicode MS"/>
          <w:noProof/>
        </w:rPr>
        <w:t>emissions of heavy goods vehicle combinations. The differentiation is based on the efficiency ratio of trailers, as specified in Annex VIII. This provision should incentivise the use of more efficient trailers.</w:t>
      </w:r>
      <w:r w:rsidR="00FC280B" w:rsidRPr="00870E8E">
        <w:rPr>
          <w:rFonts w:eastAsia="Arial Unicode MS"/>
          <w:noProof/>
        </w:rPr>
        <w:t xml:space="preserve"> The article defines the empowerment of the Commission to define thresholds values for the efficiency of </w:t>
      </w:r>
      <w:r w:rsidR="00FF75DE" w:rsidRPr="00870E8E">
        <w:rPr>
          <w:rFonts w:eastAsia="Arial Unicode MS"/>
          <w:noProof/>
        </w:rPr>
        <w:t>trailers</w:t>
      </w:r>
      <w:r w:rsidR="00B83163" w:rsidRPr="00870E8E">
        <w:rPr>
          <w:rFonts w:eastAsia="Arial Unicode MS"/>
          <w:noProof/>
        </w:rPr>
        <w:t xml:space="preserve"> and a methodology for older trailers, to which an efficiency ratio is not assigned</w:t>
      </w:r>
      <w:r w:rsidR="00FC280B" w:rsidRPr="00870E8E">
        <w:rPr>
          <w:rFonts w:eastAsia="Arial Unicode MS"/>
          <w:noProof/>
        </w:rPr>
        <w:t xml:space="preserve">. </w:t>
      </w:r>
    </w:p>
    <w:p w14:paraId="539DAB1D" w14:textId="77777777" w:rsidR="001D54E7" w:rsidRPr="00870E8E" w:rsidRDefault="005E4A6B" w:rsidP="00796A9D">
      <w:pPr>
        <w:pBdr>
          <w:top w:val="nil"/>
          <w:left w:val="nil"/>
          <w:bottom w:val="nil"/>
          <w:right w:val="nil"/>
          <w:between w:val="nil"/>
          <w:bar w:val="nil"/>
        </w:pBdr>
        <w:spacing w:before="0" w:after="240"/>
        <w:rPr>
          <w:rFonts w:eastAsia="Arial Unicode MS"/>
          <w:b/>
          <w:bCs/>
          <w:i/>
          <w:iCs/>
          <w:noProof/>
        </w:rPr>
      </w:pPr>
      <w:r w:rsidRPr="00870E8E">
        <w:rPr>
          <w:rFonts w:eastAsia="Arial Unicode MS"/>
          <w:b/>
          <w:bCs/>
          <w:i/>
          <w:iCs/>
          <w:noProof/>
        </w:rPr>
        <w:t>Article 1(</w:t>
      </w:r>
      <w:r w:rsidR="00E37E59">
        <w:rPr>
          <w:rFonts w:eastAsia="Arial Unicode MS"/>
          <w:b/>
          <w:bCs/>
          <w:i/>
          <w:iCs/>
          <w:noProof/>
        </w:rPr>
        <w:t>4</w:t>
      </w:r>
      <w:r w:rsidRPr="00870E8E">
        <w:rPr>
          <w:rFonts w:eastAsia="Arial Unicode MS"/>
          <w:b/>
          <w:bCs/>
          <w:i/>
          <w:iCs/>
          <w:noProof/>
        </w:rPr>
        <w:t xml:space="preserve">): </w:t>
      </w:r>
      <w:r w:rsidR="001D54E7" w:rsidRPr="00870E8E">
        <w:rPr>
          <w:rFonts w:eastAsia="Arial Unicode MS"/>
          <w:b/>
          <w:bCs/>
          <w:i/>
          <w:iCs/>
          <w:noProof/>
        </w:rPr>
        <w:t>Article 7j – Collection and payment of tolls and user charges</w:t>
      </w:r>
    </w:p>
    <w:p w14:paraId="62BA606F" w14:textId="77777777" w:rsidR="001D54E7" w:rsidRPr="00870E8E" w:rsidRDefault="001D54E7" w:rsidP="001D54E7">
      <w:pPr>
        <w:pBdr>
          <w:top w:val="nil"/>
          <w:left w:val="nil"/>
          <w:bottom w:val="nil"/>
          <w:right w:val="nil"/>
          <w:between w:val="nil"/>
          <w:bar w:val="nil"/>
        </w:pBdr>
        <w:spacing w:before="0" w:after="240"/>
        <w:rPr>
          <w:rFonts w:eastAsia="Arial Unicode MS"/>
          <w:noProof/>
        </w:rPr>
      </w:pPr>
      <w:r w:rsidRPr="00870E8E">
        <w:rPr>
          <w:rFonts w:eastAsia="Arial Unicode MS"/>
          <w:noProof/>
        </w:rPr>
        <w:t>Paragraph 2a is amended to ensure that all possible charge elements are collected and paid in a coherent manner.</w:t>
      </w:r>
    </w:p>
    <w:p w14:paraId="2312678E" w14:textId="77777777" w:rsidR="001D54E7" w:rsidRPr="00870E8E" w:rsidRDefault="005E4A6B" w:rsidP="00796A9D">
      <w:pPr>
        <w:pBdr>
          <w:top w:val="nil"/>
          <w:left w:val="nil"/>
          <w:bottom w:val="nil"/>
          <w:right w:val="nil"/>
          <w:between w:val="nil"/>
          <w:bar w:val="nil"/>
        </w:pBdr>
        <w:spacing w:before="0" w:after="240"/>
        <w:rPr>
          <w:rFonts w:eastAsia="Arial Unicode MS"/>
          <w:b/>
          <w:bCs/>
          <w:i/>
          <w:iCs/>
          <w:noProof/>
        </w:rPr>
      </w:pPr>
      <w:r w:rsidRPr="00870E8E">
        <w:rPr>
          <w:rFonts w:eastAsia="Arial Unicode MS"/>
          <w:b/>
          <w:bCs/>
          <w:i/>
          <w:iCs/>
          <w:noProof/>
        </w:rPr>
        <w:t>Article 1(</w:t>
      </w:r>
      <w:r w:rsidR="00E37E59">
        <w:rPr>
          <w:rFonts w:eastAsia="Arial Unicode MS"/>
          <w:b/>
          <w:bCs/>
          <w:i/>
          <w:iCs/>
          <w:noProof/>
        </w:rPr>
        <w:t>5</w:t>
      </w:r>
      <w:r w:rsidRPr="00870E8E">
        <w:rPr>
          <w:rFonts w:eastAsia="Arial Unicode MS"/>
          <w:b/>
          <w:bCs/>
          <w:i/>
          <w:iCs/>
          <w:noProof/>
        </w:rPr>
        <w:t xml:space="preserve">): </w:t>
      </w:r>
      <w:r w:rsidR="001D54E7" w:rsidRPr="00870E8E">
        <w:rPr>
          <w:rFonts w:eastAsia="Arial Unicode MS"/>
          <w:b/>
          <w:bCs/>
          <w:i/>
          <w:iCs/>
          <w:noProof/>
        </w:rPr>
        <w:t>Article 9d – Commission empowerment to adopt delegated acts</w:t>
      </w:r>
    </w:p>
    <w:p w14:paraId="141B7546" w14:textId="77777777" w:rsidR="001D54E7" w:rsidRPr="00870E8E" w:rsidRDefault="001D54E7" w:rsidP="001D54E7">
      <w:pPr>
        <w:pBdr>
          <w:top w:val="nil"/>
          <w:left w:val="nil"/>
          <w:bottom w:val="nil"/>
          <w:right w:val="nil"/>
          <w:between w:val="nil"/>
          <w:bar w:val="nil"/>
        </w:pBdr>
        <w:spacing w:before="0" w:after="240"/>
        <w:rPr>
          <w:rFonts w:eastAsia="Arial Unicode MS"/>
          <w:noProof/>
        </w:rPr>
      </w:pPr>
      <w:r w:rsidRPr="00870E8E">
        <w:rPr>
          <w:rFonts w:eastAsia="Arial Unicode MS"/>
          <w:noProof/>
        </w:rPr>
        <w:t xml:space="preserve">Article 9d is amended to </w:t>
      </w:r>
      <w:r w:rsidR="00A802B1" w:rsidRPr="00870E8E">
        <w:rPr>
          <w:rFonts w:eastAsia="Arial Unicode MS"/>
          <w:noProof/>
        </w:rPr>
        <w:t xml:space="preserve">amend </w:t>
      </w:r>
      <w:r w:rsidRPr="00870E8E">
        <w:rPr>
          <w:rFonts w:eastAsia="Arial Unicode MS"/>
          <w:noProof/>
        </w:rPr>
        <w:t>the new annex</w:t>
      </w:r>
      <w:r w:rsidR="00A802B1" w:rsidRPr="00870E8E">
        <w:rPr>
          <w:rFonts w:eastAsia="Arial Unicode MS"/>
          <w:noProof/>
        </w:rPr>
        <w:t xml:space="preserve"> VIII</w:t>
      </w:r>
      <w:r w:rsidRPr="00870E8E">
        <w:rPr>
          <w:rFonts w:eastAsia="Arial Unicode MS"/>
          <w:noProof/>
        </w:rPr>
        <w:t xml:space="preserve"> to </w:t>
      </w:r>
      <w:r w:rsidR="00E418BF">
        <w:rPr>
          <w:rFonts w:eastAsia="Arial Unicode MS"/>
          <w:noProof/>
        </w:rPr>
        <w:t xml:space="preserve">determine </w:t>
      </w:r>
      <w:r w:rsidR="005B7A40">
        <w:rPr>
          <w:rFonts w:eastAsia="Arial Unicode MS"/>
          <w:noProof/>
        </w:rPr>
        <w:t>the efficiency ratio thresholds or to adjust them</w:t>
      </w:r>
      <w:r w:rsidRPr="00870E8E">
        <w:rPr>
          <w:rFonts w:eastAsia="Arial Unicode MS"/>
          <w:noProof/>
        </w:rPr>
        <w:t xml:space="preserve"> to scientific and technical progress.</w:t>
      </w:r>
    </w:p>
    <w:p w14:paraId="7C6ECB3A" w14:textId="77777777" w:rsidR="001D54E7" w:rsidRPr="00870E8E" w:rsidRDefault="00344B72" w:rsidP="00796A9D">
      <w:pPr>
        <w:pBdr>
          <w:top w:val="nil"/>
          <w:left w:val="nil"/>
          <w:bottom w:val="nil"/>
          <w:right w:val="nil"/>
          <w:between w:val="nil"/>
          <w:bar w:val="nil"/>
        </w:pBdr>
        <w:spacing w:before="0" w:after="240"/>
        <w:rPr>
          <w:rFonts w:eastAsia="Arial Unicode MS"/>
          <w:b/>
          <w:bCs/>
          <w:i/>
          <w:iCs/>
          <w:noProof/>
        </w:rPr>
      </w:pPr>
      <w:r w:rsidRPr="00870E8E">
        <w:rPr>
          <w:rFonts w:eastAsia="Arial Unicode MS"/>
          <w:b/>
          <w:bCs/>
          <w:i/>
          <w:iCs/>
          <w:noProof/>
        </w:rPr>
        <w:t>Article 1(</w:t>
      </w:r>
      <w:r w:rsidR="00E37E59">
        <w:rPr>
          <w:rFonts w:eastAsia="Arial Unicode MS"/>
          <w:b/>
          <w:bCs/>
          <w:i/>
          <w:iCs/>
          <w:noProof/>
        </w:rPr>
        <w:t>6</w:t>
      </w:r>
      <w:r w:rsidRPr="00870E8E">
        <w:rPr>
          <w:rFonts w:eastAsia="Arial Unicode MS"/>
          <w:b/>
          <w:bCs/>
          <w:i/>
          <w:iCs/>
          <w:noProof/>
        </w:rPr>
        <w:t xml:space="preserve">): </w:t>
      </w:r>
      <w:r w:rsidR="001D54E7" w:rsidRPr="00870E8E">
        <w:rPr>
          <w:rFonts w:eastAsia="Arial Unicode MS"/>
          <w:b/>
          <w:bCs/>
          <w:i/>
          <w:iCs/>
          <w:noProof/>
        </w:rPr>
        <w:t>Article 11 – Reporting</w:t>
      </w:r>
    </w:p>
    <w:p w14:paraId="4177773E" w14:textId="77777777" w:rsidR="001D54E7" w:rsidRPr="00870E8E" w:rsidRDefault="001D54E7" w:rsidP="001D54E7">
      <w:pPr>
        <w:pBdr>
          <w:top w:val="nil"/>
          <w:left w:val="nil"/>
          <w:bottom w:val="nil"/>
          <w:right w:val="nil"/>
          <w:between w:val="nil"/>
          <w:bar w:val="nil"/>
        </w:pBdr>
        <w:spacing w:before="0" w:after="240"/>
        <w:rPr>
          <w:rFonts w:eastAsia="Arial Unicode MS"/>
          <w:noProof/>
        </w:rPr>
      </w:pPr>
      <w:r w:rsidRPr="00870E8E">
        <w:rPr>
          <w:rFonts w:eastAsia="Arial Unicode MS"/>
          <w:noProof/>
        </w:rPr>
        <w:t>The existing point (c) of paragraph 2 is amended to include information on Article 7gc. </w:t>
      </w:r>
    </w:p>
    <w:p w14:paraId="1F265314" w14:textId="77777777" w:rsidR="00BE5184" w:rsidRPr="00870E8E" w:rsidRDefault="00344B72" w:rsidP="00796A9D">
      <w:pPr>
        <w:pBdr>
          <w:top w:val="nil"/>
          <w:left w:val="nil"/>
          <w:bottom w:val="nil"/>
          <w:right w:val="nil"/>
          <w:between w:val="nil"/>
          <w:bar w:val="nil"/>
        </w:pBdr>
        <w:spacing w:before="0" w:after="240"/>
        <w:rPr>
          <w:rFonts w:eastAsia="Arial Unicode MS"/>
          <w:b/>
          <w:bCs/>
          <w:i/>
          <w:iCs/>
          <w:noProof/>
        </w:rPr>
      </w:pPr>
      <w:r w:rsidRPr="00870E8E">
        <w:rPr>
          <w:rFonts w:eastAsia="Arial Unicode MS"/>
          <w:b/>
          <w:bCs/>
          <w:i/>
          <w:iCs/>
          <w:noProof/>
        </w:rPr>
        <w:t>Article 1(</w:t>
      </w:r>
      <w:r w:rsidR="00EF66FE">
        <w:rPr>
          <w:rFonts w:eastAsia="Arial Unicode MS"/>
          <w:b/>
          <w:bCs/>
          <w:i/>
          <w:iCs/>
          <w:noProof/>
        </w:rPr>
        <w:t>7</w:t>
      </w:r>
      <w:r w:rsidRPr="00870E8E">
        <w:rPr>
          <w:rFonts w:eastAsia="Arial Unicode MS"/>
          <w:b/>
          <w:bCs/>
          <w:i/>
          <w:iCs/>
          <w:noProof/>
        </w:rPr>
        <w:t xml:space="preserve">) </w:t>
      </w:r>
    </w:p>
    <w:p w14:paraId="1C4DD9AB" w14:textId="77777777" w:rsidR="001D54E7" w:rsidRPr="00870E8E" w:rsidRDefault="001D54E7" w:rsidP="00796A9D">
      <w:pPr>
        <w:pBdr>
          <w:top w:val="nil"/>
          <w:left w:val="nil"/>
          <w:bottom w:val="nil"/>
          <w:right w:val="nil"/>
          <w:between w:val="nil"/>
          <w:bar w:val="nil"/>
        </w:pBdr>
        <w:spacing w:before="0" w:after="240"/>
        <w:rPr>
          <w:rFonts w:eastAsia="Arial Unicode MS"/>
          <w:noProof/>
        </w:rPr>
      </w:pPr>
      <w:r w:rsidRPr="00870E8E">
        <w:rPr>
          <w:rFonts w:eastAsia="Arial Unicode MS"/>
          <w:noProof/>
        </w:rPr>
        <w:t xml:space="preserve">New Annex VIII is linked to proposed Article 7gc, regarding the determination of the variation of </w:t>
      </w:r>
      <w:r w:rsidR="00EC677A" w:rsidRPr="00870E8E">
        <w:rPr>
          <w:rFonts w:eastAsia="Arial Unicode MS"/>
          <w:noProof/>
        </w:rPr>
        <w:t xml:space="preserve">road charges </w:t>
      </w:r>
      <w:r w:rsidRPr="00870E8E">
        <w:rPr>
          <w:rFonts w:eastAsia="Arial Unicode MS"/>
          <w:noProof/>
        </w:rPr>
        <w:t>of vehicle combinations.</w:t>
      </w:r>
    </w:p>
    <w:p w14:paraId="71A43FD2" w14:textId="68D8B986" w:rsidR="001D54E7" w:rsidRPr="00870E8E" w:rsidRDefault="000B6083" w:rsidP="000B6083">
      <w:pPr>
        <w:pStyle w:val="Point0"/>
        <w:rPr>
          <w:noProof/>
        </w:rPr>
      </w:pPr>
      <w:r w:rsidRPr="000B6083">
        <w:t>(b)</w:t>
      </w:r>
      <w:r w:rsidRPr="000B6083">
        <w:tab/>
      </w:r>
      <w:r w:rsidR="001D54E7" w:rsidRPr="00870E8E">
        <w:rPr>
          <w:noProof/>
        </w:rPr>
        <w:t>The proposal to amend Directive (EU) 2019/520</w:t>
      </w:r>
      <w:r w:rsidR="00A802B1" w:rsidRPr="00870E8E">
        <w:rPr>
          <w:rStyle w:val="FootnoteReference"/>
          <w:rFonts w:eastAsia="Arial Unicode MS"/>
          <w:noProof/>
        </w:rPr>
        <w:footnoteReference w:id="11"/>
      </w:r>
      <w:r w:rsidR="001D54E7" w:rsidRPr="00870E8E">
        <w:rPr>
          <w:noProof/>
        </w:rPr>
        <w:t xml:space="preserve"> contains the following element:</w:t>
      </w:r>
    </w:p>
    <w:p w14:paraId="45315F2A" w14:textId="77777777" w:rsidR="00BE5184" w:rsidRPr="00870E8E" w:rsidRDefault="00BE5184" w:rsidP="00796A9D">
      <w:pPr>
        <w:pBdr>
          <w:top w:val="nil"/>
          <w:left w:val="nil"/>
          <w:bottom w:val="nil"/>
          <w:right w:val="nil"/>
          <w:between w:val="nil"/>
          <w:bar w:val="nil"/>
        </w:pBdr>
        <w:spacing w:before="0" w:after="240"/>
        <w:rPr>
          <w:rFonts w:eastAsia="Arial Unicode MS"/>
          <w:b/>
          <w:bCs/>
          <w:i/>
          <w:iCs/>
          <w:noProof/>
          <w:lang w:val="en-US"/>
        </w:rPr>
      </w:pPr>
      <w:r w:rsidRPr="00870E8E">
        <w:rPr>
          <w:rFonts w:eastAsia="Arial Unicode MS"/>
          <w:b/>
          <w:bCs/>
          <w:i/>
          <w:iCs/>
          <w:noProof/>
          <w:lang w:val="en-US"/>
        </w:rPr>
        <w:t>Article 2</w:t>
      </w:r>
    </w:p>
    <w:p w14:paraId="121C9C1D" w14:textId="77777777" w:rsidR="001D54E7" w:rsidRPr="00870E8E" w:rsidRDefault="001D54E7" w:rsidP="00796A9D">
      <w:pPr>
        <w:pBdr>
          <w:top w:val="nil"/>
          <w:left w:val="nil"/>
          <w:bottom w:val="nil"/>
          <w:right w:val="nil"/>
          <w:between w:val="nil"/>
          <w:bar w:val="nil"/>
        </w:pBdr>
        <w:spacing w:before="0" w:after="240"/>
        <w:rPr>
          <w:rFonts w:eastAsia="Arial Unicode MS"/>
          <w:noProof/>
        </w:rPr>
      </w:pPr>
      <w:r w:rsidRPr="00870E8E">
        <w:rPr>
          <w:rFonts w:eastAsia="Arial Unicode MS"/>
          <w:noProof/>
          <w:lang w:val="en-US"/>
        </w:rPr>
        <w:t>Annex I is amended to add trailer-related information to facilitate cross-border exchange of information on the failure to pay road fees in the Union</w:t>
      </w:r>
      <w:r w:rsidR="00C3371C" w:rsidRPr="00870E8E">
        <w:rPr>
          <w:rFonts w:eastAsia="Arial Unicode MS"/>
          <w:noProof/>
          <w:lang w:val="en-US"/>
        </w:rPr>
        <w:t>.</w:t>
      </w:r>
    </w:p>
    <w:p w14:paraId="6E9DAD72" w14:textId="1C5E4DBB" w:rsidR="001D54E7" w:rsidRPr="00870E8E" w:rsidRDefault="000B6083" w:rsidP="000B6083">
      <w:pPr>
        <w:pStyle w:val="Point0"/>
        <w:rPr>
          <w:noProof/>
        </w:rPr>
      </w:pPr>
      <w:r w:rsidRPr="000B6083">
        <w:t>(c)</w:t>
      </w:r>
      <w:r w:rsidRPr="000B6083">
        <w:tab/>
      </w:r>
      <w:r w:rsidR="001D54E7" w:rsidRPr="00870E8E">
        <w:rPr>
          <w:noProof/>
        </w:rPr>
        <w:t xml:space="preserve">The proposal to amend </w:t>
      </w:r>
      <w:r w:rsidR="00A802B1" w:rsidRPr="00870E8E">
        <w:rPr>
          <w:noProof/>
        </w:rPr>
        <w:t xml:space="preserve">Council </w:t>
      </w:r>
      <w:r w:rsidR="001D54E7" w:rsidRPr="00F905CE">
        <w:rPr>
          <w:noProof/>
          <w:lang w:val="en-US"/>
        </w:rPr>
        <w:t>Directive 1999/37/EC</w:t>
      </w:r>
      <w:r w:rsidR="00A802B1" w:rsidRPr="00870E8E">
        <w:rPr>
          <w:rStyle w:val="FootnoteReference"/>
          <w:rFonts w:eastAsia="Arial Unicode MS"/>
          <w:noProof/>
          <w:lang w:val="en-US"/>
        </w:rPr>
        <w:footnoteReference w:id="12"/>
      </w:r>
      <w:r w:rsidR="001D54E7" w:rsidRPr="00F905CE">
        <w:rPr>
          <w:noProof/>
          <w:lang w:val="en-US"/>
        </w:rPr>
        <w:t xml:space="preserve"> </w:t>
      </w:r>
      <w:r w:rsidR="001D54E7" w:rsidRPr="00870E8E">
        <w:rPr>
          <w:noProof/>
        </w:rPr>
        <w:t>contains the following element:</w:t>
      </w:r>
    </w:p>
    <w:p w14:paraId="3213CEFF" w14:textId="77777777" w:rsidR="00BE5184" w:rsidRPr="00870E8E" w:rsidRDefault="00BE5184" w:rsidP="00796A9D">
      <w:pPr>
        <w:pBdr>
          <w:top w:val="nil"/>
          <w:left w:val="nil"/>
          <w:bottom w:val="nil"/>
          <w:right w:val="nil"/>
          <w:between w:val="nil"/>
          <w:bar w:val="nil"/>
        </w:pBdr>
        <w:spacing w:before="0" w:after="240"/>
        <w:rPr>
          <w:rFonts w:eastAsia="Arial Unicode MS"/>
          <w:b/>
          <w:bCs/>
          <w:i/>
          <w:iCs/>
          <w:noProof/>
          <w:lang w:val="en-US"/>
        </w:rPr>
      </w:pPr>
      <w:r w:rsidRPr="00870E8E">
        <w:rPr>
          <w:rFonts w:eastAsia="Arial Unicode MS"/>
          <w:b/>
          <w:bCs/>
          <w:i/>
          <w:iCs/>
          <w:noProof/>
          <w:lang w:val="en-US"/>
        </w:rPr>
        <w:t>Article 3</w:t>
      </w:r>
    </w:p>
    <w:p w14:paraId="3CF8EBB9" w14:textId="77777777" w:rsidR="001D54E7" w:rsidRPr="00870E8E" w:rsidRDefault="001D54E7" w:rsidP="00796A9D">
      <w:pPr>
        <w:pBdr>
          <w:top w:val="nil"/>
          <w:left w:val="nil"/>
          <w:bottom w:val="nil"/>
          <w:right w:val="nil"/>
          <w:between w:val="nil"/>
          <w:bar w:val="nil"/>
        </w:pBdr>
        <w:spacing w:before="0" w:after="240"/>
        <w:rPr>
          <w:rFonts w:eastAsia="Arial Unicode MS"/>
          <w:noProof/>
        </w:rPr>
      </w:pPr>
      <w:r w:rsidRPr="00870E8E">
        <w:rPr>
          <w:rFonts w:eastAsia="Arial Unicode MS"/>
          <w:noProof/>
          <w:lang w:val="en-US"/>
        </w:rPr>
        <w:t xml:space="preserve">Annex I is amended to give the possibility to Member State to add the efficiency ratio of </w:t>
      </w:r>
      <w:r w:rsidR="00FF75DE" w:rsidRPr="00870E8E">
        <w:rPr>
          <w:rFonts w:eastAsia="Arial Unicode MS"/>
          <w:noProof/>
          <w:lang w:val="en-US"/>
        </w:rPr>
        <w:t>trailers</w:t>
      </w:r>
      <w:r w:rsidRPr="00870E8E">
        <w:rPr>
          <w:rFonts w:eastAsia="Arial Unicode MS"/>
          <w:noProof/>
          <w:lang w:val="en-US"/>
        </w:rPr>
        <w:t xml:space="preserve"> </w:t>
      </w:r>
      <w:r w:rsidR="00C3371C" w:rsidRPr="00870E8E">
        <w:rPr>
          <w:rFonts w:eastAsia="Arial Unicode MS"/>
          <w:noProof/>
          <w:lang w:val="en-US"/>
        </w:rPr>
        <w:t xml:space="preserve">and their trailer class </w:t>
      </w:r>
      <w:r w:rsidRPr="00870E8E">
        <w:rPr>
          <w:rFonts w:eastAsia="Arial Unicode MS"/>
          <w:noProof/>
          <w:lang w:val="en-US"/>
        </w:rPr>
        <w:t>to the vehicle registration certificate</w:t>
      </w:r>
      <w:r w:rsidR="00F2365A">
        <w:rPr>
          <w:rFonts w:eastAsia="Arial Unicode MS"/>
          <w:noProof/>
          <w:lang w:val="en-US"/>
        </w:rPr>
        <w:t>.</w:t>
      </w:r>
    </w:p>
    <w:p w14:paraId="3477DEF1" w14:textId="77777777" w:rsidR="001D54E7" w:rsidRPr="00AC7E92" w:rsidRDefault="001D54E7" w:rsidP="00A92ADB">
      <w:pPr>
        <w:spacing w:before="0" w:after="0"/>
        <w:jc w:val="left"/>
        <w:rPr>
          <w:noProof/>
        </w:rPr>
        <w:sectPr w:rsidR="001D54E7" w:rsidRPr="00AC7E92" w:rsidSect="00AF4524">
          <w:footerReference w:type="default" r:id="rId25"/>
          <w:footerReference w:type="first" r:id="rId26"/>
          <w:footnotePr>
            <w:numRestart w:val="eachSect"/>
          </w:footnotePr>
          <w:pgSz w:w="11907" w:h="16839"/>
          <w:pgMar w:top="1134" w:right="1417" w:bottom="1134" w:left="1417" w:header="709" w:footer="709" w:gutter="0"/>
          <w:cols w:space="708"/>
          <w:docGrid w:linePitch="360"/>
        </w:sectPr>
      </w:pPr>
    </w:p>
    <w:p w14:paraId="75B08902" w14:textId="0E29EDFB" w:rsidR="001D54E7" w:rsidRPr="001D54E7" w:rsidRDefault="00671473" w:rsidP="00671473">
      <w:pPr>
        <w:pStyle w:val="Rfrenceinterinstitutionnelle"/>
        <w:rPr>
          <w:noProof/>
        </w:rPr>
      </w:pPr>
      <w:r w:rsidRPr="00671473">
        <w:t>2023/0134 (COD)</w:t>
      </w:r>
    </w:p>
    <w:p w14:paraId="1084FA2E" w14:textId="77777777" w:rsidR="001D54E7" w:rsidRPr="00AC7E92" w:rsidRDefault="00D70C61" w:rsidP="00D70C61">
      <w:pPr>
        <w:pStyle w:val="Statut"/>
        <w:rPr>
          <w:noProof/>
        </w:rPr>
      </w:pPr>
      <w:r w:rsidRPr="00D70C61">
        <w:rPr>
          <w:noProof/>
        </w:rPr>
        <w:t>Proposal for a</w:t>
      </w:r>
    </w:p>
    <w:p w14:paraId="587E7247" w14:textId="77777777" w:rsidR="001D54E7" w:rsidRPr="00AC7E92" w:rsidRDefault="00D70C61" w:rsidP="00D70C61">
      <w:pPr>
        <w:pStyle w:val="Typedudocument"/>
        <w:rPr>
          <w:noProof/>
        </w:rPr>
      </w:pPr>
      <w:r w:rsidRPr="00D70C61">
        <w:rPr>
          <w:noProof/>
        </w:rPr>
        <w:t>DIRECTIVE OF THE EUROPEAN PARLIAMENT AND OF THE COUNCIL</w:t>
      </w:r>
    </w:p>
    <w:p w14:paraId="05F2F725" w14:textId="77777777" w:rsidR="001D54E7" w:rsidRPr="00AC7E92" w:rsidRDefault="00D70C61" w:rsidP="00D70C61">
      <w:pPr>
        <w:pStyle w:val="Titreobjet"/>
        <w:rPr>
          <w:noProof/>
        </w:rPr>
      </w:pPr>
      <w:r w:rsidRPr="00D70C61">
        <w:rPr>
          <w:noProof/>
        </w:rPr>
        <w:t>amending Directive 1999/62/EC, Council Directive 1999/37/EC and Directive (EU) 2019/520 as regards the CO2 emission class of heavy-duty vehicles with trailers</w:t>
      </w:r>
      <w:r w:rsidRPr="00D70C61">
        <w:rPr>
          <w:noProof/>
        </w:rPr>
        <w:br/>
      </w:r>
    </w:p>
    <w:p w14:paraId="550008C1" w14:textId="77777777" w:rsidR="001D54E7" w:rsidRPr="009E26D7" w:rsidRDefault="001D54E7" w:rsidP="00A92ADB">
      <w:pPr>
        <w:pStyle w:val="Institutionquiagit"/>
        <w:rPr>
          <w:noProof/>
        </w:rPr>
      </w:pPr>
      <w:r w:rsidRPr="009E26D7">
        <w:rPr>
          <w:noProof/>
        </w:rPr>
        <w:t xml:space="preserve">THE EUROPEAN PARLIAMENT AND THE COUNCIL OF THE EUROPEAN </w:t>
      </w:r>
      <w:smartTag w:uri="urn:schemas-microsoft-com:office:smarttags" w:element="place">
        <w:r w:rsidRPr="009E26D7">
          <w:rPr>
            <w:noProof/>
          </w:rPr>
          <w:t>UNION</w:t>
        </w:r>
      </w:smartTag>
      <w:r w:rsidRPr="009E26D7">
        <w:rPr>
          <w:noProof/>
        </w:rPr>
        <w:t>,</w:t>
      </w:r>
    </w:p>
    <w:p w14:paraId="7D5CA46F" w14:textId="77777777" w:rsidR="001D54E7" w:rsidRPr="009E26D7" w:rsidRDefault="001D54E7" w:rsidP="00A92ADB">
      <w:pPr>
        <w:rPr>
          <w:noProof/>
        </w:rPr>
      </w:pPr>
      <w:r w:rsidRPr="009E26D7">
        <w:rPr>
          <w:noProof/>
        </w:rPr>
        <w:t>Having regard to the Treaty on the Functioning of the European Union, and in particular Article </w:t>
      </w:r>
      <w:r w:rsidRPr="0012617C">
        <w:rPr>
          <w:noProof/>
        </w:rPr>
        <w:t>91(1)</w:t>
      </w:r>
      <w:r w:rsidRPr="009E26D7">
        <w:rPr>
          <w:noProof/>
        </w:rPr>
        <w:t xml:space="preserve"> thereof,</w:t>
      </w:r>
    </w:p>
    <w:p w14:paraId="661D2BBC" w14:textId="77777777" w:rsidR="001D54E7" w:rsidRPr="009E26D7" w:rsidRDefault="001D54E7" w:rsidP="00A92ADB">
      <w:pPr>
        <w:rPr>
          <w:noProof/>
        </w:rPr>
      </w:pPr>
      <w:r w:rsidRPr="009E26D7">
        <w:rPr>
          <w:noProof/>
        </w:rPr>
        <w:t>Having regard to the proposal from the European Commission,</w:t>
      </w:r>
    </w:p>
    <w:p w14:paraId="0823BD6B" w14:textId="77777777" w:rsidR="0030713E" w:rsidRPr="009E26D7" w:rsidRDefault="001D54E7" w:rsidP="00A92ADB">
      <w:pPr>
        <w:rPr>
          <w:noProof/>
        </w:rPr>
      </w:pPr>
      <w:r w:rsidRPr="009E26D7">
        <w:rPr>
          <w:noProof/>
        </w:rPr>
        <w:t>After transmission of the draft legislative act to the national parliaments,</w:t>
      </w:r>
    </w:p>
    <w:p w14:paraId="5E26577C" w14:textId="77777777" w:rsidR="0030713E" w:rsidRPr="009E26D7" w:rsidRDefault="0030713E" w:rsidP="0030713E">
      <w:pPr>
        <w:rPr>
          <w:noProof/>
        </w:rPr>
      </w:pPr>
      <w:r w:rsidRPr="009E26D7">
        <w:rPr>
          <w:noProof/>
        </w:rPr>
        <w:t>Having regard to the opinion of the European Economic and Social Committee</w:t>
      </w:r>
      <w:r w:rsidR="00F153BA" w:rsidRPr="009E26D7">
        <w:rPr>
          <w:rStyle w:val="FootnoteReference"/>
          <w:noProof/>
        </w:rPr>
        <w:footnoteReference w:id="13"/>
      </w:r>
      <w:r w:rsidRPr="009E26D7">
        <w:rPr>
          <w:noProof/>
        </w:rPr>
        <w:t>,</w:t>
      </w:r>
    </w:p>
    <w:p w14:paraId="7FF710ED" w14:textId="77777777" w:rsidR="001D54E7" w:rsidRDefault="0030713E" w:rsidP="00A92ADB">
      <w:pPr>
        <w:rPr>
          <w:noProof/>
        </w:rPr>
      </w:pPr>
      <w:r w:rsidRPr="006D561D">
        <w:rPr>
          <w:noProof/>
        </w:rPr>
        <w:t>Having regard to the opinion of the Committee of the Regions</w:t>
      </w:r>
      <w:r w:rsidR="00BF6259" w:rsidRPr="006D561D">
        <w:rPr>
          <w:rStyle w:val="FootnoteReference"/>
          <w:noProof/>
        </w:rPr>
        <w:footnoteReference w:id="14"/>
      </w:r>
      <w:r w:rsidRPr="006D561D">
        <w:rPr>
          <w:noProof/>
        </w:rPr>
        <w:t>,</w:t>
      </w:r>
    </w:p>
    <w:p w14:paraId="44514EFB" w14:textId="77777777" w:rsidR="001D54E7" w:rsidRPr="00AC7E92" w:rsidRDefault="001D54E7" w:rsidP="00A92ADB">
      <w:pPr>
        <w:rPr>
          <w:noProof/>
        </w:rPr>
      </w:pPr>
      <w:r w:rsidRPr="00AC7E92">
        <w:rPr>
          <w:noProof/>
        </w:rPr>
        <w:t>Acting in accordance with the ordinary legislative procedure,</w:t>
      </w:r>
    </w:p>
    <w:p w14:paraId="7E4FC8D3" w14:textId="77777777" w:rsidR="001D54E7" w:rsidRPr="00F83198" w:rsidRDefault="001D54E7" w:rsidP="00A92ADB">
      <w:pPr>
        <w:rPr>
          <w:noProof/>
          <w:color w:val="000000" w:themeColor="text1"/>
        </w:rPr>
      </w:pPr>
      <w:r w:rsidRPr="00AC7E92">
        <w:rPr>
          <w:noProof/>
        </w:rPr>
        <w:t>Whereas:</w:t>
      </w:r>
    </w:p>
    <w:p w14:paraId="55D83818" w14:textId="0CEDDDB0" w:rsidR="007272E2" w:rsidRPr="00BE28DF" w:rsidRDefault="000B6083" w:rsidP="000B6083">
      <w:pPr>
        <w:pStyle w:val="ManualConsidrant"/>
        <w:rPr>
          <w:noProof/>
        </w:rPr>
      </w:pPr>
      <w:r w:rsidRPr="000B6083">
        <w:t>(1)</w:t>
      </w:r>
      <w:r w:rsidRPr="000B6083">
        <w:tab/>
      </w:r>
      <w:r w:rsidR="00F719CB" w:rsidRPr="00BE28DF">
        <w:rPr>
          <w:noProof/>
        </w:rPr>
        <w:t xml:space="preserve">The adoption of </w:t>
      </w:r>
      <w:r w:rsidR="0025762F" w:rsidRPr="00BE28DF">
        <w:rPr>
          <w:noProof/>
        </w:rPr>
        <w:t>Directive (EU) 2022/362 of the European Parliament and of the Council</w:t>
      </w:r>
      <w:r w:rsidR="00941B0E" w:rsidRPr="008020EA">
        <w:rPr>
          <w:rStyle w:val="FootnoteReference"/>
          <w:b/>
          <w:noProof/>
        </w:rPr>
        <w:footnoteReference w:id="15"/>
      </w:r>
      <w:r w:rsidR="001436E8" w:rsidRPr="00BE28DF">
        <w:rPr>
          <w:noProof/>
        </w:rPr>
        <w:t xml:space="preserve"> </w:t>
      </w:r>
      <w:r w:rsidR="004E104E" w:rsidRPr="00BE28DF">
        <w:rPr>
          <w:noProof/>
        </w:rPr>
        <w:t>strengthened</w:t>
      </w:r>
      <w:r w:rsidR="0025762F" w:rsidRPr="00BE28DF">
        <w:rPr>
          <w:noProof/>
        </w:rPr>
        <w:t xml:space="preserve"> the </w:t>
      </w:r>
      <w:r w:rsidR="004E104E" w:rsidRPr="00BE28DF">
        <w:rPr>
          <w:noProof/>
        </w:rPr>
        <w:t xml:space="preserve">‘polluter pays’ and ‘user pays’ principles through the introduction of mandatory charging on the basis of CO2 </w:t>
      </w:r>
      <w:r w:rsidR="008037AC" w:rsidRPr="00BE28DF">
        <w:rPr>
          <w:noProof/>
        </w:rPr>
        <w:t>emissions</w:t>
      </w:r>
      <w:r w:rsidR="004E104E" w:rsidRPr="00BE28DF">
        <w:rPr>
          <w:noProof/>
        </w:rPr>
        <w:t xml:space="preserve">, either by </w:t>
      </w:r>
      <w:r w:rsidR="00E53254" w:rsidRPr="00BE28DF">
        <w:rPr>
          <w:noProof/>
        </w:rPr>
        <w:t>varying</w:t>
      </w:r>
      <w:r w:rsidR="004E104E" w:rsidRPr="00BE28DF">
        <w:rPr>
          <w:noProof/>
        </w:rPr>
        <w:t xml:space="preserve"> the infrastructure and user charges according to vehicles’ CO2 emissions or by </w:t>
      </w:r>
      <w:r w:rsidR="00F719CB" w:rsidRPr="00BE28DF">
        <w:rPr>
          <w:noProof/>
        </w:rPr>
        <w:t>applying</w:t>
      </w:r>
      <w:r w:rsidR="004E104E" w:rsidRPr="00BE28DF">
        <w:rPr>
          <w:noProof/>
        </w:rPr>
        <w:t xml:space="preserve"> an external-cost charge for CO2 emissions.</w:t>
      </w:r>
      <w:r w:rsidR="00F719CB" w:rsidRPr="00BE28DF">
        <w:rPr>
          <w:noProof/>
        </w:rPr>
        <w:t xml:space="preserve"> </w:t>
      </w:r>
      <w:r w:rsidR="007272E2" w:rsidRPr="00BE28DF">
        <w:rPr>
          <w:noProof/>
        </w:rPr>
        <w:t xml:space="preserve">Currently, </w:t>
      </w:r>
      <w:r w:rsidR="00EC677A" w:rsidRPr="00BE28DF">
        <w:rPr>
          <w:noProof/>
        </w:rPr>
        <w:t xml:space="preserve">road charges </w:t>
      </w:r>
      <w:r w:rsidR="00F719CB" w:rsidRPr="00BE28DF">
        <w:rPr>
          <w:noProof/>
        </w:rPr>
        <w:t xml:space="preserve">of vehicle combinations comprising a motor vehicle and a </w:t>
      </w:r>
      <w:r w:rsidR="00BF1D69" w:rsidRPr="00BE28DF">
        <w:rPr>
          <w:noProof/>
        </w:rPr>
        <w:t>trailer</w:t>
      </w:r>
      <w:r w:rsidR="00F719CB" w:rsidRPr="00BE28DF">
        <w:rPr>
          <w:noProof/>
        </w:rPr>
        <w:t xml:space="preserve"> </w:t>
      </w:r>
      <w:r w:rsidR="007272E2" w:rsidRPr="00BE28DF">
        <w:rPr>
          <w:noProof/>
        </w:rPr>
        <w:t xml:space="preserve">are variated on the basis of the CO2 emissions of the motor vehicle, </w:t>
      </w:r>
      <w:r w:rsidR="00030498" w:rsidRPr="00BE28DF">
        <w:rPr>
          <w:noProof/>
        </w:rPr>
        <w:t xml:space="preserve">irrespective </w:t>
      </w:r>
      <w:r w:rsidR="007272E2" w:rsidRPr="00BE28DF">
        <w:rPr>
          <w:noProof/>
        </w:rPr>
        <w:t xml:space="preserve">of </w:t>
      </w:r>
      <w:r w:rsidR="00030498" w:rsidRPr="00BE28DF">
        <w:rPr>
          <w:noProof/>
        </w:rPr>
        <w:t xml:space="preserve">the </w:t>
      </w:r>
      <w:r w:rsidR="00E53254" w:rsidRPr="00BE28DF">
        <w:rPr>
          <w:noProof/>
        </w:rPr>
        <w:t>characteristics of the linked</w:t>
      </w:r>
      <w:r w:rsidR="00030498" w:rsidRPr="00BE28DF">
        <w:rPr>
          <w:noProof/>
        </w:rPr>
        <w:t xml:space="preserve"> </w:t>
      </w:r>
      <w:r w:rsidR="00BF1D69" w:rsidRPr="00BE28DF">
        <w:rPr>
          <w:noProof/>
        </w:rPr>
        <w:t>trailer</w:t>
      </w:r>
      <w:r w:rsidR="00E53254" w:rsidRPr="00BE28DF">
        <w:rPr>
          <w:noProof/>
        </w:rPr>
        <w:t>, notably</w:t>
      </w:r>
      <w:r w:rsidR="00030498" w:rsidRPr="00BE28DF">
        <w:rPr>
          <w:noProof/>
        </w:rPr>
        <w:t xml:space="preserve"> of its effect </w:t>
      </w:r>
      <w:r w:rsidR="007272E2" w:rsidRPr="00BE28DF">
        <w:rPr>
          <w:noProof/>
        </w:rPr>
        <w:t xml:space="preserve">on the </w:t>
      </w:r>
      <w:r w:rsidR="00030498" w:rsidRPr="00BE28DF">
        <w:rPr>
          <w:noProof/>
        </w:rPr>
        <w:t xml:space="preserve">CO2 </w:t>
      </w:r>
      <w:r w:rsidR="007272E2" w:rsidRPr="00BE28DF">
        <w:rPr>
          <w:noProof/>
        </w:rPr>
        <w:t>emissions</w:t>
      </w:r>
      <w:r w:rsidR="008037AC" w:rsidRPr="00BE28DF">
        <w:rPr>
          <w:noProof/>
        </w:rPr>
        <w:t xml:space="preserve"> </w:t>
      </w:r>
      <w:r w:rsidR="00030498" w:rsidRPr="00BE28DF">
        <w:rPr>
          <w:noProof/>
        </w:rPr>
        <w:t xml:space="preserve">of the </w:t>
      </w:r>
      <w:r w:rsidR="008037AC" w:rsidRPr="00BE28DF">
        <w:rPr>
          <w:noProof/>
        </w:rPr>
        <w:t>vehi</w:t>
      </w:r>
      <w:r w:rsidR="00030498" w:rsidRPr="00BE28DF">
        <w:rPr>
          <w:noProof/>
        </w:rPr>
        <w:t>cle combination</w:t>
      </w:r>
      <w:r w:rsidR="007272E2" w:rsidRPr="00BE28DF">
        <w:rPr>
          <w:noProof/>
        </w:rPr>
        <w:t xml:space="preserve">. </w:t>
      </w:r>
    </w:p>
    <w:p w14:paraId="62ECCADB" w14:textId="32414481" w:rsidR="008037AC" w:rsidRPr="00BE28DF" w:rsidRDefault="000B6083" w:rsidP="000B6083">
      <w:pPr>
        <w:pStyle w:val="ManualConsidrant"/>
        <w:rPr>
          <w:noProof/>
        </w:rPr>
      </w:pPr>
      <w:r w:rsidRPr="000B6083">
        <w:t>(2)</w:t>
      </w:r>
      <w:r w:rsidRPr="000B6083">
        <w:tab/>
      </w:r>
      <w:r w:rsidR="008037AC" w:rsidRPr="00BE28DF">
        <w:rPr>
          <w:noProof/>
        </w:rPr>
        <w:t>Although a trailer does not consume energy by itself, it</w:t>
      </w:r>
      <w:r w:rsidR="00FA2472" w:rsidRPr="00BE28DF">
        <w:rPr>
          <w:noProof/>
        </w:rPr>
        <w:t xml:space="preserve"> requires</w:t>
      </w:r>
      <w:r w:rsidR="008037AC" w:rsidRPr="00BE28DF">
        <w:rPr>
          <w:noProof/>
        </w:rPr>
        <w:t xml:space="preserve"> energy from the towing motor vehicle to be moved. The optimization of the energy efficiency of </w:t>
      </w:r>
      <w:r w:rsidR="00FF75DE" w:rsidRPr="00BE28DF">
        <w:rPr>
          <w:noProof/>
        </w:rPr>
        <w:t>trailers</w:t>
      </w:r>
      <w:r w:rsidR="00030498" w:rsidRPr="00BE28DF">
        <w:rPr>
          <w:noProof/>
        </w:rPr>
        <w:t xml:space="preserve"> leads to the reduction of</w:t>
      </w:r>
      <w:r w:rsidR="008037AC" w:rsidRPr="00BE28DF">
        <w:rPr>
          <w:noProof/>
        </w:rPr>
        <w:t xml:space="preserve"> the </w:t>
      </w:r>
      <w:r w:rsidR="009A5167" w:rsidRPr="00BE28DF">
        <w:rPr>
          <w:noProof/>
        </w:rPr>
        <w:t xml:space="preserve">CO2 </w:t>
      </w:r>
      <w:r w:rsidR="008037AC" w:rsidRPr="00BE28DF">
        <w:rPr>
          <w:noProof/>
        </w:rPr>
        <w:t xml:space="preserve">emissions of conventional vehicles </w:t>
      </w:r>
      <w:r w:rsidR="00030498" w:rsidRPr="00BE28DF">
        <w:rPr>
          <w:noProof/>
        </w:rPr>
        <w:t xml:space="preserve">and </w:t>
      </w:r>
      <w:r w:rsidR="00E53254" w:rsidRPr="00BE28DF">
        <w:rPr>
          <w:noProof/>
        </w:rPr>
        <w:t xml:space="preserve">to </w:t>
      </w:r>
      <w:r w:rsidR="00030498" w:rsidRPr="00BE28DF">
        <w:rPr>
          <w:noProof/>
        </w:rPr>
        <w:t>the increase in</w:t>
      </w:r>
      <w:r w:rsidR="008037AC" w:rsidRPr="00BE28DF">
        <w:rPr>
          <w:noProof/>
        </w:rPr>
        <w:t xml:space="preserve"> vehicles</w:t>
      </w:r>
      <w:r w:rsidR="0050673C" w:rsidRPr="00BE28DF">
        <w:rPr>
          <w:noProof/>
        </w:rPr>
        <w:t>’</w:t>
      </w:r>
      <w:r w:rsidR="008037AC" w:rsidRPr="00BE28DF">
        <w:rPr>
          <w:noProof/>
        </w:rPr>
        <w:t xml:space="preserve"> </w:t>
      </w:r>
      <w:r w:rsidR="00C04383" w:rsidRPr="00BE28DF">
        <w:rPr>
          <w:noProof/>
        </w:rPr>
        <w:t>autonomy</w:t>
      </w:r>
      <w:r w:rsidR="008037AC" w:rsidRPr="00BE28DF">
        <w:rPr>
          <w:noProof/>
        </w:rPr>
        <w:t xml:space="preserve">. </w:t>
      </w:r>
      <w:r w:rsidR="00030498" w:rsidRPr="00BE28DF">
        <w:rPr>
          <w:noProof/>
        </w:rPr>
        <w:t>Such</w:t>
      </w:r>
      <w:r w:rsidR="008037AC" w:rsidRPr="00BE28DF">
        <w:rPr>
          <w:noProof/>
        </w:rPr>
        <w:t xml:space="preserve"> optimization </w:t>
      </w:r>
      <w:r w:rsidR="0050673C" w:rsidRPr="00BE28DF">
        <w:rPr>
          <w:noProof/>
        </w:rPr>
        <w:t xml:space="preserve">of </w:t>
      </w:r>
      <w:r w:rsidR="008037AC" w:rsidRPr="00BE28DF">
        <w:rPr>
          <w:noProof/>
        </w:rPr>
        <w:t xml:space="preserve">trailers </w:t>
      </w:r>
      <w:r w:rsidR="0050673C" w:rsidRPr="00BE28DF">
        <w:rPr>
          <w:noProof/>
        </w:rPr>
        <w:t xml:space="preserve">derives from </w:t>
      </w:r>
      <w:r w:rsidR="008037AC" w:rsidRPr="00BE28DF">
        <w:rPr>
          <w:noProof/>
        </w:rPr>
        <w:t>the improvements of aerodynamic performance, rolling resistance and weight</w:t>
      </w:r>
      <w:r w:rsidR="00030498" w:rsidRPr="00BE28DF">
        <w:rPr>
          <w:noProof/>
        </w:rPr>
        <w:t xml:space="preserve"> of </w:t>
      </w:r>
      <w:r w:rsidR="00FF75DE" w:rsidRPr="00BE28DF">
        <w:rPr>
          <w:noProof/>
        </w:rPr>
        <w:t>trailers</w:t>
      </w:r>
      <w:r w:rsidR="008037AC" w:rsidRPr="00BE28DF">
        <w:rPr>
          <w:noProof/>
        </w:rPr>
        <w:t xml:space="preserve">. The energy efficiency potential is </w:t>
      </w:r>
      <w:r w:rsidR="00030498" w:rsidRPr="00BE28DF">
        <w:rPr>
          <w:noProof/>
        </w:rPr>
        <w:t xml:space="preserve">around </w:t>
      </w:r>
      <w:r w:rsidR="008037AC" w:rsidRPr="00BE28DF">
        <w:rPr>
          <w:noProof/>
        </w:rPr>
        <w:t>7,5</w:t>
      </w:r>
      <w:r w:rsidR="00A92ADB" w:rsidRPr="00BE28DF">
        <w:rPr>
          <w:noProof/>
        </w:rPr>
        <w:t xml:space="preserve">% for </w:t>
      </w:r>
      <w:r w:rsidR="00DB2C4E" w:rsidRPr="00BE28DF">
        <w:rPr>
          <w:noProof/>
        </w:rPr>
        <w:t>d</w:t>
      </w:r>
      <w:r w:rsidR="008037AC" w:rsidRPr="00BE28DF">
        <w:rPr>
          <w:noProof/>
        </w:rPr>
        <w:t>rawbar trailers and 15% for semi-trailers</w:t>
      </w:r>
      <w:r w:rsidR="00FE02B5" w:rsidRPr="00BE28DF">
        <w:rPr>
          <w:noProof/>
        </w:rPr>
        <w:t xml:space="preserve"> as compared to a reference trailer of the year 2020</w:t>
      </w:r>
      <w:r w:rsidR="008037AC" w:rsidRPr="00BE28DF">
        <w:rPr>
          <w:noProof/>
        </w:rPr>
        <w:t>.</w:t>
      </w:r>
      <w:r w:rsidR="00E407FE" w:rsidRPr="00BE28DF">
        <w:rPr>
          <w:noProof/>
        </w:rPr>
        <w:t xml:space="preserve"> </w:t>
      </w:r>
      <w:r w:rsidR="008037AC" w:rsidRPr="00BE28DF">
        <w:rPr>
          <w:noProof/>
        </w:rPr>
        <w:t xml:space="preserve">Therefore, </w:t>
      </w:r>
      <w:r w:rsidR="00FF75DE" w:rsidRPr="00BE28DF">
        <w:rPr>
          <w:noProof/>
        </w:rPr>
        <w:t>trailers</w:t>
      </w:r>
      <w:r w:rsidR="008037AC" w:rsidRPr="00BE28DF">
        <w:rPr>
          <w:noProof/>
        </w:rPr>
        <w:t xml:space="preserve"> </w:t>
      </w:r>
      <w:r w:rsidR="00F600BA" w:rsidRPr="00BE28DF">
        <w:rPr>
          <w:noProof/>
        </w:rPr>
        <w:t>could</w:t>
      </w:r>
      <w:r w:rsidR="008037AC" w:rsidRPr="00BE28DF">
        <w:rPr>
          <w:noProof/>
        </w:rPr>
        <w:t xml:space="preserve"> play an important role in the decarbonisation of the</w:t>
      </w:r>
      <w:r w:rsidR="00E407FE" w:rsidRPr="00BE28DF">
        <w:rPr>
          <w:noProof/>
        </w:rPr>
        <w:t xml:space="preserve"> road freight transport</w:t>
      </w:r>
      <w:r w:rsidR="008037AC" w:rsidRPr="00BE28DF">
        <w:rPr>
          <w:noProof/>
        </w:rPr>
        <w:t xml:space="preserve"> sector.</w:t>
      </w:r>
      <w:r w:rsidR="00030498" w:rsidRPr="00BE28DF">
        <w:rPr>
          <w:noProof/>
        </w:rPr>
        <w:t xml:space="preserve"> However, </w:t>
      </w:r>
      <w:r w:rsidR="009462DA" w:rsidRPr="00BE28DF">
        <w:rPr>
          <w:noProof/>
        </w:rPr>
        <w:t xml:space="preserve">the </w:t>
      </w:r>
      <w:r w:rsidR="00030498" w:rsidRPr="00BE28DF">
        <w:rPr>
          <w:noProof/>
        </w:rPr>
        <w:t>market uptake of</w:t>
      </w:r>
      <w:r w:rsidR="008037AC" w:rsidRPr="00BE28DF">
        <w:rPr>
          <w:noProof/>
        </w:rPr>
        <w:t xml:space="preserve"> more efficient </w:t>
      </w:r>
      <w:r w:rsidR="00FF75DE" w:rsidRPr="00BE28DF">
        <w:rPr>
          <w:noProof/>
        </w:rPr>
        <w:t>trailers</w:t>
      </w:r>
      <w:r w:rsidR="008037AC" w:rsidRPr="00BE28DF">
        <w:rPr>
          <w:noProof/>
        </w:rPr>
        <w:t xml:space="preserve"> </w:t>
      </w:r>
      <w:r w:rsidR="009462DA" w:rsidRPr="00BE28DF">
        <w:rPr>
          <w:noProof/>
        </w:rPr>
        <w:t>is hampered by their higher prices and</w:t>
      </w:r>
      <w:r w:rsidR="007A1B42" w:rsidRPr="00BE28DF">
        <w:rPr>
          <w:noProof/>
        </w:rPr>
        <w:t xml:space="preserve"> by</w:t>
      </w:r>
      <w:r w:rsidR="009462DA" w:rsidRPr="00BE28DF">
        <w:rPr>
          <w:noProof/>
        </w:rPr>
        <w:t xml:space="preserve"> the fact that until now buyers of trailers have not been able to compare different trailers in terms of their energy efficiency.</w:t>
      </w:r>
      <w:r w:rsidR="00FB2677" w:rsidRPr="00BE28DF">
        <w:rPr>
          <w:noProof/>
        </w:rPr>
        <w:t xml:space="preserve"> This leads to a limited availability of energy efficient trailers on the market. Aerodynamic devices are already available on the market and will become more available in the future, but they are not commonly used in the current </w:t>
      </w:r>
      <w:r w:rsidR="006D36D1" w:rsidRPr="00BE28DF">
        <w:rPr>
          <w:noProof/>
        </w:rPr>
        <w:t xml:space="preserve">Union </w:t>
      </w:r>
      <w:r w:rsidR="00FB2677" w:rsidRPr="00BE28DF">
        <w:rPr>
          <w:noProof/>
        </w:rPr>
        <w:t>fleet.</w:t>
      </w:r>
    </w:p>
    <w:p w14:paraId="312F211B" w14:textId="178A5DE8" w:rsidR="007C1796" w:rsidRPr="00BE28DF" w:rsidRDefault="000B6083" w:rsidP="000B6083">
      <w:pPr>
        <w:pStyle w:val="ManualConsidrant"/>
        <w:rPr>
          <w:noProof/>
        </w:rPr>
      </w:pPr>
      <w:r w:rsidRPr="000B6083">
        <w:t>(3)</w:t>
      </w:r>
      <w:r w:rsidRPr="000B6083">
        <w:tab/>
      </w:r>
      <w:r w:rsidR="00E153B6" w:rsidRPr="00BE28DF">
        <w:rPr>
          <w:noProof/>
        </w:rPr>
        <w:t xml:space="preserve">Commission Implementing Regulation (EU) </w:t>
      </w:r>
      <w:r w:rsidR="009B7728" w:rsidRPr="00BE28DF">
        <w:rPr>
          <w:noProof/>
        </w:rPr>
        <w:t>2022/1362</w:t>
      </w:r>
      <w:r w:rsidR="007F10F7" w:rsidRPr="008020EA">
        <w:rPr>
          <w:rStyle w:val="FootnoteReference"/>
          <w:b/>
          <w:noProof/>
        </w:rPr>
        <w:footnoteReference w:id="16"/>
      </w:r>
      <w:r w:rsidR="009B7728" w:rsidRPr="00BE28DF">
        <w:rPr>
          <w:noProof/>
        </w:rPr>
        <w:t xml:space="preserve"> </w:t>
      </w:r>
      <w:r w:rsidR="00F600BA" w:rsidRPr="00BE28DF">
        <w:rPr>
          <w:noProof/>
        </w:rPr>
        <w:t>set out legally certified values for the effect of trailers on the CO2 emissions of heavy goods vehicle combinations</w:t>
      </w:r>
      <w:r w:rsidR="00447FEE" w:rsidRPr="00BE28DF">
        <w:rPr>
          <w:noProof/>
        </w:rPr>
        <w:t>.</w:t>
      </w:r>
      <w:r w:rsidR="00F600BA" w:rsidRPr="00BE28DF">
        <w:rPr>
          <w:noProof/>
        </w:rPr>
        <w:t xml:space="preserve"> </w:t>
      </w:r>
      <w:r w:rsidR="009C77EE" w:rsidRPr="00BE28DF">
        <w:rPr>
          <w:noProof/>
        </w:rPr>
        <w:t>T</w:t>
      </w:r>
      <w:r w:rsidR="00DB2C4E" w:rsidRPr="00BE28DF">
        <w:rPr>
          <w:noProof/>
        </w:rPr>
        <w:t xml:space="preserve">o further reduce the operational cost of more efficient </w:t>
      </w:r>
      <w:r w:rsidR="00FF75DE" w:rsidRPr="00BE28DF">
        <w:rPr>
          <w:noProof/>
        </w:rPr>
        <w:t>trailers</w:t>
      </w:r>
      <w:r w:rsidR="008037AC" w:rsidRPr="00BE28DF">
        <w:rPr>
          <w:noProof/>
        </w:rPr>
        <w:t xml:space="preserve">, the rules </w:t>
      </w:r>
      <w:r w:rsidR="00030498" w:rsidRPr="00BE28DF">
        <w:rPr>
          <w:noProof/>
        </w:rPr>
        <w:t>to include</w:t>
      </w:r>
      <w:r w:rsidR="008037AC" w:rsidRPr="00BE28DF">
        <w:rPr>
          <w:noProof/>
        </w:rPr>
        <w:t xml:space="preserve"> the effect of </w:t>
      </w:r>
      <w:r w:rsidR="00FF75DE" w:rsidRPr="00BE28DF">
        <w:rPr>
          <w:noProof/>
        </w:rPr>
        <w:t>trailers</w:t>
      </w:r>
      <w:r w:rsidR="008037AC" w:rsidRPr="00BE28DF">
        <w:rPr>
          <w:noProof/>
        </w:rPr>
        <w:t xml:space="preserve"> on the </w:t>
      </w:r>
      <w:r w:rsidR="009A5167" w:rsidRPr="00BE28DF">
        <w:rPr>
          <w:noProof/>
        </w:rPr>
        <w:t xml:space="preserve">CO2 </w:t>
      </w:r>
      <w:r w:rsidR="008037AC" w:rsidRPr="00BE28DF">
        <w:rPr>
          <w:noProof/>
        </w:rPr>
        <w:t>emissions of heavy goods vehicle combinations</w:t>
      </w:r>
      <w:r w:rsidR="00030498" w:rsidRPr="00BE28DF">
        <w:rPr>
          <w:noProof/>
        </w:rPr>
        <w:t xml:space="preserve"> in </w:t>
      </w:r>
      <w:r w:rsidR="004C177A" w:rsidRPr="00BE28DF">
        <w:rPr>
          <w:noProof/>
        </w:rPr>
        <w:t xml:space="preserve">road </w:t>
      </w:r>
      <w:r w:rsidR="00030498" w:rsidRPr="00BE28DF">
        <w:rPr>
          <w:noProof/>
        </w:rPr>
        <w:t>charging</w:t>
      </w:r>
      <w:r w:rsidR="004C177A" w:rsidRPr="00BE28DF">
        <w:rPr>
          <w:noProof/>
        </w:rPr>
        <w:t xml:space="preserve"> schemes based on CO2 differentiation</w:t>
      </w:r>
      <w:r w:rsidR="00F600BA" w:rsidRPr="00BE28DF">
        <w:rPr>
          <w:noProof/>
        </w:rPr>
        <w:t xml:space="preserve"> should be laid down</w:t>
      </w:r>
      <w:r w:rsidR="008037AC" w:rsidRPr="00BE28DF">
        <w:rPr>
          <w:noProof/>
        </w:rPr>
        <w:t xml:space="preserve">. </w:t>
      </w:r>
      <w:r w:rsidR="00E05FC6" w:rsidRPr="00BE28DF">
        <w:rPr>
          <w:noProof/>
        </w:rPr>
        <w:t>Since m</w:t>
      </w:r>
      <w:r w:rsidR="007C1796" w:rsidRPr="00BE28DF">
        <w:rPr>
          <w:noProof/>
        </w:rPr>
        <w:t>otor vehicle</w:t>
      </w:r>
      <w:r w:rsidR="00E05FC6" w:rsidRPr="00BE28DF">
        <w:rPr>
          <w:noProof/>
        </w:rPr>
        <w:t>s</w:t>
      </w:r>
      <w:r w:rsidR="007C1796" w:rsidRPr="00BE28DF">
        <w:rPr>
          <w:noProof/>
        </w:rPr>
        <w:t xml:space="preserve"> can be linked to different </w:t>
      </w:r>
      <w:r w:rsidR="00BF1D69" w:rsidRPr="00BE28DF">
        <w:rPr>
          <w:noProof/>
        </w:rPr>
        <w:t>trailers</w:t>
      </w:r>
      <w:r w:rsidR="00E05FC6" w:rsidRPr="00BE28DF">
        <w:rPr>
          <w:noProof/>
        </w:rPr>
        <w:t xml:space="preserve">, </w:t>
      </w:r>
      <w:r w:rsidR="007C1796" w:rsidRPr="00BE28DF">
        <w:rPr>
          <w:noProof/>
        </w:rPr>
        <w:t xml:space="preserve">the inclusion of </w:t>
      </w:r>
      <w:r w:rsidR="00FF75DE" w:rsidRPr="00BE28DF">
        <w:rPr>
          <w:noProof/>
        </w:rPr>
        <w:t>trailers</w:t>
      </w:r>
      <w:r w:rsidR="007C1796" w:rsidRPr="00BE28DF">
        <w:rPr>
          <w:noProof/>
        </w:rPr>
        <w:t xml:space="preserve"> in road charging schemes based on CO2 differentiation </w:t>
      </w:r>
      <w:r w:rsidR="006D36D1" w:rsidRPr="00BE28DF">
        <w:rPr>
          <w:noProof/>
        </w:rPr>
        <w:t>should</w:t>
      </w:r>
      <w:r w:rsidR="007C1796" w:rsidRPr="00BE28DF">
        <w:rPr>
          <w:noProof/>
        </w:rPr>
        <w:t xml:space="preserve"> be based on the </w:t>
      </w:r>
      <w:r w:rsidR="00BF1D69" w:rsidRPr="00BE28DF">
        <w:rPr>
          <w:noProof/>
        </w:rPr>
        <w:t>trailer</w:t>
      </w:r>
      <w:r w:rsidR="007541E1" w:rsidRPr="00BE28DF">
        <w:rPr>
          <w:noProof/>
        </w:rPr>
        <w:t xml:space="preserve"> actually</w:t>
      </w:r>
      <w:r w:rsidR="007C1796" w:rsidRPr="00BE28DF">
        <w:rPr>
          <w:noProof/>
        </w:rPr>
        <w:t xml:space="preserve"> used</w:t>
      </w:r>
      <w:r w:rsidR="007541E1" w:rsidRPr="00BE28DF">
        <w:rPr>
          <w:noProof/>
        </w:rPr>
        <w:t>.</w:t>
      </w:r>
      <w:r w:rsidR="007C1796" w:rsidRPr="00BE28DF">
        <w:rPr>
          <w:noProof/>
        </w:rPr>
        <w:t xml:space="preserve"> </w:t>
      </w:r>
    </w:p>
    <w:p w14:paraId="7815D1B6" w14:textId="7513E6CE" w:rsidR="00DF3913" w:rsidRPr="00BE28DF" w:rsidRDefault="000B6083" w:rsidP="000B6083">
      <w:pPr>
        <w:pStyle w:val="ManualConsidrant"/>
        <w:rPr>
          <w:noProof/>
        </w:rPr>
      </w:pPr>
      <w:r w:rsidRPr="000B6083">
        <w:t>(4)</w:t>
      </w:r>
      <w:r w:rsidRPr="000B6083">
        <w:tab/>
      </w:r>
      <w:r w:rsidR="00F719CB" w:rsidRPr="00BE28DF">
        <w:rPr>
          <w:noProof/>
        </w:rPr>
        <w:t xml:space="preserve">The </w:t>
      </w:r>
      <w:r w:rsidR="009A5167" w:rsidRPr="00BE28DF">
        <w:rPr>
          <w:noProof/>
        </w:rPr>
        <w:t xml:space="preserve">extension of charging on the basis of CO2 emissions to </w:t>
      </w:r>
      <w:r w:rsidR="00FF75DE" w:rsidRPr="00BE28DF">
        <w:rPr>
          <w:noProof/>
        </w:rPr>
        <w:t>trailers</w:t>
      </w:r>
      <w:r w:rsidR="009A5167" w:rsidRPr="00BE28DF">
        <w:rPr>
          <w:noProof/>
        </w:rPr>
        <w:t xml:space="preserve"> </w:t>
      </w:r>
      <w:r w:rsidR="00EE766A" w:rsidRPr="00BE28DF">
        <w:rPr>
          <w:noProof/>
        </w:rPr>
        <w:t xml:space="preserve">should </w:t>
      </w:r>
      <w:r w:rsidR="009A5167" w:rsidRPr="00BE28DF">
        <w:rPr>
          <w:noProof/>
        </w:rPr>
        <w:t>appl</w:t>
      </w:r>
      <w:r w:rsidR="00EE766A" w:rsidRPr="00BE28DF">
        <w:rPr>
          <w:noProof/>
        </w:rPr>
        <w:t>y</w:t>
      </w:r>
      <w:r w:rsidR="009A5167" w:rsidRPr="00BE28DF">
        <w:rPr>
          <w:noProof/>
        </w:rPr>
        <w:t xml:space="preserve"> to </w:t>
      </w:r>
      <w:r w:rsidR="00FF75DE" w:rsidRPr="00BE28DF">
        <w:rPr>
          <w:noProof/>
        </w:rPr>
        <w:t>trailers</w:t>
      </w:r>
      <w:r w:rsidR="00426A09" w:rsidRPr="00BE28DF">
        <w:rPr>
          <w:noProof/>
        </w:rPr>
        <w:t xml:space="preserve"> </w:t>
      </w:r>
      <w:r w:rsidR="00F9012C" w:rsidRPr="00BE28DF">
        <w:rPr>
          <w:noProof/>
        </w:rPr>
        <w:t>to which</w:t>
      </w:r>
      <w:r w:rsidR="009A5167" w:rsidRPr="00BE28DF">
        <w:rPr>
          <w:noProof/>
        </w:rPr>
        <w:t xml:space="preserve"> </w:t>
      </w:r>
      <w:r w:rsidR="003944C2" w:rsidRPr="00BE28DF">
        <w:rPr>
          <w:noProof/>
        </w:rPr>
        <w:t xml:space="preserve">Implementing </w:t>
      </w:r>
      <w:r w:rsidR="009A5167" w:rsidRPr="00BE28DF">
        <w:rPr>
          <w:noProof/>
        </w:rPr>
        <w:t>Regulation (EU) 2022/1362</w:t>
      </w:r>
      <w:r w:rsidR="00F9012C" w:rsidRPr="00BE28DF">
        <w:rPr>
          <w:noProof/>
        </w:rPr>
        <w:t xml:space="preserve"> applies</w:t>
      </w:r>
      <w:r w:rsidR="009A5167" w:rsidRPr="00BE28DF">
        <w:rPr>
          <w:noProof/>
        </w:rPr>
        <w:t xml:space="preserve">. </w:t>
      </w:r>
      <w:r w:rsidR="0083263C" w:rsidRPr="00BE28DF">
        <w:rPr>
          <w:noProof/>
        </w:rPr>
        <w:t>P</w:t>
      </w:r>
      <w:r w:rsidR="009A5167" w:rsidRPr="00BE28DF">
        <w:rPr>
          <w:noProof/>
        </w:rPr>
        <w:t xml:space="preserve">erformance of </w:t>
      </w:r>
      <w:r w:rsidR="00FF75DE" w:rsidRPr="00BE28DF">
        <w:rPr>
          <w:noProof/>
        </w:rPr>
        <w:t>trailers</w:t>
      </w:r>
      <w:r w:rsidR="009A5167" w:rsidRPr="00BE28DF">
        <w:rPr>
          <w:noProof/>
        </w:rPr>
        <w:t xml:space="preserve"> may vary depending on their technical parameters. To evaluate the performance of </w:t>
      </w:r>
      <w:r w:rsidR="00FF75DE" w:rsidRPr="00BE28DF">
        <w:rPr>
          <w:noProof/>
        </w:rPr>
        <w:t>trailers</w:t>
      </w:r>
      <w:r w:rsidR="009A5167" w:rsidRPr="00BE28DF">
        <w:rPr>
          <w:noProof/>
        </w:rPr>
        <w:t xml:space="preserve"> in terms of energy efficiency, the </w:t>
      </w:r>
      <w:r w:rsidR="00426A09" w:rsidRPr="00BE28DF">
        <w:rPr>
          <w:noProof/>
        </w:rPr>
        <w:t xml:space="preserve">performance in terms of </w:t>
      </w:r>
      <w:r w:rsidR="009A5167" w:rsidRPr="00BE28DF">
        <w:rPr>
          <w:noProof/>
        </w:rPr>
        <w:t xml:space="preserve">CO2 reduction potential of a specific </w:t>
      </w:r>
      <w:r w:rsidR="00BF1D69" w:rsidRPr="00BE28DF">
        <w:rPr>
          <w:noProof/>
        </w:rPr>
        <w:t>trailer</w:t>
      </w:r>
      <w:r w:rsidR="009A5167" w:rsidRPr="00BE28DF">
        <w:rPr>
          <w:noProof/>
        </w:rPr>
        <w:t xml:space="preserve"> </w:t>
      </w:r>
      <w:r w:rsidR="00426A09" w:rsidRPr="00BE28DF">
        <w:rPr>
          <w:noProof/>
        </w:rPr>
        <w:t>is</w:t>
      </w:r>
      <w:r w:rsidR="009A5167" w:rsidRPr="00BE28DF">
        <w:rPr>
          <w:noProof/>
        </w:rPr>
        <w:t xml:space="preserve"> compared with the </w:t>
      </w:r>
      <w:r w:rsidR="00426A09" w:rsidRPr="00BE28DF">
        <w:rPr>
          <w:noProof/>
        </w:rPr>
        <w:t>performance</w:t>
      </w:r>
      <w:r w:rsidR="009A5167" w:rsidRPr="00BE28DF">
        <w:rPr>
          <w:noProof/>
        </w:rPr>
        <w:t xml:space="preserve"> of a reference </w:t>
      </w:r>
      <w:r w:rsidR="00BF1D69" w:rsidRPr="00BE28DF">
        <w:rPr>
          <w:noProof/>
        </w:rPr>
        <w:t>trailer</w:t>
      </w:r>
      <w:r w:rsidR="009A5167" w:rsidRPr="00BE28DF">
        <w:rPr>
          <w:noProof/>
        </w:rPr>
        <w:t xml:space="preserve">, </w:t>
      </w:r>
      <w:r w:rsidR="00F67D07" w:rsidRPr="00BE28DF">
        <w:rPr>
          <w:noProof/>
        </w:rPr>
        <w:t xml:space="preserve">which is similar in terms of axle configuration, maximum permissible axle load and chassis configuration. The ratio between the value of the specific </w:t>
      </w:r>
      <w:r w:rsidR="00BF1D69" w:rsidRPr="00BE28DF">
        <w:rPr>
          <w:noProof/>
        </w:rPr>
        <w:t>trailer</w:t>
      </w:r>
      <w:r w:rsidR="00F67D07" w:rsidRPr="00BE28DF">
        <w:rPr>
          <w:noProof/>
        </w:rPr>
        <w:t xml:space="preserve"> and that of the reference </w:t>
      </w:r>
      <w:r w:rsidR="00BF1D69" w:rsidRPr="00BE28DF">
        <w:rPr>
          <w:noProof/>
        </w:rPr>
        <w:t>trailer</w:t>
      </w:r>
      <w:r w:rsidR="00F67D07" w:rsidRPr="00BE28DF">
        <w:rPr>
          <w:noProof/>
        </w:rPr>
        <w:t xml:space="preserve"> is defined in </w:t>
      </w:r>
      <w:r w:rsidR="003944C2" w:rsidRPr="00BE28DF">
        <w:rPr>
          <w:noProof/>
        </w:rPr>
        <w:t xml:space="preserve">Implementing </w:t>
      </w:r>
      <w:r w:rsidR="00F67D07" w:rsidRPr="00BE28DF">
        <w:rPr>
          <w:noProof/>
        </w:rPr>
        <w:t xml:space="preserve">Regulation (EU) 2022/1362 as efficiency ratio. </w:t>
      </w:r>
      <w:r w:rsidR="00426A09" w:rsidRPr="00BE28DF">
        <w:rPr>
          <w:noProof/>
        </w:rPr>
        <w:t>M</w:t>
      </w:r>
      <w:r w:rsidR="00F67D07" w:rsidRPr="00BE28DF">
        <w:rPr>
          <w:noProof/>
        </w:rPr>
        <w:t xml:space="preserve">ore efficient </w:t>
      </w:r>
      <w:r w:rsidR="00FF75DE" w:rsidRPr="00BE28DF">
        <w:rPr>
          <w:noProof/>
        </w:rPr>
        <w:t>trailers</w:t>
      </w:r>
      <w:r w:rsidR="00F67D07" w:rsidRPr="00BE28DF">
        <w:rPr>
          <w:noProof/>
        </w:rPr>
        <w:t xml:space="preserve"> </w:t>
      </w:r>
      <w:r w:rsidR="00426A09" w:rsidRPr="00BE28DF">
        <w:rPr>
          <w:noProof/>
        </w:rPr>
        <w:t xml:space="preserve">have an efficiency ratio value </w:t>
      </w:r>
      <w:r w:rsidR="00F67D07" w:rsidRPr="00BE28DF">
        <w:rPr>
          <w:noProof/>
        </w:rPr>
        <w:t xml:space="preserve">lower than 1. </w:t>
      </w:r>
    </w:p>
    <w:p w14:paraId="781B2933" w14:textId="46ACFA87" w:rsidR="00F67D07" w:rsidRPr="00BE28DF" w:rsidRDefault="000B6083" w:rsidP="000B6083">
      <w:pPr>
        <w:pStyle w:val="ManualConsidrant"/>
        <w:rPr>
          <w:noProof/>
        </w:rPr>
      </w:pPr>
      <w:r w:rsidRPr="000B6083">
        <w:t>(5)</w:t>
      </w:r>
      <w:r w:rsidRPr="000B6083">
        <w:tab/>
      </w:r>
      <w:r w:rsidR="008251DB" w:rsidRPr="00BE28DF">
        <w:rPr>
          <w:noProof/>
        </w:rPr>
        <w:t>The calculation of the efficiency ratio can be based on kilometre, ton</w:t>
      </w:r>
      <w:r w:rsidR="009462DA" w:rsidRPr="00BE28DF">
        <w:rPr>
          <w:noProof/>
        </w:rPr>
        <w:t>-kilomet</w:t>
      </w:r>
      <w:r w:rsidR="0034060D" w:rsidRPr="00BE28DF">
        <w:rPr>
          <w:noProof/>
        </w:rPr>
        <w:t>r</w:t>
      </w:r>
      <w:r w:rsidR="009462DA" w:rsidRPr="00BE28DF">
        <w:rPr>
          <w:noProof/>
        </w:rPr>
        <w:t>e</w:t>
      </w:r>
      <w:r w:rsidR="008251DB" w:rsidRPr="00BE28DF">
        <w:rPr>
          <w:noProof/>
        </w:rPr>
        <w:t xml:space="preserve">s or m3-kilometre. </w:t>
      </w:r>
      <w:r w:rsidR="00426A09" w:rsidRPr="00BE28DF">
        <w:rPr>
          <w:noProof/>
        </w:rPr>
        <w:t xml:space="preserve">For all </w:t>
      </w:r>
      <w:r w:rsidR="00FF75DE" w:rsidRPr="00BE28DF">
        <w:rPr>
          <w:noProof/>
        </w:rPr>
        <w:t>trailers</w:t>
      </w:r>
      <w:r w:rsidR="00426A09" w:rsidRPr="00BE28DF">
        <w:rPr>
          <w:noProof/>
        </w:rPr>
        <w:t xml:space="preserve"> except volume-oriented ones, the </w:t>
      </w:r>
      <w:r w:rsidR="00EE766A" w:rsidRPr="00BE28DF">
        <w:rPr>
          <w:noProof/>
        </w:rPr>
        <w:t xml:space="preserve">ton- </w:t>
      </w:r>
      <w:r w:rsidR="00426A09" w:rsidRPr="00BE28DF">
        <w:rPr>
          <w:noProof/>
        </w:rPr>
        <w:t xml:space="preserve">kilometre based efficiency ratio should be used. Volume-oriented </w:t>
      </w:r>
      <w:r w:rsidR="00FF75DE" w:rsidRPr="00BE28DF">
        <w:rPr>
          <w:noProof/>
        </w:rPr>
        <w:t>trailers</w:t>
      </w:r>
      <w:r w:rsidR="00426A09" w:rsidRPr="00BE28DF">
        <w:rPr>
          <w:noProof/>
        </w:rPr>
        <w:t xml:space="preserve"> are those that are primarily designed for the transport of voluminous goods. The</w:t>
      </w:r>
      <w:r w:rsidR="008251DB" w:rsidRPr="00BE28DF">
        <w:rPr>
          <w:noProof/>
        </w:rPr>
        <w:t xml:space="preserve"> </w:t>
      </w:r>
      <w:r w:rsidR="000E19AF" w:rsidRPr="00BE28DF">
        <w:rPr>
          <w:noProof/>
        </w:rPr>
        <w:t>ton-</w:t>
      </w:r>
      <w:r w:rsidR="00426A09" w:rsidRPr="00BE28DF">
        <w:rPr>
          <w:noProof/>
        </w:rPr>
        <w:t xml:space="preserve">kilometre based </w:t>
      </w:r>
      <w:r w:rsidR="008251DB" w:rsidRPr="00BE28DF">
        <w:rPr>
          <w:noProof/>
        </w:rPr>
        <w:t>ef</w:t>
      </w:r>
      <w:r w:rsidR="00426A09" w:rsidRPr="00BE28DF">
        <w:rPr>
          <w:noProof/>
        </w:rPr>
        <w:t>ficiency ratio cannot</w:t>
      </w:r>
      <w:r w:rsidR="008251DB" w:rsidRPr="00BE28DF">
        <w:rPr>
          <w:noProof/>
        </w:rPr>
        <w:t xml:space="preserve"> be used for volume-oriented </w:t>
      </w:r>
      <w:r w:rsidR="00FF75DE" w:rsidRPr="00BE28DF">
        <w:rPr>
          <w:noProof/>
        </w:rPr>
        <w:t>trailers</w:t>
      </w:r>
      <w:r w:rsidR="008251DB" w:rsidRPr="00BE28DF">
        <w:rPr>
          <w:noProof/>
        </w:rPr>
        <w:t xml:space="preserve"> because</w:t>
      </w:r>
      <w:r w:rsidR="009462DA" w:rsidRPr="00BE28DF">
        <w:rPr>
          <w:noProof/>
        </w:rPr>
        <w:t xml:space="preserve"> </w:t>
      </w:r>
      <w:r w:rsidR="00E05FC6" w:rsidRPr="00BE28DF">
        <w:rPr>
          <w:noProof/>
        </w:rPr>
        <w:t xml:space="preserve">these </w:t>
      </w:r>
      <w:r w:rsidR="00FF75DE" w:rsidRPr="00BE28DF">
        <w:rPr>
          <w:noProof/>
        </w:rPr>
        <w:t>trailers</w:t>
      </w:r>
      <w:r w:rsidR="00E05FC6" w:rsidRPr="00BE28DF">
        <w:rPr>
          <w:noProof/>
        </w:rPr>
        <w:t xml:space="preserve"> </w:t>
      </w:r>
      <w:r w:rsidR="009462DA" w:rsidRPr="00BE28DF">
        <w:rPr>
          <w:noProof/>
        </w:rPr>
        <w:t>have higher rolling resistance and mass than their traditional counterparts</w:t>
      </w:r>
      <w:r w:rsidR="008251DB" w:rsidRPr="00BE28DF">
        <w:rPr>
          <w:noProof/>
        </w:rPr>
        <w:t xml:space="preserve">. For volume-oriented </w:t>
      </w:r>
      <w:r w:rsidR="00FF75DE" w:rsidRPr="00BE28DF">
        <w:rPr>
          <w:noProof/>
        </w:rPr>
        <w:t>trailers</w:t>
      </w:r>
      <w:r w:rsidR="008251DB" w:rsidRPr="00BE28DF">
        <w:rPr>
          <w:noProof/>
        </w:rPr>
        <w:t xml:space="preserve">, the </w:t>
      </w:r>
      <w:r w:rsidR="009462DA" w:rsidRPr="00BE28DF">
        <w:rPr>
          <w:noProof/>
        </w:rPr>
        <w:t>e</w:t>
      </w:r>
      <w:r w:rsidR="008251DB" w:rsidRPr="00BE28DF">
        <w:rPr>
          <w:noProof/>
        </w:rPr>
        <w:t xml:space="preserve">fficiency ratio – m3-kilometre based </w:t>
      </w:r>
      <w:r w:rsidR="00426A09" w:rsidRPr="00BE28DF">
        <w:rPr>
          <w:noProof/>
        </w:rPr>
        <w:t>should be</w:t>
      </w:r>
      <w:r w:rsidR="008251DB" w:rsidRPr="00BE28DF">
        <w:rPr>
          <w:noProof/>
        </w:rPr>
        <w:t xml:space="preserve"> used instead.</w:t>
      </w:r>
    </w:p>
    <w:p w14:paraId="450893EB" w14:textId="1CD8DD42" w:rsidR="00B54250" w:rsidRPr="00BE28DF" w:rsidRDefault="000B6083" w:rsidP="000B6083">
      <w:pPr>
        <w:pStyle w:val="ManualConsidrant"/>
        <w:rPr>
          <w:noProof/>
        </w:rPr>
      </w:pPr>
      <w:r w:rsidRPr="000B6083">
        <w:t>(6)</w:t>
      </w:r>
      <w:r w:rsidRPr="000B6083">
        <w:tab/>
      </w:r>
      <w:r w:rsidR="00B54250" w:rsidRPr="00BE28DF">
        <w:rPr>
          <w:noProof/>
        </w:rPr>
        <w:t xml:space="preserve">The CO2 emission class of a vehicle combination with a more efficient trailer should be higher than the CO2 emission class of the motor vehicle alone, therefore granting access to a higher reduction of road charges. The effect of the CO2 emission reduction potential of a trailer on the CO2 emission class of a vehicle combination should be based on the comparison between the efficiency ratio of the specific trailer with the efficiency ratio thresholds </w:t>
      </w:r>
      <w:r w:rsidR="008C54AA" w:rsidRPr="00BE28DF">
        <w:rPr>
          <w:noProof/>
        </w:rPr>
        <w:t>referred to</w:t>
      </w:r>
      <w:r w:rsidR="00B54250" w:rsidRPr="00BE28DF">
        <w:rPr>
          <w:noProof/>
        </w:rPr>
        <w:t xml:space="preserve"> in this Directive. Different thresholds </w:t>
      </w:r>
      <w:r w:rsidR="007B2D3C" w:rsidRPr="00BE28DF">
        <w:rPr>
          <w:noProof/>
        </w:rPr>
        <w:t>are foreseen</w:t>
      </w:r>
      <w:r w:rsidR="00B54250" w:rsidRPr="00BE28DF">
        <w:rPr>
          <w:noProof/>
        </w:rPr>
        <w:t xml:space="preserve"> for semi-trailers and </w:t>
      </w:r>
      <w:r w:rsidR="007B2D3C" w:rsidRPr="00BE28DF">
        <w:rPr>
          <w:noProof/>
        </w:rPr>
        <w:t xml:space="preserve">for </w:t>
      </w:r>
      <w:r w:rsidR="00B54250" w:rsidRPr="00BE28DF">
        <w:rPr>
          <w:noProof/>
        </w:rPr>
        <w:t xml:space="preserve">other trailers as their potential to reduce CO2 emissions in a cost-efficient way is different. </w:t>
      </w:r>
    </w:p>
    <w:p w14:paraId="751F8B17" w14:textId="7B3AE10E" w:rsidR="00231C8C" w:rsidRPr="00BE28DF" w:rsidRDefault="000B6083" w:rsidP="000B6083">
      <w:pPr>
        <w:pStyle w:val="ManualConsidrant"/>
        <w:rPr>
          <w:noProof/>
        </w:rPr>
      </w:pPr>
      <w:r w:rsidRPr="000B6083">
        <w:t>(7)</w:t>
      </w:r>
      <w:r w:rsidRPr="000B6083">
        <w:tab/>
      </w:r>
      <w:r w:rsidR="00BF4229" w:rsidRPr="00BE28DF">
        <w:rPr>
          <w:noProof/>
        </w:rPr>
        <w:t xml:space="preserve">Where the Member State includes the effect of trailers on the CO2 emissions of heavy goods vehicle combinations in road charging schemes on its </w:t>
      </w:r>
      <w:r w:rsidR="00A70779" w:rsidRPr="00BE28DF">
        <w:rPr>
          <w:noProof/>
        </w:rPr>
        <w:t>territory and</w:t>
      </w:r>
      <w:r w:rsidR="00BF4229" w:rsidRPr="00BE28DF">
        <w:rPr>
          <w:noProof/>
        </w:rPr>
        <w:t xml:space="preserve"> imposes </w:t>
      </w:r>
      <w:r w:rsidR="00186958" w:rsidRPr="00BE28DF">
        <w:rPr>
          <w:noProof/>
        </w:rPr>
        <w:t xml:space="preserve">specific </w:t>
      </w:r>
      <w:r w:rsidR="00BF4229" w:rsidRPr="00BE28DF">
        <w:rPr>
          <w:noProof/>
        </w:rPr>
        <w:t>charges on vehicle combinations deviating from the maximum weights and/or dimensions laid down in Council Directive 96/53/EC</w:t>
      </w:r>
      <w:r w:rsidR="00372DC6" w:rsidRPr="008020EA">
        <w:rPr>
          <w:rStyle w:val="FootnoteReference"/>
          <w:b/>
          <w:noProof/>
        </w:rPr>
        <w:footnoteReference w:id="17"/>
      </w:r>
      <w:r w:rsidR="00BF4229" w:rsidRPr="00BE28DF">
        <w:rPr>
          <w:noProof/>
        </w:rPr>
        <w:t xml:space="preserve">, that Member State </w:t>
      </w:r>
      <w:r w:rsidR="00F600BA" w:rsidRPr="00BE28DF">
        <w:rPr>
          <w:noProof/>
        </w:rPr>
        <w:t xml:space="preserve">should be allowed to </w:t>
      </w:r>
      <w:r w:rsidR="006D36D1" w:rsidRPr="00BE28DF">
        <w:rPr>
          <w:noProof/>
        </w:rPr>
        <w:t>apply</w:t>
      </w:r>
      <w:r w:rsidR="00BF4229" w:rsidRPr="00BE28DF">
        <w:rPr>
          <w:noProof/>
        </w:rPr>
        <w:t xml:space="preserve"> the reduction of road charges to such vehicle combinations that employ at least one more efficient trailer. </w:t>
      </w:r>
    </w:p>
    <w:p w14:paraId="5627E0B3" w14:textId="07985D2B" w:rsidR="00DB6B95" w:rsidRPr="00BE28DF" w:rsidRDefault="000B6083" w:rsidP="000B6083">
      <w:pPr>
        <w:pStyle w:val="ManualConsidrant"/>
        <w:rPr>
          <w:noProof/>
        </w:rPr>
      </w:pPr>
      <w:bookmarkStart w:id="9" w:name="_Hlk125648745"/>
      <w:r w:rsidRPr="000B6083">
        <w:t>(8)</w:t>
      </w:r>
      <w:r w:rsidRPr="000B6083">
        <w:tab/>
      </w:r>
      <w:r w:rsidR="00DB6B95" w:rsidRPr="00BE28DF">
        <w:rPr>
          <w:noProof/>
        </w:rPr>
        <w:t xml:space="preserve">The Commission should be empowered to </w:t>
      </w:r>
      <w:r w:rsidR="005606D0" w:rsidRPr="00BE28DF">
        <w:rPr>
          <w:noProof/>
        </w:rPr>
        <w:t xml:space="preserve">amend </w:t>
      </w:r>
      <w:r w:rsidR="004324D6" w:rsidRPr="00BE28DF">
        <w:rPr>
          <w:noProof/>
        </w:rPr>
        <w:t>Annex VIII</w:t>
      </w:r>
      <w:r w:rsidR="00A968C5" w:rsidRPr="00BE28DF">
        <w:rPr>
          <w:noProof/>
        </w:rPr>
        <w:t xml:space="preserve"> to Directive 1999/62/EC</w:t>
      </w:r>
      <w:r w:rsidR="00374CDC" w:rsidRPr="00BE28DF">
        <w:rPr>
          <w:noProof/>
        </w:rPr>
        <w:t>, by means of delegated acts,</w:t>
      </w:r>
      <w:r w:rsidR="004324D6" w:rsidRPr="00BE28DF">
        <w:rPr>
          <w:noProof/>
        </w:rPr>
        <w:t xml:space="preserve"> </w:t>
      </w:r>
      <w:r w:rsidR="00C04383" w:rsidRPr="00BE28DF">
        <w:rPr>
          <w:noProof/>
        </w:rPr>
        <w:t>to define or adjust</w:t>
      </w:r>
      <w:r w:rsidR="004324D6" w:rsidRPr="00BE28DF">
        <w:rPr>
          <w:noProof/>
        </w:rPr>
        <w:t xml:space="preserve"> </w:t>
      </w:r>
      <w:r w:rsidR="005606D0" w:rsidRPr="00BE28DF">
        <w:rPr>
          <w:noProof/>
        </w:rPr>
        <w:t xml:space="preserve">the </w:t>
      </w:r>
      <w:r w:rsidR="004324D6" w:rsidRPr="00BE28DF">
        <w:rPr>
          <w:noProof/>
        </w:rPr>
        <w:t xml:space="preserve">efficiency ratio thresholds </w:t>
      </w:r>
      <w:r w:rsidR="00C04383" w:rsidRPr="00BE28DF">
        <w:rPr>
          <w:noProof/>
        </w:rPr>
        <w:t>set out therein</w:t>
      </w:r>
      <w:r w:rsidR="00F27395" w:rsidRPr="00BE28DF">
        <w:rPr>
          <w:noProof/>
        </w:rPr>
        <w:t>,</w:t>
      </w:r>
      <w:r w:rsidR="00EF2F42" w:rsidRPr="00BE28DF">
        <w:rPr>
          <w:noProof/>
        </w:rPr>
        <w:t xml:space="preserve"> and to define a methodology </w:t>
      </w:r>
      <w:r w:rsidR="000A63BC" w:rsidRPr="00F83198">
        <w:rPr>
          <w:noProof/>
          <w:color w:val="000000" w:themeColor="text1"/>
        </w:rPr>
        <w:t>for the allocation to trailer classes of trailers</w:t>
      </w:r>
      <w:r w:rsidR="00FE02B5" w:rsidRPr="00F83198">
        <w:rPr>
          <w:noProof/>
          <w:color w:val="000000" w:themeColor="text1"/>
        </w:rPr>
        <w:t xml:space="preserve"> that </w:t>
      </w:r>
      <w:r w:rsidR="00FE02B5" w:rsidRPr="00BE28DF">
        <w:rPr>
          <w:noProof/>
        </w:rPr>
        <w:t>have undergone a retrofitting process, especially those</w:t>
      </w:r>
      <w:r w:rsidR="000A63BC" w:rsidRPr="00BE28DF">
        <w:rPr>
          <w:noProof/>
        </w:rPr>
        <w:t xml:space="preserve"> </w:t>
      </w:r>
      <w:r w:rsidR="005F4FA0" w:rsidRPr="00BE28DF">
        <w:rPr>
          <w:noProof/>
        </w:rPr>
        <w:t>to which an efficiency ratio was not assigned in accordance with Implementing Regulation (EU) 2022/1362</w:t>
      </w:r>
      <w:r w:rsidR="004324D6" w:rsidRPr="00BE28DF">
        <w:rPr>
          <w:noProof/>
        </w:rPr>
        <w:t xml:space="preserve">. </w:t>
      </w:r>
      <w:bookmarkEnd w:id="9"/>
      <w:r w:rsidR="00C04383" w:rsidRPr="00BE28DF">
        <w:rPr>
          <w:noProof/>
        </w:rPr>
        <w:t xml:space="preserve">The definition of the efficiency ratio thresholds should be made as soon as </w:t>
      </w:r>
      <w:r w:rsidR="00A53100" w:rsidRPr="00BE28DF">
        <w:rPr>
          <w:noProof/>
        </w:rPr>
        <w:t xml:space="preserve">data </w:t>
      </w:r>
      <w:r w:rsidR="00C04383" w:rsidRPr="00BE28DF">
        <w:rPr>
          <w:noProof/>
        </w:rPr>
        <w:t xml:space="preserve">on the efficiency of </w:t>
      </w:r>
      <w:r w:rsidR="00FF75DE" w:rsidRPr="00BE28DF">
        <w:rPr>
          <w:noProof/>
        </w:rPr>
        <w:t>trailers</w:t>
      </w:r>
      <w:r w:rsidR="00C04383" w:rsidRPr="00BE28DF">
        <w:rPr>
          <w:noProof/>
        </w:rPr>
        <w:t xml:space="preserve"> is collected for at least one year pursuant to Regulation (EU) 2018/956 of the European Parliament and of the Council</w:t>
      </w:r>
      <w:r w:rsidR="00C04383" w:rsidRPr="008020EA">
        <w:rPr>
          <w:rStyle w:val="FootnoteReference"/>
          <w:b/>
          <w:noProof/>
        </w:rPr>
        <w:footnoteReference w:id="18"/>
      </w:r>
      <w:r w:rsidR="00C04383" w:rsidRPr="00BE28DF">
        <w:rPr>
          <w:noProof/>
        </w:rPr>
        <w:t xml:space="preserve">. The efficiency ratio thresholds should </w:t>
      </w:r>
      <w:r w:rsidR="004E6151" w:rsidRPr="00BE28DF">
        <w:rPr>
          <w:noProof/>
        </w:rPr>
        <w:t>be based on</w:t>
      </w:r>
      <w:r w:rsidR="002624A6" w:rsidRPr="00BE28DF">
        <w:rPr>
          <w:noProof/>
        </w:rPr>
        <w:t xml:space="preserve"> the average efficiency of the trailer fleet </w:t>
      </w:r>
      <w:r w:rsidR="00C973C6" w:rsidRPr="00F83198">
        <w:rPr>
          <w:noProof/>
          <w:color w:val="000000" w:themeColor="text1"/>
        </w:rPr>
        <w:t xml:space="preserve">when reference </w:t>
      </w:r>
      <w:r w:rsidR="00C973C6" w:rsidRPr="00BE28DF">
        <w:rPr>
          <w:noProof/>
        </w:rPr>
        <w:t xml:space="preserve">CO2 </w:t>
      </w:r>
      <w:r w:rsidR="00C973C6" w:rsidRPr="00F83198">
        <w:rPr>
          <w:noProof/>
          <w:color w:val="000000" w:themeColor="text1"/>
        </w:rPr>
        <w:t xml:space="preserve">emissions </w:t>
      </w:r>
      <w:r w:rsidR="002624A6" w:rsidRPr="00BE28DF">
        <w:rPr>
          <w:noProof/>
        </w:rPr>
        <w:t>for such vehicles</w:t>
      </w:r>
      <w:r w:rsidR="00C973C6" w:rsidRPr="00BE28DF">
        <w:rPr>
          <w:noProof/>
        </w:rPr>
        <w:t xml:space="preserve"> are published</w:t>
      </w:r>
      <w:r w:rsidR="002624A6" w:rsidRPr="00BE28DF">
        <w:rPr>
          <w:noProof/>
        </w:rPr>
        <w:t>, and on the potential that trailers have to generate efficiency improvements</w:t>
      </w:r>
      <w:r w:rsidR="004E6151" w:rsidRPr="00BE28DF">
        <w:rPr>
          <w:noProof/>
        </w:rPr>
        <w:t xml:space="preserve">. They should </w:t>
      </w:r>
      <w:r w:rsidR="000E19AF" w:rsidRPr="00BE28DF">
        <w:rPr>
          <w:noProof/>
        </w:rPr>
        <w:t xml:space="preserve">then </w:t>
      </w:r>
      <w:r w:rsidR="00C04383" w:rsidRPr="00BE28DF">
        <w:rPr>
          <w:noProof/>
        </w:rPr>
        <w:t>be adjusted</w:t>
      </w:r>
      <w:r w:rsidR="00DB6B95" w:rsidRPr="00BE28DF">
        <w:rPr>
          <w:noProof/>
        </w:rPr>
        <w:t xml:space="preserve"> </w:t>
      </w:r>
      <w:r w:rsidR="005A4637" w:rsidRPr="00BE28DF">
        <w:rPr>
          <w:noProof/>
        </w:rPr>
        <w:t xml:space="preserve">to </w:t>
      </w:r>
      <w:r w:rsidR="00C04383" w:rsidRPr="00BE28DF">
        <w:rPr>
          <w:noProof/>
        </w:rPr>
        <w:t xml:space="preserve">reflect </w:t>
      </w:r>
      <w:r w:rsidR="005A4637" w:rsidRPr="00BE28DF">
        <w:rPr>
          <w:noProof/>
        </w:rPr>
        <w:t>technical progress and an increasing penetration of new technologies</w:t>
      </w:r>
      <w:r w:rsidR="00961915" w:rsidRPr="00BE28DF">
        <w:rPr>
          <w:noProof/>
        </w:rPr>
        <w:t xml:space="preserve">, such as </w:t>
      </w:r>
      <w:r w:rsidR="00FE02B5" w:rsidRPr="00BE28DF">
        <w:rPr>
          <w:noProof/>
        </w:rPr>
        <w:t>trailers with driven axles</w:t>
      </w:r>
      <w:r w:rsidR="005A4637" w:rsidRPr="00BE28DF">
        <w:rPr>
          <w:noProof/>
        </w:rPr>
        <w:t>.</w:t>
      </w:r>
      <w:r w:rsidR="00B54250" w:rsidRPr="00BE28DF">
        <w:rPr>
          <w:noProof/>
        </w:rPr>
        <w:t xml:space="preserve"> </w:t>
      </w:r>
      <w:r w:rsidR="00CA6C04" w:rsidRPr="00BE28DF">
        <w:rPr>
          <w:noProof/>
        </w:rPr>
        <w:t xml:space="preserve">The definition of a methodology </w:t>
      </w:r>
      <w:r w:rsidR="006B706C" w:rsidRPr="00BE28DF">
        <w:rPr>
          <w:noProof/>
        </w:rPr>
        <w:t>for retrofitted</w:t>
      </w:r>
      <w:r w:rsidR="005608E1" w:rsidRPr="00BE28DF">
        <w:rPr>
          <w:noProof/>
        </w:rPr>
        <w:t xml:space="preserve"> trailer</w:t>
      </w:r>
      <w:r w:rsidR="00ED7105" w:rsidRPr="00BE28DF">
        <w:rPr>
          <w:noProof/>
        </w:rPr>
        <w:t>s</w:t>
      </w:r>
      <w:r w:rsidR="005608E1" w:rsidRPr="00BE28DF">
        <w:rPr>
          <w:noProof/>
        </w:rPr>
        <w:t xml:space="preserve"> </w:t>
      </w:r>
      <w:r w:rsidR="005F4FA0" w:rsidRPr="00BE28DF">
        <w:rPr>
          <w:noProof/>
        </w:rPr>
        <w:t>should</w:t>
      </w:r>
      <w:r w:rsidR="005608E1" w:rsidRPr="00BE28DF">
        <w:rPr>
          <w:noProof/>
        </w:rPr>
        <w:t xml:space="preserve"> </w:t>
      </w:r>
      <w:r w:rsidR="00276014" w:rsidRPr="00BE28DF">
        <w:rPr>
          <w:noProof/>
        </w:rPr>
        <w:t>consider</w:t>
      </w:r>
      <w:r w:rsidR="005608E1" w:rsidRPr="00BE28DF">
        <w:rPr>
          <w:noProof/>
        </w:rPr>
        <w:t xml:space="preserve"> the </w:t>
      </w:r>
      <w:r w:rsidR="006B706C" w:rsidRPr="00BE28DF">
        <w:rPr>
          <w:noProof/>
        </w:rPr>
        <w:t xml:space="preserve">installation of </w:t>
      </w:r>
      <w:r w:rsidR="00FE02B5" w:rsidRPr="00BE28DF">
        <w:rPr>
          <w:noProof/>
        </w:rPr>
        <w:t xml:space="preserve">equipment improving their energy, such as </w:t>
      </w:r>
      <w:r w:rsidR="006B706C" w:rsidRPr="00BE28DF">
        <w:rPr>
          <w:noProof/>
        </w:rPr>
        <w:t>aerodynamic devices</w:t>
      </w:r>
      <w:r w:rsidR="001627DA" w:rsidRPr="00BE28DF">
        <w:rPr>
          <w:noProof/>
        </w:rPr>
        <w:t xml:space="preserve">, that can be verified </w:t>
      </w:r>
      <w:r w:rsidR="006E47D6" w:rsidRPr="00BE28DF">
        <w:rPr>
          <w:noProof/>
        </w:rPr>
        <w:t>during</w:t>
      </w:r>
      <w:r w:rsidR="005D0BBD" w:rsidRPr="00BE28DF">
        <w:rPr>
          <w:noProof/>
        </w:rPr>
        <w:t xml:space="preserve"> </w:t>
      </w:r>
      <w:r w:rsidR="0056345B" w:rsidRPr="00BE28DF">
        <w:rPr>
          <w:noProof/>
        </w:rPr>
        <w:t xml:space="preserve">the </w:t>
      </w:r>
      <w:r w:rsidR="00E15000" w:rsidRPr="00BE28DF">
        <w:rPr>
          <w:noProof/>
        </w:rPr>
        <w:t xml:space="preserve">periodic </w:t>
      </w:r>
      <w:r w:rsidR="0056345B" w:rsidRPr="00F83198">
        <w:rPr>
          <w:noProof/>
          <w:color w:val="000000" w:themeColor="text1"/>
        </w:rPr>
        <w:t>roadworthiness test and</w:t>
      </w:r>
      <w:r w:rsidR="005F4D67" w:rsidRPr="00F83198">
        <w:rPr>
          <w:noProof/>
          <w:color w:val="000000" w:themeColor="text1"/>
        </w:rPr>
        <w:t xml:space="preserve"> that </w:t>
      </w:r>
      <w:r w:rsidR="00DC0C86" w:rsidRPr="00F83198">
        <w:rPr>
          <w:noProof/>
          <w:color w:val="000000" w:themeColor="text1"/>
        </w:rPr>
        <w:t>should</w:t>
      </w:r>
      <w:r w:rsidR="0056345B" w:rsidRPr="00F83198">
        <w:rPr>
          <w:noProof/>
          <w:color w:val="000000" w:themeColor="text1"/>
        </w:rPr>
        <w:t xml:space="preserve"> </w:t>
      </w:r>
      <w:r w:rsidR="00DC0C86" w:rsidRPr="00F83198">
        <w:rPr>
          <w:noProof/>
          <w:color w:val="000000" w:themeColor="text1"/>
        </w:rPr>
        <w:t>be reported</w:t>
      </w:r>
      <w:r w:rsidR="0056345B" w:rsidRPr="00F83198">
        <w:rPr>
          <w:noProof/>
          <w:color w:val="000000" w:themeColor="text1"/>
        </w:rPr>
        <w:t xml:space="preserve"> on the roadworthiness certificate, as </w:t>
      </w:r>
      <w:r w:rsidR="00E15000" w:rsidRPr="00F83198">
        <w:rPr>
          <w:noProof/>
          <w:color w:val="000000" w:themeColor="text1"/>
        </w:rPr>
        <w:t>referred to in</w:t>
      </w:r>
      <w:r w:rsidR="0056345B" w:rsidRPr="00F83198">
        <w:rPr>
          <w:noProof/>
          <w:color w:val="000000" w:themeColor="text1"/>
        </w:rPr>
        <w:t xml:space="preserve"> </w:t>
      </w:r>
      <w:r w:rsidR="00134D00" w:rsidRPr="00F83198">
        <w:rPr>
          <w:noProof/>
          <w:color w:val="000000" w:themeColor="text1"/>
        </w:rPr>
        <w:t>Directive 2014/45/EU</w:t>
      </w:r>
      <w:r w:rsidR="003944C2" w:rsidRPr="00F83198">
        <w:rPr>
          <w:noProof/>
          <w:color w:val="000000" w:themeColor="text1"/>
        </w:rPr>
        <w:t xml:space="preserve"> </w:t>
      </w:r>
      <w:r w:rsidR="003944C2" w:rsidRPr="00BE28DF">
        <w:rPr>
          <w:noProof/>
        </w:rPr>
        <w:t>of the European Parliament and of the Council</w:t>
      </w:r>
      <w:r w:rsidR="003944C2" w:rsidRPr="008020EA">
        <w:rPr>
          <w:rStyle w:val="FootnoteReference"/>
          <w:noProof/>
        </w:rPr>
        <w:footnoteReference w:id="19"/>
      </w:r>
      <w:r w:rsidR="00134D00" w:rsidRPr="00BE28DF">
        <w:rPr>
          <w:noProof/>
        </w:rPr>
        <w:t>.</w:t>
      </w:r>
    </w:p>
    <w:p w14:paraId="52E409DE" w14:textId="393028C2" w:rsidR="00134D00" w:rsidRPr="00BE28DF" w:rsidRDefault="000B6083" w:rsidP="000B6083">
      <w:pPr>
        <w:pStyle w:val="ManualConsidrant"/>
        <w:rPr>
          <w:noProof/>
        </w:rPr>
      </w:pPr>
      <w:r w:rsidRPr="000B6083">
        <w:t>(9)</w:t>
      </w:r>
      <w:r w:rsidRPr="000B6083">
        <w:tab/>
      </w:r>
      <w:r w:rsidR="0083263C" w:rsidRPr="00BE28DF">
        <w:rPr>
          <w:noProof/>
        </w:rPr>
        <w:t>In order to ensure that drivers</w:t>
      </w:r>
      <w:r w:rsidR="002E75A2" w:rsidRPr="00BE28DF">
        <w:rPr>
          <w:noProof/>
        </w:rPr>
        <w:t xml:space="preserve"> </w:t>
      </w:r>
      <w:r w:rsidR="0083263C" w:rsidRPr="00BE28DF">
        <w:rPr>
          <w:noProof/>
        </w:rPr>
        <w:t xml:space="preserve">correctly declare the performance of the </w:t>
      </w:r>
      <w:r w:rsidR="00BF1D69" w:rsidRPr="00BE28DF">
        <w:rPr>
          <w:noProof/>
        </w:rPr>
        <w:t>trailer</w:t>
      </w:r>
      <w:r w:rsidR="0083263C" w:rsidRPr="00BE28DF">
        <w:rPr>
          <w:noProof/>
        </w:rPr>
        <w:t xml:space="preserve"> connected to the motor vehicle</w:t>
      </w:r>
      <w:r w:rsidR="002E75A2" w:rsidRPr="00BE28DF">
        <w:rPr>
          <w:noProof/>
        </w:rPr>
        <w:t xml:space="preserve"> when making use of the reduction of charges based on CO2 emissions</w:t>
      </w:r>
      <w:r w:rsidR="0083263C" w:rsidRPr="00BE28DF">
        <w:rPr>
          <w:noProof/>
        </w:rPr>
        <w:t xml:space="preserve">, it is </w:t>
      </w:r>
      <w:r w:rsidR="003944C2" w:rsidRPr="00BE28DF">
        <w:rPr>
          <w:noProof/>
        </w:rPr>
        <w:t>necessary</w:t>
      </w:r>
      <w:r w:rsidR="0083263C" w:rsidRPr="00BE28DF">
        <w:rPr>
          <w:noProof/>
        </w:rPr>
        <w:t xml:space="preserve"> that enforcement officers</w:t>
      </w:r>
      <w:r w:rsidR="002E75A2" w:rsidRPr="00BE28DF">
        <w:rPr>
          <w:noProof/>
        </w:rPr>
        <w:t xml:space="preserve"> are provided</w:t>
      </w:r>
      <w:r w:rsidR="0083263C" w:rsidRPr="00BE28DF">
        <w:rPr>
          <w:noProof/>
        </w:rPr>
        <w:t xml:space="preserve">, upon request, </w:t>
      </w:r>
      <w:r w:rsidR="0034060D" w:rsidRPr="00BE28DF">
        <w:rPr>
          <w:noProof/>
        </w:rPr>
        <w:t xml:space="preserve">with </w:t>
      </w:r>
      <w:r w:rsidR="0083263C" w:rsidRPr="00BE28DF">
        <w:rPr>
          <w:noProof/>
        </w:rPr>
        <w:t xml:space="preserve">evidence of the emission class of the vehicle combination, that is </w:t>
      </w:r>
      <w:r w:rsidR="002E75A2" w:rsidRPr="00BE28DF">
        <w:rPr>
          <w:noProof/>
        </w:rPr>
        <w:t>including evidence</w:t>
      </w:r>
      <w:r w:rsidR="0083263C" w:rsidRPr="00BE28DF">
        <w:rPr>
          <w:noProof/>
        </w:rPr>
        <w:t xml:space="preserve"> </w:t>
      </w:r>
      <w:r w:rsidR="00531D7A" w:rsidRPr="00BE28DF">
        <w:rPr>
          <w:noProof/>
        </w:rPr>
        <w:t xml:space="preserve">attesting </w:t>
      </w:r>
      <w:r w:rsidR="0083263C" w:rsidRPr="00BE28DF">
        <w:rPr>
          <w:noProof/>
        </w:rPr>
        <w:t xml:space="preserve">the </w:t>
      </w:r>
      <w:r w:rsidR="002E75A2" w:rsidRPr="00BE28DF">
        <w:rPr>
          <w:noProof/>
        </w:rPr>
        <w:t xml:space="preserve">performance of the </w:t>
      </w:r>
      <w:r w:rsidR="00BF1D69" w:rsidRPr="00BE28DF">
        <w:rPr>
          <w:noProof/>
        </w:rPr>
        <w:t>trailer</w:t>
      </w:r>
      <w:r w:rsidR="0083263C" w:rsidRPr="00BE28DF">
        <w:rPr>
          <w:noProof/>
        </w:rPr>
        <w:t xml:space="preserve">. If </w:t>
      </w:r>
      <w:r w:rsidR="002E75A2" w:rsidRPr="00BE28DF">
        <w:rPr>
          <w:noProof/>
        </w:rPr>
        <w:t xml:space="preserve">such </w:t>
      </w:r>
      <w:r w:rsidR="0083263C" w:rsidRPr="00BE28DF">
        <w:rPr>
          <w:noProof/>
        </w:rPr>
        <w:t xml:space="preserve">evidence is not provided, a Member State </w:t>
      </w:r>
      <w:r w:rsidR="003944C2" w:rsidRPr="00BE28DF">
        <w:rPr>
          <w:noProof/>
        </w:rPr>
        <w:t xml:space="preserve">would be entitled to </w:t>
      </w:r>
      <w:r w:rsidR="0083263C" w:rsidRPr="00BE28DF">
        <w:rPr>
          <w:noProof/>
        </w:rPr>
        <w:t xml:space="preserve">apply charges on the basis of the emission class of the motor vehicle only. </w:t>
      </w:r>
    </w:p>
    <w:p w14:paraId="115B777F" w14:textId="67B22B33" w:rsidR="002A0F43" w:rsidRPr="00BE28DF" w:rsidRDefault="000B6083" w:rsidP="000B6083">
      <w:pPr>
        <w:pStyle w:val="ManualConsidrant"/>
        <w:rPr>
          <w:noProof/>
        </w:rPr>
      </w:pPr>
      <w:r w:rsidRPr="000B6083">
        <w:t>(10)</w:t>
      </w:r>
      <w:r w:rsidRPr="000B6083">
        <w:tab/>
      </w:r>
      <w:r w:rsidR="00A92ADB" w:rsidRPr="00BE28DF">
        <w:rPr>
          <w:noProof/>
        </w:rPr>
        <w:t xml:space="preserve">In order to ensure the coherent application of </w:t>
      </w:r>
      <w:r w:rsidR="00F05DFF" w:rsidRPr="00BE28DF">
        <w:rPr>
          <w:noProof/>
        </w:rPr>
        <w:t xml:space="preserve">road charges </w:t>
      </w:r>
      <w:r w:rsidR="00A92ADB" w:rsidRPr="00BE28DF">
        <w:rPr>
          <w:noProof/>
        </w:rPr>
        <w:t xml:space="preserve">variation according to </w:t>
      </w:r>
      <w:bookmarkStart w:id="10" w:name="_Hlk128921735"/>
      <w:r w:rsidR="00A92ADB" w:rsidRPr="00BE28DF">
        <w:rPr>
          <w:noProof/>
        </w:rPr>
        <w:t xml:space="preserve">CO2 </w:t>
      </w:r>
      <w:bookmarkEnd w:id="10"/>
      <w:r w:rsidR="00A92ADB" w:rsidRPr="00BE28DF">
        <w:rPr>
          <w:noProof/>
        </w:rPr>
        <w:t>emissions, it is necessary to amend Council Directive 1999/37/EC</w:t>
      </w:r>
      <w:r w:rsidR="00E63F0D" w:rsidRPr="008020EA">
        <w:rPr>
          <w:rStyle w:val="FootnoteReference"/>
          <w:b/>
          <w:noProof/>
        </w:rPr>
        <w:footnoteReference w:id="20"/>
      </w:r>
      <w:r w:rsidR="00A92ADB" w:rsidRPr="00BE28DF">
        <w:rPr>
          <w:noProof/>
        </w:rPr>
        <w:t xml:space="preserve"> to require, where available on their certificate of conformity</w:t>
      </w:r>
      <w:r w:rsidR="002A0F43" w:rsidRPr="00BE28DF">
        <w:rPr>
          <w:noProof/>
        </w:rPr>
        <w:t xml:space="preserve"> or on the individual vehicle approval certificate</w:t>
      </w:r>
      <w:r w:rsidR="00A92ADB" w:rsidRPr="00BE28DF">
        <w:rPr>
          <w:noProof/>
        </w:rPr>
        <w:t xml:space="preserve">, </w:t>
      </w:r>
      <w:r w:rsidR="002A0F43" w:rsidRPr="00BE28DF">
        <w:rPr>
          <w:noProof/>
        </w:rPr>
        <w:t xml:space="preserve">that </w:t>
      </w:r>
      <w:r w:rsidR="00A92ADB" w:rsidRPr="00BE28DF">
        <w:rPr>
          <w:noProof/>
        </w:rPr>
        <w:t xml:space="preserve">the </w:t>
      </w:r>
      <w:r w:rsidR="002A0F43" w:rsidRPr="00BE28DF">
        <w:rPr>
          <w:noProof/>
        </w:rPr>
        <w:t xml:space="preserve">efficiency ratio of </w:t>
      </w:r>
      <w:r w:rsidR="00BF1D69" w:rsidRPr="00BE28DF">
        <w:rPr>
          <w:noProof/>
        </w:rPr>
        <w:t>trailers</w:t>
      </w:r>
      <w:r w:rsidR="00A92ADB" w:rsidRPr="00BE28DF">
        <w:rPr>
          <w:noProof/>
        </w:rPr>
        <w:t xml:space="preserve"> be indicated on their registration certificate. It is important to ensure that data relating to the</w:t>
      </w:r>
      <w:r w:rsidR="002A0F43" w:rsidRPr="00BE28DF">
        <w:rPr>
          <w:noProof/>
        </w:rPr>
        <w:t xml:space="preserve"> efficiency</w:t>
      </w:r>
      <w:r w:rsidR="00A92ADB" w:rsidRPr="00BE28DF">
        <w:rPr>
          <w:noProof/>
        </w:rPr>
        <w:t xml:space="preserve"> of </w:t>
      </w:r>
      <w:r w:rsidR="00FF75DE" w:rsidRPr="00BE28DF">
        <w:rPr>
          <w:noProof/>
        </w:rPr>
        <w:t>trailers</w:t>
      </w:r>
      <w:r w:rsidR="002A0F43" w:rsidRPr="00BE28DF">
        <w:rPr>
          <w:noProof/>
        </w:rPr>
        <w:t xml:space="preserve"> </w:t>
      </w:r>
      <w:r w:rsidR="00A92ADB" w:rsidRPr="00BE28DF">
        <w:rPr>
          <w:noProof/>
        </w:rPr>
        <w:t>are available for the exchange of information between Member States, as set out in Directive (EU) 2019/520</w:t>
      </w:r>
      <w:r w:rsidR="001B6688" w:rsidRPr="00BE28DF">
        <w:rPr>
          <w:noProof/>
        </w:rPr>
        <w:t xml:space="preserve"> of the European Parliament and of the Council</w:t>
      </w:r>
      <w:r w:rsidR="00E63F0D" w:rsidRPr="008020EA">
        <w:rPr>
          <w:rStyle w:val="FootnoteReference"/>
          <w:b/>
          <w:noProof/>
        </w:rPr>
        <w:footnoteReference w:id="21"/>
      </w:r>
      <w:r w:rsidR="00A92ADB" w:rsidRPr="00BE28DF">
        <w:rPr>
          <w:noProof/>
        </w:rPr>
        <w:t xml:space="preserve">. </w:t>
      </w:r>
    </w:p>
    <w:p w14:paraId="7D04018C" w14:textId="4111ECB1" w:rsidR="00EA7878" w:rsidRPr="00BE28DF" w:rsidRDefault="000B6083" w:rsidP="000B6083">
      <w:pPr>
        <w:pStyle w:val="ManualConsidrant"/>
        <w:rPr>
          <w:noProof/>
        </w:rPr>
      </w:pPr>
      <w:r w:rsidRPr="000B6083">
        <w:t>(11)</w:t>
      </w:r>
      <w:r w:rsidRPr="000B6083">
        <w:tab/>
      </w:r>
      <w:r w:rsidR="00D42F23" w:rsidRPr="00BE28DF">
        <w:rPr>
          <w:noProof/>
        </w:rPr>
        <w:t>Additionally</w:t>
      </w:r>
      <w:r w:rsidR="00B809D9" w:rsidRPr="00BE28DF">
        <w:rPr>
          <w:noProof/>
        </w:rPr>
        <w:t xml:space="preserve">, it is appropriate to amend Directive 1999/62/EC for the purpose of reflecting the new structure of </w:t>
      </w:r>
      <w:bookmarkStart w:id="11" w:name="_Hlk128562790"/>
      <w:r w:rsidR="00B809D9" w:rsidRPr="00BE28DF">
        <w:rPr>
          <w:noProof/>
        </w:rPr>
        <w:t xml:space="preserve">Regulation (EU) 2019/1242, as amended </w:t>
      </w:r>
      <w:bookmarkEnd w:id="11"/>
      <w:r w:rsidR="00B809D9" w:rsidRPr="00BE28DF">
        <w:rPr>
          <w:noProof/>
        </w:rPr>
        <w:t xml:space="preserve">by </w:t>
      </w:r>
      <w:r w:rsidR="00944B0A" w:rsidRPr="00BE28DF">
        <w:rPr>
          <w:noProof/>
        </w:rPr>
        <w:t>[</w:t>
      </w:r>
      <w:r w:rsidR="00944B0A" w:rsidRPr="00177E07">
        <w:rPr>
          <w:i/>
          <w:iCs/>
          <w:noProof/>
        </w:rPr>
        <w:t>add reference once known</w:t>
      </w:r>
      <w:r w:rsidR="00944B0A" w:rsidRPr="00BE28DF">
        <w:rPr>
          <w:noProof/>
        </w:rPr>
        <w:t>]</w:t>
      </w:r>
      <w:r w:rsidR="00B809D9" w:rsidRPr="00BE28DF">
        <w:rPr>
          <w:noProof/>
        </w:rPr>
        <w:t xml:space="preserve">. The necessary changes </w:t>
      </w:r>
      <w:r w:rsidR="00F13795" w:rsidRPr="00BE28DF">
        <w:rPr>
          <w:noProof/>
        </w:rPr>
        <w:t xml:space="preserve">aim at </w:t>
      </w:r>
      <w:r w:rsidR="00BA421F" w:rsidRPr="00BE28DF">
        <w:rPr>
          <w:noProof/>
        </w:rPr>
        <w:t>preserving</w:t>
      </w:r>
      <w:r w:rsidR="00B809D9" w:rsidRPr="00BE28DF">
        <w:rPr>
          <w:noProof/>
        </w:rPr>
        <w:t xml:space="preserve"> the current </w:t>
      </w:r>
      <w:r w:rsidR="00080FE1" w:rsidRPr="00BE28DF">
        <w:rPr>
          <w:noProof/>
        </w:rPr>
        <w:t xml:space="preserve">meaning of </w:t>
      </w:r>
      <w:r w:rsidR="006D557C" w:rsidRPr="00BE28DF">
        <w:rPr>
          <w:noProof/>
        </w:rPr>
        <w:t xml:space="preserve">the </w:t>
      </w:r>
      <w:r w:rsidR="00B809D9" w:rsidRPr="00BE28DF">
        <w:rPr>
          <w:noProof/>
        </w:rPr>
        <w:t>definition</w:t>
      </w:r>
      <w:r w:rsidR="00080FE1" w:rsidRPr="00BE28DF">
        <w:rPr>
          <w:noProof/>
        </w:rPr>
        <w:t>s</w:t>
      </w:r>
      <w:r w:rsidR="00B809D9" w:rsidRPr="00BE28DF">
        <w:rPr>
          <w:noProof/>
        </w:rPr>
        <w:t xml:space="preserve"> of zero-emission vehicle</w:t>
      </w:r>
      <w:r w:rsidR="00663BB5" w:rsidRPr="00BE28DF">
        <w:rPr>
          <w:noProof/>
        </w:rPr>
        <w:t xml:space="preserve">, </w:t>
      </w:r>
      <w:r w:rsidR="00C46E07" w:rsidRPr="00BE28DF">
        <w:rPr>
          <w:noProof/>
        </w:rPr>
        <w:t>low-emission vehicle</w:t>
      </w:r>
      <w:r w:rsidR="007239F9" w:rsidRPr="00BE28DF">
        <w:rPr>
          <w:noProof/>
        </w:rPr>
        <w:t xml:space="preserve">, </w:t>
      </w:r>
      <w:r w:rsidR="00663BB5" w:rsidRPr="00BE28DF">
        <w:rPr>
          <w:noProof/>
        </w:rPr>
        <w:t>reference CO2 emissions</w:t>
      </w:r>
      <w:r w:rsidR="007239F9" w:rsidRPr="00BE28DF">
        <w:rPr>
          <w:noProof/>
        </w:rPr>
        <w:t xml:space="preserve"> and emission reduction trajectory</w:t>
      </w:r>
      <w:r w:rsidR="00B809D9" w:rsidRPr="00BE28DF">
        <w:rPr>
          <w:noProof/>
        </w:rPr>
        <w:t xml:space="preserve">, </w:t>
      </w:r>
      <w:r w:rsidR="006D557C" w:rsidRPr="00BE28DF">
        <w:rPr>
          <w:noProof/>
        </w:rPr>
        <w:t xml:space="preserve">and should </w:t>
      </w:r>
      <w:r w:rsidR="00B809D9" w:rsidRPr="00BE28DF">
        <w:rPr>
          <w:noProof/>
        </w:rPr>
        <w:t xml:space="preserve">update the </w:t>
      </w:r>
      <w:r w:rsidR="007239F9" w:rsidRPr="00BE28DF">
        <w:rPr>
          <w:noProof/>
        </w:rPr>
        <w:t xml:space="preserve">latter </w:t>
      </w:r>
      <w:r w:rsidR="004A0FDE" w:rsidRPr="00BE28DF">
        <w:rPr>
          <w:noProof/>
        </w:rPr>
        <w:t>one</w:t>
      </w:r>
      <w:r w:rsidR="00B809D9" w:rsidRPr="00BE28DF">
        <w:rPr>
          <w:noProof/>
        </w:rPr>
        <w:t xml:space="preserve"> so as to harmonise its applicability with the abovementioned Regulation</w:t>
      </w:r>
      <w:r w:rsidR="00D814DB" w:rsidRPr="00BE28DF">
        <w:rPr>
          <w:noProof/>
        </w:rPr>
        <w:t xml:space="preserve"> </w:t>
      </w:r>
      <w:r w:rsidR="00753DEE" w:rsidRPr="00BE28DF">
        <w:rPr>
          <w:noProof/>
        </w:rPr>
        <w:t>after</w:t>
      </w:r>
      <w:r w:rsidR="00D814DB" w:rsidRPr="00BE28DF">
        <w:rPr>
          <w:noProof/>
        </w:rPr>
        <w:t xml:space="preserve"> 2030</w:t>
      </w:r>
      <w:r w:rsidR="007239F9" w:rsidRPr="00BE28DF">
        <w:rPr>
          <w:noProof/>
        </w:rPr>
        <w:t xml:space="preserve">. </w:t>
      </w:r>
      <w:r w:rsidR="0022354B" w:rsidRPr="00BE28DF">
        <w:rPr>
          <w:noProof/>
        </w:rPr>
        <w:t>The</w:t>
      </w:r>
      <w:r w:rsidR="0057139C" w:rsidRPr="00BE28DF">
        <w:rPr>
          <w:noProof/>
        </w:rPr>
        <w:t>se changes</w:t>
      </w:r>
      <w:r w:rsidR="0022354B" w:rsidRPr="00BE28DF">
        <w:rPr>
          <w:noProof/>
        </w:rPr>
        <w:t xml:space="preserve"> should also </w:t>
      </w:r>
      <w:r w:rsidR="00BA421F" w:rsidRPr="00BE28DF">
        <w:rPr>
          <w:noProof/>
        </w:rPr>
        <w:t>preserve</w:t>
      </w:r>
      <w:r w:rsidR="00125EC3" w:rsidRPr="00BE28DF">
        <w:rPr>
          <w:noProof/>
        </w:rPr>
        <w:t xml:space="preserve"> </w:t>
      </w:r>
      <w:r w:rsidR="00B809D9" w:rsidRPr="00BE28DF">
        <w:rPr>
          <w:noProof/>
        </w:rPr>
        <w:t>the obligation to variate infrastructure and user charges</w:t>
      </w:r>
      <w:r w:rsidR="00182BA2" w:rsidRPr="00BE28DF">
        <w:rPr>
          <w:noProof/>
        </w:rPr>
        <w:t xml:space="preserve"> and </w:t>
      </w:r>
      <w:r w:rsidR="00DB43A3" w:rsidRPr="00BE28DF">
        <w:rPr>
          <w:noProof/>
        </w:rPr>
        <w:t>the time from which this obligation applies</w:t>
      </w:r>
      <w:r w:rsidR="00091932" w:rsidRPr="00BE28DF">
        <w:rPr>
          <w:noProof/>
        </w:rPr>
        <w:t xml:space="preserve">. </w:t>
      </w:r>
      <w:r w:rsidR="00112990" w:rsidRPr="00BE28DF">
        <w:rPr>
          <w:noProof/>
        </w:rPr>
        <w:t>As regards</w:t>
      </w:r>
      <w:r w:rsidR="00FC4669" w:rsidRPr="00BE28DF">
        <w:rPr>
          <w:noProof/>
        </w:rPr>
        <w:t xml:space="preserve"> vehicle sub-groups already covered by the Regulation, </w:t>
      </w:r>
      <w:r w:rsidR="00DB43A3" w:rsidRPr="00BE28DF">
        <w:rPr>
          <w:noProof/>
        </w:rPr>
        <w:t>these changes should in particular</w:t>
      </w:r>
      <w:r w:rsidR="00112990" w:rsidRPr="00BE28DF">
        <w:rPr>
          <w:noProof/>
        </w:rPr>
        <w:t xml:space="preserve"> clarif</w:t>
      </w:r>
      <w:r w:rsidR="00DB43A3" w:rsidRPr="00BE28DF">
        <w:rPr>
          <w:noProof/>
        </w:rPr>
        <w:t>y</w:t>
      </w:r>
      <w:r w:rsidR="00112990" w:rsidRPr="00BE28DF">
        <w:rPr>
          <w:noProof/>
        </w:rPr>
        <w:t xml:space="preserve"> that this obligation applies from 13 May 2023, namely</w:t>
      </w:r>
      <w:r w:rsidR="00FC4669" w:rsidRPr="00BE28DF">
        <w:rPr>
          <w:noProof/>
        </w:rPr>
        <w:t xml:space="preserve"> </w:t>
      </w:r>
      <w:r w:rsidR="009C4412" w:rsidRPr="00BE28DF">
        <w:rPr>
          <w:noProof/>
        </w:rPr>
        <w:t xml:space="preserve">two years </w:t>
      </w:r>
      <w:r w:rsidR="00CB6F86" w:rsidRPr="00BE28DF">
        <w:rPr>
          <w:noProof/>
        </w:rPr>
        <w:t xml:space="preserve">after </w:t>
      </w:r>
      <w:r w:rsidR="009C4412" w:rsidRPr="00BE28DF">
        <w:rPr>
          <w:noProof/>
        </w:rPr>
        <w:t xml:space="preserve">the date of </w:t>
      </w:r>
      <w:r w:rsidR="003D024C" w:rsidRPr="00BE28DF">
        <w:rPr>
          <w:noProof/>
        </w:rPr>
        <w:t>publication</w:t>
      </w:r>
      <w:r w:rsidR="009C4412" w:rsidRPr="00BE28DF">
        <w:rPr>
          <w:noProof/>
        </w:rPr>
        <w:t xml:space="preserve"> of Commission Implementing Decision (EU) 2021/781</w:t>
      </w:r>
      <w:r w:rsidR="00E63F0D" w:rsidRPr="008020EA">
        <w:rPr>
          <w:rStyle w:val="FootnoteReference"/>
          <w:b/>
          <w:noProof/>
        </w:rPr>
        <w:footnoteReference w:id="22"/>
      </w:r>
      <w:r w:rsidR="009C4412" w:rsidRPr="00BE28DF">
        <w:rPr>
          <w:noProof/>
        </w:rPr>
        <w:t xml:space="preserve">, </w:t>
      </w:r>
      <w:r w:rsidR="006B317A" w:rsidRPr="00BE28DF">
        <w:rPr>
          <w:noProof/>
        </w:rPr>
        <w:t>which specifies</w:t>
      </w:r>
      <w:r w:rsidR="00C72F3B" w:rsidRPr="00BE28DF">
        <w:rPr>
          <w:noProof/>
        </w:rPr>
        <w:t xml:space="preserve"> reference CO2 emissions for those vehicle sub-groups</w:t>
      </w:r>
      <w:r w:rsidR="00B809D9" w:rsidRPr="00BE28DF">
        <w:rPr>
          <w:noProof/>
        </w:rPr>
        <w:t>. To ensure the timely adoption of these changes in respect to the date of entry into force of the amendments to Regulation (EU) 2019/1242, a one-year deadline for transposition into national legislation should be established.</w:t>
      </w:r>
      <w:r w:rsidR="009E15D3" w:rsidRPr="00BE28DF">
        <w:rPr>
          <w:noProof/>
        </w:rPr>
        <w:t xml:space="preserve"> </w:t>
      </w:r>
    </w:p>
    <w:p w14:paraId="1DBC63D4" w14:textId="1884FE06" w:rsidR="00DF3913" w:rsidRPr="00BE28DF" w:rsidRDefault="000B6083" w:rsidP="000B6083">
      <w:pPr>
        <w:pStyle w:val="ManualConsidrant"/>
        <w:rPr>
          <w:noProof/>
        </w:rPr>
      </w:pPr>
      <w:r w:rsidRPr="000B6083">
        <w:t>(12)</w:t>
      </w:r>
      <w:r w:rsidRPr="000B6083">
        <w:tab/>
      </w:r>
      <w:r w:rsidR="00DF3913" w:rsidRPr="00BE28DF">
        <w:rPr>
          <w:noProof/>
        </w:rPr>
        <w:t>Directive</w:t>
      </w:r>
      <w:r w:rsidR="002A0F43" w:rsidRPr="00BE28DF">
        <w:rPr>
          <w:noProof/>
        </w:rPr>
        <w:t>s</w:t>
      </w:r>
      <w:r w:rsidR="00DF3913" w:rsidRPr="00BE28DF">
        <w:rPr>
          <w:noProof/>
        </w:rPr>
        <w:t xml:space="preserve"> 1999/62/EC</w:t>
      </w:r>
      <w:r w:rsidR="002A0F43" w:rsidRPr="00BE28DF">
        <w:rPr>
          <w:noProof/>
        </w:rPr>
        <w:t>, 1999/37/EC and (EU) 2019/520</w:t>
      </w:r>
      <w:r w:rsidR="00DF3913" w:rsidRPr="00BE28DF">
        <w:rPr>
          <w:noProof/>
        </w:rPr>
        <w:t xml:space="preserve"> should t</w:t>
      </w:r>
      <w:r w:rsidR="00E50C3C" w:rsidRPr="00BE28DF">
        <w:rPr>
          <w:noProof/>
        </w:rPr>
        <w:t>herefore be amended accordingly</w:t>
      </w:r>
      <w:r w:rsidR="003944C2" w:rsidRPr="00BE28DF">
        <w:rPr>
          <w:noProof/>
        </w:rPr>
        <w:t>,</w:t>
      </w:r>
    </w:p>
    <w:p w14:paraId="5F4E7B2E" w14:textId="77777777" w:rsidR="001D54E7" w:rsidRPr="00AC7E92" w:rsidRDefault="001D54E7" w:rsidP="00A92ADB">
      <w:pPr>
        <w:pStyle w:val="Formuledadoption"/>
        <w:rPr>
          <w:noProof/>
        </w:rPr>
      </w:pPr>
      <w:r w:rsidRPr="00AC7E92">
        <w:rPr>
          <w:noProof/>
        </w:rPr>
        <w:t>HAVE ADOPTED THIS DIRECTIVE:</w:t>
      </w:r>
    </w:p>
    <w:p w14:paraId="60D87245" w14:textId="77777777" w:rsidR="001D54E7" w:rsidRPr="00AC7E92" w:rsidRDefault="001D54E7" w:rsidP="00A92ADB">
      <w:pPr>
        <w:pStyle w:val="Titrearticle"/>
        <w:rPr>
          <w:noProof/>
        </w:rPr>
      </w:pPr>
      <w:r w:rsidRPr="00AC7E92">
        <w:rPr>
          <w:noProof/>
        </w:rPr>
        <w:t>Article 1</w:t>
      </w:r>
    </w:p>
    <w:p w14:paraId="6AA4A3BF" w14:textId="77777777" w:rsidR="001E5BC5" w:rsidRPr="009A1DDF" w:rsidRDefault="001E5BC5" w:rsidP="001E5BC5">
      <w:pPr>
        <w:jc w:val="center"/>
        <w:rPr>
          <w:noProof/>
          <w:sz w:val="22"/>
          <w:lang w:val="en-US"/>
        </w:rPr>
      </w:pPr>
      <w:r w:rsidRPr="009A1DDF">
        <w:rPr>
          <w:b/>
          <w:bCs/>
          <w:noProof/>
          <w:sz w:val="22"/>
          <w:lang w:val="en-US"/>
        </w:rPr>
        <w:t>Amendments to Directive 1999/62/EC</w:t>
      </w:r>
    </w:p>
    <w:p w14:paraId="492AB8B1" w14:textId="77777777" w:rsidR="003F5C03" w:rsidRPr="00F34049" w:rsidRDefault="001E5BC5" w:rsidP="001E0DC3">
      <w:pPr>
        <w:rPr>
          <w:noProof/>
          <w:sz w:val="22"/>
          <w:lang w:val="en-US"/>
        </w:rPr>
      </w:pPr>
      <w:r w:rsidRPr="00091417">
        <w:rPr>
          <w:noProof/>
          <w:szCs w:val="24"/>
          <w:lang w:val="en-US"/>
        </w:rPr>
        <w:t>Directive 1999/62/EC is amended as follows:</w:t>
      </w:r>
      <w:r w:rsidRPr="00091417">
        <w:rPr>
          <w:noProof/>
          <w:szCs w:val="24"/>
          <w:lang w:val="en-US"/>
        </w:rPr>
        <w:tab/>
      </w:r>
    </w:p>
    <w:p w14:paraId="06FC4422" w14:textId="6101AE34" w:rsidR="005E679C" w:rsidRPr="001E0DC3" w:rsidRDefault="000B6083" w:rsidP="000B6083">
      <w:pPr>
        <w:pStyle w:val="Point0"/>
        <w:rPr>
          <w:noProof/>
          <w:lang w:val="en-US"/>
        </w:rPr>
      </w:pPr>
      <w:r w:rsidRPr="000B6083">
        <w:t>(1)</w:t>
      </w:r>
      <w:r w:rsidRPr="000B6083">
        <w:tab/>
      </w:r>
      <w:r w:rsidR="005E679C" w:rsidRPr="001E0DC3">
        <w:rPr>
          <w:noProof/>
          <w:lang w:val="en-US"/>
        </w:rPr>
        <w:t>Article 2 (1) is amended as follows:</w:t>
      </w:r>
    </w:p>
    <w:p w14:paraId="16CE7A10" w14:textId="77777777" w:rsidR="00B809D9" w:rsidRDefault="00B809D9" w:rsidP="00B809D9">
      <w:pPr>
        <w:pStyle w:val="ListParagraph"/>
        <w:rPr>
          <w:noProof/>
          <w:lang w:val="en-US"/>
        </w:rPr>
      </w:pPr>
    </w:p>
    <w:p w14:paraId="0A2D63A6" w14:textId="46666371" w:rsidR="005E679C" w:rsidRPr="008D6F06" w:rsidRDefault="000B6083" w:rsidP="000B6083">
      <w:pPr>
        <w:pStyle w:val="Point1"/>
        <w:rPr>
          <w:noProof/>
          <w:lang w:val="en-US"/>
        </w:rPr>
      </w:pPr>
      <w:r w:rsidRPr="000B6083">
        <w:t>(a)</w:t>
      </w:r>
      <w:r w:rsidRPr="000B6083">
        <w:tab/>
      </w:r>
      <w:r w:rsidR="00436264" w:rsidRPr="008D6F06">
        <w:rPr>
          <w:noProof/>
          <w:lang w:val="en-US"/>
        </w:rPr>
        <w:t>In p</w:t>
      </w:r>
      <w:r w:rsidR="005E679C" w:rsidRPr="008D6F06">
        <w:rPr>
          <w:noProof/>
          <w:lang w:val="en-US"/>
        </w:rPr>
        <w:t>oint 29</w:t>
      </w:r>
      <w:r w:rsidR="00436264" w:rsidRPr="008D6F06">
        <w:rPr>
          <w:noProof/>
          <w:lang w:val="en-US"/>
        </w:rPr>
        <w:t xml:space="preserve">, point </w:t>
      </w:r>
      <w:r w:rsidR="005E679C" w:rsidRPr="008D6F06">
        <w:rPr>
          <w:noProof/>
          <w:lang w:val="en-US"/>
        </w:rPr>
        <w:t>(a) is replaced by the following:</w:t>
      </w:r>
    </w:p>
    <w:p w14:paraId="0A5494C0" w14:textId="77777777" w:rsidR="005E679C" w:rsidRDefault="00436264" w:rsidP="008020EA">
      <w:pPr>
        <w:pStyle w:val="Text2"/>
        <w:rPr>
          <w:noProof/>
          <w:lang w:val="en-IE"/>
        </w:rPr>
      </w:pPr>
      <w:r>
        <w:rPr>
          <w:noProof/>
          <w:lang w:val="en-US"/>
        </w:rPr>
        <w:t>‘</w:t>
      </w:r>
      <w:r w:rsidR="005E679C" w:rsidRPr="005E679C">
        <w:rPr>
          <w:rFonts w:hint="eastAsia"/>
          <w:noProof/>
          <w:lang w:val="en-IE"/>
        </w:rPr>
        <w:t>(a) a</w:t>
      </w:r>
      <w:r w:rsidR="004E5F89">
        <w:rPr>
          <w:noProof/>
          <w:lang w:val="en-IE"/>
        </w:rPr>
        <w:t xml:space="preserve"> </w:t>
      </w:r>
      <w:r w:rsidR="005E679C" w:rsidRPr="005E679C">
        <w:rPr>
          <w:rFonts w:hint="eastAsia"/>
          <w:noProof/>
          <w:lang w:val="en-IE"/>
        </w:rPr>
        <w:t xml:space="preserve">heavy-duty </w:t>
      </w:r>
      <w:r w:rsidR="00AC7559">
        <w:rPr>
          <w:noProof/>
          <w:lang w:val="en-IE"/>
        </w:rPr>
        <w:t xml:space="preserve">motor vehicle </w:t>
      </w:r>
      <w:r w:rsidR="0012326A">
        <w:rPr>
          <w:noProof/>
          <w:lang w:val="en-IE"/>
        </w:rPr>
        <w:t>referred to</w:t>
      </w:r>
      <w:r w:rsidR="005E679C" w:rsidRPr="005E679C">
        <w:rPr>
          <w:rFonts w:hint="eastAsia"/>
          <w:noProof/>
          <w:lang w:val="en-IE"/>
        </w:rPr>
        <w:t xml:space="preserve"> in </w:t>
      </w:r>
      <w:r w:rsidR="005E679C" w:rsidRPr="00AF12C5">
        <w:rPr>
          <w:noProof/>
          <w:lang w:val="en-IE"/>
        </w:rPr>
        <w:t>Article</w:t>
      </w:r>
      <w:r w:rsidR="005E679C" w:rsidRPr="00AF12C5">
        <w:rPr>
          <w:rFonts w:hint="eastAsia"/>
          <w:noProof/>
          <w:lang w:val="en-IE"/>
        </w:rPr>
        <w:t> </w:t>
      </w:r>
      <w:r w:rsidR="005E679C" w:rsidRPr="00AF12C5">
        <w:rPr>
          <w:noProof/>
          <w:lang w:val="en-IE"/>
        </w:rPr>
        <w:t xml:space="preserve">3, point 11, </w:t>
      </w:r>
      <w:r w:rsidR="005E679C" w:rsidRPr="00B266FE">
        <w:rPr>
          <w:noProof/>
          <w:lang w:val="en-IE"/>
        </w:rPr>
        <w:t>subpoints (a) and (b),</w:t>
      </w:r>
      <w:r w:rsidR="005E679C" w:rsidRPr="005E679C">
        <w:rPr>
          <w:rFonts w:hint="eastAsia"/>
          <w:noProof/>
          <w:lang w:val="en-IE"/>
        </w:rPr>
        <w:t xml:space="preserve"> of Regulation (EU) 2019/1242 of the European Parliament and of the Council (</w:t>
      </w:r>
      <w:r w:rsidR="005E679C">
        <w:rPr>
          <w:noProof/>
          <w:lang w:val="en-IE"/>
        </w:rPr>
        <w:t>*</w:t>
      </w:r>
      <w:r w:rsidR="005E679C" w:rsidRPr="005E679C">
        <w:rPr>
          <w:rFonts w:hint="eastAsia"/>
          <w:noProof/>
          <w:lang w:val="en-IE"/>
        </w:rPr>
        <w:t>); or</w:t>
      </w:r>
      <w:r>
        <w:rPr>
          <w:noProof/>
          <w:lang w:val="en-IE"/>
        </w:rPr>
        <w:t>’</w:t>
      </w:r>
    </w:p>
    <w:p w14:paraId="69DB3B20" w14:textId="6EB239F5" w:rsidR="005E679C" w:rsidRPr="006B51E5" w:rsidRDefault="000B6083" w:rsidP="000B6083">
      <w:pPr>
        <w:pStyle w:val="Point1"/>
        <w:rPr>
          <w:noProof/>
          <w:lang w:val="en-IE"/>
        </w:rPr>
      </w:pPr>
      <w:r w:rsidRPr="000B6083">
        <w:t>(b)</w:t>
      </w:r>
      <w:r w:rsidRPr="000B6083">
        <w:tab/>
      </w:r>
      <w:r w:rsidR="006B51E5">
        <w:rPr>
          <w:noProof/>
          <w:lang w:val="en-IE"/>
        </w:rPr>
        <w:t>In p</w:t>
      </w:r>
      <w:r w:rsidR="005E679C" w:rsidRPr="006B51E5">
        <w:rPr>
          <w:noProof/>
          <w:lang w:val="en-IE"/>
        </w:rPr>
        <w:t>oint 30</w:t>
      </w:r>
      <w:r w:rsidR="006B51E5">
        <w:rPr>
          <w:noProof/>
          <w:lang w:val="en-IE"/>
        </w:rPr>
        <w:t>, point (b)</w:t>
      </w:r>
      <w:r w:rsidR="005E679C" w:rsidRPr="006B51E5">
        <w:rPr>
          <w:noProof/>
          <w:lang w:val="en-IE"/>
        </w:rPr>
        <w:t xml:space="preserve"> is replaced by the following:</w:t>
      </w:r>
    </w:p>
    <w:p w14:paraId="1A782F5E" w14:textId="77777777" w:rsidR="005E679C" w:rsidRDefault="00311B82" w:rsidP="008020EA">
      <w:pPr>
        <w:pStyle w:val="Text2"/>
        <w:rPr>
          <w:noProof/>
          <w:lang w:val="en-IE"/>
        </w:rPr>
      </w:pPr>
      <w:r>
        <w:rPr>
          <w:noProof/>
          <w:lang w:val="en-IE"/>
        </w:rPr>
        <w:t>‘</w:t>
      </w:r>
      <w:r w:rsidR="005E679C" w:rsidRPr="005E679C">
        <w:rPr>
          <w:rFonts w:hint="eastAsia"/>
          <w:noProof/>
          <w:lang w:val="en-IE"/>
        </w:rPr>
        <w:t xml:space="preserve">(b) a heavy-duty vehicle </w:t>
      </w:r>
      <w:r w:rsidR="00071D8B">
        <w:rPr>
          <w:noProof/>
          <w:lang w:val="en-US"/>
        </w:rPr>
        <w:t xml:space="preserve">from a vehicle group </w:t>
      </w:r>
      <w:r w:rsidR="00856D0D">
        <w:rPr>
          <w:noProof/>
          <w:lang w:val="en-IE"/>
        </w:rPr>
        <w:t xml:space="preserve">covered </w:t>
      </w:r>
      <w:r w:rsidR="00071D8B">
        <w:rPr>
          <w:noProof/>
          <w:lang w:val="en-US"/>
        </w:rPr>
        <w:t>by an implementing act adopted pursuant to Article 7ga(7)</w:t>
      </w:r>
      <w:r w:rsidR="005E679C" w:rsidRPr="005E679C">
        <w:rPr>
          <w:rFonts w:hint="eastAsia"/>
          <w:noProof/>
          <w:lang w:val="en-IE"/>
        </w:rPr>
        <w:t>, with CO</w:t>
      </w:r>
      <w:r w:rsidR="005E679C" w:rsidRPr="005E679C">
        <w:rPr>
          <w:rFonts w:hint="eastAsia"/>
          <w:noProof/>
          <w:vertAlign w:val="subscript"/>
          <w:lang w:val="en-IE"/>
        </w:rPr>
        <w:t>2</w:t>
      </w:r>
      <w:r w:rsidR="005E679C" w:rsidRPr="005E679C">
        <w:rPr>
          <w:rFonts w:hint="eastAsia"/>
          <w:noProof/>
          <w:lang w:val="en-IE"/>
        </w:rPr>
        <w:t> emissions lower than 50 % of the reference CO</w:t>
      </w:r>
      <w:r w:rsidR="005E679C" w:rsidRPr="005E679C">
        <w:rPr>
          <w:rFonts w:hint="eastAsia"/>
          <w:noProof/>
          <w:vertAlign w:val="subscript"/>
          <w:lang w:val="en-IE"/>
        </w:rPr>
        <w:t>2</w:t>
      </w:r>
      <w:r w:rsidR="005E679C" w:rsidRPr="005E679C">
        <w:rPr>
          <w:rFonts w:hint="eastAsia"/>
          <w:noProof/>
          <w:lang w:val="en-IE"/>
        </w:rPr>
        <w:t> emissions of its vehicle group, other than a zero-emission vehicle;</w:t>
      </w:r>
      <w:r w:rsidR="00436264">
        <w:rPr>
          <w:noProof/>
          <w:lang w:val="en-IE"/>
        </w:rPr>
        <w:t>’</w:t>
      </w:r>
      <w:r w:rsidR="005E679C">
        <w:rPr>
          <w:noProof/>
          <w:lang w:val="en-IE"/>
        </w:rPr>
        <w:t>;</w:t>
      </w:r>
    </w:p>
    <w:p w14:paraId="0FBDDC7A" w14:textId="402F3933" w:rsidR="00436264" w:rsidRDefault="000B6083" w:rsidP="000B6083">
      <w:pPr>
        <w:pStyle w:val="Point1"/>
        <w:rPr>
          <w:noProof/>
          <w:lang w:val="en-IE"/>
        </w:rPr>
      </w:pPr>
      <w:r w:rsidRPr="000B6083">
        <w:t>(c)</w:t>
      </w:r>
      <w:r w:rsidRPr="000B6083">
        <w:tab/>
      </w:r>
      <w:r w:rsidR="00436264" w:rsidRPr="005F4A93">
        <w:rPr>
          <w:noProof/>
          <w:lang w:val="en-IE"/>
        </w:rPr>
        <w:t>Point 37 is replaced by the following:</w:t>
      </w:r>
    </w:p>
    <w:p w14:paraId="01BFF80F" w14:textId="77777777" w:rsidR="00A93DF7" w:rsidRPr="005F4A93" w:rsidRDefault="00364C95" w:rsidP="008020EA">
      <w:pPr>
        <w:pStyle w:val="Text2"/>
        <w:rPr>
          <w:noProof/>
          <w:lang w:val="en-IE"/>
        </w:rPr>
      </w:pPr>
      <w:r>
        <w:rPr>
          <w:noProof/>
          <w:lang w:val="en-IE"/>
        </w:rPr>
        <w:t>‘(37)</w:t>
      </w:r>
      <w:r>
        <w:rPr>
          <w:noProof/>
          <w:lang w:val="en-IE"/>
        </w:rPr>
        <w:tab/>
      </w:r>
      <w:r w:rsidRPr="00364C95">
        <w:rPr>
          <w:noProof/>
          <w:lang w:val="en-IE"/>
        </w:rPr>
        <w:t xml:space="preserve">‘emission reduction trajectory’, for </w:t>
      </w:r>
      <w:r w:rsidR="00090970" w:rsidRPr="00364C95">
        <w:rPr>
          <w:noProof/>
          <w:lang w:val="en-IE"/>
        </w:rPr>
        <w:t>vehicle sub-group (sg)</w:t>
      </w:r>
      <w:r w:rsidR="00090970">
        <w:rPr>
          <w:noProof/>
          <w:lang w:val="en-IE"/>
        </w:rPr>
        <w:t xml:space="preserve"> and </w:t>
      </w:r>
      <w:r w:rsidRPr="00364C95">
        <w:rPr>
          <w:noProof/>
          <w:lang w:val="en-IE"/>
        </w:rPr>
        <w:t>the reporting period of a year (Y), namely ET</w:t>
      </w:r>
      <w:r w:rsidRPr="00AA18F1">
        <w:rPr>
          <w:noProof/>
          <w:vertAlign w:val="subscript"/>
          <w:lang w:val="en-IE"/>
        </w:rPr>
        <w:t>sg</w:t>
      </w:r>
      <w:r w:rsidR="004E186C" w:rsidRPr="00AA18F1">
        <w:rPr>
          <w:noProof/>
          <w:vertAlign w:val="subscript"/>
          <w:lang w:val="en-IE"/>
        </w:rPr>
        <w:t>,Y</w:t>
      </w:r>
      <w:r w:rsidRPr="00364C95">
        <w:rPr>
          <w:noProof/>
          <w:lang w:val="en-IE"/>
        </w:rPr>
        <w:t xml:space="preserve">, means the product of the annual </w:t>
      </w:r>
      <w:r w:rsidR="00D45AD9" w:rsidRPr="005C3F6D">
        <w:rPr>
          <w:noProof/>
        </w:rPr>
        <w:t>CO</w:t>
      </w:r>
      <w:r w:rsidR="00D45AD9" w:rsidRPr="00FC09C5">
        <w:rPr>
          <w:noProof/>
          <w:vertAlign w:val="subscript"/>
        </w:rPr>
        <w:t>2</w:t>
      </w:r>
      <w:r w:rsidR="00D45AD9" w:rsidRPr="005C3F6D">
        <w:rPr>
          <w:noProof/>
        </w:rPr>
        <w:t xml:space="preserve"> </w:t>
      </w:r>
      <w:r w:rsidRPr="00364C95">
        <w:rPr>
          <w:noProof/>
          <w:lang w:val="en-IE"/>
        </w:rPr>
        <w:t>emissions reduction factor (</w:t>
      </w:r>
      <w:r w:rsidR="00AA18F1" w:rsidRPr="00364C95">
        <w:rPr>
          <w:noProof/>
          <w:lang w:val="en-IE"/>
        </w:rPr>
        <w:t>RET</w:t>
      </w:r>
      <w:r w:rsidR="00AA18F1" w:rsidRPr="00EC344C">
        <w:rPr>
          <w:noProof/>
          <w:vertAlign w:val="subscript"/>
          <w:lang w:val="en-IE"/>
        </w:rPr>
        <w:t>sg</w:t>
      </w:r>
      <w:r w:rsidR="00AA18F1" w:rsidRPr="00BC6913">
        <w:rPr>
          <w:noProof/>
          <w:vertAlign w:val="subscript"/>
          <w:lang w:val="en-IE"/>
        </w:rPr>
        <w:t>,</w:t>
      </w:r>
      <w:r w:rsidR="00AA18F1" w:rsidRPr="00EC344C">
        <w:rPr>
          <w:noProof/>
          <w:vertAlign w:val="subscript"/>
          <w:lang w:val="en-IE"/>
        </w:rPr>
        <w:t>Y</w:t>
      </w:r>
      <w:r w:rsidRPr="00364C95">
        <w:rPr>
          <w:noProof/>
          <w:lang w:val="en-IE"/>
        </w:rPr>
        <w:t xml:space="preserve">) times the reference </w:t>
      </w:r>
      <w:r w:rsidR="00D45AD9" w:rsidRPr="005C3F6D">
        <w:rPr>
          <w:noProof/>
        </w:rPr>
        <w:t>CO</w:t>
      </w:r>
      <w:r w:rsidR="00D45AD9" w:rsidRPr="00FC09C5">
        <w:rPr>
          <w:noProof/>
          <w:vertAlign w:val="subscript"/>
        </w:rPr>
        <w:t>2</w:t>
      </w:r>
      <w:r w:rsidR="00D45AD9" w:rsidRPr="005C3F6D">
        <w:rPr>
          <w:noProof/>
        </w:rPr>
        <w:t xml:space="preserve"> </w:t>
      </w:r>
      <w:r w:rsidRPr="00364C95">
        <w:rPr>
          <w:noProof/>
          <w:lang w:val="en-IE"/>
        </w:rPr>
        <w:t>emissions (rCO2</w:t>
      </w:r>
      <w:r w:rsidRPr="008E28EF">
        <w:rPr>
          <w:noProof/>
          <w:vertAlign w:val="subscript"/>
          <w:lang w:val="en-IE"/>
        </w:rPr>
        <w:t>sg</w:t>
      </w:r>
      <w:r w:rsidRPr="00364C95">
        <w:rPr>
          <w:noProof/>
          <w:lang w:val="en-IE"/>
        </w:rPr>
        <w:t>) of the sub-group (sg), namely ET</w:t>
      </w:r>
      <w:r w:rsidRPr="00AA18F1">
        <w:rPr>
          <w:noProof/>
          <w:vertAlign w:val="subscript"/>
          <w:lang w:val="en-IE"/>
        </w:rPr>
        <w:t>sg</w:t>
      </w:r>
      <w:r w:rsidR="00BC6913" w:rsidRPr="00BC6913">
        <w:rPr>
          <w:noProof/>
          <w:vertAlign w:val="subscript"/>
          <w:lang w:val="en-IE"/>
        </w:rPr>
        <w:t>,</w:t>
      </w:r>
      <w:r w:rsidR="00BC6913" w:rsidRPr="00EC344C">
        <w:rPr>
          <w:noProof/>
          <w:vertAlign w:val="subscript"/>
          <w:lang w:val="en-IE"/>
        </w:rPr>
        <w:t>Y</w:t>
      </w:r>
      <w:r w:rsidRPr="00364C95">
        <w:rPr>
          <w:noProof/>
          <w:lang w:val="en-IE"/>
        </w:rPr>
        <w:t xml:space="preserve"> = </w:t>
      </w:r>
      <w:r w:rsidR="00AA18F1">
        <w:rPr>
          <w:noProof/>
          <w:lang w:val="en-IE"/>
        </w:rPr>
        <w:t>RE</w:t>
      </w:r>
      <w:r w:rsidR="00AA18F1" w:rsidRPr="00364C95">
        <w:rPr>
          <w:noProof/>
          <w:lang w:val="en-IE"/>
        </w:rPr>
        <w:t>T</w:t>
      </w:r>
      <w:r w:rsidR="00AA18F1" w:rsidRPr="00EC344C">
        <w:rPr>
          <w:noProof/>
          <w:vertAlign w:val="subscript"/>
          <w:lang w:val="en-IE"/>
        </w:rPr>
        <w:t>sg</w:t>
      </w:r>
      <w:r w:rsidR="00AA18F1" w:rsidRPr="00BC6913">
        <w:rPr>
          <w:noProof/>
          <w:vertAlign w:val="subscript"/>
          <w:lang w:val="en-IE"/>
        </w:rPr>
        <w:t>,</w:t>
      </w:r>
      <w:r w:rsidR="00AA18F1" w:rsidRPr="00EC344C">
        <w:rPr>
          <w:noProof/>
          <w:vertAlign w:val="subscript"/>
          <w:lang w:val="en-IE"/>
        </w:rPr>
        <w:t>Y</w:t>
      </w:r>
      <w:r w:rsidR="00AA18F1">
        <w:rPr>
          <w:noProof/>
          <w:lang w:val="en-IE"/>
        </w:rPr>
        <w:t xml:space="preserve"> </w:t>
      </w:r>
      <w:r w:rsidRPr="00364C95">
        <w:rPr>
          <w:noProof/>
          <w:lang w:val="en-IE"/>
        </w:rPr>
        <w:t>x rCO2</w:t>
      </w:r>
      <w:r w:rsidRPr="008E28EF">
        <w:rPr>
          <w:noProof/>
          <w:vertAlign w:val="subscript"/>
          <w:lang w:val="en-IE"/>
        </w:rPr>
        <w:t>sg</w:t>
      </w:r>
      <w:r w:rsidRPr="00364C95">
        <w:rPr>
          <w:noProof/>
          <w:lang w:val="en-IE"/>
        </w:rPr>
        <w:t xml:space="preserve">; </w:t>
      </w:r>
      <w:r w:rsidR="00AA18F1">
        <w:rPr>
          <w:noProof/>
          <w:lang w:val="en-IE"/>
        </w:rPr>
        <w:t>RE</w:t>
      </w:r>
      <w:r w:rsidR="00AA18F1" w:rsidRPr="00364C95">
        <w:rPr>
          <w:noProof/>
          <w:lang w:val="en-IE"/>
        </w:rPr>
        <w:t>T</w:t>
      </w:r>
      <w:r w:rsidR="00AA18F1" w:rsidRPr="00EC344C">
        <w:rPr>
          <w:noProof/>
          <w:vertAlign w:val="subscript"/>
          <w:lang w:val="en-IE"/>
        </w:rPr>
        <w:t>sg</w:t>
      </w:r>
      <w:r w:rsidR="00AA18F1" w:rsidRPr="00BC6913">
        <w:rPr>
          <w:noProof/>
          <w:vertAlign w:val="subscript"/>
          <w:lang w:val="en-IE"/>
        </w:rPr>
        <w:t>,</w:t>
      </w:r>
      <w:r w:rsidR="00AA18F1" w:rsidRPr="00EC344C">
        <w:rPr>
          <w:noProof/>
          <w:vertAlign w:val="subscript"/>
          <w:lang w:val="en-IE"/>
        </w:rPr>
        <w:t>Y</w:t>
      </w:r>
      <w:r w:rsidR="004B5DAD">
        <w:rPr>
          <w:noProof/>
          <w:lang w:val="en-IE"/>
        </w:rPr>
        <w:t xml:space="preserve"> </w:t>
      </w:r>
      <w:r w:rsidR="008E28EF">
        <w:rPr>
          <w:noProof/>
          <w:lang w:val="en-IE"/>
        </w:rPr>
        <w:t>is</w:t>
      </w:r>
      <w:r w:rsidRPr="00364C95">
        <w:rPr>
          <w:noProof/>
          <w:lang w:val="en-IE"/>
        </w:rPr>
        <w:t xml:space="preserve"> determined in accordance with point 5.1 of Annex I to Regulation (EU) 2019/1242;</w:t>
      </w:r>
      <w:r>
        <w:rPr>
          <w:noProof/>
          <w:lang w:val="en-IE"/>
        </w:rPr>
        <w:t>’</w:t>
      </w:r>
      <w:r w:rsidR="00784A07">
        <w:rPr>
          <w:noProof/>
          <w:lang w:val="en-IE"/>
        </w:rPr>
        <w:t>;</w:t>
      </w:r>
    </w:p>
    <w:p w14:paraId="3C9C12B8" w14:textId="695A16F2" w:rsidR="00D975E2" w:rsidRDefault="000B6083" w:rsidP="000B6083">
      <w:pPr>
        <w:pStyle w:val="Point1"/>
        <w:rPr>
          <w:noProof/>
          <w:lang w:val="en-US"/>
        </w:rPr>
      </w:pPr>
      <w:r w:rsidRPr="000B6083">
        <w:t>(d)</w:t>
      </w:r>
      <w:r w:rsidRPr="000B6083">
        <w:tab/>
      </w:r>
      <w:r w:rsidR="00D975E2" w:rsidRPr="005F4A93">
        <w:rPr>
          <w:noProof/>
          <w:lang w:val="en-IE"/>
        </w:rPr>
        <w:t>Point 3</w:t>
      </w:r>
      <w:r w:rsidR="00D975E2">
        <w:rPr>
          <w:noProof/>
          <w:lang w:val="en-IE"/>
        </w:rPr>
        <w:t>8</w:t>
      </w:r>
      <w:r w:rsidR="00155E17" w:rsidRPr="00155E17">
        <w:rPr>
          <w:noProof/>
          <w:lang w:val="en-IE"/>
        </w:rPr>
        <w:t xml:space="preserve"> </w:t>
      </w:r>
      <w:r w:rsidR="00155E17" w:rsidRPr="005F4A93">
        <w:rPr>
          <w:noProof/>
          <w:lang w:val="en-IE"/>
        </w:rPr>
        <w:t>is replaced by the following</w:t>
      </w:r>
      <w:r w:rsidR="00D975E2" w:rsidRPr="00D975E2">
        <w:rPr>
          <w:noProof/>
          <w:lang w:val="en-US"/>
        </w:rPr>
        <w:t>:</w:t>
      </w:r>
    </w:p>
    <w:p w14:paraId="4A86EA52" w14:textId="77777777" w:rsidR="00F078CB" w:rsidRPr="00F078CB" w:rsidRDefault="00F078CB" w:rsidP="008020EA">
      <w:pPr>
        <w:pStyle w:val="Text2"/>
        <w:rPr>
          <w:noProof/>
          <w:lang w:val="en-IE"/>
        </w:rPr>
      </w:pPr>
      <w:r w:rsidRPr="00F078CB">
        <w:rPr>
          <w:noProof/>
          <w:lang w:val="en-US"/>
        </w:rPr>
        <w:t>‘</w:t>
      </w:r>
      <w:r w:rsidRPr="00F078CB">
        <w:rPr>
          <w:rFonts w:hint="eastAsia"/>
          <w:noProof/>
          <w:lang w:val="en-IE"/>
        </w:rPr>
        <w:t>(38)</w:t>
      </w:r>
      <w:r w:rsidR="007B40ED">
        <w:rPr>
          <w:noProof/>
          <w:lang w:val="en-IE"/>
        </w:rPr>
        <w:tab/>
        <w:t>‘</w:t>
      </w:r>
      <w:r w:rsidRPr="00F078CB">
        <w:rPr>
          <w:rFonts w:hint="eastAsia"/>
          <w:noProof/>
          <w:lang w:val="en-IE"/>
        </w:rPr>
        <w:t>reference CO</w:t>
      </w:r>
      <w:r w:rsidRPr="00F078CB">
        <w:rPr>
          <w:rFonts w:hint="eastAsia"/>
          <w:noProof/>
          <w:vertAlign w:val="subscript"/>
          <w:lang w:val="en-IE"/>
        </w:rPr>
        <w:t>2</w:t>
      </w:r>
      <w:r w:rsidRPr="00F078CB">
        <w:rPr>
          <w:rFonts w:hint="eastAsia"/>
          <w:noProof/>
          <w:lang w:val="en-IE"/>
        </w:rPr>
        <w:t> emissions</w:t>
      </w:r>
      <w:r w:rsidR="007B40ED">
        <w:rPr>
          <w:noProof/>
          <w:lang w:val="en-IE"/>
        </w:rPr>
        <w:t xml:space="preserve">’ </w:t>
      </w:r>
      <w:r w:rsidRPr="00F078CB">
        <w:rPr>
          <w:rFonts w:hint="eastAsia"/>
          <w:noProof/>
          <w:lang w:val="en-IE"/>
        </w:rPr>
        <w:t>means:</w:t>
      </w:r>
    </w:p>
    <w:p w14:paraId="34D83597" w14:textId="77777777" w:rsidR="00F078CB" w:rsidRPr="00F078CB" w:rsidRDefault="00F078CB" w:rsidP="008020EA">
      <w:pPr>
        <w:pStyle w:val="Text2"/>
        <w:rPr>
          <w:noProof/>
          <w:lang w:val="en-IE"/>
        </w:rPr>
      </w:pPr>
      <w:r w:rsidRPr="00F078CB">
        <w:rPr>
          <w:rFonts w:hint="eastAsia"/>
          <w:noProof/>
          <w:lang w:val="en-IE"/>
        </w:rPr>
        <w:t xml:space="preserve">(a) for vehicles </w:t>
      </w:r>
      <w:r w:rsidR="0021605F">
        <w:rPr>
          <w:noProof/>
          <w:lang w:val="en-IE"/>
        </w:rPr>
        <w:t xml:space="preserve">sub-groups </w:t>
      </w:r>
      <w:r w:rsidRPr="00F078CB">
        <w:rPr>
          <w:rFonts w:hint="eastAsia"/>
          <w:noProof/>
          <w:lang w:val="en-IE"/>
        </w:rPr>
        <w:t>covered by Regulation (EU) 2019/1242, the amount calculated in accordance with the formula in point 3 of Annex I to that Regulation;</w:t>
      </w:r>
    </w:p>
    <w:p w14:paraId="658CA79D" w14:textId="77777777" w:rsidR="00F078CB" w:rsidRPr="00D975E2" w:rsidRDefault="00F078CB" w:rsidP="008020EA">
      <w:pPr>
        <w:pStyle w:val="Text2"/>
        <w:rPr>
          <w:noProof/>
          <w:lang w:val="en-US"/>
        </w:rPr>
      </w:pPr>
      <w:r w:rsidRPr="00F078CB">
        <w:rPr>
          <w:rFonts w:hint="eastAsia"/>
          <w:noProof/>
          <w:lang w:val="en-IE"/>
        </w:rPr>
        <w:t xml:space="preserve">(b) for </w:t>
      </w:r>
      <w:r w:rsidR="00435050">
        <w:rPr>
          <w:noProof/>
          <w:lang w:val="en-IE"/>
        </w:rPr>
        <w:t xml:space="preserve">a vehicle group covered by an </w:t>
      </w:r>
      <w:r w:rsidR="00435050" w:rsidRPr="000B23DC">
        <w:rPr>
          <w:noProof/>
        </w:rPr>
        <w:t xml:space="preserve">implementing act adopted pursuant to </w:t>
      </w:r>
      <w:r w:rsidR="00435050" w:rsidRPr="009E26D7">
        <w:rPr>
          <w:noProof/>
        </w:rPr>
        <w:t>Article 7ga(7), the reference CO</w:t>
      </w:r>
      <w:r w:rsidR="00435050" w:rsidRPr="009E26D7">
        <w:rPr>
          <w:noProof/>
          <w:vertAlign w:val="subscript"/>
        </w:rPr>
        <w:t>2</w:t>
      </w:r>
      <w:r w:rsidR="00435050" w:rsidRPr="009E26D7">
        <w:rPr>
          <w:noProof/>
        </w:rPr>
        <w:t xml:space="preserve"> emissions specified therein, corresponding to</w:t>
      </w:r>
      <w:r w:rsidRPr="009E26D7">
        <w:rPr>
          <w:rFonts w:hint="eastAsia"/>
          <w:noProof/>
          <w:lang w:val="en-IE"/>
        </w:rPr>
        <w:t xml:space="preserve"> the average value of all CO</w:t>
      </w:r>
      <w:r w:rsidRPr="009E26D7">
        <w:rPr>
          <w:rFonts w:hint="eastAsia"/>
          <w:noProof/>
          <w:vertAlign w:val="subscript"/>
          <w:lang w:val="en-IE"/>
        </w:rPr>
        <w:t>2</w:t>
      </w:r>
      <w:r w:rsidRPr="009E26D7">
        <w:rPr>
          <w:rFonts w:hint="eastAsia"/>
          <w:noProof/>
          <w:lang w:val="en-IE"/>
        </w:rPr>
        <w:t> emissions of vehicles in that vehicle group, reported in accordance with Regulation (EU) 2018/956 of the European Parliament and of the Council (</w:t>
      </w:r>
      <w:hyperlink r:id="rId27" w:anchor="E0006" w:history="1">
        <w:r w:rsidRPr="009E26D7">
          <w:rPr>
            <w:rStyle w:val="Hyperlink"/>
            <w:rFonts w:hint="eastAsia"/>
            <w:noProof/>
            <w:color w:val="auto"/>
            <w:lang w:val="en-IE"/>
          </w:rPr>
          <w:t> </w:t>
        </w:r>
        <w:r w:rsidRPr="009E26D7">
          <w:rPr>
            <w:rStyle w:val="Hyperlink"/>
            <w:rFonts w:hint="eastAsia"/>
            <w:noProof/>
            <w:color w:val="auto"/>
            <w:vertAlign w:val="superscript"/>
            <w:lang w:val="en-IE"/>
          </w:rPr>
          <w:t>6</w:t>
        </w:r>
        <w:r w:rsidRPr="009E26D7">
          <w:rPr>
            <w:rStyle w:val="Hyperlink"/>
            <w:rFonts w:hint="eastAsia"/>
            <w:noProof/>
            <w:color w:val="auto"/>
            <w:lang w:val="en-IE"/>
          </w:rPr>
          <w:t> </w:t>
        </w:r>
      </w:hyperlink>
      <w:r w:rsidRPr="009E26D7">
        <w:rPr>
          <w:rFonts w:hint="eastAsia"/>
          <w:noProof/>
          <w:lang w:val="en-IE"/>
        </w:rPr>
        <w:t xml:space="preserve">) for the first reporting period, which will start after the date on which the registration, sale or entry into service of vehicles in that vehicle group, that do not comply with the obligations </w:t>
      </w:r>
      <w:r w:rsidRPr="00F078CB">
        <w:rPr>
          <w:rFonts w:hint="eastAsia"/>
          <w:noProof/>
          <w:lang w:val="en-IE"/>
        </w:rPr>
        <w:t>referred to in Article 9 of Regulation (EU) 2017/2400, is prohibited in accordance with Article 24 of Regulation (EU) 2017/2400;</w:t>
      </w:r>
      <w:r>
        <w:rPr>
          <w:noProof/>
          <w:lang w:val="en-US"/>
        </w:rPr>
        <w:t>’;</w:t>
      </w:r>
    </w:p>
    <w:p w14:paraId="60070FFE" w14:textId="07A53E77" w:rsidR="001E5BC5" w:rsidRPr="00D80118" w:rsidRDefault="000B6083" w:rsidP="000B6083">
      <w:pPr>
        <w:pStyle w:val="Point1"/>
        <w:rPr>
          <w:noProof/>
          <w:lang w:val="en-US"/>
        </w:rPr>
      </w:pPr>
      <w:r w:rsidRPr="000B6083">
        <w:t>(e)</w:t>
      </w:r>
      <w:r w:rsidRPr="000B6083">
        <w:tab/>
      </w:r>
      <w:r w:rsidR="001E5BC5" w:rsidRPr="00D80118">
        <w:rPr>
          <w:noProof/>
          <w:lang w:val="en-US"/>
        </w:rPr>
        <w:t>the following points are added:</w:t>
      </w:r>
    </w:p>
    <w:p w14:paraId="09FD7AF0" w14:textId="77777777" w:rsidR="001E5BC5" w:rsidRPr="009A1DDF" w:rsidRDefault="001E5BC5" w:rsidP="0034754F">
      <w:pPr>
        <w:pStyle w:val="Text2"/>
        <w:rPr>
          <w:noProof/>
          <w:lang w:val="en-US"/>
        </w:rPr>
      </w:pPr>
      <w:r w:rsidRPr="009A1DDF">
        <w:rPr>
          <w:noProof/>
          <w:lang w:val="en-US"/>
        </w:rPr>
        <w:t>‘(42)</w:t>
      </w:r>
      <w:r w:rsidR="00B4685C">
        <w:rPr>
          <w:noProof/>
          <w:lang w:val="en-US"/>
        </w:rPr>
        <w:tab/>
      </w:r>
      <w:r w:rsidRPr="009A1DDF">
        <w:rPr>
          <w:noProof/>
          <w:lang w:val="en-US"/>
        </w:rPr>
        <w:t>‘trailer’ means a trailer as defined in Article</w:t>
      </w:r>
      <w:r w:rsidRPr="009A1DDF">
        <w:rPr>
          <w:noProof/>
        </w:rPr>
        <w:t> </w:t>
      </w:r>
      <w:r w:rsidRPr="009A1DDF">
        <w:rPr>
          <w:noProof/>
          <w:lang w:val="en-US"/>
        </w:rPr>
        <w:t>3</w:t>
      </w:r>
      <w:r>
        <w:rPr>
          <w:noProof/>
          <w:lang w:val="en-US"/>
        </w:rPr>
        <w:t>, point 17</w:t>
      </w:r>
      <w:r w:rsidRPr="009A1DDF">
        <w:rPr>
          <w:noProof/>
          <w:lang w:val="en-US"/>
        </w:rPr>
        <w:t xml:space="preserve"> of Regulation (EU) 2018/858</w:t>
      </w:r>
      <w:r>
        <w:rPr>
          <w:noProof/>
          <w:lang w:val="en-US"/>
        </w:rPr>
        <w:t xml:space="preserve"> and</w:t>
      </w:r>
      <w:r w:rsidRPr="00272C84">
        <w:rPr>
          <w:noProof/>
        </w:rPr>
        <w:t xml:space="preserve"> </w:t>
      </w:r>
      <w:r w:rsidR="00EC5443">
        <w:rPr>
          <w:noProof/>
        </w:rPr>
        <w:t xml:space="preserve">falling within the scope </w:t>
      </w:r>
      <w:r w:rsidRPr="00465FC4">
        <w:rPr>
          <w:noProof/>
        </w:rPr>
        <w:t>of Commission Implementing Regulation (EU) 2022/</w:t>
      </w:r>
      <w:r w:rsidRPr="00F11F4F">
        <w:rPr>
          <w:noProof/>
        </w:rPr>
        <w:t>1362</w:t>
      </w:r>
      <w:r w:rsidR="003944C2">
        <w:rPr>
          <w:noProof/>
        </w:rPr>
        <w:t>*</w:t>
      </w:r>
      <w:r w:rsidR="005E679C">
        <w:rPr>
          <w:noProof/>
        </w:rPr>
        <w:t>*</w:t>
      </w:r>
      <w:r w:rsidRPr="00F11F4F">
        <w:rPr>
          <w:noProof/>
          <w:lang w:val="en-US"/>
        </w:rPr>
        <w:t>;</w:t>
      </w:r>
      <w:r w:rsidRPr="009A1DDF">
        <w:rPr>
          <w:noProof/>
          <w:lang w:val="en-US"/>
        </w:rPr>
        <w:t xml:space="preserve"> </w:t>
      </w:r>
    </w:p>
    <w:p w14:paraId="5C61FFBC" w14:textId="77777777" w:rsidR="003944C2" w:rsidRDefault="001E5BC5" w:rsidP="0034754F">
      <w:pPr>
        <w:pStyle w:val="Text2"/>
        <w:pBdr>
          <w:bottom w:val="single" w:sz="12" w:space="1" w:color="auto"/>
        </w:pBdr>
        <w:rPr>
          <w:noProof/>
        </w:rPr>
      </w:pPr>
      <w:r w:rsidRPr="009A1DDF">
        <w:rPr>
          <w:noProof/>
          <w:lang w:val="en-US"/>
        </w:rPr>
        <w:t xml:space="preserve">(43) </w:t>
      </w:r>
      <w:r w:rsidRPr="009A1DDF">
        <w:rPr>
          <w:noProof/>
          <w:lang w:val="en-US"/>
        </w:rPr>
        <w:tab/>
      </w:r>
      <w:r w:rsidRPr="009A1DDF" w:rsidDel="007C3CC5">
        <w:rPr>
          <w:noProof/>
          <w:lang w:val="en-US"/>
        </w:rPr>
        <w:t xml:space="preserve"> </w:t>
      </w:r>
      <w:r w:rsidRPr="009A1DDF">
        <w:rPr>
          <w:noProof/>
          <w:lang w:val="en-US"/>
        </w:rPr>
        <w:t xml:space="preserve">‘semi-trailer’ means </w:t>
      </w:r>
      <w:r w:rsidR="00525DCF">
        <w:rPr>
          <w:noProof/>
          <w:lang w:val="en-US"/>
        </w:rPr>
        <w:t xml:space="preserve">a trailer which fulfils the </w:t>
      </w:r>
      <w:r w:rsidR="00525DCF" w:rsidRPr="009A1DDF">
        <w:rPr>
          <w:noProof/>
          <w:lang w:val="en-US"/>
        </w:rPr>
        <w:t>defin</w:t>
      </w:r>
      <w:r w:rsidR="00525DCF">
        <w:rPr>
          <w:noProof/>
          <w:lang w:val="en-US"/>
        </w:rPr>
        <w:t xml:space="preserve">ition of a semi-trailer </w:t>
      </w:r>
      <w:r w:rsidRPr="009A1DDF">
        <w:rPr>
          <w:noProof/>
          <w:lang w:val="en-US"/>
        </w:rPr>
        <w:t>in Article 3</w:t>
      </w:r>
      <w:r>
        <w:rPr>
          <w:noProof/>
          <w:lang w:val="en-US"/>
        </w:rPr>
        <w:t>, point 33</w:t>
      </w:r>
      <w:r w:rsidRPr="009A1DDF">
        <w:rPr>
          <w:noProof/>
          <w:lang w:val="en-US"/>
        </w:rPr>
        <w:t xml:space="preserve"> of Regulation (EU) 2018/858</w:t>
      </w:r>
      <w:r w:rsidRPr="00272C84">
        <w:rPr>
          <w:noProof/>
        </w:rPr>
        <w:t xml:space="preserve"> </w:t>
      </w:r>
      <w:r>
        <w:rPr>
          <w:noProof/>
        </w:rPr>
        <w:t xml:space="preserve">and </w:t>
      </w:r>
      <w:r w:rsidR="00EC5443">
        <w:rPr>
          <w:noProof/>
        </w:rPr>
        <w:t xml:space="preserve">falling within the scope </w:t>
      </w:r>
      <w:r w:rsidRPr="00465FC4">
        <w:rPr>
          <w:noProof/>
        </w:rPr>
        <w:t>of Commission Implementing Regulation (EU) 2022/1362</w:t>
      </w:r>
      <w:r w:rsidR="00AA789B">
        <w:rPr>
          <w:noProof/>
        </w:rPr>
        <w:t>.’</w:t>
      </w:r>
    </w:p>
    <w:p w14:paraId="369CB221" w14:textId="77777777" w:rsidR="005E679C" w:rsidRDefault="005E679C" w:rsidP="001E5BC5">
      <w:pPr>
        <w:rPr>
          <w:noProof/>
          <w:sz w:val="22"/>
          <w:lang w:val="en-US"/>
        </w:rPr>
      </w:pPr>
      <w:r>
        <w:rPr>
          <w:noProof/>
          <w:sz w:val="22"/>
          <w:lang w:val="en-US"/>
        </w:rPr>
        <w:t xml:space="preserve">* </w:t>
      </w:r>
      <w:r w:rsidRPr="005E679C">
        <w:rPr>
          <w:noProof/>
          <w:sz w:val="22"/>
          <w:lang w:val="en-US"/>
        </w:rPr>
        <w:t>Regulation (EU) 2019/1242 of the European Parliament and of the Council of 20 June 2019 setting CO2 emission performance standards for new heavy-duty vehicles and amending Regulations (EC) No 595/2009 and (EU) No 2018/956 of the European Parliament and of the Council and Council Directive 96/53/EC (OJ L 198, 25.7.2019, p. 202)</w:t>
      </w:r>
      <w:r>
        <w:rPr>
          <w:noProof/>
          <w:sz w:val="22"/>
          <w:lang w:val="en-US"/>
        </w:rPr>
        <w:t>.</w:t>
      </w:r>
    </w:p>
    <w:p w14:paraId="346A65DE" w14:textId="77777777" w:rsidR="00E50C3C" w:rsidRDefault="003944C2" w:rsidP="001E5BC5">
      <w:pPr>
        <w:rPr>
          <w:noProof/>
          <w:sz w:val="22"/>
          <w:lang w:val="en-US"/>
        </w:rPr>
      </w:pPr>
      <w:r>
        <w:rPr>
          <w:noProof/>
          <w:sz w:val="22"/>
          <w:lang w:val="en-US"/>
        </w:rPr>
        <w:t>*</w:t>
      </w:r>
      <w:r w:rsidR="005E679C">
        <w:rPr>
          <w:noProof/>
          <w:sz w:val="22"/>
          <w:lang w:val="en-US"/>
        </w:rPr>
        <w:t>*</w:t>
      </w:r>
      <w:r w:rsidRPr="003944C2">
        <w:rPr>
          <w:noProof/>
        </w:rPr>
        <w:t xml:space="preserve"> </w:t>
      </w:r>
      <w:r w:rsidRPr="003944C2">
        <w:rPr>
          <w:noProof/>
          <w:sz w:val="22"/>
        </w:rPr>
        <w:t xml:space="preserve">Commission Implementing Regulation (EU) 2022/1362 of 1 August 2022 implementing Regulation (EC) No 595/2009 of the European Parliament and of the Council as regards the performance of heavy-duty trailers with regard to their influence on the </w:t>
      </w:r>
      <w:r w:rsidR="00ED0111" w:rsidRPr="00BE28DF">
        <w:rPr>
          <w:noProof/>
        </w:rPr>
        <w:t xml:space="preserve">CO2 </w:t>
      </w:r>
      <w:r w:rsidRPr="003944C2">
        <w:rPr>
          <w:noProof/>
          <w:sz w:val="22"/>
        </w:rPr>
        <w:t>emissions, fuel consumption, energy consumption and zero emission driving range of motor vehicles and amending Implementing Regulation (EU) 2020/683 (OJ L 205, 5.8.2022, p. 145)</w:t>
      </w:r>
      <w:r>
        <w:rPr>
          <w:noProof/>
          <w:sz w:val="22"/>
        </w:rPr>
        <w:t>”</w:t>
      </w:r>
      <w:r w:rsidR="001E5BC5" w:rsidRPr="009A1DDF">
        <w:rPr>
          <w:noProof/>
          <w:sz w:val="22"/>
          <w:lang w:val="en-US"/>
        </w:rPr>
        <w:t>;</w:t>
      </w:r>
      <w:r w:rsidR="002E6084">
        <w:rPr>
          <w:noProof/>
          <w:sz w:val="22"/>
          <w:lang w:val="en-US"/>
        </w:rPr>
        <w:t xml:space="preserve"> </w:t>
      </w:r>
    </w:p>
    <w:p w14:paraId="70D2D33B" w14:textId="6B2BBAAC" w:rsidR="00DC7EF4" w:rsidRDefault="000B6083" w:rsidP="000B6083">
      <w:pPr>
        <w:pStyle w:val="Point0"/>
        <w:rPr>
          <w:noProof/>
          <w:lang w:val="en-US"/>
        </w:rPr>
      </w:pPr>
      <w:r w:rsidRPr="000B6083">
        <w:t>(2)</w:t>
      </w:r>
      <w:r w:rsidRPr="000B6083">
        <w:tab/>
      </w:r>
      <w:r w:rsidR="00DC7EF4">
        <w:rPr>
          <w:noProof/>
          <w:lang w:val="en-US"/>
        </w:rPr>
        <w:t>Article 7ga is amended as follow:</w:t>
      </w:r>
    </w:p>
    <w:p w14:paraId="62FE799D" w14:textId="394019D4" w:rsidR="00DC7EF4" w:rsidRPr="005F4A93" w:rsidRDefault="000B6083" w:rsidP="000B6083">
      <w:pPr>
        <w:pStyle w:val="Point1"/>
        <w:rPr>
          <w:noProof/>
          <w:lang w:val="en-US"/>
        </w:rPr>
      </w:pPr>
      <w:r w:rsidRPr="000B6083">
        <w:t>(a)</w:t>
      </w:r>
      <w:r w:rsidRPr="000B6083">
        <w:tab/>
      </w:r>
      <w:r w:rsidR="006068AD">
        <w:rPr>
          <w:noProof/>
          <w:lang w:val="en-US"/>
        </w:rPr>
        <w:t>In p</w:t>
      </w:r>
      <w:r w:rsidR="00DC7EF4" w:rsidRPr="005F4A93">
        <w:rPr>
          <w:noProof/>
          <w:lang w:val="en-US"/>
        </w:rPr>
        <w:t>aragraph 1</w:t>
      </w:r>
      <w:r w:rsidR="006068AD">
        <w:rPr>
          <w:noProof/>
          <w:lang w:val="en-US"/>
        </w:rPr>
        <w:t>, the second, thir</w:t>
      </w:r>
      <w:r w:rsidR="003368E5">
        <w:rPr>
          <w:noProof/>
          <w:lang w:val="en-US"/>
        </w:rPr>
        <w:t>d,</w:t>
      </w:r>
      <w:r w:rsidR="006068AD">
        <w:rPr>
          <w:noProof/>
          <w:lang w:val="en-US"/>
        </w:rPr>
        <w:t xml:space="preserve"> and fourth subparagraphs are</w:t>
      </w:r>
      <w:r w:rsidR="00DC7EF4" w:rsidRPr="005F4A93">
        <w:rPr>
          <w:noProof/>
          <w:lang w:val="en-US"/>
        </w:rPr>
        <w:t xml:space="preserve"> replaced by the following:</w:t>
      </w:r>
    </w:p>
    <w:p w14:paraId="578C6D8D" w14:textId="77777777" w:rsidR="00A313EE" w:rsidRPr="00A313EE" w:rsidRDefault="00DC7EF4" w:rsidP="008020EA">
      <w:pPr>
        <w:rPr>
          <w:noProof/>
          <w:lang w:val="en-IE"/>
        </w:rPr>
      </w:pPr>
      <w:r>
        <w:rPr>
          <w:noProof/>
          <w:lang w:val="en-IE"/>
        </w:rPr>
        <w:t>‘</w:t>
      </w:r>
      <w:bookmarkStart w:id="12" w:name="_Hlk126229609"/>
      <w:r w:rsidR="00A313EE" w:rsidRPr="00A313EE">
        <w:rPr>
          <w:rFonts w:hint="eastAsia"/>
          <w:noProof/>
          <w:lang w:val="en-IE"/>
        </w:rPr>
        <w:t xml:space="preserve">Member States shall apply that variation to the </w:t>
      </w:r>
      <w:r w:rsidR="006D5EBA">
        <w:rPr>
          <w:noProof/>
          <w:lang w:val="en-IE"/>
        </w:rPr>
        <w:t xml:space="preserve">vehicles </w:t>
      </w:r>
      <w:r w:rsidR="00A313EE" w:rsidRPr="00A313EE">
        <w:rPr>
          <w:rFonts w:hint="eastAsia"/>
          <w:noProof/>
          <w:lang w:val="en-IE"/>
        </w:rPr>
        <w:t>sub-groups covered by Regulation (EU) 2019/1242</w:t>
      </w:r>
      <w:r w:rsidR="00CC5E87" w:rsidRPr="00CC5E87">
        <w:rPr>
          <w:noProof/>
        </w:rPr>
        <w:t xml:space="preserve"> </w:t>
      </w:r>
      <w:r w:rsidR="00CC5E87">
        <w:rPr>
          <w:noProof/>
        </w:rPr>
        <w:t>on the basis of the reference</w:t>
      </w:r>
      <w:r w:rsidR="00CC5E87" w:rsidRPr="006735BB">
        <w:rPr>
          <w:noProof/>
        </w:rPr>
        <w:t xml:space="preserve"> </w:t>
      </w:r>
      <w:r w:rsidR="00CC5E87">
        <w:rPr>
          <w:noProof/>
        </w:rPr>
        <w:t>CO</w:t>
      </w:r>
      <w:r w:rsidR="00CC5E87" w:rsidRPr="006735BB">
        <w:rPr>
          <w:noProof/>
          <w:vertAlign w:val="subscript"/>
        </w:rPr>
        <w:t>2</w:t>
      </w:r>
      <w:r w:rsidR="00CC5E87">
        <w:rPr>
          <w:noProof/>
        </w:rPr>
        <w:t xml:space="preserve"> emissions published</w:t>
      </w:r>
      <w:r w:rsidR="00A313EE" w:rsidRPr="00A313EE">
        <w:rPr>
          <w:rFonts w:hint="eastAsia"/>
          <w:noProof/>
          <w:lang w:val="en-IE"/>
        </w:rPr>
        <w:t xml:space="preserve"> in accordance with Article 11(1) of that Regulation.</w:t>
      </w:r>
      <w:r w:rsidR="009D0F12" w:rsidRPr="009D0F12">
        <w:rPr>
          <w:noProof/>
        </w:rPr>
        <w:t xml:space="preserve"> </w:t>
      </w:r>
      <w:r w:rsidR="009D0F12">
        <w:rPr>
          <w:noProof/>
        </w:rPr>
        <w:t xml:space="preserve">However, for vehicle sub-groups </w:t>
      </w:r>
      <w:r w:rsidR="009D0F12" w:rsidRPr="001B7546">
        <w:rPr>
          <w:noProof/>
          <w:szCs w:val="24"/>
          <w:lang w:val="en-IE"/>
        </w:rPr>
        <w:t>4-UD, 4-RD, 4-LH, 5-RD, 5-LH, 9-RD, 9-LH, 10-RD, 10-LH</w:t>
      </w:r>
      <w:r w:rsidR="009D0F12">
        <w:rPr>
          <w:noProof/>
        </w:rPr>
        <w:t>, Member States shall apply that variation at the latest on 13 May 2023. Where the reference CO</w:t>
      </w:r>
      <w:r w:rsidR="009D0F12">
        <w:rPr>
          <w:noProof/>
          <w:vertAlign w:val="subscript"/>
        </w:rPr>
        <w:t xml:space="preserve">2 </w:t>
      </w:r>
      <w:r w:rsidR="009D0F12">
        <w:rPr>
          <w:noProof/>
        </w:rPr>
        <w:t xml:space="preserve">emissions are adjusted pursuant to Article 11(2) of Regulation (EU) 2019/1242, </w:t>
      </w:r>
      <w:r w:rsidR="009D0F12" w:rsidRPr="000B23DC">
        <w:rPr>
          <w:noProof/>
        </w:rPr>
        <w:t>th</w:t>
      </w:r>
      <w:r w:rsidR="009D0F12">
        <w:rPr>
          <w:noProof/>
        </w:rPr>
        <w:t>o</w:t>
      </w:r>
      <w:r w:rsidR="009D0F12" w:rsidRPr="000B23DC">
        <w:rPr>
          <w:noProof/>
        </w:rPr>
        <w:t>se reference CO</w:t>
      </w:r>
      <w:r w:rsidR="009D0F12" w:rsidRPr="006735BB">
        <w:rPr>
          <w:noProof/>
          <w:vertAlign w:val="subscript"/>
        </w:rPr>
        <w:t>2</w:t>
      </w:r>
      <w:r w:rsidR="009D0F12" w:rsidRPr="000B23DC">
        <w:rPr>
          <w:noProof/>
        </w:rPr>
        <w:t xml:space="preserve"> emissions shall apply </w:t>
      </w:r>
      <w:r w:rsidR="009D0F12">
        <w:rPr>
          <w:noProof/>
        </w:rPr>
        <w:t>as of the start of the following reporting period.</w:t>
      </w:r>
    </w:p>
    <w:p w14:paraId="41539B2E" w14:textId="77777777" w:rsidR="00DC7EF4" w:rsidRPr="001B7546" w:rsidRDefault="00FB23E5" w:rsidP="008020EA">
      <w:pPr>
        <w:rPr>
          <w:noProof/>
          <w:lang w:val="en-IE"/>
        </w:rPr>
      </w:pPr>
      <w:r>
        <w:rPr>
          <w:noProof/>
        </w:rPr>
        <w:t>By derogation from the second subparagraph, f</w:t>
      </w:r>
      <w:r w:rsidR="00A313EE" w:rsidRPr="00A313EE">
        <w:rPr>
          <w:rFonts w:hint="eastAsia"/>
          <w:noProof/>
          <w:lang w:val="en-IE"/>
        </w:rPr>
        <w:t>or CO</w:t>
      </w:r>
      <w:r w:rsidR="00A313EE" w:rsidRPr="00A313EE">
        <w:rPr>
          <w:rFonts w:hint="eastAsia"/>
          <w:noProof/>
          <w:vertAlign w:val="subscript"/>
          <w:lang w:val="en-IE"/>
        </w:rPr>
        <w:t>2</w:t>
      </w:r>
      <w:r w:rsidR="00A313EE" w:rsidRPr="00A313EE">
        <w:rPr>
          <w:rFonts w:hint="eastAsia"/>
          <w:noProof/>
          <w:lang w:val="en-IE"/>
        </w:rPr>
        <w:t xml:space="preserve"> emission classes 1, 4 and 5, referred to in paragraph 2 of this Article, that variation shall apply to </w:t>
      </w:r>
      <w:r w:rsidR="00B10ED4">
        <w:rPr>
          <w:noProof/>
          <w:lang w:val="en-IE"/>
        </w:rPr>
        <w:t>vehicle</w:t>
      </w:r>
      <w:r w:rsidR="00B10ED4" w:rsidRPr="00A313EE">
        <w:rPr>
          <w:rFonts w:hint="eastAsia"/>
          <w:noProof/>
          <w:lang w:val="en-IE"/>
        </w:rPr>
        <w:t xml:space="preserve"> </w:t>
      </w:r>
      <w:r w:rsidR="00A313EE" w:rsidRPr="00A313EE">
        <w:rPr>
          <w:rFonts w:hint="eastAsia"/>
          <w:noProof/>
          <w:lang w:val="en-IE"/>
        </w:rPr>
        <w:t xml:space="preserve">groups covered by </w:t>
      </w:r>
      <w:r w:rsidR="00526E99">
        <w:rPr>
          <w:noProof/>
        </w:rPr>
        <w:t xml:space="preserve">implementing acts adopted pursuant to paragraph 7 </w:t>
      </w:r>
      <w:r w:rsidR="00A313EE" w:rsidRPr="00A313EE">
        <w:rPr>
          <w:rFonts w:hint="eastAsia"/>
          <w:noProof/>
          <w:lang w:val="en-IE"/>
        </w:rPr>
        <w:t>at the latest two years following the</w:t>
      </w:r>
      <w:r w:rsidR="001664E9" w:rsidRPr="001664E9">
        <w:rPr>
          <w:noProof/>
        </w:rPr>
        <w:t xml:space="preserve"> </w:t>
      </w:r>
      <w:r w:rsidR="001664E9">
        <w:rPr>
          <w:noProof/>
        </w:rPr>
        <w:t xml:space="preserve">adoption of those implementing acts. The </w:t>
      </w:r>
      <w:r w:rsidR="000F3013">
        <w:rPr>
          <w:noProof/>
        </w:rPr>
        <w:t>variation shall be based on</w:t>
      </w:r>
      <w:r w:rsidR="00A313EE" w:rsidRPr="00A313EE">
        <w:rPr>
          <w:rFonts w:hint="eastAsia"/>
          <w:noProof/>
          <w:lang w:val="en-IE"/>
        </w:rPr>
        <w:t xml:space="preserve"> the reference CO</w:t>
      </w:r>
      <w:r w:rsidR="00A313EE" w:rsidRPr="00A313EE">
        <w:rPr>
          <w:rFonts w:hint="eastAsia"/>
          <w:noProof/>
          <w:vertAlign w:val="subscript"/>
          <w:lang w:val="en-IE"/>
        </w:rPr>
        <w:t>2</w:t>
      </w:r>
      <w:r w:rsidR="00A313EE" w:rsidRPr="00A313EE">
        <w:rPr>
          <w:rFonts w:hint="eastAsia"/>
          <w:noProof/>
          <w:lang w:val="en-IE"/>
        </w:rPr>
        <w:t> emissions</w:t>
      </w:r>
      <w:r w:rsidR="00C37E7F" w:rsidRPr="00C37E7F">
        <w:rPr>
          <w:noProof/>
        </w:rPr>
        <w:t xml:space="preserve"> </w:t>
      </w:r>
      <w:r w:rsidR="00C37E7F">
        <w:rPr>
          <w:noProof/>
        </w:rPr>
        <w:t>specified therein and it shall apply</w:t>
      </w:r>
      <w:r w:rsidR="00836860">
        <w:rPr>
          <w:noProof/>
          <w:lang w:val="en-IE"/>
        </w:rPr>
        <w:t xml:space="preserve"> until</w:t>
      </w:r>
      <w:r w:rsidR="00836860" w:rsidRPr="00836860">
        <w:rPr>
          <w:rFonts w:hint="eastAsia"/>
          <w:noProof/>
          <w:lang w:val="en-IE"/>
        </w:rPr>
        <w:t xml:space="preserve"> </w:t>
      </w:r>
      <w:r w:rsidR="00836860" w:rsidRPr="00A313EE">
        <w:rPr>
          <w:rFonts w:hint="eastAsia"/>
          <w:noProof/>
          <w:lang w:val="en-IE"/>
        </w:rPr>
        <w:t>reference CO</w:t>
      </w:r>
      <w:r w:rsidR="00836860" w:rsidRPr="00A313EE">
        <w:rPr>
          <w:rFonts w:hint="eastAsia"/>
          <w:noProof/>
          <w:vertAlign w:val="subscript"/>
          <w:lang w:val="en-IE"/>
        </w:rPr>
        <w:t>2</w:t>
      </w:r>
      <w:r w:rsidR="00836860" w:rsidRPr="00A313EE">
        <w:rPr>
          <w:rFonts w:hint="eastAsia"/>
          <w:noProof/>
          <w:lang w:val="en-IE"/>
        </w:rPr>
        <w:t> emissions</w:t>
      </w:r>
      <w:r w:rsidR="00A313EE" w:rsidRPr="00A313EE">
        <w:rPr>
          <w:rFonts w:hint="eastAsia"/>
          <w:noProof/>
          <w:lang w:val="en-IE"/>
        </w:rPr>
        <w:t xml:space="preserve"> for the </w:t>
      </w:r>
      <w:r w:rsidR="00836860">
        <w:rPr>
          <w:noProof/>
          <w:lang w:val="en-IE"/>
        </w:rPr>
        <w:t>vehicle sub-</w:t>
      </w:r>
      <w:r w:rsidR="00A313EE" w:rsidRPr="00A313EE">
        <w:rPr>
          <w:rFonts w:hint="eastAsia"/>
          <w:noProof/>
          <w:lang w:val="en-IE"/>
        </w:rPr>
        <w:t>group</w:t>
      </w:r>
      <w:r w:rsidR="00836860">
        <w:rPr>
          <w:noProof/>
          <w:lang w:val="en-IE"/>
        </w:rPr>
        <w:t xml:space="preserve">s concerned </w:t>
      </w:r>
      <w:r w:rsidR="00A06B83">
        <w:rPr>
          <w:noProof/>
        </w:rPr>
        <w:t xml:space="preserve">are published in accordance with </w:t>
      </w:r>
      <w:r w:rsidR="00F83259">
        <w:rPr>
          <w:noProof/>
        </w:rPr>
        <w:t>Article 11(1) of Regulation (EU) 2019/1242</w:t>
      </w:r>
      <w:r w:rsidR="00A313EE" w:rsidRPr="00A313EE">
        <w:rPr>
          <w:rFonts w:hint="eastAsia"/>
          <w:noProof/>
          <w:lang w:val="en-IE"/>
        </w:rPr>
        <w:t xml:space="preserve">. </w:t>
      </w:r>
      <w:r w:rsidR="00B62F68">
        <w:rPr>
          <w:noProof/>
        </w:rPr>
        <w:t>As of the publication of reference CO</w:t>
      </w:r>
      <w:r w:rsidR="00B62F68">
        <w:rPr>
          <w:noProof/>
          <w:vertAlign w:val="subscript"/>
        </w:rPr>
        <w:t>2</w:t>
      </w:r>
      <w:r w:rsidR="00B62F68">
        <w:rPr>
          <w:noProof/>
        </w:rPr>
        <w:t xml:space="preserve"> emissions in accordance with Article 11(1) of Regulation (EU) 2019/1242, Member States shall apply those reference CO</w:t>
      </w:r>
      <w:r w:rsidR="00B62F68">
        <w:rPr>
          <w:noProof/>
          <w:vertAlign w:val="subscript"/>
        </w:rPr>
        <w:t xml:space="preserve">2 </w:t>
      </w:r>
      <w:r w:rsidR="00B62F68">
        <w:rPr>
          <w:noProof/>
        </w:rPr>
        <w:t>emissions instead of the ones specified pursuant to paragraph 7 and the variation for the vehicles sub-groups concerned shall be applied for all emission classes.</w:t>
      </w:r>
      <w:r w:rsidR="00DC7EF4" w:rsidRPr="001B7546">
        <w:rPr>
          <w:noProof/>
          <w:lang w:val="en-IE"/>
        </w:rPr>
        <w:t>’;</w:t>
      </w:r>
    </w:p>
    <w:p w14:paraId="3F750F33" w14:textId="626AE0D4" w:rsidR="00DC7EF4" w:rsidRPr="001B7546" w:rsidRDefault="000B6083" w:rsidP="000B6083">
      <w:pPr>
        <w:pStyle w:val="Point1"/>
        <w:rPr>
          <w:noProof/>
          <w:lang w:val="en-US"/>
        </w:rPr>
      </w:pPr>
      <w:r w:rsidRPr="000B6083">
        <w:t>(b)</w:t>
      </w:r>
      <w:r w:rsidRPr="000B6083">
        <w:tab/>
      </w:r>
      <w:r w:rsidR="00322E4F" w:rsidRPr="001B7546">
        <w:rPr>
          <w:noProof/>
          <w:lang w:val="en-US"/>
        </w:rPr>
        <w:t>In p</w:t>
      </w:r>
      <w:r w:rsidR="00DC7EF4" w:rsidRPr="001B7546">
        <w:rPr>
          <w:noProof/>
          <w:lang w:val="en-US"/>
        </w:rPr>
        <w:t>aragraph 7</w:t>
      </w:r>
      <w:r w:rsidR="00322E4F" w:rsidRPr="001B7546">
        <w:rPr>
          <w:noProof/>
          <w:lang w:val="en-US"/>
        </w:rPr>
        <w:t>, the first sub-paragraph</w:t>
      </w:r>
      <w:r w:rsidR="00DC7EF4" w:rsidRPr="001B7546">
        <w:rPr>
          <w:noProof/>
          <w:lang w:val="en-US"/>
        </w:rPr>
        <w:t xml:space="preserve"> is replaced by the following:</w:t>
      </w:r>
    </w:p>
    <w:p w14:paraId="08D4E90E" w14:textId="77777777" w:rsidR="00DC7EF4" w:rsidRDefault="00DC7EF4" w:rsidP="008020EA">
      <w:pPr>
        <w:rPr>
          <w:noProof/>
          <w:lang w:val="en-US"/>
        </w:rPr>
      </w:pPr>
      <w:r w:rsidRPr="001B7546">
        <w:rPr>
          <w:noProof/>
          <w:lang w:val="en-US"/>
        </w:rPr>
        <w:t>‘</w:t>
      </w:r>
      <w:r w:rsidR="00A46070" w:rsidRPr="00A46070">
        <w:rPr>
          <w:rFonts w:hint="eastAsia"/>
          <w:noProof/>
          <w:lang w:val="en-IE"/>
        </w:rPr>
        <w:t>The Commission shall adopt implementing acts to specify the reference CO</w:t>
      </w:r>
      <w:r w:rsidR="00A46070" w:rsidRPr="00A46070">
        <w:rPr>
          <w:rFonts w:hint="eastAsia"/>
          <w:noProof/>
          <w:vertAlign w:val="subscript"/>
          <w:lang w:val="en-IE"/>
        </w:rPr>
        <w:t>2</w:t>
      </w:r>
      <w:r w:rsidR="00A46070" w:rsidRPr="00A46070">
        <w:rPr>
          <w:rFonts w:hint="eastAsia"/>
          <w:noProof/>
          <w:lang w:val="en-IE"/>
        </w:rPr>
        <w:t xml:space="preserve"> emissions for the vehicle groups </w:t>
      </w:r>
      <w:r w:rsidR="00F75D97">
        <w:rPr>
          <w:noProof/>
          <w:lang w:val="en-IE"/>
        </w:rPr>
        <w:t xml:space="preserve">other than </w:t>
      </w:r>
      <w:r w:rsidR="00F75D97" w:rsidRPr="00F75D97">
        <w:rPr>
          <w:noProof/>
          <w:lang w:val="en-IE"/>
        </w:rPr>
        <w:t>sub-groups 4-UD, 4-RD, 4-LH, 5-RD, 5-LH, 9-RD, 9-LH, 10-RD, 10-LH</w:t>
      </w:r>
      <w:r w:rsidR="00A46070" w:rsidRPr="00A46070">
        <w:rPr>
          <w:rFonts w:hint="eastAsia"/>
          <w:noProof/>
          <w:lang w:val="en-IE"/>
        </w:rPr>
        <w:t>.</w:t>
      </w:r>
      <w:r w:rsidR="00B809D9" w:rsidRPr="00A46070">
        <w:rPr>
          <w:noProof/>
          <w:lang w:val="en-US"/>
        </w:rPr>
        <w:t>’.</w:t>
      </w:r>
      <w:r w:rsidRPr="00A46070">
        <w:rPr>
          <w:noProof/>
          <w:lang w:val="en-US"/>
        </w:rPr>
        <w:t xml:space="preserve"> </w:t>
      </w:r>
      <w:bookmarkEnd w:id="12"/>
    </w:p>
    <w:p w14:paraId="6AFD632C" w14:textId="10387EF3" w:rsidR="001E5BC5" w:rsidRPr="00E50C3C" w:rsidRDefault="000B6083" w:rsidP="000B6083">
      <w:pPr>
        <w:pStyle w:val="Point0"/>
        <w:rPr>
          <w:noProof/>
          <w:lang w:val="en-US"/>
        </w:rPr>
      </w:pPr>
      <w:r w:rsidRPr="000B6083">
        <w:t>(3)</w:t>
      </w:r>
      <w:r w:rsidRPr="000B6083">
        <w:tab/>
      </w:r>
      <w:r w:rsidR="001E5BC5" w:rsidRPr="00E50C3C">
        <w:rPr>
          <w:noProof/>
          <w:lang w:val="en-US"/>
        </w:rPr>
        <w:t>the following Article is inserted:</w:t>
      </w:r>
    </w:p>
    <w:p w14:paraId="15D28BD1" w14:textId="77777777" w:rsidR="001E5BC5" w:rsidRPr="009A1DDF" w:rsidRDefault="001E5BC5" w:rsidP="001E5BC5">
      <w:pPr>
        <w:jc w:val="center"/>
        <w:rPr>
          <w:noProof/>
          <w:sz w:val="22"/>
          <w:lang w:val="en-US"/>
        </w:rPr>
      </w:pPr>
      <w:r w:rsidRPr="009A1DDF">
        <w:rPr>
          <w:noProof/>
          <w:sz w:val="22"/>
          <w:lang w:val="en-US"/>
        </w:rPr>
        <w:t>‘</w:t>
      </w:r>
      <w:r w:rsidRPr="009A1DDF">
        <w:rPr>
          <w:i/>
          <w:noProof/>
          <w:sz w:val="22"/>
          <w:lang w:val="en-US"/>
        </w:rPr>
        <w:t>Article 7gc</w:t>
      </w:r>
    </w:p>
    <w:p w14:paraId="494A9C14" w14:textId="77777777" w:rsidR="001E5BC5" w:rsidRDefault="001E5BC5" w:rsidP="00D80118">
      <w:pPr>
        <w:pStyle w:val="Text1"/>
        <w:rPr>
          <w:noProof/>
        </w:rPr>
      </w:pPr>
      <w:r w:rsidRPr="009A1DDF" w:rsidDel="0070252A">
        <w:rPr>
          <w:noProof/>
          <w:lang w:val="en-US"/>
        </w:rPr>
        <w:t xml:space="preserve"> </w:t>
      </w:r>
      <w:r w:rsidRPr="009A1DDF">
        <w:rPr>
          <w:noProof/>
          <w:lang w:val="en-US"/>
        </w:rPr>
        <w:t xml:space="preserve">1. </w:t>
      </w:r>
      <w:r w:rsidRPr="00577EEE">
        <w:rPr>
          <w:noProof/>
          <w:lang w:val="en-US"/>
        </w:rPr>
        <w:t xml:space="preserve">Until </w:t>
      </w:r>
      <w:r w:rsidR="00577EEE" w:rsidRPr="00577EEE">
        <w:rPr>
          <w:noProof/>
        </w:rPr>
        <w:t>30 June</w:t>
      </w:r>
      <w:r w:rsidR="009C783F" w:rsidRPr="00577EEE">
        <w:rPr>
          <w:noProof/>
        </w:rPr>
        <w:t xml:space="preserve"> 203</w:t>
      </w:r>
      <w:r w:rsidR="00EA7805" w:rsidRPr="00577EEE">
        <w:rPr>
          <w:noProof/>
        </w:rPr>
        <w:t>0</w:t>
      </w:r>
      <w:r w:rsidRPr="00577EEE">
        <w:rPr>
          <w:noProof/>
          <w:lang w:val="en-US"/>
        </w:rPr>
        <w:t xml:space="preserve">, Member States may take into account the </w:t>
      </w:r>
      <w:r w:rsidRPr="00577EEE">
        <w:rPr>
          <w:noProof/>
        </w:rPr>
        <w:t xml:space="preserve">effect of </w:t>
      </w:r>
      <w:r w:rsidR="00FF75DE" w:rsidRPr="00577EEE">
        <w:rPr>
          <w:noProof/>
        </w:rPr>
        <w:t>trailers</w:t>
      </w:r>
      <w:r w:rsidRPr="00577EEE">
        <w:rPr>
          <w:noProof/>
        </w:rPr>
        <w:t xml:space="preserve"> on the CO</w:t>
      </w:r>
      <w:r w:rsidRPr="00577EEE">
        <w:rPr>
          <w:noProof/>
          <w:vertAlign w:val="subscript"/>
        </w:rPr>
        <w:t>2</w:t>
      </w:r>
      <w:r w:rsidRPr="00577EEE">
        <w:rPr>
          <w:noProof/>
        </w:rPr>
        <w:t xml:space="preserve"> emissions of </w:t>
      </w:r>
      <w:r w:rsidR="00B17C7B" w:rsidRPr="00577EEE">
        <w:rPr>
          <w:noProof/>
        </w:rPr>
        <w:t xml:space="preserve">its </w:t>
      </w:r>
      <w:r w:rsidRPr="00577EEE">
        <w:rPr>
          <w:noProof/>
        </w:rPr>
        <w:t>combination</w:t>
      </w:r>
      <w:r w:rsidR="001536E0" w:rsidRPr="00577EEE">
        <w:rPr>
          <w:noProof/>
        </w:rPr>
        <w:t xml:space="preserve"> with a motor vehicle</w:t>
      </w:r>
      <w:r w:rsidRPr="00577EEE">
        <w:rPr>
          <w:noProof/>
        </w:rPr>
        <w:t xml:space="preserve"> when applying Article 7ga.</w:t>
      </w:r>
      <w:r w:rsidR="00097C50" w:rsidRPr="00577EEE">
        <w:rPr>
          <w:noProof/>
        </w:rPr>
        <w:t xml:space="preserve"> From </w:t>
      </w:r>
      <w:r w:rsidR="00577EEE" w:rsidRPr="00577EEE">
        <w:rPr>
          <w:noProof/>
        </w:rPr>
        <w:t>1</w:t>
      </w:r>
      <w:r w:rsidR="00097C50" w:rsidRPr="00577EEE">
        <w:rPr>
          <w:noProof/>
        </w:rPr>
        <w:t xml:space="preserve"> July 2030</w:t>
      </w:r>
      <w:r w:rsidR="002E6084">
        <w:rPr>
          <w:noProof/>
        </w:rPr>
        <w:t xml:space="preserve"> </w:t>
      </w:r>
      <w:r w:rsidR="00097C50">
        <w:rPr>
          <w:noProof/>
        </w:rPr>
        <w:t>they shall take into account that effect</w:t>
      </w:r>
      <w:r>
        <w:rPr>
          <w:noProof/>
        </w:rPr>
        <w:t xml:space="preserve">. </w:t>
      </w:r>
    </w:p>
    <w:p w14:paraId="4E528C39" w14:textId="77777777" w:rsidR="004551DC" w:rsidRDefault="001E5BC5" w:rsidP="00D80118">
      <w:pPr>
        <w:pStyle w:val="Text1"/>
        <w:rPr>
          <w:noProof/>
        </w:rPr>
      </w:pPr>
      <w:r>
        <w:rPr>
          <w:noProof/>
        </w:rPr>
        <w:t>Where a Member State applies the first subparagraph, t</w:t>
      </w:r>
      <w:r w:rsidRPr="009A1DDF">
        <w:rPr>
          <w:noProof/>
        </w:rPr>
        <w:t>he CO</w:t>
      </w:r>
      <w:r w:rsidRPr="009A1DDF">
        <w:rPr>
          <w:noProof/>
          <w:vertAlign w:val="subscript"/>
        </w:rPr>
        <w:t>2</w:t>
      </w:r>
      <w:r w:rsidRPr="009A1DDF">
        <w:rPr>
          <w:noProof/>
        </w:rPr>
        <w:t xml:space="preserve"> emission class of the </w:t>
      </w:r>
      <w:r w:rsidRPr="00611F0A">
        <w:rPr>
          <w:noProof/>
        </w:rPr>
        <w:t>vehicle combination</w:t>
      </w:r>
      <w:r>
        <w:rPr>
          <w:noProof/>
        </w:rPr>
        <w:t xml:space="preserve"> referred in Article 7ga</w:t>
      </w:r>
      <w:r w:rsidR="000F50B7">
        <w:rPr>
          <w:noProof/>
        </w:rPr>
        <w:t xml:space="preserve"> </w:t>
      </w:r>
      <w:r>
        <w:rPr>
          <w:noProof/>
        </w:rPr>
        <w:t>(2)</w:t>
      </w:r>
      <w:r w:rsidRPr="009A1DDF">
        <w:rPr>
          <w:noProof/>
        </w:rPr>
        <w:t xml:space="preserve"> shall be </w:t>
      </w:r>
      <w:r>
        <w:rPr>
          <w:noProof/>
        </w:rPr>
        <w:t xml:space="preserve">affected by the </w:t>
      </w:r>
      <w:r w:rsidR="002F4A59">
        <w:rPr>
          <w:noProof/>
        </w:rPr>
        <w:t>trailer class</w:t>
      </w:r>
      <w:r w:rsidRPr="009A1DDF">
        <w:rPr>
          <w:noProof/>
        </w:rPr>
        <w:t xml:space="preserve"> of the towed </w:t>
      </w:r>
      <w:r w:rsidR="00BF1D69">
        <w:rPr>
          <w:noProof/>
        </w:rPr>
        <w:t>trailer</w:t>
      </w:r>
      <w:r w:rsidRPr="009A1DDF">
        <w:rPr>
          <w:noProof/>
        </w:rPr>
        <w:t xml:space="preserve"> in accordance with Annex VIII. </w:t>
      </w:r>
    </w:p>
    <w:p w14:paraId="4FDA4232" w14:textId="77777777" w:rsidR="003C30EB" w:rsidRDefault="00A01468" w:rsidP="0034754F">
      <w:pPr>
        <w:pStyle w:val="Text1"/>
        <w:rPr>
          <w:noProof/>
        </w:rPr>
      </w:pPr>
      <w:r>
        <w:rPr>
          <w:noProof/>
        </w:rPr>
        <w:t>2. Where a Member State applies the first paragraph and, in accordance with Article 9(1)</w:t>
      </w:r>
      <w:r w:rsidR="00097C50">
        <w:rPr>
          <w:noProof/>
        </w:rPr>
        <w:t>, point (a)</w:t>
      </w:r>
      <w:r>
        <w:rPr>
          <w:noProof/>
        </w:rPr>
        <w:t xml:space="preserve">, imposes </w:t>
      </w:r>
      <w:r w:rsidR="00DB3027">
        <w:rPr>
          <w:noProof/>
        </w:rPr>
        <w:t xml:space="preserve">specific </w:t>
      </w:r>
      <w:r>
        <w:rPr>
          <w:noProof/>
        </w:rPr>
        <w:t xml:space="preserve">charges on </w:t>
      </w:r>
      <w:r w:rsidRPr="00D23C75">
        <w:rPr>
          <w:noProof/>
        </w:rPr>
        <w:t>vehicle</w:t>
      </w:r>
      <w:r>
        <w:rPr>
          <w:noProof/>
        </w:rPr>
        <w:t xml:space="preserve"> combinations</w:t>
      </w:r>
      <w:r w:rsidRPr="00D23C75">
        <w:rPr>
          <w:noProof/>
        </w:rPr>
        <w:t xml:space="preserve"> </w:t>
      </w:r>
      <w:r>
        <w:rPr>
          <w:noProof/>
        </w:rPr>
        <w:t>deviating from</w:t>
      </w:r>
      <w:r w:rsidRPr="00D23C75">
        <w:rPr>
          <w:noProof/>
        </w:rPr>
        <w:t xml:space="preserve"> the maximum weights and/or dimensions laid down in Annex I </w:t>
      </w:r>
      <w:r w:rsidR="00097C50">
        <w:rPr>
          <w:noProof/>
        </w:rPr>
        <w:t>to</w:t>
      </w:r>
      <w:r w:rsidRPr="00D23C75">
        <w:rPr>
          <w:noProof/>
        </w:rPr>
        <w:t xml:space="preserve"> Council Directive 96/53/EC</w:t>
      </w:r>
      <w:r w:rsidR="003944C2">
        <w:rPr>
          <w:noProof/>
        </w:rPr>
        <w:t>*</w:t>
      </w:r>
      <w:r w:rsidRPr="00D23C75">
        <w:rPr>
          <w:noProof/>
        </w:rPr>
        <w:t>, in accordance with Article 4(4) of that Directive,</w:t>
      </w:r>
      <w:r>
        <w:rPr>
          <w:noProof/>
        </w:rPr>
        <w:t xml:space="preserve"> it </w:t>
      </w:r>
      <w:r w:rsidRPr="00DB7DD9">
        <w:rPr>
          <w:noProof/>
        </w:rPr>
        <w:t xml:space="preserve">may </w:t>
      </w:r>
      <w:r w:rsidR="006D36D1">
        <w:rPr>
          <w:noProof/>
        </w:rPr>
        <w:t>apply</w:t>
      </w:r>
      <w:r w:rsidRPr="00DB7DD9">
        <w:rPr>
          <w:noProof/>
        </w:rPr>
        <w:t xml:space="preserve"> </w:t>
      </w:r>
      <w:r>
        <w:rPr>
          <w:noProof/>
        </w:rPr>
        <w:t xml:space="preserve">a </w:t>
      </w:r>
      <w:r w:rsidRPr="00EF1931">
        <w:rPr>
          <w:noProof/>
        </w:rPr>
        <w:t>reduction of road charges</w:t>
      </w:r>
      <w:r>
        <w:rPr>
          <w:noProof/>
        </w:rPr>
        <w:t xml:space="preserve"> </w:t>
      </w:r>
      <w:r w:rsidRPr="00DB7DD9">
        <w:rPr>
          <w:noProof/>
        </w:rPr>
        <w:t>to such vehicle combinations</w:t>
      </w:r>
      <w:r w:rsidRPr="00E81DEA">
        <w:rPr>
          <w:noProof/>
        </w:rPr>
        <w:t xml:space="preserve"> that employ at least one trailer</w:t>
      </w:r>
      <w:r w:rsidR="00AD49FB">
        <w:rPr>
          <w:noProof/>
        </w:rPr>
        <w:t xml:space="preserve"> to which a trailer class is assigned</w:t>
      </w:r>
      <w:r w:rsidR="00980BCF">
        <w:rPr>
          <w:noProof/>
        </w:rPr>
        <w:t xml:space="preserve"> </w:t>
      </w:r>
      <w:r w:rsidR="00AD49FB" w:rsidRPr="00AD49FB">
        <w:rPr>
          <w:noProof/>
        </w:rPr>
        <w:t>in accordance with Annex VIII</w:t>
      </w:r>
      <w:r w:rsidR="00097C50">
        <w:rPr>
          <w:noProof/>
        </w:rPr>
        <w:t xml:space="preserve"> to this Directive</w:t>
      </w:r>
      <w:r>
        <w:rPr>
          <w:noProof/>
        </w:rPr>
        <w:t xml:space="preserve">. </w:t>
      </w:r>
    </w:p>
    <w:p w14:paraId="032A49B1" w14:textId="77777777" w:rsidR="00A01468" w:rsidRPr="009A1DDF" w:rsidRDefault="00A01468" w:rsidP="0034754F">
      <w:pPr>
        <w:pStyle w:val="Text1"/>
        <w:rPr>
          <w:noProof/>
        </w:rPr>
      </w:pPr>
      <w:r>
        <w:rPr>
          <w:noProof/>
        </w:rPr>
        <w:t xml:space="preserve">The amount of the reduction of the road charge </w:t>
      </w:r>
      <w:r w:rsidR="00DB3027">
        <w:rPr>
          <w:noProof/>
        </w:rPr>
        <w:t>may</w:t>
      </w:r>
      <w:r>
        <w:rPr>
          <w:noProof/>
        </w:rPr>
        <w:t xml:space="preserve"> correspond </w:t>
      </w:r>
      <w:r w:rsidR="00A070AF">
        <w:rPr>
          <w:noProof/>
        </w:rPr>
        <w:t xml:space="preserve">to </w:t>
      </w:r>
      <w:r>
        <w:rPr>
          <w:noProof/>
        </w:rPr>
        <w:t xml:space="preserve">the reduction granted to vehicle combinations not </w:t>
      </w:r>
      <w:r w:rsidRPr="007D69F7">
        <w:rPr>
          <w:noProof/>
        </w:rPr>
        <w:t>deviating from the maximum weights and/or dimensions</w:t>
      </w:r>
      <w:r>
        <w:rPr>
          <w:noProof/>
        </w:rPr>
        <w:t xml:space="preserve">. </w:t>
      </w:r>
    </w:p>
    <w:p w14:paraId="0859B065" w14:textId="77777777" w:rsidR="0054128F" w:rsidRDefault="0054128F" w:rsidP="0034754F">
      <w:pPr>
        <w:pStyle w:val="Text1"/>
        <w:rPr>
          <w:noProof/>
        </w:rPr>
      </w:pPr>
      <w:r>
        <w:rPr>
          <w:noProof/>
        </w:rPr>
        <w:t>3</w:t>
      </w:r>
      <w:r w:rsidR="001E5BC5" w:rsidRPr="009A1DDF">
        <w:rPr>
          <w:noProof/>
        </w:rPr>
        <w:t xml:space="preserve">. The Commission is empowered to adopt a delegated act in accordance with Article 9d in order to amend Annex VIII to determine the </w:t>
      </w:r>
      <w:r w:rsidR="00B17C7B">
        <w:rPr>
          <w:noProof/>
        </w:rPr>
        <w:t xml:space="preserve">efficiency ratio </w:t>
      </w:r>
      <w:r w:rsidR="001E5BC5" w:rsidRPr="009A1DDF">
        <w:rPr>
          <w:noProof/>
        </w:rPr>
        <w:t xml:space="preserve">thresholds laid down </w:t>
      </w:r>
      <w:r w:rsidR="00C555B3">
        <w:rPr>
          <w:noProof/>
        </w:rPr>
        <w:t>therein</w:t>
      </w:r>
      <w:r w:rsidR="00C01430">
        <w:rPr>
          <w:noProof/>
        </w:rPr>
        <w:t>,</w:t>
      </w:r>
      <w:r w:rsidR="00C555B3">
        <w:rPr>
          <w:noProof/>
        </w:rPr>
        <w:t xml:space="preserve"> or </w:t>
      </w:r>
      <w:r w:rsidR="00F84A2C">
        <w:rPr>
          <w:noProof/>
        </w:rPr>
        <w:t xml:space="preserve">to </w:t>
      </w:r>
      <w:r w:rsidR="00C555B3">
        <w:rPr>
          <w:noProof/>
        </w:rPr>
        <w:t xml:space="preserve">adjust them to </w:t>
      </w:r>
      <w:r w:rsidR="00C555B3" w:rsidRPr="00C555B3">
        <w:rPr>
          <w:noProof/>
        </w:rPr>
        <w:t>reflect technical progress</w:t>
      </w:r>
      <w:r w:rsidR="00B4487C">
        <w:rPr>
          <w:noProof/>
        </w:rPr>
        <w:t xml:space="preserve">. </w:t>
      </w:r>
      <w:r w:rsidR="005C7358" w:rsidRPr="005C7358">
        <w:rPr>
          <w:noProof/>
        </w:rPr>
        <w:t xml:space="preserve">Their </w:t>
      </w:r>
      <w:r w:rsidR="000E5A32">
        <w:rPr>
          <w:noProof/>
        </w:rPr>
        <w:t xml:space="preserve">first </w:t>
      </w:r>
      <w:r w:rsidR="005C7358" w:rsidRPr="005C7358">
        <w:rPr>
          <w:noProof/>
        </w:rPr>
        <w:t>determination shall be based on the average efficiency of the trailer fleet</w:t>
      </w:r>
      <w:r w:rsidR="003E23B5">
        <w:rPr>
          <w:noProof/>
        </w:rPr>
        <w:t xml:space="preserve"> when</w:t>
      </w:r>
      <w:r w:rsidR="00C973C6">
        <w:rPr>
          <w:noProof/>
        </w:rPr>
        <w:t xml:space="preserve"> reference </w:t>
      </w:r>
      <w:r w:rsidR="00C973C6" w:rsidRPr="00BE28DF">
        <w:rPr>
          <w:noProof/>
        </w:rPr>
        <w:t xml:space="preserve">CO2 </w:t>
      </w:r>
      <w:r w:rsidR="00C973C6">
        <w:rPr>
          <w:noProof/>
        </w:rPr>
        <w:t>emissions for these vehicles are published</w:t>
      </w:r>
      <w:r w:rsidR="005C7358" w:rsidRPr="005C7358">
        <w:rPr>
          <w:noProof/>
        </w:rPr>
        <w:t>, and on the potential that trailers have to generate efficiency improvements, taking into consideration the different potential between semi-trailers and other trailers.</w:t>
      </w:r>
    </w:p>
    <w:p w14:paraId="73D0C2CB" w14:textId="77777777" w:rsidR="00266245" w:rsidRDefault="00E34C20" w:rsidP="0034754F">
      <w:pPr>
        <w:pStyle w:val="Text1"/>
        <w:rPr>
          <w:noProof/>
        </w:rPr>
      </w:pPr>
      <w:r>
        <w:rPr>
          <w:noProof/>
        </w:rPr>
        <w:t>For trailer classes 1 and 2</w:t>
      </w:r>
      <w:r w:rsidRPr="00E34C20">
        <w:rPr>
          <w:noProof/>
        </w:rPr>
        <w:t xml:space="preserve"> </w:t>
      </w:r>
      <w:r>
        <w:rPr>
          <w:noProof/>
        </w:rPr>
        <w:t>as identified in the table in Annex VIII, t</w:t>
      </w:r>
      <w:r w:rsidR="00C555B3" w:rsidRPr="00C555B3">
        <w:rPr>
          <w:noProof/>
        </w:rPr>
        <w:t xml:space="preserve">he Commission shall adopt </w:t>
      </w:r>
      <w:r w:rsidR="00266245">
        <w:rPr>
          <w:noProof/>
        </w:rPr>
        <w:t xml:space="preserve">a </w:t>
      </w:r>
      <w:r w:rsidR="00C555B3">
        <w:rPr>
          <w:noProof/>
        </w:rPr>
        <w:t>delegated</w:t>
      </w:r>
      <w:r w:rsidR="00C555B3" w:rsidRPr="00C555B3">
        <w:rPr>
          <w:noProof/>
        </w:rPr>
        <w:t xml:space="preserve"> act </w:t>
      </w:r>
      <w:r w:rsidR="00DD4E40" w:rsidRPr="00DD4E40">
        <w:rPr>
          <w:noProof/>
        </w:rPr>
        <w:t>de</w:t>
      </w:r>
      <w:r w:rsidR="00DD4E40">
        <w:rPr>
          <w:noProof/>
        </w:rPr>
        <w:t>termining</w:t>
      </w:r>
      <w:r w:rsidR="00DD4E40" w:rsidRPr="00DD4E40">
        <w:rPr>
          <w:noProof/>
        </w:rPr>
        <w:t xml:space="preserve"> the efficiency ratio thresholds</w:t>
      </w:r>
      <w:r w:rsidR="00BC7499">
        <w:rPr>
          <w:noProof/>
        </w:rPr>
        <w:t xml:space="preserve"> </w:t>
      </w:r>
      <w:bookmarkStart w:id="13" w:name="_Hlk126221105"/>
      <w:r w:rsidR="00B4487C">
        <w:rPr>
          <w:noProof/>
        </w:rPr>
        <w:t xml:space="preserve">at </w:t>
      </w:r>
      <w:r w:rsidR="00DD4E40">
        <w:rPr>
          <w:noProof/>
        </w:rPr>
        <w:t xml:space="preserve">the </w:t>
      </w:r>
      <w:r w:rsidR="00B4487C">
        <w:rPr>
          <w:noProof/>
        </w:rPr>
        <w:t xml:space="preserve">latest one year after the publication of reference </w:t>
      </w:r>
      <w:r w:rsidR="00ED0111" w:rsidRPr="00BE28DF">
        <w:rPr>
          <w:noProof/>
        </w:rPr>
        <w:t xml:space="preserve">CO2 </w:t>
      </w:r>
      <w:r w:rsidR="00B4487C">
        <w:rPr>
          <w:noProof/>
        </w:rPr>
        <w:t>emissions for trailers according to Article 11(1) of Regulation (EU) 2019/1242</w:t>
      </w:r>
      <w:bookmarkEnd w:id="13"/>
      <w:r w:rsidR="00971341">
        <w:rPr>
          <w:noProof/>
        </w:rPr>
        <w:t xml:space="preserve">. </w:t>
      </w:r>
    </w:p>
    <w:p w14:paraId="2ACDEE1C" w14:textId="77777777" w:rsidR="002F0D3E" w:rsidRDefault="00E34C20" w:rsidP="0034754F">
      <w:pPr>
        <w:pStyle w:val="Text1"/>
        <w:rPr>
          <w:noProof/>
        </w:rPr>
      </w:pPr>
      <w:r>
        <w:rPr>
          <w:noProof/>
        </w:rPr>
        <w:t xml:space="preserve">For trailer class 3 as identified in the table in Annex VIII, applicable to trailers </w:t>
      </w:r>
      <w:r w:rsidRPr="00A071CB">
        <w:rPr>
          <w:noProof/>
          <w:lang w:val="en-IE"/>
        </w:rPr>
        <w:t xml:space="preserve">equipped with a device </w:t>
      </w:r>
      <w:r w:rsidR="0057325E">
        <w:rPr>
          <w:noProof/>
          <w:lang w:val="en-IE"/>
        </w:rPr>
        <w:t xml:space="preserve">that </w:t>
      </w:r>
      <w:r w:rsidRPr="00A071CB">
        <w:rPr>
          <w:noProof/>
          <w:lang w:val="en-IE"/>
        </w:rPr>
        <w:t>actively support</w:t>
      </w:r>
      <w:r w:rsidR="0057325E">
        <w:rPr>
          <w:noProof/>
          <w:lang w:val="en-IE"/>
        </w:rPr>
        <w:t>s</w:t>
      </w:r>
      <w:r w:rsidRPr="00A071CB">
        <w:rPr>
          <w:noProof/>
          <w:lang w:val="en-IE"/>
        </w:rPr>
        <w:t xml:space="preserve"> their propulsion </w:t>
      </w:r>
      <w:r w:rsidR="00741D7A" w:rsidRPr="00741D7A">
        <w:rPr>
          <w:noProof/>
        </w:rPr>
        <w:t xml:space="preserve">and has no internal combustion engine or has an internal combustion engine emitting less than 5 g </w:t>
      </w:r>
      <w:r w:rsidR="00741D7A" w:rsidRPr="00BE28DF">
        <w:rPr>
          <w:noProof/>
        </w:rPr>
        <w:t xml:space="preserve">CO2 </w:t>
      </w:r>
      <w:r w:rsidR="00741D7A" w:rsidRPr="00741D7A">
        <w:rPr>
          <w:noProof/>
        </w:rPr>
        <w:t>/kWh</w:t>
      </w:r>
      <w:r>
        <w:rPr>
          <w:noProof/>
          <w:lang w:val="en-IE"/>
        </w:rPr>
        <w:t xml:space="preserve">, </w:t>
      </w:r>
      <w:r>
        <w:rPr>
          <w:noProof/>
        </w:rPr>
        <w:t>t</w:t>
      </w:r>
      <w:r w:rsidR="0054128F">
        <w:rPr>
          <w:noProof/>
        </w:rPr>
        <w:t>he Commission</w:t>
      </w:r>
      <w:r w:rsidR="00971341">
        <w:rPr>
          <w:noProof/>
        </w:rPr>
        <w:t xml:space="preserve"> </w:t>
      </w:r>
      <w:r w:rsidR="00971341" w:rsidRPr="00C555B3">
        <w:rPr>
          <w:noProof/>
        </w:rPr>
        <w:t xml:space="preserve">shall adopt </w:t>
      </w:r>
      <w:r w:rsidR="00266245">
        <w:rPr>
          <w:noProof/>
        </w:rPr>
        <w:t xml:space="preserve">a </w:t>
      </w:r>
      <w:r w:rsidR="00971341">
        <w:rPr>
          <w:noProof/>
        </w:rPr>
        <w:t>delegated</w:t>
      </w:r>
      <w:r w:rsidR="00971341" w:rsidRPr="00C555B3">
        <w:rPr>
          <w:noProof/>
        </w:rPr>
        <w:t xml:space="preserve"> act</w:t>
      </w:r>
      <w:r w:rsidR="00A070AF">
        <w:rPr>
          <w:noProof/>
        </w:rPr>
        <w:t xml:space="preserve"> </w:t>
      </w:r>
      <w:r>
        <w:rPr>
          <w:noProof/>
        </w:rPr>
        <w:t xml:space="preserve">determining </w:t>
      </w:r>
      <w:r w:rsidR="00F84A2C" w:rsidRPr="00DD4E40">
        <w:rPr>
          <w:noProof/>
        </w:rPr>
        <w:t>the efficiency ratio thresholds</w:t>
      </w:r>
      <w:r w:rsidR="00F84A2C">
        <w:rPr>
          <w:noProof/>
        </w:rPr>
        <w:t xml:space="preserve"> </w:t>
      </w:r>
      <w:r w:rsidR="00266245">
        <w:rPr>
          <w:noProof/>
        </w:rPr>
        <w:t>after</w:t>
      </w:r>
      <w:r w:rsidR="00266245" w:rsidRPr="00BC7499">
        <w:rPr>
          <w:noProof/>
        </w:rPr>
        <w:t xml:space="preserve"> </w:t>
      </w:r>
      <w:r w:rsidR="00266245">
        <w:rPr>
          <w:noProof/>
        </w:rPr>
        <w:t>legally certified values for those trailers are</w:t>
      </w:r>
      <w:r w:rsidR="00266245" w:rsidRPr="00BC7499">
        <w:rPr>
          <w:noProof/>
        </w:rPr>
        <w:t xml:space="preserve"> </w:t>
      </w:r>
      <w:r w:rsidR="00BC7499" w:rsidRPr="00BC7499">
        <w:rPr>
          <w:noProof/>
        </w:rPr>
        <w:t>available</w:t>
      </w:r>
      <w:r w:rsidR="00B4487C">
        <w:rPr>
          <w:noProof/>
        </w:rPr>
        <w:t>.</w:t>
      </w:r>
    </w:p>
    <w:p w14:paraId="393462FE" w14:textId="77777777" w:rsidR="00266245" w:rsidRDefault="00266245" w:rsidP="0034754F">
      <w:pPr>
        <w:pStyle w:val="Text1"/>
        <w:rPr>
          <w:noProof/>
        </w:rPr>
      </w:pPr>
      <w:r w:rsidRPr="00D730AC">
        <w:rPr>
          <w:noProof/>
        </w:rPr>
        <w:t xml:space="preserve">The Commission is empowered to adopt a delegated act in accordance with Article 9d in order to amend Annex VIII to </w:t>
      </w:r>
      <w:r>
        <w:rPr>
          <w:noProof/>
        </w:rPr>
        <w:t>lay down</w:t>
      </w:r>
      <w:r w:rsidRPr="00172F20">
        <w:rPr>
          <w:noProof/>
        </w:rPr>
        <w:t xml:space="preserve"> a methodology for</w:t>
      </w:r>
      <w:r>
        <w:rPr>
          <w:noProof/>
        </w:rPr>
        <w:t xml:space="preserve"> determining the allocation to a</w:t>
      </w:r>
      <w:r w:rsidRPr="00172F20">
        <w:rPr>
          <w:noProof/>
        </w:rPr>
        <w:t xml:space="preserve"> trailer class </w:t>
      </w:r>
      <w:r>
        <w:rPr>
          <w:noProof/>
        </w:rPr>
        <w:t xml:space="preserve">of </w:t>
      </w:r>
      <w:r w:rsidRPr="00172F20">
        <w:rPr>
          <w:noProof/>
        </w:rPr>
        <w:t xml:space="preserve">trailers </w:t>
      </w:r>
      <w:r>
        <w:rPr>
          <w:noProof/>
        </w:rPr>
        <w:t>which</w:t>
      </w:r>
      <w:r w:rsidRPr="00172F20">
        <w:rPr>
          <w:noProof/>
        </w:rPr>
        <w:t xml:space="preserve"> are retrofitted with </w:t>
      </w:r>
      <w:r w:rsidRPr="00CB2D06">
        <w:rPr>
          <w:noProof/>
        </w:rPr>
        <w:t>equipment improving their energy efficiency</w:t>
      </w:r>
      <w:r>
        <w:rPr>
          <w:noProof/>
        </w:rPr>
        <w:t xml:space="preserve">, especially those that were </w:t>
      </w:r>
      <w:r w:rsidRPr="00E65CBA">
        <w:rPr>
          <w:noProof/>
        </w:rPr>
        <w:t>registered, sold or to enter into service</w:t>
      </w:r>
      <w:r>
        <w:rPr>
          <w:noProof/>
        </w:rPr>
        <w:t xml:space="preserve"> before the date of application of</w:t>
      </w:r>
      <w:r w:rsidRPr="00172F20">
        <w:rPr>
          <w:noProof/>
        </w:rPr>
        <w:t xml:space="preserve"> Implementing Regulation (EU) 2022/1362.</w:t>
      </w:r>
    </w:p>
    <w:p w14:paraId="29C6744E" w14:textId="77777777" w:rsidR="003944C2" w:rsidRDefault="002F0D3E" w:rsidP="0034754F">
      <w:pPr>
        <w:pStyle w:val="Text1"/>
        <w:rPr>
          <w:noProof/>
        </w:rPr>
      </w:pPr>
      <w:r>
        <w:rPr>
          <w:noProof/>
        </w:rPr>
        <w:t xml:space="preserve">4. </w:t>
      </w:r>
      <w:r w:rsidRPr="002F0D3E">
        <w:rPr>
          <w:noProof/>
        </w:rPr>
        <w:t xml:space="preserve">For the purpose of recording the </w:t>
      </w:r>
      <w:r w:rsidR="0009630A" w:rsidRPr="00CB2D06">
        <w:rPr>
          <w:noProof/>
        </w:rPr>
        <w:t>equipment</w:t>
      </w:r>
      <w:r w:rsidRPr="002F0D3E">
        <w:rPr>
          <w:noProof/>
        </w:rPr>
        <w:t xml:space="preserve"> referred to in paragraph </w:t>
      </w:r>
      <w:r>
        <w:rPr>
          <w:noProof/>
        </w:rPr>
        <w:t>3</w:t>
      </w:r>
      <w:r w:rsidR="00097C50">
        <w:rPr>
          <w:noProof/>
        </w:rPr>
        <w:t xml:space="preserve">, </w:t>
      </w:r>
      <w:r w:rsidR="0009630A">
        <w:rPr>
          <w:noProof/>
        </w:rPr>
        <w:t>fourth</w:t>
      </w:r>
      <w:r w:rsidR="00097C50">
        <w:rPr>
          <w:noProof/>
        </w:rPr>
        <w:t xml:space="preserve"> subparagraph</w:t>
      </w:r>
      <w:r w:rsidRPr="002F0D3E">
        <w:rPr>
          <w:noProof/>
        </w:rPr>
        <w:t xml:space="preserve">, Member States shall make use of item 10 </w:t>
      </w:r>
      <w:r w:rsidR="009E71FF">
        <w:rPr>
          <w:noProof/>
        </w:rPr>
        <w:t xml:space="preserve">(other information) </w:t>
      </w:r>
      <w:r w:rsidRPr="002F0D3E">
        <w:rPr>
          <w:noProof/>
        </w:rPr>
        <w:t xml:space="preserve">of Annex II </w:t>
      </w:r>
      <w:r w:rsidR="00097C50">
        <w:rPr>
          <w:noProof/>
        </w:rPr>
        <w:t xml:space="preserve">to </w:t>
      </w:r>
      <w:r w:rsidRPr="002F0D3E">
        <w:rPr>
          <w:noProof/>
        </w:rPr>
        <w:t>Directive 2014/45/EU</w:t>
      </w:r>
      <w:r w:rsidR="003944C2">
        <w:rPr>
          <w:noProof/>
        </w:rPr>
        <w:t>**</w:t>
      </w:r>
      <w:r w:rsidRPr="002F0D3E">
        <w:rPr>
          <w:noProof/>
        </w:rPr>
        <w:t>.</w:t>
      </w:r>
      <w:r w:rsidR="002E6084">
        <w:rPr>
          <w:noProof/>
        </w:rPr>
        <w:t xml:space="preserve"> </w:t>
      </w:r>
    </w:p>
    <w:p w14:paraId="3D68997F" w14:textId="77777777" w:rsidR="003944C2" w:rsidRDefault="003944C2" w:rsidP="001E5BC5">
      <w:pPr>
        <w:rPr>
          <w:noProof/>
          <w:sz w:val="22"/>
        </w:rPr>
      </w:pPr>
      <w:r>
        <w:rPr>
          <w:noProof/>
          <w:sz w:val="22"/>
        </w:rPr>
        <w:t>____________________</w:t>
      </w:r>
    </w:p>
    <w:p w14:paraId="70D569B6" w14:textId="77777777" w:rsidR="003944C2" w:rsidRDefault="003944C2" w:rsidP="001E5BC5">
      <w:pPr>
        <w:rPr>
          <w:noProof/>
          <w:sz w:val="22"/>
        </w:rPr>
      </w:pPr>
      <w:r>
        <w:rPr>
          <w:noProof/>
          <w:sz w:val="22"/>
        </w:rPr>
        <w:t>*</w:t>
      </w:r>
      <w:r w:rsidRPr="003944C2">
        <w:rPr>
          <w:noProof/>
        </w:rPr>
        <w:t xml:space="preserve"> </w:t>
      </w:r>
      <w:r w:rsidRPr="003944C2">
        <w:rPr>
          <w:noProof/>
          <w:sz w:val="22"/>
        </w:rPr>
        <w:t>Council Directive 96/53/EC of 25 July 1996 laying down for certain road vehicles circulating within the Community the maximum authorized dimensions in national and international traffic and the maximum authorized weights in international traffic (OJ L 235, 17.9.1996, p. 59)</w:t>
      </w:r>
    </w:p>
    <w:p w14:paraId="46455D62" w14:textId="77777777" w:rsidR="00D732E7" w:rsidRPr="009A1DDF" w:rsidRDefault="003944C2" w:rsidP="001E5BC5">
      <w:pPr>
        <w:rPr>
          <w:noProof/>
          <w:sz w:val="22"/>
        </w:rPr>
      </w:pPr>
      <w:r>
        <w:rPr>
          <w:noProof/>
          <w:sz w:val="22"/>
        </w:rPr>
        <w:t>**</w:t>
      </w:r>
      <w:r w:rsidRPr="003944C2">
        <w:rPr>
          <w:noProof/>
        </w:rPr>
        <w:t xml:space="preserve"> </w:t>
      </w:r>
      <w:r w:rsidRPr="003944C2">
        <w:rPr>
          <w:noProof/>
          <w:sz w:val="22"/>
        </w:rPr>
        <w:t>Directive 2014/45/EU of the European Parliament and of the Council of 3 April 2014 on periodic roadworthiness tests for motor vehicles and their trailers (OJ L 127, 29.4.2014, p. 51)</w:t>
      </w:r>
      <w:r w:rsidR="006E5A90">
        <w:rPr>
          <w:noProof/>
          <w:sz w:val="22"/>
        </w:rPr>
        <w:t>’</w:t>
      </w:r>
      <w:r w:rsidR="00AA789B">
        <w:rPr>
          <w:noProof/>
          <w:sz w:val="22"/>
        </w:rPr>
        <w:t>;</w:t>
      </w:r>
    </w:p>
    <w:p w14:paraId="6E1C5297" w14:textId="4B80332F" w:rsidR="001E5BC5" w:rsidRPr="009A1DDF" w:rsidRDefault="000B6083" w:rsidP="000B6083">
      <w:pPr>
        <w:pStyle w:val="Point0"/>
        <w:rPr>
          <w:noProof/>
          <w:lang w:val="en-US"/>
        </w:rPr>
      </w:pPr>
      <w:r w:rsidRPr="000B6083">
        <w:t>(4)</w:t>
      </w:r>
      <w:r w:rsidRPr="000B6083">
        <w:tab/>
      </w:r>
      <w:r w:rsidR="00097C50">
        <w:rPr>
          <w:noProof/>
          <w:lang w:val="en-US"/>
        </w:rPr>
        <w:t xml:space="preserve">In </w:t>
      </w:r>
      <w:r w:rsidR="001E5BC5" w:rsidRPr="009A1DDF">
        <w:rPr>
          <w:noProof/>
          <w:lang w:val="en-US"/>
        </w:rPr>
        <w:t>Article 7j</w:t>
      </w:r>
      <w:r w:rsidR="00097C50">
        <w:rPr>
          <w:noProof/>
          <w:lang w:val="en-US"/>
        </w:rPr>
        <w:t xml:space="preserve"> (2a), the first subparagraph</w:t>
      </w:r>
      <w:r w:rsidR="001E5BC5" w:rsidRPr="009A1DDF">
        <w:rPr>
          <w:noProof/>
          <w:lang w:val="en-US"/>
        </w:rPr>
        <w:t xml:space="preserve"> is </w:t>
      </w:r>
      <w:r w:rsidR="001E5BC5" w:rsidRPr="009A1DDF">
        <w:rPr>
          <w:noProof/>
        </w:rPr>
        <w:t>replaced by the following</w:t>
      </w:r>
      <w:r w:rsidR="001E5BC5" w:rsidRPr="009A1DDF">
        <w:rPr>
          <w:noProof/>
          <w:lang w:val="en-US"/>
        </w:rPr>
        <w:t>:</w:t>
      </w:r>
    </w:p>
    <w:p w14:paraId="4F994A77" w14:textId="77777777" w:rsidR="001E5BC5" w:rsidRPr="00B809D9" w:rsidRDefault="001E5BC5" w:rsidP="00980BCF">
      <w:pPr>
        <w:ind w:left="850"/>
        <w:rPr>
          <w:noProof/>
          <w:szCs w:val="24"/>
        </w:rPr>
      </w:pPr>
      <w:r w:rsidRPr="009A1DDF">
        <w:rPr>
          <w:noProof/>
        </w:rPr>
        <w:t xml:space="preserve">‘Where a driver or, </w:t>
      </w:r>
      <w:r w:rsidR="004E6151">
        <w:rPr>
          <w:noProof/>
        </w:rPr>
        <w:t>where applicable</w:t>
      </w:r>
      <w:r w:rsidRPr="009A1DDF">
        <w:rPr>
          <w:noProof/>
        </w:rPr>
        <w:t>, the transport operator or the European Electronic Toll Service (EETS) provider, is unable to provide evidence of the emission class of the vehicle for the purposes of Article 7g(2), Article 7ga</w:t>
      </w:r>
      <w:r w:rsidR="00017EA4">
        <w:rPr>
          <w:noProof/>
        </w:rPr>
        <w:t xml:space="preserve"> </w:t>
      </w:r>
      <w:r w:rsidR="0034060D">
        <w:rPr>
          <w:noProof/>
        </w:rPr>
        <w:t>and</w:t>
      </w:r>
      <w:r w:rsidRPr="009A1DDF">
        <w:rPr>
          <w:noProof/>
        </w:rPr>
        <w:t xml:space="preserve"> Article 7gb</w:t>
      </w:r>
      <w:r w:rsidR="005E2340">
        <w:rPr>
          <w:noProof/>
        </w:rPr>
        <w:t>,</w:t>
      </w:r>
      <w:r w:rsidRPr="009A1DDF">
        <w:rPr>
          <w:noProof/>
        </w:rPr>
        <w:t xml:space="preserve"> Member States may apply tolls or user charges up to the highest level chargeable.</w:t>
      </w:r>
      <w:r>
        <w:rPr>
          <w:noProof/>
        </w:rPr>
        <w:t xml:space="preserve"> Where a </w:t>
      </w:r>
      <w:r w:rsidRPr="00A259FC">
        <w:rPr>
          <w:noProof/>
        </w:rPr>
        <w:t xml:space="preserve">driver or, </w:t>
      </w:r>
      <w:r w:rsidR="004E6151">
        <w:rPr>
          <w:noProof/>
        </w:rPr>
        <w:t>where applicable</w:t>
      </w:r>
      <w:r w:rsidRPr="00A259FC">
        <w:rPr>
          <w:noProof/>
        </w:rPr>
        <w:t>, the transport operator or the European Electronic Toll Service (EETS) provider, is unable to provide evidence of the</w:t>
      </w:r>
      <w:r>
        <w:rPr>
          <w:noProof/>
        </w:rPr>
        <w:t xml:space="preserve"> </w:t>
      </w:r>
      <w:r w:rsidRPr="009A1DDF">
        <w:rPr>
          <w:noProof/>
        </w:rPr>
        <w:t xml:space="preserve">emission class of the vehicle </w:t>
      </w:r>
      <w:r>
        <w:rPr>
          <w:noProof/>
        </w:rPr>
        <w:t xml:space="preserve">combination for the purposes of Article 7gc, </w:t>
      </w:r>
      <w:r w:rsidRPr="009A1DDF">
        <w:rPr>
          <w:noProof/>
        </w:rPr>
        <w:t xml:space="preserve">Member </w:t>
      </w:r>
      <w:r w:rsidRPr="00B809D9">
        <w:rPr>
          <w:noProof/>
          <w:szCs w:val="24"/>
        </w:rPr>
        <w:t>States may apply tolls or user charges on the basis of the emission class of the motor vehicle.’;</w:t>
      </w:r>
    </w:p>
    <w:p w14:paraId="46CA8861" w14:textId="5D561C15" w:rsidR="001E5BC5" w:rsidRPr="00B809D9" w:rsidRDefault="000B6083" w:rsidP="000B6083">
      <w:pPr>
        <w:pStyle w:val="Point0"/>
        <w:rPr>
          <w:noProof/>
        </w:rPr>
      </w:pPr>
      <w:r w:rsidRPr="000B6083">
        <w:t>(5)</w:t>
      </w:r>
      <w:r w:rsidRPr="000B6083">
        <w:tab/>
      </w:r>
      <w:r w:rsidR="00097C50" w:rsidRPr="00B809D9">
        <w:rPr>
          <w:noProof/>
        </w:rPr>
        <w:t xml:space="preserve">In </w:t>
      </w:r>
      <w:r w:rsidR="001E5BC5" w:rsidRPr="00B809D9">
        <w:rPr>
          <w:noProof/>
        </w:rPr>
        <w:t>Article 9d</w:t>
      </w:r>
      <w:r w:rsidR="00097C50" w:rsidRPr="00B809D9">
        <w:rPr>
          <w:noProof/>
        </w:rPr>
        <w:t>, the first subparagraph</w:t>
      </w:r>
      <w:r w:rsidR="001E5BC5" w:rsidRPr="00B809D9">
        <w:rPr>
          <w:noProof/>
        </w:rPr>
        <w:t xml:space="preserve"> is replaced by the following:</w:t>
      </w:r>
    </w:p>
    <w:p w14:paraId="62DEC036" w14:textId="77777777" w:rsidR="001E5BC5" w:rsidRPr="00B809D9" w:rsidRDefault="001E5BC5" w:rsidP="000E5A32">
      <w:pPr>
        <w:ind w:left="850"/>
        <w:rPr>
          <w:noProof/>
          <w:szCs w:val="24"/>
        </w:rPr>
      </w:pPr>
      <w:r w:rsidRPr="00B809D9">
        <w:rPr>
          <w:noProof/>
          <w:szCs w:val="24"/>
        </w:rPr>
        <w:t xml:space="preserve">‘The Commission is empowered to adopt delegated acts in accordance with Article 9e to amend this Directive in respect of Annex 0, the formulas in points 4.1 and 4.2 of Annex IIIa, the amounts indicated in the </w:t>
      </w:r>
      <w:r w:rsidR="00A968C5" w:rsidRPr="00B809D9">
        <w:rPr>
          <w:noProof/>
          <w:szCs w:val="24"/>
        </w:rPr>
        <w:t>t</w:t>
      </w:r>
      <w:r w:rsidRPr="00B809D9">
        <w:rPr>
          <w:noProof/>
          <w:szCs w:val="24"/>
        </w:rPr>
        <w:t>ables of Annexes IIIb and IIIc in order to adapt them to scientific and technical progress</w:t>
      </w:r>
      <w:r w:rsidR="00176002" w:rsidRPr="00B809D9">
        <w:rPr>
          <w:noProof/>
          <w:szCs w:val="24"/>
        </w:rPr>
        <w:t>, and the</w:t>
      </w:r>
      <w:r w:rsidR="00CF7623" w:rsidRPr="00B809D9">
        <w:rPr>
          <w:noProof/>
          <w:szCs w:val="24"/>
        </w:rPr>
        <w:t xml:space="preserve"> efficiency ratio thresholds indicated in</w:t>
      </w:r>
      <w:r w:rsidR="00176002" w:rsidRPr="00B809D9">
        <w:rPr>
          <w:noProof/>
          <w:szCs w:val="24"/>
        </w:rPr>
        <w:t xml:space="preserve"> table in Annex VIII in order </w:t>
      </w:r>
      <w:r w:rsidR="00CF7623" w:rsidRPr="00B809D9">
        <w:rPr>
          <w:noProof/>
          <w:szCs w:val="24"/>
        </w:rPr>
        <w:t>to determine them or to adjust them to reflect technical progress</w:t>
      </w:r>
      <w:r w:rsidRPr="00B809D9">
        <w:rPr>
          <w:noProof/>
          <w:szCs w:val="24"/>
        </w:rPr>
        <w:t>.’;</w:t>
      </w:r>
    </w:p>
    <w:p w14:paraId="1680C2B1" w14:textId="1F85713E" w:rsidR="001E5BC5" w:rsidRPr="00B809D9" w:rsidRDefault="000B6083" w:rsidP="000B6083">
      <w:pPr>
        <w:pStyle w:val="Point0"/>
        <w:rPr>
          <w:noProof/>
        </w:rPr>
      </w:pPr>
      <w:r w:rsidRPr="000B6083">
        <w:t>(6)</w:t>
      </w:r>
      <w:r w:rsidRPr="000B6083">
        <w:tab/>
      </w:r>
      <w:r w:rsidR="00097C50" w:rsidRPr="00B809D9">
        <w:rPr>
          <w:noProof/>
        </w:rPr>
        <w:t xml:space="preserve">In </w:t>
      </w:r>
      <w:r w:rsidR="001E5BC5" w:rsidRPr="00B809D9">
        <w:rPr>
          <w:noProof/>
        </w:rPr>
        <w:t>Article 11</w:t>
      </w:r>
      <w:r w:rsidR="00097C50" w:rsidRPr="00B809D9">
        <w:rPr>
          <w:noProof/>
        </w:rPr>
        <w:t>, point c</w:t>
      </w:r>
      <w:r w:rsidR="001E5BC5" w:rsidRPr="00B809D9">
        <w:rPr>
          <w:noProof/>
        </w:rPr>
        <w:t xml:space="preserve"> is replaced by the following:</w:t>
      </w:r>
    </w:p>
    <w:p w14:paraId="64B9C96E" w14:textId="77777777" w:rsidR="001E5BC5" w:rsidRPr="00B809D9" w:rsidRDefault="001E5BC5" w:rsidP="000E5A32">
      <w:pPr>
        <w:ind w:left="850"/>
        <w:rPr>
          <w:noProof/>
          <w:szCs w:val="24"/>
          <w:lang w:val="en-US"/>
        </w:rPr>
      </w:pPr>
      <w:r w:rsidRPr="00B809D9">
        <w:rPr>
          <w:noProof/>
          <w:szCs w:val="24"/>
        </w:rPr>
        <w:t>‘(c) the variation of infrastructure charges or user charges according to the environmental performance of vehicles, pursuant to Article 7g, 7ga, 7gb or 7gc;</w:t>
      </w:r>
      <w:r w:rsidR="005E2340" w:rsidRPr="00B809D9">
        <w:rPr>
          <w:noProof/>
          <w:szCs w:val="24"/>
        </w:rPr>
        <w:t>’</w:t>
      </w:r>
      <w:r w:rsidR="00503B9B" w:rsidRPr="00B809D9">
        <w:rPr>
          <w:noProof/>
          <w:szCs w:val="24"/>
        </w:rPr>
        <w:t>;</w:t>
      </w:r>
    </w:p>
    <w:p w14:paraId="46716597" w14:textId="4EF81D36" w:rsidR="001E5BC5" w:rsidRPr="00B809D9" w:rsidRDefault="000B6083" w:rsidP="000B6083">
      <w:pPr>
        <w:pStyle w:val="Point0"/>
        <w:rPr>
          <w:noProof/>
          <w:lang w:val="en-US"/>
        </w:rPr>
      </w:pPr>
      <w:r w:rsidRPr="000B6083">
        <w:t>(7)</w:t>
      </w:r>
      <w:r w:rsidRPr="000B6083">
        <w:tab/>
      </w:r>
      <w:r w:rsidR="00833FC1" w:rsidRPr="00B809D9">
        <w:rPr>
          <w:noProof/>
          <w:lang w:val="en-US"/>
        </w:rPr>
        <w:t xml:space="preserve">the text in </w:t>
      </w:r>
      <w:r w:rsidR="005460BC" w:rsidRPr="00B809D9">
        <w:rPr>
          <w:noProof/>
          <w:lang w:val="en-US"/>
        </w:rPr>
        <w:t xml:space="preserve">the </w:t>
      </w:r>
      <w:r w:rsidR="00833FC1" w:rsidRPr="00B809D9">
        <w:rPr>
          <w:noProof/>
          <w:lang w:val="en-US"/>
        </w:rPr>
        <w:t xml:space="preserve">Annex to this </w:t>
      </w:r>
      <w:r w:rsidR="005460BC" w:rsidRPr="00B809D9">
        <w:rPr>
          <w:noProof/>
          <w:lang w:val="en-US"/>
        </w:rPr>
        <w:t xml:space="preserve">Directive </w:t>
      </w:r>
      <w:r w:rsidR="00833FC1" w:rsidRPr="00B809D9">
        <w:rPr>
          <w:noProof/>
          <w:lang w:val="en-US"/>
        </w:rPr>
        <w:t>is added as Annex VIII.</w:t>
      </w:r>
    </w:p>
    <w:p w14:paraId="07532986" w14:textId="77777777" w:rsidR="001E5BC5" w:rsidRPr="009A1DDF" w:rsidRDefault="001E5BC5" w:rsidP="001E5BC5">
      <w:pPr>
        <w:rPr>
          <w:i/>
          <w:iCs/>
          <w:noProof/>
          <w:sz w:val="22"/>
          <w:lang w:val="en-US"/>
        </w:rPr>
      </w:pPr>
    </w:p>
    <w:p w14:paraId="1C6CC117" w14:textId="77777777" w:rsidR="001E5BC5" w:rsidRPr="009A1DDF" w:rsidRDefault="001E5BC5" w:rsidP="001E5BC5">
      <w:pPr>
        <w:jc w:val="center"/>
        <w:rPr>
          <w:i/>
          <w:iCs/>
          <w:noProof/>
          <w:sz w:val="22"/>
          <w:lang w:val="en-US"/>
        </w:rPr>
      </w:pPr>
      <w:r w:rsidRPr="009A1DDF">
        <w:rPr>
          <w:i/>
          <w:iCs/>
          <w:noProof/>
          <w:sz w:val="22"/>
          <w:lang w:val="en-US"/>
        </w:rPr>
        <w:t>Article </w:t>
      </w:r>
      <w:r>
        <w:rPr>
          <w:i/>
          <w:iCs/>
          <w:noProof/>
          <w:sz w:val="22"/>
          <w:lang w:val="en-US"/>
        </w:rPr>
        <w:t>2</w:t>
      </w:r>
    </w:p>
    <w:p w14:paraId="133846CE" w14:textId="77777777" w:rsidR="001E5BC5" w:rsidRPr="009A1DDF" w:rsidRDefault="001E5BC5" w:rsidP="001E5BC5">
      <w:pPr>
        <w:jc w:val="center"/>
        <w:rPr>
          <w:b/>
          <w:bCs/>
          <w:noProof/>
          <w:sz w:val="22"/>
          <w:lang w:val="en-US"/>
        </w:rPr>
      </w:pPr>
      <w:r w:rsidRPr="009A1DDF">
        <w:rPr>
          <w:b/>
          <w:bCs/>
          <w:noProof/>
          <w:sz w:val="22"/>
          <w:lang w:val="en-US"/>
        </w:rPr>
        <w:t>Amendment to Directive (EU) 2019/520</w:t>
      </w:r>
    </w:p>
    <w:p w14:paraId="71011032" w14:textId="77777777" w:rsidR="001E5BC5" w:rsidRPr="009A1DDF" w:rsidRDefault="001E5BC5" w:rsidP="001E5BC5">
      <w:pPr>
        <w:rPr>
          <w:noProof/>
          <w:sz w:val="22"/>
          <w:lang w:val="en-US"/>
        </w:rPr>
      </w:pPr>
      <w:r w:rsidRPr="009A1DDF">
        <w:rPr>
          <w:noProof/>
          <w:sz w:val="22"/>
          <w:lang w:val="en-US"/>
        </w:rPr>
        <w:t>In Annex I to Directive (EU) 2019/520, Part I is replaced by the following:</w:t>
      </w:r>
    </w:p>
    <w:p w14:paraId="50D73351" w14:textId="77777777" w:rsidR="001E5BC5" w:rsidRPr="009A1DDF" w:rsidRDefault="001E5BC5" w:rsidP="001E5BC5">
      <w:pPr>
        <w:rPr>
          <w:b/>
          <w:bCs/>
          <w:noProof/>
          <w:sz w:val="22"/>
          <w:lang w:val="en-US"/>
        </w:rPr>
      </w:pPr>
      <w:r w:rsidRPr="009A1DDF">
        <w:rPr>
          <w:b/>
          <w:bCs/>
          <w:noProof/>
          <w:sz w:val="22"/>
          <w:lang w:val="en-US"/>
        </w:rPr>
        <w:t>‘Part I. Data relating to vehicles</w:t>
      </w:r>
    </w:p>
    <w:tbl>
      <w:tblPr>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5460"/>
        <w:gridCol w:w="644"/>
        <w:gridCol w:w="2985"/>
      </w:tblGrid>
      <w:tr w:rsidR="001E5BC5" w:rsidRPr="009A1DDF" w14:paraId="3931C761"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AD88CA8" w14:textId="77777777" w:rsidR="001E5BC5" w:rsidRPr="009A1DDF" w:rsidRDefault="001E5BC5" w:rsidP="00A92ADB">
            <w:pPr>
              <w:rPr>
                <w:b/>
                <w:bCs/>
                <w:noProof/>
                <w:sz w:val="22"/>
                <w:lang w:val="en-US"/>
              </w:rPr>
            </w:pPr>
            <w:r w:rsidRPr="009A1DDF">
              <w:rPr>
                <w:b/>
                <w:bCs/>
                <w:noProof/>
                <w:sz w:val="22"/>
                <w:lang w:val="en-US"/>
              </w:rPr>
              <w:t>Item</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1098E7E5" w14:textId="77777777" w:rsidR="001E5BC5" w:rsidRPr="009A1DDF" w:rsidRDefault="001E5BC5" w:rsidP="00A92ADB">
            <w:pPr>
              <w:rPr>
                <w:b/>
                <w:bCs/>
                <w:noProof/>
                <w:sz w:val="22"/>
                <w:lang w:val="en-US"/>
              </w:rPr>
            </w:pPr>
            <w:r w:rsidRPr="009A1DDF">
              <w:rPr>
                <w:b/>
                <w:bCs/>
                <w:noProof/>
                <w:sz w:val="22"/>
                <w:lang w:val="en-US"/>
              </w:rPr>
              <w:t>M/O</w:t>
            </w:r>
            <w:r w:rsidRPr="009A1DDF">
              <w:rPr>
                <w:b/>
                <w:bCs/>
                <w:noProof/>
                <w:sz w:val="22"/>
                <w:vertAlign w:val="superscript"/>
                <w:lang w:val="en-US"/>
              </w:rPr>
              <w:t>(1)</w:t>
            </w:r>
            <w:r w:rsidRPr="009A1DDF" w:rsidDel="009A1DDF">
              <w:rPr>
                <w:rStyle w:val="FootnoteReference"/>
                <w:b/>
                <w:bCs/>
                <w:noProof/>
                <w:sz w:val="22"/>
                <w:lang w:val="en-US"/>
              </w:rPr>
              <w:t xml:space="preserve"> </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5504EE2B" w14:textId="77777777" w:rsidR="001E5BC5" w:rsidRPr="009A1DDF" w:rsidRDefault="001E5BC5" w:rsidP="00A92ADB">
            <w:pPr>
              <w:rPr>
                <w:b/>
                <w:bCs/>
                <w:noProof/>
                <w:sz w:val="22"/>
                <w:lang w:val="en-US"/>
              </w:rPr>
            </w:pPr>
            <w:r w:rsidRPr="009A1DDF">
              <w:rPr>
                <w:b/>
                <w:bCs/>
                <w:noProof/>
                <w:sz w:val="22"/>
                <w:lang w:val="en-US"/>
              </w:rPr>
              <w:t>Remarks</w:t>
            </w:r>
          </w:p>
        </w:tc>
      </w:tr>
      <w:tr w:rsidR="001E5BC5" w:rsidRPr="009A1DDF" w14:paraId="5C2C302F"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5BAB352" w14:textId="77777777" w:rsidR="001E5BC5" w:rsidRPr="009A1DDF" w:rsidRDefault="001E5BC5" w:rsidP="00A92ADB">
            <w:pPr>
              <w:rPr>
                <w:noProof/>
                <w:sz w:val="22"/>
                <w:lang w:val="en-US"/>
              </w:rPr>
            </w:pPr>
            <w:r w:rsidRPr="009A1DDF">
              <w:rPr>
                <w:noProof/>
                <w:sz w:val="22"/>
                <w:lang w:val="en-US"/>
              </w:rPr>
              <w:t>Registration number</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267E3DE3" w14:textId="77777777" w:rsidR="001E5BC5" w:rsidRPr="009A1DDF" w:rsidRDefault="001E5BC5" w:rsidP="00A92ADB">
            <w:pPr>
              <w:rPr>
                <w:noProof/>
                <w:sz w:val="22"/>
                <w:lang w:val="en-US"/>
              </w:rPr>
            </w:pPr>
            <w:r w:rsidRPr="009A1DDF">
              <w:rPr>
                <w:noProof/>
                <w:sz w:val="22"/>
                <w:lang w:val="en-US"/>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5418F2EC" w14:textId="77777777" w:rsidR="001E5BC5" w:rsidRPr="009A1DDF" w:rsidRDefault="001E5BC5" w:rsidP="00A92ADB">
            <w:pPr>
              <w:rPr>
                <w:noProof/>
                <w:sz w:val="22"/>
                <w:lang w:val="en-US"/>
              </w:rPr>
            </w:pPr>
            <w:r w:rsidRPr="009A1DDF">
              <w:rPr>
                <w:noProof/>
                <w:sz w:val="22"/>
                <w:lang w:val="en-US"/>
              </w:rPr>
              <w:t> </w:t>
            </w:r>
          </w:p>
        </w:tc>
      </w:tr>
      <w:tr w:rsidR="001E5BC5" w:rsidRPr="009A1DDF" w14:paraId="7241E9A9"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6415CDC" w14:textId="77777777" w:rsidR="001E5BC5" w:rsidRPr="009A1DDF" w:rsidRDefault="001E5BC5" w:rsidP="00A92ADB">
            <w:pPr>
              <w:rPr>
                <w:noProof/>
                <w:sz w:val="22"/>
                <w:lang w:val="en-US"/>
              </w:rPr>
            </w:pPr>
            <w:r w:rsidRPr="009A1DDF">
              <w:rPr>
                <w:noProof/>
                <w:sz w:val="22"/>
                <w:lang w:val="en-US"/>
              </w:rPr>
              <w:t>Chassis number/Vehicle identification number (VIN)</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349418F9" w14:textId="77777777" w:rsidR="001E5BC5" w:rsidRPr="009A1DDF" w:rsidRDefault="001E5BC5" w:rsidP="00A92ADB">
            <w:pPr>
              <w:rPr>
                <w:noProof/>
                <w:sz w:val="22"/>
                <w:lang w:val="en-US"/>
              </w:rPr>
            </w:pPr>
            <w:r w:rsidRPr="009A1DDF">
              <w:rPr>
                <w:noProof/>
                <w:sz w:val="22"/>
                <w:lang w:val="en-US"/>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308ED303" w14:textId="77777777" w:rsidR="001E5BC5" w:rsidRPr="009A1DDF" w:rsidRDefault="001E5BC5" w:rsidP="00A92ADB">
            <w:pPr>
              <w:rPr>
                <w:noProof/>
                <w:sz w:val="22"/>
                <w:lang w:val="en-US"/>
              </w:rPr>
            </w:pPr>
            <w:r w:rsidRPr="009A1DDF">
              <w:rPr>
                <w:noProof/>
                <w:sz w:val="22"/>
                <w:lang w:val="en-US"/>
              </w:rPr>
              <w:t> </w:t>
            </w:r>
          </w:p>
        </w:tc>
      </w:tr>
      <w:tr w:rsidR="001E5BC5" w:rsidRPr="009A1DDF" w14:paraId="18445E58"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65ADF4D9" w14:textId="77777777" w:rsidR="001E5BC5" w:rsidRPr="009A1DDF" w:rsidRDefault="001E5BC5" w:rsidP="00A92ADB">
            <w:pPr>
              <w:rPr>
                <w:noProof/>
                <w:sz w:val="22"/>
                <w:lang w:val="en-US"/>
              </w:rPr>
            </w:pPr>
            <w:r w:rsidRPr="009A1DDF">
              <w:rPr>
                <w:noProof/>
                <w:sz w:val="22"/>
                <w:lang w:val="en-US"/>
              </w:rPr>
              <w:t>Member State of registration</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D971DCB" w14:textId="77777777" w:rsidR="001E5BC5" w:rsidRPr="009A1DDF" w:rsidRDefault="001E5BC5" w:rsidP="00A92ADB">
            <w:pPr>
              <w:rPr>
                <w:noProof/>
                <w:sz w:val="22"/>
                <w:lang w:val="en-US"/>
              </w:rPr>
            </w:pPr>
            <w:r w:rsidRPr="009A1DDF">
              <w:rPr>
                <w:noProof/>
                <w:sz w:val="22"/>
                <w:lang w:val="en-US"/>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095EE358" w14:textId="77777777" w:rsidR="001E5BC5" w:rsidRPr="009A1DDF" w:rsidRDefault="001E5BC5" w:rsidP="00A92ADB">
            <w:pPr>
              <w:rPr>
                <w:noProof/>
                <w:sz w:val="22"/>
                <w:lang w:val="en-US"/>
              </w:rPr>
            </w:pPr>
            <w:r w:rsidRPr="009A1DDF">
              <w:rPr>
                <w:noProof/>
                <w:sz w:val="22"/>
                <w:lang w:val="en-US"/>
              </w:rPr>
              <w:t> </w:t>
            </w:r>
          </w:p>
        </w:tc>
      </w:tr>
      <w:tr w:rsidR="001E5BC5" w:rsidRPr="008D11E0" w14:paraId="0071C2F6"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1E4125D" w14:textId="77777777" w:rsidR="001E5BC5" w:rsidRPr="009A1DDF" w:rsidRDefault="001E5BC5" w:rsidP="00A92ADB">
            <w:pPr>
              <w:rPr>
                <w:noProof/>
                <w:sz w:val="22"/>
                <w:lang w:val="en-US"/>
              </w:rPr>
            </w:pPr>
            <w:r w:rsidRPr="009A1DDF">
              <w:rPr>
                <w:noProof/>
                <w:sz w:val="22"/>
                <w:lang w:val="en-US"/>
              </w:rPr>
              <w:t>Make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75A13CB1" w14:textId="77777777" w:rsidR="001E5BC5" w:rsidRPr="009A1DDF" w:rsidRDefault="001E5BC5" w:rsidP="00A92ADB">
            <w:pPr>
              <w:rPr>
                <w:noProof/>
                <w:sz w:val="22"/>
                <w:lang w:val="en-US"/>
              </w:rPr>
            </w:pPr>
            <w:r w:rsidRPr="009A1DDF">
              <w:rPr>
                <w:noProof/>
                <w:sz w:val="22"/>
                <w:lang w:val="en-US"/>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45A25A5F" w14:textId="77777777" w:rsidR="001E5BC5" w:rsidRPr="008D11E0" w:rsidRDefault="001E5BC5" w:rsidP="00A92ADB">
            <w:pPr>
              <w:rPr>
                <w:noProof/>
                <w:sz w:val="22"/>
                <w:lang w:val="nn-NO"/>
              </w:rPr>
            </w:pPr>
            <w:r w:rsidRPr="008D11E0">
              <w:rPr>
                <w:noProof/>
                <w:sz w:val="22"/>
                <w:lang w:val="nn-NO"/>
              </w:rPr>
              <w:t>(D.1</w:t>
            </w:r>
            <w:r w:rsidRPr="008D11E0">
              <w:rPr>
                <w:noProof/>
                <w:sz w:val="22"/>
                <w:vertAlign w:val="superscript"/>
                <w:lang w:val="nn-NO"/>
              </w:rPr>
              <w:t>(2)</w:t>
            </w:r>
            <w:r w:rsidRPr="008D11E0">
              <w:rPr>
                <w:noProof/>
                <w:sz w:val="22"/>
                <w:lang w:val="nn-NO"/>
              </w:rPr>
              <w:t>) e.g. Ford, Opel, Renault</w:t>
            </w:r>
          </w:p>
        </w:tc>
      </w:tr>
      <w:tr w:rsidR="001E5BC5" w:rsidRPr="00FB0084" w14:paraId="1191BFB9"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2750FFAE" w14:textId="77777777" w:rsidR="001E5BC5" w:rsidRPr="009A1DDF" w:rsidRDefault="001E5BC5" w:rsidP="00A92ADB">
            <w:pPr>
              <w:rPr>
                <w:noProof/>
                <w:sz w:val="22"/>
                <w:lang w:val="en-US"/>
              </w:rPr>
            </w:pPr>
            <w:r w:rsidRPr="009A1DDF">
              <w:rPr>
                <w:noProof/>
                <w:sz w:val="22"/>
                <w:lang w:val="en-US"/>
              </w:rPr>
              <w:t>Commercial type of the vehicle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696D8569" w14:textId="77777777" w:rsidR="001E5BC5" w:rsidRPr="009A1DDF" w:rsidRDefault="001E5BC5" w:rsidP="00A92ADB">
            <w:pPr>
              <w:rPr>
                <w:noProof/>
                <w:sz w:val="22"/>
                <w:lang w:val="en-US"/>
              </w:rPr>
            </w:pPr>
            <w:r w:rsidRPr="009A1DDF">
              <w:rPr>
                <w:noProof/>
                <w:sz w:val="22"/>
                <w:lang w:val="en-US"/>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29A3F243" w14:textId="77777777" w:rsidR="001E5BC5" w:rsidRPr="00D1329E" w:rsidRDefault="001E5BC5" w:rsidP="00A92ADB">
            <w:pPr>
              <w:rPr>
                <w:noProof/>
                <w:sz w:val="22"/>
                <w:lang w:val="it-IT"/>
              </w:rPr>
            </w:pPr>
            <w:r w:rsidRPr="00D1329E">
              <w:rPr>
                <w:noProof/>
                <w:sz w:val="22"/>
                <w:lang w:val="it-IT"/>
              </w:rPr>
              <w:t>(D.3) e.g. Focus, Astra, Megane</w:t>
            </w:r>
          </w:p>
        </w:tc>
      </w:tr>
      <w:tr w:rsidR="001E5BC5" w:rsidRPr="009A1DDF" w14:paraId="4FCFC609"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F74C558" w14:textId="77777777" w:rsidR="001E5BC5" w:rsidRPr="009A1DDF" w:rsidRDefault="001E5BC5" w:rsidP="00A92ADB">
            <w:pPr>
              <w:rPr>
                <w:noProof/>
                <w:sz w:val="22"/>
                <w:lang w:val="en-US"/>
              </w:rPr>
            </w:pPr>
            <w:r w:rsidRPr="009A1DDF">
              <w:rPr>
                <w:noProof/>
                <w:sz w:val="22"/>
                <w:lang w:val="en-US"/>
              </w:rPr>
              <w:t>EU Category Code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DC39017" w14:textId="77777777" w:rsidR="001E5BC5" w:rsidRPr="009A1DDF" w:rsidRDefault="001E5BC5" w:rsidP="00A92ADB">
            <w:pPr>
              <w:rPr>
                <w:noProof/>
                <w:sz w:val="22"/>
                <w:lang w:val="en-US"/>
              </w:rPr>
            </w:pPr>
            <w:r w:rsidRPr="009A1DDF">
              <w:rPr>
                <w:noProof/>
                <w:sz w:val="22"/>
                <w:lang w:val="en-US"/>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327BBB5E" w14:textId="77777777" w:rsidR="001E5BC5" w:rsidRPr="009A1DDF" w:rsidRDefault="001E5BC5" w:rsidP="00A92ADB">
            <w:pPr>
              <w:rPr>
                <w:noProof/>
                <w:sz w:val="22"/>
                <w:lang w:val="en-US"/>
              </w:rPr>
            </w:pPr>
            <w:r w:rsidRPr="009A1DDF">
              <w:rPr>
                <w:noProof/>
                <w:sz w:val="22"/>
                <w:lang w:val="en-US"/>
              </w:rPr>
              <w:t>(J) e.g. mopeds, motorbikes, cars</w:t>
            </w:r>
          </w:p>
        </w:tc>
      </w:tr>
      <w:tr w:rsidR="001E5BC5" w:rsidRPr="009A1DDF" w14:paraId="62A9005F"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70ED2CA5" w14:textId="77777777" w:rsidR="001E5BC5" w:rsidRPr="009A1DDF" w:rsidRDefault="001E5BC5" w:rsidP="00A92ADB">
            <w:pPr>
              <w:rPr>
                <w:noProof/>
                <w:sz w:val="22"/>
                <w:lang w:val="en-US"/>
              </w:rPr>
            </w:pPr>
            <w:r w:rsidRPr="009A1DDF">
              <w:rPr>
                <w:noProof/>
                <w:sz w:val="22"/>
                <w:lang w:val="en-US"/>
              </w:rPr>
              <w:t>Euro emissions class</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5D6ACED" w14:textId="77777777" w:rsidR="001E5BC5" w:rsidRPr="009A1DDF" w:rsidRDefault="001E5BC5" w:rsidP="00A92ADB">
            <w:pPr>
              <w:rPr>
                <w:noProof/>
                <w:sz w:val="22"/>
                <w:lang w:val="en-US"/>
              </w:rPr>
            </w:pPr>
            <w:r w:rsidRPr="009A1DDF">
              <w:rPr>
                <w:noProof/>
                <w:sz w:val="22"/>
                <w:lang w:val="en-US"/>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27B4EB06" w14:textId="77777777" w:rsidR="001E5BC5" w:rsidRPr="009A1DDF" w:rsidRDefault="001E5BC5" w:rsidP="00A92ADB">
            <w:pPr>
              <w:rPr>
                <w:noProof/>
                <w:sz w:val="22"/>
                <w:lang w:val="en-US"/>
              </w:rPr>
            </w:pPr>
            <w:r w:rsidRPr="009A1DDF">
              <w:rPr>
                <w:noProof/>
                <w:sz w:val="22"/>
                <w:lang w:val="en-US"/>
              </w:rPr>
              <w:t>e.g. Euro 4, Euro 6</w:t>
            </w:r>
          </w:p>
        </w:tc>
      </w:tr>
      <w:tr w:rsidR="001E5BC5" w:rsidRPr="009A1DDF" w14:paraId="7C098EDB"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08802963" w14:textId="77777777" w:rsidR="001E5BC5" w:rsidRPr="009A1DDF" w:rsidRDefault="001E5BC5" w:rsidP="00A92ADB">
            <w:pPr>
              <w:rPr>
                <w:noProof/>
                <w:sz w:val="22"/>
                <w:lang w:val="en-US"/>
              </w:rPr>
            </w:pPr>
            <w:r w:rsidRPr="009A1DDF">
              <w:rPr>
                <w:noProof/>
                <w:sz w:val="22"/>
                <w:lang w:val="en-US"/>
              </w:rPr>
              <w:t>CO</w:t>
            </w:r>
            <w:r w:rsidRPr="009A1DDF">
              <w:rPr>
                <w:noProof/>
                <w:sz w:val="22"/>
                <w:vertAlign w:val="subscript"/>
                <w:lang w:val="en-US"/>
              </w:rPr>
              <w:t>2</w:t>
            </w:r>
            <w:r w:rsidRPr="009A1DDF">
              <w:rPr>
                <w:noProof/>
                <w:sz w:val="22"/>
                <w:lang w:val="en-US"/>
              </w:rPr>
              <w:t> emission class</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37C06B85" w14:textId="77777777" w:rsidR="001E5BC5" w:rsidRPr="009A1DDF" w:rsidRDefault="001E5BC5" w:rsidP="00A92ADB">
            <w:pPr>
              <w:rPr>
                <w:noProof/>
                <w:sz w:val="22"/>
                <w:lang w:val="en-US"/>
              </w:rPr>
            </w:pPr>
            <w:r w:rsidRPr="009A1DDF">
              <w:rPr>
                <w:noProof/>
                <w:sz w:val="22"/>
                <w:lang w:val="en-US"/>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6BE99BC4" w14:textId="77777777" w:rsidR="001E5BC5" w:rsidRPr="009A1DDF" w:rsidRDefault="001E5BC5" w:rsidP="00A92ADB">
            <w:pPr>
              <w:rPr>
                <w:noProof/>
                <w:sz w:val="22"/>
                <w:lang w:val="en-US"/>
              </w:rPr>
            </w:pPr>
            <w:r w:rsidRPr="009A1DDF">
              <w:rPr>
                <w:noProof/>
                <w:sz w:val="22"/>
                <w:lang w:val="en-US"/>
              </w:rPr>
              <w:t>applicable to heavy-duty vehicles</w:t>
            </w:r>
          </w:p>
        </w:tc>
      </w:tr>
      <w:tr w:rsidR="001E5BC5" w:rsidRPr="009A1DDF" w14:paraId="18C4658E"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15BA740D" w14:textId="77777777" w:rsidR="001E5BC5" w:rsidRPr="009A1DDF" w:rsidRDefault="001E5BC5" w:rsidP="00A92ADB">
            <w:pPr>
              <w:rPr>
                <w:noProof/>
                <w:sz w:val="22"/>
                <w:lang w:val="en-US"/>
              </w:rPr>
            </w:pPr>
            <w:r w:rsidRPr="009A1DDF">
              <w:rPr>
                <w:noProof/>
                <w:sz w:val="22"/>
                <w:lang w:val="en-US"/>
              </w:rPr>
              <w:t>Date of reclassification</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2D02E061" w14:textId="77777777" w:rsidR="001E5BC5" w:rsidRPr="009A1DDF" w:rsidRDefault="001E5BC5" w:rsidP="00A92ADB">
            <w:pPr>
              <w:rPr>
                <w:noProof/>
                <w:sz w:val="22"/>
                <w:lang w:val="en-US"/>
              </w:rPr>
            </w:pPr>
            <w:r w:rsidRPr="009A1DDF">
              <w:rPr>
                <w:noProof/>
                <w:sz w:val="22"/>
                <w:lang w:val="en-US"/>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6266B1EB" w14:textId="77777777" w:rsidR="001E5BC5" w:rsidRPr="009A1DDF" w:rsidRDefault="001E5BC5" w:rsidP="00A92ADB">
            <w:pPr>
              <w:rPr>
                <w:noProof/>
                <w:sz w:val="22"/>
                <w:lang w:val="en-US"/>
              </w:rPr>
            </w:pPr>
            <w:r w:rsidRPr="009A1DDF">
              <w:rPr>
                <w:noProof/>
                <w:sz w:val="22"/>
                <w:lang w:val="en-US"/>
              </w:rPr>
              <w:t>applicable to heavy-duty vehicles</w:t>
            </w:r>
          </w:p>
        </w:tc>
      </w:tr>
      <w:tr w:rsidR="001E5BC5" w:rsidRPr="009A1DDF" w14:paraId="55DF64F2"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4178C29E" w14:textId="77777777" w:rsidR="001E5BC5" w:rsidRPr="009A1DDF" w:rsidRDefault="001E5BC5" w:rsidP="00A92ADB">
            <w:pPr>
              <w:rPr>
                <w:noProof/>
                <w:sz w:val="22"/>
                <w:lang w:val="en-US"/>
              </w:rPr>
            </w:pPr>
            <w:r w:rsidRPr="009A1DDF">
              <w:rPr>
                <w:noProof/>
                <w:sz w:val="22"/>
                <w:lang w:val="en-US"/>
              </w:rPr>
              <w:t>CO</w:t>
            </w:r>
            <w:r w:rsidRPr="009A1DDF">
              <w:rPr>
                <w:noProof/>
                <w:sz w:val="22"/>
                <w:vertAlign w:val="subscript"/>
                <w:lang w:val="en-US"/>
              </w:rPr>
              <w:t>2</w:t>
            </w:r>
            <w:r w:rsidRPr="009A1DDF">
              <w:rPr>
                <w:noProof/>
                <w:sz w:val="22"/>
                <w:lang w:val="en-US"/>
              </w:rPr>
              <w:t> in g/tkm</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50CEEC8E" w14:textId="77777777" w:rsidR="001E5BC5" w:rsidRPr="009A1DDF" w:rsidRDefault="001E5BC5" w:rsidP="00A92ADB">
            <w:pPr>
              <w:rPr>
                <w:noProof/>
                <w:sz w:val="22"/>
                <w:lang w:val="en-US"/>
              </w:rPr>
            </w:pPr>
            <w:r w:rsidRPr="009A1DDF">
              <w:rPr>
                <w:noProof/>
                <w:sz w:val="22"/>
                <w:lang w:val="en-US"/>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2D55F687" w14:textId="77777777" w:rsidR="001E5BC5" w:rsidRPr="009A1DDF" w:rsidRDefault="001E5BC5" w:rsidP="00A92ADB">
            <w:pPr>
              <w:rPr>
                <w:noProof/>
                <w:sz w:val="22"/>
                <w:lang w:val="en-US"/>
              </w:rPr>
            </w:pPr>
            <w:r w:rsidRPr="009A1DDF">
              <w:rPr>
                <w:noProof/>
                <w:sz w:val="22"/>
                <w:lang w:val="en-US"/>
              </w:rPr>
              <w:t>applicable to heavy-duty vehicles</w:t>
            </w:r>
          </w:p>
        </w:tc>
      </w:tr>
      <w:tr w:rsidR="001E5BC5" w:rsidRPr="009A1DDF" w14:paraId="4F606C71"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763071D3" w14:textId="77777777" w:rsidR="001E5BC5" w:rsidRPr="00E37416" w:rsidRDefault="001E5BC5" w:rsidP="00A92ADB">
            <w:pPr>
              <w:tabs>
                <w:tab w:val="num" w:pos="850"/>
              </w:tabs>
              <w:rPr>
                <w:noProof/>
                <w:sz w:val="22"/>
              </w:rPr>
            </w:pPr>
            <w:r w:rsidRPr="0000154D">
              <w:rPr>
                <w:noProof/>
                <w:sz w:val="22"/>
              </w:rPr>
              <w:t>Volume orientation: yes/no</w:t>
            </w:r>
          </w:p>
        </w:tc>
        <w:tc>
          <w:tcPr>
            <w:tcW w:w="354" w:type="pct"/>
            <w:tcBorders>
              <w:top w:val="single" w:sz="6" w:space="0" w:color="000000"/>
              <w:left w:val="single" w:sz="6" w:space="0" w:color="000000"/>
              <w:bottom w:val="single" w:sz="6" w:space="0" w:color="000000"/>
              <w:right w:val="single" w:sz="6" w:space="0" w:color="000000"/>
            </w:tcBorders>
            <w:shd w:val="clear" w:color="auto" w:fill="auto"/>
          </w:tcPr>
          <w:p w14:paraId="3B8BAAA8" w14:textId="77777777" w:rsidR="001E5BC5" w:rsidRPr="00E37416" w:rsidRDefault="001E5BC5" w:rsidP="00A92ADB">
            <w:pPr>
              <w:rPr>
                <w:noProof/>
                <w:sz w:val="22"/>
                <w:lang w:val="en-US"/>
              </w:rPr>
            </w:pPr>
            <w:r>
              <w:rPr>
                <w:noProof/>
                <w:sz w:val="22"/>
                <w:lang w:val="en-US"/>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tcPr>
          <w:p w14:paraId="781EC45F" w14:textId="77777777" w:rsidR="001E5BC5" w:rsidRPr="00E37416" w:rsidRDefault="001E5BC5" w:rsidP="00A92ADB">
            <w:pPr>
              <w:rPr>
                <w:noProof/>
                <w:sz w:val="22"/>
                <w:lang w:val="en-US"/>
              </w:rPr>
            </w:pPr>
            <w:r w:rsidRPr="0000154D">
              <w:rPr>
                <w:noProof/>
                <w:sz w:val="22"/>
                <w:lang w:val="en-US"/>
              </w:rPr>
              <w:t>applicable to trailers</w:t>
            </w:r>
          </w:p>
        </w:tc>
      </w:tr>
      <w:tr w:rsidR="001E5BC5" w:rsidRPr="009A1DDF" w14:paraId="6292A18C"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412D15AD" w14:textId="77777777" w:rsidR="001E5BC5" w:rsidRPr="00E37416" w:rsidRDefault="001E5BC5" w:rsidP="00A92ADB">
            <w:pPr>
              <w:tabs>
                <w:tab w:val="num" w:pos="850"/>
              </w:tabs>
              <w:rPr>
                <w:noProof/>
                <w:sz w:val="22"/>
              </w:rPr>
            </w:pPr>
            <w:r w:rsidRPr="00E37416">
              <w:rPr>
                <w:noProof/>
                <w:sz w:val="22"/>
              </w:rPr>
              <w:t>Efficiency ratio – ton-kilometre based (-)...</w:t>
            </w:r>
          </w:p>
        </w:tc>
        <w:tc>
          <w:tcPr>
            <w:tcW w:w="354" w:type="pct"/>
            <w:tcBorders>
              <w:top w:val="single" w:sz="6" w:space="0" w:color="000000"/>
              <w:left w:val="single" w:sz="6" w:space="0" w:color="000000"/>
              <w:bottom w:val="single" w:sz="6" w:space="0" w:color="000000"/>
              <w:right w:val="single" w:sz="6" w:space="0" w:color="000000"/>
            </w:tcBorders>
            <w:shd w:val="clear" w:color="auto" w:fill="auto"/>
          </w:tcPr>
          <w:p w14:paraId="79A55387" w14:textId="77777777" w:rsidR="001E5BC5" w:rsidRPr="00E37416" w:rsidRDefault="001E5BC5" w:rsidP="00A92ADB">
            <w:pPr>
              <w:rPr>
                <w:noProof/>
                <w:sz w:val="22"/>
                <w:lang w:val="en-US"/>
              </w:rPr>
            </w:pPr>
            <w:r w:rsidRPr="00E37416">
              <w:rPr>
                <w:noProof/>
                <w:sz w:val="22"/>
                <w:lang w:val="en-US"/>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tcPr>
          <w:p w14:paraId="56825F66" w14:textId="77777777" w:rsidR="001E5BC5" w:rsidRPr="00E37416" w:rsidRDefault="001E5BC5" w:rsidP="00A92ADB">
            <w:pPr>
              <w:rPr>
                <w:noProof/>
                <w:sz w:val="22"/>
                <w:lang w:val="en-US"/>
              </w:rPr>
            </w:pPr>
            <w:r w:rsidRPr="00E37416">
              <w:rPr>
                <w:noProof/>
                <w:sz w:val="22"/>
                <w:lang w:val="en-US"/>
              </w:rPr>
              <w:t>applicable to trailers</w:t>
            </w:r>
          </w:p>
        </w:tc>
      </w:tr>
      <w:tr w:rsidR="001E5BC5" w:rsidRPr="009A1DDF" w14:paraId="417C1641"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tcPr>
          <w:p w14:paraId="2E4C5B5E" w14:textId="77777777" w:rsidR="001E5BC5" w:rsidRPr="00E37416" w:rsidRDefault="001E5BC5" w:rsidP="00A92ADB">
            <w:pPr>
              <w:tabs>
                <w:tab w:val="num" w:pos="850"/>
              </w:tabs>
              <w:rPr>
                <w:noProof/>
                <w:sz w:val="22"/>
              </w:rPr>
            </w:pPr>
            <w:r w:rsidRPr="00E37416">
              <w:rPr>
                <w:noProof/>
                <w:sz w:val="22"/>
              </w:rPr>
              <w:t>Efficiency ratio – m³-kilometre based (-)...</w:t>
            </w:r>
          </w:p>
        </w:tc>
        <w:tc>
          <w:tcPr>
            <w:tcW w:w="354" w:type="pct"/>
            <w:tcBorders>
              <w:top w:val="single" w:sz="6" w:space="0" w:color="000000"/>
              <w:left w:val="single" w:sz="6" w:space="0" w:color="000000"/>
              <w:bottom w:val="single" w:sz="6" w:space="0" w:color="000000"/>
              <w:right w:val="single" w:sz="6" w:space="0" w:color="000000"/>
            </w:tcBorders>
            <w:shd w:val="clear" w:color="auto" w:fill="auto"/>
          </w:tcPr>
          <w:p w14:paraId="4259E104" w14:textId="77777777" w:rsidR="001E5BC5" w:rsidRPr="00E37416" w:rsidRDefault="001E5BC5" w:rsidP="00A92ADB">
            <w:pPr>
              <w:rPr>
                <w:noProof/>
                <w:sz w:val="22"/>
                <w:lang w:val="en-US"/>
              </w:rPr>
            </w:pPr>
            <w:r w:rsidRPr="00E37416">
              <w:rPr>
                <w:noProof/>
                <w:sz w:val="22"/>
                <w:lang w:val="en-US"/>
              </w:rPr>
              <w:t>O</w:t>
            </w:r>
          </w:p>
        </w:tc>
        <w:tc>
          <w:tcPr>
            <w:tcW w:w="1642" w:type="pct"/>
            <w:tcBorders>
              <w:top w:val="single" w:sz="6" w:space="0" w:color="000000"/>
              <w:left w:val="single" w:sz="6" w:space="0" w:color="000000"/>
              <w:bottom w:val="single" w:sz="6" w:space="0" w:color="000000"/>
              <w:right w:val="single" w:sz="6" w:space="0" w:color="000000"/>
            </w:tcBorders>
            <w:shd w:val="clear" w:color="auto" w:fill="auto"/>
          </w:tcPr>
          <w:p w14:paraId="0D1A3551" w14:textId="77777777" w:rsidR="001E5BC5" w:rsidRPr="00E37416" w:rsidRDefault="001E5BC5" w:rsidP="00A92ADB">
            <w:pPr>
              <w:rPr>
                <w:noProof/>
                <w:sz w:val="22"/>
                <w:lang w:val="en-US"/>
              </w:rPr>
            </w:pPr>
            <w:r w:rsidRPr="00E37416">
              <w:rPr>
                <w:noProof/>
                <w:sz w:val="22"/>
                <w:lang w:val="en-US"/>
              </w:rPr>
              <w:t>applicable to trailers</w:t>
            </w:r>
          </w:p>
        </w:tc>
      </w:tr>
      <w:tr w:rsidR="001E5BC5" w:rsidRPr="009A1DDF" w14:paraId="0ACF412C" w14:textId="77777777" w:rsidTr="00A92ADB">
        <w:tc>
          <w:tcPr>
            <w:tcW w:w="0" w:type="auto"/>
            <w:tcBorders>
              <w:top w:val="single" w:sz="6" w:space="0" w:color="000000"/>
              <w:left w:val="single" w:sz="6" w:space="0" w:color="000000"/>
              <w:bottom w:val="single" w:sz="6" w:space="0" w:color="000000"/>
              <w:right w:val="single" w:sz="6" w:space="0" w:color="000000"/>
            </w:tcBorders>
            <w:shd w:val="clear" w:color="auto" w:fill="auto"/>
            <w:hideMark/>
          </w:tcPr>
          <w:p w14:paraId="506E8D6F" w14:textId="77777777" w:rsidR="001E5BC5" w:rsidRPr="009A1DDF" w:rsidRDefault="001E5BC5" w:rsidP="00A92ADB">
            <w:pPr>
              <w:rPr>
                <w:noProof/>
                <w:sz w:val="22"/>
                <w:lang w:val="en-US"/>
              </w:rPr>
            </w:pPr>
            <w:r w:rsidRPr="009A1DDF">
              <w:rPr>
                <w:noProof/>
                <w:sz w:val="22"/>
                <w:lang w:val="en-US"/>
              </w:rPr>
              <w:t>Technically permissible maximum laden mass of the vehicle</w:t>
            </w:r>
          </w:p>
        </w:tc>
        <w:tc>
          <w:tcPr>
            <w:tcW w:w="354" w:type="pct"/>
            <w:tcBorders>
              <w:top w:val="single" w:sz="6" w:space="0" w:color="000000"/>
              <w:left w:val="single" w:sz="6" w:space="0" w:color="000000"/>
              <w:bottom w:val="single" w:sz="6" w:space="0" w:color="000000"/>
              <w:right w:val="single" w:sz="6" w:space="0" w:color="000000"/>
            </w:tcBorders>
            <w:shd w:val="clear" w:color="auto" w:fill="auto"/>
            <w:hideMark/>
          </w:tcPr>
          <w:p w14:paraId="3C34C2A7" w14:textId="77777777" w:rsidR="001E5BC5" w:rsidRPr="009A1DDF" w:rsidRDefault="001E5BC5" w:rsidP="00A92ADB">
            <w:pPr>
              <w:rPr>
                <w:noProof/>
                <w:sz w:val="22"/>
                <w:lang w:val="en-US"/>
              </w:rPr>
            </w:pPr>
            <w:r w:rsidRPr="009A1DDF">
              <w:rPr>
                <w:noProof/>
                <w:sz w:val="22"/>
                <w:lang w:val="en-US"/>
              </w:rPr>
              <w:t>M</w:t>
            </w:r>
          </w:p>
        </w:tc>
        <w:tc>
          <w:tcPr>
            <w:tcW w:w="1642" w:type="pct"/>
            <w:tcBorders>
              <w:top w:val="single" w:sz="6" w:space="0" w:color="000000"/>
              <w:left w:val="single" w:sz="6" w:space="0" w:color="000000"/>
              <w:bottom w:val="single" w:sz="6" w:space="0" w:color="000000"/>
              <w:right w:val="single" w:sz="6" w:space="0" w:color="000000"/>
            </w:tcBorders>
            <w:shd w:val="clear" w:color="auto" w:fill="auto"/>
            <w:hideMark/>
          </w:tcPr>
          <w:p w14:paraId="4F1C46A7" w14:textId="77777777" w:rsidR="001E5BC5" w:rsidRPr="009A1DDF" w:rsidRDefault="001E5BC5" w:rsidP="00A92ADB">
            <w:pPr>
              <w:rPr>
                <w:noProof/>
                <w:sz w:val="22"/>
                <w:lang w:val="en-US"/>
              </w:rPr>
            </w:pPr>
            <w:r w:rsidRPr="009A1DDF">
              <w:rPr>
                <w:noProof/>
                <w:sz w:val="22"/>
                <w:lang w:val="en-US"/>
              </w:rPr>
              <w:t> </w:t>
            </w:r>
          </w:p>
        </w:tc>
      </w:tr>
      <w:tr w:rsidR="001E5BC5" w:rsidRPr="009A1DDF" w14:paraId="24309603" w14:textId="77777777" w:rsidTr="00A92ADB">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Pr>
          <w:p w14:paraId="4C03F9EB" w14:textId="77777777" w:rsidR="001E5BC5" w:rsidRPr="009A1DDF" w:rsidRDefault="001E5BC5" w:rsidP="00A92ADB">
            <w:pPr>
              <w:spacing w:before="0" w:after="0"/>
              <w:jc w:val="center"/>
              <w:rPr>
                <w:noProof/>
                <w:sz w:val="22"/>
                <w:lang w:val="en-US"/>
              </w:rPr>
            </w:pPr>
            <w:r w:rsidRPr="009A1DDF">
              <w:rPr>
                <w:noProof/>
                <w:sz w:val="22"/>
                <w:lang w:val="en-US"/>
              </w:rPr>
              <w:t>(1)</w:t>
            </w:r>
          </w:p>
          <w:p w14:paraId="4F978A68" w14:textId="77777777" w:rsidR="001E5BC5" w:rsidRPr="009A1DDF" w:rsidRDefault="001E5BC5" w:rsidP="00A92ADB">
            <w:pPr>
              <w:spacing w:before="0" w:after="0"/>
              <w:jc w:val="center"/>
              <w:rPr>
                <w:noProof/>
                <w:sz w:val="22"/>
                <w:lang w:val="en-US"/>
              </w:rPr>
            </w:pPr>
            <w:r w:rsidRPr="009A1DDF">
              <w:rPr>
                <w:noProof/>
                <w:sz w:val="22"/>
                <w:lang w:val="en-US"/>
              </w:rPr>
              <w:t>M = mandatory when available in national register, O = optional.</w:t>
            </w:r>
          </w:p>
          <w:p w14:paraId="03A5900D" w14:textId="77777777" w:rsidR="001E5BC5" w:rsidRPr="009A1DDF" w:rsidRDefault="001E5BC5" w:rsidP="00A92ADB">
            <w:pPr>
              <w:spacing w:before="0" w:after="0"/>
              <w:jc w:val="center"/>
              <w:rPr>
                <w:noProof/>
                <w:sz w:val="22"/>
                <w:lang w:val="en-US"/>
              </w:rPr>
            </w:pPr>
            <w:r w:rsidRPr="009A1DDF">
              <w:rPr>
                <w:noProof/>
                <w:sz w:val="22"/>
                <w:lang w:val="en-US"/>
              </w:rPr>
              <w:t>(2)</w:t>
            </w:r>
          </w:p>
          <w:p w14:paraId="0193F527" w14:textId="77777777" w:rsidR="001E5BC5" w:rsidRPr="009A1DDF" w:rsidRDefault="001E5BC5" w:rsidP="00A92ADB">
            <w:pPr>
              <w:spacing w:before="0" w:after="0"/>
              <w:jc w:val="center"/>
              <w:rPr>
                <w:noProof/>
                <w:sz w:val="22"/>
                <w:lang w:val="en-US"/>
              </w:rPr>
            </w:pPr>
            <w:r w:rsidRPr="009A1DDF">
              <w:rPr>
                <w:noProof/>
                <w:sz w:val="22"/>
                <w:lang w:val="en-US"/>
              </w:rPr>
              <w:t>Harmonised Union code, see Directive 1999/37/EC.</w:t>
            </w:r>
          </w:p>
        </w:tc>
      </w:tr>
    </w:tbl>
    <w:p w14:paraId="76F7B772" w14:textId="77777777" w:rsidR="001E5BC5" w:rsidRPr="009A1DDF" w:rsidRDefault="001E5BC5" w:rsidP="001E5BC5">
      <w:pPr>
        <w:rPr>
          <w:i/>
          <w:iCs/>
          <w:noProof/>
          <w:sz w:val="22"/>
        </w:rPr>
      </w:pPr>
    </w:p>
    <w:p w14:paraId="18458B43" w14:textId="77777777" w:rsidR="001E5BC5" w:rsidRPr="009A1DDF" w:rsidRDefault="001E5BC5" w:rsidP="001E5BC5">
      <w:pPr>
        <w:jc w:val="center"/>
        <w:rPr>
          <w:i/>
          <w:iCs/>
          <w:noProof/>
          <w:sz w:val="22"/>
          <w:lang w:val="en-US"/>
        </w:rPr>
      </w:pPr>
      <w:r>
        <w:rPr>
          <w:i/>
          <w:iCs/>
          <w:noProof/>
          <w:sz w:val="22"/>
          <w:lang w:val="en-US"/>
        </w:rPr>
        <w:t>Article 3</w:t>
      </w:r>
    </w:p>
    <w:p w14:paraId="3EFC485B" w14:textId="77777777" w:rsidR="001E5BC5" w:rsidRPr="009A1DDF" w:rsidRDefault="001E5BC5" w:rsidP="001E5BC5">
      <w:pPr>
        <w:jc w:val="center"/>
        <w:rPr>
          <w:b/>
          <w:bCs/>
          <w:noProof/>
          <w:sz w:val="22"/>
          <w:lang w:val="en-US"/>
        </w:rPr>
      </w:pPr>
      <w:r w:rsidRPr="009A1DDF">
        <w:rPr>
          <w:b/>
          <w:bCs/>
          <w:noProof/>
          <w:sz w:val="22"/>
          <w:lang w:val="en-US"/>
        </w:rPr>
        <w:t>Amendment to Directive 1999/37/EC</w:t>
      </w:r>
    </w:p>
    <w:p w14:paraId="6F709BAE" w14:textId="77777777" w:rsidR="001E5BC5" w:rsidRPr="009A1DDF" w:rsidRDefault="001E5BC5" w:rsidP="001E5BC5">
      <w:pPr>
        <w:rPr>
          <w:noProof/>
          <w:sz w:val="22"/>
          <w:lang w:val="en-US"/>
        </w:rPr>
      </w:pPr>
      <w:r w:rsidRPr="009A1DDF">
        <w:rPr>
          <w:noProof/>
          <w:sz w:val="22"/>
          <w:lang w:val="en-US"/>
        </w:rPr>
        <w:t>In Annex I to Directive 1999/37/EC</w:t>
      </w:r>
      <w:r w:rsidR="001916A4">
        <w:rPr>
          <w:noProof/>
          <w:sz w:val="22"/>
          <w:lang w:val="en-US"/>
        </w:rPr>
        <w:t>, in</w:t>
      </w:r>
      <w:r w:rsidR="00A968C5">
        <w:rPr>
          <w:noProof/>
          <w:sz w:val="22"/>
          <w:lang w:val="en-US"/>
        </w:rPr>
        <w:t xml:space="preserve"> point</w:t>
      </w:r>
      <w:r w:rsidR="001916A4">
        <w:rPr>
          <w:noProof/>
          <w:sz w:val="22"/>
          <w:lang w:val="en-US"/>
        </w:rPr>
        <w:t xml:space="preserve"> (V) exhaust emissions</w:t>
      </w:r>
      <w:r w:rsidRPr="009A1DDF">
        <w:rPr>
          <w:noProof/>
          <w:sz w:val="22"/>
          <w:lang w:val="en-US"/>
        </w:rPr>
        <w:t>, the following point</w:t>
      </w:r>
      <w:r w:rsidR="00F124C3">
        <w:rPr>
          <w:noProof/>
          <w:sz w:val="22"/>
          <w:lang w:val="en-US"/>
        </w:rPr>
        <w:t xml:space="preserve">s are </w:t>
      </w:r>
      <w:r w:rsidRPr="009A1DDF">
        <w:rPr>
          <w:noProof/>
          <w:sz w:val="22"/>
          <w:lang w:val="en-US"/>
        </w:rPr>
        <w:t>added:</w:t>
      </w:r>
    </w:p>
    <w:p w14:paraId="4E114D22" w14:textId="77777777" w:rsidR="00F124C3" w:rsidRDefault="001E5BC5" w:rsidP="001E5BC5">
      <w:pPr>
        <w:pStyle w:val="ListParagraph"/>
        <w:rPr>
          <w:noProof/>
          <w:sz w:val="22"/>
          <w:lang w:val="en-US"/>
        </w:rPr>
      </w:pPr>
      <w:r w:rsidRPr="009A1DDF">
        <w:rPr>
          <w:noProof/>
          <w:sz w:val="22"/>
          <w:lang w:val="en-US"/>
        </w:rPr>
        <w:t>‘(V.11) Efficiency ratio</w:t>
      </w:r>
      <w:r w:rsidR="00756DF5">
        <w:rPr>
          <w:noProof/>
          <w:sz w:val="22"/>
          <w:lang w:val="en-US"/>
        </w:rPr>
        <w:t xml:space="preserve">: </w:t>
      </w:r>
    </w:p>
    <w:p w14:paraId="08C8F2FD" w14:textId="77777777" w:rsidR="003C616C" w:rsidRDefault="00756DF5" w:rsidP="003B5E53">
      <w:pPr>
        <w:pStyle w:val="Tiret0"/>
        <w:numPr>
          <w:ilvl w:val="0"/>
          <w:numId w:val="12"/>
        </w:numPr>
        <w:rPr>
          <w:noProof/>
        </w:rPr>
      </w:pPr>
      <w:r>
        <w:rPr>
          <w:noProof/>
        </w:rPr>
        <w:t>F</w:t>
      </w:r>
      <w:r w:rsidRPr="009A1DDF">
        <w:rPr>
          <w:noProof/>
        </w:rPr>
        <w:t>or</w:t>
      </w:r>
      <w:r>
        <w:rPr>
          <w:noProof/>
        </w:rPr>
        <w:t xml:space="preserve"> non</w:t>
      </w:r>
      <w:r w:rsidRPr="009A1DDF">
        <w:rPr>
          <w:noProof/>
        </w:rPr>
        <w:t xml:space="preserve">-volume-oriented </w:t>
      </w:r>
      <w:r>
        <w:rPr>
          <w:noProof/>
        </w:rPr>
        <w:t>trailers</w:t>
      </w:r>
      <w:r w:rsidRPr="009A1DDF">
        <w:rPr>
          <w:noProof/>
        </w:rPr>
        <w:t xml:space="preserve">, </w:t>
      </w:r>
      <w:r w:rsidRPr="00756DF5">
        <w:rPr>
          <w:noProof/>
        </w:rPr>
        <w:t>efficiency ratio</w:t>
      </w:r>
      <w:r w:rsidR="00DA1FB7">
        <w:rPr>
          <w:noProof/>
        </w:rPr>
        <w:t xml:space="preserve"> </w:t>
      </w:r>
      <w:r w:rsidR="00DA1FB7" w:rsidRPr="00756DF5">
        <w:rPr>
          <w:noProof/>
        </w:rPr>
        <w:t>–</w:t>
      </w:r>
      <w:r w:rsidR="00DA1FB7">
        <w:rPr>
          <w:noProof/>
        </w:rPr>
        <w:t xml:space="preserve"> </w:t>
      </w:r>
      <w:r w:rsidR="003D368F">
        <w:rPr>
          <w:noProof/>
          <w:lang w:val="en-US"/>
        </w:rPr>
        <w:t xml:space="preserve">ton-kilometre </w:t>
      </w:r>
      <w:r w:rsidR="001E5BC5">
        <w:rPr>
          <w:noProof/>
          <w:lang w:val="en-US"/>
        </w:rPr>
        <w:t>where indicated at position 49.11.2</w:t>
      </w:r>
      <w:r w:rsidR="001E5BC5" w:rsidRPr="00136703">
        <w:rPr>
          <w:noProof/>
          <w:lang w:val="en-US"/>
        </w:rPr>
        <w:t xml:space="preserve"> of the </w:t>
      </w:r>
      <w:r w:rsidR="001E5BC5">
        <w:rPr>
          <w:noProof/>
          <w:lang w:val="en-US"/>
        </w:rPr>
        <w:t>c</w:t>
      </w:r>
      <w:r w:rsidR="001E5BC5" w:rsidRPr="00136703">
        <w:rPr>
          <w:noProof/>
          <w:lang w:val="en-US"/>
        </w:rPr>
        <w:t xml:space="preserve">ertificate of </w:t>
      </w:r>
      <w:r w:rsidR="001E5BC5">
        <w:rPr>
          <w:noProof/>
          <w:lang w:val="en-US"/>
        </w:rPr>
        <w:t>c</w:t>
      </w:r>
      <w:r w:rsidR="001E5BC5" w:rsidRPr="00136703">
        <w:rPr>
          <w:noProof/>
          <w:lang w:val="en-US"/>
        </w:rPr>
        <w:t>onformity defined in the Appendix to Annex VIII to Commission Implementing Regulation (EU) 2020/683</w:t>
      </w:r>
      <w:r w:rsidR="001916A4">
        <w:rPr>
          <w:noProof/>
          <w:lang w:val="en-US"/>
        </w:rPr>
        <w:t xml:space="preserve">* </w:t>
      </w:r>
      <w:r w:rsidR="001E5BC5">
        <w:rPr>
          <w:noProof/>
          <w:lang w:val="en-US"/>
        </w:rPr>
        <w:t xml:space="preserve">or </w:t>
      </w:r>
      <w:r w:rsidR="003D368F">
        <w:rPr>
          <w:noProof/>
          <w:lang w:val="en-US"/>
        </w:rPr>
        <w:t>at</w:t>
      </w:r>
      <w:r w:rsidR="001E5BC5">
        <w:rPr>
          <w:noProof/>
          <w:lang w:val="en-US"/>
        </w:rPr>
        <w:t xml:space="preserve"> position </w:t>
      </w:r>
      <w:r w:rsidR="001E5BC5" w:rsidRPr="004122DA">
        <w:rPr>
          <w:noProof/>
          <w:lang w:val="en-US"/>
        </w:rPr>
        <w:t>49.</w:t>
      </w:r>
      <w:r w:rsidR="001E5BC5">
        <w:rPr>
          <w:noProof/>
          <w:lang w:val="en-US"/>
        </w:rPr>
        <w:t>11.2</w:t>
      </w:r>
      <w:r w:rsidR="001E5BC5" w:rsidRPr="004122DA">
        <w:rPr>
          <w:noProof/>
          <w:lang w:val="en-US"/>
        </w:rPr>
        <w:t xml:space="preserve"> of the individual vehicle approval certificate defined in Appendix 1 to Annex III to that Regulation</w:t>
      </w:r>
      <w:r w:rsidR="001E5BC5">
        <w:rPr>
          <w:noProof/>
        </w:rPr>
        <w:t xml:space="preserve">. </w:t>
      </w:r>
    </w:p>
    <w:p w14:paraId="201E7B06" w14:textId="77777777" w:rsidR="003C616C" w:rsidRDefault="001E5BC5" w:rsidP="00B01B42">
      <w:pPr>
        <w:pStyle w:val="Tiret0"/>
        <w:rPr>
          <w:noProof/>
        </w:rPr>
      </w:pPr>
      <w:r>
        <w:rPr>
          <w:noProof/>
        </w:rPr>
        <w:t>F</w:t>
      </w:r>
      <w:r w:rsidRPr="009A1DDF">
        <w:rPr>
          <w:noProof/>
        </w:rPr>
        <w:t xml:space="preserve">or volume-oriented </w:t>
      </w:r>
      <w:r w:rsidR="00FF75DE">
        <w:rPr>
          <w:noProof/>
        </w:rPr>
        <w:t>trailers</w:t>
      </w:r>
      <w:r w:rsidRPr="009A1DDF">
        <w:rPr>
          <w:noProof/>
        </w:rPr>
        <w:t xml:space="preserve">, </w:t>
      </w:r>
      <w:r>
        <w:rPr>
          <w:noProof/>
        </w:rPr>
        <w:t xml:space="preserve">efficiency ratio </w:t>
      </w:r>
      <w:r w:rsidR="00756DF5" w:rsidRPr="00756DF5">
        <w:rPr>
          <w:noProof/>
        </w:rPr>
        <w:t>–</w:t>
      </w:r>
      <w:r w:rsidR="00756DF5">
        <w:rPr>
          <w:noProof/>
        </w:rPr>
        <w:t xml:space="preserve"> </w:t>
      </w:r>
      <w:r>
        <w:rPr>
          <w:noProof/>
        </w:rPr>
        <w:t>m</w:t>
      </w:r>
      <w:r w:rsidRPr="00090625">
        <w:rPr>
          <w:noProof/>
          <w:vertAlign w:val="superscript"/>
        </w:rPr>
        <w:t>3</w:t>
      </w:r>
      <w:r w:rsidR="00756DF5" w:rsidRPr="009D5169">
        <w:rPr>
          <w:noProof/>
        </w:rPr>
        <w:t xml:space="preserve">-kilometre </w:t>
      </w:r>
      <w:r>
        <w:rPr>
          <w:noProof/>
        </w:rPr>
        <w:t xml:space="preserve">based </w:t>
      </w:r>
      <w:r>
        <w:rPr>
          <w:noProof/>
          <w:lang w:val="en-US"/>
        </w:rPr>
        <w:t>where indicated at position 49.11.3</w:t>
      </w:r>
      <w:r w:rsidRPr="00136703">
        <w:rPr>
          <w:noProof/>
          <w:lang w:val="en-US"/>
        </w:rPr>
        <w:t xml:space="preserve"> of the </w:t>
      </w:r>
      <w:r>
        <w:rPr>
          <w:noProof/>
          <w:lang w:val="en-US"/>
        </w:rPr>
        <w:t>c</w:t>
      </w:r>
      <w:r w:rsidRPr="00136703">
        <w:rPr>
          <w:noProof/>
          <w:lang w:val="en-US"/>
        </w:rPr>
        <w:t xml:space="preserve">ertificate of </w:t>
      </w:r>
      <w:r>
        <w:rPr>
          <w:noProof/>
          <w:lang w:val="en-US"/>
        </w:rPr>
        <w:t>c</w:t>
      </w:r>
      <w:r w:rsidRPr="00136703">
        <w:rPr>
          <w:noProof/>
          <w:lang w:val="en-US"/>
        </w:rPr>
        <w:t>onformity defined in the Appendix to Annex VIII to Commission Implementing Regulation (EU) 2020/68</w:t>
      </w:r>
      <w:r>
        <w:rPr>
          <w:noProof/>
          <w:lang w:val="en-US"/>
        </w:rPr>
        <w:t>3 or</w:t>
      </w:r>
      <w:r w:rsidR="00F87FA1">
        <w:rPr>
          <w:noProof/>
          <w:lang w:val="en-US"/>
        </w:rPr>
        <w:t xml:space="preserve"> at</w:t>
      </w:r>
      <w:r>
        <w:rPr>
          <w:noProof/>
          <w:lang w:val="en-US"/>
        </w:rPr>
        <w:t xml:space="preserve"> position </w:t>
      </w:r>
      <w:r w:rsidRPr="004122DA">
        <w:rPr>
          <w:noProof/>
          <w:lang w:val="en-US"/>
        </w:rPr>
        <w:t>49.</w:t>
      </w:r>
      <w:r>
        <w:rPr>
          <w:noProof/>
          <w:lang w:val="en-US"/>
        </w:rPr>
        <w:t>11.3</w:t>
      </w:r>
      <w:r w:rsidRPr="004122DA">
        <w:rPr>
          <w:noProof/>
          <w:lang w:val="en-US"/>
        </w:rPr>
        <w:t xml:space="preserve"> of the </w:t>
      </w:r>
      <w:r w:rsidRPr="009B1EA8">
        <w:rPr>
          <w:noProof/>
          <w:lang w:val="en-US"/>
        </w:rPr>
        <w:t>individual vehicle approval certificate defined in Appendix 1 to Annex III to that Regulation</w:t>
      </w:r>
      <w:r w:rsidRPr="009B1EA8">
        <w:rPr>
          <w:noProof/>
        </w:rPr>
        <w:t xml:space="preserve">. </w:t>
      </w:r>
    </w:p>
    <w:p w14:paraId="4C6267FA" w14:textId="77777777" w:rsidR="008B6360" w:rsidRDefault="001E5BC5" w:rsidP="001E5BC5">
      <w:pPr>
        <w:pStyle w:val="ListParagraph"/>
        <w:rPr>
          <w:noProof/>
          <w:sz w:val="22"/>
          <w:lang w:val="en-US"/>
        </w:rPr>
      </w:pPr>
      <w:r w:rsidRPr="009B1EA8">
        <w:rPr>
          <w:noProof/>
          <w:sz w:val="22"/>
        </w:rPr>
        <w:t xml:space="preserve">The volume orientation is indicated at position 49.10 of the </w:t>
      </w:r>
      <w:r>
        <w:rPr>
          <w:noProof/>
          <w:sz w:val="22"/>
        </w:rPr>
        <w:t>c</w:t>
      </w:r>
      <w:r w:rsidRPr="009B1EA8">
        <w:rPr>
          <w:noProof/>
          <w:sz w:val="22"/>
        </w:rPr>
        <w:t xml:space="preserve">ertificate of </w:t>
      </w:r>
      <w:r>
        <w:rPr>
          <w:noProof/>
          <w:sz w:val="22"/>
        </w:rPr>
        <w:t>c</w:t>
      </w:r>
      <w:r w:rsidRPr="009B1EA8">
        <w:rPr>
          <w:noProof/>
          <w:sz w:val="22"/>
        </w:rPr>
        <w:t xml:space="preserve">onformity of heavy-duty </w:t>
      </w:r>
      <w:r w:rsidR="00200264">
        <w:rPr>
          <w:noProof/>
          <w:sz w:val="22"/>
        </w:rPr>
        <w:t>trailers</w:t>
      </w:r>
      <w:r w:rsidR="00200264" w:rsidRPr="009B1EA8">
        <w:rPr>
          <w:noProof/>
          <w:sz w:val="22"/>
        </w:rPr>
        <w:t xml:space="preserve"> </w:t>
      </w:r>
      <w:r w:rsidRPr="009B1EA8">
        <w:rPr>
          <w:noProof/>
          <w:sz w:val="22"/>
        </w:rPr>
        <w:t>defined in the Appendix to Annex VIII to Commission Implementing Regulation (EU) 2020/683</w:t>
      </w:r>
      <w:r w:rsidRPr="009B1EA8">
        <w:rPr>
          <w:noProof/>
          <w:sz w:val="22"/>
          <w:lang w:val="en-US"/>
        </w:rPr>
        <w:t xml:space="preserve"> or </w:t>
      </w:r>
      <w:r w:rsidR="00F87FA1">
        <w:rPr>
          <w:noProof/>
          <w:sz w:val="22"/>
          <w:lang w:val="en-US"/>
        </w:rPr>
        <w:t xml:space="preserve">at </w:t>
      </w:r>
      <w:r w:rsidRPr="009B1EA8">
        <w:rPr>
          <w:noProof/>
          <w:sz w:val="22"/>
          <w:lang w:val="en-US"/>
        </w:rPr>
        <w:t>position 49.10 of the individual vehicle approval certificate defined in Appendix 1 to Annex III to that Regulation</w:t>
      </w:r>
      <w:r w:rsidR="008B6360">
        <w:rPr>
          <w:noProof/>
          <w:sz w:val="22"/>
        </w:rPr>
        <w:t>,</w:t>
      </w:r>
    </w:p>
    <w:p w14:paraId="763BB0A4" w14:textId="77777777" w:rsidR="009D3BF0" w:rsidRDefault="009D3BF0" w:rsidP="001E5BC5">
      <w:pPr>
        <w:pStyle w:val="ListParagraph"/>
        <w:rPr>
          <w:noProof/>
          <w:sz w:val="22"/>
          <w:lang w:val="en-US"/>
        </w:rPr>
      </w:pPr>
    </w:p>
    <w:p w14:paraId="6AF48713" w14:textId="77777777" w:rsidR="001916A4" w:rsidRDefault="009D3BF0" w:rsidP="001E5BC5">
      <w:pPr>
        <w:pStyle w:val="ListParagraph"/>
        <w:rPr>
          <w:noProof/>
          <w:sz w:val="22"/>
          <w:lang w:val="en-US"/>
        </w:rPr>
      </w:pPr>
      <w:r>
        <w:rPr>
          <w:noProof/>
          <w:sz w:val="22"/>
          <w:lang w:val="en-US"/>
        </w:rPr>
        <w:t>(V.12) Trailer class</w:t>
      </w:r>
      <w:r w:rsidR="006F712D">
        <w:rPr>
          <w:noProof/>
          <w:sz w:val="22"/>
          <w:lang w:val="en-US"/>
        </w:rPr>
        <w:t xml:space="preserve"> </w:t>
      </w:r>
      <w:r w:rsidR="006F712D" w:rsidRPr="006F712D">
        <w:rPr>
          <w:noProof/>
          <w:sz w:val="22"/>
          <w:lang w:val="en-US"/>
        </w:rPr>
        <w:t>determined in accordance with A</w:t>
      </w:r>
      <w:r w:rsidR="006F712D" w:rsidRPr="006F712D">
        <w:rPr>
          <w:noProof/>
          <w:sz w:val="22"/>
        </w:rPr>
        <w:t>rticle 7gc of Directive 1999/62/EC of the European Parliament and of the Council</w:t>
      </w:r>
      <w:r w:rsidR="006F712D">
        <w:rPr>
          <w:noProof/>
          <w:sz w:val="22"/>
          <w:lang w:val="en-US"/>
        </w:rPr>
        <w:t>;</w:t>
      </w:r>
    </w:p>
    <w:p w14:paraId="41EEDBB7" w14:textId="77777777" w:rsidR="001916A4" w:rsidRDefault="001916A4" w:rsidP="001E5BC5">
      <w:pPr>
        <w:pStyle w:val="ListParagraph"/>
        <w:rPr>
          <w:noProof/>
          <w:sz w:val="22"/>
          <w:lang w:val="en-US"/>
        </w:rPr>
      </w:pPr>
      <w:r>
        <w:rPr>
          <w:noProof/>
          <w:sz w:val="22"/>
          <w:lang w:val="en-US"/>
        </w:rPr>
        <w:t>___________________</w:t>
      </w:r>
    </w:p>
    <w:p w14:paraId="036FC00B" w14:textId="77777777" w:rsidR="001E5BC5" w:rsidRDefault="001916A4" w:rsidP="001E5BC5">
      <w:pPr>
        <w:pStyle w:val="ListParagraph"/>
        <w:rPr>
          <w:noProof/>
          <w:lang w:val="en-US"/>
        </w:rPr>
      </w:pPr>
      <w:r>
        <w:rPr>
          <w:noProof/>
          <w:sz w:val="22"/>
          <w:lang w:val="en-US"/>
        </w:rPr>
        <w:t xml:space="preserve">* </w:t>
      </w:r>
      <w:r w:rsidRPr="001916A4">
        <w:rPr>
          <w:noProof/>
          <w:sz w:val="22"/>
        </w:rPr>
        <w:t>Commission Implementing Regulation (EU) 2020/683 of 15 April 2020 implementing Regulation (EU) 2018/858 of the European Parliament and of the Council with regards to the administrative requirements for the approval and market surveillance of motor vehicles and their trailers, and of systems, components and separate technical units intended for such vehicles (OJ L 163, 26.5.2020, p. 1)</w:t>
      </w:r>
      <w:r w:rsidR="006F712D">
        <w:rPr>
          <w:noProof/>
          <w:sz w:val="22"/>
          <w:lang w:val="en-US"/>
        </w:rPr>
        <w:t>’</w:t>
      </w:r>
      <w:r w:rsidR="00BA425F">
        <w:rPr>
          <w:noProof/>
          <w:sz w:val="22"/>
          <w:lang w:val="en-US"/>
        </w:rPr>
        <w:t>.</w:t>
      </w:r>
    </w:p>
    <w:p w14:paraId="71272130" w14:textId="77777777" w:rsidR="001D54E7" w:rsidRPr="00177E07" w:rsidRDefault="001D54E7" w:rsidP="00A92ADB">
      <w:pPr>
        <w:pStyle w:val="Titrearticle"/>
        <w:keepLines/>
        <w:rPr>
          <w:noProof/>
        </w:rPr>
      </w:pPr>
      <w:r w:rsidRPr="00177E07">
        <w:rPr>
          <w:noProof/>
        </w:rPr>
        <w:t xml:space="preserve">Article </w:t>
      </w:r>
      <w:r w:rsidR="001E5BC5" w:rsidRPr="0012617C">
        <w:rPr>
          <w:noProof/>
        </w:rPr>
        <w:t>4</w:t>
      </w:r>
    </w:p>
    <w:p w14:paraId="05311B50" w14:textId="77777777" w:rsidR="001D54E7" w:rsidRPr="00177E07" w:rsidRDefault="001D54E7" w:rsidP="00A92ADB">
      <w:pPr>
        <w:pStyle w:val="ManualNumPar1"/>
        <w:rPr>
          <w:noProof/>
        </w:rPr>
      </w:pPr>
      <w:r w:rsidRPr="00177E07">
        <w:rPr>
          <w:noProof/>
        </w:rPr>
        <w:t>1.</w:t>
      </w:r>
      <w:r w:rsidRPr="00177E07">
        <w:rPr>
          <w:noProof/>
        </w:rPr>
        <w:tab/>
        <w:t>Member States shall bring into force the laws, regulations and administrative provisions necessary to comply with this Directive by</w:t>
      </w:r>
      <w:r w:rsidR="005B4C01" w:rsidRPr="00177E07">
        <w:rPr>
          <w:noProof/>
        </w:rPr>
        <w:t xml:space="preserve"> </w:t>
      </w:r>
      <w:r w:rsidR="005B4C01" w:rsidRPr="00177E07">
        <w:rPr>
          <w:i/>
          <w:noProof/>
        </w:rPr>
        <w:t>[</w:t>
      </w:r>
      <w:r w:rsidR="00B12768" w:rsidRPr="0012617C">
        <w:rPr>
          <w:noProof/>
        </w:rPr>
        <w:t xml:space="preserve">one </w:t>
      </w:r>
      <w:r w:rsidR="003C616C" w:rsidRPr="0012617C">
        <w:rPr>
          <w:noProof/>
        </w:rPr>
        <w:t>year from the entry into force of this Directive</w:t>
      </w:r>
      <w:r w:rsidR="005B4C01" w:rsidRPr="0012617C">
        <w:rPr>
          <w:noProof/>
        </w:rPr>
        <w:t>]</w:t>
      </w:r>
      <w:r w:rsidR="003C616C" w:rsidRPr="0012617C">
        <w:rPr>
          <w:noProof/>
        </w:rPr>
        <w:t xml:space="preserve"> </w:t>
      </w:r>
      <w:r w:rsidRPr="00177E07">
        <w:rPr>
          <w:noProof/>
        </w:rPr>
        <w:t>at the latest. They shall forthwith communicate to the Commission the text of those provisions.</w:t>
      </w:r>
    </w:p>
    <w:p w14:paraId="47F17CB1" w14:textId="77777777" w:rsidR="001D54E7" w:rsidRPr="00177E07" w:rsidRDefault="001D54E7" w:rsidP="00A92ADB">
      <w:pPr>
        <w:pStyle w:val="Text1"/>
        <w:rPr>
          <w:noProof/>
        </w:rPr>
      </w:pPr>
      <w:r w:rsidRPr="00177E07">
        <w:rPr>
          <w:noProof/>
        </w:rPr>
        <w:t>When Member States adopt those provisions, they shall contain a reference to this Directive or be accompanied by such a reference on the occasion of their official publication. Member States shall determine how such reference is to be made.</w:t>
      </w:r>
    </w:p>
    <w:p w14:paraId="164967B9" w14:textId="77777777" w:rsidR="001D54E7" w:rsidRPr="00177E07" w:rsidRDefault="001D54E7" w:rsidP="00A92ADB">
      <w:pPr>
        <w:pStyle w:val="ManualNumPar1"/>
        <w:rPr>
          <w:noProof/>
        </w:rPr>
      </w:pPr>
      <w:r w:rsidRPr="00177E07">
        <w:rPr>
          <w:noProof/>
        </w:rPr>
        <w:t>2.</w:t>
      </w:r>
      <w:r w:rsidRPr="00177E07">
        <w:rPr>
          <w:noProof/>
        </w:rPr>
        <w:tab/>
        <w:t>Member States shall communicate to the Commission the text of the main provisions of national law which they adopt in the field covered by this Directive.</w:t>
      </w:r>
    </w:p>
    <w:p w14:paraId="191CDA62" w14:textId="77777777" w:rsidR="001D54E7" w:rsidRPr="00177E07" w:rsidRDefault="001D54E7" w:rsidP="00A92ADB">
      <w:pPr>
        <w:pStyle w:val="Titrearticle"/>
        <w:rPr>
          <w:noProof/>
        </w:rPr>
      </w:pPr>
      <w:r w:rsidRPr="00177E07">
        <w:rPr>
          <w:noProof/>
        </w:rPr>
        <w:t xml:space="preserve">Article </w:t>
      </w:r>
      <w:r w:rsidR="001E5BC5" w:rsidRPr="0012617C">
        <w:rPr>
          <w:noProof/>
        </w:rPr>
        <w:t>5</w:t>
      </w:r>
    </w:p>
    <w:p w14:paraId="02F2A198" w14:textId="77777777" w:rsidR="001D54E7" w:rsidRPr="00177E07" w:rsidRDefault="001D54E7" w:rsidP="00A92ADB">
      <w:pPr>
        <w:rPr>
          <w:noProof/>
        </w:rPr>
      </w:pPr>
      <w:r w:rsidRPr="00177E07">
        <w:rPr>
          <w:noProof/>
        </w:rPr>
        <w:t xml:space="preserve">This Directive shall enter into force on the </w:t>
      </w:r>
      <w:r w:rsidRPr="0012617C">
        <w:rPr>
          <w:noProof/>
        </w:rPr>
        <w:t>twentieth</w:t>
      </w:r>
      <w:r w:rsidRPr="00177E07">
        <w:rPr>
          <w:noProof/>
        </w:rPr>
        <w:t xml:space="preserve"> day following that of its publication in the </w:t>
      </w:r>
      <w:r w:rsidRPr="00177E07">
        <w:rPr>
          <w:i/>
          <w:noProof/>
        </w:rPr>
        <w:t>Official Journal of the European Union</w:t>
      </w:r>
      <w:r w:rsidRPr="00177E07">
        <w:rPr>
          <w:noProof/>
        </w:rPr>
        <w:t>.</w:t>
      </w:r>
    </w:p>
    <w:p w14:paraId="312DFC57" w14:textId="77777777" w:rsidR="001D54E7" w:rsidRPr="00177E07" w:rsidRDefault="001D54E7" w:rsidP="00364D6B">
      <w:pPr>
        <w:pStyle w:val="Titrearticle"/>
        <w:rPr>
          <w:noProof/>
        </w:rPr>
      </w:pPr>
      <w:r w:rsidRPr="00177E07">
        <w:rPr>
          <w:noProof/>
        </w:rPr>
        <w:t xml:space="preserve">Article </w:t>
      </w:r>
      <w:r w:rsidR="001E5BC5" w:rsidRPr="0012617C">
        <w:rPr>
          <w:noProof/>
        </w:rPr>
        <w:t>6</w:t>
      </w:r>
    </w:p>
    <w:p w14:paraId="4C367152" w14:textId="77777777" w:rsidR="001D54E7" w:rsidRPr="00177E07" w:rsidRDefault="001D54E7" w:rsidP="00A92ADB">
      <w:pPr>
        <w:keepNext/>
        <w:keepLines/>
        <w:rPr>
          <w:noProof/>
        </w:rPr>
      </w:pPr>
      <w:r w:rsidRPr="00177E07">
        <w:rPr>
          <w:noProof/>
        </w:rPr>
        <w:t>This Directive is addressed to the Member States.</w:t>
      </w:r>
    </w:p>
    <w:p w14:paraId="5FA62DDB" w14:textId="67B7EC6D" w:rsidR="001D54E7" w:rsidRPr="00177E07" w:rsidRDefault="00714AEC" w:rsidP="00364D6B">
      <w:pPr>
        <w:pStyle w:val="Fait"/>
        <w:rPr>
          <w:noProof/>
        </w:rPr>
      </w:pPr>
      <w:r w:rsidRPr="00714AEC">
        <w:t>Done at Brussels,</w:t>
      </w:r>
    </w:p>
    <w:p w14:paraId="053A06F3" w14:textId="77777777" w:rsidR="001D54E7" w:rsidRPr="00177E07" w:rsidRDefault="001D54E7" w:rsidP="00364D6B">
      <w:pPr>
        <w:pStyle w:val="Institutionquisigne"/>
        <w:rPr>
          <w:noProof/>
        </w:rPr>
      </w:pPr>
      <w:r w:rsidRPr="00177E07">
        <w:rPr>
          <w:noProof/>
        </w:rPr>
        <w:t>For the European Parliament</w:t>
      </w:r>
      <w:r w:rsidRPr="00177E07">
        <w:rPr>
          <w:noProof/>
        </w:rPr>
        <w:tab/>
        <w:t>For the Council</w:t>
      </w:r>
    </w:p>
    <w:p w14:paraId="1E294A55" w14:textId="77777777" w:rsidR="001D54E7" w:rsidRPr="00177E07" w:rsidRDefault="001D54E7" w:rsidP="001D54E7">
      <w:pPr>
        <w:pStyle w:val="Personnequisigne"/>
        <w:rPr>
          <w:noProof/>
        </w:rPr>
      </w:pPr>
      <w:r w:rsidRPr="00177E07">
        <w:rPr>
          <w:noProof/>
        </w:rPr>
        <w:t>The President</w:t>
      </w:r>
      <w:r w:rsidRPr="00177E07">
        <w:rPr>
          <w:noProof/>
        </w:rPr>
        <w:tab/>
        <w:t>The President</w:t>
      </w:r>
    </w:p>
    <w:sectPr w:rsidR="001D54E7" w:rsidRPr="00177E07" w:rsidSect="00AF4524">
      <w:footnotePr>
        <w:numRestart w:val="eachSect"/>
      </w:footnote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535C8B" w14:textId="77777777" w:rsidR="008C5EB5" w:rsidRDefault="008C5EB5" w:rsidP="001D54E7">
      <w:pPr>
        <w:spacing w:before="0" w:after="0"/>
      </w:pPr>
      <w:r>
        <w:separator/>
      </w:r>
    </w:p>
  </w:endnote>
  <w:endnote w:type="continuationSeparator" w:id="0">
    <w:p w14:paraId="39427AB8" w14:textId="77777777" w:rsidR="008C5EB5" w:rsidRDefault="008C5EB5" w:rsidP="001D54E7">
      <w:pPr>
        <w:spacing w:before="0" w:after="0"/>
      </w:pPr>
      <w:r>
        <w:continuationSeparator/>
      </w:r>
    </w:p>
  </w:endnote>
  <w:endnote w:type="continuationNotice" w:id="1">
    <w:p w14:paraId="05D1EBE4" w14:textId="77777777" w:rsidR="008C5EB5" w:rsidRDefault="008C5EB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BC1E" w14:textId="77777777" w:rsidR="008D11E0" w:rsidRDefault="008D11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8D11E0" w:rsidRPr="00D94637" w14:paraId="0FD463E4" w14:textId="77777777" w:rsidTr="008D11E0">
      <w:trPr>
        <w:jc w:val="center"/>
      </w:trPr>
      <w:tc>
        <w:tcPr>
          <w:tcW w:w="5000" w:type="pct"/>
          <w:gridSpan w:val="7"/>
          <w:shd w:val="clear" w:color="auto" w:fill="auto"/>
          <w:tcMar>
            <w:top w:w="57" w:type="dxa"/>
          </w:tcMar>
        </w:tcPr>
        <w:p w14:paraId="7B9B4C8B" w14:textId="77777777" w:rsidR="008D11E0" w:rsidRPr="00D94637" w:rsidRDefault="008D11E0" w:rsidP="00D94637">
          <w:pPr>
            <w:pStyle w:val="FooterText"/>
            <w:pBdr>
              <w:top w:val="single" w:sz="4" w:space="1" w:color="auto"/>
            </w:pBdr>
            <w:spacing w:before="200"/>
            <w:rPr>
              <w:sz w:val="2"/>
              <w:szCs w:val="2"/>
            </w:rPr>
          </w:pPr>
          <w:bookmarkStart w:id="1" w:name="FOOTER_STANDARD"/>
        </w:p>
      </w:tc>
    </w:tr>
    <w:tr w:rsidR="008D11E0" w:rsidRPr="00B310DC" w14:paraId="38270DB8" w14:textId="77777777" w:rsidTr="008D11E0">
      <w:trPr>
        <w:jc w:val="center"/>
      </w:trPr>
      <w:tc>
        <w:tcPr>
          <w:tcW w:w="2500" w:type="pct"/>
          <w:gridSpan w:val="2"/>
          <w:shd w:val="clear" w:color="auto" w:fill="auto"/>
          <w:tcMar>
            <w:top w:w="0" w:type="dxa"/>
          </w:tcMar>
        </w:tcPr>
        <w:p w14:paraId="6208CAD0" w14:textId="441BCF72" w:rsidR="008D11E0" w:rsidRPr="00AD7BF2" w:rsidRDefault="008D11E0" w:rsidP="004F54B2">
          <w:pPr>
            <w:pStyle w:val="FooterText"/>
          </w:pPr>
          <w:r>
            <w:t>9056/23</w:t>
          </w:r>
          <w:r w:rsidRPr="002511D8">
            <w:t xml:space="preserve"> </w:t>
          </w:r>
        </w:p>
      </w:tc>
      <w:tc>
        <w:tcPr>
          <w:tcW w:w="625" w:type="pct"/>
          <w:shd w:val="clear" w:color="auto" w:fill="auto"/>
          <w:tcMar>
            <w:top w:w="0" w:type="dxa"/>
          </w:tcMar>
        </w:tcPr>
        <w:p w14:paraId="0659751E" w14:textId="77777777" w:rsidR="008D11E0" w:rsidRPr="00AD7BF2" w:rsidRDefault="008D11E0" w:rsidP="00D94637">
          <w:pPr>
            <w:pStyle w:val="FooterText"/>
            <w:jc w:val="center"/>
          </w:pPr>
        </w:p>
      </w:tc>
      <w:tc>
        <w:tcPr>
          <w:tcW w:w="1286" w:type="pct"/>
          <w:gridSpan w:val="3"/>
          <w:shd w:val="clear" w:color="auto" w:fill="auto"/>
          <w:tcMar>
            <w:top w:w="0" w:type="dxa"/>
          </w:tcMar>
        </w:tcPr>
        <w:p w14:paraId="30EEB46D" w14:textId="77913C1C" w:rsidR="008D11E0" w:rsidRPr="002511D8" w:rsidRDefault="008D11E0" w:rsidP="00D94637">
          <w:pPr>
            <w:pStyle w:val="FooterText"/>
            <w:jc w:val="center"/>
          </w:pPr>
          <w:r>
            <w:t>SB/el</w:t>
          </w:r>
        </w:p>
      </w:tc>
      <w:tc>
        <w:tcPr>
          <w:tcW w:w="589" w:type="pct"/>
          <w:shd w:val="clear" w:color="auto" w:fill="auto"/>
          <w:tcMar>
            <w:top w:w="0" w:type="dxa"/>
          </w:tcMar>
        </w:tcPr>
        <w:p w14:paraId="508C79BC" w14:textId="52DEAD44" w:rsidR="008D11E0" w:rsidRPr="00B310DC" w:rsidRDefault="008D11E0" w:rsidP="00D94637">
          <w:pPr>
            <w:pStyle w:val="FooterText"/>
            <w:jc w:val="right"/>
          </w:pPr>
          <w:r>
            <w:fldChar w:fldCharType="begin"/>
          </w:r>
          <w:r>
            <w:instrText xml:space="preserve"> PAGE  \* MERGEFORMAT </w:instrText>
          </w:r>
          <w:r>
            <w:fldChar w:fldCharType="separate"/>
          </w:r>
          <w:r>
            <w:rPr>
              <w:noProof/>
            </w:rPr>
            <w:t>0</w:t>
          </w:r>
          <w:r>
            <w:fldChar w:fldCharType="end"/>
          </w:r>
        </w:p>
      </w:tc>
    </w:tr>
    <w:tr w:rsidR="008D11E0" w:rsidRPr="00D94637" w14:paraId="31BAF935" w14:textId="77777777" w:rsidTr="008D11E0">
      <w:trPr>
        <w:jc w:val="center"/>
      </w:trPr>
      <w:tc>
        <w:tcPr>
          <w:tcW w:w="1774" w:type="pct"/>
          <w:shd w:val="clear" w:color="auto" w:fill="auto"/>
        </w:tcPr>
        <w:p w14:paraId="4D461F50" w14:textId="6F20240C" w:rsidR="008D11E0" w:rsidRPr="00AD7BF2" w:rsidRDefault="008D11E0" w:rsidP="00D94637">
          <w:pPr>
            <w:pStyle w:val="FooterText"/>
            <w:spacing w:before="40"/>
          </w:pPr>
        </w:p>
      </w:tc>
      <w:tc>
        <w:tcPr>
          <w:tcW w:w="1455" w:type="pct"/>
          <w:gridSpan w:val="3"/>
          <w:shd w:val="clear" w:color="auto" w:fill="auto"/>
        </w:tcPr>
        <w:p w14:paraId="162C273E" w14:textId="24F5688D" w:rsidR="008D11E0" w:rsidRPr="00AD7BF2" w:rsidRDefault="008D11E0" w:rsidP="00D204D6">
          <w:pPr>
            <w:pStyle w:val="FooterText"/>
            <w:spacing w:before="40"/>
            <w:jc w:val="center"/>
          </w:pPr>
          <w:r>
            <w:t>TREE.2.A</w:t>
          </w:r>
        </w:p>
      </w:tc>
      <w:tc>
        <w:tcPr>
          <w:tcW w:w="742" w:type="pct"/>
          <w:shd w:val="clear" w:color="auto" w:fill="auto"/>
        </w:tcPr>
        <w:p w14:paraId="36EA2D92" w14:textId="4D98BE39" w:rsidR="008D11E0" w:rsidRPr="00D94637" w:rsidRDefault="008D11E0" w:rsidP="002F0099">
          <w:pPr>
            <w:pStyle w:val="FooterText"/>
            <w:jc w:val="center"/>
            <w:rPr>
              <w:b/>
              <w:position w:val="-4"/>
              <w:sz w:val="36"/>
            </w:rPr>
          </w:pPr>
        </w:p>
      </w:tc>
      <w:tc>
        <w:tcPr>
          <w:tcW w:w="1029" w:type="pct"/>
          <w:gridSpan w:val="2"/>
          <w:shd w:val="clear" w:color="auto" w:fill="auto"/>
        </w:tcPr>
        <w:p w14:paraId="50E30EC8" w14:textId="174A34C0" w:rsidR="008D11E0" w:rsidRPr="000310C2" w:rsidRDefault="008D11E0" w:rsidP="00D94637">
          <w:pPr>
            <w:pStyle w:val="FooterText"/>
            <w:jc w:val="right"/>
            <w:rPr>
              <w:spacing w:val="-20"/>
              <w:sz w:val="16"/>
            </w:rPr>
          </w:pPr>
          <w:r>
            <w:rPr>
              <w:b/>
              <w:spacing w:val="-20"/>
              <w:position w:val="-4"/>
              <w:sz w:val="36"/>
            </w:rPr>
            <w:t>EN</w:t>
          </w:r>
        </w:p>
      </w:tc>
    </w:tr>
    <w:bookmarkEnd w:id="1"/>
  </w:tbl>
  <w:p w14:paraId="425BCE31" w14:textId="026CBC74" w:rsidR="00D70C61" w:rsidRPr="008D11E0" w:rsidRDefault="00D70C61" w:rsidP="008D11E0">
    <w:pPr>
      <w:pStyle w:val="FooterCounci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CellMar>
        <w:left w:w="0" w:type="dxa"/>
        <w:right w:w="0" w:type="dxa"/>
      </w:tblCellMar>
      <w:tblLook w:val="01E0" w:firstRow="1" w:lastRow="1" w:firstColumn="1" w:lastColumn="1" w:noHBand="0" w:noVBand="0"/>
    </w:tblPr>
    <w:tblGrid>
      <w:gridCol w:w="3421"/>
      <w:gridCol w:w="1400"/>
      <w:gridCol w:w="1205"/>
      <w:gridCol w:w="200"/>
      <w:gridCol w:w="1430"/>
      <w:gridCol w:w="848"/>
      <w:gridCol w:w="1135"/>
    </w:tblGrid>
    <w:tr w:rsidR="008D11E0" w:rsidRPr="00D94637" w14:paraId="32ABC75F" w14:textId="77777777" w:rsidTr="008D11E0">
      <w:trPr>
        <w:jc w:val="center"/>
      </w:trPr>
      <w:tc>
        <w:tcPr>
          <w:tcW w:w="5000" w:type="pct"/>
          <w:gridSpan w:val="7"/>
          <w:shd w:val="clear" w:color="auto" w:fill="auto"/>
          <w:tcMar>
            <w:top w:w="57" w:type="dxa"/>
          </w:tcMar>
        </w:tcPr>
        <w:p w14:paraId="6FBFF876" w14:textId="77777777" w:rsidR="008D11E0" w:rsidRPr="00D94637" w:rsidRDefault="008D11E0" w:rsidP="00D94637">
          <w:pPr>
            <w:pStyle w:val="FooterText"/>
            <w:pBdr>
              <w:top w:val="single" w:sz="4" w:space="1" w:color="auto"/>
            </w:pBdr>
            <w:spacing w:before="200"/>
            <w:rPr>
              <w:sz w:val="2"/>
              <w:szCs w:val="2"/>
            </w:rPr>
          </w:pPr>
        </w:p>
      </w:tc>
    </w:tr>
    <w:tr w:rsidR="008D11E0" w:rsidRPr="00B310DC" w14:paraId="753E06C5" w14:textId="77777777" w:rsidTr="008D11E0">
      <w:trPr>
        <w:jc w:val="center"/>
      </w:trPr>
      <w:tc>
        <w:tcPr>
          <w:tcW w:w="2500" w:type="pct"/>
          <w:gridSpan w:val="2"/>
          <w:shd w:val="clear" w:color="auto" w:fill="auto"/>
          <w:tcMar>
            <w:top w:w="0" w:type="dxa"/>
          </w:tcMar>
        </w:tcPr>
        <w:p w14:paraId="030C5A50" w14:textId="2FA58F46" w:rsidR="008D11E0" w:rsidRPr="00AD7BF2" w:rsidRDefault="008D11E0" w:rsidP="004F54B2">
          <w:pPr>
            <w:pStyle w:val="FooterText"/>
          </w:pPr>
          <w:r>
            <w:t>9056/23</w:t>
          </w:r>
          <w:r w:rsidRPr="002511D8">
            <w:t xml:space="preserve"> </w:t>
          </w:r>
        </w:p>
      </w:tc>
      <w:tc>
        <w:tcPr>
          <w:tcW w:w="625" w:type="pct"/>
          <w:shd w:val="clear" w:color="auto" w:fill="auto"/>
          <w:tcMar>
            <w:top w:w="0" w:type="dxa"/>
          </w:tcMar>
        </w:tcPr>
        <w:p w14:paraId="0BF15787" w14:textId="77777777" w:rsidR="008D11E0" w:rsidRPr="00AD7BF2" w:rsidRDefault="008D11E0" w:rsidP="00D94637">
          <w:pPr>
            <w:pStyle w:val="FooterText"/>
            <w:jc w:val="center"/>
          </w:pPr>
        </w:p>
      </w:tc>
      <w:tc>
        <w:tcPr>
          <w:tcW w:w="1286" w:type="pct"/>
          <w:gridSpan w:val="3"/>
          <w:shd w:val="clear" w:color="auto" w:fill="auto"/>
          <w:tcMar>
            <w:top w:w="0" w:type="dxa"/>
          </w:tcMar>
        </w:tcPr>
        <w:p w14:paraId="44B78CD1" w14:textId="2D5F48CA" w:rsidR="008D11E0" w:rsidRPr="002511D8" w:rsidRDefault="008D11E0" w:rsidP="00D94637">
          <w:pPr>
            <w:pStyle w:val="FooterText"/>
            <w:jc w:val="center"/>
          </w:pPr>
          <w:r>
            <w:t>SB/el</w:t>
          </w:r>
        </w:p>
      </w:tc>
      <w:tc>
        <w:tcPr>
          <w:tcW w:w="589" w:type="pct"/>
          <w:shd w:val="clear" w:color="auto" w:fill="auto"/>
          <w:tcMar>
            <w:top w:w="0" w:type="dxa"/>
          </w:tcMar>
        </w:tcPr>
        <w:p w14:paraId="50A2164A" w14:textId="15F2E001" w:rsidR="008D11E0" w:rsidRPr="00B310DC" w:rsidRDefault="008D11E0" w:rsidP="00D94637">
          <w:pPr>
            <w:pStyle w:val="FooterText"/>
            <w:jc w:val="right"/>
          </w:pPr>
        </w:p>
      </w:tc>
    </w:tr>
    <w:tr w:rsidR="008D11E0" w:rsidRPr="00D94637" w14:paraId="69460771" w14:textId="77777777" w:rsidTr="008D11E0">
      <w:trPr>
        <w:jc w:val="center"/>
      </w:trPr>
      <w:tc>
        <w:tcPr>
          <w:tcW w:w="1774" w:type="pct"/>
          <w:shd w:val="clear" w:color="auto" w:fill="auto"/>
        </w:tcPr>
        <w:p w14:paraId="6796B75D" w14:textId="611977CC" w:rsidR="008D11E0" w:rsidRPr="00AD7BF2" w:rsidRDefault="008D11E0" w:rsidP="00D94637">
          <w:pPr>
            <w:pStyle w:val="FooterText"/>
            <w:spacing w:before="40"/>
          </w:pPr>
        </w:p>
      </w:tc>
      <w:tc>
        <w:tcPr>
          <w:tcW w:w="1455" w:type="pct"/>
          <w:gridSpan w:val="3"/>
          <w:shd w:val="clear" w:color="auto" w:fill="auto"/>
        </w:tcPr>
        <w:p w14:paraId="1C05581C" w14:textId="393D3550" w:rsidR="008D11E0" w:rsidRPr="00AD7BF2" w:rsidRDefault="008D11E0" w:rsidP="00D204D6">
          <w:pPr>
            <w:pStyle w:val="FooterText"/>
            <w:spacing w:before="40"/>
            <w:jc w:val="center"/>
          </w:pPr>
          <w:r>
            <w:t>TREE.2.A</w:t>
          </w:r>
        </w:p>
      </w:tc>
      <w:tc>
        <w:tcPr>
          <w:tcW w:w="742" w:type="pct"/>
          <w:shd w:val="clear" w:color="auto" w:fill="auto"/>
        </w:tcPr>
        <w:p w14:paraId="1411DE2D" w14:textId="21321ADB" w:rsidR="008D11E0" w:rsidRPr="00D94637" w:rsidRDefault="008D11E0" w:rsidP="002F0099">
          <w:pPr>
            <w:pStyle w:val="FooterText"/>
            <w:jc w:val="center"/>
            <w:rPr>
              <w:b/>
              <w:position w:val="-4"/>
              <w:sz w:val="36"/>
            </w:rPr>
          </w:pPr>
        </w:p>
      </w:tc>
      <w:tc>
        <w:tcPr>
          <w:tcW w:w="1029" w:type="pct"/>
          <w:gridSpan w:val="2"/>
          <w:shd w:val="clear" w:color="auto" w:fill="auto"/>
        </w:tcPr>
        <w:p w14:paraId="0C851A13" w14:textId="76B00DEA" w:rsidR="008D11E0" w:rsidRPr="000310C2" w:rsidRDefault="008D11E0" w:rsidP="00D94637">
          <w:pPr>
            <w:pStyle w:val="FooterText"/>
            <w:jc w:val="right"/>
            <w:rPr>
              <w:spacing w:val="-20"/>
              <w:sz w:val="16"/>
            </w:rPr>
          </w:pPr>
          <w:r>
            <w:rPr>
              <w:b/>
              <w:spacing w:val="-20"/>
              <w:position w:val="-4"/>
              <w:sz w:val="36"/>
            </w:rPr>
            <w:t>EN</w:t>
          </w:r>
        </w:p>
      </w:tc>
    </w:tr>
  </w:tbl>
  <w:p w14:paraId="238E0DBB" w14:textId="77777777" w:rsidR="008D11E0" w:rsidRPr="008D11E0" w:rsidRDefault="008D11E0" w:rsidP="008D11E0">
    <w:pPr>
      <w:pStyle w:val="FooterCouncil"/>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96B79" w14:textId="77777777" w:rsidR="008D11E0" w:rsidRDefault="008D11E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DDD10" w14:textId="77777777" w:rsidR="008D11E0" w:rsidRPr="00AF4524" w:rsidRDefault="008D11E0" w:rsidP="00AF4524">
    <w:pPr>
      <w:pStyle w:val="Footer"/>
      <w:rPr>
        <w:rFonts w:ascii="Arial" w:hAnsi="Arial" w:cs="Arial"/>
        <w:b/>
        <w:sz w:val="48"/>
      </w:rPr>
    </w:pPr>
    <w:r w:rsidRPr="00AF4524">
      <w:rPr>
        <w:rFonts w:ascii="Arial" w:hAnsi="Arial" w:cs="Arial"/>
        <w:b/>
        <w:sz w:val="48"/>
      </w:rPr>
      <w:t>EN</w:t>
    </w:r>
    <w:r w:rsidRPr="00AF4524">
      <w:rPr>
        <w:rFonts w:ascii="Arial" w:hAnsi="Arial" w:cs="Arial"/>
        <w:b/>
        <w:sz w:val="48"/>
      </w:rPr>
      <w:tab/>
    </w:r>
    <w:r w:rsidRPr="00AF4524">
      <w:rPr>
        <w:rFonts w:ascii="Arial" w:hAnsi="Arial" w:cs="Arial"/>
        <w:b/>
        <w:sz w:val="48"/>
      </w:rPr>
      <w:tab/>
    </w:r>
    <w:r w:rsidRPr="00AF4524">
      <w:tab/>
    </w:r>
    <w:r w:rsidRPr="00AF4524">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E31AA" w14:textId="77777777" w:rsidR="008D11E0" w:rsidRDefault="008D11E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A836D" w14:textId="72408126" w:rsidR="00AF4524" w:rsidRPr="00AF4524" w:rsidRDefault="00AF4524" w:rsidP="00AF4524">
    <w:pPr>
      <w:pStyle w:val="Footer"/>
      <w:rPr>
        <w:rFonts w:ascii="Arial" w:hAnsi="Arial" w:cs="Arial"/>
        <w:b/>
        <w:sz w:val="48"/>
      </w:rPr>
    </w:pPr>
    <w:r w:rsidRPr="00AF4524">
      <w:rPr>
        <w:rFonts w:ascii="Arial" w:hAnsi="Arial" w:cs="Arial"/>
        <w:b/>
        <w:sz w:val="48"/>
      </w:rPr>
      <w:t>EN</w:t>
    </w:r>
    <w:r w:rsidRPr="00AF4524">
      <w:rPr>
        <w:rFonts w:ascii="Arial" w:hAnsi="Arial" w:cs="Arial"/>
        <w:b/>
        <w:sz w:val="48"/>
      </w:rPr>
      <w:tab/>
    </w:r>
    <w:r>
      <w:fldChar w:fldCharType="begin"/>
    </w:r>
    <w:r>
      <w:instrText xml:space="preserve"> PAGE  \* MERGEFORMAT </w:instrText>
    </w:r>
    <w:r>
      <w:fldChar w:fldCharType="separate"/>
    </w:r>
    <w:r w:rsidR="00364D6B">
      <w:rPr>
        <w:noProof/>
      </w:rPr>
      <w:t>17</w:t>
    </w:r>
    <w:r>
      <w:fldChar w:fldCharType="end"/>
    </w:r>
    <w:r>
      <w:tab/>
    </w:r>
    <w:r w:rsidRPr="00AF4524">
      <w:tab/>
    </w:r>
    <w:r w:rsidRPr="00AF4524">
      <w:rPr>
        <w:rFonts w:ascii="Arial" w:hAnsi="Arial" w:cs="Arial"/>
        <w:b/>
        <w:sz w:val="48"/>
      </w:rPr>
      <w:t>EN</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0AC84" w14:textId="77777777" w:rsidR="00AF4524" w:rsidRPr="00AF4524" w:rsidRDefault="00AF4524" w:rsidP="00AF45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164039" w14:textId="77777777" w:rsidR="008C5EB5" w:rsidRDefault="008C5EB5" w:rsidP="001D54E7">
      <w:pPr>
        <w:spacing w:before="0" w:after="0"/>
      </w:pPr>
      <w:r>
        <w:separator/>
      </w:r>
    </w:p>
  </w:footnote>
  <w:footnote w:type="continuationSeparator" w:id="0">
    <w:p w14:paraId="42507E6C" w14:textId="77777777" w:rsidR="008C5EB5" w:rsidRDefault="008C5EB5" w:rsidP="001D54E7">
      <w:pPr>
        <w:spacing w:before="0" w:after="0"/>
      </w:pPr>
      <w:r>
        <w:continuationSeparator/>
      </w:r>
    </w:p>
  </w:footnote>
  <w:footnote w:type="continuationNotice" w:id="1">
    <w:p w14:paraId="44085F20" w14:textId="77777777" w:rsidR="008C5EB5" w:rsidRDefault="008C5EB5">
      <w:pPr>
        <w:spacing w:before="0" w:after="0"/>
      </w:pPr>
    </w:p>
  </w:footnote>
  <w:footnote w:id="2">
    <w:p w14:paraId="4EFEB20A" w14:textId="77777777" w:rsidR="009D75D4" w:rsidRPr="00F719CB" w:rsidRDefault="009D75D4" w:rsidP="00314B25">
      <w:pPr>
        <w:pStyle w:val="FootnoteText"/>
      </w:pPr>
      <w:r w:rsidRPr="00E50C3C">
        <w:rPr>
          <w:rStyle w:val="FootnoteReference"/>
        </w:rPr>
        <w:footnoteRef/>
      </w:r>
      <w:r w:rsidR="00E50C3C">
        <w:tab/>
      </w:r>
      <w:r w:rsidRPr="00F719CB">
        <w:t>Directive (EU) 2022/362 of the European Parliament and of the Council of 24 February 2022 amending Directives 1999/62/EC, 1999/37/EC and (EU) 2019/520, as regards the charging of vehicles for the use of certain infrastructures</w:t>
      </w:r>
      <w:r w:rsidR="00C72842">
        <w:t xml:space="preserve"> (</w:t>
      </w:r>
      <w:r w:rsidR="00C72842" w:rsidRPr="00C72842">
        <w:t>OJ L 69, 4.3.2022, p. 1</w:t>
      </w:r>
      <w:r w:rsidR="00C72842">
        <w:t>)</w:t>
      </w:r>
    </w:p>
  </w:footnote>
  <w:footnote w:id="3">
    <w:p w14:paraId="1C011263" w14:textId="77777777" w:rsidR="009D75D4" w:rsidRPr="000B20E4" w:rsidRDefault="009D75D4">
      <w:pPr>
        <w:pStyle w:val="FootnoteText"/>
      </w:pPr>
      <w:r w:rsidRPr="00E50C3C">
        <w:rPr>
          <w:rStyle w:val="FootnoteReference"/>
        </w:rPr>
        <w:footnoteRef/>
      </w:r>
      <w:r w:rsidR="00E50C3C">
        <w:tab/>
      </w:r>
      <w:r w:rsidRPr="00DA7120">
        <w:t xml:space="preserve">Directive 1999/62/EC of the European Parliament and of the Council of 17 June 1999 on the charging of vehicles for the use of road infrastructures </w:t>
      </w:r>
      <w:r w:rsidR="00C72842">
        <w:t>(</w:t>
      </w:r>
      <w:r w:rsidRPr="00DA7120">
        <w:t>OJ L 187 20.7.1999, p. 42</w:t>
      </w:r>
      <w:r w:rsidR="00C72842">
        <w:t>)</w:t>
      </w:r>
    </w:p>
  </w:footnote>
  <w:footnote w:id="4">
    <w:p w14:paraId="702B10E4" w14:textId="77777777" w:rsidR="009D75D4" w:rsidRPr="007272E2" w:rsidRDefault="009D75D4" w:rsidP="00B808C1">
      <w:pPr>
        <w:pStyle w:val="FootnoteText"/>
      </w:pPr>
      <w:r w:rsidRPr="00E50C3C">
        <w:rPr>
          <w:rStyle w:val="FootnoteReference"/>
        </w:rPr>
        <w:footnoteRef/>
      </w:r>
      <w:r w:rsidR="00E50C3C">
        <w:tab/>
      </w:r>
      <w:r w:rsidRPr="007272E2">
        <w:t xml:space="preserve">Commission Implementing Regulation (EU) 2022/1362 of 1 August 2022 implementing Regulation (EC) No 595/2009 of the European Parliament and of the Council as regards the performance of heavy-duty trailers with regard to their influence on the </w:t>
      </w:r>
      <w:r w:rsidR="00ED0111" w:rsidRPr="00BE28DF">
        <w:t xml:space="preserve">CO2 </w:t>
      </w:r>
      <w:r w:rsidRPr="007272E2">
        <w:t>emissions, fuel consumption, energy consumption and zero emission driving range of motor vehicles and amending Implementing Regulation (EU) 2020/683</w:t>
      </w:r>
      <w:r w:rsidR="008764BD">
        <w:t xml:space="preserve"> (</w:t>
      </w:r>
      <w:r w:rsidR="00EC486F" w:rsidRPr="00EC486F">
        <w:t>OJ L 205, 5.8.2022, p. 145</w:t>
      </w:r>
      <w:r w:rsidR="00EC486F">
        <w:t>)</w:t>
      </w:r>
    </w:p>
  </w:footnote>
  <w:footnote w:id="5">
    <w:p w14:paraId="3F33EC1F" w14:textId="77777777" w:rsidR="00D12371" w:rsidRPr="00972E55" w:rsidRDefault="00342ED6">
      <w:pPr>
        <w:pStyle w:val="FootnoteText"/>
        <w:rPr>
          <w:lang w:val="en-IE"/>
        </w:rPr>
      </w:pPr>
      <w:r w:rsidRPr="00BE28DF">
        <w:rPr>
          <w:rStyle w:val="FootnoteReference"/>
        </w:rPr>
        <w:footnoteRef/>
      </w:r>
      <w:r w:rsidR="00BE28DF">
        <w:tab/>
      </w:r>
      <w:r w:rsidR="00D12371" w:rsidRPr="00BE28DF">
        <w:t>Proposal for a REGULATION OF THE EUROPEAN PARLIAMENT AND OF THE COUNCIL amending Regulation (EU) 2019/1242 as regards strengthening the CO₂ emission performance standards for new heavy-duty vehicles and integrating reporting obligations, and repealing Regulation (EU) 2018/956</w:t>
      </w:r>
      <w:r w:rsidR="000615B2" w:rsidRPr="00BE28DF">
        <w:t>. See section “Consistency with other Union policies” below.</w:t>
      </w:r>
    </w:p>
  </w:footnote>
  <w:footnote w:id="6">
    <w:p w14:paraId="45F62D50" w14:textId="77777777" w:rsidR="009D75D4" w:rsidRPr="00F36224" w:rsidRDefault="009D75D4">
      <w:pPr>
        <w:pStyle w:val="FootnoteText"/>
      </w:pPr>
      <w:r w:rsidRPr="00E50C3C">
        <w:rPr>
          <w:rStyle w:val="FootnoteReference"/>
        </w:rPr>
        <w:footnoteRef/>
      </w:r>
      <w:r w:rsidR="00E50C3C">
        <w:tab/>
      </w:r>
      <w:r w:rsidR="00FE56A0">
        <w:t xml:space="preserve">Communication from the Commission to the European Parliament, the European Council, the Council, the European Economic and Social Committee and the Committee of the Regions </w:t>
      </w:r>
      <w:r w:rsidR="00740C02">
        <w:t>REPowerEU Plan (</w:t>
      </w:r>
      <w:r w:rsidR="00F36224" w:rsidRPr="00F36224">
        <w:t>COM</w:t>
      </w:r>
      <w:r w:rsidR="00C54380">
        <w:t>/</w:t>
      </w:r>
      <w:r w:rsidR="00F36224" w:rsidRPr="00F36224">
        <w:t>2022</w:t>
      </w:r>
      <w:r w:rsidR="00C54380">
        <w:t>/</w:t>
      </w:r>
      <w:r w:rsidR="00F36224" w:rsidRPr="00F36224">
        <w:t>230 final</w:t>
      </w:r>
      <w:r w:rsidR="00740C02">
        <w:t>)</w:t>
      </w:r>
    </w:p>
  </w:footnote>
  <w:footnote w:id="7">
    <w:p w14:paraId="10353DEB" w14:textId="77777777" w:rsidR="009D75D4" w:rsidRPr="00D14BAE" w:rsidRDefault="009D75D4" w:rsidP="00D14BAE">
      <w:pPr>
        <w:pStyle w:val="FootnoteText"/>
      </w:pPr>
      <w:r w:rsidRPr="00E50C3C">
        <w:rPr>
          <w:rStyle w:val="FootnoteReference"/>
        </w:rPr>
        <w:footnoteRef/>
      </w:r>
      <w:r w:rsidR="00E50C3C">
        <w:tab/>
      </w:r>
      <w:r>
        <w:t>On-board equipment is defined in point 11 of Article 2 of Directive (EU) 2019/520 as: “</w:t>
      </w:r>
      <w:r w:rsidRPr="00D14BAE">
        <w:rPr>
          <w:i/>
        </w:rPr>
        <w:t>‘on-board equipment (OBE)’, means the complete set of hardware and software components to be used as part of the toll service which is installed or carried on board a vehicle in order to collect, store, process and remotely receive/transmit data, either as a separate device or embedded in the vehicle;</w:t>
      </w:r>
      <w:r w:rsidRPr="00D14BAE">
        <w:t>”</w:t>
      </w:r>
    </w:p>
  </w:footnote>
  <w:footnote w:id="8">
    <w:p w14:paraId="65950A67" w14:textId="77777777" w:rsidR="009D75D4" w:rsidRPr="009D39B3" w:rsidRDefault="009D75D4" w:rsidP="005C2161">
      <w:pPr>
        <w:pStyle w:val="FootnoteText"/>
      </w:pPr>
      <w:r w:rsidRPr="00E50C3C">
        <w:rPr>
          <w:rStyle w:val="FootnoteReference"/>
        </w:rPr>
        <w:footnoteRef/>
      </w:r>
      <w:r w:rsidR="00E50C3C">
        <w:tab/>
      </w:r>
      <w:r w:rsidRPr="009D39B3">
        <w:t>Council Directive 96/53/EC of 25 July 1996 laying down for certain road vehicles circulating within the Community the maximum authorized dimensions in national and international traffic and the maximum authorized weights in international traffic</w:t>
      </w:r>
      <w:r w:rsidR="000562C7">
        <w:t xml:space="preserve"> </w:t>
      </w:r>
      <w:r w:rsidR="00E87CE6">
        <w:t>(</w:t>
      </w:r>
      <w:r w:rsidR="000562C7" w:rsidRPr="00E87CE6">
        <w:t>OJ L 235</w:t>
      </w:r>
      <w:r w:rsidR="00740C02">
        <w:t>,</w:t>
      </w:r>
      <w:r w:rsidR="000562C7" w:rsidRPr="00E87CE6">
        <w:t xml:space="preserve"> 17.9.1996, p. 59</w:t>
      </w:r>
      <w:r w:rsidR="00E87CE6">
        <w:t>)</w:t>
      </w:r>
    </w:p>
  </w:footnote>
  <w:footnote w:id="9">
    <w:p w14:paraId="21BD0DCD" w14:textId="42F392AC" w:rsidR="00F22398" w:rsidRPr="00F22398" w:rsidRDefault="00F22398">
      <w:pPr>
        <w:pStyle w:val="FootnoteText"/>
        <w:rPr>
          <w:lang w:val="en-IE"/>
        </w:rPr>
      </w:pPr>
      <w:r w:rsidRPr="0012617C">
        <w:rPr>
          <w:rStyle w:val="FootnoteReference"/>
        </w:rPr>
        <w:footnoteRef/>
      </w:r>
      <w:r w:rsidR="0012617C">
        <w:tab/>
      </w:r>
      <w:r w:rsidRPr="00F22398">
        <w:t xml:space="preserve">Commission Staff Working Document Impact Assessment Report Accompanying the document Proposal for a Regulation of </w:t>
      </w:r>
      <w:r>
        <w:t>t</w:t>
      </w:r>
      <w:r w:rsidRPr="00F22398">
        <w:t xml:space="preserve">he European Parliament </w:t>
      </w:r>
      <w:r>
        <w:t>a</w:t>
      </w:r>
      <w:r w:rsidRPr="00F22398">
        <w:t xml:space="preserve">nd </w:t>
      </w:r>
      <w:r>
        <w:t>o</w:t>
      </w:r>
      <w:r w:rsidRPr="00F22398">
        <w:t xml:space="preserve">f </w:t>
      </w:r>
      <w:r>
        <w:t>t</w:t>
      </w:r>
      <w:r w:rsidRPr="00F22398">
        <w:t>he Council amending Regulation (EU) 2019/1242 as regards strengthening the CO₂ emission performance standards for new heavy-duty vehicles and integrating reporting obligations, and repealing Regulation (EU) 2018/956</w:t>
      </w:r>
      <w:r w:rsidR="00FB0084">
        <w:t xml:space="preserve">, </w:t>
      </w:r>
      <w:r w:rsidR="00FB0084" w:rsidRPr="00FB0084">
        <w:t>SWD(2023) 88 final</w:t>
      </w:r>
    </w:p>
  </w:footnote>
  <w:footnote w:id="10">
    <w:p w14:paraId="6CC73907" w14:textId="77777777" w:rsidR="00D631B9" w:rsidRPr="00D631B9" w:rsidRDefault="00D631B9">
      <w:pPr>
        <w:pStyle w:val="FootnoteText"/>
        <w:rPr>
          <w:lang w:val="en-IE"/>
        </w:rPr>
      </w:pPr>
      <w:r w:rsidRPr="00BE28DF">
        <w:rPr>
          <w:rStyle w:val="FootnoteReference"/>
        </w:rPr>
        <w:footnoteRef/>
      </w:r>
      <w:r w:rsidR="00BE28DF">
        <w:tab/>
      </w:r>
      <w:r w:rsidRPr="00D631B9">
        <w:t>Commission Implementing Decision (EU) 2021/781 of 10 May 2021 on the publication of a list indicating certain CO2 emissions values per manufacturer as well as average specific CO2 emissions of all new heavy-duty vehicles registered in the Union and reference CO2 emissions pursuant to Regulation (EU) 2019/1242 of the European Parliament and of the Council for the reporting period of the year 2019</w:t>
      </w:r>
      <w:r w:rsidR="00AE1D89">
        <w:t xml:space="preserve"> (</w:t>
      </w:r>
      <w:r w:rsidR="00B40070" w:rsidRPr="00B40070">
        <w:t>OJ L 167, 12.5.2021, p. 47</w:t>
      </w:r>
      <w:r w:rsidR="00AE1D89">
        <w:t>)</w:t>
      </w:r>
    </w:p>
  </w:footnote>
  <w:footnote w:id="11">
    <w:p w14:paraId="31E3AD4B" w14:textId="77777777" w:rsidR="009D75D4" w:rsidRPr="00A802B1" w:rsidRDefault="009D75D4">
      <w:pPr>
        <w:pStyle w:val="FootnoteText"/>
      </w:pPr>
      <w:r w:rsidRPr="00E50C3C">
        <w:rPr>
          <w:rStyle w:val="FootnoteReference"/>
        </w:rPr>
        <w:footnoteRef/>
      </w:r>
      <w:r w:rsidR="00E50C3C">
        <w:tab/>
      </w:r>
      <w:r w:rsidRPr="008826FE">
        <w:t>Directive (EU) 2019/520 of the European Parliament and of the Council of 19 March 2019 on the interoperability of electronic road toll systems and facilitating cross-border exchange of information on the failure to pay road fees in the Union</w:t>
      </w:r>
      <w:r>
        <w:t xml:space="preserve"> </w:t>
      </w:r>
      <w:r w:rsidR="00740C02">
        <w:t>(</w:t>
      </w:r>
      <w:r>
        <w:t>OJ L 91, 29.3.2019, p. 45</w:t>
      </w:r>
      <w:r w:rsidR="00740C02">
        <w:t>)</w:t>
      </w:r>
      <w:r>
        <w:t>.</w:t>
      </w:r>
    </w:p>
  </w:footnote>
  <w:footnote w:id="12">
    <w:p w14:paraId="067BD185" w14:textId="77777777" w:rsidR="009D75D4" w:rsidRPr="00A802B1" w:rsidRDefault="009D75D4">
      <w:pPr>
        <w:pStyle w:val="FootnoteText"/>
      </w:pPr>
      <w:r w:rsidRPr="00E50C3C">
        <w:rPr>
          <w:rStyle w:val="FootnoteReference"/>
        </w:rPr>
        <w:footnoteRef/>
      </w:r>
      <w:r w:rsidR="00E50C3C">
        <w:tab/>
      </w:r>
      <w:r w:rsidRPr="00A92ADB">
        <w:t>Council Directive 1999/37/EC of 29 April 1999 on the registration documents for vehicles</w:t>
      </w:r>
      <w:r w:rsidR="00A91557">
        <w:t xml:space="preserve"> </w:t>
      </w:r>
      <w:r w:rsidR="00A91557" w:rsidRPr="00A91557">
        <w:t>(OJ L 138, 1.6.1999, p. 57)</w:t>
      </w:r>
    </w:p>
  </w:footnote>
  <w:footnote w:id="13">
    <w:p w14:paraId="5721826E" w14:textId="77777777" w:rsidR="00F153BA" w:rsidRPr="00177E07" w:rsidRDefault="00F153BA">
      <w:pPr>
        <w:pStyle w:val="FootnoteText"/>
      </w:pPr>
      <w:r w:rsidRPr="00177E07">
        <w:rPr>
          <w:rStyle w:val="FootnoteReference"/>
        </w:rPr>
        <w:footnoteRef/>
      </w:r>
      <w:r w:rsidR="00E50C3C" w:rsidRPr="00177E07">
        <w:tab/>
      </w:r>
      <w:r w:rsidR="00BF6259" w:rsidRPr="00177E07">
        <w:t>OJ C […], […], p. […].</w:t>
      </w:r>
    </w:p>
  </w:footnote>
  <w:footnote w:id="14">
    <w:p w14:paraId="3B9588C2" w14:textId="77777777" w:rsidR="00BF6259" w:rsidRPr="00177E07" w:rsidRDefault="00BF6259">
      <w:pPr>
        <w:pStyle w:val="FootnoteText"/>
      </w:pPr>
      <w:r w:rsidRPr="00177E07">
        <w:rPr>
          <w:rStyle w:val="FootnoteReference"/>
        </w:rPr>
        <w:footnoteRef/>
      </w:r>
      <w:r w:rsidR="00E50C3C" w:rsidRPr="00177E07">
        <w:tab/>
      </w:r>
      <w:r w:rsidRPr="00177E07">
        <w:t>OJ C […], […], p. […].</w:t>
      </w:r>
    </w:p>
  </w:footnote>
  <w:footnote w:id="15">
    <w:p w14:paraId="72AC494C" w14:textId="77777777" w:rsidR="00941B0E" w:rsidRPr="00941B0E" w:rsidRDefault="00941B0E">
      <w:pPr>
        <w:pStyle w:val="FootnoteText"/>
        <w:rPr>
          <w:lang w:val="en-IE"/>
        </w:rPr>
      </w:pPr>
      <w:r w:rsidRPr="00177E07">
        <w:rPr>
          <w:rStyle w:val="FootnoteReference"/>
        </w:rPr>
        <w:footnoteRef/>
      </w:r>
      <w:r w:rsidR="00BE28DF" w:rsidRPr="00177E07">
        <w:tab/>
      </w:r>
      <w:r w:rsidRPr="00177E07">
        <w:t>Directive (EU) 2022/362 of the European Parliament and of the Council of 24 February 2022 amending</w:t>
      </w:r>
      <w:r w:rsidRPr="00F719CB">
        <w:t xml:space="preserve"> Directives 1999/62/EC, 1999/37/EC and (EU) 2019/520, as regards the charging of vehicles for the use of certain infrastructures</w:t>
      </w:r>
      <w:r>
        <w:t xml:space="preserve"> (</w:t>
      </w:r>
      <w:r w:rsidRPr="00C72842">
        <w:t>OJ L 69, 4.3.2022, p. 1</w:t>
      </w:r>
      <w:r>
        <w:t>)</w:t>
      </w:r>
    </w:p>
  </w:footnote>
  <w:footnote w:id="16">
    <w:p w14:paraId="5684EC1C" w14:textId="77777777" w:rsidR="007F10F7" w:rsidRPr="007F10F7" w:rsidRDefault="007F10F7">
      <w:pPr>
        <w:pStyle w:val="FootnoteText"/>
        <w:rPr>
          <w:lang w:val="en-IE"/>
        </w:rPr>
      </w:pPr>
      <w:r w:rsidRPr="00BE28DF">
        <w:rPr>
          <w:rStyle w:val="FootnoteReference"/>
        </w:rPr>
        <w:footnoteRef/>
      </w:r>
      <w:r w:rsidR="00BE28DF">
        <w:tab/>
      </w:r>
      <w:r w:rsidRPr="007272E2">
        <w:t xml:space="preserve">Commission Implementing Regulation (EU) 2022/1362 of 1 August 2022 implementing Regulation (EC) No 595/2009 of the European Parliament and of the Council as regards the performance of heavy-duty trailers with regard to their influence on the </w:t>
      </w:r>
      <w:r w:rsidRPr="00BE28DF">
        <w:t xml:space="preserve">CO2 </w:t>
      </w:r>
      <w:r w:rsidRPr="007272E2">
        <w:t>emissions, fuel consumption, energy consumption and zero emission driving range of motor vehicles and amending Implementing Regulation (EU) 2020/683</w:t>
      </w:r>
      <w:r>
        <w:t xml:space="preserve"> (</w:t>
      </w:r>
      <w:r w:rsidRPr="00EC486F">
        <w:t>OJ L 205, 5.8.2022, p. 145</w:t>
      </w:r>
      <w:r>
        <w:t>)</w:t>
      </w:r>
    </w:p>
  </w:footnote>
  <w:footnote w:id="17">
    <w:p w14:paraId="4462BF9E" w14:textId="77777777" w:rsidR="00372DC6" w:rsidRPr="00372DC6" w:rsidRDefault="00372DC6">
      <w:pPr>
        <w:pStyle w:val="FootnoteText"/>
        <w:rPr>
          <w:lang w:val="en-IE"/>
        </w:rPr>
      </w:pPr>
      <w:r w:rsidRPr="00BE28DF">
        <w:rPr>
          <w:rStyle w:val="FootnoteReference"/>
        </w:rPr>
        <w:footnoteRef/>
      </w:r>
      <w:r w:rsidR="00BE28DF">
        <w:tab/>
      </w:r>
      <w:r w:rsidRPr="009D39B3">
        <w:t>Council Directive 96/53/EC of 25 July 1996 laying down for certain road vehicles circulating within the Community the maximum authorized dimensions in national and international traffic and the maximum authorized weights in international traffic</w:t>
      </w:r>
      <w:r>
        <w:t xml:space="preserve"> (</w:t>
      </w:r>
      <w:r w:rsidRPr="00E87CE6">
        <w:t>OJ L 235</w:t>
      </w:r>
      <w:r>
        <w:t>,</w:t>
      </w:r>
      <w:r w:rsidRPr="00E87CE6">
        <w:t xml:space="preserve"> 17.9.1996, p. 59</w:t>
      </w:r>
      <w:r>
        <w:t>)</w:t>
      </w:r>
    </w:p>
  </w:footnote>
  <w:footnote w:id="18">
    <w:p w14:paraId="1B5DFB40" w14:textId="77777777" w:rsidR="009D75D4" w:rsidRPr="00C04383" w:rsidRDefault="009D75D4">
      <w:pPr>
        <w:pStyle w:val="FootnoteText"/>
      </w:pPr>
      <w:r w:rsidRPr="00E50C3C">
        <w:rPr>
          <w:rStyle w:val="FootnoteReference"/>
        </w:rPr>
        <w:footnoteRef/>
      </w:r>
      <w:r w:rsidR="00E50C3C">
        <w:tab/>
      </w:r>
      <w:r w:rsidRPr="00C04383">
        <w:t xml:space="preserve">Regulation (EU) 2018/956 of the European Parliament and of the Council of 28 June 2018 on the monitoring and reporting of </w:t>
      </w:r>
      <w:r w:rsidR="00ED0111" w:rsidRPr="00BE28DF">
        <w:t xml:space="preserve">CO2 </w:t>
      </w:r>
      <w:r w:rsidRPr="00C04383">
        <w:t xml:space="preserve">emissions from and fuel consumption of new heavy-duty vehicles </w:t>
      </w:r>
      <w:r w:rsidR="00A91557">
        <w:t>(</w:t>
      </w:r>
      <w:r w:rsidR="00A91557" w:rsidRPr="00A91557">
        <w:t>OJ L 173, 9.7.2018, p. 1</w:t>
      </w:r>
      <w:r w:rsidR="00A91557">
        <w:t>)</w:t>
      </w:r>
    </w:p>
  </w:footnote>
  <w:footnote w:id="19">
    <w:p w14:paraId="7F7C7A79" w14:textId="77777777" w:rsidR="003944C2" w:rsidRPr="00A355D6" w:rsidRDefault="003944C2">
      <w:pPr>
        <w:pStyle w:val="FootnoteText"/>
        <w:rPr>
          <w:lang w:val="en-IE"/>
        </w:rPr>
      </w:pPr>
      <w:r w:rsidRPr="00BE28DF">
        <w:rPr>
          <w:rStyle w:val="FootnoteReference"/>
        </w:rPr>
        <w:footnoteRef/>
      </w:r>
      <w:r w:rsidR="00BE28DF">
        <w:tab/>
      </w:r>
      <w:r w:rsidRPr="00CC505C">
        <w:t>Directive 2014/45/EU of the European Parliament and of the Council of 3 April 2014 on periodic roadworthiness tests for motor vehicles and their trailers </w:t>
      </w:r>
      <w:r w:rsidRPr="003944C2">
        <w:t>(</w:t>
      </w:r>
      <w:r w:rsidRPr="004F5362">
        <w:t>OJ L 127, 29.4.2014, p. 51</w:t>
      </w:r>
      <w:r w:rsidRPr="003944C2">
        <w:t>)</w:t>
      </w:r>
    </w:p>
  </w:footnote>
  <w:footnote w:id="20">
    <w:p w14:paraId="657364F2" w14:textId="77777777" w:rsidR="00E63F0D" w:rsidRPr="00E63F0D" w:rsidRDefault="00E63F0D">
      <w:pPr>
        <w:pStyle w:val="FootnoteText"/>
        <w:rPr>
          <w:lang w:val="en-IE"/>
        </w:rPr>
      </w:pPr>
      <w:r w:rsidRPr="00BE28DF">
        <w:rPr>
          <w:rStyle w:val="FootnoteReference"/>
        </w:rPr>
        <w:footnoteRef/>
      </w:r>
      <w:r w:rsidR="00BE28DF">
        <w:tab/>
      </w:r>
      <w:r w:rsidRPr="00A92ADB">
        <w:t>Council Directive 1999/37/EC of 29 April 1999 on the registration documents for vehicles</w:t>
      </w:r>
      <w:r>
        <w:t xml:space="preserve"> </w:t>
      </w:r>
      <w:r w:rsidRPr="00A91557">
        <w:t>(OJ L 138, 1.6.1999, p. 57)</w:t>
      </w:r>
    </w:p>
  </w:footnote>
  <w:footnote w:id="21">
    <w:p w14:paraId="16F494D3" w14:textId="77777777" w:rsidR="00E63F0D" w:rsidRPr="00E63F0D" w:rsidRDefault="00E63F0D">
      <w:pPr>
        <w:pStyle w:val="FootnoteText"/>
        <w:rPr>
          <w:lang w:val="en-IE"/>
        </w:rPr>
      </w:pPr>
      <w:r w:rsidRPr="00BE28DF">
        <w:rPr>
          <w:rStyle w:val="FootnoteReference"/>
        </w:rPr>
        <w:footnoteRef/>
      </w:r>
      <w:r w:rsidR="00BE28DF">
        <w:tab/>
      </w:r>
      <w:r w:rsidRPr="008826FE">
        <w:t>Directive (EU) 2019/520 of the European Parliament and of the Council of 19 March 2019 on the interoperability of electronic road toll systems and facilitating cross-border exchange of information on the failure to pay road fees in the Union</w:t>
      </w:r>
      <w:r>
        <w:t xml:space="preserve"> (OJ L 91, 29.3.2019, p. 45).</w:t>
      </w:r>
    </w:p>
  </w:footnote>
  <w:footnote w:id="22">
    <w:p w14:paraId="3FFE0E43" w14:textId="77777777" w:rsidR="00E63F0D" w:rsidRPr="00E63F0D" w:rsidRDefault="00E63F0D">
      <w:pPr>
        <w:pStyle w:val="FootnoteText"/>
        <w:rPr>
          <w:lang w:val="en-IE"/>
        </w:rPr>
      </w:pPr>
      <w:r w:rsidRPr="00BE28DF">
        <w:rPr>
          <w:rStyle w:val="FootnoteReference"/>
        </w:rPr>
        <w:footnoteRef/>
      </w:r>
      <w:r w:rsidR="00BE28DF">
        <w:tab/>
      </w:r>
      <w:r w:rsidRPr="00D631B9">
        <w:t xml:space="preserve">Commission Implementing Decision (EU) 2021/781 of 10 May 2021 on the publication of a list indicating certain CO2 emissions values per manufacturer as well as average specific CO2 emissions of all new heavy-duty vehicles registered in the Union and reference CO2 emissions pursuant to Regulation (EU) 2019/1242 of the European Parliament and of the Council for the reporting period of the year 2019 </w:t>
      </w:r>
      <w:r w:rsidR="00B40070">
        <w:t>(</w:t>
      </w:r>
      <w:r w:rsidR="00B40070" w:rsidRPr="00B40070">
        <w:t>OJ L 167, 12.5.2021, p. 47</w:t>
      </w:r>
      <w:r w:rsidR="00B40070">
        <w:t>)</w:t>
      </w:r>
      <w:r w:rsidR="006320B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C09C4" w14:textId="77777777" w:rsidR="008D11E0" w:rsidRDefault="008D1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78C5D" w14:textId="3D1621D3" w:rsidR="008D11E0" w:rsidRPr="008D11E0" w:rsidRDefault="008D11E0" w:rsidP="008D11E0">
    <w:pPr>
      <w:pStyle w:val="HeaderCouncilLarge"/>
    </w:pPr>
    <w:r>
      <w: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63229" w14:textId="2E01F5FF" w:rsidR="008D11E0" w:rsidRPr="008D11E0" w:rsidRDefault="008D11E0" w:rsidP="008D11E0">
    <w:pPr>
      <w:pStyle w:val="HeaderCouncil"/>
    </w:pPr>
    <w:r>
      <w:t>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D13EB" w14:textId="77777777" w:rsidR="008D11E0" w:rsidRDefault="008D11E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D6439" w14:textId="77777777" w:rsidR="008D11E0" w:rsidRDefault="008D11E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90276" w14:textId="77777777" w:rsidR="008D11E0" w:rsidRDefault="008D11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37AA57E"/>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singleLevel"/>
    <w:tmpl w:val="465ED5B2"/>
    <w:lvl w:ilvl="0">
      <w:start w:val="1"/>
      <w:numFmt w:val="decimal"/>
      <w:pStyle w:val="ListNumber3"/>
      <w:lvlText w:val="%1."/>
      <w:lvlJc w:val="left"/>
      <w:pPr>
        <w:tabs>
          <w:tab w:val="num" w:pos="926"/>
        </w:tabs>
        <w:ind w:left="926" w:hanging="360"/>
      </w:pPr>
    </w:lvl>
  </w:abstractNum>
  <w:abstractNum w:abstractNumId="2" w15:restartNumberingAfterBreak="0">
    <w:nsid w:val="FFFFFF7F"/>
    <w:multiLevelType w:val="singleLevel"/>
    <w:tmpl w:val="6292194C"/>
    <w:lvl w:ilvl="0">
      <w:start w:val="1"/>
      <w:numFmt w:val="decimal"/>
      <w:pStyle w:val="ListNumber2"/>
      <w:lvlText w:val="%1."/>
      <w:lvlJc w:val="left"/>
      <w:pPr>
        <w:tabs>
          <w:tab w:val="num" w:pos="643"/>
        </w:tabs>
        <w:ind w:left="643" w:hanging="360"/>
      </w:pPr>
    </w:lvl>
  </w:abstractNum>
  <w:abstractNum w:abstractNumId="3" w15:restartNumberingAfterBreak="0">
    <w:nsid w:val="FFFFFF81"/>
    <w:multiLevelType w:val="singleLevel"/>
    <w:tmpl w:val="641AC4AC"/>
    <w:lvl w:ilvl="0">
      <w:start w:val="1"/>
      <w:numFmt w:val="bullet"/>
      <w:pStyle w:val="ListBullet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00EFE70"/>
    <w:lvl w:ilvl="0">
      <w:start w:val="1"/>
      <w:numFmt w:val="bullet"/>
      <w:pStyle w:val="ListBullet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146FDFC"/>
    <w:lvl w:ilvl="0">
      <w:start w:val="1"/>
      <w:numFmt w:val="bullet"/>
      <w:pStyle w:val="ListBullet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A5400EE0"/>
    <w:lvl w:ilvl="0">
      <w:start w:val="1"/>
      <w:numFmt w:val="bullet"/>
      <w:pStyle w:val="ListBullet"/>
      <w:lvlText w:val=""/>
      <w:lvlJc w:val="left"/>
      <w:pPr>
        <w:tabs>
          <w:tab w:val="num" w:pos="360"/>
        </w:tabs>
        <w:ind w:left="360" w:hanging="360"/>
      </w:pPr>
      <w:rPr>
        <w:rFonts w:ascii="Symbol" w:hAnsi="Symbol" w:hint="default"/>
      </w:rPr>
    </w:lvl>
  </w:abstractNum>
  <w:abstractNum w:abstractNumId="7"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8"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D2521D"/>
    <w:multiLevelType w:val="hybridMultilevel"/>
    <w:tmpl w:val="C2586566"/>
    <w:lvl w:ilvl="0" w:tplc="08090001">
      <w:start w:val="1"/>
      <w:numFmt w:val="bullet"/>
      <w:pStyle w:val="ListNumber"/>
      <w:lvlText w:val=""/>
      <w:lvlJc w:val="left"/>
      <w:pPr>
        <w:ind w:left="720" w:hanging="360"/>
      </w:pPr>
      <w:rPr>
        <w:rFonts w:ascii="Symbol" w:hAnsi="Symbol" w:hint="default"/>
      </w:rPr>
    </w:lvl>
    <w:lvl w:ilvl="1" w:tplc="08090003">
      <w:start w:val="1"/>
      <w:numFmt w:val="bullet"/>
      <w:pStyle w:val="ListNumberLevel2"/>
      <w:lvlText w:val="o"/>
      <w:lvlJc w:val="left"/>
      <w:pPr>
        <w:ind w:left="1440" w:hanging="360"/>
      </w:pPr>
      <w:rPr>
        <w:rFonts w:ascii="Courier New" w:hAnsi="Courier New" w:cs="Courier New" w:hint="default"/>
      </w:rPr>
    </w:lvl>
    <w:lvl w:ilvl="2" w:tplc="08090005">
      <w:start w:val="1"/>
      <w:numFmt w:val="bullet"/>
      <w:pStyle w:val="ListNumberLevel3"/>
      <w:lvlText w:val=""/>
      <w:lvlJc w:val="left"/>
      <w:pPr>
        <w:ind w:left="2160" w:hanging="360"/>
      </w:pPr>
      <w:rPr>
        <w:rFonts w:ascii="Wingdings" w:hAnsi="Wingdings" w:hint="default"/>
      </w:rPr>
    </w:lvl>
    <w:lvl w:ilvl="3" w:tplc="08090001">
      <w:start w:val="1"/>
      <w:numFmt w:val="bullet"/>
      <w:pStyle w:val="ListNumberLevel4"/>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15:restartNumberingAfterBreak="0">
    <w:nsid w:val="2D293CE3"/>
    <w:multiLevelType w:val="multilevel"/>
    <w:tmpl w:val="8D7C4D2A"/>
    <w:lvl w:ilvl="0">
      <w:start w:val="1"/>
      <w:numFmt w:val="decimal"/>
      <w:pStyle w:val="LegalNumPar"/>
      <w:lvlText w:val="%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lowerRoman"/>
      <w:pStyle w:val="LegalNumPar3"/>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16cid:durableId="465323054">
    <w:abstractNumId w:val="6"/>
  </w:num>
  <w:num w:numId="2" w16cid:durableId="1849055399">
    <w:abstractNumId w:val="5"/>
  </w:num>
  <w:num w:numId="3" w16cid:durableId="1425959277">
    <w:abstractNumId w:val="4"/>
  </w:num>
  <w:num w:numId="4" w16cid:durableId="214776605">
    <w:abstractNumId w:val="3"/>
  </w:num>
  <w:num w:numId="5" w16cid:durableId="371268907">
    <w:abstractNumId w:val="10"/>
  </w:num>
  <w:num w:numId="6" w16cid:durableId="491724268">
    <w:abstractNumId w:val="13"/>
  </w:num>
  <w:num w:numId="7" w16cid:durableId="198051529">
    <w:abstractNumId w:val="2"/>
  </w:num>
  <w:num w:numId="8" w16cid:durableId="1574704013">
    <w:abstractNumId w:val="1"/>
  </w:num>
  <w:num w:numId="9" w16cid:durableId="369499277">
    <w:abstractNumId w:val="0"/>
  </w:num>
  <w:num w:numId="10" w16cid:durableId="1409811995">
    <w:abstractNumId w:val="17"/>
    <w:lvlOverride w:ilvl="0">
      <w:startOverride w:val="1"/>
    </w:lvlOverride>
  </w:num>
  <w:num w:numId="11" w16cid:durableId="950863045">
    <w:abstractNumId w:val="24"/>
    <w:lvlOverride w:ilvl="0">
      <w:startOverride w:val="1"/>
    </w:lvlOverride>
  </w:num>
  <w:num w:numId="12" w16cid:durableId="351997346">
    <w:abstractNumId w:val="21"/>
    <w:lvlOverride w:ilvl="0">
      <w:startOverride w:val="1"/>
    </w:lvlOverride>
  </w:num>
  <w:num w:numId="13" w16cid:durableId="853232268">
    <w:abstractNumId w:val="7"/>
  </w:num>
  <w:num w:numId="14" w16cid:durableId="201826634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95778698">
    <w:abstractNumId w:val="21"/>
    <w:lvlOverride w:ilvl="0">
      <w:startOverride w:val="1"/>
    </w:lvlOverride>
  </w:num>
  <w:num w:numId="16" w16cid:durableId="7457611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2626720">
    <w:abstractNumId w:val="21"/>
  </w:num>
  <w:num w:numId="18" w16cid:durableId="1661345787">
    <w:abstractNumId w:val="14"/>
  </w:num>
  <w:num w:numId="19" w16cid:durableId="376441328">
    <w:abstractNumId w:val="23"/>
  </w:num>
  <w:num w:numId="20" w16cid:durableId="247347915">
    <w:abstractNumId w:val="12"/>
  </w:num>
  <w:num w:numId="21" w16cid:durableId="2039507567">
    <w:abstractNumId w:val="15"/>
  </w:num>
  <w:num w:numId="22" w16cid:durableId="47120642">
    <w:abstractNumId w:val="16"/>
  </w:num>
  <w:num w:numId="23" w16cid:durableId="1544780866">
    <w:abstractNumId w:val="9"/>
  </w:num>
  <w:num w:numId="24" w16cid:durableId="679548703">
    <w:abstractNumId w:val="22"/>
  </w:num>
  <w:num w:numId="25" w16cid:durableId="656767658">
    <w:abstractNumId w:val="8"/>
  </w:num>
  <w:num w:numId="26" w16cid:durableId="565840478">
    <w:abstractNumId w:val="17"/>
  </w:num>
  <w:num w:numId="27" w16cid:durableId="940574157">
    <w:abstractNumId w:val="19"/>
  </w:num>
  <w:num w:numId="28" w16cid:durableId="990065314">
    <w:abstractNumId w:val="20"/>
  </w:num>
  <w:num w:numId="29" w16cid:durableId="1082217159">
    <w:abstractNumId w:val="11"/>
  </w:num>
  <w:num w:numId="30" w16cid:durableId="1614242043">
    <w:abstractNumId w:val="18"/>
  </w:num>
  <w:num w:numId="31" w16cid:durableId="1298679874">
    <w:abstractNumId w:val="24"/>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hyphenationZone w:val="425"/>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uncil" w:val="true"/>
    <w:docVar w:name="CoverPageOnWordDoc" w:val="false"/>
    <w:docVar w:name="CR_RefLast" w:val="0"/>
    <w:docVar w:name="DocuWriteMetaData" w:val="&lt;metadataset docuwriteversion=&quot;4.8.2&quot; technicalblockguid=&quot;4714903015767807819&quot;&gt;_x000d__x000a_  &lt;metadata key=&quot;md_DocumentLanguages&quot;&gt;_x000d__x000a_    &lt;basicdatatypelist&gt;_x000d__x000a_      &lt;language key=&quot;EN&quot; text=&quot;EN&quot; /&gt;_x000d__x000a_    &lt;/basicdatatypelist&gt;_x000d__x000a_  &lt;/metadata&gt;_x000d__x000a_  &lt;metadata key=&quot;md_OriginalLanguages&quot;&gt;_x000d__x000a_    &lt;basicdatatypelist&gt;_x000d__x000a_      &lt;language key=&quot;EN&quot; text=&quot;EN&quot; /&gt;_x000d__x000a_    &lt;/basicdatatypelist&gt;_x000d__x000a_  &lt;/metadata&gt;_x000d__x000a_  &lt;metadata key=&quot;md_UniqueHeading&quot;&gt;_x000d__x000a_    &lt;basicdatatype&gt;_x000d__x000a_      &lt;heading key=&quot;uh_65&quot; text=&quot;PROPOSAL&quot; /&gt;_x000d__x000a_    &lt;/basicdatatype&gt;_x000d__x000a_  &lt;/metadata&gt;_x000d__x000a_  &lt;metadata key=&quot;md_HeadingText&quot;&gt;_x000d__x000a_    &lt;headingtext text=&quot;PROPOSAL&quot;&gt;_x000d__x000a_      &lt;formattedtext&gt;_x000d__x000a_        &lt;xaml text=&quot;PROPOSAL&quot;&gt;&amp;lt;FlowDocument xmlns=&quot;http://schemas.microsoft.com/winfx/2006/xaml/presentation&quot;&amp;gt;&amp;lt;Paragraph&amp;gt;PROPOSAL&amp;lt;/Paragraph&amp;gt;&amp;lt;/FlowDocument&amp;gt;&lt;/xaml&gt;_x000d__x000a_      &lt;/formattedtext&gt;_x000d__x000a_    &lt;/headingtext&gt;_x000d__x000a_  &lt;/metadata&gt;_x000d__x000a_  &lt;metadata key=&quot;md_CustomFootnote&quot; /&gt;_x000d__x000a_  &lt;metadata key=&quot;md_DocumentGroup&quot;&gt;_x000d__x000a_    &lt;basicdatatype&gt;_x000d__x000a_      &lt;document_group key=&quot;dg_12&quot; text=&quot;Cover Page&quot; /&gt;_x000d__x000a_    &lt;/basicdatatype&gt;_x000d__x000a_  &lt;/metadata&gt;_x000d__x000a_  &lt;metadata key=&quot;md_DocumentType&quot;&gt;_x000d__x000a_    &lt;basicdatatype&gt;_x000d__x000a_      &lt;doc_type key=&quot;dt_ST&quot; text=&quot;ST&quot; /&gt;_x000d__x000a_    &lt;/basicdatatype&gt;_x000d__x000a_  &lt;/metadata&gt;_x000d__x000a_  &lt;metadata key=&quot;md_InstitutionalFramework&quot;&gt;_x000d__x000a_    &lt;basicdatatype&gt;_x000d__x000a_      &lt;framework key=&quot;if_01&quot; text=&quot;Council of the European Union&quot; institution=&quot;instfr_institution&quot; acronym=&quot;instfr_acronym&quot; /&gt;_x000d__x000a_    &lt;/basicdatatype&gt;_x000d__x000a_  &lt;/metadata&gt;_x000d__x000a_  &lt;metadata key=&quot;md_DraftNote&quot; /&gt;_x000d__x000a_  &lt;metadata key=&quot;md_DGName&quot;&gt;_x000d__x000a_    &lt;basicdatatype&gt;_x000d__x000a_      &lt;dgname key=&quot;&quot; /&gt;_x000d__x000a_    &lt;/basicdatatype&gt;_x000d__x000a_  &lt;/metadata&gt;_x000d__x000a_  &lt;metadata key=&quot;md_ContributingService&quot;&gt;_x000d__x000a_    &lt;text&gt;&lt;/text&gt;_x000d__x000a_  &lt;/metadata&gt;_x000d__x000a_  &lt;metadata key=&quot;md_DocumentLocation&quot;&gt;_x000d__x000a_    &lt;basicdatatype&gt;_x000d__x000a_      &lt;location key=&quot;loc_01&quot; text=&quot;Brussels&quot; /&gt;_x000d__x000a_    &lt;/basicdatatype&gt;_x000d__x000a_  &lt;/metadata&gt;_x000d__x000a_  &lt;metadata key=&quot;md_DocumentDate&quot;&gt;_x000d__x000a_    &lt;text&gt;2023-05-04&lt;/text&gt;_x000d__x000a_  &lt;/metadata&gt;_x000d__x000a_  &lt;metadata key=&quot;md_Prefix&quot;&gt;_x000d__x000a_    &lt;text&gt;&lt;/text&gt;_x000d__x000a_  &lt;/metadata&gt;_x000d__x000a_  &lt;metadata key=&quot;md_DocumentNumber&quot;&gt;_x000d__x000a_    &lt;text&gt;9056&lt;/text&gt;_x000d__x000a_  &lt;/metadata&gt;_x000d__x000a_  &lt;metadata key=&quot;md_YearDocumentNumber&quot;&gt;_x000d__x000a_    &lt;text&gt;2023&lt;/text&gt;_x000d__x000a_  &lt;/metadata&gt;_x000d__x000a_  &lt;metadata key=&quot;md_Suffixes&quot;&gt;_x000d__x000a_    &lt;text&gt;&lt;/text&gt;_x000d__x000a_  &lt;/metadata&gt;_x000d__x000a_  &lt;metadata key=&quot;md_SuffixLanguagesInvolved&quot;&gt;_x000d__x000a_    &lt;text&gt;&lt;/text&gt;_x000d__x000a_  &lt;/metadata&gt;_x000d__x000a_  &lt;metadata key=&quot;md_FirstRevNumber&quot;&gt;_x000d__x000a_    &lt;text&gt;&lt;/text&gt;_x000d__x000a_  &lt;/metadata&gt;_x000d__x000a_  &lt;metadata key=&quot;md_Distribution&quot;&gt;_x000d__x000a_    &lt;basicdatatype&gt;_x000d__x000a_      &lt;distribution key=&quot;dis_01&quot; text=&quot;PUBLIC&quot; /&gt;_x000d__x000a_    &lt;/basicdatatype&gt;_x000d__x000a_  &lt;/metadata&gt;_x000d__x000a_  &lt;metadata key=&quot;md_SubjectCodes&quot;&gt;_x000d__x000a_    &lt;textlist&gt;_x000d__x000a_      &lt;text&gt;TRANS 179&lt;/text&gt;_x000d__x000a_      &lt;text&gt;ENV 467&lt;/text&gt;_x000d__x000a_      &lt;text&gt;FISC 78&lt;/text&gt;_x000d__x000a_      &lt;text&gt;CODEC 791&lt;/text&gt;_x000d__x000a_      &lt;text&gt;IA 96&lt;/text&gt;_x000d__x000a_    &lt;/textlist&gt;_x000d__x000a_  &lt;/metadata&gt;_x000d__x000a_  &lt;metadata key=&quot;md_Contact&quot; /&gt;_x000d__x000a_  &lt;metadata key=&quot;md_ContactPhoneFax&quot; /&gt;_x000d__x000a_  &lt;metadata key=&quot;md_MeetingVenue&quot; /&gt;_x000d__x000a_  &lt;metadata key=&quot;md_ProvisionalVersion&quot;&gt;_x000d__x000a_    &lt;text&gt;&lt;/text&gt;_x000d__x000a_  &lt;/metadata&gt;_x000d__x000a_  &lt;metadata key=&quot;md_PresidentInformation&quot; /&gt;_x000d__x000a_  &lt;metadata key=&quot;md_MeetingNumber&quot; /&gt;_x000d__x000a_  &lt;metadata key=&quot;md_CouncilConfiguration&quot; /&gt;_x000d__x000a_  &lt;metadata key=&quot;md_CouncilIssue&quot; /&gt;_x000d__x000a_  &lt;metadata key=&quot;md_PhoneNumber&quot; /&gt;_x000d__x000a_  &lt;metadata key=&quot;md_TypeOfHeading&quot;&gt;_x000d__x000a_    &lt;basicdatatype&gt;_x000d__x000a_      &lt;typeofheading key=&quot;&quot; /&gt;_x000d__x000a_    &lt;/basicdatatype&gt;_x000d__x000a_  &lt;/metadata&gt;_x000d__x000a_  &lt;metadata key=&quot;md_ReplyName&quot; /&gt;_x000d__x000a_  &lt;metadata key=&quot;md_EPQuestionsData&quot; /&gt;_x000d__x000a_  &lt;metadata key=&quot;md_Deadline&quot; /&gt;_x000d__x000a_  &lt;metadata key=&quot;md_InterinstitutionalFiles&quot;&gt;_x000d__x000a_    &lt;textlist&gt;_x000d__x000a_      &lt;text&gt;2023/0134(COD)&lt;/text&gt;_x000d__x000a_    &lt;/textlist&gt;_x000d__x000a_  &lt;/metadata&gt;_x000d__x000a_  &lt;metadata key=&quot;md_AdditionalReferences&quot;&gt;_x000d__x000a_    &lt;textlist /&gt;_x000d__x000a_  &lt;/metadata&gt;_x000d__x000a_  &lt;metadata key=&quot;md_LEXNumber&quot;&gt;_x000d__x000a_    &lt;text&gt;&lt;/text&gt;_x000d__x000a_  &lt;/metadata&gt;_x000d__x000a_  &lt;metadata key=&quot;md_SousEmbargo&quot;&gt;_x000d__x000a_    &lt;text&gt;&lt;/text&gt;_x000d__x000a_  &lt;/metadata&gt;_x000d__x000a_  &lt;metadata key=&quot;md_DraftVersion&quot;&gt;_x000d__x000a_    &lt;text&gt;&lt;/text&gt;_x000d__x000a_  &lt;/metadata&gt;_x000d__x000a_  &lt;metadata key=&quot;md_Originator&quot;&gt;_x000d__x000a_    &lt;basicdatatype&gt;_x000d__x000a_      &lt;originator key=&quot;or_33&quot; text=&quot;Secretary-General of the European Commission, signed by Ms Martine DEPREZ, Director&quot; /&gt;_x000d__x000a_    &lt;/basicdatatype&gt;_x000d__x000a_  &lt;/metadata&gt;_x000d__x000a_  &lt;metadata key=&quot;md_Recipient&quot;&gt;_x000d__x000a_    &lt;basicdatatype&gt;_x000d__x000a_      &lt;recipient key=&quot;re_47&quot; text=&quot;Ms Thérèse BLANCHET, Secretary-General of the Council of the European Union&quot; /&gt;_x000d__x000a_    &lt;/basicdatatype&gt;_x000d__x000a_  &lt;/metadata&gt;_x000d__x000a_  &lt;metadata key=&quot;md_DateOfReceipt&quot;&gt;_x000d__x000a_    &lt;text&gt;2023-05-04&lt;/text&gt;_x000d__x000a_  &lt;/metadata&gt;_x000d__x000a_  &lt;metadata key=&quot;md_FreeDate&quot;&gt;_x000d__x000a_    &lt;textlist /&gt;_x000d__x000a_  &lt;/metadata&gt;_x000d__x000a_  &lt;metadata key=&quot;md_PrecedingDocuments&quot;&gt;_x000d__x000a_    &lt;textlist /&gt;_x000d__x000a_  &lt;/metadata&gt;_x000d__x000a_  &lt;metadata key=&quot;md_CommissionDocuments&quot;&gt;_x000d__x000a_    &lt;textlist&gt;_x000d__x000a_      &lt;text&gt;COM(2023) 189 final&lt;/text&gt;_x000d__x000a_    &lt;/textlist&gt;_x000d__x000a_  &lt;/metadata&gt;_x000d__x000a_  &lt;metadata key=&quot;md_DocForDWNDCL&quot; /&gt;_x000d__x000a_  &lt;metadata key=&quot;md_Distribution_NewClassification&quot; /&gt;_x000d__x000a_  &lt;metadata key=&quot;md_DWNDCLAuthorization&quot; /&gt;_x000d__x000a_  &lt;metadata key=&quot;md_DateOfAuthorization&quot; /&gt;_x000d__x000a_  &lt;metadata key=&quot;md_MeetingLocation&quot; /&gt;_x000d__x000a_  &lt;metadata key=&quot;md_MeetingDate&quot; /&gt;_x000d__x000a_  &lt;metadata key=&quot;md_DateFormatOr&quot;&gt;_x000d__x000a_    &lt;text&gt;&lt;/text&gt;_x000d__x000a_  &lt;/metadata&gt;_x000d__x000a_  &lt;metadata key=&quot;md_MeetingInformation&quot; /&gt;_x000d__x000a_  &lt;metadata key=&quot;md_Item&quot; /&gt;_x000d__x000a_  &lt;metadata key=&quot;md_SubjectPrefix&quot;&gt;_x000d__x000a_    &lt;text&gt;&lt;/text&gt;_x000d__x000a_  &lt;/metadata&gt;_x000d__x000a_  &lt;metadata key=&quot;md_Subject&quot;&gt;_x000d__x000a_    &lt;xaml text=&quot;Proposal for a DIRECTIVE OF THE EUROPEAN PARLIAMENT AND OF THE COUNCIL amending Directive 1999/62/EC, Council Directive 1999/37/EC and Directive (EU) 2019/520 as regards the CO2 emission class of heavy-duty vehicles with trailers&quot;&gt;&amp;lt;FlowDocument FontFamily=&quot;Segoe UI&quot; FontSize=&quot;12&quot; PagePadding=&quot;2,2,2,2&quot; AllowDrop=&quot;False&quot; xmlns=&quot;http://schemas.microsoft.com/winfx/2006/xaml/presentation&quot;&amp;gt;&amp;lt;Paragraph&amp;gt;Proposal for a DIRECTIVE OF THE EUROPEAN PARLIAMENT AND OF THE COUNCIL amending Directive 1999/62/EC, Council Directive 1999/37/EC and Directive (EU) 2019/520 as regards the CO2 emission class of heavy-duty vehicles with trailers&amp;lt;/Paragraph&amp;gt;&amp;lt;/FlowDocument&amp;gt;&lt;/xaml&gt;_x000d__x000a_  &lt;/metadata&gt;_x000d__x000a_  &lt;metadata key=&quot;md_SubjectFootnote&quot; /&gt;_x000d__x000a_  &lt;metadata key=&quot;md_DG&quot;&gt;_x000d__x000a_    &lt;text&gt;TREE.2.A&lt;/text&gt;_x000d__x000a_  &lt;/metadata&gt;_x000d__x000a_  &lt;metadata key=&quot;md_Initials&quot;&gt;_x000d__x000a_    &lt;text&gt;SB/el&lt;/text&gt;_x000d__x000a_  &lt;/metadata&gt;_x000d__x000a_  &lt;metadata key=&quot;md_SensitivityLabel&quot;&gt;_x000d__x000a_    &lt;basicdatatype&gt;_x000d__x000a_      &lt;sensitivity_label key=&quot;senslabel_02&quot; text=&quot;NON-PUBLIC&quot; labelid=&quot;b1df41d6-74a9-4a97-809c-213cd32520cc&quot; siteid=&quot;03ad1c97-0a4d-4e82-8f93-27291a6a0767&quot; isdefault=&quot;true&quot; /&gt;_x000d__x000a_    &lt;/basicdatatype&gt;_x000d__x000a_  &lt;/metadata&gt;_x000d__x000a_  &lt;metadata key=&quot;md_RectifProcedureType&quot;&gt;_x000d__x000a_    &lt;basicdatatype&gt;_x000d__x000a_      &lt;rectifprocedure key=&quot;&quot; /&gt;_x000d__x000a_    &lt;/basicdatatype&gt;_x000d__x000a_  &lt;/metadata&gt;_x000d__x000a_  &lt;metadata key=&quot;md_RectifLanguagesBase&quot; /&gt;_x000d__x000a_  &lt;metadata key=&quot;md_RectifLanguagesConcerned&quot; /&gt;_x000d__x000a_  &lt;metadata key=&quot;md_RectifIsLangSpec&quot; /&gt;_x000d__x000a_  &lt;metadata key=&quot;md_RectifLangSpecValue&quot; /&gt;_x000d__x000a_  &lt;metadata key=&quot;md_RectifNumberOfMistakes&quot; /&gt;_x000d__x000a_  &lt;metadata key=&quot;md_RectifHasRemarks&quot; /&gt;_x000d__x000a_  &lt;metadata key=&quot;md_RectifUseDocRef&quot; /&gt;_x000d__x000a_  &lt;metadata key=&quot;md_RectifDocRefNumber&quot; /&gt;_x000d__x000a_  &lt;metadata key=&quot;md_RectifDocRefDate&quot; /&gt;_x000d__x000a_  &lt;metadata key=&quot;md_RectifUseOJRef&quot; /&gt;_x000d__x000a_  &lt;metadata key=&quot;md_RectifOJRefType&quot; /&gt;_x000d__x000a_  &lt;metadata key=&quot;md_RectifOJLRefNumber&quot; /&gt;_x000d__x000a_  &lt;metadata key=&quot;md_RectifOJCRefNumber&quot; /&gt;_x000d__x000a_  &lt;metadata key=&quot;md_RectifOJLRefDate&quot; /&gt;_x000d__x000a_  &lt;metadata key=&quot;md_RectifOJCRefDate&quot; /&gt;_x000d__x000a_  &lt;metadata key=&quot;md_RectifOJLRefPage&quot; /&gt;_x000d__x000a_  &lt;metadata key=&quot;md_RectifOJCRefPage&quot; /&gt;_x000d__x000a_  &lt;metadata key=&quot;md_RectifUseOJCorRef&quot; /&gt;_x000d__x000a_  &lt;metadata key=&quot;md_RectifOJCorRefNumber&quot; /&gt;_x000d__x000a_  &lt;metadata key=&quot;md_RectifOJCorRefDate&quot; /&gt;_x000d__x000a_  &lt;metadata key=&quot;md_RectifOJCorRefPage&quot; /&gt;_x000d__x000a_  &lt;metadata key=&quot;md_RectifTimeLimit&quot; /&gt;_x000d__x000a_  &lt;metadata key=&quot;md_RectifCodecision&quot; /&gt;_x000d__x000a_  &lt;metadata key=&quot;md_RectifCorrectionNewLang&quot; /&gt;_x000d__x000a_  &lt;metadata key=&quot;md_RectifAgreement&quot; /&gt;_x000d__x000a_  &lt;metadata key=&quot;md_RectifSignature&quot; /&gt;_x000d__x000a_  &lt;metadata key=&quot;md_RectifLastMergeDate&quot; /&gt;_x000d__x000a_  &lt;metadata key=&quot;md_Rectif_Source1_UniqueHeading&quot;&gt;_x000d__x000a_    &lt;basicdatatype&gt;_x000d__x000a_      &lt;text&gt;&lt;/text&gt;_x000d__x000a_    &lt;/basicdatatype&gt;_x000d__x000a_  &lt;/metadata&gt;_x000d__x000a_  &lt;metadata key=&quot;md_Rectif_Source1_DocumentType&quot;&gt;_x000d__x000a_    &lt;basicdatatype&gt;_x000d__x000a_      &lt;doc_type key=&quot;&quot; /&gt;_x000d__x000a_    &lt;/basicdatatype&gt;_x000d__x000a_  &lt;/metadata&gt;_x000d__x000a_  &lt;metadata key=&quot;md_Rectif_Source1_DocumentNumber&quot;&gt;_x000d__x000a_    &lt;text&gt;&lt;/text&gt;_x000d__x000a_  &lt;/metadata&gt;_x000d__x000a_  &lt;metadata key=&quot;md_Rectif_Source1_YearDocumentNumber&quot;&gt;_x000d__x000a_    &lt;text&gt;2023&lt;/text&gt;_x000d__x000a_  &lt;/metadata&gt;_x000d__x000a_  &lt;metadata key=&quot;md_Rectif_Source1_Suffixes&quot;&gt;_x000d__x000a_    &lt;text&gt;&lt;/text&gt;_x000d__x000a_  &lt;/metadata&gt;_x000d__x000a_  &lt;metadata key=&quot;md_Rectif_Source2_UniqueHeading&quot;&gt;_x000d__x000a_    &lt;basicdatatype&gt;_x000d__x000a_      &lt;text&gt;&lt;/text&gt;_x000d__x000a_    &lt;/basicdatatype&gt;_x000d__x000a_  &lt;/metadata&gt;_x000d__x000a_  &lt;metadata key=&quot;md_Rectif_Source2_DocumentType&quot;&gt;_x000d__x000a_    &lt;basicdatatype&gt;_x000d__x000a_      &lt;doc_type key=&quot;&quot; /&gt;_x000d__x000a_    &lt;/basicdatatype&gt;_x000d__x000a_  &lt;/metadata&gt;_x000d__x000a_  &lt;metadata key=&quot;md_Rectif_Source2_DocumentNumber&quot;&gt;_x000d__x000a_    &lt;text&gt;&lt;/text&gt;_x000d__x000a_  &lt;/metadata&gt;_x000d__x000a_  &lt;metadata key=&quot;md_Rectif_Source2_YearDocumentNumber&quot;&gt;_x000d__x000a_    &lt;text&gt;2023&lt;/text&gt;_x000d__x000a_  &lt;/metadata&gt;_x000d__x000a_  &lt;metadata key=&quot;md_Rectif_Source2_Suffixes&quot;&gt;_x000d__x000a_    &lt;text&gt;&lt;/text&gt;_x000d__x000a_  &lt;/metadata&gt;_x000d__x000a_  &lt;metadata key=&quot;md_CoverPageDocWithCouncilFooter&quot;&gt;_x000d__x000a_    &lt;text&gt;false&lt;/text&gt;_x000d__x000a_  &lt;/metadata&gt;_x000d__x000a_  &lt;metadata key=&quot;md_SourceDocLanguage&quot;&gt;_x000d__x000a_    &lt;text&gt;EN&lt;/text&gt;_x000d__x000a_  &lt;/metadata&gt;_x000d__x000a_  &lt;metadata key=&quot;md_SourceDocType&quot;&gt;_x000d__x000a_    &lt;text&gt;Proposal for a _x000d__x000a_DIRECTIVE OF THE EUROPEAN PARLIAMENT AND OF THE COUNCIL&lt;/text&gt;_x000d__x000a_  &lt;/metadata&gt;_x000d__x000a_  &lt;metadata key=&quot;md_SourceDocTitle&quot;&gt;_x000d__x000a_    &lt;text&gt;amending Directive 1999/62/EC, Council Directive 1999/37/EC and Directive (EU) 2019/520 as regards the CO2 emission class of heavy-duty vehicles with trailers_x000d__x000a_&lt;/text&gt;_x000d__x000a_  &lt;/metadata&gt;_x000d__x000a_  &lt;metadata key=&quot;md_SourceDocIsCECDoc&quot;&gt;_x000d__x000a_    &lt;text&gt;true&lt;/text&gt;_x000d__x000a_  &lt;/metadata&gt;_x000d__x000a_  &lt;metadata key=&quot;md_NB1&quot; /&gt;_x000d__x000a_  &lt;metadata key=&quot;md_NB2&quot; /&gt;_x000d__x000a_  &lt;metadata key=&quot;md_NB3&quot; /&gt;_x000d__x000a_  &lt;metadata key=&quot;md_NB4&quot; /&gt;_x000d__x000a_  &lt;metadata key=&quot;md_NB5&quot; /&gt;_x000d__x000a_  &lt;metadata key=&quot;md_CustomNB&quot; /&gt;_x000d__x000a_  &lt;metadata key=&quot;md_Meetings&quot;&gt;_x000d__x000a_    &lt;meetings /&gt;_x000d__x000a_  &lt;/metadata&gt;_x000d__x000a_  &lt;metadata key=&quot;md_VisualRepresentation&quot;&gt;_x000d__x000a_    &lt;basicdatatype&gt;_x000d__x000a_      &lt;originator key=&quot;visrep_02&quot; /&gt;_x000d__x000a_    &lt;/basicdatatype&gt;_x000d__x000a_  &lt;/metadata&gt;_x000d__x000a_  &lt;metadata key=&quot;md_LetterData&quot; /&gt;_x000d__x000a_  &lt;metadata key=&quot;md_InstFrSubWordmark&quot;&gt;_x000d__x000a_    &lt;xaml text=&quot;&quot;&gt;&amp;lt;FlowDocument FontFamily=&quot;Segoe UI&quot; FontSize=&quot;12&quot; PagePadding=&quot;2,2,2,2&quot; AllowDrop=&quot;False&quot; xmlns=&quot;http://schemas.microsoft.com/winfx/2006/xaml/presentation&quot; /&amp;gt;&lt;/xaml&gt;_x000d__x000a_  &lt;/metadata&gt;_x000d__x000a_  &lt;metadata key=&quot;md_WorkflowLinkStatus&quot;&gt;_x000d__x000a_    &lt;text&gt;Linked&lt;/text&gt;_x000d__x000a_  &lt;/metadata&gt;_x000d__x000a_  &lt;metadata key=&quot;md_eAgendaLinkStatus&quot; /&gt;_x000d__x000a_  &lt;metadata key=&quot;md_Caveat&quot;&gt;_x000d__x000a_    &lt;text&gt;&lt;/text&gt;_x000d__x000a_  &lt;/metadata&gt;_x000d__x000a_  &lt;metadata key=&quot;md_TechnicalKey&quot; /&gt;_x000d__x000a_&lt;/metadataset&gt;"/>
    <w:docVar w:name="DQCDateTime" w:val="2023-04-26 08:42:3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D5DD6B4A-1048-4A17-B96D-3E09E23312B1"/>
    <w:docVar w:name="LW_COVERPAGE_TYPE" w:val="1"/>
    <w:docVar w:name="LW_CROSSREFERENCE" w:val="&lt;UNUSED&gt;"/>
    <w:docVar w:name="LW_DocType" w:val="COM"/>
    <w:docVar w:name="LW_EMISSION" w:val="4.5.2023"/>
    <w:docVar w:name="LW_EMISSION_ISODATE" w:val="2023-05-04"/>
    <w:docVar w:name="LW_EMISSION_LOCATION" w:val="BRX"/>
    <w:docVar w:name="LW_EMISSION_PREFIX" w:val="Brussels, "/>
    <w:docVar w:name="LW_EMISSION_SUFFIX" w:val=" "/>
    <w:docVar w:name="LW_ID_DOCMODEL" w:val="SJ-024"/>
    <w:docVar w:name="LW_ID_DOCSIGNATURE" w:val="SJ-024"/>
    <w:docVar w:name="LW_ID_DOCSTRUCTURE" w:val="COM/PL/ORG"/>
    <w:docVar w:name="LW_ID_DOCTYPE" w:val="SJ-024"/>
    <w:docVar w:name="LW_ID_STATUT" w:val="SJ-024"/>
    <w:docVar w:name="LW_INSERT_EXP.MOTIFS.NEW" w:val="1"/>
    <w:docVar w:name="LW_INTERETEEE.CP" w:val="&lt;UNUSED&gt;"/>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34"/>
    <w:docVar w:name="LW_REF.II.NEW.CP_YEAR" w:val="2023"/>
    <w:docVar w:name="LW_REF.INST.NEW" w:val="COM"/>
    <w:docVar w:name="LW_REF.INST.NEW_ADOPTED" w:val="final"/>
    <w:docVar w:name="LW_REF.INST.NEW_TEXT" w:val="(2023) 189"/>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amending Directive 1999/62/EC, Council Directive 1999/37/EC and Directive (EU) 2019/520 as regards the CO2 emission class of heavy-duty vehicles with trailers_x000b_"/>
    <w:docVar w:name="LW_TYPE.DOC.CP" w:val="DIRECTIVE OF THE EUROPEAN PARLIAMENT AND OF THE COUNCIL"/>
    <w:docVar w:name="LwApiVersions" w:val="LW4CoDe 1.23.2.0; LW 8.0, Build 20211117"/>
  </w:docVars>
  <w:rsids>
    <w:rsidRoot w:val="001D54E7"/>
    <w:rsid w:val="000033FF"/>
    <w:rsid w:val="00010BB1"/>
    <w:rsid w:val="00010C86"/>
    <w:rsid w:val="000114B4"/>
    <w:rsid w:val="00011708"/>
    <w:rsid w:val="0001185B"/>
    <w:rsid w:val="00012A90"/>
    <w:rsid w:val="000136FC"/>
    <w:rsid w:val="00014D67"/>
    <w:rsid w:val="00017EA4"/>
    <w:rsid w:val="0002089A"/>
    <w:rsid w:val="0002114E"/>
    <w:rsid w:val="00022BE8"/>
    <w:rsid w:val="000246DC"/>
    <w:rsid w:val="00026E9E"/>
    <w:rsid w:val="00030498"/>
    <w:rsid w:val="00030534"/>
    <w:rsid w:val="000338B0"/>
    <w:rsid w:val="00034B53"/>
    <w:rsid w:val="00035942"/>
    <w:rsid w:val="00035DDE"/>
    <w:rsid w:val="00036115"/>
    <w:rsid w:val="00036BB6"/>
    <w:rsid w:val="00041239"/>
    <w:rsid w:val="00041E5C"/>
    <w:rsid w:val="00042604"/>
    <w:rsid w:val="000436A6"/>
    <w:rsid w:val="0004585C"/>
    <w:rsid w:val="000479BB"/>
    <w:rsid w:val="00047B9B"/>
    <w:rsid w:val="0005295E"/>
    <w:rsid w:val="00052E07"/>
    <w:rsid w:val="00053C89"/>
    <w:rsid w:val="000555EA"/>
    <w:rsid w:val="000562C7"/>
    <w:rsid w:val="00056C66"/>
    <w:rsid w:val="00056CE5"/>
    <w:rsid w:val="000612C2"/>
    <w:rsid w:val="000615B2"/>
    <w:rsid w:val="000646EF"/>
    <w:rsid w:val="000678B8"/>
    <w:rsid w:val="00067AA8"/>
    <w:rsid w:val="000701F3"/>
    <w:rsid w:val="00071D8B"/>
    <w:rsid w:val="0007292F"/>
    <w:rsid w:val="00074FFC"/>
    <w:rsid w:val="00075264"/>
    <w:rsid w:val="00076ABB"/>
    <w:rsid w:val="000775B3"/>
    <w:rsid w:val="00080FE1"/>
    <w:rsid w:val="00081905"/>
    <w:rsid w:val="00083BF4"/>
    <w:rsid w:val="000847BA"/>
    <w:rsid w:val="00084AEB"/>
    <w:rsid w:val="00087B29"/>
    <w:rsid w:val="00090625"/>
    <w:rsid w:val="00090970"/>
    <w:rsid w:val="00090EEB"/>
    <w:rsid w:val="00091417"/>
    <w:rsid w:val="00091932"/>
    <w:rsid w:val="00094B20"/>
    <w:rsid w:val="0009630A"/>
    <w:rsid w:val="00097C50"/>
    <w:rsid w:val="000A63BC"/>
    <w:rsid w:val="000A6844"/>
    <w:rsid w:val="000A7F80"/>
    <w:rsid w:val="000B0865"/>
    <w:rsid w:val="000B1691"/>
    <w:rsid w:val="000B202F"/>
    <w:rsid w:val="000B20E4"/>
    <w:rsid w:val="000B23DC"/>
    <w:rsid w:val="000B3696"/>
    <w:rsid w:val="000B4E00"/>
    <w:rsid w:val="000B5FF0"/>
    <w:rsid w:val="000B6083"/>
    <w:rsid w:val="000B73D7"/>
    <w:rsid w:val="000C0575"/>
    <w:rsid w:val="000C0EBA"/>
    <w:rsid w:val="000D0896"/>
    <w:rsid w:val="000D1450"/>
    <w:rsid w:val="000D2063"/>
    <w:rsid w:val="000D36D7"/>
    <w:rsid w:val="000D51D9"/>
    <w:rsid w:val="000D7525"/>
    <w:rsid w:val="000E16FA"/>
    <w:rsid w:val="000E19AF"/>
    <w:rsid w:val="000E29A6"/>
    <w:rsid w:val="000E34C7"/>
    <w:rsid w:val="000E36B2"/>
    <w:rsid w:val="000E36DE"/>
    <w:rsid w:val="000E426E"/>
    <w:rsid w:val="000E43E6"/>
    <w:rsid w:val="000E5A32"/>
    <w:rsid w:val="000E69BD"/>
    <w:rsid w:val="000E69F0"/>
    <w:rsid w:val="000F11EC"/>
    <w:rsid w:val="000F3013"/>
    <w:rsid w:val="000F4A2B"/>
    <w:rsid w:val="000F50B7"/>
    <w:rsid w:val="000F6119"/>
    <w:rsid w:val="000F6DA3"/>
    <w:rsid w:val="00104D7E"/>
    <w:rsid w:val="00105C8C"/>
    <w:rsid w:val="001065F5"/>
    <w:rsid w:val="00106BAF"/>
    <w:rsid w:val="00106F65"/>
    <w:rsid w:val="00111866"/>
    <w:rsid w:val="00112990"/>
    <w:rsid w:val="00113201"/>
    <w:rsid w:val="0011380A"/>
    <w:rsid w:val="001156AB"/>
    <w:rsid w:val="001178E4"/>
    <w:rsid w:val="001209C8"/>
    <w:rsid w:val="00121494"/>
    <w:rsid w:val="001229EB"/>
    <w:rsid w:val="0012326A"/>
    <w:rsid w:val="00123335"/>
    <w:rsid w:val="001238EF"/>
    <w:rsid w:val="00125EC3"/>
    <w:rsid w:val="0012617C"/>
    <w:rsid w:val="00126C6C"/>
    <w:rsid w:val="00126DA3"/>
    <w:rsid w:val="00130C25"/>
    <w:rsid w:val="00131413"/>
    <w:rsid w:val="001320AB"/>
    <w:rsid w:val="00132BF0"/>
    <w:rsid w:val="00134D00"/>
    <w:rsid w:val="001373DC"/>
    <w:rsid w:val="00140042"/>
    <w:rsid w:val="00142A70"/>
    <w:rsid w:val="0014328D"/>
    <w:rsid w:val="0014334D"/>
    <w:rsid w:val="001436E8"/>
    <w:rsid w:val="00143725"/>
    <w:rsid w:val="00147914"/>
    <w:rsid w:val="00150CE2"/>
    <w:rsid w:val="00150F58"/>
    <w:rsid w:val="0015108E"/>
    <w:rsid w:val="001536E0"/>
    <w:rsid w:val="00155E17"/>
    <w:rsid w:val="001625A1"/>
    <w:rsid w:val="001627DA"/>
    <w:rsid w:val="0016408C"/>
    <w:rsid w:val="0016465C"/>
    <w:rsid w:val="00165DB9"/>
    <w:rsid w:val="001664E9"/>
    <w:rsid w:val="00172F20"/>
    <w:rsid w:val="00175368"/>
    <w:rsid w:val="001758D9"/>
    <w:rsid w:val="00176002"/>
    <w:rsid w:val="00176221"/>
    <w:rsid w:val="00177684"/>
    <w:rsid w:val="00177E07"/>
    <w:rsid w:val="0018245A"/>
    <w:rsid w:val="00182BA2"/>
    <w:rsid w:val="0018321A"/>
    <w:rsid w:val="00183A7A"/>
    <w:rsid w:val="00184C8E"/>
    <w:rsid w:val="00184F27"/>
    <w:rsid w:val="00186913"/>
    <w:rsid w:val="00186958"/>
    <w:rsid w:val="001916A4"/>
    <w:rsid w:val="001933FC"/>
    <w:rsid w:val="0019452E"/>
    <w:rsid w:val="00194E64"/>
    <w:rsid w:val="001951A1"/>
    <w:rsid w:val="00197613"/>
    <w:rsid w:val="00197C47"/>
    <w:rsid w:val="001A0305"/>
    <w:rsid w:val="001A3AE1"/>
    <w:rsid w:val="001A3DFB"/>
    <w:rsid w:val="001A4764"/>
    <w:rsid w:val="001B0323"/>
    <w:rsid w:val="001B1038"/>
    <w:rsid w:val="001B6688"/>
    <w:rsid w:val="001B6689"/>
    <w:rsid w:val="001B66D1"/>
    <w:rsid w:val="001B7546"/>
    <w:rsid w:val="001B7F2A"/>
    <w:rsid w:val="001C01C6"/>
    <w:rsid w:val="001C1A79"/>
    <w:rsid w:val="001C24FE"/>
    <w:rsid w:val="001C3B40"/>
    <w:rsid w:val="001C5215"/>
    <w:rsid w:val="001D4ED9"/>
    <w:rsid w:val="001D51C4"/>
    <w:rsid w:val="001D54E7"/>
    <w:rsid w:val="001D5A64"/>
    <w:rsid w:val="001D5DB5"/>
    <w:rsid w:val="001D67FF"/>
    <w:rsid w:val="001E00FD"/>
    <w:rsid w:val="001E0DC3"/>
    <w:rsid w:val="001E0F8D"/>
    <w:rsid w:val="001E43FC"/>
    <w:rsid w:val="001E461A"/>
    <w:rsid w:val="001E48D0"/>
    <w:rsid w:val="001E4CD9"/>
    <w:rsid w:val="001E50AE"/>
    <w:rsid w:val="001E5BC5"/>
    <w:rsid w:val="001E765D"/>
    <w:rsid w:val="001E7B00"/>
    <w:rsid w:val="001E7C82"/>
    <w:rsid w:val="001F100A"/>
    <w:rsid w:val="001F2639"/>
    <w:rsid w:val="00200264"/>
    <w:rsid w:val="00202B7F"/>
    <w:rsid w:val="00211C2E"/>
    <w:rsid w:val="0021393F"/>
    <w:rsid w:val="002158B3"/>
    <w:rsid w:val="0021605F"/>
    <w:rsid w:val="002173AC"/>
    <w:rsid w:val="00217461"/>
    <w:rsid w:val="0022032B"/>
    <w:rsid w:val="0022183E"/>
    <w:rsid w:val="00221FFA"/>
    <w:rsid w:val="0022354B"/>
    <w:rsid w:val="002247ED"/>
    <w:rsid w:val="00224CCA"/>
    <w:rsid w:val="00226616"/>
    <w:rsid w:val="00231C8C"/>
    <w:rsid w:val="002323FE"/>
    <w:rsid w:val="00233B41"/>
    <w:rsid w:val="00233DC7"/>
    <w:rsid w:val="00234E30"/>
    <w:rsid w:val="002370FF"/>
    <w:rsid w:val="00244002"/>
    <w:rsid w:val="002445B9"/>
    <w:rsid w:val="0024661C"/>
    <w:rsid w:val="00247779"/>
    <w:rsid w:val="0025076C"/>
    <w:rsid w:val="00250E61"/>
    <w:rsid w:val="0025107E"/>
    <w:rsid w:val="00252186"/>
    <w:rsid w:val="0025394D"/>
    <w:rsid w:val="00254D18"/>
    <w:rsid w:val="00255281"/>
    <w:rsid w:val="00255EBE"/>
    <w:rsid w:val="00256603"/>
    <w:rsid w:val="0025762F"/>
    <w:rsid w:val="00257BEC"/>
    <w:rsid w:val="002624A6"/>
    <w:rsid w:val="00263F0F"/>
    <w:rsid w:val="00266245"/>
    <w:rsid w:val="00267453"/>
    <w:rsid w:val="00267701"/>
    <w:rsid w:val="0027002B"/>
    <w:rsid w:val="00270FA6"/>
    <w:rsid w:val="00271A77"/>
    <w:rsid w:val="00272063"/>
    <w:rsid w:val="00276014"/>
    <w:rsid w:val="0027724F"/>
    <w:rsid w:val="00277846"/>
    <w:rsid w:val="00277BBF"/>
    <w:rsid w:val="00282869"/>
    <w:rsid w:val="00285BCB"/>
    <w:rsid w:val="00285BEE"/>
    <w:rsid w:val="0029081E"/>
    <w:rsid w:val="00290D5B"/>
    <w:rsid w:val="00291153"/>
    <w:rsid w:val="00292BE4"/>
    <w:rsid w:val="00293044"/>
    <w:rsid w:val="00294339"/>
    <w:rsid w:val="0029533F"/>
    <w:rsid w:val="002A0B8E"/>
    <w:rsid w:val="002A0F43"/>
    <w:rsid w:val="002A2F7C"/>
    <w:rsid w:val="002A3109"/>
    <w:rsid w:val="002A6733"/>
    <w:rsid w:val="002A6EF5"/>
    <w:rsid w:val="002B1C5D"/>
    <w:rsid w:val="002B2BEE"/>
    <w:rsid w:val="002B30AF"/>
    <w:rsid w:val="002B35FD"/>
    <w:rsid w:val="002B3872"/>
    <w:rsid w:val="002B399D"/>
    <w:rsid w:val="002B49BD"/>
    <w:rsid w:val="002B4D6D"/>
    <w:rsid w:val="002B6F75"/>
    <w:rsid w:val="002C12CA"/>
    <w:rsid w:val="002C25DD"/>
    <w:rsid w:val="002C278F"/>
    <w:rsid w:val="002C648E"/>
    <w:rsid w:val="002C6F25"/>
    <w:rsid w:val="002D1366"/>
    <w:rsid w:val="002D7BAD"/>
    <w:rsid w:val="002E030F"/>
    <w:rsid w:val="002E031B"/>
    <w:rsid w:val="002E290C"/>
    <w:rsid w:val="002E2D4C"/>
    <w:rsid w:val="002E3D86"/>
    <w:rsid w:val="002E6084"/>
    <w:rsid w:val="002E75A2"/>
    <w:rsid w:val="002E7A2D"/>
    <w:rsid w:val="002F00F8"/>
    <w:rsid w:val="002F09A7"/>
    <w:rsid w:val="002F0D3E"/>
    <w:rsid w:val="002F19BE"/>
    <w:rsid w:val="002F4A59"/>
    <w:rsid w:val="002F4F98"/>
    <w:rsid w:val="002F7977"/>
    <w:rsid w:val="00300735"/>
    <w:rsid w:val="003039DD"/>
    <w:rsid w:val="00303CBD"/>
    <w:rsid w:val="00303ED7"/>
    <w:rsid w:val="00305D55"/>
    <w:rsid w:val="00306037"/>
    <w:rsid w:val="0030713E"/>
    <w:rsid w:val="00311B82"/>
    <w:rsid w:val="00314A25"/>
    <w:rsid w:val="00314B25"/>
    <w:rsid w:val="00316B79"/>
    <w:rsid w:val="003171E3"/>
    <w:rsid w:val="003173F0"/>
    <w:rsid w:val="003212DB"/>
    <w:rsid w:val="003218E5"/>
    <w:rsid w:val="0032283B"/>
    <w:rsid w:val="00322E4F"/>
    <w:rsid w:val="003231E3"/>
    <w:rsid w:val="00323315"/>
    <w:rsid w:val="00323458"/>
    <w:rsid w:val="003267B0"/>
    <w:rsid w:val="003267F3"/>
    <w:rsid w:val="003268FA"/>
    <w:rsid w:val="0033344A"/>
    <w:rsid w:val="00335DF3"/>
    <w:rsid w:val="003368E5"/>
    <w:rsid w:val="00336AE8"/>
    <w:rsid w:val="0033768B"/>
    <w:rsid w:val="00337F82"/>
    <w:rsid w:val="00340470"/>
    <w:rsid w:val="0034060D"/>
    <w:rsid w:val="00342ED6"/>
    <w:rsid w:val="00343945"/>
    <w:rsid w:val="00344B72"/>
    <w:rsid w:val="00345B15"/>
    <w:rsid w:val="00346F3D"/>
    <w:rsid w:val="0034708F"/>
    <w:rsid w:val="0034754F"/>
    <w:rsid w:val="00354E66"/>
    <w:rsid w:val="00360176"/>
    <w:rsid w:val="003606DA"/>
    <w:rsid w:val="0036145B"/>
    <w:rsid w:val="00364C95"/>
    <w:rsid w:val="00364D6B"/>
    <w:rsid w:val="00364D7A"/>
    <w:rsid w:val="00365226"/>
    <w:rsid w:val="00371E37"/>
    <w:rsid w:val="00372DC6"/>
    <w:rsid w:val="00374CDC"/>
    <w:rsid w:val="00382588"/>
    <w:rsid w:val="00383696"/>
    <w:rsid w:val="003853C9"/>
    <w:rsid w:val="00385454"/>
    <w:rsid w:val="003858F1"/>
    <w:rsid w:val="00385E82"/>
    <w:rsid w:val="00391C4F"/>
    <w:rsid w:val="003923D4"/>
    <w:rsid w:val="00392FDD"/>
    <w:rsid w:val="003944C2"/>
    <w:rsid w:val="00394C19"/>
    <w:rsid w:val="00395AA1"/>
    <w:rsid w:val="00395C50"/>
    <w:rsid w:val="00396591"/>
    <w:rsid w:val="003A0689"/>
    <w:rsid w:val="003A1194"/>
    <w:rsid w:val="003A525A"/>
    <w:rsid w:val="003A606C"/>
    <w:rsid w:val="003A6176"/>
    <w:rsid w:val="003A65A0"/>
    <w:rsid w:val="003A6BCF"/>
    <w:rsid w:val="003B00E9"/>
    <w:rsid w:val="003B1881"/>
    <w:rsid w:val="003B3394"/>
    <w:rsid w:val="003B5E53"/>
    <w:rsid w:val="003C0608"/>
    <w:rsid w:val="003C11D1"/>
    <w:rsid w:val="003C2274"/>
    <w:rsid w:val="003C30EB"/>
    <w:rsid w:val="003C5768"/>
    <w:rsid w:val="003C5F94"/>
    <w:rsid w:val="003C616C"/>
    <w:rsid w:val="003D024C"/>
    <w:rsid w:val="003D368F"/>
    <w:rsid w:val="003D37FA"/>
    <w:rsid w:val="003D4F77"/>
    <w:rsid w:val="003D7728"/>
    <w:rsid w:val="003E16DB"/>
    <w:rsid w:val="003E23B5"/>
    <w:rsid w:val="003E24E3"/>
    <w:rsid w:val="003E3750"/>
    <w:rsid w:val="003E3C5C"/>
    <w:rsid w:val="003E5386"/>
    <w:rsid w:val="003E6A4E"/>
    <w:rsid w:val="003E7124"/>
    <w:rsid w:val="003E75EA"/>
    <w:rsid w:val="003E778C"/>
    <w:rsid w:val="003F05DD"/>
    <w:rsid w:val="003F1774"/>
    <w:rsid w:val="003F1811"/>
    <w:rsid w:val="003F1ABE"/>
    <w:rsid w:val="003F5C03"/>
    <w:rsid w:val="003F7D4B"/>
    <w:rsid w:val="004016A9"/>
    <w:rsid w:val="00401E9E"/>
    <w:rsid w:val="004070F3"/>
    <w:rsid w:val="00407B75"/>
    <w:rsid w:val="00413238"/>
    <w:rsid w:val="004135B5"/>
    <w:rsid w:val="00413B9D"/>
    <w:rsid w:val="00414F41"/>
    <w:rsid w:val="004160A2"/>
    <w:rsid w:val="004169A3"/>
    <w:rsid w:val="00416C6E"/>
    <w:rsid w:val="00416EBB"/>
    <w:rsid w:val="00420D09"/>
    <w:rsid w:val="00421723"/>
    <w:rsid w:val="0042648E"/>
    <w:rsid w:val="0042690B"/>
    <w:rsid w:val="00426A09"/>
    <w:rsid w:val="00426BAA"/>
    <w:rsid w:val="00430D0D"/>
    <w:rsid w:val="00430F47"/>
    <w:rsid w:val="00431375"/>
    <w:rsid w:val="004317AF"/>
    <w:rsid w:val="004324D6"/>
    <w:rsid w:val="00435016"/>
    <w:rsid w:val="00435050"/>
    <w:rsid w:val="00436264"/>
    <w:rsid w:val="004402B2"/>
    <w:rsid w:val="00441768"/>
    <w:rsid w:val="004418FE"/>
    <w:rsid w:val="004424C1"/>
    <w:rsid w:val="00444F36"/>
    <w:rsid w:val="0044592E"/>
    <w:rsid w:val="00447FEE"/>
    <w:rsid w:val="00450AB4"/>
    <w:rsid w:val="004521F2"/>
    <w:rsid w:val="00452504"/>
    <w:rsid w:val="0045360C"/>
    <w:rsid w:val="00454865"/>
    <w:rsid w:val="004551DC"/>
    <w:rsid w:val="0045635D"/>
    <w:rsid w:val="00460A01"/>
    <w:rsid w:val="0046568F"/>
    <w:rsid w:val="00466D31"/>
    <w:rsid w:val="00466DB5"/>
    <w:rsid w:val="00466E5C"/>
    <w:rsid w:val="0047602D"/>
    <w:rsid w:val="00477F83"/>
    <w:rsid w:val="004800F9"/>
    <w:rsid w:val="00480906"/>
    <w:rsid w:val="00482B72"/>
    <w:rsid w:val="00482FDC"/>
    <w:rsid w:val="0048373C"/>
    <w:rsid w:val="00483889"/>
    <w:rsid w:val="00483ECA"/>
    <w:rsid w:val="00484416"/>
    <w:rsid w:val="00485428"/>
    <w:rsid w:val="00486DE1"/>
    <w:rsid w:val="004870A8"/>
    <w:rsid w:val="00491DF4"/>
    <w:rsid w:val="00492A20"/>
    <w:rsid w:val="004933B3"/>
    <w:rsid w:val="00493400"/>
    <w:rsid w:val="004936D2"/>
    <w:rsid w:val="0049565A"/>
    <w:rsid w:val="004A0FDE"/>
    <w:rsid w:val="004A48A2"/>
    <w:rsid w:val="004A5255"/>
    <w:rsid w:val="004A6482"/>
    <w:rsid w:val="004A6FEE"/>
    <w:rsid w:val="004A7BF6"/>
    <w:rsid w:val="004B1434"/>
    <w:rsid w:val="004B1FE8"/>
    <w:rsid w:val="004B3C64"/>
    <w:rsid w:val="004B4F04"/>
    <w:rsid w:val="004B5B28"/>
    <w:rsid w:val="004B5DAD"/>
    <w:rsid w:val="004C1524"/>
    <w:rsid w:val="004C177A"/>
    <w:rsid w:val="004C3003"/>
    <w:rsid w:val="004C3F9F"/>
    <w:rsid w:val="004C4210"/>
    <w:rsid w:val="004C6260"/>
    <w:rsid w:val="004C62AE"/>
    <w:rsid w:val="004C638D"/>
    <w:rsid w:val="004C7122"/>
    <w:rsid w:val="004D019C"/>
    <w:rsid w:val="004D29D5"/>
    <w:rsid w:val="004D303F"/>
    <w:rsid w:val="004D34A6"/>
    <w:rsid w:val="004D41B3"/>
    <w:rsid w:val="004E05BD"/>
    <w:rsid w:val="004E06A8"/>
    <w:rsid w:val="004E104E"/>
    <w:rsid w:val="004E186C"/>
    <w:rsid w:val="004E2F52"/>
    <w:rsid w:val="004E3E17"/>
    <w:rsid w:val="004E5F89"/>
    <w:rsid w:val="004E6151"/>
    <w:rsid w:val="004E6281"/>
    <w:rsid w:val="004E67E4"/>
    <w:rsid w:val="004E77FD"/>
    <w:rsid w:val="004E7A9A"/>
    <w:rsid w:val="004F0010"/>
    <w:rsid w:val="004F008F"/>
    <w:rsid w:val="004F0F4F"/>
    <w:rsid w:val="004F1EC2"/>
    <w:rsid w:val="004F2931"/>
    <w:rsid w:val="004F393C"/>
    <w:rsid w:val="004F5362"/>
    <w:rsid w:val="004F5595"/>
    <w:rsid w:val="00503B9B"/>
    <w:rsid w:val="00504CDE"/>
    <w:rsid w:val="0050673C"/>
    <w:rsid w:val="00510101"/>
    <w:rsid w:val="005121CB"/>
    <w:rsid w:val="005133A2"/>
    <w:rsid w:val="00515167"/>
    <w:rsid w:val="00515404"/>
    <w:rsid w:val="0051548E"/>
    <w:rsid w:val="005155B6"/>
    <w:rsid w:val="00515E4C"/>
    <w:rsid w:val="0051621C"/>
    <w:rsid w:val="005200F5"/>
    <w:rsid w:val="005244A1"/>
    <w:rsid w:val="00525DCF"/>
    <w:rsid w:val="00526E99"/>
    <w:rsid w:val="00527C3D"/>
    <w:rsid w:val="005318D6"/>
    <w:rsid w:val="00531D7A"/>
    <w:rsid w:val="0053233D"/>
    <w:rsid w:val="00537F84"/>
    <w:rsid w:val="00540F2B"/>
    <w:rsid w:val="0054128F"/>
    <w:rsid w:val="00542013"/>
    <w:rsid w:val="00544707"/>
    <w:rsid w:val="005460BC"/>
    <w:rsid w:val="00546AAB"/>
    <w:rsid w:val="00546D49"/>
    <w:rsid w:val="00547622"/>
    <w:rsid w:val="00553C8F"/>
    <w:rsid w:val="00554F88"/>
    <w:rsid w:val="005603DA"/>
    <w:rsid w:val="005606D0"/>
    <w:rsid w:val="005608E1"/>
    <w:rsid w:val="00561A9E"/>
    <w:rsid w:val="00562073"/>
    <w:rsid w:val="0056345B"/>
    <w:rsid w:val="00564DE3"/>
    <w:rsid w:val="00565E59"/>
    <w:rsid w:val="005665FB"/>
    <w:rsid w:val="0057139C"/>
    <w:rsid w:val="0057302B"/>
    <w:rsid w:val="0057325E"/>
    <w:rsid w:val="00573A04"/>
    <w:rsid w:val="00573F2A"/>
    <w:rsid w:val="00577045"/>
    <w:rsid w:val="00577EEE"/>
    <w:rsid w:val="00580DF0"/>
    <w:rsid w:val="005817CC"/>
    <w:rsid w:val="00583AA3"/>
    <w:rsid w:val="00586092"/>
    <w:rsid w:val="00587BEC"/>
    <w:rsid w:val="00591805"/>
    <w:rsid w:val="0059425E"/>
    <w:rsid w:val="00594B56"/>
    <w:rsid w:val="00594E18"/>
    <w:rsid w:val="00596143"/>
    <w:rsid w:val="00597171"/>
    <w:rsid w:val="005974A4"/>
    <w:rsid w:val="005A1CEA"/>
    <w:rsid w:val="005A297A"/>
    <w:rsid w:val="005A342F"/>
    <w:rsid w:val="005A4032"/>
    <w:rsid w:val="005A4637"/>
    <w:rsid w:val="005A5C18"/>
    <w:rsid w:val="005A720D"/>
    <w:rsid w:val="005A7C0C"/>
    <w:rsid w:val="005B0568"/>
    <w:rsid w:val="005B115A"/>
    <w:rsid w:val="005B1DBA"/>
    <w:rsid w:val="005B1EB6"/>
    <w:rsid w:val="005B4C01"/>
    <w:rsid w:val="005B73B6"/>
    <w:rsid w:val="005B790C"/>
    <w:rsid w:val="005B7A40"/>
    <w:rsid w:val="005B7EBE"/>
    <w:rsid w:val="005C0443"/>
    <w:rsid w:val="005C17C2"/>
    <w:rsid w:val="005C2161"/>
    <w:rsid w:val="005C3F6D"/>
    <w:rsid w:val="005C5B29"/>
    <w:rsid w:val="005C65CE"/>
    <w:rsid w:val="005C663E"/>
    <w:rsid w:val="005C6973"/>
    <w:rsid w:val="005C7358"/>
    <w:rsid w:val="005C7B2E"/>
    <w:rsid w:val="005D085D"/>
    <w:rsid w:val="005D0BBD"/>
    <w:rsid w:val="005D3439"/>
    <w:rsid w:val="005E0930"/>
    <w:rsid w:val="005E2340"/>
    <w:rsid w:val="005E3551"/>
    <w:rsid w:val="005E4A6B"/>
    <w:rsid w:val="005E5560"/>
    <w:rsid w:val="005E679C"/>
    <w:rsid w:val="005E7366"/>
    <w:rsid w:val="005F1D1D"/>
    <w:rsid w:val="005F23E7"/>
    <w:rsid w:val="005F4987"/>
    <w:rsid w:val="005F4A93"/>
    <w:rsid w:val="005F4D67"/>
    <w:rsid w:val="005F4FA0"/>
    <w:rsid w:val="005F5186"/>
    <w:rsid w:val="00600EAE"/>
    <w:rsid w:val="006016E3"/>
    <w:rsid w:val="00602CF0"/>
    <w:rsid w:val="0060332A"/>
    <w:rsid w:val="006068AD"/>
    <w:rsid w:val="00607E23"/>
    <w:rsid w:val="00612146"/>
    <w:rsid w:val="006126ED"/>
    <w:rsid w:val="00616249"/>
    <w:rsid w:val="00616AE1"/>
    <w:rsid w:val="006175D8"/>
    <w:rsid w:val="00617796"/>
    <w:rsid w:val="006204D9"/>
    <w:rsid w:val="006270A0"/>
    <w:rsid w:val="00627523"/>
    <w:rsid w:val="006320BE"/>
    <w:rsid w:val="00632FA1"/>
    <w:rsid w:val="00634F20"/>
    <w:rsid w:val="0063652E"/>
    <w:rsid w:val="00642916"/>
    <w:rsid w:val="00642A20"/>
    <w:rsid w:val="006441FE"/>
    <w:rsid w:val="00644B20"/>
    <w:rsid w:val="00645C54"/>
    <w:rsid w:val="00645DD4"/>
    <w:rsid w:val="0064618C"/>
    <w:rsid w:val="00646FB3"/>
    <w:rsid w:val="006474F5"/>
    <w:rsid w:val="0065022E"/>
    <w:rsid w:val="00652CF7"/>
    <w:rsid w:val="006532B8"/>
    <w:rsid w:val="00654631"/>
    <w:rsid w:val="00656A32"/>
    <w:rsid w:val="0065780E"/>
    <w:rsid w:val="006621A0"/>
    <w:rsid w:val="00663BB5"/>
    <w:rsid w:val="006649C5"/>
    <w:rsid w:val="00666513"/>
    <w:rsid w:val="00666F47"/>
    <w:rsid w:val="00671357"/>
    <w:rsid w:val="00671473"/>
    <w:rsid w:val="00674459"/>
    <w:rsid w:val="006749EE"/>
    <w:rsid w:val="00675C9D"/>
    <w:rsid w:val="00676812"/>
    <w:rsid w:val="006800D5"/>
    <w:rsid w:val="00680B7A"/>
    <w:rsid w:val="00680C89"/>
    <w:rsid w:val="00683B19"/>
    <w:rsid w:val="00683EAA"/>
    <w:rsid w:val="006845D1"/>
    <w:rsid w:val="00686E9A"/>
    <w:rsid w:val="00687321"/>
    <w:rsid w:val="006925CB"/>
    <w:rsid w:val="0069290C"/>
    <w:rsid w:val="006936DE"/>
    <w:rsid w:val="00693C53"/>
    <w:rsid w:val="0069453E"/>
    <w:rsid w:val="00697991"/>
    <w:rsid w:val="006A009B"/>
    <w:rsid w:val="006A160C"/>
    <w:rsid w:val="006A1E8E"/>
    <w:rsid w:val="006A27CB"/>
    <w:rsid w:val="006A39DF"/>
    <w:rsid w:val="006B0AAD"/>
    <w:rsid w:val="006B317A"/>
    <w:rsid w:val="006B51E5"/>
    <w:rsid w:val="006B53B7"/>
    <w:rsid w:val="006B5757"/>
    <w:rsid w:val="006B706C"/>
    <w:rsid w:val="006C60E2"/>
    <w:rsid w:val="006C67F4"/>
    <w:rsid w:val="006C6F8F"/>
    <w:rsid w:val="006D0EC4"/>
    <w:rsid w:val="006D36D1"/>
    <w:rsid w:val="006D3CCA"/>
    <w:rsid w:val="006D557C"/>
    <w:rsid w:val="006D561D"/>
    <w:rsid w:val="006D5A54"/>
    <w:rsid w:val="006D5EBA"/>
    <w:rsid w:val="006D6BAB"/>
    <w:rsid w:val="006D702C"/>
    <w:rsid w:val="006D72E3"/>
    <w:rsid w:val="006E0239"/>
    <w:rsid w:val="006E0C69"/>
    <w:rsid w:val="006E17B6"/>
    <w:rsid w:val="006E36C7"/>
    <w:rsid w:val="006E47D6"/>
    <w:rsid w:val="006E5A90"/>
    <w:rsid w:val="006E5B78"/>
    <w:rsid w:val="006E69FA"/>
    <w:rsid w:val="006E7A87"/>
    <w:rsid w:val="006F1B10"/>
    <w:rsid w:val="006F42A1"/>
    <w:rsid w:val="006F54A9"/>
    <w:rsid w:val="006F712D"/>
    <w:rsid w:val="006F7E28"/>
    <w:rsid w:val="0070136F"/>
    <w:rsid w:val="00707B9E"/>
    <w:rsid w:val="0071056E"/>
    <w:rsid w:val="007131EC"/>
    <w:rsid w:val="00713FAA"/>
    <w:rsid w:val="00714AEC"/>
    <w:rsid w:val="007165D2"/>
    <w:rsid w:val="00720C4C"/>
    <w:rsid w:val="007239F9"/>
    <w:rsid w:val="00723AAA"/>
    <w:rsid w:val="007272E2"/>
    <w:rsid w:val="00727F24"/>
    <w:rsid w:val="007302F1"/>
    <w:rsid w:val="00733212"/>
    <w:rsid w:val="007337D0"/>
    <w:rsid w:val="00735254"/>
    <w:rsid w:val="00735E86"/>
    <w:rsid w:val="00735EE2"/>
    <w:rsid w:val="00737B90"/>
    <w:rsid w:val="00737F56"/>
    <w:rsid w:val="007402DB"/>
    <w:rsid w:val="00740C02"/>
    <w:rsid w:val="0074179A"/>
    <w:rsid w:val="00741D7A"/>
    <w:rsid w:val="00742FB5"/>
    <w:rsid w:val="00743521"/>
    <w:rsid w:val="00745810"/>
    <w:rsid w:val="007526A0"/>
    <w:rsid w:val="00752CB6"/>
    <w:rsid w:val="0075302D"/>
    <w:rsid w:val="00753DEE"/>
    <w:rsid w:val="007541E1"/>
    <w:rsid w:val="00754DA3"/>
    <w:rsid w:val="00756DF5"/>
    <w:rsid w:val="00757275"/>
    <w:rsid w:val="0075729C"/>
    <w:rsid w:val="00760A24"/>
    <w:rsid w:val="00770060"/>
    <w:rsid w:val="00772141"/>
    <w:rsid w:val="00772E0C"/>
    <w:rsid w:val="00773331"/>
    <w:rsid w:val="007766F0"/>
    <w:rsid w:val="007802DB"/>
    <w:rsid w:val="00783E24"/>
    <w:rsid w:val="007841A3"/>
    <w:rsid w:val="00784A07"/>
    <w:rsid w:val="00784CE0"/>
    <w:rsid w:val="00785223"/>
    <w:rsid w:val="00785594"/>
    <w:rsid w:val="00786BD0"/>
    <w:rsid w:val="00787B37"/>
    <w:rsid w:val="007904C0"/>
    <w:rsid w:val="007910A8"/>
    <w:rsid w:val="0079119D"/>
    <w:rsid w:val="00792C2C"/>
    <w:rsid w:val="007932EF"/>
    <w:rsid w:val="00793A2F"/>
    <w:rsid w:val="007942B7"/>
    <w:rsid w:val="00794A94"/>
    <w:rsid w:val="00794DAD"/>
    <w:rsid w:val="00795E85"/>
    <w:rsid w:val="00796078"/>
    <w:rsid w:val="00796A9D"/>
    <w:rsid w:val="007A1477"/>
    <w:rsid w:val="007A1B42"/>
    <w:rsid w:val="007A1EA9"/>
    <w:rsid w:val="007A51CF"/>
    <w:rsid w:val="007A6CDC"/>
    <w:rsid w:val="007A7402"/>
    <w:rsid w:val="007A7EE2"/>
    <w:rsid w:val="007B002D"/>
    <w:rsid w:val="007B05FB"/>
    <w:rsid w:val="007B2D3C"/>
    <w:rsid w:val="007B40ED"/>
    <w:rsid w:val="007B548A"/>
    <w:rsid w:val="007B557E"/>
    <w:rsid w:val="007B5B85"/>
    <w:rsid w:val="007B61E1"/>
    <w:rsid w:val="007C02C2"/>
    <w:rsid w:val="007C0C57"/>
    <w:rsid w:val="007C1796"/>
    <w:rsid w:val="007C5E61"/>
    <w:rsid w:val="007D05B8"/>
    <w:rsid w:val="007D2087"/>
    <w:rsid w:val="007D3677"/>
    <w:rsid w:val="007E05B0"/>
    <w:rsid w:val="007E4112"/>
    <w:rsid w:val="007E5DC2"/>
    <w:rsid w:val="007E66E6"/>
    <w:rsid w:val="007E75F9"/>
    <w:rsid w:val="007E7B9D"/>
    <w:rsid w:val="007F0D89"/>
    <w:rsid w:val="007F10F7"/>
    <w:rsid w:val="007F1558"/>
    <w:rsid w:val="007F1A55"/>
    <w:rsid w:val="007F3E55"/>
    <w:rsid w:val="007F6D56"/>
    <w:rsid w:val="0080132D"/>
    <w:rsid w:val="008020EA"/>
    <w:rsid w:val="008037AC"/>
    <w:rsid w:val="0080471D"/>
    <w:rsid w:val="00804B17"/>
    <w:rsid w:val="0081185E"/>
    <w:rsid w:val="00812024"/>
    <w:rsid w:val="00815782"/>
    <w:rsid w:val="008157C0"/>
    <w:rsid w:val="008161C1"/>
    <w:rsid w:val="008162BC"/>
    <w:rsid w:val="00820444"/>
    <w:rsid w:val="0082126A"/>
    <w:rsid w:val="00822AB6"/>
    <w:rsid w:val="008251DB"/>
    <w:rsid w:val="00826949"/>
    <w:rsid w:val="008318E7"/>
    <w:rsid w:val="0083263C"/>
    <w:rsid w:val="00833FC1"/>
    <w:rsid w:val="008346D0"/>
    <w:rsid w:val="00836518"/>
    <w:rsid w:val="00836681"/>
    <w:rsid w:val="00836860"/>
    <w:rsid w:val="00842FF0"/>
    <w:rsid w:val="008439E3"/>
    <w:rsid w:val="00843DC0"/>
    <w:rsid w:val="00846839"/>
    <w:rsid w:val="00850CF6"/>
    <w:rsid w:val="00850E25"/>
    <w:rsid w:val="008517EE"/>
    <w:rsid w:val="008532E6"/>
    <w:rsid w:val="0085354E"/>
    <w:rsid w:val="00854DD4"/>
    <w:rsid w:val="00855D37"/>
    <w:rsid w:val="00856D0D"/>
    <w:rsid w:val="00857F40"/>
    <w:rsid w:val="008616CA"/>
    <w:rsid w:val="00863B24"/>
    <w:rsid w:val="00864451"/>
    <w:rsid w:val="0086724B"/>
    <w:rsid w:val="00867434"/>
    <w:rsid w:val="00867DC0"/>
    <w:rsid w:val="00870E8E"/>
    <w:rsid w:val="0087144F"/>
    <w:rsid w:val="00874D22"/>
    <w:rsid w:val="00875537"/>
    <w:rsid w:val="008764BD"/>
    <w:rsid w:val="008766CF"/>
    <w:rsid w:val="00877874"/>
    <w:rsid w:val="0088053D"/>
    <w:rsid w:val="00880D96"/>
    <w:rsid w:val="00881FC3"/>
    <w:rsid w:val="00883859"/>
    <w:rsid w:val="0088595D"/>
    <w:rsid w:val="00887D7C"/>
    <w:rsid w:val="0089111B"/>
    <w:rsid w:val="008938F3"/>
    <w:rsid w:val="00896966"/>
    <w:rsid w:val="00897C78"/>
    <w:rsid w:val="008A2914"/>
    <w:rsid w:val="008A33D5"/>
    <w:rsid w:val="008A35AF"/>
    <w:rsid w:val="008A3AAC"/>
    <w:rsid w:val="008A42C0"/>
    <w:rsid w:val="008A4A70"/>
    <w:rsid w:val="008A545E"/>
    <w:rsid w:val="008A5687"/>
    <w:rsid w:val="008A5CFD"/>
    <w:rsid w:val="008A7ADF"/>
    <w:rsid w:val="008B046E"/>
    <w:rsid w:val="008B2619"/>
    <w:rsid w:val="008B37AF"/>
    <w:rsid w:val="008B3A70"/>
    <w:rsid w:val="008B41CB"/>
    <w:rsid w:val="008B5AFA"/>
    <w:rsid w:val="008B6360"/>
    <w:rsid w:val="008B68F6"/>
    <w:rsid w:val="008B6DF6"/>
    <w:rsid w:val="008B751D"/>
    <w:rsid w:val="008B7783"/>
    <w:rsid w:val="008C115A"/>
    <w:rsid w:val="008C14C1"/>
    <w:rsid w:val="008C1FB0"/>
    <w:rsid w:val="008C4C23"/>
    <w:rsid w:val="008C54AA"/>
    <w:rsid w:val="008C5EB5"/>
    <w:rsid w:val="008C70D8"/>
    <w:rsid w:val="008C7896"/>
    <w:rsid w:val="008C7942"/>
    <w:rsid w:val="008D0612"/>
    <w:rsid w:val="008D11E0"/>
    <w:rsid w:val="008D3CF7"/>
    <w:rsid w:val="008D5AAF"/>
    <w:rsid w:val="008D5BF3"/>
    <w:rsid w:val="008D6F06"/>
    <w:rsid w:val="008D7894"/>
    <w:rsid w:val="008D7FEA"/>
    <w:rsid w:val="008E01F5"/>
    <w:rsid w:val="008E0AED"/>
    <w:rsid w:val="008E28EF"/>
    <w:rsid w:val="008E3F49"/>
    <w:rsid w:val="008E4B7E"/>
    <w:rsid w:val="008E4D8E"/>
    <w:rsid w:val="008E7502"/>
    <w:rsid w:val="008E7823"/>
    <w:rsid w:val="008F2933"/>
    <w:rsid w:val="008F7051"/>
    <w:rsid w:val="008F7E38"/>
    <w:rsid w:val="00901DA6"/>
    <w:rsid w:val="00902139"/>
    <w:rsid w:val="009023AE"/>
    <w:rsid w:val="00905334"/>
    <w:rsid w:val="00907F9B"/>
    <w:rsid w:val="00910D60"/>
    <w:rsid w:val="009117B8"/>
    <w:rsid w:val="00911992"/>
    <w:rsid w:val="00917AB7"/>
    <w:rsid w:val="00917B5B"/>
    <w:rsid w:val="00917CCB"/>
    <w:rsid w:val="00917EF3"/>
    <w:rsid w:val="00922297"/>
    <w:rsid w:val="00922650"/>
    <w:rsid w:val="00922AF4"/>
    <w:rsid w:val="00922BE3"/>
    <w:rsid w:val="00924B14"/>
    <w:rsid w:val="009268E5"/>
    <w:rsid w:val="00927D0D"/>
    <w:rsid w:val="00930882"/>
    <w:rsid w:val="00930F7A"/>
    <w:rsid w:val="00931AEA"/>
    <w:rsid w:val="00932096"/>
    <w:rsid w:val="00941B0E"/>
    <w:rsid w:val="00942C0D"/>
    <w:rsid w:val="009436B9"/>
    <w:rsid w:val="00944B0A"/>
    <w:rsid w:val="009462DA"/>
    <w:rsid w:val="00946868"/>
    <w:rsid w:val="0094716D"/>
    <w:rsid w:val="009508CE"/>
    <w:rsid w:val="009513C0"/>
    <w:rsid w:val="009532A1"/>
    <w:rsid w:val="009535D8"/>
    <w:rsid w:val="0095561E"/>
    <w:rsid w:val="00955C80"/>
    <w:rsid w:val="00955FC3"/>
    <w:rsid w:val="00957319"/>
    <w:rsid w:val="00957360"/>
    <w:rsid w:val="00957F70"/>
    <w:rsid w:val="00961915"/>
    <w:rsid w:val="009630CF"/>
    <w:rsid w:val="00964121"/>
    <w:rsid w:val="009648C8"/>
    <w:rsid w:val="00970739"/>
    <w:rsid w:val="00971341"/>
    <w:rsid w:val="00972D61"/>
    <w:rsid w:val="00972E55"/>
    <w:rsid w:val="009737F1"/>
    <w:rsid w:val="00974514"/>
    <w:rsid w:val="00980BCF"/>
    <w:rsid w:val="00981368"/>
    <w:rsid w:val="0098154F"/>
    <w:rsid w:val="009818BA"/>
    <w:rsid w:val="009848BD"/>
    <w:rsid w:val="0098594D"/>
    <w:rsid w:val="00986494"/>
    <w:rsid w:val="00990636"/>
    <w:rsid w:val="00993B6E"/>
    <w:rsid w:val="00993FEC"/>
    <w:rsid w:val="009A003D"/>
    <w:rsid w:val="009A07FC"/>
    <w:rsid w:val="009A1027"/>
    <w:rsid w:val="009A1028"/>
    <w:rsid w:val="009A11CF"/>
    <w:rsid w:val="009A1AF0"/>
    <w:rsid w:val="009A5167"/>
    <w:rsid w:val="009A5D1C"/>
    <w:rsid w:val="009A7627"/>
    <w:rsid w:val="009B0D69"/>
    <w:rsid w:val="009B19B1"/>
    <w:rsid w:val="009B25D7"/>
    <w:rsid w:val="009B7728"/>
    <w:rsid w:val="009C039A"/>
    <w:rsid w:val="009C283A"/>
    <w:rsid w:val="009C3F1A"/>
    <w:rsid w:val="009C4185"/>
    <w:rsid w:val="009C4412"/>
    <w:rsid w:val="009C4AC2"/>
    <w:rsid w:val="009C57EE"/>
    <w:rsid w:val="009C6478"/>
    <w:rsid w:val="009C6ABE"/>
    <w:rsid w:val="009C70B7"/>
    <w:rsid w:val="009C77EE"/>
    <w:rsid w:val="009C783F"/>
    <w:rsid w:val="009D0F12"/>
    <w:rsid w:val="009D1610"/>
    <w:rsid w:val="009D39B3"/>
    <w:rsid w:val="009D3BF0"/>
    <w:rsid w:val="009D75D4"/>
    <w:rsid w:val="009E15D3"/>
    <w:rsid w:val="009E2153"/>
    <w:rsid w:val="009E2468"/>
    <w:rsid w:val="009E26D7"/>
    <w:rsid w:val="009E333C"/>
    <w:rsid w:val="009E4137"/>
    <w:rsid w:val="009E47AF"/>
    <w:rsid w:val="009E71FF"/>
    <w:rsid w:val="009E7DCB"/>
    <w:rsid w:val="009F08DC"/>
    <w:rsid w:val="009F0AAF"/>
    <w:rsid w:val="009F1B45"/>
    <w:rsid w:val="009F29D1"/>
    <w:rsid w:val="009F447F"/>
    <w:rsid w:val="009F5B94"/>
    <w:rsid w:val="009F668C"/>
    <w:rsid w:val="009F75F7"/>
    <w:rsid w:val="00A01468"/>
    <w:rsid w:val="00A034B0"/>
    <w:rsid w:val="00A06B83"/>
    <w:rsid w:val="00A070AF"/>
    <w:rsid w:val="00A071CB"/>
    <w:rsid w:val="00A076F7"/>
    <w:rsid w:val="00A102B9"/>
    <w:rsid w:val="00A11082"/>
    <w:rsid w:val="00A12F80"/>
    <w:rsid w:val="00A141C8"/>
    <w:rsid w:val="00A15C11"/>
    <w:rsid w:val="00A16231"/>
    <w:rsid w:val="00A173B8"/>
    <w:rsid w:val="00A213F8"/>
    <w:rsid w:val="00A23971"/>
    <w:rsid w:val="00A252A4"/>
    <w:rsid w:val="00A25DC5"/>
    <w:rsid w:val="00A26062"/>
    <w:rsid w:val="00A313EE"/>
    <w:rsid w:val="00A3434C"/>
    <w:rsid w:val="00A355D6"/>
    <w:rsid w:val="00A417E8"/>
    <w:rsid w:val="00A42DC5"/>
    <w:rsid w:val="00A45D11"/>
    <w:rsid w:val="00A46070"/>
    <w:rsid w:val="00A46AD9"/>
    <w:rsid w:val="00A50140"/>
    <w:rsid w:val="00A5094E"/>
    <w:rsid w:val="00A50B96"/>
    <w:rsid w:val="00A53100"/>
    <w:rsid w:val="00A53AB5"/>
    <w:rsid w:val="00A53E9D"/>
    <w:rsid w:val="00A55B24"/>
    <w:rsid w:val="00A57D29"/>
    <w:rsid w:val="00A6095B"/>
    <w:rsid w:val="00A62F9D"/>
    <w:rsid w:val="00A6755F"/>
    <w:rsid w:val="00A70779"/>
    <w:rsid w:val="00A7159D"/>
    <w:rsid w:val="00A7292D"/>
    <w:rsid w:val="00A73F00"/>
    <w:rsid w:val="00A74EB6"/>
    <w:rsid w:val="00A75E1D"/>
    <w:rsid w:val="00A77F53"/>
    <w:rsid w:val="00A802B1"/>
    <w:rsid w:val="00A80EDE"/>
    <w:rsid w:val="00A81413"/>
    <w:rsid w:val="00A9002A"/>
    <w:rsid w:val="00A91557"/>
    <w:rsid w:val="00A9270E"/>
    <w:rsid w:val="00A92ADB"/>
    <w:rsid w:val="00A93C83"/>
    <w:rsid w:val="00A93DF7"/>
    <w:rsid w:val="00A93EBD"/>
    <w:rsid w:val="00A96430"/>
    <w:rsid w:val="00A9645F"/>
    <w:rsid w:val="00A9663E"/>
    <w:rsid w:val="00A968C5"/>
    <w:rsid w:val="00A96E8F"/>
    <w:rsid w:val="00AA18F1"/>
    <w:rsid w:val="00AA237B"/>
    <w:rsid w:val="00AA39E6"/>
    <w:rsid w:val="00AA4CDB"/>
    <w:rsid w:val="00AA682B"/>
    <w:rsid w:val="00AA789B"/>
    <w:rsid w:val="00AB059C"/>
    <w:rsid w:val="00AB39D7"/>
    <w:rsid w:val="00AB5972"/>
    <w:rsid w:val="00AB614F"/>
    <w:rsid w:val="00AB673A"/>
    <w:rsid w:val="00AB6829"/>
    <w:rsid w:val="00AC014D"/>
    <w:rsid w:val="00AC7559"/>
    <w:rsid w:val="00AD09EB"/>
    <w:rsid w:val="00AD2A14"/>
    <w:rsid w:val="00AD2B6B"/>
    <w:rsid w:val="00AD3DF8"/>
    <w:rsid w:val="00AD49FB"/>
    <w:rsid w:val="00AD6B4B"/>
    <w:rsid w:val="00AD741E"/>
    <w:rsid w:val="00AE0504"/>
    <w:rsid w:val="00AE19E5"/>
    <w:rsid w:val="00AE1D89"/>
    <w:rsid w:val="00AE294C"/>
    <w:rsid w:val="00AE4592"/>
    <w:rsid w:val="00AE5FE4"/>
    <w:rsid w:val="00AE7868"/>
    <w:rsid w:val="00AF12C5"/>
    <w:rsid w:val="00AF3877"/>
    <w:rsid w:val="00AF3E08"/>
    <w:rsid w:val="00AF4524"/>
    <w:rsid w:val="00AF5020"/>
    <w:rsid w:val="00AF5B25"/>
    <w:rsid w:val="00AF7B83"/>
    <w:rsid w:val="00B00B2E"/>
    <w:rsid w:val="00B01442"/>
    <w:rsid w:val="00B016A0"/>
    <w:rsid w:val="00B01B42"/>
    <w:rsid w:val="00B05A4C"/>
    <w:rsid w:val="00B062F2"/>
    <w:rsid w:val="00B064EA"/>
    <w:rsid w:val="00B079E6"/>
    <w:rsid w:val="00B10ED4"/>
    <w:rsid w:val="00B12768"/>
    <w:rsid w:val="00B12CFC"/>
    <w:rsid w:val="00B1684B"/>
    <w:rsid w:val="00B16A86"/>
    <w:rsid w:val="00B17C7B"/>
    <w:rsid w:val="00B201D6"/>
    <w:rsid w:val="00B21A0E"/>
    <w:rsid w:val="00B21A7A"/>
    <w:rsid w:val="00B235CD"/>
    <w:rsid w:val="00B252F6"/>
    <w:rsid w:val="00B266FE"/>
    <w:rsid w:val="00B2695C"/>
    <w:rsid w:val="00B26AD6"/>
    <w:rsid w:val="00B40070"/>
    <w:rsid w:val="00B42CC7"/>
    <w:rsid w:val="00B4355C"/>
    <w:rsid w:val="00B4487C"/>
    <w:rsid w:val="00B44D56"/>
    <w:rsid w:val="00B45E50"/>
    <w:rsid w:val="00B461A2"/>
    <w:rsid w:val="00B4685C"/>
    <w:rsid w:val="00B4796A"/>
    <w:rsid w:val="00B515E9"/>
    <w:rsid w:val="00B51D73"/>
    <w:rsid w:val="00B526C6"/>
    <w:rsid w:val="00B54250"/>
    <w:rsid w:val="00B54F5B"/>
    <w:rsid w:val="00B56A31"/>
    <w:rsid w:val="00B56E6B"/>
    <w:rsid w:val="00B5769D"/>
    <w:rsid w:val="00B6138C"/>
    <w:rsid w:val="00B62191"/>
    <w:rsid w:val="00B62F68"/>
    <w:rsid w:val="00B6488F"/>
    <w:rsid w:val="00B67015"/>
    <w:rsid w:val="00B67E3D"/>
    <w:rsid w:val="00B7312E"/>
    <w:rsid w:val="00B73239"/>
    <w:rsid w:val="00B7486D"/>
    <w:rsid w:val="00B74DEF"/>
    <w:rsid w:val="00B74F6D"/>
    <w:rsid w:val="00B75244"/>
    <w:rsid w:val="00B754FC"/>
    <w:rsid w:val="00B757A5"/>
    <w:rsid w:val="00B773E3"/>
    <w:rsid w:val="00B808C1"/>
    <w:rsid w:val="00B809D9"/>
    <w:rsid w:val="00B811F5"/>
    <w:rsid w:val="00B826DF"/>
    <w:rsid w:val="00B83163"/>
    <w:rsid w:val="00B84031"/>
    <w:rsid w:val="00B850FE"/>
    <w:rsid w:val="00B9017A"/>
    <w:rsid w:val="00B9053C"/>
    <w:rsid w:val="00B922EE"/>
    <w:rsid w:val="00B959A8"/>
    <w:rsid w:val="00BA1381"/>
    <w:rsid w:val="00BA2CB8"/>
    <w:rsid w:val="00BA421F"/>
    <w:rsid w:val="00BA425F"/>
    <w:rsid w:val="00BA4F44"/>
    <w:rsid w:val="00BA7C7A"/>
    <w:rsid w:val="00BB1963"/>
    <w:rsid w:val="00BB2834"/>
    <w:rsid w:val="00BB3D76"/>
    <w:rsid w:val="00BB5109"/>
    <w:rsid w:val="00BB5150"/>
    <w:rsid w:val="00BB55BA"/>
    <w:rsid w:val="00BB5856"/>
    <w:rsid w:val="00BB5B17"/>
    <w:rsid w:val="00BB6289"/>
    <w:rsid w:val="00BB6F2C"/>
    <w:rsid w:val="00BB7548"/>
    <w:rsid w:val="00BB7C78"/>
    <w:rsid w:val="00BC03A6"/>
    <w:rsid w:val="00BC0A4F"/>
    <w:rsid w:val="00BC37DC"/>
    <w:rsid w:val="00BC52FB"/>
    <w:rsid w:val="00BC64A7"/>
    <w:rsid w:val="00BC6913"/>
    <w:rsid w:val="00BC70E4"/>
    <w:rsid w:val="00BC7499"/>
    <w:rsid w:val="00BC7F18"/>
    <w:rsid w:val="00BD07DC"/>
    <w:rsid w:val="00BD0CC3"/>
    <w:rsid w:val="00BD2D93"/>
    <w:rsid w:val="00BD2DC2"/>
    <w:rsid w:val="00BD61D0"/>
    <w:rsid w:val="00BD6F61"/>
    <w:rsid w:val="00BD701C"/>
    <w:rsid w:val="00BE17F6"/>
    <w:rsid w:val="00BE28DF"/>
    <w:rsid w:val="00BE2A2B"/>
    <w:rsid w:val="00BE370E"/>
    <w:rsid w:val="00BE4829"/>
    <w:rsid w:val="00BE5184"/>
    <w:rsid w:val="00BE5BC0"/>
    <w:rsid w:val="00BF142B"/>
    <w:rsid w:val="00BF17F4"/>
    <w:rsid w:val="00BF1D69"/>
    <w:rsid w:val="00BF31EE"/>
    <w:rsid w:val="00BF4229"/>
    <w:rsid w:val="00BF4FF0"/>
    <w:rsid w:val="00BF6259"/>
    <w:rsid w:val="00C01430"/>
    <w:rsid w:val="00C014A0"/>
    <w:rsid w:val="00C0338C"/>
    <w:rsid w:val="00C039D5"/>
    <w:rsid w:val="00C0432A"/>
    <w:rsid w:val="00C04383"/>
    <w:rsid w:val="00C04C17"/>
    <w:rsid w:val="00C04CF0"/>
    <w:rsid w:val="00C058A9"/>
    <w:rsid w:val="00C07292"/>
    <w:rsid w:val="00C0748C"/>
    <w:rsid w:val="00C12301"/>
    <w:rsid w:val="00C12B07"/>
    <w:rsid w:val="00C14640"/>
    <w:rsid w:val="00C2147E"/>
    <w:rsid w:val="00C21AA8"/>
    <w:rsid w:val="00C22244"/>
    <w:rsid w:val="00C26C48"/>
    <w:rsid w:val="00C27CCC"/>
    <w:rsid w:val="00C31FC1"/>
    <w:rsid w:val="00C3323A"/>
    <w:rsid w:val="00C3337B"/>
    <w:rsid w:val="00C3371C"/>
    <w:rsid w:val="00C33785"/>
    <w:rsid w:val="00C3637A"/>
    <w:rsid w:val="00C376A7"/>
    <w:rsid w:val="00C37A17"/>
    <w:rsid w:val="00C37E7F"/>
    <w:rsid w:val="00C4051F"/>
    <w:rsid w:val="00C40796"/>
    <w:rsid w:val="00C44A26"/>
    <w:rsid w:val="00C4534C"/>
    <w:rsid w:val="00C4591B"/>
    <w:rsid w:val="00C45E2D"/>
    <w:rsid w:val="00C462D8"/>
    <w:rsid w:val="00C46E07"/>
    <w:rsid w:val="00C474F7"/>
    <w:rsid w:val="00C5045B"/>
    <w:rsid w:val="00C50BC1"/>
    <w:rsid w:val="00C51940"/>
    <w:rsid w:val="00C52B9C"/>
    <w:rsid w:val="00C54380"/>
    <w:rsid w:val="00C5520A"/>
    <w:rsid w:val="00C555B3"/>
    <w:rsid w:val="00C561F3"/>
    <w:rsid w:val="00C56E1B"/>
    <w:rsid w:val="00C61056"/>
    <w:rsid w:val="00C61794"/>
    <w:rsid w:val="00C62F46"/>
    <w:rsid w:val="00C62F5D"/>
    <w:rsid w:val="00C65F3A"/>
    <w:rsid w:val="00C71655"/>
    <w:rsid w:val="00C72842"/>
    <w:rsid w:val="00C72F3B"/>
    <w:rsid w:val="00C75A74"/>
    <w:rsid w:val="00C84B78"/>
    <w:rsid w:val="00C86E71"/>
    <w:rsid w:val="00C87CCF"/>
    <w:rsid w:val="00C87FB7"/>
    <w:rsid w:val="00C9093C"/>
    <w:rsid w:val="00C92729"/>
    <w:rsid w:val="00C94E8F"/>
    <w:rsid w:val="00C9574F"/>
    <w:rsid w:val="00C973C6"/>
    <w:rsid w:val="00CA0C1C"/>
    <w:rsid w:val="00CA1E2B"/>
    <w:rsid w:val="00CA2564"/>
    <w:rsid w:val="00CA2E87"/>
    <w:rsid w:val="00CA5079"/>
    <w:rsid w:val="00CA6B6A"/>
    <w:rsid w:val="00CA6C04"/>
    <w:rsid w:val="00CB0F0F"/>
    <w:rsid w:val="00CB1BC0"/>
    <w:rsid w:val="00CB1C28"/>
    <w:rsid w:val="00CB2A11"/>
    <w:rsid w:val="00CB2C18"/>
    <w:rsid w:val="00CB4687"/>
    <w:rsid w:val="00CB5483"/>
    <w:rsid w:val="00CB6F86"/>
    <w:rsid w:val="00CC0C8A"/>
    <w:rsid w:val="00CC4B02"/>
    <w:rsid w:val="00CC505C"/>
    <w:rsid w:val="00CC5E87"/>
    <w:rsid w:val="00CC68FE"/>
    <w:rsid w:val="00CC6AD3"/>
    <w:rsid w:val="00CD0A89"/>
    <w:rsid w:val="00CD33A1"/>
    <w:rsid w:val="00CD4235"/>
    <w:rsid w:val="00CD4D8D"/>
    <w:rsid w:val="00CD4F68"/>
    <w:rsid w:val="00CD5573"/>
    <w:rsid w:val="00CD58C2"/>
    <w:rsid w:val="00CD59CA"/>
    <w:rsid w:val="00CD7002"/>
    <w:rsid w:val="00CD7D0A"/>
    <w:rsid w:val="00CE073E"/>
    <w:rsid w:val="00CE0880"/>
    <w:rsid w:val="00CE1F51"/>
    <w:rsid w:val="00CE2A23"/>
    <w:rsid w:val="00CE2B39"/>
    <w:rsid w:val="00CE6984"/>
    <w:rsid w:val="00CE6C29"/>
    <w:rsid w:val="00CE73C3"/>
    <w:rsid w:val="00CF0955"/>
    <w:rsid w:val="00CF1EB2"/>
    <w:rsid w:val="00CF27A5"/>
    <w:rsid w:val="00CF4784"/>
    <w:rsid w:val="00CF6DE3"/>
    <w:rsid w:val="00CF6E20"/>
    <w:rsid w:val="00CF7623"/>
    <w:rsid w:val="00D00D9A"/>
    <w:rsid w:val="00D012B6"/>
    <w:rsid w:val="00D01845"/>
    <w:rsid w:val="00D03F76"/>
    <w:rsid w:val="00D04A94"/>
    <w:rsid w:val="00D07260"/>
    <w:rsid w:val="00D121C1"/>
    <w:rsid w:val="00D12371"/>
    <w:rsid w:val="00D123D8"/>
    <w:rsid w:val="00D12872"/>
    <w:rsid w:val="00D12EAA"/>
    <w:rsid w:val="00D12F25"/>
    <w:rsid w:val="00D135E1"/>
    <w:rsid w:val="00D14BAE"/>
    <w:rsid w:val="00D157D3"/>
    <w:rsid w:val="00D20381"/>
    <w:rsid w:val="00D20F3B"/>
    <w:rsid w:val="00D23687"/>
    <w:rsid w:val="00D26BDB"/>
    <w:rsid w:val="00D31951"/>
    <w:rsid w:val="00D3471F"/>
    <w:rsid w:val="00D35505"/>
    <w:rsid w:val="00D35884"/>
    <w:rsid w:val="00D41412"/>
    <w:rsid w:val="00D42F23"/>
    <w:rsid w:val="00D44534"/>
    <w:rsid w:val="00D445FB"/>
    <w:rsid w:val="00D45AD9"/>
    <w:rsid w:val="00D476F2"/>
    <w:rsid w:val="00D47F8A"/>
    <w:rsid w:val="00D50661"/>
    <w:rsid w:val="00D52022"/>
    <w:rsid w:val="00D535D7"/>
    <w:rsid w:val="00D56362"/>
    <w:rsid w:val="00D609E7"/>
    <w:rsid w:val="00D60E7C"/>
    <w:rsid w:val="00D60F97"/>
    <w:rsid w:val="00D617B2"/>
    <w:rsid w:val="00D631B9"/>
    <w:rsid w:val="00D66132"/>
    <w:rsid w:val="00D661F1"/>
    <w:rsid w:val="00D66FFE"/>
    <w:rsid w:val="00D70C61"/>
    <w:rsid w:val="00D71462"/>
    <w:rsid w:val="00D72949"/>
    <w:rsid w:val="00D732E7"/>
    <w:rsid w:val="00D739D4"/>
    <w:rsid w:val="00D751AC"/>
    <w:rsid w:val="00D77F2C"/>
    <w:rsid w:val="00D80118"/>
    <w:rsid w:val="00D80C8E"/>
    <w:rsid w:val="00D814DB"/>
    <w:rsid w:val="00D84079"/>
    <w:rsid w:val="00D855A8"/>
    <w:rsid w:val="00D87356"/>
    <w:rsid w:val="00D873FE"/>
    <w:rsid w:val="00D87F0D"/>
    <w:rsid w:val="00D920DB"/>
    <w:rsid w:val="00D93A88"/>
    <w:rsid w:val="00D9493D"/>
    <w:rsid w:val="00D94E4C"/>
    <w:rsid w:val="00D975E2"/>
    <w:rsid w:val="00DA0B23"/>
    <w:rsid w:val="00DA1FB7"/>
    <w:rsid w:val="00DA3BE0"/>
    <w:rsid w:val="00DA3D99"/>
    <w:rsid w:val="00DA4007"/>
    <w:rsid w:val="00DA4113"/>
    <w:rsid w:val="00DA4BDE"/>
    <w:rsid w:val="00DA4F04"/>
    <w:rsid w:val="00DA5F78"/>
    <w:rsid w:val="00DA67F5"/>
    <w:rsid w:val="00DA7120"/>
    <w:rsid w:val="00DA77E3"/>
    <w:rsid w:val="00DB1EEA"/>
    <w:rsid w:val="00DB2C4E"/>
    <w:rsid w:val="00DB2F57"/>
    <w:rsid w:val="00DB3027"/>
    <w:rsid w:val="00DB3E00"/>
    <w:rsid w:val="00DB43A3"/>
    <w:rsid w:val="00DB4AC5"/>
    <w:rsid w:val="00DB6932"/>
    <w:rsid w:val="00DB6B95"/>
    <w:rsid w:val="00DC0AB9"/>
    <w:rsid w:val="00DC0C86"/>
    <w:rsid w:val="00DC11C1"/>
    <w:rsid w:val="00DC1599"/>
    <w:rsid w:val="00DC15CD"/>
    <w:rsid w:val="00DC2927"/>
    <w:rsid w:val="00DC55BE"/>
    <w:rsid w:val="00DC614D"/>
    <w:rsid w:val="00DC6BCB"/>
    <w:rsid w:val="00DC7EF4"/>
    <w:rsid w:val="00DD01CF"/>
    <w:rsid w:val="00DD14CE"/>
    <w:rsid w:val="00DD3EA9"/>
    <w:rsid w:val="00DD4E40"/>
    <w:rsid w:val="00DD6957"/>
    <w:rsid w:val="00DD6F06"/>
    <w:rsid w:val="00DD7680"/>
    <w:rsid w:val="00DD7F4B"/>
    <w:rsid w:val="00DE1AE6"/>
    <w:rsid w:val="00DE62DA"/>
    <w:rsid w:val="00DF198A"/>
    <w:rsid w:val="00DF328D"/>
    <w:rsid w:val="00DF3342"/>
    <w:rsid w:val="00DF3913"/>
    <w:rsid w:val="00DF721D"/>
    <w:rsid w:val="00E01C96"/>
    <w:rsid w:val="00E036EA"/>
    <w:rsid w:val="00E03DEA"/>
    <w:rsid w:val="00E05C40"/>
    <w:rsid w:val="00E05FC6"/>
    <w:rsid w:val="00E07858"/>
    <w:rsid w:val="00E1365C"/>
    <w:rsid w:val="00E13848"/>
    <w:rsid w:val="00E14C61"/>
    <w:rsid w:val="00E15000"/>
    <w:rsid w:val="00E153B6"/>
    <w:rsid w:val="00E154E9"/>
    <w:rsid w:val="00E1710B"/>
    <w:rsid w:val="00E172AC"/>
    <w:rsid w:val="00E176D9"/>
    <w:rsid w:val="00E20487"/>
    <w:rsid w:val="00E21B11"/>
    <w:rsid w:val="00E21BCA"/>
    <w:rsid w:val="00E22B12"/>
    <w:rsid w:val="00E246F8"/>
    <w:rsid w:val="00E2491F"/>
    <w:rsid w:val="00E259DC"/>
    <w:rsid w:val="00E3017D"/>
    <w:rsid w:val="00E313F2"/>
    <w:rsid w:val="00E320E4"/>
    <w:rsid w:val="00E34C20"/>
    <w:rsid w:val="00E35C46"/>
    <w:rsid w:val="00E35F10"/>
    <w:rsid w:val="00E360BA"/>
    <w:rsid w:val="00E37E59"/>
    <w:rsid w:val="00E404E8"/>
    <w:rsid w:val="00E407FE"/>
    <w:rsid w:val="00E40EEB"/>
    <w:rsid w:val="00E418BF"/>
    <w:rsid w:val="00E42CE4"/>
    <w:rsid w:val="00E431EA"/>
    <w:rsid w:val="00E444EA"/>
    <w:rsid w:val="00E44D6B"/>
    <w:rsid w:val="00E45497"/>
    <w:rsid w:val="00E46A37"/>
    <w:rsid w:val="00E50880"/>
    <w:rsid w:val="00E508D2"/>
    <w:rsid w:val="00E50B7E"/>
    <w:rsid w:val="00E50C3C"/>
    <w:rsid w:val="00E50EF2"/>
    <w:rsid w:val="00E51473"/>
    <w:rsid w:val="00E52919"/>
    <w:rsid w:val="00E52A9F"/>
    <w:rsid w:val="00E53254"/>
    <w:rsid w:val="00E535FD"/>
    <w:rsid w:val="00E605C0"/>
    <w:rsid w:val="00E6168D"/>
    <w:rsid w:val="00E61B11"/>
    <w:rsid w:val="00E62CDA"/>
    <w:rsid w:val="00E635A1"/>
    <w:rsid w:val="00E63F0D"/>
    <w:rsid w:val="00E65CBA"/>
    <w:rsid w:val="00E735F1"/>
    <w:rsid w:val="00E75A6E"/>
    <w:rsid w:val="00E8177F"/>
    <w:rsid w:val="00E82245"/>
    <w:rsid w:val="00E869BA"/>
    <w:rsid w:val="00E86A96"/>
    <w:rsid w:val="00E87A12"/>
    <w:rsid w:val="00E87CE6"/>
    <w:rsid w:val="00E931A9"/>
    <w:rsid w:val="00E93DA6"/>
    <w:rsid w:val="00E93E0A"/>
    <w:rsid w:val="00E963E1"/>
    <w:rsid w:val="00E96E9A"/>
    <w:rsid w:val="00E96EF7"/>
    <w:rsid w:val="00E978B1"/>
    <w:rsid w:val="00EA0244"/>
    <w:rsid w:val="00EA034B"/>
    <w:rsid w:val="00EA44DD"/>
    <w:rsid w:val="00EA7805"/>
    <w:rsid w:val="00EA7878"/>
    <w:rsid w:val="00EB0356"/>
    <w:rsid w:val="00EB2614"/>
    <w:rsid w:val="00EB5D0B"/>
    <w:rsid w:val="00EB753E"/>
    <w:rsid w:val="00EC0A8D"/>
    <w:rsid w:val="00EC0D9D"/>
    <w:rsid w:val="00EC17C0"/>
    <w:rsid w:val="00EC486F"/>
    <w:rsid w:val="00EC5443"/>
    <w:rsid w:val="00EC677A"/>
    <w:rsid w:val="00ED0111"/>
    <w:rsid w:val="00ED1CAD"/>
    <w:rsid w:val="00ED1F9A"/>
    <w:rsid w:val="00ED4071"/>
    <w:rsid w:val="00ED7105"/>
    <w:rsid w:val="00ED751B"/>
    <w:rsid w:val="00EE011C"/>
    <w:rsid w:val="00EE109E"/>
    <w:rsid w:val="00EE1DA8"/>
    <w:rsid w:val="00EE1F18"/>
    <w:rsid w:val="00EE31C4"/>
    <w:rsid w:val="00EE6CF5"/>
    <w:rsid w:val="00EE766A"/>
    <w:rsid w:val="00EE7C87"/>
    <w:rsid w:val="00EF2F42"/>
    <w:rsid w:val="00EF4F69"/>
    <w:rsid w:val="00EF5673"/>
    <w:rsid w:val="00EF5E85"/>
    <w:rsid w:val="00EF66FE"/>
    <w:rsid w:val="00F05DFF"/>
    <w:rsid w:val="00F06182"/>
    <w:rsid w:val="00F06C9D"/>
    <w:rsid w:val="00F078CB"/>
    <w:rsid w:val="00F11F4F"/>
    <w:rsid w:val="00F124C3"/>
    <w:rsid w:val="00F128B4"/>
    <w:rsid w:val="00F13795"/>
    <w:rsid w:val="00F143D7"/>
    <w:rsid w:val="00F153BA"/>
    <w:rsid w:val="00F153DD"/>
    <w:rsid w:val="00F1774B"/>
    <w:rsid w:val="00F22398"/>
    <w:rsid w:val="00F2365A"/>
    <w:rsid w:val="00F24D9C"/>
    <w:rsid w:val="00F26623"/>
    <w:rsid w:val="00F27395"/>
    <w:rsid w:val="00F27D3D"/>
    <w:rsid w:val="00F27DE4"/>
    <w:rsid w:val="00F34049"/>
    <w:rsid w:val="00F34D53"/>
    <w:rsid w:val="00F35AC9"/>
    <w:rsid w:val="00F36224"/>
    <w:rsid w:val="00F3709D"/>
    <w:rsid w:val="00F37ECE"/>
    <w:rsid w:val="00F40E99"/>
    <w:rsid w:val="00F42309"/>
    <w:rsid w:val="00F424EE"/>
    <w:rsid w:val="00F43314"/>
    <w:rsid w:val="00F4342C"/>
    <w:rsid w:val="00F43A96"/>
    <w:rsid w:val="00F458AF"/>
    <w:rsid w:val="00F47104"/>
    <w:rsid w:val="00F479DA"/>
    <w:rsid w:val="00F508E1"/>
    <w:rsid w:val="00F51258"/>
    <w:rsid w:val="00F5219D"/>
    <w:rsid w:val="00F532F9"/>
    <w:rsid w:val="00F541A7"/>
    <w:rsid w:val="00F54430"/>
    <w:rsid w:val="00F57258"/>
    <w:rsid w:val="00F600BA"/>
    <w:rsid w:val="00F6114C"/>
    <w:rsid w:val="00F62C87"/>
    <w:rsid w:val="00F63725"/>
    <w:rsid w:val="00F64315"/>
    <w:rsid w:val="00F6493E"/>
    <w:rsid w:val="00F64D9D"/>
    <w:rsid w:val="00F654BC"/>
    <w:rsid w:val="00F657CD"/>
    <w:rsid w:val="00F662E3"/>
    <w:rsid w:val="00F67B5D"/>
    <w:rsid w:val="00F67D07"/>
    <w:rsid w:val="00F67FDA"/>
    <w:rsid w:val="00F702EA"/>
    <w:rsid w:val="00F70FD5"/>
    <w:rsid w:val="00F719CB"/>
    <w:rsid w:val="00F73D3E"/>
    <w:rsid w:val="00F73D78"/>
    <w:rsid w:val="00F75D97"/>
    <w:rsid w:val="00F75E2B"/>
    <w:rsid w:val="00F760E1"/>
    <w:rsid w:val="00F76363"/>
    <w:rsid w:val="00F81D79"/>
    <w:rsid w:val="00F83198"/>
    <w:rsid w:val="00F83259"/>
    <w:rsid w:val="00F8442B"/>
    <w:rsid w:val="00F84A2C"/>
    <w:rsid w:val="00F8553B"/>
    <w:rsid w:val="00F87FA1"/>
    <w:rsid w:val="00F9012C"/>
    <w:rsid w:val="00F905CE"/>
    <w:rsid w:val="00F91130"/>
    <w:rsid w:val="00F91432"/>
    <w:rsid w:val="00F92388"/>
    <w:rsid w:val="00F942A1"/>
    <w:rsid w:val="00F9633A"/>
    <w:rsid w:val="00F97CA2"/>
    <w:rsid w:val="00FA1118"/>
    <w:rsid w:val="00FA2472"/>
    <w:rsid w:val="00FA511A"/>
    <w:rsid w:val="00FA64C9"/>
    <w:rsid w:val="00FB0084"/>
    <w:rsid w:val="00FB0681"/>
    <w:rsid w:val="00FB0D14"/>
    <w:rsid w:val="00FB17BA"/>
    <w:rsid w:val="00FB1C98"/>
    <w:rsid w:val="00FB23E5"/>
    <w:rsid w:val="00FB2677"/>
    <w:rsid w:val="00FB3063"/>
    <w:rsid w:val="00FB3A0F"/>
    <w:rsid w:val="00FB47F6"/>
    <w:rsid w:val="00FB54AF"/>
    <w:rsid w:val="00FB5C64"/>
    <w:rsid w:val="00FC09C5"/>
    <w:rsid w:val="00FC20C4"/>
    <w:rsid w:val="00FC222F"/>
    <w:rsid w:val="00FC2337"/>
    <w:rsid w:val="00FC280B"/>
    <w:rsid w:val="00FC38F8"/>
    <w:rsid w:val="00FC4669"/>
    <w:rsid w:val="00FC581E"/>
    <w:rsid w:val="00FC7F07"/>
    <w:rsid w:val="00FD051C"/>
    <w:rsid w:val="00FD096C"/>
    <w:rsid w:val="00FD4CC4"/>
    <w:rsid w:val="00FD5A41"/>
    <w:rsid w:val="00FD63DC"/>
    <w:rsid w:val="00FD6650"/>
    <w:rsid w:val="00FD6EDF"/>
    <w:rsid w:val="00FD7127"/>
    <w:rsid w:val="00FE02B5"/>
    <w:rsid w:val="00FE0D5C"/>
    <w:rsid w:val="00FE1379"/>
    <w:rsid w:val="00FE56A0"/>
    <w:rsid w:val="00FE5F06"/>
    <w:rsid w:val="00FE67B2"/>
    <w:rsid w:val="00FE7B0C"/>
    <w:rsid w:val="00FF1314"/>
    <w:rsid w:val="00FF4292"/>
    <w:rsid w:val="00FF46E0"/>
    <w:rsid w:val="00FF5040"/>
    <w:rsid w:val="00FF650E"/>
    <w:rsid w:val="00FF6CD0"/>
    <w:rsid w:val="00FF75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2"/>
    <o:shapelayout v:ext="edit">
      <o:idmap v:ext="edit" data="2"/>
    </o:shapelayout>
  </w:shapeDefaults>
  <w:decimalSymbol w:val=","/>
  <w:listSeparator w:val=";"/>
  <w14:docId w14:val="6D533C60"/>
  <w15:docId w15:val="{958014D9-E8F8-471F-8278-A099C4761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4"/>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4"/>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4"/>
      </w:numPr>
      <w:outlineLvl w:val="6"/>
    </w:pPr>
    <w:rPr>
      <w:rFonts w:eastAsiaTheme="majorEastAsia"/>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D54E7"/>
    <w:rPr>
      <w:color w:val="0000FF"/>
      <w:u w:val="single"/>
      <w:shd w:val="clear" w:color="auto" w:fill="auto"/>
    </w:rPr>
  </w:style>
  <w:style w:type="paragraph" w:styleId="ListBullet">
    <w:name w:val="List Bullet"/>
    <w:basedOn w:val="Normal"/>
    <w:uiPriority w:val="99"/>
    <w:semiHidden/>
    <w:unhideWhenUsed/>
    <w:rsid w:val="001E765D"/>
    <w:pPr>
      <w:numPr>
        <w:numId w:val="1"/>
      </w:numPr>
      <w:contextualSpacing/>
    </w:pPr>
  </w:style>
  <w:style w:type="paragraph" w:styleId="ListBullet2">
    <w:name w:val="List Bullet 2"/>
    <w:basedOn w:val="Normal"/>
    <w:uiPriority w:val="99"/>
    <w:semiHidden/>
    <w:unhideWhenUsed/>
    <w:rsid w:val="001E765D"/>
    <w:pPr>
      <w:numPr>
        <w:numId w:val="2"/>
      </w:numPr>
      <w:contextualSpacing/>
    </w:pPr>
  </w:style>
  <w:style w:type="paragraph" w:styleId="ListBullet3">
    <w:name w:val="List Bullet 3"/>
    <w:basedOn w:val="Normal"/>
    <w:uiPriority w:val="99"/>
    <w:semiHidden/>
    <w:unhideWhenUsed/>
    <w:rsid w:val="001E765D"/>
    <w:pPr>
      <w:numPr>
        <w:numId w:val="3"/>
      </w:numPr>
      <w:contextualSpacing/>
    </w:pPr>
  </w:style>
  <w:style w:type="paragraph" w:styleId="ListBullet4">
    <w:name w:val="List Bullet 4"/>
    <w:basedOn w:val="Normal"/>
    <w:uiPriority w:val="99"/>
    <w:semiHidden/>
    <w:unhideWhenUsed/>
    <w:rsid w:val="001E765D"/>
    <w:pPr>
      <w:numPr>
        <w:numId w:val="4"/>
      </w:numPr>
      <w:contextualSpacing/>
    </w:pPr>
  </w:style>
  <w:style w:type="character" w:styleId="CommentReference">
    <w:name w:val="annotation reference"/>
    <w:basedOn w:val="DefaultParagraphFont"/>
    <w:uiPriority w:val="99"/>
    <w:unhideWhenUsed/>
    <w:rsid w:val="001E5BC5"/>
    <w:rPr>
      <w:sz w:val="16"/>
      <w:szCs w:val="16"/>
    </w:rPr>
  </w:style>
  <w:style w:type="paragraph" w:styleId="CommentText">
    <w:name w:val="annotation text"/>
    <w:basedOn w:val="Normal"/>
    <w:link w:val="CommentTextChar"/>
    <w:uiPriority w:val="99"/>
    <w:unhideWhenUsed/>
    <w:rsid w:val="001E5BC5"/>
    <w:rPr>
      <w:sz w:val="20"/>
      <w:szCs w:val="20"/>
    </w:rPr>
  </w:style>
  <w:style w:type="character" w:customStyle="1" w:styleId="CommentTextChar">
    <w:name w:val="Comment Text Char"/>
    <w:basedOn w:val="DefaultParagraphFont"/>
    <w:link w:val="CommentText"/>
    <w:uiPriority w:val="99"/>
    <w:rsid w:val="001E5BC5"/>
    <w:rPr>
      <w:rFonts w:ascii="Times New Roman" w:hAnsi="Times New Roman" w:cs="Times New Roman"/>
      <w:sz w:val="20"/>
      <w:szCs w:val="20"/>
      <w:lang w:val="en-GB"/>
    </w:rPr>
  </w:style>
  <w:style w:type="paragraph" w:styleId="BalloonText">
    <w:name w:val="Balloon Text"/>
    <w:basedOn w:val="Normal"/>
    <w:link w:val="BalloonTextChar"/>
    <w:uiPriority w:val="99"/>
    <w:semiHidden/>
    <w:unhideWhenUsed/>
    <w:rsid w:val="001E5BC5"/>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5BC5"/>
    <w:rPr>
      <w:rFonts w:ascii="Segoe UI" w:hAnsi="Segoe UI" w:cs="Segoe UI"/>
      <w:sz w:val="18"/>
      <w:szCs w:val="18"/>
      <w:lang w:val="en-GB"/>
    </w:rPr>
  </w:style>
  <w:style w:type="paragraph" w:styleId="ListParagraph">
    <w:name w:val="List Paragraph"/>
    <w:basedOn w:val="Normal"/>
    <w:uiPriority w:val="34"/>
    <w:qFormat/>
    <w:rsid w:val="001E5BC5"/>
    <w:pPr>
      <w:ind w:left="720"/>
      <w:contextualSpacing/>
    </w:pPr>
  </w:style>
  <w:style w:type="table" w:styleId="TableGrid">
    <w:name w:val="Table Grid"/>
    <w:basedOn w:val="TableNormal"/>
    <w:uiPriority w:val="59"/>
    <w:rsid w:val="001E5B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30498"/>
    <w:rPr>
      <w:b/>
      <w:bCs/>
    </w:rPr>
  </w:style>
  <w:style w:type="character" w:customStyle="1" w:styleId="CommentSubjectChar">
    <w:name w:val="Comment Subject Char"/>
    <w:basedOn w:val="CommentTextChar"/>
    <w:link w:val="CommentSubject"/>
    <w:uiPriority w:val="99"/>
    <w:semiHidden/>
    <w:rsid w:val="00030498"/>
    <w:rPr>
      <w:rFonts w:ascii="Times New Roman" w:hAnsi="Times New Roman" w:cs="Times New Roman"/>
      <w:b/>
      <w:bCs/>
      <w:sz w:val="20"/>
      <w:szCs w:val="20"/>
      <w:lang w:val="en-GB"/>
    </w:rPr>
  </w:style>
  <w:style w:type="paragraph" w:styleId="ListNumber">
    <w:name w:val="List Number"/>
    <w:basedOn w:val="Normal"/>
    <w:semiHidden/>
    <w:unhideWhenUsed/>
    <w:rsid w:val="007D2087"/>
    <w:pPr>
      <w:numPr>
        <w:numId w:val="5"/>
      </w:numPr>
      <w:spacing w:before="0" w:after="240"/>
    </w:pPr>
    <w:rPr>
      <w:rFonts w:eastAsia="Times New Roman"/>
      <w:szCs w:val="20"/>
    </w:rPr>
  </w:style>
  <w:style w:type="paragraph" w:styleId="BodyText">
    <w:name w:val="Body Text"/>
    <w:basedOn w:val="Normal"/>
    <w:link w:val="BodyTextChar"/>
    <w:uiPriority w:val="1"/>
    <w:semiHidden/>
    <w:unhideWhenUsed/>
    <w:qFormat/>
    <w:rsid w:val="007D2087"/>
    <w:pPr>
      <w:spacing w:before="0"/>
    </w:pPr>
    <w:rPr>
      <w:rFonts w:eastAsia="Times New Roman"/>
      <w:szCs w:val="20"/>
    </w:rPr>
  </w:style>
  <w:style w:type="character" w:customStyle="1" w:styleId="BodyTextChar">
    <w:name w:val="Body Text Char"/>
    <w:basedOn w:val="DefaultParagraphFont"/>
    <w:link w:val="BodyText"/>
    <w:uiPriority w:val="1"/>
    <w:semiHidden/>
    <w:rsid w:val="007D2087"/>
    <w:rPr>
      <w:rFonts w:ascii="Times New Roman" w:eastAsia="Times New Roman" w:hAnsi="Times New Roman" w:cs="Times New Roman"/>
      <w:sz w:val="24"/>
      <w:szCs w:val="20"/>
      <w:lang w:val="en-GB"/>
    </w:rPr>
  </w:style>
  <w:style w:type="paragraph" w:customStyle="1" w:styleId="ListNumberLevel2">
    <w:name w:val="List Number (Level 2)"/>
    <w:basedOn w:val="Normal"/>
    <w:rsid w:val="007D2087"/>
    <w:pPr>
      <w:numPr>
        <w:ilvl w:val="1"/>
        <w:numId w:val="5"/>
      </w:numPr>
      <w:spacing w:before="0" w:after="240"/>
    </w:pPr>
    <w:rPr>
      <w:rFonts w:eastAsia="Times New Roman"/>
      <w:szCs w:val="20"/>
    </w:rPr>
  </w:style>
  <w:style w:type="paragraph" w:customStyle="1" w:styleId="ListNumberLevel3">
    <w:name w:val="List Number (Level 3)"/>
    <w:basedOn w:val="Normal"/>
    <w:rsid w:val="007D2087"/>
    <w:pPr>
      <w:numPr>
        <w:ilvl w:val="2"/>
        <w:numId w:val="5"/>
      </w:numPr>
      <w:spacing w:before="0" w:after="240"/>
    </w:pPr>
    <w:rPr>
      <w:rFonts w:eastAsia="Times New Roman"/>
      <w:szCs w:val="20"/>
    </w:rPr>
  </w:style>
  <w:style w:type="paragraph" w:customStyle="1" w:styleId="ListNumberLevel4">
    <w:name w:val="List Number (Level 4)"/>
    <w:basedOn w:val="Normal"/>
    <w:rsid w:val="007D2087"/>
    <w:pPr>
      <w:numPr>
        <w:ilvl w:val="3"/>
        <w:numId w:val="5"/>
      </w:numPr>
      <w:spacing w:before="0" w:after="240"/>
    </w:pPr>
    <w:rPr>
      <w:rFonts w:eastAsia="Times New Roman"/>
      <w:szCs w:val="20"/>
    </w:rPr>
  </w:style>
  <w:style w:type="paragraph" w:customStyle="1" w:styleId="LegalNumPar">
    <w:name w:val="LegalNumPar"/>
    <w:basedOn w:val="Normal"/>
    <w:rsid w:val="00047B9B"/>
    <w:pPr>
      <w:numPr>
        <w:numId w:val="6"/>
      </w:numPr>
      <w:spacing w:line="360" w:lineRule="auto"/>
    </w:pPr>
  </w:style>
  <w:style w:type="paragraph" w:customStyle="1" w:styleId="LegalNumPar2">
    <w:name w:val="LegalNumPar2"/>
    <w:basedOn w:val="Normal"/>
    <w:rsid w:val="00047B9B"/>
    <w:pPr>
      <w:numPr>
        <w:ilvl w:val="1"/>
        <w:numId w:val="6"/>
      </w:numPr>
      <w:spacing w:line="360" w:lineRule="auto"/>
    </w:pPr>
  </w:style>
  <w:style w:type="paragraph" w:customStyle="1" w:styleId="LegalNumPar3">
    <w:name w:val="LegalNumPar3"/>
    <w:basedOn w:val="Normal"/>
    <w:rsid w:val="00047B9B"/>
    <w:pPr>
      <w:numPr>
        <w:ilvl w:val="2"/>
        <w:numId w:val="6"/>
      </w:numPr>
      <w:spacing w:line="360" w:lineRule="auto"/>
    </w:pPr>
  </w:style>
  <w:style w:type="character" w:styleId="Emphasis">
    <w:name w:val="Emphasis"/>
    <w:basedOn w:val="DefaultParagraphFont"/>
    <w:uiPriority w:val="20"/>
    <w:qFormat/>
    <w:rsid w:val="00BC03A6"/>
    <w:rPr>
      <w:i/>
      <w:iCs/>
    </w:rPr>
  </w:style>
  <w:style w:type="paragraph" w:styleId="Revision">
    <w:name w:val="Revision"/>
    <w:hidden/>
    <w:uiPriority w:val="99"/>
    <w:semiHidden/>
    <w:rsid w:val="00BF1D69"/>
    <w:pPr>
      <w:spacing w:after="0" w:line="240" w:lineRule="auto"/>
    </w:pPr>
    <w:rPr>
      <w:rFonts w:ascii="Times New Roman" w:hAnsi="Times New Roman" w:cs="Times New Roman"/>
      <w:sz w:val="24"/>
      <w:lang w:val="en-GB"/>
    </w:rPr>
  </w:style>
  <w:style w:type="character" w:styleId="FollowedHyperlink">
    <w:name w:val="FollowedHyperlink"/>
    <w:basedOn w:val="DefaultParagraphFont"/>
    <w:uiPriority w:val="99"/>
    <w:semiHidden/>
    <w:unhideWhenUsed/>
    <w:rsid w:val="009B25D7"/>
    <w:rPr>
      <w:color w:val="800080" w:themeColor="followedHyperlink"/>
      <w:u w:val="single"/>
    </w:rPr>
  </w:style>
  <w:style w:type="character" w:customStyle="1" w:styleId="UnresolvedMention1">
    <w:name w:val="Unresolved Mention1"/>
    <w:basedOn w:val="DefaultParagraphFont"/>
    <w:uiPriority w:val="99"/>
    <w:unhideWhenUsed/>
    <w:rsid w:val="00255281"/>
    <w:rPr>
      <w:color w:val="605E5C"/>
      <w:shd w:val="clear" w:color="auto" w:fill="E1DFDD"/>
    </w:rPr>
  </w:style>
  <w:style w:type="character" w:customStyle="1" w:styleId="Mention1">
    <w:name w:val="Mention1"/>
    <w:basedOn w:val="DefaultParagraphFont"/>
    <w:uiPriority w:val="99"/>
    <w:unhideWhenUsed/>
    <w:rsid w:val="00255281"/>
    <w:rPr>
      <w:color w:val="2B579A"/>
      <w:shd w:val="clear" w:color="auto" w:fill="E1DFDD"/>
    </w:rPr>
  </w:style>
  <w:style w:type="paragraph" w:styleId="Caption">
    <w:name w:val="caption"/>
    <w:basedOn w:val="Normal"/>
    <w:next w:val="Normal"/>
    <w:uiPriority w:val="35"/>
    <w:semiHidden/>
    <w:unhideWhenUsed/>
    <w:qFormat/>
    <w:rsid w:val="0046568F"/>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rsid w:val="0046568F"/>
    <w:pPr>
      <w:spacing w:after="0"/>
    </w:pPr>
  </w:style>
  <w:style w:type="paragraph" w:styleId="ListNumber2">
    <w:name w:val="List Number 2"/>
    <w:basedOn w:val="Normal"/>
    <w:uiPriority w:val="99"/>
    <w:semiHidden/>
    <w:unhideWhenUsed/>
    <w:rsid w:val="0046568F"/>
    <w:pPr>
      <w:numPr>
        <w:numId w:val="7"/>
      </w:numPr>
      <w:contextualSpacing/>
    </w:pPr>
  </w:style>
  <w:style w:type="paragraph" w:styleId="ListNumber3">
    <w:name w:val="List Number 3"/>
    <w:basedOn w:val="Normal"/>
    <w:uiPriority w:val="99"/>
    <w:semiHidden/>
    <w:unhideWhenUsed/>
    <w:rsid w:val="0046568F"/>
    <w:pPr>
      <w:numPr>
        <w:numId w:val="8"/>
      </w:numPr>
      <w:contextualSpacing/>
    </w:pPr>
  </w:style>
  <w:style w:type="paragraph" w:styleId="ListNumber4">
    <w:name w:val="List Number 4"/>
    <w:basedOn w:val="Normal"/>
    <w:uiPriority w:val="99"/>
    <w:semiHidden/>
    <w:unhideWhenUsed/>
    <w:rsid w:val="0046568F"/>
    <w:pPr>
      <w:numPr>
        <w:numId w:val="9"/>
      </w:numPr>
      <w:contextualSpacing/>
    </w:pPr>
  </w:style>
  <w:style w:type="character" w:customStyle="1" w:styleId="oj-sub">
    <w:name w:val="oj-sub"/>
    <w:basedOn w:val="DefaultParagraphFont"/>
    <w:rsid w:val="0070136F"/>
  </w:style>
  <w:style w:type="character" w:customStyle="1" w:styleId="UnresolvedMention2">
    <w:name w:val="Unresolved Mention2"/>
    <w:basedOn w:val="DefaultParagraphFont"/>
    <w:uiPriority w:val="99"/>
    <w:semiHidden/>
    <w:unhideWhenUsed/>
    <w:rsid w:val="005E679C"/>
    <w:rPr>
      <w:color w:val="605E5C"/>
      <w:shd w:val="clear" w:color="auto" w:fill="E1DFDD"/>
    </w:rPr>
  </w:style>
  <w:style w:type="paragraph" w:customStyle="1" w:styleId="ListBullet1">
    <w:name w:val="List Bullet 1"/>
    <w:basedOn w:val="Normal"/>
    <w:rsid w:val="00EA7878"/>
    <w:pPr>
      <w:numPr>
        <w:numId w:val="13"/>
      </w:numPr>
    </w:pPr>
    <w:rPr>
      <w:rFonts w:eastAsia="Times New Roman"/>
      <w:lang w:eastAsia="de-DE"/>
    </w:rPr>
  </w:style>
  <w:style w:type="paragraph" w:customStyle="1" w:styleId="norm">
    <w:name w:val="norm"/>
    <w:basedOn w:val="Normal"/>
    <w:rsid w:val="00EA7878"/>
    <w:pPr>
      <w:spacing w:before="100" w:beforeAutospacing="1" w:after="100" w:afterAutospacing="1"/>
      <w:jc w:val="left"/>
    </w:pPr>
    <w:rPr>
      <w:rFonts w:eastAsia="Times New Roman"/>
      <w:szCs w:val="24"/>
      <w:lang w:val="en-IE" w:eastAsia="en-IE"/>
    </w:rPr>
  </w:style>
  <w:style w:type="character" w:customStyle="1" w:styleId="superscript">
    <w:name w:val="superscript"/>
    <w:basedOn w:val="DefaultParagraphFont"/>
    <w:rsid w:val="00EA7878"/>
  </w:style>
  <w:style w:type="character" w:customStyle="1" w:styleId="None">
    <w:name w:val="None"/>
    <w:rsid w:val="00F75E2B"/>
  </w:style>
  <w:style w:type="paragraph" w:styleId="Header">
    <w:name w:val="header"/>
    <w:basedOn w:val="Normal"/>
    <w:link w:val="HeaderChar"/>
    <w:uiPriority w:val="99"/>
    <w:unhideWhenUsed/>
    <w:rsid w:val="00AF4524"/>
    <w:pPr>
      <w:tabs>
        <w:tab w:val="center" w:pos="4535"/>
        <w:tab w:val="right" w:pos="9071"/>
      </w:tabs>
      <w:spacing w:before="0"/>
    </w:pPr>
  </w:style>
  <w:style w:type="character" w:customStyle="1" w:styleId="HeaderChar">
    <w:name w:val="Header Char"/>
    <w:basedOn w:val="DefaultParagraphFont"/>
    <w:link w:val="Header"/>
    <w:uiPriority w:val="99"/>
    <w:rsid w:val="00AF4524"/>
    <w:rPr>
      <w:rFonts w:ascii="Times New Roman" w:hAnsi="Times New Roman" w:cs="Times New Roman"/>
      <w:sz w:val="24"/>
      <w:lang w:val="en-GB"/>
    </w:rPr>
  </w:style>
  <w:style w:type="paragraph" w:styleId="Footer">
    <w:name w:val="footer"/>
    <w:basedOn w:val="Normal"/>
    <w:link w:val="FooterChar"/>
    <w:uiPriority w:val="99"/>
    <w:unhideWhenUsed/>
    <w:rsid w:val="00AF4524"/>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sid w:val="00AF4524"/>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paragraph" w:customStyle="1" w:styleId="HeaderLandscape">
    <w:name w:val="HeaderLandscape"/>
    <w:basedOn w:val="Normal"/>
    <w:rsid w:val="00AF4524"/>
    <w:pPr>
      <w:tabs>
        <w:tab w:val="center" w:pos="7285"/>
        <w:tab w:val="right" w:pos="14003"/>
      </w:tabs>
      <w:spacing w:before="0"/>
    </w:pPr>
  </w:style>
  <w:style w:type="paragraph" w:customStyle="1" w:styleId="FooterLandscape">
    <w:name w:val="FooterLandscape"/>
    <w:basedOn w:val="Normal"/>
    <w:rsid w:val="00AF4524"/>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AF4524"/>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AF4524"/>
    <w:pPr>
      <w:spacing w:before="0"/>
      <w:jc w:val="right"/>
    </w:pPr>
    <w:rPr>
      <w:sz w:val="28"/>
    </w:rPr>
  </w:style>
  <w:style w:type="paragraph" w:customStyle="1" w:styleId="FooterSensitivity">
    <w:name w:val="Footer Sensitivity"/>
    <w:basedOn w:val="Normal"/>
    <w:rsid w:val="00AF4524"/>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7"/>
      </w:numPr>
    </w:pPr>
  </w:style>
  <w:style w:type="paragraph" w:customStyle="1" w:styleId="Tiret1">
    <w:name w:val="Tiret 1"/>
    <w:basedOn w:val="Point1"/>
    <w:pPr>
      <w:numPr>
        <w:numId w:val="18"/>
      </w:numPr>
    </w:pPr>
  </w:style>
  <w:style w:type="paragraph" w:customStyle="1" w:styleId="Tiret2">
    <w:name w:val="Tiret 2"/>
    <w:basedOn w:val="Point2"/>
    <w:pPr>
      <w:numPr>
        <w:numId w:val="19"/>
      </w:numPr>
    </w:pPr>
  </w:style>
  <w:style w:type="paragraph" w:customStyle="1" w:styleId="Tiret3">
    <w:name w:val="Tiret 3"/>
    <w:basedOn w:val="Point3"/>
    <w:pPr>
      <w:numPr>
        <w:numId w:val="20"/>
      </w:numPr>
    </w:pPr>
  </w:style>
  <w:style w:type="paragraph" w:customStyle="1" w:styleId="Tiret4">
    <w:name w:val="Tiret 4"/>
    <w:basedOn w:val="Point4"/>
    <w:pPr>
      <w:numPr>
        <w:numId w:val="21"/>
      </w:numPr>
    </w:pPr>
  </w:style>
  <w:style w:type="paragraph" w:customStyle="1" w:styleId="Tiret5">
    <w:name w:val="Tiret 5"/>
    <w:basedOn w:val="Point5"/>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NumPar5">
    <w:name w:val="NumPar 5"/>
    <w:basedOn w:val="Normal"/>
    <w:next w:val="Text2"/>
    <w:pPr>
      <w:numPr>
        <w:ilvl w:val="4"/>
        <w:numId w:val="23"/>
      </w:numPr>
    </w:pPr>
  </w:style>
  <w:style w:type="paragraph" w:customStyle="1" w:styleId="NumPar6">
    <w:name w:val="NumPar 6"/>
    <w:basedOn w:val="Normal"/>
    <w:next w:val="Text2"/>
    <w:pPr>
      <w:numPr>
        <w:ilvl w:val="5"/>
        <w:numId w:val="23"/>
      </w:numPr>
    </w:pPr>
  </w:style>
  <w:style w:type="paragraph" w:customStyle="1" w:styleId="NumPar7">
    <w:name w:val="NumPar 7"/>
    <w:basedOn w:val="Normal"/>
    <w:next w:val="Text2"/>
    <w:pPr>
      <w:numPr>
        <w:ilvl w:val="6"/>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sid w:val="008D11E0"/>
    <w:rPr>
      <w:color w:val="0000FF"/>
      <w:bdr w:val="none" w:sz="0" w:space="0" w:color="auto"/>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customStyle="1" w:styleId="TechnicalBlock">
    <w:name w:val="Technical Block"/>
    <w:basedOn w:val="Normal"/>
    <w:link w:val="TechnicalBlockChar"/>
    <w:rsid w:val="008D11E0"/>
    <w:pPr>
      <w:spacing w:before="0" w:after="240"/>
      <w:jc w:val="center"/>
    </w:pPr>
  </w:style>
  <w:style w:type="character" w:customStyle="1" w:styleId="TechnicalBlockChar">
    <w:name w:val="Technical Block Char"/>
    <w:basedOn w:val="DefaultParagraphFont"/>
    <w:link w:val="TechnicalBlock"/>
    <w:rsid w:val="008D11E0"/>
    <w:rPr>
      <w:rFonts w:ascii="Times New Roman" w:hAnsi="Times New Roman" w:cs="Times New Roman"/>
      <w:sz w:val="24"/>
      <w:lang w:val="en-GB"/>
    </w:rPr>
  </w:style>
  <w:style w:type="paragraph" w:customStyle="1" w:styleId="Lignefinal">
    <w:name w:val="Ligne final"/>
    <w:basedOn w:val="Normal"/>
    <w:next w:val="Normal"/>
    <w:rsid w:val="008D11E0"/>
    <w:pPr>
      <w:pBdr>
        <w:bottom w:val="single" w:sz="4" w:space="0" w:color="000000"/>
      </w:pBdr>
      <w:spacing w:before="360" w:line="360" w:lineRule="auto"/>
      <w:ind w:left="3400" w:right="3400"/>
      <w:jc w:val="center"/>
    </w:pPr>
    <w:rPr>
      <w:b/>
    </w:rPr>
  </w:style>
  <w:style w:type="paragraph" w:customStyle="1" w:styleId="EntText">
    <w:name w:val="EntText"/>
    <w:basedOn w:val="Normal"/>
    <w:rsid w:val="008D11E0"/>
    <w:pPr>
      <w:spacing w:line="360" w:lineRule="auto"/>
      <w:jc w:val="left"/>
    </w:pPr>
  </w:style>
  <w:style w:type="paragraph" w:customStyle="1" w:styleId="pj">
    <w:name w:val="p.j."/>
    <w:basedOn w:val="Normal"/>
    <w:link w:val="pjChar"/>
    <w:rsid w:val="008D11E0"/>
    <w:pPr>
      <w:spacing w:before="1200"/>
      <w:ind w:left="1440" w:hanging="1440"/>
      <w:jc w:val="left"/>
    </w:pPr>
  </w:style>
  <w:style w:type="character" w:customStyle="1" w:styleId="pjChar">
    <w:name w:val="p.j. Char"/>
    <w:basedOn w:val="TechnicalBlockChar"/>
    <w:link w:val="pj"/>
    <w:rsid w:val="008D11E0"/>
    <w:rPr>
      <w:rFonts w:ascii="Times New Roman" w:hAnsi="Times New Roman" w:cs="Times New Roman"/>
      <w:sz w:val="24"/>
      <w:lang w:val="en-GB"/>
    </w:rPr>
  </w:style>
  <w:style w:type="paragraph" w:customStyle="1" w:styleId="nbbordered">
    <w:name w:val="nb bordered"/>
    <w:basedOn w:val="Normal"/>
    <w:link w:val="nbborderedChar"/>
    <w:rsid w:val="008D11E0"/>
    <w:pPr>
      <w:pBdr>
        <w:top w:val="single" w:sz="4" w:space="1" w:color="auto"/>
        <w:left w:val="single" w:sz="4" w:space="4" w:color="auto"/>
        <w:bottom w:val="single" w:sz="4" w:space="1" w:color="auto"/>
        <w:right w:val="single" w:sz="4" w:space="4" w:color="auto"/>
        <w:between w:val="single" w:sz="4" w:space="0" w:color="auto"/>
      </w:pBdr>
      <w:spacing w:after="160"/>
      <w:ind w:left="480" w:hanging="480"/>
    </w:pPr>
    <w:rPr>
      <w:b/>
    </w:rPr>
  </w:style>
  <w:style w:type="character" w:customStyle="1" w:styleId="nbborderedChar">
    <w:name w:val="nb bordered Char"/>
    <w:basedOn w:val="TechnicalBlockChar"/>
    <w:link w:val="nbbordered"/>
    <w:rsid w:val="008D11E0"/>
    <w:rPr>
      <w:rFonts w:ascii="Times New Roman" w:hAnsi="Times New Roman" w:cs="Times New Roman"/>
      <w:b/>
      <w:sz w:val="24"/>
      <w:lang w:val="en-GB"/>
    </w:rPr>
  </w:style>
  <w:style w:type="paragraph" w:customStyle="1" w:styleId="HeaderCouncil">
    <w:name w:val="Header Council"/>
    <w:basedOn w:val="Normal"/>
    <w:link w:val="HeaderCouncilChar"/>
    <w:rsid w:val="008D11E0"/>
    <w:pPr>
      <w:spacing w:before="0" w:after="0"/>
    </w:pPr>
    <w:rPr>
      <w:sz w:val="2"/>
    </w:rPr>
  </w:style>
  <w:style w:type="character" w:customStyle="1" w:styleId="HeaderCouncilChar">
    <w:name w:val="Header Council Char"/>
    <w:basedOn w:val="DefaultParagraphFont"/>
    <w:link w:val="HeaderCouncil"/>
    <w:rsid w:val="008D11E0"/>
    <w:rPr>
      <w:rFonts w:ascii="Times New Roman" w:hAnsi="Times New Roman" w:cs="Times New Roman"/>
      <w:sz w:val="2"/>
      <w:lang w:val="en-GB"/>
    </w:rPr>
  </w:style>
  <w:style w:type="paragraph" w:customStyle="1" w:styleId="HeaderCouncilLarge">
    <w:name w:val="Header Council Large"/>
    <w:basedOn w:val="Normal"/>
    <w:link w:val="HeaderCouncilLargeChar"/>
    <w:rsid w:val="008D11E0"/>
    <w:pPr>
      <w:spacing w:before="0" w:after="440"/>
    </w:pPr>
    <w:rPr>
      <w:sz w:val="2"/>
    </w:rPr>
  </w:style>
  <w:style w:type="character" w:customStyle="1" w:styleId="HeaderCouncilLargeChar">
    <w:name w:val="Header Council Large Char"/>
    <w:basedOn w:val="DefaultParagraphFont"/>
    <w:link w:val="HeaderCouncilLarge"/>
    <w:rsid w:val="008D11E0"/>
    <w:rPr>
      <w:rFonts w:ascii="Times New Roman" w:hAnsi="Times New Roman" w:cs="Times New Roman"/>
      <w:sz w:val="2"/>
      <w:lang w:val="en-GB"/>
    </w:rPr>
  </w:style>
  <w:style w:type="paragraph" w:customStyle="1" w:styleId="FooterCouncil">
    <w:name w:val="Footer Council"/>
    <w:basedOn w:val="Normal"/>
    <w:link w:val="FooterCouncilChar"/>
    <w:rsid w:val="008D11E0"/>
    <w:pPr>
      <w:spacing w:before="0" w:after="0"/>
    </w:pPr>
    <w:rPr>
      <w:sz w:val="2"/>
    </w:rPr>
  </w:style>
  <w:style w:type="character" w:customStyle="1" w:styleId="FooterCouncilChar">
    <w:name w:val="Footer Council Char"/>
    <w:basedOn w:val="DefaultParagraphFont"/>
    <w:link w:val="FooterCouncil"/>
    <w:rsid w:val="008D11E0"/>
    <w:rPr>
      <w:rFonts w:ascii="Times New Roman" w:hAnsi="Times New Roman" w:cs="Times New Roman"/>
      <w:sz w:val="2"/>
      <w:lang w:val="en-GB"/>
    </w:rPr>
  </w:style>
  <w:style w:type="paragraph" w:customStyle="1" w:styleId="FooterText">
    <w:name w:val="Footer Text"/>
    <w:basedOn w:val="Normal"/>
    <w:rsid w:val="008D11E0"/>
    <w:pPr>
      <w:spacing w:before="0" w:after="0"/>
      <w:jc w:val="left"/>
    </w:pPr>
    <w:rPr>
      <w:rFonts w:eastAsia="Times New Roman"/>
      <w:szCs w:val="24"/>
    </w:rPr>
  </w:style>
  <w:style w:type="character" w:styleId="PlaceholderText">
    <w:name w:val="Placeholder Text"/>
    <w:basedOn w:val="DefaultParagraphFont"/>
    <w:uiPriority w:val="99"/>
    <w:semiHidden/>
    <w:rsid w:val="008D11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71967">
      <w:bodyDiv w:val="1"/>
      <w:marLeft w:val="0"/>
      <w:marRight w:val="0"/>
      <w:marTop w:val="0"/>
      <w:marBottom w:val="0"/>
      <w:divBdr>
        <w:top w:val="none" w:sz="0" w:space="0" w:color="auto"/>
        <w:left w:val="none" w:sz="0" w:space="0" w:color="auto"/>
        <w:bottom w:val="none" w:sz="0" w:space="0" w:color="auto"/>
        <w:right w:val="none" w:sz="0" w:space="0" w:color="auto"/>
      </w:divBdr>
    </w:div>
    <w:div w:id="82721721">
      <w:bodyDiv w:val="1"/>
      <w:marLeft w:val="0"/>
      <w:marRight w:val="0"/>
      <w:marTop w:val="0"/>
      <w:marBottom w:val="0"/>
      <w:divBdr>
        <w:top w:val="none" w:sz="0" w:space="0" w:color="auto"/>
        <w:left w:val="none" w:sz="0" w:space="0" w:color="auto"/>
        <w:bottom w:val="none" w:sz="0" w:space="0" w:color="auto"/>
        <w:right w:val="none" w:sz="0" w:space="0" w:color="auto"/>
      </w:divBdr>
    </w:div>
    <w:div w:id="148718307">
      <w:bodyDiv w:val="1"/>
      <w:marLeft w:val="0"/>
      <w:marRight w:val="0"/>
      <w:marTop w:val="0"/>
      <w:marBottom w:val="0"/>
      <w:divBdr>
        <w:top w:val="none" w:sz="0" w:space="0" w:color="auto"/>
        <w:left w:val="none" w:sz="0" w:space="0" w:color="auto"/>
        <w:bottom w:val="none" w:sz="0" w:space="0" w:color="auto"/>
        <w:right w:val="none" w:sz="0" w:space="0" w:color="auto"/>
      </w:divBdr>
    </w:div>
    <w:div w:id="179399138">
      <w:bodyDiv w:val="1"/>
      <w:marLeft w:val="0"/>
      <w:marRight w:val="0"/>
      <w:marTop w:val="0"/>
      <w:marBottom w:val="0"/>
      <w:divBdr>
        <w:top w:val="none" w:sz="0" w:space="0" w:color="auto"/>
        <w:left w:val="none" w:sz="0" w:space="0" w:color="auto"/>
        <w:bottom w:val="none" w:sz="0" w:space="0" w:color="auto"/>
        <w:right w:val="none" w:sz="0" w:space="0" w:color="auto"/>
      </w:divBdr>
    </w:div>
    <w:div w:id="258755941">
      <w:bodyDiv w:val="1"/>
      <w:marLeft w:val="0"/>
      <w:marRight w:val="0"/>
      <w:marTop w:val="0"/>
      <w:marBottom w:val="0"/>
      <w:divBdr>
        <w:top w:val="none" w:sz="0" w:space="0" w:color="auto"/>
        <w:left w:val="none" w:sz="0" w:space="0" w:color="auto"/>
        <w:bottom w:val="none" w:sz="0" w:space="0" w:color="auto"/>
        <w:right w:val="none" w:sz="0" w:space="0" w:color="auto"/>
      </w:divBdr>
    </w:div>
    <w:div w:id="269507031">
      <w:bodyDiv w:val="1"/>
      <w:marLeft w:val="0"/>
      <w:marRight w:val="0"/>
      <w:marTop w:val="0"/>
      <w:marBottom w:val="0"/>
      <w:divBdr>
        <w:top w:val="none" w:sz="0" w:space="0" w:color="auto"/>
        <w:left w:val="none" w:sz="0" w:space="0" w:color="auto"/>
        <w:bottom w:val="none" w:sz="0" w:space="0" w:color="auto"/>
        <w:right w:val="none" w:sz="0" w:space="0" w:color="auto"/>
      </w:divBdr>
    </w:div>
    <w:div w:id="289676911">
      <w:bodyDiv w:val="1"/>
      <w:marLeft w:val="0"/>
      <w:marRight w:val="0"/>
      <w:marTop w:val="0"/>
      <w:marBottom w:val="0"/>
      <w:divBdr>
        <w:top w:val="none" w:sz="0" w:space="0" w:color="auto"/>
        <w:left w:val="none" w:sz="0" w:space="0" w:color="auto"/>
        <w:bottom w:val="none" w:sz="0" w:space="0" w:color="auto"/>
        <w:right w:val="none" w:sz="0" w:space="0" w:color="auto"/>
      </w:divBdr>
    </w:div>
    <w:div w:id="346254271">
      <w:bodyDiv w:val="1"/>
      <w:marLeft w:val="0"/>
      <w:marRight w:val="0"/>
      <w:marTop w:val="0"/>
      <w:marBottom w:val="0"/>
      <w:divBdr>
        <w:top w:val="none" w:sz="0" w:space="0" w:color="auto"/>
        <w:left w:val="none" w:sz="0" w:space="0" w:color="auto"/>
        <w:bottom w:val="none" w:sz="0" w:space="0" w:color="auto"/>
        <w:right w:val="none" w:sz="0" w:space="0" w:color="auto"/>
      </w:divBdr>
      <w:divsChild>
        <w:div w:id="887037936">
          <w:marLeft w:val="0"/>
          <w:marRight w:val="0"/>
          <w:marTop w:val="120"/>
          <w:marBottom w:val="0"/>
          <w:divBdr>
            <w:top w:val="none" w:sz="0" w:space="0" w:color="auto"/>
            <w:left w:val="none" w:sz="0" w:space="0" w:color="auto"/>
            <w:bottom w:val="none" w:sz="0" w:space="0" w:color="auto"/>
            <w:right w:val="none" w:sz="0" w:space="0" w:color="auto"/>
          </w:divBdr>
        </w:div>
        <w:div w:id="1564829981">
          <w:marLeft w:val="0"/>
          <w:marRight w:val="0"/>
          <w:marTop w:val="0"/>
          <w:marBottom w:val="0"/>
          <w:divBdr>
            <w:top w:val="none" w:sz="0" w:space="0" w:color="auto"/>
            <w:left w:val="none" w:sz="0" w:space="0" w:color="auto"/>
            <w:bottom w:val="none" w:sz="0" w:space="0" w:color="auto"/>
            <w:right w:val="none" w:sz="0" w:space="0" w:color="auto"/>
          </w:divBdr>
        </w:div>
      </w:divsChild>
    </w:div>
    <w:div w:id="353775504">
      <w:bodyDiv w:val="1"/>
      <w:marLeft w:val="0"/>
      <w:marRight w:val="0"/>
      <w:marTop w:val="0"/>
      <w:marBottom w:val="0"/>
      <w:divBdr>
        <w:top w:val="none" w:sz="0" w:space="0" w:color="auto"/>
        <w:left w:val="none" w:sz="0" w:space="0" w:color="auto"/>
        <w:bottom w:val="none" w:sz="0" w:space="0" w:color="auto"/>
        <w:right w:val="none" w:sz="0" w:space="0" w:color="auto"/>
      </w:divBdr>
    </w:div>
    <w:div w:id="378017448">
      <w:bodyDiv w:val="1"/>
      <w:marLeft w:val="0"/>
      <w:marRight w:val="0"/>
      <w:marTop w:val="0"/>
      <w:marBottom w:val="0"/>
      <w:divBdr>
        <w:top w:val="none" w:sz="0" w:space="0" w:color="auto"/>
        <w:left w:val="none" w:sz="0" w:space="0" w:color="auto"/>
        <w:bottom w:val="none" w:sz="0" w:space="0" w:color="auto"/>
        <w:right w:val="none" w:sz="0" w:space="0" w:color="auto"/>
      </w:divBdr>
    </w:div>
    <w:div w:id="423453337">
      <w:bodyDiv w:val="1"/>
      <w:marLeft w:val="0"/>
      <w:marRight w:val="0"/>
      <w:marTop w:val="0"/>
      <w:marBottom w:val="0"/>
      <w:divBdr>
        <w:top w:val="none" w:sz="0" w:space="0" w:color="auto"/>
        <w:left w:val="none" w:sz="0" w:space="0" w:color="auto"/>
        <w:bottom w:val="none" w:sz="0" w:space="0" w:color="auto"/>
        <w:right w:val="none" w:sz="0" w:space="0" w:color="auto"/>
      </w:divBdr>
    </w:div>
    <w:div w:id="508058103">
      <w:bodyDiv w:val="1"/>
      <w:marLeft w:val="0"/>
      <w:marRight w:val="0"/>
      <w:marTop w:val="0"/>
      <w:marBottom w:val="0"/>
      <w:divBdr>
        <w:top w:val="none" w:sz="0" w:space="0" w:color="auto"/>
        <w:left w:val="none" w:sz="0" w:space="0" w:color="auto"/>
        <w:bottom w:val="none" w:sz="0" w:space="0" w:color="auto"/>
        <w:right w:val="none" w:sz="0" w:space="0" w:color="auto"/>
      </w:divBdr>
    </w:div>
    <w:div w:id="590505443">
      <w:bodyDiv w:val="1"/>
      <w:marLeft w:val="0"/>
      <w:marRight w:val="0"/>
      <w:marTop w:val="0"/>
      <w:marBottom w:val="0"/>
      <w:divBdr>
        <w:top w:val="none" w:sz="0" w:space="0" w:color="auto"/>
        <w:left w:val="none" w:sz="0" w:space="0" w:color="auto"/>
        <w:bottom w:val="none" w:sz="0" w:space="0" w:color="auto"/>
        <w:right w:val="none" w:sz="0" w:space="0" w:color="auto"/>
      </w:divBdr>
      <w:divsChild>
        <w:div w:id="440685149">
          <w:marLeft w:val="0"/>
          <w:marRight w:val="0"/>
          <w:marTop w:val="120"/>
          <w:marBottom w:val="0"/>
          <w:divBdr>
            <w:top w:val="none" w:sz="0" w:space="0" w:color="auto"/>
            <w:left w:val="none" w:sz="0" w:space="0" w:color="auto"/>
            <w:bottom w:val="none" w:sz="0" w:space="0" w:color="auto"/>
            <w:right w:val="none" w:sz="0" w:space="0" w:color="auto"/>
          </w:divBdr>
        </w:div>
        <w:div w:id="618534637">
          <w:marLeft w:val="0"/>
          <w:marRight w:val="0"/>
          <w:marTop w:val="0"/>
          <w:marBottom w:val="0"/>
          <w:divBdr>
            <w:top w:val="none" w:sz="0" w:space="0" w:color="auto"/>
            <w:left w:val="none" w:sz="0" w:space="0" w:color="auto"/>
            <w:bottom w:val="none" w:sz="0" w:space="0" w:color="auto"/>
            <w:right w:val="none" w:sz="0" w:space="0" w:color="auto"/>
          </w:divBdr>
          <w:divsChild>
            <w:div w:id="2063092393">
              <w:marLeft w:val="0"/>
              <w:marRight w:val="0"/>
              <w:marTop w:val="0"/>
              <w:marBottom w:val="0"/>
              <w:divBdr>
                <w:top w:val="none" w:sz="0" w:space="0" w:color="auto"/>
                <w:left w:val="none" w:sz="0" w:space="0" w:color="auto"/>
                <w:bottom w:val="none" w:sz="0" w:space="0" w:color="auto"/>
                <w:right w:val="none" w:sz="0" w:space="0" w:color="auto"/>
              </w:divBdr>
              <w:divsChild>
                <w:div w:id="1314217972">
                  <w:marLeft w:val="0"/>
                  <w:marRight w:val="0"/>
                  <w:marTop w:val="120"/>
                  <w:marBottom w:val="0"/>
                  <w:divBdr>
                    <w:top w:val="none" w:sz="0" w:space="0" w:color="auto"/>
                    <w:left w:val="none" w:sz="0" w:space="0" w:color="auto"/>
                    <w:bottom w:val="none" w:sz="0" w:space="0" w:color="auto"/>
                    <w:right w:val="none" w:sz="0" w:space="0" w:color="auto"/>
                  </w:divBdr>
                </w:div>
                <w:div w:id="1117603601">
                  <w:marLeft w:val="0"/>
                  <w:marRight w:val="0"/>
                  <w:marTop w:val="0"/>
                  <w:marBottom w:val="0"/>
                  <w:divBdr>
                    <w:top w:val="none" w:sz="0" w:space="0" w:color="auto"/>
                    <w:left w:val="none" w:sz="0" w:space="0" w:color="auto"/>
                    <w:bottom w:val="none" w:sz="0" w:space="0" w:color="auto"/>
                    <w:right w:val="none" w:sz="0" w:space="0" w:color="auto"/>
                  </w:divBdr>
                </w:div>
              </w:divsChild>
            </w:div>
            <w:div w:id="715279613">
              <w:marLeft w:val="0"/>
              <w:marRight w:val="0"/>
              <w:marTop w:val="0"/>
              <w:marBottom w:val="0"/>
              <w:divBdr>
                <w:top w:val="none" w:sz="0" w:space="0" w:color="auto"/>
                <w:left w:val="none" w:sz="0" w:space="0" w:color="auto"/>
                <w:bottom w:val="none" w:sz="0" w:space="0" w:color="auto"/>
                <w:right w:val="none" w:sz="0" w:space="0" w:color="auto"/>
              </w:divBdr>
              <w:divsChild>
                <w:div w:id="1602225781">
                  <w:marLeft w:val="0"/>
                  <w:marRight w:val="0"/>
                  <w:marTop w:val="120"/>
                  <w:marBottom w:val="0"/>
                  <w:divBdr>
                    <w:top w:val="none" w:sz="0" w:space="0" w:color="auto"/>
                    <w:left w:val="none" w:sz="0" w:space="0" w:color="auto"/>
                    <w:bottom w:val="none" w:sz="0" w:space="0" w:color="auto"/>
                    <w:right w:val="none" w:sz="0" w:space="0" w:color="auto"/>
                  </w:divBdr>
                </w:div>
                <w:div w:id="106040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289297">
      <w:bodyDiv w:val="1"/>
      <w:marLeft w:val="0"/>
      <w:marRight w:val="0"/>
      <w:marTop w:val="0"/>
      <w:marBottom w:val="0"/>
      <w:divBdr>
        <w:top w:val="none" w:sz="0" w:space="0" w:color="auto"/>
        <w:left w:val="none" w:sz="0" w:space="0" w:color="auto"/>
        <w:bottom w:val="none" w:sz="0" w:space="0" w:color="auto"/>
        <w:right w:val="none" w:sz="0" w:space="0" w:color="auto"/>
      </w:divBdr>
    </w:div>
    <w:div w:id="708844947">
      <w:bodyDiv w:val="1"/>
      <w:marLeft w:val="0"/>
      <w:marRight w:val="0"/>
      <w:marTop w:val="0"/>
      <w:marBottom w:val="0"/>
      <w:divBdr>
        <w:top w:val="none" w:sz="0" w:space="0" w:color="auto"/>
        <w:left w:val="none" w:sz="0" w:space="0" w:color="auto"/>
        <w:bottom w:val="none" w:sz="0" w:space="0" w:color="auto"/>
        <w:right w:val="none" w:sz="0" w:space="0" w:color="auto"/>
      </w:divBdr>
    </w:div>
    <w:div w:id="774790936">
      <w:bodyDiv w:val="1"/>
      <w:marLeft w:val="0"/>
      <w:marRight w:val="0"/>
      <w:marTop w:val="0"/>
      <w:marBottom w:val="0"/>
      <w:divBdr>
        <w:top w:val="none" w:sz="0" w:space="0" w:color="auto"/>
        <w:left w:val="none" w:sz="0" w:space="0" w:color="auto"/>
        <w:bottom w:val="none" w:sz="0" w:space="0" w:color="auto"/>
        <w:right w:val="none" w:sz="0" w:space="0" w:color="auto"/>
      </w:divBdr>
      <w:divsChild>
        <w:div w:id="18817925">
          <w:marLeft w:val="0"/>
          <w:marRight w:val="0"/>
          <w:marTop w:val="120"/>
          <w:marBottom w:val="0"/>
          <w:divBdr>
            <w:top w:val="none" w:sz="0" w:space="0" w:color="auto"/>
            <w:left w:val="none" w:sz="0" w:space="0" w:color="auto"/>
            <w:bottom w:val="none" w:sz="0" w:space="0" w:color="auto"/>
            <w:right w:val="none" w:sz="0" w:space="0" w:color="auto"/>
          </w:divBdr>
        </w:div>
        <w:div w:id="582493104">
          <w:marLeft w:val="0"/>
          <w:marRight w:val="0"/>
          <w:marTop w:val="0"/>
          <w:marBottom w:val="0"/>
          <w:divBdr>
            <w:top w:val="none" w:sz="0" w:space="0" w:color="auto"/>
            <w:left w:val="none" w:sz="0" w:space="0" w:color="auto"/>
            <w:bottom w:val="none" w:sz="0" w:space="0" w:color="auto"/>
            <w:right w:val="none" w:sz="0" w:space="0" w:color="auto"/>
          </w:divBdr>
          <w:divsChild>
            <w:div w:id="1133211506">
              <w:marLeft w:val="0"/>
              <w:marRight w:val="0"/>
              <w:marTop w:val="0"/>
              <w:marBottom w:val="0"/>
              <w:divBdr>
                <w:top w:val="none" w:sz="0" w:space="0" w:color="auto"/>
                <w:left w:val="none" w:sz="0" w:space="0" w:color="auto"/>
                <w:bottom w:val="none" w:sz="0" w:space="0" w:color="auto"/>
                <w:right w:val="none" w:sz="0" w:space="0" w:color="auto"/>
              </w:divBdr>
              <w:divsChild>
                <w:div w:id="1042290469">
                  <w:marLeft w:val="0"/>
                  <w:marRight w:val="0"/>
                  <w:marTop w:val="120"/>
                  <w:marBottom w:val="0"/>
                  <w:divBdr>
                    <w:top w:val="none" w:sz="0" w:space="0" w:color="auto"/>
                    <w:left w:val="none" w:sz="0" w:space="0" w:color="auto"/>
                    <w:bottom w:val="none" w:sz="0" w:space="0" w:color="auto"/>
                    <w:right w:val="none" w:sz="0" w:space="0" w:color="auto"/>
                  </w:divBdr>
                </w:div>
                <w:div w:id="85153760">
                  <w:marLeft w:val="0"/>
                  <w:marRight w:val="0"/>
                  <w:marTop w:val="0"/>
                  <w:marBottom w:val="0"/>
                  <w:divBdr>
                    <w:top w:val="none" w:sz="0" w:space="0" w:color="auto"/>
                    <w:left w:val="none" w:sz="0" w:space="0" w:color="auto"/>
                    <w:bottom w:val="none" w:sz="0" w:space="0" w:color="auto"/>
                    <w:right w:val="none" w:sz="0" w:space="0" w:color="auto"/>
                  </w:divBdr>
                </w:div>
              </w:divsChild>
            </w:div>
            <w:div w:id="449398680">
              <w:marLeft w:val="0"/>
              <w:marRight w:val="0"/>
              <w:marTop w:val="0"/>
              <w:marBottom w:val="0"/>
              <w:divBdr>
                <w:top w:val="none" w:sz="0" w:space="0" w:color="auto"/>
                <w:left w:val="none" w:sz="0" w:space="0" w:color="auto"/>
                <w:bottom w:val="none" w:sz="0" w:space="0" w:color="auto"/>
                <w:right w:val="none" w:sz="0" w:space="0" w:color="auto"/>
              </w:divBdr>
              <w:divsChild>
                <w:div w:id="82067144">
                  <w:marLeft w:val="0"/>
                  <w:marRight w:val="0"/>
                  <w:marTop w:val="120"/>
                  <w:marBottom w:val="0"/>
                  <w:divBdr>
                    <w:top w:val="none" w:sz="0" w:space="0" w:color="auto"/>
                    <w:left w:val="none" w:sz="0" w:space="0" w:color="auto"/>
                    <w:bottom w:val="none" w:sz="0" w:space="0" w:color="auto"/>
                    <w:right w:val="none" w:sz="0" w:space="0" w:color="auto"/>
                  </w:divBdr>
                </w:div>
                <w:div w:id="28909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272756">
      <w:bodyDiv w:val="1"/>
      <w:marLeft w:val="0"/>
      <w:marRight w:val="0"/>
      <w:marTop w:val="0"/>
      <w:marBottom w:val="0"/>
      <w:divBdr>
        <w:top w:val="none" w:sz="0" w:space="0" w:color="auto"/>
        <w:left w:val="none" w:sz="0" w:space="0" w:color="auto"/>
        <w:bottom w:val="none" w:sz="0" w:space="0" w:color="auto"/>
        <w:right w:val="none" w:sz="0" w:space="0" w:color="auto"/>
      </w:divBdr>
      <w:divsChild>
        <w:div w:id="1874884427">
          <w:marLeft w:val="0"/>
          <w:marRight w:val="0"/>
          <w:marTop w:val="0"/>
          <w:marBottom w:val="0"/>
          <w:divBdr>
            <w:top w:val="none" w:sz="0" w:space="0" w:color="auto"/>
            <w:left w:val="none" w:sz="0" w:space="0" w:color="auto"/>
            <w:bottom w:val="none" w:sz="0" w:space="0" w:color="auto"/>
            <w:right w:val="none" w:sz="0" w:space="0" w:color="auto"/>
          </w:divBdr>
          <w:divsChild>
            <w:div w:id="102066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382466">
      <w:bodyDiv w:val="1"/>
      <w:marLeft w:val="0"/>
      <w:marRight w:val="0"/>
      <w:marTop w:val="0"/>
      <w:marBottom w:val="0"/>
      <w:divBdr>
        <w:top w:val="none" w:sz="0" w:space="0" w:color="auto"/>
        <w:left w:val="none" w:sz="0" w:space="0" w:color="auto"/>
        <w:bottom w:val="none" w:sz="0" w:space="0" w:color="auto"/>
        <w:right w:val="none" w:sz="0" w:space="0" w:color="auto"/>
      </w:divBdr>
    </w:div>
    <w:div w:id="961422562">
      <w:bodyDiv w:val="1"/>
      <w:marLeft w:val="0"/>
      <w:marRight w:val="0"/>
      <w:marTop w:val="0"/>
      <w:marBottom w:val="0"/>
      <w:divBdr>
        <w:top w:val="none" w:sz="0" w:space="0" w:color="auto"/>
        <w:left w:val="none" w:sz="0" w:space="0" w:color="auto"/>
        <w:bottom w:val="none" w:sz="0" w:space="0" w:color="auto"/>
        <w:right w:val="none" w:sz="0" w:space="0" w:color="auto"/>
      </w:divBdr>
    </w:div>
    <w:div w:id="965620841">
      <w:bodyDiv w:val="1"/>
      <w:marLeft w:val="0"/>
      <w:marRight w:val="0"/>
      <w:marTop w:val="0"/>
      <w:marBottom w:val="0"/>
      <w:divBdr>
        <w:top w:val="none" w:sz="0" w:space="0" w:color="auto"/>
        <w:left w:val="none" w:sz="0" w:space="0" w:color="auto"/>
        <w:bottom w:val="none" w:sz="0" w:space="0" w:color="auto"/>
        <w:right w:val="none" w:sz="0" w:space="0" w:color="auto"/>
      </w:divBdr>
    </w:div>
    <w:div w:id="968630050">
      <w:bodyDiv w:val="1"/>
      <w:marLeft w:val="0"/>
      <w:marRight w:val="0"/>
      <w:marTop w:val="0"/>
      <w:marBottom w:val="0"/>
      <w:divBdr>
        <w:top w:val="none" w:sz="0" w:space="0" w:color="auto"/>
        <w:left w:val="none" w:sz="0" w:space="0" w:color="auto"/>
        <w:bottom w:val="none" w:sz="0" w:space="0" w:color="auto"/>
        <w:right w:val="none" w:sz="0" w:space="0" w:color="auto"/>
      </w:divBdr>
    </w:div>
    <w:div w:id="977103104">
      <w:bodyDiv w:val="1"/>
      <w:marLeft w:val="0"/>
      <w:marRight w:val="0"/>
      <w:marTop w:val="0"/>
      <w:marBottom w:val="0"/>
      <w:divBdr>
        <w:top w:val="none" w:sz="0" w:space="0" w:color="auto"/>
        <w:left w:val="none" w:sz="0" w:space="0" w:color="auto"/>
        <w:bottom w:val="none" w:sz="0" w:space="0" w:color="auto"/>
        <w:right w:val="none" w:sz="0" w:space="0" w:color="auto"/>
      </w:divBdr>
    </w:div>
    <w:div w:id="1072193398">
      <w:bodyDiv w:val="1"/>
      <w:marLeft w:val="0"/>
      <w:marRight w:val="0"/>
      <w:marTop w:val="0"/>
      <w:marBottom w:val="0"/>
      <w:divBdr>
        <w:top w:val="none" w:sz="0" w:space="0" w:color="auto"/>
        <w:left w:val="none" w:sz="0" w:space="0" w:color="auto"/>
        <w:bottom w:val="none" w:sz="0" w:space="0" w:color="auto"/>
        <w:right w:val="none" w:sz="0" w:space="0" w:color="auto"/>
      </w:divBdr>
    </w:div>
    <w:div w:id="1138763876">
      <w:bodyDiv w:val="1"/>
      <w:marLeft w:val="0"/>
      <w:marRight w:val="0"/>
      <w:marTop w:val="0"/>
      <w:marBottom w:val="0"/>
      <w:divBdr>
        <w:top w:val="none" w:sz="0" w:space="0" w:color="auto"/>
        <w:left w:val="none" w:sz="0" w:space="0" w:color="auto"/>
        <w:bottom w:val="none" w:sz="0" w:space="0" w:color="auto"/>
        <w:right w:val="none" w:sz="0" w:space="0" w:color="auto"/>
      </w:divBdr>
    </w:div>
    <w:div w:id="1197616434">
      <w:bodyDiv w:val="1"/>
      <w:marLeft w:val="0"/>
      <w:marRight w:val="0"/>
      <w:marTop w:val="0"/>
      <w:marBottom w:val="0"/>
      <w:divBdr>
        <w:top w:val="none" w:sz="0" w:space="0" w:color="auto"/>
        <w:left w:val="none" w:sz="0" w:space="0" w:color="auto"/>
        <w:bottom w:val="none" w:sz="0" w:space="0" w:color="auto"/>
        <w:right w:val="none" w:sz="0" w:space="0" w:color="auto"/>
      </w:divBdr>
    </w:div>
    <w:div w:id="1278172921">
      <w:bodyDiv w:val="1"/>
      <w:marLeft w:val="0"/>
      <w:marRight w:val="0"/>
      <w:marTop w:val="0"/>
      <w:marBottom w:val="0"/>
      <w:divBdr>
        <w:top w:val="none" w:sz="0" w:space="0" w:color="auto"/>
        <w:left w:val="none" w:sz="0" w:space="0" w:color="auto"/>
        <w:bottom w:val="none" w:sz="0" w:space="0" w:color="auto"/>
        <w:right w:val="none" w:sz="0" w:space="0" w:color="auto"/>
      </w:divBdr>
    </w:div>
    <w:div w:id="1314749475">
      <w:bodyDiv w:val="1"/>
      <w:marLeft w:val="0"/>
      <w:marRight w:val="0"/>
      <w:marTop w:val="0"/>
      <w:marBottom w:val="0"/>
      <w:divBdr>
        <w:top w:val="none" w:sz="0" w:space="0" w:color="auto"/>
        <w:left w:val="none" w:sz="0" w:space="0" w:color="auto"/>
        <w:bottom w:val="none" w:sz="0" w:space="0" w:color="auto"/>
        <w:right w:val="none" w:sz="0" w:space="0" w:color="auto"/>
      </w:divBdr>
    </w:div>
    <w:div w:id="1402483149">
      <w:bodyDiv w:val="1"/>
      <w:marLeft w:val="0"/>
      <w:marRight w:val="0"/>
      <w:marTop w:val="0"/>
      <w:marBottom w:val="0"/>
      <w:divBdr>
        <w:top w:val="none" w:sz="0" w:space="0" w:color="auto"/>
        <w:left w:val="none" w:sz="0" w:space="0" w:color="auto"/>
        <w:bottom w:val="none" w:sz="0" w:space="0" w:color="auto"/>
        <w:right w:val="none" w:sz="0" w:space="0" w:color="auto"/>
      </w:divBdr>
    </w:div>
    <w:div w:id="1403681080">
      <w:bodyDiv w:val="1"/>
      <w:marLeft w:val="0"/>
      <w:marRight w:val="0"/>
      <w:marTop w:val="0"/>
      <w:marBottom w:val="0"/>
      <w:divBdr>
        <w:top w:val="none" w:sz="0" w:space="0" w:color="auto"/>
        <w:left w:val="none" w:sz="0" w:space="0" w:color="auto"/>
        <w:bottom w:val="none" w:sz="0" w:space="0" w:color="auto"/>
        <w:right w:val="none" w:sz="0" w:space="0" w:color="auto"/>
      </w:divBdr>
    </w:div>
    <w:div w:id="1448694284">
      <w:bodyDiv w:val="1"/>
      <w:marLeft w:val="0"/>
      <w:marRight w:val="0"/>
      <w:marTop w:val="0"/>
      <w:marBottom w:val="0"/>
      <w:divBdr>
        <w:top w:val="none" w:sz="0" w:space="0" w:color="auto"/>
        <w:left w:val="none" w:sz="0" w:space="0" w:color="auto"/>
        <w:bottom w:val="none" w:sz="0" w:space="0" w:color="auto"/>
        <w:right w:val="none" w:sz="0" w:space="0" w:color="auto"/>
      </w:divBdr>
    </w:div>
    <w:div w:id="1566720303">
      <w:bodyDiv w:val="1"/>
      <w:marLeft w:val="0"/>
      <w:marRight w:val="0"/>
      <w:marTop w:val="0"/>
      <w:marBottom w:val="0"/>
      <w:divBdr>
        <w:top w:val="none" w:sz="0" w:space="0" w:color="auto"/>
        <w:left w:val="none" w:sz="0" w:space="0" w:color="auto"/>
        <w:bottom w:val="none" w:sz="0" w:space="0" w:color="auto"/>
        <w:right w:val="none" w:sz="0" w:space="0" w:color="auto"/>
      </w:divBdr>
      <w:divsChild>
        <w:div w:id="704141270">
          <w:marLeft w:val="0"/>
          <w:marRight w:val="0"/>
          <w:marTop w:val="120"/>
          <w:marBottom w:val="0"/>
          <w:divBdr>
            <w:top w:val="none" w:sz="0" w:space="0" w:color="auto"/>
            <w:left w:val="none" w:sz="0" w:space="0" w:color="auto"/>
            <w:bottom w:val="none" w:sz="0" w:space="0" w:color="auto"/>
            <w:right w:val="none" w:sz="0" w:space="0" w:color="auto"/>
          </w:divBdr>
        </w:div>
        <w:div w:id="1364089014">
          <w:marLeft w:val="0"/>
          <w:marRight w:val="0"/>
          <w:marTop w:val="0"/>
          <w:marBottom w:val="0"/>
          <w:divBdr>
            <w:top w:val="none" w:sz="0" w:space="0" w:color="auto"/>
            <w:left w:val="none" w:sz="0" w:space="0" w:color="auto"/>
            <w:bottom w:val="none" w:sz="0" w:space="0" w:color="auto"/>
            <w:right w:val="none" w:sz="0" w:space="0" w:color="auto"/>
          </w:divBdr>
        </w:div>
      </w:divsChild>
    </w:div>
    <w:div w:id="1581405170">
      <w:bodyDiv w:val="1"/>
      <w:marLeft w:val="0"/>
      <w:marRight w:val="0"/>
      <w:marTop w:val="0"/>
      <w:marBottom w:val="0"/>
      <w:divBdr>
        <w:top w:val="none" w:sz="0" w:space="0" w:color="auto"/>
        <w:left w:val="none" w:sz="0" w:space="0" w:color="auto"/>
        <w:bottom w:val="none" w:sz="0" w:space="0" w:color="auto"/>
        <w:right w:val="none" w:sz="0" w:space="0" w:color="auto"/>
      </w:divBdr>
    </w:div>
    <w:div w:id="1601332780">
      <w:bodyDiv w:val="1"/>
      <w:marLeft w:val="0"/>
      <w:marRight w:val="0"/>
      <w:marTop w:val="0"/>
      <w:marBottom w:val="0"/>
      <w:divBdr>
        <w:top w:val="none" w:sz="0" w:space="0" w:color="auto"/>
        <w:left w:val="none" w:sz="0" w:space="0" w:color="auto"/>
        <w:bottom w:val="none" w:sz="0" w:space="0" w:color="auto"/>
        <w:right w:val="none" w:sz="0" w:space="0" w:color="auto"/>
      </w:divBdr>
      <w:divsChild>
        <w:div w:id="1482039421">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612201876">
      <w:bodyDiv w:val="1"/>
      <w:marLeft w:val="0"/>
      <w:marRight w:val="0"/>
      <w:marTop w:val="0"/>
      <w:marBottom w:val="0"/>
      <w:divBdr>
        <w:top w:val="none" w:sz="0" w:space="0" w:color="auto"/>
        <w:left w:val="none" w:sz="0" w:space="0" w:color="auto"/>
        <w:bottom w:val="none" w:sz="0" w:space="0" w:color="auto"/>
        <w:right w:val="none" w:sz="0" w:space="0" w:color="auto"/>
      </w:divBdr>
    </w:div>
    <w:div w:id="1614821121">
      <w:bodyDiv w:val="1"/>
      <w:marLeft w:val="0"/>
      <w:marRight w:val="0"/>
      <w:marTop w:val="0"/>
      <w:marBottom w:val="0"/>
      <w:divBdr>
        <w:top w:val="none" w:sz="0" w:space="0" w:color="auto"/>
        <w:left w:val="none" w:sz="0" w:space="0" w:color="auto"/>
        <w:bottom w:val="none" w:sz="0" w:space="0" w:color="auto"/>
        <w:right w:val="none" w:sz="0" w:space="0" w:color="auto"/>
      </w:divBdr>
    </w:div>
    <w:div w:id="1659573564">
      <w:bodyDiv w:val="1"/>
      <w:marLeft w:val="0"/>
      <w:marRight w:val="0"/>
      <w:marTop w:val="0"/>
      <w:marBottom w:val="0"/>
      <w:divBdr>
        <w:top w:val="none" w:sz="0" w:space="0" w:color="auto"/>
        <w:left w:val="none" w:sz="0" w:space="0" w:color="auto"/>
        <w:bottom w:val="none" w:sz="0" w:space="0" w:color="auto"/>
        <w:right w:val="none" w:sz="0" w:space="0" w:color="auto"/>
      </w:divBdr>
      <w:divsChild>
        <w:div w:id="860316655">
          <w:marLeft w:val="0"/>
          <w:marRight w:val="0"/>
          <w:marTop w:val="0"/>
          <w:marBottom w:val="0"/>
          <w:divBdr>
            <w:top w:val="none" w:sz="0" w:space="0" w:color="auto"/>
            <w:left w:val="none" w:sz="0" w:space="0" w:color="auto"/>
            <w:bottom w:val="none" w:sz="0" w:space="0" w:color="auto"/>
            <w:right w:val="none" w:sz="0" w:space="0" w:color="auto"/>
          </w:divBdr>
          <w:divsChild>
            <w:div w:id="10580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195276">
      <w:bodyDiv w:val="1"/>
      <w:marLeft w:val="0"/>
      <w:marRight w:val="0"/>
      <w:marTop w:val="0"/>
      <w:marBottom w:val="0"/>
      <w:divBdr>
        <w:top w:val="none" w:sz="0" w:space="0" w:color="auto"/>
        <w:left w:val="none" w:sz="0" w:space="0" w:color="auto"/>
        <w:bottom w:val="none" w:sz="0" w:space="0" w:color="auto"/>
        <w:right w:val="none" w:sz="0" w:space="0" w:color="auto"/>
      </w:divBdr>
      <w:divsChild>
        <w:div w:id="1905867162">
          <w:marLeft w:val="0"/>
          <w:marRight w:val="0"/>
          <w:marTop w:val="120"/>
          <w:marBottom w:val="0"/>
          <w:divBdr>
            <w:top w:val="none" w:sz="0" w:space="0" w:color="auto"/>
            <w:left w:val="none" w:sz="0" w:space="0" w:color="auto"/>
            <w:bottom w:val="none" w:sz="0" w:space="0" w:color="auto"/>
            <w:right w:val="none" w:sz="0" w:space="0" w:color="auto"/>
          </w:divBdr>
        </w:div>
        <w:div w:id="1402292602">
          <w:marLeft w:val="0"/>
          <w:marRight w:val="0"/>
          <w:marTop w:val="0"/>
          <w:marBottom w:val="0"/>
          <w:divBdr>
            <w:top w:val="none" w:sz="0" w:space="0" w:color="auto"/>
            <w:left w:val="none" w:sz="0" w:space="0" w:color="auto"/>
            <w:bottom w:val="none" w:sz="0" w:space="0" w:color="auto"/>
            <w:right w:val="none" w:sz="0" w:space="0" w:color="auto"/>
          </w:divBdr>
          <w:divsChild>
            <w:div w:id="1656648188">
              <w:marLeft w:val="0"/>
              <w:marRight w:val="0"/>
              <w:marTop w:val="0"/>
              <w:marBottom w:val="0"/>
              <w:divBdr>
                <w:top w:val="none" w:sz="0" w:space="0" w:color="auto"/>
                <w:left w:val="none" w:sz="0" w:space="0" w:color="auto"/>
                <w:bottom w:val="none" w:sz="0" w:space="0" w:color="auto"/>
                <w:right w:val="none" w:sz="0" w:space="0" w:color="auto"/>
              </w:divBdr>
              <w:divsChild>
                <w:div w:id="1572615173">
                  <w:marLeft w:val="0"/>
                  <w:marRight w:val="0"/>
                  <w:marTop w:val="120"/>
                  <w:marBottom w:val="0"/>
                  <w:divBdr>
                    <w:top w:val="none" w:sz="0" w:space="0" w:color="auto"/>
                    <w:left w:val="none" w:sz="0" w:space="0" w:color="auto"/>
                    <w:bottom w:val="none" w:sz="0" w:space="0" w:color="auto"/>
                    <w:right w:val="none" w:sz="0" w:space="0" w:color="auto"/>
                  </w:divBdr>
                </w:div>
                <w:div w:id="1233857758">
                  <w:marLeft w:val="0"/>
                  <w:marRight w:val="0"/>
                  <w:marTop w:val="0"/>
                  <w:marBottom w:val="0"/>
                  <w:divBdr>
                    <w:top w:val="none" w:sz="0" w:space="0" w:color="auto"/>
                    <w:left w:val="none" w:sz="0" w:space="0" w:color="auto"/>
                    <w:bottom w:val="none" w:sz="0" w:space="0" w:color="auto"/>
                    <w:right w:val="none" w:sz="0" w:space="0" w:color="auto"/>
                  </w:divBdr>
                </w:div>
              </w:divsChild>
            </w:div>
            <w:div w:id="1715081519">
              <w:marLeft w:val="0"/>
              <w:marRight w:val="0"/>
              <w:marTop w:val="0"/>
              <w:marBottom w:val="0"/>
              <w:divBdr>
                <w:top w:val="none" w:sz="0" w:space="0" w:color="auto"/>
                <w:left w:val="none" w:sz="0" w:space="0" w:color="auto"/>
                <w:bottom w:val="none" w:sz="0" w:space="0" w:color="auto"/>
                <w:right w:val="none" w:sz="0" w:space="0" w:color="auto"/>
              </w:divBdr>
              <w:divsChild>
                <w:div w:id="36054359">
                  <w:marLeft w:val="0"/>
                  <w:marRight w:val="0"/>
                  <w:marTop w:val="120"/>
                  <w:marBottom w:val="0"/>
                  <w:divBdr>
                    <w:top w:val="none" w:sz="0" w:space="0" w:color="auto"/>
                    <w:left w:val="none" w:sz="0" w:space="0" w:color="auto"/>
                    <w:bottom w:val="none" w:sz="0" w:space="0" w:color="auto"/>
                    <w:right w:val="none" w:sz="0" w:space="0" w:color="auto"/>
                  </w:divBdr>
                </w:div>
                <w:div w:id="247928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612581">
      <w:bodyDiv w:val="1"/>
      <w:marLeft w:val="0"/>
      <w:marRight w:val="0"/>
      <w:marTop w:val="0"/>
      <w:marBottom w:val="0"/>
      <w:divBdr>
        <w:top w:val="none" w:sz="0" w:space="0" w:color="auto"/>
        <w:left w:val="none" w:sz="0" w:space="0" w:color="auto"/>
        <w:bottom w:val="none" w:sz="0" w:space="0" w:color="auto"/>
        <w:right w:val="none" w:sz="0" w:space="0" w:color="auto"/>
      </w:divBdr>
    </w:div>
    <w:div w:id="1753820858">
      <w:bodyDiv w:val="1"/>
      <w:marLeft w:val="0"/>
      <w:marRight w:val="0"/>
      <w:marTop w:val="0"/>
      <w:marBottom w:val="0"/>
      <w:divBdr>
        <w:top w:val="none" w:sz="0" w:space="0" w:color="auto"/>
        <w:left w:val="none" w:sz="0" w:space="0" w:color="auto"/>
        <w:bottom w:val="none" w:sz="0" w:space="0" w:color="auto"/>
        <w:right w:val="none" w:sz="0" w:space="0" w:color="auto"/>
      </w:divBdr>
      <w:divsChild>
        <w:div w:id="895162259">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799831947">
      <w:bodyDiv w:val="1"/>
      <w:marLeft w:val="0"/>
      <w:marRight w:val="0"/>
      <w:marTop w:val="0"/>
      <w:marBottom w:val="0"/>
      <w:divBdr>
        <w:top w:val="none" w:sz="0" w:space="0" w:color="auto"/>
        <w:left w:val="none" w:sz="0" w:space="0" w:color="auto"/>
        <w:bottom w:val="none" w:sz="0" w:space="0" w:color="auto"/>
        <w:right w:val="none" w:sz="0" w:space="0" w:color="auto"/>
      </w:divBdr>
    </w:div>
    <w:div w:id="1810591273">
      <w:bodyDiv w:val="1"/>
      <w:marLeft w:val="0"/>
      <w:marRight w:val="0"/>
      <w:marTop w:val="0"/>
      <w:marBottom w:val="0"/>
      <w:divBdr>
        <w:top w:val="none" w:sz="0" w:space="0" w:color="auto"/>
        <w:left w:val="none" w:sz="0" w:space="0" w:color="auto"/>
        <w:bottom w:val="none" w:sz="0" w:space="0" w:color="auto"/>
        <w:right w:val="none" w:sz="0" w:space="0" w:color="auto"/>
      </w:divBdr>
    </w:div>
    <w:div w:id="1827240771">
      <w:bodyDiv w:val="1"/>
      <w:marLeft w:val="0"/>
      <w:marRight w:val="0"/>
      <w:marTop w:val="0"/>
      <w:marBottom w:val="0"/>
      <w:divBdr>
        <w:top w:val="none" w:sz="0" w:space="0" w:color="auto"/>
        <w:left w:val="none" w:sz="0" w:space="0" w:color="auto"/>
        <w:bottom w:val="none" w:sz="0" w:space="0" w:color="auto"/>
        <w:right w:val="none" w:sz="0" w:space="0" w:color="auto"/>
      </w:divBdr>
      <w:divsChild>
        <w:div w:id="1889099003">
          <w:marLeft w:val="0"/>
          <w:marRight w:val="0"/>
          <w:marTop w:val="0"/>
          <w:marBottom w:val="0"/>
          <w:divBdr>
            <w:top w:val="none" w:sz="0" w:space="0" w:color="auto"/>
            <w:left w:val="none" w:sz="0" w:space="0" w:color="auto"/>
            <w:bottom w:val="none" w:sz="0" w:space="0" w:color="auto"/>
            <w:right w:val="none" w:sz="0" w:space="0" w:color="auto"/>
          </w:divBdr>
          <w:divsChild>
            <w:div w:id="925043528">
              <w:marLeft w:val="0"/>
              <w:marRight w:val="0"/>
              <w:marTop w:val="120"/>
              <w:marBottom w:val="0"/>
              <w:divBdr>
                <w:top w:val="none" w:sz="0" w:space="0" w:color="auto"/>
                <w:left w:val="none" w:sz="0" w:space="0" w:color="auto"/>
                <w:bottom w:val="none" w:sz="0" w:space="0" w:color="auto"/>
                <w:right w:val="none" w:sz="0" w:space="0" w:color="auto"/>
              </w:divBdr>
            </w:div>
            <w:div w:id="1624461154">
              <w:marLeft w:val="0"/>
              <w:marRight w:val="0"/>
              <w:marTop w:val="0"/>
              <w:marBottom w:val="0"/>
              <w:divBdr>
                <w:top w:val="none" w:sz="0" w:space="0" w:color="auto"/>
                <w:left w:val="none" w:sz="0" w:space="0" w:color="auto"/>
                <w:bottom w:val="none" w:sz="0" w:space="0" w:color="auto"/>
                <w:right w:val="none" w:sz="0" w:space="0" w:color="auto"/>
              </w:divBdr>
            </w:div>
          </w:divsChild>
        </w:div>
        <w:div w:id="2010524304">
          <w:marLeft w:val="0"/>
          <w:marRight w:val="0"/>
          <w:marTop w:val="0"/>
          <w:marBottom w:val="0"/>
          <w:divBdr>
            <w:top w:val="none" w:sz="0" w:space="0" w:color="auto"/>
            <w:left w:val="none" w:sz="0" w:space="0" w:color="auto"/>
            <w:bottom w:val="none" w:sz="0" w:space="0" w:color="auto"/>
            <w:right w:val="none" w:sz="0" w:space="0" w:color="auto"/>
          </w:divBdr>
          <w:divsChild>
            <w:div w:id="449517208">
              <w:marLeft w:val="0"/>
              <w:marRight w:val="0"/>
              <w:marTop w:val="120"/>
              <w:marBottom w:val="0"/>
              <w:divBdr>
                <w:top w:val="none" w:sz="0" w:space="0" w:color="auto"/>
                <w:left w:val="none" w:sz="0" w:space="0" w:color="auto"/>
                <w:bottom w:val="none" w:sz="0" w:space="0" w:color="auto"/>
                <w:right w:val="none" w:sz="0" w:space="0" w:color="auto"/>
              </w:divBdr>
            </w:div>
            <w:div w:id="161698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4121">
      <w:bodyDiv w:val="1"/>
      <w:marLeft w:val="0"/>
      <w:marRight w:val="0"/>
      <w:marTop w:val="0"/>
      <w:marBottom w:val="0"/>
      <w:divBdr>
        <w:top w:val="none" w:sz="0" w:space="0" w:color="auto"/>
        <w:left w:val="none" w:sz="0" w:space="0" w:color="auto"/>
        <w:bottom w:val="none" w:sz="0" w:space="0" w:color="auto"/>
        <w:right w:val="none" w:sz="0" w:space="0" w:color="auto"/>
      </w:divBdr>
    </w:div>
    <w:div w:id="1845045564">
      <w:bodyDiv w:val="1"/>
      <w:marLeft w:val="0"/>
      <w:marRight w:val="0"/>
      <w:marTop w:val="0"/>
      <w:marBottom w:val="0"/>
      <w:divBdr>
        <w:top w:val="none" w:sz="0" w:space="0" w:color="auto"/>
        <w:left w:val="none" w:sz="0" w:space="0" w:color="auto"/>
        <w:bottom w:val="none" w:sz="0" w:space="0" w:color="auto"/>
        <w:right w:val="none" w:sz="0" w:space="0" w:color="auto"/>
      </w:divBdr>
      <w:divsChild>
        <w:div w:id="1716657178">
          <w:marLeft w:val="0"/>
          <w:marRight w:val="0"/>
          <w:marTop w:val="0"/>
          <w:marBottom w:val="0"/>
          <w:divBdr>
            <w:top w:val="none" w:sz="0" w:space="0" w:color="auto"/>
            <w:left w:val="none" w:sz="0" w:space="0" w:color="auto"/>
            <w:bottom w:val="none" w:sz="0" w:space="0" w:color="auto"/>
            <w:right w:val="none" w:sz="0" w:space="0" w:color="auto"/>
          </w:divBdr>
          <w:divsChild>
            <w:div w:id="1463032699">
              <w:marLeft w:val="0"/>
              <w:marRight w:val="0"/>
              <w:marTop w:val="120"/>
              <w:marBottom w:val="0"/>
              <w:divBdr>
                <w:top w:val="none" w:sz="0" w:space="0" w:color="auto"/>
                <w:left w:val="none" w:sz="0" w:space="0" w:color="auto"/>
                <w:bottom w:val="none" w:sz="0" w:space="0" w:color="auto"/>
                <w:right w:val="none" w:sz="0" w:space="0" w:color="auto"/>
              </w:divBdr>
            </w:div>
            <w:div w:id="1254123373">
              <w:marLeft w:val="0"/>
              <w:marRight w:val="0"/>
              <w:marTop w:val="0"/>
              <w:marBottom w:val="0"/>
              <w:divBdr>
                <w:top w:val="none" w:sz="0" w:space="0" w:color="auto"/>
                <w:left w:val="none" w:sz="0" w:space="0" w:color="auto"/>
                <w:bottom w:val="none" w:sz="0" w:space="0" w:color="auto"/>
                <w:right w:val="none" w:sz="0" w:space="0" w:color="auto"/>
              </w:divBdr>
            </w:div>
          </w:divsChild>
        </w:div>
        <w:div w:id="1252201926">
          <w:marLeft w:val="0"/>
          <w:marRight w:val="0"/>
          <w:marTop w:val="0"/>
          <w:marBottom w:val="0"/>
          <w:divBdr>
            <w:top w:val="none" w:sz="0" w:space="0" w:color="auto"/>
            <w:left w:val="none" w:sz="0" w:space="0" w:color="auto"/>
            <w:bottom w:val="none" w:sz="0" w:space="0" w:color="auto"/>
            <w:right w:val="none" w:sz="0" w:space="0" w:color="auto"/>
          </w:divBdr>
          <w:divsChild>
            <w:div w:id="320042378">
              <w:marLeft w:val="0"/>
              <w:marRight w:val="0"/>
              <w:marTop w:val="120"/>
              <w:marBottom w:val="0"/>
              <w:divBdr>
                <w:top w:val="none" w:sz="0" w:space="0" w:color="auto"/>
                <w:left w:val="none" w:sz="0" w:space="0" w:color="auto"/>
                <w:bottom w:val="none" w:sz="0" w:space="0" w:color="auto"/>
                <w:right w:val="none" w:sz="0" w:space="0" w:color="auto"/>
              </w:divBdr>
            </w:div>
            <w:div w:id="1208684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522388">
      <w:bodyDiv w:val="1"/>
      <w:marLeft w:val="0"/>
      <w:marRight w:val="0"/>
      <w:marTop w:val="0"/>
      <w:marBottom w:val="0"/>
      <w:divBdr>
        <w:top w:val="none" w:sz="0" w:space="0" w:color="auto"/>
        <w:left w:val="none" w:sz="0" w:space="0" w:color="auto"/>
        <w:bottom w:val="none" w:sz="0" w:space="0" w:color="auto"/>
        <w:right w:val="none" w:sz="0" w:space="0" w:color="auto"/>
      </w:divBdr>
    </w:div>
    <w:div w:id="1916083781">
      <w:bodyDiv w:val="1"/>
      <w:marLeft w:val="0"/>
      <w:marRight w:val="0"/>
      <w:marTop w:val="0"/>
      <w:marBottom w:val="0"/>
      <w:divBdr>
        <w:top w:val="none" w:sz="0" w:space="0" w:color="auto"/>
        <w:left w:val="none" w:sz="0" w:space="0" w:color="auto"/>
        <w:bottom w:val="none" w:sz="0" w:space="0" w:color="auto"/>
        <w:right w:val="none" w:sz="0" w:space="0" w:color="auto"/>
      </w:divBdr>
      <w:divsChild>
        <w:div w:id="915750190">
          <w:marLeft w:val="0"/>
          <w:marRight w:val="0"/>
          <w:marTop w:val="0"/>
          <w:marBottom w:val="0"/>
          <w:divBdr>
            <w:top w:val="none" w:sz="0" w:space="0" w:color="auto"/>
            <w:left w:val="none" w:sz="0" w:space="0" w:color="auto"/>
            <w:bottom w:val="none" w:sz="0" w:space="0" w:color="auto"/>
            <w:right w:val="none" w:sz="0" w:space="0" w:color="auto"/>
          </w:divBdr>
          <w:divsChild>
            <w:div w:id="1121877316">
              <w:marLeft w:val="0"/>
              <w:marRight w:val="0"/>
              <w:marTop w:val="120"/>
              <w:marBottom w:val="0"/>
              <w:divBdr>
                <w:top w:val="none" w:sz="0" w:space="0" w:color="auto"/>
                <w:left w:val="none" w:sz="0" w:space="0" w:color="auto"/>
                <w:bottom w:val="none" w:sz="0" w:space="0" w:color="auto"/>
                <w:right w:val="none" w:sz="0" w:space="0" w:color="auto"/>
              </w:divBdr>
            </w:div>
            <w:div w:id="1313292554">
              <w:marLeft w:val="0"/>
              <w:marRight w:val="0"/>
              <w:marTop w:val="0"/>
              <w:marBottom w:val="0"/>
              <w:divBdr>
                <w:top w:val="none" w:sz="0" w:space="0" w:color="auto"/>
                <w:left w:val="none" w:sz="0" w:space="0" w:color="auto"/>
                <w:bottom w:val="none" w:sz="0" w:space="0" w:color="auto"/>
                <w:right w:val="none" w:sz="0" w:space="0" w:color="auto"/>
              </w:divBdr>
            </w:div>
          </w:divsChild>
        </w:div>
        <w:div w:id="762456253">
          <w:marLeft w:val="0"/>
          <w:marRight w:val="0"/>
          <w:marTop w:val="0"/>
          <w:marBottom w:val="0"/>
          <w:divBdr>
            <w:top w:val="none" w:sz="0" w:space="0" w:color="auto"/>
            <w:left w:val="none" w:sz="0" w:space="0" w:color="auto"/>
            <w:bottom w:val="none" w:sz="0" w:space="0" w:color="auto"/>
            <w:right w:val="none" w:sz="0" w:space="0" w:color="auto"/>
          </w:divBdr>
          <w:divsChild>
            <w:div w:id="882643345">
              <w:marLeft w:val="0"/>
              <w:marRight w:val="0"/>
              <w:marTop w:val="120"/>
              <w:marBottom w:val="0"/>
              <w:divBdr>
                <w:top w:val="none" w:sz="0" w:space="0" w:color="auto"/>
                <w:left w:val="none" w:sz="0" w:space="0" w:color="auto"/>
                <w:bottom w:val="none" w:sz="0" w:space="0" w:color="auto"/>
                <w:right w:val="none" w:sz="0" w:space="0" w:color="auto"/>
              </w:divBdr>
            </w:div>
            <w:div w:id="174371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9630885">
      <w:bodyDiv w:val="1"/>
      <w:marLeft w:val="0"/>
      <w:marRight w:val="0"/>
      <w:marTop w:val="0"/>
      <w:marBottom w:val="0"/>
      <w:divBdr>
        <w:top w:val="none" w:sz="0" w:space="0" w:color="auto"/>
        <w:left w:val="none" w:sz="0" w:space="0" w:color="auto"/>
        <w:bottom w:val="none" w:sz="0" w:space="0" w:color="auto"/>
        <w:right w:val="none" w:sz="0" w:space="0" w:color="auto"/>
      </w:divBdr>
    </w:div>
    <w:div w:id="2008557729">
      <w:bodyDiv w:val="1"/>
      <w:marLeft w:val="0"/>
      <w:marRight w:val="0"/>
      <w:marTop w:val="0"/>
      <w:marBottom w:val="0"/>
      <w:divBdr>
        <w:top w:val="none" w:sz="0" w:space="0" w:color="auto"/>
        <w:left w:val="none" w:sz="0" w:space="0" w:color="auto"/>
        <w:bottom w:val="none" w:sz="0" w:space="0" w:color="auto"/>
        <w:right w:val="none" w:sz="0" w:space="0" w:color="auto"/>
      </w:divBdr>
    </w:div>
    <w:div w:id="2026976168">
      <w:bodyDiv w:val="1"/>
      <w:marLeft w:val="0"/>
      <w:marRight w:val="0"/>
      <w:marTop w:val="0"/>
      <w:marBottom w:val="0"/>
      <w:divBdr>
        <w:top w:val="none" w:sz="0" w:space="0" w:color="auto"/>
        <w:left w:val="none" w:sz="0" w:space="0" w:color="auto"/>
        <w:bottom w:val="none" w:sz="0" w:space="0" w:color="auto"/>
        <w:right w:val="none" w:sz="0" w:space="0" w:color="auto"/>
      </w:divBdr>
    </w:div>
    <w:div w:id="2075548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2.emf"/><Relationship Id="rId26"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hyperlink" Target="https://eur-lex.europa.eu/eli/dir/1999/6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DocuWrite\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c16fcc4-0958-451c-a4fe-3f901aea85b6" xsi:nil="true"/>
    <_ip_UnifiedCompliancePolicyUIAction xmlns="http://schemas.microsoft.com/sharepoint/v3" xsi:nil="true"/>
    <lcf76f155ced4ddcb4097134ff3c332f xmlns="ff27b533-0480-4fe0-b5ab-51440d87a12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369CEAB7846C43B6127B8768A1CFCE" ma:contentTypeVersion="16" ma:contentTypeDescription="Create a new document." ma:contentTypeScope="" ma:versionID="484305415d7424dad995e56a7b34b49f">
  <xsd:schema xmlns:xsd="http://www.w3.org/2001/XMLSchema" xmlns:xs="http://www.w3.org/2001/XMLSchema" xmlns:p="http://schemas.microsoft.com/office/2006/metadata/properties" xmlns:ns1="http://schemas.microsoft.com/sharepoint/v3" xmlns:ns2="ff27b533-0480-4fe0-b5ab-51440d87a129" xmlns:ns3="cc16fcc4-0958-451c-a4fe-3f901aea85b6" targetNamespace="http://schemas.microsoft.com/office/2006/metadata/properties" ma:root="true" ma:fieldsID="d7649a4daeb41ff30c9f5b8da50fb5b4" ns1:_="" ns2:_="" ns3:_="">
    <xsd:import namespace="http://schemas.microsoft.com/sharepoint/v3"/>
    <xsd:import namespace="ff27b533-0480-4fe0-b5ab-51440d87a129"/>
    <xsd:import namespace="cc16fcc4-0958-451c-a4fe-3f901aea85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27b533-0480-4fe0-b5ab-51440d87a1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c16fcc4-0958-451c-a4fe-3f901aea85b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bdac74a-ca9c-41a3-87d0-26614606d57c}" ma:internalName="TaxCatchAll" ma:showField="CatchAllData" ma:web="cc16fcc4-0958-451c-a4fe-3f901aea85b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5125E-DDC1-45E2-90E8-1488F40E1435}">
  <ds:schemaRefs>
    <ds:schemaRef ds:uri="http://schemas.openxmlformats.org/officeDocument/2006/bibliography"/>
  </ds:schemaRefs>
</ds:datastoreItem>
</file>

<file path=customXml/itemProps2.xml><?xml version="1.0" encoding="utf-8"?>
<ds:datastoreItem xmlns:ds="http://schemas.openxmlformats.org/officeDocument/2006/customXml" ds:itemID="{76ABE861-22BD-4A56-8791-3D54754E42AD}">
  <ds:schemaRefs>
    <ds:schemaRef ds:uri="http://schemas.microsoft.com/sharepoint/v3/contenttype/forms"/>
  </ds:schemaRefs>
</ds:datastoreItem>
</file>

<file path=customXml/itemProps3.xml><?xml version="1.0" encoding="utf-8"?>
<ds:datastoreItem xmlns:ds="http://schemas.openxmlformats.org/officeDocument/2006/customXml" ds:itemID="{7BC4025B-5E33-4E83-9AFB-1AE412AC52ED}">
  <ds:schemaRefs>
    <ds:schemaRef ds:uri="http://schemas.microsoft.com/sharepoint/v3"/>
    <ds:schemaRef ds:uri="http://purl.org/dc/terms/"/>
    <ds:schemaRef ds:uri="ff27b533-0480-4fe0-b5ab-51440d87a129"/>
    <ds:schemaRef ds:uri="http://schemas.microsoft.com/office/2006/documentManagement/types"/>
    <ds:schemaRef ds:uri="http://schemas.microsoft.com/office/infopath/2007/PartnerControls"/>
    <ds:schemaRef ds:uri="http://purl.org/dc/elements/1.1/"/>
    <ds:schemaRef ds:uri="cc16fcc4-0958-451c-a4fe-3f901aea85b6"/>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6D2B75C4-A3BA-4C83-A483-8A83CA9DD0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27b533-0480-4fe0-b5ab-51440d87a129"/>
    <ds:schemaRef ds:uri="cc16fcc4-0958-451c-a4fe-3f901aea85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6988</Words>
  <Characters>38578</Characters>
  <Application>Microsoft Office Word</Application>
  <DocSecurity>0</DocSecurity>
  <Lines>676</Lines>
  <Paragraphs>279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LUPASTEANU Emanuela</dc:creator>
  <cp:keywords/>
  <dc:description/>
  <cp:lastModifiedBy>LUPASTEANU Emanuela</cp:lastModifiedBy>
  <cp:revision>3</cp:revision>
  <cp:lastPrinted>2023-03-01T10:33:00Z</cp:lastPrinted>
  <dcterms:created xsi:type="dcterms:W3CDTF">2023-05-04T14:49:00Z</dcterms:created>
  <dcterms:modified xsi:type="dcterms:W3CDTF">2023-05-04T14:49:00Z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8.0.25.0</vt:lpwstr>
  </property>
  <property fmtid="{D5CDD505-2E9C-101B-9397-08002B2CF9AE}" pid="4" name="Last edited using">
    <vt:lpwstr>DocuWrite 4.8.2, Build 20230330</vt:lpwstr>
  </property>
  <property fmtid="{D5CDD505-2E9C-101B-9397-08002B2CF9AE}" pid="5" name="Created using">
    <vt:lpwstr>DocuWrite 4.8.2, Build 20230330</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SJ-024</vt:lpwstr>
  </property>
  <property fmtid="{D5CDD505-2E9C-101B-9397-08002B2CF9AE}" pid="10" name="ContentTypeId">
    <vt:lpwstr>0x0101006B369CEAB7846C43B6127B8768A1CFCE</vt:lpwstr>
  </property>
  <property fmtid="{D5CDD505-2E9C-101B-9397-08002B2CF9AE}" pid="11" name="MediaServiceImageTags">
    <vt:lpwstr/>
  </property>
  <property fmtid="{D5CDD505-2E9C-101B-9397-08002B2CF9AE}" pid="12" name="MSIP_Label_6bd9ddd1-4d20-43f6-abfa-fc3c07406f94_Enabled">
    <vt:lpwstr>true</vt:lpwstr>
  </property>
  <property fmtid="{D5CDD505-2E9C-101B-9397-08002B2CF9AE}" pid="13" name="MSIP_Label_6bd9ddd1-4d20-43f6-abfa-fc3c07406f94_SetDate">
    <vt:lpwstr>2022-12-09T14:25:00Z</vt:lpwstr>
  </property>
  <property fmtid="{D5CDD505-2E9C-101B-9397-08002B2CF9AE}" pid="14" name="MSIP_Label_6bd9ddd1-4d20-43f6-abfa-fc3c07406f94_Method">
    <vt:lpwstr>Standard</vt:lpwstr>
  </property>
  <property fmtid="{D5CDD505-2E9C-101B-9397-08002B2CF9AE}" pid="15" name="MSIP_Label_6bd9ddd1-4d20-43f6-abfa-fc3c07406f94_Name">
    <vt:lpwstr>Commission Use</vt:lpwstr>
  </property>
  <property fmtid="{D5CDD505-2E9C-101B-9397-08002B2CF9AE}" pid="16" name="MSIP_Label_6bd9ddd1-4d20-43f6-abfa-fc3c07406f94_SiteId">
    <vt:lpwstr>b24c8b06-522c-46fe-9080-70926f8dddb1</vt:lpwstr>
  </property>
  <property fmtid="{D5CDD505-2E9C-101B-9397-08002B2CF9AE}" pid="17" name="MSIP_Label_6bd9ddd1-4d20-43f6-abfa-fc3c07406f94_ActionId">
    <vt:lpwstr>6efd6d4b-f0e2-4bd0-990c-3391f1002316</vt:lpwstr>
  </property>
  <property fmtid="{D5CDD505-2E9C-101B-9397-08002B2CF9AE}" pid="18" name="MSIP_Label_6bd9ddd1-4d20-43f6-abfa-fc3c07406f94_ContentBits">
    <vt:lpwstr>0</vt:lpwstr>
  </property>
  <property fmtid="{D5CDD505-2E9C-101B-9397-08002B2CF9AE}" pid="19" name="DQCStatus">
    <vt:lpwstr>Green (DQC version 03)</vt:lpwstr>
  </property>
  <property fmtid="{D5CDD505-2E9C-101B-9397-08002B2CF9AE}" pid="20" name="MSIP_Label_b1df41d6-74a9-4a97-809c-213cd32520cc_Enabled">
    <vt:lpwstr>true</vt:lpwstr>
  </property>
  <property fmtid="{D5CDD505-2E9C-101B-9397-08002B2CF9AE}" pid="21" name="MSIP_Label_b1df41d6-74a9-4a97-809c-213cd32520cc_SetDate">
    <vt:lpwstr>2023-05-04T14:49:17Z</vt:lpwstr>
  </property>
  <property fmtid="{D5CDD505-2E9C-101B-9397-08002B2CF9AE}" pid="22" name="MSIP_Label_b1df41d6-74a9-4a97-809c-213cd32520cc_Method">
    <vt:lpwstr>Privileged</vt:lpwstr>
  </property>
  <property fmtid="{D5CDD505-2E9C-101B-9397-08002B2CF9AE}" pid="23" name="MSIP_Label_b1df41d6-74a9-4a97-809c-213cd32520cc_Name">
    <vt:lpwstr>GSCEU - NON PUBLIC Label</vt:lpwstr>
  </property>
  <property fmtid="{D5CDD505-2E9C-101B-9397-08002B2CF9AE}" pid="24" name="MSIP_Label_b1df41d6-74a9-4a97-809c-213cd32520cc_SiteId">
    <vt:lpwstr>03ad1c97-0a4d-4e82-8f93-27291a6a0767</vt:lpwstr>
  </property>
  <property fmtid="{D5CDD505-2E9C-101B-9397-08002B2CF9AE}" pid="25" name="MSIP_Label_b1df41d6-74a9-4a97-809c-213cd32520cc_ActionId">
    <vt:lpwstr>f3913d53-99da-4fbb-8697-21b754fb272e</vt:lpwstr>
  </property>
  <property fmtid="{D5CDD505-2E9C-101B-9397-08002B2CF9AE}" pid="26" name="MSIP_Label_b1df41d6-74a9-4a97-809c-213cd32520cc_ContentBits">
    <vt:lpwstr>0</vt:lpwstr>
  </property>
</Properties>
</file>