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5E" w:rsidRPr="002949B5" w:rsidRDefault="008B365E" w:rsidP="0093624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0"/>
        </w:rPr>
      </w:pPr>
    </w:p>
    <w:p w:rsidR="008B365E" w:rsidRPr="002949B5" w:rsidRDefault="008B365E" w:rsidP="00936248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0"/>
        </w:rPr>
      </w:pPr>
      <w:r w:rsidRPr="002949B5">
        <w:rPr>
          <w:rFonts w:cs="Calibri"/>
          <w:b/>
          <w:szCs w:val="20"/>
        </w:rPr>
        <w:t xml:space="preserve">Priloga 1: Priznane vrednosti na enoto za ureditev protipožarne infrastrukture </w:t>
      </w:r>
    </w:p>
    <w:p w:rsidR="008B365E" w:rsidRPr="002949B5" w:rsidRDefault="008B365E" w:rsidP="00936248">
      <w:pPr>
        <w:pBdr>
          <w:top w:val="single" w:sz="4" w:space="1" w:color="auto"/>
        </w:pBdr>
        <w:rPr>
          <w:rFonts w:cs="Arial"/>
          <w:b/>
          <w:color w:val="000000"/>
          <w:szCs w:val="20"/>
        </w:rPr>
      </w:pPr>
    </w:p>
    <w:p w:rsidR="008B365E" w:rsidRPr="002949B5" w:rsidRDefault="008B365E" w:rsidP="00936248">
      <w:pPr>
        <w:rPr>
          <w:rFonts w:cs="Arial"/>
          <w:szCs w:val="20"/>
        </w:rPr>
      </w:pPr>
    </w:p>
    <w:p w:rsidR="008B365E" w:rsidRPr="002949B5" w:rsidRDefault="008B365E" w:rsidP="00936248">
      <w:pPr>
        <w:rPr>
          <w:b/>
          <w:szCs w:val="20"/>
          <w:lang w:eastAsia="sl-SI"/>
        </w:rPr>
      </w:pPr>
      <w:r w:rsidRPr="002949B5">
        <w:rPr>
          <w:b/>
          <w:szCs w:val="20"/>
          <w:lang w:eastAsia="sl-SI"/>
        </w:rPr>
        <w:t>Preglednica priznanih vrednosti na enoto za ured</w:t>
      </w:r>
      <w:r w:rsidR="00DC473B">
        <w:rPr>
          <w:b/>
          <w:szCs w:val="20"/>
          <w:lang w:eastAsia="sl-SI"/>
        </w:rPr>
        <w:t>itev protipožarne infrastruktur</w:t>
      </w:r>
      <w:r w:rsidR="00D30E63">
        <w:rPr>
          <w:b/>
          <w:szCs w:val="20"/>
          <w:lang w:eastAsia="sl-SI"/>
        </w:rPr>
        <w:t>e</w:t>
      </w:r>
    </w:p>
    <w:p w:rsidR="008B365E" w:rsidRPr="002949B5" w:rsidRDefault="008B365E" w:rsidP="00936248">
      <w:pPr>
        <w:rPr>
          <w:b/>
          <w:szCs w:val="20"/>
          <w:lang w:eastAsia="sl-SI"/>
        </w:rPr>
      </w:pPr>
    </w:p>
    <w:tbl>
      <w:tblPr>
        <w:tblpPr w:leftFromText="141" w:rightFromText="141" w:vertAnchor="page" w:horzAnchor="margin" w:tblpY="3211"/>
        <w:tblW w:w="8755" w:type="dxa"/>
        <w:tblLayout w:type="fixed"/>
        <w:tblLook w:val="0000" w:firstRow="0" w:lastRow="0" w:firstColumn="0" w:lastColumn="0" w:noHBand="0" w:noVBand="0"/>
      </w:tblPr>
      <w:tblGrid>
        <w:gridCol w:w="5920"/>
        <w:gridCol w:w="2835"/>
      </w:tblGrid>
      <w:tr w:rsidR="008B365E" w:rsidRPr="002949B5" w:rsidTr="00795B5A">
        <w:trPr>
          <w:gridBefore w:val="1"/>
          <w:wBefore w:w="5920" w:type="dxa"/>
          <w:cantSplit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b/>
                <w:color w:val="000000"/>
                <w:szCs w:val="20"/>
              </w:rPr>
              <w:t>Priznana vrednost na enoto</w:t>
            </w: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B365E" w:rsidRPr="002949B5" w:rsidRDefault="008B365E" w:rsidP="00936248">
            <w:pPr>
              <w:jc w:val="both"/>
              <w:rPr>
                <w:rFonts w:cs="Arial"/>
                <w:b/>
                <w:color w:val="000000"/>
                <w:szCs w:val="20"/>
              </w:rPr>
            </w:pPr>
            <w:r w:rsidRPr="002949B5">
              <w:rPr>
                <w:rFonts w:cs="Arial"/>
                <w:b/>
                <w:color w:val="000000"/>
                <w:szCs w:val="20"/>
              </w:rPr>
              <w:t>Vrsta dela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8B365E" w:rsidRPr="002949B5" w:rsidRDefault="008B365E" w:rsidP="00936248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 xml:space="preserve">Gradnja protipožarne gozdne ceste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25 €/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Rekonstrukcija protipožarne gozdne ceste</w:t>
            </w:r>
          </w:p>
        </w:tc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5 €/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Protipožarno vzdrževanje protipožarne gozdne ceste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0,4 €/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Gradnja protipožarne poti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15 €/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szCs w:val="20"/>
              </w:rPr>
            </w:pPr>
            <w:r w:rsidRPr="002949B5">
              <w:rPr>
                <w:rFonts w:cs="Arial"/>
                <w:szCs w:val="20"/>
              </w:rPr>
              <w:t>Rekonstrukcija protipožarne poti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3 €/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Protipožarno vzdrževanje protipožarne poti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0,4 €/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Gradnja protipožarnih stez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2,44 €/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Protipožarno vzdrževanje protipožarnih stez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0,39 €/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Gradnja protipožarnih zidov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19,5 €/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Protipožarno vzdrževanje protipožarnih zidov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 xml:space="preserve">1,95 </w:t>
            </w:r>
            <w:bookmarkStart w:id="0" w:name="_GoBack"/>
            <w:r w:rsidRPr="002949B5">
              <w:rPr>
                <w:rFonts w:cs="Arial"/>
                <w:color w:val="000000"/>
                <w:szCs w:val="20"/>
              </w:rPr>
              <w:t>€/</w:t>
            </w:r>
            <w:proofErr w:type="spellStart"/>
            <w:r w:rsidRPr="002949B5">
              <w:rPr>
                <w:rFonts w:cs="Arial"/>
                <w:color w:val="000000"/>
                <w:szCs w:val="20"/>
              </w:rPr>
              <w:t>tm</w:t>
            </w:r>
            <w:bookmarkEnd w:id="0"/>
            <w:proofErr w:type="spellEnd"/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Gradnja p</w:t>
            </w:r>
            <w:r w:rsidRPr="002949B5">
              <w:rPr>
                <w:rFonts w:cs="Arial"/>
                <w:szCs w:val="20"/>
              </w:rPr>
              <w:t>rostorov za izven letališko pristajanje helikopterjev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4.000 €/kos</w:t>
            </w: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Protipožarno</w:t>
            </w:r>
            <w:r w:rsidR="00D30E63">
              <w:rPr>
                <w:rFonts w:cs="Arial"/>
                <w:color w:val="000000"/>
                <w:szCs w:val="20"/>
              </w:rPr>
              <w:t xml:space="preserve"> vzdrževanje prostorov za </w:t>
            </w:r>
            <w:proofErr w:type="spellStart"/>
            <w:r w:rsidR="00D30E63">
              <w:rPr>
                <w:rFonts w:cs="Arial"/>
                <w:color w:val="000000"/>
                <w:szCs w:val="20"/>
              </w:rPr>
              <w:t>izven</w:t>
            </w:r>
            <w:r w:rsidRPr="002949B5">
              <w:rPr>
                <w:rFonts w:cs="Arial"/>
                <w:color w:val="000000"/>
                <w:szCs w:val="20"/>
              </w:rPr>
              <w:t>letališko</w:t>
            </w:r>
            <w:proofErr w:type="spellEnd"/>
            <w:r w:rsidRPr="002949B5">
              <w:rPr>
                <w:rFonts w:cs="Arial"/>
                <w:color w:val="000000"/>
                <w:szCs w:val="20"/>
              </w:rPr>
              <w:t xml:space="preserve"> pristajanje helikopterjev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200 €/kos</w:t>
            </w: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Ureditev vodnih virov oziroma mesta za oskrbo helikopterjev, gasilskih vozil</w:t>
            </w:r>
            <w:r w:rsidR="00D30E63">
              <w:rPr>
                <w:rFonts w:cs="Arial"/>
                <w:color w:val="000000"/>
                <w:szCs w:val="20"/>
              </w:rPr>
              <w:t xml:space="preserve"> in gasilcev z vodo za gašenje –</w:t>
            </w:r>
            <w:r w:rsidRPr="002949B5">
              <w:rPr>
                <w:rFonts w:cs="Arial"/>
                <w:color w:val="000000"/>
                <w:szCs w:val="20"/>
              </w:rPr>
              <w:t xml:space="preserve"> zajetje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450.000 €/kos</w:t>
            </w: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 xml:space="preserve">Ureditev vodnih virov oziroma mesta za oskrbo helikopterjev, gasilskih vozil in gasilcev z vodo za gašenje </w:t>
            </w:r>
            <w:r w:rsidR="00D30E63">
              <w:rPr>
                <w:rFonts w:cs="Arial"/>
                <w:color w:val="000000"/>
                <w:szCs w:val="20"/>
              </w:rPr>
              <w:t>–</w:t>
            </w:r>
            <w:r w:rsidRPr="002949B5">
              <w:rPr>
                <w:rFonts w:cs="Arial"/>
                <w:color w:val="000000"/>
                <w:szCs w:val="20"/>
              </w:rPr>
              <w:t xml:space="preserve"> kal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12.500 €/kos</w:t>
            </w:r>
          </w:p>
        </w:tc>
      </w:tr>
      <w:tr w:rsidR="008B365E" w:rsidRPr="002949B5" w:rsidTr="00795B5A">
        <w:trPr>
          <w:cantSplit/>
        </w:trPr>
        <w:tc>
          <w:tcPr>
            <w:tcW w:w="59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65E" w:rsidRPr="002949B5" w:rsidRDefault="008B365E" w:rsidP="00936248">
            <w:pPr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Ureditev vodnih virov oziroma mesta za oskrbo helikopterjev, gasilskih vozil</w:t>
            </w:r>
            <w:r w:rsidR="00D30E63">
              <w:rPr>
                <w:rFonts w:cs="Arial"/>
                <w:color w:val="000000"/>
                <w:szCs w:val="20"/>
              </w:rPr>
              <w:t xml:space="preserve"> in gasilcev z vodo za gašenje –</w:t>
            </w:r>
            <w:r w:rsidRPr="002949B5">
              <w:rPr>
                <w:rFonts w:cs="Arial"/>
                <w:color w:val="000000"/>
                <w:szCs w:val="20"/>
              </w:rPr>
              <w:t xml:space="preserve"> delujoč hidrant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365E" w:rsidRPr="002949B5" w:rsidRDefault="008B365E" w:rsidP="00936248">
            <w:pPr>
              <w:jc w:val="center"/>
              <w:rPr>
                <w:rFonts w:cs="Arial"/>
                <w:color w:val="000000"/>
                <w:szCs w:val="20"/>
              </w:rPr>
            </w:pPr>
            <w:r w:rsidRPr="002949B5">
              <w:rPr>
                <w:rFonts w:cs="Arial"/>
                <w:color w:val="000000"/>
                <w:szCs w:val="20"/>
              </w:rPr>
              <w:t>20.000 €/kos</w:t>
            </w:r>
          </w:p>
        </w:tc>
      </w:tr>
    </w:tbl>
    <w:p w:rsidR="008B365E" w:rsidRPr="002949B5" w:rsidRDefault="008B365E" w:rsidP="00936248">
      <w:pPr>
        <w:rPr>
          <w:rFonts w:cs="Arial"/>
          <w:szCs w:val="20"/>
        </w:rPr>
      </w:pPr>
    </w:p>
    <w:p w:rsidR="008B365E" w:rsidRPr="002949B5" w:rsidRDefault="008B365E" w:rsidP="00936248">
      <w:pPr>
        <w:rPr>
          <w:rFonts w:cs="Arial"/>
          <w:szCs w:val="20"/>
        </w:rPr>
      </w:pPr>
    </w:p>
    <w:p w:rsidR="00AA1D20" w:rsidRDefault="00AA1D20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Default="0018130C" w:rsidP="00936248"/>
    <w:p w:rsidR="0018130C" w:rsidRPr="0018130C" w:rsidRDefault="0018130C" w:rsidP="0093624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Cs w:val="20"/>
        </w:rPr>
      </w:pPr>
      <w:r w:rsidRPr="0018130C">
        <w:rPr>
          <w:rFonts w:cs="Calibri"/>
          <w:b/>
          <w:szCs w:val="20"/>
        </w:rPr>
        <w:t xml:space="preserve">Priloga 2: Katalog kršitev in upravnih sankcij </w:t>
      </w:r>
    </w:p>
    <w:p w:rsidR="0018130C" w:rsidRPr="0018130C" w:rsidRDefault="0018130C" w:rsidP="00936248">
      <w:pPr>
        <w:pBdr>
          <w:top w:val="single" w:sz="4" w:space="1" w:color="auto"/>
        </w:pBdr>
        <w:rPr>
          <w:rFonts w:cs="Arial"/>
          <w:b/>
          <w:color w:val="000000"/>
          <w:szCs w:val="20"/>
        </w:rPr>
      </w:pP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 xml:space="preserve">(1) Upravičenec, ki iz neutemeljenega razloga ne omogoči kontrole na kraju samem oziroma ne omogoči dostopa do dokumentacije o naložbi (tretji odstavek 17. člena te uredbe), mora v proračun </w:t>
      </w:r>
      <w:r w:rsidR="00936248">
        <w:rPr>
          <w:rFonts w:cs="Arial"/>
          <w:szCs w:val="20"/>
        </w:rPr>
        <w:br/>
      </w:r>
      <w:r w:rsidRPr="0018130C">
        <w:rPr>
          <w:rFonts w:cs="Arial"/>
          <w:szCs w:val="20"/>
        </w:rPr>
        <w:t>Republike Slovenije vrniti vsa izplačana sredstva.</w:t>
      </w:r>
    </w:p>
    <w:p w:rsidR="0018130C" w:rsidRPr="0018130C" w:rsidRDefault="0018130C" w:rsidP="00936248">
      <w:pPr>
        <w:jc w:val="both"/>
        <w:rPr>
          <w:rFonts w:cs="Arial"/>
          <w:szCs w:val="20"/>
        </w:rPr>
      </w:pP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 xml:space="preserve">(2) Upravičenec, ki uvede bistvene spremembe, določene v 71. členu Uredbe 1303/2013/EU, mora vsa prejeta sredstva vrniti v proračun Republike Slovenije. Upravičenca se izključi iz prejemanja podpore za koledarsko leto ugotovitve kršitve in naslednje koledarsko leto. </w:t>
      </w:r>
    </w:p>
    <w:p w:rsidR="0018130C" w:rsidRPr="0018130C" w:rsidRDefault="0018130C" w:rsidP="00936248">
      <w:pPr>
        <w:jc w:val="both"/>
        <w:rPr>
          <w:rFonts w:cs="Arial"/>
          <w:szCs w:val="20"/>
        </w:rPr>
      </w:pP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(3) Upravičenec, ki ne hrani dokumentacije (drugi odstavek 17. člena te uredbe), mora v proračun Republike Slovenije vrniti 10 odstotkov izplačanih sredstev.</w:t>
      </w:r>
    </w:p>
    <w:p w:rsidR="0018130C" w:rsidRPr="0018130C" w:rsidRDefault="0018130C" w:rsidP="00936248">
      <w:pPr>
        <w:jc w:val="both"/>
        <w:rPr>
          <w:rFonts w:cs="Arial"/>
          <w:szCs w:val="20"/>
        </w:rPr>
      </w:pP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(4) Če upravičenec ne označi naložbe v skladu s četrtim odstavkom 17. člena te uredbe, se določijo sankcije v naslednjih deležih:</w:t>
      </w:r>
    </w:p>
    <w:p w:rsidR="0018130C" w:rsidRPr="0018130C" w:rsidRDefault="0018130C" w:rsidP="00936248">
      <w:pPr>
        <w:ind w:left="709" w:hanging="709"/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Pr="0018130C">
        <w:rPr>
          <w:rFonts w:cs="Arial"/>
          <w:szCs w:val="20"/>
        </w:rPr>
        <w:t>po prvi ugotovljeni kršitvi dobi upravičenec opozorilo;</w:t>
      </w:r>
    </w:p>
    <w:p w:rsidR="0018130C" w:rsidRPr="0018130C" w:rsidRDefault="00936248" w:rsidP="00936248">
      <w:pPr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 w:rsidR="0018130C">
        <w:rPr>
          <w:rFonts w:cs="Arial"/>
          <w:szCs w:val="20"/>
        </w:rPr>
        <w:tab/>
      </w:r>
      <w:r w:rsidR="0018130C" w:rsidRPr="0018130C">
        <w:rPr>
          <w:rFonts w:cs="Arial"/>
          <w:szCs w:val="20"/>
        </w:rPr>
        <w:t>po drugi ugotovljeni kršitvi mora upravičenec v proračun Republike Slovenije vrniti 20 odstotkov izplačanih sredstev;</w:t>
      </w:r>
    </w:p>
    <w:p w:rsidR="0018130C" w:rsidRPr="0018130C" w:rsidRDefault="00936248" w:rsidP="00936248">
      <w:pPr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 w:rsidR="0018130C">
        <w:rPr>
          <w:rFonts w:cs="Arial"/>
          <w:szCs w:val="20"/>
        </w:rPr>
        <w:tab/>
      </w:r>
      <w:r w:rsidR="0018130C" w:rsidRPr="0018130C">
        <w:rPr>
          <w:rFonts w:cs="Arial"/>
          <w:szCs w:val="20"/>
        </w:rPr>
        <w:t>po tretji ugotovljeni kršitvi mora upravičenec v proračun Republike Slovenije vrniti 50 odstotkov izplačanih sredstev;</w:t>
      </w:r>
    </w:p>
    <w:p w:rsidR="0018130C" w:rsidRPr="0018130C" w:rsidRDefault="00936248" w:rsidP="00936248">
      <w:pPr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 w:rsidR="0018130C">
        <w:rPr>
          <w:rFonts w:cs="Arial"/>
          <w:szCs w:val="20"/>
        </w:rPr>
        <w:tab/>
      </w:r>
      <w:r w:rsidR="0018130C" w:rsidRPr="0018130C">
        <w:rPr>
          <w:rFonts w:cs="Arial"/>
          <w:szCs w:val="20"/>
        </w:rPr>
        <w:t>po četrti ugotovljeni kršitvi mora upravičenec v proračun Republike Slovenije vrniti vsa izplačana sredstva.</w:t>
      </w:r>
    </w:p>
    <w:p w:rsidR="0018130C" w:rsidRPr="0018130C" w:rsidRDefault="0018130C" w:rsidP="00936248">
      <w:pPr>
        <w:ind w:hanging="709"/>
        <w:jc w:val="both"/>
        <w:rPr>
          <w:rFonts w:cs="Arial"/>
          <w:szCs w:val="20"/>
        </w:rPr>
      </w:pP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(5) Če upravičenec ne izpolni obveznosti iz prvega odstavka 17. člena te uredbe, mora v proračun Republike Slovenije vrniti izplačana sredstva, in sicer:</w:t>
      </w:r>
    </w:p>
    <w:p w:rsidR="0018130C" w:rsidRPr="0018130C" w:rsidRDefault="0018130C" w:rsidP="00936248">
      <w:pPr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Pr="0018130C">
        <w:rPr>
          <w:rFonts w:cs="Arial"/>
          <w:szCs w:val="20"/>
        </w:rPr>
        <w:t>po prvi kršitvi prejme opozorilo,</w:t>
      </w:r>
    </w:p>
    <w:p w:rsidR="0018130C" w:rsidRPr="0018130C" w:rsidRDefault="0018130C" w:rsidP="00936248">
      <w:pPr>
        <w:pStyle w:val="Odstavekseznama"/>
        <w:numPr>
          <w:ilvl w:val="0"/>
          <w:numId w:val="1"/>
        </w:numPr>
        <w:ind w:hanging="709"/>
        <w:jc w:val="both"/>
        <w:rPr>
          <w:rFonts w:cs="Arial"/>
          <w:szCs w:val="20"/>
        </w:rPr>
      </w:pPr>
      <w:r w:rsidRPr="0018130C">
        <w:rPr>
          <w:rFonts w:cs="Arial"/>
          <w:szCs w:val="20"/>
        </w:rPr>
        <w:t>po drugi kršitvi mora vrniti vsa izplačana sredstva, za vsako posamezno protipožarno infrastrukturo.</w:t>
      </w:r>
    </w:p>
    <w:p w:rsidR="0018130C" w:rsidRPr="0018130C" w:rsidRDefault="0018130C" w:rsidP="00936248">
      <w:pPr>
        <w:ind w:hanging="709"/>
        <w:rPr>
          <w:rFonts w:cs="Arial"/>
          <w:szCs w:val="20"/>
        </w:rPr>
      </w:pPr>
    </w:p>
    <w:p w:rsidR="0018130C" w:rsidRPr="0018130C" w:rsidRDefault="0018130C" w:rsidP="00936248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936248" w:rsidRDefault="00936248"/>
    <w:sectPr w:rsidR="00936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A29FD"/>
    <w:multiLevelType w:val="hybridMultilevel"/>
    <w:tmpl w:val="2C344D6C"/>
    <w:lvl w:ilvl="0" w:tplc="54EE897E">
      <w:start w:val="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5E"/>
    <w:rsid w:val="0018130C"/>
    <w:rsid w:val="004D1407"/>
    <w:rsid w:val="008B365E"/>
    <w:rsid w:val="00936248"/>
    <w:rsid w:val="00AA1D20"/>
    <w:rsid w:val="00D30E63"/>
    <w:rsid w:val="00D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1BF0-0BD1-43A3-A223-03F8F0A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B365E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8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2023-03-28T07:40:00Z</dcterms:created>
  <dcterms:modified xsi:type="dcterms:W3CDTF">2023-03-29T08:05:00Z</dcterms:modified>
</cp:coreProperties>
</file>