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491" w:rsidRPr="00B57491" w:rsidRDefault="00B57491" w:rsidP="00B57491">
      <w:pPr>
        <w:spacing w:before="120" w:after="120" w:line="240" w:lineRule="auto"/>
        <w:jc w:val="both"/>
        <w:rPr>
          <w:rFonts w:ascii="Arial" w:eastAsia="Calibri" w:hAnsi="Arial" w:cs="Arial"/>
          <w:b/>
        </w:rPr>
      </w:pPr>
      <w:r w:rsidRPr="00B57491">
        <w:rPr>
          <w:rFonts w:ascii="Arial" w:eastAsia="Calibri" w:hAnsi="Arial" w:cs="Arial"/>
          <w:b/>
        </w:rPr>
        <w:t>PRILOGA 4 (osnutki podzakonskih aktov)</w:t>
      </w: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r w:rsidRPr="00B57491">
        <w:rPr>
          <w:rFonts w:ascii="Arial" w:eastAsia="Calibri" w:hAnsi="Arial" w:cs="Arial"/>
          <w:b/>
        </w:rPr>
        <w:t>PREDLOG</w:t>
      </w:r>
    </w:p>
    <w:p w:rsidR="00B57491" w:rsidRPr="00B57491" w:rsidRDefault="00B57491" w:rsidP="00B57491">
      <w:pPr>
        <w:rPr>
          <w:rFonts w:ascii="Arial" w:eastAsia="Calibri" w:hAnsi="Arial" w:cs="Arial"/>
        </w:rPr>
      </w:pPr>
    </w:p>
    <w:p w:rsidR="00B57491" w:rsidRPr="00B57491" w:rsidRDefault="00B57491" w:rsidP="00B57491">
      <w:pPr>
        <w:jc w:val="both"/>
        <w:rPr>
          <w:rFonts w:ascii="Arial" w:eastAsia="Calibri" w:hAnsi="Arial" w:cs="Arial"/>
        </w:rPr>
      </w:pPr>
      <w:r w:rsidRPr="00B57491">
        <w:rPr>
          <w:rFonts w:ascii="Arial" w:eastAsia="Calibri" w:hAnsi="Arial" w:cs="Arial"/>
        </w:rPr>
        <w:t>Na podlagi šestega odstavka 9. člena Zakona o infrastrukturi za alternativna goriva in spodbujanju prehoda na alternativna goriva v prometu (Uradni list RS, št. …) minister za prometno politiko, izdaja</w:t>
      </w:r>
    </w:p>
    <w:p w:rsidR="00B57491" w:rsidRPr="00B57491" w:rsidRDefault="00B57491" w:rsidP="00B57491">
      <w:pPr>
        <w:rPr>
          <w:rFonts w:ascii="Arial" w:eastAsia="Calibri" w:hAnsi="Arial" w:cs="Arial"/>
        </w:rPr>
      </w:pPr>
    </w:p>
    <w:p w:rsidR="00B57491" w:rsidRPr="00B57491" w:rsidRDefault="00B57491" w:rsidP="00B57491">
      <w:pPr>
        <w:jc w:val="center"/>
        <w:rPr>
          <w:rFonts w:ascii="Arial" w:eastAsia="Calibri" w:hAnsi="Arial" w:cs="Arial"/>
          <w:b/>
        </w:rPr>
      </w:pPr>
      <w:r w:rsidRPr="00B57491">
        <w:rPr>
          <w:rFonts w:ascii="Arial" w:eastAsia="Calibri" w:hAnsi="Arial" w:cs="Arial"/>
          <w:b/>
        </w:rPr>
        <w:t>PRAVILNIK O PODROBNEJŠI DOLOČITVI VSEBINE, OBLIKE IN NAČINA PRIPRAVE LOKALNIH NAČRTOV ZA ELEKTRIČNO POLNILNO INFRASTRUKTURO OBČIN</w:t>
      </w: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b/>
        </w:rPr>
      </w:pPr>
      <w:r w:rsidRPr="00B57491">
        <w:rPr>
          <w:rFonts w:ascii="Arial" w:eastAsia="Calibri" w:hAnsi="Arial" w:cs="Arial"/>
        </w:rPr>
        <w:t xml:space="preserve">I. </w:t>
      </w:r>
      <w:r w:rsidRPr="00B57491">
        <w:rPr>
          <w:rFonts w:ascii="Arial" w:eastAsia="Calibri" w:hAnsi="Arial" w:cs="Arial"/>
          <w:b/>
        </w:rPr>
        <w:t>PREDMET UREJANJA (VSEBINA AKTA)</w:t>
      </w:r>
    </w:p>
    <w:p w:rsidR="00B57491" w:rsidRPr="00B57491" w:rsidRDefault="00B57491" w:rsidP="00B57491">
      <w:pPr>
        <w:tabs>
          <w:tab w:val="left" w:pos="567"/>
        </w:tabs>
        <w:spacing w:after="0" w:line="260" w:lineRule="exact"/>
        <w:jc w:val="both"/>
        <w:rPr>
          <w:rFonts w:ascii="Arial" w:eastAsia="Times New Roman" w:hAnsi="Arial" w:cs="Arial"/>
        </w:rPr>
      </w:pPr>
      <w:r w:rsidRPr="00B57491">
        <w:rPr>
          <w:rFonts w:ascii="Arial" w:eastAsia="Times New Roman" w:hAnsi="Arial" w:cs="Arial"/>
        </w:rPr>
        <w:t>Ta pravilnik določa:</w:t>
      </w:r>
    </w:p>
    <w:p w:rsidR="00B57491" w:rsidRPr="00B57491" w:rsidRDefault="00B57491" w:rsidP="00B57491">
      <w:pPr>
        <w:numPr>
          <w:ilvl w:val="0"/>
          <w:numId w:val="6"/>
        </w:numPr>
        <w:tabs>
          <w:tab w:val="left" w:pos="567"/>
        </w:tabs>
        <w:spacing w:after="0" w:line="260" w:lineRule="exact"/>
        <w:contextualSpacing/>
        <w:jc w:val="both"/>
        <w:rPr>
          <w:rFonts w:ascii="Arial" w:eastAsia="Times New Roman" w:hAnsi="Arial" w:cs="Arial"/>
        </w:rPr>
      </w:pPr>
      <w:r w:rsidRPr="00B57491">
        <w:rPr>
          <w:rFonts w:ascii="Arial" w:eastAsia="Times New Roman" w:hAnsi="Arial" w:cs="Arial"/>
        </w:rPr>
        <w:t>način in metodologijo za določanje potreb po električni polnilni infrastrukturi,</w:t>
      </w:r>
    </w:p>
    <w:p w:rsidR="00B57491" w:rsidRPr="00B57491" w:rsidRDefault="00B57491" w:rsidP="00B57491">
      <w:pPr>
        <w:numPr>
          <w:ilvl w:val="0"/>
          <w:numId w:val="6"/>
        </w:numPr>
        <w:tabs>
          <w:tab w:val="left" w:pos="567"/>
        </w:tabs>
        <w:spacing w:after="0" w:line="260" w:lineRule="exact"/>
        <w:contextualSpacing/>
        <w:jc w:val="both"/>
        <w:rPr>
          <w:rFonts w:ascii="Arial" w:eastAsia="Times New Roman" w:hAnsi="Arial" w:cs="Arial"/>
        </w:rPr>
      </w:pPr>
      <w:r w:rsidRPr="00B57491">
        <w:rPr>
          <w:rFonts w:ascii="Arial" w:eastAsia="Times New Roman" w:hAnsi="Arial" w:cs="Arial"/>
        </w:rPr>
        <w:t>vsebino lokalnih načrtov in minimalne cilje za električno polnilno infrastrukturo,</w:t>
      </w:r>
    </w:p>
    <w:p w:rsidR="00B57491" w:rsidRPr="00B57491" w:rsidRDefault="00B57491" w:rsidP="00B57491">
      <w:pPr>
        <w:numPr>
          <w:ilvl w:val="0"/>
          <w:numId w:val="6"/>
        </w:numPr>
        <w:tabs>
          <w:tab w:val="left" w:pos="567"/>
        </w:tabs>
        <w:spacing w:after="0" w:line="260" w:lineRule="exact"/>
        <w:contextualSpacing/>
        <w:jc w:val="both"/>
        <w:rPr>
          <w:rFonts w:ascii="Arial" w:eastAsia="Times New Roman" w:hAnsi="Arial" w:cs="Arial"/>
        </w:rPr>
      </w:pPr>
      <w:r w:rsidRPr="00B57491">
        <w:rPr>
          <w:rFonts w:ascii="Arial" w:eastAsia="Times New Roman" w:hAnsi="Arial" w:cs="Arial"/>
        </w:rPr>
        <w:t>način priprave in objave podatkov o identificiranih potrebah za vzpostavitev polnilne infrastrukture za spodbujanje investicij v polnilno infrastrukturo,</w:t>
      </w:r>
    </w:p>
    <w:p w:rsidR="00B57491" w:rsidRPr="00B57491" w:rsidRDefault="00B57491" w:rsidP="00B57491">
      <w:pPr>
        <w:numPr>
          <w:ilvl w:val="0"/>
          <w:numId w:val="6"/>
        </w:numPr>
        <w:tabs>
          <w:tab w:val="left" w:pos="567"/>
        </w:tabs>
        <w:spacing w:after="0" w:line="260" w:lineRule="exact"/>
        <w:contextualSpacing/>
        <w:jc w:val="both"/>
        <w:rPr>
          <w:rFonts w:ascii="Arial" w:eastAsia="Times New Roman" w:hAnsi="Arial" w:cs="Arial"/>
        </w:rPr>
      </w:pPr>
      <w:r w:rsidRPr="00B57491">
        <w:rPr>
          <w:rFonts w:ascii="Arial" w:eastAsia="Times New Roman" w:hAnsi="Arial" w:cs="Arial"/>
        </w:rPr>
        <w:t>način določanja učinkov na zmanjšanje porabe fosilnih goriv in emisij, povečanje energetske učinkovitosti in deleža OVE v prometu.</w:t>
      </w:r>
    </w:p>
    <w:p w:rsidR="00B57491" w:rsidRPr="00B57491" w:rsidRDefault="00B57491" w:rsidP="00B57491">
      <w:pPr>
        <w:rPr>
          <w:rFonts w:ascii="Calibri" w:eastAsia="Calibri" w:hAnsi="Calibri" w:cs="Times New Roman"/>
          <w:sz w:val="24"/>
        </w:rPr>
      </w:pPr>
    </w:p>
    <w:p w:rsidR="00B57491" w:rsidRPr="00B57491" w:rsidRDefault="00B57491" w:rsidP="00B57491">
      <w:pPr>
        <w:tabs>
          <w:tab w:val="left" w:pos="708"/>
        </w:tabs>
        <w:spacing w:after="0" w:line="260" w:lineRule="exact"/>
        <w:contextualSpacing/>
        <w:jc w:val="both"/>
        <w:rPr>
          <w:rFonts w:ascii="Arial" w:eastAsia="Times New Roman" w:hAnsi="Arial" w:cs="Arial"/>
          <w:b/>
          <w:szCs w:val="20"/>
        </w:rPr>
      </w:pPr>
      <w:r w:rsidRPr="00B57491">
        <w:rPr>
          <w:rFonts w:ascii="Arial" w:eastAsia="Times New Roman" w:hAnsi="Arial" w:cs="Arial"/>
          <w:b/>
          <w:szCs w:val="20"/>
        </w:rPr>
        <w:t>II. PREDSTAVITEV PO VSEBINSKIH SKLOPIH (ZA VSAK VSEBINSKI SKLOP POSEBEJ):</w:t>
      </w:r>
    </w:p>
    <w:p w:rsidR="00B57491" w:rsidRPr="00B57491" w:rsidRDefault="00B57491" w:rsidP="00B57491">
      <w:pPr>
        <w:tabs>
          <w:tab w:val="left" w:pos="708"/>
        </w:tabs>
        <w:spacing w:after="0" w:line="260" w:lineRule="exact"/>
        <w:rPr>
          <w:rFonts w:ascii="Calibri" w:eastAsia="Calibri" w:hAnsi="Calibri" w:cs="Times New Roman"/>
          <w:sz w:val="24"/>
        </w:rPr>
      </w:pPr>
    </w:p>
    <w:p w:rsidR="00B57491" w:rsidRPr="00B57491" w:rsidRDefault="00B57491" w:rsidP="00B57491">
      <w:pPr>
        <w:tabs>
          <w:tab w:val="left" w:pos="708"/>
        </w:tabs>
        <w:spacing w:after="0" w:line="260" w:lineRule="exact"/>
        <w:rPr>
          <w:rFonts w:ascii="Arial" w:eastAsia="Times New Roman" w:hAnsi="Arial" w:cs="Arial"/>
          <w:szCs w:val="20"/>
        </w:rPr>
      </w:pPr>
      <w:r w:rsidRPr="00B57491">
        <w:rPr>
          <w:rFonts w:ascii="Arial" w:eastAsia="Times New Roman" w:hAnsi="Arial" w:cs="Arial"/>
          <w:szCs w:val="20"/>
        </w:rPr>
        <w:t>Ta pravilnik podrobneje ureja vsebino in postopek priprave načrtov za električno polnilno infrastrukturo na lokalni ravni.</w:t>
      </w:r>
    </w:p>
    <w:p w:rsidR="00B57491" w:rsidRPr="00B57491" w:rsidRDefault="00B57491" w:rsidP="00B57491">
      <w:pPr>
        <w:rPr>
          <w:rFonts w:ascii="Calibri" w:eastAsia="Calibri" w:hAnsi="Calibri" w:cs="Times New Roman"/>
          <w:sz w:val="24"/>
        </w:rPr>
      </w:pPr>
    </w:p>
    <w:p w:rsidR="00B57491" w:rsidRPr="00B57491" w:rsidRDefault="00B57491" w:rsidP="00B57491">
      <w:pPr>
        <w:tabs>
          <w:tab w:val="left" w:pos="708"/>
        </w:tabs>
        <w:spacing w:after="0" w:line="260" w:lineRule="exact"/>
        <w:rPr>
          <w:rFonts w:ascii="Arial" w:eastAsia="Times New Roman" w:hAnsi="Arial" w:cs="Arial"/>
          <w:b/>
          <w:szCs w:val="20"/>
        </w:rPr>
      </w:pPr>
      <w:r w:rsidRPr="00B57491">
        <w:rPr>
          <w:rFonts w:ascii="Arial" w:eastAsia="Times New Roman" w:hAnsi="Arial" w:cs="Arial"/>
          <w:b/>
          <w:szCs w:val="20"/>
        </w:rPr>
        <w:t>Vsebinski sklopi:</w:t>
      </w:r>
    </w:p>
    <w:p w:rsidR="00B57491" w:rsidRPr="00B57491" w:rsidRDefault="00B57491" w:rsidP="00B57491">
      <w:pPr>
        <w:tabs>
          <w:tab w:val="left" w:pos="708"/>
        </w:tabs>
        <w:spacing w:after="0" w:line="260" w:lineRule="exact"/>
        <w:rPr>
          <w:rFonts w:ascii="Arial" w:eastAsia="Times New Roman" w:hAnsi="Arial" w:cs="Arial"/>
          <w:b/>
          <w:szCs w:val="20"/>
        </w:rPr>
      </w:pPr>
    </w:p>
    <w:p w:rsidR="00B57491" w:rsidRPr="00B57491" w:rsidRDefault="00B57491" w:rsidP="00B57491">
      <w:pPr>
        <w:numPr>
          <w:ilvl w:val="0"/>
          <w:numId w:val="2"/>
        </w:numPr>
        <w:contextualSpacing/>
        <w:rPr>
          <w:rFonts w:ascii="Arial" w:eastAsia="Calibri" w:hAnsi="Arial" w:cs="Arial"/>
          <w:b/>
        </w:rPr>
      </w:pPr>
      <w:r w:rsidRPr="00B57491">
        <w:rPr>
          <w:rFonts w:ascii="Arial" w:eastAsia="Calibri" w:hAnsi="Arial" w:cs="Arial"/>
          <w:b/>
        </w:rPr>
        <w:t>Kategorizacija občin</w:t>
      </w:r>
    </w:p>
    <w:p w:rsidR="00B57491" w:rsidRPr="00B57491" w:rsidRDefault="00B57491" w:rsidP="00B57491">
      <w:pPr>
        <w:jc w:val="both"/>
        <w:rPr>
          <w:rFonts w:ascii="Arial" w:eastAsia="Calibri" w:hAnsi="Arial" w:cs="Arial"/>
        </w:rPr>
      </w:pPr>
      <w:r w:rsidRPr="00B57491">
        <w:rPr>
          <w:rFonts w:ascii="Arial" w:eastAsia="Calibri" w:hAnsi="Arial" w:cs="Arial"/>
        </w:rPr>
        <w:t>Določi se kategorizacije občin glede na velikost občin, prometne tokove, gostoto poselitve in druge kriterije, ki vplivajo na potreben obseg elektrifikacije. Glede na kategorije se določi vsebina lokalnega načrta in minimalni cilji za električno polnilno infrastrukturo.</w:t>
      </w:r>
    </w:p>
    <w:p w:rsidR="00B57491" w:rsidRPr="00B57491" w:rsidRDefault="00B57491" w:rsidP="00B57491">
      <w:pPr>
        <w:numPr>
          <w:ilvl w:val="0"/>
          <w:numId w:val="2"/>
        </w:numPr>
        <w:contextualSpacing/>
        <w:rPr>
          <w:rFonts w:ascii="Arial" w:eastAsia="Calibri" w:hAnsi="Arial" w:cs="Arial"/>
          <w:b/>
        </w:rPr>
      </w:pPr>
      <w:r w:rsidRPr="00B57491">
        <w:rPr>
          <w:rFonts w:ascii="Arial" w:eastAsia="Calibri" w:hAnsi="Arial" w:cs="Arial"/>
          <w:b/>
        </w:rPr>
        <w:t>Analiza trenutnega stanja na področju električnih vozil in polnilne infrastrukture v občini</w:t>
      </w:r>
    </w:p>
    <w:p w:rsidR="00B57491" w:rsidRPr="00B57491" w:rsidRDefault="00B57491" w:rsidP="00B57491">
      <w:pPr>
        <w:numPr>
          <w:ilvl w:val="0"/>
          <w:numId w:val="3"/>
        </w:numPr>
        <w:contextualSpacing/>
        <w:rPr>
          <w:rFonts w:ascii="Arial" w:eastAsia="Calibri" w:hAnsi="Arial" w:cs="Arial"/>
        </w:rPr>
      </w:pPr>
      <w:r w:rsidRPr="00B57491">
        <w:rPr>
          <w:rFonts w:ascii="Arial" w:eastAsia="Calibri" w:hAnsi="Arial" w:cs="Arial"/>
        </w:rPr>
        <w:t>določitev števila električnih vozil v voznem parku registriranih vozil v občini,</w:t>
      </w:r>
    </w:p>
    <w:p w:rsidR="00B57491" w:rsidRPr="00B57491" w:rsidRDefault="00B57491" w:rsidP="00B57491">
      <w:pPr>
        <w:numPr>
          <w:ilvl w:val="0"/>
          <w:numId w:val="3"/>
        </w:numPr>
        <w:contextualSpacing/>
        <w:rPr>
          <w:rFonts w:ascii="Arial" w:eastAsia="Calibri" w:hAnsi="Arial" w:cs="Arial"/>
        </w:rPr>
      </w:pPr>
      <w:r w:rsidRPr="00B57491">
        <w:rPr>
          <w:rFonts w:ascii="Arial" w:eastAsia="Calibri" w:hAnsi="Arial" w:cs="Arial"/>
        </w:rPr>
        <w:t>določitev št. polnilnih postaj in polnilnih mest na območju občine (izhodne moči, način polnjenja – AC, DC),</w:t>
      </w:r>
    </w:p>
    <w:p w:rsidR="00B57491" w:rsidRPr="00B57491" w:rsidRDefault="00B57491" w:rsidP="00B57491">
      <w:pPr>
        <w:numPr>
          <w:ilvl w:val="0"/>
          <w:numId w:val="3"/>
        </w:numPr>
        <w:contextualSpacing/>
        <w:rPr>
          <w:rFonts w:ascii="Arial" w:eastAsia="Calibri" w:hAnsi="Arial" w:cs="Arial"/>
        </w:rPr>
      </w:pPr>
      <w:r w:rsidRPr="00B57491">
        <w:rPr>
          <w:rFonts w:ascii="Arial" w:eastAsia="Calibri" w:hAnsi="Arial" w:cs="Arial"/>
        </w:rPr>
        <w:t>ocena št. električnih vozil v tranzitu čez občino oziroma dnevne migracije na območju, sezonsko povečanje vozil zaradi turistične sezone, itd.</w:t>
      </w:r>
    </w:p>
    <w:p w:rsidR="00B57491" w:rsidRPr="00B57491" w:rsidRDefault="00B57491" w:rsidP="00B57491">
      <w:pPr>
        <w:numPr>
          <w:ilvl w:val="0"/>
          <w:numId w:val="3"/>
        </w:numPr>
        <w:contextualSpacing/>
        <w:rPr>
          <w:rFonts w:ascii="Arial" w:eastAsia="Calibri" w:hAnsi="Arial" w:cs="Arial"/>
        </w:rPr>
      </w:pPr>
      <w:r w:rsidRPr="00B57491">
        <w:rPr>
          <w:rFonts w:ascii="Arial" w:eastAsia="Calibri" w:hAnsi="Arial" w:cs="Arial"/>
        </w:rPr>
        <w:t>kartografski prikaz trenutne porazdelitve električne polnilne infrastrukture na območju občine</w:t>
      </w:r>
    </w:p>
    <w:p w:rsidR="00B57491" w:rsidRPr="00B57491" w:rsidRDefault="00B57491" w:rsidP="00B57491">
      <w:pPr>
        <w:ind w:left="720"/>
        <w:contextualSpacing/>
        <w:rPr>
          <w:rFonts w:ascii="Arial" w:eastAsia="Calibri" w:hAnsi="Arial" w:cs="Arial"/>
        </w:rPr>
      </w:pPr>
    </w:p>
    <w:p w:rsidR="00B57491" w:rsidRPr="00B57491" w:rsidRDefault="00B57491" w:rsidP="00B57491">
      <w:pPr>
        <w:numPr>
          <w:ilvl w:val="0"/>
          <w:numId w:val="2"/>
        </w:numPr>
        <w:contextualSpacing/>
        <w:rPr>
          <w:rFonts w:ascii="Arial" w:eastAsia="Calibri" w:hAnsi="Arial" w:cs="Arial"/>
          <w:b/>
        </w:rPr>
      </w:pPr>
      <w:r w:rsidRPr="00B57491">
        <w:rPr>
          <w:rFonts w:ascii="Arial" w:eastAsia="Calibri" w:hAnsi="Arial" w:cs="Arial"/>
          <w:b/>
        </w:rPr>
        <w:t xml:space="preserve">Metodologija določanja potreb razvoja polnilne infrastrukture </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 xml:space="preserve">Ocena predvidene rasti števila električnih vozil na območju občine, pri čemer se upošteva način in predvideni deleži kot izhajajo iz nacionalne metodologije širitve </w:t>
      </w:r>
      <w:r w:rsidRPr="00B57491">
        <w:rPr>
          <w:rFonts w:ascii="Arial" w:eastAsia="Calibri" w:hAnsi="Arial" w:cs="Arial"/>
        </w:rPr>
        <w:lastRenderedPageBreak/>
        <w:t>mreže električnih polnilnih mest kot jo pripravi ministrstvo (prebivalci v občini, tranzit, migracije, vpliv turistične sezone).</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Glede na zgornjo alinejo se določi število oz. projekcija vozil po kategorijah vozil (lahka vozila M1 in N1, tovorna vozila N2 in N3 ter vozila za prevoz potnikov vključno z javnim potniškim prometom M2 in M3). Pripravijo se projekcije za leta: 2025, 2030, 2035.</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Določi se potreba po javno dostopni polnilni infrastrukturi tako, da se upoštevajo minimalni kriteriji glede izhodne moči na posamezno predvideno vozilo v voznem parku (izhajajoč iz Uredbe o infrastrukturi za alternativna goriva (AFIR), 1 kW za BEV in 0,66 kW za PHEV) za lahka vozila ter tovorna vozila in vozila za javni potniški promet glede na podane potrebe upravljavcev večjih flot.</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Vključevanje javnosti in ključnih deležnikov v proces identifikacije potreb razvoja el. polnilne infrastrukture (izvajalci GJS, upravljavci večjih flot gospodarskih vozil – prevozi, dostavna vozila, itd.), izvedba posvetov, anket.</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Določitev št. prebivalcev večstanovanjskih stavb, ki nimajo možnosti polnjenja doma, ne glede na določbe 29. člena ZURE se v prihodnjih 10 let ne predvideva prenova stavb in pripadajočih parkirnih površin ob stavbah.</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Določitev razmerja med predvideno javno dostopno polnilno infrastrukturo in zasebno.</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 xml:space="preserve">Določitev potreb oz. vrzeli v obstoječi polnilni infrastrukturi glede na način polnjenja (AC, DC), vrsto polnilne infrastrukture za počasno oz. </w:t>
      </w:r>
      <w:proofErr w:type="spellStart"/>
      <w:r w:rsidRPr="00B57491">
        <w:rPr>
          <w:rFonts w:ascii="Arial" w:eastAsia="Calibri" w:hAnsi="Arial" w:cs="Arial"/>
        </w:rPr>
        <w:t>destinacijsko</w:t>
      </w:r>
      <w:proofErr w:type="spellEnd"/>
      <w:r w:rsidRPr="00B57491">
        <w:rPr>
          <w:rFonts w:ascii="Arial" w:eastAsia="Calibri" w:hAnsi="Arial" w:cs="Arial"/>
        </w:rPr>
        <w:t xml:space="preserve"> polnjenje (lokacije na katerih se vozila parkirajo za dlje časa) ter hitro polnjenje visokih moči (vpadnice, presečišča cest, gospodarska vozila, JPP, itd.).</w:t>
      </w:r>
    </w:p>
    <w:p w:rsidR="00B57491" w:rsidRPr="00B57491" w:rsidRDefault="00B57491" w:rsidP="00B57491">
      <w:pPr>
        <w:numPr>
          <w:ilvl w:val="0"/>
          <w:numId w:val="4"/>
        </w:numPr>
        <w:contextualSpacing/>
        <w:rPr>
          <w:rFonts w:ascii="Arial" w:eastAsia="Calibri" w:hAnsi="Arial" w:cs="Arial"/>
        </w:rPr>
      </w:pPr>
      <w:r w:rsidRPr="00B57491">
        <w:rPr>
          <w:rFonts w:ascii="Arial" w:eastAsia="Calibri" w:hAnsi="Arial" w:cs="Arial"/>
        </w:rPr>
        <w:t>Določitev kvantitativnih ciljev za polnilno infrastrukturo glede na vrste polnilnih mest, način polnjenja in izhodne moči za leta 2025, 2030, 2035.</w:t>
      </w:r>
    </w:p>
    <w:p w:rsidR="00B57491" w:rsidRPr="00B57491" w:rsidRDefault="00B57491" w:rsidP="00B57491">
      <w:pPr>
        <w:ind w:left="720"/>
        <w:contextualSpacing/>
        <w:rPr>
          <w:rFonts w:ascii="Arial" w:eastAsia="Calibri" w:hAnsi="Arial" w:cs="Arial"/>
        </w:rPr>
      </w:pPr>
    </w:p>
    <w:p w:rsidR="00B57491" w:rsidRPr="00B57491" w:rsidRDefault="00B57491" w:rsidP="00B57491">
      <w:pPr>
        <w:numPr>
          <w:ilvl w:val="0"/>
          <w:numId w:val="2"/>
        </w:numPr>
        <w:contextualSpacing/>
        <w:rPr>
          <w:rFonts w:ascii="Arial" w:eastAsia="Calibri" w:hAnsi="Arial" w:cs="Arial"/>
          <w:b/>
        </w:rPr>
      </w:pPr>
      <w:r w:rsidRPr="00B57491">
        <w:rPr>
          <w:rFonts w:ascii="Arial" w:eastAsia="Calibri" w:hAnsi="Arial" w:cs="Arial"/>
          <w:b/>
        </w:rPr>
        <w:t>Minimalni cilji za električno polnilno infrastrukturo</w:t>
      </w:r>
    </w:p>
    <w:p w:rsidR="00B57491" w:rsidRPr="00B57491" w:rsidRDefault="00B57491" w:rsidP="00B57491">
      <w:pPr>
        <w:ind w:left="360"/>
        <w:rPr>
          <w:rFonts w:ascii="Arial" w:eastAsia="Calibri" w:hAnsi="Arial" w:cs="Arial"/>
        </w:rPr>
      </w:pPr>
      <w:r w:rsidRPr="00B57491">
        <w:rPr>
          <w:rFonts w:ascii="Arial" w:eastAsia="Calibri" w:hAnsi="Arial" w:cs="Arial"/>
        </w:rPr>
        <w:t xml:space="preserve">Minimalni cilji za vzpostavitev polnilnih parkov se določijo glede na: </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potrebe za doseganje minimalnega števila električnih vozil za izvajanje Uredbe o zelenem javnem naročanju, ki se nanaša na lahka vozila kategorije M1, N1 in M2 ter mestne avtobuse kategorije M3,</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v odvisnosti od tranzita/dnevnih migracij ter prometnih tokov v občini oz. skozi občino se določi minimalno št. polnilnih mest in izhodne moči za hitro polnilno infrastrukturo visokih moči,</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določi se minimalno število polnilnih mest za počasno polnjenje na javnih površinah za prebivalce večstanovanjskih stavb, ki nimajo možnosti polnjenja doma,</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določi se minimalno št. polnilnih mest (PM) za delavce v javnem sektorju na javnih površinah,</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določi se minimalno št. PM za sisteme deljenega lastništva avtomobilov ter na prestopnih točkah oz. postajah JPP,</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določi se št PM glede na št. uporabnikov javnih parkirišč ter parkirišč za težka tovorna vozila v urbanih območjih,</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v sodelovanju z deležniki se določi št. PM in izhodna moč na polnilnih parkih namenjenih za polnjenje gospodarskih vozil ali osebnih vozil velikih generatorjev prometa (veliki zaposlovalci, trgovski centri, itd.),</w:t>
      </w:r>
    </w:p>
    <w:p w:rsidR="00B57491" w:rsidRPr="00B57491" w:rsidRDefault="00B57491" w:rsidP="00B57491">
      <w:pPr>
        <w:numPr>
          <w:ilvl w:val="0"/>
          <w:numId w:val="8"/>
        </w:numPr>
        <w:contextualSpacing/>
        <w:rPr>
          <w:rFonts w:ascii="Arial" w:eastAsia="Calibri" w:hAnsi="Arial" w:cs="Arial"/>
        </w:rPr>
      </w:pPr>
      <w:r w:rsidRPr="00B57491">
        <w:rPr>
          <w:rFonts w:ascii="Arial" w:eastAsia="Calibri" w:hAnsi="Arial" w:cs="Arial"/>
        </w:rPr>
        <w:t>drugo po presoji občine.</w:t>
      </w:r>
    </w:p>
    <w:p w:rsidR="00B57491" w:rsidRPr="00B57491" w:rsidRDefault="00B57491" w:rsidP="00B57491">
      <w:pPr>
        <w:jc w:val="both"/>
        <w:rPr>
          <w:rFonts w:ascii="Arial" w:eastAsia="Calibri" w:hAnsi="Arial" w:cs="Arial"/>
        </w:rPr>
      </w:pPr>
      <w:r w:rsidRPr="00B57491">
        <w:rPr>
          <w:rFonts w:ascii="Arial" w:eastAsia="Calibri" w:hAnsi="Arial" w:cs="Arial"/>
        </w:rPr>
        <w:t>Minimalni cilji za polnilno infrastrukturo glede na statistične podatke glede št. prebivalcev, prometnih tokov, zaposlenih v javnem sektorju, velikosti parkirišč, itd. se bo določilo naknadno ob upoštevanju nacionalne metodologije za razvoj mreže električne polnilne infrastrukture.</w:t>
      </w:r>
    </w:p>
    <w:p w:rsidR="00B57491" w:rsidRPr="00B57491" w:rsidRDefault="00B57491" w:rsidP="00B57491">
      <w:pPr>
        <w:numPr>
          <w:ilvl w:val="0"/>
          <w:numId w:val="2"/>
        </w:numPr>
        <w:contextualSpacing/>
        <w:rPr>
          <w:rFonts w:ascii="Arial" w:eastAsia="Calibri" w:hAnsi="Arial" w:cs="Arial"/>
          <w:b/>
        </w:rPr>
      </w:pPr>
      <w:r w:rsidRPr="00B57491">
        <w:rPr>
          <w:rFonts w:ascii="Arial" w:eastAsia="Calibri" w:hAnsi="Arial" w:cs="Arial"/>
          <w:b/>
        </w:rPr>
        <w:lastRenderedPageBreak/>
        <w:t>Lokacijski načrt za vzpostavitev polnilnih parkov</w:t>
      </w:r>
    </w:p>
    <w:p w:rsidR="00B57491" w:rsidRPr="00B57491" w:rsidRDefault="00B57491" w:rsidP="00B57491">
      <w:pPr>
        <w:ind w:left="360"/>
        <w:rPr>
          <w:rFonts w:ascii="Arial" w:eastAsia="Calibri" w:hAnsi="Arial" w:cs="Arial"/>
        </w:rPr>
      </w:pPr>
      <w:r w:rsidRPr="00B57491">
        <w:rPr>
          <w:rFonts w:ascii="Arial" w:eastAsia="Calibri" w:hAnsi="Arial" w:cs="Arial"/>
        </w:rPr>
        <w:t>Glede na v prejšnji točki navedene minimalne cilje se pripravi lokacijski načrt za vzpostavitev polnilnih parkov pri čemer se upošteva:</w:t>
      </w:r>
    </w:p>
    <w:p w:rsidR="00B57491" w:rsidRPr="00B57491" w:rsidRDefault="00B57491" w:rsidP="00B57491">
      <w:pPr>
        <w:numPr>
          <w:ilvl w:val="0"/>
          <w:numId w:val="9"/>
        </w:numPr>
        <w:contextualSpacing/>
        <w:rPr>
          <w:rFonts w:ascii="Arial" w:eastAsia="Calibri" w:hAnsi="Arial" w:cs="Arial"/>
        </w:rPr>
      </w:pPr>
      <w:r w:rsidRPr="00B57491">
        <w:rPr>
          <w:rFonts w:ascii="Arial" w:eastAsia="Calibri" w:hAnsi="Arial" w:cs="Arial"/>
        </w:rPr>
        <w:t>vse identificirane lokacije se preverijo z vidika električnega omrežja (priključne moči, potrebni posegi, čas in cena priprave priključka v kolikor na lokaciji že ne obstaja, druga soglasja in dovoljenja) v sodelovanju z distribucijskimi podjetji po legi občine oz. distribucijskim operaterjem,</w:t>
      </w:r>
    </w:p>
    <w:p w:rsidR="00B57491" w:rsidRPr="00B57491" w:rsidRDefault="00B57491" w:rsidP="00B57491">
      <w:pPr>
        <w:numPr>
          <w:ilvl w:val="0"/>
          <w:numId w:val="9"/>
        </w:numPr>
        <w:contextualSpacing/>
        <w:rPr>
          <w:rFonts w:ascii="Arial" w:eastAsia="Calibri" w:hAnsi="Arial" w:cs="Arial"/>
        </w:rPr>
      </w:pPr>
      <w:r w:rsidRPr="00B57491">
        <w:rPr>
          <w:rFonts w:ascii="Arial" w:eastAsia="Calibri" w:hAnsi="Arial" w:cs="Arial"/>
        </w:rPr>
        <w:t>vse lokacije identificirane se preverijo z vidika parkirnih površin in stanja zemljišč (potrebne površine za polnilna mesta, št. polnilnih mest, lastništva zemljišč – javno, zasebno),</w:t>
      </w:r>
    </w:p>
    <w:p w:rsidR="00B57491" w:rsidRPr="00B57491" w:rsidRDefault="00B57491" w:rsidP="00B57491">
      <w:pPr>
        <w:numPr>
          <w:ilvl w:val="0"/>
          <w:numId w:val="9"/>
        </w:numPr>
        <w:contextualSpacing/>
        <w:rPr>
          <w:rFonts w:ascii="Arial" w:eastAsia="Calibri" w:hAnsi="Arial" w:cs="Arial"/>
        </w:rPr>
      </w:pPr>
      <w:r w:rsidRPr="00B57491">
        <w:rPr>
          <w:rFonts w:ascii="Arial" w:eastAsia="Calibri" w:hAnsi="Arial" w:cs="Arial"/>
        </w:rPr>
        <w:t>za javno dostopno polnilno infrastrukturo se za vsako lokacijo določi št. potrebnih parkirnih mest, največja možna oz. dovoljena priključna moč, potrebni posegi v omrežje in cena priključka v kolikor ne obstaja, stanje lastništva zemljišč predvidenih lokacij polnilnih parkov, itd.</w:t>
      </w:r>
    </w:p>
    <w:p w:rsidR="00B57491" w:rsidRPr="00B57491" w:rsidRDefault="00B57491" w:rsidP="00B57491">
      <w:pPr>
        <w:numPr>
          <w:ilvl w:val="0"/>
          <w:numId w:val="9"/>
        </w:numPr>
        <w:contextualSpacing/>
        <w:rPr>
          <w:rFonts w:ascii="Arial" w:eastAsia="Calibri" w:hAnsi="Arial" w:cs="Arial"/>
        </w:rPr>
      </w:pPr>
      <w:r w:rsidRPr="00B57491">
        <w:rPr>
          <w:rFonts w:ascii="Arial" w:eastAsia="Calibri" w:hAnsi="Arial" w:cs="Arial"/>
        </w:rPr>
        <w:t>pripravi se seznam lokacij polnilnih parkov po vrstah vozil (osebna vozila (M1), lahka komercialna vozila (N1), vozila za mestni potniški promet (M3) ter težka tovorna vozila (N2, N3).</w:t>
      </w:r>
    </w:p>
    <w:p w:rsidR="00B57491" w:rsidRPr="00B57491" w:rsidRDefault="00B57491" w:rsidP="00B57491">
      <w:pPr>
        <w:numPr>
          <w:ilvl w:val="0"/>
          <w:numId w:val="9"/>
        </w:numPr>
        <w:contextualSpacing/>
        <w:rPr>
          <w:rFonts w:ascii="Arial" w:eastAsia="Calibri" w:hAnsi="Arial" w:cs="Arial"/>
        </w:rPr>
      </w:pPr>
      <w:r w:rsidRPr="00B57491">
        <w:rPr>
          <w:rFonts w:ascii="Arial" w:eastAsia="Calibri" w:hAnsi="Arial" w:cs="Arial"/>
        </w:rPr>
        <w:t>Prednostno se obravnavajo lokacije na katerih je že zadostno št. parkirnih mest in priključna moč.</w:t>
      </w:r>
    </w:p>
    <w:p w:rsidR="00B57491" w:rsidRPr="00B57491" w:rsidRDefault="00B57491" w:rsidP="00B57491">
      <w:pPr>
        <w:numPr>
          <w:ilvl w:val="0"/>
          <w:numId w:val="9"/>
        </w:numPr>
        <w:contextualSpacing/>
        <w:rPr>
          <w:rFonts w:ascii="Arial" w:eastAsia="Calibri" w:hAnsi="Arial" w:cs="Arial"/>
        </w:rPr>
      </w:pPr>
      <w:r w:rsidRPr="00B57491">
        <w:rPr>
          <w:rFonts w:ascii="Arial" w:eastAsia="Calibri" w:hAnsi="Arial" w:cs="Arial"/>
        </w:rPr>
        <w:t>Pripravi se kartografski prikaz lokacij za vzpostavitev polnilnih parkov ter preglednica s podatki o stanju na teh lokacijah. Določijo se območja občine, tj. območje mesta, primestna območja ter ostala območja občine oz. naselja.</w:t>
      </w:r>
    </w:p>
    <w:p w:rsidR="00B57491" w:rsidRPr="00B57491" w:rsidRDefault="00B57491" w:rsidP="00B57491">
      <w:pPr>
        <w:jc w:val="both"/>
        <w:rPr>
          <w:rFonts w:ascii="Arial" w:eastAsia="Calibri" w:hAnsi="Arial" w:cs="Arial"/>
        </w:rPr>
      </w:pPr>
      <w:r w:rsidRPr="00B57491">
        <w:rPr>
          <w:rFonts w:ascii="Arial" w:eastAsia="Calibri" w:hAnsi="Arial" w:cs="Arial"/>
        </w:rPr>
        <w:t xml:space="preserve">Način identifikacije optimalnih lokacij za vzpostavitev polnilnih parkov bo dopolnjen kasneje. Pri iskanju lokacij, ki niso že določene oz. vzpostavljene kot so npr. urbana parkirišča za težka vozila, postaje JPP, javna parkirišča, itd. bodo optimalne lokacije vzpostavitve polnilne infrastrukture visoke moči določene na način kot bo izhajalo iz načrtovalskega orodja izvajalca GJS po 12. členu tega zakona. </w:t>
      </w:r>
    </w:p>
    <w:p w:rsidR="00B57491" w:rsidRPr="00B57491" w:rsidRDefault="00B57491" w:rsidP="00B57491">
      <w:pPr>
        <w:numPr>
          <w:ilvl w:val="0"/>
          <w:numId w:val="2"/>
        </w:numPr>
        <w:contextualSpacing/>
        <w:rPr>
          <w:rFonts w:ascii="Arial" w:eastAsia="Calibri" w:hAnsi="Arial" w:cs="Arial"/>
          <w:b/>
        </w:rPr>
      </w:pPr>
      <w:r w:rsidRPr="00B57491">
        <w:rPr>
          <w:rFonts w:ascii="Arial" w:eastAsia="Calibri" w:hAnsi="Arial" w:cs="Arial"/>
          <w:b/>
        </w:rPr>
        <w:t>Vnos podatkov iz lokalnih načrtov v digitalno platformo in spodbujanje investicij</w:t>
      </w:r>
    </w:p>
    <w:p w:rsidR="00B57491" w:rsidRPr="00B57491" w:rsidRDefault="00B57491" w:rsidP="00B57491">
      <w:pPr>
        <w:numPr>
          <w:ilvl w:val="0"/>
          <w:numId w:val="5"/>
        </w:numPr>
        <w:contextualSpacing/>
        <w:jc w:val="both"/>
        <w:rPr>
          <w:rFonts w:ascii="Arial" w:eastAsia="Calibri" w:hAnsi="Arial" w:cs="Arial"/>
        </w:rPr>
      </w:pPr>
      <w:r w:rsidRPr="00B57491">
        <w:rPr>
          <w:rFonts w:ascii="Arial" w:eastAsia="Calibri" w:hAnsi="Arial" w:cs="Arial"/>
        </w:rPr>
        <w:t>Podatki iz lokalnih načrtov za lokacije do 3 MW oz. tiste lokacije, ki jih ne upravlja izvajalec GJS, se za javno dostopno polnilno infrastrukturo vnesejo v digitalno platformo za spodbujanje investicij skladno s tehničnimi navodili izvajalca GJS iz 12. člena tega zakona. Podatki so na voljo zainteresiranim investitorjem, ki prične s postopki za ureditev polnilnega parka vključno s pridobivanjem zemljišč, ureditev električni priključkov ter drugih potrebnih postopkov, da se vzpostavijo pogoji za dejavnosti polnjenja na identificiranih lokacijah.</w:t>
      </w:r>
    </w:p>
    <w:p w:rsidR="00B57491" w:rsidRPr="00B57491" w:rsidRDefault="00B57491" w:rsidP="00B57491">
      <w:pPr>
        <w:numPr>
          <w:ilvl w:val="0"/>
          <w:numId w:val="5"/>
        </w:numPr>
        <w:contextualSpacing/>
        <w:jc w:val="both"/>
        <w:rPr>
          <w:rFonts w:ascii="Arial" w:eastAsia="Calibri" w:hAnsi="Arial" w:cs="Arial"/>
        </w:rPr>
      </w:pPr>
      <w:r w:rsidRPr="00B57491">
        <w:rPr>
          <w:rFonts w:ascii="Arial" w:eastAsia="Calibri" w:hAnsi="Arial" w:cs="Arial"/>
        </w:rPr>
        <w:t xml:space="preserve">Podatki iz lokalnih načrtov nad 3 MW so predmet urejanja izvajalca GJS, ki z njimi upravlja ter vzpostavi pogoje za investitorje in jih skladno z določili zakona dodeljuje v preglednem, </w:t>
      </w:r>
      <w:proofErr w:type="spellStart"/>
      <w:r w:rsidRPr="00B57491">
        <w:rPr>
          <w:rFonts w:ascii="Arial" w:eastAsia="Calibri" w:hAnsi="Arial" w:cs="Arial"/>
        </w:rPr>
        <w:t>nediskriminatornem</w:t>
      </w:r>
      <w:proofErr w:type="spellEnd"/>
      <w:r w:rsidRPr="00B57491">
        <w:rPr>
          <w:rFonts w:ascii="Arial" w:eastAsia="Calibri" w:hAnsi="Arial" w:cs="Arial"/>
        </w:rPr>
        <w:t xml:space="preserve"> in tržno zasnovanem postopku.</w:t>
      </w:r>
    </w:p>
    <w:p w:rsidR="00B57491" w:rsidRPr="00B57491" w:rsidRDefault="00B57491" w:rsidP="00B57491">
      <w:pPr>
        <w:numPr>
          <w:ilvl w:val="0"/>
          <w:numId w:val="5"/>
        </w:numPr>
        <w:contextualSpacing/>
        <w:jc w:val="both"/>
        <w:rPr>
          <w:rFonts w:ascii="Arial" w:eastAsia="Calibri" w:hAnsi="Arial" w:cs="Arial"/>
        </w:rPr>
      </w:pPr>
      <w:r w:rsidRPr="00B57491">
        <w:rPr>
          <w:rFonts w:ascii="Arial" w:eastAsia="Calibri" w:hAnsi="Arial" w:cs="Arial"/>
        </w:rPr>
        <w:t>Podatki za nejavno dostopno polnilno infrastrukturo identificirano v okviru priprave lokalnega načrta se v digitalno platformo vnesejo ob soglasju načrtovalca oz. uporabnika te infrastrukture (gospodarska vozila oz. upravljavci večjih flot, vozila za JPP oz. izvajalci GJS, itd.).</w:t>
      </w:r>
    </w:p>
    <w:p w:rsidR="00B57491" w:rsidRPr="00B57491" w:rsidRDefault="00B57491" w:rsidP="00B57491">
      <w:pPr>
        <w:numPr>
          <w:ilvl w:val="0"/>
          <w:numId w:val="5"/>
        </w:numPr>
        <w:contextualSpacing/>
        <w:jc w:val="both"/>
        <w:rPr>
          <w:rFonts w:ascii="Arial" w:eastAsia="Calibri" w:hAnsi="Arial" w:cs="Arial"/>
        </w:rPr>
      </w:pPr>
      <w:r w:rsidRPr="00B57491">
        <w:rPr>
          <w:rFonts w:ascii="Arial" w:eastAsia="Calibri" w:hAnsi="Arial" w:cs="Arial"/>
        </w:rPr>
        <w:t>Občina lahko za polnilne parke identificirane na javnih površinah, ki niso predmet urejanja izvajalca GJS, pripravi pakete lokacij in jih odda investitorjem ob upoštevanju 11. člena tega zakona.</w:t>
      </w:r>
    </w:p>
    <w:p w:rsidR="00B57491" w:rsidRPr="00B57491" w:rsidRDefault="00B57491" w:rsidP="00B57491">
      <w:pPr>
        <w:ind w:left="720"/>
        <w:contextualSpacing/>
        <w:jc w:val="both"/>
        <w:rPr>
          <w:rFonts w:ascii="Arial" w:eastAsia="Calibri" w:hAnsi="Arial" w:cs="Arial"/>
        </w:rPr>
      </w:pPr>
    </w:p>
    <w:p w:rsidR="00B57491" w:rsidRPr="00B57491" w:rsidRDefault="00B57491" w:rsidP="00B57491">
      <w:pPr>
        <w:numPr>
          <w:ilvl w:val="0"/>
          <w:numId w:val="2"/>
        </w:numPr>
        <w:contextualSpacing/>
        <w:rPr>
          <w:rFonts w:ascii="Arial" w:eastAsia="Calibri" w:hAnsi="Arial" w:cs="Arial"/>
          <w:b/>
        </w:rPr>
      </w:pPr>
      <w:r w:rsidRPr="00B57491">
        <w:rPr>
          <w:rFonts w:ascii="Arial" w:eastAsia="Calibri" w:hAnsi="Arial" w:cs="Arial"/>
          <w:b/>
        </w:rPr>
        <w:t>Ocena prispevka k zmanjšanju porabe fosilnih goriv in emisij v prometu ter povečanje rabe električne energije iz obnovljivih virov</w:t>
      </w:r>
    </w:p>
    <w:p w:rsidR="00B57491" w:rsidRPr="00B57491" w:rsidRDefault="00B57491" w:rsidP="00B57491">
      <w:pPr>
        <w:numPr>
          <w:ilvl w:val="0"/>
          <w:numId w:val="7"/>
        </w:numPr>
        <w:contextualSpacing/>
        <w:rPr>
          <w:rFonts w:ascii="Arial" w:eastAsia="Calibri" w:hAnsi="Arial" w:cs="Arial"/>
        </w:rPr>
      </w:pPr>
      <w:r w:rsidRPr="00B57491">
        <w:rPr>
          <w:rFonts w:ascii="Arial" w:eastAsia="Calibri" w:hAnsi="Arial" w:cs="Arial"/>
        </w:rPr>
        <w:lastRenderedPageBreak/>
        <w:t>Oceni se prispevek k zmanjšanju rabe fosilnih goriv v sektorju prometa glede na trenutno stanje strukture vozil registriranih v občini ter predvidene spremembe strukture voznega parka v smeri električnih vozil. Na osnovi spremembe strukture voznega parka se oceni zmanjšanje emisij.</w:t>
      </w:r>
    </w:p>
    <w:p w:rsidR="00B57491" w:rsidRPr="00B57491" w:rsidRDefault="00B57491" w:rsidP="00B57491">
      <w:pPr>
        <w:numPr>
          <w:ilvl w:val="0"/>
          <w:numId w:val="7"/>
        </w:numPr>
        <w:contextualSpacing/>
        <w:rPr>
          <w:rFonts w:ascii="Arial" w:eastAsia="Calibri" w:hAnsi="Arial" w:cs="Arial"/>
        </w:rPr>
      </w:pPr>
      <w:r w:rsidRPr="00B57491">
        <w:rPr>
          <w:rFonts w:ascii="Arial" w:eastAsia="Calibri" w:hAnsi="Arial" w:cs="Arial"/>
        </w:rPr>
        <w:t xml:space="preserve">Oceni se prispevek k povečanju električne energije iz obnovljivih virov glede na vzpostavitev namenske infrastrukture za izrabo </w:t>
      </w:r>
      <w:proofErr w:type="spellStart"/>
      <w:r w:rsidRPr="00B57491">
        <w:rPr>
          <w:rFonts w:ascii="Arial" w:eastAsia="Calibri" w:hAnsi="Arial" w:cs="Arial"/>
        </w:rPr>
        <w:t>prekinljivih</w:t>
      </w:r>
      <w:proofErr w:type="spellEnd"/>
      <w:r w:rsidRPr="00B57491">
        <w:rPr>
          <w:rFonts w:ascii="Arial" w:eastAsia="Calibri" w:hAnsi="Arial" w:cs="Arial"/>
        </w:rPr>
        <w:t xml:space="preserve"> obnovljivih virov.</w:t>
      </w:r>
    </w:p>
    <w:p w:rsidR="00B57491" w:rsidRPr="00B57491" w:rsidRDefault="00B57491" w:rsidP="00B57491">
      <w:pPr>
        <w:rPr>
          <w:rFonts w:ascii="Arial" w:eastAsia="Calibri" w:hAnsi="Arial" w:cs="Arial"/>
        </w:rPr>
      </w:pPr>
      <w:r w:rsidRPr="00B57491">
        <w:rPr>
          <w:rFonts w:ascii="Arial" w:eastAsia="Calibri" w:hAnsi="Arial" w:cs="Arial"/>
        </w:rPr>
        <w:t>Ocena se opravi v skladu z zahtevami Pravilnika o metodologiji in obvezni vsebini lokalnega energetskega koncepta. Podrobnejša vsebina bo določena kasneje.</w:t>
      </w:r>
    </w:p>
    <w:p w:rsidR="00B57491" w:rsidRPr="00B57491" w:rsidRDefault="00B57491" w:rsidP="00B57491">
      <w:pPr>
        <w:spacing w:after="0" w:line="260" w:lineRule="exact"/>
        <w:jc w:val="both"/>
        <w:rPr>
          <w:rFonts w:ascii="Arial" w:eastAsia="Times New Roman" w:hAnsi="Arial" w:cs="Arial"/>
          <w:b/>
        </w:rPr>
      </w:pPr>
      <w:r w:rsidRPr="00B57491">
        <w:rPr>
          <w:rFonts w:ascii="Arial" w:eastAsia="Times New Roman" w:hAnsi="Arial" w:cs="Arial"/>
          <w:b/>
        </w:rPr>
        <w:t>ZAČETEK VELJAVNOSTI</w:t>
      </w:r>
    </w:p>
    <w:p w:rsidR="00B57491" w:rsidRPr="00B57491" w:rsidRDefault="00B57491" w:rsidP="00B57491">
      <w:pPr>
        <w:tabs>
          <w:tab w:val="left" w:pos="567"/>
        </w:tabs>
        <w:spacing w:after="0" w:line="260" w:lineRule="exact"/>
        <w:jc w:val="both"/>
        <w:rPr>
          <w:rFonts w:ascii="Arial" w:eastAsia="Times New Roman" w:hAnsi="Arial" w:cs="Arial"/>
        </w:rPr>
      </w:pPr>
    </w:p>
    <w:p w:rsidR="00B57491" w:rsidRPr="00B57491" w:rsidRDefault="00B57491" w:rsidP="00B57491">
      <w:pPr>
        <w:tabs>
          <w:tab w:val="left" w:pos="567"/>
        </w:tabs>
        <w:spacing w:after="0" w:line="260" w:lineRule="exact"/>
        <w:jc w:val="both"/>
        <w:rPr>
          <w:rFonts w:ascii="Arial" w:eastAsia="Times New Roman" w:hAnsi="Arial" w:cs="Arial"/>
        </w:rPr>
      </w:pPr>
      <w:r w:rsidRPr="00B57491">
        <w:rPr>
          <w:rFonts w:ascii="Arial" w:eastAsia="Times New Roman" w:hAnsi="Arial" w:cs="Arial"/>
        </w:rPr>
        <w:t>Ta pravilnik začne veljat petnajsti dan po objavi v Uradnem listu Republike Slovenije.</w:t>
      </w:r>
    </w:p>
    <w:p w:rsidR="00B57491" w:rsidRPr="00B57491" w:rsidRDefault="00B57491" w:rsidP="00B57491">
      <w:pPr>
        <w:tabs>
          <w:tab w:val="left" w:pos="708"/>
        </w:tabs>
        <w:spacing w:after="0" w:line="260" w:lineRule="exact"/>
        <w:rPr>
          <w:rFonts w:ascii="Arial" w:eastAsia="Times New Roman" w:hAnsi="Arial" w:cs="Arial"/>
          <w:b/>
        </w:rPr>
      </w:pPr>
    </w:p>
    <w:p w:rsidR="00B57491" w:rsidRPr="00B57491" w:rsidRDefault="00B57491" w:rsidP="00B57491">
      <w:pPr>
        <w:tabs>
          <w:tab w:val="left" w:pos="708"/>
        </w:tabs>
        <w:spacing w:after="0" w:line="260" w:lineRule="exact"/>
        <w:rPr>
          <w:rFonts w:ascii="Arial" w:eastAsia="Times New Roman" w:hAnsi="Arial" w:cs="Arial"/>
          <w:b/>
        </w:rPr>
      </w:pPr>
    </w:p>
    <w:p w:rsidR="00B57491" w:rsidRPr="00B57491" w:rsidRDefault="00B57491" w:rsidP="00B57491">
      <w:pPr>
        <w:tabs>
          <w:tab w:val="left" w:pos="708"/>
        </w:tabs>
        <w:spacing w:after="0" w:line="260" w:lineRule="exact"/>
        <w:rPr>
          <w:rFonts w:ascii="Arial" w:eastAsia="Times New Roman" w:hAnsi="Arial" w:cs="Arial"/>
          <w:b/>
        </w:rPr>
      </w:pPr>
      <w:r w:rsidRPr="00B57491">
        <w:rPr>
          <w:rFonts w:ascii="Arial" w:eastAsia="Times New Roman" w:hAnsi="Arial" w:cs="Arial"/>
          <w:b/>
        </w:rPr>
        <w:t>IV.   PRILOGE</w:t>
      </w:r>
    </w:p>
    <w:p w:rsidR="00B57491" w:rsidRPr="00B57491" w:rsidRDefault="00B57491" w:rsidP="00B57491">
      <w:pPr>
        <w:tabs>
          <w:tab w:val="left" w:pos="708"/>
        </w:tabs>
        <w:spacing w:after="0" w:line="260" w:lineRule="exact"/>
        <w:rPr>
          <w:rFonts w:ascii="Arial" w:eastAsia="Times New Roman" w:hAnsi="Arial" w:cs="Arial"/>
        </w:rPr>
      </w:pPr>
    </w:p>
    <w:p w:rsidR="00B57491" w:rsidRPr="00B57491" w:rsidRDefault="00B57491" w:rsidP="00B57491">
      <w:pPr>
        <w:tabs>
          <w:tab w:val="left" w:pos="708"/>
        </w:tabs>
        <w:spacing w:after="0" w:line="260" w:lineRule="exact"/>
        <w:rPr>
          <w:rFonts w:ascii="Arial" w:eastAsia="Calibri" w:hAnsi="Arial" w:cs="Arial"/>
          <w:color w:val="000000"/>
          <w:shd w:val="clear" w:color="auto" w:fill="FFFFFF"/>
        </w:rPr>
      </w:pPr>
      <w:r w:rsidRPr="00B57491">
        <w:rPr>
          <w:rFonts w:ascii="Arial" w:eastAsia="Times New Roman" w:hAnsi="Arial" w:cs="Arial"/>
        </w:rPr>
        <w:t xml:space="preserve">Priloga podzakonskega </w:t>
      </w:r>
      <w:r w:rsidRPr="00B57491">
        <w:rPr>
          <w:rFonts w:ascii="Arial" w:eastAsia="Calibri" w:hAnsi="Arial" w:cs="Arial"/>
          <w:color w:val="000000"/>
          <w:shd w:val="clear" w:color="auto" w:fill="FFFFFF"/>
        </w:rPr>
        <w:t>akta bo informacijski priročnik, ki vsebuje podrobnejše napotke za izdelavo lokalnega načrta za električno polnilno infrastrukturo.</w:t>
      </w: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r w:rsidRPr="00B57491">
        <w:rPr>
          <w:rFonts w:ascii="Arial" w:eastAsia="Calibri" w:hAnsi="Arial" w:cs="Arial"/>
          <w:b/>
        </w:rPr>
        <w:t>PREDLOG</w:t>
      </w:r>
    </w:p>
    <w:p w:rsidR="00B57491" w:rsidRPr="00B57491" w:rsidRDefault="00B57491" w:rsidP="00B57491">
      <w:pPr>
        <w:jc w:val="both"/>
        <w:rPr>
          <w:rFonts w:ascii="Arial" w:eastAsia="Calibri" w:hAnsi="Arial" w:cs="Arial"/>
        </w:rPr>
      </w:pPr>
      <w:r w:rsidRPr="00B57491">
        <w:rPr>
          <w:rFonts w:ascii="Arial" w:eastAsia="Calibri" w:hAnsi="Arial" w:cs="Arial"/>
        </w:rPr>
        <w:t>Na podlagi osmega odstavka 12. člena Zakona o infrastrukturi za alternativna goriva in spodbujanju prehoda na alternativna goriva v prometu (Uradni list RS, št. …) minister za prometno politiko, izdaja</w:t>
      </w:r>
    </w:p>
    <w:p w:rsidR="00B57491" w:rsidRPr="00B57491" w:rsidRDefault="00B57491" w:rsidP="00B57491">
      <w:pPr>
        <w:jc w:val="center"/>
        <w:rPr>
          <w:rFonts w:ascii="Arial" w:eastAsia="Calibri" w:hAnsi="Arial" w:cs="Arial"/>
          <w:b/>
        </w:rPr>
      </w:pPr>
    </w:p>
    <w:p w:rsidR="00B57491" w:rsidRPr="00B57491" w:rsidRDefault="00B57491" w:rsidP="00B57491">
      <w:pPr>
        <w:jc w:val="center"/>
        <w:rPr>
          <w:rFonts w:ascii="Arial" w:eastAsia="Calibri" w:hAnsi="Arial" w:cs="Arial"/>
          <w:b/>
        </w:rPr>
      </w:pPr>
      <w:r w:rsidRPr="00B57491">
        <w:rPr>
          <w:rFonts w:ascii="Arial" w:eastAsia="Calibri" w:hAnsi="Arial" w:cs="Arial"/>
          <w:b/>
        </w:rPr>
        <w:t>UREDBO O NAČINU IZVAJANJA GOSPODARSKE JAVNE SLUŽBE ZAGOTAVLJANJA IN UPRAVLJANJA PODPORNE INFRASTRUKTURE TER PRIKLJUČNIH ZMOGLJIVOSTI NA POLNILNIH PARKIH VISOKIH MOČI ZA HITRO POLNJENE SKUPNE IZHODNE MOČI VSAJ 3 MW</w:t>
      </w: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rPr>
      </w:pPr>
      <w:r w:rsidRPr="00B57491">
        <w:rPr>
          <w:rFonts w:ascii="Arial" w:eastAsia="Calibri" w:hAnsi="Arial" w:cs="Arial"/>
        </w:rPr>
        <w:t>I.</w:t>
      </w:r>
      <w:r w:rsidRPr="00B57491">
        <w:rPr>
          <w:rFonts w:ascii="Arial" w:eastAsia="Calibri" w:hAnsi="Arial" w:cs="Arial"/>
        </w:rPr>
        <w:tab/>
        <w:t>PREDMET UREJANJA (VSEBINA AKTA)</w:t>
      </w:r>
    </w:p>
    <w:p w:rsidR="00B57491" w:rsidRPr="00B57491" w:rsidRDefault="00B57491" w:rsidP="00B57491">
      <w:pPr>
        <w:shd w:val="clear" w:color="auto" w:fill="FFFFFF"/>
        <w:spacing w:before="240" w:after="0" w:line="240" w:lineRule="auto"/>
        <w:jc w:val="both"/>
        <w:rPr>
          <w:rFonts w:ascii="Arial" w:eastAsia="Times New Roman" w:hAnsi="Arial" w:cs="Arial"/>
          <w:lang w:eastAsia="sl-SI"/>
        </w:rPr>
      </w:pPr>
      <w:r w:rsidRPr="00B57491">
        <w:rPr>
          <w:rFonts w:ascii="Arial" w:eastAsia="Times New Roman" w:hAnsi="Arial" w:cs="Arial"/>
          <w:lang w:eastAsia="sl-SI"/>
        </w:rPr>
        <w:t>Ta uredba ureja način izvajanja gospodarske javne službe zagotavljanja in upravljanja podporne infrastrukture ter priključnih zmogljivosti na polnilnih parkih visokih moči za hitro polnjene skupne izhodne moči vsaj 3 MW s tem, da določa:</w:t>
      </w:r>
    </w:p>
    <w:p w:rsidR="00B57491" w:rsidRPr="00B57491" w:rsidRDefault="00B57491" w:rsidP="00B57491">
      <w:pPr>
        <w:shd w:val="clear" w:color="auto" w:fill="FFFFFF"/>
        <w:spacing w:after="0" w:line="240" w:lineRule="auto"/>
        <w:ind w:left="425" w:hanging="425"/>
        <w:jc w:val="both"/>
        <w:rPr>
          <w:rFonts w:ascii="Arial" w:eastAsia="Times New Roman" w:hAnsi="Arial" w:cs="Arial"/>
          <w:lang w:eastAsia="sl-SI"/>
        </w:rPr>
      </w:pPr>
      <w:r w:rsidRPr="00B57491">
        <w:rPr>
          <w:rFonts w:ascii="Arial" w:eastAsia="Times New Roman" w:hAnsi="Arial" w:cs="Arial"/>
          <w:lang w:eastAsia="sl-SI"/>
        </w:rPr>
        <w:t>-</w:t>
      </w:r>
      <w:r w:rsidRPr="00B57491">
        <w:rPr>
          <w:rFonts w:ascii="Times New Roman" w:eastAsia="Times New Roman" w:hAnsi="Times New Roman" w:cs="Times New Roman"/>
          <w:sz w:val="14"/>
          <w:szCs w:val="14"/>
          <w:lang w:eastAsia="sl-SI"/>
        </w:rPr>
        <w:t xml:space="preserve">    </w:t>
      </w:r>
      <w:r w:rsidRPr="00B57491">
        <w:rPr>
          <w:rFonts w:ascii="Arial" w:eastAsia="Times New Roman" w:hAnsi="Arial" w:cs="Arial"/>
          <w:lang w:eastAsia="sl-SI"/>
        </w:rPr>
        <w:t>organizacijsko zasnovo izvajanja gospodarske javne službe;</w:t>
      </w:r>
    </w:p>
    <w:p w:rsidR="00B57491" w:rsidRPr="00B57491" w:rsidRDefault="00B57491" w:rsidP="00B57491">
      <w:pPr>
        <w:shd w:val="clear" w:color="auto" w:fill="FFFFFF"/>
        <w:spacing w:after="0" w:line="240" w:lineRule="auto"/>
        <w:ind w:left="425" w:hanging="425"/>
        <w:jc w:val="both"/>
        <w:rPr>
          <w:rFonts w:ascii="Arial" w:eastAsia="Times New Roman" w:hAnsi="Arial" w:cs="Arial"/>
          <w:lang w:eastAsia="sl-SI"/>
        </w:rPr>
      </w:pPr>
      <w:r w:rsidRPr="00B57491">
        <w:rPr>
          <w:rFonts w:ascii="Arial" w:eastAsia="Times New Roman" w:hAnsi="Arial" w:cs="Arial"/>
          <w:lang w:eastAsia="sl-SI"/>
        </w:rPr>
        <w:t>-</w:t>
      </w:r>
      <w:r w:rsidRPr="00B57491">
        <w:rPr>
          <w:rFonts w:ascii="Times New Roman" w:eastAsia="Times New Roman" w:hAnsi="Times New Roman" w:cs="Times New Roman"/>
          <w:sz w:val="14"/>
          <w:szCs w:val="14"/>
          <w:lang w:eastAsia="sl-SI"/>
        </w:rPr>
        <w:t xml:space="preserve">    </w:t>
      </w:r>
      <w:r w:rsidRPr="00B57491">
        <w:rPr>
          <w:rFonts w:ascii="Arial" w:eastAsia="Times New Roman" w:hAnsi="Arial" w:cs="Arial"/>
          <w:lang w:eastAsia="sl-SI"/>
        </w:rPr>
        <w:t xml:space="preserve">naloge, pravice in obveznosti izvajalca gospodarske javne službe </w:t>
      </w:r>
    </w:p>
    <w:p w:rsidR="00B57491" w:rsidRPr="00B57491" w:rsidRDefault="00B57491" w:rsidP="00B57491">
      <w:pPr>
        <w:shd w:val="clear" w:color="auto" w:fill="FFFFFF"/>
        <w:spacing w:after="0" w:line="240" w:lineRule="auto"/>
        <w:ind w:left="425" w:hanging="425"/>
        <w:jc w:val="both"/>
        <w:rPr>
          <w:rFonts w:ascii="Arial" w:eastAsia="Times New Roman" w:hAnsi="Arial" w:cs="Arial"/>
          <w:lang w:eastAsia="sl-SI"/>
        </w:rPr>
      </w:pPr>
      <w:r w:rsidRPr="00B57491">
        <w:rPr>
          <w:rFonts w:ascii="Arial" w:eastAsia="Times New Roman" w:hAnsi="Arial" w:cs="Arial"/>
          <w:lang w:eastAsia="sl-SI"/>
        </w:rPr>
        <w:t>-</w:t>
      </w:r>
      <w:r w:rsidRPr="00B57491">
        <w:rPr>
          <w:rFonts w:ascii="Times New Roman" w:eastAsia="Times New Roman" w:hAnsi="Times New Roman" w:cs="Times New Roman"/>
          <w:sz w:val="14"/>
          <w:szCs w:val="14"/>
          <w:lang w:eastAsia="sl-SI"/>
        </w:rPr>
        <w:t xml:space="preserve">    </w:t>
      </w:r>
      <w:r w:rsidRPr="00B57491">
        <w:rPr>
          <w:rFonts w:ascii="Arial" w:eastAsia="Times New Roman" w:hAnsi="Arial" w:cs="Arial"/>
          <w:lang w:eastAsia="sl-SI"/>
        </w:rPr>
        <w:t>način in pogoje zagotavljanja posameznih nalog, ki sestavljajo gospodarsko javno službo;</w:t>
      </w:r>
    </w:p>
    <w:p w:rsidR="00B57491" w:rsidRPr="00B57491" w:rsidRDefault="00B57491" w:rsidP="00B57491">
      <w:pPr>
        <w:shd w:val="clear" w:color="auto" w:fill="FFFFFF"/>
        <w:spacing w:after="0" w:line="240" w:lineRule="auto"/>
        <w:ind w:left="425" w:hanging="425"/>
        <w:jc w:val="both"/>
        <w:rPr>
          <w:rFonts w:ascii="Arial" w:eastAsia="Times New Roman" w:hAnsi="Arial" w:cs="Arial"/>
          <w:lang w:eastAsia="sl-SI"/>
        </w:rPr>
      </w:pPr>
      <w:r w:rsidRPr="00B57491">
        <w:rPr>
          <w:rFonts w:ascii="Arial" w:eastAsia="Times New Roman" w:hAnsi="Arial" w:cs="Arial"/>
          <w:lang w:eastAsia="sl-SI"/>
        </w:rPr>
        <w:t>-</w:t>
      </w:r>
      <w:r w:rsidRPr="00B57491">
        <w:rPr>
          <w:rFonts w:ascii="Times New Roman" w:eastAsia="Times New Roman" w:hAnsi="Times New Roman" w:cs="Times New Roman"/>
          <w:sz w:val="14"/>
          <w:szCs w:val="14"/>
          <w:lang w:eastAsia="sl-SI"/>
        </w:rPr>
        <w:t xml:space="preserve">    </w:t>
      </w:r>
      <w:r w:rsidRPr="00B57491">
        <w:rPr>
          <w:rFonts w:ascii="Arial" w:eastAsia="Times New Roman" w:hAnsi="Arial" w:cs="Arial"/>
          <w:lang w:eastAsia="sl-SI"/>
        </w:rPr>
        <w:t>način financiranja gospodarske javne službe.</w:t>
      </w: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rPr>
      </w:pPr>
      <w:r w:rsidRPr="00B57491">
        <w:rPr>
          <w:rFonts w:ascii="Arial" w:eastAsia="Calibri" w:hAnsi="Arial" w:cs="Arial"/>
        </w:rPr>
        <w:t>Ta uredba je tudi koncesijski akt za izvajanje gospodarske javne službe, s katerim se določijo predmet in pogoji za podelitev koncesije za izvajanje gospodarske javne službe.</w:t>
      </w:r>
    </w:p>
    <w:p w:rsidR="00B57491" w:rsidRPr="00B57491" w:rsidRDefault="00B57491" w:rsidP="00B57491">
      <w:pPr>
        <w:rPr>
          <w:rFonts w:ascii="Arial" w:eastAsia="Calibri" w:hAnsi="Arial" w:cs="Arial"/>
        </w:rPr>
      </w:pPr>
      <w:r w:rsidRPr="00B57491">
        <w:rPr>
          <w:rFonts w:ascii="Arial" w:eastAsia="Calibri" w:hAnsi="Arial" w:cs="Arial"/>
        </w:rPr>
        <w:t>II.</w:t>
      </w:r>
      <w:r w:rsidRPr="00B57491">
        <w:rPr>
          <w:rFonts w:ascii="Arial" w:eastAsia="Calibri" w:hAnsi="Arial" w:cs="Arial"/>
        </w:rPr>
        <w:tab/>
        <w:t>PREDSTAVITEV PO VSEBINSKIH SKLOPIH (ZA VSAK VSEBINSKI SKLOP POSEBEJ)</w:t>
      </w:r>
    </w:p>
    <w:p w:rsidR="00B57491" w:rsidRPr="00B57491" w:rsidRDefault="00B57491" w:rsidP="00B57491">
      <w:pPr>
        <w:numPr>
          <w:ilvl w:val="0"/>
          <w:numId w:val="10"/>
        </w:numPr>
        <w:contextualSpacing/>
        <w:rPr>
          <w:rFonts w:ascii="Arial" w:eastAsia="Calibri" w:hAnsi="Arial" w:cs="Arial"/>
        </w:rPr>
      </w:pPr>
      <w:r w:rsidRPr="00B57491">
        <w:rPr>
          <w:rFonts w:ascii="Arial" w:eastAsia="Calibri" w:hAnsi="Arial" w:cs="Arial"/>
        </w:rPr>
        <w:t>Naloge, pravice in obveznosti izvajalca gospodarske javne službe:</w:t>
      </w:r>
    </w:p>
    <w:p w:rsidR="00B57491" w:rsidRPr="00B57491" w:rsidRDefault="00B57491" w:rsidP="00B57491">
      <w:pPr>
        <w:numPr>
          <w:ilvl w:val="0"/>
          <w:numId w:val="11"/>
        </w:numPr>
        <w:contextualSpacing/>
        <w:rPr>
          <w:rFonts w:ascii="Arial" w:eastAsia="Calibri" w:hAnsi="Arial" w:cs="Arial"/>
        </w:rPr>
      </w:pPr>
      <w:r w:rsidRPr="00B57491">
        <w:rPr>
          <w:rFonts w:ascii="Arial" w:eastAsia="Calibri" w:hAnsi="Arial" w:cs="Arial"/>
        </w:rPr>
        <w:t>koncesija,</w:t>
      </w:r>
    </w:p>
    <w:p w:rsidR="00B57491" w:rsidRPr="00B57491" w:rsidRDefault="00B57491" w:rsidP="00B57491">
      <w:pPr>
        <w:numPr>
          <w:ilvl w:val="0"/>
          <w:numId w:val="11"/>
        </w:numPr>
        <w:contextualSpacing/>
        <w:rPr>
          <w:rFonts w:ascii="Arial" w:eastAsia="Calibri" w:hAnsi="Arial" w:cs="Arial"/>
        </w:rPr>
      </w:pPr>
      <w:r w:rsidRPr="00B57491">
        <w:rPr>
          <w:rFonts w:ascii="Arial" w:eastAsia="Calibri" w:hAnsi="Arial" w:cs="Arial"/>
        </w:rPr>
        <w:lastRenderedPageBreak/>
        <w:t>naloge izvajalca gospodarske javne službe,</w:t>
      </w:r>
    </w:p>
    <w:p w:rsidR="00B57491" w:rsidRPr="00B57491" w:rsidRDefault="00B57491" w:rsidP="00B57491">
      <w:pPr>
        <w:numPr>
          <w:ilvl w:val="0"/>
          <w:numId w:val="11"/>
        </w:numPr>
        <w:contextualSpacing/>
        <w:rPr>
          <w:rFonts w:ascii="Arial" w:eastAsia="Calibri" w:hAnsi="Arial" w:cs="Arial"/>
        </w:rPr>
      </w:pPr>
      <w:r w:rsidRPr="00B57491">
        <w:rPr>
          <w:rFonts w:ascii="Arial" w:eastAsia="Calibri" w:hAnsi="Arial" w:cs="Arial"/>
        </w:rPr>
        <w:t>način opravljanja nalog.</w:t>
      </w:r>
    </w:p>
    <w:p w:rsidR="00B57491" w:rsidRPr="00B57491" w:rsidRDefault="00B57491" w:rsidP="00B57491">
      <w:pPr>
        <w:ind w:left="720"/>
        <w:contextualSpacing/>
        <w:rPr>
          <w:rFonts w:ascii="Arial" w:eastAsia="Calibri" w:hAnsi="Arial" w:cs="Arial"/>
        </w:rPr>
      </w:pPr>
    </w:p>
    <w:p w:rsidR="00B57491" w:rsidRPr="00B57491" w:rsidRDefault="00B57491" w:rsidP="00B57491">
      <w:pPr>
        <w:numPr>
          <w:ilvl w:val="0"/>
          <w:numId w:val="10"/>
        </w:numPr>
        <w:contextualSpacing/>
        <w:rPr>
          <w:rFonts w:ascii="Arial" w:eastAsia="Calibri" w:hAnsi="Arial" w:cs="Arial"/>
        </w:rPr>
      </w:pPr>
      <w:r w:rsidRPr="00B57491">
        <w:rPr>
          <w:rFonts w:ascii="Arial" w:eastAsia="Calibri" w:hAnsi="Arial" w:cs="Arial"/>
          <w:color w:val="000000"/>
          <w:shd w:val="clear" w:color="auto" w:fill="FFFFFF"/>
        </w:rPr>
        <w:t>PREDMET IN POGOJI ZA PODELITEV KONCESIJE ZA IZVAJANJE GOSPODARSKE JAVNE SLUŽBE:</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podelitev koncesije,</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trajanje koncesije,</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pogoji, ki jih mora izpolnjevati koncesionar,</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splošni pogoji za izvajanje gospodarske javne službe,</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odgovornost koncesionarja,</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podizvajalci,</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opravljanje drugih dejavnosti,</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prenehanje koncesijskega razmerja,</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prenehanje koncesijske pogodbe,</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bCs/>
          <w:color w:val="000000"/>
          <w:shd w:val="clear" w:color="auto" w:fill="FFFFFF"/>
        </w:rPr>
        <w:t>odvzem koncesije,</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plačila koncesionarja,</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infrastruktura,</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poročanje,</w:t>
      </w:r>
    </w:p>
    <w:p w:rsidR="00B57491" w:rsidRPr="00B57491" w:rsidRDefault="00B57491" w:rsidP="00B57491">
      <w:pPr>
        <w:numPr>
          <w:ilvl w:val="0"/>
          <w:numId w:val="12"/>
        </w:numPr>
        <w:contextualSpacing/>
        <w:rPr>
          <w:rFonts w:ascii="Arial" w:eastAsia="Calibri" w:hAnsi="Arial" w:cs="Arial"/>
        </w:rPr>
      </w:pPr>
      <w:r w:rsidRPr="00B57491">
        <w:rPr>
          <w:rFonts w:ascii="Arial" w:eastAsia="Calibri" w:hAnsi="Arial" w:cs="Arial"/>
        </w:rPr>
        <w:t>nadzor nad izvajanjem koncesije.</w:t>
      </w:r>
    </w:p>
    <w:p w:rsidR="00B57491" w:rsidRPr="00B57491" w:rsidRDefault="00B57491" w:rsidP="00B57491">
      <w:pPr>
        <w:ind w:left="720"/>
        <w:contextualSpacing/>
        <w:rPr>
          <w:rFonts w:ascii="Arial" w:eastAsia="Calibri" w:hAnsi="Arial" w:cs="Arial"/>
        </w:rPr>
      </w:pPr>
    </w:p>
    <w:p w:rsidR="00B57491" w:rsidRPr="00B57491" w:rsidRDefault="00B57491" w:rsidP="00B57491">
      <w:pPr>
        <w:numPr>
          <w:ilvl w:val="0"/>
          <w:numId w:val="10"/>
        </w:numPr>
        <w:contextualSpacing/>
        <w:rPr>
          <w:rFonts w:ascii="Arial" w:eastAsia="Calibri" w:hAnsi="Arial" w:cs="Arial"/>
        </w:rPr>
      </w:pPr>
      <w:r w:rsidRPr="00B57491">
        <w:rPr>
          <w:rFonts w:ascii="Arial" w:eastAsia="Calibri" w:hAnsi="Arial" w:cs="Arial"/>
          <w:color w:val="000000"/>
          <w:shd w:val="clear" w:color="auto" w:fill="FFFFFF"/>
        </w:rPr>
        <w:t>FINANCIRANJE GOSPODARSKE JAVNE SLUŽBE:</w:t>
      </w:r>
    </w:p>
    <w:p w:rsidR="00B57491" w:rsidRPr="00B57491" w:rsidRDefault="00B57491" w:rsidP="00B57491">
      <w:pPr>
        <w:numPr>
          <w:ilvl w:val="0"/>
          <w:numId w:val="13"/>
        </w:numPr>
        <w:contextualSpacing/>
        <w:rPr>
          <w:rFonts w:ascii="Arial" w:eastAsia="Calibri" w:hAnsi="Arial" w:cs="Arial"/>
        </w:rPr>
      </w:pPr>
      <w:r w:rsidRPr="00B57491">
        <w:rPr>
          <w:rFonts w:ascii="Arial" w:eastAsia="Calibri" w:hAnsi="Arial" w:cs="Arial"/>
        </w:rPr>
        <w:t>letna dajatev za uporabo vozil v cestnem prometu ter določitev višine letne dajatve za delovanje GJS,</w:t>
      </w:r>
    </w:p>
    <w:p w:rsidR="00B57491" w:rsidRPr="00B57491" w:rsidRDefault="00B57491" w:rsidP="00B57491">
      <w:pPr>
        <w:numPr>
          <w:ilvl w:val="0"/>
          <w:numId w:val="13"/>
        </w:numPr>
        <w:contextualSpacing/>
        <w:rPr>
          <w:rFonts w:ascii="Arial" w:eastAsia="Calibri" w:hAnsi="Arial" w:cs="Arial"/>
        </w:rPr>
      </w:pPr>
      <w:r w:rsidRPr="00B57491">
        <w:rPr>
          <w:rFonts w:ascii="Arial" w:eastAsia="Calibri" w:hAnsi="Arial" w:cs="Arial"/>
        </w:rPr>
        <w:t>plačila za zakup priključne zmogljivosti polnilnega parka,</w:t>
      </w:r>
    </w:p>
    <w:p w:rsidR="00B57491" w:rsidRPr="00B57491" w:rsidRDefault="00B57491" w:rsidP="00B57491">
      <w:pPr>
        <w:numPr>
          <w:ilvl w:val="0"/>
          <w:numId w:val="13"/>
        </w:numPr>
        <w:contextualSpacing/>
        <w:rPr>
          <w:rFonts w:ascii="Arial" w:eastAsia="Calibri" w:hAnsi="Arial" w:cs="Arial"/>
        </w:rPr>
      </w:pPr>
      <w:r w:rsidRPr="00B57491">
        <w:rPr>
          <w:rFonts w:ascii="Arial" w:eastAsia="Calibri" w:hAnsi="Arial" w:cs="Arial"/>
        </w:rPr>
        <w:t>druga plačila in viri financiranja.</w:t>
      </w:r>
    </w:p>
    <w:p w:rsidR="00B57491" w:rsidRPr="00B57491" w:rsidRDefault="00B57491" w:rsidP="00B57491">
      <w:pPr>
        <w:ind w:left="360"/>
        <w:rPr>
          <w:rFonts w:ascii="Arial" w:eastAsia="Calibri" w:hAnsi="Arial" w:cs="Arial"/>
        </w:rPr>
      </w:pPr>
    </w:p>
    <w:p w:rsidR="00B57491" w:rsidRPr="00B57491" w:rsidRDefault="00B57491" w:rsidP="00B57491">
      <w:pPr>
        <w:ind w:left="360"/>
        <w:rPr>
          <w:rFonts w:ascii="Arial" w:eastAsia="Calibri" w:hAnsi="Arial" w:cs="Arial"/>
        </w:rPr>
      </w:pPr>
      <w:r w:rsidRPr="00B57491">
        <w:rPr>
          <w:rFonts w:ascii="Arial" w:eastAsia="Calibri" w:hAnsi="Arial" w:cs="Arial"/>
        </w:rPr>
        <w:t>III.</w:t>
      </w:r>
      <w:r w:rsidRPr="00B57491">
        <w:rPr>
          <w:rFonts w:ascii="Arial" w:eastAsia="Calibri" w:hAnsi="Arial" w:cs="Arial"/>
        </w:rPr>
        <w:tab/>
        <w:t>ZAČETEK VELJAVNOSTI</w:t>
      </w:r>
    </w:p>
    <w:p w:rsidR="00B57491" w:rsidRPr="00B57491" w:rsidRDefault="00B57491" w:rsidP="00B57491">
      <w:pPr>
        <w:rPr>
          <w:rFonts w:ascii="Arial" w:eastAsia="Calibri" w:hAnsi="Arial" w:cs="Arial"/>
        </w:rPr>
      </w:pPr>
      <w:r w:rsidRPr="00B57491">
        <w:rPr>
          <w:rFonts w:ascii="Arial" w:eastAsia="Calibri" w:hAnsi="Arial" w:cs="Arial"/>
        </w:rPr>
        <w:t>Ta uredba začne veljat petnajsti dan po objavi v Uradnem listu Republike Slovenije.</w:t>
      </w: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rPr>
          <w:rFonts w:ascii="Arial" w:eastAsia="Calibri" w:hAnsi="Arial" w:cs="Arial"/>
          <w:b/>
        </w:rPr>
      </w:pPr>
      <w:r w:rsidRPr="00B57491">
        <w:rPr>
          <w:rFonts w:ascii="Arial" w:eastAsia="Calibri" w:hAnsi="Arial" w:cs="Arial"/>
          <w:b/>
        </w:rPr>
        <w:t>PREDLOG</w:t>
      </w:r>
    </w:p>
    <w:p w:rsidR="00B57491" w:rsidRPr="00B57491" w:rsidRDefault="00B57491" w:rsidP="00B57491">
      <w:pPr>
        <w:rPr>
          <w:rFonts w:ascii="Arial" w:eastAsia="Calibri" w:hAnsi="Arial" w:cs="Arial"/>
        </w:rPr>
      </w:pPr>
    </w:p>
    <w:p w:rsidR="00B57491" w:rsidRPr="00B57491" w:rsidRDefault="00B57491" w:rsidP="00B57491">
      <w:pPr>
        <w:jc w:val="both"/>
        <w:rPr>
          <w:rFonts w:ascii="Arial" w:eastAsia="Calibri" w:hAnsi="Arial" w:cs="Arial"/>
        </w:rPr>
      </w:pPr>
      <w:r w:rsidRPr="00B57491">
        <w:rPr>
          <w:rFonts w:ascii="Arial" w:eastAsia="Calibri" w:hAnsi="Arial" w:cs="Arial"/>
        </w:rPr>
        <w:t>Na podlagi tretjega odstavka 30. člena Zakona o infrastrukturi za alternativna goriva in spodbujanju prehoda na alternativna goriva v prometu (Uradni list RS, št. …) minister za prometno politiko, izdaja</w:t>
      </w:r>
    </w:p>
    <w:p w:rsidR="00B57491" w:rsidRPr="00B57491" w:rsidRDefault="00B57491" w:rsidP="00B57491">
      <w:pPr>
        <w:jc w:val="both"/>
        <w:rPr>
          <w:rFonts w:ascii="Arial" w:eastAsia="Calibri" w:hAnsi="Arial" w:cs="Arial"/>
        </w:rPr>
      </w:pPr>
    </w:p>
    <w:p w:rsidR="00B57491" w:rsidRPr="00B57491" w:rsidRDefault="00B57491" w:rsidP="00B57491">
      <w:pPr>
        <w:jc w:val="center"/>
        <w:rPr>
          <w:rFonts w:ascii="Arial" w:eastAsia="Calibri" w:hAnsi="Arial" w:cs="Arial"/>
        </w:rPr>
      </w:pPr>
      <w:r w:rsidRPr="00B57491">
        <w:rPr>
          <w:rFonts w:ascii="Arial" w:eastAsia="Calibri" w:hAnsi="Arial" w:cs="Arial"/>
          <w:b/>
        </w:rPr>
        <w:t xml:space="preserve">PRAVILNIK O </w:t>
      </w:r>
      <w:r w:rsidRPr="00B57491">
        <w:rPr>
          <w:rFonts w:ascii="Arial" w:eastAsia="Calibri" w:hAnsi="Arial" w:cs="Arial"/>
          <w:b/>
          <w:color w:val="000000"/>
          <w:shd w:val="clear" w:color="auto" w:fill="FFFFFF"/>
        </w:rPr>
        <w:t xml:space="preserve">TEHNIČNIH ZAHTEVAH ZA VZPOSTAVITEV, DELOVANJE IN VZDRŽEVANJE ELEKTRIČNE POLNILNE INFRASTRUKTURE </w:t>
      </w: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b/>
        </w:rPr>
      </w:pPr>
      <w:r w:rsidRPr="00B57491">
        <w:rPr>
          <w:rFonts w:ascii="Arial" w:eastAsia="Calibri" w:hAnsi="Arial" w:cs="Arial"/>
        </w:rPr>
        <w:t xml:space="preserve">I. </w:t>
      </w:r>
      <w:r w:rsidRPr="00B57491">
        <w:rPr>
          <w:rFonts w:ascii="Arial" w:eastAsia="Calibri" w:hAnsi="Arial" w:cs="Arial"/>
          <w:b/>
        </w:rPr>
        <w:t>PREDMET UREJANJA (VSEBINA AKTA)</w:t>
      </w:r>
    </w:p>
    <w:p w:rsidR="00B57491" w:rsidRPr="00B57491" w:rsidRDefault="00B57491" w:rsidP="00B57491">
      <w:pPr>
        <w:tabs>
          <w:tab w:val="left" w:pos="567"/>
        </w:tabs>
        <w:spacing w:after="0" w:line="260" w:lineRule="exact"/>
        <w:jc w:val="both"/>
        <w:rPr>
          <w:rFonts w:ascii="Arial" w:eastAsia="Times New Roman" w:hAnsi="Arial" w:cs="Arial"/>
        </w:rPr>
      </w:pPr>
      <w:r w:rsidRPr="00B57491">
        <w:rPr>
          <w:rFonts w:ascii="Arial" w:eastAsia="Times New Roman" w:hAnsi="Arial" w:cs="Arial"/>
        </w:rPr>
        <w:t>Ta pravilnik določa:</w:t>
      </w:r>
    </w:p>
    <w:p w:rsidR="00B57491" w:rsidRPr="00B57491" w:rsidRDefault="00B57491" w:rsidP="00B57491">
      <w:pPr>
        <w:numPr>
          <w:ilvl w:val="0"/>
          <w:numId w:val="30"/>
        </w:numPr>
        <w:tabs>
          <w:tab w:val="left" w:pos="567"/>
        </w:tabs>
        <w:spacing w:after="0" w:line="260" w:lineRule="exact"/>
        <w:ind w:left="567" w:hanging="567"/>
        <w:rPr>
          <w:rFonts w:ascii="Arial" w:eastAsia="Times New Roman" w:hAnsi="Arial" w:cs="Arial"/>
        </w:rPr>
      </w:pPr>
      <w:r w:rsidRPr="00B57491">
        <w:rPr>
          <w:rFonts w:ascii="Arial" w:eastAsia="Times New Roman" w:hAnsi="Arial" w:cs="Arial"/>
        </w:rPr>
        <w:t>minimalne tehnične zahteve za električno polnilno infrastrukturo za zagotavljanje ljudem varnega, zanesljivega in zdravju ter okolju neškodljivega delovanja javno dostopne polnilne infrastrukture za električna vozila,</w:t>
      </w:r>
    </w:p>
    <w:p w:rsidR="00B57491" w:rsidRPr="00B57491" w:rsidRDefault="00B57491" w:rsidP="00B57491">
      <w:pPr>
        <w:numPr>
          <w:ilvl w:val="0"/>
          <w:numId w:val="30"/>
        </w:numPr>
        <w:tabs>
          <w:tab w:val="left" w:pos="567"/>
        </w:tabs>
        <w:spacing w:after="0" w:line="260" w:lineRule="exact"/>
        <w:ind w:left="567" w:hanging="567"/>
        <w:rPr>
          <w:rFonts w:ascii="Arial" w:eastAsia="Times New Roman" w:hAnsi="Arial" w:cs="Arial"/>
        </w:rPr>
      </w:pPr>
      <w:r w:rsidRPr="00B57491">
        <w:rPr>
          <w:rFonts w:ascii="Arial" w:eastAsia="Times New Roman" w:hAnsi="Arial" w:cs="Arial"/>
        </w:rPr>
        <w:t xml:space="preserve">tipizacijo polnilnih postaj glede na moč in način polnjenja (AC, DC, izhodne moči) ter standarde za priključke in vtičnice za namene </w:t>
      </w:r>
      <w:proofErr w:type="spellStart"/>
      <w:r w:rsidRPr="00B57491">
        <w:rPr>
          <w:rFonts w:ascii="Arial" w:eastAsia="Times New Roman" w:hAnsi="Arial" w:cs="Arial"/>
        </w:rPr>
        <w:t>interoperabilnosti</w:t>
      </w:r>
      <w:proofErr w:type="spellEnd"/>
      <w:r w:rsidRPr="00B57491">
        <w:rPr>
          <w:rFonts w:ascii="Arial" w:eastAsia="Times New Roman" w:hAnsi="Arial" w:cs="Arial"/>
        </w:rPr>
        <w:t xml:space="preserve"> polnilnih mest,</w:t>
      </w:r>
    </w:p>
    <w:p w:rsidR="00B57491" w:rsidRPr="00B57491" w:rsidRDefault="00B57491" w:rsidP="00B57491">
      <w:pPr>
        <w:numPr>
          <w:ilvl w:val="0"/>
          <w:numId w:val="30"/>
        </w:numPr>
        <w:tabs>
          <w:tab w:val="left" w:pos="567"/>
        </w:tabs>
        <w:spacing w:after="0" w:line="260" w:lineRule="exact"/>
        <w:ind w:left="567" w:hanging="567"/>
        <w:rPr>
          <w:rFonts w:ascii="Arial" w:eastAsia="Times New Roman" w:hAnsi="Arial" w:cs="Arial"/>
        </w:rPr>
      </w:pPr>
      <w:r w:rsidRPr="00B57491">
        <w:rPr>
          <w:rFonts w:ascii="Arial" w:eastAsia="Times New Roman" w:hAnsi="Arial" w:cs="Arial"/>
        </w:rPr>
        <w:t>način delovanja in funkcionalnosti, ki omogočajo pametno polnjenje oziroma dinamično prilagajanje odjema električne energije ter kibernetsko varnost in delujejo na določene načine za zaščito stabilnosti električnega omrežja in za zaščito potrošnikov,</w:t>
      </w:r>
    </w:p>
    <w:p w:rsidR="00B57491" w:rsidRPr="00B57491" w:rsidRDefault="00B57491" w:rsidP="00B57491">
      <w:pPr>
        <w:numPr>
          <w:ilvl w:val="0"/>
          <w:numId w:val="30"/>
        </w:numPr>
        <w:tabs>
          <w:tab w:val="left" w:pos="567"/>
        </w:tabs>
        <w:spacing w:after="0" w:line="260" w:lineRule="exact"/>
        <w:ind w:left="567" w:hanging="567"/>
        <w:rPr>
          <w:rFonts w:ascii="Arial" w:eastAsia="Times New Roman" w:hAnsi="Arial" w:cs="Arial"/>
        </w:rPr>
      </w:pPr>
      <w:r w:rsidRPr="00B57491">
        <w:rPr>
          <w:rFonts w:ascii="Arial" w:eastAsia="Times New Roman" w:hAnsi="Arial" w:cs="Arial"/>
        </w:rPr>
        <w:t>način ugotavljanja skladnosti s prepisanimi zahtevami.</w:t>
      </w:r>
    </w:p>
    <w:p w:rsidR="00B57491" w:rsidRPr="00B57491" w:rsidRDefault="00B57491" w:rsidP="00B57491">
      <w:pPr>
        <w:tabs>
          <w:tab w:val="left" w:pos="567"/>
        </w:tabs>
        <w:spacing w:after="0" w:line="260" w:lineRule="exact"/>
        <w:jc w:val="both"/>
        <w:rPr>
          <w:rFonts w:ascii="Arial" w:eastAsia="Times New Roman" w:hAnsi="Arial" w:cs="Arial"/>
        </w:rPr>
      </w:pPr>
    </w:p>
    <w:p w:rsidR="00B57491" w:rsidRPr="00B57491" w:rsidRDefault="00B57491" w:rsidP="00B57491">
      <w:pPr>
        <w:rPr>
          <w:rFonts w:ascii="Arial" w:eastAsia="Calibri" w:hAnsi="Arial" w:cs="Arial"/>
        </w:rPr>
      </w:pPr>
    </w:p>
    <w:p w:rsidR="00B57491" w:rsidRPr="00B57491" w:rsidRDefault="00B57491" w:rsidP="00B57491">
      <w:pPr>
        <w:tabs>
          <w:tab w:val="left" w:pos="708"/>
        </w:tabs>
        <w:spacing w:after="0" w:line="260" w:lineRule="exact"/>
        <w:contextualSpacing/>
        <w:jc w:val="both"/>
        <w:rPr>
          <w:rFonts w:ascii="Arial" w:eastAsia="Times New Roman" w:hAnsi="Arial" w:cs="Arial"/>
          <w:b/>
        </w:rPr>
      </w:pPr>
      <w:r w:rsidRPr="00B57491">
        <w:rPr>
          <w:rFonts w:ascii="Arial" w:eastAsia="Times New Roman" w:hAnsi="Arial" w:cs="Arial"/>
          <w:b/>
        </w:rPr>
        <w:t>II. PREDSTAVITEV PO VSEBINSKIH SKLOPIH (ZA VSAK VSEBINSKI SKLOP POSEBEJ):</w:t>
      </w:r>
    </w:p>
    <w:p w:rsidR="00B57491" w:rsidRPr="00B57491" w:rsidRDefault="00B57491" w:rsidP="00B57491">
      <w:pPr>
        <w:tabs>
          <w:tab w:val="left" w:pos="708"/>
        </w:tabs>
        <w:spacing w:after="0" w:line="260" w:lineRule="exact"/>
        <w:rPr>
          <w:rFonts w:ascii="Arial" w:eastAsia="Calibri" w:hAnsi="Arial" w:cs="Arial"/>
        </w:rPr>
      </w:pPr>
    </w:p>
    <w:p w:rsidR="00B57491" w:rsidRPr="00B57491" w:rsidRDefault="00B57491" w:rsidP="00B57491">
      <w:pPr>
        <w:tabs>
          <w:tab w:val="left" w:pos="708"/>
        </w:tabs>
        <w:spacing w:after="0" w:line="260" w:lineRule="exact"/>
        <w:jc w:val="both"/>
        <w:rPr>
          <w:rFonts w:ascii="Arial" w:eastAsia="Times New Roman" w:hAnsi="Arial" w:cs="Arial"/>
        </w:rPr>
      </w:pPr>
      <w:r w:rsidRPr="00B57491">
        <w:rPr>
          <w:rFonts w:ascii="Arial" w:eastAsia="Times New Roman" w:hAnsi="Arial" w:cs="Arial"/>
        </w:rPr>
        <w:t xml:space="preserve">Ta pravilnik podrobneje ureja tehnične zahteve za vzpostavitev, delovanje in vzdrževanje električne polnilne infrastrukture za zagotavljanje varnosti, zanesljivosti delovanja, </w:t>
      </w:r>
      <w:proofErr w:type="spellStart"/>
      <w:r w:rsidRPr="00B57491">
        <w:rPr>
          <w:rFonts w:ascii="Arial" w:eastAsia="Times New Roman" w:hAnsi="Arial" w:cs="Arial"/>
        </w:rPr>
        <w:t>interoperabilnosti</w:t>
      </w:r>
      <w:proofErr w:type="spellEnd"/>
      <w:r w:rsidRPr="00B57491">
        <w:rPr>
          <w:rFonts w:ascii="Arial" w:eastAsia="Times New Roman" w:hAnsi="Arial" w:cs="Arial"/>
        </w:rPr>
        <w:t xml:space="preserve"> polnilnih mest, funkcionalnosti za pametno polnjenje ter način določanja skladnosti s predpisanimi zahtevami.</w:t>
      </w:r>
    </w:p>
    <w:p w:rsidR="00B57491" w:rsidRPr="00B57491" w:rsidRDefault="00B57491" w:rsidP="00B57491">
      <w:pPr>
        <w:tabs>
          <w:tab w:val="left" w:pos="708"/>
        </w:tabs>
        <w:spacing w:after="0" w:line="260" w:lineRule="exact"/>
        <w:rPr>
          <w:rFonts w:ascii="Arial" w:eastAsia="Times New Roman" w:hAnsi="Arial" w:cs="Arial"/>
        </w:rPr>
      </w:pPr>
    </w:p>
    <w:p w:rsidR="00B57491" w:rsidRPr="00B57491" w:rsidRDefault="00B57491" w:rsidP="00B57491">
      <w:pPr>
        <w:tabs>
          <w:tab w:val="left" w:pos="708"/>
        </w:tabs>
        <w:spacing w:after="0" w:line="260" w:lineRule="exact"/>
        <w:rPr>
          <w:rFonts w:ascii="Arial" w:eastAsia="Times New Roman" w:hAnsi="Arial" w:cs="Arial"/>
        </w:rPr>
      </w:pPr>
    </w:p>
    <w:p w:rsidR="00B57491" w:rsidRPr="00B57491" w:rsidRDefault="00B57491" w:rsidP="00B57491">
      <w:pPr>
        <w:tabs>
          <w:tab w:val="left" w:pos="708"/>
        </w:tabs>
        <w:spacing w:after="0" w:line="260" w:lineRule="exact"/>
        <w:rPr>
          <w:rFonts w:ascii="Arial" w:eastAsia="Times New Roman" w:hAnsi="Arial" w:cs="Arial"/>
          <w:b/>
        </w:rPr>
      </w:pPr>
      <w:r w:rsidRPr="00B57491">
        <w:rPr>
          <w:rFonts w:ascii="Arial" w:eastAsia="Times New Roman" w:hAnsi="Arial" w:cs="Arial"/>
          <w:b/>
        </w:rPr>
        <w:t>Vsebinski sklopi:</w:t>
      </w:r>
    </w:p>
    <w:p w:rsidR="00B57491" w:rsidRPr="00B57491" w:rsidRDefault="00B57491" w:rsidP="00B57491">
      <w:pPr>
        <w:rPr>
          <w:rFonts w:ascii="Arial" w:eastAsia="Calibri" w:hAnsi="Arial" w:cs="Arial"/>
        </w:rPr>
      </w:pPr>
    </w:p>
    <w:p w:rsidR="00B57491" w:rsidRPr="00B57491" w:rsidRDefault="00B57491" w:rsidP="00B57491">
      <w:pPr>
        <w:numPr>
          <w:ilvl w:val="0"/>
          <w:numId w:val="31"/>
        </w:numPr>
        <w:contextualSpacing/>
        <w:rPr>
          <w:rFonts w:ascii="Arial" w:eastAsia="Calibri" w:hAnsi="Arial" w:cs="Arial"/>
          <w:b/>
        </w:rPr>
      </w:pPr>
      <w:r w:rsidRPr="00B57491">
        <w:rPr>
          <w:rFonts w:ascii="Arial" w:eastAsia="Calibri" w:hAnsi="Arial" w:cs="Arial"/>
          <w:b/>
        </w:rPr>
        <w:t>Načrtovanje javno dostopne polnilne infrastrukture kot del prometne infrastrukture</w:t>
      </w:r>
    </w:p>
    <w:p w:rsidR="00B57491" w:rsidRPr="00B57491" w:rsidRDefault="00B57491" w:rsidP="00B57491">
      <w:pPr>
        <w:numPr>
          <w:ilvl w:val="0"/>
          <w:numId w:val="32"/>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Lokacija polnilnih parkov in način umeščanje polnilne infrastrukture v prostor:</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Na že obstoječih lokacijah kjer so prisotni že drugi objekti in/ali goriva (npr. obstoječi bencinski servisi oz. počivališča, vozlišča P+R, parkirišča, itd.). Določitev minimalnih standardov glede razdalje in postavitve polnilne infrastrukture v odnosu na že obstoječo infrastrukturo (</w:t>
      </w:r>
      <w:proofErr w:type="spellStart"/>
      <w:r w:rsidRPr="00B57491">
        <w:rPr>
          <w:rFonts w:ascii="Arial" w:eastAsia="Calibri" w:hAnsi="Arial" w:cs="Arial"/>
        </w:rPr>
        <w:t>protieksplozijska</w:t>
      </w:r>
      <w:proofErr w:type="spellEnd"/>
      <w:r w:rsidRPr="00B57491">
        <w:rPr>
          <w:rFonts w:ascii="Arial" w:eastAsia="Calibri" w:hAnsi="Arial" w:cs="Arial"/>
        </w:rPr>
        <w:t xml:space="preserve"> zaščita, požarna varnost, itd.).</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V primeru nove lokacije način postavitve polnilnih postaj za optimalno izkoriščenost prostora (uvoz, izvoz, vidne horizontalne in vertikalne označbe).</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xml:space="preserve">- Upoštevajo se specifične lastnosti in zahteve glede polnilnic za lahka vozila (kategoriji M1 in N1) ter za težka vozila (N2, N3 in M2 in M3) v smislu parkirnih kapacitet, potrebnih medsebojnih razdalj, postavitev polnilnih postaj in ostale opreme za maksimalno </w:t>
      </w:r>
      <w:r w:rsidRPr="00B57491">
        <w:rPr>
          <w:rFonts w:ascii="Arial" w:eastAsia="Calibri" w:hAnsi="Arial" w:cs="Arial"/>
        </w:rPr>
        <w:lastRenderedPageBreak/>
        <w:t>izkoriščenost prostora. Določitev minimalnih standardov za postavitev polnilne infrastrukture za težka tovorna vozila v okviru dimenzioniranja počivališč v odnosu do drugih tehničnih zahtev in objektov na počivališčih.</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xml:space="preserve">- Prepoved/omejitev postavljanja polnilne infrastrukture na površine za pešce in kolesarje, ustrezni odmiki od pločnikov ter drugih funkcionalnih površin, potek kablov ne sme ovirati pešcev, itd. </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V kolikor smotrno zahteve za infrastrukturo za napeljavo vodov do javnih parkirnih mest oz. polnilnih mest.</w:t>
      </w:r>
    </w:p>
    <w:p w:rsidR="00B57491" w:rsidRPr="00B57491" w:rsidRDefault="00B57491" w:rsidP="00B57491">
      <w:pPr>
        <w:numPr>
          <w:ilvl w:val="0"/>
          <w:numId w:val="32"/>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Dostopnost za invalide:</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višina priključka,</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omogočen dostop z električnim invalidskim vozičkom,</w:t>
      </w:r>
    </w:p>
    <w:p w:rsidR="00B57491" w:rsidRPr="00B57491" w:rsidRDefault="00B57491" w:rsidP="00B57491">
      <w:pPr>
        <w:autoSpaceDE w:val="0"/>
        <w:autoSpaceDN w:val="0"/>
        <w:adjustRightInd w:val="0"/>
        <w:spacing w:after="0" w:line="312" w:lineRule="auto"/>
        <w:ind w:left="720"/>
        <w:contextualSpacing/>
        <w:jc w:val="both"/>
        <w:rPr>
          <w:rFonts w:ascii="Arial" w:eastAsia="Calibri" w:hAnsi="Arial" w:cs="Arial"/>
        </w:rPr>
      </w:pPr>
      <w:r w:rsidRPr="00B57491">
        <w:rPr>
          <w:rFonts w:ascii="Arial" w:eastAsia="Calibri" w:hAnsi="Arial" w:cs="Arial"/>
        </w:rPr>
        <w:t>- izogib oviram v obliki robnikov in nivojskih razlik, itd.</w:t>
      </w:r>
    </w:p>
    <w:p w:rsidR="00B57491" w:rsidRPr="00B57491" w:rsidRDefault="00B57491" w:rsidP="00B57491">
      <w:pPr>
        <w:numPr>
          <w:ilvl w:val="0"/>
          <w:numId w:val="32"/>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Zaščita naprav pred mehanskimi poškodbami - pred trkom z vozilom (odbojniki, stebri, pregrade).</w:t>
      </w:r>
    </w:p>
    <w:p w:rsidR="00B57491" w:rsidRPr="00B57491" w:rsidRDefault="00B57491" w:rsidP="00B57491">
      <w:pPr>
        <w:numPr>
          <w:ilvl w:val="0"/>
          <w:numId w:val="32"/>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Nadstrešnice in zaščita uporabnikov pred vremenskimi neprilikami (glede na vrsto polnilne infrastrukture, npr. hitra polnilna infrastruktura visokih moči, zaščita polnilne infrastrukture pred snegom za počasno polnjenje, itd.).</w:t>
      </w:r>
    </w:p>
    <w:p w:rsidR="00B57491" w:rsidRPr="00B57491" w:rsidRDefault="00B57491" w:rsidP="00B57491">
      <w:pPr>
        <w:numPr>
          <w:ilvl w:val="0"/>
          <w:numId w:val="32"/>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Vizualna ponazoritev (priprava shem predlaganih rešitev postavitve polnilne infrastrukture v odnosu na druge elemente).</w:t>
      </w:r>
    </w:p>
    <w:p w:rsidR="00B57491" w:rsidRPr="00B57491" w:rsidRDefault="00B57491" w:rsidP="00B57491">
      <w:pPr>
        <w:autoSpaceDE w:val="0"/>
        <w:autoSpaceDN w:val="0"/>
        <w:adjustRightInd w:val="0"/>
        <w:spacing w:after="0" w:line="312" w:lineRule="auto"/>
        <w:contextualSpacing/>
        <w:jc w:val="both"/>
        <w:rPr>
          <w:rFonts w:ascii="Arial" w:eastAsia="Calibri" w:hAnsi="Arial" w:cs="Arial"/>
        </w:rPr>
      </w:pPr>
    </w:p>
    <w:p w:rsidR="00B57491" w:rsidRPr="00B57491" w:rsidRDefault="00B57491" w:rsidP="00B57491">
      <w:p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Podrobnejša vsebina bo določena kasneje.</w:t>
      </w:r>
    </w:p>
    <w:p w:rsidR="00B57491" w:rsidRPr="00B57491" w:rsidRDefault="00B57491" w:rsidP="00B57491">
      <w:pPr>
        <w:autoSpaceDE w:val="0"/>
        <w:autoSpaceDN w:val="0"/>
        <w:adjustRightInd w:val="0"/>
        <w:spacing w:after="0" w:line="312" w:lineRule="auto"/>
        <w:contextualSpacing/>
        <w:jc w:val="both"/>
        <w:rPr>
          <w:rFonts w:ascii="Arial" w:eastAsia="Calibri" w:hAnsi="Arial" w:cs="Arial"/>
        </w:rPr>
      </w:pPr>
    </w:p>
    <w:p w:rsidR="00B57491" w:rsidRPr="00B57491" w:rsidRDefault="00B57491" w:rsidP="00B57491">
      <w:pPr>
        <w:numPr>
          <w:ilvl w:val="0"/>
          <w:numId w:val="31"/>
        </w:numPr>
        <w:contextualSpacing/>
        <w:rPr>
          <w:rFonts w:ascii="Arial" w:eastAsia="Calibri" w:hAnsi="Arial" w:cs="Arial"/>
          <w:b/>
        </w:rPr>
      </w:pPr>
      <w:r w:rsidRPr="00B57491">
        <w:rPr>
          <w:rFonts w:ascii="Arial" w:eastAsia="Calibri" w:hAnsi="Arial" w:cs="Arial"/>
          <w:b/>
        </w:rPr>
        <w:t>Javna polnilna infrastruktura v uporabi ter zagotovitev varnega delovanja</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obratovalne varnosti, popravila in posodobitve polnilnih postaj,</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vrste obveznih tehničnih preskusov in vodenje dokumentacije o izvedbi le teh,</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vse naprave morajo imeti veljavne električne merilne protokole,</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podatki, ki morajo biti pritrjeni na polnilni postaji (ime proizvajalca, vrsta naprave, serijska št., nazivne napetosti, nazivna frekvenca, nazivni tokovi),</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obvezni elementi zaščite pred električnim udarom,</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ravnanje v primeru okvare,</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naprave je dovoljeno uporabljati le izven eksplozijsko nevarnih območij,</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uporaba podaljška za polnjenje med delovanjem naprave je prepovedana,</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polnilna postaja mora biti opremljena z navodilom za polnjenje na vidnem mestu (uporabniški vmesnik z zaslonom z navodili za polnjenje),</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vidna tel. številka operaterja (prijava napake),</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informacija o nevarnosti (električni udar) – grafični simbol na ohišju naprave,</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obveze za upravljavce (vzdrževanje, servisni pregledi, izvajanje električnih meritev v skladu z navodili za uporabo),</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minimalni elementi električnih meritev (neprekinjenosti zaščitnih vodnikov, izolacijske upornosti električnih kablov, ozemljitvenega upora, itd.),</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b/>
        </w:rPr>
      </w:pPr>
      <w:r w:rsidRPr="00B57491">
        <w:rPr>
          <w:rFonts w:ascii="Arial" w:eastAsia="Calibri" w:hAnsi="Arial" w:cs="Arial"/>
        </w:rPr>
        <w:t>servisne preglede, vzdrževanje, popravila in posodobitve izvajajo osebe, ki imajo usposobljenost, potrjeno z ustreznim potrdilom o usposobljenosti,</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lastRenderedPageBreak/>
        <w:t>obvezno dokumentiranje servisnih pregledov, popravil in vzdrževanja,</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način izvajanja pregledov (predhodni tehnični pregled, operativni tehnični pregled),</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potek pregleda polnilnih postaj (dokumentacija, vizualni pregled, naključne meritve, itd.),</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določitev kdo izvaja preizkuse/preglede ter določitev minimalnih zahtev za strokovno usposobljenost pregledovalca/izvajalca,</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obvezna dokumentacija predana inšpektorju/priložena k preizkusu (tehnični opis naprave, potrdilo o skladnosti skladno s sistemom ugotavljanja skladnosti, protokoli električnih meritev, risba z opisom – lokacija naprave, zaščita pred mehanskimi poškodbami, shemo napajalne naprave, izvod tehničnega protokola za električno napeljavo/priključek, mnenje o izpolnjevanju zahtev požarnega varstva - izda izvedenec za požarno varnost, itd.),</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 xml:space="preserve">obvezni elementi tehničnega opisa polnilne postaje (vhodni/izhodni električni parametri, tip </w:t>
      </w:r>
      <w:proofErr w:type="spellStart"/>
      <w:r w:rsidRPr="00B57491">
        <w:rPr>
          <w:rFonts w:ascii="Arial" w:eastAsia="Calibri" w:hAnsi="Arial" w:cs="Arial"/>
        </w:rPr>
        <w:t>konektorja</w:t>
      </w:r>
      <w:proofErr w:type="spellEnd"/>
      <w:r w:rsidRPr="00B57491">
        <w:rPr>
          <w:rFonts w:ascii="Arial" w:eastAsia="Calibri" w:hAnsi="Arial" w:cs="Arial"/>
        </w:rPr>
        <w:t>, obseg temperatur okolice v kateri lahko deluje, .......),</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obvezni priročnik za uporabo in servisni priročnik,</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obvezni elementi priročnika z navodili za uporabo (opis naprave, navodilo za polnjenje, opis postopka v primeru nepravilnosti ali motenj pri delovanju naprave in požarnih postopkov, opozorila o nevarnosti nepravilne rabe, itd.),</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obvezni elementi servisnega priročnika (način servisiranja naprave, opis metode izvajanja električnih meritev, izvajanje funkcionalnih preizkusov, roki za opravljanje servisnih pregledov...),</w:t>
      </w:r>
    </w:p>
    <w:p w:rsidR="00B57491" w:rsidRPr="00B57491" w:rsidRDefault="00B57491" w:rsidP="00B57491">
      <w:pPr>
        <w:numPr>
          <w:ilvl w:val="0"/>
          <w:numId w:val="33"/>
        </w:num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drugo glede na strokovne ugotovitve.</w:t>
      </w:r>
    </w:p>
    <w:p w:rsidR="00B57491" w:rsidRPr="00B57491" w:rsidRDefault="00B57491" w:rsidP="00B57491">
      <w:pPr>
        <w:autoSpaceDE w:val="0"/>
        <w:autoSpaceDN w:val="0"/>
        <w:adjustRightInd w:val="0"/>
        <w:spacing w:after="0" w:line="312" w:lineRule="auto"/>
        <w:contextualSpacing/>
        <w:jc w:val="both"/>
        <w:rPr>
          <w:rFonts w:ascii="Arial" w:eastAsia="Calibri" w:hAnsi="Arial" w:cs="Arial"/>
        </w:rPr>
      </w:pPr>
    </w:p>
    <w:p w:rsidR="00B57491" w:rsidRPr="00B57491" w:rsidRDefault="00B57491" w:rsidP="00B57491">
      <w:pPr>
        <w:autoSpaceDE w:val="0"/>
        <w:autoSpaceDN w:val="0"/>
        <w:adjustRightInd w:val="0"/>
        <w:spacing w:after="0" w:line="312" w:lineRule="auto"/>
        <w:contextualSpacing/>
        <w:jc w:val="both"/>
        <w:rPr>
          <w:rFonts w:ascii="Arial" w:eastAsia="Calibri" w:hAnsi="Arial" w:cs="Arial"/>
        </w:rPr>
      </w:pPr>
      <w:r w:rsidRPr="00B57491">
        <w:rPr>
          <w:rFonts w:ascii="Arial" w:eastAsia="Calibri" w:hAnsi="Arial" w:cs="Arial"/>
        </w:rPr>
        <w:t>Podrobnejša vsebina bo določena kasneje.</w:t>
      </w:r>
    </w:p>
    <w:p w:rsidR="00B57491" w:rsidRPr="00B57491" w:rsidRDefault="00B57491" w:rsidP="00B57491">
      <w:pPr>
        <w:autoSpaceDE w:val="0"/>
        <w:autoSpaceDN w:val="0"/>
        <w:adjustRightInd w:val="0"/>
        <w:spacing w:after="0" w:line="312" w:lineRule="auto"/>
        <w:contextualSpacing/>
        <w:jc w:val="both"/>
        <w:rPr>
          <w:rFonts w:ascii="Arial" w:eastAsia="Calibri" w:hAnsi="Arial" w:cs="Arial"/>
        </w:rPr>
      </w:pPr>
    </w:p>
    <w:p w:rsidR="00B57491" w:rsidRPr="00B57491" w:rsidRDefault="00B57491" w:rsidP="00B57491">
      <w:pPr>
        <w:numPr>
          <w:ilvl w:val="0"/>
          <w:numId w:val="31"/>
        </w:numPr>
        <w:contextualSpacing/>
        <w:rPr>
          <w:rFonts w:ascii="Arial" w:eastAsia="Calibri" w:hAnsi="Arial" w:cs="Arial"/>
          <w:b/>
        </w:rPr>
      </w:pPr>
      <w:r w:rsidRPr="00B57491">
        <w:rPr>
          <w:rFonts w:ascii="Arial" w:eastAsia="Calibri" w:hAnsi="Arial" w:cs="Arial"/>
          <w:b/>
        </w:rPr>
        <w:t xml:space="preserve">Tehnične zahteve za polnilne postaje/mesta za pametno polnjenje in način ugotavljanja skladnosti </w:t>
      </w:r>
    </w:p>
    <w:p w:rsidR="00B57491" w:rsidRPr="00B57491" w:rsidRDefault="00B57491" w:rsidP="00B57491">
      <w:pPr>
        <w:ind w:left="720"/>
        <w:contextualSpacing/>
        <w:rPr>
          <w:rFonts w:ascii="Arial" w:eastAsia="Calibri" w:hAnsi="Arial" w:cs="Arial"/>
          <w:b/>
        </w:rPr>
      </w:pPr>
    </w:p>
    <w:p w:rsidR="00B57491" w:rsidRPr="00B57491" w:rsidRDefault="00B57491" w:rsidP="00B57491">
      <w:pPr>
        <w:ind w:left="720"/>
        <w:contextualSpacing/>
        <w:rPr>
          <w:rFonts w:ascii="Arial" w:eastAsia="Calibri" w:hAnsi="Arial" w:cs="Arial"/>
          <w:b/>
        </w:rPr>
      </w:pPr>
      <w:r w:rsidRPr="00B57491">
        <w:rPr>
          <w:rFonts w:ascii="Arial" w:eastAsia="Calibri" w:hAnsi="Arial" w:cs="Arial"/>
          <w:b/>
        </w:rPr>
        <w:t>Tehnične zahteve za:</w:t>
      </w:r>
    </w:p>
    <w:p w:rsidR="00B57491" w:rsidRPr="00B57491" w:rsidRDefault="00B57491" w:rsidP="00B57491">
      <w:pPr>
        <w:numPr>
          <w:ilvl w:val="0"/>
          <w:numId w:val="34"/>
        </w:numPr>
        <w:contextualSpacing/>
        <w:rPr>
          <w:rFonts w:ascii="Arial" w:eastAsia="Calibri" w:hAnsi="Arial" w:cs="Arial"/>
        </w:rPr>
      </w:pPr>
      <w:r w:rsidRPr="00B57491">
        <w:rPr>
          <w:rFonts w:ascii="Arial" w:eastAsia="Calibri" w:hAnsi="Arial" w:cs="Arial"/>
        </w:rPr>
        <w:t>funkcionalnost pametnega polnjenja (tehnična sposobnost polnilnega mesta za dinamično prilagajanje odjema električne energije, tj. optimizacija načina polnjenja v času, ko je nižje povpraševanje ali na voljo veliko električne energije iz OVE),</w:t>
      </w:r>
    </w:p>
    <w:p w:rsidR="00B57491" w:rsidRPr="00B57491" w:rsidRDefault="00B57491" w:rsidP="00B57491">
      <w:pPr>
        <w:numPr>
          <w:ilvl w:val="0"/>
          <w:numId w:val="34"/>
        </w:numPr>
        <w:contextualSpacing/>
        <w:rPr>
          <w:rFonts w:ascii="Arial" w:eastAsia="Calibri" w:hAnsi="Arial" w:cs="Arial"/>
        </w:rPr>
      </w:pPr>
      <w:proofErr w:type="spellStart"/>
      <w:r w:rsidRPr="00B57491">
        <w:rPr>
          <w:rFonts w:ascii="Arial" w:eastAsia="Calibri" w:hAnsi="Arial" w:cs="Arial"/>
        </w:rPr>
        <w:t>interoperabilnost</w:t>
      </w:r>
      <w:proofErr w:type="spellEnd"/>
      <w:r w:rsidRPr="00B57491">
        <w:rPr>
          <w:rFonts w:ascii="Arial" w:eastAsia="Calibri" w:hAnsi="Arial" w:cs="Arial"/>
        </w:rPr>
        <w:t xml:space="preserve">  (kompatibilnost proizvodov, ki omogoča menjavo ponudnika električne energije),</w:t>
      </w:r>
    </w:p>
    <w:p w:rsidR="00B57491" w:rsidRPr="00B57491" w:rsidRDefault="00B57491" w:rsidP="00B57491">
      <w:pPr>
        <w:numPr>
          <w:ilvl w:val="0"/>
          <w:numId w:val="34"/>
        </w:numPr>
        <w:contextualSpacing/>
        <w:rPr>
          <w:rFonts w:ascii="Arial" w:eastAsia="Calibri" w:hAnsi="Arial" w:cs="Arial"/>
        </w:rPr>
      </w:pPr>
      <w:r w:rsidRPr="00B57491">
        <w:rPr>
          <w:rFonts w:ascii="Arial" w:eastAsia="Calibri" w:hAnsi="Arial" w:cs="Arial"/>
        </w:rPr>
        <w:t>kontinuiteto polnjenja (neodvisno od izgube internetne povezave),</w:t>
      </w:r>
    </w:p>
    <w:p w:rsidR="00B57491" w:rsidRPr="00B57491" w:rsidRDefault="00B57491" w:rsidP="00B57491">
      <w:pPr>
        <w:numPr>
          <w:ilvl w:val="0"/>
          <w:numId w:val="34"/>
        </w:numPr>
        <w:contextualSpacing/>
        <w:rPr>
          <w:rFonts w:ascii="Arial" w:eastAsia="Calibri" w:hAnsi="Arial" w:cs="Arial"/>
        </w:rPr>
      </w:pPr>
      <w:r w:rsidRPr="00B57491">
        <w:rPr>
          <w:rFonts w:ascii="Arial" w:eastAsia="Calibri" w:hAnsi="Arial" w:cs="Arial"/>
        </w:rPr>
        <w:t>varnost (onemogočitev določenih dejanj/izvajanje funkcij s strani uporabnika v času polnjenja),</w:t>
      </w:r>
    </w:p>
    <w:p w:rsidR="00B57491" w:rsidRPr="00B57491" w:rsidRDefault="00B57491" w:rsidP="00B57491">
      <w:pPr>
        <w:numPr>
          <w:ilvl w:val="0"/>
          <w:numId w:val="34"/>
        </w:numPr>
        <w:contextualSpacing/>
        <w:rPr>
          <w:rFonts w:ascii="Arial" w:eastAsia="Calibri" w:hAnsi="Arial" w:cs="Arial"/>
        </w:rPr>
      </w:pPr>
      <w:r w:rsidRPr="00B57491">
        <w:rPr>
          <w:rFonts w:ascii="Arial" w:eastAsia="Calibri" w:hAnsi="Arial" w:cs="Arial"/>
        </w:rPr>
        <w:t>meritev porabljene energije (omogočitev spremljanja merjenja ali izračuna dovedene/odvedene električne energije in čas polnjenja, omogočitev odziva na povpraševanje),</w:t>
      </w:r>
    </w:p>
    <w:p w:rsidR="00B57491" w:rsidRPr="00B57491" w:rsidRDefault="00B57491" w:rsidP="00B57491">
      <w:pPr>
        <w:numPr>
          <w:ilvl w:val="0"/>
          <w:numId w:val="34"/>
        </w:numPr>
        <w:contextualSpacing/>
        <w:rPr>
          <w:rFonts w:ascii="Arial" w:eastAsia="Calibri" w:hAnsi="Arial" w:cs="Arial"/>
        </w:rPr>
      </w:pPr>
      <w:r w:rsidRPr="00B57491">
        <w:rPr>
          <w:rFonts w:ascii="Arial" w:eastAsia="Calibri" w:hAnsi="Arial" w:cs="Arial"/>
        </w:rPr>
        <w:t xml:space="preserve">polnjenje izven konic (polnjenje v času nižjega povpraševanja, možnost </w:t>
      </w:r>
      <w:proofErr w:type="spellStart"/>
      <w:r w:rsidRPr="00B57491">
        <w:rPr>
          <w:rFonts w:ascii="Arial" w:eastAsia="Calibri" w:hAnsi="Arial" w:cs="Arial"/>
        </w:rPr>
        <w:t>prednastavitve</w:t>
      </w:r>
      <w:proofErr w:type="spellEnd"/>
      <w:r w:rsidRPr="00B57491">
        <w:rPr>
          <w:rFonts w:ascii="Arial" w:eastAsia="Calibri" w:hAnsi="Arial" w:cs="Arial"/>
        </w:rPr>
        <w:t xml:space="preserve"> časa polnjenja oz. nastavitve po meri, itd.),</w:t>
      </w:r>
    </w:p>
    <w:p w:rsidR="00B57491" w:rsidRPr="00B57491" w:rsidRDefault="00B57491" w:rsidP="00B57491">
      <w:pPr>
        <w:numPr>
          <w:ilvl w:val="0"/>
          <w:numId w:val="34"/>
        </w:numPr>
        <w:contextualSpacing/>
        <w:rPr>
          <w:rFonts w:ascii="Arial" w:eastAsia="Calibri" w:hAnsi="Arial" w:cs="Arial"/>
        </w:rPr>
      </w:pPr>
      <w:r w:rsidRPr="00B57491">
        <w:rPr>
          <w:rFonts w:ascii="Arial" w:eastAsia="Calibri" w:hAnsi="Arial" w:cs="Arial"/>
        </w:rPr>
        <w:t xml:space="preserve">zamik polnjenja (funkcionalnost, ki omogoča zamik polnjenja oz. vklopa in izklopa, ang. </w:t>
      </w:r>
      <w:proofErr w:type="spellStart"/>
      <w:r w:rsidRPr="00B57491">
        <w:rPr>
          <w:rFonts w:ascii="Arial" w:eastAsia="Calibri" w:hAnsi="Arial" w:cs="Arial"/>
        </w:rPr>
        <w:t>randomised</w:t>
      </w:r>
      <w:proofErr w:type="spellEnd"/>
      <w:r w:rsidRPr="00B57491">
        <w:rPr>
          <w:rFonts w:ascii="Arial" w:eastAsia="Calibri" w:hAnsi="Arial" w:cs="Arial"/>
        </w:rPr>
        <w:t xml:space="preserve"> </w:t>
      </w:r>
      <w:proofErr w:type="spellStart"/>
      <w:r w:rsidRPr="00B57491">
        <w:rPr>
          <w:rFonts w:ascii="Arial" w:eastAsia="Calibri" w:hAnsi="Arial" w:cs="Arial"/>
        </w:rPr>
        <w:t>delay</w:t>
      </w:r>
      <w:proofErr w:type="spellEnd"/>
      <w:r w:rsidRPr="00B57491">
        <w:rPr>
          <w:rFonts w:ascii="Arial" w:eastAsia="Calibri" w:hAnsi="Arial" w:cs="Arial"/>
        </w:rPr>
        <w:t xml:space="preserve"> </w:t>
      </w:r>
      <w:proofErr w:type="spellStart"/>
      <w:r w:rsidRPr="00B57491">
        <w:rPr>
          <w:rFonts w:ascii="Arial" w:eastAsia="Calibri" w:hAnsi="Arial" w:cs="Arial"/>
        </w:rPr>
        <w:t>function</w:t>
      </w:r>
      <w:proofErr w:type="spellEnd"/>
      <w:r w:rsidRPr="00B57491">
        <w:rPr>
          <w:rFonts w:ascii="Arial" w:eastAsia="Calibri" w:hAnsi="Arial" w:cs="Arial"/>
        </w:rPr>
        <w:t>),</w:t>
      </w:r>
    </w:p>
    <w:p w:rsidR="00B57491" w:rsidRPr="00B57491" w:rsidRDefault="00B57491" w:rsidP="00B57491">
      <w:pPr>
        <w:numPr>
          <w:ilvl w:val="0"/>
          <w:numId w:val="34"/>
        </w:numPr>
        <w:contextualSpacing/>
        <w:rPr>
          <w:rFonts w:ascii="Arial" w:eastAsia="Calibri" w:hAnsi="Arial" w:cs="Arial"/>
        </w:rPr>
      </w:pPr>
      <w:r w:rsidRPr="00B57491">
        <w:rPr>
          <w:rFonts w:ascii="Arial" w:eastAsia="Calibri" w:hAnsi="Arial" w:cs="Arial"/>
        </w:rPr>
        <w:t>kibernetska varnost (standardi za kibernetsko varnost – gesla, hranjenje občutljivih podatkov, šifriranje sporočil posredovanih na oziroma iz polnilnega mesta),</w:t>
      </w:r>
    </w:p>
    <w:p w:rsidR="00B57491" w:rsidRPr="00B57491" w:rsidRDefault="00B57491" w:rsidP="00B57491">
      <w:pPr>
        <w:numPr>
          <w:ilvl w:val="0"/>
          <w:numId w:val="34"/>
        </w:numPr>
        <w:contextualSpacing/>
        <w:rPr>
          <w:rFonts w:ascii="Arial" w:eastAsia="Calibri" w:hAnsi="Arial" w:cs="Arial"/>
        </w:rPr>
      </w:pPr>
      <w:r w:rsidRPr="00B57491">
        <w:rPr>
          <w:rFonts w:ascii="Tahoma" w:eastAsia="Calibri" w:hAnsi="Tahoma" w:cs="Tahoma"/>
        </w:rPr>
        <w:lastRenderedPageBreak/>
        <w:t>polnilna postaja mora omogočati tako lokalno omejevanje polnjenja z uporabo DLM (dinamično prilagajanje moči polnjenja), kot oddaljeno krmiljenja moči polnjenja,</w:t>
      </w:r>
    </w:p>
    <w:p w:rsidR="00B57491" w:rsidRPr="00B57491" w:rsidRDefault="00B57491" w:rsidP="00B57491">
      <w:pPr>
        <w:numPr>
          <w:ilvl w:val="0"/>
          <w:numId w:val="34"/>
        </w:numPr>
        <w:contextualSpacing/>
        <w:rPr>
          <w:rFonts w:ascii="Arial" w:eastAsia="Calibri" w:hAnsi="Arial" w:cs="Arial"/>
        </w:rPr>
      </w:pPr>
      <w:r w:rsidRPr="00B57491">
        <w:rPr>
          <w:rFonts w:ascii="Tahoma" w:eastAsia="Calibri" w:hAnsi="Tahoma" w:cs="Tahoma"/>
        </w:rPr>
        <w:t xml:space="preserve">vključitev polnilnih postaj v nadzorno platformo, ki mora omogočati povezljivost z </w:t>
      </w:r>
      <w:proofErr w:type="spellStart"/>
      <w:r w:rsidRPr="00B57491">
        <w:rPr>
          <w:rFonts w:ascii="Tahoma" w:eastAsia="Calibri" w:hAnsi="Tahoma" w:cs="Tahoma"/>
        </w:rPr>
        <w:t>agregatorjem</w:t>
      </w:r>
      <w:proofErr w:type="spellEnd"/>
      <w:r w:rsidRPr="00B57491">
        <w:rPr>
          <w:rFonts w:ascii="Tahoma" w:eastAsia="Calibri" w:hAnsi="Tahoma" w:cs="Tahoma"/>
        </w:rPr>
        <w:t xml:space="preserve"> za potrebe oddaljenega krmiljenja moči polnjenja,</w:t>
      </w:r>
    </w:p>
    <w:p w:rsidR="00B57491" w:rsidRPr="00B57491" w:rsidRDefault="00B57491" w:rsidP="00B57491">
      <w:pPr>
        <w:numPr>
          <w:ilvl w:val="0"/>
          <w:numId w:val="34"/>
        </w:numPr>
        <w:contextualSpacing/>
        <w:rPr>
          <w:rFonts w:ascii="Arial" w:eastAsia="Calibri" w:hAnsi="Arial" w:cs="Arial"/>
        </w:rPr>
      </w:pPr>
      <w:r w:rsidRPr="00B57491">
        <w:rPr>
          <w:rFonts w:ascii="Tahoma" w:eastAsia="Calibri" w:hAnsi="Tahoma" w:cs="Tahoma"/>
        </w:rPr>
        <w:t>dokazovanje skladnosti (</w:t>
      </w:r>
      <w:proofErr w:type="spellStart"/>
      <w:r w:rsidRPr="00B57491">
        <w:rPr>
          <w:rFonts w:ascii="Tahoma" w:eastAsia="Calibri" w:hAnsi="Tahoma" w:cs="Tahoma"/>
        </w:rPr>
        <w:t>agregator</w:t>
      </w:r>
      <w:proofErr w:type="spellEnd"/>
      <w:r w:rsidRPr="00B57491">
        <w:rPr>
          <w:rFonts w:ascii="Tahoma" w:eastAsia="Calibri" w:hAnsi="Tahoma" w:cs="Tahoma"/>
        </w:rPr>
        <w:t xml:space="preserve"> izda potrdilo o dostopu do zmožnosti komuniciranja s polnilnimi postajami in pošiljanja komand za spreminjanje moči).</w:t>
      </w: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r w:rsidRPr="00B57491">
        <w:rPr>
          <w:rFonts w:ascii="Arial" w:eastAsia="Calibri" w:hAnsi="Arial" w:cs="Arial"/>
          <w:b/>
        </w:rPr>
        <w:t>Način dokazovanja skladnosti s predpisanimi zahtevami:</w:t>
      </w:r>
    </w:p>
    <w:p w:rsidR="00B57491" w:rsidRPr="00B57491" w:rsidRDefault="00B57491" w:rsidP="00B57491">
      <w:pPr>
        <w:numPr>
          <w:ilvl w:val="0"/>
          <w:numId w:val="35"/>
        </w:numPr>
        <w:contextualSpacing/>
        <w:rPr>
          <w:rFonts w:ascii="Arial" w:eastAsia="Calibri" w:hAnsi="Arial" w:cs="Arial"/>
        </w:rPr>
      </w:pPr>
      <w:r w:rsidRPr="00B57491">
        <w:rPr>
          <w:rFonts w:ascii="Arial" w:eastAsia="Calibri" w:hAnsi="Arial" w:cs="Arial"/>
        </w:rPr>
        <w:t>postopek dokazovanja skladnosti proizvodov – zahteve za gospodarske subjekte (vsebina tehnične dokumentacije, obvezne priloge, spremne listine, itd.),</w:t>
      </w:r>
    </w:p>
    <w:p w:rsidR="00B57491" w:rsidRPr="00B57491" w:rsidRDefault="00B57491" w:rsidP="00B57491">
      <w:pPr>
        <w:numPr>
          <w:ilvl w:val="0"/>
          <w:numId w:val="35"/>
        </w:numPr>
        <w:contextualSpacing/>
        <w:rPr>
          <w:rFonts w:ascii="Arial" w:eastAsia="Calibri" w:hAnsi="Arial" w:cs="Arial"/>
        </w:rPr>
      </w:pPr>
      <w:r w:rsidRPr="00B57491">
        <w:rPr>
          <w:rFonts w:ascii="Arial" w:eastAsia="Calibri" w:hAnsi="Arial" w:cs="Arial"/>
        </w:rPr>
        <w:t>način označevanja proizvodov (oznaka za skladnost),</w:t>
      </w:r>
    </w:p>
    <w:p w:rsidR="00B57491" w:rsidRPr="00B57491" w:rsidRDefault="00B57491" w:rsidP="00B57491">
      <w:pPr>
        <w:numPr>
          <w:ilvl w:val="0"/>
          <w:numId w:val="35"/>
        </w:numPr>
        <w:contextualSpacing/>
        <w:rPr>
          <w:rFonts w:ascii="Arial" w:eastAsia="Calibri" w:hAnsi="Arial" w:cs="Arial"/>
        </w:rPr>
      </w:pPr>
      <w:r w:rsidRPr="00B57491">
        <w:rPr>
          <w:rFonts w:ascii="Arial" w:eastAsia="Calibri" w:hAnsi="Arial" w:cs="Arial"/>
        </w:rPr>
        <w:t>kompetence organa za ugotavljanje skladnosti (tehnična oprema, strokovne kompetence kadra),</w:t>
      </w:r>
    </w:p>
    <w:p w:rsidR="00B57491" w:rsidRPr="00B57491" w:rsidRDefault="00B57491" w:rsidP="00B57491">
      <w:pPr>
        <w:numPr>
          <w:ilvl w:val="0"/>
          <w:numId w:val="35"/>
        </w:numPr>
        <w:contextualSpacing/>
        <w:rPr>
          <w:rFonts w:ascii="Arial" w:eastAsia="Calibri" w:hAnsi="Arial" w:cs="Arial"/>
        </w:rPr>
      </w:pPr>
      <w:r w:rsidRPr="00B57491">
        <w:rPr>
          <w:rFonts w:ascii="Arial" w:eastAsia="Calibri" w:hAnsi="Arial" w:cs="Arial"/>
        </w:rPr>
        <w:t>način in postopki, ki jih izvaja organ za ugotavljanje skladnost, izdaja listin o skladnosti, itd.</w:t>
      </w:r>
    </w:p>
    <w:p w:rsidR="00B57491" w:rsidRPr="00B57491" w:rsidRDefault="00B57491" w:rsidP="00B57491">
      <w:pPr>
        <w:numPr>
          <w:ilvl w:val="0"/>
          <w:numId w:val="35"/>
        </w:numPr>
        <w:contextualSpacing/>
        <w:rPr>
          <w:rFonts w:ascii="Arial" w:eastAsia="Calibri" w:hAnsi="Arial" w:cs="Arial"/>
        </w:rPr>
      </w:pPr>
      <w:r w:rsidRPr="00B57491">
        <w:rPr>
          <w:rFonts w:ascii="Arial" w:eastAsia="Calibri" w:hAnsi="Arial" w:cs="Arial"/>
        </w:rPr>
        <w:t>drugo glede na strokovne ugotovitve ter zahteve skladno z Zakonom o tehničnih zahtevah za proizvode in o ugotavljanju skladnosti (ZTZPUS-1).</w:t>
      </w:r>
    </w:p>
    <w:p w:rsidR="00B57491" w:rsidRPr="00B57491" w:rsidRDefault="00B57491" w:rsidP="00B57491">
      <w:pPr>
        <w:rPr>
          <w:rFonts w:ascii="Arial" w:eastAsia="Calibri" w:hAnsi="Arial" w:cs="Arial"/>
        </w:rPr>
      </w:pPr>
    </w:p>
    <w:p w:rsidR="00B57491" w:rsidRPr="00B57491" w:rsidRDefault="00B57491" w:rsidP="00B57491">
      <w:pPr>
        <w:numPr>
          <w:ilvl w:val="0"/>
          <w:numId w:val="31"/>
        </w:numPr>
        <w:contextualSpacing/>
        <w:rPr>
          <w:rFonts w:ascii="Arial" w:eastAsia="Calibri" w:hAnsi="Arial" w:cs="Arial"/>
          <w:b/>
        </w:rPr>
      </w:pPr>
      <w:r w:rsidRPr="00B57491">
        <w:rPr>
          <w:rFonts w:ascii="Arial" w:eastAsia="Calibri" w:hAnsi="Arial" w:cs="Arial"/>
          <w:b/>
        </w:rPr>
        <w:t xml:space="preserve">Tehnične zahteve za </w:t>
      </w:r>
      <w:proofErr w:type="spellStart"/>
      <w:r w:rsidRPr="00B57491">
        <w:rPr>
          <w:rFonts w:ascii="Arial" w:eastAsia="Calibri" w:hAnsi="Arial" w:cs="Arial"/>
          <w:b/>
        </w:rPr>
        <w:t>interoperabilnost</w:t>
      </w:r>
      <w:proofErr w:type="spellEnd"/>
      <w:r w:rsidRPr="00B57491">
        <w:rPr>
          <w:rFonts w:ascii="Arial" w:eastAsia="Calibri" w:hAnsi="Arial" w:cs="Arial"/>
          <w:b/>
        </w:rPr>
        <w:t xml:space="preserve"> polnilnih mest:</w:t>
      </w:r>
    </w:p>
    <w:p w:rsidR="00B57491" w:rsidRPr="00B57491" w:rsidRDefault="00B57491" w:rsidP="00B57491">
      <w:pPr>
        <w:numPr>
          <w:ilvl w:val="0"/>
          <w:numId w:val="36"/>
        </w:numPr>
        <w:contextualSpacing/>
        <w:rPr>
          <w:rFonts w:ascii="Arial" w:eastAsia="Calibri" w:hAnsi="Arial" w:cs="Arial"/>
        </w:rPr>
      </w:pPr>
      <w:r w:rsidRPr="00B57491">
        <w:rPr>
          <w:rFonts w:ascii="Arial" w:eastAsia="Calibri" w:hAnsi="Arial" w:cs="Arial"/>
        </w:rPr>
        <w:t>standardi za običajna polnilna mesta (vtičnice in priključki po načinu polnjenja),</w:t>
      </w:r>
    </w:p>
    <w:p w:rsidR="00B57491" w:rsidRPr="00B57491" w:rsidRDefault="00B57491" w:rsidP="00B57491">
      <w:pPr>
        <w:numPr>
          <w:ilvl w:val="0"/>
          <w:numId w:val="36"/>
        </w:numPr>
        <w:contextualSpacing/>
        <w:rPr>
          <w:rFonts w:ascii="Arial" w:eastAsia="Calibri" w:hAnsi="Arial" w:cs="Arial"/>
        </w:rPr>
      </w:pPr>
      <w:r w:rsidRPr="00B57491">
        <w:rPr>
          <w:rFonts w:ascii="Arial" w:eastAsia="Calibri" w:hAnsi="Arial" w:cs="Arial"/>
        </w:rPr>
        <w:t>standardi za polnilna mesta visokih moči (vtičnice in priključki po načinu polnjenja).</w:t>
      </w:r>
    </w:p>
    <w:p w:rsidR="00B57491" w:rsidRPr="00B57491" w:rsidRDefault="00B57491" w:rsidP="00B57491">
      <w:pPr>
        <w:ind w:left="720"/>
        <w:contextualSpacing/>
        <w:rPr>
          <w:rFonts w:ascii="Arial" w:eastAsia="Calibri" w:hAnsi="Arial" w:cs="Arial"/>
          <w:b/>
        </w:rPr>
      </w:pPr>
    </w:p>
    <w:p w:rsidR="00B57491" w:rsidRPr="00B57491" w:rsidRDefault="00B57491" w:rsidP="00B57491">
      <w:pPr>
        <w:rPr>
          <w:rFonts w:ascii="Arial" w:eastAsia="Calibri" w:hAnsi="Arial" w:cs="Arial"/>
        </w:rPr>
      </w:pPr>
      <w:r w:rsidRPr="00B57491">
        <w:rPr>
          <w:rFonts w:ascii="Arial" w:eastAsia="Calibri" w:hAnsi="Arial" w:cs="Arial"/>
        </w:rPr>
        <w:t>Podrobnejša vsebina bo določena kasneje.</w:t>
      </w:r>
    </w:p>
    <w:p w:rsidR="00B57491" w:rsidRPr="00B57491" w:rsidRDefault="00B57491" w:rsidP="00B57491">
      <w:pPr>
        <w:rPr>
          <w:rFonts w:ascii="Arial" w:eastAsia="Calibri" w:hAnsi="Arial" w:cs="Arial"/>
        </w:rPr>
      </w:pPr>
    </w:p>
    <w:p w:rsidR="00B57491" w:rsidRPr="00B57491" w:rsidRDefault="00B57491" w:rsidP="00B57491">
      <w:pPr>
        <w:spacing w:after="0" w:line="260" w:lineRule="exact"/>
        <w:jc w:val="both"/>
        <w:rPr>
          <w:rFonts w:ascii="Arial" w:eastAsia="Times New Roman" w:hAnsi="Arial" w:cs="Arial"/>
          <w:b/>
        </w:rPr>
      </w:pPr>
      <w:r w:rsidRPr="00B57491">
        <w:rPr>
          <w:rFonts w:ascii="Arial" w:eastAsia="Times New Roman" w:hAnsi="Arial" w:cs="Arial"/>
          <w:b/>
        </w:rPr>
        <w:t>ZAČETEK VELJAVNOSTI</w:t>
      </w:r>
    </w:p>
    <w:p w:rsidR="00B57491" w:rsidRPr="00B57491" w:rsidRDefault="00B57491" w:rsidP="00B57491">
      <w:pPr>
        <w:tabs>
          <w:tab w:val="left" w:pos="567"/>
        </w:tabs>
        <w:spacing w:after="0" w:line="260" w:lineRule="exact"/>
        <w:jc w:val="both"/>
        <w:rPr>
          <w:rFonts w:ascii="Arial" w:eastAsia="Times New Roman" w:hAnsi="Arial" w:cs="Arial"/>
        </w:rPr>
      </w:pPr>
    </w:p>
    <w:p w:rsidR="00B57491" w:rsidRPr="00B57491" w:rsidRDefault="00B57491" w:rsidP="00B57491">
      <w:pPr>
        <w:tabs>
          <w:tab w:val="left" w:pos="567"/>
        </w:tabs>
        <w:spacing w:after="0" w:line="260" w:lineRule="exact"/>
        <w:jc w:val="both"/>
        <w:rPr>
          <w:rFonts w:ascii="Arial" w:eastAsia="Times New Roman" w:hAnsi="Arial" w:cs="Arial"/>
        </w:rPr>
      </w:pPr>
      <w:r w:rsidRPr="00B57491">
        <w:rPr>
          <w:rFonts w:ascii="Arial" w:eastAsia="Times New Roman" w:hAnsi="Arial" w:cs="Arial"/>
        </w:rPr>
        <w:t>Ta pravilnik začne veljat petnajsti dan po objavi v Uradnem listu Republike Slovenije.</w:t>
      </w:r>
    </w:p>
    <w:p w:rsidR="00B57491" w:rsidRPr="00B57491" w:rsidRDefault="00B57491" w:rsidP="00B57491">
      <w:pPr>
        <w:tabs>
          <w:tab w:val="left" w:pos="708"/>
        </w:tabs>
        <w:spacing w:after="0" w:line="260" w:lineRule="exact"/>
        <w:rPr>
          <w:rFonts w:ascii="Arial" w:eastAsia="Times New Roman"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Times New Roman" w:hAnsi="Arial" w:cs="Arial"/>
          <w:b/>
          <w:bCs/>
          <w:color w:val="000000"/>
          <w:spacing w:val="40"/>
          <w:lang w:eastAsia="sl-SI"/>
        </w:rPr>
      </w:pPr>
      <w:r w:rsidRPr="00B57491">
        <w:rPr>
          <w:rFonts w:ascii="Arial" w:eastAsia="Times New Roman" w:hAnsi="Arial" w:cs="Arial"/>
          <w:b/>
          <w:bCs/>
          <w:color w:val="000000"/>
          <w:spacing w:val="40"/>
          <w:lang w:eastAsia="sl-SI"/>
        </w:rPr>
        <w:br w:type="page"/>
      </w: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rPr>
          <w:rFonts w:ascii="Arial" w:eastAsia="Times New Roman" w:hAnsi="Arial" w:cs="Arial"/>
          <w:b/>
          <w:bCs/>
          <w:color w:val="000000"/>
          <w:spacing w:val="40"/>
          <w:lang w:eastAsia="sl-SI"/>
        </w:rPr>
      </w:pPr>
      <w:r w:rsidRPr="00B57491">
        <w:rPr>
          <w:rFonts w:ascii="Arial" w:eastAsia="Times New Roman" w:hAnsi="Arial" w:cs="Arial"/>
          <w:b/>
          <w:bCs/>
          <w:color w:val="000000"/>
          <w:spacing w:val="40"/>
          <w:lang w:eastAsia="sl-SI"/>
        </w:rPr>
        <w:t>PREDLOG</w:t>
      </w: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312" w:lineRule="auto"/>
        <w:jc w:val="both"/>
        <w:rPr>
          <w:rFonts w:ascii="Arial" w:eastAsia="Times New Roman" w:hAnsi="Arial" w:cs="Arial"/>
        </w:rPr>
      </w:pPr>
      <w:r w:rsidRPr="00B57491">
        <w:rPr>
          <w:rFonts w:ascii="Arial" w:eastAsia="Times New Roman" w:hAnsi="Arial" w:cs="Arial"/>
        </w:rPr>
        <w:t>Na podlagi petega odstavka 32. člena in šestega odstavka 33. člena Zakona o infrastrukturi za alternativna goriva in spodbujanju prehoda na alternativna goriva v prometu (Uradni list RS, št. …), minister za prometno politiko, izdaja</w:t>
      </w:r>
    </w:p>
    <w:p w:rsidR="00B57491" w:rsidRPr="00B57491" w:rsidRDefault="00B57491" w:rsidP="00B57491">
      <w:pPr>
        <w:spacing w:after="0" w:line="260" w:lineRule="exact"/>
        <w:rPr>
          <w:rFonts w:ascii="Arial" w:eastAsia="Times New Roman" w:hAnsi="Arial" w:cs="Arial"/>
          <w:b/>
          <w:bCs/>
          <w:color w:val="000000"/>
          <w:spacing w:val="40"/>
          <w:lang w:eastAsia="sl-SI"/>
        </w:rPr>
      </w:pP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r w:rsidRPr="00B57491">
        <w:rPr>
          <w:rFonts w:ascii="Arial" w:eastAsia="Times New Roman" w:hAnsi="Arial" w:cs="Arial"/>
          <w:b/>
          <w:bCs/>
          <w:color w:val="000000"/>
          <w:spacing w:val="40"/>
          <w:lang w:eastAsia="sl-SI"/>
        </w:rPr>
        <w:t>PRAVILNIK</w:t>
      </w: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r w:rsidRPr="00B57491">
        <w:rPr>
          <w:rFonts w:ascii="Arial" w:eastAsia="Times New Roman" w:hAnsi="Arial" w:cs="Arial"/>
          <w:b/>
          <w:bCs/>
          <w:color w:val="000000"/>
          <w:spacing w:val="40"/>
          <w:lang w:eastAsia="sl-SI"/>
        </w:rPr>
        <w:t xml:space="preserve">O REGISTRACIJI ID KOD IN IZMENJAVI PODATKOV O POLNILNIH MESTIH ZA ELEKTRIČNA VOZILA </w:t>
      </w: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r w:rsidRPr="00B57491">
        <w:rPr>
          <w:rFonts w:ascii="Arial" w:eastAsia="Times New Roman" w:hAnsi="Arial" w:cs="Arial"/>
          <w:b/>
          <w:bCs/>
          <w:color w:val="000000"/>
          <w:spacing w:val="40"/>
          <w:lang w:eastAsia="sl-SI"/>
        </w:rPr>
        <w:t>Z NACIONALNO TOČKO DOSTOPA</w:t>
      </w:r>
    </w:p>
    <w:p w:rsidR="00B57491" w:rsidRPr="00B57491" w:rsidRDefault="00B57491" w:rsidP="00B57491">
      <w:pPr>
        <w:tabs>
          <w:tab w:val="left" w:pos="708"/>
        </w:tabs>
        <w:spacing w:after="0" w:line="260" w:lineRule="exact"/>
        <w:jc w:val="center"/>
        <w:rPr>
          <w:rFonts w:ascii="Arial" w:eastAsia="Times New Roman" w:hAnsi="Arial" w:cs="Arial"/>
          <w:b/>
        </w:rPr>
      </w:pPr>
    </w:p>
    <w:p w:rsidR="00B57491" w:rsidRPr="00B57491" w:rsidRDefault="00B57491" w:rsidP="00B57491">
      <w:pPr>
        <w:tabs>
          <w:tab w:val="left" w:pos="708"/>
        </w:tabs>
        <w:spacing w:after="0" w:line="260" w:lineRule="exact"/>
        <w:jc w:val="both"/>
        <w:rPr>
          <w:rFonts w:ascii="Arial" w:eastAsia="Times New Roman" w:hAnsi="Arial" w:cs="Arial"/>
          <w:b/>
        </w:rPr>
      </w:pPr>
    </w:p>
    <w:p w:rsidR="00B57491" w:rsidRPr="00B57491" w:rsidRDefault="00B57491" w:rsidP="00B57491">
      <w:pPr>
        <w:numPr>
          <w:ilvl w:val="0"/>
          <w:numId w:val="14"/>
        </w:numPr>
        <w:tabs>
          <w:tab w:val="left" w:pos="567"/>
        </w:tabs>
        <w:spacing w:after="0" w:line="260" w:lineRule="exact"/>
        <w:contextualSpacing/>
        <w:jc w:val="both"/>
        <w:rPr>
          <w:rFonts w:ascii="Arial" w:eastAsia="Times New Roman" w:hAnsi="Arial" w:cs="Arial"/>
          <w:b/>
        </w:rPr>
      </w:pPr>
      <w:r w:rsidRPr="00B57491">
        <w:rPr>
          <w:rFonts w:ascii="Arial" w:eastAsia="Times New Roman" w:hAnsi="Arial" w:cs="Arial"/>
          <w:b/>
        </w:rPr>
        <w:t>PREDMET UREJANJA (VSEBINA AKTA)</w:t>
      </w:r>
    </w:p>
    <w:p w:rsidR="00B57491" w:rsidRPr="00B57491" w:rsidRDefault="00B57491" w:rsidP="00B57491">
      <w:pPr>
        <w:tabs>
          <w:tab w:val="left" w:pos="567"/>
        </w:tabs>
        <w:spacing w:after="0" w:line="312" w:lineRule="auto"/>
        <w:jc w:val="both"/>
        <w:rPr>
          <w:rFonts w:ascii="Arial" w:eastAsia="Times New Roman" w:hAnsi="Arial" w:cs="Arial"/>
        </w:rPr>
      </w:pPr>
    </w:p>
    <w:p w:rsidR="00B57491" w:rsidRPr="00B57491" w:rsidRDefault="00B57491" w:rsidP="00B57491">
      <w:pPr>
        <w:tabs>
          <w:tab w:val="left" w:pos="567"/>
        </w:tabs>
        <w:spacing w:after="0" w:line="312" w:lineRule="auto"/>
        <w:jc w:val="both"/>
        <w:rPr>
          <w:rFonts w:ascii="Arial" w:eastAsia="Times New Roman" w:hAnsi="Arial" w:cs="Arial"/>
        </w:rPr>
      </w:pPr>
      <w:r w:rsidRPr="00B57491">
        <w:rPr>
          <w:rFonts w:ascii="Arial" w:eastAsia="Times New Roman" w:hAnsi="Arial" w:cs="Arial"/>
        </w:rPr>
        <w:t>Ta pravilnik določa:</w:t>
      </w:r>
    </w:p>
    <w:p w:rsidR="00B57491" w:rsidRPr="00B57491" w:rsidRDefault="00B57491" w:rsidP="00B57491">
      <w:pPr>
        <w:numPr>
          <w:ilvl w:val="0"/>
          <w:numId w:val="22"/>
        </w:numPr>
        <w:tabs>
          <w:tab w:val="left" w:pos="567"/>
        </w:tabs>
        <w:spacing w:after="0" w:line="312" w:lineRule="auto"/>
        <w:ind w:left="567" w:hanging="207"/>
        <w:contextualSpacing/>
        <w:jc w:val="both"/>
        <w:rPr>
          <w:rFonts w:ascii="Arial" w:eastAsia="Times New Roman" w:hAnsi="Arial" w:cs="Arial"/>
        </w:rPr>
      </w:pPr>
      <w:r w:rsidRPr="00B57491">
        <w:rPr>
          <w:rFonts w:ascii="Arial" w:eastAsia="Times New Roman" w:hAnsi="Arial" w:cs="Arial"/>
        </w:rPr>
        <w:t>vzpostavitev Registracijske pisarne in izvedbo registracij ID kod na področju polnilne infrastrukture za električna vozila;</w:t>
      </w:r>
    </w:p>
    <w:p w:rsidR="00B57491" w:rsidRPr="00B57491" w:rsidRDefault="00B57491" w:rsidP="00B57491">
      <w:pPr>
        <w:numPr>
          <w:ilvl w:val="0"/>
          <w:numId w:val="22"/>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vrste ID kod na področju polnilne infrastrukture za električna vozila;</w:t>
      </w:r>
    </w:p>
    <w:p w:rsidR="00B57491" w:rsidRPr="00B57491" w:rsidRDefault="00B57491" w:rsidP="00B57491">
      <w:pPr>
        <w:numPr>
          <w:ilvl w:val="0"/>
          <w:numId w:val="22"/>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zavezance za registracijo ID kod na področju polnilne infrastrukture za električna vozila;</w:t>
      </w:r>
    </w:p>
    <w:p w:rsidR="00B57491" w:rsidRPr="00B57491" w:rsidRDefault="00B57491" w:rsidP="00B57491">
      <w:pPr>
        <w:numPr>
          <w:ilvl w:val="0"/>
          <w:numId w:val="22"/>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 xml:space="preserve">vzpostavitev, upravljanje in vzdrževanje nacionalnega registra (nacionalnega </w:t>
      </w:r>
      <w:proofErr w:type="spellStart"/>
      <w:r w:rsidRPr="00B57491">
        <w:rPr>
          <w:rFonts w:ascii="Arial" w:eastAsia="Times New Roman" w:hAnsi="Arial" w:cs="Arial"/>
        </w:rPr>
        <w:t>repozitorija</w:t>
      </w:r>
      <w:proofErr w:type="spellEnd"/>
      <w:r w:rsidRPr="00B57491">
        <w:rPr>
          <w:rFonts w:ascii="Arial" w:eastAsia="Times New Roman" w:hAnsi="Arial" w:cs="Arial"/>
        </w:rPr>
        <w:t>) ID kod;</w:t>
      </w:r>
    </w:p>
    <w:p w:rsidR="00B57491" w:rsidRPr="00B57491" w:rsidRDefault="00B57491" w:rsidP="00B57491">
      <w:pPr>
        <w:numPr>
          <w:ilvl w:val="0"/>
          <w:numId w:val="22"/>
        </w:numPr>
        <w:tabs>
          <w:tab w:val="left" w:pos="567"/>
        </w:tabs>
        <w:spacing w:after="0" w:line="312" w:lineRule="auto"/>
        <w:ind w:left="567" w:hanging="207"/>
        <w:contextualSpacing/>
        <w:jc w:val="both"/>
        <w:rPr>
          <w:rFonts w:ascii="Arial" w:eastAsia="Times New Roman" w:hAnsi="Arial" w:cs="Arial"/>
        </w:rPr>
      </w:pPr>
      <w:r w:rsidRPr="00B57491">
        <w:rPr>
          <w:rFonts w:ascii="Arial" w:eastAsia="Times New Roman" w:hAnsi="Arial" w:cs="Arial"/>
        </w:rPr>
        <w:t>izmenjavo statičnih in dinamičnih podatkov o polnilnih mestih za električna vozila z nacionalno točko dostopa (NAP);</w:t>
      </w:r>
    </w:p>
    <w:p w:rsidR="00B57491" w:rsidRPr="00B57491" w:rsidRDefault="00B57491" w:rsidP="00B57491">
      <w:pPr>
        <w:numPr>
          <w:ilvl w:val="0"/>
          <w:numId w:val="22"/>
        </w:numPr>
        <w:tabs>
          <w:tab w:val="left" w:pos="567"/>
        </w:tabs>
        <w:spacing w:after="0" w:line="312" w:lineRule="auto"/>
        <w:ind w:left="567" w:hanging="207"/>
        <w:contextualSpacing/>
        <w:jc w:val="both"/>
        <w:rPr>
          <w:rFonts w:ascii="Arial" w:eastAsia="Times New Roman" w:hAnsi="Arial" w:cs="Arial"/>
        </w:rPr>
      </w:pPr>
      <w:r w:rsidRPr="00B57491">
        <w:rPr>
          <w:rFonts w:ascii="Arial" w:eastAsia="Times New Roman" w:hAnsi="Arial" w:cs="Arial"/>
        </w:rPr>
        <w:t>kategorije statičnih in dinamičnih podatkov o polnilnih mestih za električna vozila za izmenjavo z NAP ter frekvenco osveževanja podatkov;</w:t>
      </w:r>
    </w:p>
    <w:p w:rsidR="00B57491" w:rsidRPr="00B57491" w:rsidRDefault="00B57491" w:rsidP="00B57491">
      <w:pPr>
        <w:numPr>
          <w:ilvl w:val="0"/>
          <w:numId w:val="22"/>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tehnične in druge pogoje ter protokol za izmenjavo podatkov o polnilnih mestih z NAP.</w:t>
      </w:r>
    </w:p>
    <w:p w:rsidR="00B57491" w:rsidRPr="00B57491" w:rsidRDefault="00B57491" w:rsidP="00B57491">
      <w:pPr>
        <w:tabs>
          <w:tab w:val="left" w:pos="567"/>
        </w:tabs>
        <w:spacing w:after="0" w:line="312" w:lineRule="auto"/>
        <w:ind w:left="709" w:hanging="283"/>
        <w:jc w:val="both"/>
        <w:rPr>
          <w:rFonts w:ascii="Arial" w:eastAsia="Times New Roman" w:hAnsi="Arial" w:cs="Arial"/>
        </w:rPr>
      </w:pPr>
    </w:p>
    <w:p w:rsidR="00B57491" w:rsidRPr="00B57491" w:rsidRDefault="00B57491" w:rsidP="00B57491">
      <w:pPr>
        <w:tabs>
          <w:tab w:val="left" w:pos="567"/>
        </w:tabs>
        <w:spacing w:after="0" w:line="312" w:lineRule="auto"/>
        <w:jc w:val="both"/>
        <w:rPr>
          <w:rFonts w:ascii="Arial" w:eastAsia="Times New Roman" w:hAnsi="Arial" w:cs="Arial"/>
        </w:rPr>
      </w:pPr>
    </w:p>
    <w:p w:rsidR="00B57491" w:rsidRPr="00B57491" w:rsidRDefault="00B57491" w:rsidP="00B57491">
      <w:pPr>
        <w:numPr>
          <w:ilvl w:val="0"/>
          <w:numId w:val="15"/>
        </w:numPr>
        <w:tabs>
          <w:tab w:val="left" w:pos="708"/>
        </w:tabs>
        <w:spacing w:after="0" w:line="312" w:lineRule="auto"/>
        <w:ind w:left="567" w:hanging="207"/>
        <w:contextualSpacing/>
        <w:jc w:val="both"/>
        <w:rPr>
          <w:rFonts w:ascii="Arial" w:eastAsia="Times New Roman" w:hAnsi="Arial" w:cs="Arial"/>
          <w:b/>
        </w:rPr>
      </w:pPr>
      <w:r w:rsidRPr="00B57491">
        <w:rPr>
          <w:rFonts w:ascii="Arial" w:eastAsia="Times New Roman" w:hAnsi="Arial" w:cs="Arial"/>
          <w:b/>
        </w:rPr>
        <w:t xml:space="preserve"> PREDSTAVITEV PO VSEBINSKIH SKLOPIH:</w:t>
      </w:r>
    </w:p>
    <w:p w:rsidR="00B57491" w:rsidRPr="00B57491" w:rsidRDefault="00B57491" w:rsidP="00B57491">
      <w:pPr>
        <w:tabs>
          <w:tab w:val="left" w:pos="708"/>
        </w:tabs>
        <w:spacing w:after="0" w:line="312" w:lineRule="auto"/>
        <w:rPr>
          <w:rFonts w:ascii="Arial" w:eastAsia="Times New Roman" w:hAnsi="Arial" w:cs="Arial"/>
        </w:rPr>
      </w:pPr>
    </w:p>
    <w:p w:rsidR="00B57491" w:rsidRPr="00B57491" w:rsidRDefault="00B57491" w:rsidP="00B57491">
      <w:pPr>
        <w:tabs>
          <w:tab w:val="left" w:pos="567"/>
        </w:tabs>
        <w:spacing w:after="0" w:line="312" w:lineRule="auto"/>
        <w:jc w:val="both"/>
        <w:rPr>
          <w:rFonts w:ascii="Arial" w:eastAsia="Times New Roman" w:hAnsi="Arial" w:cs="Arial"/>
        </w:rPr>
      </w:pPr>
      <w:r w:rsidRPr="00B57491">
        <w:rPr>
          <w:rFonts w:ascii="Arial" w:eastAsia="Times New Roman" w:hAnsi="Arial" w:cs="Arial"/>
        </w:rPr>
        <w:t>Ta pravilnik podrobneje ureja vsebine, pristojnosti, postopke in zavezance pri izvedbi registracije ID kod na področju polnilne infrastrukture za alternativna goriva v prometu, ter vzpostavitev in upravljanje nacionalnega registra ID kod.</w:t>
      </w:r>
    </w:p>
    <w:p w:rsidR="00B57491" w:rsidRPr="00B57491" w:rsidRDefault="00B57491" w:rsidP="00B57491">
      <w:pPr>
        <w:tabs>
          <w:tab w:val="left" w:pos="567"/>
        </w:tabs>
        <w:spacing w:after="0" w:line="312" w:lineRule="auto"/>
        <w:jc w:val="both"/>
        <w:rPr>
          <w:rFonts w:ascii="Arial" w:eastAsia="Times New Roman" w:hAnsi="Arial" w:cs="Arial"/>
        </w:rPr>
      </w:pPr>
    </w:p>
    <w:p w:rsidR="00B57491" w:rsidRPr="00B57491" w:rsidRDefault="00B57491" w:rsidP="00B57491">
      <w:pPr>
        <w:tabs>
          <w:tab w:val="left" w:pos="567"/>
        </w:tabs>
        <w:spacing w:after="0" w:line="312" w:lineRule="auto"/>
        <w:jc w:val="both"/>
        <w:rPr>
          <w:rFonts w:ascii="Arial" w:eastAsia="Times New Roman" w:hAnsi="Arial" w:cs="Arial"/>
          <w:b/>
        </w:rPr>
      </w:pPr>
      <w:r w:rsidRPr="00B57491">
        <w:rPr>
          <w:rFonts w:ascii="Arial" w:eastAsia="Times New Roman" w:hAnsi="Arial" w:cs="Arial"/>
          <w:b/>
        </w:rPr>
        <w:t>SKLOP A:  Delovanje Registracijske pisarne in izvedbo registracij ID kod na področju polnilne in oskrbovalne infrastrukture za AG v prometu:</w:t>
      </w:r>
    </w:p>
    <w:p w:rsidR="00B57491" w:rsidRPr="00B57491" w:rsidRDefault="00B57491" w:rsidP="00B57491">
      <w:pPr>
        <w:numPr>
          <w:ilvl w:val="0"/>
          <w:numId w:val="23"/>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vzpostavitev in organiziranost Registracijske pisarne za izdajo in upravljanje ID kod, kot del organizacijske strukture ministrstva, pristojnega za trajnostno mobilnost;</w:t>
      </w:r>
    </w:p>
    <w:p w:rsidR="00B57491" w:rsidRPr="00B57491" w:rsidRDefault="00B57491" w:rsidP="00B57491">
      <w:pPr>
        <w:numPr>
          <w:ilvl w:val="0"/>
          <w:numId w:val="23"/>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določitev namena, nalog in pristojnosti Registracijske pisarne;</w:t>
      </w:r>
    </w:p>
    <w:p w:rsidR="00B57491" w:rsidRPr="00B57491" w:rsidRDefault="00B57491" w:rsidP="00B57491">
      <w:pPr>
        <w:numPr>
          <w:ilvl w:val="0"/>
          <w:numId w:val="23"/>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postopek registracije ID kod (računalniška aplikacija Prometej).</w:t>
      </w:r>
    </w:p>
    <w:p w:rsidR="00B57491" w:rsidRPr="00B57491" w:rsidRDefault="00B57491" w:rsidP="00B57491">
      <w:pPr>
        <w:tabs>
          <w:tab w:val="left" w:pos="567"/>
        </w:tabs>
        <w:spacing w:after="0" w:line="312" w:lineRule="auto"/>
        <w:jc w:val="both"/>
        <w:rPr>
          <w:rFonts w:ascii="Arial" w:eastAsia="Times New Roman" w:hAnsi="Arial" w:cs="Arial"/>
          <w:b/>
        </w:rPr>
      </w:pPr>
    </w:p>
    <w:p w:rsidR="00B57491" w:rsidRPr="00B57491" w:rsidRDefault="00B57491" w:rsidP="00B57491">
      <w:pPr>
        <w:tabs>
          <w:tab w:val="left" w:pos="567"/>
        </w:tabs>
        <w:spacing w:after="0" w:line="312" w:lineRule="auto"/>
        <w:jc w:val="both"/>
        <w:rPr>
          <w:rFonts w:ascii="Arial" w:eastAsia="Times New Roman" w:hAnsi="Arial" w:cs="Arial"/>
          <w:b/>
        </w:rPr>
      </w:pPr>
      <w:r w:rsidRPr="00B57491">
        <w:rPr>
          <w:rFonts w:ascii="Arial" w:eastAsia="Times New Roman" w:hAnsi="Arial" w:cs="Arial"/>
          <w:b/>
        </w:rPr>
        <w:lastRenderedPageBreak/>
        <w:t>SKLOP B: Določitev namena in vrste ID kod na področju polnilne infrastrukture za električna vozila:</w:t>
      </w:r>
    </w:p>
    <w:p w:rsidR="00B57491" w:rsidRPr="00B57491" w:rsidRDefault="00B57491" w:rsidP="00B57491">
      <w:pPr>
        <w:numPr>
          <w:ilvl w:val="0"/>
          <w:numId w:val="24"/>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CPO ID koda (ID koda upravljalca polnilnega mesta);</w:t>
      </w:r>
    </w:p>
    <w:p w:rsidR="00B57491" w:rsidRPr="00B57491" w:rsidRDefault="00B57491" w:rsidP="00B57491">
      <w:pPr>
        <w:numPr>
          <w:ilvl w:val="0"/>
          <w:numId w:val="24"/>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MSP ID koda (ID koda ponudnika storitev električnega polnjenja);</w:t>
      </w:r>
    </w:p>
    <w:p w:rsidR="00B57491" w:rsidRPr="00B57491" w:rsidRDefault="00B57491" w:rsidP="00B57491">
      <w:pPr>
        <w:numPr>
          <w:ilvl w:val="0"/>
          <w:numId w:val="24"/>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EVSE ID koda (ID koda polnilnega mesta);</w:t>
      </w:r>
    </w:p>
    <w:p w:rsidR="00B57491" w:rsidRPr="00B57491" w:rsidRDefault="00B57491" w:rsidP="00B57491">
      <w:pPr>
        <w:numPr>
          <w:ilvl w:val="0"/>
          <w:numId w:val="24"/>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EMA ID koda (ID koda pogodbenega razmerja med ponudniki storitev polnjenja in končnimi uporabniki).</w:t>
      </w:r>
    </w:p>
    <w:p w:rsidR="00B57491" w:rsidRPr="00B57491" w:rsidRDefault="00B57491" w:rsidP="00B57491">
      <w:pPr>
        <w:tabs>
          <w:tab w:val="left" w:pos="567"/>
        </w:tabs>
        <w:spacing w:after="0" w:line="312" w:lineRule="auto"/>
        <w:jc w:val="both"/>
        <w:rPr>
          <w:rFonts w:ascii="Arial" w:eastAsia="Times New Roman" w:hAnsi="Arial" w:cs="Arial"/>
          <w:b/>
        </w:rPr>
      </w:pPr>
    </w:p>
    <w:p w:rsidR="00B57491" w:rsidRPr="00B57491" w:rsidRDefault="00B57491" w:rsidP="00B57491">
      <w:pPr>
        <w:tabs>
          <w:tab w:val="left" w:pos="567"/>
        </w:tabs>
        <w:spacing w:after="0" w:line="312" w:lineRule="auto"/>
        <w:jc w:val="both"/>
        <w:rPr>
          <w:rFonts w:ascii="Arial" w:eastAsia="Times New Roman" w:hAnsi="Arial" w:cs="Arial"/>
          <w:b/>
        </w:rPr>
      </w:pPr>
      <w:r w:rsidRPr="00B57491">
        <w:rPr>
          <w:rFonts w:ascii="Arial" w:eastAsia="Times New Roman" w:hAnsi="Arial" w:cs="Arial"/>
          <w:b/>
        </w:rPr>
        <w:t>SKLOP C. Opredelitev deležnikov na področju polnilne infrastrukture za električna vozila ter zavezancev za registracijo ID kod:</w:t>
      </w:r>
    </w:p>
    <w:p w:rsidR="00B57491" w:rsidRPr="00B57491" w:rsidRDefault="00B57491" w:rsidP="00B57491">
      <w:pPr>
        <w:numPr>
          <w:ilvl w:val="0"/>
          <w:numId w:val="25"/>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pasivni deležniki: lastnik polnilnega mesta za polnjenje električnega vozila, lastnik zemljišča, kjer je vzpostavljeno polnilno mesto za polnjenje električnega vozila;</w:t>
      </w:r>
    </w:p>
    <w:p w:rsidR="00B57491" w:rsidRPr="00B57491" w:rsidRDefault="00B57491" w:rsidP="00B57491">
      <w:pPr>
        <w:numPr>
          <w:ilvl w:val="0"/>
          <w:numId w:val="25"/>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aktivni deležniki: upravljalec polnilnega mesta za električno vozilo, ponudnik storitve električnega polnjenja;</w:t>
      </w:r>
    </w:p>
    <w:p w:rsidR="00B57491" w:rsidRPr="00B57491" w:rsidRDefault="00B57491" w:rsidP="00B57491">
      <w:pPr>
        <w:numPr>
          <w:ilvl w:val="0"/>
          <w:numId w:val="25"/>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zavezanci za registracijo ID kod.</w:t>
      </w:r>
    </w:p>
    <w:p w:rsidR="00B57491" w:rsidRPr="00B57491" w:rsidRDefault="00B57491" w:rsidP="00B57491">
      <w:pPr>
        <w:tabs>
          <w:tab w:val="left" w:pos="567"/>
        </w:tabs>
        <w:spacing w:after="0" w:line="312" w:lineRule="auto"/>
        <w:jc w:val="both"/>
        <w:rPr>
          <w:rFonts w:ascii="Arial" w:eastAsia="Times New Roman" w:hAnsi="Arial" w:cs="Arial"/>
          <w:b/>
        </w:rPr>
      </w:pPr>
    </w:p>
    <w:p w:rsidR="00B57491" w:rsidRPr="00B57491" w:rsidRDefault="00B57491" w:rsidP="00B57491">
      <w:pPr>
        <w:tabs>
          <w:tab w:val="left" w:pos="567"/>
        </w:tabs>
        <w:spacing w:after="0" w:line="312" w:lineRule="auto"/>
        <w:jc w:val="both"/>
        <w:rPr>
          <w:rFonts w:ascii="Arial" w:eastAsia="Times New Roman" w:hAnsi="Arial" w:cs="Arial"/>
          <w:b/>
        </w:rPr>
      </w:pPr>
      <w:r w:rsidRPr="00B57491">
        <w:rPr>
          <w:rFonts w:ascii="Arial" w:eastAsia="Times New Roman" w:hAnsi="Arial" w:cs="Arial"/>
          <w:b/>
        </w:rPr>
        <w:t xml:space="preserve">SKLOP D: Vzpostavitev, upravljanje in vzdrževanje nacionalnega registra (nacionalnega </w:t>
      </w:r>
      <w:proofErr w:type="spellStart"/>
      <w:r w:rsidRPr="00B57491">
        <w:rPr>
          <w:rFonts w:ascii="Arial" w:eastAsia="Times New Roman" w:hAnsi="Arial" w:cs="Arial"/>
          <w:b/>
        </w:rPr>
        <w:t>repozitorija</w:t>
      </w:r>
      <w:proofErr w:type="spellEnd"/>
      <w:r w:rsidRPr="00B57491">
        <w:rPr>
          <w:rFonts w:ascii="Arial" w:eastAsia="Times New Roman" w:hAnsi="Arial" w:cs="Arial"/>
          <w:b/>
        </w:rPr>
        <w:t>) ID kod na področju polnilne infrastrukture za električna vozila</w:t>
      </w:r>
    </w:p>
    <w:p w:rsidR="00B57491" w:rsidRPr="00B57491" w:rsidRDefault="00B57491" w:rsidP="00B57491">
      <w:pPr>
        <w:numPr>
          <w:ilvl w:val="0"/>
          <w:numId w:val="26"/>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 xml:space="preserve">namen vzpostavitve nacionalnega </w:t>
      </w:r>
      <w:proofErr w:type="spellStart"/>
      <w:r w:rsidRPr="00B57491">
        <w:rPr>
          <w:rFonts w:ascii="Arial" w:eastAsia="Times New Roman" w:hAnsi="Arial" w:cs="Arial"/>
        </w:rPr>
        <w:t>repozitorija</w:t>
      </w:r>
      <w:proofErr w:type="spellEnd"/>
      <w:r w:rsidRPr="00B57491">
        <w:rPr>
          <w:rFonts w:ascii="Arial" w:eastAsia="Times New Roman" w:hAnsi="Arial" w:cs="Arial"/>
        </w:rPr>
        <w:t xml:space="preserve"> ID kod;</w:t>
      </w:r>
    </w:p>
    <w:p w:rsidR="00B57491" w:rsidRPr="00B57491" w:rsidRDefault="00B57491" w:rsidP="00B57491">
      <w:pPr>
        <w:numPr>
          <w:ilvl w:val="0"/>
          <w:numId w:val="26"/>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 xml:space="preserve">upravljanje in vzdrževanje nacionalnega </w:t>
      </w:r>
      <w:proofErr w:type="spellStart"/>
      <w:r w:rsidRPr="00B57491">
        <w:rPr>
          <w:rFonts w:ascii="Arial" w:eastAsia="Times New Roman" w:hAnsi="Arial" w:cs="Arial"/>
        </w:rPr>
        <w:t>repozitorija</w:t>
      </w:r>
      <w:proofErr w:type="spellEnd"/>
      <w:r w:rsidRPr="00B57491">
        <w:rPr>
          <w:rFonts w:ascii="Arial" w:eastAsia="Times New Roman" w:hAnsi="Arial" w:cs="Arial"/>
        </w:rPr>
        <w:t xml:space="preserve"> ID kod,</w:t>
      </w:r>
    </w:p>
    <w:p w:rsidR="00B57491" w:rsidRPr="00B57491" w:rsidRDefault="00B57491" w:rsidP="00B57491">
      <w:pPr>
        <w:numPr>
          <w:ilvl w:val="0"/>
          <w:numId w:val="26"/>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 xml:space="preserve">izmenjava podatkov o ID kodah z EU </w:t>
      </w:r>
      <w:proofErr w:type="spellStart"/>
      <w:r w:rsidRPr="00B57491">
        <w:rPr>
          <w:rFonts w:ascii="Arial" w:eastAsia="Times New Roman" w:hAnsi="Arial" w:cs="Arial"/>
        </w:rPr>
        <w:t>repozitorijem</w:t>
      </w:r>
      <w:proofErr w:type="spellEnd"/>
      <w:r w:rsidRPr="00B57491">
        <w:rPr>
          <w:rFonts w:ascii="Arial" w:eastAsia="Times New Roman" w:hAnsi="Arial" w:cs="Arial"/>
        </w:rPr>
        <w:t xml:space="preserve"> ID kod. </w:t>
      </w:r>
    </w:p>
    <w:p w:rsidR="00B57491" w:rsidRPr="00B57491" w:rsidRDefault="00B57491" w:rsidP="00B57491">
      <w:pPr>
        <w:tabs>
          <w:tab w:val="left" w:pos="567"/>
        </w:tabs>
        <w:spacing w:after="0" w:line="312" w:lineRule="auto"/>
        <w:jc w:val="both"/>
        <w:rPr>
          <w:rFonts w:ascii="Arial" w:eastAsia="Times New Roman" w:hAnsi="Arial" w:cs="Arial"/>
        </w:rPr>
      </w:pPr>
    </w:p>
    <w:p w:rsidR="00B57491" w:rsidRPr="00B57491" w:rsidRDefault="00B57491" w:rsidP="00B57491">
      <w:pPr>
        <w:spacing w:after="0" w:line="312" w:lineRule="auto"/>
        <w:jc w:val="both"/>
        <w:rPr>
          <w:rFonts w:ascii="Arial" w:eastAsia="Times New Roman" w:hAnsi="Arial" w:cs="Arial"/>
          <w:b/>
        </w:rPr>
      </w:pPr>
      <w:r w:rsidRPr="00B57491">
        <w:rPr>
          <w:rFonts w:ascii="Arial" w:eastAsia="Times New Roman" w:hAnsi="Arial" w:cs="Arial"/>
          <w:b/>
        </w:rPr>
        <w:t>SKLOP E: Izmenjava statičnih in dinamičnih podatkov o polnilnih mestih za električna vozila z nacionalno točko dostopa (NAP)</w:t>
      </w:r>
    </w:p>
    <w:p w:rsidR="00B57491" w:rsidRPr="00B57491" w:rsidRDefault="00B57491" w:rsidP="00B57491">
      <w:pPr>
        <w:numPr>
          <w:ilvl w:val="0"/>
          <w:numId w:val="27"/>
        </w:numPr>
        <w:spacing w:after="0" w:line="312" w:lineRule="auto"/>
        <w:contextualSpacing/>
        <w:jc w:val="both"/>
        <w:rPr>
          <w:rFonts w:ascii="Arial" w:eastAsia="Times New Roman" w:hAnsi="Arial" w:cs="Arial"/>
        </w:rPr>
      </w:pPr>
      <w:r w:rsidRPr="00B57491">
        <w:rPr>
          <w:rFonts w:ascii="Arial" w:eastAsia="Times New Roman" w:hAnsi="Arial" w:cs="Arial"/>
        </w:rPr>
        <w:t>namen vzpostavitve izmenjave podatkov z NAP;</w:t>
      </w:r>
    </w:p>
    <w:p w:rsidR="00B57491" w:rsidRPr="00B57491" w:rsidRDefault="00B57491" w:rsidP="00B57491">
      <w:pPr>
        <w:numPr>
          <w:ilvl w:val="0"/>
          <w:numId w:val="27"/>
        </w:numPr>
        <w:spacing w:after="0" w:line="312" w:lineRule="auto"/>
        <w:contextualSpacing/>
        <w:jc w:val="both"/>
        <w:rPr>
          <w:rFonts w:ascii="Arial" w:eastAsia="Times New Roman" w:hAnsi="Arial" w:cs="Arial"/>
        </w:rPr>
      </w:pPr>
      <w:r w:rsidRPr="00B57491">
        <w:rPr>
          <w:rFonts w:ascii="Arial" w:eastAsia="Times New Roman" w:hAnsi="Arial" w:cs="Arial"/>
        </w:rPr>
        <w:t>deležniki pri izmenjavi podatkov z NAP;</w:t>
      </w:r>
    </w:p>
    <w:p w:rsidR="00B57491" w:rsidRPr="00B57491" w:rsidRDefault="00B57491" w:rsidP="00B57491">
      <w:pPr>
        <w:numPr>
          <w:ilvl w:val="0"/>
          <w:numId w:val="27"/>
        </w:numPr>
        <w:spacing w:after="0" w:line="312" w:lineRule="auto"/>
        <w:contextualSpacing/>
        <w:jc w:val="both"/>
        <w:rPr>
          <w:rFonts w:ascii="Arial" w:eastAsia="Times New Roman" w:hAnsi="Arial" w:cs="Arial"/>
        </w:rPr>
      </w:pPr>
      <w:r w:rsidRPr="00B57491">
        <w:rPr>
          <w:rFonts w:ascii="Arial" w:eastAsia="Times New Roman" w:hAnsi="Arial" w:cs="Arial"/>
        </w:rPr>
        <w:t>opredelitev vloge upravljalca NAP;</w:t>
      </w:r>
    </w:p>
    <w:p w:rsidR="00B57491" w:rsidRPr="00B57491" w:rsidRDefault="00B57491" w:rsidP="00B57491">
      <w:pPr>
        <w:numPr>
          <w:ilvl w:val="0"/>
          <w:numId w:val="27"/>
        </w:numPr>
        <w:spacing w:after="0" w:line="312" w:lineRule="auto"/>
        <w:contextualSpacing/>
        <w:jc w:val="both"/>
        <w:rPr>
          <w:rFonts w:ascii="Arial" w:eastAsia="Times New Roman" w:hAnsi="Arial" w:cs="Arial"/>
        </w:rPr>
      </w:pPr>
      <w:r w:rsidRPr="00B57491">
        <w:rPr>
          <w:rFonts w:ascii="Arial" w:eastAsia="Times New Roman" w:hAnsi="Arial" w:cs="Arial"/>
        </w:rPr>
        <w:t>opredelitev splošnih pogojev za uporabo in ponovno uporabo podatkov o polnilnih mestih na način G2B;</w:t>
      </w:r>
    </w:p>
    <w:p w:rsidR="00B57491" w:rsidRPr="00B57491" w:rsidRDefault="00B57491" w:rsidP="00B57491">
      <w:pPr>
        <w:spacing w:after="0" w:line="312" w:lineRule="auto"/>
        <w:jc w:val="both"/>
        <w:rPr>
          <w:rFonts w:ascii="Arial" w:eastAsia="Times New Roman" w:hAnsi="Arial" w:cs="Arial"/>
        </w:rPr>
      </w:pPr>
    </w:p>
    <w:p w:rsidR="00B57491" w:rsidRPr="00B57491" w:rsidRDefault="00B57491" w:rsidP="00B57491">
      <w:pPr>
        <w:tabs>
          <w:tab w:val="left" w:pos="567"/>
        </w:tabs>
        <w:spacing w:after="0" w:line="312" w:lineRule="auto"/>
        <w:jc w:val="both"/>
        <w:rPr>
          <w:rFonts w:ascii="Arial" w:eastAsia="Times New Roman" w:hAnsi="Arial" w:cs="Arial"/>
          <w:b/>
        </w:rPr>
      </w:pPr>
      <w:r w:rsidRPr="00B57491">
        <w:rPr>
          <w:rFonts w:ascii="Arial" w:eastAsia="Times New Roman" w:hAnsi="Arial" w:cs="Arial"/>
          <w:b/>
        </w:rPr>
        <w:t>SKLOP F: Kategorije statičnih in dinamičnih podatkov o polnilnih mestih za izmenjavo z NAP ter frekvenca osveževanja podatkov</w:t>
      </w:r>
    </w:p>
    <w:p w:rsidR="00B57491" w:rsidRPr="00B57491" w:rsidRDefault="00B57491" w:rsidP="00B57491">
      <w:pPr>
        <w:numPr>
          <w:ilvl w:val="0"/>
          <w:numId w:val="28"/>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opredelitev kategorij statičnih podatkov o polnilnih mestih za električna vozila;</w:t>
      </w:r>
    </w:p>
    <w:p w:rsidR="00B57491" w:rsidRPr="00B57491" w:rsidRDefault="00B57491" w:rsidP="00B57491">
      <w:pPr>
        <w:numPr>
          <w:ilvl w:val="0"/>
          <w:numId w:val="28"/>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opredelitev kategorij dinamičnih podatkov;</w:t>
      </w:r>
    </w:p>
    <w:p w:rsidR="00B57491" w:rsidRPr="00B57491" w:rsidRDefault="00B57491" w:rsidP="00B57491">
      <w:pPr>
        <w:numPr>
          <w:ilvl w:val="0"/>
          <w:numId w:val="28"/>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opredelitev frekvence osveževanja podatkov za posamezno kategorijo podatkov.</w:t>
      </w:r>
    </w:p>
    <w:p w:rsidR="00B57491" w:rsidRPr="00B57491" w:rsidRDefault="00B57491" w:rsidP="00B57491">
      <w:pPr>
        <w:spacing w:after="0" w:line="312" w:lineRule="auto"/>
        <w:jc w:val="both"/>
        <w:rPr>
          <w:rFonts w:ascii="Arial" w:eastAsia="Times New Roman" w:hAnsi="Arial" w:cs="Arial"/>
          <w:b/>
        </w:rPr>
      </w:pPr>
    </w:p>
    <w:p w:rsidR="00B57491" w:rsidRPr="00B57491" w:rsidRDefault="00B57491" w:rsidP="00B57491">
      <w:pPr>
        <w:tabs>
          <w:tab w:val="left" w:pos="567"/>
        </w:tabs>
        <w:spacing w:after="0" w:line="312" w:lineRule="auto"/>
        <w:jc w:val="both"/>
        <w:rPr>
          <w:rFonts w:ascii="Arial" w:eastAsia="Times New Roman" w:hAnsi="Arial" w:cs="Arial"/>
          <w:b/>
        </w:rPr>
      </w:pPr>
      <w:r w:rsidRPr="00B57491">
        <w:rPr>
          <w:rFonts w:ascii="Arial" w:eastAsia="Times New Roman" w:hAnsi="Arial" w:cs="Arial"/>
          <w:b/>
        </w:rPr>
        <w:t>SKLOP G: Tehnični in drugi pogoji ter  protokol za izmenjavo podatkov o polnilnih mestih z NAP</w:t>
      </w:r>
    </w:p>
    <w:p w:rsidR="00B57491" w:rsidRPr="00B57491" w:rsidRDefault="00B57491" w:rsidP="00B57491">
      <w:pPr>
        <w:numPr>
          <w:ilvl w:val="0"/>
          <w:numId w:val="29"/>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opredelitev formata vhodnih podatkov in protokolov za izmenjavo podatkov z NAP;</w:t>
      </w:r>
    </w:p>
    <w:p w:rsidR="00B57491" w:rsidRPr="00B57491" w:rsidRDefault="00B57491" w:rsidP="00B57491">
      <w:pPr>
        <w:numPr>
          <w:ilvl w:val="0"/>
          <w:numId w:val="29"/>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translacija protokolov v DATEX obliko;</w:t>
      </w:r>
    </w:p>
    <w:p w:rsidR="00B57491" w:rsidRPr="00B57491" w:rsidRDefault="00B57491" w:rsidP="00B57491">
      <w:pPr>
        <w:numPr>
          <w:ilvl w:val="0"/>
          <w:numId w:val="29"/>
        </w:numPr>
        <w:tabs>
          <w:tab w:val="left" w:pos="567"/>
        </w:tabs>
        <w:spacing w:after="0" w:line="312" w:lineRule="auto"/>
        <w:contextualSpacing/>
        <w:jc w:val="both"/>
        <w:rPr>
          <w:rFonts w:ascii="Arial" w:eastAsia="Times New Roman" w:hAnsi="Arial" w:cs="Arial"/>
        </w:rPr>
      </w:pPr>
      <w:r w:rsidRPr="00B57491">
        <w:rPr>
          <w:rFonts w:ascii="Arial" w:eastAsia="Times New Roman" w:hAnsi="Arial" w:cs="Arial"/>
        </w:rPr>
        <w:t>opredelitev tehnične podpore za izvedbo izmenjave preko OPEN API;</w:t>
      </w:r>
    </w:p>
    <w:p w:rsidR="00B57491" w:rsidRPr="00B57491" w:rsidRDefault="00B57491" w:rsidP="00B57491">
      <w:pPr>
        <w:tabs>
          <w:tab w:val="left" w:pos="567"/>
        </w:tabs>
        <w:spacing w:after="0" w:line="312" w:lineRule="auto"/>
        <w:ind w:left="720"/>
        <w:contextualSpacing/>
        <w:jc w:val="both"/>
        <w:rPr>
          <w:rFonts w:ascii="Arial" w:eastAsia="Times New Roman" w:hAnsi="Arial" w:cs="Arial"/>
          <w:b/>
        </w:rPr>
      </w:pPr>
    </w:p>
    <w:p w:rsidR="00B57491" w:rsidRPr="00B57491" w:rsidRDefault="00B57491" w:rsidP="00B57491">
      <w:pPr>
        <w:spacing w:after="0" w:line="312" w:lineRule="auto"/>
        <w:jc w:val="both"/>
        <w:rPr>
          <w:rFonts w:ascii="Arial" w:eastAsia="Times New Roman" w:hAnsi="Arial" w:cs="Arial"/>
        </w:rPr>
      </w:pPr>
    </w:p>
    <w:p w:rsidR="00B57491" w:rsidRPr="00B57491" w:rsidRDefault="00B57491" w:rsidP="00B57491">
      <w:pPr>
        <w:numPr>
          <w:ilvl w:val="0"/>
          <w:numId w:val="15"/>
        </w:numPr>
        <w:tabs>
          <w:tab w:val="left" w:pos="567"/>
        </w:tabs>
        <w:spacing w:after="0" w:line="312" w:lineRule="auto"/>
        <w:ind w:left="567" w:hanging="207"/>
        <w:contextualSpacing/>
        <w:jc w:val="both"/>
        <w:rPr>
          <w:rFonts w:ascii="Arial" w:eastAsia="Times New Roman" w:hAnsi="Arial" w:cs="Arial"/>
          <w:b/>
        </w:rPr>
      </w:pPr>
      <w:r w:rsidRPr="00B57491">
        <w:rPr>
          <w:rFonts w:ascii="Arial" w:eastAsia="Times New Roman" w:hAnsi="Arial" w:cs="Arial"/>
          <w:b/>
        </w:rPr>
        <w:t>ZAČETEK VELJAVNOSTI</w:t>
      </w:r>
    </w:p>
    <w:p w:rsidR="00B57491" w:rsidRPr="00B57491" w:rsidRDefault="00B57491" w:rsidP="00B57491">
      <w:pPr>
        <w:tabs>
          <w:tab w:val="left" w:pos="567"/>
        </w:tabs>
        <w:spacing w:after="0" w:line="312" w:lineRule="auto"/>
        <w:jc w:val="both"/>
        <w:rPr>
          <w:rFonts w:ascii="Arial" w:eastAsia="Times New Roman" w:hAnsi="Arial" w:cs="Arial"/>
        </w:rPr>
      </w:pPr>
    </w:p>
    <w:p w:rsidR="00B57491" w:rsidRPr="00B57491" w:rsidRDefault="00B57491" w:rsidP="00B57491">
      <w:pPr>
        <w:tabs>
          <w:tab w:val="left" w:pos="567"/>
        </w:tabs>
        <w:spacing w:after="0" w:line="312" w:lineRule="auto"/>
        <w:jc w:val="both"/>
        <w:rPr>
          <w:rFonts w:ascii="Arial" w:eastAsia="Times New Roman" w:hAnsi="Arial" w:cs="Arial"/>
        </w:rPr>
      </w:pPr>
      <w:r w:rsidRPr="00B57491">
        <w:rPr>
          <w:rFonts w:ascii="Arial" w:eastAsia="Times New Roman" w:hAnsi="Arial" w:cs="Arial"/>
        </w:rPr>
        <w:t>Ta pravilnik začne veljat petnajsti dan po objavi v Uradnem listu Republike Slovenije.</w:t>
      </w:r>
    </w:p>
    <w:p w:rsidR="00B57491" w:rsidRPr="00B57491" w:rsidRDefault="00B57491" w:rsidP="00B57491">
      <w:pPr>
        <w:tabs>
          <w:tab w:val="left" w:pos="708"/>
        </w:tabs>
        <w:spacing w:after="0" w:line="312" w:lineRule="auto"/>
        <w:rPr>
          <w:rFonts w:ascii="Arial" w:eastAsia="Times New Roman" w:hAnsi="Arial" w:cs="Arial"/>
          <w:b/>
        </w:rPr>
      </w:pPr>
    </w:p>
    <w:p w:rsidR="00B57491" w:rsidRPr="00B57491" w:rsidRDefault="00B57491" w:rsidP="00B57491">
      <w:pPr>
        <w:tabs>
          <w:tab w:val="left" w:pos="708"/>
        </w:tabs>
        <w:spacing w:after="0" w:line="312" w:lineRule="auto"/>
        <w:rPr>
          <w:rFonts w:ascii="Arial" w:eastAsia="Times New Roman" w:hAnsi="Arial" w:cs="Arial"/>
          <w:b/>
        </w:rPr>
      </w:pPr>
    </w:p>
    <w:p w:rsidR="00B57491" w:rsidRPr="00B57491" w:rsidRDefault="00B57491" w:rsidP="00B57491">
      <w:pPr>
        <w:numPr>
          <w:ilvl w:val="0"/>
          <w:numId w:val="15"/>
        </w:numPr>
        <w:tabs>
          <w:tab w:val="left" w:pos="708"/>
        </w:tabs>
        <w:spacing w:after="0" w:line="312" w:lineRule="auto"/>
        <w:contextualSpacing/>
        <w:rPr>
          <w:rFonts w:ascii="Arial" w:eastAsia="Times New Roman" w:hAnsi="Arial" w:cs="Arial"/>
          <w:b/>
        </w:rPr>
      </w:pPr>
      <w:r w:rsidRPr="00B57491">
        <w:rPr>
          <w:rFonts w:ascii="Arial" w:eastAsia="Times New Roman" w:hAnsi="Arial" w:cs="Arial"/>
          <w:b/>
        </w:rPr>
        <w:t>PRILOGE</w:t>
      </w:r>
    </w:p>
    <w:p w:rsidR="00B57491" w:rsidRPr="00B57491" w:rsidRDefault="00B57491" w:rsidP="00B57491">
      <w:pPr>
        <w:tabs>
          <w:tab w:val="left" w:pos="708"/>
        </w:tabs>
        <w:spacing w:after="0" w:line="312" w:lineRule="auto"/>
        <w:rPr>
          <w:rFonts w:ascii="Arial" w:eastAsia="Times New Roman" w:hAnsi="Arial" w:cs="Arial"/>
        </w:rPr>
      </w:pPr>
    </w:p>
    <w:p w:rsidR="00B57491" w:rsidRPr="00B57491" w:rsidRDefault="00B57491" w:rsidP="00B57491">
      <w:pPr>
        <w:tabs>
          <w:tab w:val="left" w:pos="708"/>
        </w:tabs>
        <w:spacing w:after="0" w:line="312" w:lineRule="auto"/>
        <w:rPr>
          <w:rFonts w:ascii="Arial" w:eastAsia="Times New Roman" w:hAnsi="Arial" w:cs="Arial"/>
        </w:rPr>
      </w:pPr>
      <w:r w:rsidRPr="00B57491">
        <w:rPr>
          <w:rFonts w:ascii="Arial" w:eastAsia="Times New Roman" w:hAnsi="Arial" w:cs="Arial"/>
        </w:rPr>
        <w:t>Priloge podzakonskega akta so:</w:t>
      </w:r>
    </w:p>
    <w:p w:rsidR="00B57491" w:rsidRPr="00B57491" w:rsidRDefault="00B57491" w:rsidP="00B57491">
      <w:pPr>
        <w:numPr>
          <w:ilvl w:val="0"/>
          <w:numId w:val="16"/>
        </w:numPr>
        <w:tabs>
          <w:tab w:val="left" w:pos="708"/>
        </w:tabs>
        <w:spacing w:after="0" w:line="312" w:lineRule="auto"/>
        <w:contextualSpacing/>
        <w:rPr>
          <w:rFonts w:ascii="Arial" w:eastAsia="Times New Roman" w:hAnsi="Arial" w:cs="Arial"/>
        </w:rPr>
      </w:pPr>
      <w:r w:rsidRPr="00B57491">
        <w:rPr>
          <w:rFonts w:ascii="Arial" w:eastAsia="Times New Roman" w:hAnsi="Arial" w:cs="Arial"/>
        </w:rPr>
        <w:t>sintaksa ID kod na področju polnilne infrastrukture za električna vozila;</w:t>
      </w:r>
    </w:p>
    <w:p w:rsidR="00B57491" w:rsidRPr="00B57491" w:rsidRDefault="00B57491" w:rsidP="00B57491">
      <w:pPr>
        <w:numPr>
          <w:ilvl w:val="0"/>
          <w:numId w:val="16"/>
        </w:numPr>
        <w:tabs>
          <w:tab w:val="left" w:pos="708"/>
        </w:tabs>
        <w:spacing w:after="0" w:line="312" w:lineRule="auto"/>
        <w:contextualSpacing/>
        <w:rPr>
          <w:rFonts w:ascii="Arial" w:eastAsia="Times New Roman" w:hAnsi="Arial" w:cs="Arial"/>
        </w:rPr>
      </w:pPr>
      <w:r w:rsidRPr="00B57491">
        <w:rPr>
          <w:rFonts w:ascii="Arial" w:eastAsia="Times New Roman" w:hAnsi="Arial" w:cs="Arial"/>
        </w:rPr>
        <w:t>navodila za uporabo računalniške aplikacije Prometej za registracijo ID kod na področju polnilne infrastrukture za električna vozila;</w:t>
      </w:r>
    </w:p>
    <w:p w:rsidR="00B57491" w:rsidRPr="00B57491" w:rsidRDefault="00B57491" w:rsidP="00B57491">
      <w:pPr>
        <w:numPr>
          <w:ilvl w:val="0"/>
          <w:numId w:val="16"/>
        </w:numPr>
        <w:tabs>
          <w:tab w:val="left" w:pos="708"/>
        </w:tabs>
        <w:spacing w:after="0" w:line="312" w:lineRule="auto"/>
        <w:contextualSpacing/>
        <w:rPr>
          <w:rFonts w:ascii="Arial" w:eastAsia="Times New Roman" w:hAnsi="Arial" w:cs="Arial"/>
        </w:rPr>
      </w:pPr>
      <w:r w:rsidRPr="00B57491">
        <w:rPr>
          <w:rFonts w:ascii="Arial" w:eastAsia="Times New Roman" w:hAnsi="Arial" w:cs="Arial"/>
        </w:rPr>
        <w:t>navodila za upravljalce polnilnih mest za električna vozila za izmenjavo podatkov z NAP;</w:t>
      </w:r>
    </w:p>
    <w:p w:rsidR="00B57491" w:rsidRPr="00B57491" w:rsidRDefault="00B57491" w:rsidP="00B57491">
      <w:pPr>
        <w:numPr>
          <w:ilvl w:val="0"/>
          <w:numId w:val="16"/>
        </w:numPr>
        <w:tabs>
          <w:tab w:val="left" w:pos="708"/>
        </w:tabs>
        <w:spacing w:after="0" w:line="312" w:lineRule="auto"/>
        <w:contextualSpacing/>
        <w:rPr>
          <w:rFonts w:ascii="Arial" w:eastAsia="Times New Roman" w:hAnsi="Arial" w:cs="Arial"/>
        </w:rPr>
      </w:pPr>
      <w:r w:rsidRPr="00B57491">
        <w:rPr>
          <w:rFonts w:ascii="Arial" w:eastAsia="Times New Roman" w:hAnsi="Arial" w:cs="Arial"/>
        </w:rPr>
        <w:t>splošni pogoji za prevzem podatkov iz NAP za ponovno uporabo.</w:t>
      </w:r>
    </w:p>
    <w:p w:rsidR="00B57491" w:rsidRPr="00B57491" w:rsidRDefault="00B57491" w:rsidP="00B57491">
      <w:pPr>
        <w:spacing w:after="0" w:line="312" w:lineRule="auto"/>
        <w:rPr>
          <w:rFonts w:ascii="Arial" w:eastAsia="Times New Roman" w:hAnsi="Arial" w:cs="Times New Roman"/>
          <w:sz w:val="20"/>
          <w:szCs w:val="24"/>
        </w:rPr>
      </w:pP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r w:rsidRPr="00B57491">
        <w:rPr>
          <w:rFonts w:ascii="Arial" w:eastAsia="Calibri" w:hAnsi="Arial" w:cs="Arial"/>
          <w:b/>
        </w:rPr>
        <w:t>PREDLOG</w:t>
      </w:r>
    </w:p>
    <w:p w:rsidR="00B57491" w:rsidRPr="00B57491" w:rsidRDefault="00B57491" w:rsidP="00B57491">
      <w:pPr>
        <w:rPr>
          <w:rFonts w:ascii="Arial" w:eastAsia="Calibri" w:hAnsi="Arial" w:cs="Arial"/>
        </w:rPr>
      </w:pPr>
      <w:r w:rsidRPr="00B57491">
        <w:rPr>
          <w:rFonts w:ascii="Arial" w:eastAsia="Calibri" w:hAnsi="Arial" w:cs="Arial"/>
        </w:rPr>
        <w:t>Na podlagi drugega odstavka 35. člena Zakona o infrastrukturi za alternativna goriva in spodbujanju prehoda na alternativna goriva v prometu (Uradni list RS, št. …) minister za prometno politiko, izdaja</w:t>
      </w:r>
    </w:p>
    <w:p w:rsidR="00B57491" w:rsidRPr="00B57491" w:rsidRDefault="00B57491" w:rsidP="00B57491">
      <w:pPr>
        <w:rPr>
          <w:rFonts w:ascii="Arial" w:eastAsia="Calibri" w:hAnsi="Arial" w:cs="Arial"/>
          <w:b/>
        </w:rPr>
      </w:pPr>
    </w:p>
    <w:p w:rsidR="00B57491" w:rsidRPr="00B57491" w:rsidRDefault="00B57491" w:rsidP="00B57491">
      <w:pPr>
        <w:jc w:val="center"/>
        <w:rPr>
          <w:rFonts w:ascii="Arial" w:eastAsia="Calibri" w:hAnsi="Arial" w:cs="Arial"/>
          <w:b/>
        </w:rPr>
      </w:pPr>
    </w:p>
    <w:p w:rsidR="00B57491" w:rsidRPr="00B57491" w:rsidRDefault="00B57491" w:rsidP="00B57491">
      <w:pPr>
        <w:jc w:val="center"/>
        <w:rPr>
          <w:rFonts w:ascii="Arial" w:eastAsia="Calibri" w:hAnsi="Arial" w:cs="Arial"/>
          <w:b/>
        </w:rPr>
      </w:pPr>
      <w:r w:rsidRPr="00B57491">
        <w:rPr>
          <w:rFonts w:ascii="Arial" w:eastAsia="Calibri" w:hAnsi="Arial" w:cs="Arial"/>
          <w:b/>
        </w:rPr>
        <w:t>PRAVILNIK O METODOLOGIJI ZA IZRAČUN OKVIRNIH STROŠKOV GORIV OSEBNIH AVTOMOBILOV NA 100 KM TER NAČINU PRIKAZOVANJA IN POSODABLJANJA INFORMACIJ NA BENCINSKIH SERVISIH</w:t>
      </w:r>
    </w:p>
    <w:p w:rsidR="00B57491" w:rsidRPr="00B57491" w:rsidRDefault="00B57491" w:rsidP="00B57491">
      <w:pPr>
        <w:jc w:val="center"/>
        <w:rPr>
          <w:rFonts w:ascii="Arial" w:eastAsia="Calibri" w:hAnsi="Arial" w:cs="Arial"/>
        </w:rPr>
      </w:pP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1. člen</w:t>
      </w: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(vsebina)</w:t>
      </w:r>
    </w:p>
    <w:p w:rsidR="00B57491" w:rsidRPr="00B57491" w:rsidRDefault="00B57491" w:rsidP="00B57491">
      <w:pPr>
        <w:spacing w:after="0" w:line="240" w:lineRule="auto"/>
        <w:jc w:val="center"/>
        <w:rPr>
          <w:rFonts w:ascii="Arial" w:eastAsia="Calibri" w:hAnsi="Arial" w:cs="Arial"/>
        </w:rPr>
      </w:pPr>
    </w:p>
    <w:p w:rsidR="00B57491" w:rsidRPr="00B57491" w:rsidRDefault="00B57491" w:rsidP="00B57491">
      <w:pPr>
        <w:jc w:val="both"/>
        <w:rPr>
          <w:rFonts w:ascii="Arial" w:eastAsia="Calibri" w:hAnsi="Arial" w:cs="Arial"/>
        </w:rPr>
      </w:pPr>
      <w:r w:rsidRPr="00B57491">
        <w:rPr>
          <w:rFonts w:ascii="Arial" w:eastAsia="Calibri" w:hAnsi="Arial" w:cs="Arial"/>
        </w:rPr>
        <w:t>Ta pravilnik določa metodologijo priprave za izračun okvirnih stroškov goriv na 100 km za izbrane vzorce osebnih avtomobilov v skladu z Izvedbeno uredbo Komisije (EU) 2018/732 o skupni metodologiji za primerjave med cenami na enoto alternativnih goriv v skladu z Direktivo 2014/94/EU Evropskega parlamenta in Sveta (UL L 123 z dne 18. 5. 2018), ter podrobneje določi način prikazovanja in posodabljanja informacij o primerjavi stroškov goriv na 100 km na bencinskih servisih.</w:t>
      </w:r>
    </w:p>
    <w:p w:rsidR="00B57491" w:rsidRPr="00B57491" w:rsidRDefault="00B57491" w:rsidP="00B57491">
      <w:pPr>
        <w:rPr>
          <w:rFonts w:ascii="Arial" w:eastAsia="Calibri" w:hAnsi="Arial" w:cs="Arial"/>
        </w:rPr>
      </w:pP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2. člen</w:t>
      </w: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(izračun okvirnih stroškov osebnih avtomobilov na 100 km glede na vrsto goriv)</w:t>
      </w:r>
    </w:p>
    <w:p w:rsidR="00B57491" w:rsidRPr="00B57491" w:rsidRDefault="00B57491" w:rsidP="00B57491">
      <w:pPr>
        <w:spacing w:after="0" w:line="240" w:lineRule="auto"/>
        <w:jc w:val="center"/>
        <w:rPr>
          <w:rFonts w:ascii="Arial" w:eastAsia="Calibri" w:hAnsi="Arial" w:cs="Arial"/>
        </w:rPr>
      </w:pPr>
    </w:p>
    <w:p w:rsidR="00B57491" w:rsidRPr="00B57491" w:rsidRDefault="00B57491" w:rsidP="00B57491">
      <w:pPr>
        <w:jc w:val="both"/>
        <w:rPr>
          <w:rFonts w:ascii="Arial" w:eastAsia="Calibri" w:hAnsi="Arial" w:cs="Arial"/>
        </w:rPr>
      </w:pPr>
      <w:r w:rsidRPr="00B57491">
        <w:rPr>
          <w:rFonts w:ascii="Arial" w:eastAsia="Calibri" w:hAnsi="Arial" w:cs="Arial"/>
        </w:rPr>
        <w:t>(1) Izračun okvirnih stroškov goriv na 100 km za izbrane vzorce osebnih avtomobilov pripravi ministrstvo, pristojno za prometno politiko (v nadaljnjem besedilu: ministrstvo) po metodologiji kot izhaja iz Izvedbene uredbe Komisije (EU) 2018/732 o skupni metodologiji za primerjave med cenami na enoto alternativnih goriv. Poleg navedene uredbe pri uporabi metodologije upošteva še sledeče:</w:t>
      </w:r>
    </w:p>
    <w:p w:rsidR="00B57491" w:rsidRPr="00B57491" w:rsidRDefault="00B57491" w:rsidP="00B57491">
      <w:pPr>
        <w:numPr>
          <w:ilvl w:val="0"/>
          <w:numId w:val="18"/>
        </w:numPr>
        <w:spacing w:after="120" w:line="240" w:lineRule="auto"/>
        <w:ind w:left="714" w:hanging="357"/>
        <w:contextualSpacing/>
        <w:rPr>
          <w:rFonts w:ascii="Arial" w:eastAsia="Calibri" w:hAnsi="Arial" w:cs="Arial"/>
        </w:rPr>
      </w:pPr>
      <w:r w:rsidRPr="00B57491">
        <w:rPr>
          <w:rFonts w:ascii="Arial" w:eastAsia="Calibri" w:hAnsi="Arial" w:cs="Arial"/>
        </w:rPr>
        <w:t xml:space="preserve">izbrani referenčni tipi osebnih avtomobilov temeljijo na najbolje prodajanih tipih vozil v preteklem koledarskem letu v Republiki Sloveniji, </w:t>
      </w:r>
    </w:p>
    <w:p w:rsidR="00B57491" w:rsidRPr="00B57491" w:rsidRDefault="00B57491" w:rsidP="00B57491">
      <w:pPr>
        <w:numPr>
          <w:ilvl w:val="0"/>
          <w:numId w:val="18"/>
        </w:numPr>
        <w:spacing w:after="120" w:line="240" w:lineRule="auto"/>
        <w:ind w:left="714" w:hanging="357"/>
        <w:contextualSpacing/>
        <w:rPr>
          <w:rFonts w:ascii="Arial" w:eastAsia="Calibri" w:hAnsi="Arial" w:cs="Arial"/>
        </w:rPr>
      </w:pPr>
      <w:r w:rsidRPr="00B57491">
        <w:rPr>
          <w:rFonts w:ascii="Arial" w:eastAsia="Calibri" w:hAnsi="Arial" w:cs="Arial"/>
        </w:rPr>
        <w:t>povprečna poraba goriva se izračunana na podlagi prvih treh najbolje prodajanih tipov vozil v posameznem velikostnem razredu vozil, povprečna poraba goriva teh tipov vozil je poraba goriva referenčnega vozila,</w:t>
      </w:r>
    </w:p>
    <w:p w:rsidR="00B57491" w:rsidRPr="00B57491" w:rsidRDefault="00B57491" w:rsidP="00B57491">
      <w:pPr>
        <w:numPr>
          <w:ilvl w:val="0"/>
          <w:numId w:val="18"/>
        </w:numPr>
        <w:spacing w:after="120" w:line="240" w:lineRule="auto"/>
        <w:ind w:left="714" w:hanging="357"/>
        <w:contextualSpacing/>
        <w:rPr>
          <w:rFonts w:ascii="Arial" w:eastAsia="Calibri" w:hAnsi="Arial" w:cs="Arial"/>
        </w:rPr>
      </w:pPr>
      <w:r w:rsidRPr="00B57491">
        <w:rPr>
          <w:rFonts w:ascii="Arial" w:eastAsia="Calibri" w:hAnsi="Arial" w:cs="Arial"/>
        </w:rPr>
        <w:t xml:space="preserve">za primerjavo se izberejo največ trije velikostni razredi vozil, </w:t>
      </w:r>
    </w:p>
    <w:p w:rsidR="00B57491" w:rsidRPr="00B57491" w:rsidRDefault="00B57491" w:rsidP="00B57491">
      <w:pPr>
        <w:numPr>
          <w:ilvl w:val="0"/>
          <w:numId w:val="18"/>
        </w:numPr>
        <w:spacing w:after="120" w:line="240" w:lineRule="auto"/>
        <w:ind w:left="714" w:hanging="357"/>
        <w:contextualSpacing/>
        <w:rPr>
          <w:rFonts w:ascii="Arial" w:eastAsia="Calibri" w:hAnsi="Arial" w:cs="Arial"/>
        </w:rPr>
      </w:pPr>
      <w:r w:rsidRPr="00B57491">
        <w:rPr>
          <w:rFonts w:ascii="Arial" w:eastAsia="Calibri" w:hAnsi="Arial" w:cs="Arial"/>
        </w:rPr>
        <w:t>upoštevajo se samo tipi vozil za katere je znana poraba goriva po globalno usklajenem preizkusnem postopku za lahka vozila na 100 km v kombinirani vožnji kot izhaja iz potrdila o skladnosti vozila, v primeru, da ti podatki niso na voljo se izbere naslednji najbolje prodajani tip vozila v istem razredu vozil ali pa se v referenčni vzorec vključi manj vozil,</w:t>
      </w:r>
    </w:p>
    <w:p w:rsidR="00B57491" w:rsidRPr="00B57491" w:rsidRDefault="00B57491" w:rsidP="00B57491">
      <w:pPr>
        <w:numPr>
          <w:ilvl w:val="0"/>
          <w:numId w:val="18"/>
        </w:numPr>
        <w:spacing w:after="120" w:line="240" w:lineRule="auto"/>
        <w:ind w:left="714" w:hanging="357"/>
        <w:contextualSpacing/>
        <w:rPr>
          <w:rFonts w:ascii="Arial" w:eastAsia="Calibri" w:hAnsi="Arial" w:cs="Arial"/>
        </w:rPr>
      </w:pPr>
      <w:r w:rsidRPr="00B57491">
        <w:rPr>
          <w:rFonts w:ascii="Arial" w:eastAsia="Calibri" w:hAnsi="Arial" w:cs="Arial"/>
        </w:rPr>
        <w:t>za namene primerjave se lahko pri izračunu povprečne porabe goriv na alternativnega goriva uporabijo tudi tipi osebnih avtomobilov, ki so bili med najbolje prodajanimi v Evropi v preteklem koledarskem letu,</w:t>
      </w:r>
    </w:p>
    <w:p w:rsidR="00B57491" w:rsidRPr="00B57491" w:rsidRDefault="00B57491" w:rsidP="00B57491">
      <w:pPr>
        <w:numPr>
          <w:ilvl w:val="0"/>
          <w:numId w:val="18"/>
        </w:numPr>
        <w:spacing w:after="120" w:line="240" w:lineRule="auto"/>
        <w:ind w:left="714" w:hanging="357"/>
        <w:contextualSpacing/>
        <w:rPr>
          <w:rFonts w:ascii="Arial" w:eastAsia="Calibri" w:hAnsi="Arial" w:cs="Arial"/>
        </w:rPr>
      </w:pPr>
      <w:r w:rsidRPr="00B57491">
        <w:rPr>
          <w:rFonts w:ascii="Arial" w:eastAsia="Calibri" w:hAnsi="Arial" w:cs="Arial"/>
        </w:rPr>
        <w:lastRenderedPageBreak/>
        <w:t xml:space="preserve">primerjava vključuje naslednja goriva: dizelsko gorivo, bencin, električno energijo, plin za vozila (stisnjen zemeljski plin, utekočinjen naftni plin). Odvisno od razvoja trga pa se v primerjavo lahko vključijo tudi druga alternativna goriva kot je vodik in </w:t>
      </w:r>
      <w:proofErr w:type="spellStart"/>
      <w:r w:rsidRPr="00B57491">
        <w:rPr>
          <w:rFonts w:ascii="Arial" w:eastAsia="Calibri" w:hAnsi="Arial" w:cs="Arial"/>
        </w:rPr>
        <w:t>biogoriva</w:t>
      </w:r>
      <w:proofErr w:type="spellEnd"/>
      <w:r w:rsidRPr="00B57491">
        <w:rPr>
          <w:rFonts w:ascii="Arial" w:eastAsia="Calibri" w:hAnsi="Arial" w:cs="Arial"/>
        </w:rPr>
        <w:t>,</w:t>
      </w:r>
    </w:p>
    <w:p w:rsidR="00B57491" w:rsidRPr="00B57491" w:rsidRDefault="00B57491" w:rsidP="00B57491">
      <w:pPr>
        <w:numPr>
          <w:ilvl w:val="0"/>
          <w:numId w:val="17"/>
        </w:numPr>
        <w:spacing w:after="120" w:line="240" w:lineRule="auto"/>
        <w:ind w:left="714" w:hanging="357"/>
        <w:rPr>
          <w:rFonts w:ascii="Arial" w:eastAsia="Calibri" w:hAnsi="Arial" w:cs="Arial"/>
        </w:rPr>
      </w:pPr>
      <w:r w:rsidRPr="00B57491">
        <w:rPr>
          <w:rFonts w:ascii="Arial" w:eastAsia="Calibri" w:hAnsi="Arial" w:cs="Arial"/>
        </w:rPr>
        <w:t>okvirni strošek na enoto goriva na 100 km se izračuna na naslednji način: povprečna cena goriva v zadnjem četrtletju pred izračunom x poraba goriva referenčnega vozila.</w:t>
      </w:r>
    </w:p>
    <w:p w:rsidR="00B57491" w:rsidRPr="00B57491" w:rsidRDefault="00B57491" w:rsidP="00B57491">
      <w:pPr>
        <w:jc w:val="both"/>
        <w:rPr>
          <w:rFonts w:ascii="Arial" w:eastAsia="Calibri" w:hAnsi="Arial" w:cs="Arial"/>
        </w:rPr>
      </w:pPr>
      <w:r w:rsidRPr="00B57491">
        <w:rPr>
          <w:rFonts w:ascii="Arial" w:eastAsia="Calibri" w:hAnsi="Arial" w:cs="Arial"/>
        </w:rPr>
        <w:t xml:space="preserve">(4) Ministrstvo pripravlja in posodablja izračune kot izhaja iz predhodnega odstavka, pri čemer se le ti posodobijo skladno s povprečnimi cenami goriv v zadnjem četrtletju pred izračunom. Referenčna vozila, ki so predmet primerjave, se posodobijo vsako koledarsko leto. </w:t>
      </w:r>
    </w:p>
    <w:p w:rsidR="00B57491" w:rsidRPr="00B57491" w:rsidRDefault="00B57491" w:rsidP="00B57491">
      <w:pPr>
        <w:jc w:val="both"/>
        <w:rPr>
          <w:rFonts w:ascii="Arial" w:eastAsia="Calibri" w:hAnsi="Arial" w:cs="Arial"/>
        </w:rPr>
      </w:pPr>
      <w:r w:rsidRPr="00B57491">
        <w:rPr>
          <w:rFonts w:ascii="Arial" w:eastAsia="Calibri" w:hAnsi="Arial" w:cs="Arial"/>
        </w:rPr>
        <w:t>(5) Primerjave okvirnih stroškov osebnih vozil na 100 km glede na vrsto goriva in velikostne razrede vozil se objavijo v obliki preglednice z metodološkim pojasnilom na spletnem portalu energetika v pristojnosti ministrstva, pristojnega za energijo.</w:t>
      </w:r>
    </w:p>
    <w:p w:rsidR="00B57491" w:rsidRPr="00B57491" w:rsidRDefault="00B57491" w:rsidP="00B57491">
      <w:pPr>
        <w:jc w:val="both"/>
        <w:rPr>
          <w:rFonts w:ascii="Arial" w:eastAsia="Calibri" w:hAnsi="Arial" w:cs="Arial"/>
        </w:rPr>
      </w:pP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3. člen</w:t>
      </w: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(način prikaza informacij o primerjavi stroškov goriv na bencinskih črpalkah)</w:t>
      </w:r>
    </w:p>
    <w:p w:rsidR="00B57491" w:rsidRPr="00B57491" w:rsidRDefault="00B57491" w:rsidP="00B57491">
      <w:pPr>
        <w:jc w:val="both"/>
        <w:rPr>
          <w:rFonts w:ascii="Arial" w:eastAsia="Calibri" w:hAnsi="Arial" w:cs="Arial"/>
        </w:rPr>
      </w:pPr>
    </w:p>
    <w:p w:rsidR="00B57491" w:rsidRPr="00B57491" w:rsidRDefault="00B57491" w:rsidP="00B57491">
      <w:pPr>
        <w:numPr>
          <w:ilvl w:val="0"/>
          <w:numId w:val="19"/>
        </w:numPr>
        <w:spacing w:after="120" w:line="240" w:lineRule="auto"/>
        <w:ind w:left="714" w:hanging="357"/>
        <w:jc w:val="both"/>
        <w:rPr>
          <w:rFonts w:ascii="Arial" w:eastAsia="Calibri" w:hAnsi="Arial" w:cs="Arial"/>
        </w:rPr>
      </w:pPr>
      <w:r w:rsidRPr="00B57491">
        <w:rPr>
          <w:rFonts w:ascii="Arial" w:eastAsia="Calibri" w:hAnsi="Arial" w:cs="Arial"/>
        </w:rPr>
        <w:t>Cene na enoto za vsako gorivo po velikostnih razredih vozil se prikažejo v obliki preglednice, ki je priloga tega pravilnika.</w:t>
      </w:r>
    </w:p>
    <w:p w:rsidR="00B57491" w:rsidRPr="00B57491" w:rsidRDefault="00B57491" w:rsidP="00B57491">
      <w:pPr>
        <w:numPr>
          <w:ilvl w:val="0"/>
          <w:numId w:val="19"/>
        </w:numPr>
        <w:spacing w:after="120" w:line="240" w:lineRule="auto"/>
        <w:ind w:left="714" w:hanging="357"/>
        <w:jc w:val="both"/>
        <w:rPr>
          <w:rFonts w:ascii="Arial" w:eastAsia="Calibri" w:hAnsi="Arial" w:cs="Arial"/>
        </w:rPr>
      </w:pPr>
      <w:r w:rsidRPr="00B57491">
        <w:rPr>
          <w:rFonts w:ascii="Arial" w:eastAsia="Calibri" w:hAnsi="Arial" w:cs="Arial"/>
        </w:rPr>
        <w:t>Informacije morajo vsebovati naslednje besedilo: „Tabela prikazuje povprečne stroške goriva na 100 km v zadnjem koledarskem četrtletju. Izračuni temeljijo na povprečni porabi najbolje prodajanih tipov avtomobilov v Sloveniji v prejšnjem koledarskem letu. Več informacij o metodologiji primerjave je na voljo na spletnem mestu energetika-portal.si.“</w:t>
      </w:r>
    </w:p>
    <w:p w:rsidR="00B57491" w:rsidRPr="00B57491" w:rsidRDefault="00B57491" w:rsidP="00B57491">
      <w:pPr>
        <w:numPr>
          <w:ilvl w:val="0"/>
          <w:numId w:val="19"/>
        </w:numPr>
        <w:spacing w:after="120" w:line="240" w:lineRule="auto"/>
        <w:ind w:left="714" w:hanging="357"/>
        <w:jc w:val="both"/>
        <w:rPr>
          <w:rFonts w:ascii="Arial" w:eastAsia="Calibri" w:hAnsi="Arial" w:cs="Arial"/>
        </w:rPr>
      </w:pPr>
      <w:r w:rsidRPr="00B57491">
        <w:rPr>
          <w:rFonts w:ascii="Arial" w:eastAsia="Calibri" w:hAnsi="Arial" w:cs="Arial"/>
        </w:rPr>
        <w:t xml:space="preserve">Če je informacija v tiskani obliki, znaša velikost tiskovine najmanj 210 × 297 mm (format A4). Če so informacije na voljo na digitalnem zaslonu, znaša velikost informacij na zaslonu vsaj 210 x 297 mm (format A4). </w:t>
      </w:r>
    </w:p>
    <w:p w:rsidR="00B57491" w:rsidRPr="00B57491" w:rsidRDefault="00B57491" w:rsidP="00B57491">
      <w:pPr>
        <w:numPr>
          <w:ilvl w:val="0"/>
          <w:numId w:val="19"/>
        </w:numPr>
        <w:spacing w:after="120" w:line="240" w:lineRule="auto"/>
        <w:jc w:val="both"/>
        <w:rPr>
          <w:rFonts w:ascii="Arial" w:eastAsia="Calibri" w:hAnsi="Arial" w:cs="Arial"/>
        </w:rPr>
      </w:pPr>
      <w:r w:rsidRPr="00B57491">
        <w:rPr>
          <w:rFonts w:ascii="Arial" w:eastAsia="Calibri" w:hAnsi="Arial" w:cs="Arial"/>
        </w:rPr>
        <w:t>Informacije se namestijo v bližini bencinskih servisov, ob vhodu v trgovino bencinskega servisa ali v trgovini bencinskega servisa. Informacije morajo biti vidne in ne smejo biti zavajajoče ali nejasne za potrošnike.</w:t>
      </w:r>
    </w:p>
    <w:p w:rsidR="00B57491" w:rsidRPr="00B57491" w:rsidRDefault="00B57491" w:rsidP="00B57491">
      <w:pPr>
        <w:numPr>
          <w:ilvl w:val="0"/>
          <w:numId w:val="19"/>
        </w:numPr>
        <w:spacing w:after="120" w:line="240" w:lineRule="auto"/>
        <w:contextualSpacing/>
        <w:jc w:val="both"/>
        <w:rPr>
          <w:rFonts w:ascii="Arial" w:eastAsia="Calibri" w:hAnsi="Arial" w:cs="Arial"/>
        </w:rPr>
      </w:pPr>
      <w:r w:rsidRPr="00B57491">
        <w:rPr>
          <w:rFonts w:ascii="Arial" w:eastAsia="Calibri" w:hAnsi="Arial" w:cs="Arial"/>
        </w:rPr>
        <w:t xml:space="preserve">Cene na enoto na 100 km se posodobijo vsako koledarsko četrtletje. Referenčna vozila, ki so predmet primerjave, se posodobijo vsako koledarsko leto. Predpisani podatki so pripravljeni v preglednici v elektronski obliki in na voljo na spletnem portalu energetika. </w:t>
      </w:r>
    </w:p>
    <w:p w:rsidR="00B57491" w:rsidRPr="00B57491" w:rsidRDefault="00B57491" w:rsidP="00B57491">
      <w:pPr>
        <w:jc w:val="both"/>
        <w:rPr>
          <w:rFonts w:ascii="Arial" w:eastAsia="Calibri" w:hAnsi="Arial" w:cs="Arial"/>
        </w:rPr>
      </w:pP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4. člen</w:t>
      </w:r>
    </w:p>
    <w:p w:rsidR="00B57491" w:rsidRPr="00B57491" w:rsidRDefault="00B57491" w:rsidP="00B57491">
      <w:pPr>
        <w:spacing w:after="0" w:line="240" w:lineRule="auto"/>
        <w:jc w:val="center"/>
        <w:rPr>
          <w:rFonts w:ascii="Arial" w:eastAsia="Calibri" w:hAnsi="Arial" w:cs="Arial"/>
        </w:rPr>
      </w:pPr>
      <w:r w:rsidRPr="00B57491">
        <w:rPr>
          <w:rFonts w:ascii="Arial" w:eastAsia="Calibri" w:hAnsi="Arial" w:cs="Arial"/>
        </w:rPr>
        <w:t>(začetek veljavnosti)</w:t>
      </w:r>
    </w:p>
    <w:p w:rsidR="00B57491" w:rsidRPr="00B57491" w:rsidRDefault="00B57491" w:rsidP="00B57491">
      <w:pPr>
        <w:jc w:val="both"/>
        <w:rPr>
          <w:rFonts w:ascii="Arial" w:eastAsia="Calibri" w:hAnsi="Arial" w:cs="Arial"/>
        </w:rPr>
      </w:pPr>
    </w:p>
    <w:p w:rsidR="00B57491" w:rsidRPr="00B57491" w:rsidRDefault="00B57491" w:rsidP="00B57491">
      <w:pPr>
        <w:jc w:val="both"/>
        <w:rPr>
          <w:rFonts w:ascii="Arial" w:eastAsia="Calibri" w:hAnsi="Arial" w:cs="Arial"/>
        </w:rPr>
      </w:pPr>
      <w:r w:rsidRPr="00B57491">
        <w:rPr>
          <w:rFonts w:ascii="Arial" w:eastAsia="Calibri" w:hAnsi="Arial" w:cs="Arial"/>
        </w:rPr>
        <w:t xml:space="preserve">Ta pravilnik začne veljat petnajsti dan po objavi v Uradnem listu Republike Slovenije. </w:t>
      </w:r>
    </w:p>
    <w:p w:rsidR="00B57491" w:rsidRPr="00B57491" w:rsidRDefault="00B57491" w:rsidP="00B57491">
      <w:pPr>
        <w:jc w:val="both"/>
        <w:rPr>
          <w:rFonts w:ascii="Arial" w:eastAsia="Calibri" w:hAnsi="Arial" w:cs="Arial"/>
        </w:rPr>
      </w:pPr>
    </w:p>
    <w:p w:rsidR="00B57491" w:rsidRPr="00B57491" w:rsidRDefault="00B57491" w:rsidP="00B57491">
      <w:pPr>
        <w:jc w:val="both"/>
        <w:rPr>
          <w:rFonts w:ascii="Arial" w:eastAsia="Calibri" w:hAnsi="Arial" w:cs="Arial"/>
          <w:b/>
        </w:rPr>
      </w:pPr>
      <w:r w:rsidRPr="00B57491">
        <w:rPr>
          <w:rFonts w:ascii="Arial" w:eastAsia="Calibri" w:hAnsi="Arial" w:cs="Arial"/>
          <w:b/>
        </w:rPr>
        <w:t>Priloga: Preglednica z informacijami o stroških osebnih avtomobilov na 100 km glede na vrsto goriv</w:t>
      </w: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r w:rsidRPr="00B57491">
        <w:rPr>
          <w:rFonts w:ascii="Arial" w:eastAsia="Calibri" w:hAnsi="Arial" w:cs="Arial"/>
          <w:b/>
        </w:rPr>
        <w:t>PREDLOG</w:t>
      </w:r>
    </w:p>
    <w:p w:rsidR="00B57491" w:rsidRPr="00B57491" w:rsidRDefault="00B57491" w:rsidP="00B57491">
      <w:pPr>
        <w:rPr>
          <w:rFonts w:ascii="Arial" w:eastAsia="Calibri" w:hAnsi="Arial" w:cs="Arial"/>
        </w:rPr>
      </w:pPr>
    </w:p>
    <w:p w:rsidR="00B57491" w:rsidRPr="00B57491" w:rsidRDefault="00B57491" w:rsidP="00B57491">
      <w:pPr>
        <w:jc w:val="both"/>
        <w:rPr>
          <w:rFonts w:ascii="Arial" w:eastAsia="Calibri" w:hAnsi="Arial" w:cs="Arial"/>
        </w:rPr>
      </w:pPr>
      <w:r w:rsidRPr="00B57491">
        <w:rPr>
          <w:rFonts w:ascii="Arial" w:eastAsia="Calibri" w:hAnsi="Arial" w:cs="Arial"/>
        </w:rPr>
        <w:t>Na podlagi šestega odstavka 51. člena Zakona o infrastrukturi za alternativna goriva in spodbujanju prehoda na alternativna goriva v prometu (Uradni list RS, št. …) minister za prometno politiko, izdaja</w:t>
      </w:r>
    </w:p>
    <w:p w:rsidR="00B57491" w:rsidRPr="00B57491" w:rsidRDefault="00B57491" w:rsidP="00B57491">
      <w:pPr>
        <w:rPr>
          <w:rFonts w:ascii="Arial" w:eastAsia="Calibri" w:hAnsi="Arial" w:cs="Arial"/>
        </w:rPr>
      </w:pP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r w:rsidRPr="00B57491">
        <w:rPr>
          <w:rFonts w:ascii="Arial" w:eastAsia="Times New Roman" w:hAnsi="Arial" w:cs="Arial"/>
          <w:b/>
          <w:bCs/>
          <w:color w:val="000000"/>
          <w:spacing w:val="40"/>
          <w:lang w:eastAsia="sl-SI"/>
        </w:rPr>
        <w:t>UREDBO</w:t>
      </w: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r w:rsidRPr="00B57491">
        <w:rPr>
          <w:rFonts w:ascii="Arial" w:eastAsia="Times New Roman" w:hAnsi="Arial" w:cs="Arial"/>
          <w:b/>
          <w:bCs/>
          <w:color w:val="000000"/>
          <w:spacing w:val="40"/>
          <w:lang w:eastAsia="sl-SI"/>
        </w:rPr>
        <w:t>O DODELJEVANJU NEPOVRATNIH SREDSTEV ZA SPODBUJANJE PREHODA NA ALTERNATIVNA GORIVA V PROMETU</w:t>
      </w: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p>
    <w:p w:rsidR="00B57491" w:rsidRPr="00B57491" w:rsidRDefault="00B57491" w:rsidP="00B57491">
      <w:pPr>
        <w:spacing w:after="0" w:line="260" w:lineRule="exact"/>
        <w:jc w:val="center"/>
        <w:rPr>
          <w:rFonts w:ascii="Arial" w:eastAsia="Times New Roman" w:hAnsi="Arial" w:cs="Arial"/>
          <w:b/>
          <w:bCs/>
          <w:color w:val="000000"/>
          <w:spacing w:val="40"/>
          <w:lang w:eastAsia="sl-SI"/>
        </w:rPr>
      </w:pPr>
    </w:p>
    <w:p w:rsidR="00B57491" w:rsidRPr="00B57491" w:rsidRDefault="00B57491" w:rsidP="00B57491">
      <w:pPr>
        <w:spacing w:after="0" w:line="240" w:lineRule="auto"/>
        <w:rPr>
          <w:rFonts w:ascii="Arial" w:eastAsia="Times New Roman" w:hAnsi="Arial" w:cs="Arial"/>
          <w:bCs/>
          <w:color w:val="000000"/>
          <w:spacing w:val="40"/>
          <w:lang w:eastAsia="sl-SI"/>
        </w:rPr>
      </w:pPr>
      <w:r w:rsidRPr="00B57491">
        <w:rPr>
          <w:rFonts w:ascii="Arial" w:eastAsia="Times New Roman" w:hAnsi="Arial" w:cs="Arial"/>
          <w:bCs/>
          <w:color w:val="000000"/>
          <w:spacing w:val="40"/>
          <w:lang w:eastAsia="sl-SI"/>
        </w:rPr>
        <w:t>I. PREDMET UREJANJA (VSEBINA AKTA)</w:t>
      </w:r>
    </w:p>
    <w:p w:rsidR="00B57491" w:rsidRPr="00B57491" w:rsidRDefault="00B57491" w:rsidP="00B57491">
      <w:pPr>
        <w:spacing w:after="0" w:line="260" w:lineRule="exact"/>
        <w:rPr>
          <w:rFonts w:ascii="Arial" w:eastAsia="Times New Roman" w:hAnsi="Arial" w:cs="Arial"/>
          <w:bCs/>
          <w:color w:val="000000"/>
          <w:spacing w:val="40"/>
          <w:lang w:eastAsia="sl-SI"/>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Ta uredba določa:</w:t>
      </w: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 vrste spodbud,</w:t>
      </w: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 pogoje in merila za njihovo dodelitev,</w:t>
      </w: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 vrste upravičencev do finančnih spodbud,</w:t>
      </w: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 vodenje evidenc in poročanje.</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II. VRSTE SPODBUD</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 xml:space="preserve">Finančne spodbude (v nadaljnjem besedilu: spodbude) se dodeljujejo kot državne pomoči v skladu z Uredbo (EU) št. 651/2014, kot »de </w:t>
      </w:r>
      <w:proofErr w:type="spellStart"/>
      <w:r w:rsidRPr="00B57491">
        <w:rPr>
          <w:rFonts w:ascii="Arial" w:eastAsia="Times New Roman" w:hAnsi="Arial" w:cs="Arial"/>
          <w:color w:val="000000"/>
        </w:rPr>
        <w:t>minimis</w:t>
      </w:r>
      <w:proofErr w:type="spellEnd"/>
      <w:r w:rsidRPr="00B57491">
        <w:rPr>
          <w:rFonts w:ascii="Arial" w:eastAsia="Times New Roman" w:hAnsi="Arial" w:cs="Arial"/>
          <w:color w:val="000000"/>
        </w:rPr>
        <w:t xml:space="preserve">« pomoči v skladu z Uredbo (EU) št. 1407/2013 in kot druge finančne spodbude. </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III. MERILA ZA DODELITEV DRŽAVNIH POMOČI</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Spodbude se dodeljujejo z javnim razpisom ali javnim pozivom ob upoštevanju naslednjih meril:</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numPr>
          <w:ilvl w:val="0"/>
          <w:numId w:val="1"/>
        </w:numPr>
        <w:spacing w:after="0" w:line="240" w:lineRule="auto"/>
        <w:ind w:left="714" w:hanging="357"/>
        <w:jc w:val="both"/>
        <w:rPr>
          <w:rFonts w:ascii="Arial" w:eastAsia="Calibri" w:hAnsi="Arial" w:cs="Arial"/>
          <w:lang w:eastAsia="sl-SI"/>
        </w:rPr>
      </w:pPr>
      <w:r w:rsidRPr="00B57491">
        <w:rPr>
          <w:rFonts w:ascii="Arial" w:eastAsia="Calibri" w:hAnsi="Arial" w:cs="Arial"/>
          <w:lang w:eastAsia="sl-SI"/>
        </w:rPr>
        <w:t xml:space="preserve">stroškovna učinkovitost, </w:t>
      </w:r>
    </w:p>
    <w:p w:rsidR="00B57491" w:rsidRPr="00B57491" w:rsidRDefault="00B57491" w:rsidP="00B57491">
      <w:pPr>
        <w:numPr>
          <w:ilvl w:val="0"/>
          <w:numId w:val="1"/>
        </w:numPr>
        <w:spacing w:after="0" w:line="240" w:lineRule="auto"/>
        <w:ind w:left="714" w:hanging="357"/>
        <w:jc w:val="both"/>
        <w:rPr>
          <w:rFonts w:ascii="Arial" w:eastAsia="Calibri" w:hAnsi="Arial" w:cs="Arial"/>
          <w:lang w:eastAsia="sl-SI"/>
        </w:rPr>
      </w:pPr>
      <w:r w:rsidRPr="00B57491">
        <w:rPr>
          <w:rFonts w:ascii="Arial" w:eastAsia="Calibri" w:hAnsi="Arial" w:cs="Arial"/>
          <w:lang w:eastAsia="sl-SI"/>
        </w:rPr>
        <w:t xml:space="preserve">sprememba voznega parka iz fosilnih naftnih virov na </w:t>
      </w:r>
      <w:proofErr w:type="spellStart"/>
      <w:r w:rsidRPr="00B57491">
        <w:rPr>
          <w:rFonts w:ascii="Arial" w:eastAsia="Calibri" w:hAnsi="Arial" w:cs="Arial"/>
          <w:lang w:eastAsia="sl-SI"/>
        </w:rPr>
        <w:t>nizkoogljična</w:t>
      </w:r>
      <w:proofErr w:type="spellEnd"/>
      <w:r w:rsidRPr="00B57491">
        <w:rPr>
          <w:rFonts w:ascii="Arial" w:eastAsia="Calibri" w:hAnsi="Arial" w:cs="Arial"/>
          <w:lang w:eastAsia="sl-SI"/>
        </w:rPr>
        <w:t xml:space="preserve"> in </w:t>
      </w:r>
      <w:proofErr w:type="spellStart"/>
      <w:r w:rsidRPr="00B57491">
        <w:rPr>
          <w:rFonts w:ascii="Arial" w:eastAsia="Calibri" w:hAnsi="Arial" w:cs="Arial"/>
          <w:lang w:eastAsia="sl-SI"/>
        </w:rPr>
        <w:t>brezemisijska</w:t>
      </w:r>
      <w:proofErr w:type="spellEnd"/>
      <w:r w:rsidRPr="00B57491">
        <w:rPr>
          <w:rFonts w:ascii="Arial" w:eastAsia="Calibri" w:hAnsi="Arial" w:cs="Arial"/>
          <w:lang w:eastAsia="sl-SI"/>
        </w:rPr>
        <w:t xml:space="preserve"> vozila,</w:t>
      </w:r>
    </w:p>
    <w:p w:rsidR="00B57491" w:rsidRPr="00B57491" w:rsidRDefault="00B57491" w:rsidP="00B57491">
      <w:pPr>
        <w:numPr>
          <w:ilvl w:val="0"/>
          <w:numId w:val="1"/>
        </w:numPr>
        <w:spacing w:after="0" w:line="240" w:lineRule="auto"/>
        <w:ind w:left="714" w:hanging="357"/>
        <w:jc w:val="both"/>
        <w:rPr>
          <w:rFonts w:ascii="Arial" w:eastAsia="Calibri" w:hAnsi="Arial" w:cs="Arial"/>
          <w:lang w:eastAsia="sl-SI"/>
        </w:rPr>
      </w:pPr>
      <w:r w:rsidRPr="00B57491">
        <w:rPr>
          <w:rFonts w:ascii="Arial" w:eastAsia="Calibri" w:hAnsi="Arial" w:cs="Arial"/>
          <w:lang w:eastAsia="sl-SI"/>
        </w:rPr>
        <w:t>povečanje števila polnilne in oskrbovalne infrastrukture,</w:t>
      </w:r>
    </w:p>
    <w:p w:rsidR="00B57491" w:rsidRPr="00B57491" w:rsidRDefault="00B57491" w:rsidP="00B57491">
      <w:pPr>
        <w:numPr>
          <w:ilvl w:val="0"/>
          <w:numId w:val="1"/>
        </w:numPr>
        <w:spacing w:after="0" w:line="240" w:lineRule="auto"/>
        <w:ind w:left="714" w:hanging="357"/>
        <w:jc w:val="both"/>
        <w:rPr>
          <w:rFonts w:ascii="Arial" w:eastAsia="Calibri" w:hAnsi="Arial" w:cs="Arial"/>
          <w:lang w:eastAsia="sl-SI"/>
        </w:rPr>
      </w:pPr>
      <w:r w:rsidRPr="00B57491">
        <w:rPr>
          <w:rFonts w:ascii="Arial" w:eastAsia="Calibri" w:hAnsi="Arial" w:cs="Arial"/>
          <w:lang w:eastAsia="sl-SI"/>
        </w:rPr>
        <w:t xml:space="preserve">povečanje deleža energije, uporabljene v prometu iz obnovljivih virov energije, </w:t>
      </w:r>
    </w:p>
    <w:p w:rsidR="00B57491" w:rsidRPr="00B57491" w:rsidRDefault="00B57491" w:rsidP="00B57491">
      <w:pPr>
        <w:numPr>
          <w:ilvl w:val="0"/>
          <w:numId w:val="1"/>
        </w:numPr>
        <w:spacing w:after="0" w:line="240" w:lineRule="auto"/>
        <w:ind w:left="714" w:hanging="357"/>
        <w:jc w:val="both"/>
        <w:rPr>
          <w:rFonts w:ascii="Arial" w:eastAsia="Calibri" w:hAnsi="Arial" w:cs="Arial"/>
          <w:lang w:eastAsia="sl-SI"/>
        </w:rPr>
      </w:pPr>
      <w:r w:rsidRPr="00B57491">
        <w:rPr>
          <w:rFonts w:ascii="Arial" w:eastAsia="Calibri" w:hAnsi="Arial" w:cs="Arial"/>
          <w:lang w:eastAsia="sl-SI"/>
        </w:rPr>
        <w:t>učinkovita raba energije v prometu,</w:t>
      </w:r>
    </w:p>
    <w:p w:rsidR="00B57491" w:rsidRPr="00B57491" w:rsidRDefault="00B57491" w:rsidP="00B57491">
      <w:pPr>
        <w:numPr>
          <w:ilvl w:val="0"/>
          <w:numId w:val="1"/>
        </w:numPr>
        <w:spacing w:after="0" w:line="240" w:lineRule="auto"/>
        <w:ind w:left="714" w:hanging="357"/>
        <w:jc w:val="both"/>
        <w:rPr>
          <w:rFonts w:ascii="Arial" w:eastAsia="Calibri" w:hAnsi="Arial" w:cs="Arial"/>
          <w:lang w:eastAsia="sl-SI"/>
        </w:rPr>
      </w:pPr>
      <w:r w:rsidRPr="00B57491">
        <w:rPr>
          <w:rFonts w:ascii="Arial" w:eastAsia="Calibri" w:hAnsi="Arial" w:cs="Arial"/>
          <w:lang w:eastAsia="sl-SI"/>
        </w:rPr>
        <w:t>zmanjšanje količine izpustov toplogrednih plinov in prašnih delcev.</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IV. POGOJI ZA DODELITEV DRŽAVNIH POMOČI</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numPr>
          <w:ilvl w:val="0"/>
          <w:numId w:val="20"/>
        </w:numPr>
        <w:tabs>
          <w:tab w:val="left" w:pos="4024"/>
        </w:tabs>
        <w:spacing w:after="0" w:line="260" w:lineRule="exact"/>
        <w:contextualSpacing/>
        <w:jc w:val="both"/>
        <w:rPr>
          <w:rFonts w:ascii="Arial" w:eastAsia="Times New Roman" w:hAnsi="Arial" w:cs="Arial"/>
          <w:color w:val="000000"/>
        </w:rPr>
      </w:pPr>
      <w:r w:rsidRPr="00B57491">
        <w:rPr>
          <w:rFonts w:ascii="Arial" w:eastAsia="Times New Roman" w:hAnsi="Arial" w:cs="Arial"/>
          <w:color w:val="000000"/>
        </w:rPr>
        <w:t xml:space="preserve">Splošni pogoji: </w:t>
      </w:r>
    </w:p>
    <w:p w:rsidR="00B57491" w:rsidRPr="00B57491" w:rsidRDefault="00B57491" w:rsidP="00B57491">
      <w:pPr>
        <w:numPr>
          <w:ilvl w:val="0"/>
          <w:numId w:val="21"/>
        </w:numPr>
        <w:tabs>
          <w:tab w:val="left" w:pos="4024"/>
        </w:tabs>
        <w:spacing w:after="0" w:line="260" w:lineRule="exact"/>
        <w:contextualSpacing/>
        <w:jc w:val="both"/>
        <w:rPr>
          <w:rFonts w:ascii="Arial" w:eastAsia="Times New Roman" w:hAnsi="Arial" w:cs="Arial"/>
          <w:color w:val="000000"/>
        </w:rPr>
      </w:pPr>
      <w:r w:rsidRPr="00B57491">
        <w:rPr>
          <w:rFonts w:ascii="Arial" w:eastAsia="Times New Roman" w:hAnsi="Arial" w:cs="Arial"/>
          <w:color w:val="000000"/>
        </w:rPr>
        <w:t xml:space="preserve">Državna pomoč se dodeli na podlagi javnega razpisa ali poziva za naložbo, ki ima zaključeno finančno konstrukcijo in zagotovljene finančne vire za izvedbo celotne naložbe. Če kakšen izmed finančnih virov na dan oddaje prijave še ni zagotovljen, mora prijavitelj podati izjavo, da bo sredstva nadomestil iz lastnih virov, če ti viri ne bodo pridobljeni. Za naložbo mora biti izdelana in s strani odgovorne osebe prijavljena </w:t>
      </w:r>
      <w:r w:rsidRPr="00B57491">
        <w:rPr>
          <w:rFonts w:ascii="Arial" w:eastAsia="Times New Roman" w:hAnsi="Arial" w:cs="Arial"/>
          <w:color w:val="000000"/>
        </w:rPr>
        <w:lastRenderedPageBreak/>
        <w:t xml:space="preserve">potrjena investicijska dokumentacija, ki mora biti izdelana v skladu z uredbo, ki določa enotno metodologijo za pripravo in obravnavo investicijske dokumentacije na področju javnih financ. Investicijska dokumentacija ne sme biti starejša kot eno leto in mora jasno izkazovati namen, ter izpolnjevanje vseh pogojev in zahtev razpisa ali poziva. </w:t>
      </w:r>
    </w:p>
    <w:p w:rsidR="00B57491" w:rsidRPr="00B57491" w:rsidRDefault="00B57491" w:rsidP="00B57491">
      <w:pPr>
        <w:numPr>
          <w:ilvl w:val="0"/>
          <w:numId w:val="21"/>
        </w:numPr>
        <w:tabs>
          <w:tab w:val="left" w:pos="4024"/>
        </w:tabs>
        <w:spacing w:after="0" w:line="260" w:lineRule="exact"/>
        <w:contextualSpacing/>
        <w:jc w:val="both"/>
        <w:rPr>
          <w:rFonts w:ascii="Arial" w:eastAsia="Times New Roman" w:hAnsi="Arial" w:cs="Arial"/>
          <w:color w:val="000000"/>
        </w:rPr>
      </w:pPr>
      <w:r w:rsidRPr="00B57491">
        <w:rPr>
          <w:rFonts w:ascii="Arial" w:eastAsia="Times New Roman" w:hAnsi="Arial" w:cs="Arial"/>
          <w:color w:val="000000"/>
        </w:rPr>
        <w:t>Pri dodelitvi državne pomoči dajalec pomoči upošteva Uredbo 651/2014/EU.</w:t>
      </w:r>
    </w:p>
    <w:p w:rsidR="00B57491" w:rsidRPr="00B57491" w:rsidRDefault="00B57491" w:rsidP="00B57491">
      <w:pPr>
        <w:numPr>
          <w:ilvl w:val="0"/>
          <w:numId w:val="21"/>
        </w:numPr>
        <w:tabs>
          <w:tab w:val="left" w:pos="4024"/>
        </w:tabs>
        <w:spacing w:after="0" w:line="260" w:lineRule="exact"/>
        <w:contextualSpacing/>
        <w:jc w:val="both"/>
        <w:rPr>
          <w:rFonts w:ascii="Arial" w:eastAsia="Times New Roman" w:hAnsi="Arial" w:cs="Arial"/>
          <w:color w:val="000000"/>
        </w:rPr>
      </w:pPr>
      <w:r w:rsidRPr="00B57491">
        <w:rPr>
          <w:rFonts w:ascii="Arial" w:eastAsia="Times New Roman" w:hAnsi="Arial" w:cs="Arial"/>
          <w:color w:val="000000"/>
        </w:rPr>
        <w:t xml:space="preserve">Pri dodelitvi pomoči »de </w:t>
      </w:r>
      <w:proofErr w:type="spellStart"/>
      <w:r w:rsidRPr="00B57491">
        <w:rPr>
          <w:rFonts w:ascii="Arial" w:eastAsia="Times New Roman" w:hAnsi="Arial" w:cs="Arial"/>
          <w:color w:val="000000"/>
        </w:rPr>
        <w:t>minimis</w:t>
      </w:r>
      <w:proofErr w:type="spellEnd"/>
      <w:r w:rsidRPr="00B57491">
        <w:rPr>
          <w:rFonts w:ascii="Arial" w:eastAsia="Times New Roman" w:hAnsi="Arial" w:cs="Arial"/>
          <w:color w:val="000000"/>
        </w:rPr>
        <w:t>« dajalec pomoči upošteva Uredbo 1407/2013/EU.</w:t>
      </w:r>
    </w:p>
    <w:p w:rsidR="00B57491" w:rsidRPr="00B57491" w:rsidRDefault="00B57491" w:rsidP="00B57491">
      <w:pPr>
        <w:tabs>
          <w:tab w:val="left" w:pos="4024"/>
        </w:tabs>
        <w:spacing w:after="0" w:line="260" w:lineRule="exact"/>
        <w:ind w:left="360"/>
        <w:jc w:val="both"/>
        <w:rPr>
          <w:rFonts w:ascii="Arial" w:eastAsia="Calibri" w:hAnsi="Arial" w:cs="Arial"/>
        </w:rPr>
      </w:pPr>
    </w:p>
    <w:p w:rsidR="00B57491" w:rsidRPr="00B57491" w:rsidRDefault="00B57491" w:rsidP="00B57491">
      <w:pPr>
        <w:numPr>
          <w:ilvl w:val="0"/>
          <w:numId w:val="20"/>
        </w:numPr>
        <w:tabs>
          <w:tab w:val="left" w:pos="4024"/>
        </w:tabs>
        <w:spacing w:after="0" w:line="260" w:lineRule="exact"/>
        <w:contextualSpacing/>
        <w:jc w:val="both"/>
        <w:rPr>
          <w:rFonts w:ascii="Arial" w:eastAsia="Times New Roman" w:hAnsi="Arial" w:cs="Arial"/>
          <w:color w:val="000000"/>
        </w:rPr>
      </w:pPr>
      <w:r w:rsidRPr="00B57491">
        <w:rPr>
          <w:rFonts w:ascii="Arial" w:eastAsia="Times New Roman" w:hAnsi="Arial" w:cs="Arial"/>
          <w:color w:val="000000"/>
        </w:rPr>
        <w:t xml:space="preserve">Posebni pogoji: </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numPr>
          <w:ilvl w:val="0"/>
          <w:numId w:val="21"/>
        </w:numPr>
        <w:tabs>
          <w:tab w:val="left" w:pos="4024"/>
        </w:tabs>
        <w:spacing w:after="0" w:line="260" w:lineRule="exact"/>
        <w:contextualSpacing/>
        <w:jc w:val="both"/>
        <w:rPr>
          <w:rFonts w:ascii="Arial" w:eastAsia="Times New Roman" w:hAnsi="Arial" w:cs="Arial"/>
          <w:color w:val="000000"/>
        </w:rPr>
      </w:pPr>
      <w:r w:rsidRPr="00B57491">
        <w:rPr>
          <w:rFonts w:ascii="Arial" w:eastAsia="Times New Roman" w:hAnsi="Arial" w:cs="Arial"/>
          <w:color w:val="000000"/>
        </w:rPr>
        <w:t>Sredstva se dodelijo za projekte, katerih zastavljeni rezultati izkazujejo dokazljiv prispevek k doseganju ciljev na področju znižanja emisij toplogrednih plinov in prašnih delcev, znižanju rabe energije ali povečanje rabe obnovljivih virov energije v prometu.</w:t>
      </w:r>
    </w:p>
    <w:p w:rsidR="00B57491" w:rsidRPr="00B57491" w:rsidRDefault="00B57491" w:rsidP="00B57491">
      <w:pPr>
        <w:tabs>
          <w:tab w:val="left" w:pos="4024"/>
        </w:tabs>
        <w:spacing w:after="0" w:line="260" w:lineRule="exact"/>
        <w:ind w:left="360"/>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V. UPRAVIČENCI</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Upravičenci do spodbud so fizične osebe in pravne osebe, vključno z osebami javnega sektorja, ki imajo stvarno premoženje v svoji lasti, razen neposrednih uporabnikov državnega proračuna.</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VI. VODENJE EVIDENC</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 xml:space="preserve">Ministrstvo vodi dokumentacijo javnega razpisa ali poziva, na podlagi katerega se dodeljujejo spodbude. Dokumentacija vsebuje podatke o prejemnikih, vrsti upravičenih stroškov, višini spodbude, pogojih in rokih izplačila spodbude. </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VII. POROČANJE</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Prejemnik sredstev je ministrstvu dolžan poročati o doseganju kazalnikov oziroma učinkov projekta pri vsakem zahtevku za izplačilo in po zaključku projekta v obdobju, ki ga določi ministrstvo v postopku izbora projektov.</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VIII. ZAČETEK VELJAVNOSTI</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tabs>
          <w:tab w:val="left" w:pos="4024"/>
        </w:tabs>
        <w:spacing w:after="0" w:line="260" w:lineRule="exact"/>
        <w:jc w:val="both"/>
        <w:rPr>
          <w:rFonts w:ascii="Arial" w:eastAsia="Times New Roman" w:hAnsi="Arial" w:cs="Arial"/>
          <w:color w:val="000000"/>
        </w:rPr>
      </w:pPr>
      <w:r w:rsidRPr="00B57491">
        <w:rPr>
          <w:rFonts w:ascii="Arial" w:eastAsia="Times New Roman" w:hAnsi="Arial" w:cs="Arial"/>
          <w:color w:val="000000"/>
        </w:rPr>
        <w:t xml:space="preserve">Ta uredba začne veljati petnajsti dan po objavi v Uradnem listu Republike Slovenije. </w:t>
      </w:r>
    </w:p>
    <w:p w:rsidR="00B57491" w:rsidRPr="00B57491" w:rsidRDefault="00B57491" w:rsidP="00B57491">
      <w:pPr>
        <w:tabs>
          <w:tab w:val="left" w:pos="4024"/>
        </w:tabs>
        <w:spacing w:after="0" w:line="260" w:lineRule="exact"/>
        <w:jc w:val="both"/>
        <w:rPr>
          <w:rFonts w:ascii="Arial" w:eastAsia="Times New Roman" w:hAnsi="Arial" w:cs="Arial"/>
          <w:color w:val="000000"/>
        </w:rPr>
      </w:pPr>
    </w:p>
    <w:p w:rsidR="00B57491" w:rsidRPr="00B57491" w:rsidRDefault="00B57491" w:rsidP="00B57491">
      <w:pPr>
        <w:rPr>
          <w:rFonts w:ascii="Arial" w:eastAsia="Calibri" w:hAnsi="Arial" w:cs="Arial"/>
        </w:rPr>
      </w:pPr>
    </w:p>
    <w:p w:rsidR="00B57491" w:rsidRPr="00B57491" w:rsidRDefault="00B57491" w:rsidP="00B57491">
      <w:pPr>
        <w:rPr>
          <w:rFonts w:ascii="Calibri" w:eastAsia="Calibri" w:hAnsi="Calibri" w:cs="Times New Roman"/>
        </w:rPr>
      </w:pPr>
    </w:p>
    <w:p w:rsidR="00B57491" w:rsidRPr="00B57491" w:rsidRDefault="00B57491" w:rsidP="00B57491">
      <w:pPr>
        <w:rPr>
          <w:rFonts w:ascii="Arial" w:eastAsia="Calibri" w:hAnsi="Arial" w:cs="Arial"/>
          <w:b/>
        </w:rPr>
      </w:pPr>
    </w:p>
    <w:p w:rsidR="00B57491" w:rsidRPr="00B57491" w:rsidRDefault="00B57491" w:rsidP="00B57491">
      <w:pPr>
        <w:rPr>
          <w:rFonts w:ascii="Arial" w:eastAsia="Calibri" w:hAnsi="Arial" w:cs="Arial"/>
          <w:b/>
        </w:rPr>
      </w:pPr>
    </w:p>
    <w:p w:rsidR="00B57491" w:rsidRPr="00B57491" w:rsidRDefault="00B57491" w:rsidP="00B57491">
      <w:pPr>
        <w:rPr>
          <w:rFonts w:ascii="Calibri" w:eastAsia="Calibri" w:hAnsi="Calibri" w:cs="Times New Roman"/>
        </w:rPr>
      </w:pPr>
    </w:p>
    <w:p w:rsidR="00B57491" w:rsidRPr="00B57491" w:rsidRDefault="00B57491" w:rsidP="00B57491">
      <w:pPr>
        <w:rPr>
          <w:rFonts w:ascii="Calibri" w:eastAsia="Calibri" w:hAnsi="Calibri" w:cs="Times New Roman"/>
        </w:rPr>
      </w:pPr>
    </w:p>
    <w:p w:rsidR="00B57491" w:rsidRPr="00B57491" w:rsidRDefault="00B57491" w:rsidP="00B57491">
      <w:pPr>
        <w:rPr>
          <w:rFonts w:ascii="Calibri" w:eastAsia="Calibri" w:hAnsi="Calibri" w:cs="Times New Roman"/>
        </w:rPr>
      </w:pPr>
    </w:p>
    <w:p w:rsidR="00B57491" w:rsidRPr="00B57491" w:rsidRDefault="00B57491" w:rsidP="00B57491">
      <w:pPr>
        <w:rPr>
          <w:rFonts w:ascii="Calibri" w:eastAsia="Calibri" w:hAnsi="Calibri" w:cs="Times New Roman"/>
        </w:rPr>
      </w:pPr>
    </w:p>
    <w:p w:rsidR="004E79D8" w:rsidRDefault="004E79D8">
      <w:bookmarkStart w:id="0" w:name="_GoBack"/>
      <w:bookmarkEnd w:id="0"/>
    </w:p>
    <w:sectPr w:rsidR="004E79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22721"/>
    <w:multiLevelType w:val="hybridMultilevel"/>
    <w:tmpl w:val="AEB85DC6"/>
    <w:lvl w:ilvl="0" w:tplc="3E269D28">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27569A"/>
    <w:multiLevelType w:val="hybridMultilevel"/>
    <w:tmpl w:val="1DA6DF70"/>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9492E5C"/>
    <w:multiLevelType w:val="hybridMultilevel"/>
    <w:tmpl w:val="95D48AF6"/>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D9436A"/>
    <w:multiLevelType w:val="hybridMultilevel"/>
    <w:tmpl w:val="F062752E"/>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B2E594F"/>
    <w:multiLevelType w:val="hybridMultilevel"/>
    <w:tmpl w:val="0374F40E"/>
    <w:lvl w:ilvl="0" w:tplc="0A04A466">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1EA4241E"/>
    <w:multiLevelType w:val="hybridMultilevel"/>
    <w:tmpl w:val="BD1C82C6"/>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0FA55CF"/>
    <w:multiLevelType w:val="hybridMultilevel"/>
    <w:tmpl w:val="3BCA440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2A676F1"/>
    <w:multiLevelType w:val="hybridMultilevel"/>
    <w:tmpl w:val="8960CBC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3BB794D"/>
    <w:multiLevelType w:val="hybridMultilevel"/>
    <w:tmpl w:val="87568BE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26936"/>
    <w:multiLevelType w:val="hybridMultilevel"/>
    <w:tmpl w:val="78D27D88"/>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8741ABF"/>
    <w:multiLevelType w:val="hybridMultilevel"/>
    <w:tmpl w:val="A5A63E88"/>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CD7781E"/>
    <w:multiLevelType w:val="hybridMultilevel"/>
    <w:tmpl w:val="ABECE8F8"/>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73A5A00"/>
    <w:multiLevelType w:val="hybridMultilevel"/>
    <w:tmpl w:val="04988CB2"/>
    <w:lvl w:ilvl="0" w:tplc="76AC1A70">
      <w:start w:val="49"/>
      <w:numFmt w:val="bullet"/>
      <w:lvlText w:val=""/>
      <w:lvlJc w:val="left"/>
      <w:pPr>
        <w:ind w:left="1571" w:hanging="360"/>
      </w:pPr>
      <w:rPr>
        <w:rFonts w:ascii="Symbol" w:eastAsia="Times New Roman" w:hAnsi="Symbol" w:cs="Times New Roman"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13" w15:restartNumberingAfterBreak="0">
    <w:nsid w:val="3C001621"/>
    <w:multiLevelType w:val="hybridMultilevel"/>
    <w:tmpl w:val="511E6260"/>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1883B96"/>
    <w:multiLevelType w:val="hybridMultilevel"/>
    <w:tmpl w:val="30F47316"/>
    <w:lvl w:ilvl="0" w:tplc="E50A5466">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5" w15:restartNumberingAfterBreak="0">
    <w:nsid w:val="4370738C"/>
    <w:multiLevelType w:val="hybridMultilevel"/>
    <w:tmpl w:val="076C275C"/>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6AA3838"/>
    <w:multiLevelType w:val="hybridMultilevel"/>
    <w:tmpl w:val="D5387A72"/>
    <w:lvl w:ilvl="0" w:tplc="7A6AA3C2">
      <w:start w:val="2"/>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0">
    <w:nsid w:val="4CB913AC"/>
    <w:multiLevelType w:val="hybridMultilevel"/>
    <w:tmpl w:val="ECA07D96"/>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CF7758C"/>
    <w:multiLevelType w:val="hybridMultilevel"/>
    <w:tmpl w:val="841EE636"/>
    <w:lvl w:ilvl="0" w:tplc="35E8572E">
      <w:numFmt w:val="bullet"/>
      <w:lvlText w:val="-"/>
      <w:lvlJc w:val="left"/>
      <w:pPr>
        <w:ind w:left="720" w:hanging="360"/>
      </w:pPr>
      <w:rPr>
        <w:rFonts w:ascii="Tahoma" w:eastAsiaTheme="minorHAns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3326C95"/>
    <w:multiLevelType w:val="hybridMultilevel"/>
    <w:tmpl w:val="C6B83BB2"/>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63046A4"/>
    <w:multiLevelType w:val="hybridMultilevel"/>
    <w:tmpl w:val="761C778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952603E"/>
    <w:multiLevelType w:val="hybridMultilevel"/>
    <w:tmpl w:val="70F628E4"/>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ADC6631"/>
    <w:multiLevelType w:val="hybridMultilevel"/>
    <w:tmpl w:val="C6C284B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D985599"/>
    <w:multiLevelType w:val="hybridMultilevel"/>
    <w:tmpl w:val="E62E1C6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10E20E9"/>
    <w:multiLevelType w:val="hybridMultilevel"/>
    <w:tmpl w:val="A4DC1C5A"/>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19D12CE"/>
    <w:multiLevelType w:val="hybridMultilevel"/>
    <w:tmpl w:val="D27ECCE2"/>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5A5BFB"/>
    <w:multiLevelType w:val="hybridMultilevel"/>
    <w:tmpl w:val="EB7ED1B0"/>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82A5369"/>
    <w:multiLevelType w:val="hybridMultilevel"/>
    <w:tmpl w:val="6A0E0C0E"/>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F3231BB"/>
    <w:multiLevelType w:val="hybridMultilevel"/>
    <w:tmpl w:val="285004A4"/>
    <w:lvl w:ilvl="0" w:tplc="3E269D28">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FA31D53"/>
    <w:multiLevelType w:val="hybridMultilevel"/>
    <w:tmpl w:val="5B12179A"/>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2103125"/>
    <w:multiLevelType w:val="hybridMultilevel"/>
    <w:tmpl w:val="0570F1F8"/>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4EA0FF1"/>
    <w:multiLevelType w:val="hybridMultilevel"/>
    <w:tmpl w:val="53B26E28"/>
    <w:lvl w:ilvl="0" w:tplc="B03A2F84">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CF87A68"/>
    <w:multiLevelType w:val="hybridMultilevel"/>
    <w:tmpl w:val="93D01D2C"/>
    <w:lvl w:ilvl="0" w:tplc="24869812">
      <w:start w:val="3"/>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D2E22DA"/>
    <w:multiLevelType w:val="hybridMultilevel"/>
    <w:tmpl w:val="CA6E6AC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EC05E0E"/>
    <w:multiLevelType w:val="hybridMultilevel"/>
    <w:tmpl w:val="161C8972"/>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CF6E71"/>
    <w:multiLevelType w:val="hybridMultilevel"/>
    <w:tmpl w:val="70BEA25E"/>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15"/>
  </w:num>
  <w:num w:numId="4">
    <w:abstractNumId w:val="20"/>
  </w:num>
  <w:num w:numId="5">
    <w:abstractNumId w:val="23"/>
  </w:num>
  <w:num w:numId="6">
    <w:abstractNumId w:val="1"/>
  </w:num>
  <w:num w:numId="7">
    <w:abstractNumId w:val="4"/>
  </w:num>
  <w:num w:numId="8">
    <w:abstractNumId w:val="34"/>
  </w:num>
  <w:num w:numId="9">
    <w:abstractNumId w:val="19"/>
  </w:num>
  <w:num w:numId="10">
    <w:abstractNumId w:val="2"/>
  </w:num>
  <w:num w:numId="11">
    <w:abstractNumId w:val="13"/>
  </w:num>
  <w:num w:numId="12">
    <w:abstractNumId w:val="6"/>
  </w:num>
  <w:num w:numId="13">
    <w:abstractNumId w:val="2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7"/>
  </w:num>
  <w:num w:numId="18">
    <w:abstractNumId w:val="12"/>
  </w:num>
  <w:num w:numId="19">
    <w:abstractNumId w:val="33"/>
  </w:num>
  <w:num w:numId="20">
    <w:abstractNumId w:val="26"/>
  </w:num>
  <w:num w:numId="21">
    <w:abstractNumId w:val="21"/>
  </w:num>
  <w:num w:numId="22">
    <w:abstractNumId w:val="3"/>
  </w:num>
  <w:num w:numId="23">
    <w:abstractNumId w:val="29"/>
  </w:num>
  <w:num w:numId="24">
    <w:abstractNumId w:val="27"/>
  </w:num>
  <w:num w:numId="25">
    <w:abstractNumId w:val="30"/>
  </w:num>
  <w:num w:numId="26">
    <w:abstractNumId w:val="11"/>
  </w:num>
  <w:num w:numId="27">
    <w:abstractNumId w:val="10"/>
  </w:num>
  <w:num w:numId="28">
    <w:abstractNumId w:val="5"/>
  </w:num>
  <w:num w:numId="29">
    <w:abstractNumId w:val="35"/>
  </w:num>
  <w:num w:numId="30">
    <w:abstractNumId w:val="8"/>
  </w:num>
  <w:num w:numId="31">
    <w:abstractNumId w:val="9"/>
  </w:num>
  <w:num w:numId="32">
    <w:abstractNumId w:val="22"/>
  </w:num>
  <w:num w:numId="33">
    <w:abstractNumId w:val="28"/>
  </w:num>
  <w:num w:numId="34">
    <w:abstractNumId w:val="32"/>
  </w:num>
  <w:num w:numId="35">
    <w:abstractNumId w:val="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491"/>
    <w:rsid w:val="003039A6"/>
    <w:rsid w:val="004E79D8"/>
    <w:rsid w:val="006A643F"/>
    <w:rsid w:val="007800CF"/>
    <w:rsid w:val="009D4D41"/>
    <w:rsid w:val="00B574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42E9C"/>
  <w15:chartTrackingRefBased/>
  <w15:docId w15:val="{AD5B0310-AF67-4A0A-8BE4-C57B0D848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5004</Words>
  <Characters>28523</Characters>
  <Application>Microsoft Office Word</Application>
  <DocSecurity>0</DocSecurity>
  <Lines>237</Lines>
  <Paragraphs>66</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33461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Lesjak</dc:creator>
  <cp:keywords/>
  <dc:description/>
  <cp:lastModifiedBy>Marija Lesjak</cp:lastModifiedBy>
  <cp:revision>3</cp:revision>
  <dcterms:created xsi:type="dcterms:W3CDTF">2023-02-16T12:54:00Z</dcterms:created>
  <dcterms:modified xsi:type="dcterms:W3CDTF">2023-02-16T12:56:00Z</dcterms:modified>
</cp:coreProperties>
</file>