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E8A" w:rsidRPr="004F3035" w:rsidRDefault="00E96E8A" w:rsidP="005B39B9">
      <w:pPr>
        <w:tabs>
          <w:tab w:val="left" w:pos="1290"/>
        </w:tabs>
        <w:spacing w:before="20" w:after="20"/>
        <w:rPr>
          <w:rFonts w:cs="Arial"/>
          <w:b/>
          <w:szCs w:val="20"/>
          <w:lang w:val="sl-SI"/>
        </w:rPr>
      </w:pPr>
      <w:r w:rsidRPr="004F3035">
        <w:rPr>
          <w:rFonts w:cs="Arial"/>
          <w:b/>
          <w:szCs w:val="20"/>
          <w:lang w:val="sl-SI"/>
        </w:rPr>
        <w:t xml:space="preserve">Številka:  </w:t>
      </w:r>
      <w:r w:rsidRPr="004F3035">
        <w:rPr>
          <w:rFonts w:cs="Arial"/>
          <w:b/>
          <w:i/>
          <w:szCs w:val="20"/>
          <w:lang w:val="sl-SI"/>
        </w:rPr>
        <w:t>545641-24/2023 / 1</w:t>
      </w:r>
    </w:p>
    <w:p w:rsidR="00E96E8A" w:rsidRPr="004F3035" w:rsidRDefault="00E96E8A" w:rsidP="005B39B9">
      <w:pPr>
        <w:spacing w:before="20" w:after="20"/>
        <w:rPr>
          <w:rFonts w:cs="Arial"/>
          <w:b/>
          <w:szCs w:val="20"/>
          <w:lang w:val="sl-SI"/>
        </w:rPr>
      </w:pPr>
      <w:r w:rsidRPr="004F3035">
        <w:rPr>
          <w:rFonts w:cs="Arial"/>
          <w:b/>
          <w:szCs w:val="20"/>
          <w:lang w:val="sl-SI"/>
        </w:rPr>
        <w:t xml:space="preserve">Ljubljana, dne </w:t>
      </w:r>
      <w:r w:rsidRPr="004F3035">
        <w:rPr>
          <w:rFonts w:cs="Arial"/>
          <w:b/>
          <w:i/>
          <w:color w:val="000000"/>
          <w:szCs w:val="20"/>
          <w:lang w:val="sl-SI"/>
        </w:rPr>
        <w:t>25. 08. 2023</w:t>
      </w:r>
    </w:p>
    <w:p w:rsidR="00E96E8A" w:rsidRPr="004F3035" w:rsidRDefault="00E96E8A" w:rsidP="005B39B9">
      <w:pPr>
        <w:spacing w:before="20" w:after="20"/>
        <w:rPr>
          <w:rFonts w:cs="Arial"/>
          <w:b/>
          <w:i/>
          <w:szCs w:val="20"/>
          <w:lang w:val="sl-SI"/>
        </w:rPr>
      </w:pPr>
    </w:p>
    <w:p w:rsidR="00E96E8A" w:rsidRPr="004F3035" w:rsidRDefault="00E96E8A" w:rsidP="005B39B9">
      <w:pPr>
        <w:spacing w:before="20" w:after="20"/>
        <w:rPr>
          <w:rFonts w:cs="Arial"/>
          <w:i/>
          <w:szCs w:val="20"/>
          <w:lang w:val="sl-SI"/>
        </w:rPr>
      </w:pPr>
    </w:p>
    <w:p w:rsidR="00E96E8A" w:rsidRPr="004F3035" w:rsidRDefault="00E96E8A" w:rsidP="005B39B9">
      <w:pPr>
        <w:spacing w:before="20" w:after="20"/>
        <w:rPr>
          <w:rFonts w:cs="Arial"/>
          <w:b/>
          <w:szCs w:val="20"/>
          <w:lang w:val="sl-SI"/>
        </w:rPr>
      </w:pPr>
      <w:r w:rsidRPr="004F3035">
        <w:rPr>
          <w:rFonts w:cs="Arial"/>
          <w:b/>
          <w:szCs w:val="20"/>
          <w:lang w:val="sl-SI"/>
        </w:rPr>
        <w:t>GENERALNI SEKRETARIAT VLADE REPUBLIKE SLOVENIJE</w:t>
      </w:r>
    </w:p>
    <w:p w:rsidR="00E96E8A" w:rsidRPr="004F3035" w:rsidRDefault="00E96E8A" w:rsidP="005B39B9">
      <w:pPr>
        <w:spacing w:before="20" w:after="20"/>
        <w:rPr>
          <w:rFonts w:cs="Arial"/>
          <w:i/>
          <w:szCs w:val="20"/>
          <w:lang w:val="sl-SI"/>
        </w:rPr>
      </w:pPr>
      <w:r w:rsidRPr="004F3035">
        <w:rPr>
          <w:rFonts w:cs="Arial"/>
          <w:szCs w:val="20"/>
          <w:lang w:val="sl-SI"/>
        </w:rPr>
        <w:t>gp.gs@gov.si</w:t>
      </w:r>
    </w:p>
    <w:p w:rsidR="00E96E8A" w:rsidRPr="004F3035" w:rsidRDefault="00E96E8A" w:rsidP="005B39B9">
      <w:pPr>
        <w:spacing w:before="20" w:after="20"/>
        <w:rPr>
          <w:rFonts w:cs="Arial"/>
          <w:b/>
          <w:i/>
          <w:szCs w:val="20"/>
          <w:lang w:val="sl-SI"/>
        </w:rPr>
      </w:pPr>
    </w:p>
    <w:p w:rsidR="00E96E8A" w:rsidRPr="004F3035" w:rsidRDefault="00E96E8A" w:rsidP="005B39B9">
      <w:pPr>
        <w:spacing w:before="20" w:after="20"/>
        <w:rPr>
          <w:rFonts w:cs="Arial"/>
          <w:szCs w:val="20"/>
          <w:lang w:val="sl-SI"/>
        </w:rPr>
      </w:pPr>
      <w:r w:rsidRPr="004F3035">
        <w:rPr>
          <w:rFonts w:cs="Arial"/>
          <w:szCs w:val="20"/>
          <w:lang w:val="sl-SI"/>
        </w:rPr>
        <w:t>V vednost:</w:t>
      </w:r>
    </w:p>
    <w:p w:rsidR="00E96E8A" w:rsidRPr="004F3035" w:rsidRDefault="00E96E8A" w:rsidP="005B39B9">
      <w:pPr>
        <w:spacing w:before="20" w:after="20"/>
        <w:rPr>
          <w:rFonts w:cs="Arial"/>
          <w:szCs w:val="20"/>
          <w:lang w:val="sl-SI"/>
        </w:rPr>
      </w:pPr>
      <w:r w:rsidRPr="004F3035">
        <w:rPr>
          <w:rFonts w:cs="Arial"/>
          <w:b/>
          <w:szCs w:val="20"/>
          <w:lang w:val="sl-SI"/>
        </w:rPr>
        <w:t>MINISTRSTVO ZA ZUNANJE IN EVROPSKE ZADEVE</w:t>
      </w:r>
    </w:p>
    <w:p w:rsidR="00E96E8A" w:rsidRPr="004F3035" w:rsidRDefault="00E96E8A" w:rsidP="005B39B9">
      <w:pPr>
        <w:spacing w:before="20" w:after="20"/>
        <w:rPr>
          <w:rFonts w:cs="Arial"/>
          <w:szCs w:val="20"/>
          <w:lang w:val="sl-SI"/>
        </w:rPr>
      </w:pPr>
      <w:r w:rsidRPr="004F3035">
        <w:rPr>
          <w:rFonts w:cs="Arial"/>
          <w:szCs w:val="20"/>
          <w:lang w:val="sl-SI"/>
        </w:rPr>
        <w:t>EU-portal@gov.si</w:t>
      </w:r>
    </w:p>
    <w:p w:rsidR="00E96E8A" w:rsidRPr="004F3035" w:rsidRDefault="00E96E8A" w:rsidP="005B39B9">
      <w:pPr>
        <w:spacing w:before="20" w:after="20"/>
        <w:rPr>
          <w:rFonts w:cs="Arial"/>
          <w:szCs w:val="20"/>
          <w:lang w:val="sl-SI"/>
        </w:rPr>
      </w:pPr>
    </w:p>
    <w:p w:rsidR="00E96E8A" w:rsidRPr="004F3035" w:rsidRDefault="00E96E8A" w:rsidP="005B39B9">
      <w:pPr>
        <w:spacing w:before="20" w:after="20"/>
        <w:rPr>
          <w:rFonts w:cs="Arial"/>
          <w:i/>
          <w:szCs w:val="20"/>
          <w:lang w:val="sl-SI"/>
        </w:rPr>
      </w:pPr>
    </w:p>
    <w:p w:rsidR="00E96E8A" w:rsidRPr="004F3035" w:rsidRDefault="00E96E8A" w:rsidP="005B39B9">
      <w:pPr>
        <w:spacing w:before="20" w:after="20"/>
        <w:jc w:val="center"/>
        <w:rPr>
          <w:rFonts w:cs="Arial"/>
          <w:b/>
          <w:bCs/>
          <w:szCs w:val="20"/>
          <w:lang w:val="sl-SI"/>
        </w:rPr>
      </w:pPr>
      <w:r w:rsidRPr="004F3035">
        <w:rPr>
          <w:rFonts w:cs="Arial"/>
          <w:b/>
          <w:bCs/>
          <w:szCs w:val="20"/>
          <w:lang w:val="sl-SI"/>
        </w:rPr>
        <w:t>ODLOČITVE REPUBLIKE SLOVENIJE</w:t>
      </w:r>
    </w:p>
    <w:p w:rsidR="00E96E8A" w:rsidRPr="004F3035" w:rsidRDefault="00E96E8A" w:rsidP="005B39B9">
      <w:pPr>
        <w:spacing w:before="20" w:after="20"/>
        <w:jc w:val="center"/>
        <w:rPr>
          <w:rFonts w:cs="Arial"/>
          <w:b/>
          <w:bCs/>
          <w:szCs w:val="20"/>
          <w:lang w:val="sl-SI"/>
        </w:rPr>
      </w:pPr>
      <w:r w:rsidRPr="004F3035">
        <w:rPr>
          <w:rFonts w:cs="Arial"/>
          <w:b/>
          <w:bCs/>
          <w:szCs w:val="20"/>
          <w:lang w:val="sl-SI"/>
        </w:rPr>
        <w:t>V ZVEZI Z ZADEVAMI EVROPSKE UNIJE</w:t>
      </w:r>
    </w:p>
    <w:p w:rsidR="00E96E8A" w:rsidRPr="004F3035" w:rsidRDefault="00E96E8A" w:rsidP="005B39B9">
      <w:pPr>
        <w:spacing w:before="20" w:after="20"/>
        <w:jc w:val="center"/>
        <w:rPr>
          <w:rFonts w:cs="Arial"/>
          <w:b/>
          <w:bCs/>
          <w:szCs w:val="20"/>
          <w:lang w:val="sl-SI"/>
        </w:rPr>
      </w:pPr>
      <w:r w:rsidRPr="004F3035">
        <w:rPr>
          <w:rFonts w:cs="Arial"/>
          <w:b/>
          <w:bCs/>
          <w:szCs w:val="20"/>
          <w:lang w:val="sl-SI"/>
        </w:rPr>
        <w:t>PREDLOG ZA OBRAVNAVO</w:t>
      </w:r>
    </w:p>
    <w:p w:rsidR="00E96E8A" w:rsidRPr="004F3035" w:rsidRDefault="00E96E8A" w:rsidP="005B39B9">
      <w:pPr>
        <w:spacing w:before="20" w:after="20"/>
        <w:jc w:val="center"/>
        <w:rPr>
          <w:rFonts w:cs="Arial"/>
          <w:bCs/>
          <w:szCs w:val="20"/>
          <w:lang w:val="sl-SI"/>
        </w:rPr>
      </w:pPr>
    </w:p>
    <w:p w:rsidR="00E96E8A" w:rsidRPr="004F3035" w:rsidRDefault="00E96E8A" w:rsidP="005B39B9">
      <w:pPr>
        <w:spacing w:before="20" w:after="20"/>
        <w:jc w:val="center"/>
        <w:rPr>
          <w:rFonts w:cs="Arial"/>
          <w:bCs/>
          <w:szCs w:val="20"/>
          <w:lang w:val="sl-SI"/>
        </w:rPr>
      </w:pPr>
      <w:r w:rsidRPr="004F3035">
        <w:rPr>
          <w:rFonts w:cs="Arial"/>
          <w:bCs/>
          <w:szCs w:val="20"/>
          <w:lang w:val="sl-SI"/>
        </w:rPr>
        <w:t>I.</w:t>
      </w:r>
    </w:p>
    <w:p w:rsidR="00E96E8A" w:rsidRPr="004F3035" w:rsidRDefault="00E96E8A" w:rsidP="005B39B9">
      <w:pPr>
        <w:spacing w:before="20" w:after="20"/>
        <w:jc w:val="both"/>
        <w:rPr>
          <w:rFonts w:cs="Arial"/>
          <w:bCs/>
          <w:szCs w:val="20"/>
          <w:lang w:val="sl-SI"/>
        </w:rPr>
      </w:pPr>
      <w:r w:rsidRPr="004F3035">
        <w:rPr>
          <w:rFonts w:cs="Arial"/>
          <w:b/>
          <w:bCs/>
          <w:szCs w:val="20"/>
          <w:lang w:val="sl-SI"/>
        </w:rPr>
        <w:t>1. Zadeva EU</w:t>
      </w:r>
      <w:r w:rsidRPr="004F3035">
        <w:rPr>
          <w:rFonts w:cs="Arial"/>
          <w:bCs/>
          <w:szCs w:val="20"/>
          <w:lang w:val="sl-SI"/>
        </w:rPr>
        <w:t xml:space="preserve">: </w:t>
      </w:r>
    </w:p>
    <w:p w:rsidR="00E96E8A" w:rsidRPr="004F3035" w:rsidRDefault="00E96E8A" w:rsidP="005B39B9">
      <w:pPr>
        <w:spacing w:before="20" w:after="20"/>
        <w:jc w:val="both"/>
        <w:rPr>
          <w:rFonts w:cs="Arial"/>
          <w:bCs/>
          <w:color w:val="0070C0"/>
          <w:szCs w:val="20"/>
          <w:lang w:val="sl-SI"/>
        </w:rPr>
      </w:pPr>
      <w:r w:rsidRPr="004F3035">
        <w:rPr>
          <w:rFonts w:cs="Arial"/>
          <w:bCs/>
          <w:szCs w:val="20"/>
          <w:lang w:val="sl-SI"/>
        </w:rPr>
        <w:t xml:space="preserve">Naslov dokumenta v slovenskem jeziku: </w:t>
      </w:r>
      <w:r w:rsidRPr="004F3035">
        <w:rPr>
          <w:rFonts w:cs="Arial"/>
          <w:bCs/>
          <w:i/>
          <w:szCs w:val="20"/>
          <w:lang w:val="sl-SI"/>
        </w:rPr>
        <w:t>Predlog uredbe Evropskega parlamenta in Sveta o določitvi ohranitvenih, upravljalnih in nadzornih ukrepov, ki se uporabljajo na območju Konvencije o prihodnjem večstranskem sodelovanju v ribištvu severovzhodnega Atlantika, spremembi Uredbe (EU) 2019/1241 Evropskega parlamenta in Sveta in Uredbe Sveta (ES) št. 1224/2009 ter razveljavitvi Uredbe Sveta (EGS) št. 1899/85 in Uredbe (EU) št. 1236/2010</w:t>
      </w:r>
    </w:p>
    <w:p w:rsidR="00E96E8A" w:rsidRPr="004F3035" w:rsidRDefault="00E96E8A" w:rsidP="005B39B9">
      <w:pPr>
        <w:spacing w:before="20" w:after="20"/>
        <w:jc w:val="both"/>
        <w:rPr>
          <w:rFonts w:cs="Arial"/>
          <w:bCs/>
          <w:szCs w:val="20"/>
          <w:lang w:val="sl-SI"/>
        </w:rPr>
      </w:pPr>
      <w:r w:rsidRPr="004F3035">
        <w:rPr>
          <w:rFonts w:cs="Arial"/>
          <w:bCs/>
          <w:szCs w:val="20"/>
          <w:lang w:val="sl-SI"/>
        </w:rPr>
        <w:t xml:space="preserve">Naslov dokumenta v delovnem jeziku EU: </w:t>
      </w:r>
      <w:proofErr w:type="spellStart"/>
      <w:r w:rsidRPr="004F3035">
        <w:rPr>
          <w:rFonts w:cs="Arial"/>
          <w:bCs/>
          <w:i/>
          <w:szCs w:val="20"/>
          <w:lang w:val="sl-SI"/>
        </w:rPr>
        <w:t>Proposal</w:t>
      </w:r>
      <w:proofErr w:type="spellEnd"/>
      <w:r w:rsidRPr="004F3035">
        <w:rPr>
          <w:rFonts w:cs="Arial"/>
          <w:bCs/>
          <w:i/>
          <w:szCs w:val="20"/>
          <w:lang w:val="sl-SI"/>
        </w:rPr>
        <w:t xml:space="preserve"> for a </w:t>
      </w:r>
      <w:proofErr w:type="spellStart"/>
      <w:r w:rsidRPr="004F3035">
        <w:rPr>
          <w:rFonts w:cs="Arial"/>
          <w:bCs/>
          <w:i/>
          <w:szCs w:val="20"/>
          <w:lang w:val="sl-SI"/>
        </w:rPr>
        <w:t>Regulation</w:t>
      </w:r>
      <w:proofErr w:type="spellEnd"/>
      <w:r w:rsidRPr="004F3035">
        <w:rPr>
          <w:rFonts w:cs="Arial"/>
          <w:bCs/>
          <w:i/>
          <w:szCs w:val="20"/>
          <w:lang w:val="sl-SI"/>
        </w:rPr>
        <w:t xml:space="preserve"> of the European </w:t>
      </w:r>
      <w:proofErr w:type="spellStart"/>
      <w:r w:rsidRPr="004F3035">
        <w:rPr>
          <w:rFonts w:cs="Arial"/>
          <w:bCs/>
          <w:i/>
          <w:szCs w:val="20"/>
          <w:lang w:val="sl-SI"/>
        </w:rPr>
        <w:t>Parliament</w:t>
      </w:r>
      <w:proofErr w:type="spellEnd"/>
      <w:r w:rsidRPr="004F3035">
        <w:rPr>
          <w:rFonts w:cs="Arial"/>
          <w:bCs/>
          <w:i/>
          <w:szCs w:val="20"/>
          <w:lang w:val="sl-SI"/>
        </w:rPr>
        <w:t xml:space="preserve"> and of the Council </w:t>
      </w:r>
      <w:proofErr w:type="spellStart"/>
      <w:r w:rsidRPr="004F3035">
        <w:rPr>
          <w:rFonts w:cs="Arial"/>
          <w:bCs/>
          <w:i/>
          <w:szCs w:val="20"/>
          <w:lang w:val="sl-SI"/>
        </w:rPr>
        <w:t>laying</w:t>
      </w:r>
      <w:proofErr w:type="spellEnd"/>
      <w:r w:rsidRPr="004F3035">
        <w:rPr>
          <w:rFonts w:cs="Arial"/>
          <w:bCs/>
          <w:i/>
          <w:szCs w:val="20"/>
          <w:lang w:val="sl-SI"/>
        </w:rPr>
        <w:t xml:space="preserve"> </w:t>
      </w:r>
      <w:proofErr w:type="spellStart"/>
      <w:r w:rsidRPr="004F3035">
        <w:rPr>
          <w:rFonts w:cs="Arial"/>
          <w:bCs/>
          <w:i/>
          <w:szCs w:val="20"/>
          <w:lang w:val="sl-SI"/>
        </w:rPr>
        <w:t>down</w:t>
      </w:r>
      <w:proofErr w:type="spellEnd"/>
      <w:r w:rsidRPr="004F3035">
        <w:rPr>
          <w:rFonts w:cs="Arial"/>
          <w:bCs/>
          <w:i/>
          <w:szCs w:val="20"/>
          <w:lang w:val="sl-SI"/>
        </w:rPr>
        <w:t xml:space="preserve"> </w:t>
      </w:r>
      <w:proofErr w:type="spellStart"/>
      <w:r w:rsidRPr="004F3035">
        <w:rPr>
          <w:rFonts w:cs="Arial"/>
          <w:bCs/>
          <w:i/>
          <w:szCs w:val="20"/>
          <w:lang w:val="sl-SI"/>
        </w:rPr>
        <w:t>conservation</w:t>
      </w:r>
      <w:proofErr w:type="spellEnd"/>
      <w:r w:rsidRPr="004F3035">
        <w:rPr>
          <w:rFonts w:cs="Arial"/>
          <w:bCs/>
          <w:i/>
          <w:szCs w:val="20"/>
          <w:lang w:val="sl-SI"/>
        </w:rPr>
        <w:t xml:space="preserve">, management and </w:t>
      </w:r>
      <w:proofErr w:type="spellStart"/>
      <w:r w:rsidRPr="004F3035">
        <w:rPr>
          <w:rFonts w:cs="Arial"/>
          <w:bCs/>
          <w:i/>
          <w:szCs w:val="20"/>
          <w:lang w:val="sl-SI"/>
        </w:rPr>
        <w:t>control</w:t>
      </w:r>
      <w:proofErr w:type="spellEnd"/>
      <w:r w:rsidRPr="004F3035">
        <w:rPr>
          <w:rFonts w:cs="Arial"/>
          <w:bCs/>
          <w:i/>
          <w:szCs w:val="20"/>
          <w:lang w:val="sl-SI"/>
        </w:rPr>
        <w:t xml:space="preserve"> </w:t>
      </w:r>
      <w:proofErr w:type="spellStart"/>
      <w:r w:rsidRPr="004F3035">
        <w:rPr>
          <w:rFonts w:cs="Arial"/>
          <w:bCs/>
          <w:i/>
          <w:szCs w:val="20"/>
          <w:lang w:val="sl-SI"/>
        </w:rPr>
        <w:t>measures</w:t>
      </w:r>
      <w:proofErr w:type="spellEnd"/>
      <w:r w:rsidRPr="004F3035">
        <w:rPr>
          <w:rFonts w:cs="Arial"/>
          <w:bCs/>
          <w:i/>
          <w:szCs w:val="20"/>
          <w:lang w:val="sl-SI"/>
        </w:rPr>
        <w:t xml:space="preserve"> </w:t>
      </w:r>
      <w:proofErr w:type="spellStart"/>
      <w:r w:rsidRPr="004F3035">
        <w:rPr>
          <w:rFonts w:cs="Arial"/>
          <w:bCs/>
          <w:i/>
          <w:szCs w:val="20"/>
          <w:lang w:val="sl-SI"/>
        </w:rPr>
        <w:t>applicable</w:t>
      </w:r>
      <w:proofErr w:type="spellEnd"/>
      <w:r w:rsidRPr="004F3035">
        <w:rPr>
          <w:rFonts w:cs="Arial"/>
          <w:bCs/>
          <w:i/>
          <w:szCs w:val="20"/>
          <w:lang w:val="sl-SI"/>
        </w:rPr>
        <w:t xml:space="preserve"> in the area </w:t>
      </w:r>
      <w:proofErr w:type="spellStart"/>
      <w:r w:rsidRPr="004F3035">
        <w:rPr>
          <w:rFonts w:cs="Arial"/>
          <w:bCs/>
          <w:i/>
          <w:szCs w:val="20"/>
          <w:lang w:val="sl-SI"/>
        </w:rPr>
        <w:t>covered</w:t>
      </w:r>
      <w:proofErr w:type="spellEnd"/>
      <w:r w:rsidRPr="004F3035">
        <w:rPr>
          <w:rFonts w:cs="Arial"/>
          <w:bCs/>
          <w:i/>
          <w:szCs w:val="20"/>
          <w:lang w:val="sl-SI"/>
        </w:rPr>
        <w:t xml:space="preserve"> </w:t>
      </w:r>
      <w:proofErr w:type="spellStart"/>
      <w:r w:rsidRPr="004F3035">
        <w:rPr>
          <w:rFonts w:cs="Arial"/>
          <w:bCs/>
          <w:i/>
          <w:szCs w:val="20"/>
          <w:lang w:val="sl-SI"/>
        </w:rPr>
        <w:t>by</w:t>
      </w:r>
      <w:proofErr w:type="spellEnd"/>
      <w:r w:rsidRPr="004F3035">
        <w:rPr>
          <w:rFonts w:cs="Arial"/>
          <w:bCs/>
          <w:i/>
          <w:szCs w:val="20"/>
          <w:lang w:val="sl-SI"/>
        </w:rPr>
        <w:t xml:space="preserve"> the </w:t>
      </w:r>
      <w:proofErr w:type="spellStart"/>
      <w:r w:rsidRPr="004F3035">
        <w:rPr>
          <w:rFonts w:cs="Arial"/>
          <w:bCs/>
          <w:i/>
          <w:szCs w:val="20"/>
          <w:lang w:val="sl-SI"/>
        </w:rPr>
        <w:t>Convention</w:t>
      </w:r>
      <w:proofErr w:type="spellEnd"/>
      <w:r w:rsidRPr="004F3035">
        <w:rPr>
          <w:rFonts w:cs="Arial"/>
          <w:bCs/>
          <w:i/>
          <w:szCs w:val="20"/>
          <w:lang w:val="sl-SI"/>
        </w:rPr>
        <w:t xml:space="preserve"> on future </w:t>
      </w:r>
      <w:proofErr w:type="spellStart"/>
      <w:r w:rsidRPr="004F3035">
        <w:rPr>
          <w:rFonts w:cs="Arial"/>
          <w:bCs/>
          <w:i/>
          <w:szCs w:val="20"/>
          <w:lang w:val="sl-SI"/>
        </w:rPr>
        <w:t>multilateral</w:t>
      </w:r>
      <w:proofErr w:type="spellEnd"/>
      <w:r w:rsidRPr="004F3035">
        <w:rPr>
          <w:rFonts w:cs="Arial"/>
          <w:bCs/>
          <w:i/>
          <w:szCs w:val="20"/>
          <w:lang w:val="sl-SI"/>
        </w:rPr>
        <w:t xml:space="preserve"> </w:t>
      </w:r>
      <w:proofErr w:type="spellStart"/>
      <w:r w:rsidRPr="004F3035">
        <w:rPr>
          <w:rFonts w:cs="Arial"/>
          <w:bCs/>
          <w:i/>
          <w:szCs w:val="20"/>
          <w:lang w:val="sl-SI"/>
        </w:rPr>
        <w:t>cooperation</w:t>
      </w:r>
      <w:proofErr w:type="spellEnd"/>
      <w:r w:rsidRPr="004F3035">
        <w:rPr>
          <w:rFonts w:cs="Arial"/>
          <w:bCs/>
          <w:i/>
          <w:szCs w:val="20"/>
          <w:lang w:val="sl-SI"/>
        </w:rPr>
        <w:t xml:space="preserve"> in the </w:t>
      </w:r>
      <w:proofErr w:type="spellStart"/>
      <w:r w:rsidRPr="004F3035">
        <w:rPr>
          <w:rFonts w:cs="Arial"/>
          <w:bCs/>
          <w:i/>
          <w:szCs w:val="20"/>
          <w:lang w:val="sl-SI"/>
        </w:rPr>
        <w:t>North-East</w:t>
      </w:r>
      <w:proofErr w:type="spellEnd"/>
      <w:r w:rsidRPr="004F3035">
        <w:rPr>
          <w:rFonts w:cs="Arial"/>
          <w:bCs/>
          <w:i/>
          <w:szCs w:val="20"/>
          <w:lang w:val="sl-SI"/>
        </w:rPr>
        <w:t xml:space="preserve"> </w:t>
      </w:r>
      <w:proofErr w:type="spellStart"/>
      <w:r w:rsidRPr="004F3035">
        <w:rPr>
          <w:rFonts w:cs="Arial"/>
          <w:bCs/>
          <w:i/>
          <w:szCs w:val="20"/>
          <w:lang w:val="sl-SI"/>
        </w:rPr>
        <w:t>Atlantic</w:t>
      </w:r>
      <w:proofErr w:type="spellEnd"/>
      <w:r w:rsidRPr="004F3035">
        <w:rPr>
          <w:rFonts w:cs="Arial"/>
          <w:bCs/>
          <w:i/>
          <w:szCs w:val="20"/>
          <w:lang w:val="sl-SI"/>
        </w:rPr>
        <w:t xml:space="preserve"> </w:t>
      </w:r>
      <w:proofErr w:type="spellStart"/>
      <w:r w:rsidRPr="004F3035">
        <w:rPr>
          <w:rFonts w:cs="Arial"/>
          <w:bCs/>
          <w:i/>
          <w:szCs w:val="20"/>
          <w:lang w:val="sl-SI"/>
        </w:rPr>
        <w:t>fisheries</w:t>
      </w:r>
      <w:proofErr w:type="spellEnd"/>
      <w:r w:rsidRPr="004F3035">
        <w:rPr>
          <w:rFonts w:cs="Arial"/>
          <w:bCs/>
          <w:i/>
          <w:szCs w:val="20"/>
          <w:lang w:val="sl-SI"/>
        </w:rPr>
        <w:t xml:space="preserve">, </w:t>
      </w:r>
      <w:proofErr w:type="spellStart"/>
      <w:r w:rsidRPr="004F3035">
        <w:rPr>
          <w:rFonts w:cs="Arial"/>
          <w:bCs/>
          <w:i/>
          <w:szCs w:val="20"/>
          <w:lang w:val="sl-SI"/>
        </w:rPr>
        <w:t>amending</w:t>
      </w:r>
      <w:proofErr w:type="spellEnd"/>
      <w:r w:rsidRPr="004F3035">
        <w:rPr>
          <w:rFonts w:cs="Arial"/>
          <w:bCs/>
          <w:i/>
          <w:szCs w:val="20"/>
          <w:lang w:val="sl-SI"/>
        </w:rPr>
        <w:t xml:space="preserve"> </w:t>
      </w:r>
      <w:proofErr w:type="spellStart"/>
      <w:r w:rsidRPr="004F3035">
        <w:rPr>
          <w:rFonts w:cs="Arial"/>
          <w:bCs/>
          <w:i/>
          <w:szCs w:val="20"/>
          <w:lang w:val="sl-SI"/>
        </w:rPr>
        <w:t>Regulation</w:t>
      </w:r>
      <w:proofErr w:type="spellEnd"/>
      <w:r w:rsidRPr="004F3035">
        <w:rPr>
          <w:rFonts w:cs="Arial"/>
          <w:bCs/>
          <w:i/>
          <w:szCs w:val="20"/>
          <w:lang w:val="sl-SI"/>
        </w:rPr>
        <w:t xml:space="preserve"> (EU) 2019/1241 of the European </w:t>
      </w:r>
      <w:proofErr w:type="spellStart"/>
      <w:r w:rsidRPr="004F3035">
        <w:rPr>
          <w:rFonts w:cs="Arial"/>
          <w:bCs/>
          <w:i/>
          <w:szCs w:val="20"/>
          <w:lang w:val="sl-SI"/>
        </w:rPr>
        <w:t>Parliament</w:t>
      </w:r>
      <w:proofErr w:type="spellEnd"/>
      <w:r w:rsidRPr="004F3035">
        <w:rPr>
          <w:rFonts w:cs="Arial"/>
          <w:bCs/>
          <w:i/>
          <w:szCs w:val="20"/>
          <w:lang w:val="sl-SI"/>
        </w:rPr>
        <w:t xml:space="preserve"> and of the Council and Council </w:t>
      </w:r>
      <w:proofErr w:type="spellStart"/>
      <w:r w:rsidRPr="004F3035">
        <w:rPr>
          <w:rFonts w:cs="Arial"/>
          <w:bCs/>
          <w:i/>
          <w:szCs w:val="20"/>
          <w:lang w:val="sl-SI"/>
        </w:rPr>
        <w:t>Regulation</w:t>
      </w:r>
      <w:proofErr w:type="spellEnd"/>
      <w:r w:rsidRPr="004F3035">
        <w:rPr>
          <w:rFonts w:cs="Arial"/>
          <w:bCs/>
          <w:i/>
          <w:szCs w:val="20"/>
          <w:lang w:val="sl-SI"/>
        </w:rPr>
        <w:t xml:space="preserve"> (EC) No 1224/2009, and </w:t>
      </w:r>
      <w:proofErr w:type="spellStart"/>
      <w:r w:rsidRPr="004F3035">
        <w:rPr>
          <w:rFonts w:cs="Arial"/>
          <w:bCs/>
          <w:i/>
          <w:szCs w:val="20"/>
          <w:lang w:val="sl-SI"/>
        </w:rPr>
        <w:t>repealing</w:t>
      </w:r>
      <w:proofErr w:type="spellEnd"/>
      <w:r w:rsidRPr="004F3035">
        <w:rPr>
          <w:rFonts w:cs="Arial"/>
          <w:bCs/>
          <w:i/>
          <w:szCs w:val="20"/>
          <w:lang w:val="sl-SI"/>
        </w:rPr>
        <w:t xml:space="preserve"> Council </w:t>
      </w:r>
      <w:proofErr w:type="spellStart"/>
      <w:r w:rsidRPr="004F3035">
        <w:rPr>
          <w:rFonts w:cs="Arial"/>
          <w:bCs/>
          <w:i/>
          <w:szCs w:val="20"/>
          <w:lang w:val="sl-SI"/>
        </w:rPr>
        <w:t>Regulation</w:t>
      </w:r>
      <w:proofErr w:type="spellEnd"/>
      <w:r w:rsidRPr="004F3035">
        <w:rPr>
          <w:rFonts w:cs="Arial"/>
          <w:bCs/>
          <w:i/>
          <w:szCs w:val="20"/>
          <w:lang w:val="sl-SI"/>
        </w:rPr>
        <w:t xml:space="preserve"> (EEC) No 1899/85 and </w:t>
      </w:r>
      <w:proofErr w:type="spellStart"/>
      <w:r w:rsidRPr="004F3035">
        <w:rPr>
          <w:rFonts w:cs="Arial"/>
          <w:bCs/>
          <w:i/>
          <w:szCs w:val="20"/>
          <w:lang w:val="sl-SI"/>
        </w:rPr>
        <w:t>Regulation</w:t>
      </w:r>
      <w:proofErr w:type="spellEnd"/>
      <w:r w:rsidRPr="004F3035">
        <w:rPr>
          <w:rFonts w:cs="Arial"/>
          <w:bCs/>
          <w:i/>
          <w:szCs w:val="20"/>
          <w:lang w:val="sl-SI"/>
        </w:rPr>
        <w:t xml:space="preserve"> (EU) No 1236/2010</w:t>
      </w:r>
    </w:p>
    <w:p w:rsidR="00E96E8A" w:rsidRPr="004F3035" w:rsidRDefault="00E96E8A" w:rsidP="005B39B9">
      <w:pPr>
        <w:spacing w:before="20" w:after="20"/>
        <w:jc w:val="both"/>
        <w:rPr>
          <w:rFonts w:cs="Arial"/>
          <w:szCs w:val="20"/>
          <w:lang w:val="sl-SI"/>
        </w:rPr>
      </w:pPr>
      <w:r w:rsidRPr="004F3035">
        <w:rPr>
          <w:rFonts w:cs="Arial"/>
          <w:szCs w:val="20"/>
          <w:lang w:val="sl-SI"/>
        </w:rPr>
        <w:t xml:space="preserve">Datum dokumenta: </w:t>
      </w:r>
      <w:r w:rsidRPr="004F3035">
        <w:rPr>
          <w:rFonts w:cs="Arial"/>
          <w:i/>
          <w:szCs w:val="20"/>
          <w:lang w:val="sl-SI"/>
        </w:rPr>
        <w:t>30. 06. 2023</w:t>
      </w:r>
    </w:p>
    <w:p w:rsidR="00E96E8A" w:rsidRPr="004F3035" w:rsidRDefault="00E96E8A" w:rsidP="005B39B9">
      <w:pPr>
        <w:spacing w:before="20" w:after="20"/>
        <w:jc w:val="both"/>
        <w:rPr>
          <w:rFonts w:cs="Arial"/>
          <w:szCs w:val="20"/>
          <w:lang w:val="sl-SI"/>
        </w:rPr>
      </w:pPr>
      <w:r w:rsidRPr="004F3035">
        <w:rPr>
          <w:rFonts w:cs="Arial"/>
          <w:szCs w:val="20"/>
          <w:lang w:val="sl-SI"/>
        </w:rPr>
        <w:t xml:space="preserve">Številka dokumenta: </w:t>
      </w:r>
      <w:r w:rsidRPr="004F3035">
        <w:rPr>
          <w:rFonts w:cs="Arial"/>
          <w:i/>
          <w:szCs w:val="20"/>
          <w:lang w:val="sl-SI"/>
        </w:rPr>
        <w:t xml:space="preserve">11316/23 </w:t>
      </w:r>
    </w:p>
    <w:p w:rsidR="00E96E8A" w:rsidRPr="004F3035" w:rsidRDefault="00E96E8A" w:rsidP="005B39B9">
      <w:pPr>
        <w:spacing w:before="20" w:after="20"/>
        <w:jc w:val="both"/>
        <w:rPr>
          <w:rFonts w:cs="Arial"/>
          <w:i/>
          <w:szCs w:val="20"/>
          <w:lang w:val="sl-SI"/>
        </w:rPr>
      </w:pPr>
      <w:r w:rsidRPr="004F3035">
        <w:rPr>
          <w:rFonts w:cs="Arial"/>
          <w:szCs w:val="20"/>
          <w:lang w:val="sl-SI"/>
        </w:rPr>
        <w:t xml:space="preserve">Medinstitucionalna oznaka: </w:t>
      </w:r>
      <w:r w:rsidRPr="004F3035">
        <w:rPr>
          <w:rFonts w:cs="Arial"/>
          <w:i/>
          <w:szCs w:val="20"/>
          <w:lang w:val="sl-SI"/>
        </w:rPr>
        <w:t>2023/0206(COD)</w:t>
      </w:r>
    </w:p>
    <w:p w:rsidR="00E96E8A" w:rsidRPr="004F3035" w:rsidRDefault="00E96E8A" w:rsidP="005B39B9">
      <w:pPr>
        <w:spacing w:before="20" w:after="20"/>
        <w:jc w:val="both"/>
        <w:rPr>
          <w:rFonts w:cs="Arial"/>
          <w:bCs/>
          <w:szCs w:val="20"/>
          <w:lang w:val="sl-SI"/>
        </w:rPr>
      </w:pPr>
      <w:r w:rsidRPr="004F3035">
        <w:rPr>
          <w:rFonts w:cs="Arial"/>
          <w:bCs/>
          <w:szCs w:val="20"/>
          <w:lang w:val="sl-SI"/>
        </w:rPr>
        <w:t xml:space="preserve">Pri izdelavi predloga stališča so upoštevane še različice in priloge dokumenta EU: </w:t>
      </w:r>
    </w:p>
    <w:p w:rsidR="00E96E8A" w:rsidRPr="004F3035" w:rsidRDefault="00E96E8A" w:rsidP="005B39B9">
      <w:pPr>
        <w:spacing w:before="20" w:after="20"/>
        <w:jc w:val="both"/>
        <w:rPr>
          <w:rFonts w:cs="Arial"/>
          <w:bCs/>
          <w:szCs w:val="20"/>
          <w:lang w:val="sl-SI"/>
        </w:rPr>
      </w:pPr>
    </w:p>
    <w:p w:rsidR="00E96E8A" w:rsidRPr="004F3035" w:rsidRDefault="00E96E8A" w:rsidP="005B39B9">
      <w:pPr>
        <w:spacing w:before="20" w:after="20"/>
        <w:jc w:val="both"/>
        <w:rPr>
          <w:rFonts w:cs="Arial"/>
          <w:szCs w:val="20"/>
          <w:lang w:val="sl-SI"/>
        </w:rPr>
      </w:pPr>
      <w:r w:rsidRPr="004F3035">
        <w:rPr>
          <w:rFonts w:cs="Arial"/>
          <w:b/>
          <w:szCs w:val="20"/>
          <w:lang w:val="sl-SI"/>
        </w:rPr>
        <w:t>2. Vrsta odločitve RS</w:t>
      </w:r>
      <w:r w:rsidRPr="004F3035">
        <w:rPr>
          <w:rFonts w:cs="Arial"/>
          <w:szCs w:val="20"/>
          <w:lang w:val="sl-SI"/>
        </w:rPr>
        <w:t>:</w:t>
      </w:r>
      <w:r w:rsidRPr="004F3035">
        <w:rPr>
          <w:rFonts w:cs="Arial"/>
          <w:b/>
          <w:bCs/>
          <w:i/>
          <w:color w:val="0070C0"/>
          <w:szCs w:val="20"/>
          <w:lang w:val="sl-SI"/>
        </w:rPr>
        <w:t xml:space="preserve"> </w:t>
      </w:r>
      <w:r w:rsidRPr="004F3035">
        <w:rPr>
          <w:rFonts w:cs="Arial"/>
          <w:i/>
          <w:szCs w:val="20"/>
          <w:lang w:val="sl-SI"/>
        </w:rPr>
        <w:t>Stališče Republike Slovenije</w:t>
      </w:r>
    </w:p>
    <w:p w:rsidR="00E96E8A" w:rsidRPr="004F3035" w:rsidRDefault="00E96E8A" w:rsidP="005B39B9">
      <w:pPr>
        <w:spacing w:before="20" w:after="20"/>
        <w:jc w:val="both"/>
        <w:rPr>
          <w:rFonts w:cs="Arial"/>
          <w:szCs w:val="20"/>
          <w:lang w:val="sl-SI"/>
        </w:rPr>
      </w:pPr>
    </w:p>
    <w:p w:rsidR="00E96E8A" w:rsidRPr="004F3035" w:rsidRDefault="00E96E8A" w:rsidP="005B39B9">
      <w:pPr>
        <w:spacing w:before="20" w:after="20"/>
        <w:jc w:val="both"/>
        <w:rPr>
          <w:rFonts w:cs="Arial"/>
          <w:bCs/>
          <w:szCs w:val="20"/>
          <w:lang w:val="sl-SI"/>
        </w:rPr>
      </w:pPr>
      <w:r w:rsidRPr="004F3035">
        <w:rPr>
          <w:rFonts w:cs="Arial"/>
          <w:b/>
          <w:bCs/>
          <w:szCs w:val="20"/>
          <w:lang w:val="sl-SI"/>
        </w:rPr>
        <w:t>3. Postopek sprejemanja zadeve EU v institucijah EU</w:t>
      </w:r>
      <w:r w:rsidRPr="004F3035">
        <w:rPr>
          <w:rFonts w:cs="Arial"/>
          <w:bCs/>
          <w:szCs w:val="20"/>
          <w:lang w:val="sl-SI"/>
        </w:rPr>
        <w:t>:</w:t>
      </w:r>
    </w:p>
    <w:p w:rsidR="00E96E8A" w:rsidRPr="004F3035" w:rsidRDefault="00E96E8A" w:rsidP="005B39B9">
      <w:pPr>
        <w:spacing w:before="20" w:after="20"/>
        <w:jc w:val="both"/>
        <w:rPr>
          <w:rFonts w:cs="Arial"/>
          <w:bCs/>
          <w:szCs w:val="20"/>
          <w:lang w:val="sl-SI"/>
        </w:rPr>
      </w:pPr>
    </w:p>
    <w:p w:rsidR="00E96E8A" w:rsidRPr="004F3035" w:rsidRDefault="00E96E8A" w:rsidP="005B39B9">
      <w:pPr>
        <w:spacing w:before="20" w:after="20"/>
        <w:jc w:val="both"/>
        <w:rPr>
          <w:rFonts w:cs="Arial"/>
          <w:szCs w:val="20"/>
          <w:lang w:val="sl-SI"/>
        </w:rPr>
      </w:pPr>
      <w:r w:rsidRPr="004F3035">
        <w:rPr>
          <w:rFonts w:cs="Arial"/>
          <w:bCs/>
          <w:szCs w:val="20"/>
          <w:lang w:val="sl-SI"/>
        </w:rPr>
        <w:t>Postopek</w:t>
      </w:r>
      <w:r w:rsidRPr="004F3035">
        <w:rPr>
          <w:rFonts w:cs="Arial"/>
          <w:szCs w:val="20"/>
          <w:lang w:val="sl-SI"/>
        </w:rPr>
        <w:t xml:space="preserve">: </w:t>
      </w:r>
      <w:proofErr w:type="spellStart"/>
      <w:r w:rsidRPr="004F3035">
        <w:rPr>
          <w:rFonts w:cs="Arial"/>
          <w:i/>
          <w:szCs w:val="20"/>
          <w:lang w:val="sl-SI"/>
        </w:rPr>
        <w:t>Nezakonodajni</w:t>
      </w:r>
      <w:proofErr w:type="spellEnd"/>
      <w:r w:rsidRPr="004F3035">
        <w:rPr>
          <w:rFonts w:cs="Arial"/>
          <w:i/>
          <w:szCs w:val="20"/>
          <w:lang w:val="sl-SI"/>
        </w:rPr>
        <w:t xml:space="preserve"> postopek </w:t>
      </w:r>
    </w:p>
    <w:p w:rsidR="00E96E8A" w:rsidRPr="004F3035" w:rsidRDefault="00E96E8A" w:rsidP="005B39B9">
      <w:pPr>
        <w:spacing w:before="20" w:after="20"/>
        <w:jc w:val="both"/>
        <w:rPr>
          <w:rFonts w:cs="Arial"/>
          <w:bCs/>
          <w:szCs w:val="20"/>
          <w:lang w:val="sl-SI"/>
        </w:rPr>
      </w:pPr>
      <w:r w:rsidRPr="004F3035">
        <w:rPr>
          <w:rFonts w:cs="Arial"/>
          <w:bCs/>
          <w:szCs w:val="20"/>
          <w:lang w:val="sl-SI"/>
        </w:rPr>
        <w:t xml:space="preserve">Faza sprejemanja: </w:t>
      </w:r>
      <w:r w:rsidRPr="004F3035">
        <w:rPr>
          <w:rFonts w:cs="Arial"/>
          <w:bCs/>
          <w:i/>
          <w:szCs w:val="20"/>
          <w:lang w:val="sl-SI"/>
        </w:rPr>
        <w:t xml:space="preserve">1. obravnava </w:t>
      </w:r>
    </w:p>
    <w:p w:rsidR="00E96E8A" w:rsidRPr="004F3035" w:rsidRDefault="00E96E8A" w:rsidP="005B39B9">
      <w:pPr>
        <w:spacing w:before="20" w:after="20"/>
        <w:jc w:val="both"/>
        <w:rPr>
          <w:rFonts w:cs="Arial"/>
          <w:bCs/>
          <w:szCs w:val="20"/>
          <w:lang w:val="sl-SI"/>
        </w:rPr>
      </w:pPr>
    </w:p>
    <w:p w:rsidR="00E96E8A" w:rsidRPr="004F3035" w:rsidRDefault="00E96E8A" w:rsidP="005B39B9">
      <w:pPr>
        <w:spacing w:before="20" w:after="20"/>
        <w:jc w:val="both"/>
        <w:rPr>
          <w:rFonts w:cs="Arial"/>
          <w:b/>
          <w:bCs/>
          <w:szCs w:val="20"/>
          <w:lang w:val="sl-SI"/>
        </w:rPr>
      </w:pPr>
      <w:r w:rsidRPr="004F3035">
        <w:rPr>
          <w:rFonts w:cs="Arial"/>
          <w:b/>
          <w:bCs/>
          <w:szCs w:val="20"/>
          <w:lang w:val="sl-SI"/>
        </w:rPr>
        <w:t>4. Pristojni organ EU</w:t>
      </w:r>
      <w:r w:rsidRPr="004F3035">
        <w:rPr>
          <w:rFonts w:cs="Arial"/>
          <w:bCs/>
          <w:szCs w:val="20"/>
          <w:lang w:val="sl-SI"/>
        </w:rPr>
        <w:t>:</w:t>
      </w:r>
      <w:r w:rsidRPr="004F3035">
        <w:rPr>
          <w:rFonts w:cs="Arial"/>
          <w:b/>
          <w:bCs/>
          <w:szCs w:val="20"/>
          <w:lang w:val="sl-SI"/>
        </w:rPr>
        <w:t xml:space="preserve"> </w:t>
      </w:r>
    </w:p>
    <w:p w:rsidR="00E96E8A" w:rsidRPr="004F3035" w:rsidRDefault="00E96E8A" w:rsidP="005B39B9">
      <w:pPr>
        <w:spacing w:before="20" w:after="20"/>
        <w:jc w:val="both"/>
        <w:rPr>
          <w:rFonts w:cs="Arial"/>
          <w:bCs/>
          <w:szCs w:val="20"/>
          <w:lang w:val="sl-SI"/>
        </w:rPr>
      </w:pPr>
      <w:r w:rsidRPr="004F3035">
        <w:rPr>
          <w:rFonts w:cs="Arial"/>
          <w:bCs/>
          <w:szCs w:val="20"/>
          <w:lang w:val="sl-SI"/>
        </w:rPr>
        <w:t xml:space="preserve">Svet  EU v sestavi: </w:t>
      </w:r>
      <w:r w:rsidRPr="004F3035">
        <w:rPr>
          <w:rFonts w:cs="Arial"/>
          <w:bCs/>
          <w:i/>
          <w:szCs w:val="20"/>
          <w:lang w:val="sl-SI"/>
        </w:rPr>
        <w:t>AGRI - Svet EU za kmetijstvo in ribištvo</w:t>
      </w:r>
      <w:r w:rsidRPr="004F3035">
        <w:rPr>
          <w:rFonts w:cs="Arial"/>
          <w:bCs/>
          <w:szCs w:val="20"/>
          <w:lang w:val="sl-SI"/>
        </w:rPr>
        <w:t xml:space="preserve"> </w:t>
      </w:r>
    </w:p>
    <w:p w:rsidR="00E96E8A" w:rsidRPr="004F3035" w:rsidRDefault="00E96E8A" w:rsidP="005B39B9">
      <w:pPr>
        <w:spacing w:before="20" w:after="20"/>
        <w:jc w:val="both"/>
        <w:rPr>
          <w:rFonts w:cs="Arial"/>
          <w:bCs/>
          <w:i/>
          <w:szCs w:val="20"/>
          <w:lang w:val="sl-SI"/>
        </w:rPr>
      </w:pPr>
      <w:r w:rsidRPr="004F3035">
        <w:rPr>
          <w:rFonts w:cs="Arial"/>
          <w:bCs/>
          <w:szCs w:val="20"/>
          <w:lang w:val="sl-SI"/>
        </w:rPr>
        <w:t xml:space="preserve">Delovno telo Sveta EU: </w:t>
      </w:r>
      <w:r w:rsidRPr="004F3035">
        <w:rPr>
          <w:rFonts w:cs="Arial"/>
          <w:bCs/>
          <w:i/>
          <w:szCs w:val="20"/>
          <w:lang w:val="sl-SI"/>
        </w:rPr>
        <w:t>F.25 - Delovna skupina za ribiško politiko</w:t>
      </w:r>
    </w:p>
    <w:p w:rsidR="00E96E8A" w:rsidRDefault="00E96E8A" w:rsidP="005B39B9">
      <w:pPr>
        <w:spacing w:before="20" w:after="20"/>
        <w:jc w:val="both"/>
        <w:rPr>
          <w:rFonts w:cs="Arial"/>
          <w:b/>
          <w:bCs/>
          <w:i/>
          <w:szCs w:val="20"/>
          <w:lang w:val="sl-SI"/>
        </w:rPr>
      </w:pPr>
    </w:p>
    <w:p w:rsidR="004F3035" w:rsidRPr="004F3035" w:rsidRDefault="004F3035" w:rsidP="005B39B9">
      <w:pPr>
        <w:spacing w:before="20" w:after="20"/>
        <w:jc w:val="both"/>
        <w:rPr>
          <w:rFonts w:cs="Arial"/>
          <w:b/>
          <w:bCs/>
          <w:i/>
          <w:szCs w:val="20"/>
          <w:lang w:val="sl-SI"/>
        </w:rPr>
      </w:pPr>
    </w:p>
    <w:p w:rsidR="00E96E8A" w:rsidRPr="004F3035" w:rsidRDefault="00E96E8A" w:rsidP="005B39B9">
      <w:pPr>
        <w:spacing w:before="20" w:after="20"/>
        <w:jc w:val="both"/>
        <w:rPr>
          <w:rFonts w:cs="Arial"/>
          <w:szCs w:val="20"/>
          <w:lang w:val="sl-SI"/>
        </w:rPr>
      </w:pPr>
      <w:r w:rsidRPr="004F3035">
        <w:rPr>
          <w:rFonts w:cs="Arial"/>
          <w:b/>
          <w:szCs w:val="20"/>
          <w:lang w:val="sl-SI"/>
        </w:rPr>
        <w:lastRenderedPageBreak/>
        <w:t>5. Organ, pristojen za dokončen sprejem stališča RS</w:t>
      </w:r>
      <w:r w:rsidRPr="004F3035">
        <w:rPr>
          <w:rFonts w:cs="Arial"/>
          <w:szCs w:val="20"/>
          <w:lang w:val="sl-SI"/>
        </w:rPr>
        <w:t>:</w:t>
      </w:r>
    </w:p>
    <w:p w:rsidR="00E96E8A" w:rsidRPr="004F3035" w:rsidRDefault="00E96E8A" w:rsidP="005B39B9">
      <w:pPr>
        <w:spacing w:before="20" w:after="20"/>
        <w:jc w:val="both"/>
        <w:rPr>
          <w:rFonts w:cs="Arial"/>
          <w:i/>
          <w:iCs/>
          <w:szCs w:val="20"/>
          <w:lang w:val="sl-SI"/>
        </w:rPr>
      </w:pPr>
      <w:r w:rsidRPr="004F3035">
        <w:rPr>
          <w:rFonts w:cs="Arial"/>
          <w:i/>
          <w:szCs w:val="20"/>
          <w:lang w:val="sl-SI"/>
        </w:rPr>
        <w:t>Vlada</w:t>
      </w:r>
    </w:p>
    <w:p w:rsidR="00E96E8A" w:rsidRPr="004F3035" w:rsidRDefault="00E96E8A" w:rsidP="005B39B9">
      <w:pPr>
        <w:spacing w:before="20" w:after="20"/>
        <w:jc w:val="both"/>
        <w:rPr>
          <w:rFonts w:cs="Arial"/>
          <w:iCs/>
          <w:szCs w:val="20"/>
          <w:lang w:val="sl-SI"/>
        </w:rPr>
      </w:pPr>
    </w:p>
    <w:p w:rsidR="00E96E8A" w:rsidRPr="004F3035" w:rsidRDefault="00E96E8A" w:rsidP="005B39B9">
      <w:pPr>
        <w:spacing w:before="20" w:after="20"/>
        <w:jc w:val="both"/>
        <w:rPr>
          <w:rFonts w:cs="Arial"/>
          <w:i/>
          <w:iCs/>
          <w:szCs w:val="20"/>
          <w:lang w:val="sl-SI"/>
        </w:rPr>
      </w:pPr>
      <w:r w:rsidRPr="004F3035">
        <w:rPr>
          <w:rFonts w:cs="Arial"/>
          <w:b/>
          <w:iCs/>
          <w:szCs w:val="20"/>
          <w:lang w:val="sl-SI"/>
        </w:rPr>
        <w:t>6. Pravna podlaga za obravnavo v Državnem zboru</w:t>
      </w:r>
      <w:r w:rsidRPr="004F3035">
        <w:rPr>
          <w:rFonts w:cs="Arial"/>
          <w:iCs/>
          <w:szCs w:val="20"/>
          <w:lang w:val="sl-SI"/>
        </w:rPr>
        <w:t xml:space="preserve">: </w:t>
      </w:r>
    </w:p>
    <w:p w:rsidR="00E96E8A" w:rsidRPr="004F3035" w:rsidRDefault="00E96E8A" w:rsidP="005B39B9">
      <w:pPr>
        <w:spacing w:before="20" w:after="20"/>
        <w:jc w:val="both"/>
        <w:rPr>
          <w:rFonts w:cs="Arial"/>
          <w:i/>
          <w:iCs/>
          <w:szCs w:val="20"/>
          <w:lang w:val="sl-SI"/>
        </w:rPr>
      </w:pPr>
      <w:r w:rsidRPr="004F3035">
        <w:rPr>
          <w:rFonts w:cs="Arial"/>
          <w:i/>
          <w:iCs/>
          <w:szCs w:val="20"/>
          <w:lang w:val="sl-SI"/>
        </w:rPr>
        <w:t>Vlada Republike Slovenije s stališčem Republike Slovenije seznani Državni zbor Republike Slovenije v skladu z 8. členom Zakona o sodelovanju med državnim zborom in vlado v zadevah Evropske unije.</w:t>
      </w:r>
      <w:r w:rsidRPr="004F3035">
        <w:rPr>
          <w:rFonts w:cs="Arial"/>
          <w:b/>
          <w:bCs/>
          <w:i/>
          <w:color w:val="0070C0"/>
          <w:szCs w:val="20"/>
          <w:lang w:val="sl-SI"/>
        </w:rPr>
        <w:t xml:space="preserve"> </w:t>
      </w:r>
    </w:p>
    <w:p w:rsidR="00E96E8A" w:rsidRPr="004F3035" w:rsidRDefault="00E96E8A" w:rsidP="005B39B9">
      <w:pPr>
        <w:spacing w:before="20" w:after="20"/>
        <w:jc w:val="both"/>
        <w:rPr>
          <w:rFonts w:cs="Arial"/>
          <w:iCs/>
          <w:szCs w:val="20"/>
          <w:lang w:val="sl-SI"/>
        </w:rPr>
      </w:pPr>
    </w:p>
    <w:p w:rsidR="00E96E8A" w:rsidRPr="004F3035" w:rsidRDefault="00E96E8A" w:rsidP="005B39B9">
      <w:pPr>
        <w:spacing w:before="20" w:after="20"/>
        <w:jc w:val="both"/>
        <w:rPr>
          <w:rFonts w:cs="Arial"/>
          <w:iCs/>
          <w:szCs w:val="20"/>
          <w:lang w:val="sl-SI"/>
        </w:rPr>
      </w:pPr>
      <w:r w:rsidRPr="004F3035">
        <w:rPr>
          <w:rFonts w:cs="Arial"/>
          <w:iCs/>
          <w:szCs w:val="20"/>
          <w:lang w:val="sl-SI"/>
        </w:rPr>
        <w:t xml:space="preserve">Pri delu v Državnem zboru bodo sodelovali:  </w:t>
      </w:r>
      <w:r w:rsidRPr="004F3035">
        <w:rPr>
          <w:rFonts w:cs="Arial"/>
          <w:i/>
          <w:iCs/>
          <w:szCs w:val="20"/>
          <w:lang w:val="sl-SI"/>
        </w:rPr>
        <w:t>Irena Šinko, ministrica; dr. Darij Krajčič, državni sekretar; Tatjana Buzeti, državna sekretarka</w:t>
      </w:r>
    </w:p>
    <w:p w:rsidR="00E96E8A" w:rsidRPr="004F3035" w:rsidRDefault="00E96E8A" w:rsidP="005B39B9">
      <w:pPr>
        <w:spacing w:before="20" w:after="20"/>
        <w:jc w:val="both"/>
        <w:rPr>
          <w:rFonts w:cs="Arial"/>
          <w:b/>
          <w:szCs w:val="20"/>
          <w:lang w:val="sl-SI"/>
        </w:rPr>
      </w:pPr>
      <w:r w:rsidRPr="004F3035">
        <w:rPr>
          <w:rFonts w:cs="Arial"/>
          <w:i/>
          <w:iCs/>
          <w:szCs w:val="20"/>
          <w:lang w:val="sl-SI"/>
        </w:rPr>
        <w:tab/>
      </w:r>
    </w:p>
    <w:p w:rsidR="00E96E8A" w:rsidRPr="004F3035" w:rsidRDefault="00E96E8A" w:rsidP="005B39B9">
      <w:pPr>
        <w:spacing w:before="20" w:after="20"/>
        <w:jc w:val="both"/>
        <w:rPr>
          <w:rFonts w:cs="Arial"/>
          <w:szCs w:val="20"/>
          <w:lang w:val="sl-SI"/>
        </w:rPr>
      </w:pPr>
      <w:r w:rsidRPr="004F3035">
        <w:rPr>
          <w:rFonts w:cs="Arial"/>
          <w:b/>
          <w:szCs w:val="20"/>
          <w:lang w:val="sl-SI"/>
        </w:rPr>
        <w:t>7. Roki</w:t>
      </w:r>
      <w:r w:rsidRPr="004F3035">
        <w:rPr>
          <w:rFonts w:cs="Arial"/>
          <w:szCs w:val="20"/>
          <w:lang w:val="sl-SI"/>
        </w:rPr>
        <w:t>:</w:t>
      </w:r>
    </w:p>
    <w:p w:rsidR="00E96E8A" w:rsidRPr="004F3035" w:rsidRDefault="00E96E8A" w:rsidP="005B39B9">
      <w:pPr>
        <w:spacing w:before="20" w:after="20"/>
        <w:jc w:val="both"/>
        <w:rPr>
          <w:rFonts w:cs="Arial"/>
          <w:i/>
          <w:szCs w:val="20"/>
          <w:lang w:val="sl-SI"/>
        </w:rPr>
      </w:pPr>
      <w:r w:rsidRPr="004F3035">
        <w:rPr>
          <w:rFonts w:cs="Arial"/>
          <w:szCs w:val="20"/>
          <w:lang w:val="sl-SI"/>
        </w:rPr>
        <w:t xml:space="preserve">Predviden čas pričetka obravnave zadeve EU v institucijah EU: </w:t>
      </w:r>
      <w:r w:rsidRPr="004F3035">
        <w:rPr>
          <w:rFonts w:cs="Arial"/>
          <w:i/>
          <w:szCs w:val="20"/>
          <w:lang w:val="sl-SI"/>
        </w:rPr>
        <w:t>julij 2023</w:t>
      </w:r>
    </w:p>
    <w:p w:rsidR="00E96E8A" w:rsidRPr="004F3035" w:rsidRDefault="00E96E8A" w:rsidP="005B39B9">
      <w:pPr>
        <w:spacing w:before="20" w:after="20"/>
        <w:jc w:val="both"/>
        <w:rPr>
          <w:rFonts w:cs="Arial"/>
          <w:szCs w:val="20"/>
          <w:lang w:val="sl-SI"/>
        </w:rPr>
      </w:pPr>
      <w:r w:rsidRPr="004F3035">
        <w:rPr>
          <w:rFonts w:cs="Arial"/>
          <w:szCs w:val="20"/>
          <w:lang w:val="sl-SI"/>
        </w:rPr>
        <w:t xml:space="preserve">Predviden čas sprejema zadeve EU v institucijah EU: </w:t>
      </w:r>
      <w:r w:rsidRPr="004F3035">
        <w:rPr>
          <w:rFonts w:cs="Arial"/>
          <w:i/>
          <w:szCs w:val="20"/>
          <w:lang w:val="sl-SI"/>
        </w:rPr>
        <w:t>2023/2024</w:t>
      </w:r>
    </w:p>
    <w:p w:rsidR="00E96E8A" w:rsidRPr="004F3035" w:rsidRDefault="00E96E8A" w:rsidP="005B39B9">
      <w:pPr>
        <w:spacing w:before="20" w:after="20"/>
        <w:jc w:val="both"/>
        <w:rPr>
          <w:rFonts w:cs="Arial"/>
          <w:szCs w:val="20"/>
          <w:lang w:val="sl-SI"/>
        </w:rPr>
      </w:pPr>
      <w:r w:rsidRPr="004F3035">
        <w:rPr>
          <w:rFonts w:cs="Arial"/>
          <w:szCs w:val="20"/>
          <w:lang w:val="sl-SI"/>
        </w:rPr>
        <w:t xml:space="preserve">Rok za odziv organa: </w:t>
      </w:r>
      <w:r w:rsidRPr="004F3035">
        <w:rPr>
          <w:rFonts w:cs="Arial"/>
          <w:i/>
          <w:szCs w:val="20"/>
          <w:lang w:val="sl-SI"/>
        </w:rPr>
        <w:t>14. 09. 2023</w:t>
      </w:r>
    </w:p>
    <w:p w:rsidR="00E96E8A" w:rsidRPr="004F3035" w:rsidRDefault="00E96E8A" w:rsidP="005B39B9">
      <w:pPr>
        <w:spacing w:before="20" w:after="20"/>
        <w:jc w:val="both"/>
        <w:rPr>
          <w:rFonts w:cs="Arial"/>
          <w:i/>
          <w:szCs w:val="20"/>
          <w:lang w:val="sl-SI"/>
        </w:rPr>
      </w:pPr>
      <w:r w:rsidRPr="004F3035">
        <w:rPr>
          <w:rFonts w:cs="Arial"/>
          <w:szCs w:val="20"/>
          <w:lang w:val="sl-SI"/>
        </w:rPr>
        <w:t xml:space="preserve">Rok za obravnavo na seji Vlade in njenih odborih: </w:t>
      </w:r>
      <w:r w:rsidRPr="004F3035">
        <w:rPr>
          <w:rFonts w:cs="Arial"/>
          <w:i/>
          <w:szCs w:val="20"/>
          <w:lang w:val="sl-SI"/>
        </w:rPr>
        <w:t>14. 09. 2023</w:t>
      </w:r>
    </w:p>
    <w:p w:rsidR="00E96E8A" w:rsidRPr="004F3035" w:rsidRDefault="00E96E8A" w:rsidP="005B39B9">
      <w:pPr>
        <w:spacing w:before="20" w:after="20"/>
        <w:jc w:val="both"/>
        <w:rPr>
          <w:rFonts w:cs="Arial"/>
          <w:i/>
          <w:szCs w:val="20"/>
          <w:lang w:val="sl-SI"/>
        </w:rPr>
      </w:pPr>
      <w:r w:rsidRPr="004F3035">
        <w:rPr>
          <w:rFonts w:cs="Arial"/>
          <w:szCs w:val="20"/>
          <w:lang w:val="sl-SI"/>
        </w:rPr>
        <w:t xml:space="preserve">Rok za obravnavo predloga stališča RS v DZ: </w:t>
      </w:r>
    </w:p>
    <w:p w:rsidR="00E96E8A" w:rsidRPr="004F3035" w:rsidRDefault="00E96E8A" w:rsidP="005B39B9">
      <w:pPr>
        <w:spacing w:before="20" w:after="20"/>
        <w:jc w:val="both"/>
        <w:rPr>
          <w:rFonts w:cs="Arial"/>
          <w:color w:val="00B050"/>
          <w:szCs w:val="20"/>
          <w:lang w:val="sl-SI"/>
        </w:rPr>
      </w:pPr>
    </w:p>
    <w:p w:rsidR="00E96E8A" w:rsidRPr="004F3035" w:rsidRDefault="00E96E8A" w:rsidP="005B39B9">
      <w:pPr>
        <w:spacing w:before="20" w:after="20"/>
        <w:jc w:val="both"/>
        <w:rPr>
          <w:rFonts w:cs="Arial"/>
          <w:szCs w:val="20"/>
          <w:lang w:val="sl-SI"/>
        </w:rPr>
      </w:pPr>
      <w:r w:rsidRPr="004F3035">
        <w:rPr>
          <w:rFonts w:cs="Arial"/>
          <w:szCs w:val="20"/>
          <w:lang w:val="sl-SI"/>
        </w:rPr>
        <w:t xml:space="preserve">Predlog z obrazložitvijo za skrajšanje oziroma podaljšanje rokov: </w:t>
      </w:r>
    </w:p>
    <w:p w:rsidR="00E96E8A" w:rsidRPr="004F3035" w:rsidRDefault="00E96E8A" w:rsidP="005B39B9">
      <w:pPr>
        <w:spacing w:before="20" w:after="20"/>
        <w:jc w:val="both"/>
        <w:rPr>
          <w:rFonts w:cs="Arial"/>
          <w:color w:val="00B050"/>
          <w:szCs w:val="20"/>
          <w:lang w:val="sl-SI"/>
        </w:rPr>
      </w:pPr>
    </w:p>
    <w:p w:rsidR="00E96E8A" w:rsidRPr="004F3035" w:rsidRDefault="00E96E8A" w:rsidP="005B39B9">
      <w:pPr>
        <w:spacing w:before="20" w:after="20"/>
        <w:jc w:val="both"/>
        <w:rPr>
          <w:rFonts w:cs="Arial"/>
          <w:b/>
          <w:szCs w:val="20"/>
          <w:lang w:val="sl-SI"/>
        </w:rPr>
      </w:pPr>
    </w:p>
    <w:p w:rsidR="00E96E8A" w:rsidRPr="004F3035" w:rsidRDefault="00E96E8A" w:rsidP="005B39B9">
      <w:pPr>
        <w:spacing w:before="20" w:after="20"/>
        <w:jc w:val="both"/>
        <w:rPr>
          <w:rFonts w:cs="Arial"/>
          <w:szCs w:val="20"/>
          <w:lang w:val="sl-SI"/>
        </w:rPr>
      </w:pPr>
      <w:r w:rsidRPr="004F3035">
        <w:rPr>
          <w:rFonts w:cs="Arial"/>
          <w:b/>
          <w:szCs w:val="20"/>
          <w:lang w:val="sl-SI"/>
        </w:rPr>
        <w:t>8. Organ, odgovoren za pripravo predloga stališča RS</w:t>
      </w:r>
      <w:r w:rsidRPr="004F3035">
        <w:rPr>
          <w:rFonts w:cs="Arial"/>
          <w:szCs w:val="20"/>
          <w:lang w:val="sl-SI"/>
        </w:rPr>
        <w:t>:</w:t>
      </w:r>
    </w:p>
    <w:p w:rsidR="00E96E8A" w:rsidRPr="004F3035" w:rsidRDefault="00E96E8A" w:rsidP="005B39B9">
      <w:pPr>
        <w:spacing w:before="20" w:after="20"/>
        <w:jc w:val="both"/>
        <w:rPr>
          <w:rFonts w:cs="Arial"/>
          <w:szCs w:val="20"/>
          <w:lang w:val="sl-SI"/>
        </w:rPr>
      </w:pPr>
      <w:r w:rsidRPr="004F3035">
        <w:rPr>
          <w:rFonts w:cs="Arial"/>
          <w:szCs w:val="20"/>
          <w:lang w:val="sl-SI"/>
        </w:rPr>
        <w:t xml:space="preserve">Organ: </w:t>
      </w:r>
      <w:r w:rsidRPr="004F3035">
        <w:rPr>
          <w:rFonts w:cs="Arial"/>
          <w:i/>
          <w:szCs w:val="20"/>
          <w:lang w:val="sl-SI"/>
        </w:rPr>
        <w:t>Ministrstvo za kmetijstvo, gozdarstvo in prehrano</w:t>
      </w:r>
    </w:p>
    <w:p w:rsidR="00E96E8A" w:rsidRPr="004F3035" w:rsidRDefault="00E96E8A" w:rsidP="005B39B9">
      <w:pPr>
        <w:spacing w:before="20" w:after="20"/>
        <w:jc w:val="both"/>
        <w:rPr>
          <w:rFonts w:cs="Arial"/>
          <w:szCs w:val="20"/>
          <w:lang w:val="sl-SI"/>
        </w:rPr>
      </w:pPr>
      <w:r w:rsidRPr="004F3035">
        <w:rPr>
          <w:rFonts w:cs="Arial"/>
          <w:szCs w:val="20"/>
          <w:lang w:val="sl-SI"/>
        </w:rPr>
        <w:t xml:space="preserve">Kontaktne osebe organa: </w:t>
      </w:r>
      <w:r w:rsidRPr="004F3035">
        <w:rPr>
          <w:rFonts w:cs="Arial"/>
          <w:i/>
          <w:szCs w:val="20"/>
          <w:lang w:val="sl-SI"/>
        </w:rPr>
        <w:t xml:space="preserve">Helena Gašperlin Pertovt, Služba za EU koordinacijo in mednarodne zadeve; dr. Polona </w:t>
      </w:r>
      <w:proofErr w:type="spellStart"/>
      <w:r w:rsidRPr="004F3035">
        <w:rPr>
          <w:rFonts w:cs="Arial"/>
          <w:i/>
          <w:szCs w:val="20"/>
          <w:lang w:val="sl-SI"/>
        </w:rPr>
        <w:t>Bunič</w:t>
      </w:r>
      <w:proofErr w:type="spellEnd"/>
      <w:r w:rsidRPr="004F3035">
        <w:rPr>
          <w:rFonts w:cs="Arial"/>
          <w:i/>
          <w:szCs w:val="20"/>
          <w:lang w:val="sl-SI"/>
        </w:rPr>
        <w:t>, Sektor za ribištvo</w:t>
      </w:r>
    </w:p>
    <w:p w:rsidR="00E96E8A" w:rsidRPr="004F3035" w:rsidRDefault="00E96E8A" w:rsidP="005B39B9">
      <w:pPr>
        <w:spacing w:before="20" w:after="20"/>
        <w:jc w:val="both"/>
        <w:rPr>
          <w:rFonts w:cs="Arial"/>
          <w:szCs w:val="20"/>
          <w:lang w:val="sl-SI"/>
        </w:rPr>
      </w:pPr>
    </w:p>
    <w:p w:rsidR="00E96E8A" w:rsidRPr="004F3035" w:rsidRDefault="00E96E8A" w:rsidP="005B39B9">
      <w:pPr>
        <w:spacing w:before="20" w:after="20"/>
        <w:jc w:val="both"/>
        <w:rPr>
          <w:rFonts w:cs="Arial"/>
          <w:b/>
          <w:szCs w:val="20"/>
          <w:lang w:val="sl-SI"/>
        </w:rPr>
      </w:pPr>
      <w:r w:rsidRPr="004F3035">
        <w:rPr>
          <w:rFonts w:cs="Arial"/>
          <w:b/>
          <w:szCs w:val="20"/>
          <w:lang w:val="sl-SI"/>
        </w:rPr>
        <w:t>9. Delovna skupina Vlade, organizirana za posamezno področje zadev EU</w:t>
      </w:r>
      <w:r w:rsidRPr="004F3035">
        <w:rPr>
          <w:rFonts w:cs="Arial"/>
          <w:szCs w:val="20"/>
          <w:lang w:val="sl-SI"/>
        </w:rPr>
        <w:t>:</w:t>
      </w:r>
      <w:r w:rsidRPr="004F3035">
        <w:rPr>
          <w:rFonts w:cs="Arial"/>
          <w:b/>
          <w:szCs w:val="20"/>
          <w:lang w:val="sl-SI"/>
        </w:rPr>
        <w:t xml:space="preserve"> </w:t>
      </w:r>
    </w:p>
    <w:p w:rsidR="00E96E8A" w:rsidRPr="004F3035" w:rsidRDefault="00E96E8A" w:rsidP="005B39B9">
      <w:pPr>
        <w:spacing w:before="20" w:after="20"/>
        <w:jc w:val="both"/>
        <w:rPr>
          <w:rFonts w:cs="Arial"/>
          <w:b/>
          <w:szCs w:val="20"/>
          <w:lang w:val="sl-SI"/>
        </w:rPr>
      </w:pPr>
      <w:r w:rsidRPr="004F3035">
        <w:rPr>
          <w:rFonts w:cs="Arial"/>
          <w:i/>
          <w:szCs w:val="20"/>
          <w:lang w:val="sl-SI"/>
        </w:rPr>
        <w:t>DS27 - Ribištvo</w:t>
      </w:r>
      <w:r w:rsidRPr="004F3035">
        <w:rPr>
          <w:rFonts w:cs="Arial"/>
          <w:b/>
          <w:szCs w:val="20"/>
          <w:lang w:val="sl-SI"/>
        </w:rPr>
        <w:t xml:space="preserve"> </w:t>
      </w:r>
    </w:p>
    <w:p w:rsidR="00E96E8A" w:rsidRPr="004F3035" w:rsidRDefault="00E96E8A" w:rsidP="005B39B9">
      <w:pPr>
        <w:spacing w:before="20" w:after="20"/>
        <w:jc w:val="both"/>
        <w:rPr>
          <w:rFonts w:cs="Arial"/>
          <w:b/>
          <w:i/>
          <w:color w:val="FF0000"/>
          <w:szCs w:val="20"/>
          <w:lang w:val="sl-SI"/>
        </w:rPr>
      </w:pPr>
    </w:p>
    <w:p w:rsidR="00E96E8A" w:rsidRPr="004F3035" w:rsidRDefault="00E96E8A" w:rsidP="005B39B9">
      <w:pPr>
        <w:spacing w:before="20" w:after="20"/>
        <w:jc w:val="both"/>
        <w:rPr>
          <w:rFonts w:cs="Arial"/>
          <w:i/>
          <w:szCs w:val="20"/>
          <w:lang w:val="sl-SI"/>
        </w:rPr>
      </w:pPr>
      <w:r w:rsidRPr="004F3035">
        <w:rPr>
          <w:rFonts w:cs="Arial"/>
          <w:szCs w:val="20"/>
          <w:lang w:val="sl-SI"/>
        </w:rPr>
        <w:t xml:space="preserve">vodilni organ: </w:t>
      </w:r>
      <w:r w:rsidRPr="004F3035">
        <w:rPr>
          <w:rFonts w:cs="Arial"/>
          <w:i/>
          <w:szCs w:val="20"/>
          <w:lang w:val="sl-SI"/>
        </w:rPr>
        <w:t>MKGP - Ministrstvo za kmetijstvo, gozdarstvo in prehrano</w:t>
      </w:r>
    </w:p>
    <w:p w:rsidR="00E96E8A" w:rsidRPr="004F3035" w:rsidRDefault="00E96E8A" w:rsidP="005B39B9">
      <w:pPr>
        <w:spacing w:before="20" w:after="20"/>
        <w:jc w:val="both"/>
        <w:rPr>
          <w:rFonts w:cs="Arial"/>
          <w:szCs w:val="20"/>
          <w:lang w:val="sl-SI"/>
        </w:rPr>
      </w:pPr>
      <w:r w:rsidRPr="004F3035">
        <w:rPr>
          <w:rFonts w:cs="Arial"/>
          <w:szCs w:val="20"/>
          <w:lang w:val="sl-SI"/>
        </w:rPr>
        <w:t xml:space="preserve">vodja delovne skupine: </w:t>
      </w:r>
      <w:r w:rsidRPr="004F3035">
        <w:rPr>
          <w:rFonts w:cs="Arial"/>
          <w:i/>
          <w:szCs w:val="20"/>
          <w:lang w:val="sl-SI"/>
        </w:rPr>
        <w:t xml:space="preserve">Ana Le </w:t>
      </w:r>
      <w:proofErr w:type="spellStart"/>
      <w:r w:rsidRPr="004F3035">
        <w:rPr>
          <w:rFonts w:cs="Arial"/>
          <w:i/>
          <w:szCs w:val="20"/>
          <w:lang w:val="sl-SI"/>
        </w:rPr>
        <w:t>Marechal</w:t>
      </w:r>
      <w:proofErr w:type="spellEnd"/>
      <w:r w:rsidRPr="004F3035">
        <w:rPr>
          <w:rFonts w:cs="Arial"/>
          <w:i/>
          <w:szCs w:val="20"/>
          <w:lang w:val="sl-SI"/>
        </w:rPr>
        <w:t>-Kolar, generalna direktorica Direktorata za hrano in ribištvo</w:t>
      </w:r>
    </w:p>
    <w:p w:rsidR="00E96E8A" w:rsidRPr="004F3035" w:rsidRDefault="00E96E8A" w:rsidP="005B39B9">
      <w:pPr>
        <w:spacing w:before="20" w:after="20"/>
        <w:jc w:val="both"/>
        <w:rPr>
          <w:rFonts w:cs="Arial"/>
          <w:b/>
          <w:szCs w:val="20"/>
          <w:lang w:val="sl-SI"/>
        </w:rPr>
      </w:pPr>
    </w:p>
    <w:p w:rsidR="00E96E8A" w:rsidRPr="004F3035" w:rsidRDefault="00E96E8A" w:rsidP="005B39B9">
      <w:pPr>
        <w:spacing w:before="20" w:after="20"/>
        <w:jc w:val="both"/>
        <w:rPr>
          <w:rFonts w:cs="Arial"/>
          <w:b/>
          <w:szCs w:val="20"/>
          <w:lang w:val="sl-SI"/>
        </w:rPr>
      </w:pPr>
      <w:r w:rsidRPr="004F3035">
        <w:rPr>
          <w:rFonts w:cs="Arial"/>
          <w:b/>
          <w:szCs w:val="20"/>
          <w:lang w:val="sl-SI"/>
        </w:rPr>
        <w:t>Delovna skupina je predlog stališča RS obravnavala</w:t>
      </w:r>
      <w:r w:rsidRPr="004F3035">
        <w:rPr>
          <w:rFonts w:cs="Arial"/>
          <w:szCs w:val="20"/>
          <w:lang w:val="sl-SI"/>
        </w:rPr>
        <w:t>:</w:t>
      </w:r>
      <w:r w:rsidRPr="004F3035">
        <w:rPr>
          <w:rFonts w:cs="Arial"/>
          <w:b/>
          <w:szCs w:val="20"/>
          <w:lang w:val="sl-SI"/>
        </w:rPr>
        <w:t xml:space="preserve">  </w:t>
      </w:r>
      <w:r w:rsidRPr="004F3035">
        <w:rPr>
          <w:rFonts w:cs="Arial"/>
          <w:i/>
          <w:szCs w:val="20"/>
          <w:lang w:val="sl-SI"/>
        </w:rPr>
        <w:t>Ne</w:t>
      </w:r>
    </w:p>
    <w:p w:rsidR="00E96E8A" w:rsidRPr="004F3035" w:rsidRDefault="00E96E8A" w:rsidP="005B39B9">
      <w:pPr>
        <w:spacing w:before="20" w:after="20"/>
        <w:jc w:val="both"/>
        <w:rPr>
          <w:rFonts w:cs="Arial"/>
          <w:b/>
          <w:szCs w:val="20"/>
          <w:lang w:val="sl-SI"/>
        </w:rPr>
      </w:pPr>
    </w:p>
    <w:p w:rsidR="00E96E8A" w:rsidRPr="004F3035" w:rsidRDefault="00E96E8A" w:rsidP="005B39B9">
      <w:pPr>
        <w:spacing w:before="20" w:after="20"/>
        <w:jc w:val="both"/>
        <w:rPr>
          <w:rFonts w:cs="Arial"/>
          <w:szCs w:val="20"/>
          <w:lang w:val="sl-SI"/>
        </w:rPr>
      </w:pPr>
      <w:r w:rsidRPr="004F3035">
        <w:rPr>
          <w:rFonts w:cs="Arial"/>
          <w:b/>
          <w:szCs w:val="20"/>
          <w:lang w:val="sl-SI"/>
        </w:rPr>
        <w:t>10. Predlog stališča RS je usklajen z organi</w:t>
      </w:r>
      <w:r w:rsidRPr="004F3035">
        <w:rPr>
          <w:rFonts w:cs="Arial"/>
          <w:szCs w:val="20"/>
          <w:lang w:val="sl-SI"/>
        </w:rPr>
        <w:t>:</w:t>
      </w:r>
    </w:p>
    <w:p w:rsidR="00E96E8A" w:rsidRPr="004F3035" w:rsidRDefault="00E96E8A" w:rsidP="005B39B9">
      <w:pPr>
        <w:spacing w:before="20" w:after="20"/>
        <w:jc w:val="both"/>
        <w:rPr>
          <w:rFonts w:cs="Arial"/>
          <w:szCs w:val="20"/>
          <w:lang w:val="sl-SI"/>
        </w:rPr>
      </w:pPr>
      <w:r w:rsidRPr="004F3035">
        <w:rPr>
          <w:rFonts w:cs="Arial"/>
          <w:szCs w:val="20"/>
          <w:lang w:val="sl-SI"/>
        </w:rPr>
        <w:t xml:space="preserve">Organ: </w:t>
      </w:r>
      <w:r w:rsidRPr="004F3035">
        <w:rPr>
          <w:rFonts w:cs="Arial"/>
          <w:i/>
          <w:szCs w:val="20"/>
          <w:lang w:val="sl-SI"/>
        </w:rPr>
        <w:t>Ministrstvo za gospodarstvo, turizem in šport, Ministrstvo za naravne vire in prostor, Ministrstvo za okolje, podnebje in energijo, Ministrstvo za zunanje in evropske zadeve</w:t>
      </w:r>
    </w:p>
    <w:p w:rsidR="00E96E8A" w:rsidRPr="004F3035" w:rsidRDefault="00E96E8A" w:rsidP="005B39B9">
      <w:pPr>
        <w:spacing w:before="20" w:after="20"/>
        <w:jc w:val="both"/>
        <w:rPr>
          <w:rFonts w:cs="Arial"/>
          <w:szCs w:val="20"/>
          <w:lang w:val="sl-SI"/>
        </w:rPr>
      </w:pPr>
      <w:r w:rsidRPr="004F3035">
        <w:rPr>
          <w:rFonts w:cs="Arial"/>
          <w:szCs w:val="20"/>
          <w:lang w:val="sl-SI"/>
        </w:rPr>
        <w:t xml:space="preserve">Kontaktna oseba organa: </w:t>
      </w:r>
      <w:r w:rsidRPr="004F3035">
        <w:rPr>
          <w:rFonts w:cs="Arial"/>
          <w:i/>
          <w:szCs w:val="20"/>
          <w:lang w:val="sl-SI"/>
        </w:rPr>
        <w:t>Katarina Petač-Kontić, MGTŠ; Luka Vombek, MOPE; Matevž Gotovnik, MNVP, mag. Jasna Koblar, MZEZ</w:t>
      </w:r>
    </w:p>
    <w:p w:rsidR="00E96E8A" w:rsidRPr="004F3035" w:rsidRDefault="00E96E8A" w:rsidP="005B39B9">
      <w:pPr>
        <w:spacing w:before="20" w:after="20"/>
        <w:jc w:val="both"/>
        <w:rPr>
          <w:rFonts w:cs="Arial"/>
          <w:szCs w:val="20"/>
          <w:lang w:val="sl-SI"/>
        </w:rPr>
      </w:pPr>
    </w:p>
    <w:p w:rsidR="00E96E8A" w:rsidRPr="004F3035" w:rsidRDefault="00E96E8A" w:rsidP="005B39B9">
      <w:pPr>
        <w:spacing w:before="20" w:after="20"/>
        <w:jc w:val="both"/>
        <w:rPr>
          <w:rFonts w:cs="Arial"/>
          <w:b/>
          <w:bCs/>
          <w:szCs w:val="20"/>
          <w:lang w:val="sl-SI"/>
        </w:rPr>
      </w:pPr>
      <w:r w:rsidRPr="004F3035">
        <w:rPr>
          <w:rFonts w:cs="Arial"/>
          <w:b/>
          <w:bCs/>
          <w:szCs w:val="20"/>
          <w:lang w:val="sl-SI"/>
        </w:rPr>
        <w:t>11. O predlogu stališča RS je bilo opravljeno posvetovanje z</w:t>
      </w:r>
      <w:r w:rsidRPr="004F3035">
        <w:rPr>
          <w:rFonts w:cs="Arial"/>
          <w:bCs/>
          <w:szCs w:val="20"/>
          <w:lang w:val="sl-SI"/>
        </w:rPr>
        <w:t>:</w:t>
      </w:r>
      <w:r w:rsidRPr="004F3035">
        <w:rPr>
          <w:rFonts w:cs="Arial"/>
          <w:b/>
          <w:bCs/>
          <w:szCs w:val="20"/>
          <w:lang w:val="sl-SI"/>
        </w:rPr>
        <w:t xml:space="preserve"> </w:t>
      </w:r>
    </w:p>
    <w:p w:rsidR="00E96E8A" w:rsidRPr="004F3035" w:rsidRDefault="00E96E8A" w:rsidP="005B39B9">
      <w:pPr>
        <w:spacing w:before="20" w:after="20"/>
        <w:jc w:val="both"/>
        <w:rPr>
          <w:rFonts w:cs="Arial"/>
          <w:bCs/>
          <w:szCs w:val="20"/>
          <w:lang w:val="sl-SI"/>
        </w:rPr>
      </w:pPr>
    </w:p>
    <w:p w:rsidR="00E96E8A" w:rsidRPr="004F3035" w:rsidRDefault="00E96E8A" w:rsidP="005B39B9">
      <w:pPr>
        <w:spacing w:before="20" w:after="20"/>
        <w:jc w:val="both"/>
        <w:rPr>
          <w:rFonts w:cs="Arial"/>
          <w:i/>
          <w:szCs w:val="20"/>
          <w:lang w:val="sl-SI"/>
        </w:rPr>
      </w:pPr>
    </w:p>
    <w:p w:rsidR="00E96E8A" w:rsidRPr="004F3035" w:rsidRDefault="00E96E8A" w:rsidP="005B39B9">
      <w:pPr>
        <w:spacing w:before="20" w:after="20"/>
        <w:jc w:val="both"/>
        <w:rPr>
          <w:rFonts w:cs="Arial"/>
          <w:b/>
          <w:szCs w:val="20"/>
          <w:lang w:val="sl-SI"/>
        </w:rPr>
      </w:pPr>
      <w:r w:rsidRPr="004F3035">
        <w:rPr>
          <w:rFonts w:cs="Arial"/>
          <w:b/>
          <w:szCs w:val="20"/>
          <w:lang w:val="sl-SI"/>
        </w:rPr>
        <w:t>12. Zahteva za obravnavo</w:t>
      </w:r>
      <w:r w:rsidRPr="004F3035">
        <w:rPr>
          <w:rFonts w:cs="Arial"/>
          <w:szCs w:val="20"/>
          <w:lang w:val="sl-SI"/>
        </w:rPr>
        <w:t>:</w:t>
      </w:r>
      <w:r w:rsidRPr="004F3035">
        <w:rPr>
          <w:rFonts w:cs="Arial"/>
          <w:b/>
          <w:szCs w:val="20"/>
          <w:lang w:val="sl-SI"/>
        </w:rPr>
        <w:t xml:space="preserve"> </w:t>
      </w:r>
      <w:r w:rsidRPr="004F3035">
        <w:rPr>
          <w:rFonts w:cs="Arial"/>
          <w:i/>
          <w:szCs w:val="20"/>
          <w:lang w:val="sl-SI"/>
        </w:rPr>
        <w:t>na seji Vlade, na seji Odbora za gospodarstvo</w:t>
      </w:r>
    </w:p>
    <w:p w:rsidR="00E96E8A" w:rsidRPr="004F3035" w:rsidRDefault="00E96E8A" w:rsidP="005B39B9">
      <w:pPr>
        <w:spacing w:before="20" w:after="20"/>
        <w:jc w:val="both"/>
        <w:rPr>
          <w:rFonts w:cs="Arial"/>
          <w:szCs w:val="20"/>
          <w:lang w:val="sl-SI"/>
        </w:rPr>
      </w:pPr>
    </w:p>
    <w:p w:rsidR="00E96E8A" w:rsidRPr="004F3035" w:rsidRDefault="00E96E8A" w:rsidP="005B39B9">
      <w:pPr>
        <w:spacing w:before="20" w:after="20"/>
        <w:jc w:val="both"/>
        <w:rPr>
          <w:rFonts w:cs="Arial"/>
          <w:szCs w:val="20"/>
          <w:lang w:val="sl-SI"/>
        </w:rPr>
      </w:pPr>
    </w:p>
    <w:p w:rsidR="00E96E8A" w:rsidRPr="004F3035" w:rsidRDefault="00E96E8A" w:rsidP="005B39B9">
      <w:pPr>
        <w:spacing w:before="20" w:after="20"/>
        <w:jc w:val="both"/>
        <w:rPr>
          <w:rFonts w:cs="Arial"/>
          <w:b/>
          <w:iCs/>
          <w:szCs w:val="20"/>
          <w:lang w:val="sl-SI"/>
        </w:rPr>
      </w:pPr>
    </w:p>
    <w:tbl>
      <w:tblPr>
        <w:tblW w:w="0" w:type="auto"/>
        <w:tblInd w:w="5353" w:type="dxa"/>
        <w:tblLook w:val="04A0" w:firstRow="1" w:lastRow="0" w:firstColumn="1" w:lastColumn="0" w:noHBand="0" w:noVBand="1"/>
      </w:tblPr>
      <w:tblGrid>
        <w:gridCol w:w="3085"/>
      </w:tblGrid>
      <w:tr w:rsidR="00E96E8A" w:rsidRPr="004F3035" w:rsidTr="005B39B9">
        <w:tc>
          <w:tcPr>
            <w:tcW w:w="3085" w:type="dxa"/>
            <w:shd w:val="clear" w:color="auto" w:fill="auto"/>
          </w:tcPr>
          <w:p w:rsidR="00E96E8A" w:rsidRPr="004F3035" w:rsidRDefault="00E96E8A" w:rsidP="005B39B9">
            <w:pPr>
              <w:spacing w:before="20" w:after="20"/>
              <w:jc w:val="center"/>
              <w:rPr>
                <w:rFonts w:cs="Arial"/>
                <w:b/>
                <w:iCs/>
                <w:szCs w:val="20"/>
                <w:lang w:val="sl-SI"/>
              </w:rPr>
            </w:pPr>
            <w:r w:rsidRPr="004F3035">
              <w:rPr>
                <w:rFonts w:cs="Arial"/>
                <w:b/>
                <w:iCs/>
                <w:szCs w:val="20"/>
                <w:lang w:val="sl-SI"/>
              </w:rPr>
              <w:t>Irena Šinko</w:t>
            </w:r>
          </w:p>
          <w:p w:rsidR="00E96E8A" w:rsidRPr="004F3035" w:rsidRDefault="00E96E8A" w:rsidP="005B39B9">
            <w:pPr>
              <w:spacing w:before="20" w:after="20"/>
              <w:jc w:val="center"/>
              <w:rPr>
                <w:rFonts w:cs="Arial"/>
                <w:b/>
                <w:iCs/>
                <w:szCs w:val="20"/>
                <w:lang w:val="sl-SI"/>
              </w:rPr>
            </w:pPr>
            <w:r w:rsidRPr="004F3035">
              <w:rPr>
                <w:rFonts w:cs="Arial"/>
                <w:b/>
                <w:iCs/>
                <w:szCs w:val="20"/>
                <w:lang w:val="sl-SI"/>
              </w:rPr>
              <w:t>MINISTRICA</w:t>
            </w:r>
          </w:p>
        </w:tc>
      </w:tr>
    </w:tbl>
    <w:p w:rsidR="00E96E8A" w:rsidRPr="004F3035" w:rsidRDefault="00E96E8A" w:rsidP="005B39B9">
      <w:pPr>
        <w:tabs>
          <w:tab w:val="center" w:pos="6804"/>
        </w:tabs>
        <w:spacing w:before="20" w:after="20"/>
        <w:rPr>
          <w:rFonts w:cs="Arial"/>
          <w:b/>
          <w:iCs/>
          <w:szCs w:val="20"/>
          <w:lang w:val="sl-SI"/>
        </w:rPr>
      </w:pPr>
      <w:r w:rsidRPr="004F3035">
        <w:rPr>
          <w:rFonts w:cs="Arial"/>
          <w:b/>
          <w:iCs/>
          <w:szCs w:val="20"/>
          <w:lang w:val="sl-SI"/>
        </w:rPr>
        <w:br w:type="page"/>
      </w:r>
    </w:p>
    <w:p w:rsidR="00E96E8A" w:rsidRPr="004F3035" w:rsidRDefault="00E96E8A" w:rsidP="005B39B9">
      <w:pPr>
        <w:spacing w:before="20" w:after="20"/>
        <w:jc w:val="center"/>
        <w:rPr>
          <w:rFonts w:cs="Arial"/>
          <w:bCs/>
          <w:szCs w:val="20"/>
          <w:lang w:val="sl-SI"/>
        </w:rPr>
      </w:pPr>
      <w:r w:rsidRPr="004F3035">
        <w:rPr>
          <w:rFonts w:cs="Arial"/>
          <w:bCs/>
          <w:szCs w:val="20"/>
          <w:lang w:val="sl-SI"/>
        </w:rPr>
        <w:lastRenderedPageBreak/>
        <w:t>II.</w:t>
      </w:r>
    </w:p>
    <w:p w:rsidR="00E96E8A" w:rsidRPr="004F3035" w:rsidRDefault="00E96E8A" w:rsidP="005B39B9">
      <w:pPr>
        <w:spacing w:before="20" w:after="20"/>
        <w:jc w:val="center"/>
        <w:rPr>
          <w:rFonts w:cs="Arial"/>
          <w:b/>
          <w:szCs w:val="20"/>
          <w:lang w:val="sl-SI"/>
        </w:rPr>
      </w:pPr>
      <w:r w:rsidRPr="004F3035">
        <w:rPr>
          <w:rFonts w:cs="Arial"/>
          <w:b/>
          <w:szCs w:val="20"/>
          <w:lang w:val="sl-SI"/>
        </w:rPr>
        <w:t>PREDLOG</w:t>
      </w:r>
    </w:p>
    <w:p w:rsidR="00E96E8A" w:rsidRPr="004F3035" w:rsidRDefault="00E96E8A" w:rsidP="005B39B9">
      <w:pPr>
        <w:spacing w:before="20" w:after="20"/>
        <w:jc w:val="center"/>
        <w:rPr>
          <w:rFonts w:cs="Arial"/>
          <w:b/>
          <w:szCs w:val="20"/>
          <w:lang w:val="sl-SI"/>
        </w:rPr>
      </w:pPr>
    </w:p>
    <w:p w:rsidR="00E96E8A" w:rsidRPr="004F3035" w:rsidRDefault="00E96E8A" w:rsidP="005B39B9">
      <w:pPr>
        <w:spacing w:before="20" w:after="20"/>
        <w:jc w:val="center"/>
        <w:rPr>
          <w:rFonts w:cs="Arial"/>
          <w:szCs w:val="20"/>
          <w:lang w:val="sl-SI"/>
        </w:rPr>
      </w:pPr>
      <w:r w:rsidRPr="004F3035">
        <w:rPr>
          <w:rFonts w:cs="Arial"/>
          <w:b/>
          <w:szCs w:val="20"/>
          <w:lang w:val="sl-SI"/>
        </w:rPr>
        <w:t>STALIŠČE RS</w:t>
      </w:r>
    </w:p>
    <w:p w:rsidR="00E96E8A" w:rsidRPr="004F3035" w:rsidRDefault="00E96E8A" w:rsidP="005B39B9">
      <w:pPr>
        <w:spacing w:before="20" w:after="20"/>
        <w:jc w:val="both"/>
        <w:rPr>
          <w:rFonts w:cs="Arial"/>
          <w:szCs w:val="20"/>
          <w:lang w:val="sl-SI"/>
        </w:rPr>
      </w:pPr>
    </w:p>
    <w:p w:rsidR="00E96E8A" w:rsidRPr="004F3035" w:rsidRDefault="00E96E8A" w:rsidP="005B39B9">
      <w:pPr>
        <w:spacing w:before="20" w:after="20"/>
        <w:jc w:val="both"/>
        <w:rPr>
          <w:rFonts w:cs="Arial"/>
          <w:szCs w:val="20"/>
          <w:lang w:val="sl-SI"/>
        </w:rPr>
      </w:pPr>
      <w:r w:rsidRPr="004F3035">
        <w:rPr>
          <w:rFonts w:cs="Arial"/>
          <w:szCs w:val="20"/>
          <w:lang w:val="sl-SI"/>
        </w:rPr>
        <w:t>Na podlagi 21. člena Zakona o Vladi Republike Slovenije (Uradni list RS, št. 24/05 – uradno prečiščeno besedilo, 109/08, 38/10 – ZUKN, 8/12, 21/13, 47/13 – ZDU-1G, 65/14, 55/17 in 163/22) je Vlada Republike Slovenije sprejela naslednji sklep</w:t>
      </w:r>
    </w:p>
    <w:p w:rsidR="00E96E8A" w:rsidRPr="004F3035" w:rsidRDefault="00E96E8A" w:rsidP="005B39B9">
      <w:pPr>
        <w:spacing w:before="20" w:after="20"/>
        <w:jc w:val="both"/>
        <w:rPr>
          <w:rFonts w:cs="Arial"/>
          <w:b/>
          <w:i/>
          <w:szCs w:val="20"/>
          <w:lang w:val="sl-SI"/>
        </w:rPr>
      </w:pPr>
    </w:p>
    <w:p w:rsidR="00E96E8A" w:rsidRPr="004F3035" w:rsidRDefault="00E96E8A" w:rsidP="005B39B9">
      <w:pPr>
        <w:spacing w:before="20" w:after="20"/>
        <w:jc w:val="both"/>
        <w:rPr>
          <w:rFonts w:cs="Arial"/>
          <w:b/>
          <w:iCs/>
          <w:szCs w:val="20"/>
          <w:lang w:val="sl-SI"/>
        </w:rPr>
      </w:pPr>
      <w:r w:rsidRPr="004F3035">
        <w:rPr>
          <w:rFonts w:cs="Arial"/>
          <w:b/>
          <w:iCs/>
          <w:szCs w:val="20"/>
          <w:lang w:val="sl-SI"/>
        </w:rPr>
        <w:t>A)</w:t>
      </w:r>
    </w:p>
    <w:p w:rsidR="00E96E8A" w:rsidRPr="004F3035" w:rsidRDefault="00E96E8A" w:rsidP="005B39B9">
      <w:pPr>
        <w:spacing w:before="20" w:after="20"/>
        <w:jc w:val="both"/>
        <w:rPr>
          <w:rFonts w:cs="Arial"/>
          <w:i/>
          <w:iCs/>
          <w:szCs w:val="20"/>
          <w:lang w:val="sl-SI"/>
        </w:rPr>
      </w:pPr>
      <w:r w:rsidRPr="004F3035">
        <w:rPr>
          <w:rFonts w:cs="Arial"/>
          <w:iCs/>
          <w:szCs w:val="20"/>
          <w:lang w:val="sl-SI"/>
        </w:rPr>
        <w:t>Republika Slovenija je sprejela (določila predlog)</w:t>
      </w:r>
    </w:p>
    <w:p w:rsidR="00E96E8A" w:rsidRPr="004F3035" w:rsidRDefault="00E96E8A" w:rsidP="005B39B9">
      <w:pPr>
        <w:spacing w:before="20" w:after="20"/>
        <w:jc w:val="both"/>
        <w:rPr>
          <w:rFonts w:cs="Arial"/>
          <w:i/>
          <w:szCs w:val="20"/>
          <w:lang w:val="sl-SI"/>
        </w:rPr>
      </w:pPr>
      <w:r w:rsidRPr="004F3035">
        <w:rPr>
          <w:rFonts w:cs="Arial"/>
          <w:b/>
          <w:i/>
          <w:szCs w:val="20"/>
          <w:lang w:val="sl-SI"/>
        </w:rPr>
        <w:t>Stališče Republike Slovenije</w:t>
      </w:r>
    </w:p>
    <w:p w:rsidR="00E96E8A" w:rsidRPr="004F3035" w:rsidRDefault="00E96E8A" w:rsidP="005B39B9">
      <w:pPr>
        <w:spacing w:before="20" w:after="20"/>
        <w:jc w:val="both"/>
        <w:rPr>
          <w:rFonts w:cs="Arial"/>
          <w:szCs w:val="20"/>
          <w:lang w:val="sl-SI"/>
        </w:rPr>
      </w:pPr>
    </w:p>
    <w:p w:rsidR="00E96E8A" w:rsidRPr="004F3035" w:rsidRDefault="00E96E8A" w:rsidP="005B39B9">
      <w:pPr>
        <w:spacing w:before="20" w:after="20"/>
        <w:jc w:val="both"/>
        <w:rPr>
          <w:rFonts w:cs="Arial"/>
          <w:i/>
          <w:iCs/>
          <w:szCs w:val="20"/>
          <w:lang w:val="sl-SI"/>
        </w:rPr>
      </w:pPr>
      <w:r w:rsidRPr="004F3035">
        <w:rPr>
          <w:rFonts w:cs="Arial"/>
          <w:i/>
          <w:iCs/>
          <w:szCs w:val="20"/>
          <w:lang w:val="sl-SI"/>
        </w:rPr>
        <w:t>Vlada Republike Slovenije je sprejela na podlagi 49.h člena Poslovnika Vlade Republike Slovenije stališče Republike Slovenije k zadevi Predlog uredbe Evropskega parlamenta in Sveta o določitvi ohranitvenih, upravljalnih in nadzornih ukrepov, ki se uporabljajo na območju Konvencije o prihodnjem večstranskem sodelovanju v ribištvu severovzhodnega Atlantika, spremembi Uredbe (EU) 2019/1241 Evropskega parlamenta in Sveta in Uredbe Sveta (ES) št. 1224/2009 ter razveljavitvi Uredbe Sveta (EGS) št. 1899/85 in Uredbe (EU) št. 1236/2010 - 11316/23, ki se glasi:</w:t>
      </w:r>
    </w:p>
    <w:p w:rsidR="00E96E8A" w:rsidRPr="004F3035" w:rsidRDefault="00E96E8A" w:rsidP="005B39B9">
      <w:pPr>
        <w:spacing w:before="20" w:after="20"/>
        <w:jc w:val="both"/>
        <w:rPr>
          <w:rFonts w:cs="Arial"/>
          <w:i/>
          <w:iCs/>
          <w:szCs w:val="20"/>
          <w:lang w:val="sl-SI"/>
        </w:rPr>
      </w:pPr>
    </w:p>
    <w:p w:rsidR="00E96E8A" w:rsidRPr="004F3035" w:rsidRDefault="00E96E8A" w:rsidP="005B39B9">
      <w:pPr>
        <w:spacing w:before="20" w:after="20"/>
        <w:jc w:val="both"/>
        <w:rPr>
          <w:rFonts w:cs="Arial"/>
          <w:i/>
          <w:iCs/>
          <w:szCs w:val="20"/>
          <w:lang w:val="sl-SI"/>
        </w:rPr>
      </w:pPr>
      <w:r w:rsidRPr="004F3035">
        <w:rPr>
          <w:rFonts w:cs="Arial"/>
          <w:i/>
          <w:iCs/>
          <w:szCs w:val="20"/>
          <w:lang w:val="sl-SI"/>
        </w:rPr>
        <w:t>Republika Slovenija podpira Predlog uredbe Evropskega parlamenta in Sveta o določitvi ohranitvenih, upravljalnih in nadzornih ukrepov, ki se uporabljajo na območju Konvencije o prihodnjem večstranskem sodelovanju v ribištvu severovzhodnega Atlantika, spremembi Uredbe (EU) 2019/1241 Evropskega parlamenta in Sveta in Uredbe Sveta (ES) št. 1224/2009 ter razveljavitvi Uredbe Sveta (EGS) št. 1899/85 in Uredbe (EU) št. 1236/2010.</w:t>
      </w:r>
    </w:p>
    <w:p w:rsidR="00E96E8A" w:rsidRPr="004F3035" w:rsidRDefault="00E96E8A" w:rsidP="005B39B9">
      <w:pPr>
        <w:spacing w:before="20" w:after="20"/>
        <w:jc w:val="both"/>
        <w:rPr>
          <w:rFonts w:cs="Arial"/>
          <w:i/>
          <w:iCs/>
          <w:szCs w:val="20"/>
          <w:lang w:val="sl-SI"/>
        </w:rPr>
      </w:pPr>
    </w:p>
    <w:p w:rsidR="00E96E8A" w:rsidRPr="004F3035" w:rsidRDefault="00E96E8A" w:rsidP="005B39B9">
      <w:pPr>
        <w:spacing w:before="20" w:after="20"/>
        <w:jc w:val="both"/>
        <w:rPr>
          <w:rFonts w:cs="Arial"/>
          <w:i/>
          <w:iCs/>
          <w:szCs w:val="20"/>
          <w:lang w:val="sl-SI"/>
        </w:rPr>
      </w:pPr>
      <w:r w:rsidRPr="004F3035">
        <w:rPr>
          <w:rFonts w:cs="Arial"/>
          <w:i/>
          <w:iCs/>
          <w:szCs w:val="20"/>
          <w:lang w:val="sl-SI"/>
        </w:rPr>
        <w:t>Predlog ne zadeva slovenskega ribištva, saj slovenski morski gospodarski ribiči izvajajo ribolov le v severnem Jadranu.</w:t>
      </w:r>
    </w:p>
    <w:p w:rsidR="00E96E8A" w:rsidRPr="004F3035" w:rsidRDefault="00E96E8A" w:rsidP="005B39B9">
      <w:pPr>
        <w:spacing w:before="20" w:after="20"/>
        <w:jc w:val="both"/>
        <w:rPr>
          <w:rFonts w:cs="Arial"/>
          <w:i/>
          <w:iCs/>
          <w:szCs w:val="20"/>
          <w:lang w:val="sl-SI"/>
        </w:rPr>
      </w:pPr>
    </w:p>
    <w:p w:rsidR="00E96E8A" w:rsidRPr="004F3035" w:rsidRDefault="00E96E8A" w:rsidP="005B39B9">
      <w:pPr>
        <w:spacing w:before="20" w:after="20"/>
        <w:jc w:val="both"/>
        <w:rPr>
          <w:rFonts w:cs="Arial"/>
          <w:i/>
          <w:iCs/>
          <w:szCs w:val="20"/>
          <w:lang w:val="sl-SI"/>
        </w:rPr>
      </w:pPr>
      <w:r w:rsidRPr="004F3035">
        <w:rPr>
          <w:rFonts w:cs="Arial"/>
          <w:i/>
          <w:iCs/>
          <w:szCs w:val="20"/>
          <w:lang w:val="sl-SI"/>
        </w:rPr>
        <w:t>V zvezi s predlaganim prenosom pooblastil na Komisijo za sprejemanje aktov v skladu z 290. členom Pogodbe o delovanju Evropske unije, med drugim tudi za prihodnje spremembe ukrepov za ohranjanje in izvrševanje, Republika Slovenija pozdravlja zavezo, da se Komisija pri pripravljalnem delu ustrezno posvetuje, vključno na ravni strokovnjakov, in da se to posvetovanje izvede v skladu z načeli iz Medinstitucionalnega sporazuma z dne 13. aprila 2016 o boljši pripravi zakonodaje. Republika Slovenija pri tem tudi izpostavlja, da naj se pooblastila podelijo Komisiji zgolj za določitev ukrepov tehnične narave, pri čemer to določilo ne sme predstavljati precedensa za transpozicijo ukrepov, ki se bodo sprejemali v okviru ostalih regionalnih organizacij za upravljanje ribištva.</w:t>
      </w:r>
    </w:p>
    <w:p w:rsidR="00E96E8A" w:rsidRPr="004F3035" w:rsidRDefault="00E96E8A" w:rsidP="005B39B9">
      <w:pPr>
        <w:spacing w:before="20" w:after="20"/>
        <w:jc w:val="both"/>
        <w:rPr>
          <w:rFonts w:cs="Arial"/>
          <w:b/>
          <w:iCs/>
          <w:szCs w:val="20"/>
          <w:lang w:val="sl-SI"/>
        </w:rPr>
      </w:pPr>
    </w:p>
    <w:p w:rsidR="00E96E8A" w:rsidRPr="004F3035" w:rsidRDefault="00E96E8A" w:rsidP="005B39B9">
      <w:pPr>
        <w:spacing w:before="20" w:after="20"/>
        <w:jc w:val="both"/>
        <w:rPr>
          <w:rFonts w:cs="Arial"/>
          <w:b/>
          <w:i/>
          <w:iCs/>
          <w:szCs w:val="20"/>
          <w:lang w:val="sl-SI"/>
        </w:rPr>
      </w:pPr>
      <w:r w:rsidRPr="004F3035">
        <w:rPr>
          <w:rFonts w:cs="Arial"/>
          <w:b/>
          <w:iCs/>
          <w:szCs w:val="20"/>
          <w:lang w:val="sl-SI"/>
        </w:rPr>
        <w:t>B)</w:t>
      </w:r>
      <w:r w:rsidRPr="004F3035">
        <w:rPr>
          <w:rFonts w:cs="Arial"/>
          <w:i/>
          <w:iCs/>
          <w:szCs w:val="20"/>
          <w:lang w:val="sl-SI"/>
        </w:rPr>
        <w:t xml:space="preserve"> (</w:t>
      </w:r>
      <w:r w:rsidRPr="004F3035">
        <w:rPr>
          <w:rFonts w:cs="Arial"/>
          <w:b/>
          <w:i/>
          <w:iCs/>
          <w:szCs w:val="20"/>
          <w:lang w:val="sl-SI"/>
        </w:rPr>
        <w:t>Za zakonodajne akte in odločitve politične narave)</w:t>
      </w:r>
    </w:p>
    <w:p w:rsidR="00E96E8A" w:rsidRPr="004F3035" w:rsidRDefault="00E96E8A" w:rsidP="005B39B9">
      <w:pPr>
        <w:spacing w:before="20" w:after="20"/>
        <w:jc w:val="both"/>
        <w:rPr>
          <w:rFonts w:cs="Arial"/>
          <w:i/>
          <w:iCs/>
          <w:szCs w:val="20"/>
          <w:lang w:val="sl-SI"/>
        </w:rPr>
      </w:pPr>
    </w:p>
    <w:p w:rsidR="00E96E8A" w:rsidRPr="004F3035" w:rsidRDefault="00E96E8A" w:rsidP="005B39B9">
      <w:pPr>
        <w:spacing w:before="20" w:after="20"/>
        <w:jc w:val="both"/>
        <w:rPr>
          <w:rFonts w:cs="Arial"/>
          <w:iCs/>
          <w:szCs w:val="20"/>
          <w:lang w:val="sl-SI"/>
        </w:rPr>
      </w:pPr>
      <w:r w:rsidRPr="004F3035">
        <w:rPr>
          <w:rFonts w:cs="Arial"/>
          <w:b/>
          <w:iCs/>
          <w:szCs w:val="20"/>
          <w:lang w:val="sl-SI"/>
        </w:rPr>
        <w:t>POGLAVITNE REŠITVE IN CILJI PREDLOGA ZADEVE EU</w:t>
      </w:r>
      <w:r w:rsidRPr="004F3035">
        <w:rPr>
          <w:rFonts w:cs="Arial"/>
          <w:iCs/>
          <w:szCs w:val="20"/>
          <w:lang w:val="sl-SI"/>
        </w:rPr>
        <w:t>:</w:t>
      </w:r>
      <w:r w:rsidRPr="004F3035">
        <w:rPr>
          <w:rFonts w:cs="Arial"/>
          <w:b/>
          <w:i/>
          <w:iCs/>
          <w:color w:val="0070C0"/>
          <w:szCs w:val="20"/>
          <w:lang w:val="sl-SI"/>
        </w:rPr>
        <w:t xml:space="preserve"> </w:t>
      </w:r>
    </w:p>
    <w:p w:rsidR="00E96E8A" w:rsidRPr="004F3035" w:rsidRDefault="00E96E8A" w:rsidP="005B39B9">
      <w:pPr>
        <w:spacing w:before="20" w:after="20"/>
        <w:jc w:val="both"/>
        <w:rPr>
          <w:rFonts w:cs="Arial"/>
          <w:i/>
          <w:iCs/>
          <w:szCs w:val="20"/>
          <w:lang w:val="sl-SI"/>
        </w:rPr>
      </w:pPr>
      <w:r w:rsidRPr="004F3035">
        <w:rPr>
          <w:rFonts w:cs="Arial"/>
          <w:i/>
          <w:iCs/>
          <w:szCs w:val="20"/>
          <w:lang w:val="sl-SI"/>
        </w:rPr>
        <w:t xml:space="preserve">Evropska gospodarska skupnost je s Sklepom Sveta 81/608/EGS odobrila Konvencijo o prihodnjem večstranskem sodelovanju v ribištvu severovzhodnega Atlantika, s katero je bila ustanovljena Komisija za ribištvo severovzhodnega Atlantika (ang. </w:t>
      </w:r>
      <w:proofErr w:type="spellStart"/>
      <w:r w:rsidRPr="004F3035">
        <w:rPr>
          <w:rFonts w:cs="Arial"/>
          <w:i/>
          <w:iCs/>
          <w:szCs w:val="20"/>
          <w:lang w:val="sl-SI"/>
        </w:rPr>
        <w:t>North</w:t>
      </w:r>
      <w:proofErr w:type="spellEnd"/>
      <w:r w:rsidRPr="004F3035">
        <w:rPr>
          <w:rFonts w:cs="Arial"/>
          <w:i/>
          <w:iCs/>
          <w:szCs w:val="20"/>
          <w:lang w:val="sl-SI"/>
        </w:rPr>
        <w:t xml:space="preserve"> </w:t>
      </w:r>
      <w:proofErr w:type="spellStart"/>
      <w:r w:rsidRPr="004F3035">
        <w:rPr>
          <w:rFonts w:cs="Arial"/>
          <w:i/>
          <w:iCs/>
          <w:szCs w:val="20"/>
          <w:lang w:val="sl-SI"/>
        </w:rPr>
        <w:t>East</w:t>
      </w:r>
      <w:proofErr w:type="spellEnd"/>
      <w:r w:rsidRPr="004F3035">
        <w:rPr>
          <w:rFonts w:cs="Arial"/>
          <w:i/>
          <w:iCs/>
          <w:szCs w:val="20"/>
          <w:lang w:val="sl-SI"/>
        </w:rPr>
        <w:t xml:space="preserve"> </w:t>
      </w:r>
      <w:proofErr w:type="spellStart"/>
      <w:r w:rsidRPr="004F3035">
        <w:rPr>
          <w:rFonts w:cs="Arial"/>
          <w:i/>
          <w:iCs/>
          <w:szCs w:val="20"/>
          <w:lang w:val="sl-SI"/>
        </w:rPr>
        <w:t>Atlantic</w:t>
      </w:r>
      <w:proofErr w:type="spellEnd"/>
      <w:r w:rsidRPr="004F3035">
        <w:rPr>
          <w:rFonts w:cs="Arial"/>
          <w:i/>
          <w:iCs/>
          <w:szCs w:val="20"/>
          <w:lang w:val="sl-SI"/>
        </w:rPr>
        <w:t xml:space="preserve"> Fisheries </w:t>
      </w:r>
      <w:proofErr w:type="spellStart"/>
      <w:r w:rsidRPr="004F3035">
        <w:rPr>
          <w:rFonts w:cs="Arial"/>
          <w:i/>
          <w:iCs/>
          <w:szCs w:val="20"/>
          <w:lang w:val="sl-SI"/>
        </w:rPr>
        <w:t>Commission</w:t>
      </w:r>
      <w:proofErr w:type="spellEnd"/>
      <w:r w:rsidRPr="004F3035">
        <w:rPr>
          <w:rFonts w:cs="Arial"/>
          <w:i/>
          <w:iCs/>
          <w:szCs w:val="20"/>
          <w:lang w:val="sl-SI"/>
        </w:rPr>
        <w:t xml:space="preserve"> - NEAFC). Spremembe Konvencije iz leta 2004 in leta 2006 so bile odobrene s Sklepom Sveta 2009/550/ES. Spremembe so uradno začele veljati 29. oktobra 2013, vendar je bilo v skladu z Deklaracijo o razlagi in izvajanju Konvencije o prihodnjem večstranskem sodelovanju v ribištvu severovzhodnega Atlantika (Londonska deklaracija) iz leta 2005 dogovorjeno, da se spremembe začasno izvajajo od njihovega sprejetja do začetka njihove veljavnosti. </w:t>
      </w:r>
    </w:p>
    <w:p w:rsidR="00E96E8A" w:rsidRPr="004F3035" w:rsidRDefault="00E96E8A" w:rsidP="005B39B9">
      <w:pPr>
        <w:spacing w:before="20" w:after="20"/>
        <w:jc w:val="both"/>
        <w:rPr>
          <w:rFonts w:cs="Arial"/>
          <w:i/>
          <w:iCs/>
          <w:szCs w:val="20"/>
          <w:lang w:val="sl-SI"/>
        </w:rPr>
      </w:pPr>
    </w:p>
    <w:p w:rsidR="00E96E8A" w:rsidRPr="004F3035" w:rsidRDefault="00E96E8A" w:rsidP="005B39B9">
      <w:pPr>
        <w:spacing w:before="20" w:after="20"/>
        <w:jc w:val="both"/>
        <w:rPr>
          <w:rFonts w:cs="Arial"/>
          <w:i/>
          <w:iCs/>
          <w:szCs w:val="20"/>
          <w:lang w:val="sl-SI"/>
        </w:rPr>
      </w:pPr>
      <w:r w:rsidRPr="004F3035">
        <w:rPr>
          <w:rFonts w:cs="Arial"/>
          <w:i/>
          <w:iCs/>
          <w:szCs w:val="20"/>
          <w:lang w:val="sl-SI"/>
        </w:rPr>
        <w:lastRenderedPageBreak/>
        <w:t>Cilj Konvencije NEAFC je zagotoviti dolgoročno ohranitev in optimalno uporabo ribolovnih virov na območju Konvencije, s tem pa tudi trajnostne gospodarske, okoljske in družbene koristi. Zato je NEAFC pristojna za sprejemanje pravno zavezujočih odločitev za ohranjanje, upravljanje in nadzor ribolovnih virov v svoji pristojnosti. Ta priporočila so naslovljena predvsem na pogodbenice NEAFC, vsebujejo pa tudi obveznosti za upravljavce (npr. kapitane ribiških plovil). Taki ukrepi lahko postanejo zavezujoči za Unijo in jih je treba v primeru Unije prenesti v pravo Unije v obsegu, v katerem v njem še niso zajeti.</w:t>
      </w:r>
    </w:p>
    <w:p w:rsidR="00E96E8A" w:rsidRPr="004F3035" w:rsidRDefault="00E96E8A" w:rsidP="005B39B9">
      <w:pPr>
        <w:spacing w:before="20" w:after="20"/>
        <w:jc w:val="both"/>
        <w:rPr>
          <w:rFonts w:cs="Arial"/>
          <w:i/>
          <w:iCs/>
          <w:szCs w:val="20"/>
          <w:lang w:val="sl-SI"/>
        </w:rPr>
      </w:pPr>
    </w:p>
    <w:p w:rsidR="00E96E8A" w:rsidRPr="004F3035" w:rsidRDefault="00E96E8A" w:rsidP="005B39B9">
      <w:pPr>
        <w:spacing w:before="20" w:after="20"/>
        <w:jc w:val="both"/>
        <w:rPr>
          <w:rFonts w:cs="Arial"/>
          <w:i/>
          <w:iCs/>
          <w:szCs w:val="20"/>
          <w:lang w:val="sl-SI"/>
        </w:rPr>
      </w:pPr>
      <w:r w:rsidRPr="004F3035">
        <w:rPr>
          <w:rFonts w:cs="Arial"/>
          <w:i/>
          <w:iCs/>
          <w:szCs w:val="20"/>
          <w:lang w:val="sl-SI"/>
        </w:rPr>
        <w:t>Namen predloga je v pravo Evropske unije (EU) prenesti ohranitvene in upravljalne ukrepe, ki jih je sprejela NEAFC in sicer:</w:t>
      </w:r>
    </w:p>
    <w:p w:rsidR="00E96E8A" w:rsidRPr="004F3035" w:rsidRDefault="00E96E8A" w:rsidP="005B39B9">
      <w:pPr>
        <w:spacing w:before="20" w:after="20"/>
        <w:jc w:val="both"/>
        <w:rPr>
          <w:rFonts w:cs="Arial"/>
          <w:i/>
          <w:iCs/>
          <w:szCs w:val="20"/>
          <w:lang w:val="sl-SI"/>
        </w:rPr>
      </w:pPr>
      <w:r w:rsidRPr="004F3035">
        <w:rPr>
          <w:rFonts w:cs="Arial"/>
          <w:i/>
          <w:iCs/>
          <w:szCs w:val="20"/>
          <w:lang w:val="sl-SI"/>
        </w:rPr>
        <w:t>- priporočila 19:2014 o ukrepih za upravljanje območij za varstvo občutljivih morskih ekosistemov na upravnem območju NEAFC , kakor je bilo spremenjeno s Priporočilom 06:2023,</w:t>
      </w:r>
    </w:p>
    <w:p w:rsidR="00E96E8A" w:rsidRPr="004F3035" w:rsidRDefault="00E96E8A" w:rsidP="005B39B9">
      <w:pPr>
        <w:spacing w:before="20" w:after="20"/>
        <w:jc w:val="both"/>
        <w:rPr>
          <w:rFonts w:cs="Arial"/>
          <w:i/>
          <w:iCs/>
          <w:szCs w:val="20"/>
          <w:lang w:val="sl-SI"/>
        </w:rPr>
      </w:pPr>
      <w:r w:rsidRPr="004F3035">
        <w:rPr>
          <w:rFonts w:cs="Arial"/>
          <w:i/>
          <w:iCs/>
          <w:szCs w:val="20"/>
          <w:lang w:val="sl-SI"/>
        </w:rPr>
        <w:t>- priporočil 08:2023 in 09:2023 o spremembi seznama virov, ki so urejeni s predpisi NEAFC ter so zajeti v sistemu nadzora in izvrševanja NEAFC,</w:t>
      </w:r>
    </w:p>
    <w:p w:rsidR="00E96E8A" w:rsidRPr="004F3035" w:rsidRDefault="00E96E8A" w:rsidP="005B39B9">
      <w:pPr>
        <w:spacing w:before="20" w:after="20"/>
        <w:jc w:val="both"/>
        <w:rPr>
          <w:rFonts w:cs="Arial"/>
          <w:i/>
          <w:iCs/>
          <w:szCs w:val="20"/>
          <w:lang w:val="sl-SI"/>
        </w:rPr>
      </w:pPr>
      <w:r w:rsidRPr="004F3035">
        <w:rPr>
          <w:rFonts w:cs="Arial"/>
          <w:i/>
          <w:iCs/>
          <w:szCs w:val="20"/>
          <w:lang w:val="sl-SI"/>
        </w:rPr>
        <w:t>- priporočila 10:2023 o prepovedi zavržkov na upravnem območju NEAFC,</w:t>
      </w:r>
    </w:p>
    <w:p w:rsidR="00E96E8A" w:rsidRPr="004F3035" w:rsidRDefault="00E96E8A" w:rsidP="005B39B9">
      <w:pPr>
        <w:spacing w:before="20" w:after="20"/>
        <w:jc w:val="both"/>
        <w:rPr>
          <w:rFonts w:cs="Arial"/>
          <w:i/>
          <w:iCs/>
          <w:szCs w:val="20"/>
          <w:lang w:val="sl-SI"/>
        </w:rPr>
      </w:pPr>
      <w:r w:rsidRPr="004F3035">
        <w:rPr>
          <w:rFonts w:cs="Arial"/>
          <w:i/>
          <w:iCs/>
          <w:szCs w:val="20"/>
          <w:lang w:val="sl-SI"/>
        </w:rPr>
        <w:t>- priporočila 11:2023 o nadzoru operacij pretovarjanja na morju,</w:t>
      </w:r>
    </w:p>
    <w:p w:rsidR="00E96E8A" w:rsidRPr="004F3035" w:rsidRDefault="00E96E8A" w:rsidP="005B39B9">
      <w:pPr>
        <w:spacing w:before="20" w:after="20"/>
        <w:jc w:val="both"/>
        <w:rPr>
          <w:rFonts w:cs="Arial"/>
          <w:i/>
          <w:iCs/>
          <w:szCs w:val="20"/>
          <w:lang w:val="sl-SI"/>
        </w:rPr>
      </w:pPr>
      <w:r w:rsidRPr="004F3035">
        <w:rPr>
          <w:rFonts w:cs="Arial"/>
          <w:i/>
          <w:iCs/>
          <w:szCs w:val="20"/>
          <w:lang w:val="sl-SI"/>
        </w:rPr>
        <w:t>- priporočila 12:2023 o nadzornih ukrepih, ki se uporabljajo za komercialna raziskovalna plovila</w:t>
      </w:r>
    </w:p>
    <w:p w:rsidR="00E96E8A" w:rsidRPr="004F3035" w:rsidRDefault="00E96E8A" w:rsidP="005B39B9">
      <w:pPr>
        <w:spacing w:before="20" w:after="20"/>
        <w:jc w:val="both"/>
        <w:rPr>
          <w:rFonts w:cs="Arial"/>
          <w:i/>
          <w:iCs/>
          <w:szCs w:val="20"/>
          <w:lang w:val="sl-SI"/>
        </w:rPr>
      </w:pPr>
      <w:r w:rsidRPr="004F3035">
        <w:rPr>
          <w:rFonts w:cs="Arial"/>
          <w:i/>
          <w:iCs/>
          <w:szCs w:val="20"/>
          <w:lang w:val="sl-SI"/>
        </w:rPr>
        <w:t>- priporočilo 19:2019 o uvedbi sistema za elektronsko poročanje v NEAFC na podlagi novega standarda FLUX UN/CEFACT za trajnostno upravljanje ribištva, ki je bilo sprejeto na letnem zasedanju leta 2018,</w:t>
      </w:r>
    </w:p>
    <w:p w:rsidR="00E96E8A" w:rsidRPr="004F3035" w:rsidRDefault="00E96E8A" w:rsidP="005B39B9">
      <w:pPr>
        <w:spacing w:before="20" w:after="20"/>
        <w:jc w:val="both"/>
        <w:rPr>
          <w:rFonts w:cs="Arial"/>
          <w:i/>
          <w:iCs/>
          <w:szCs w:val="20"/>
          <w:lang w:val="sl-SI"/>
        </w:rPr>
      </w:pPr>
      <w:r w:rsidRPr="004F3035">
        <w:rPr>
          <w:rFonts w:cs="Arial"/>
          <w:i/>
          <w:iCs/>
          <w:szCs w:val="20"/>
          <w:lang w:val="sl-SI"/>
        </w:rPr>
        <w:t xml:space="preserve">- priporočilo 01:2023 in 04:2023 o določitvi prepovedanih območij za kljunate okune v </w:t>
      </w:r>
      <w:proofErr w:type="spellStart"/>
      <w:r w:rsidRPr="004F3035">
        <w:rPr>
          <w:rFonts w:cs="Arial"/>
          <w:i/>
          <w:iCs/>
          <w:szCs w:val="20"/>
          <w:lang w:val="sl-SI"/>
        </w:rPr>
        <w:t>Irmingerjevem</w:t>
      </w:r>
      <w:proofErr w:type="spellEnd"/>
      <w:r w:rsidRPr="004F3035">
        <w:rPr>
          <w:rFonts w:cs="Arial"/>
          <w:i/>
          <w:iCs/>
          <w:szCs w:val="20"/>
          <w:lang w:val="sl-SI"/>
        </w:rPr>
        <w:t xml:space="preserve"> morju in vahnje v </w:t>
      </w:r>
      <w:proofErr w:type="spellStart"/>
      <w:r w:rsidRPr="004F3035">
        <w:rPr>
          <w:rFonts w:cs="Arial"/>
          <w:i/>
          <w:iCs/>
          <w:szCs w:val="20"/>
          <w:lang w:val="sl-SI"/>
        </w:rPr>
        <w:t>Rockallskem</w:t>
      </w:r>
      <w:proofErr w:type="spellEnd"/>
      <w:r w:rsidRPr="004F3035">
        <w:rPr>
          <w:rFonts w:cs="Arial"/>
          <w:i/>
          <w:iCs/>
          <w:szCs w:val="20"/>
          <w:lang w:val="sl-SI"/>
        </w:rPr>
        <w:t xml:space="preserve"> ravniku. </w:t>
      </w:r>
    </w:p>
    <w:p w:rsidR="00E96E8A" w:rsidRPr="004F3035" w:rsidRDefault="00E96E8A" w:rsidP="005B39B9">
      <w:pPr>
        <w:spacing w:before="20" w:after="20"/>
        <w:jc w:val="both"/>
        <w:rPr>
          <w:rFonts w:cs="Arial"/>
          <w:i/>
          <w:iCs/>
          <w:szCs w:val="20"/>
          <w:lang w:val="sl-SI"/>
        </w:rPr>
      </w:pPr>
    </w:p>
    <w:p w:rsidR="00E96E8A" w:rsidRPr="004F3035" w:rsidRDefault="00E96E8A" w:rsidP="005B39B9">
      <w:pPr>
        <w:spacing w:before="20" w:after="20"/>
        <w:jc w:val="both"/>
        <w:rPr>
          <w:rFonts w:cs="Arial"/>
          <w:i/>
          <w:iCs/>
          <w:szCs w:val="20"/>
          <w:lang w:val="sl-SI"/>
        </w:rPr>
      </w:pPr>
      <w:r w:rsidRPr="004F3035">
        <w:rPr>
          <w:rFonts w:cs="Arial"/>
          <w:i/>
          <w:iCs/>
          <w:szCs w:val="20"/>
          <w:lang w:val="sl-SI"/>
        </w:rPr>
        <w:t xml:space="preserve">Hkrati je namen predloga, da se vsi ukrepi NEAFC združijo v eni uredbi. Uredba (EU) št. 1236/2010 o sistemu nadzora in izvrševanja, ki se uporablja na območju Konvencije o prihodnjem večstranskem sodelovanju v ribištvu severovzhodnega Atlantika in v določeni meri Uredba Sveta (ES) št. 1224/2009 o vzpostavitvi nadzornega sistema Skupnosti za zagotavljanje skladnosti s pravili skupne ribiške politik vključujeta določbe o izvajanju nadzornih ukrepov NEAFC, določbe o izvajanju ohranitvenih in upravljalnih ukrepov NEAFC, ki se uporabljajo za upravno območje NEAFC, pa so navedene v Uredbi Sveta (EGS) št. 1899/85 in Uredbi (EU) 2019/1241. Zato se predlaga, da se ustrezne določbe navedenih uredb nadomestijo z enim samim zakonodajnim aktom. </w:t>
      </w:r>
    </w:p>
    <w:p w:rsidR="00E96E8A" w:rsidRPr="004F3035" w:rsidRDefault="00E96E8A" w:rsidP="005B39B9">
      <w:pPr>
        <w:spacing w:before="20" w:after="20"/>
        <w:jc w:val="both"/>
        <w:rPr>
          <w:rFonts w:cs="Arial"/>
          <w:i/>
          <w:iCs/>
          <w:szCs w:val="20"/>
          <w:lang w:val="sl-SI"/>
        </w:rPr>
      </w:pPr>
    </w:p>
    <w:p w:rsidR="00E96E8A" w:rsidRPr="004F3035" w:rsidRDefault="00E96E8A" w:rsidP="005B39B9">
      <w:pPr>
        <w:spacing w:before="20" w:after="20"/>
        <w:jc w:val="both"/>
        <w:rPr>
          <w:rFonts w:cs="Arial"/>
          <w:i/>
          <w:iCs/>
          <w:szCs w:val="20"/>
          <w:lang w:val="sl-SI"/>
        </w:rPr>
      </w:pPr>
      <w:r w:rsidRPr="004F3035">
        <w:rPr>
          <w:rFonts w:cs="Arial"/>
          <w:i/>
          <w:iCs/>
          <w:szCs w:val="20"/>
          <w:lang w:val="sl-SI"/>
        </w:rPr>
        <w:t xml:space="preserve">Namen predloga je tudi izvajanje nekaterih ukrepov, ki izhajajo iz mednarodnih zavez Unije v zvezi z nadzorom ribolova nekaterih pelagičnih vrst v severovzhodnem Atlantiku (skuše, šura, sinjega mola in atlantskega sleda) oziroma dogovora v okviru sporazumov o ribolovu med Unijo, Ferskimi otoki in Norveško o upravljanju ribolova teh pelagičnih vrst v vodah severovzhodnega Atlantika za obdobje 2014–2020 in dogovora, ki izhaja iz posvetovanj o ribištvu med Evropsko unijo, Ferskimi otoki, Grenlandijo, Islandijo, Norveško in Združenim kraljestvom, ki so se zaključila novembra 2022. Predlog omogoča potrebno prilagoditev orodij za spremljanje kot alternativo zapečatenju mesta izpusta ribiškega plovila in uporabo samodejne </w:t>
      </w:r>
      <w:proofErr w:type="spellStart"/>
      <w:r w:rsidRPr="004F3035">
        <w:rPr>
          <w:rFonts w:cs="Arial"/>
          <w:i/>
          <w:iCs/>
          <w:szCs w:val="20"/>
          <w:lang w:val="sl-SI"/>
        </w:rPr>
        <w:t>sortirne</w:t>
      </w:r>
      <w:proofErr w:type="spellEnd"/>
      <w:r w:rsidRPr="004F3035">
        <w:rPr>
          <w:rFonts w:cs="Arial"/>
          <w:i/>
          <w:iCs/>
          <w:szCs w:val="20"/>
          <w:lang w:val="sl-SI"/>
        </w:rPr>
        <w:t xml:space="preserve"> opreme na krovu ribiškega plovila, če je ribiško plovilo opremljeno z elektronskimi sistemi za daljinsko spremljanje. V pravo Unije uvaja tudi zahtevo po elektronskem spremljanju tehtanja v objektih za iztovarjanje in predelavo z nadzornimi kamerami in senzorskimi tehnologijami, če se v njih stehta več kot 3 000 ton zgoraj omenjenih pelagičnih vrst na leto.</w:t>
      </w:r>
    </w:p>
    <w:p w:rsidR="00E96E8A" w:rsidRPr="004F3035" w:rsidRDefault="00E96E8A" w:rsidP="005B39B9">
      <w:pPr>
        <w:spacing w:before="20" w:after="20"/>
        <w:jc w:val="both"/>
        <w:rPr>
          <w:rFonts w:cs="Arial"/>
          <w:i/>
          <w:iCs/>
          <w:szCs w:val="20"/>
          <w:lang w:val="sl-SI"/>
        </w:rPr>
      </w:pPr>
    </w:p>
    <w:p w:rsidR="00E96E8A" w:rsidRPr="004F3035" w:rsidRDefault="00E96E8A" w:rsidP="005B39B9">
      <w:pPr>
        <w:spacing w:before="20" w:after="20"/>
        <w:jc w:val="both"/>
        <w:rPr>
          <w:rFonts w:cs="Arial"/>
          <w:i/>
          <w:iCs/>
          <w:szCs w:val="20"/>
          <w:lang w:val="sl-SI"/>
        </w:rPr>
      </w:pPr>
      <w:r w:rsidRPr="004F3035">
        <w:rPr>
          <w:rFonts w:cs="Arial"/>
          <w:i/>
          <w:iCs/>
          <w:szCs w:val="20"/>
          <w:lang w:val="sl-SI"/>
        </w:rPr>
        <w:t xml:space="preserve">S predlogom se na Komisijo v skladu s členom 290 Pogodbe o delovanju Evropske unije prenese pooblastilo za spremembo ukrepov NEAFC, ki so bolj tehnične narave, in ukrepov, ki izhajajo iz posvetovanj o ribištvu o ukrepih za ribolov nekaterih pelagičnih vrst v severovzhodnem Atlantiku. Za prihodnje spremembe predloga se predlaga v primeru sprememb tehnične narave izvedba z delegiranimi uredbami Komisije, v ostalih primerih pa s spremembami uredbe. </w:t>
      </w:r>
    </w:p>
    <w:p w:rsidR="00E96E8A" w:rsidRPr="004F3035" w:rsidRDefault="00E96E8A" w:rsidP="005B39B9">
      <w:pPr>
        <w:spacing w:before="20" w:after="20"/>
        <w:jc w:val="both"/>
        <w:rPr>
          <w:rFonts w:cs="Arial"/>
          <w:i/>
          <w:iCs/>
          <w:szCs w:val="20"/>
          <w:lang w:val="sl-SI"/>
        </w:rPr>
      </w:pPr>
    </w:p>
    <w:p w:rsidR="00E96E8A" w:rsidRPr="004F3035" w:rsidRDefault="00E96E8A" w:rsidP="005B39B9">
      <w:pPr>
        <w:spacing w:before="20" w:after="20"/>
        <w:jc w:val="both"/>
        <w:rPr>
          <w:rFonts w:cs="Arial"/>
          <w:i/>
          <w:iCs/>
          <w:szCs w:val="20"/>
          <w:lang w:val="sl-SI"/>
        </w:rPr>
      </w:pPr>
      <w:r w:rsidRPr="004F3035">
        <w:rPr>
          <w:rFonts w:cs="Arial"/>
          <w:i/>
          <w:iCs/>
          <w:szCs w:val="20"/>
          <w:lang w:val="sl-SI"/>
        </w:rPr>
        <w:lastRenderedPageBreak/>
        <w:t>Ta uredba začne veljati tretji dan po objavi v Uradnem listu Evropske unije, pri čemer se člen 50(4) in člen 52 uporabljata od 1. januarja 2026. Ta uredba je v celoti zavezujoča in se neposredno uporablja v vseh državah članicah.</w:t>
      </w:r>
    </w:p>
    <w:p w:rsidR="00E96E8A" w:rsidRPr="004F3035" w:rsidRDefault="00E96E8A" w:rsidP="005B39B9">
      <w:pPr>
        <w:spacing w:before="20" w:after="20"/>
        <w:jc w:val="both"/>
        <w:rPr>
          <w:rFonts w:cs="Arial"/>
          <w:iCs/>
          <w:szCs w:val="20"/>
          <w:lang w:val="sl-SI"/>
        </w:rPr>
      </w:pPr>
    </w:p>
    <w:p w:rsidR="00E96E8A" w:rsidRPr="004F3035" w:rsidRDefault="00E96E8A" w:rsidP="005B39B9">
      <w:pPr>
        <w:spacing w:before="20" w:after="20"/>
        <w:jc w:val="both"/>
        <w:rPr>
          <w:rFonts w:cs="Arial"/>
          <w:iCs/>
          <w:szCs w:val="20"/>
          <w:lang w:val="sl-SI"/>
        </w:rPr>
      </w:pPr>
      <w:r w:rsidRPr="004F3035">
        <w:rPr>
          <w:rFonts w:cs="Arial"/>
          <w:b/>
          <w:iCs/>
          <w:szCs w:val="20"/>
          <w:lang w:val="sl-SI"/>
        </w:rPr>
        <w:t>OCENA VPLIVOV IN POSLEDIC PREDLOGA ZADEVE EU</w:t>
      </w:r>
      <w:r w:rsidRPr="004F3035">
        <w:rPr>
          <w:rFonts w:cs="Arial"/>
          <w:iCs/>
          <w:szCs w:val="20"/>
          <w:lang w:val="sl-SI"/>
        </w:rPr>
        <w:t xml:space="preserve">: </w:t>
      </w:r>
    </w:p>
    <w:p w:rsidR="00E96E8A" w:rsidRPr="004F3035" w:rsidRDefault="00E96E8A" w:rsidP="005B39B9">
      <w:pPr>
        <w:spacing w:before="20" w:after="20"/>
        <w:jc w:val="both"/>
        <w:rPr>
          <w:rFonts w:cs="Arial"/>
          <w:i/>
          <w:szCs w:val="20"/>
          <w:lang w:val="sl-SI"/>
        </w:rPr>
      </w:pPr>
    </w:p>
    <w:p w:rsidR="00E96E8A" w:rsidRPr="004F3035" w:rsidRDefault="00E96E8A" w:rsidP="005B39B9">
      <w:pPr>
        <w:spacing w:before="20" w:after="20"/>
        <w:jc w:val="both"/>
        <w:rPr>
          <w:rFonts w:cs="Arial"/>
          <w:szCs w:val="20"/>
          <w:lang w:val="sl-SI"/>
        </w:rPr>
      </w:pPr>
      <w:r w:rsidRPr="004F3035">
        <w:rPr>
          <w:rFonts w:cs="Arial"/>
          <w:szCs w:val="20"/>
          <w:lang w:val="sl-SI"/>
        </w:rPr>
        <w:t>Vpliv na pravni red</w:t>
      </w:r>
    </w:p>
    <w:p w:rsidR="00E96E8A" w:rsidRPr="004F3035" w:rsidRDefault="00E96E8A" w:rsidP="005B39B9">
      <w:pPr>
        <w:spacing w:before="20" w:after="20"/>
        <w:jc w:val="both"/>
        <w:rPr>
          <w:rFonts w:cs="Arial"/>
          <w:i/>
          <w:szCs w:val="20"/>
          <w:lang w:val="sl-SI"/>
        </w:rPr>
      </w:pPr>
      <w:r w:rsidRPr="004F3035">
        <w:rPr>
          <w:rFonts w:cs="Arial"/>
          <w:i/>
          <w:szCs w:val="20"/>
          <w:lang w:val="sl-SI"/>
        </w:rPr>
        <w:t>Ni vpliva na pravni red.</w:t>
      </w:r>
    </w:p>
    <w:p w:rsidR="00E96E8A" w:rsidRPr="004F3035" w:rsidRDefault="00E96E8A" w:rsidP="005B39B9">
      <w:pPr>
        <w:spacing w:before="20" w:after="20"/>
        <w:jc w:val="both"/>
        <w:rPr>
          <w:rFonts w:cs="Arial"/>
          <w:i/>
          <w:szCs w:val="20"/>
          <w:lang w:val="sl-SI"/>
        </w:rPr>
      </w:pPr>
    </w:p>
    <w:p w:rsidR="00E96E8A" w:rsidRPr="004F3035" w:rsidRDefault="00E96E8A" w:rsidP="005B39B9">
      <w:pPr>
        <w:spacing w:before="20" w:after="20"/>
        <w:jc w:val="both"/>
        <w:rPr>
          <w:rFonts w:cs="Arial"/>
          <w:szCs w:val="20"/>
          <w:lang w:val="sl-SI"/>
        </w:rPr>
      </w:pPr>
      <w:r w:rsidRPr="004F3035">
        <w:rPr>
          <w:rFonts w:cs="Arial"/>
          <w:szCs w:val="20"/>
          <w:lang w:val="sl-SI"/>
        </w:rPr>
        <w:t>Posledice za proračun</w:t>
      </w:r>
    </w:p>
    <w:p w:rsidR="00E96E8A" w:rsidRPr="004F3035" w:rsidRDefault="00E96E8A" w:rsidP="005B39B9">
      <w:pPr>
        <w:spacing w:before="20" w:after="20"/>
        <w:jc w:val="both"/>
        <w:rPr>
          <w:rFonts w:cs="Arial"/>
          <w:i/>
          <w:szCs w:val="20"/>
          <w:lang w:val="sl-SI"/>
        </w:rPr>
      </w:pPr>
      <w:r w:rsidRPr="004F3035">
        <w:rPr>
          <w:rFonts w:cs="Arial"/>
          <w:i/>
          <w:szCs w:val="20"/>
          <w:lang w:val="sl-SI"/>
        </w:rPr>
        <w:t>Ni posledic za proračun RS in EU.</w:t>
      </w:r>
    </w:p>
    <w:p w:rsidR="00E96E8A" w:rsidRPr="004F3035" w:rsidRDefault="00E96E8A" w:rsidP="005B39B9">
      <w:pPr>
        <w:spacing w:before="20" w:after="20"/>
        <w:jc w:val="both"/>
        <w:rPr>
          <w:rFonts w:cs="Arial"/>
          <w:szCs w:val="20"/>
          <w:lang w:val="sl-SI"/>
        </w:rPr>
      </w:pPr>
    </w:p>
    <w:p w:rsidR="00E96E8A" w:rsidRPr="004F3035" w:rsidRDefault="00E96E8A" w:rsidP="005B39B9">
      <w:pPr>
        <w:spacing w:before="20" w:after="20"/>
        <w:jc w:val="both"/>
        <w:rPr>
          <w:rFonts w:cs="Arial"/>
          <w:szCs w:val="20"/>
          <w:lang w:val="sl-SI"/>
        </w:rPr>
      </w:pPr>
      <w:r w:rsidRPr="004F3035">
        <w:rPr>
          <w:rFonts w:cs="Arial"/>
          <w:szCs w:val="20"/>
          <w:lang w:val="sl-SI"/>
        </w:rPr>
        <w:t>Vpliv na gospodarstvo</w:t>
      </w:r>
    </w:p>
    <w:p w:rsidR="00E96E8A" w:rsidRPr="004F3035" w:rsidRDefault="00E96E8A" w:rsidP="005B39B9">
      <w:pPr>
        <w:spacing w:before="20" w:after="20"/>
        <w:jc w:val="both"/>
        <w:rPr>
          <w:rFonts w:cs="Arial"/>
          <w:i/>
          <w:szCs w:val="20"/>
          <w:lang w:val="sl-SI"/>
        </w:rPr>
      </w:pPr>
      <w:r w:rsidRPr="004F3035">
        <w:rPr>
          <w:rFonts w:cs="Arial"/>
          <w:i/>
          <w:szCs w:val="20"/>
          <w:lang w:val="sl-SI"/>
        </w:rPr>
        <w:t>Predlog akta nima vpliva na gospodarstvo.</w:t>
      </w:r>
    </w:p>
    <w:p w:rsidR="00E96E8A" w:rsidRPr="004F3035" w:rsidRDefault="00E96E8A" w:rsidP="005B39B9">
      <w:pPr>
        <w:spacing w:before="20" w:after="20"/>
        <w:jc w:val="both"/>
        <w:rPr>
          <w:rFonts w:cs="Arial"/>
          <w:szCs w:val="20"/>
          <w:lang w:val="sl-SI"/>
        </w:rPr>
      </w:pPr>
    </w:p>
    <w:p w:rsidR="00E96E8A" w:rsidRPr="004F3035" w:rsidRDefault="00E96E8A" w:rsidP="005B39B9">
      <w:pPr>
        <w:spacing w:before="20" w:after="20"/>
        <w:jc w:val="both"/>
        <w:rPr>
          <w:rFonts w:cs="Arial"/>
          <w:szCs w:val="20"/>
          <w:lang w:val="sl-SI"/>
        </w:rPr>
      </w:pPr>
      <w:r w:rsidRPr="004F3035">
        <w:rPr>
          <w:rFonts w:cs="Arial"/>
          <w:szCs w:val="20"/>
          <w:lang w:val="sl-SI"/>
        </w:rPr>
        <w:t>Vpliv na javno upravo</w:t>
      </w:r>
    </w:p>
    <w:p w:rsidR="00E96E8A" w:rsidRPr="004F3035" w:rsidRDefault="00E96E8A" w:rsidP="005B39B9">
      <w:pPr>
        <w:spacing w:before="20" w:after="20"/>
        <w:jc w:val="both"/>
        <w:rPr>
          <w:rFonts w:cs="Arial"/>
          <w:i/>
          <w:szCs w:val="20"/>
          <w:lang w:val="sl-SI"/>
        </w:rPr>
      </w:pPr>
      <w:r w:rsidRPr="004F3035">
        <w:rPr>
          <w:rFonts w:cs="Arial"/>
          <w:i/>
          <w:szCs w:val="20"/>
          <w:lang w:val="sl-SI"/>
        </w:rPr>
        <w:t>Predlog akta nima vpliva na javno upravo.</w:t>
      </w:r>
    </w:p>
    <w:p w:rsidR="00E96E8A" w:rsidRPr="004F3035" w:rsidRDefault="00E96E8A" w:rsidP="005B39B9">
      <w:pPr>
        <w:spacing w:before="20" w:after="20"/>
        <w:jc w:val="both"/>
        <w:rPr>
          <w:rFonts w:cs="Arial"/>
          <w:szCs w:val="20"/>
          <w:lang w:val="sl-SI"/>
        </w:rPr>
      </w:pPr>
    </w:p>
    <w:p w:rsidR="00E96E8A" w:rsidRPr="004F3035" w:rsidRDefault="00E96E8A" w:rsidP="005B39B9">
      <w:pPr>
        <w:spacing w:before="20" w:after="20"/>
        <w:jc w:val="both"/>
        <w:rPr>
          <w:rFonts w:cs="Arial"/>
          <w:szCs w:val="20"/>
          <w:lang w:val="sl-SI"/>
        </w:rPr>
      </w:pPr>
      <w:r w:rsidRPr="004F3035">
        <w:rPr>
          <w:rFonts w:cs="Arial"/>
          <w:szCs w:val="20"/>
          <w:lang w:val="sl-SI"/>
        </w:rPr>
        <w:t>Vpliv na okolje</w:t>
      </w:r>
    </w:p>
    <w:p w:rsidR="00E96E8A" w:rsidRPr="004F3035" w:rsidRDefault="00E96E8A" w:rsidP="005B39B9">
      <w:pPr>
        <w:spacing w:before="20" w:after="20"/>
        <w:jc w:val="both"/>
        <w:rPr>
          <w:rFonts w:cs="Arial"/>
          <w:i/>
          <w:szCs w:val="20"/>
          <w:lang w:val="sl-SI"/>
        </w:rPr>
      </w:pPr>
      <w:r w:rsidRPr="004F3035">
        <w:rPr>
          <w:rFonts w:cs="Arial"/>
          <w:i/>
          <w:szCs w:val="20"/>
          <w:lang w:val="sl-SI"/>
        </w:rPr>
        <w:t>Predlagani ukrepi so zasnovani v skladu s cilji in pravili skupne ribiške politike ter so skladni s politiko Unije na področju trajnostnega razvoja.</w:t>
      </w:r>
    </w:p>
    <w:p w:rsidR="00E96E8A" w:rsidRPr="004F3035" w:rsidRDefault="00E96E8A" w:rsidP="005B39B9">
      <w:pPr>
        <w:spacing w:before="20" w:after="20"/>
        <w:jc w:val="both"/>
        <w:rPr>
          <w:rFonts w:cs="Arial"/>
          <w:szCs w:val="20"/>
          <w:lang w:val="sl-SI"/>
        </w:rPr>
      </w:pPr>
    </w:p>
    <w:p w:rsidR="00E96E8A" w:rsidRPr="004F3035" w:rsidRDefault="00E96E8A" w:rsidP="005B39B9">
      <w:pPr>
        <w:spacing w:before="20" w:after="20"/>
        <w:jc w:val="both"/>
        <w:rPr>
          <w:rFonts w:cs="Arial"/>
          <w:szCs w:val="20"/>
          <w:lang w:val="sl-SI"/>
        </w:rPr>
      </w:pPr>
      <w:r w:rsidRPr="004F3035">
        <w:rPr>
          <w:rFonts w:cs="Arial"/>
          <w:szCs w:val="20"/>
          <w:lang w:val="sl-SI"/>
        </w:rPr>
        <w:t>Drugo</w:t>
      </w:r>
    </w:p>
    <w:p w:rsidR="00E96E8A" w:rsidRPr="004F3035" w:rsidRDefault="00E96E8A" w:rsidP="005B39B9">
      <w:pPr>
        <w:spacing w:before="20" w:after="20"/>
        <w:jc w:val="both"/>
        <w:rPr>
          <w:rFonts w:cs="Arial"/>
          <w:i/>
          <w:szCs w:val="20"/>
          <w:lang w:val="sl-SI"/>
        </w:rPr>
      </w:pPr>
    </w:p>
    <w:p w:rsidR="00E96E8A" w:rsidRPr="004F3035" w:rsidRDefault="00E96E8A" w:rsidP="005B39B9">
      <w:pPr>
        <w:spacing w:before="20" w:after="20"/>
        <w:jc w:val="both"/>
        <w:rPr>
          <w:rFonts w:cs="Arial"/>
          <w:b/>
          <w:bCs/>
          <w:i/>
          <w:szCs w:val="20"/>
          <w:lang w:val="sl-SI"/>
        </w:rPr>
      </w:pPr>
      <w:r w:rsidRPr="004F3035">
        <w:rPr>
          <w:rFonts w:cs="Arial"/>
          <w:b/>
          <w:bCs/>
          <w:i/>
          <w:szCs w:val="20"/>
          <w:lang w:val="sl-SI"/>
        </w:rPr>
        <w:t xml:space="preserve"> </w:t>
      </w:r>
    </w:p>
    <w:p w:rsidR="00E96E8A" w:rsidRPr="004F3035" w:rsidRDefault="00E96E8A" w:rsidP="005B39B9">
      <w:pPr>
        <w:spacing w:before="20" w:after="20"/>
        <w:jc w:val="both"/>
        <w:rPr>
          <w:rFonts w:cs="Arial"/>
          <w:b/>
          <w:szCs w:val="20"/>
          <w:lang w:val="sl-SI"/>
        </w:rPr>
      </w:pPr>
      <w:r w:rsidRPr="004F3035">
        <w:rPr>
          <w:rFonts w:cs="Arial"/>
          <w:b/>
          <w:szCs w:val="20"/>
          <w:lang w:val="sl-SI"/>
        </w:rPr>
        <w:t>C)</w:t>
      </w:r>
    </w:p>
    <w:p w:rsidR="00E96E8A" w:rsidRPr="004F3035" w:rsidRDefault="00E96E8A" w:rsidP="005B39B9">
      <w:pPr>
        <w:spacing w:before="20" w:after="20"/>
        <w:jc w:val="both"/>
        <w:rPr>
          <w:rFonts w:cs="Arial"/>
          <w:b/>
          <w:iCs/>
          <w:szCs w:val="20"/>
          <w:lang w:val="sl-SI"/>
        </w:rPr>
      </w:pPr>
      <w:r w:rsidRPr="004F3035">
        <w:rPr>
          <w:rFonts w:cs="Arial"/>
          <w:b/>
          <w:iCs/>
          <w:szCs w:val="20"/>
          <w:lang w:val="sl-SI"/>
        </w:rPr>
        <w:t>Predstavniki RS, ki bodo zastopali stališče RS v institucijah EU</w:t>
      </w:r>
      <w:r w:rsidRPr="004F3035">
        <w:rPr>
          <w:rFonts w:cs="Arial"/>
          <w:iCs/>
          <w:szCs w:val="20"/>
          <w:lang w:val="sl-SI"/>
        </w:rPr>
        <w:t>:</w:t>
      </w:r>
      <w:r w:rsidRPr="004F3035">
        <w:rPr>
          <w:rFonts w:cs="Arial"/>
          <w:b/>
          <w:iCs/>
          <w:szCs w:val="20"/>
          <w:lang w:val="sl-SI"/>
        </w:rPr>
        <w:t xml:space="preserve"> </w:t>
      </w:r>
    </w:p>
    <w:p w:rsidR="00E96E8A" w:rsidRPr="004F3035" w:rsidRDefault="00E96E8A" w:rsidP="005B39B9">
      <w:pPr>
        <w:spacing w:before="20" w:after="20"/>
        <w:jc w:val="both"/>
        <w:rPr>
          <w:rFonts w:cs="Arial"/>
          <w:szCs w:val="20"/>
          <w:lang w:val="sl-SI"/>
        </w:rPr>
      </w:pPr>
      <w:bookmarkStart w:id="0" w:name="_GoBack"/>
      <w:r w:rsidRPr="004F3035">
        <w:rPr>
          <w:rFonts w:cs="Arial"/>
          <w:b/>
          <w:i/>
          <w:iCs/>
          <w:szCs w:val="20"/>
          <w:lang w:val="sl-SI"/>
        </w:rPr>
        <w:t xml:space="preserve">Irena Šinko, ministrica; dr. Darij Krajčič, državni sekretar; Tatjana Buzeti, državna sekretarka, Polona </w:t>
      </w:r>
      <w:proofErr w:type="spellStart"/>
      <w:r w:rsidRPr="004F3035">
        <w:rPr>
          <w:rFonts w:cs="Arial"/>
          <w:b/>
          <w:i/>
          <w:iCs/>
          <w:szCs w:val="20"/>
          <w:lang w:val="sl-SI"/>
        </w:rPr>
        <w:t>Bunič</w:t>
      </w:r>
      <w:proofErr w:type="spellEnd"/>
      <w:r w:rsidRPr="004F3035">
        <w:rPr>
          <w:rFonts w:cs="Arial"/>
          <w:b/>
          <w:i/>
          <w:iCs/>
          <w:szCs w:val="20"/>
          <w:lang w:val="sl-SI"/>
        </w:rPr>
        <w:t xml:space="preserve">, Sektor za ribištvo, </w:t>
      </w:r>
      <w:r w:rsidR="004F3035">
        <w:rPr>
          <w:rFonts w:cs="Arial"/>
          <w:b/>
          <w:i/>
          <w:iCs/>
          <w:szCs w:val="20"/>
          <w:lang w:val="sl-SI"/>
        </w:rPr>
        <w:t xml:space="preserve">Gvido Mravljak, </w:t>
      </w:r>
      <w:r w:rsidRPr="004F3035">
        <w:rPr>
          <w:rFonts w:cs="Arial"/>
          <w:b/>
          <w:i/>
          <w:iCs/>
          <w:szCs w:val="20"/>
          <w:lang w:val="sl-SI"/>
        </w:rPr>
        <w:t xml:space="preserve">vsi MKGP; </w:t>
      </w:r>
    </w:p>
    <w:bookmarkEnd w:id="0"/>
    <w:p w:rsidR="007D75CF" w:rsidRPr="004F3035" w:rsidRDefault="007D75CF" w:rsidP="0024718A">
      <w:pPr>
        <w:rPr>
          <w:lang w:val="sl-SI"/>
        </w:rPr>
      </w:pPr>
    </w:p>
    <w:sectPr w:rsidR="007D75CF" w:rsidRPr="004F3035" w:rsidSect="00431D47">
      <w:headerReference w:type="even" r:id="rId7"/>
      <w:headerReference w:type="default" r:id="rId8"/>
      <w:footerReference w:type="even" r:id="rId9"/>
      <w:footerReference w:type="default" r:id="rId10"/>
      <w:headerReference w:type="first" r:id="rId11"/>
      <w:footerReference w:type="first" r:id="rId12"/>
      <w:pgSz w:w="11900" w:h="16840" w:code="9"/>
      <w:pgMar w:top="993"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9B9" w:rsidRDefault="005B39B9">
      <w:r>
        <w:separator/>
      </w:r>
    </w:p>
  </w:endnote>
  <w:endnote w:type="continuationSeparator" w:id="0">
    <w:p w:rsidR="005B39B9" w:rsidRDefault="005B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8A" w:rsidRDefault="00E96E8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8A" w:rsidRDefault="00E96E8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8A" w:rsidRDefault="00E96E8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9B9" w:rsidRDefault="005B39B9">
      <w:r>
        <w:separator/>
      </w:r>
    </w:p>
  </w:footnote>
  <w:footnote w:type="continuationSeparator" w:id="0">
    <w:p w:rsidR="005B39B9" w:rsidRDefault="005B3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8A" w:rsidRDefault="00E96E8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71" w:rsidRPr="00110CBD" w:rsidRDefault="00DC6A71"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09"/>
    </w:tblGrid>
    <w:tr w:rsidR="00DC6A71" w:rsidRPr="008F3500">
      <w:trPr>
        <w:cantSplit/>
        <w:trHeight w:hRule="exact" w:val="847"/>
      </w:trPr>
      <w:tc>
        <w:tcPr>
          <w:tcW w:w="567" w:type="dxa"/>
        </w:tcPr>
        <w:p w:rsidR="00530285" w:rsidRPr="00963ADE" w:rsidRDefault="00785366" w:rsidP="00530285">
          <w:pPr>
            <w:autoSpaceDE w:val="0"/>
            <w:autoSpaceDN w:val="0"/>
            <w:adjustRightInd w:val="0"/>
            <w:spacing w:before="100" w:line="240" w:lineRule="auto"/>
            <w:rPr>
              <w:rFonts w:ascii="Republika" w:hAnsi="Republika"/>
              <w:sz w:val="18"/>
              <w:szCs w:val="60"/>
              <w:lang w:val="sl-SI"/>
            </w:rPr>
          </w:pPr>
          <w:r w:rsidRPr="00963ADE">
            <w:rPr>
              <w:noProof/>
              <w:lang w:val="sl-SI" w:eastAsia="sl-SI"/>
            </w:rPr>
            <w:drawing>
              <wp:inline distT="0" distB="0" distL="0" distR="0">
                <wp:extent cx="249555" cy="297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 cy="297180"/>
                        </a:xfrm>
                        <a:prstGeom prst="rect">
                          <a:avLst/>
                        </a:prstGeom>
                        <a:noFill/>
                        <a:ln>
                          <a:noFill/>
                        </a:ln>
                      </pic:spPr>
                    </pic:pic>
                  </a:graphicData>
                </a:graphic>
              </wp:inline>
            </w:drawing>
          </w:r>
        </w:p>
        <w:p w:rsidR="006D42D9" w:rsidRPr="006D42D9" w:rsidRDefault="006D42D9" w:rsidP="0024718A">
          <w:pPr>
            <w:autoSpaceDE w:val="0"/>
            <w:autoSpaceDN w:val="0"/>
            <w:adjustRightInd w:val="0"/>
            <w:spacing w:line="240" w:lineRule="auto"/>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DC6A71" w:rsidRPr="006D42D9" w:rsidRDefault="00DC6A71" w:rsidP="006D42D9">
          <w:pPr>
            <w:rPr>
              <w:rFonts w:ascii="Republika" w:hAnsi="Republika"/>
              <w:sz w:val="60"/>
              <w:szCs w:val="60"/>
              <w:lang w:val="sl-SI"/>
            </w:rPr>
          </w:pPr>
        </w:p>
      </w:tc>
    </w:tr>
  </w:tbl>
  <w:p w:rsidR="00DC6A71" w:rsidRPr="008F3500" w:rsidRDefault="00785366" w:rsidP="00924E3C">
    <w:pPr>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E38DD"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Oqzfv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C6A71" w:rsidRPr="008F3500">
      <w:rPr>
        <w:rFonts w:ascii="Republika" w:hAnsi="Republika"/>
        <w:lang w:val="sl-SI"/>
      </w:rPr>
      <w:t>REPUBLIKA SLOVENIJA</w:t>
    </w:r>
  </w:p>
  <w:p w:rsidR="00567106" w:rsidRPr="006D3DFE" w:rsidRDefault="006D3DFE" w:rsidP="006D3DFE">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 xml:space="preserve">Ministrstvo za </w:t>
    </w:r>
    <w:r w:rsidR="00C5062F">
      <w:rPr>
        <w:rFonts w:ascii="Republika Bold" w:hAnsi="Republika Bold"/>
        <w:b/>
        <w:caps/>
        <w:lang w:val="sl-SI"/>
      </w:rPr>
      <w:t>KMETIJSTVO, GOZDARSTVO IN PREHRANO</w:t>
    </w:r>
  </w:p>
  <w:p w:rsidR="00DC6A71" w:rsidRPr="008F3500" w:rsidRDefault="00C5062F" w:rsidP="00924E3C">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Dunajska </w:t>
    </w:r>
    <w:r w:rsidR="000C407D">
      <w:rPr>
        <w:rFonts w:cs="Arial"/>
        <w:sz w:val="16"/>
        <w:lang w:val="sl-SI"/>
      </w:rPr>
      <w:t xml:space="preserve">cesta </w:t>
    </w:r>
    <w:r>
      <w:rPr>
        <w:rFonts w:cs="Arial"/>
        <w:sz w:val="16"/>
        <w:lang w:val="sl-SI"/>
      </w:rPr>
      <w:t>22</w:t>
    </w:r>
    <w:r w:rsidR="00DC6A71" w:rsidRPr="008F3500">
      <w:rPr>
        <w:rFonts w:cs="Arial"/>
        <w:sz w:val="16"/>
        <w:lang w:val="sl-SI"/>
      </w:rPr>
      <w:t xml:space="preserve">, </w:t>
    </w:r>
    <w:r w:rsidR="006D3DFE">
      <w:rPr>
        <w:rFonts w:cs="Arial"/>
        <w:sz w:val="16"/>
        <w:lang w:val="sl-SI"/>
      </w:rPr>
      <w:t>1000 Ljubljana</w:t>
    </w:r>
    <w:r w:rsidR="00DC6A71" w:rsidRPr="008F3500">
      <w:rPr>
        <w:rFonts w:cs="Arial"/>
        <w:sz w:val="16"/>
        <w:lang w:val="sl-SI"/>
      </w:rPr>
      <w:tab/>
      <w:t xml:space="preserve">T: </w:t>
    </w:r>
    <w:r>
      <w:rPr>
        <w:rFonts w:cs="Arial"/>
        <w:sz w:val="16"/>
        <w:lang w:val="sl-SI"/>
      </w:rPr>
      <w:t>01 478 9000</w:t>
    </w:r>
  </w:p>
  <w:p w:rsidR="00DC6A71" w:rsidRPr="008F3500" w:rsidRDefault="00DC6A71"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6D3DFE">
      <w:rPr>
        <w:rFonts w:cs="Arial"/>
        <w:sz w:val="16"/>
        <w:lang w:val="sl-SI"/>
      </w:rPr>
      <w:t xml:space="preserve">01 478 </w:t>
    </w:r>
    <w:r w:rsidR="000C407D">
      <w:rPr>
        <w:rFonts w:cs="Arial"/>
        <w:sz w:val="16"/>
        <w:lang w:val="sl-SI"/>
      </w:rPr>
      <w:t>9021</w:t>
    </w:r>
    <w:r w:rsidRPr="008F3500">
      <w:rPr>
        <w:rFonts w:cs="Arial"/>
        <w:sz w:val="16"/>
        <w:lang w:val="sl-SI"/>
      </w:rPr>
      <w:t xml:space="preserve"> </w:t>
    </w:r>
  </w:p>
  <w:p w:rsidR="00DC6A71" w:rsidRPr="008F3500" w:rsidRDefault="00DC6A71"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4B276A">
      <w:rPr>
        <w:rFonts w:cs="Arial"/>
        <w:sz w:val="16"/>
        <w:lang w:val="sl-SI"/>
      </w:rPr>
      <w:t>gp.mkgp</w:t>
    </w:r>
    <w:r w:rsidR="006D3DFE">
      <w:rPr>
        <w:rFonts w:cs="Arial"/>
        <w:sz w:val="16"/>
        <w:lang w:val="sl-SI"/>
      </w:rPr>
      <w:t>@gov.si</w:t>
    </w:r>
  </w:p>
  <w:p w:rsidR="00CE7514" w:rsidRPr="008F3500" w:rsidRDefault="00CE7514"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4B276A">
      <w:rPr>
        <w:rFonts w:cs="Arial"/>
        <w:sz w:val="16"/>
        <w:lang w:val="sl-SI"/>
      </w:rPr>
      <w:t>www.mkgp</w:t>
    </w:r>
    <w:r w:rsidR="006D3DFE">
      <w:rPr>
        <w:rFonts w:cs="Arial"/>
        <w:sz w:val="16"/>
        <w:lang w:val="sl-SI"/>
      </w:rPr>
      <w:t>.gov.si</w:t>
    </w:r>
  </w:p>
  <w:p w:rsidR="00DC6A71" w:rsidRPr="008F3500" w:rsidRDefault="00DC6A7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23A88"/>
    <w:rsid w:val="000A7238"/>
    <w:rsid w:val="000C407D"/>
    <w:rsid w:val="000D2FE7"/>
    <w:rsid w:val="001357B2"/>
    <w:rsid w:val="00202A77"/>
    <w:rsid w:val="0024718A"/>
    <w:rsid w:val="00271CE5"/>
    <w:rsid w:val="00282020"/>
    <w:rsid w:val="003636BF"/>
    <w:rsid w:val="0037479F"/>
    <w:rsid w:val="003845B4"/>
    <w:rsid w:val="00387B1A"/>
    <w:rsid w:val="003E1C74"/>
    <w:rsid w:val="00431D47"/>
    <w:rsid w:val="004B276A"/>
    <w:rsid w:val="004F3035"/>
    <w:rsid w:val="00526246"/>
    <w:rsid w:val="00530285"/>
    <w:rsid w:val="00567106"/>
    <w:rsid w:val="005B39B9"/>
    <w:rsid w:val="005E1D3C"/>
    <w:rsid w:val="006051E1"/>
    <w:rsid w:val="00632253"/>
    <w:rsid w:val="00642714"/>
    <w:rsid w:val="006455CE"/>
    <w:rsid w:val="006C491D"/>
    <w:rsid w:val="006D3DFE"/>
    <w:rsid w:val="006D42D9"/>
    <w:rsid w:val="00733017"/>
    <w:rsid w:val="00783310"/>
    <w:rsid w:val="00785366"/>
    <w:rsid w:val="007A4A6D"/>
    <w:rsid w:val="007D1BCF"/>
    <w:rsid w:val="007D75CF"/>
    <w:rsid w:val="007E6DC5"/>
    <w:rsid w:val="00876443"/>
    <w:rsid w:val="0088043C"/>
    <w:rsid w:val="008906C9"/>
    <w:rsid w:val="008C5738"/>
    <w:rsid w:val="008D04F0"/>
    <w:rsid w:val="008F3500"/>
    <w:rsid w:val="00924E3C"/>
    <w:rsid w:val="009612BB"/>
    <w:rsid w:val="00A125C5"/>
    <w:rsid w:val="00A21E7F"/>
    <w:rsid w:val="00A35903"/>
    <w:rsid w:val="00A5039D"/>
    <w:rsid w:val="00A65EE7"/>
    <w:rsid w:val="00A70133"/>
    <w:rsid w:val="00B17141"/>
    <w:rsid w:val="00B31575"/>
    <w:rsid w:val="00B8547D"/>
    <w:rsid w:val="00B866EE"/>
    <w:rsid w:val="00C250D5"/>
    <w:rsid w:val="00C5062F"/>
    <w:rsid w:val="00C92898"/>
    <w:rsid w:val="00CE7514"/>
    <w:rsid w:val="00D248DE"/>
    <w:rsid w:val="00D8542D"/>
    <w:rsid w:val="00DB6F30"/>
    <w:rsid w:val="00DC6A71"/>
    <w:rsid w:val="00DE5B46"/>
    <w:rsid w:val="00E0357D"/>
    <w:rsid w:val="00E24EC2"/>
    <w:rsid w:val="00E96E8A"/>
    <w:rsid w:val="00F240BB"/>
    <w:rsid w:val="00F46724"/>
    <w:rsid w:val="00F57FED"/>
    <w:rsid w:val="00FF3D5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
    </o:shapedefaults>
    <o:shapelayout v:ext="edit">
      <o:idmap v:ext="edit" data="1"/>
    </o:shapelayout>
  </w:shapeDefaults>
  <w:doNotEmbedSmartTags/>
  <w:decimalSymbol w:val=","/>
  <w:listSeparator w:val=";"/>
  <w14:docId w14:val="1FACD4D0"/>
  <w15:chartTrackingRefBased/>
  <w15:docId w15:val="{E41DB515-D1AF-459F-A8E1-205D0538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1651</Words>
  <Characters>9895</Characters>
  <Application>Microsoft Office Word</Application>
  <DocSecurity>0</DocSecurity>
  <Lines>618</Lines>
  <Paragraphs>501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Helena Gašperlin Pertovt</cp:lastModifiedBy>
  <cp:revision>3</cp:revision>
  <cp:lastPrinted>2010-07-05T09:38:00Z</cp:lastPrinted>
  <dcterms:created xsi:type="dcterms:W3CDTF">2023-08-29T12:15:00Z</dcterms:created>
  <dcterms:modified xsi:type="dcterms:W3CDTF">2023-08-29T12:16:00Z</dcterms:modified>
</cp:coreProperties>
</file>