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CF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  <w:bookmarkStart w:id="0" w:name="_GoBack"/>
      <w:bookmarkEnd w:id="0"/>
      <w:r w:rsidRPr="00462FCF">
        <w:rPr>
          <w:rFonts w:cs="Arial"/>
          <w:b/>
          <w:color w:val="000000"/>
          <w:szCs w:val="20"/>
          <w:lang w:val="sl-SI"/>
        </w:rPr>
        <w:t xml:space="preserve">Priloga 1: </w:t>
      </w: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  <w:r w:rsidRPr="00462FCF">
        <w:rPr>
          <w:rFonts w:cs="Arial"/>
          <w:b/>
          <w:color w:val="000000"/>
          <w:szCs w:val="20"/>
          <w:lang w:val="sl-SI"/>
        </w:rPr>
        <w:t>»Priloga 1: Seznam razvojnih ciljev</w:t>
      </w:r>
    </w:p>
    <w:tbl>
      <w:tblPr>
        <w:tblpPr w:leftFromText="141" w:rightFromText="141" w:vertAnchor="page" w:horzAnchor="margin" w:tblpY="1959"/>
        <w:tblW w:w="46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8"/>
        <w:gridCol w:w="1482"/>
      </w:tblGrid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1. Cilji, ki prispevajo h gospodarskemu razvoju kmetijskega gospodarstva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 xml:space="preserve">Naložbeni razvojni cilj </w:t>
            </w:r>
          </w:p>
        </w:tc>
      </w:tr>
      <w:tr w:rsidR="008E7513" w:rsidRPr="00462FCF" w:rsidTr="00387CF4">
        <w:trPr>
          <w:trHeight w:val="132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1. Povečanje obsega kmetijskih zemljišč za najmanj 10 % glede na ha kmetijskih površin ob vložitvi vloge na javni razpis – upošteva se največja upravičena površina (v nadaljnjem besedilu: NUP). Razvojni cilj lahko izberejo upravičenci, ki imajo ob vložitvi vloge na javni razpis najmanj 6 ha kmetijskih površin.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DA, če je povečal obseg kmetijskih zemljišč z nakupom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2. Povečanje obsega živali v reji za najmanj 10 % glede na število GVŽ v reji ob vložitvi vloge na javni razpis. Razvojni cilj lahko izberejo upravičenci, ki imajo ob vložitvi vloge na javni razpis število GVŽ najmanj 15.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DA, če je povečalo število živali v reji z nakupom teh živali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8729FB">
            <w:pPr>
              <w:spacing w:after="24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3. Povečanje obsega čebeljih družin za najmanj 10 % glede na število čebeljih družin v reji ob vložitvi vloge na javni razpis. Razvojni cilj lahko izberejo upravičenci, ki imajo ob vložitvi vloge na javni razpis najmanj 100 čebeljih družin.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DA, če je povečalo število čebeljih družin z nakupom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4. Povečanje proizvodnih kapacitet v živinoreji (novogradnja enostavnih oziroma nezahtevnih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5. Posodobitev proizvodnih kapacitet v živinoreji (manjša rekonstrukcija ali vzdrževanje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6. Posodobitev proizvodnih kapacitet v živinoreji (nakup opreme za objekte).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7. Povečanje proizvodnih kapacitet v rastlinski pridelavi (novogradnja enostavnih oziroma nezahtevnih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6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8729FB">
            <w:pPr>
              <w:spacing w:after="24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8. Posodobitev proizvodnih kapacitet v rastlinski pridelavi (manjša rekonstrukcija ali vzdrževanje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9. Posodobitev proizvodnih kapacitet v rastlinski pridelavi (nakup opreme za objekte).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6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10. Povečanje proizvodnih kapacitet v okviru dopolnilne dejavnosti na kmetiji, katerih končni proizvod je kmetijski proizvod iz Priloge I Pogodbe o delovanju Evropske unije (novogradnja enostavnih in nezahtevnih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9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11. Posodobitev proizvodnih kapacitet v okviru dopolnilne dejavnosti na kmetiji, katerih končni proizvod je kmetijski proizvod iz Priloge I Pogodbe o delovanju Evropske unije (manjša rekonstrukcija ali investicijsko vzdrževanje objektov).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6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12. Nakup opreme v okviru dopolnilne dejavnosti na kmetiji, katerih končni proizvod je kmetijski proizvod iz Priloge I Pogodbe o delovanju Evropske unije (nakup opreme za objekte).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13. Ureditev dvorišč oziroma okolice objektov kmetijskega gospodarstva.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6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8729FB">
            <w:pPr>
              <w:spacing w:after="24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14. Izboljšanje infrastrukture (ureditev cestnih, vodovodnih oziroma energetskih priključkov kmetijskega gospodarstva na javno infrastrukturo).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6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8729FB">
            <w:pPr>
              <w:spacing w:after="24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15. Ureditev trajnih nasadov sadovnjakov, oljčnikov, vinogradov oziroma hmeljišč ter matičnjakov oziroma nasadov trajnih rastlin na njivskih površinah.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277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16. Izvedba zahtevnih agromelioracijskih del.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17. Nakup nove ali rabljene kmetijske mehanizacije in strojne oziroma transportne opreme oziroma opreme za kmetijsko mehanizacijo za varnejše delo na strminah.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18. Preusmeritev ali povečanje proizvodnje v trajne nasade (vlagatelj bo z naložbenim razvojnim ciljem povečal obseg kmetijskih zemljišč, namenjenih trajnim nasadom glede na stanje ob vložitvi vloge na javni razpis).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keepNext/>
              <w:keepLines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19. Preusmeritev ali povečanje proizvodnje v sektorje z nižjo stopnjo samooskrbe (vlagatelj bo z razvojnim ciljem povečal obseg kmetijskih </w:t>
            </w:r>
            <w:r w:rsidRPr="00462FCF">
              <w:rPr>
                <w:rFonts w:cs="Arial"/>
                <w:szCs w:val="20"/>
                <w:lang w:val="sl-SI"/>
              </w:rPr>
              <w:lastRenderedPageBreak/>
              <w:t>zemljišč, namenjenih sektorjem z nižjo stopnjo samooskrbe v rastlinski proizvodnji).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keepNext/>
              <w:keepLines/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lastRenderedPageBreak/>
              <w:t xml:space="preserve">DA, če je povečal obseg </w:t>
            </w:r>
            <w:r w:rsidRPr="00462FCF">
              <w:rPr>
                <w:rFonts w:cs="Arial"/>
                <w:szCs w:val="20"/>
                <w:lang w:val="sl-SI"/>
              </w:rPr>
              <w:lastRenderedPageBreak/>
              <w:t>kmetijskih zemljišč z nakupom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lastRenderedPageBreak/>
              <w:t>20. Preusmeritev ali povečanje proizvodnje v sektorje z nižjo stopnjo samooskrbe (vlagatelj bo z naložbenim razvojnim ciljem povečal število GVŽ ali se preusmeril v sektorje z nižjo stopnjo samooskrbe v živinorejski proizvodnji).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Del="00285381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21. Izvedba nezahtevnih agromelioracij.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2. Cilji, ki prispevajo k doseganju varstva okolja (rabljena kmetijska mehanizacija in oprema ne smeta biti starejši od 10 let)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1. Vključitev v ekološko kmetovanje (velja za kmetijska gospodarstva, ki na novo vstopajo ali so že vključena v ekološko kmetovanje).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2. Vključitev v ukrep oziroma intervencijo kmetijsko-okoljsko-podnebna plačila – KOPOP iz PRP 2014–2020 ali SN SKP (velja za kmetijska gospodarstva, ki na novo vstopajo ali so že vključena v ukrep oziroma intervencijo kmetijsko-okoljsko-podnebna plačila – KOPOP iz PRP 2014–2020 ali SN SKP).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3. Vključitev v intervencijo shema za podnebje in okolje </w:t>
            </w:r>
            <w:r w:rsidRPr="00462FCF">
              <w:rPr>
                <w:rStyle w:val="ui-provider"/>
                <w:rFonts w:cs="Arial"/>
                <w:szCs w:val="20"/>
                <w:lang w:val="sl-SI"/>
              </w:rPr>
              <w:t>–</w:t>
            </w:r>
            <w:r w:rsidRPr="00462FCF">
              <w:rPr>
                <w:rFonts w:cs="Arial"/>
                <w:szCs w:val="20"/>
                <w:lang w:val="sl-SI"/>
              </w:rPr>
              <w:t xml:space="preserve"> SOPO (velja za kmetijska gospodarstva, ki na novo vstopajo ali so že vključena v intervencijo shema za podnebje in okolje – SOPO).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4. Vključitev v ukrep oziroma intervencijo dobrobit živali iz PRP 2014–2020 ali SN SKP (velja za kmetijska gospodarstva, ki na novo vstopajo ali so že vključena v ukrep oziroma intervencijo dobrobit živali iz PRP 2014–2020 ali SN SKP).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5. Nakup nove ali rabljene specialne kmetijske mehanizacije za mehansko zatiranje plevelov in škodljivih organizmov ter specialne kmetijske mehanizacije za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konzervirajočo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obdelavo tal in specialno obdelavo tal.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6. Nakup nove ali rabljene specialne kmetijske mehanizacije za zmanjšanje zanosa FFS, razkuževanje semena oziroma namenjene manjši porabi fitofarmacevtskih sredstev.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7. Nakup nove ali rabljene specialne kmetijske mehanizacije za kmetovanje na strmih terenih (velja za kmetijska gospodarstva, ki imajo najmanj 1 ha kmetijskih površin v strmini nad 35 %).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8. Nakup nove ali rabljene kmetijske mehanizacije oziroma strojne opreme za neposredno aplikacijo gnojil v tla.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9. Nakup nove ali rabljene kmetijske mehanizacije oziroma strojne opreme, namenjene manjši porabi mineralnih gnojil.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10. Ureditev pašnikov in obor za rejo domačih živali ali gojene divjadi ter zaščita pred divjimi zvermi (v obsegu najmanj 1 ha).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11. Zaščita kmetijskih površin pred divjadjo (v obsegu najmanj 1 ha).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12. Ureditev čistilnih oziroma varčevalnih tehnologij za potrebe kmetijskega gospodarstva – ureditev vodohranov.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13. Ureditev čistilnih oziroma varčevalnih tehnologij za potrebe kmetijskega gospodarstva – ureditev bioloških in drugih čistilnih naprav.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14. Učinkovita raba energije (energetska sanacija objektov, namenjenih kmetijski proizvodnji ali dopolnilni dejavnosti, katere končni proizvod je proizvod iz Priloge I Pogodbe o delovanju Evropske unije).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15. Nakup opreme, namenjene učinkoviti rabi energije za ogrevanje objektov, v katerih poteka kmetijska proizvodnja (npr. peči na sekance, toplotne črpalke).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3. Cilji, ki prispevajo k prilagajanju podnebnim spremembam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1. Nakup in postavitev rastlinjakov ali tunelov.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2. Nakup opreme za rastlinjake.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3. Ureditev malih namakalnih ali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oroševalnih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sistemov in nakup namakalne opreme za površino najmanj 0,2 ha.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lastRenderedPageBreak/>
              <w:t>4. Nakup in postavitev mrež proti toči, zaščitne folije proti pokanju in ožigu plodov ali zaščitne mreže proti ptičem v trajnih nasadih ali njivskih površinah.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5. Uvedba vrst ali sort rastlin na njivskih površinah, ki bolje prenašajo pozebo ali sušo.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6. Uvedba ali posodobitev nasadov sadovnjakov s sajenjem sort rastlin, ki bolje prenašajo pozebo ali sušo.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7. Posodobitev hlevov (manjša rekonstrukcija ali vzdrževanje objektov oziroma nakup opreme za objekte) oziroma ureditev pašnikov za dobrobit živali (velja za upravičence, ki ne izberejo cilja vključitev v ukrep oziroma intervencijo dobrobit živali iz PRP 2014–2020 ali SN SKP).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8. Nakup mehanizacije za neposredno aplikacijo gnojil v tla.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9. Ureditev vodnih zbiralnikov oziroma vodohranov za zbiranje meteorne vode.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4. Cilji, ki prispevajo k izboljšanju znanj upravičenca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1. Vključitev v obvezno izobraževanje s področja upravljanja kmetijskega gospodarstva in finančnih spretnosti v okviru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podintervencije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izmenjava znanj in prenos informacij.</w:t>
            </w:r>
            <w:r w:rsidR="00462FCF" w:rsidRPr="00462FCF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2. Vključitev upravičenca v izobraževanje v okviru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podintervencije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izmenjava znanj in prenos informacij.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3. Udeležba na izobraževanjih s področja računalništva, tujih jezikov in povezanih s kmetijsko ali dopolnilno dejavnostjo na kmetijskem gospodarstvu, v skupnem obsegu najmanj 50 ur, kar se dokazuje s certifikati, potrdili ali raznimi drugimi dokazili.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 xml:space="preserve">5. Cilji, ki prispevajo k prilagoditvi standardom EU s področja nitratov in zaščite </w:t>
            </w:r>
            <w:proofErr w:type="spellStart"/>
            <w:r w:rsidRPr="00462FCF">
              <w:rPr>
                <w:rFonts w:cs="Arial"/>
                <w:b/>
                <w:bCs/>
                <w:szCs w:val="20"/>
                <w:lang w:val="sl-SI"/>
              </w:rPr>
              <w:t>rejnih</w:t>
            </w:r>
            <w:proofErr w:type="spellEnd"/>
            <w:r w:rsidRPr="00462FCF">
              <w:rPr>
                <w:rFonts w:cs="Arial"/>
                <w:b/>
                <w:bCs/>
                <w:szCs w:val="20"/>
                <w:lang w:val="sl-SI"/>
              </w:rPr>
              <w:t xml:space="preserve"> živali</w:t>
            </w:r>
            <w:r w:rsidRPr="00462FCF" w:rsidDel="00296505">
              <w:rPr>
                <w:rFonts w:cs="Arial"/>
                <w:b/>
                <w:bCs/>
                <w:szCs w:val="20"/>
                <w:lang w:val="sl-SI"/>
              </w:rPr>
              <w:t xml:space="preserve"> </w:t>
            </w:r>
            <w:r w:rsidRPr="00462FCF">
              <w:rPr>
                <w:rFonts w:cs="Arial"/>
                <w:b/>
                <w:bCs/>
                <w:szCs w:val="20"/>
                <w:lang w:val="sl-SI"/>
              </w:rPr>
              <w:t>iz uredbe, ki ureja pravila pogojenosti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1. Uvedba ali posodobitev objektov za skladiščenje živinskih gnojil oziroma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bioplinske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gnojevke (novogradnja enostavnih oziroma nezahtevnih objektov).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2. Posodobitev hlevov za rejo živali v skladu s pravili pogojenosti – dobrobit telet (manjša rekonstrukcija ali vzdrževanje objektov oziroma nakup opreme za objekte).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3. Posodobitev hlevov za rejo živali v skladu s pravili pogojenosti – dobrobit prašičev (manjša rekonstrukcija ali vzdrževanje objektov oziroma nakup opreme za objekte).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4. Posodobitev hlevov za rejo živali v skladu s pravili pogojenosti – dobrobit ostalih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rejnih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živali (manjša rekonstrukcija ali vzdrževanje objektov oziroma nakup opreme za objekte).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6. Drugi cilji, ki jih izbere upravičenec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1. Vzpostavitev knjigovodstva na ime upravičenca.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2. Nakup informacijsko</w:t>
            </w:r>
            <w:r w:rsidRPr="00462FCF">
              <w:rPr>
                <w:rStyle w:val="ui-provider"/>
                <w:rFonts w:cs="Arial"/>
                <w:szCs w:val="20"/>
                <w:lang w:val="sl-SI"/>
              </w:rPr>
              <w:t>–</w:t>
            </w:r>
            <w:r w:rsidRPr="00462FCF">
              <w:rPr>
                <w:rFonts w:cs="Arial"/>
                <w:szCs w:val="20"/>
                <w:lang w:val="sl-SI"/>
              </w:rPr>
              <w:t>komunikacijske tehnologije (IKT) za potrebe kmetijskega gospodarstva (strojne in programske opreme).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3. Vključitev v sheme kakovosti hrane (velja za kmetijska gospodarstva, ki so že vključena ali na novo vstopajo v sheme kakovosti hrane).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4. Vključitev v skupino ali organizacijo proizvajalcev.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NE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5. Drugi naložbeni cilji, ki so povezani s prenesenim kmetijskim gospodarstvom, ki jih upravičenec navede v poslovnem načrtu in ni novogradnja zahtevnih ali manj zahtevnih objektov.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  <w:tr w:rsidR="008E7513" w:rsidRPr="00462FCF" w:rsidTr="00387CF4">
        <w:trPr>
          <w:trHeight w:val="300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513" w:rsidRPr="00462FCF" w:rsidRDefault="008E7513" w:rsidP="00387CF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6. Poplačilo deležev drugim upravičencem v skladu s pogodbo o prevzemu kmetije.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13" w:rsidRPr="00462FCF" w:rsidRDefault="008E7513" w:rsidP="00387C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DA</w:t>
            </w:r>
          </w:p>
        </w:tc>
      </w:tr>
    </w:tbl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color w:val="000000"/>
          <w:szCs w:val="20"/>
          <w:lang w:val="sl-SI"/>
        </w:rPr>
      </w:pPr>
      <w:r w:rsidRPr="00462FCF">
        <w:rPr>
          <w:rFonts w:cs="Arial"/>
          <w:szCs w:val="20"/>
          <w:lang w:val="sl-SI"/>
        </w:rPr>
        <w:t>«</w:t>
      </w:r>
    </w:p>
    <w:p w:rsidR="008E7513" w:rsidRPr="00462FCF" w:rsidRDefault="008E7513" w:rsidP="008E7513">
      <w:pPr>
        <w:jc w:val="both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  <w:r w:rsidRPr="00462FCF">
        <w:rPr>
          <w:rFonts w:cs="Arial"/>
          <w:szCs w:val="20"/>
          <w:lang w:val="sl-SI"/>
        </w:rPr>
        <w:br w:type="page"/>
      </w:r>
      <w:r w:rsidRPr="00462FCF">
        <w:rPr>
          <w:rFonts w:cs="Arial"/>
          <w:b/>
          <w:color w:val="000000"/>
          <w:szCs w:val="20"/>
          <w:lang w:val="sl-SI"/>
        </w:rPr>
        <w:lastRenderedPageBreak/>
        <w:t>Priloga 2: »Priloga 3: Seznam aktivnosti prenosa znanja s prenosnika na prevzemnika</w:t>
      </w:r>
    </w:p>
    <w:tbl>
      <w:tblPr>
        <w:tblpPr w:leftFromText="141" w:rightFromText="141" w:tblpY="420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4779"/>
      </w:tblGrid>
      <w:tr w:rsidR="008E7513" w:rsidRPr="00462FCF" w:rsidTr="00387CF4">
        <w:trPr>
          <w:trHeight w:val="699"/>
        </w:trPr>
        <w:tc>
          <w:tcPr>
            <w:tcW w:w="3013" w:type="dxa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Skupina aktivnosti</w:t>
            </w: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462FCF">
              <w:rPr>
                <w:rFonts w:cs="Arial"/>
                <w:b/>
                <w:bCs/>
                <w:szCs w:val="20"/>
                <w:lang w:val="sl-SI"/>
              </w:rPr>
              <w:t>Podskupina aktivnosti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 w:val="restart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</w:p>
          <w:p w:rsidR="008E7513" w:rsidRPr="00462FCF" w:rsidRDefault="008E7513" w:rsidP="00387CF4">
            <w:pPr>
              <w:pStyle w:val="tevilnatoka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sl-SI" w:eastAsia="sl-SI"/>
              </w:rPr>
            </w:pPr>
            <w:r w:rsidRPr="00462FCF">
              <w:rPr>
                <w:rFonts w:cs="Arial"/>
                <w:sz w:val="20"/>
                <w:szCs w:val="20"/>
                <w:lang w:val="sl-SI" w:eastAsia="sl-SI"/>
              </w:rPr>
              <w:t>1. Skupina aktivnosti, ki izhajajo iz intervencij na podlagi zadnje vložene zbirne vloge prevzemnika, vključno s praktičnimi prikazi in napotki za varnost pri delu</w:t>
            </w:r>
          </w:p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dobrobit živali (DŽ)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ekološko kmetovanje (EK)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kmetijsko-okoljska-podnebna plačila (KOPOP)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območja z naravnimi ali drugimi posebnimi omejitvami (OMD)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sheme neposrednih plačil (NP)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osnovna dohodkovna podpora za trajnost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 xml:space="preserve">Podskupina aktivnosti, ki so povezane z intervencijo dopolnilna </w:t>
            </w:r>
            <w:proofErr w:type="spellStart"/>
            <w:r w:rsidRPr="00462FCF">
              <w:rPr>
                <w:rFonts w:cs="Arial"/>
                <w:szCs w:val="20"/>
                <w:lang w:val="sl-SI"/>
              </w:rPr>
              <w:t>prerazporeditvena</w:t>
            </w:r>
            <w:proofErr w:type="spellEnd"/>
            <w:r w:rsidRPr="00462FCF">
              <w:rPr>
                <w:rFonts w:cs="Arial"/>
                <w:szCs w:val="20"/>
                <w:lang w:val="sl-SI"/>
              </w:rPr>
              <w:t xml:space="preserve"> dohodkovna podpora za trajnost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vezana dohodkovna podpora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sheme za podnebje in okolje (SOPO)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INP09 – dopolnilna dohodkovna podpora za mlade kmete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kmetijsko-okoljsko-podnebna plačila-podnebne spremembe (KOPOP_PS)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kmetijsko-okoljsko-podnebna plačila-naravni viri (KOPOP_NV)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kmetijsko-okoljsko-podnebna plačila-biotska raznovrstnost in krajina (KOPOP_BK)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ekološko čebelarjenje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lokalne pasme in sorte (LOPS)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intervencijo biotično varstvo rastlin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s kmetovanjem na območju Natura 2000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zahtevami navzkrižne skladnosti s področjem okolje, podnebne spremembe, dobro kmetijsko stanje zemljišč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zahtevami navzkrižne skladnosti s področjem javno zdravje, zdravje živali in rastlin</w:t>
            </w: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z zahtevami navzkrižne skladnosti s področjem dobrobit živali</w:t>
            </w:r>
          </w:p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515"/>
        </w:trPr>
        <w:tc>
          <w:tcPr>
            <w:tcW w:w="3013" w:type="dxa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</w:p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Cs/>
                <w:iCs/>
                <w:szCs w:val="20"/>
                <w:lang w:val="sl-SI"/>
              </w:rPr>
              <w:t>2. Skupina trženjskih aktivnosti</w:t>
            </w: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s trženjskimi aktivnostmi</w:t>
            </w:r>
          </w:p>
        </w:tc>
      </w:tr>
      <w:tr w:rsidR="008E7513" w:rsidRPr="00462FCF" w:rsidTr="00387CF4">
        <w:trPr>
          <w:trHeight w:val="601"/>
        </w:trPr>
        <w:tc>
          <w:tcPr>
            <w:tcW w:w="3013" w:type="dxa"/>
            <w:vMerge w:val="restart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</w:p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Cs/>
                <w:iCs/>
                <w:szCs w:val="20"/>
                <w:lang w:val="sl-SI"/>
              </w:rPr>
              <w:t xml:space="preserve">3. Skupina podpornih aktivnosti v povezavi z izvajanjem poslovnega načrta iz 8. člena </w:t>
            </w:r>
            <w:r w:rsidR="00913D18">
              <w:rPr>
                <w:rFonts w:cs="Arial"/>
                <w:bCs/>
                <w:iCs/>
                <w:szCs w:val="20"/>
                <w:lang w:val="sl-SI"/>
              </w:rPr>
              <w:t>te uredbe</w:t>
            </w: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h gospodarskemu razvoju kmetijskega gospodarstva</w:t>
            </w:r>
          </w:p>
        </w:tc>
      </w:tr>
      <w:tr w:rsidR="008E7513" w:rsidRPr="00462FCF" w:rsidTr="00387CF4">
        <w:trPr>
          <w:trHeight w:val="792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doseganju varstva okolja (mehanizacija oziroma oprema ne smeta biti starejši od 10 let)</w:t>
            </w:r>
          </w:p>
        </w:tc>
      </w:tr>
      <w:tr w:rsidR="008E7513" w:rsidRPr="00462FCF" w:rsidTr="00387CF4">
        <w:trPr>
          <w:trHeight w:val="52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prilagajanju podnebnim spremembam</w:t>
            </w:r>
          </w:p>
        </w:tc>
      </w:tr>
      <w:tr w:rsidR="008E7513" w:rsidRPr="00462FCF" w:rsidTr="00387CF4">
        <w:trPr>
          <w:trHeight w:val="784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izboljšanju znanj s področja upravljanja kmetijskega gospodarstva in finančnih spretnosti</w:t>
            </w:r>
          </w:p>
        </w:tc>
      </w:tr>
      <w:tr w:rsidR="008E7513" w:rsidRPr="00462FCF" w:rsidTr="00387CF4">
        <w:trPr>
          <w:trHeight w:val="1262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prilagoditvi na standarde EU, če KMG še ne izpolnjuje pogojev pogojenosti (cilj lahko izbere KMG, ki v skladu s predpisom, ki ureja pogojenost, prilagaja KMG na zahteve pogojenosti)</w:t>
            </w:r>
          </w:p>
        </w:tc>
      </w:tr>
      <w:tr w:rsidR="008E7513" w:rsidRPr="00462FCF" w:rsidTr="00387CF4">
        <w:trPr>
          <w:trHeight w:val="525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  <w:tcBorders>
              <w:bottom w:val="single" w:sz="4" w:space="0" w:color="000000"/>
            </w:tcBorders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izvedbi drugih ciljev, ki jih izbere upravičenec</w:t>
            </w:r>
          </w:p>
        </w:tc>
      </w:tr>
      <w:tr w:rsidR="008E7513" w:rsidRPr="00462FCF" w:rsidTr="00387CF4">
        <w:trPr>
          <w:trHeight w:val="988"/>
        </w:trPr>
        <w:tc>
          <w:tcPr>
            <w:tcW w:w="3013" w:type="dxa"/>
            <w:vMerge w:val="restart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</w:p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bCs/>
                <w:iCs/>
                <w:szCs w:val="20"/>
                <w:lang w:val="sl-SI"/>
              </w:rPr>
              <w:t>4. Skupina praktičnih napotkov za reševanje specifičnih problemov in administrativne aktivnosti v okviru kmetijske dejavnosti</w:t>
            </w:r>
          </w:p>
        </w:tc>
        <w:tc>
          <w:tcPr>
            <w:tcW w:w="4779" w:type="dxa"/>
            <w:tcBorders>
              <w:bottom w:val="nil"/>
            </w:tcBorders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so povezane s praktičnimi napotki za reševanje specifičnih problemov in administrativne aktivnosti v okviru kmetijske dejavnosti</w:t>
            </w:r>
          </w:p>
        </w:tc>
      </w:tr>
      <w:tr w:rsidR="008E7513" w:rsidRPr="00462FCF" w:rsidTr="00387CF4">
        <w:trPr>
          <w:trHeight w:val="422"/>
        </w:trPr>
        <w:tc>
          <w:tcPr>
            <w:tcW w:w="3013" w:type="dxa"/>
            <w:vMerge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779" w:type="dxa"/>
            <w:tcBorders>
              <w:top w:val="nil"/>
            </w:tcBorders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8E7513" w:rsidRPr="00462FCF" w:rsidTr="00387CF4">
        <w:trPr>
          <w:trHeight w:val="1040"/>
        </w:trPr>
        <w:tc>
          <w:tcPr>
            <w:tcW w:w="3013" w:type="dxa"/>
          </w:tcPr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b/>
                <w:bCs/>
                <w:i/>
                <w:iCs/>
                <w:szCs w:val="20"/>
                <w:lang w:val="sl-SI"/>
              </w:rPr>
            </w:pPr>
          </w:p>
          <w:p w:rsidR="008E7513" w:rsidRPr="00462FCF" w:rsidRDefault="008E7513" w:rsidP="00387CF4">
            <w:pPr>
              <w:widowControl w:val="0"/>
              <w:spacing w:line="240" w:lineRule="auto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5. Skupina aktivnosti, ki prispevajo k socialni vključenosti in povezanosti obeh generacij</w:t>
            </w:r>
          </w:p>
        </w:tc>
        <w:tc>
          <w:tcPr>
            <w:tcW w:w="4779" w:type="dxa"/>
          </w:tcPr>
          <w:p w:rsidR="008E7513" w:rsidRPr="00462FCF" w:rsidRDefault="008E7513" w:rsidP="00387CF4">
            <w:pPr>
              <w:widowControl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462FCF">
              <w:rPr>
                <w:rFonts w:cs="Arial"/>
                <w:szCs w:val="20"/>
                <w:lang w:val="sl-SI"/>
              </w:rPr>
              <w:t>Podskupina aktivnosti, ki prispevajo k socialni vključenosti in povezanosti generacij</w:t>
            </w:r>
          </w:p>
        </w:tc>
      </w:tr>
    </w:tbl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highlight w:val="yellow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color w:val="000000"/>
          <w:szCs w:val="20"/>
          <w:lang w:val="sl-SI"/>
        </w:rPr>
      </w:pPr>
      <w:r w:rsidRPr="00462FCF">
        <w:rPr>
          <w:rFonts w:cs="Arial"/>
          <w:szCs w:val="20"/>
          <w:lang w:val="sl-SI"/>
        </w:rPr>
        <w:t>«</w:t>
      </w: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tabs>
          <w:tab w:val="left" w:pos="708"/>
        </w:tabs>
        <w:spacing w:line="240" w:lineRule="auto"/>
        <w:jc w:val="right"/>
        <w:rPr>
          <w:rFonts w:cs="Arial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8E7513" w:rsidRPr="00462FCF" w:rsidRDefault="008E7513" w:rsidP="008E7513">
      <w:pPr>
        <w:jc w:val="both"/>
        <w:rPr>
          <w:rFonts w:cs="Arial"/>
          <w:b/>
          <w:color w:val="000000"/>
          <w:szCs w:val="20"/>
          <w:lang w:val="sl-SI"/>
        </w:rPr>
      </w:pPr>
    </w:p>
    <w:p w:rsidR="00AA1D20" w:rsidRPr="00462FCF" w:rsidRDefault="00AA1D20">
      <w:pPr>
        <w:rPr>
          <w:rFonts w:cs="Arial"/>
          <w:szCs w:val="20"/>
          <w:lang w:val="sl-SI"/>
        </w:rPr>
      </w:pPr>
    </w:p>
    <w:sectPr w:rsidR="00AA1D20" w:rsidRPr="00462FCF" w:rsidSect="00D0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57F3C"/>
    <w:multiLevelType w:val="multilevel"/>
    <w:tmpl w:val="8092E61E"/>
    <w:lvl w:ilvl="0">
      <w:start w:val="1"/>
      <w:numFmt w:val="decimal"/>
      <w:pStyle w:val="tevilnatoka"/>
      <w:lvlText w:val="%1.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13"/>
    <w:rsid w:val="00462FCF"/>
    <w:rsid w:val="008729FB"/>
    <w:rsid w:val="008E7513"/>
    <w:rsid w:val="00913D18"/>
    <w:rsid w:val="00AA1D20"/>
    <w:rsid w:val="00B15B74"/>
    <w:rsid w:val="00D020BD"/>
    <w:rsid w:val="00D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DC8B4-FCBC-465C-BA15-BFA9BEF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751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vilnatoka111">
    <w:name w:val="Številčna točka 1.1.1"/>
    <w:basedOn w:val="Navaden"/>
    <w:qFormat/>
    <w:rsid w:val="008E7513"/>
    <w:pPr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val="sl-SI" w:eastAsia="sl-SI"/>
    </w:rPr>
  </w:style>
  <w:style w:type="paragraph" w:customStyle="1" w:styleId="tevilnatoka">
    <w:name w:val="Številčna točka"/>
    <w:basedOn w:val="Navaden"/>
    <w:link w:val="tevilnatokaZnak"/>
    <w:qFormat/>
    <w:rsid w:val="008E7513"/>
    <w:pPr>
      <w:numPr>
        <w:numId w:val="1"/>
      </w:numPr>
      <w:spacing w:line="240" w:lineRule="auto"/>
      <w:jc w:val="both"/>
    </w:pPr>
    <w:rPr>
      <w:sz w:val="22"/>
      <w:szCs w:val="22"/>
    </w:rPr>
  </w:style>
  <w:style w:type="character" w:customStyle="1" w:styleId="tevilnatokaZnak">
    <w:name w:val="Številčna točka Znak"/>
    <w:link w:val="tevilnatoka"/>
    <w:rsid w:val="008E7513"/>
    <w:rPr>
      <w:rFonts w:ascii="Arial" w:eastAsia="Times New Roman" w:hAnsi="Arial" w:cs="Times New Roman"/>
    </w:rPr>
  </w:style>
  <w:style w:type="paragraph" w:customStyle="1" w:styleId="tevilnatoka11Nova">
    <w:name w:val="Številčna točka 1.1 Nova"/>
    <w:basedOn w:val="tevilnatoka"/>
    <w:qFormat/>
    <w:rsid w:val="008E7513"/>
    <w:pPr>
      <w:numPr>
        <w:ilvl w:val="1"/>
      </w:numPr>
      <w:tabs>
        <w:tab w:val="clear" w:pos="425"/>
        <w:tab w:val="num" w:pos="360"/>
        <w:tab w:val="num" w:pos="1800"/>
      </w:tabs>
      <w:ind w:left="1440" w:hanging="360"/>
    </w:pPr>
  </w:style>
  <w:style w:type="character" w:customStyle="1" w:styleId="ui-provider">
    <w:name w:val="ui-provider"/>
    <w:basedOn w:val="Privzetapisavaodstavka"/>
    <w:rsid w:val="008E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2C68EC-828E-4BD7-B88F-7B1D2728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2024-02-07T10:15:00Z</dcterms:created>
  <dcterms:modified xsi:type="dcterms:W3CDTF">2024-02-07T10:17:00Z</dcterms:modified>
</cp:coreProperties>
</file>