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3636EA">
      <w:pPr>
        <w:pStyle w:val="datumtevilka"/>
        <w:rPr>
          <w:rFonts w:cs="Arial"/>
          <w:color w:val="000000"/>
        </w:rPr>
      </w:pPr>
    </w:p>
    <w:p w:rsidR="003636EA" w:rsidRDefault="003636EA" w:rsidP="003636EA">
      <w:pPr>
        <w:pStyle w:val="datumtevilka"/>
        <w:rPr>
          <w:rFonts w:cs="Arial"/>
          <w:color w:val="000000"/>
        </w:rPr>
      </w:pPr>
    </w:p>
    <w:p w:rsidR="003636EA" w:rsidRPr="002760DC" w:rsidRDefault="003636EA" w:rsidP="00F46C2D">
      <w:pPr>
        <w:pStyle w:val="datumtevilka"/>
      </w:pPr>
    </w:p>
    <w:p w:rsidR="003636EA" w:rsidRPr="002760DC" w:rsidRDefault="003636EA" w:rsidP="00F46C2D">
      <w:pPr>
        <w:pStyle w:val="datumtevilka"/>
      </w:pPr>
      <w:r w:rsidRPr="002760DC">
        <w:t xml:space="preserve">Številka: </w:t>
      </w:r>
      <w:r w:rsidRPr="002760DC">
        <w:tab/>
      </w:r>
      <w:r w:rsidR="007A261B">
        <w:rPr>
          <w:rFonts w:cs="Arial"/>
          <w:color w:val="000000"/>
        </w:rPr>
        <w:t>35100-1/2023/14</w:t>
      </w:r>
    </w:p>
    <w:p w:rsidR="003636EA" w:rsidRPr="002760DC" w:rsidRDefault="003636EA" w:rsidP="00F46C2D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7A261B">
        <w:rPr>
          <w:rFonts w:cs="Arial"/>
          <w:color w:val="000000"/>
        </w:rPr>
        <w:t>8. 5. 2025</w:t>
      </w:r>
      <w:r w:rsidRPr="002760DC">
        <w:t xml:space="preserve"> </w:t>
      </w:r>
    </w:p>
    <w:p w:rsidR="003636EA" w:rsidRPr="002760DC" w:rsidRDefault="003636EA" w:rsidP="00F46C2D"/>
    <w:p w:rsidR="003636EA" w:rsidRDefault="003636EA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4C2F86" w:rsidRPr="004C2F86" w:rsidRDefault="004C2F86" w:rsidP="004C2F86">
      <w:pPr>
        <w:autoSpaceDE w:val="0"/>
        <w:contextualSpacing/>
        <w:jc w:val="center"/>
        <w:rPr>
          <w:rFonts w:cs="Arial"/>
          <w:b/>
          <w:bCs/>
          <w:iCs/>
          <w:szCs w:val="20"/>
        </w:rPr>
      </w:pPr>
      <w:r w:rsidRPr="00D63A44">
        <w:rPr>
          <w:rFonts w:cs="Arial"/>
          <w:b/>
          <w:bCs/>
          <w:iCs/>
          <w:szCs w:val="20"/>
        </w:rPr>
        <w:t>SEZNAM STAVB OSEB JAVNEGA SEKTORJA, PRIMERNIH ZA ENERGETSKO PRENOV</w:t>
      </w:r>
      <w:r>
        <w:rPr>
          <w:rFonts w:cs="Arial"/>
          <w:b/>
          <w:bCs/>
          <w:iCs/>
          <w:szCs w:val="20"/>
        </w:rPr>
        <w:t>O,</w:t>
      </w:r>
      <w:r w:rsidRPr="00D63A44">
        <w:rPr>
          <w:rFonts w:cs="Arial"/>
          <w:b/>
          <w:bCs/>
          <w:iCs/>
          <w:szCs w:val="20"/>
        </w:rPr>
        <w:t xml:space="preserve"> </w:t>
      </w:r>
    </w:p>
    <w:p w:rsidR="004C2F86" w:rsidRPr="00D63A44" w:rsidRDefault="004C2F86" w:rsidP="004C2F86">
      <w:pPr>
        <w:autoSpaceDE w:val="0"/>
        <w:contextualSpacing/>
        <w:jc w:val="center"/>
        <w:rPr>
          <w:rFonts w:cs="Arial"/>
          <w:b/>
          <w:bCs/>
          <w:iCs/>
        </w:rPr>
      </w:pPr>
      <w:r w:rsidRPr="00D63A44">
        <w:rPr>
          <w:rFonts w:cs="Arial"/>
          <w:b/>
          <w:bCs/>
          <w:iCs/>
          <w:szCs w:val="20"/>
        </w:rPr>
        <w:t>IN GRADITEV NOVIH SKORAJ NIČ</w:t>
      </w:r>
      <w:r>
        <w:rPr>
          <w:rFonts w:cs="Arial"/>
          <w:b/>
          <w:bCs/>
          <w:iCs/>
          <w:szCs w:val="20"/>
        </w:rPr>
        <w:t>-</w:t>
      </w:r>
      <w:r w:rsidRPr="00D63A44">
        <w:rPr>
          <w:rFonts w:cs="Arial"/>
          <w:b/>
          <w:bCs/>
          <w:iCs/>
          <w:szCs w:val="20"/>
        </w:rPr>
        <w:t>ENERGIJSKIH STAVB</w:t>
      </w:r>
    </w:p>
    <w:p w:rsidR="004C2F86" w:rsidRDefault="004C2F86" w:rsidP="004C2F86">
      <w:pPr>
        <w:autoSpaceDE w:val="0"/>
        <w:jc w:val="both"/>
        <w:rPr>
          <w:iCs/>
          <w:snapToGrid w:val="0"/>
          <w:szCs w:val="20"/>
          <w:lang w:eastAsia="sl-SI"/>
        </w:rPr>
      </w:pPr>
    </w:p>
    <w:p w:rsidR="004C2F86" w:rsidRDefault="004C2F86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</w:p>
    <w:p w:rsidR="004C2F86" w:rsidRDefault="004C2F86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 xml:space="preserve">V seznam </w:t>
      </w:r>
      <w:r>
        <w:rPr>
          <w:iCs/>
          <w:snapToGrid w:val="0"/>
          <w:szCs w:val="20"/>
          <w:lang w:eastAsia="sl-SI"/>
        </w:rPr>
        <w:t xml:space="preserve">primernih stavb </w:t>
      </w:r>
      <w:r w:rsidRPr="00BB1953">
        <w:rPr>
          <w:iCs/>
          <w:snapToGrid w:val="0"/>
          <w:szCs w:val="20"/>
          <w:lang w:eastAsia="sl-SI"/>
        </w:rPr>
        <w:t xml:space="preserve">za prenovo in graditev so vključene javne stavbe </w:t>
      </w:r>
      <w:r>
        <w:rPr>
          <w:iCs/>
          <w:snapToGrid w:val="0"/>
          <w:szCs w:val="20"/>
          <w:lang w:eastAsia="sl-SI"/>
        </w:rPr>
        <w:t>9</w:t>
      </w:r>
      <w:r w:rsidRPr="00BB1953">
        <w:rPr>
          <w:iCs/>
          <w:snapToGrid w:val="0"/>
          <w:szCs w:val="20"/>
          <w:lang w:eastAsia="sl-SI"/>
        </w:rPr>
        <w:t xml:space="preserve"> ministrstev, in sicer gre za </w:t>
      </w:r>
      <w:r>
        <w:rPr>
          <w:iCs/>
          <w:snapToGrid w:val="0"/>
          <w:szCs w:val="20"/>
          <w:lang w:eastAsia="sl-SI"/>
        </w:rPr>
        <w:t>92</w:t>
      </w:r>
      <w:r w:rsidRPr="00BB1953">
        <w:rPr>
          <w:iCs/>
          <w:snapToGrid w:val="0"/>
          <w:szCs w:val="20"/>
          <w:lang w:eastAsia="sl-SI"/>
        </w:rPr>
        <w:t xml:space="preserve"> projektov, ki vključujejo prenovo ali graditev </w:t>
      </w:r>
      <w:r>
        <w:rPr>
          <w:iCs/>
          <w:snapToGrid w:val="0"/>
          <w:szCs w:val="20"/>
          <w:lang w:eastAsia="sl-SI"/>
        </w:rPr>
        <w:t>124</w:t>
      </w:r>
      <w:r w:rsidRPr="00BB1953">
        <w:rPr>
          <w:iCs/>
          <w:snapToGrid w:val="0"/>
          <w:szCs w:val="20"/>
          <w:lang w:eastAsia="sl-SI"/>
        </w:rPr>
        <w:t xml:space="preserve"> stavb, s skupno površino </w:t>
      </w:r>
      <w:r>
        <w:rPr>
          <w:iCs/>
          <w:snapToGrid w:val="0"/>
          <w:szCs w:val="20"/>
          <w:lang w:eastAsia="sl-SI"/>
        </w:rPr>
        <w:br/>
      </w:r>
      <w:r>
        <w:rPr>
          <w:iCs/>
          <w:snapToGrid w:val="0"/>
          <w:szCs w:val="20"/>
          <w:lang w:eastAsia="sl-SI"/>
        </w:rPr>
        <w:t>449.805,58</w:t>
      </w:r>
      <w:r w:rsidRPr="00BB1953">
        <w:rPr>
          <w:iCs/>
          <w:snapToGrid w:val="0"/>
          <w:szCs w:val="20"/>
          <w:lang w:eastAsia="sl-SI"/>
        </w:rPr>
        <w:t xml:space="preserve"> 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 xml:space="preserve"> (Tabela)</w:t>
      </w:r>
      <w:r>
        <w:rPr>
          <w:iCs/>
          <w:snapToGrid w:val="0"/>
          <w:szCs w:val="20"/>
          <w:lang w:eastAsia="sl-SI"/>
        </w:rPr>
        <w:t>.</w:t>
      </w:r>
    </w:p>
    <w:p w:rsidR="004C2F86" w:rsidRPr="00BB1953" w:rsidRDefault="004C2F86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</w:p>
    <w:p w:rsidR="004C2F86" w:rsidRPr="00BB1953" w:rsidRDefault="004C2F86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 xml:space="preserve">Podatki posredovani s strani ministrstev leta 2025 so naslednji: </w:t>
      </w:r>
    </w:p>
    <w:p w:rsidR="004C2F86" w:rsidRPr="00F66F6A" w:rsidRDefault="004C2F86" w:rsidP="004C2F86">
      <w:pPr>
        <w:pStyle w:val="Odstavekseznama"/>
        <w:numPr>
          <w:ilvl w:val="0"/>
          <w:numId w:val="6"/>
        </w:numPr>
        <w:suppressAutoHyphens/>
        <w:autoSpaceDE w:val="0"/>
        <w:ind w:left="714" w:hanging="714"/>
        <w:contextualSpacing w:val="0"/>
        <w:jc w:val="both"/>
        <w:rPr>
          <w:iCs/>
          <w:snapToGrid w:val="0"/>
          <w:szCs w:val="20"/>
          <w:lang w:eastAsia="sl-SI"/>
        </w:rPr>
      </w:pPr>
      <w:r w:rsidRPr="00F66F6A">
        <w:rPr>
          <w:iCs/>
          <w:snapToGrid w:val="0"/>
          <w:szCs w:val="20"/>
          <w:lang w:eastAsia="sl-SI"/>
        </w:rPr>
        <w:t>Ministrstvo za notranje zadeve</w:t>
      </w:r>
      <w:r>
        <w:rPr>
          <w:iCs/>
          <w:snapToGrid w:val="0"/>
          <w:szCs w:val="20"/>
          <w:lang w:eastAsia="sl-SI"/>
        </w:rPr>
        <w:t xml:space="preserve"> (v nadaljnjem besedilu:</w:t>
      </w:r>
      <w:r w:rsidRPr="00F66F6A">
        <w:rPr>
          <w:iCs/>
          <w:snapToGrid w:val="0"/>
          <w:szCs w:val="20"/>
          <w:lang w:eastAsia="sl-SI"/>
        </w:rPr>
        <w:t xml:space="preserve"> MNZ</w:t>
      </w:r>
      <w:r>
        <w:rPr>
          <w:iCs/>
          <w:snapToGrid w:val="0"/>
          <w:szCs w:val="20"/>
          <w:lang w:eastAsia="sl-SI"/>
        </w:rPr>
        <w:t>) (7</w:t>
      </w:r>
      <w:r w:rsidRPr="00F66F6A">
        <w:rPr>
          <w:iCs/>
          <w:snapToGrid w:val="0"/>
          <w:szCs w:val="20"/>
          <w:lang w:eastAsia="sl-SI"/>
        </w:rPr>
        <w:t xml:space="preserve"> projektov, </w:t>
      </w:r>
      <w:r>
        <w:rPr>
          <w:iCs/>
          <w:snapToGrid w:val="0"/>
          <w:szCs w:val="20"/>
          <w:lang w:eastAsia="sl-SI"/>
        </w:rPr>
        <w:t xml:space="preserve">15 </w:t>
      </w:r>
      <w:r w:rsidRPr="00F66F6A">
        <w:rPr>
          <w:iCs/>
          <w:snapToGrid w:val="0"/>
          <w:szCs w:val="20"/>
          <w:lang w:eastAsia="sl-SI"/>
        </w:rPr>
        <w:t xml:space="preserve">stavb, s površino </w:t>
      </w:r>
      <w:r w:rsidRPr="00EB7AF9">
        <w:rPr>
          <w:iCs/>
          <w:snapToGrid w:val="0"/>
          <w:szCs w:val="20"/>
          <w:lang w:eastAsia="sl-SI"/>
        </w:rPr>
        <w:t>47.354,14</w:t>
      </w:r>
      <w:r w:rsidRPr="00F66F6A">
        <w:rPr>
          <w:iCs/>
          <w:snapToGrid w:val="0"/>
          <w:szCs w:val="20"/>
          <w:lang w:eastAsia="sl-SI"/>
        </w:rPr>
        <w:t xml:space="preserve"> m</w:t>
      </w:r>
      <w:r w:rsidRPr="00F66F6A">
        <w:rPr>
          <w:iCs/>
          <w:snapToGrid w:val="0"/>
          <w:szCs w:val="20"/>
          <w:vertAlign w:val="superscript"/>
          <w:lang w:eastAsia="sl-SI"/>
        </w:rPr>
        <w:t>2</w:t>
      </w:r>
      <w:r w:rsidRPr="00F66F6A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:rsidR="004C2F86" w:rsidRPr="00F66F6A" w:rsidRDefault="004C2F86" w:rsidP="004C2F86">
      <w:pPr>
        <w:pStyle w:val="Odstavekseznama"/>
        <w:numPr>
          <w:ilvl w:val="0"/>
          <w:numId w:val="6"/>
        </w:numPr>
        <w:suppressAutoHyphens/>
        <w:autoSpaceDE w:val="0"/>
        <w:ind w:hanging="714"/>
        <w:contextualSpacing w:val="0"/>
        <w:jc w:val="both"/>
        <w:rPr>
          <w:iCs/>
          <w:snapToGrid w:val="0"/>
          <w:szCs w:val="20"/>
          <w:lang w:eastAsia="sl-SI"/>
        </w:rPr>
      </w:pPr>
      <w:r w:rsidRPr="00F66F6A">
        <w:rPr>
          <w:iCs/>
          <w:snapToGrid w:val="0"/>
          <w:szCs w:val="20"/>
          <w:lang w:eastAsia="sl-SI"/>
        </w:rPr>
        <w:t xml:space="preserve">Ministrstvo za obrambo </w:t>
      </w:r>
      <w:r w:rsidRPr="007474C1">
        <w:rPr>
          <w:iCs/>
          <w:snapToGrid w:val="0"/>
          <w:szCs w:val="20"/>
          <w:lang w:eastAsia="sl-SI"/>
        </w:rPr>
        <w:t xml:space="preserve">(v nadaljnjem besedilu: </w:t>
      </w:r>
      <w:r w:rsidRPr="00F66F6A">
        <w:rPr>
          <w:iCs/>
          <w:snapToGrid w:val="0"/>
          <w:szCs w:val="20"/>
          <w:lang w:eastAsia="sl-SI"/>
        </w:rPr>
        <w:t>MORS</w:t>
      </w:r>
      <w:r>
        <w:rPr>
          <w:iCs/>
          <w:snapToGrid w:val="0"/>
          <w:szCs w:val="20"/>
          <w:lang w:eastAsia="sl-SI"/>
        </w:rPr>
        <w:t>)</w:t>
      </w:r>
      <w:r w:rsidRPr="00F66F6A">
        <w:rPr>
          <w:iCs/>
          <w:snapToGrid w:val="0"/>
          <w:szCs w:val="20"/>
          <w:lang w:eastAsia="sl-SI"/>
        </w:rPr>
        <w:t xml:space="preserve"> (</w:t>
      </w:r>
      <w:r>
        <w:rPr>
          <w:iCs/>
          <w:snapToGrid w:val="0"/>
          <w:szCs w:val="20"/>
          <w:lang w:eastAsia="sl-SI"/>
        </w:rPr>
        <w:t xml:space="preserve">15 </w:t>
      </w:r>
      <w:r w:rsidRPr="00F66F6A">
        <w:rPr>
          <w:iCs/>
          <w:snapToGrid w:val="0"/>
          <w:szCs w:val="20"/>
          <w:lang w:eastAsia="sl-SI"/>
        </w:rPr>
        <w:t xml:space="preserve">projektov, </w:t>
      </w:r>
      <w:r>
        <w:rPr>
          <w:iCs/>
          <w:snapToGrid w:val="0"/>
          <w:szCs w:val="20"/>
          <w:lang w:eastAsia="sl-SI"/>
        </w:rPr>
        <w:t xml:space="preserve">15 </w:t>
      </w:r>
      <w:r w:rsidRPr="00F66F6A">
        <w:rPr>
          <w:iCs/>
          <w:snapToGrid w:val="0"/>
          <w:szCs w:val="20"/>
          <w:lang w:eastAsia="sl-SI"/>
        </w:rPr>
        <w:t xml:space="preserve">stavb, s površino </w:t>
      </w:r>
      <w:r w:rsidRPr="00EB7AF9">
        <w:rPr>
          <w:iCs/>
          <w:snapToGrid w:val="0"/>
          <w:szCs w:val="20"/>
          <w:lang w:eastAsia="sl-SI"/>
        </w:rPr>
        <w:t>23.075,00</w:t>
      </w:r>
      <w:r>
        <w:rPr>
          <w:iCs/>
          <w:snapToGrid w:val="0"/>
          <w:szCs w:val="20"/>
          <w:lang w:eastAsia="sl-SI"/>
        </w:rPr>
        <w:t xml:space="preserve"> </w:t>
      </w:r>
      <w:r w:rsidRPr="00F66F6A">
        <w:rPr>
          <w:iCs/>
          <w:snapToGrid w:val="0"/>
          <w:szCs w:val="20"/>
          <w:lang w:eastAsia="sl-SI"/>
        </w:rPr>
        <w:t>m</w:t>
      </w:r>
      <w:r w:rsidRPr="00F66F6A">
        <w:rPr>
          <w:iCs/>
          <w:snapToGrid w:val="0"/>
          <w:szCs w:val="20"/>
          <w:vertAlign w:val="superscript"/>
          <w:lang w:eastAsia="sl-SI"/>
        </w:rPr>
        <w:t>2</w:t>
      </w:r>
      <w:r w:rsidRPr="00F66F6A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:rsidR="004C2F86" w:rsidRPr="00CD4C7C" w:rsidRDefault="004C2F86" w:rsidP="004C2F86">
      <w:pPr>
        <w:pStyle w:val="Odstavekseznama"/>
        <w:numPr>
          <w:ilvl w:val="0"/>
          <w:numId w:val="6"/>
        </w:numPr>
        <w:suppressAutoHyphens/>
        <w:autoSpaceDE w:val="0"/>
        <w:ind w:hanging="714"/>
        <w:contextualSpacing w:val="0"/>
        <w:jc w:val="both"/>
        <w:rPr>
          <w:iCs/>
          <w:snapToGrid w:val="0"/>
          <w:szCs w:val="20"/>
          <w:lang w:eastAsia="sl-SI"/>
        </w:rPr>
      </w:pPr>
      <w:r w:rsidRPr="00CD4C7C">
        <w:rPr>
          <w:iCs/>
          <w:snapToGrid w:val="0"/>
          <w:szCs w:val="20"/>
          <w:lang w:eastAsia="sl-SI"/>
        </w:rPr>
        <w:t xml:space="preserve">Ministrstvo za zdravje </w:t>
      </w:r>
      <w:r w:rsidRPr="007474C1">
        <w:rPr>
          <w:iCs/>
          <w:snapToGrid w:val="0"/>
          <w:szCs w:val="20"/>
          <w:lang w:eastAsia="sl-SI"/>
        </w:rPr>
        <w:t xml:space="preserve">(v nadaljnjem besedilu: </w:t>
      </w:r>
      <w:r w:rsidRPr="00CD4C7C">
        <w:rPr>
          <w:iCs/>
          <w:snapToGrid w:val="0"/>
          <w:szCs w:val="20"/>
          <w:lang w:eastAsia="sl-SI"/>
        </w:rPr>
        <w:t>MZ</w:t>
      </w:r>
      <w:r>
        <w:rPr>
          <w:iCs/>
          <w:snapToGrid w:val="0"/>
          <w:szCs w:val="20"/>
          <w:lang w:eastAsia="sl-SI"/>
        </w:rPr>
        <w:t>)</w:t>
      </w:r>
      <w:r w:rsidRPr="00CD4C7C">
        <w:rPr>
          <w:iCs/>
          <w:snapToGrid w:val="0"/>
          <w:szCs w:val="20"/>
          <w:lang w:eastAsia="sl-SI"/>
        </w:rPr>
        <w:t xml:space="preserve"> </w:t>
      </w:r>
      <w:r>
        <w:rPr>
          <w:iCs/>
          <w:snapToGrid w:val="0"/>
          <w:szCs w:val="20"/>
          <w:lang w:eastAsia="sl-SI"/>
        </w:rPr>
        <w:t xml:space="preserve">(10 </w:t>
      </w:r>
      <w:r w:rsidRPr="00CD4C7C">
        <w:rPr>
          <w:iCs/>
          <w:snapToGrid w:val="0"/>
          <w:szCs w:val="20"/>
          <w:lang w:eastAsia="sl-SI"/>
        </w:rPr>
        <w:t xml:space="preserve">projektov, </w:t>
      </w:r>
      <w:r>
        <w:rPr>
          <w:iCs/>
          <w:snapToGrid w:val="0"/>
          <w:szCs w:val="20"/>
          <w:lang w:eastAsia="sl-SI"/>
        </w:rPr>
        <w:t>16</w:t>
      </w:r>
      <w:r w:rsidRPr="00CD4C7C">
        <w:rPr>
          <w:iCs/>
          <w:snapToGrid w:val="0"/>
          <w:szCs w:val="20"/>
          <w:lang w:eastAsia="sl-SI"/>
        </w:rPr>
        <w:t xml:space="preserve"> stavb, s površino </w:t>
      </w:r>
      <w:r w:rsidRPr="009C3C26">
        <w:rPr>
          <w:iCs/>
          <w:snapToGrid w:val="0"/>
          <w:szCs w:val="20"/>
          <w:lang w:eastAsia="sl-SI"/>
        </w:rPr>
        <w:t>121.100,35</w:t>
      </w:r>
      <w:r>
        <w:rPr>
          <w:iCs/>
          <w:snapToGrid w:val="0"/>
          <w:szCs w:val="20"/>
          <w:lang w:eastAsia="sl-SI"/>
        </w:rPr>
        <w:t xml:space="preserve"> </w:t>
      </w:r>
      <w:r w:rsidRPr="00CD4C7C">
        <w:rPr>
          <w:iCs/>
          <w:snapToGrid w:val="0"/>
          <w:szCs w:val="20"/>
          <w:lang w:eastAsia="sl-SI"/>
        </w:rPr>
        <w:t>m</w:t>
      </w:r>
      <w:r w:rsidRPr="00CD4C7C">
        <w:rPr>
          <w:iCs/>
          <w:snapToGrid w:val="0"/>
          <w:szCs w:val="20"/>
          <w:vertAlign w:val="superscript"/>
          <w:lang w:eastAsia="sl-SI"/>
        </w:rPr>
        <w:t>2</w:t>
      </w:r>
      <w:r w:rsidRPr="00CD4C7C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:rsidR="004C2F86" w:rsidRPr="00BB1953" w:rsidRDefault="004C2F86" w:rsidP="004C2F86">
      <w:pPr>
        <w:pStyle w:val="Odstavekseznama"/>
        <w:numPr>
          <w:ilvl w:val="0"/>
          <w:numId w:val="6"/>
        </w:numPr>
        <w:suppressAutoHyphens/>
        <w:autoSpaceDE w:val="0"/>
        <w:ind w:hanging="714"/>
        <w:contextualSpacing w:val="0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 xml:space="preserve">Ministrstvo za solidarno prihodnost </w:t>
      </w:r>
      <w:r w:rsidRPr="007474C1">
        <w:rPr>
          <w:iCs/>
          <w:snapToGrid w:val="0"/>
          <w:szCs w:val="20"/>
          <w:lang w:eastAsia="sl-SI"/>
        </w:rPr>
        <w:t xml:space="preserve">(v nadaljnjem besedilu: </w:t>
      </w:r>
      <w:r>
        <w:rPr>
          <w:iCs/>
          <w:snapToGrid w:val="0"/>
          <w:szCs w:val="20"/>
          <w:lang w:eastAsia="sl-SI"/>
        </w:rPr>
        <w:t xml:space="preserve">MSP) (14 projektov, 14 stavb, s površino </w:t>
      </w:r>
      <w:r w:rsidRPr="00F978F9">
        <w:rPr>
          <w:iCs/>
          <w:snapToGrid w:val="0"/>
          <w:szCs w:val="20"/>
          <w:lang w:eastAsia="sl-SI"/>
        </w:rPr>
        <w:t>54.622,02</w:t>
      </w:r>
      <w:r w:rsidRPr="00F978F9" w:rsidDel="00F978F9">
        <w:rPr>
          <w:iCs/>
          <w:snapToGrid w:val="0"/>
          <w:szCs w:val="20"/>
          <w:lang w:eastAsia="sl-SI"/>
        </w:rPr>
        <w:t xml:space="preserve"> </w:t>
      </w:r>
      <w:r w:rsidRPr="00F66F6A">
        <w:rPr>
          <w:iCs/>
          <w:snapToGrid w:val="0"/>
          <w:szCs w:val="20"/>
          <w:lang w:eastAsia="sl-SI"/>
        </w:rPr>
        <w:t>m</w:t>
      </w:r>
      <w:r w:rsidRPr="00F66F6A">
        <w:rPr>
          <w:iCs/>
          <w:snapToGrid w:val="0"/>
          <w:szCs w:val="20"/>
          <w:vertAlign w:val="superscript"/>
          <w:lang w:eastAsia="sl-SI"/>
        </w:rPr>
        <w:t>2</w:t>
      </w:r>
      <w:r w:rsidRPr="00F66F6A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:rsidR="004C2F86" w:rsidRDefault="004C2F86" w:rsidP="004C2F86">
      <w:pPr>
        <w:pStyle w:val="Odstavekseznama"/>
        <w:numPr>
          <w:ilvl w:val="0"/>
          <w:numId w:val="6"/>
        </w:numPr>
        <w:suppressAutoHyphens/>
        <w:autoSpaceDE w:val="0"/>
        <w:ind w:hanging="714"/>
        <w:contextualSpacing w:val="0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 xml:space="preserve">Ministrstvo za vzgojo in izobraževanje </w:t>
      </w:r>
      <w:r w:rsidRPr="007474C1">
        <w:rPr>
          <w:iCs/>
          <w:snapToGrid w:val="0"/>
          <w:szCs w:val="20"/>
          <w:lang w:eastAsia="sl-SI"/>
        </w:rPr>
        <w:t xml:space="preserve">(v nadaljnjem besedilu: </w:t>
      </w:r>
      <w:r>
        <w:rPr>
          <w:iCs/>
          <w:snapToGrid w:val="0"/>
          <w:szCs w:val="20"/>
          <w:lang w:eastAsia="sl-SI"/>
        </w:rPr>
        <w:t xml:space="preserve">MVI) </w:t>
      </w:r>
      <w:r w:rsidRPr="00BB1953">
        <w:rPr>
          <w:iCs/>
          <w:snapToGrid w:val="0"/>
          <w:szCs w:val="20"/>
          <w:lang w:eastAsia="sl-SI"/>
        </w:rPr>
        <w:t>(</w:t>
      </w:r>
      <w:r>
        <w:rPr>
          <w:iCs/>
          <w:snapToGrid w:val="0"/>
          <w:szCs w:val="20"/>
          <w:lang w:eastAsia="sl-SI"/>
        </w:rPr>
        <w:t>20</w:t>
      </w:r>
      <w:r w:rsidRPr="00BB1953">
        <w:rPr>
          <w:iCs/>
          <w:snapToGrid w:val="0"/>
          <w:szCs w:val="20"/>
          <w:lang w:eastAsia="sl-SI"/>
        </w:rPr>
        <w:t xml:space="preserve"> projektov, </w:t>
      </w:r>
      <w:r>
        <w:rPr>
          <w:iCs/>
          <w:snapToGrid w:val="0"/>
          <w:szCs w:val="20"/>
          <w:lang w:eastAsia="sl-SI"/>
        </w:rPr>
        <w:t>33</w:t>
      </w:r>
      <w:r w:rsidRPr="00BB1953">
        <w:rPr>
          <w:iCs/>
          <w:snapToGrid w:val="0"/>
          <w:szCs w:val="20"/>
          <w:lang w:eastAsia="sl-SI"/>
        </w:rPr>
        <w:t xml:space="preserve"> stavb, s površino </w:t>
      </w:r>
      <w:r w:rsidRPr="00617BD6">
        <w:rPr>
          <w:iCs/>
          <w:snapToGrid w:val="0"/>
          <w:szCs w:val="20"/>
          <w:lang w:eastAsia="sl-SI"/>
        </w:rPr>
        <w:t>100.201,35</w:t>
      </w:r>
      <w:r w:rsidRPr="00F978F9" w:rsidDel="00F978F9"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:rsidR="004C2F86" w:rsidRDefault="004C2F86" w:rsidP="004C2F86">
      <w:pPr>
        <w:pStyle w:val="Odstavekseznama"/>
        <w:numPr>
          <w:ilvl w:val="0"/>
          <w:numId w:val="6"/>
        </w:numPr>
        <w:suppressAutoHyphens/>
        <w:autoSpaceDE w:val="0"/>
        <w:ind w:hanging="714"/>
        <w:contextualSpacing w:val="0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 xml:space="preserve">Ministrstvo za visoko šolstvo, znanost in inovacije </w:t>
      </w:r>
      <w:r w:rsidRPr="007474C1">
        <w:rPr>
          <w:iCs/>
          <w:snapToGrid w:val="0"/>
          <w:szCs w:val="20"/>
          <w:lang w:eastAsia="sl-SI"/>
        </w:rPr>
        <w:t xml:space="preserve">(v nadaljnjem besedilu: </w:t>
      </w:r>
      <w:r>
        <w:rPr>
          <w:iCs/>
          <w:snapToGrid w:val="0"/>
          <w:szCs w:val="20"/>
          <w:lang w:eastAsia="sl-SI"/>
        </w:rPr>
        <w:t xml:space="preserve">MVZI) </w:t>
      </w:r>
      <w:r>
        <w:rPr>
          <w:iCs/>
          <w:snapToGrid w:val="0"/>
          <w:szCs w:val="20"/>
          <w:lang w:eastAsia="sl-SI"/>
        </w:rPr>
        <w:br/>
      </w:r>
      <w:r>
        <w:rPr>
          <w:iCs/>
          <w:snapToGrid w:val="0"/>
          <w:szCs w:val="20"/>
          <w:lang w:eastAsia="sl-SI"/>
        </w:rPr>
        <w:t xml:space="preserve">(2 projekta, 3 stavbe, s površino </w:t>
      </w:r>
      <w:r w:rsidRPr="00EB7AF9">
        <w:rPr>
          <w:iCs/>
          <w:snapToGrid w:val="0"/>
          <w:szCs w:val="20"/>
          <w:lang w:eastAsia="sl-SI"/>
        </w:rPr>
        <w:t>4.989,91</w:t>
      </w:r>
      <w:r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 xml:space="preserve">, </w:t>
      </w:r>
    </w:p>
    <w:p w:rsidR="004C2F86" w:rsidRPr="00BB1953" w:rsidRDefault="004C2F86" w:rsidP="004C2F86">
      <w:pPr>
        <w:pStyle w:val="Odstavekseznama"/>
        <w:numPr>
          <w:ilvl w:val="0"/>
          <w:numId w:val="6"/>
        </w:numPr>
        <w:suppressAutoHyphens/>
        <w:autoSpaceDE w:val="0"/>
        <w:ind w:hanging="714"/>
        <w:contextualSpacing w:val="0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 xml:space="preserve">Ministrstvo za pravosodje </w:t>
      </w:r>
      <w:r w:rsidRPr="007474C1">
        <w:rPr>
          <w:iCs/>
          <w:snapToGrid w:val="0"/>
          <w:szCs w:val="20"/>
          <w:lang w:eastAsia="sl-SI"/>
        </w:rPr>
        <w:t xml:space="preserve">(v nadaljnjem besedilu: </w:t>
      </w:r>
      <w:r w:rsidRPr="00BB1953">
        <w:rPr>
          <w:iCs/>
          <w:snapToGrid w:val="0"/>
          <w:szCs w:val="20"/>
          <w:lang w:eastAsia="sl-SI"/>
        </w:rPr>
        <w:t>MP</w:t>
      </w:r>
      <w:r>
        <w:rPr>
          <w:iCs/>
          <w:snapToGrid w:val="0"/>
          <w:szCs w:val="20"/>
          <w:lang w:eastAsia="sl-SI"/>
        </w:rPr>
        <w:t>)</w:t>
      </w:r>
      <w:r w:rsidRPr="00BB1953">
        <w:rPr>
          <w:iCs/>
          <w:snapToGrid w:val="0"/>
          <w:szCs w:val="20"/>
          <w:lang w:eastAsia="sl-SI"/>
        </w:rPr>
        <w:t xml:space="preserve"> (</w:t>
      </w:r>
      <w:r>
        <w:rPr>
          <w:iCs/>
          <w:snapToGrid w:val="0"/>
          <w:szCs w:val="20"/>
          <w:lang w:eastAsia="sl-SI"/>
        </w:rPr>
        <w:t>6</w:t>
      </w:r>
      <w:r w:rsidRPr="00BB1953">
        <w:rPr>
          <w:iCs/>
          <w:snapToGrid w:val="0"/>
          <w:szCs w:val="20"/>
          <w:lang w:eastAsia="sl-SI"/>
        </w:rPr>
        <w:t xml:space="preserve"> projektov, </w:t>
      </w:r>
      <w:r>
        <w:rPr>
          <w:iCs/>
          <w:snapToGrid w:val="0"/>
          <w:szCs w:val="20"/>
          <w:lang w:eastAsia="sl-SI"/>
        </w:rPr>
        <w:t xml:space="preserve">7 </w:t>
      </w:r>
      <w:r w:rsidRPr="00BB1953">
        <w:rPr>
          <w:iCs/>
          <w:snapToGrid w:val="0"/>
          <w:szCs w:val="20"/>
          <w:lang w:eastAsia="sl-SI"/>
        </w:rPr>
        <w:t xml:space="preserve">stavb, s površino </w:t>
      </w:r>
      <w:r w:rsidRPr="000A7202">
        <w:rPr>
          <w:iCs/>
          <w:snapToGrid w:val="0"/>
          <w:szCs w:val="20"/>
          <w:lang w:eastAsia="sl-SI"/>
        </w:rPr>
        <w:t>43.538,72</w:t>
      </w:r>
      <w:r w:rsidRPr="000A7202" w:rsidDel="000A7202"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:rsidR="004C2F86" w:rsidRDefault="004C2F86" w:rsidP="004C2F86">
      <w:pPr>
        <w:pStyle w:val="Odstavekseznama"/>
        <w:numPr>
          <w:ilvl w:val="0"/>
          <w:numId w:val="6"/>
        </w:numPr>
        <w:suppressAutoHyphens/>
        <w:autoSpaceDE w:val="0"/>
        <w:ind w:hanging="714"/>
        <w:contextualSpacing w:val="0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 xml:space="preserve">Ministrstvo za kulturo </w:t>
      </w:r>
      <w:r w:rsidRPr="007474C1">
        <w:rPr>
          <w:iCs/>
          <w:snapToGrid w:val="0"/>
          <w:szCs w:val="20"/>
          <w:lang w:eastAsia="sl-SI"/>
        </w:rPr>
        <w:t xml:space="preserve">(v nadaljnjem besedilu: </w:t>
      </w:r>
      <w:r w:rsidRPr="00BB1953">
        <w:rPr>
          <w:iCs/>
          <w:snapToGrid w:val="0"/>
          <w:szCs w:val="20"/>
          <w:lang w:eastAsia="sl-SI"/>
        </w:rPr>
        <w:t>MK</w:t>
      </w:r>
      <w:r>
        <w:rPr>
          <w:iCs/>
          <w:snapToGrid w:val="0"/>
          <w:szCs w:val="20"/>
          <w:lang w:eastAsia="sl-SI"/>
        </w:rPr>
        <w:t>)</w:t>
      </w:r>
      <w:r w:rsidRPr="00BB1953">
        <w:rPr>
          <w:iCs/>
          <w:snapToGrid w:val="0"/>
          <w:szCs w:val="20"/>
          <w:lang w:eastAsia="sl-SI"/>
        </w:rPr>
        <w:t xml:space="preserve"> (</w:t>
      </w:r>
      <w:r>
        <w:rPr>
          <w:iCs/>
          <w:snapToGrid w:val="0"/>
          <w:szCs w:val="20"/>
          <w:lang w:eastAsia="sl-SI"/>
        </w:rPr>
        <w:t>11</w:t>
      </w:r>
      <w:r w:rsidRPr="00BB1953">
        <w:rPr>
          <w:iCs/>
          <w:snapToGrid w:val="0"/>
          <w:szCs w:val="20"/>
          <w:lang w:eastAsia="sl-SI"/>
        </w:rPr>
        <w:t xml:space="preserve"> projektov, </w:t>
      </w:r>
      <w:r>
        <w:rPr>
          <w:iCs/>
          <w:snapToGrid w:val="0"/>
          <w:szCs w:val="20"/>
          <w:lang w:eastAsia="sl-SI"/>
        </w:rPr>
        <w:t>14</w:t>
      </w:r>
      <w:r w:rsidRPr="00BB1953">
        <w:rPr>
          <w:iCs/>
          <w:snapToGrid w:val="0"/>
          <w:szCs w:val="20"/>
          <w:lang w:eastAsia="sl-SI"/>
        </w:rPr>
        <w:t xml:space="preserve"> stavb, s površino </w:t>
      </w:r>
      <w:r w:rsidRPr="005B2EDD">
        <w:rPr>
          <w:iCs/>
          <w:snapToGrid w:val="0"/>
          <w:szCs w:val="20"/>
          <w:lang w:eastAsia="sl-SI"/>
        </w:rPr>
        <w:t>39.091,38</w:t>
      </w:r>
      <w:r w:rsidRPr="005B2EDD" w:rsidDel="005B2EDD"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 xml:space="preserve"> )</w:t>
      </w:r>
      <w:r>
        <w:rPr>
          <w:iCs/>
          <w:snapToGrid w:val="0"/>
          <w:szCs w:val="20"/>
          <w:lang w:eastAsia="sl-SI"/>
        </w:rPr>
        <w:t>,</w:t>
      </w:r>
    </w:p>
    <w:p w:rsidR="004C2F86" w:rsidRDefault="004C2F86" w:rsidP="004C2F86">
      <w:pPr>
        <w:pStyle w:val="Odstavekseznama"/>
        <w:numPr>
          <w:ilvl w:val="0"/>
          <w:numId w:val="6"/>
        </w:numPr>
        <w:suppressAutoHyphens/>
        <w:autoSpaceDE w:val="0"/>
        <w:ind w:hanging="714"/>
        <w:contextualSpacing w:val="0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 xml:space="preserve">Ministrstvo za javno upravo </w:t>
      </w:r>
      <w:r w:rsidRPr="007474C1">
        <w:rPr>
          <w:iCs/>
          <w:snapToGrid w:val="0"/>
          <w:szCs w:val="20"/>
          <w:lang w:eastAsia="sl-SI"/>
        </w:rPr>
        <w:t xml:space="preserve">(v nadaljnjem besedilu: </w:t>
      </w:r>
      <w:r w:rsidRPr="00BB1953">
        <w:rPr>
          <w:iCs/>
          <w:snapToGrid w:val="0"/>
          <w:szCs w:val="20"/>
          <w:lang w:eastAsia="sl-SI"/>
        </w:rPr>
        <w:t>MJU</w:t>
      </w:r>
      <w:r>
        <w:rPr>
          <w:iCs/>
          <w:snapToGrid w:val="0"/>
          <w:szCs w:val="20"/>
          <w:lang w:eastAsia="sl-SI"/>
        </w:rPr>
        <w:t xml:space="preserve">) </w:t>
      </w:r>
      <w:r w:rsidRPr="00BB1953">
        <w:rPr>
          <w:iCs/>
          <w:snapToGrid w:val="0"/>
          <w:szCs w:val="20"/>
          <w:lang w:eastAsia="sl-SI"/>
        </w:rPr>
        <w:t>(</w:t>
      </w:r>
      <w:r>
        <w:rPr>
          <w:iCs/>
          <w:snapToGrid w:val="0"/>
          <w:szCs w:val="20"/>
          <w:lang w:eastAsia="sl-SI"/>
        </w:rPr>
        <w:t>7</w:t>
      </w:r>
      <w:r w:rsidRPr="00BB1953">
        <w:rPr>
          <w:iCs/>
          <w:snapToGrid w:val="0"/>
          <w:szCs w:val="20"/>
          <w:lang w:eastAsia="sl-SI"/>
        </w:rPr>
        <w:t xml:space="preserve"> projektov, </w:t>
      </w:r>
      <w:r>
        <w:rPr>
          <w:iCs/>
          <w:snapToGrid w:val="0"/>
          <w:szCs w:val="20"/>
          <w:lang w:eastAsia="sl-SI"/>
        </w:rPr>
        <w:t>7</w:t>
      </w:r>
      <w:r w:rsidRPr="00BB1953">
        <w:rPr>
          <w:iCs/>
          <w:snapToGrid w:val="0"/>
          <w:szCs w:val="20"/>
          <w:lang w:eastAsia="sl-SI"/>
        </w:rPr>
        <w:t xml:space="preserve"> stavb, s površino </w:t>
      </w:r>
      <w:r w:rsidRPr="000A7202">
        <w:rPr>
          <w:iCs/>
          <w:snapToGrid w:val="0"/>
          <w:szCs w:val="20"/>
          <w:lang w:eastAsia="sl-SI"/>
        </w:rPr>
        <w:t>15.832,71</w:t>
      </w:r>
      <w:r w:rsidRPr="000A7202" w:rsidDel="000A7202"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.</w:t>
      </w:r>
    </w:p>
    <w:p w:rsidR="004C2F86" w:rsidRPr="00BB1953" w:rsidRDefault="004C2F86" w:rsidP="004C2F86">
      <w:pPr>
        <w:autoSpaceDE w:val="0"/>
        <w:ind w:hanging="714"/>
        <w:jc w:val="both"/>
        <w:rPr>
          <w:iCs/>
          <w:snapToGrid w:val="0"/>
          <w:szCs w:val="20"/>
          <w:lang w:eastAsia="sl-SI"/>
        </w:rPr>
      </w:pPr>
    </w:p>
    <w:p w:rsidR="004C2F86" w:rsidRDefault="004C2F86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  <w:bookmarkStart w:id="0" w:name="_GoBack"/>
      <w:r w:rsidRPr="009C3C26">
        <w:rPr>
          <w:noProof/>
          <w:lang w:eastAsia="sl-SI"/>
        </w:rPr>
        <w:lastRenderedPageBreak/>
        <w:drawing>
          <wp:inline distT="0" distB="0" distL="0" distR="0" wp14:anchorId="6D16EE64" wp14:editId="23C45B28">
            <wp:extent cx="4298400" cy="2694899"/>
            <wp:effectExtent l="0" t="0" r="6985" b="0"/>
            <wp:docPr id="54492347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301" cy="270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2F86" w:rsidRPr="004C2F86" w:rsidRDefault="004C2F86" w:rsidP="004C2F86">
      <w:pPr>
        <w:pStyle w:val="Napis"/>
        <w:jc w:val="both"/>
        <w:rPr>
          <w:rFonts w:ascii="Arial" w:hAnsi="Arial" w:cs="Arial"/>
          <w:i w:val="0"/>
          <w:color w:val="auto"/>
          <w:sz w:val="16"/>
          <w:szCs w:val="16"/>
        </w:rPr>
      </w:pPr>
      <w:r w:rsidRPr="004C2F86">
        <w:rPr>
          <w:rFonts w:ascii="Arial" w:hAnsi="Arial" w:cs="Arial"/>
          <w:i w:val="0"/>
          <w:color w:val="auto"/>
          <w:sz w:val="16"/>
          <w:szCs w:val="16"/>
        </w:rPr>
        <w:t>Tabela: Podatki, pridobljeni iz strani pristojnih ministrstev, vezani na energetsko prenovo in graditev novih skoraj nič-energetskih primernih stavb</w:t>
      </w:r>
    </w:p>
    <w:p w:rsidR="004C2F86" w:rsidRDefault="004C2F86" w:rsidP="004C2F86">
      <w:pPr>
        <w:autoSpaceDE w:val="0"/>
        <w:spacing w:line="276" w:lineRule="auto"/>
        <w:jc w:val="both"/>
        <w:rPr>
          <w:sz w:val="16"/>
          <w:szCs w:val="16"/>
        </w:rPr>
      </w:pPr>
    </w:p>
    <w:p w:rsidR="004C2F86" w:rsidRDefault="004C2F86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 xml:space="preserve">Največje število </w:t>
      </w:r>
      <w:r>
        <w:rPr>
          <w:iCs/>
          <w:snapToGrid w:val="0"/>
          <w:szCs w:val="20"/>
          <w:lang w:eastAsia="sl-SI"/>
        </w:rPr>
        <w:t xml:space="preserve">primernih </w:t>
      </w:r>
      <w:r w:rsidRPr="00BB1953">
        <w:rPr>
          <w:iCs/>
          <w:snapToGrid w:val="0"/>
          <w:szCs w:val="20"/>
          <w:lang w:eastAsia="sl-SI"/>
        </w:rPr>
        <w:t>javnih stavb</w:t>
      </w:r>
      <w:r>
        <w:rPr>
          <w:iCs/>
          <w:snapToGrid w:val="0"/>
          <w:szCs w:val="20"/>
          <w:lang w:eastAsia="sl-SI"/>
        </w:rPr>
        <w:t xml:space="preserve"> in projektov za energetsko prenovo in graditev skoraj </w:t>
      </w:r>
      <w:r>
        <w:rPr>
          <w:iCs/>
          <w:snapToGrid w:val="0"/>
          <w:szCs w:val="20"/>
          <w:lang w:eastAsia="sl-SI"/>
        </w:rPr>
        <w:br/>
      </w:r>
      <w:r>
        <w:rPr>
          <w:iCs/>
          <w:snapToGrid w:val="0"/>
          <w:szCs w:val="20"/>
          <w:lang w:eastAsia="sl-SI"/>
        </w:rPr>
        <w:t xml:space="preserve">nič-energetskih stavb </w:t>
      </w:r>
      <w:r w:rsidRPr="00BB1953">
        <w:rPr>
          <w:iCs/>
          <w:snapToGrid w:val="0"/>
          <w:szCs w:val="20"/>
          <w:lang w:eastAsia="sl-SI"/>
        </w:rPr>
        <w:t xml:space="preserve">je </w:t>
      </w:r>
      <w:r>
        <w:rPr>
          <w:iCs/>
          <w:snapToGrid w:val="0"/>
          <w:szCs w:val="20"/>
          <w:lang w:eastAsia="sl-SI"/>
        </w:rPr>
        <w:t>posredovalo</w:t>
      </w:r>
      <w:r w:rsidRPr="00BB1953">
        <w:rPr>
          <w:iCs/>
          <w:snapToGrid w:val="0"/>
          <w:szCs w:val="20"/>
          <w:lang w:eastAsia="sl-SI"/>
        </w:rPr>
        <w:t xml:space="preserve"> </w:t>
      </w:r>
      <w:r>
        <w:rPr>
          <w:iCs/>
          <w:snapToGrid w:val="0"/>
          <w:szCs w:val="20"/>
          <w:lang w:eastAsia="sl-SI"/>
        </w:rPr>
        <w:t>MVI</w:t>
      </w:r>
      <w:r w:rsidRPr="00BB1953">
        <w:rPr>
          <w:iCs/>
          <w:snapToGrid w:val="0"/>
          <w:szCs w:val="20"/>
          <w:lang w:eastAsia="sl-SI"/>
        </w:rPr>
        <w:t xml:space="preserve">, </w:t>
      </w:r>
      <w:r>
        <w:rPr>
          <w:iCs/>
          <w:snapToGrid w:val="0"/>
          <w:szCs w:val="20"/>
          <w:lang w:eastAsia="sl-SI"/>
        </w:rPr>
        <w:t>podatki o številu stavb in projektov po posameznih ministrstvih so prikazani v spodnjem grafikonu (Slika1)</w:t>
      </w:r>
      <w:r w:rsidRPr="00BB1953">
        <w:rPr>
          <w:iCs/>
          <w:snapToGrid w:val="0"/>
          <w:szCs w:val="20"/>
          <w:lang w:eastAsia="sl-SI"/>
        </w:rPr>
        <w:t>.</w:t>
      </w:r>
    </w:p>
    <w:p w:rsidR="004C2F86" w:rsidRDefault="004C2F86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</w:p>
    <w:p w:rsidR="004C2F86" w:rsidRDefault="004C2F86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  <w:r>
        <w:rPr>
          <w:iCs/>
          <w:noProof/>
          <w:snapToGrid w:val="0"/>
          <w:szCs w:val="20"/>
          <w:lang w:eastAsia="sl-SI"/>
        </w:rPr>
        <w:drawing>
          <wp:inline distT="0" distB="0" distL="0" distR="0" wp14:anchorId="3EE9C581" wp14:editId="294AB3A4">
            <wp:extent cx="5032800" cy="3591485"/>
            <wp:effectExtent l="0" t="0" r="0" b="9525"/>
            <wp:docPr id="569671838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037" cy="3595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F86" w:rsidRPr="004C2F86" w:rsidRDefault="004C2F86" w:rsidP="004C2F86">
      <w:pPr>
        <w:pStyle w:val="Napis"/>
        <w:jc w:val="both"/>
        <w:rPr>
          <w:rFonts w:ascii="Arial" w:hAnsi="Arial" w:cs="Arial"/>
          <w:color w:val="auto"/>
          <w:sz w:val="16"/>
          <w:szCs w:val="16"/>
        </w:rPr>
      </w:pPr>
      <w:r w:rsidRPr="004C2F86">
        <w:rPr>
          <w:rFonts w:ascii="Arial" w:hAnsi="Arial" w:cs="Arial"/>
          <w:color w:val="auto"/>
          <w:sz w:val="16"/>
          <w:szCs w:val="16"/>
        </w:rPr>
        <w:t xml:space="preserve">Slika </w:t>
      </w:r>
      <w:r w:rsidRPr="004C2F86">
        <w:rPr>
          <w:rFonts w:ascii="Arial" w:hAnsi="Arial" w:cs="Arial"/>
          <w:noProof/>
          <w:color w:val="auto"/>
          <w:sz w:val="16"/>
          <w:szCs w:val="16"/>
        </w:rPr>
        <w:fldChar w:fldCharType="begin"/>
      </w:r>
      <w:r w:rsidRPr="004C2F86">
        <w:rPr>
          <w:rFonts w:ascii="Arial" w:hAnsi="Arial" w:cs="Arial"/>
          <w:noProof/>
          <w:color w:val="auto"/>
          <w:sz w:val="16"/>
          <w:szCs w:val="16"/>
        </w:rPr>
        <w:instrText xml:space="preserve"> SEQ Slika \* ARABIC </w:instrText>
      </w:r>
      <w:r w:rsidRPr="004C2F86">
        <w:rPr>
          <w:rFonts w:ascii="Arial" w:hAnsi="Arial" w:cs="Arial"/>
          <w:noProof/>
          <w:color w:val="auto"/>
          <w:sz w:val="16"/>
          <w:szCs w:val="16"/>
        </w:rPr>
        <w:fldChar w:fldCharType="separate"/>
      </w:r>
      <w:r w:rsidRPr="004C2F86">
        <w:rPr>
          <w:rFonts w:ascii="Arial" w:hAnsi="Arial" w:cs="Arial"/>
          <w:noProof/>
          <w:color w:val="auto"/>
          <w:sz w:val="16"/>
          <w:szCs w:val="16"/>
        </w:rPr>
        <w:t>1</w:t>
      </w:r>
      <w:r w:rsidRPr="004C2F86">
        <w:rPr>
          <w:rFonts w:ascii="Arial" w:hAnsi="Arial" w:cs="Arial"/>
          <w:noProof/>
          <w:color w:val="auto"/>
          <w:sz w:val="16"/>
          <w:szCs w:val="16"/>
        </w:rPr>
        <w:fldChar w:fldCharType="end"/>
      </w:r>
      <w:r w:rsidRPr="004C2F86">
        <w:rPr>
          <w:rFonts w:ascii="Arial" w:hAnsi="Arial" w:cs="Arial"/>
          <w:color w:val="auto"/>
          <w:sz w:val="16"/>
          <w:szCs w:val="16"/>
        </w:rPr>
        <w:t>: Prikaz števila projektov ter števila javnih stavb primernih za energetsko sanacijo in gradnjo po pristojnih ministrstvih.</w:t>
      </w:r>
    </w:p>
    <w:p w:rsidR="004C2F86" w:rsidRDefault="004C2F86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</w:p>
    <w:p w:rsidR="006074AD" w:rsidRDefault="006074AD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</w:p>
    <w:p w:rsidR="006074AD" w:rsidRDefault="006074AD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</w:p>
    <w:p w:rsidR="004C2F86" w:rsidRDefault="004C2F86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lastRenderedPageBreak/>
        <w:t>Največj</w:t>
      </w:r>
      <w:r>
        <w:rPr>
          <w:iCs/>
          <w:snapToGrid w:val="0"/>
          <w:szCs w:val="20"/>
          <w:lang w:eastAsia="sl-SI"/>
        </w:rPr>
        <w:t>o skupno površino</w:t>
      </w:r>
      <w:r w:rsidR="006074AD">
        <w:rPr>
          <w:iCs/>
          <w:snapToGrid w:val="0"/>
          <w:szCs w:val="20"/>
          <w:lang w:eastAsia="sl-SI"/>
        </w:rPr>
        <w:t xml:space="preserve"> (m</w:t>
      </w:r>
      <w:r w:rsidR="006074AD" w:rsidRPr="006074AD">
        <w:rPr>
          <w:iCs/>
          <w:snapToGrid w:val="0"/>
          <w:szCs w:val="20"/>
          <w:vertAlign w:val="superscript"/>
          <w:lang w:eastAsia="sl-SI"/>
        </w:rPr>
        <w:t>2</w:t>
      </w:r>
      <w:r w:rsidR="006074AD">
        <w:rPr>
          <w:iCs/>
          <w:snapToGrid w:val="0"/>
          <w:szCs w:val="20"/>
          <w:lang w:eastAsia="sl-SI"/>
        </w:rPr>
        <w:t xml:space="preserve">) </w:t>
      </w:r>
      <w:r>
        <w:rPr>
          <w:iCs/>
          <w:snapToGrid w:val="0"/>
          <w:szCs w:val="20"/>
          <w:lang w:eastAsia="sl-SI"/>
        </w:rPr>
        <w:t xml:space="preserve">primernih stavb za energetsko prenovo in graditev skoraj </w:t>
      </w:r>
      <w:r>
        <w:rPr>
          <w:iCs/>
          <w:snapToGrid w:val="0"/>
          <w:szCs w:val="20"/>
          <w:lang w:eastAsia="sl-SI"/>
        </w:rPr>
        <w:br/>
      </w:r>
      <w:r>
        <w:rPr>
          <w:iCs/>
          <w:snapToGrid w:val="0"/>
          <w:szCs w:val="20"/>
          <w:lang w:eastAsia="sl-SI"/>
        </w:rPr>
        <w:t xml:space="preserve">nič-energetskih stavb </w:t>
      </w:r>
      <w:r w:rsidRPr="00BB1953">
        <w:rPr>
          <w:iCs/>
          <w:snapToGrid w:val="0"/>
          <w:szCs w:val="20"/>
          <w:lang w:eastAsia="sl-SI"/>
        </w:rPr>
        <w:t xml:space="preserve">je </w:t>
      </w:r>
      <w:r>
        <w:rPr>
          <w:iCs/>
          <w:snapToGrid w:val="0"/>
          <w:szCs w:val="20"/>
          <w:lang w:eastAsia="sl-SI"/>
        </w:rPr>
        <w:t>posredovalo</w:t>
      </w:r>
      <w:r w:rsidRPr="00BB1953">
        <w:rPr>
          <w:iCs/>
          <w:snapToGrid w:val="0"/>
          <w:szCs w:val="20"/>
          <w:lang w:eastAsia="sl-SI"/>
        </w:rPr>
        <w:t xml:space="preserve"> </w:t>
      </w:r>
      <w:r>
        <w:rPr>
          <w:iCs/>
          <w:snapToGrid w:val="0"/>
          <w:szCs w:val="20"/>
          <w:lang w:eastAsia="sl-SI"/>
        </w:rPr>
        <w:t>MZ</w:t>
      </w:r>
      <w:r w:rsidRPr="00BB1953">
        <w:rPr>
          <w:iCs/>
          <w:snapToGrid w:val="0"/>
          <w:szCs w:val="20"/>
          <w:lang w:eastAsia="sl-SI"/>
        </w:rPr>
        <w:t xml:space="preserve">, </w:t>
      </w:r>
      <w:r>
        <w:rPr>
          <w:iCs/>
          <w:snapToGrid w:val="0"/>
          <w:szCs w:val="20"/>
          <w:lang w:eastAsia="sl-SI"/>
        </w:rPr>
        <w:t>podatki o površini stavb po posameznih ministrstvih so prikazani v spodnjem grafikonu (Slika 2)</w:t>
      </w:r>
      <w:r w:rsidRPr="00BB1953">
        <w:rPr>
          <w:iCs/>
          <w:snapToGrid w:val="0"/>
          <w:szCs w:val="20"/>
          <w:lang w:eastAsia="sl-SI"/>
        </w:rPr>
        <w:t>.</w:t>
      </w:r>
    </w:p>
    <w:p w:rsidR="004C2F86" w:rsidRDefault="004C2F86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</w:p>
    <w:p w:rsidR="004C2F86" w:rsidRDefault="004C2F86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  <w:r>
        <w:rPr>
          <w:iCs/>
          <w:noProof/>
          <w:snapToGrid w:val="0"/>
          <w:szCs w:val="20"/>
          <w:lang w:eastAsia="sl-SI"/>
        </w:rPr>
        <w:drawing>
          <wp:inline distT="0" distB="0" distL="0" distR="0" wp14:anchorId="31DA62E3" wp14:editId="22105CCF">
            <wp:extent cx="5071999" cy="3835400"/>
            <wp:effectExtent l="0" t="0" r="0" b="0"/>
            <wp:docPr id="1770003423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433" cy="3841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F86" w:rsidRPr="004C2F86" w:rsidRDefault="004C2F86" w:rsidP="004C2F86">
      <w:pPr>
        <w:pStyle w:val="Napis"/>
        <w:jc w:val="both"/>
        <w:rPr>
          <w:rFonts w:ascii="Arial" w:hAnsi="Arial" w:cs="Arial"/>
          <w:i w:val="0"/>
          <w:color w:val="auto"/>
          <w:sz w:val="16"/>
          <w:szCs w:val="16"/>
        </w:rPr>
      </w:pPr>
      <w:r w:rsidRPr="004C2F86">
        <w:rPr>
          <w:rFonts w:ascii="Arial" w:hAnsi="Arial" w:cs="Arial"/>
          <w:i w:val="0"/>
          <w:color w:val="auto"/>
          <w:sz w:val="16"/>
          <w:szCs w:val="16"/>
        </w:rPr>
        <w:t xml:space="preserve">Slika </w:t>
      </w:r>
      <w:r w:rsidRPr="004C2F86">
        <w:rPr>
          <w:rFonts w:ascii="Arial" w:hAnsi="Arial" w:cs="Arial"/>
          <w:i w:val="0"/>
          <w:noProof/>
          <w:color w:val="auto"/>
          <w:sz w:val="16"/>
          <w:szCs w:val="16"/>
        </w:rPr>
        <w:fldChar w:fldCharType="begin"/>
      </w:r>
      <w:r w:rsidRPr="004C2F86">
        <w:rPr>
          <w:rFonts w:ascii="Arial" w:hAnsi="Arial" w:cs="Arial"/>
          <w:i w:val="0"/>
          <w:noProof/>
          <w:color w:val="auto"/>
          <w:sz w:val="16"/>
          <w:szCs w:val="16"/>
        </w:rPr>
        <w:instrText xml:space="preserve"> SEQ Slika \* ARABIC </w:instrText>
      </w:r>
      <w:r w:rsidRPr="004C2F86">
        <w:rPr>
          <w:rFonts w:ascii="Arial" w:hAnsi="Arial" w:cs="Arial"/>
          <w:i w:val="0"/>
          <w:noProof/>
          <w:color w:val="auto"/>
          <w:sz w:val="16"/>
          <w:szCs w:val="16"/>
        </w:rPr>
        <w:fldChar w:fldCharType="separate"/>
      </w:r>
      <w:r w:rsidRPr="004C2F86">
        <w:rPr>
          <w:rFonts w:ascii="Arial" w:hAnsi="Arial" w:cs="Arial"/>
          <w:i w:val="0"/>
          <w:noProof/>
          <w:color w:val="auto"/>
          <w:sz w:val="16"/>
          <w:szCs w:val="16"/>
        </w:rPr>
        <w:t>2</w:t>
      </w:r>
      <w:r w:rsidRPr="004C2F86">
        <w:rPr>
          <w:rFonts w:ascii="Arial" w:hAnsi="Arial" w:cs="Arial"/>
          <w:i w:val="0"/>
          <w:noProof/>
          <w:color w:val="auto"/>
          <w:sz w:val="16"/>
          <w:szCs w:val="16"/>
        </w:rPr>
        <w:fldChar w:fldCharType="end"/>
      </w:r>
      <w:r w:rsidRPr="004C2F86">
        <w:rPr>
          <w:rFonts w:ascii="Arial" w:hAnsi="Arial" w:cs="Arial"/>
          <w:i w:val="0"/>
          <w:color w:val="auto"/>
          <w:sz w:val="16"/>
          <w:szCs w:val="16"/>
        </w:rPr>
        <w:t>: Prikaz površine (m</w:t>
      </w:r>
      <w:r w:rsidRPr="004C2F86">
        <w:rPr>
          <w:rFonts w:ascii="Arial" w:hAnsi="Arial" w:cs="Arial"/>
          <w:i w:val="0"/>
          <w:color w:val="auto"/>
          <w:sz w:val="16"/>
          <w:szCs w:val="16"/>
          <w:vertAlign w:val="superscript"/>
        </w:rPr>
        <w:t>2</w:t>
      </w:r>
      <w:r w:rsidRPr="004C2F86">
        <w:rPr>
          <w:rFonts w:ascii="Arial" w:hAnsi="Arial" w:cs="Arial"/>
          <w:i w:val="0"/>
          <w:color w:val="auto"/>
          <w:sz w:val="16"/>
          <w:szCs w:val="16"/>
        </w:rPr>
        <w:t>) javnih stavb primernih za energetsko sanacijo in gradnjo po pristojnih ministrstvih.</w:t>
      </w:r>
    </w:p>
    <w:p w:rsidR="004C2F86" w:rsidRDefault="004C2F86" w:rsidP="004C2F86">
      <w:pPr>
        <w:autoSpaceDE w:val="0"/>
        <w:spacing w:line="276" w:lineRule="auto"/>
        <w:jc w:val="both"/>
        <w:rPr>
          <w:bCs/>
          <w:iCs/>
          <w:snapToGrid w:val="0"/>
          <w:szCs w:val="20"/>
          <w:lang w:eastAsia="sl-SI"/>
        </w:rPr>
      </w:pPr>
    </w:p>
    <w:p w:rsidR="004C2F86" w:rsidRPr="003C37D9" w:rsidRDefault="004C2F86" w:rsidP="004C2F86">
      <w:pPr>
        <w:autoSpaceDE w:val="0"/>
        <w:jc w:val="both"/>
        <w:rPr>
          <w:bCs/>
          <w:iCs/>
          <w:snapToGrid w:val="0"/>
          <w:szCs w:val="20"/>
          <w:lang w:eastAsia="sl-SI"/>
        </w:rPr>
      </w:pPr>
      <w:r w:rsidRPr="00F5315A">
        <w:rPr>
          <w:bCs/>
          <w:iCs/>
          <w:snapToGrid w:val="0"/>
          <w:szCs w:val="20"/>
          <w:lang w:eastAsia="sl-SI"/>
        </w:rPr>
        <w:t>Razvrstitev primernih stavb za energetsko prenovo ter gradnjo po sklopih:</w:t>
      </w:r>
    </w:p>
    <w:p w:rsidR="004C2F86" w:rsidRPr="00BB1953" w:rsidRDefault="004C2F86" w:rsidP="004C2F86">
      <w:pPr>
        <w:numPr>
          <w:ilvl w:val="0"/>
          <w:numId w:val="5"/>
        </w:numPr>
        <w:suppressAutoHyphens/>
        <w:autoSpaceDE w:val="0"/>
        <w:ind w:hanging="720"/>
        <w:jc w:val="both"/>
        <w:rPr>
          <w:i/>
          <w:iCs/>
          <w:snapToGrid w:val="0"/>
          <w:szCs w:val="20"/>
          <w:lang w:eastAsia="sl-SI"/>
        </w:rPr>
      </w:pPr>
      <w:r w:rsidRPr="00BB1953">
        <w:rPr>
          <w:b/>
          <w:bCs/>
          <w:i/>
          <w:iCs/>
          <w:snapToGrid w:val="0"/>
          <w:szCs w:val="20"/>
          <w:lang w:eastAsia="sl-SI"/>
        </w:rPr>
        <w:t xml:space="preserve">Sklop 1 </w:t>
      </w:r>
      <w:r w:rsidRPr="00BB1953">
        <w:rPr>
          <w:bCs/>
          <w:i/>
          <w:iCs/>
          <w:snapToGrid w:val="0"/>
          <w:szCs w:val="20"/>
          <w:lang w:eastAsia="sl-SI"/>
        </w:rPr>
        <w:t>(</w:t>
      </w:r>
      <w:r w:rsidRPr="00BB1953">
        <w:rPr>
          <w:i/>
          <w:iCs/>
          <w:snapToGrid w:val="0"/>
          <w:szCs w:val="20"/>
          <w:lang w:eastAsia="sl-SI"/>
        </w:rPr>
        <w:t>Stavbe, ki imajo zagotovljene vse pogoje za takojšnjo izvedbo energetske prenove - imajo v celoti pripravljeno ekonomsko in tehnično dokumentacijo in zaključeno finančno konstrukcijo (vse zagotovljene vire financiranja; projekt je že uvrščen v načrt razvojnih programov; že pridobljena odločitev o podpori; morda se je že začel izvajati itd.)).</w:t>
      </w:r>
    </w:p>
    <w:p w:rsidR="004C2F86" w:rsidRPr="00BB1953" w:rsidRDefault="004C2F86" w:rsidP="004C2F86">
      <w:pPr>
        <w:autoSpaceDE w:val="0"/>
        <w:jc w:val="both"/>
        <w:rPr>
          <w:i/>
          <w:iCs/>
          <w:snapToGrid w:val="0"/>
          <w:szCs w:val="20"/>
          <w:lang w:eastAsia="sl-SI"/>
        </w:rPr>
      </w:pPr>
    </w:p>
    <w:p w:rsidR="004C2F86" w:rsidRPr="00BB1953" w:rsidRDefault="004C2F86" w:rsidP="004C2F86">
      <w:pPr>
        <w:autoSpaceDE w:val="0"/>
        <w:jc w:val="both"/>
        <w:rPr>
          <w:i/>
          <w:iCs/>
          <w:snapToGrid w:val="0"/>
          <w:szCs w:val="20"/>
          <w:lang w:eastAsia="sl-SI"/>
        </w:rPr>
      </w:pPr>
      <w:r w:rsidRPr="00BB1953">
        <w:rPr>
          <w:bCs/>
          <w:iCs/>
          <w:snapToGrid w:val="0"/>
          <w:szCs w:val="20"/>
          <w:lang w:eastAsia="sl-SI"/>
        </w:rPr>
        <w:t xml:space="preserve">V ta sklop je uvrščenih </w:t>
      </w:r>
      <w:r>
        <w:rPr>
          <w:iCs/>
          <w:snapToGrid w:val="0"/>
          <w:szCs w:val="20"/>
          <w:lang w:eastAsia="sl-SI"/>
        </w:rPr>
        <w:t xml:space="preserve">36 </w:t>
      </w:r>
      <w:r w:rsidRPr="00BB1953">
        <w:rPr>
          <w:iCs/>
          <w:snapToGrid w:val="0"/>
          <w:szCs w:val="20"/>
          <w:lang w:eastAsia="sl-SI"/>
        </w:rPr>
        <w:t xml:space="preserve">projektov, </w:t>
      </w:r>
      <w:r>
        <w:rPr>
          <w:iCs/>
          <w:snapToGrid w:val="0"/>
          <w:szCs w:val="20"/>
          <w:lang w:eastAsia="sl-SI"/>
        </w:rPr>
        <w:t>59</w:t>
      </w:r>
      <w:r w:rsidRPr="00BB1953">
        <w:rPr>
          <w:iCs/>
          <w:snapToGrid w:val="0"/>
          <w:szCs w:val="20"/>
          <w:lang w:eastAsia="sl-SI"/>
        </w:rPr>
        <w:t xml:space="preserve"> stavb, v skupni površini </w:t>
      </w:r>
      <w:r w:rsidRPr="00EC15DB">
        <w:rPr>
          <w:iCs/>
          <w:snapToGrid w:val="0"/>
          <w:szCs w:val="20"/>
          <w:lang w:eastAsia="sl-SI"/>
        </w:rPr>
        <w:t>226.068,51</w:t>
      </w:r>
      <w:r w:rsidRPr="005B2EDD" w:rsidDel="005B2EDD"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/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naslednjih ministrstev</w:t>
      </w:r>
      <w:r w:rsidRPr="00BB1953">
        <w:rPr>
          <w:i/>
          <w:iCs/>
          <w:snapToGrid w:val="0"/>
          <w:szCs w:val="20"/>
          <w:lang w:eastAsia="sl-SI"/>
        </w:rPr>
        <w:t>:</w:t>
      </w:r>
    </w:p>
    <w:p w:rsidR="004C2F86" w:rsidRPr="00BB1953" w:rsidRDefault="004C2F86" w:rsidP="004C2F86">
      <w:pPr>
        <w:numPr>
          <w:ilvl w:val="1"/>
          <w:numId w:val="5"/>
        </w:numPr>
        <w:suppressAutoHyphens/>
        <w:autoSpaceDE w:val="0"/>
        <w:ind w:left="709" w:hanging="709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>MZ (</w:t>
      </w:r>
      <w:r>
        <w:rPr>
          <w:iCs/>
          <w:snapToGrid w:val="0"/>
          <w:szCs w:val="20"/>
          <w:lang w:eastAsia="sl-SI"/>
        </w:rPr>
        <w:t>5</w:t>
      </w:r>
      <w:r w:rsidRPr="00BB1953">
        <w:rPr>
          <w:iCs/>
          <w:snapToGrid w:val="0"/>
          <w:szCs w:val="20"/>
          <w:lang w:eastAsia="sl-SI"/>
        </w:rPr>
        <w:t xml:space="preserve"> projektov,</w:t>
      </w:r>
      <w:r>
        <w:rPr>
          <w:iCs/>
          <w:snapToGrid w:val="0"/>
          <w:szCs w:val="20"/>
          <w:lang w:eastAsia="sl-SI"/>
        </w:rPr>
        <w:t xml:space="preserve"> 11</w:t>
      </w:r>
      <w:r w:rsidRPr="00BB1953">
        <w:rPr>
          <w:iCs/>
          <w:snapToGrid w:val="0"/>
          <w:szCs w:val="20"/>
          <w:lang w:eastAsia="sl-SI"/>
        </w:rPr>
        <w:t xml:space="preserve"> stavb, v skupni površini </w:t>
      </w:r>
      <w:r w:rsidRPr="009C3C26">
        <w:rPr>
          <w:iCs/>
          <w:snapToGrid w:val="0"/>
          <w:szCs w:val="20"/>
          <w:lang w:eastAsia="sl-SI"/>
        </w:rPr>
        <w:t>78.964,35</w:t>
      </w:r>
      <w:r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:rsidR="004C2F86" w:rsidRPr="00BB1953" w:rsidRDefault="004C2F86" w:rsidP="004C2F86">
      <w:pPr>
        <w:numPr>
          <w:ilvl w:val="1"/>
          <w:numId w:val="5"/>
        </w:numPr>
        <w:suppressAutoHyphens/>
        <w:autoSpaceDE w:val="0"/>
        <w:ind w:left="709" w:hanging="709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>MSP</w:t>
      </w:r>
      <w:r w:rsidRPr="00BB1953">
        <w:rPr>
          <w:iCs/>
          <w:snapToGrid w:val="0"/>
          <w:szCs w:val="20"/>
          <w:lang w:eastAsia="sl-SI"/>
        </w:rPr>
        <w:t xml:space="preserve"> (</w:t>
      </w:r>
      <w:r>
        <w:rPr>
          <w:iCs/>
          <w:snapToGrid w:val="0"/>
          <w:szCs w:val="20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 xml:space="preserve"> projekt</w:t>
      </w:r>
      <w:r>
        <w:rPr>
          <w:iCs/>
          <w:snapToGrid w:val="0"/>
          <w:szCs w:val="20"/>
          <w:lang w:eastAsia="sl-SI"/>
        </w:rPr>
        <w:t>a</w:t>
      </w:r>
      <w:r w:rsidRPr="00BB1953">
        <w:rPr>
          <w:iCs/>
          <w:snapToGrid w:val="0"/>
          <w:szCs w:val="20"/>
          <w:lang w:eastAsia="sl-SI"/>
        </w:rPr>
        <w:t xml:space="preserve">, </w:t>
      </w:r>
      <w:r>
        <w:rPr>
          <w:iCs/>
          <w:snapToGrid w:val="0"/>
          <w:szCs w:val="20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 xml:space="preserve"> stavb, v skupni površini </w:t>
      </w:r>
      <w:r w:rsidRPr="008335DD">
        <w:rPr>
          <w:iCs/>
          <w:snapToGrid w:val="0"/>
          <w:szCs w:val="20"/>
          <w:lang w:eastAsia="sl-SI"/>
        </w:rPr>
        <w:t>8.294,25</w:t>
      </w:r>
      <w:r w:rsidRPr="008335DD" w:rsidDel="008335DD"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:rsidR="004C2F86" w:rsidRDefault="004C2F86" w:rsidP="004C2F86">
      <w:pPr>
        <w:numPr>
          <w:ilvl w:val="1"/>
          <w:numId w:val="5"/>
        </w:numPr>
        <w:suppressAutoHyphens/>
        <w:autoSpaceDE w:val="0"/>
        <w:ind w:left="709" w:hanging="709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>MVI</w:t>
      </w:r>
      <w:r w:rsidRPr="00BB1953">
        <w:rPr>
          <w:iCs/>
          <w:snapToGrid w:val="0"/>
          <w:szCs w:val="20"/>
          <w:lang w:eastAsia="sl-SI"/>
        </w:rPr>
        <w:t xml:space="preserve"> (</w:t>
      </w:r>
      <w:r>
        <w:rPr>
          <w:iCs/>
          <w:snapToGrid w:val="0"/>
          <w:szCs w:val="20"/>
          <w:lang w:eastAsia="sl-SI"/>
        </w:rPr>
        <w:t>17</w:t>
      </w:r>
      <w:r w:rsidRPr="00BB1953">
        <w:rPr>
          <w:iCs/>
          <w:snapToGrid w:val="0"/>
          <w:szCs w:val="20"/>
          <w:lang w:eastAsia="sl-SI"/>
        </w:rPr>
        <w:t xml:space="preserve"> projektov, </w:t>
      </w:r>
      <w:r>
        <w:rPr>
          <w:iCs/>
          <w:snapToGrid w:val="0"/>
          <w:szCs w:val="20"/>
          <w:lang w:eastAsia="sl-SI"/>
        </w:rPr>
        <w:t>30</w:t>
      </w:r>
      <w:r w:rsidRPr="00BB1953">
        <w:rPr>
          <w:iCs/>
          <w:snapToGrid w:val="0"/>
          <w:szCs w:val="20"/>
          <w:lang w:eastAsia="sl-SI"/>
        </w:rPr>
        <w:t xml:space="preserve"> stavb, v skupni površini </w:t>
      </w:r>
      <w:r w:rsidRPr="005B2EDD">
        <w:rPr>
          <w:iCs/>
          <w:snapToGrid w:val="0"/>
          <w:szCs w:val="20"/>
          <w:lang w:eastAsia="sl-SI"/>
        </w:rPr>
        <w:t>88.652,02</w:t>
      </w:r>
      <w:r w:rsidRPr="005B2EDD" w:rsidDel="005B2EDD"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:rsidR="004C2F86" w:rsidRDefault="004C2F86" w:rsidP="004C2F86">
      <w:pPr>
        <w:numPr>
          <w:ilvl w:val="1"/>
          <w:numId w:val="5"/>
        </w:numPr>
        <w:suppressAutoHyphens/>
        <w:autoSpaceDE w:val="0"/>
        <w:ind w:left="709" w:hanging="709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>MVZI (2</w:t>
      </w:r>
      <w:r w:rsidRPr="00812357">
        <w:rPr>
          <w:iCs/>
          <w:snapToGrid w:val="0"/>
          <w:szCs w:val="20"/>
          <w:lang w:eastAsia="sl-SI"/>
        </w:rPr>
        <w:t xml:space="preserve"> projekt</w:t>
      </w:r>
      <w:r>
        <w:rPr>
          <w:iCs/>
          <w:snapToGrid w:val="0"/>
          <w:szCs w:val="20"/>
          <w:lang w:eastAsia="sl-SI"/>
        </w:rPr>
        <w:t>a</w:t>
      </w:r>
      <w:r w:rsidRPr="00812357">
        <w:rPr>
          <w:iCs/>
          <w:snapToGrid w:val="0"/>
          <w:szCs w:val="20"/>
          <w:lang w:eastAsia="sl-SI"/>
        </w:rPr>
        <w:t xml:space="preserve">, </w:t>
      </w:r>
      <w:r>
        <w:rPr>
          <w:iCs/>
          <w:snapToGrid w:val="0"/>
          <w:szCs w:val="20"/>
          <w:lang w:eastAsia="sl-SI"/>
        </w:rPr>
        <w:t>3</w:t>
      </w:r>
      <w:r w:rsidRPr="00812357">
        <w:rPr>
          <w:iCs/>
          <w:snapToGrid w:val="0"/>
          <w:szCs w:val="20"/>
          <w:lang w:eastAsia="sl-SI"/>
        </w:rPr>
        <w:t xml:space="preserve"> stavb</w:t>
      </w:r>
      <w:r>
        <w:rPr>
          <w:iCs/>
          <w:snapToGrid w:val="0"/>
          <w:szCs w:val="20"/>
          <w:lang w:eastAsia="sl-SI"/>
        </w:rPr>
        <w:t>e</w:t>
      </w:r>
      <w:r w:rsidRPr="00812357">
        <w:rPr>
          <w:iCs/>
          <w:snapToGrid w:val="0"/>
          <w:szCs w:val="20"/>
          <w:lang w:eastAsia="sl-SI"/>
        </w:rPr>
        <w:t>, v skupni površini 4.989,91</w:t>
      </w:r>
      <w:r>
        <w:rPr>
          <w:iCs/>
          <w:snapToGrid w:val="0"/>
          <w:szCs w:val="20"/>
          <w:lang w:eastAsia="sl-SI"/>
        </w:rPr>
        <w:t xml:space="preserve"> </w:t>
      </w:r>
      <w:r w:rsidRPr="00812357">
        <w:rPr>
          <w:iCs/>
          <w:snapToGrid w:val="0"/>
          <w:szCs w:val="20"/>
          <w:lang w:eastAsia="sl-SI"/>
        </w:rPr>
        <w:t>m</w:t>
      </w:r>
      <w:r w:rsidRPr="006B0CD5">
        <w:rPr>
          <w:iCs/>
          <w:snapToGrid w:val="0"/>
          <w:szCs w:val="20"/>
          <w:vertAlign w:val="superscript"/>
          <w:lang w:eastAsia="sl-SI"/>
        </w:rPr>
        <w:t>2</w:t>
      </w:r>
      <w:r>
        <w:rPr>
          <w:iCs/>
          <w:snapToGrid w:val="0"/>
          <w:szCs w:val="20"/>
          <w:lang w:eastAsia="sl-SI"/>
        </w:rPr>
        <w:t>),</w:t>
      </w:r>
    </w:p>
    <w:p w:rsidR="004C2F86" w:rsidRDefault="004C2F86" w:rsidP="004C2F86">
      <w:pPr>
        <w:numPr>
          <w:ilvl w:val="1"/>
          <w:numId w:val="5"/>
        </w:numPr>
        <w:suppressAutoHyphens/>
        <w:autoSpaceDE w:val="0"/>
        <w:ind w:left="709" w:hanging="709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 xml:space="preserve">MP </w:t>
      </w:r>
      <w:r w:rsidRPr="00812357">
        <w:rPr>
          <w:iCs/>
          <w:snapToGrid w:val="0"/>
          <w:szCs w:val="20"/>
          <w:lang w:eastAsia="sl-SI"/>
        </w:rPr>
        <w:t>(</w:t>
      </w:r>
      <w:r>
        <w:rPr>
          <w:iCs/>
          <w:snapToGrid w:val="0"/>
          <w:szCs w:val="20"/>
          <w:lang w:eastAsia="sl-SI"/>
        </w:rPr>
        <w:t>1</w:t>
      </w:r>
      <w:r w:rsidRPr="00812357">
        <w:rPr>
          <w:iCs/>
          <w:snapToGrid w:val="0"/>
          <w:szCs w:val="20"/>
          <w:lang w:eastAsia="sl-SI"/>
        </w:rPr>
        <w:t xml:space="preserve"> projekt, </w:t>
      </w:r>
      <w:r>
        <w:rPr>
          <w:iCs/>
          <w:snapToGrid w:val="0"/>
          <w:szCs w:val="20"/>
          <w:lang w:eastAsia="sl-SI"/>
        </w:rPr>
        <w:t>1</w:t>
      </w:r>
      <w:r w:rsidRPr="00812357">
        <w:rPr>
          <w:iCs/>
          <w:snapToGrid w:val="0"/>
          <w:szCs w:val="20"/>
          <w:lang w:eastAsia="sl-SI"/>
        </w:rPr>
        <w:t xml:space="preserve"> stavb</w:t>
      </w:r>
      <w:r>
        <w:rPr>
          <w:iCs/>
          <w:snapToGrid w:val="0"/>
          <w:szCs w:val="20"/>
          <w:lang w:eastAsia="sl-SI"/>
        </w:rPr>
        <w:t>a</w:t>
      </w:r>
      <w:r w:rsidRPr="00812357">
        <w:rPr>
          <w:iCs/>
          <w:snapToGrid w:val="0"/>
          <w:szCs w:val="20"/>
          <w:lang w:eastAsia="sl-SI"/>
        </w:rPr>
        <w:t>, v skupni površini 6.083,00</w:t>
      </w:r>
      <w:r>
        <w:rPr>
          <w:iCs/>
          <w:snapToGrid w:val="0"/>
          <w:szCs w:val="20"/>
          <w:lang w:eastAsia="sl-SI"/>
        </w:rPr>
        <w:t xml:space="preserve"> </w:t>
      </w:r>
      <w:r w:rsidRPr="00812357">
        <w:rPr>
          <w:iCs/>
          <w:snapToGrid w:val="0"/>
          <w:szCs w:val="20"/>
          <w:lang w:eastAsia="sl-SI"/>
        </w:rPr>
        <w:t>m</w:t>
      </w:r>
      <w:r w:rsidRPr="006B0CD5">
        <w:rPr>
          <w:iCs/>
          <w:snapToGrid w:val="0"/>
          <w:szCs w:val="20"/>
          <w:vertAlign w:val="superscript"/>
          <w:lang w:eastAsia="sl-SI"/>
        </w:rPr>
        <w:t>2</w:t>
      </w:r>
      <w:r w:rsidRPr="00812357">
        <w:rPr>
          <w:iCs/>
          <w:snapToGrid w:val="0"/>
          <w:szCs w:val="20"/>
          <w:lang w:eastAsia="sl-SI"/>
        </w:rPr>
        <w:t>),</w:t>
      </w:r>
    </w:p>
    <w:p w:rsidR="004C2F86" w:rsidRDefault="004C2F86" w:rsidP="004C2F86">
      <w:pPr>
        <w:numPr>
          <w:ilvl w:val="1"/>
          <w:numId w:val="5"/>
        </w:numPr>
        <w:suppressAutoHyphens/>
        <w:autoSpaceDE w:val="0"/>
        <w:ind w:left="709" w:hanging="709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>MK (7</w:t>
      </w:r>
      <w:r w:rsidRPr="00812357">
        <w:rPr>
          <w:iCs/>
          <w:snapToGrid w:val="0"/>
          <w:szCs w:val="20"/>
          <w:lang w:eastAsia="sl-SI"/>
        </w:rPr>
        <w:t xml:space="preserve"> projektov, </w:t>
      </w:r>
      <w:r>
        <w:rPr>
          <w:iCs/>
          <w:snapToGrid w:val="0"/>
          <w:szCs w:val="20"/>
          <w:lang w:eastAsia="sl-SI"/>
        </w:rPr>
        <w:t>10</w:t>
      </w:r>
      <w:r w:rsidRPr="00812357">
        <w:rPr>
          <w:iCs/>
          <w:snapToGrid w:val="0"/>
          <w:szCs w:val="20"/>
          <w:lang w:eastAsia="sl-SI"/>
        </w:rPr>
        <w:t xml:space="preserve"> stavb, v skupni površini </w:t>
      </w:r>
      <w:r w:rsidRPr="005B2EDD">
        <w:rPr>
          <w:iCs/>
          <w:snapToGrid w:val="0"/>
          <w:szCs w:val="20"/>
          <w:lang w:eastAsia="sl-SI"/>
        </w:rPr>
        <w:t>32.250,48</w:t>
      </w:r>
      <w:r w:rsidRPr="005B2EDD" w:rsidDel="005B2EDD">
        <w:rPr>
          <w:iCs/>
          <w:snapToGrid w:val="0"/>
          <w:szCs w:val="20"/>
          <w:lang w:eastAsia="sl-SI"/>
        </w:rPr>
        <w:t xml:space="preserve"> </w:t>
      </w:r>
      <w:r w:rsidRPr="00812357">
        <w:rPr>
          <w:iCs/>
          <w:snapToGrid w:val="0"/>
          <w:szCs w:val="20"/>
          <w:lang w:eastAsia="sl-SI"/>
        </w:rPr>
        <w:t>m</w:t>
      </w:r>
      <w:r w:rsidRPr="006B0CD5">
        <w:rPr>
          <w:iCs/>
          <w:snapToGrid w:val="0"/>
          <w:szCs w:val="20"/>
          <w:vertAlign w:val="superscript"/>
          <w:lang w:eastAsia="sl-SI"/>
        </w:rPr>
        <w:t>2</w:t>
      </w:r>
      <w:r w:rsidRPr="00812357">
        <w:rPr>
          <w:iCs/>
          <w:snapToGrid w:val="0"/>
          <w:szCs w:val="20"/>
          <w:lang w:eastAsia="sl-SI"/>
        </w:rPr>
        <w:t>),</w:t>
      </w:r>
    </w:p>
    <w:p w:rsidR="004C2F86" w:rsidRPr="00BB1953" w:rsidRDefault="004C2F86" w:rsidP="004C2F86">
      <w:pPr>
        <w:numPr>
          <w:ilvl w:val="1"/>
          <w:numId w:val="5"/>
        </w:numPr>
        <w:suppressAutoHyphens/>
        <w:autoSpaceDE w:val="0"/>
        <w:ind w:left="709" w:hanging="709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 xml:space="preserve">MJU (2 </w:t>
      </w:r>
      <w:r w:rsidRPr="00BB1953">
        <w:rPr>
          <w:iCs/>
          <w:snapToGrid w:val="0"/>
          <w:szCs w:val="20"/>
          <w:lang w:eastAsia="sl-SI"/>
        </w:rPr>
        <w:t>projekt</w:t>
      </w:r>
      <w:r>
        <w:rPr>
          <w:iCs/>
          <w:snapToGrid w:val="0"/>
          <w:szCs w:val="20"/>
          <w:lang w:eastAsia="sl-SI"/>
        </w:rPr>
        <w:t>a</w:t>
      </w:r>
      <w:r w:rsidRPr="00BB1953">
        <w:rPr>
          <w:iCs/>
          <w:snapToGrid w:val="0"/>
          <w:szCs w:val="20"/>
          <w:lang w:eastAsia="sl-SI"/>
        </w:rPr>
        <w:t xml:space="preserve">, </w:t>
      </w:r>
      <w:r>
        <w:rPr>
          <w:iCs/>
          <w:snapToGrid w:val="0"/>
          <w:szCs w:val="20"/>
          <w:lang w:eastAsia="sl-SI"/>
        </w:rPr>
        <w:t xml:space="preserve">2 </w:t>
      </w:r>
      <w:r w:rsidRPr="00BB1953">
        <w:rPr>
          <w:iCs/>
          <w:snapToGrid w:val="0"/>
          <w:szCs w:val="20"/>
          <w:lang w:eastAsia="sl-SI"/>
        </w:rPr>
        <w:t>stavb</w:t>
      </w:r>
      <w:r>
        <w:rPr>
          <w:iCs/>
          <w:snapToGrid w:val="0"/>
          <w:szCs w:val="20"/>
          <w:lang w:eastAsia="sl-SI"/>
        </w:rPr>
        <w:t>i</w:t>
      </w:r>
      <w:r w:rsidRPr="00BB1953">
        <w:rPr>
          <w:iCs/>
          <w:snapToGrid w:val="0"/>
          <w:szCs w:val="20"/>
          <w:lang w:eastAsia="sl-SI"/>
        </w:rPr>
        <w:t xml:space="preserve">, v skupni površini </w:t>
      </w:r>
      <w:r w:rsidRPr="00812357">
        <w:rPr>
          <w:iCs/>
          <w:snapToGrid w:val="0"/>
          <w:szCs w:val="20"/>
          <w:lang w:eastAsia="sl-SI"/>
        </w:rPr>
        <w:t>6.834,50</w:t>
      </w:r>
      <w:r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.</w:t>
      </w:r>
    </w:p>
    <w:p w:rsidR="004C2F86" w:rsidRDefault="004C2F86" w:rsidP="004C2F86">
      <w:pPr>
        <w:autoSpaceDE w:val="0"/>
        <w:jc w:val="both"/>
        <w:rPr>
          <w:i/>
          <w:iCs/>
          <w:snapToGrid w:val="0"/>
          <w:szCs w:val="20"/>
          <w:lang w:eastAsia="sl-SI"/>
        </w:rPr>
      </w:pPr>
    </w:p>
    <w:p w:rsidR="004C2F86" w:rsidRDefault="004C2F86" w:rsidP="004C2F86">
      <w:pPr>
        <w:autoSpaceDE w:val="0"/>
        <w:jc w:val="both"/>
        <w:rPr>
          <w:i/>
          <w:iCs/>
          <w:snapToGrid w:val="0"/>
          <w:szCs w:val="20"/>
          <w:lang w:eastAsia="sl-SI"/>
        </w:rPr>
      </w:pPr>
      <w:r w:rsidRPr="003F1B9A">
        <w:rPr>
          <w:i/>
          <w:iCs/>
          <w:snapToGrid w:val="0"/>
          <w:szCs w:val="20"/>
          <w:lang w:eastAsia="sl-SI"/>
        </w:rPr>
        <w:t xml:space="preserve">Seznam stavb iz Sklopa 1 je </w:t>
      </w:r>
      <w:r w:rsidRPr="00F61E85">
        <w:rPr>
          <w:i/>
          <w:iCs/>
          <w:snapToGrid w:val="0"/>
          <w:szCs w:val="20"/>
          <w:lang w:eastAsia="sl-SI"/>
        </w:rPr>
        <w:t>podan v Prilogi 1.</w:t>
      </w:r>
    </w:p>
    <w:p w:rsidR="006074AD" w:rsidRPr="004C2F86" w:rsidRDefault="006074AD" w:rsidP="004C2F86">
      <w:pPr>
        <w:autoSpaceDE w:val="0"/>
        <w:jc w:val="both"/>
        <w:rPr>
          <w:i/>
          <w:iCs/>
          <w:snapToGrid w:val="0"/>
          <w:szCs w:val="20"/>
          <w:lang w:eastAsia="sl-SI"/>
        </w:rPr>
      </w:pPr>
    </w:p>
    <w:p w:rsidR="004C2F86" w:rsidRPr="00BB1953" w:rsidRDefault="004C2F86" w:rsidP="004C2F86">
      <w:pPr>
        <w:numPr>
          <w:ilvl w:val="0"/>
          <w:numId w:val="5"/>
        </w:numPr>
        <w:suppressAutoHyphens/>
        <w:autoSpaceDE w:val="0"/>
        <w:ind w:hanging="720"/>
        <w:jc w:val="both"/>
        <w:rPr>
          <w:i/>
          <w:iCs/>
          <w:snapToGrid w:val="0"/>
          <w:szCs w:val="20"/>
          <w:lang w:eastAsia="sl-SI"/>
        </w:rPr>
      </w:pPr>
      <w:r w:rsidRPr="00BB1953">
        <w:rPr>
          <w:b/>
          <w:bCs/>
          <w:i/>
          <w:iCs/>
          <w:snapToGrid w:val="0"/>
          <w:szCs w:val="20"/>
          <w:lang w:eastAsia="sl-SI"/>
        </w:rPr>
        <w:t xml:space="preserve">Sklop 2 </w:t>
      </w:r>
      <w:r w:rsidRPr="00BB1953">
        <w:rPr>
          <w:bCs/>
          <w:i/>
          <w:iCs/>
          <w:snapToGrid w:val="0"/>
          <w:szCs w:val="20"/>
          <w:lang w:eastAsia="sl-SI"/>
        </w:rPr>
        <w:t>(</w:t>
      </w:r>
      <w:r w:rsidRPr="00BB1953">
        <w:rPr>
          <w:i/>
          <w:iCs/>
          <w:snapToGrid w:val="0"/>
          <w:szCs w:val="20"/>
          <w:lang w:eastAsia="sl-SI"/>
        </w:rPr>
        <w:t xml:space="preserve">Stavbe, ki imajo (delno) zagotovljene pogoje za izvedbo energetske prenove, vendar nimajo zagotovljenih sredstev - pripravljena je ekonomska in tehnična dokumentacija, vendar ni zaključene finančne konstrukcije (načrtuje se uvrstitev projekta </w:t>
      </w:r>
      <w:r w:rsidRPr="00BB1953">
        <w:rPr>
          <w:i/>
          <w:iCs/>
          <w:snapToGrid w:val="0"/>
          <w:szCs w:val="20"/>
          <w:lang w:eastAsia="sl-SI"/>
        </w:rPr>
        <w:lastRenderedPageBreak/>
        <w:t>v proračun; načrtuje se prijava za pridobitev kohezijskih sredstev; prijava je že oddana vendar še ni pridobljene odločitve o podpori itd.)).</w:t>
      </w:r>
    </w:p>
    <w:p w:rsidR="004C2F86" w:rsidRPr="00BB1953" w:rsidRDefault="004C2F86" w:rsidP="004C2F86">
      <w:pPr>
        <w:autoSpaceDE w:val="0"/>
        <w:ind w:hanging="720"/>
        <w:jc w:val="both"/>
        <w:rPr>
          <w:iCs/>
          <w:snapToGrid w:val="0"/>
          <w:szCs w:val="20"/>
          <w:lang w:eastAsia="sl-SI"/>
        </w:rPr>
      </w:pPr>
    </w:p>
    <w:p w:rsidR="004C2F86" w:rsidRPr="00BB1953" w:rsidRDefault="004C2F86" w:rsidP="004C2F86">
      <w:pPr>
        <w:autoSpaceDE w:val="0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 xml:space="preserve">V ta sklop je uvrščenih </w:t>
      </w:r>
      <w:r>
        <w:rPr>
          <w:iCs/>
          <w:snapToGrid w:val="0"/>
          <w:szCs w:val="20"/>
          <w:lang w:eastAsia="sl-SI"/>
        </w:rPr>
        <w:t xml:space="preserve">40 </w:t>
      </w:r>
      <w:r w:rsidRPr="00BB1953">
        <w:rPr>
          <w:iCs/>
          <w:snapToGrid w:val="0"/>
          <w:szCs w:val="20"/>
          <w:lang w:eastAsia="sl-SI"/>
        </w:rPr>
        <w:t xml:space="preserve">projektov, </w:t>
      </w:r>
      <w:r>
        <w:rPr>
          <w:iCs/>
          <w:snapToGrid w:val="0"/>
          <w:szCs w:val="20"/>
          <w:lang w:eastAsia="sl-SI"/>
        </w:rPr>
        <w:t xml:space="preserve">49 </w:t>
      </w:r>
      <w:r w:rsidRPr="00BB1953">
        <w:rPr>
          <w:iCs/>
          <w:snapToGrid w:val="0"/>
          <w:szCs w:val="20"/>
          <w:lang w:eastAsia="sl-SI"/>
        </w:rPr>
        <w:t xml:space="preserve">stavb, v skupni površini </w:t>
      </w:r>
      <w:r w:rsidRPr="00EB7AF9">
        <w:rPr>
          <w:iCs/>
          <w:snapToGrid w:val="0"/>
          <w:szCs w:val="20"/>
          <w:lang w:eastAsia="sl-SI"/>
        </w:rPr>
        <w:t>111.683,12</w:t>
      </w:r>
      <w:r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 xml:space="preserve"> naslednjih ministrstev:</w:t>
      </w:r>
    </w:p>
    <w:p w:rsidR="004C2F86" w:rsidRPr="00BB1953" w:rsidRDefault="004C2F86" w:rsidP="004C2F86">
      <w:pPr>
        <w:numPr>
          <w:ilvl w:val="1"/>
          <w:numId w:val="5"/>
        </w:numPr>
        <w:suppressAutoHyphens/>
        <w:autoSpaceDE w:val="0"/>
        <w:ind w:left="709" w:hanging="709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>MNZ (</w:t>
      </w:r>
      <w:r>
        <w:rPr>
          <w:iCs/>
          <w:snapToGrid w:val="0"/>
          <w:szCs w:val="20"/>
          <w:lang w:eastAsia="sl-SI"/>
        </w:rPr>
        <w:t>7</w:t>
      </w:r>
      <w:r w:rsidRPr="00BB1953">
        <w:rPr>
          <w:iCs/>
          <w:snapToGrid w:val="0"/>
          <w:szCs w:val="20"/>
          <w:lang w:eastAsia="sl-SI"/>
        </w:rPr>
        <w:t xml:space="preserve"> projektov, </w:t>
      </w:r>
      <w:r>
        <w:rPr>
          <w:iCs/>
          <w:snapToGrid w:val="0"/>
          <w:szCs w:val="20"/>
          <w:lang w:eastAsia="sl-SI"/>
        </w:rPr>
        <w:t>15</w:t>
      </w:r>
      <w:r w:rsidRPr="00BB1953">
        <w:rPr>
          <w:iCs/>
          <w:snapToGrid w:val="0"/>
          <w:szCs w:val="20"/>
          <w:lang w:eastAsia="sl-SI"/>
        </w:rPr>
        <w:t xml:space="preserve"> stavb, v skupni površini </w:t>
      </w:r>
      <w:r w:rsidRPr="00D36CE6">
        <w:rPr>
          <w:iCs/>
          <w:snapToGrid w:val="0"/>
          <w:szCs w:val="20"/>
          <w:lang w:eastAsia="sl-SI"/>
        </w:rPr>
        <w:t>47.354,14</w:t>
      </w:r>
      <w:r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:rsidR="004C2F86" w:rsidRPr="00BB1953" w:rsidRDefault="004C2F86" w:rsidP="004C2F86">
      <w:pPr>
        <w:numPr>
          <w:ilvl w:val="1"/>
          <w:numId w:val="5"/>
        </w:numPr>
        <w:suppressAutoHyphens/>
        <w:autoSpaceDE w:val="0"/>
        <w:ind w:left="709" w:hanging="709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>MORS (</w:t>
      </w:r>
      <w:r>
        <w:rPr>
          <w:iCs/>
          <w:snapToGrid w:val="0"/>
          <w:szCs w:val="20"/>
          <w:lang w:eastAsia="sl-SI"/>
        </w:rPr>
        <w:t>15</w:t>
      </w:r>
      <w:r w:rsidRPr="00BB1953">
        <w:rPr>
          <w:iCs/>
          <w:snapToGrid w:val="0"/>
          <w:szCs w:val="20"/>
          <w:lang w:eastAsia="sl-SI"/>
        </w:rPr>
        <w:t xml:space="preserve"> projektov, </w:t>
      </w:r>
      <w:r>
        <w:rPr>
          <w:iCs/>
          <w:snapToGrid w:val="0"/>
          <w:szCs w:val="20"/>
          <w:lang w:eastAsia="sl-SI"/>
        </w:rPr>
        <w:t>15</w:t>
      </w:r>
      <w:r w:rsidRPr="00BB1953">
        <w:rPr>
          <w:iCs/>
          <w:snapToGrid w:val="0"/>
          <w:szCs w:val="20"/>
          <w:lang w:eastAsia="sl-SI"/>
        </w:rPr>
        <w:t xml:space="preserve"> stavb, v skupni površini </w:t>
      </w:r>
      <w:r>
        <w:rPr>
          <w:iCs/>
          <w:snapToGrid w:val="0"/>
          <w:szCs w:val="20"/>
          <w:lang w:eastAsia="sl-SI"/>
        </w:rPr>
        <w:t>23.075,00</w:t>
      </w:r>
      <w:r w:rsidRPr="00BB1953">
        <w:rPr>
          <w:iCs/>
          <w:snapToGrid w:val="0"/>
          <w:szCs w:val="20"/>
          <w:lang w:eastAsia="sl-SI"/>
        </w:rPr>
        <w:t xml:space="preserve"> 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:rsidR="004C2F86" w:rsidRPr="00BB1953" w:rsidRDefault="004C2F86" w:rsidP="004C2F86">
      <w:pPr>
        <w:numPr>
          <w:ilvl w:val="1"/>
          <w:numId w:val="5"/>
        </w:numPr>
        <w:suppressAutoHyphens/>
        <w:autoSpaceDE w:val="0"/>
        <w:ind w:left="709" w:hanging="709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>MZ (</w:t>
      </w:r>
      <w:r>
        <w:rPr>
          <w:iCs/>
          <w:snapToGrid w:val="0"/>
          <w:szCs w:val="20"/>
          <w:lang w:eastAsia="sl-SI"/>
        </w:rPr>
        <w:t>3</w:t>
      </w:r>
      <w:r w:rsidRPr="00BB1953">
        <w:rPr>
          <w:iCs/>
          <w:snapToGrid w:val="0"/>
          <w:szCs w:val="20"/>
          <w:lang w:eastAsia="sl-SI"/>
        </w:rPr>
        <w:t xml:space="preserve"> projekt</w:t>
      </w:r>
      <w:r>
        <w:rPr>
          <w:iCs/>
          <w:snapToGrid w:val="0"/>
          <w:szCs w:val="20"/>
          <w:lang w:eastAsia="sl-SI"/>
        </w:rPr>
        <w:t>i</w:t>
      </w:r>
      <w:r w:rsidRPr="00BB1953">
        <w:rPr>
          <w:iCs/>
          <w:snapToGrid w:val="0"/>
          <w:szCs w:val="20"/>
          <w:lang w:eastAsia="sl-SI"/>
        </w:rPr>
        <w:t xml:space="preserve">, </w:t>
      </w:r>
      <w:r>
        <w:rPr>
          <w:iCs/>
          <w:snapToGrid w:val="0"/>
          <w:szCs w:val="20"/>
          <w:lang w:eastAsia="sl-SI"/>
        </w:rPr>
        <w:t>3</w:t>
      </w:r>
      <w:r w:rsidRPr="00BB1953">
        <w:rPr>
          <w:iCs/>
          <w:snapToGrid w:val="0"/>
          <w:szCs w:val="20"/>
          <w:lang w:eastAsia="sl-SI"/>
        </w:rPr>
        <w:t xml:space="preserve"> stavb</w:t>
      </w:r>
      <w:r>
        <w:rPr>
          <w:iCs/>
          <w:snapToGrid w:val="0"/>
          <w:szCs w:val="20"/>
          <w:lang w:eastAsia="sl-SI"/>
        </w:rPr>
        <w:t>e</w:t>
      </w:r>
      <w:r w:rsidRPr="00BB1953">
        <w:rPr>
          <w:iCs/>
          <w:snapToGrid w:val="0"/>
          <w:szCs w:val="20"/>
          <w:lang w:eastAsia="sl-SI"/>
        </w:rPr>
        <w:t xml:space="preserve">, v skupni površini </w:t>
      </w:r>
      <w:r w:rsidRPr="00656059">
        <w:rPr>
          <w:iCs/>
          <w:snapToGrid w:val="0"/>
          <w:szCs w:val="20"/>
          <w:lang w:eastAsia="sl-SI"/>
        </w:rPr>
        <w:t>4.136,00</w:t>
      </w:r>
      <w:r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:rsidR="004C2F86" w:rsidRPr="00BB1953" w:rsidRDefault="004C2F86" w:rsidP="004C2F86">
      <w:pPr>
        <w:numPr>
          <w:ilvl w:val="1"/>
          <w:numId w:val="5"/>
        </w:numPr>
        <w:suppressAutoHyphens/>
        <w:autoSpaceDE w:val="0"/>
        <w:ind w:left="709" w:hanging="709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>MSP (2</w:t>
      </w:r>
      <w:r w:rsidRPr="00BB1953">
        <w:rPr>
          <w:iCs/>
          <w:snapToGrid w:val="0"/>
          <w:szCs w:val="20"/>
          <w:lang w:eastAsia="sl-SI"/>
        </w:rPr>
        <w:t xml:space="preserve"> projekt</w:t>
      </w:r>
      <w:r>
        <w:rPr>
          <w:iCs/>
          <w:snapToGrid w:val="0"/>
          <w:szCs w:val="20"/>
          <w:lang w:eastAsia="sl-SI"/>
        </w:rPr>
        <w:t>a</w:t>
      </w:r>
      <w:r w:rsidRPr="00BB1953">
        <w:rPr>
          <w:iCs/>
          <w:snapToGrid w:val="0"/>
          <w:szCs w:val="20"/>
          <w:lang w:eastAsia="sl-SI"/>
        </w:rPr>
        <w:t xml:space="preserve">, </w:t>
      </w:r>
      <w:r>
        <w:rPr>
          <w:iCs/>
          <w:snapToGrid w:val="0"/>
          <w:szCs w:val="20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 xml:space="preserve"> stavb</w:t>
      </w:r>
      <w:r>
        <w:rPr>
          <w:iCs/>
          <w:snapToGrid w:val="0"/>
          <w:szCs w:val="20"/>
          <w:lang w:eastAsia="sl-SI"/>
        </w:rPr>
        <w:t>i</w:t>
      </w:r>
      <w:r w:rsidRPr="00BB1953">
        <w:rPr>
          <w:iCs/>
          <w:snapToGrid w:val="0"/>
          <w:szCs w:val="20"/>
          <w:lang w:eastAsia="sl-SI"/>
        </w:rPr>
        <w:t xml:space="preserve">, v skupni površini </w:t>
      </w:r>
      <w:r>
        <w:rPr>
          <w:iCs/>
          <w:snapToGrid w:val="0"/>
          <w:szCs w:val="20"/>
          <w:lang w:eastAsia="sl-SI"/>
        </w:rPr>
        <w:t xml:space="preserve">6.604,55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:rsidR="004C2F86" w:rsidRPr="00F61E85" w:rsidRDefault="004C2F86" w:rsidP="004C2F86">
      <w:pPr>
        <w:pStyle w:val="Odstavekseznama"/>
        <w:numPr>
          <w:ilvl w:val="1"/>
          <w:numId w:val="5"/>
        </w:numPr>
        <w:suppressAutoHyphens/>
        <w:autoSpaceDE w:val="0"/>
        <w:ind w:left="709" w:hanging="709"/>
        <w:contextualSpacing w:val="0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 xml:space="preserve">MP </w:t>
      </w:r>
      <w:r w:rsidRPr="00F61E85">
        <w:rPr>
          <w:iCs/>
          <w:snapToGrid w:val="0"/>
          <w:szCs w:val="20"/>
          <w:lang w:eastAsia="sl-SI"/>
        </w:rPr>
        <w:t>(</w:t>
      </w:r>
      <w:r>
        <w:rPr>
          <w:iCs/>
          <w:snapToGrid w:val="0"/>
          <w:szCs w:val="20"/>
          <w:lang w:eastAsia="sl-SI"/>
        </w:rPr>
        <w:t>4</w:t>
      </w:r>
      <w:r w:rsidRPr="00F61E85">
        <w:rPr>
          <w:iCs/>
          <w:snapToGrid w:val="0"/>
          <w:szCs w:val="20"/>
          <w:lang w:eastAsia="sl-SI"/>
        </w:rPr>
        <w:t xml:space="preserve"> projekti, </w:t>
      </w:r>
      <w:r>
        <w:rPr>
          <w:iCs/>
          <w:snapToGrid w:val="0"/>
          <w:szCs w:val="20"/>
          <w:lang w:eastAsia="sl-SI"/>
        </w:rPr>
        <w:t>5</w:t>
      </w:r>
      <w:r w:rsidRPr="00F61E85">
        <w:rPr>
          <w:iCs/>
          <w:snapToGrid w:val="0"/>
          <w:szCs w:val="20"/>
          <w:lang w:eastAsia="sl-SI"/>
        </w:rPr>
        <w:t xml:space="preserve"> stavb, v skupni površini 14.674,32</w:t>
      </w:r>
      <w:r>
        <w:rPr>
          <w:iCs/>
          <w:snapToGrid w:val="0"/>
          <w:szCs w:val="20"/>
          <w:lang w:eastAsia="sl-SI"/>
        </w:rPr>
        <w:t xml:space="preserve"> </w:t>
      </w:r>
      <w:r w:rsidRPr="00F61E85">
        <w:rPr>
          <w:iCs/>
          <w:snapToGrid w:val="0"/>
          <w:szCs w:val="20"/>
          <w:lang w:eastAsia="sl-SI"/>
        </w:rPr>
        <w:t>m</w:t>
      </w:r>
      <w:r w:rsidRPr="006B0CD5">
        <w:rPr>
          <w:iCs/>
          <w:snapToGrid w:val="0"/>
          <w:szCs w:val="20"/>
          <w:vertAlign w:val="superscript"/>
          <w:lang w:eastAsia="sl-SI"/>
        </w:rPr>
        <w:t>2</w:t>
      </w:r>
      <w:r w:rsidRPr="00F61E85">
        <w:rPr>
          <w:iCs/>
          <w:snapToGrid w:val="0"/>
          <w:szCs w:val="20"/>
          <w:lang w:eastAsia="sl-SI"/>
        </w:rPr>
        <w:t>),</w:t>
      </w:r>
    </w:p>
    <w:p w:rsidR="004C2F86" w:rsidRDefault="004C2F86" w:rsidP="004C2F86">
      <w:pPr>
        <w:numPr>
          <w:ilvl w:val="1"/>
          <w:numId w:val="5"/>
        </w:numPr>
        <w:suppressAutoHyphens/>
        <w:autoSpaceDE w:val="0"/>
        <w:ind w:left="709" w:hanging="709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>MK (</w:t>
      </w:r>
      <w:r>
        <w:rPr>
          <w:iCs/>
          <w:snapToGrid w:val="0"/>
          <w:szCs w:val="20"/>
          <w:lang w:eastAsia="sl-SI"/>
        </w:rPr>
        <w:t>4</w:t>
      </w:r>
      <w:r w:rsidRPr="00BB1953">
        <w:rPr>
          <w:iCs/>
          <w:snapToGrid w:val="0"/>
          <w:szCs w:val="20"/>
          <w:lang w:eastAsia="sl-SI"/>
        </w:rPr>
        <w:t xml:space="preserve"> projekt</w:t>
      </w:r>
      <w:r>
        <w:rPr>
          <w:iCs/>
          <w:snapToGrid w:val="0"/>
          <w:szCs w:val="20"/>
          <w:lang w:eastAsia="sl-SI"/>
        </w:rPr>
        <w:t>i</w:t>
      </w:r>
      <w:r w:rsidRPr="00BB1953">
        <w:rPr>
          <w:iCs/>
          <w:snapToGrid w:val="0"/>
          <w:szCs w:val="20"/>
          <w:lang w:eastAsia="sl-SI"/>
        </w:rPr>
        <w:t xml:space="preserve">, </w:t>
      </w:r>
      <w:r>
        <w:rPr>
          <w:iCs/>
          <w:snapToGrid w:val="0"/>
          <w:szCs w:val="20"/>
          <w:lang w:eastAsia="sl-SI"/>
        </w:rPr>
        <w:t>4</w:t>
      </w:r>
      <w:r w:rsidRPr="00BB1953">
        <w:rPr>
          <w:iCs/>
          <w:snapToGrid w:val="0"/>
          <w:szCs w:val="20"/>
          <w:lang w:eastAsia="sl-SI"/>
        </w:rPr>
        <w:t xml:space="preserve"> stavb</w:t>
      </w:r>
      <w:r>
        <w:rPr>
          <w:iCs/>
          <w:snapToGrid w:val="0"/>
          <w:szCs w:val="20"/>
          <w:lang w:eastAsia="sl-SI"/>
        </w:rPr>
        <w:t>e</w:t>
      </w:r>
      <w:r w:rsidRPr="00BB1953">
        <w:rPr>
          <w:iCs/>
          <w:snapToGrid w:val="0"/>
          <w:szCs w:val="20"/>
          <w:lang w:eastAsia="sl-SI"/>
        </w:rPr>
        <w:t xml:space="preserve">, v skupni površini </w:t>
      </w:r>
      <w:r w:rsidRPr="00656059">
        <w:rPr>
          <w:iCs/>
          <w:snapToGrid w:val="0"/>
          <w:szCs w:val="20"/>
          <w:lang w:eastAsia="sl-SI"/>
        </w:rPr>
        <w:t>6.840,90</w:t>
      </w:r>
      <w:r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:rsidR="004C2F86" w:rsidRPr="00BB1953" w:rsidRDefault="004C2F86" w:rsidP="004C2F86">
      <w:pPr>
        <w:numPr>
          <w:ilvl w:val="1"/>
          <w:numId w:val="5"/>
        </w:numPr>
        <w:suppressAutoHyphens/>
        <w:autoSpaceDE w:val="0"/>
        <w:ind w:left="709" w:hanging="709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 xml:space="preserve">MJU </w:t>
      </w:r>
      <w:r w:rsidRPr="00656059">
        <w:rPr>
          <w:iCs/>
          <w:snapToGrid w:val="0"/>
          <w:szCs w:val="20"/>
          <w:lang w:eastAsia="sl-SI"/>
        </w:rPr>
        <w:t>(</w:t>
      </w:r>
      <w:r>
        <w:rPr>
          <w:iCs/>
          <w:snapToGrid w:val="0"/>
          <w:szCs w:val="20"/>
          <w:lang w:eastAsia="sl-SI"/>
        </w:rPr>
        <w:t>5</w:t>
      </w:r>
      <w:r w:rsidRPr="00656059">
        <w:rPr>
          <w:iCs/>
          <w:snapToGrid w:val="0"/>
          <w:szCs w:val="20"/>
          <w:lang w:eastAsia="sl-SI"/>
        </w:rPr>
        <w:t xml:space="preserve"> projekt</w:t>
      </w:r>
      <w:r>
        <w:rPr>
          <w:iCs/>
          <w:snapToGrid w:val="0"/>
          <w:szCs w:val="20"/>
          <w:lang w:eastAsia="sl-SI"/>
        </w:rPr>
        <w:t>ov</w:t>
      </w:r>
      <w:r w:rsidRPr="00656059">
        <w:rPr>
          <w:iCs/>
          <w:snapToGrid w:val="0"/>
          <w:szCs w:val="20"/>
          <w:lang w:eastAsia="sl-SI"/>
        </w:rPr>
        <w:t xml:space="preserve">, </w:t>
      </w:r>
      <w:r>
        <w:rPr>
          <w:iCs/>
          <w:snapToGrid w:val="0"/>
          <w:szCs w:val="20"/>
          <w:lang w:eastAsia="sl-SI"/>
        </w:rPr>
        <w:t>5</w:t>
      </w:r>
      <w:r w:rsidRPr="00656059">
        <w:rPr>
          <w:iCs/>
          <w:snapToGrid w:val="0"/>
          <w:szCs w:val="20"/>
          <w:lang w:eastAsia="sl-SI"/>
        </w:rPr>
        <w:t xml:space="preserve"> stavb, v skupni površini 8.998,21</w:t>
      </w:r>
      <w:r>
        <w:rPr>
          <w:iCs/>
          <w:snapToGrid w:val="0"/>
          <w:szCs w:val="20"/>
          <w:lang w:eastAsia="sl-SI"/>
        </w:rPr>
        <w:t xml:space="preserve"> </w:t>
      </w:r>
      <w:r w:rsidRPr="00656059">
        <w:rPr>
          <w:iCs/>
          <w:snapToGrid w:val="0"/>
          <w:szCs w:val="20"/>
          <w:lang w:eastAsia="sl-SI"/>
        </w:rPr>
        <w:t>m</w:t>
      </w:r>
      <w:r w:rsidRPr="006B0CD5">
        <w:rPr>
          <w:iCs/>
          <w:snapToGrid w:val="0"/>
          <w:szCs w:val="20"/>
          <w:vertAlign w:val="superscript"/>
          <w:lang w:eastAsia="sl-SI"/>
        </w:rPr>
        <w:t>2</w:t>
      </w:r>
      <w:r w:rsidRPr="00656059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.</w:t>
      </w:r>
    </w:p>
    <w:p w:rsidR="004C2F86" w:rsidRDefault="004C2F86" w:rsidP="004C2F86">
      <w:pPr>
        <w:autoSpaceDE w:val="0"/>
        <w:jc w:val="both"/>
        <w:rPr>
          <w:i/>
          <w:iCs/>
          <w:snapToGrid w:val="0"/>
          <w:szCs w:val="20"/>
          <w:lang w:eastAsia="sl-SI"/>
        </w:rPr>
      </w:pPr>
    </w:p>
    <w:p w:rsidR="004C2F86" w:rsidRDefault="004C2F86" w:rsidP="004C2F86">
      <w:pPr>
        <w:autoSpaceDE w:val="0"/>
        <w:jc w:val="both"/>
        <w:rPr>
          <w:i/>
          <w:iCs/>
          <w:snapToGrid w:val="0"/>
          <w:szCs w:val="20"/>
          <w:lang w:eastAsia="sl-SI"/>
        </w:rPr>
      </w:pPr>
      <w:r w:rsidRPr="003F1B9A">
        <w:rPr>
          <w:i/>
          <w:iCs/>
          <w:snapToGrid w:val="0"/>
          <w:szCs w:val="20"/>
          <w:lang w:eastAsia="sl-SI"/>
        </w:rPr>
        <w:t xml:space="preserve">Seznam stavb iz Sklopa 2 je podan v </w:t>
      </w:r>
      <w:r w:rsidRPr="00F61E85">
        <w:rPr>
          <w:i/>
          <w:iCs/>
          <w:snapToGrid w:val="0"/>
          <w:szCs w:val="20"/>
          <w:lang w:eastAsia="sl-SI"/>
        </w:rPr>
        <w:t>Prilogi 1.</w:t>
      </w:r>
    </w:p>
    <w:p w:rsidR="006074AD" w:rsidRPr="00BB1953" w:rsidRDefault="006074AD" w:rsidP="004C2F86">
      <w:pPr>
        <w:autoSpaceDE w:val="0"/>
        <w:jc w:val="both"/>
        <w:rPr>
          <w:i/>
          <w:iCs/>
          <w:snapToGrid w:val="0"/>
          <w:szCs w:val="20"/>
          <w:lang w:eastAsia="sl-SI"/>
        </w:rPr>
      </w:pPr>
    </w:p>
    <w:p w:rsidR="004C2F86" w:rsidRPr="00BB1953" w:rsidRDefault="004C2F86" w:rsidP="004C2F86">
      <w:pPr>
        <w:numPr>
          <w:ilvl w:val="0"/>
          <w:numId w:val="5"/>
        </w:numPr>
        <w:suppressAutoHyphens/>
        <w:autoSpaceDE w:val="0"/>
        <w:ind w:hanging="720"/>
        <w:jc w:val="both"/>
        <w:rPr>
          <w:i/>
          <w:iCs/>
          <w:snapToGrid w:val="0"/>
          <w:szCs w:val="20"/>
          <w:lang w:eastAsia="sl-SI"/>
        </w:rPr>
      </w:pPr>
      <w:r w:rsidRPr="00BB1953">
        <w:rPr>
          <w:b/>
          <w:bCs/>
          <w:i/>
          <w:iCs/>
          <w:snapToGrid w:val="0"/>
          <w:szCs w:val="20"/>
          <w:lang w:eastAsia="sl-SI"/>
        </w:rPr>
        <w:t xml:space="preserve">Sklop </w:t>
      </w:r>
      <w:r>
        <w:rPr>
          <w:b/>
          <w:bCs/>
          <w:i/>
          <w:iCs/>
          <w:snapToGrid w:val="0"/>
          <w:szCs w:val="20"/>
          <w:lang w:eastAsia="sl-SI"/>
        </w:rPr>
        <w:t>3</w:t>
      </w:r>
      <w:r w:rsidRPr="00BB1953">
        <w:rPr>
          <w:b/>
          <w:bCs/>
          <w:i/>
          <w:iCs/>
          <w:snapToGrid w:val="0"/>
          <w:szCs w:val="20"/>
          <w:lang w:eastAsia="sl-SI"/>
        </w:rPr>
        <w:t xml:space="preserve"> </w:t>
      </w:r>
      <w:r w:rsidRPr="00BB1953">
        <w:rPr>
          <w:bCs/>
          <w:i/>
          <w:iCs/>
          <w:snapToGrid w:val="0"/>
          <w:szCs w:val="20"/>
          <w:lang w:eastAsia="sl-SI"/>
        </w:rPr>
        <w:t>(</w:t>
      </w:r>
      <w:r w:rsidRPr="00BB1953">
        <w:rPr>
          <w:i/>
          <w:iCs/>
          <w:snapToGrid w:val="0"/>
          <w:szCs w:val="20"/>
          <w:lang w:eastAsia="sl-SI"/>
        </w:rPr>
        <w:t>Novogradnje - ki imajo vse zagotovljene pogoje za takojšnjo izvedbo - imajo vso dokumentacijo in zaprto finančno konstrukcijo).</w:t>
      </w:r>
    </w:p>
    <w:p w:rsidR="004C2F86" w:rsidRPr="00BB1953" w:rsidRDefault="004C2F86" w:rsidP="004C2F86">
      <w:pPr>
        <w:autoSpaceDE w:val="0"/>
        <w:ind w:left="360"/>
        <w:jc w:val="both"/>
        <w:rPr>
          <w:i/>
          <w:iCs/>
          <w:snapToGrid w:val="0"/>
          <w:szCs w:val="20"/>
          <w:lang w:eastAsia="sl-SI"/>
        </w:rPr>
      </w:pPr>
    </w:p>
    <w:p w:rsidR="004C2F86" w:rsidRPr="00BB1953" w:rsidRDefault="004C2F86" w:rsidP="004C2F86">
      <w:pPr>
        <w:autoSpaceDE w:val="0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 xml:space="preserve">V ta sklop </w:t>
      </w:r>
      <w:r>
        <w:rPr>
          <w:iCs/>
          <w:snapToGrid w:val="0"/>
          <w:szCs w:val="20"/>
          <w:lang w:eastAsia="sl-SI"/>
        </w:rPr>
        <w:t>je</w:t>
      </w:r>
      <w:r w:rsidRPr="00BB1953">
        <w:rPr>
          <w:iCs/>
          <w:snapToGrid w:val="0"/>
          <w:szCs w:val="20"/>
          <w:lang w:eastAsia="sl-SI"/>
        </w:rPr>
        <w:t xml:space="preserve"> uvrščeni</w:t>
      </w:r>
      <w:r>
        <w:rPr>
          <w:iCs/>
          <w:snapToGrid w:val="0"/>
          <w:szCs w:val="20"/>
          <w:lang w:eastAsia="sl-SI"/>
        </w:rPr>
        <w:t>h</w:t>
      </w:r>
      <w:r w:rsidRPr="00BB1953">
        <w:rPr>
          <w:iCs/>
          <w:snapToGrid w:val="0"/>
          <w:szCs w:val="20"/>
          <w:lang w:eastAsia="sl-SI"/>
        </w:rPr>
        <w:t xml:space="preserve"> </w:t>
      </w:r>
      <w:r>
        <w:rPr>
          <w:iCs/>
          <w:snapToGrid w:val="0"/>
          <w:szCs w:val="20"/>
          <w:lang w:eastAsia="sl-SI"/>
        </w:rPr>
        <w:t xml:space="preserve">16 </w:t>
      </w:r>
      <w:r w:rsidRPr="00BB1953">
        <w:rPr>
          <w:iCs/>
          <w:snapToGrid w:val="0"/>
          <w:szCs w:val="20"/>
          <w:lang w:eastAsia="sl-SI"/>
        </w:rPr>
        <w:t>projekt</w:t>
      </w:r>
      <w:r>
        <w:rPr>
          <w:iCs/>
          <w:snapToGrid w:val="0"/>
          <w:szCs w:val="20"/>
          <w:lang w:eastAsia="sl-SI"/>
        </w:rPr>
        <w:t>ov</w:t>
      </w:r>
      <w:r w:rsidRPr="00BB1953">
        <w:rPr>
          <w:iCs/>
          <w:snapToGrid w:val="0"/>
          <w:szCs w:val="20"/>
          <w:lang w:eastAsia="sl-SI"/>
        </w:rPr>
        <w:t xml:space="preserve">, </w:t>
      </w:r>
      <w:r>
        <w:rPr>
          <w:iCs/>
          <w:snapToGrid w:val="0"/>
          <w:szCs w:val="20"/>
          <w:lang w:eastAsia="sl-SI"/>
        </w:rPr>
        <w:t>16</w:t>
      </w:r>
      <w:r w:rsidRPr="00BB1953">
        <w:rPr>
          <w:iCs/>
          <w:snapToGrid w:val="0"/>
          <w:szCs w:val="20"/>
          <w:lang w:eastAsia="sl-SI"/>
        </w:rPr>
        <w:t xml:space="preserve"> stavb, v skupni površini </w:t>
      </w:r>
      <w:r w:rsidRPr="00EC15DB">
        <w:rPr>
          <w:iCs/>
          <w:snapToGrid w:val="0"/>
          <w:szCs w:val="20"/>
          <w:lang w:eastAsia="sl-SI"/>
        </w:rPr>
        <w:t>112.053,95</w:t>
      </w:r>
      <w:r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 xml:space="preserve">2 </w:t>
      </w:r>
      <w:r w:rsidRPr="00BB1953">
        <w:rPr>
          <w:iCs/>
          <w:snapToGrid w:val="0"/>
          <w:szCs w:val="20"/>
          <w:lang w:eastAsia="sl-SI"/>
        </w:rPr>
        <w:t xml:space="preserve">naslednjih ministrstev: </w:t>
      </w:r>
    </w:p>
    <w:p w:rsidR="004C2F86" w:rsidRDefault="004C2F86" w:rsidP="004C2F86">
      <w:pPr>
        <w:numPr>
          <w:ilvl w:val="1"/>
          <w:numId w:val="5"/>
        </w:numPr>
        <w:suppressAutoHyphens/>
        <w:autoSpaceDE w:val="0"/>
        <w:ind w:left="709" w:hanging="709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>MZ (</w:t>
      </w:r>
      <w:r>
        <w:rPr>
          <w:iCs/>
          <w:snapToGrid w:val="0"/>
          <w:szCs w:val="20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 xml:space="preserve"> projekt</w:t>
      </w:r>
      <w:r w:rsidR="006074AD">
        <w:rPr>
          <w:iCs/>
          <w:snapToGrid w:val="0"/>
          <w:szCs w:val="20"/>
          <w:lang w:eastAsia="sl-SI"/>
        </w:rPr>
        <w:t>a</w:t>
      </w:r>
      <w:r w:rsidRPr="00BB1953">
        <w:rPr>
          <w:iCs/>
          <w:snapToGrid w:val="0"/>
          <w:szCs w:val="20"/>
          <w:lang w:eastAsia="sl-SI"/>
        </w:rPr>
        <w:t xml:space="preserve">, </w:t>
      </w:r>
      <w:r>
        <w:rPr>
          <w:iCs/>
          <w:snapToGrid w:val="0"/>
          <w:szCs w:val="20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 xml:space="preserve"> stavb</w:t>
      </w:r>
      <w:r>
        <w:rPr>
          <w:iCs/>
          <w:snapToGrid w:val="0"/>
          <w:szCs w:val="20"/>
          <w:lang w:eastAsia="sl-SI"/>
        </w:rPr>
        <w:t>i</w:t>
      </w:r>
      <w:r w:rsidRPr="00BB1953">
        <w:rPr>
          <w:iCs/>
          <w:snapToGrid w:val="0"/>
          <w:szCs w:val="20"/>
          <w:lang w:eastAsia="sl-SI"/>
        </w:rPr>
        <w:t xml:space="preserve">, v skupni površini </w:t>
      </w:r>
      <w:r w:rsidRPr="00EC15DB">
        <w:rPr>
          <w:iCs/>
          <w:snapToGrid w:val="0"/>
          <w:szCs w:val="20"/>
          <w:lang w:eastAsia="sl-SI"/>
        </w:rPr>
        <w:t>38.000,00</w:t>
      </w:r>
      <w:r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:rsidR="004C2F86" w:rsidRDefault="004C2F86" w:rsidP="004C2F86">
      <w:pPr>
        <w:numPr>
          <w:ilvl w:val="1"/>
          <w:numId w:val="5"/>
        </w:numPr>
        <w:suppressAutoHyphens/>
        <w:autoSpaceDE w:val="0"/>
        <w:ind w:left="709" w:hanging="709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 xml:space="preserve">MSP (10 projektov, 10 stavb, v skupni površini 39.723,22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>
        <w:rPr>
          <w:iCs/>
          <w:snapToGrid w:val="0"/>
          <w:szCs w:val="20"/>
          <w:lang w:eastAsia="sl-SI"/>
        </w:rPr>
        <w:t>),</w:t>
      </w:r>
    </w:p>
    <w:p w:rsidR="004C2F86" w:rsidRPr="00BB1953" w:rsidRDefault="004C2F86" w:rsidP="004C2F86">
      <w:pPr>
        <w:numPr>
          <w:ilvl w:val="1"/>
          <w:numId w:val="5"/>
        </w:numPr>
        <w:suppressAutoHyphens/>
        <w:autoSpaceDE w:val="0"/>
        <w:ind w:left="709" w:hanging="709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>MVI (3</w:t>
      </w:r>
      <w:r w:rsidR="006074AD">
        <w:rPr>
          <w:iCs/>
          <w:snapToGrid w:val="0"/>
          <w:szCs w:val="20"/>
          <w:lang w:eastAsia="sl-SI"/>
        </w:rPr>
        <w:t xml:space="preserve"> projekti</w:t>
      </w:r>
      <w:r w:rsidRPr="00A93145">
        <w:rPr>
          <w:iCs/>
          <w:snapToGrid w:val="0"/>
          <w:szCs w:val="20"/>
          <w:lang w:eastAsia="sl-SI"/>
        </w:rPr>
        <w:t xml:space="preserve">, </w:t>
      </w:r>
      <w:r>
        <w:rPr>
          <w:iCs/>
          <w:snapToGrid w:val="0"/>
          <w:szCs w:val="20"/>
          <w:lang w:eastAsia="sl-SI"/>
        </w:rPr>
        <w:t>3</w:t>
      </w:r>
      <w:r w:rsidRPr="00A93145">
        <w:rPr>
          <w:iCs/>
          <w:snapToGrid w:val="0"/>
          <w:szCs w:val="20"/>
          <w:lang w:eastAsia="sl-SI"/>
        </w:rPr>
        <w:t xml:space="preserve"> stavb, v skupni površini </w:t>
      </w:r>
      <w:r w:rsidRPr="005B2EDD">
        <w:rPr>
          <w:iCs/>
          <w:snapToGrid w:val="0"/>
          <w:szCs w:val="20"/>
          <w:lang w:eastAsia="sl-SI"/>
        </w:rPr>
        <w:t>11.549,33</w:t>
      </w:r>
      <w:r w:rsidRPr="005B2EDD" w:rsidDel="005B2EDD">
        <w:rPr>
          <w:iCs/>
          <w:snapToGrid w:val="0"/>
          <w:szCs w:val="20"/>
          <w:lang w:eastAsia="sl-SI"/>
        </w:rPr>
        <w:t xml:space="preserve"> </w:t>
      </w:r>
      <w:r w:rsidRPr="00A93145">
        <w:rPr>
          <w:iCs/>
          <w:snapToGrid w:val="0"/>
          <w:szCs w:val="20"/>
          <w:lang w:eastAsia="sl-SI"/>
        </w:rPr>
        <w:t>m</w:t>
      </w:r>
      <w:r w:rsidRPr="006B0CD5">
        <w:rPr>
          <w:iCs/>
          <w:snapToGrid w:val="0"/>
          <w:szCs w:val="20"/>
          <w:vertAlign w:val="superscript"/>
          <w:lang w:eastAsia="sl-SI"/>
        </w:rPr>
        <w:t>2</w:t>
      </w:r>
      <w:r w:rsidRPr="00A93145">
        <w:rPr>
          <w:iCs/>
          <w:snapToGrid w:val="0"/>
          <w:szCs w:val="20"/>
          <w:lang w:eastAsia="sl-SI"/>
        </w:rPr>
        <w:t>),</w:t>
      </w:r>
    </w:p>
    <w:p w:rsidR="004C2F86" w:rsidRPr="00BB1953" w:rsidRDefault="004C2F86" w:rsidP="004C2F86">
      <w:pPr>
        <w:numPr>
          <w:ilvl w:val="1"/>
          <w:numId w:val="5"/>
        </w:numPr>
        <w:suppressAutoHyphens/>
        <w:autoSpaceDE w:val="0"/>
        <w:ind w:left="709" w:hanging="709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>MP (1</w:t>
      </w:r>
      <w:r w:rsidRPr="00BB1953">
        <w:rPr>
          <w:iCs/>
          <w:snapToGrid w:val="0"/>
          <w:szCs w:val="20"/>
          <w:lang w:eastAsia="sl-SI"/>
        </w:rPr>
        <w:t xml:space="preserve"> projekt</w:t>
      </w:r>
      <w:r>
        <w:rPr>
          <w:iCs/>
          <w:snapToGrid w:val="0"/>
          <w:szCs w:val="20"/>
          <w:lang w:eastAsia="sl-SI"/>
        </w:rPr>
        <w:t>, 1 stavba</w:t>
      </w:r>
      <w:r w:rsidRPr="00BB1953">
        <w:rPr>
          <w:iCs/>
          <w:snapToGrid w:val="0"/>
          <w:szCs w:val="20"/>
          <w:lang w:eastAsia="sl-SI"/>
        </w:rPr>
        <w:t xml:space="preserve">, v skupni površini </w:t>
      </w:r>
      <w:r>
        <w:rPr>
          <w:iCs/>
          <w:snapToGrid w:val="0"/>
          <w:szCs w:val="20"/>
          <w:lang w:eastAsia="sl-SI"/>
        </w:rPr>
        <w:t>22.781,40</w:t>
      </w:r>
      <w:r w:rsidRPr="00BB1953">
        <w:rPr>
          <w:iCs/>
          <w:snapToGrid w:val="0"/>
          <w:szCs w:val="20"/>
          <w:lang w:eastAsia="sl-SI"/>
        </w:rPr>
        <w:t xml:space="preserve"> 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.</w:t>
      </w:r>
    </w:p>
    <w:p w:rsidR="004C2F86" w:rsidRDefault="004C2F86" w:rsidP="004C2F86">
      <w:pPr>
        <w:autoSpaceDE w:val="0"/>
        <w:jc w:val="both"/>
        <w:rPr>
          <w:i/>
          <w:iCs/>
          <w:snapToGrid w:val="0"/>
          <w:szCs w:val="20"/>
          <w:lang w:eastAsia="sl-SI"/>
        </w:rPr>
      </w:pPr>
    </w:p>
    <w:p w:rsidR="004C2F86" w:rsidRPr="00BB1953" w:rsidRDefault="004C2F86" w:rsidP="004C2F86">
      <w:pPr>
        <w:autoSpaceDE w:val="0"/>
        <w:jc w:val="both"/>
        <w:rPr>
          <w:iCs/>
          <w:snapToGrid w:val="0"/>
          <w:szCs w:val="20"/>
          <w:lang w:eastAsia="sl-SI"/>
        </w:rPr>
      </w:pPr>
      <w:r w:rsidRPr="00696506">
        <w:rPr>
          <w:i/>
          <w:iCs/>
          <w:snapToGrid w:val="0"/>
          <w:szCs w:val="20"/>
          <w:lang w:eastAsia="sl-SI"/>
        </w:rPr>
        <w:t>Sezna</w:t>
      </w:r>
      <w:r>
        <w:rPr>
          <w:i/>
          <w:iCs/>
          <w:snapToGrid w:val="0"/>
          <w:szCs w:val="20"/>
          <w:lang w:eastAsia="sl-SI"/>
        </w:rPr>
        <w:t xml:space="preserve">m stavb iz Sklopa 3 je podan v </w:t>
      </w:r>
      <w:r w:rsidRPr="006B0CD5">
        <w:rPr>
          <w:i/>
          <w:iCs/>
          <w:snapToGrid w:val="0"/>
          <w:szCs w:val="20"/>
          <w:lang w:eastAsia="sl-SI"/>
        </w:rPr>
        <w:t>Prilogi 1.</w:t>
      </w:r>
    </w:p>
    <w:p w:rsidR="004C2F86" w:rsidRDefault="004C2F86" w:rsidP="004C2F86">
      <w:pPr>
        <w:autoSpaceDE w:val="0"/>
        <w:jc w:val="both"/>
        <w:rPr>
          <w:i/>
          <w:iCs/>
          <w:snapToGrid w:val="0"/>
          <w:szCs w:val="20"/>
          <w:lang w:eastAsia="sl-SI"/>
        </w:rPr>
      </w:pPr>
    </w:p>
    <w:p w:rsidR="004C2F86" w:rsidRDefault="004C2F86" w:rsidP="004C2F86">
      <w:pPr>
        <w:autoSpaceDE w:val="0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>Vsi primerni projekti ter primerne stavbe za energetsko prenovo ter gradnjo po posameznih ministrstvih ter po posameznih sklopih so prikazani v Tabeli.</w:t>
      </w:r>
    </w:p>
    <w:p w:rsidR="004C2F86" w:rsidRDefault="004C2F86" w:rsidP="004C2F86">
      <w:pPr>
        <w:autoSpaceDE w:val="0"/>
        <w:jc w:val="both"/>
        <w:rPr>
          <w:iCs/>
          <w:snapToGrid w:val="0"/>
          <w:szCs w:val="20"/>
          <w:lang w:eastAsia="sl-SI"/>
        </w:rPr>
      </w:pPr>
    </w:p>
    <w:p w:rsidR="004C2F86" w:rsidRDefault="004C2F86" w:rsidP="004C2F86">
      <w:pPr>
        <w:autoSpaceDE w:val="0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>Na spodnjih dveh grafikonih (Slika 3 in Slika 4) so prikazani podatki o številu stavb in projektov</w:t>
      </w:r>
      <w:r w:rsidRPr="00DD0F14">
        <w:rPr>
          <w:iCs/>
          <w:snapToGrid w:val="0"/>
          <w:szCs w:val="20"/>
          <w:lang w:eastAsia="sl-SI"/>
        </w:rPr>
        <w:t xml:space="preserve"> </w:t>
      </w:r>
      <w:r>
        <w:rPr>
          <w:iCs/>
          <w:snapToGrid w:val="0"/>
          <w:szCs w:val="20"/>
          <w:lang w:eastAsia="sl-SI"/>
        </w:rPr>
        <w:t>ter o površini stavb primernih za energetsko obnovo ter gradnjo po posameznih sklopih.</w:t>
      </w:r>
    </w:p>
    <w:p w:rsidR="004C2F86" w:rsidRDefault="004C2F86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</w:p>
    <w:p w:rsidR="004C2F86" w:rsidRDefault="004C2F86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  <w:r>
        <w:rPr>
          <w:iCs/>
          <w:noProof/>
          <w:snapToGrid w:val="0"/>
          <w:szCs w:val="20"/>
          <w:lang w:eastAsia="sl-SI"/>
        </w:rPr>
        <w:drawing>
          <wp:inline distT="0" distB="0" distL="0" distR="0" wp14:anchorId="68C52978" wp14:editId="6ED4CA3D">
            <wp:extent cx="4591050" cy="2566969"/>
            <wp:effectExtent l="0" t="0" r="0" b="5080"/>
            <wp:docPr id="18985838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59" cy="258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F86" w:rsidRPr="006074AD" w:rsidRDefault="004C2F86" w:rsidP="004C2F86">
      <w:pPr>
        <w:pStyle w:val="Napis"/>
        <w:jc w:val="both"/>
        <w:rPr>
          <w:rFonts w:ascii="Arial" w:hAnsi="Arial" w:cs="Arial"/>
          <w:color w:val="auto"/>
          <w:sz w:val="16"/>
          <w:szCs w:val="16"/>
        </w:rPr>
      </w:pPr>
      <w:r w:rsidRPr="006074AD">
        <w:rPr>
          <w:rFonts w:ascii="Arial" w:hAnsi="Arial" w:cs="Arial"/>
          <w:color w:val="auto"/>
          <w:sz w:val="16"/>
          <w:szCs w:val="16"/>
        </w:rPr>
        <w:t xml:space="preserve">Slika </w:t>
      </w:r>
      <w:r w:rsidRPr="006074AD">
        <w:rPr>
          <w:rFonts w:ascii="Arial" w:hAnsi="Arial" w:cs="Arial"/>
          <w:noProof/>
          <w:color w:val="auto"/>
          <w:sz w:val="16"/>
          <w:szCs w:val="16"/>
        </w:rPr>
        <w:fldChar w:fldCharType="begin"/>
      </w:r>
      <w:r w:rsidRPr="006074AD">
        <w:rPr>
          <w:rFonts w:ascii="Arial" w:hAnsi="Arial" w:cs="Arial"/>
          <w:noProof/>
          <w:color w:val="auto"/>
          <w:sz w:val="16"/>
          <w:szCs w:val="16"/>
        </w:rPr>
        <w:instrText xml:space="preserve"> SEQ Slika \* ARABIC </w:instrText>
      </w:r>
      <w:r w:rsidRPr="006074AD">
        <w:rPr>
          <w:rFonts w:ascii="Arial" w:hAnsi="Arial" w:cs="Arial"/>
          <w:noProof/>
          <w:color w:val="auto"/>
          <w:sz w:val="16"/>
          <w:szCs w:val="16"/>
        </w:rPr>
        <w:fldChar w:fldCharType="separate"/>
      </w:r>
      <w:r w:rsidRPr="006074AD">
        <w:rPr>
          <w:rFonts w:ascii="Arial" w:hAnsi="Arial" w:cs="Arial"/>
          <w:noProof/>
          <w:color w:val="auto"/>
          <w:sz w:val="16"/>
          <w:szCs w:val="16"/>
        </w:rPr>
        <w:t>3</w:t>
      </w:r>
      <w:r w:rsidRPr="006074AD">
        <w:rPr>
          <w:rFonts w:ascii="Arial" w:hAnsi="Arial" w:cs="Arial"/>
          <w:noProof/>
          <w:color w:val="auto"/>
          <w:sz w:val="16"/>
          <w:szCs w:val="16"/>
        </w:rPr>
        <w:fldChar w:fldCharType="end"/>
      </w:r>
      <w:r w:rsidRPr="006074AD">
        <w:rPr>
          <w:rFonts w:ascii="Arial" w:hAnsi="Arial" w:cs="Arial"/>
          <w:color w:val="auto"/>
          <w:sz w:val="16"/>
          <w:szCs w:val="16"/>
        </w:rPr>
        <w:t>: Prikaz števila primernih stavb in projektov po sklopih</w:t>
      </w:r>
    </w:p>
    <w:p w:rsidR="004C2F86" w:rsidRDefault="004C2F86" w:rsidP="004C2F86">
      <w:pPr>
        <w:keepNext/>
        <w:autoSpaceDE w:val="0"/>
        <w:spacing w:line="276" w:lineRule="auto"/>
        <w:jc w:val="both"/>
      </w:pPr>
    </w:p>
    <w:p w:rsidR="004C2F86" w:rsidRDefault="004C2F86" w:rsidP="004C2F86">
      <w:pPr>
        <w:keepNext/>
        <w:autoSpaceDE w:val="0"/>
        <w:spacing w:line="276" w:lineRule="auto"/>
        <w:jc w:val="both"/>
      </w:pPr>
      <w:r>
        <w:rPr>
          <w:noProof/>
          <w:lang w:eastAsia="sl-SI"/>
        </w:rPr>
        <w:drawing>
          <wp:inline distT="0" distB="0" distL="0" distR="0" wp14:anchorId="745F8AB5" wp14:editId="10592809">
            <wp:extent cx="4621351" cy="3295650"/>
            <wp:effectExtent l="0" t="0" r="8255" b="0"/>
            <wp:docPr id="109516449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707" cy="330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F86" w:rsidRPr="006074AD" w:rsidRDefault="004C2F86" w:rsidP="004C2F86">
      <w:pPr>
        <w:pStyle w:val="Napis"/>
        <w:jc w:val="both"/>
        <w:rPr>
          <w:rFonts w:ascii="Arial" w:hAnsi="Arial" w:cs="Arial"/>
          <w:i w:val="0"/>
          <w:color w:val="auto"/>
          <w:sz w:val="16"/>
          <w:szCs w:val="16"/>
        </w:rPr>
      </w:pPr>
      <w:r w:rsidRPr="006074AD">
        <w:rPr>
          <w:rFonts w:ascii="Arial" w:hAnsi="Arial" w:cs="Arial"/>
          <w:i w:val="0"/>
          <w:color w:val="auto"/>
          <w:sz w:val="16"/>
          <w:szCs w:val="16"/>
        </w:rPr>
        <w:t xml:space="preserve">Slika </w:t>
      </w:r>
      <w:r w:rsidRPr="006074AD">
        <w:rPr>
          <w:rFonts w:ascii="Arial" w:hAnsi="Arial" w:cs="Arial"/>
          <w:i w:val="0"/>
          <w:noProof/>
          <w:color w:val="auto"/>
          <w:sz w:val="16"/>
          <w:szCs w:val="16"/>
        </w:rPr>
        <w:fldChar w:fldCharType="begin"/>
      </w:r>
      <w:r w:rsidRPr="006074AD">
        <w:rPr>
          <w:rFonts w:ascii="Arial" w:hAnsi="Arial" w:cs="Arial"/>
          <w:i w:val="0"/>
          <w:noProof/>
          <w:color w:val="auto"/>
          <w:sz w:val="16"/>
          <w:szCs w:val="16"/>
        </w:rPr>
        <w:instrText xml:space="preserve"> SEQ Slika \* ARABIC </w:instrText>
      </w:r>
      <w:r w:rsidRPr="006074AD">
        <w:rPr>
          <w:rFonts w:ascii="Arial" w:hAnsi="Arial" w:cs="Arial"/>
          <w:i w:val="0"/>
          <w:noProof/>
          <w:color w:val="auto"/>
          <w:sz w:val="16"/>
          <w:szCs w:val="16"/>
        </w:rPr>
        <w:fldChar w:fldCharType="separate"/>
      </w:r>
      <w:r w:rsidRPr="006074AD">
        <w:rPr>
          <w:rFonts w:ascii="Arial" w:hAnsi="Arial" w:cs="Arial"/>
          <w:i w:val="0"/>
          <w:noProof/>
          <w:color w:val="auto"/>
          <w:sz w:val="16"/>
          <w:szCs w:val="16"/>
        </w:rPr>
        <w:t>4</w:t>
      </w:r>
      <w:r w:rsidRPr="006074AD">
        <w:rPr>
          <w:rFonts w:ascii="Arial" w:hAnsi="Arial" w:cs="Arial"/>
          <w:i w:val="0"/>
          <w:noProof/>
          <w:color w:val="auto"/>
          <w:sz w:val="16"/>
          <w:szCs w:val="16"/>
        </w:rPr>
        <w:fldChar w:fldCharType="end"/>
      </w:r>
      <w:r w:rsidRPr="006074AD">
        <w:rPr>
          <w:rFonts w:ascii="Arial" w:hAnsi="Arial" w:cs="Arial"/>
          <w:i w:val="0"/>
          <w:color w:val="auto"/>
          <w:sz w:val="16"/>
          <w:szCs w:val="16"/>
        </w:rPr>
        <w:t>: Prikaz površine</w:t>
      </w:r>
      <w:r w:rsidR="006074AD" w:rsidRPr="006074AD">
        <w:rPr>
          <w:rFonts w:ascii="Arial" w:hAnsi="Arial" w:cs="Arial"/>
          <w:i w:val="0"/>
          <w:color w:val="auto"/>
          <w:sz w:val="16"/>
          <w:szCs w:val="16"/>
        </w:rPr>
        <w:t xml:space="preserve"> </w:t>
      </w:r>
      <w:r w:rsidR="006074AD" w:rsidRPr="004C2F86">
        <w:rPr>
          <w:rFonts w:ascii="Arial" w:hAnsi="Arial" w:cs="Arial"/>
          <w:i w:val="0"/>
          <w:color w:val="auto"/>
          <w:sz w:val="16"/>
          <w:szCs w:val="16"/>
        </w:rPr>
        <w:t>(m</w:t>
      </w:r>
      <w:r w:rsidR="006074AD" w:rsidRPr="004C2F86">
        <w:rPr>
          <w:rFonts w:ascii="Arial" w:hAnsi="Arial" w:cs="Arial"/>
          <w:i w:val="0"/>
          <w:color w:val="auto"/>
          <w:sz w:val="16"/>
          <w:szCs w:val="16"/>
          <w:vertAlign w:val="superscript"/>
        </w:rPr>
        <w:t>2</w:t>
      </w:r>
      <w:r w:rsidR="006074AD" w:rsidRPr="004C2F86">
        <w:rPr>
          <w:rFonts w:ascii="Arial" w:hAnsi="Arial" w:cs="Arial"/>
          <w:i w:val="0"/>
          <w:color w:val="auto"/>
          <w:sz w:val="16"/>
          <w:szCs w:val="16"/>
        </w:rPr>
        <w:t xml:space="preserve">) </w:t>
      </w:r>
      <w:r w:rsidRPr="006074AD">
        <w:rPr>
          <w:rFonts w:ascii="Arial" w:hAnsi="Arial" w:cs="Arial"/>
          <w:i w:val="0"/>
          <w:color w:val="auto"/>
          <w:sz w:val="16"/>
          <w:szCs w:val="16"/>
        </w:rPr>
        <w:t>primernih stavb po posameznih sklopih</w:t>
      </w:r>
    </w:p>
    <w:p w:rsidR="004C2F86" w:rsidRPr="00F5315A" w:rsidRDefault="004C2F86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</w:p>
    <w:p w:rsidR="004C2F86" w:rsidRDefault="004C2F86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 xml:space="preserve">Največje število stavb je uvrščenih v Sklop 1 in sicer 59 stavb, 36 projektov, v skupni površini </w:t>
      </w:r>
      <w:r w:rsidRPr="00EC15DB">
        <w:rPr>
          <w:iCs/>
          <w:snapToGrid w:val="0"/>
          <w:szCs w:val="20"/>
          <w:lang w:eastAsia="sl-SI"/>
        </w:rPr>
        <w:t>226.068,51</w:t>
      </w:r>
      <w:r>
        <w:rPr>
          <w:iCs/>
          <w:snapToGrid w:val="0"/>
          <w:szCs w:val="20"/>
          <w:lang w:eastAsia="sl-SI"/>
        </w:rPr>
        <w:t xml:space="preserve"> m</w:t>
      </w:r>
      <w:r w:rsidRPr="00A94409">
        <w:rPr>
          <w:iCs/>
          <w:snapToGrid w:val="0"/>
          <w:szCs w:val="20"/>
          <w:vertAlign w:val="superscript"/>
          <w:lang w:eastAsia="sl-SI"/>
        </w:rPr>
        <w:t>2</w:t>
      </w:r>
      <w:r>
        <w:rPr>
          <w:iCs/>
          <w:snapToGrid w:val="0"/>
          <w:szCs w:val="20"/>
          <w:lang w:eastAsia="sl-SI"/>
        </w:rPr>
        <w:t xml:space="preserve">, kar pomeni, da so za največji delež stavb že zagotovljeni vsi </w:t>
      </w:r>
      <w:r w:rsidRPr="00033B30">
        <w:rPr>
          <w:iCs/>
          <w:snapToGrid w:val="0"/>
          <w:szCs w:val="20"/>
          <w:lang w:eastAsia="sl-SI"/>
        </w:rPr>
        <w:t>pogoj</w:t>
      </w:r>
      <w:r>
        <w:rPr>
          <w:iCs/>
          <w:snapToGrid w:val="0"/>
          <w:szCs w:val="20"/>
          <w:lang w:eastAsia="sl-SI"/>
        </w:rPr>
        <w:t>i</w:t>
      </w:r>
      <w:r w:rsidRPr="00033B30">
        <w:rPr>
          <w:iCs/>
          <w:snapToGrid w:val="0"/>
          <w:szCs w:val="20"/>
          <w:lang w:eastAsia="sl-SI"/>
        </w:rPr>
        <w:t xml:space="preserve"> za izvedbo energetske prenove</w:t>
      </w:r>
      <w:r>
        <w:rPr>
          <w:iCs/>
          <w:snapToGrid w:val="0"/>
          <w:szCs w:val="20"/>
          <w:lang w:eastAsia="sl-SI"/>
        </w:rPr>
        <w:t xml:space="preserve">. Največje število stavb pripada MVI (30 stavb, 17 projektov), v skupni površini </w:t>
      </w:r>
      <w:r w:rsidRPr="00EC15DB">
        <w:rPr>
          <w:iCs/>
          <w:snapToGrid w:val="0"/>
          <w:szCs w:val="20"/>
          <w:lang w:eastAsia="sl-SI"/>
        </w:rPr>
        <w:t>88.652,02</w:t>
      </w:r>
      <w:r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>
        <w:rPr>
          <w:iCs/>
          <w:snapToGrid w:val="0"/>
          <w:szCs w:val="20"/>
          <w:lang w:eastAsia="sl-SI"/>
        </w:rPr>
        <w:t xml:space="preserve">. </w:t>
      </w:r>
    </w:p>
    <w:p w:rsidR="004C2F86" w:rsidRDefault="004C2F86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</w:p>
    <w:p w:rsidR="004C2F86" w:rsidRDefault="004C2F86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 xml:space="preserve">Druga največja skupina </w:t>
      </w:r>
      <w:r>
        <w:rPr>
          <w:iCs/>
          <w:snapToGrid w:val="0"/>
          <w:szCs w:val="20"/>
          <w:lang w:eastAsia="sl-SI"/>
        </w:rPr>
        <w:t>stavb</w:t>
      </w:r>
      <w:r w:rsidRPr="00BB1953">
        <w:rPr>
          <w:iCs/>
          <w:snapToGrid w:val="0"/>
          <w:szCs w:val="20"/>
          <w:lang w:eastAsia="sl-SI"/>
        </w:rPr>
        <w:t xml:space="preserve"> je v </w:t>
      </w:r>
      <w:r>
        <w:rPr>
          <w:iCs/>
          <w:snapToGrid w:val="0"/>
          <w:szCs w:val="20"/>
          <w:lang w:eastAsia="sl-SI"/>
        </w:rPr>
        <w:t>S</w:t>
      </w:r>
      <w:r w:rsidRPr="00BB1953">
        <w:rPr>
          <w:iCs/>
          <w:snapToGrid w:val="0"/>
          <w:szCs w:val="20"/>
          <w:lang w:eastAsia="sl-SI"/>
        </w:rPr>
        <w:t xml:space="preserve">klopu </w:t>
      </w:r>
      <w:r>
        <w:rPr>
          <w:iCs/>
          <w:snapToGrid w:val="0"/>
          <w:szCs w:val="20"/>
          <w:lang w:eastAsia="sl-SI"/>
        </w:rPr>
        <w:t>2 in sicer 49</w:t>
      </w:r>
      <w:r w:rsidRPr="00BB1953">
        <w:rPr>
          <w:iCs/>
          <w:snapToGrid w:val="0"/>
          <w:szCs w:val="20"/>
          <w:lang w:eastAsia="sl-SI"/>
        </w:rPr>
        <w:t xml:space="preserve"> stavb</w:t>
      </w:r>
      <w:r>
        <w:rPr>
          <w:iCs/>
          <w:snapToGrid w:val="0"/>
          <w:szCs w:val="20"/>
          <w:lang w:eastAsia="sl-SI"/>
        </w:rPr>
        <w:t>, 40</w:t>
      </w:r>
      <w:r w:rsidRPr="00BB1953">
        <w:rPr>
          <w:iCs/>
          <w:snapToGrid w:val="0"/>
          <w:szCs w:val="20"/>
          <w:lang w:eastAsia="sl-SI"/>
        </w:rPr>
        <w:t xml:space="preserve"> projektov, v skupni površini </w:t>
      </w:r>
      <w:r w:rsidRPr="005F54DA">
        <w:rPr>
          <w:iCs/>
          <w:snapToGrid w:val="0"/>
          <w:szCs w:val="20"/>
          <w:lang w:eastAsia="sl-SI"/>
        </w:rPr>
        <w:t>111.683,12</w:t>
      </w:r>
      <w:r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, za katere velja, da imajo</w:t>
      </w:r>
      <w:r>
        <w:rPr>
          <w:iCs/>
          <w:snapToGrid w:val="0"/>
          <w:szCs w:val="20"/>
          <w:lang w:eastAsia="sl-SI"/>
        </w:rPr>
        <w:t xml:space="preserve"> le delno</w:t>
      </w:r>
      <w:r w:rsidRPr="00BB1953">
        <w:rPr>
          <w:iCs/>
          <w:snapToGrid w:val="0"/>
          <w:szCs w:val="20"/>
          <w:lang w:eastAsia="sl-SI"/>
        </w:rPr>
        <w:t xml:space="preserve"> zagotovljene pogoje za energetsko prenovo</w:t>
      </w:r>
      <w:r>
        <w:rPr>
          <w:iCs/>
          <w:snapToGrid w:val="0"/>
          <w:szCs w:val="20"/>
          <w:lang w:eastAsia="sl-SI"/>
        </w:rPr>
        <w:t xml:space="preserve">. Največje število stavb pripada MORS in MNZ (15), največjo površino stavb prispeva MNZ </w:t>
      </w:r>
      <w:r>
        <w:t>(</w:t>
      </w:r>
      <w:r w:rsidRPr="005F54DA">
        <w:rPr>
          <w:iCs/>
          <w:snapToGrid w:val="0"/>
          <w:szCs w:val="20"/>
          <w:lang w:eastAsia="sl-SI"/>
        </w:rPr>
        <w:t>47.354,14</w:t>
      </w:r>
      <w:r>
        <w:rPr>
          <w:iCs/>
          <w:snapToGrid w:val="0"/>
          <w:szCs w:val="20"/>
          <w:lang w:eastAsia="sl-SI"/>
        </w:rPr>
        <w:t>m</w:t>
      </w:r>
      <w:r w:rsidRPr="001278C2">
        <w:rPr>
          <w:iCs/>
          <w:snapToGrid w:val="0"/>
          <w:szCs w:val="20"/>
          <w:vertAlign w:val="superscript"/>
          <w:lang w:eastAsia="sl-SI"/>
        </w:rPr>
        <w:t>2</w:t>
      </w:r>
      <w:r>
        <w:rPr>
          <w:iCs/>
          <w:snapToGrid w:val="0"/>
          <w:szCs w:val="20"/>
          <w:lang w:eastAsia="sl-SI"/>
        </w:rPr>
        <w:t>).</w:t>
      </w:r>
    </w:p>
    <w:p w:rsidR="004C2F86" w:rsidRDefault="004C2F86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</w:p>
    <w:p w:rsidR="004C2F86" w:rsidRDefault="004C2F86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 xml:space="preserve">V Sklop 3, kjer so zagotovljeni vsi pogoji za gradnjo skoraj nič energetskih stavb se nahaja 16 projektov oziroma stavb v skupni površini </w:t>
      </w:r>
      <w:r w:rsidRPr="00D34F8A">
        <w:rPr>
          <w:iCs/>
          <w:snapToGrid w:val="0"/>
          <w:szCs w:val="20"/>
          <w:lang w:eastAsia="sl-SI"/>
        </w:rPr>
        <w:t>112.053,95</w:t>
      </w:r>
      <w:r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>
        <w:rPr>
          <w:iCs/>
          <w:snapToGrid w:val="0"/>
          <w:szCs w:val="20"/>
          <w:lang w:eastAsia="sl-SI"/>
        </w:rPr>
        <w:t>.</w:t>
      </w:r>
    </w:p>
    <w:p w:rsidR="004C2F86" w:rsidRDefault="004C2F86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</w:p>
    <w:p w:rsidR="004C2F86" w:rsidRDefault="004C2F86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</w:p>
    <w:p w:rsidR="00F71CB3" w:rsidRDefault="00F71CB3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</w:p>
    <w:p w:rsidR="00F71CB3" w:rsidRDefault="00F71CB3" w:rsidP="004C2F86">
      <w:pPr>
        <w:autoSpaceDE w:val="0"/>
        <w:spacing w:line="276" w:lineRule="auto"/>
        <w:jc w:val="both"/>
        <w:rPr>
          <w:iCs/>
          <w:snapToGrid w:val="0"/>
          <w:szCs w:val="20"/>
          <w:lang w:eastAsia="sl-SI"/>
        </w:rPr>
      </w:pPr>
    </w:p>
    <w:p w:rsidR="004C2F86" w:rsidRDefault="004C2F86" w:rsidP="004C2F86">
      <w:pPr>
        <w:autoSpaceDE w:val="0"/>
        <w:spacing w:line="276" w:lineRule="auto"/>
        <w:jc w:val="both"/>
        <w:rPr>
          <w:rFonts w:cs="Arial"/>
          <w:szCs w:val="20"/>
        </w:rPr>
      </w:pPr>
      <w:r w:rsidRPr="005B22AE">
        <w:rPr>
          <w:rFonts w:cs="Arial"/>
          <w:szCs w:val="20"/>
        </w:rPr>
        <w:t>P</w:t>
      </w:r>
      <w:r>
        <w:rPr>
          <w:rFonts w:cs="Arial"/>
          <w:szCs w:val="20"/>
        </w:rPr>
        <w:t>riloga 1</w:t>
      </w:r>
      <w:r w:rsidRPr="005B22AE">
        <w:rPr>
          <w:rFonts w:cs="Arial"/>
          <w:szCs w:val="20"/>
        </w:rPr>
        <w:t xml:space="preserve">: </w:t>
      </w:r>
    </w:p>
    <w:p w:rsidR="004C2F86" w:rsidRPr="006074AD" w:rsidRDefault="004C2F86" w:rsidP="006074AD">
      <w:pPr>
        <w:pStyle w:val="Odstavekseznama"/>
        <w:numPr>
          <w:ilvl w:val="0"/>
          <w:numId w:val="7"/>
        </w:numPr>
        <w:autoSpaceDE w:val="0"/>
        <w:spacing w:line="276" w:lineRule="auto"/>
        <w:ind w:hanging="720"/>
        <w:jc w:val="both"/>
        <w:rPr>
          <w:iCs/>
          <w:snapToGrid w:val="0"/>
          <w:szCs w:val="20"/>
          <w:lang w:eastAsia="sl-SI"/>
        </w:rPr>
      </w:pPr>
      <w:r w:rsidRPr="006074AD">
        <w:rPr>
          <w:rFonts w:cs="Arial"/>
          <w:szCs w:val="20"/>
        </w:rPr>
        <w:t>Tabela primernih stavb</w:t>
      </w:r>
    </w:p>
    <w:p w:rsidR="004C2F86" w:rsidRPr="002760DC" w:rsidRDefault="004C2F86" w:rsidP="004C2F8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4C2F86">
      <w:pPr>
        <w:autoSpaceDE w:val="0"/>
        <w:spacing w:line="276" w:lineRule="auto"/>
        <w:contextualSpacing/>
        <w:jc w:val="center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2BD" w:rsidRDefault="00C762BD" w:rsidP="00767987">
      <w:pPr>
        <w:spacing w:line="240" w:lineRule="auto"/>
      </w:pPr>
      <w:r>
        <w:separator/>
      </w:r>
    </w:p>
  </w:endnote>
  <w:endnote w:type="continuationSeparator" w:id="0">
    <w:p w:rsidR="00C762BD" w:rsidRDefault="00C762BD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6B" w:rsidRDefault="0051626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CB3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2BD" w:rsidRDefault="00C762BD" w:rsidP="00767987">
      <w:pPr>
        <w:spacing w:line="240" w:lineRule="auto"/>
      </w:pPr>
      <w:r>
        <w:separator/>
      </w:r>
    </w:p>
  </w:footnote>
  <w:footnote w:type="continuationSeparator" w:id="0">
    <w:p w:rsidR="00C762BD" w:rsidRDefault="00C762BD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6B" w:rsidRDefault="0051626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6B" w:rsidRDefault="0051626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07C1"/>
    <w:multiLevelType w:val="hybridMultilevel"/>
    <w:tmpl w:val="9F1A4D60"/>
    <w:lvl w:ilvl="0" w:tplc="E3D4F37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36897"/>
    <w:multiLevelType w:val="hybridMultilevel"/>
    <w:tmpl w:val="5D6A01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" w15:restartNumberingAfterBreak="0">
    <w:nsid w:val="79324671"/>
    <w:multiLevelType w:val="hybridMultilevel"/>
    <w:tmpl w:val="85581478"/>
    <w:lvl w:ilvl="0" w:tplc="26D40350">
      <w:numFmt w:val="bullet"/>
      <w:lvlText w:val="–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966032D"/>
    <w:multiLevelType w:val="hybridMultilevel"/>
    <w:tmpl w:val="2690D7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204177"/>
    <w:rsid w:val="002256B2"/>
    <w:rsid w:val="003636EA"/>
    <w:rsid w:val="00366636"/>
    <w:rsid w:val="00367DE6"/>
    <w:rsid w:val="003B3E19"/>
    <w:rsid w:val="004076C6"/>
    <w:rsid w:val="004914E2"/>
    <w:rsid w:val="004B7F76"/>
    <w:rsid w:val="004C2F86"/>
    <w:rsid w:val="004E1BCE"/>
    <w:rsid w:val="0051626B"/>
    <w:rsid w:val="00552E5C"/>
    <w:rsid w:val="005729C6"/>
    <w:rsid w:val="00592079"/>
    <w:rsid w:val="005C3E50"/>
    <w:rsid w:val="006074AD"/>
    <w:rsid w:val="00682FFE"/>
    <w:rsid w:val="00692EB6"/>
    <w:rsid w:val="006C69EC"/>
    <w:rsid w:val="006D17B5"/>
    <w:rsid w:val="007039D0"/>
    <w:rsid w:val="00710C90"/>
    <w:rsid w:val="00717DDF"/>
    <w:rsid w:val="00767987"/>
    <w:rsid w:val="00782FD4"/>
    <w:rsid w:val="007A261B"/>
    <w:rsid w:val="007D04F3"/>
    <w:rsid w:val="00811140"/>
    <w:rsid w:val="00834401"/>
    <w:rsid w:val="008A27E1"/>
    <w:rsid w:val="008A3F94"/>
    <w:rsid w:val="008D30A8"/>
    <w:rsid w:val="008D390C"/>
    <w:rsid w:val="008F3414"/>
    <w:rsid w:val="00904A48"/>
    <w:rsid w:val="00980294"/>
    <w:rsid w:val="009C5392"/>
    <w:rsid w:val="009E0C40"/>
    <w:rsid w:val="00A50E4B"/>
    <w:rsid w:val="00A715DC"/>
    <w:rsid w:val="00A9231D"/>
    <w:rsid w:val="00B01357"/>
    <w:rsid w:val="00B40287"/>
    <w:rsid w:val="00B431B0"/>
    <w:rsid w:val="00C0216A"/>
    <w:rsid w:val="00C762BD"/>
    <w:rsid w:val="00CA1460"/>
    <w:rsid w:val="00CC6C23"/>
    <w:rsid w:val="00CD6077"/>
    <w:rsid w:val="00CE234E"/>
    <w:rsid w:val="00D02973"/>
    <w:rsid w:val="00DA09BE"/>
    <w:rsid w:val="00DE3553"/>
    <w:rsid w:val="00E30579"/>
    <w:rsid w:val="00E37094"/>
    <w:rsid w:val="00F46C2D"/>
    <w:rsid w:val="00F71CB3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paragraph" w:customStyle="1" w:styleId="Neotevilenodstavek">
    <w:name w:val="Neoštevilčen odstavek"/>
    <w:basedOn w:val="Navaden"/>
    <w:link w:val="NeotevilenodstavekZnak"/>
    <w:qFormat/>
    <w:rsid w:val="00B431B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Cs w:val="20"/>
      <w:lang w:eastAsia="sl-SI"/>
    </w:rPr>
  </w:style>
  <w:style w:type="character" w:customStyle="1" w:styleId="NeotevilenodstavekZnak">
    <w:name w:val="Neoštevilčen odstavek Znak"/>
    <w:link w:val="Neotevilenodstavek"/>
    <w:rsid w:val="00B431B0"/>
    <w:rPr>
      <w:rFonts w:ascii="Arial" w:eastAsia="Times New Roman" w:hAnsi="Arial" w:cs="Times New Roman"/>
      <w:sz w:val="20"/>
      <w:szCs w:val="20"/>
      <w:lang w:eastAsia="sl-SI"/>
    </w:rPr>
  </w:style>
  <w:style w:type="character" w:styleId="Pripombasklic">
    <w:name w:val="annotation reference"/>
    <w:unhideWhenUsed/>
    <w:rsid w:val="00B431B0"/>
    <w:rPr>
      <w:sz w:val="16"/>
      <w:szCs w:val="16"/>
    </w:rPr>
  </w:style>
  <w:style w:type="paragraph" w:styleId="Pripombabesedilo">
    <w:name w:val="annotation text"/>
    <w:basedOn w:val="Navaden"/>
    <w:link w:val="PripombabesediloZnak1"/>
    <w:unhideWhenUsed/>
    <w:rsid w:val="00B431B0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character" w:customStyle="1" w:styleId="PripombabesediloZnak">
    <w:name w:val="Pripomba – besedilo Znak"/>
    <w:basedOn w:val="Privzetapisavaodstavka"/>
    <w:uiPriority w:val="99"/>
    <w:semiHidden/>
    <w:rsid w:val="00B431B0"/>
    <w:rPr>
      <w:rFonts w:ascii="Arial" w:eastAsia="Times New Roman" w:hAnsi="Arial" w:cs="Times New Roman"/>
      <w:sz w:val="20"/>
      <w:szCs w:val="20"/>
    </w:rPr>
  </w:style>
  <w:style w:type="character" w:customStyle="1" w:styleId="PripombabesediloZnak1">
    <w:name w:val="Pripomba – besedilo Znak1"/>
    <w:link w:val="Pripombabesedilo"/>
    <w:rsid w:val="00B431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31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31B0"/>
    <w:rPr>
      <w:rFonts w:ascii="Segoe UI" w:eastAsia="Times New Roman" w:hAnsi="Segoe UI" w:cs="Segoe UI"/>
      <w:sz w:val="18"/>
      <w:szCs w:val="18"/>
    </w:rPr>
  </w:style>
  <w:style w:type="paragraph" w:styleId="Napis">
    <w:name w:val="caption"/>
    <w:basedOn w:val="Navaden"/>
    <w:next w:val="Navaden"/>
    <w:uiPriority w:val="35"/>
    <w:unhideWhenUsed/>
    <w:qFormat/>
    <w:rsid w:val="008F3414"/>
    <w:pPr>
      <w:suppressAutoHyphens/>
      <w:spacing w:after="200" w:line="240" w:lineRule="auto"/>
    </w:pPr>
    <w:rPr>
      <w:rFonts w:ascii="Times New Roman" w:hAnsi="Times New Roman"/>
      <w:i/>
      <w:iCs/>
      <w:color w:val="44546A" w:themeColor="text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3</cp:revision>
  <dcterms:created xsi:type="dcterms:W3CDTF">2025-05-06T08:17:00Z</dcterms:created>
  <dcterms:modified xsi:type="dcterms:W3CDTF">2025-05-06T08:29:00Z</dcterms:modified>
</cp:coreProperties>
</file>