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6EA" w:rsidRDefault="003636EA" w:rsidP="003636EA">
      <w:pPr>
        <w:pStyle w:val="datumtevilka"/>
        <w:rPr>
          <w:rFonts w:cs="Arial"/>
          <w:color w:val="000000"/>
        </w:rPr>
      </w:pPr>
    </w:p>
    <w:p w:rsidR="003636EA" w:rsidRDefault="003636EA" w:rsidP="003636EA">
      <w:pPr>
        <w:pStyle w:val="datumtevilka"/>
        <w:rPr>
          <w:rFonts w:cs="Arial"/>
          <w:color w:val="000000"/>
        </w:rPr>
      </w:pPr>
    </w:p>
    <w:p w:rsidR="003636EA" w:rsidRPr="002760DC" w:rsidRDefault="003636EA" w:rsidP="00F46C2D">
      <w:pPr>
        <w:pStyle w:val="datumtevilka"/>
      </w:pPr>
      <w:r w:rsidRPr="002760DC">
        <w:t xml:space="preserve">Številka: </w:t>
      </w:r>
      <w:r w:rsidRPr="002760DC">
        <w:tab/>
      </w:r>
      <w:r w:rsidR="005F1CDA">
        <w:rPr>
          <w:rFonts w:cs="Arial"/>
          <w:color w:val="000000"/>
        </w:rPr>
        <w:t>84400-9/2023/16</w:t>
      </w:r>
    </w:p>
    <w:p w:rsidR="003636EA" w:rsidRPr="002760DC" w:rsidRDefault="003636EA" w:rsidP="00F46C2D">
      <w:pPr>
        <w:pStyle w:val="datumtevilka"/>
      </w:pPr>
      <w:r>
        <w:t>Datum:</w:t>
      </w:r>
      <w:r w:rsidRPr="002760DC">
        <w:t xml:space="preserve"> </w:t>
      </w:r>
      <w:r w:rsidRPr="002760DC">
        <w:tab/>
      </w:r>
      <w:r w:rsidR="005F1CDA">
        <w:rPr>
          <w:rFonts w:cs="Arial"/>
          <w:color w:val="000000"/>
        </w:rPr>
        <w:t>30. 1. 2025</w:t>
      </w:r>
      <w:r w:rsidRPr="002760DC">
        <w:t xml:space="preserve"> </w:t>
      </w:r>
    </w:p>
    <w:p w:rsidR="003636EA" w:rsidRPr="002760DC" w:rsidRDefault="003636EA" w:rsidP="00F46C2D"/>
    <w:p w:rsidR="003636EA" w:rsidRDefault="003636EA" w:rsidP="00F46C2D">
      <w:pPr>
        <w:autoSpaceDE w:val="0"/>
        <w:autoSpaceDN w:val="0"/>
        <w:adjustRightInd w:val="0"/>
        <w:rPr>
          <w:rFonts w:cs="Arial"/>
          <w:color w:val="000000"/>
          <w:szCs w:val="20"/>
        </w:rPr>
      </w:pPr>
    </w:p>
    <w:p w:rsidR="00257372" w:rsidRDefault="00257372" w:rsidP="00257372">
      <w:pPr>
        <w:widowControl w:val="0"/>
        <w:suppressAutoHyphens/>
        <w:jc w:val="both"/>
        <w:rPr>
          <w:rFonts w:cs="Arial"/>
          <w:sz w:val="22"/>
          <w:szCs w:val="22"/>
          <w:lang w:eastAsia="ar-SA"/>
        </w:rPr>
      </w:pPr>
      <w:r>
        <w:rPr>
          <w:rFonts w:cs="Arial"/>
          <w:b/>
          <w:bCs/>
          <w:szCs w:val="20"/>
        </w:rPr>
        <w:t>Spremembe Programa odprave posledic škode v gospodarstvu po poplavah v avgustu 2023</w:t>
      </w:r>
    </w:p>
    <w:p w:rsidR="00257372" w:rsidRDefault="00257372" w:rsidP="00257372">
      <w:pPr>
        <w:ind w:left="360"/>
        <w:rPr>
          <w:rFonts w:cs="Arial"/>
          <w:szCs w:val="20"/>
        </w:rPr>
      </w:pPr>
    </w:p>
    <w:p w:rsidR="00257372" w:rsidRDefault="00257372" w:rsidP="00257372">
      <w:pPr>
        <w:pStyle w:val="Odstavekseznama"/>
        <w:numPr>
          <w:ilvl w:val="0"/>
          <w:numId w:val="6"/>
        </w:numPr>
        <w:spacing w:line="240" w:lineRule="auto"/>
        <w:contextualSpacing w:val="0"/>
        <w:rPr>
          <w:rFonts w:cs="Arial"/>
          <w:b/>
          <w:bCs/>
          <w:szCs w:val="20"/>
        </w:rPr>
      </w:pPr>
      <w:r>
        <w:rPr>
          <w:rFonts w:cs="Arial"/>
          <w:b/>
          <w:bCs/>
          <w:szCs w:val="20"/>
        </w:rPr>
        <w:t>Uvod</w:t>
      </w:r>
    </w:p>
    <w:p w:rsidR="00257372" w:rsidRDefault="00257372" w:rsidP="00257372">
      <w:pPr>
        <w:rPr>
          <w:rFonts w:cs="Arial"/>
          <w:szCs w:val="20"/>
        </w:rPr>
      </w:pPr>
    </w:p>
    <w:p w:rsidR="00257372" w:rsidRDefault="00257372" w:rsidP="00257372">
      <w:pPr>
        <w:ind w:right="57"/>
        <w:jc w:val="both"/>
        <w:rPr>
          <w:rFonts w:cs="Arial"/>
          <w:szCs w:val="20"/>
          <w:lang w:eastAsia="sl-SI"/>
        </w:rPr>
      </w:pPr>
      <w:r>
        <w:rPr>
          <w:rFonts w:cs="Arial"/>
          <w:szCs w:val="20"/>
          <w:lang w:eastAsia="sl-SI"/>
        </w:rPr>
        <w:t xml:space="preserve">Skupna ocena škode (prvi in drugi poziv ter dodatni oškodovanec, ki ga je posredovalo Ministrstvo za javno upravo in izločitev oškodovanca Šport klub AS) znaša 384.448.065,83 evra za 1.239 oškodovancev, od tega 169.691.762,90 evra za škodo na strojih in opremi, 91.509.023,08 evra za škodo na zalogah in 123.247.279,85 evra za škodo zaradi izpada prihodka. Za vseh </w:t>
      </w:r>
      <w:r w:rsidR="00332A23">
        <w:rPr>
          <w:rFonts w:cs="Arial"/>
          <w:szCs w:val="20"/>
          <w:lang w:eastAsia="sl-SI"/>
        </w:rPr>
        <w:t>1.239 oškodovancev se zagotovi</w:t>
      </w:r>
      <w:r>
        <w:rPr>
          <w:rFonts w:cs="Arial"/>
          <w:szCs w:val="20"/>
          <w:lang w:eastAsia="sl-SI"/>
        </w:rPr>
        <w:t xml:space="preserve"> 230 milijonov evrov (predplačila in povračila škode). </w:t>
      </w:r>
    </w:p>
    <w:p w:rsidR="00257372" w:rsidRDefault="00257372" w:rsidP="00257372">
      <w:pPr>
        <w:ind w:right="57"/>
        <w:jc w:val="both"/>
        <w:rPr>
          <w:rFonts w:cs="Arial"/>
          <w:szCs w:val="20"/>
          <w:lang w:eastAsia="sl-SI"/>
        </w:rPr>
      </w:pPr>
    </w:p>
    <w:p w:rsidR="00257372" w:rsidRDefault="00257372" w:rsidP="00257372">
      <w:pPr>
        <w:ind w:right="57"/>
        <w:jc w:val="both"/>
        <w:rPr>
          <w:rFonts w:cs="Arial"/>
          <w:szCs w:val="20"/>
          <w:lang w:eastAsia="sl-SI"/>
        </w:rPr>
      </w:pPr>
      <w:r>
        <w:rPr>
          <w:rFonts w:cs="Arial"/>
          <w:szCs w:val="20"/>
          <w:lang w:eastAsia="sl-SI"/>
        </w:rPr>
        <w:t xml:space="preserve">958 oškodovancev je prejelo skupaj </w:t>
      </w:r>
      <w:bookmarkStart w:id="0" w:name="_Hlk157439985"/>
      <w:r>
        <w:rPr>
          <w:rFonts w:cs="Arial"/>
          <w:szCs w:val="20"/>
          <w:lang w:eastAsia="sl-SI"/>
        </w:rPr>
        <w:t xml:space="preserve">35.418.004,40 </w:t>
      </w:r>
      <w:bookmarkEnd w:id="0"/>
      <w:r>
        <w:rPr>
          <w:rFonts w:cs="Arial"/>
          <w:szCs w:val="20"/>
          <w:lang w:eastAsia="sl-SI"/>
        </w:rPr>
        <w:t xml:space="preserve">evra za predplačila v višini 10 % ocenjene škode. V letu 2023 je Ministrstvo za gospodarstvo, turizem in šport dodelilo predplačila v višini 35.351.035,34 evra, v letu 2024 pa je bilo izplačano še predplačilo za oškodovanca </w:t>
      </w:r>
      <w:r w:rsidR="00332A23">
        <w:rPr>
          <w:rFonts w:cs="Arial"/>
          <w:szCs w:val="20"/>
          <w:lang w:eastAsia="sl-SI"/>
        </w:rPr>
        <w:br/>
      </w:r>
      <w:r>
        <w:rPr>
          <w:rFonts w:cs="Arial"/>
          <w:szCs w:val="20"/>
          <w:lang w:eastAsia="sl-SI"/>
        </w:rPr>
        <w:t>KO-SI d. o. o. v višini 66.969,06 evra.</w:t>
      </w:r>
      <w:r w:rsidR="00EA1EDC">
        <w:rPr>
          <w:rFonts w:cs="Arial"/>
          <w:szCs w:val="20"/>
          <w:lang w:eastAsia="sl-SI"/>
        </w:rPr>
        <w:t xml:space="preserve"> </w:t>
      </w:r>
    </w:p>
    <w:p w:rsidR="00257372" w:rsidRDefault="00257372" w:rsidP="00257372">
      <w:pPr>
        <w:ind w:right="57"/>
        <w:jc w:val="both"/>
        <w:rPr>
          <w:rFonts w:cs="Arial"/>
          <w:szCs w:val="20"/>
          <w:lang w:eastAsia="sl-SI"/>
        </w:rPr>
      </w:pPr>
    </w:p>
    <w:p w:rsidR="00257372" w:rsidRDefault="00257372" w:rsidP="00257372">
      <w:pPr>
        <w:ind w:right="57"/>
        <w:jc w:val="both"/>
        <w:rPr>
          <w:rFonts w:cs="Arial"/>
          <w:szCs w:val="20"/>
          <w:lang w:eastAsia="sl-SI"/>
        </w:rPr>
      </w:pPr>
      <w:r>
        <w:rPr>
          <w:rFonts w:cs="Arial"/>
          <w:szCs w:val="20"/>
          <w:lang w:eastAsia="sl-SI"/>
        </w:rPr>
        <w:t>V letu 2024 je bilo predvideno izplačilo povračil v skupni višini 194.581.995,60 evra iz proračuna Republike Slovenije za leto 2024. Oškodovancem se povrne 45 % dejanske škode (v kolikor škoda ni zavarovana) oziroma 60 % dejanske škode (v kolikor je škoda zavarovana).</w:t>
      </w:r>
    </w:p>
    <w:p w:rsidR="00257372" w:rsidRDefault="00257372" w:rsidP="00257372">
      <w:pPr>
        <w:rPr>
          <w:rFonts w:cs="Arial"/>
          <w:szCs w:val="20"/>
        </w:rPr>
      </w:pPr>
    </w:p>
    <w:p w:rsidR="00257372" w:rsidRDefault="00257372" w:rsidP="00257372">
      <w:pPr>
        <w:jc w:val="both"/>
        <w:rPr>
          <w:rFonts w:cs="Arial"/>
          <w:szCs w:val="20"/>
        </w:rPr>
      </w:pPr>
      <w:r>
        <w:rPr>
          <w:rFonts w:cs="Arial"/>
          <w:szCs w:val="20"/>
        </w:rPr>
        <w:t>Do konca decembra 2024 je bilo izplačanih 103.779.689,59 evra povračil 844 oškodovancem. Oškodovanci (54), ki so prejeli preveč izplačana predplačila, pa so oz</w:t>
      </w:r>
      <w:r w:rsidR="00332A23">
        <w:rPr>
          <w:rFonts w:cs="Arial"/>
          <w:szCs w:val="20"/>
        </w:rPr>
        <w:t>iroma</w:t>
      </w:r>
      <w:r>
        <w:rPr>
          <w:rFonts w:cs="Arial"/>
          <w:szCs w:val="20"/>
        </w:rPr>
        <w:t xml:space="preserve"> bodo vrnili </w:t>
      </w:r>
      <w:r w:rsidR="00332A23">
        <w:rPr>
          <w:rFonts w:cs="Arial"/>
          <w:szCs w:val="20"/>
        </w:rPr>
        <w:br/>
      </w:r>
      <w:r w:rsidR="007044BD">
        <w:rPr>
          <w:rFonts w:cs="Arial"/>
          <w:szCs w:val="20"/>
        </w:rPr>
        <w:t>139.202,32 evra.</w:t>
      </w:r>
    </w:p>
    <w:tbl>
      <w:tblPr>
        <w:tblW w:w="8675" w:type="dxa"/>
        <w:tblCellMar>
          <w:left w:w="0" w:type="dxa"/>
          <w:right w:w="0" w:type="dxa"/>
        </w:tblCellMar>
        <w:tblLook w:val="04A0" w:firstRow="1" w:lastRow="0" w:firstColumn="1" w:lastColumn="0" w:noHBand="0" w:noVBand="1"/>
      </w:tblPr>
      <w:tblGrid>
        <w:gridCol w:w="875"/>
        <w:gridCol w:w="1547"/>
        <w:gridCol w:w="980"/>
        <w:gridCol w:w="594"/>
        <w:gridCol w:w="2090"/>
        <w:gridCol w:w="1559"/>
        <w:gridCol w:w="1141"/>
      </w:tblGrid>
      <w:tr w:rsidR="00257372" w:rsidTr="00332A23">
        <w:trPr>
          <w:trHeight w:val="549"/>
        </w:trPr>
        <w:tc>
          <w:tcPr>
            <w:tcW w:w="3402" w:type="dxa"/>
            <w:gridSpan w:val="3"/>
            <w:tcBorders>
              <w:top w:val="single" w:sz="8" w:space="0" w:color="auto"/>
              <w:left w:val="single" w:sz="8" w:space="0" w:color="auto"/>
              <w:bottom w:val="single" w:sz="8" w:space="0" w:color="auto"/>
              <w:right w:val="single" w:sz="8" w:space="0" w:color="auto"/>
            </w:tcBorders>
            <w:shd w:val="clear" w:color="auto" w:fill="8EAADB"/>
            <w:tcMar>
              <w:top w:w="0" w:type="dxa"/>
              <w:left w:w="70" w:type="dxa"/>
              <w:bottom w:w="0" w:type="dxa"/>
              <w:right w:w="70" w:type="dxa"/>
            </w:tcMar>
            <w:vAlign w:val="center"/>
            <w:hideMark/>
          </w:tcPr>
          <w:p w:rsidR="00257372" w:rsidRDefault="00257372">
            <w:pPr>
              <w:spacing w:line="256" w:lineRule="auto"/>
              <w:rPr>
                <w:rFonts w:cs="Arial"/>
                <w:color w:val="000000"/>
                <w:szCs w:val="20"/>
                <w:lang w:eastAsia="sl-SI"/>
              </w:rPr>
            </w:pPr>
            <w:r>
              <w:rPr>
                <w:rFonts w:cs="Arial"/>
                <w:color w:val="000000"/>
                <w:szCs w:val="20"/>
                <w:lang w:eastAsia="sl-SI"/>
              </w:rPr>
              <w:t>Poplave, 4.8.2023 – izplačila povračil, vračilo predplačil</w:t>
            </w:r>
          </w:p>
        </w:tc>
        <w:tc>
          <w:tcPr>
            <w:tcW w:w="2684" w:type="dxa"/>
            <w:gridSpan w:val="2"/>
            <w:tcBorders>
              <w:top w:val="single" w:sz="8" w:space="0" w:color="auto"/>
              <w:left w:val="nil"/>
              <w:bottom w:val="single" w:sz="8" w:space="0" w:color="auto"/>
              <w:right w:val="single" w:sz="8" w:space="0" w:color="auto"/>
            </w:tcBorders>
            <w:shd w:val="clear" w:color="auto" w:fill="D9E2F3"/>
            <w:tcMar>
              <w:top w:w="0" w:type="dxa"/>
              <w:left w:w="70" w:type="dxa"/>
              <w:bottom w:w="0" w:type="dxa"/>
              <w:right w:w="70" w:type="dxa"/>
            </w:tcMar>
            <w:vAlign w:val="center"/>
            <w:hideMark/>
          </w:tcPr>
          <w:p w:rsidR="00257372" w:rsidRDefault="00257372">
            <w:pPr>
              <w:spacing w:line="256" w:lineRule="auto"/>
              <w:jc w:val="center"/>
              <w:rPr>
                <w:rFonts w:cs="Arial"/>
                <w:color w:val="000000"/>
                <w:szCs w:val="20"/>
                <w:lang w:eastAsia="sl-SI"/>
              </w:rPr>
            </w:pPr>
            <w:r>
              <w:rPr>
                <w:rFonts w:cs="Arial"/>
                <w:color w:val="000000"/>
                <w:szCs w:val="20"/>
                <w:lang w:eastAsia="sl-SI"/>
              </w:rPr>
              <w:t>Povračila</w:t>
            </w:r>
          </w:p>
        </w:tc>
        <w:tc>
          <w:tcPr>
            <w:tcW w:w="2589" w:type="dxa"/>
            <w:gridSpan w:val="2"/>
            <w:tcBorders>
              <w:top w:val="single" w:sz="8" w:space="0" w:color="auto"/>
              <w:left w:val="nil"/>
              <w:bottom w:val="single" w:sz="8" w:space="0" w:color="auto"/>
              <w:right w:val="single" w:sz="8" w:space="0" w:color="auto"/>
            </w:tcBorders>
            <w:shd w:val="clear" w:color="auto" w:fill="D9E2F3"/>
            <w:tcMar>
              <w:top w:w="0" w:type="dxa"/>
              <w:left w:w="70" w:type="dxa"/>
              <w:bottom w:w="0" w:type="dxa"/>
              <w:right w:w="70" w:type="dxa"/>
            </w:tcMar>
            <w:vAlign w:val="center"/>
            <w:hideMark/>
          </w:tcPr>
          <w:p w:rsidR="00257372" w:rsidRDefault="00257372">
            <w:pPr>
              <w:spacing w:line="256" w:lineRule="auto"/>
              <w:jc w:val="center"/>
              <w:rPr>
                <w:rFonts w:cs="Arial"/>
                <w:color w:val="000000"/>
                <w:szCs w:val="20"/>
                <w:lang w:eastAsia="sl-SI"/>
              </w:rPr>
            </w:pPr>
            <w:r>
              <w:rPr>
                <w:rFonts w:cs="Arial"/>
                <w:color w:val="000000"/>
                <w:szCs w:val="20"/>
                <w:lang w:eastAsia="sl-SI"/>
              </w:rPr>
              <w:t>Vračilo predplačil</w:t>
            </w:r>
          </w:p>
        </w:tc>
      </w:tr>
      <w:tr w:rsidR="00257372" w:rsidTr="00332A23">
        <w:trPr>
          <w:trHeight w:val="995"/>
        </w:trPr>
        <w:tc>
          <w:tcPr>
            <w:tcW w:w="875" w:type="dxa"/>
            <w:tcBorders>
              <w:top w:val="nil"/>
              <w:left w:val="single" w:sz="8" w:space="0" w:color="auto"/>
              <w:bottom w:val="single" w:sz="8" w:space="0" w:color="auto"/>
              <w:right w:val="single" w:sz="8" w:space="0" w:color="auto"/>
            </w:tcBorders>
            <w:shd w:val="clear" w:color="auto" w:fill="D9E2F3"/>
            <w:tcMar>
              <w:top w:w="0" w:type="dxa"/>
              <w:left w:w="70" w:type="dxa"/>
              <w:bottom w:w="0" w:type="dxa"/>
              <w:right w:w="70" w:type="dxa"/>
            </w:tcMar>
            <w:vAlign w:val="center"/>
            <w:hideMark/>
          </w:tcPr>
          <w:p w:rsidR="00257372" w:rsidRDefault="00257372">
            <w:pPr>
              <w:spacing w:line="256" w:lineRule="auto"/>
              <w:rPr>
                <w:rFonts w:cs="Arial"/>
                <w:color w:val="000000"/>
                <w:szCs w:val="20"/>
                <w:lang w:eastAsia="sl-SI"/>
              </w:rPr>
            </w:pPr>
            <w:r>
              <w:rPr>
                <w:rFonts w:cs="Arial"/>
                <w:color w:val="000000"/>
                <w:szCs w:val="20"/>
                <w:lang w:eastAsia="sl-SI"/>
              </w:rPr>
              <w:t>Paket</w:t>
            </w:r>
          </w:p>
        </w:tc>
        <w:tc>
          <w:tcPr>
            <w:tcW w:w="1547" w:type="dxa"/>
            <w:tcBorders>
              <w:top w:val="nil"/>
              <w:left w:val="nil"/>
              <w:bottom w:val="single" w:sz="8" w:space="0" w:color="auto"/>
              <w:right w:val="single" w:sz="8" w:space="0" w:color="auto"/>
            </w:tcBorders>
            <w:shd w:val="clear" w:color="auto" w:fill="D9E2F3"/>
            <w:tcMar>
              <w:top w:w="0" w:type="dxa"/>
              <w:left w:w="70" w:type="dxa"/>
              <w:bottom w:w="0" w:type="dxa"/>
              <w:right w:w="70" w:type="dxa"/>
            </w:tcMar>
            <w:vAlign w:val="center"/>
            <w:hideMark/>
          </w:tcPr>
          <w:p w:rsidR="00257372" w:rsidRDefault="00257372">
            <w:pPr>
              <w:spacing w:line="256" w:lineRule="auto"/>
              <w:rPr>
                <w:rFonts w:cs="Arial"/>
                <w:color w:val="000000"/>
                <w:szCs w:val="20"/>
                <w:lang w:eastAsia="sl-SI"/>
              </w:rPr>
            </w:pPr>
            <w:r>
              <w:rPr>
                <w:rFonts w:cs="Arial"/>
                <w:color w:val="000000"/>
                <w:szCs w:val="20"/>
                <w:lang w:eastAsia="sl-SI"/>
              </w:rPr>
              <w:t>Datum seje, na kateri je Komisija potrdila višino sredstev</w:t>
            </w:r>
          </w:p>
        </w:tc>
        <w:tc>
          <w:tcPr>
            <w:tcW w:w="1574" w:type="dxa"/>
            <w:gridSpan w:val="2"/>
            <w:tcBorders>
              <w:top w:val="nil"/>
              <w:left w:val="nil"/>
              <w:bottom w:val="single" w:sz="8" w:space="0" w:color="auto"/>
              <w:right w:val="single" w:sz="8" w:space="0" w:color="auto"/>
            </w:tcBorders>
            <w:shd w:val="clear" w:color="auto" w:fill="D9E2F3"/>
            <w:tcMar>
              <w:top w:w="0" w:type="dxa"/>
              <w:left w:w="70" w:type="dxa"/>
              <w:bottom w:w="0" w:type="dxa"/>
              <w:right w:w="70" w:type="dxa"/>
            </w:tcMar>
            <w:vAlign w:val="center"/>
            <w:hideMark/>
          </w:tcPr>
          <w:p w:rsidR="00257372" w:rsidRDefault="00257372">
            <w:pPr>
              <w:spacing w:line="256" w:lineRule="auto"/>
              <w:rPr>
                <w:rFonts w:cs="Arial"/>
                <w:color w:val="000000"/>
                <w:szCs w:val="20"/>
                <w:lang w:eastAsia="sl-SI"/>
              </w:rPr>
            </w:pPr>
            <w:r>
              <w:rPr>
                <w:rFonts w:cs="Arial"/>
                <w:color w:val="000000"/>
                <w:szCs w:val="20"/>
                <w:lang w:eastAsia="sl-SI"/>
              </w:rPr>
              <w:t>Število oškodovancev</w:t>
            </w:r>
          </w:p>
        </w:tc>
        <w:tc>
          <w:tcPr>
            <w:tcW w:w="2090" w:type="dxa"/>
            <w:tcBorders>
              <w:top w:val="nil"/>
              <w:left w:val="nil"/>
              <w:bottom w:val="single" w:sz="8" w:space="0" w:color="auto"/>
              <w:right w:val="single" w:sz="8" w:space="0" w:color="auto"/>
            </w:tcBorders>
            <w:shd w:val="clear" w:color="auto" w:fill="D9E2F3"/>
            <w:tcMar>
              <w:top w:w="0" w:type="dxa"/>
              <w:left w:w="70" w:type="dxa"/>
              <w:bottom w:w="0" w:type="dxa"/>
              <w:right w:w="70" w:type="dxa"/>
            </w:tcMar>
            <w:vAlign w:val="center"/>
            <w:hideMark/>
          </w:tcPr>
          <w:p w:rsidR="00257372" w:rsidRDefault="00257372">
            <w:pPr>
              <w:spacing w:line="256" w:lineRule="auto"/>
              <w:rPr>
                <w:rFonts w:cs="Arial"/>
                <w:color w:val="000000"/>
                <w:szCs w:val="20"/>
                <w:lang w:eastAsia="sl-SI"/>
              </w:rPr>
            </w:pPr>
            <w:r>
              <w:rPr>
                <w:rFonts w:cs="Arial"/>
                <w:color w:val="000000"/>
                <w:szCs w:val="20"/>
                <w:lang w:eastAsia="sl-SI"/>
              </w:rPr>
              <w:t>Znesek</w:t>
            </w:r>
          </w:p>
        </w:tc>
        <w:tc>
          <w:tcPr>
            <w:tcW w:w="1559" w:type="dxa"/>
            <w:tcBorders>
              <w:top w:val="nil"/>
              <w:left w:val="nil"/>
              <w:bottom w:val="single" w:sz="8" w:space="0" w:color="auto"/>
              <w:right w:val="single" w:sz="8" w:space="0" w:color="auto"/>
            </w:tcBorders>
            <w:shd w:val="clear" w:color="auto" w:fill="D9E2F3"/>
            <w:tcMar>
              <w:top w:w="0" w:type="dxa"/>
              <w:left w:w="70" w:type="dxa"/>
              <w:bottom w:w="0" w:type="dxa"/>
              <w:right w:w="70" w:type="dxa"/>
            </w:tcMar>
            <w:vAlign w:val="center"/>
            <w:hideMark/>
          </w:tcPr>
          <w:p w:rsidR="00257372" w:rsidRDefault="00257372">
            <w:pPr>
              <w:spacing w:line="256" w:lineRule="auto"/>
              <w:rPr>
                <w:rFonts w:cs="Arial"/>
                <w:color w:val="000000"/>
                <w:szCs w:val="20"/>
                <w:lang w:eastAsia="sl-SI"/>
              </w:rPr>
            </w:pPr>
            <w:r>
              <w:rPr>
                <w:rFonts w:cs="Arial"/>
                <w:color w:val="000000"/>
                <w:szCs w:val="20"/>
                <w:lang w:eastAsia="sl-SI"/>
              </w:rPr>
              <w:t>Število oškodovancev</w:t>
            </w:r>
          </w:p>
        </w:tc>
        <w:tc>
          <w:tcPr>
            <w:tcW w:w="1030" w:type="dxa"/>
            <w:tcBorders>
              <w:top w:val="nil"/>
              <w:left w:val="nil"/>
              <w:bottom w:val="single" w:sz="8" w:space="0" w:color="auto"/>
              <w:right w:val="single" w:sz="8" w:space="0" w:color="auto"/>
            </w:tcBorders>
            <w:shd w:val="clear" w:color="auto" w:fill="D9E2F3"/>
            <w:tcMar>
              <w:top w:w="0" w:type="dxa"/>
              <w:left w:w="70" w:type="dxa"/>
              <w:bottom w:w="0" w:type="dxa"/>
              <w:right w:w="70" w:type="dxa"/>
            </w:tcMar>
            <w:vAlign w:val="center"/>
            <w:hideMark/>
          </w:tcPr>
          <w:p w:rsidR="00257372" w:rsidRDefault="00257372">
            <w:pPr>
              <w:spacing w:line="256" w:lineRule="auto"/>
              <w:rPr>
                <w:rFonts w:cs="Arial"/>
                <w:color w:val="000000"/>
                <w:szCs w:val="20"/>
                <w:lang w:eastAsia="sl-SI"/>
              </w:rPr>
            </w:pPr>
            <w:r>
              <w:rPr>
                <w:rFonts w:cs="Arial"/>
                <w:color w:val="000000"/>
                <w:szCs w:val="20"/>
                <w:lang w:eastAsia="sl-SI"/>
              </w:rPr>
              <w:t>Znesek</w:t>
            </w:r>
          </w:p>
        </w:tc>
      </w:tr>
      <w:tr w:rsidR="00257372" w:rsidTr="00332A23">
        <w:trPr>
          <w:trHeight w:val="331"/>
        </w:trPr>
        <w:tc>
          <w:tcPr>
            <w:tcW w:w="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color w:val="000000"/>
                <w:szCs w:val="20"/>
                <w:lang w:eastAsia="sl-SI"/>
              </w:rPr>
            </w:pPr>
            <w:r>
              <w:rPr>
                <w:rFonts w:cs="Arial"/>
                <w:color w:val="000000"/>
                <w:szCs w:val="20"/>
                <w:lang w:eastAsia="sl-SI"/>
              </w:rPr>
              <w:t>1</w:t>
            </w:r>
          </w:p>
        </w:tc>
        <w:tc>
          <w:tcPr>
            <w:tcW w:w="15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color w:val="000000"/>
                <w:szCs w:val="20"/>
                <w:lang w:eastAsia="sl-SI"/>
              </w:rPr>
            </w:pPr>
            <w:r>
              <w:rPr>
                <w:rFonts w:cs="Arial"/>
                <w:color w:val="000000"/>
                <w:szCs w:val="20"/>
                <w:lang w:eastAsia="sl-SI"/>
              </w:rPr>
              <w:t>27.05.2024</w:t>
            </w:r>
          </w:p>
        </w:tc>
        <w:tc>
          <w:tcPr>
            <w:tcW w:w="157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color w:val="000000"/>
                <w:szCs w:val="20"/>
                <w:lang w:eastAsia="sl-SI"/>
              </w:rPr>
            </w:pPr>
            <w:r>
              <w:rPr>
                <w:rFonts w:cs="Arial"/>
                <w:color w:val="000000"/>
                <w:szCs w:val="20"/>
                <w:lang w:eastAsia="sl-SI"/>
              </w:rPr>
              <w:t>32</w:t>
            </w:r>
          </w:p>
        </w:tc>
        <w:tc>
          <w:tcPr>
            <w:tcW w:w="20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color w:val="000000"/>
                <w:szCs w:val="20"/>
                <w:lang w:eastAsia="sl-SI"/>
              </w:rPr>
            </w:pPr>
            <w:r>
              <w:rPr>
                <w:rFonts w:cs="Arial"/>
                <w:color w:val="000000"/>
                <w:szCs w:val="20"/>
                <w:lang w:eastAsia="sl-SI"/>
              </w:rPr>
              <w:t>25.125.552,54</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szCs w:val="20"/>
                <w:lang w:eastAsia="sl-SI"/>
              </w:rPr>
            </w:pPr>
            <w:r>
              <w:rPr>
                <w:rFonts w:cs="Arial"/>
                <w:szCs w:val="20"/>
                <w:lang w:eastAsia="sl-SI"/>
              </w:rPr>
              <w:t>1</w:t>
            </w:r>
          </w:p>
        </w:tc>
        <w:tc>
          <w:tcPr>
            <w:tcW w:w="10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szCs w:val="20"/>
                <w:lang w:eastAsia="sl-SI"/>
              </w:rPr>
            </w:pPr>
            <w:r>
              <w:rPr>
                <w:rFonts w:cs="Arial"/>
                <w:szCs w:val="20"/>
                <w:lang w:eastAsia="sl-SI"/>
              </w:rPr>
              <w:t>-5.654,64</w:t>
            </w:r>
          </w:p>
        </w:tc>
      </w:tr>
      <w:tr w:rsidR="00257372" w:rsidTr="00332A23">
        <w:trPr>
          <w:trHeight w:val="331"/>
        </w:trPr>
        <w:tc>
          <w:tcPr>
            <w:tcW w:w="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color w:val="000000"/>
                <w:szCs w:val="20"/>
                <w:lang w:eastAsia="sl-SI"/>
              </w:rPr>
            </w:pPr>
            <w:r>
              <w:rPr>
                <w:rFonts w:cs="Arial"/>
                <w:color w:val="000000"/>
                <w:szCs w:val="20"/>
                <w:lang w:eastAsia="sl-SI"/>
              </w:rPr>
              <w:t>2</w:t>
            </w:r>
          </w:p>
        </w:tc>
        <w:tc>
          <w:tcPr>
            <w:tcW w:w="15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color w:val="000000"/>
                <w:szCs w:val="20"/>
                <w:lang w:eastAsia="sl-SI"/>
              </w:rPr>
            </w:pPr>
            <w:r>
              <w:rPr>
                <w:rFonts w:cs="Arial"/>
                <w:color w:val="000000"/>
                <w:szCs w:val="20"/>
                <w:lang w:eastAsia="sl-SI"/>
              </w:rPr>
              <w:t>10.06.2024</w:t>
            </w:r>
          </w:p>
        </w:tc>
        <w:tc>
          <w:tcPr>
            <w:tcW w:w="157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color w:val="000000"/>
                <w:szCs w:val="20"/>
                <w:lang w:eastAsia="sl-SI"/>
              </w:rPr>
            </w:pPr>
            <w:r>
              <w:rPr>
                <w:rFonts w:cs="Arial"/>
                <w:color w:val="000000"/>
                <w:szCs w:val="20"/>
                <w:lang w:eastAsia="sl-SI"/>
              </w:rPr>
              <w:t>103</w:t>
            </w:r>
          </w:p>
        </w:tc>
        <w:tc>
          <w:tcPr>
            <w:tcW w:w="20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color w:val="000000"/>
                <w:szCs w:val="20"/>
                <w:lang w:eastAsia="sl-SI"/>
              </w:rPr>
            </w:pPr>
            <w:r>
              <w:rPr>
                <w:rFonts w:cs="Arial"/>
                <w:color w:val="000000"/>
                <w:szCs w:val="20"/>
                <w:lang w:eastAsia="sl-SI"/>
              </w:rPr>
              <w:t>7.656.560,50</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szCs w:val="20"/>
                <w:lang w:eastAsia="sl-SI"/>
              </w:rPr>
            </w:pPr>
            <w:r>
              <w:rPr>
                <w:rFonts w:cs="Arial"/>
                <w:szCs w:val="20"/>
                <w:lang w:eastAsia="sl-SI"/>
              </w:rPr>
              <w:t>0</w:t>
            </w:r>
          </w:p>
        </w:tc>
        <w:tc>
          <w:tcPr>
            <w:tcW w:w="10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szCs w:val="20"/>
                <w:lang w:eastAsia="sl-SI"/>
              </w:rPr>
            </w:pPr>
            <w:r>
              <w:rPr>
                <w:rFonts w:cs="Arial"/>
                <w:szCs w:val="20"/>
                <w:lang w:eastAsia="sl-SI"/>
              </w:rPr>
              <w:t>0,00</w:t>
            </w:r>
          </w:p>
        </w:tc>
      </w:tr>
      <w:tr w:rsidR="00257372" w:rsidTr="00332A23">
        <w:trPr>
          <w:trHeight w:val="331"/>
        </w:trPr>
        <w:tc>
          <w:tcPr>
            <w:tcW w:w="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color w:val="000000"/>
                <w:szCs w:val="20"/>
                <w:lang w:eastAsia="sl-SI"/>
              </w:rPr>
            </w:pPr>
            <w:r>
              <w:rPr>
                <w:rFonts w:cs="Arial"/>
                <w:color w:val="000000"/>
                <w:szCs w:val="20"/>
                <w:lang w:eastAsia="sl-SI"/>
              </w:rPr>
              <w:t>3</w:t>
            </w:r>
          </w:p>
        </w:tc>
        <w:tc>
          <w:tcPr>
            <w:tcW w:w="15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color w:val="000000"/>
                <w:szCs w:val="20"/>
                <w:lang w:eastAsia="sl-SI"/>
              </w:rPr>
            </w:pPr>
            <w:r>
              <w:rPr>
                <w:rFonts w:cs="Arial"/>
                <w:color w:val="000000"/>
                <w:szCs w:val="20"/>
                <w:lang w:eastAsia="sl-SI"/>
              </w:rPr>
              <w:t>15.07.2024</w:t>
            </w:r>
          </w:p>
        </w:tc>
        <w:tc>
          <w:tcPr>
            <w:tcW w:w="157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color w:val="000000"/>
                <w:szCs w:val="20"/>
                <w:lang w:eastAsia="sl-SI"/>
              </w:rPr>
            </w:pPr>
            <w:r>
              <w:rPr>
                <w:rFonts w:cs="Arial"/>
                <w:color w:val="000000"/>
                <w:szCs w:val="20"/>
                <w:lang w:eastAsia="sl-SI"/>
              </w:rPr>
              <w:t>119</w:t>
            </w:r>
          </w:p>
        </w:tc>
        <w:tc>
          <w:tcPr>
            <w:tcW w:w="20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color w:val="000000"/>
                <w:szCs w:val="20"/>
                <w:lang w:eastAsia="sl-SI"/>
              </w:rPr>
            </w:pPr>
            <w:r>
              <w:rPr>
                <w:rFonts w:cs="Arial"/>
                <w:color w:val="000000"/>
                <w:szCs w:val="20"/>
                <w:lang w:eastAsia="sl-SI"/>
              </w:rPr>
              <w:t>20.150.037,44</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szCs w:val="20"/>
                <w:lang w:eastAsia="sl-SI"/>
              </w:rPr>
            </w:pPr>
            <w:r>
              <w:rPr>
                <w:rFonts w:cs="Arial"/>
                <w:szCs w:val="20"/>
                <w:lang w:eastAsia="sl-SI"/>
              </w:rPr>
              <w:t>11</w:t>
            </w:r>
          </w:p>
        </w:tc>
        <w:tc>
          <w:tcPr>
            <w:tcW w:w="10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szCs w:val="20"/>
                <w:lang w:eastAsia="sl-SI"/>
              </w:rPr>
            </w:pPr>
            <w:r>
              <w:rPr>
                <w:rFonts w:cs="Arial"/>
                <w:szCs w:val="20"/>
                <w:lang w:eastAsia="sl-SI"/>
              </w:rPr>
              <w:t>-9.164,34</w:t>
            </w:r>
          </w:p>
        </w:tc>
      </w:tr>
      <w:tr w:rsidR="00257372" w:rsidTr="00332A23">
        <w:trPr>
          <w:trHeight w:val="331"/>
        </w:trPr>
        <w:tc>
          <w:tcPr>
            <w:tcW w:w="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color w:val="000000"/>
                <w:szCs w:val="20"/>
                <w:lang w:eastAsia="sl-SI"/>
              </w:rPr>
            </w:pPr>
            <w:r>
              <w:rPr>
                <w:rFonts w:cs="Arial"/>
                <w:color w:val="000000"/>
                <w:szCs w:val="20"/>
                <w:lang w:eastAsia="sl-SI"/>
              </w:rPr>
              <w:t>4</w:t>
            </w:r>
          </w:p>
        </w:tc>
        <w:tc>
          <w:tcPr>
            <w:tcW w:w="15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color w:val="000000"/>
                <w:szCs w:val="20"/>
                <w:lang w:eastAsia="sl-SI"/>
              </w:rPr>
            </w:pPr>
            <w:r>
              <w:rPr>
                <w:rFonts w:cs="Arial"/>
                <w:color w:val="000000"/>
                <w:szCs w:val="20"/>
                <w:lang w:eastAsia="sl-SI"/>
              </w:rPr>
              <w:t>01.08.2024</w:t>
            </w:r>
          </w:p>
        </w:tc>
        <w:tc>
          <w:tcPr>
            <w:tcW w:w="157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color w:val="000000"/>
                <w:szCs w:val="20"/>
                <w:lang w:eastAsia="sl-SI"/>
              </w:rPr>
            </w:pPr>
            <w:r>
              <w:rPr>
                <w:rFonts w:cs="Arial"/>
                <w:color w:val="000000"/>
                <w:szCs w:val="20"/>
                <w:lang w:eastAsia="sl-SI"/>
              </w:rPr>
              <w:t>69</w:t>
            </w:r>
          </w:p>
        </w:tc>
        <w:tc>
          <w:tcPr>
            <w:tcW w:w="20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color w:val="000000"/>
                <w:szCs w:val="20"/>
                <w:lang w:eastAsia="sl-SI"/>
              </w:rPr>
            </w:pPr>
            <w:r>
              <w:rPr>
                <w:rFonts w:cs="Arial"/>
                <w:color w:val="000000"/>
                <w:szCs w:val="20"/>
                <w:lang w:eastAsia="sl-SI"/>
              </w:rPr>
              <w:t>6.364.549,75</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szCs w:val="20"/>
                <w:lang w:eastAsia="sl-SI"/>
              </w:rPr>
            </w:pPr>
            <w:r>
              <w:rPr>
                <w:rFonts w:cs="Arial"/>
                <w:szCs w:val="20"/>
                <w:lang w:eastAsia="sl-SI"/>
              </w:rPr>
              <w:t>12</w:t>
            </w:r>
          </w:p>
        </w:tc>
        <w:tc>
          <w:tcPr>
            <w:tcW w:w="10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szCs w:val="20"/>
                <w:lang w:eastAsia="sl-SI"/>
              </w:rPr>
            </w:pPr>
            <w:r>
              <w:rPr>
                <w:rFonts w:cs="Arial"/>
                <w:szCs w:val="20"/>
                <w:lang w:eastAsia="sl-SI"/>
              </w:rPr>
              <w:t>-15.005,60</w:t>
            </w:r>
          </w:p>
        </w:tc>
      </w:tr>
      <w:tr w:rsidR="00257372" w:rsidTr="00332A23">
        <w:trPr>
          <w:trHeight w:val="331"/>
        </w:trPr>
        <w:tc>
          <w:tcPr>
            <w:tcW w:w="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color w:val="000000"/>
                <w:szCs w:val="20"/>
                <w:lang w:eastAsia="sl-SI"/>
              </w:rPr>
            </w:pPr>
            <w:r>
              <w:rPr>
                <w:rFonts w:cs="Arial"/>
                <w:color w:val="000000"/>
                <w:szCs w:val="20"/>
                <w:lang w:eastAsia="sl-SI"/>
              </w:rPr>
              <w:t>5</w:t>
            </w:r>
          </w:p>
        </w:tc>
        <w:tc>
          <w:tcPr>
            <w:tcW w:w="15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color w:val="000000"/>
                <w:szCs w:val="20"/>
                <w:lang w:eastAsia="sl-SI"/>
              </w:rPr>
            </w:pPr>
            <w:r>
              <w:rPr>
                <w:rFonts w:cs="Arial"/>
                <w:color w:val="000000"/>
                <w:szCs w:val="20"/>
                <w:lang w:eastAsia="sl-SI"/>
              </w:rPr>
              <w:t>12.09.2024</w:t>
            </w:r>
          </w:p>
        </w:tc>
        <w:tc>
          <w:tcPr>
            <w:tcW w:w="157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color w:val="000000"/>
                <w:szCs w:val="20"/>
                <w:lang w:eastAsia="sl-SI"/>
              </w:rPr>
            </w:pPr>
            <w:r>
              <w:rPr>
                <w:rFonts w:cs="Arial"/>
                <w:color w:val="000000"/>
                <w:szCs w:val="20"/>
                <w:lang w:eastAsia="sl-SI"/>
              </w:rPr>
              <w:t>144</w:t>
            </w:r>
          </w:p>
        </w:tc>
        <w:tc>
          <w:tcPr>
            <w:tcW w:w="20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color w:val="000000"/>
                <w:szCs w:val="20"/>
                <w:lang w:eastAsia="sl-SI"/>
              </w:rPr>
            </w:pPr>
            <w:r>
              <w:rPr>
                <w:rFonts w:cs="Arial"/>
                <w:color w:val="000000"/>
                <w:szCs w:val="20"/>
                <w:lang w:eastAsia="sl-SI"/>
              </w:rPr>
              <w:t>17.405.028,17</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szCs w:val="20"/>
                <w:lang w:eastAsia="sl-SI"/>
              </w:rPr>
            </w:pPr>
            <w:r>
              <w:rPr>
                <w:rFonts w:cs="Arial"/>
                <w:szCs w:val="20"/>
                <w:lang w:eastAsia="sl-SI"/>
              </w:rPr>
              <w:t>2</w:t>
            </w:r>
          </w:p>
        </w:tc>
        <w:tc>
          <w:tcPr>
            <w:tcW w:w="10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szCs w:val="20"/>
                <w:lang w:eastAsia="sl-SI"/>
              </w:rPr>
            </w:pPr>
            <w:r>
              <w:rPr>
                <w:rFonts w:cs="Arial"/>
                <w:szCs w:val="20"/>
                <w:lang w:eastAsia="sl-SI"/>
              </w:rPr>
              <w:t>-16.702,84</w:t>
            </w:r>
          </w:p>
        </w:tc>
      </w:tr>
      <w:tr w:rsidR="00257372" w:rsidTr="00332A23">
        <w:trPr>
          <w:trHeight w:val="331"/>
        </w:trPr>
        <w:tc>
          <w:tcPr>
            <w:tcW w:w="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color w:val="000000"/>
                <w:szCs w:val="20"/>
                <w:lang w:eastAsia="sl-SI"/>
              </w:rPr>
            </w:pPr>
            <w:r>
              <w:rPr>
                <w:rFonts w:cs="Arial"/>
                <w:color w:val="000000"/>
                <w:szCs w:val="20"/>
                <w:lang w:eastAsia="sl-SI"/>
              </w:rPr>
              <w:t>6</w:t>
            </w:r>
          </w:p>
        </w:tc>
        <w:tc>
          <w:tcPr>
            <w:tcW w:w="15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color w:val="000000"/>
                <w:szCs w:val="20"/>
                <w:lang w:eastAsia="sl-SI"/>
              </w:rPr>
            </w:pPr>
            <w:r>
              <w:rPr>
                <w:rFonts w:cs="Arial"/>
                <w:color w:val="000000"/>
                <w:szCs w:val="20"/>
                <w:lang w:eastAsia="sl-SI"/>
              </w:rPr>
              <w:t>11.10.2024</w:t>
            </w:r>
          </w:p>
        </w:tc>
        <w:tc>
          <w:tcPr>
            <w:tcW w:w="157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color w:val="000000"/>
                <w:szCs w:val="20"/>
                <w:lang w:eastAsia="sl-SI"/>
              </w:rPr>
            </w:pPr>
            <w:r>
              <w:rPr>
                <w:rFonts w:cs="Arial"/>
                <w:color w:val="000000"/>
                <w:szCs w:val="20"/>
                <w:lang w:eastAsia="sl-SI"/>
              </w:rPr>
              <w:t>143</w:t>
            </w:r>
          </w:p>
        </w:tc>
        <w:tc>
          <w:tcPr>
            <w:tcW w:w="20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color w:val="000000"/>
                <w:szCs w:val="20"/>
                <w:lang w:eastAsia="sl-SI"/>
              </w:rPr>
            </w:pPr>
            <w:r>
              <w:rPr>
                <w:rFonts w:cs="Arial"/>
                <w:color w:val="000000"/>
                <w:szCs w:val="20"/>
                <w:lang w:eastAsia="sl-SI"/>
              </w:rPr>
              <w:t>13.835.864,30</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szCs w:val="20"/>
                <w:lang w:eastAsia="sl-SI"/>
              </w:rPr>
            </w:pPr>
            <w:r>
              <w:rPr>
                <w:rFonts w:cs="Arial"/>
                <w:szCs w:val="20"/>
                <w:lang w:eastAsia="sl-SI"/>
              </w:rPr>
              <w:t>10</w:t>
            </w:r>
          </w:p>
        </w:tc>
        <w:tc>
          <w:tcPr>
            <w:tcW w:w="10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szCs w:val="20"/>
                <w:lang w:eastAsia="sl-SI"/>
              </w:rPr>
            </w:pPr>
            <w:r>
              <w:rPr>
                <w:rFonts w:cs="Arial"/>
                <w:szCs w:val="20"/>
                <w:lang w:eastAsia="sl-SI"/>
              </w:rPr>
              <w:t>-14.539,96</w:t>
            </w:r>
          </w:p>
        </w:tc>
      </w:tr>
      <w:tr w:rsidR="00257372" w:rsidTr="00332A23">
        <w:trPr>
          <w:trHeight w:val="331"/>
        </w:trPr>
        <w:tc>
          <w:tcPr>
            <w:tcW w:w="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color w:val="000000"/>
                <w:szCs w:val="20"/>
                <w:lang w:eastAsia="sl-SI"/>
              </w:rPr>
            </w:pPr>
            <w:r>
              <w:rPr>
                <w:rFonts w:cs="Arial"/>
                <w:color w:val="000000"/>
                <w:szCs w:val="20"/>
                <w:lang w:eastAsia="sl-SI"/>
              </w:rPr>
              <w:t>7</w:t>
            </w:r>
          </w:p>
        </w:tc>
        <w:tc>
          <w:tcPr>
            <w:tcW w:w="15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color w:val="000000"/>
                <w:szCs w:val="20"/>
                <w:lang w:eastAsia="sl-SI"/>
              </w:rPr>
            </w:pPr>
            <w:r>
              <w:rPr>
                <w:rFonts w:cs="Arial"/>
                <w:color w:val="000000"/>
                <w:szCs w:val="20"/>
                <w:lang w:eastAsia="sl-SI"/>
              </w:rPr>
              <w:t>15.11.2024</w:t>
            </w:r>
          </w:p>
        </w:tc>
        <w:tc>
          <w:tcPr>
            <w:tcW w:w="157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color w:val="000000"/>
                <w:szCs w:val="20"/>
                <w:lang w:eastAsia="sl-SI"/>
              </w:rPr>
            </w:pPr>
            <w:r>
              <w:rPr>
                <w:rFonts w:cs="Arial"/>
                <w:color w:val="000000"/>
                <w:szCs w:val="20"/>
                <w:lang w:eastAsia="sl-SI"/>
              </w:rPr>
              <w:t>159</w:t>
            </w:r>
          </w:p>
        </w:tc>
        <w:tc>
          <w:tcPr>
            <w:tcW w:w="20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color w:val="000000"/>
                <w:szCs w:val="20"/>
                <w:lang w:eastAsia="sl-SI"/>
              </w:rPr>
            </w:pPr>
            <w:r>
              <w:rPr>
                <w:rFonts w:cs="Arial"/>
                <w:color w:val="000000"/>
                <w:szCs w:val="20"/>
                <w:lang w:eastAsia="sl-SI"/>
              </w:rPr>
              <w:t>7.389.775,13</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szCs w:val="20"/>
                <w:lang w:eastAsia="sl-SI"/>
              </w:rPr>
            </w:pPr>
            <w:r>
              <w:rPr>
                <w:rFonts w:cs="Arial"/>
                <w:szCs w:val="20"/>
                <w:lang w:eastAsia="sl-SI"/>
              </w:rPr>
              <w:t>12</w:t>
            </w:r>
          </w:p>
        </w:tc>
        <w:tc>
          <w:tcPr>
            <w:tcW w:w="10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szCs w:val="20"/>
                <w:lang w:eastAsia="sl-SI"/>
              </w:rPr>
            </w:pPr>
            <w:r>
              <w:rPr>
                <w:rFonts w:cs="Arial"/>
                <w:szCs w:val="20"/>
                <w:lang w:eastAsia="sl-SI"/>
              </w:rPr>
              <w:t>-53.717,60</w:t>
            </w:r>
          </w:p>
        </w:tc>
      </w:tr>
      <w:tr w:rsidR="00257372" w:rsidTr="00332A23">
        <w:trPr>
          <w:trHeight w:val="331"/>
        </w:trPr>
        <w:tc>
          <w:tcPr>
            <w:tcW w:w="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color w:val="000000"/>
                <w:szCs w:val="20"/>
                <w:lang w:eastAsia="sl-SI"/>
              </w:rPr>
            </w:pPr>
            <w:r>
              <w:rPr>
                <w:rFonts w:cs="Arial"/>
                <w:color w:val="000000"/>
                <w:szCs w:val="20"/>
                <w:lang w:eastAsia="sl-SI"/>
              </w:rPr>
              <w:t>8</w:t>
            </w:r>
          </w:p>
        </w:tc>
        <w:tc>
          <w:tcPr>
            <w:tcW w:w="15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color w:val="000000"/>
                <w:szCs w:val="20"/>
                <w:lang w:eastAsia="sl-SI"/>
              </w:rPr>
            </w:pPr>
            <w:r>
              <w:rPr>
                <w:rFonts w:cs="Arial"/>
                <w:color w:val="000000"/>
                <w:szCs w:val="20"/>
                <w:lang w:eastAsia="sl-SI"/>
              </w:rPr>
              <w:t>13.12.2024</w:t>
            </w:r>
          </w:p>
        </w:tc>
        <w:tc>
          <w:tcPr>
            <w:tcW w:w="157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color w:val="000000"/>
                <w:szCs w:val="20"/>
                <w:lang w:eastAsia="sl-SI"/>
              </w:rPr>
            </w:pPr>
            <w:r>
              <w:rPr>
                <w:rFonts w:cs="Arial"/>
                <w:color w:val="000000"/>
                <w:szCs w:val="20"/>
                <w:lang w:eastAsia="sl-SI"/>
              </w:rPr>
              <w:t>75</w:t>
            </w:r>
          </w:p>
        </w:tc>
        <w:tc>
          <w:tcPr>
            <w:tcW w:w="20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color w:val="000000"/>
                <w:szCs w:val="20"/>
                <w:lang w:eastAsia="sl-SI"/>
              </w:rPr>
            </w:pPr>
            <w:r>
              <w:rPr>
                <w:rFonts w:cs="Arial"/>
                <w:color w:val="000000"/>
                <w:szCs w:val="20"/>
                <w:lang w:eastAsia="sl-SI"/>
              </w:rPr>
              <w:t>5.852.321,76</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szCs w:val="20"/>
                <w:lang w:eastAsia="sl-SI"/>
              </w:rPr>
            </w:pPr>
            <w:r>
              <w:rPr>
                <w:rFonts w:cs="Arial"/>
                <w:szCs w:val="20"/>
                <w:lang w:eastAsia="sl-SI"/>
              </w:rPr>
              <w:t>6</w:t>
            </w:r>
          </w:p>
        </w:tc>
        <w:tc>
          <w:tcPr>
            <w:tcW w:w="10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57372" w:rsidRDefault="00257372">
            <w:pPr>
              <w:spacing w:line="256" w:lineRule="auto"/>
              <w:jc w:val="right"/>
              <w:rPr>
                <w:rFonts w:cs="Arial"/>
                <w:szCs w:val="20"/>
                <w:lang w:eastAsia="sl-SI"/>
              </w:rPr>
            </w:pPr>
            <w:r>
              <w:rPr>
                <w:rFonts w:cs="Arial"/>
                <w:szCs w:val="20"/>
                <w:lang w:eastAsia="sl-SI"/>
              </w:rPr>
              <w:t>-24.417,34</w:t>
            </w:r>
          </w:p>
        </w:tc>
      </w:tr>
      <w:tr w:rsidR="00257372" w:rsidTr="00332A23">
        <w:trPr>
          <w:trHeight w:val="331"/>
        </w:trPr>
        <w:tc>
          <w:tcPr>
            <w:tcW w:w="87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57372" w:rsidRDefault="00257372">
            <w:pPr>
              <w:spacing w:line="256" w:lineRule="auto"/>
              <w:rPr>
                <w:rFonts w:cs="Arial"/>
                <w:color w:val="000000"/>
                <w:szCs w:val="20"/>
                <w:lang w:eastAsia="sl-SI"/>
              </w:rPr>
            </w:pPr>
            <w:r>
              <w:rPr>
                <w:rFonts w:cs="Arial"/>
                <w:color w:val="000000"/>
                <w:szCs w:val="20"/>
                <w:lang w:eastAsia="sl-SI"/>
              </w:rPr>
              <w:lastRenderedPageBreak/>
              <w:t> </w:t>
            </w:r>
          </w:p>
        </w:tc>
        <w:tc>
          <w:tcPr>
            <w:tcW w:w="1547" w:type="dxa"/>
            <w:tcBorders>
              <w:top w:val="nil"/>
              <w:left w:val="nil"/>
              <w:bottom w:val="single" w:sz="8" w:space="0" w:color="auto"/>
              <w:right w:val="single" w:sz="8" w:space="0" w:color="auto"/>
            </w:tcBorders>
            <w:shd w:val="clear" w:color="auto" w:fill="B4C6E7"/>
            <w:noWrap/>
            <w:tcMar>
              <w:top w:w="0" w:type="dxa"/>
              <w:left w:w="70" w:type="dxa"/>
              <w:bottom w:w="0" w:type="dxa"/>
              <w:right w:w="70" w:type="dxa"/>
            </w:tcMar>
            <w:vAlign w:val="bottom"/>
            <w:hideMark/>
          </w:tcPr>
          <w:p w:rsidR="00257372" w:rsidRDefault="00257372">
            <w:pPr>
              <w:spacing w:line="256" w:lineRule="auto"/>
              <w:rPr>
                <w:rFonts w:cs="Arial"/>
                <w:color w:val="000000"/>
                <w:szCs w:val="20"/>
                <w:lang w:eastAsia="sl-SI"/>
              </w:rPr>
            </w:pPr>
            <w:r>
              <w:rPr>
                <w:rFonts w:cs="Arial"/>
                <w:color w:val="000000"/>
                <w:szCs w:val="20"/>
                <w:lang w:eastAsia="sl-SI"/>
              </w:rPr>
              <w:t>SKUPAJ</w:t>
            </w:r>
          </w:p>
        </w:tc>
        <w:tc>
          <w:tcPr>
            <w:tcW w:w="1574" w:type="dxa"/>
            <w:gridSpan w:val="2"/>
            <w:tcBorders>
              <w:top w:val="nil"/>
              <w:left w:val="nil"/>
              <w:bottom w:val="single" w:sz="8" w:space="0" w:color="auto"/>
              <w:right w:val="single" w:sz="8" w:space="0" w:color="auto"/>
            </w:tcBorders>
            <w:shd w:val="clear" w:color="auto" w:fill="B4C6E7"/>
            <w:noWrap/>
            <w:tcMar>
              <w:top w:w="0" w:type="dxa"/>
              <w:left w:w="70" w:type="dxa"/>
              <w:bottom w:w="0" w:type="dxa"/>
              <w:right w:w="70" w:type="dxa"/>
            </w:tcMar>
            <w:vAlign w:val="bottom"/>
            <w:hideMark/>
          </w:tcPr>
          <w:p w:rsidR="00257372" w:rsidRDefault="00257372">
            <w:pPr>
              <w:spacing w:line="256" w:lineRule="auto"/>
              <w:jc w:val="right"/>
              <w:rPr>
                <w:rFonts w:cs="Arial"/>
                <w:b/>
                <w:bCs/>
                <w:color w:val="000000"/>
                <w:szCs w:val="20"/>
                <w:lang w:eastAsia="sl-SI"/>
              </w:rPr>
            </w:pPr>
            <w:r>
              <w:rPr>
                <w:rFonts w:cs="Arial"/>
                <w:b/>
                <w:bCs/>
                <w:color w:val="000000"/>
                <w:szCs w:val="20"/>
                <w:lang w:eastAsia="sl-SI"/>
              </w:rPr>
              <w:t>844</w:t>
            </w:r>
          </w:p>
        </w:tc>
        <w:tc>
          <w:tcPr>
            <w:tcW w:w="2090" w:type="dxa"/>
            <w:tcBorders>
              <w:top w:val="nil"/>
              <w:left w:val="nil"/>
              <w:bottom w:val="single" w:sz="8" w:space="0" w:color="auto"/>
              <w:right w:val="single" w:sz="8" w:space="0" w:color="auto"/>
            </w:tcBorders>
            <w:shd w:val="clear" w:color="auto" w:fill="B4C6E7"/>
            <w:noWrap/>
            <w:tcMar>
              <w:top w:w="0" w:type="dxa"/>
              <w:left w:w="70" w:type="dxa"/>
              <w:bottom w:w="0" w:type="dxa"/>
              <w:right w:w="70" w:type="dxa"/>
            </w:tcMar>
            <w:vAlign w:val="bottom"/>
            <w:hideMark/>
          </w:tcPr>
          <w:p w:rsidR="00257372" w:rsidRDefault="00257372">
            <w:pPr>
              <w:spacing w:line="256" w:lineRule="auto"/>
              <w:jc w:val="right"/>
              <w:rPr>
                <w:rFonts w:cs="Arial"/>
                <w:b/>
                <w:bCs/>
                <w:color w:val="000000"/>
                <w:szCs w:val="20"/>
                <w:lang w:eastAsia="sl-SI"/>
              </w:rPr>
            </w:pPr>
            <w:r>
              <w:rPr>
                <w:rFonts w:cs="Arial"/>
                <w:b/>
                <w:bCs/>
                <w:color w:val="000000"/>
                <w:szCs w:val="20"/>
                <w:lang w:eastAsia="sl-SI"/>
              </w:rPr>
              <w:t>103.779.689,59</w:t>
            </w:r>
            <w:r w:rsidR="00EA1EDC">
              <w:rPr>
                <w:rFonts w:cs="Arial"/>
                <w:b/>
                <w:bCs/>
                <w:color w:val="000000"/>
                <w:szCs w:val="20"/>
                <w:lang w:eastAsia="sl-SI"/>
              </w:rPr>
              <w:t xml:space="preserve"> </w:t>
            </w:r>
          </w:p>
        </w:tc>
        <w:tc>
          <w:tcPr>
            <w:tcW w:w="1559" w:type="dxa"/>
            <w:tcBorders>
              <w:top w:val="nil"/>
              <w:left w:val="nil"/>
              <w:bottom w:val="single" w:sz="8" w:space="0" w:color="auto"/>
              <w:right w:val="single" w:sz="8" w:space="0" w:color="auto"/>
            </w:tcBorders>
            <w:shd w:val="clear" w:color="auto" w:fill="B4C6E7"/>
            <w:noWrap/>
            <w:tcMar>
              <w:top w:w="0" w:type="dxa"/>
              <w:left w:w="70" w:type="dxa"/>
              <w:bottom w:w="0" w:type="dxa"/>
              <w:right w:w="70" w:type="dxa"/>
            </w:tcMar>
            <w:vAlign w:val="bottom"/>
            <w:hideMark/>
          </w:tcPr>
          <w:p w:rsidR="00257372" w:rsidRDefault="00257372">
            <w:pPr>
              <w:spacing w:line="256" w:lineRule="auto"/>
              <w:jc w:val="right"/>
              <w:rPr>
                <w:rFonts w:cs="Arial"/>
                <w:szCs w:val="20"/>
                <w:lang w:eastAsia="sl-SI"/>
              </w:rPr>
            </w:pPr>
            <w:r>
              <w:rPr>
                <w:rFonts w:cs="Arial"/>
                <w:szCs w:val="20"/>
                <w:lang w:eastAsia="sl-SI"/>
              </w:rPr>
              <w:t>54</w:t>
            </w:r>
          </w:p>
        </w:tc>
        <w:tc>
          <w:tcPr>
            <w:tcW w:w="1030" w:type="dxa"/>
            <w:tcBorders>
              <w:top w:val="nil"/>
              <w:left w:val="nil"/>
              <w:bottom w:val="single" w:sz="8" w:space="0" w:color="auto"/>
              <w:right w:val="single" w:sz="8" w:space="0" w:color="auto"/>
            </w:tcBorders>
            <w:shd w:val="clear" w:color="auto" w:fill="B4C6E7"/>
            <w:noWrap/>
            <w:tcMar>
              <w:top w:w="0" w:type="dxa"/>
              <w:left w:w="70" w:type="dxa"/>
              <w:bottom w:w="0" w:type="dxa"/>
              <w:right w:w="70" w:type="dxa"/>
            </w:tcMar>
            <w:vAlign w:val="bottom"/>
            <w:hideMark/>
          </w:tcPr>
          <w:p w:rsidR="00257372" w:rsidRDefault="00257372">
            <w:pPr>
              <w:spacing w:line="256" w:lineRule="auto"/>
              <w:jc w:val="right"/>
              <w:rPr>
                <w:rFonts w:cs="Arial"/>
                <w:szCs w:val="20"/>
                <w:lang w:eastAsia="sl-SI"/>
              </w:rPr>
            </w:pPr>
            <w:r>
              <w:rPr>
                <w:rFonts w:cs="Arial"/>
                <w:szCs w:val="20"/>
                <w:lang w:eastAsia="sl-SI"/>
              </w:rPr>
              <w:t>-139.202,32</w:t>
            </w:r>
          </w:p>
        </w:tc>
      </w:tr>
    </w:tbl>
    <w:p w:rsidR="00257372" w:rsidRDefault="00257372" w:rsidP="00257372">
      <w:pPr>
        <w:rPr>
          <w:rFonts w:eastAsiaTheme="minorHAnsi" w:cs="Arial"/>
          <w:szCs w:val="20"/>
          <w14:ligatures w14:val="standardContextual"/>
        </w:rPr>
      </w:pPr>
      <w:r>
        <w:rPr>
          <w:rFonts w:eastAsiaTheme="minorHAnsi" w:cs="Arial"/>
          <w:szCs w:val="20"/>
          <w14:ligatures w14:val="standardContextual"/>
        </w:rPr>
        <w:t>Vir: MGTŠ</w:t>
      </w:r>
    </w:p>
    <w:p w:rsidR="00257372" w:rsidRDefault="00257372" w:rsidP="00257372">
      <w:pPr>
        <w:jc w:val="both"/>
        <w:rPr>
          <w:rFonts w:eastAsiaTheme="minorHAnsi" w:cs="Arial"/>
          <w:szCs w:val="20"/>
          <w14:ligatures w14:val="standardContextual"/>
        </w:rPr>
      </w:pPr>
      <w:r>
        <w:rPr>
          <w:rFonts w:eastAsiaTheme="minorHAnsi" w:cs="Arial"/>
          <w:szCs w:val="20"/>
          <w14:ligatures w14:val="standardContextual"/>
        </w:rPr>
        <w:br/>
        <w:t>Iz zgoraj navedenega izhaja, da povračila ne bodo izplačana vsem oškodovancem, ki so predložili dokazila o nastali škodi. Predvideva s</w:t>
      </w:r>
      <w:r w:rsidR="00332A23">
        <w:rPr>
          <w:rFonts w:eastAsiaTheme="minorHAnsi" w:cs="Arial"/>
          <w:szCs w:val="20"/>
          <w14:ligatures w14:val="standardContextual"/>
        </w:rPr>
        <w:t>e, da bo potrebno okvirno 11 milijonov</w:t>
      </w:r>
      <w:r>
        <w:rPr>
          <w:rFonts w:eastAsiaTheme="minorHAnsi" w:cs="Arial"/>
          <w:szCs w:val="20"/>
          <w14:ligatures w14:val="standardContextual"/>
        </w:rPr>
        <w:t xml:space="preserve"> evrov še zagotoviti v letu 2025. </w:t>
      </w:r>
    </w:p>
    <w:p w:rsidR="00257372" w:rsidRDefault="00257372" w:rsidP="00257372">
      <w:pPr>
        <w:jc w:val="both"/>
        <w:rPr>
          <w:rFonts w:eastAsiaTheme="minorHAnsi" w:cs="Arial"/>
          <w:szCs w:val="20"/>
          <w14:ligatures w14:val="standardContextual"/>
        </w:rPr>
      </w:pPr>
    </w:p>
    <w:p w:rsidR="00257372" w:rsidRDefault="00257372" w:rsidP="00257372">
      <w:pPr>
        <w:ind w:right="57"/>
        <w:jc w:val="both"/>
        <w:rPr>
          <w:rFonts w:cs="Arial"/>
          <w:szCs w:val="20"/>
          <w:lang w:eastAsia="sl-SI"/>
        </w:rPr>
      </w:pPr>
      <w:r>
        <w:rPr>
          <w:rFonts w:cs="Arial"/>
          <w:szCs w:val="20"/>
          <w:lang w:eastAsia="sl-SI"/>
        </w:rPr>
        <w:t>Glede na že izvedena izp</w:t>
      </w:r>
      <w:r w:rsidR="00332A23">
        <w:rPr>
          <w:rFonts w:cs="Arial"/>
          <w:szCs w:val="20"/>
          <w:lang w:eastAsia="sl-SI"/>
        </w:rPr>
        <w:t>lačila predplačil (35,4 milijona</w:t>
      </w:r>
      <w:r>
        <w:rPr>
          <w:rFonts w:cs="Arial"/>
          <w:szCs w:val="20"/>
          <w:lang w:eastAsia="sl-SI"/>
        </w:rPr>
        <w:t xml:space="preserve"> ev</w:t>
      </w:r>
      <w:r w:rsidR="00332A23">
        <w:rPr>
          <w:rFonts w:cs="Arial"/>
          <w:szCs w:val="20"/>
          <w:lang w:eastAsia="sl-SI"/>
        </w:rPr>
        <w:t xml:space="preserve">rov) in povračil (103,8 milijona </w:t>
      </w:r>
      <w:r>
        <w:rPr>
          <w:rFonts w:cs="Arial"/>
          <w:szCs w:val="20"/>
          <w:lang w:eastAsia="sl-SI"/>
        </w:rPr>
        <w:t>v evrov) v letu 2024 ter predvidena izplačila povračil v letu 2</w:t>
      </w:r>
      <w:r w:rsidR="00332A23">
        <w:rPr>
          <w:rFonts w:cs="Arial"/>
          <w:szCs w:val="20"/>
          <w:lang w:eastAsia="sl-SI"/>
        </w:rPr>
        <w:t>025 (11 milijonov evrov) se ošk</w:t>
      </w:r>
      <w:r>
        <w:rPr>
          <w:rFonts w:cs="Arial"/>
          <w:szCs w:val="20"/>
          <w:lang w:eastAsia="sl-SI"/>
        </w:rPr>
        <w:t>od</w:t>
      </w:r>
      <w:r w:rsidR="00332A23">
        <w:rPr>
          <w:rFonts w:cs="Arial"/>
          <w:szCs w:val="20"/>
          <w:lang w:eastAsia="sl-SI"/>
        </w:rPr>
        <w:t>ovancem zagotavlja 150,2 milijona</w:t>
      </w:r>
      <w:r>
        <w:rPr>
          <w:rFonts w:cs="Arial"/>
          <w:szCs w:val="20"/>
          <w:lang w:eastAsia="sl-SI"/>
        </w:rPr>
        <w:t xml:space="preserve"> evrov.</w:t>
      </w:r>
    </w:p>
    <w:p w:rsidR="00257372" w:rsidRDefault="00257372" w:rsidP="00257372">
      <w:pPr>
        <w:jc w:val="both"/>
        <w:rPr>
          <w:rFonts w:cs="Arial"/>
          <w:szCs w:val="20"/>
        </w:rPr>
      </w:pPr>
    </w:p>
    <w:p w:rsidR="00257372" w:rsidRDefault="00257372" w:rsidP="00332A23">
      <w:pPr>
        <w:jc w:val="both"/>
        <w:rPr>
          <w:rFonts w:cs="Arial"/>
          <w:szCs w:val="20"/>
        </w:rPr>
      </w:pPr>
      <w:r>
        <w:rPr>
          <w:rFonts w:cs="Arial"/>
          <w:szCs w:val="20"/>
        </w:rPr>
        <w:t>Zaradi navedenega so predlagane Spremembe Programa odprave posledic škode v gospodarstvu po poplavah v avgustu 2023.</w:t>
      </w:r>
    </w:p>
    <w:p w:rsidR="00257372" w:rsidRDefault="00257372" w:rsidP="00332A23">
      <w:pPr>
        <w:jc w:val="both"/>
        <w:rPr>
          <w:rFonts w:cs="Arial"/>
          <w:szCs w:val="20"/>
        </w:rPr>
      </w:pPr>
    </w:p>
    <w:p w:rsidR="00257372" w:rsidRDefault="00257372" w:rsidP="00257372">
      <w:pPr>
        <w:rPr>
          <w:rFonts w:cs="Arial"/>
          <w:szCs w:val="20"/>
        </w:rPr>
      </w:pPr>
    </w:p>
    <w:p w:rsidR="00257372" w:rsidRDefault="00257372" w:rsidP="00257372">
      <w:pPr>
        <w:pStyle w:val="Odstavekseznama"/>
        <w:numPr>
          <w:ilvl w:val="0"/>
          <w:numId w:val="6"/>
        </w:numPr>
        <w:spacing w:line="240" w:lineRule="auto"/>
        <w:contextualSpacing w:val="0"/>
        <w:rPr>
          <w:rFonts w:cs="Arial"/>
          <w:b/>
          <w:bCs/>
          <w:szCs w:val="20"/>
        </w:rPr>
      </w:pPr>
      <w:r>
        <w:rPr>
          <w:rFonts w:cs="Arial"/>
          <w:b/>
          <w:bCs/>
          <w:szCs w:val="20"/>
        </w:rPr>
        <w:t>Spremembe Programa odprave posledic škode v gospodarstvu po poplavah v avgustu 2023</w:t>
      </w:r>
    </w:p>
    <w:p w:rsidR="00257372" w:rsidRDefault="00257372" w:rsidP="00257372">
      <w:pPr>
        <w:rPr>
          <w:rFonts w:cs="Arial"/>
          <w:szCs w:val="20"/>
        </w:rPr>
      </w:pPr>
    </w:p>
    <w:p w:rsidR="00257372" w:rsidRDefault="00257372" w:rsidP="00257372">
      <w:pPr>
        <w:rPr>
          <w:rFonts w:cs="Arial"/>
          <w:szCs w:val="20"/>
        </w:rPr>
      </w:pPr>
      <w:r>
        <w:rPr>
          <w:rFonts w:cs="Arial"/>
          <w:szCs w:val="20"/>
        </w:rPr>
        <w:t xml:space="preserve">V poglavju </w:t>
      </w:r>
      <w:r>
        <w:rPr>
          <w:rFonts w:cs="Arial"/>
          <w:b/>
          <w:bCs/>
          <w:szCs w:val="20"/>
        </w:rPr>
        <w:t>1. Uvod</w:t>
      </w:r>
      <w:r w:rsidR="00607AA6">
        <w:rPr>
          <w:rFonts w:cs="Arial"/>
          <w:szCs w:val="20"/>
        </w:rPr>
        <w:t xml:space="preserve"> se pred zadnjim odstav</w:t>
      </w:r>
      <w:r>
        <w:rPr>
          <w:rFonts w:cs="Arial"/>
          <w:szCs w:val="20"/>
        </w:rPr>
        <w:t>kom doda nov odstavek, ki se glasi:</w:t>
      </w:r>
    </w:p>
    <w:p w:rsidR="00257372" w:rsidRDefault="00257372" w:rsidP="00257372">
      <w:pPr>
        <w:ind w:right="57"/>
        <w:jc w:val="both"/>
        <w:rPr>
          <w:rFonts w:cs="Arial"/>
          <w:szCs w:val="20"/>
        </w:rPr>
      </w:pPr>
      <w:r>
        <w:rPr>
          <w:rFonts w:cs="Arial"/>
          <w:szCs w:val="20"/>
          <w:lang w:eastAsia="sl-SI"/>
        </w:rPr>
        <w:t>»</w:t>
      </w:r>
      <w:r>
        <w:rPr>
          <w:rFonts w:cs="Arial"/>
          <w:szCs w:val="20"/>
        </w:rPr>
        <w:t>Naknadno je Ministrstvo za gospodarstvo, turizem in šport iz seznama izločilo oškodovanca Šport klub AS, saj ne spada v pristojnost Ministrstva za gospodarstvo, turizem in šport, saj je organiziran kot društvo. Ocena škode pri oškodovancu Šport klub AS zn</w:t>
      </w:r>
      <w:r w:rsidR="00607AA6">
        <w:rPr>
          <w:rFonts w:cs="Arial"/>
          <w:szCs w:val="20"/>
        </w:rPr>
        <w:t>aša 124.000,00 evra, od tega znaša 120.000,00 evra</w:t>
      </w:r>
      <w:r>
        <w:rPr>
          <w:rFonts w:cs="Arial"/>
          <w:szCs w:val="20"/>
        </w:rPr>
        <w:t xml:space="preserve"> škoda na s</w:t>
      </w:r>
      <w:r w:rsidR="00607AA6">
        <w:rPr>
          <w:rFonts w:cs="Arial"/>
          <w:szCs w:val="20"/>
        </w:rPr>
        <w:t>trojih in opremi, 1.000,00 evra</w:t>
      </w:r>
      <w:r>
        <w:rPr>
          <w:rFonts w:cs="Arial"/>
          <w:szCs w:val="20"/>
        </w:rPr>
        <w:t xml:space="preserve"> šk</w:t>
      </w:r>
      <w:r w:rsidR="00607AA6">
        <w:rPr>
          <w:rFonts w:cs="Arial"/>
          <w:szCs w:val="20"/>
        </w:rPr>
        <w:t>oda na zalogah in 3.000,00 evra</w:t>
      </w:r>
      <w:r>
        <w:rPr>
          <w:rFonts w:cs="Arial"/>
          <w:szCs w:val="20"/>
        </w:rPr>
        <w:t xml:space="preserve"> škoda zaradi izpada prihodka.«.</w:t>
      </w:r>
    </w:p>
    <w:p w:rsidR="00257372" w:rsidRDefault="00257372" w:rsidP="00257372">
      <w:pPr>
        <w:rPr>
          <w:rFonts w:cs="Arial"/>
          <w:szCs w:val="20"/>
        </w:rPr>
      </w:pPr>
    </w:p>
    <w:p w:rsidR="00257372" w:rsidRDefault="00257372" w:rsidP="00607AA6">
      <w:pPr>
        <w:rPr>
          <w:rFonts w:cs="Arial"/>
          <w:szCs w:val="20"/>
        </w:rPr>
      </w:pPr>
      <w:r>
        <w:rPr>
          <w:rFonts w:cs="Arial"/>
          <w:szCs w:val="20"/>
        </w:rPr>
        <w:t>Zadnji odstavek se spremeni tako, da se glasi:</w:t>
      </w:r>
      <w:r w:rsidR="00EA1EDC">
        <w:rPr>
          <w:rFonts w:cs="Arial"/>
          <w:szCs w:val="20"/>
        </w:rPr>
        <w:t xml:space="preserve"> </w:t>
      </w:r>
    </w:p>
    <w:p w:rsidR="00257372" w:rsidRDefault="00257372" w:rsidP="00257372">
      <w:pPr>
        <w:ind w:right="57"/>
        <w:jc w:val="both"/>
        <w:rPr>
          <w:rFonts w:cs="Arial"/>
          <w:szCs w:val="20"/>
        </w:rPr>
      </w:pPr>
      <w:r>
        <w:rPr>
          <w:rFonts w:cs="Arial"/>
          <w:szCs w:val="20"/>
        </w:rPr>
        <w:t xml:space="preserve">»Skupna ocena škode (prvi in drugi poziv ter dodatni oškodovanec, ki ga je posredovalo Ministrstvo za javno upravo ter izločitev oškodovanca Šport klub AS) znaša 384.448.065,83 evra za 1.239 oškodovancev, od tega 169.691.762,90 evra za škodo na strojih in opremi, 91.509.023,08 evra za škodo na zalogah in 123.247.279,85 evra za škodo zaradi izpada prihodka. </w:t>
      </w:r>
    </w:p>
    <w:p w:rsidR="007C5745" w:rsidRDefault="007C5745" w:rsidP="00257372">
      <w:pPr>
        <w:ind w:right="57"/>
        <w:jc w:val="both"/>
        <w:rPr>
          <w:rFonts w:cs="Arial"/>
          <w:szCs w:val="20"/>
        </w:rPr>
      </w:pPr>
    </w:p>
    <w:p w:rsidR="00257372" w:rsidRDefault="00257372" w:rsidP="00257372">
      <w:pPr>
        <w:ind w:right="57"/>
        <w:jc w:val="both"/>
        <w:rPr>
          <w:rFonts w:cs="Arial"/>
          <w:szCs w:val="20"/>
          <w:lang w:eastAsia="sl-SI"/>
        </w:rPr>
      </w:pPr>
      <w:bookmarkStart w:id="1" w:name="_Hlk187524696"/>
      <w:r>
        <w:rPr>
          <w:rFonts w:cs="Arial"/>
          <w:szCs w:val="20"/>
        </w:rPr>
        <w:t xml:space="preserve">Za vseh 1.239 oškodovancev se je zagotovilo 230 milijonov evrov (predplačila in povračila škode). </w:t>
      </w:r>
      <w:r>
        <w:rPr>
          <w:rFonts w:cs="Arial"/>
          <w:szCs w:val="20"/>
          <w:lang w:eastAsia="sl-SI"/>
        </w:rPr>
        <w:t>Glede na že izvedena izpl</w:t>
      </w:r>
      <w:r w:rsidR="008732F3">
        <w:rPr>
          <w:rFonts w:cs="Arial"/>
          <w:szCs w:val="20"/>
          <w:lang w:eastAsia="sl-SI"/>
        </w:rPr>
        <w:t>ačila predplačil (35,4 milijona</w:t>
      </w:r>
      <w:r>
        <w:rPr>
          <w:rFonts w:cs="Arial"/>
          <w:szCs w:val="20"/>
          <w:lang w:eastAsia="sl-SI"/>
        </w:rPr>
        <w:t xml:space="preserve"> evrov) in povračil (103,8 milijonov evrov) v letu 2024 ter predvidena izplačila povračil v letu 2025 (11 milijonov evrov) se oškodov</w:t>
      </w:r>
      <w:r w:rsidR="008732F3">
        <w:rPr>
          <w:rFonts w:cs="Arial"/>
          <w:szCs w:val="20"/>
          <w:lang w:eastAsia="sl-SI"/>
        </w:rPr>
        <w:t>ancem zagotavlja 150,2 milijona</w:t>
      </w:r>
      <w:r>
        <w:rPr>
          <w:rFonts w:cs="Arial"/>
          <w:szCs w:val="20"/>
          <w:lang w:eastAsia="sl-SI"/>
        </w:rPr>
        <w:t xml:space="preserve"> evrov.</w:t>
      </w:r>
      <w:bookmarkEnd w:id="1"/>
    </w:p>
    <w:p w:rsidR="00663992" w:rsidRDefault="00663992" w:rsidP="00257372">
      <w:pPr>
        <w:ind w:right="57"/>
        <w:jc w:val="both"/>
        <w:rPr>
          <w:rFonts w:cs="Arial"/>
          <w:szCs w:val="20"/>
          <w:lang w:eastAsia="sl-SI"/>
        </w:rPr>
      </w:pPr>
    </w:p>
    <w:p w:rsidR="00257372" w:rsidRDefault="00257372" w:rsidP="00257372">
      <w:pPr>
        <w:ind w:right="57"/>
        <w:jc w:val="both"/>
        <w:rPr>
          <w:rFonts w:cs="Arial"/>
          <w:szCs w:val="20"/>
        </w:rPr>
      </w:pPr>
      <w:r>
        <w:rPr>
          <w:rFonts w:cs="Arial"/>
          <w:szCs w:val="20"/>
        </w:rPr>
        <w:t>Pred</w:t>
      </w:r>
      <w:r w:rsidR="00663992">
        <w:rPr>
          <w:rFonts w:cs="Arial"/>
          <w:szCs w:val="20"/>
        </w:rPr>
        <w:t>plačila: 958 oškodovancev je prejelo</w:t>
      </w:r>
      <w:r>
        <w:rPr>
          <w:rFonts w:cs="Arial"/>
          <w:szCs w:val="20"/>
        </w:rPr>
        <w:t xml:space="preserve"> skupaj 35.418.004,40 evra za predplačila v višini 10 % ocenjene škode. V letu 2023 je Ministrstvo za gospodarstvo, turizem in šport že dodelilo predplačila v višini 35.351.035,34 evra, v letu 2024 pa</w:t>
      </w:r>
      <w:r w:rsidR="008732F3">
        <w:rPr>
          <w:rFonts w:cs="Arial"/>
          <w:szCs w:val="20"/>
        </w:rPr>
        <w:t xml:space="preserve"> je bilo </w:t>
      </w:r>
      <w:r>
        <w:rPr>
          <w:rFonts w:cs="Arial"/>
          <w:szCs w:val="20"/>
        </w:rPr>
        <w:t>izplačano še predplačilo za oškodovanca KO-SI d. o. o. v višini 66.969,06 evra.</w:t>
      </w:r>
    </w:p>
    <w:p w:rsidR="00663992" w:rsidRDefault="00663992" w:rsidP="00257372">
      <w:pPr>
        <w:ind w:right="57"/>
        <w:jc w:val="both"/>
        <w:rPr>
          <w:rFonts w:cs="Arial"/>
          <w:szCs w:val="20"/>
        </w:rPr>
      </w:pPr>
    </w:p>
    <w:p w:rsidR="00257372" w:rsidRDefault="00257372" w:rsidP="00257372">
      <w:pPr>
        <w:ind w:right="57"/>
        <w:jc w:val="both"/>
        <w:rPr>
          <w:rFonts w:cs="Arial"/>
          <w:b/>
          <w:bCs/>
          <w:szCs w:val="20"/>
          <w:lang w:eastAsia="sl-SI"/>
        </w:rPr>
      </w:pPr>
      <w:r>
        <w:rPr>
          <w:rFonts w:cs="Arial"/>
          <w:szCs w:val="20"/>
        </w:rPr>
        <w:t>Povračila: V letu 2024 je</w:t>
      </w:r>
      <w:r w:rsidR="008732F3">
        <w:rPr>
          <w:rFonts w:cs="Arial"/>
          <w:szCs w:val="20"/>
        </w:rPr>
        <w:t xml:space="preserve"> bilo</w:t>
      </w:r>
      <w:r>
        <w:rPr>
          <w:rFonts w:cs="Arial"/>
          <w:szCs w:val="20"/>
        </w:rPr>
        <w:t xml:space="preserve"> predvideno izplačilo povračil </w:t>
      </w:r>
      <w:r w:rsidR="008732F3">
        <w:rPr>
          <w:rFonts w:cs="Arial"/>
          <w:szCs w:val="20"/>
        </w:rPr>
        <w:t xml:space="preserve">v </w:t>
      </w:r>
      <w:r>
        <w:rPr>
          <w:rFonts w:cs="Arial"/>
          <w:szCs w:val="20"/>
        </w:rPr>
        <w:t>sk</w:t>
      </w:r>
      <w:r w:rsidR="008732F3">
        <w:rPr>
          <w:rFonts w:cs="Arial"/>
          <w:szCs w:val="20"/>
        </w:rPr>
        <w:t xml:space="preserve">upni </w:t>
      </w:r>
      <w:r>
        <w:rPr>
          <w:rFonts w:cs="Arial"/>
          <w:szCs w:val="20"/>
        </w:rPr>
        <w:t xml:space="preserve">višini 194.581.995,60 evra (če višina pomoči preseže razpoložljiva sredstva, se dopolni program z dodatnim sredstvi) iz proračuna Republike Slovenije za leto 2024, ki se bodo oškodovancem izplačevala sproti, saj je točno določen odstotek financiranja dejanske škode, in sicer 45 % dejanske škode (v kolikor škoda ni zavarovana) oziroma 60 % dejanske škode (v kolikor je škoda zavarovana). </w:t>
      </w:r>
      <w:r>
        <w:rPr>
          <w:rFonts w:cs="Arial"/>
          <w:szCs w:val="20"/>
          <w:lang w:eastAsia="sl-SI"/>
        </w:rPr>
        <w:t>Glede na podatke že izplačanih povračil v letu 2024 in predvidena izplačila povračil v letu 2025 pa bo za povračila potrebnih 114.779.689,59 evra.</w:t>
      </w:r>
      <w:r>
        <w:rPr>
          <w:rFonts w:cs="Arial"/>
          <w:szCs w:val="20"/>
        </w:rPr>
        <w:t>«.</w:t>
      </w:r>
    </w:p>
    <w:p w:rsidR="00257372" w:rsidRDefault="00257372" w:rsidP="00257372">
      <w:pPr>
        <w:rPr>
          <w:rFonts w:cs="Arial"/>
          <w:szCs w:val="20"/>
        </w:rPr>
      </w:pPr>
    </w:p>
    <w:p w:rsidR="00257372" w:rsidRDefault="00257372" w:rsidP="00663992">
      <w:pPr>
        <w:jc w:val="both"/>
        <w:rPr>
          <w:rFonts w:cs="Arial"/>
          <w:szCs w:val="20"/>
        </w:rPr>
      </w:pPr>
      <w:r>
        <w:rPr>
          <w:rFonts w:cs="Arial"/>
          <w:szCs w:val="20"/>
        </w:rPr>
        <w:t xml:space="preserve">Na koncu podpoglavja </w:t>
      </w:r>
      <w:r>
        <w:rPr>
          <w:rFonts w:cs="Arial"/>
          <w:b/>
          <w:bCs/>
          <w:szCs w:val="20"/>
        </w:rPr>
        <w:t>4.4 Vrsta in višina škode</w:t>
      </w:r>
      <w:r>
        <w:rPr>
          <w:rFonts w:cs="Arial"/>
          <w:szCs w:val="20"/>
        </w:rPr>
        <w:t xml:space="preserve"> se pred zadnjim odstavkom doda nov odstavek, ki se glasi:</w:t>
      </w:r>
    </w:p>
    <w:p w:rsidR="00257372" w:rsidRDefault="00257372" w:rsidP="00257372">
      <w:pPr>
        <w:ind w:right="-27"/>
        <w:jc w:val="both"/>
        <w:rPr>
          <w:rFonts w:cs="Arial"/>
          <w:szCs w:val="20"/>
          <w:lang w:eastAsia="sl-SI"/>
        </w:rPr>
      </w:pPr>
      <w:r>
        <w:rPr>
          <w:rFonts w:cs="Arial"/>
          <w:szCs w:val="20"/>
        </w:rPr>
        <w:lastRenderedPageBreak/>
        <w:t>»Naknadno je Ministrstvo za gospodarstvo, turizem in šport iz seznama izločilo oškodovanca Šport klub AS, saj ne spada v pristojnost Ministrstva za gospodarstvo, turizem in šport, saj je organiziran kot društvo. Ocena škode pri oškodovancu Špor</w:t>
      </w:r>
      <w:r w:rsidR="00210F24">
        <w:rPr>
          <w:rFonts w:cs="Arial"/>
          <w:szCs w:val="20"/>
        </w:rPr>
        <w:t>t klub AS znaša 124.000,00 evra, od tega znaša 120.000,00 evra</w:t>
      </w:r>
      <w:r>
        <w:rPr>
          <w:rFonts w:cs="Arial"/>
          <w:szCs w:val="20"/>
        </w:rPr>
        <w:t xml:space="preserve"> škoda na </w:t>
      </w:r>
      <w:r w:rsidR="00210F24">
        <w:rPr>
          <w:rFonts w:cs="Arial"/>
          <w:szCs w:val="20"/>
        </w:rPr>
        <w:t>strojih in opremi, 1.000,00 evra</w:t>
      </w:r>
      <w:r>
        <w:rPr>
          <w:rFonts w:cs="Arial"/>
          <w:szCs w:val="20"/>
        </w:rPr>
        <w:t xml:space="preserve"> škoda na zalogah in </w:t>
      </w:r>
      <w:r w:rsidR="00210F24">
        <w:rPr>
          <w:rFonts w:cs="Arial"/>
          <w:szCs w:val="20"/>
        </w:rPr>
        <w:t>3.000,00 evra</w:t>
      </w:r>
      <w:r>
        <w:rPr>
          <w:rFonts w:cs="Arial"/>
          <w:szCs w:val="20"/>
        </w:rPr>
        <w:t xml:space="preserve"> škoda zaradi izpada prihodka.«.</w:t>
      </w:r>
      <w:r>
        <w:rPr>
          <w:rFonts w:cs="Arial"/>
          <w:szCs w:val="20"/>
          <w:lang w:eastAsia="sl-SI"/>
        </w:rPr>
        <w:t xml:space="preserve"> </w:t>
      </w:r>
    </w:p>
    <w:p w:rsidR="00257372" w:rsidRDefault="00257372" w:rsidP="00257372">
      <w:pPr>
        <w:rPr>
          <w:rFonts w:cs="Arial"/>
          <w:szCs w:val="20"/>
        </w:rPr>
      </w:pPr>
    </w:p>
    <w:p w:rsidR="00257372" w:rsidRDefault="00257372" w:rsidP="00210F24">
      <w:pPr>
        <w:rPr>
          <w:rFonts w:cs="Arial"/>
          <w:szCs w:val="20"/>
        </w:rPr>
      </w:pPr>
      <w:r>
        <w:rPr>
          <w:rFonts w:cs="Arial"/>
          <w:szCs w:val="20"/>
        </w:rPr>
        <w:t>Zadnji odstavek se spremeni tako, da se glasi:</w:t>
      </w:r>
      <w:r w:rsidR="00EA1EDC">
        <w:rPr>
          <w:rFonts w:cs="Arial"/>
          <w:szCs w:val="20"/>
        </w:rPr>
        <w:t xml:space="preserve"> </w:t>
      </w:r>
    </w:p>
    <w:p w:rsidR="00257372" w:rsidRDefault="00257372" w:rsidP="00257372">
      <w:pPr>
        <w:ind w:right="-27"/>
        <w:jc w:val="both"/>
        <w:rPr>
          <w:rFonts w:cs="Arial"/>
          <w:iCs/>
          <w:szCs w:val="20"/>
        </w:rPr>
      </w:pPr>
      <w:r>
        <w:rPr>
          <w:rFonts w:cs="Arial"/>
          <w:szCs w:val="20"/>
          <w:lang w:eastAsia="sl-SI"/>
        </w:rPr>
        <w:t>»</w:t>
      </w:r>
      <w:bookmarkStart w:id="2" w:name="_Hlk187524985"/>
      <w:bookmarkStart w:id="3" w:name="_Hlk187524798"/>
      <w:r>
        <w:rPr>
          <w:rFonts w:cs="Arial"/>
          <w:szCs w:val="20"/>
          <w:lang w:eastAsia="sl-SI"/>
        </w:rPr>
        <w:t xml:space="preserve">Za vseh 1.239 oškodovancev je bilo predvideno izplačilo povračil v skupni višini </w:t>
      </w:r>
      <w:r w:rsidR="0019011D">
        <w:rPr>
          <w:rFonts w:cs="Arial"/>
          <w:szCs w:val="20"/>
          <w:lang w:eastAsia="sl-SI"/>
        </w:rPr>
        <w:br/>
      </w:r>
      <w:r>
        <w:rPr>
          <w:rFonts w:cs="Arial"/>
          <w:szCs w:val="20"/>
          <w:lang w:eastAsia="sl-SI"/>
        </w:rPr>
        <w:t xml:space="preserve">194.581.995,60 evra iz proračuna Republike Slovenije za leto 2024 in za leto 2025 (glede na podatke že izplačanih povračil v letu 2024 in predvidena izplačila povračil v letu 2025 pa bo za povračila zagotovljenih </w:t>
      </w:r>
      <w:r>
        <w:rPr>
          <w:rFonts w:cs="Arial"/>
          <w:szCs w:val="20"/>
        </w:rPr>
        <w:t xml:space="preserve">114.779.689,59 </w:t>
      </w:r>
      <w:r>
        <w:rPr>
          <w:rFonts w:cs="Arial"/>
          <w:szCs w:val="20"/>
          <w:lang w:eastAsia="sl-SI"/>
        </w:rPr>
        <w:t>evra)</w:t>
      </w:r>
      <w:bookmarkEnd w:id="2"/>
      <w:r>
        <w:rPr>
          <w:rFonts w:cs="Arial"/>
          <w:szCs w:val="20"/>
          <w:lang w:eastAsia="sl-SI"/>
        </w:rPr>
        <w:t>, ki se bodo oškodovancem izplačevala sproti, saj je točno določen odstotek financiranja dejanske škode. Oškodovanci bodo lahko prejeli povračila (vključno z zneskom že izplačanih povračil), in sicer 45 % (v kolikor oškodovanec</w:t>
      </w:r>
      <w:r>
        <w:rPr>
          <w:rFonts w:cs="Arial"/>
          <w:iCs/>
          <w:szCs w:val="20"/>
        </w:rPr>
        <w:t xml:space="preserve"> škode ni imel zavarovane) ali 60 % (v kolikor je imel oškodovanec zavarovano škodo) dejanske škode.</w:t>
      </w:r>
      <w:bookmarkEnd w:id="3"/>
      <w:r>
        <w:rPr>
          <w:rFonts w:cs="Arial"/>
          <w:iCs/>
          <w:szCs w:val="20"/>
        </w:rPr>
        <w:t>«.</w:t>
      </w:r>
    </w:p>
    <w:p w:rsidR="00257372" w:rsidRDefault="00257372" w:rsidP="00257372">
      <w:pPr>
        <w:ind w:right="-27"/>
        <w:jc w:val="both"/>
        <w:rPr>
          <w:rFonts w:cs="Arial"/>
          <w:b/>
          <w:bCs/>
          <w:iCs/>
          <w:szCs w:val="20"/>
        </w:rPr>
      </w:pPr>
    </w:p>
    <w:p w:rsidR="00257372" w:rsidRDefault="00257372" w:rsidP="00257372">
      <w:pPr>
        <w:ind w:right="-27"/>
        <w:jc w:val="both"/>
        <w:rPr>
          <w:rFonts w:cs="Arial"/>
          <w:iCs/>
          <w:szCs w:val="20"/>
        </w:rPr>
      </w:pPr>
      <w:r>
        <w:rPr>
          <w:rFonts w:cs="Arial"/>
          <w:iCs/>
          <w:szCs w:val="20"/>
        </w:rPr>
        <w:t>V podpoglavju</w:t>
      </w:r>
      <w:r>
        <w:rPr>
          <w:rFonts w:cs="Arial"/>
          <w:b/>
          <w:bCs/>
          <w:iCs/>
          <w:szCs w:val="20"/>
        </w:rPr>
        <w:t xml:space="preserve"> 4.5 Ocena števila upravičencev do sredstev za odpravo posledic škode v gospodarstvu </w:t>
      </w:r>
      <w:r>
        <w:rPr>
          <w:rFonts w:cs="Arial"/>
          <w:iCs/>
          <w:szCs w:val="20"/>
        </w:rPr>
        <w:t>se število »1.240« nadomesti s številom »1.239«.</w:t>
      </w:r>
    </w:p>
    <w:p w:rsidR="00257372" w:rsidRDefault="00257372" w:rsidP="00257372">
      <w:pPr>
        <w:ind w:right="-27"/>
        <w:jc w:val="both"/>
        <w:rPr>
          <w:rFonts w:cs="Arial"/>
          <w:szCs w:val="20"/>
          <w:lang w:eastAsia="sl-SI"/>
        </w:rPr>
      </w:pPr>
    </w:p>
    <w:p w:rsidR="00257372" w:rsidRDefault="00257372" w:rsidP="0019011D">
      <w:pPr>
        <w:jc w:val="both"/>
        <w:rPr>
          <w:rFonts w:cs="Arial"/>
          <w:szCs w:val="20"/>
        </w:rPr>
      </w:pPr>
      <w:r>
        <w:rPr>
          <w:rFonts w:cs="Arial"/>
          <w:szCs w:val="20"/>
        </w:rPr>
        <w:t xml:space="preserve">V podpoglavju </w:t>
      </w:r>
      <w:r>
        <w:rPr>
          <w:rFonts w:cs="Arial"/>
          <w:b/>
          <w:bCs/>
          <w:szCs w:val="20"/>
        </w:rPr>
        <w:t>4.6</w:t>
      </w:r>
      <w:bookmarkStart w:id="4" w:name="_Toc158972534"/>
      <w:r>
        <w:rPr>
          <w:rFonts w:cs="Arial"/>
          <w:b/>
          <w:bCs/>
          <w:szCs w:val="20"/>
        </w:rPr>
        <w:t xml:space="preserve"> </w:t>
      </w:r>
      <w:r>
        <w:rPr>
          <w:b/>
          <w:bCs/>
          <w:szCs w:val="20"/>
          <w:lang w:eastAsia="sl-SI"/>
        </w:rPr>
        <w:t>Ocena potrebnih sredstev za odpravo škode v gospodarstvu</w:t>
      </w:r>
      <w:bookmarkEnd w:id="4"/>
      <w:r>
        <w:rPr>
          <w:szCs w:val="20"/>
          <w:lang w:eastAsia="sl-SI"/>
        </w:rPr>
        <w:t xml:space="preserve"> se na koncu podpoglavja doda stavek, ki se glasi:</w:t>
      </w:r>
    </w:p>
    <w:p w:rsidR="00257372" w:rsidRDefault="00257372" w:rsidP="00BE6AA2">
      <w:pPr>
        <w:autoSpaceDE w:val="0"/>
        <w:autoSpaceDN w:val="0"/>
        <w:adjustRightInd w:val="0"/>
        <w:ind w:right="425"/>
        <w:jc w:val="both"/>
        <w:rPr>
          <w:rFonts w:cs="Arial"/>
          <w:szCs w:val="20"/>
          <w:lang w:eastAsia="sl-SI"/>
        </w:rPr>
      </w:pPr>
      <w:bookmarkStart w:id="5" w:name="_GoBack"/>
      <w:bookmarkEnd w:id="5"/>
      <w:r>
        <w:rPr>
          <w:rFonts w:cs="Arial"/>
          <w:szCs w:val="20"/>
          <w:lang w:eastAsia="sl-SI"/>
        </w:rPr>
        <w:t>»V kolikor v letu 2024 ne bodo izvedena izplačila vseh</w:t>
      </w:r>
      <w:r w:rsidR="00BE6AA2">
        <w:rPr>
          <w:rFonts w:cs="Arial"/>
          <w:szCs w:val="20"/>
          <w:lang w:eastAsia="sl-SI"/>
        </w:rPr>
        <w:t xml:space="preserve"> povračil, se razlika prenese v </w:t>
      </w:r>
      <w:r>
        <w:rPr>
          <w:rFonts w:cs="Arial"/>
          <w:szCs w:val="20"/>
          <w:lang w:eastAsia="sl-SI"/>
        </w:rPr>
        <w:t>prihodnje leto.«.</w:t>
      </w:r>
    </w:p>
    <w:p w:rsidR="00257372" w:rsidRDefault="00257372" w:rsidP="00257372">
      <w:pPr>
        <w:autoSpaceDE w:val="0"/>
        <w:autoSpaceDN w:val="0"/>
        <w:adjustRightInd w:val="0"/>
        <w:ind w:right="425"/>
        <w:jc w:val="both"/>
        <w:rPr>
          <w:rFonts w:cs="Arial"/>
          <w:szCs w:val="20"/>
          <w:lang w:eastAsia="sl-SI"/>
        </w:rPr>
      </w:pPr>
    </w:p>
    <w:p w:rsidR="00257372" w:rsidRDefault="00257372" w:rsidP="00257372">
      <w:pPr>
        <w:autoSpaceDE w:val="0"/>
        <w:autoSpaceDN w:val="0"/>
        <w:adjustRightInd w:val="0"/>
        <w:ind w:right="425"/>
        <w:jc w:val="both"/>
        <w:rPr>
          <w:rFonts w:cs="Arial"/>
          <w:szCs w:val="20"/>
          <w:lang w:eastAsia="sl-SI"/>
        </w:rPr>
      </w:pPr>
      <w:r>
        <w:rPr>
          <w:rFonts w:cs="Arial"/>
          <w:szCs w:val="20"/>
          <w:lang w:eastAsia="sl-SI"/>
        </w:rPr>
        <w:t xml:space="preserve">V podpoglavju </w:t>
      </w:r>
      <w:r>
        <w:rPr>
          <w:rFonts w:cs="Arial"/>
          <w:b/>
          <w:bCs/>
          <w:szCs w:val="20"/>
          <w:lang w:eastAsia="sl-SI"/>
        </w:rPr>
        <w:t xml:space="preserve">4.7 </w:t>
      </w:r>
      <w:r>
        <w:rPr>
          <w:b/>
          <w:bCs/>
          <w:szCs w:val="20"/>
          <w:lang w:eastAsia="sl-SI"/>
        </w:rPr>
        <w:t>Finančna sredstva za izvedbo odprave posledic škode v gospodarstvu in proračunski viri</w:t>
      </w:r>
      <w:r>
        <w:rPr>
          <w:rFonts w:cs="Arial"/>
          <w:szCs w:val="20"/>
          <w:lang w:eastAsia="sl-SI"/>
        </w:rPr>
        <w:t xml:space="preserve"> se pred tabelo doda besedilo:</w:t>
      </w:r>
    </w:p>
    <w:p w:rsidR="00257372" w:rsidRDefault="00257372" w:rsidP="00257372">
      <w:pPr>
        <w:jc w:val="both"/>
        <w:rPr>
          <w:rFonts w:cs="Arial"/>
          <w:szCs w:val="20"/>
          <w:lang w:eastAsia="sl-SI"/>
        </w:rPr>
      </w:pPr>
      <w:r>
        <w:rPr>
          <w:rFonts w:cs="Arial"/>
          <w:szCs w:val="20"/>
          <w:lang w:eastAsia="sl-SI"/>
        </w:rPr>
        <w:t>»Skupaj je bilo predvidenih za povračila 194.581.995,60 evra iz proračuna Republike Slovenije. Glede na podatke že izplačanih povračil v letu 2024 in predvidena izplačila povračil v letu 2025 pa bo za povračila potrebnih 114.779.689,59 evra.«</w:t>
      </w:r>
      <w:r w:rsidR="00F17430">
        <w:rPr>
          <w:rFonts w:cs="Arial"/>
          <w:szCs w:val="20"/>
          <w:lang w:eastAsia="sl-SI"/>
        </w:rPr>
        <w:t>.</w:t>
      </w:r>
    </w:p>
    <w:p w:rsidR="00257372" w:rsidRDefault="00257372" w:rsidP="00257372">
      <w:pPr>
        <w:autoSpaceDE w:val="0"/>
        <w:autoSpaceDN w:val="0"/>
        <w:adjustRightInd w:val="0"/>
        <w:ind w:right="425"/>
        <w:jc w:val="both"/>
        <w:rPr>
          <w:rFonts w:cs="Arial"/>
          <w:szCs w:val="20"/>
          <w:lang w:eastAsia="sl-SI"/>
        </w:rPr>
      </w:pPr>
    </w:p>
    <w:p w:rsidR="00257372" w:rsidRDefault="00257372" w:rsidP="00257372">
      <w:pPr>
        <w:autoSpaceDE w:val="0"/>
        <w:autoSpaceDN w:val="0"/>
        <w:adjustRightInd w:val="0"/>
        <w:ind w:right="425"/>
        <w:jc w:val="both"/>
        <w:rPr>
          <w:rFonts w:cs="Arial"/>
          <w:szCs w:val="20"/>
          <w:lang w:eastAsia="sl-SI"/>
        </w:rPr>
      </w:pPr>
      <w:r>
        <w:rPr>
          <w:rFonts w:cs="Arial"/>
          <w:szCs w:val="20"/>
          <w:lang w:eastAsia="sl-SI"/>
        </w:rPr>
        <w:t xml:space="preserve"> Tabela spremeni tako, da se glasi:</w:t>
      </w:r>
    </w:p>
    <w:p w:rsidR="00257372" w:rsidRDefault="00257372" w:rsidP="00257372">
      <w:pPr>
        <w:autoSpaceDE w:val="0"/>
        <w:autoSpaceDN w:val="0"/>
        <w:adjustRightInd w:val="0"/>
        <w:ind w:right="425"/>
        <w:jc w:val="both"/>
        <w:rPr>
          <w:rFonts w:cs="Arial"/>
          <w:szCs w:val="20"/>
          <w:lang w:eastAsia="sl-SI"/>
        </w:rPr>
      </w:pPr>
      <w:r>
        <w:rPr>
          <w:rFonts w:cs="Arial"/>
          <w:szCs w:val="20"/>
          <w:lang w:eastAsia="sl-SI"/>
        </w:rPr>
        <w: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0"/>
        <w:gridCol w:w="2352"/>
      </w:tblGrid>
      <w:tr w:rsidR="00257372" w:rsidTr="00F17430">
        <w:trPr>
          <w:cantSplit/>
          <w:trHeight w:val="400"/>
        </w:trPr>
        <w:tc>
          <w:tcPr>
            <w:tcW w:w="629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57372" w:rsidRDefault="00257372">
            <w:pPr>
              <w:autoSpaceDE w:val="0"/>
              <w:autoSpaceDN w:val="0"/>
              <w:adjustRightInd w:val="0"/>
              <w:spacing w:line="256" w:lineRule="auto"/>
              <w:ind w:right="425"/>
              <w:jc w:val="both"/>
              <w:rPr>
                <w:rFonts w:cs="Arial"/>
                <w:szCs w:val="20"/>
                <w:lang w:eastAsia="sl-SI"/>
              </w:rPr>
            </w:pPr>
            <w:r>
              <w:rPr>
                <w:rFonts w:cs="Arial"/>
                <w:szCs w:val="20"/>
                <w:lang w:eastAsia="sl-SI"/>
              </w:rPr>
              <w:t>Opis postavke</w:t>
            </w:r>
          </w:p>
        </w:tc>
        <w:tc>
          <w:tcPr>
            <w:tcW w:w="235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257372" w:rsidRDefault="00257372">
            <w:pPr>
              <w:autoSpaceDE w:val="0"/>
              <w:autoSpaceDN w:val="0"/>
              <w:adjustRightInd w:val="0"/>
              <w:spacing w:line="256" w:lineRule="auto"/>
              <w:ind w:right="425"/>
              <w:jc w:val="center"/>
              <w:rPr>
                <w:rFonts w:cs="Arial"/>
                <w:szCs w:val="20"/>
                <w:lang w:eastAsia="sl-SI"/>
              </w:rPr>
            </w:pPr>
            <w:r>
              <w:rPr>
                <w:rFonts w:cs="Arial"/>
                <w:szCs w:val="20"/>
                <w:lang w:eastAsia="sl-SI"/>
              </w:rPr>
              <w:t xml:space="preserve">Višina sredstev v letu </w:t>
            </w:r>
            <w:r w:rsidRPr="00F22D5F">
              <w:rPr>
                <w:rFonts w:cs="Arial"/>
                <w:szCs w:val="20"/>
                <w:lang w:eastAsia="sl-SI"/>
              </w:rPr>
              <w:t>2024 in 2025</w:t>
            </w:r>
          </w:p>
        </w:tc>
      </w:tr>
      <w:tr w:rsidR="00257372" w:rsidTr="00F17430">
        <w:trPr>
          <w:cantSplit/>
          <w:trHeight w:val="407"/>
        </w:trPr>
        <w:tc>
          <w:tcPr>
            <w:tcW w:w="6290" w:type="dxa"/>
            <w:vMerge/>
            <w:tcBorders>
              <w:top w:val="single" w:sz="4" w:space="0" w:color="auto"/>
              <w:left w:val="single" w:sz="4" w:space="0" w:color="auto"/>
              <w:bottom w:val="single" w:sz="4" w:space="0" w:color="auto"/>
              <w:right w:val="single" w:sz="4" w:space="0" w:color="auto"/>
            </w:tcBorders>
            <w:vAlign w:val="center"/>
            <w:hideMark/>
          </w:tcPr>
          <w:p w:rsidR="00257372" w:rsidRDefault="00257372">
            <w:pPr>
              <w:spacing w:line="256" w:lineRule="auto"/>
              <w:rPr>
                <w:rFonts w:cs="Arial"/>
                <w:szCs w:val="20"/>
                <w:lang w:eastAsia="sl-SI"/>
              </w:rPr>
            </w:pPr>
          </w:p>
        </w:tc>
        <w:tc>
          <w:tcPr>
            <w:tcW w:w="235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257372" w:rsidRDefault="00257372">
            <w:pPr>
              <w:autoSpaceDE w:val="0"/>
              <w:autoSpaceDN w:val="0"/>
              <w:adjustRightInd w:val="0"/>
              <w:spacing w:line="256" w:lineRule="auto"/>
              <w:ind w:right="425"/>
              <w:jc w:val="center"/>
              <w:rPr>
                <w:rFonts w:cs="Arial"/>
                <w:szCs w:val="20"/>
                <w:lang w:eastAsia="sl-SI"/>
              </w:rPr>
            </w:pPr>
            <w:r>
              <w:rPr>
                <w:rFonts w:cs="Arial"/>
                <w:szCs w:val="20"/>
                <w:lang w:eastAsia="sl-SI"/>
              </w:rPr>
              <w:t xml:space="preserve"> (v evrih)</w:t>
            </w:r>
          </w:p>
        </w:tc>
      </w:tr>
      <w:tr w:rsidR="00257372" w:rsidTr="00F17430">
        <w:trPr>
          <w:trHeight w:val="1287"/>
        </w:trPr>
        <w:tc>
          <w:tcPr>
            <w:tcW w:w="6290" w:type="dxa"/>
            <w:tcBorders>
              <w:top w:val="single" w:sz="4" w:space="0" w:color="auto"/>
              <w:left w:val="single" w:sz="4" w:space="0" w:color="auto"/>
              <w:bottom w:val="single" w:sz="4" w:space="0" w:color="auto"/>
              <w:right w:val="single" w:sz="4" w:space="0" w:color="auto"/>
            </w:tcBorders>
            <w:vAlign w:val="center"/>
            <w:hideMark/>
          </w:tcPr>
          <w:p w:rsidR="00257372" w:rsidRDefault="00257372">
            <w:pPr>
              <w:autoSpaceDE w:val="0"/>
              <w:autoSpaceDN w:val="0"/>
              <w:adjustRightInd w:val="0"/>
              <w:spacing w:line="256" w:lineRule="auto"/>
              <w:ind w:right="425"/>
              <w:jc w:val="both"/>
              <w:rPr>
                <w:rFonts w:cs="Arial"/>
                <w:szCs w:val="20"/>
                <w:lang w:eastAsia="sl-SI"/>
              </w:rPr>
            </w:pPr>
            <w:r>
              <w:rPr>
                <w:rFonts w:cs="Arial"/>
                <w:szCs w:val="20"/>
                <w:lang w:eastAsia="sl-SI"/>
              </w:rPr>
              <w:t xml:space="preserve">sredstva upravičencem na podlagi Programa odprave posledic škode v gospodarstvu po poplavah v avgustu 2023 </w:t>
            </w:r>
            <w:r w:rsidR="00F22D5F">
              <w:rPr>
                <w:rFonts w:cs="Arial"/>
                <w:szCs w:val="20"/>
                <w:lang w:eastAsia="sl-SI"/>
              </w:rPr>
              <w:br/>
            </w:r>
            <w:r>
              <w:rPr>
                <w:rFonts w:cs="Arial"/>
                <w:szCs w:val="20"/>
                <w:lang w:eastAsia="sl-SI"/>
              </w:rPr>
              <w:t>(s spremembami)</w:t>
            </w:r>
          </w:p>
        </w:tc>
        <w:tc>
          <w:tcPr>
            <w:tcW w:w="2352" w:type="dxa"/>
            <w:tcBorders>
              <w:top w:val="single" w:sz="4" w:space="0" w:color="auto"/>
              <w:left w:val="single" w:sz="4" w:space="0" w:color="auto"/>
              <w:bottom w:val="single" w:sz="4" w:space="0" w:color="auto"/>
              <w:right w:val="single" w:sz="4" w:space="0" w:color="auto"/>
            </w:tcBorders>
            <w:vAlign w:val="center"/>
          </w:tcPr>
          <w:p w:rsidR="00257372" w:rsidRDefault="00257372">
            <w:pPr>
              <w:autoSpaceDE w:val="0"/>
              <w:autoSpaceDN w:val="0"/>
              <w:adjustRightInd w:val="0"/>
              <w:spacing w:line="256" w:lineRule="auto"/>
              <w:ind w:right="425"/>
              <w:jc w:val="center"/>
              <w:rPr>
                <w:rFonts w:cs="Arial"/>
                <w:szCs w:val="20"/>
              </w:rPr>
            </w:pPr>
          </w:p>
          <w:p w:rsidR="00257372" w:rsidRDefault="00257372" w:rsidP="00F22D5F">
            <w:pPr>
              <w:autoSpaceDE w:val="0"/>
              <w:autoSpaceDN w:val="0"/>
              <w:adjustRightInd w:val="0"/>
              <w:spacing w:line="256" w:lineRule="auto"/>
              <w:ind w:right="425"/>
              <w:jc w:val="center"/>
              <w:rPr>
                <w:rFonts w:cs="Arial"/>
                <w:szCs w:val="20"/>
                <w:lang w:eastAsia="sl-SI"/>
              </w:rPr>
            </w:pPr>
            <w:r>
              <w:rPr>
                <w:rFonts w:cs="Arial"/>
                <w:szCs w:val="20"/>
              </w:rPr>
              <w:t>114.779.689,59</w:t>
            </w:r>
            <w:r w:rsidR="00F22D5F">
              <w:rPr>
                <w:rFonts w:cs="Arial"/>
                <w:szCs w:val="20"/>
              </w:rPr>
              <w:t xml:space="preserve"> </w:t>
            </w:r>
          </w:p>
        </w:tc>
      </w:tr>
    </w:tbl>
    <w:p w:rsidR="00257372" w:rsidRDefault="00257372" w:rsidP="00257372">
      <w:pPr>
        <w:rPr>
          <w:rFonts w:cs="Arial"/>
          <w:szCs w:val="20"/>
        </w:rPr>
      </w:pPr>
      <w:r>
        <w:rPr>
          <w:rFonts w:cs="Arial"/>
          <w:szCs w:val="20"/>
          <w:lang w:eastAsia="sl-SI"/>
        </w:rPr>
        <w:t>».</w:t>
      </w:r>
    </w:p>
    <w:p w:rsidR="00257372" w:rsidRDefault="00257372" w:rsidP="00257372">
      <w:pPr>
        <w:autoSpaceDE w:val="0"/>
        <w:autoSpaceDN w:val="0"/>
        <w:adjustRightInd w:val="0"/>
        <w:ind w:right="425"/>
        <w:jc w:val="both"/>
        <w:rPr>
          <w:rFonts w:cs="Arial"/>
          <w:szCs w:val="20"/>
          <w:lang w:eastAsia="sl-SI"/>
        </w:rPr>
      </w:pPr>
    </w:p>
    <w:p w:rsidR="003636EA" w:rsidRDefault="003636EA" w:rsidP="00F46C2D">
      <w:pPr>
        <w:tabs>
          <w:tab w:val="left" w:pos="7920"/>
        </w:tabs>
        <w:autoSpaceDE w:val="0"/>
        <w:autoSpaceDN w:val="0"/>
        <w:adjustRightInd w:val="0"/>
        <w:jc w:val="both"/>
        <w:rPr>
          <w:rFonts w:cs="Arial"/>
          <w:color w:val="000000"/>
          <w:szCs w:val="20"/>
        </w:rPr>
      </w:pPr>
    </w:p>
    <w:p w:rsidR="003636EA" w:rsidRPr="002760DC" w:rsidRDefault="003636EA" w:rsidP="00F46C2D">
      <w:pPr>
        <w:tabs>
          <w:tab w:val="left" w:pos="7920"/>
        </w:tabs>
        <w:autoSpaceDE w:val="0"/>
        <w:autoSpaceDN w:val="0"/>
        <w:adjustRightInd w:val="0"/>
        <w:jc w:val="both"/>
        <w:rPr>
          <w:rFonts w:cs="Arial"/>
          <w:color w:val="000000"/>
          <w:szCs w:val="20"/>
        </w:rPr>
      </w:pPr>
    </w:p>
    <w:p w:rsidR="003636EA" w:rsidRPr="002760DC" w:rsidRDefault="003636EA" w:rsidP="00F46C2D">
      <w:pPr>
        <w:tabs>
          <w:tab w:val="left" w:pos="7920"/>
        </w:tabs>
        <w:autoSpaceDE w:val="0"/>
        <w:autoSpaceDN w:val="0"/>
        <w:adjustRightInd w:val="0"/>
        <w:jc w:val="both"/>
        <w:rPr>
          <w:rFonts w:cs="Arial"/>
          <w:color w:val="000000"/>
          <w:szCs w:val="20"/>
        </w:rPr>
      </w:pPr>
    </w:p>
    <w:sectPr w:rsidR="003636EA" w:rsidRPr="002760DC" w:rsidSect="005C3E50">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C83" w:rsidRDefault="00A96C83" w:rsidP="00767987">
      <w:pPr>
        <w:spacing w:line="240" w:lineRule="auto"/>
      </w:pPr>
      <w:r>
        <w:separator/>
      </w:r>
    </w:p>
  </w:endnote>
  <w:endnote w:type="continuationSeparator" w:id="0">
    <w:p w:rsidR="00A96C83" w:rsidRDefault="00A96C83"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CBD" w:rsidRDefault="00820CBD">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608314"/>
      <w:docPartObj>
        <w:docPartGallery w:val="Page Numbers (Bottom of Page)"/>
        <w:docPartUnique/>
      </w:docPartObj>
    </w:sdtPr>
    <w:sdtEndPr/>
    <w:sdtContent>
      <w:p w:rsidR="00E37094" w:rsidRDefault="00E37094">
        <w:pPr>
          <w:pStyle w:val="Noga"/>
          <w:jc w:val="right"/>
        </w:pPr>
        <w:r>
          <w:fldChar w:fldCharType="begin"/>
        </w:r>
        <w:r>
          <w:instrText>PAGE   \* MERGEFORMAT</w:instrText>
        </w:r>
        <w:r>
          <w:fldChar w:fldCharType="separate"/>
        </w:r>
        <w:r w:rsidR="00BE6AA2">
          <w:rPr>
            <w:noProof/>
          </w:rPr>
          <w:t>2</w:t>
        </w:r>
        <w:r>
          <w:fldChar w:fldCharType="end"/>
        </w:r>
      </w:p>
    </w:sdtContent>
  </w:sdt>
  <w:p w:rsidR="00E37094" w:rsidRDefault="00E37094">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5C" w:rsidRDefault="00552E5C" w:rsidP="00B01357">
    <w:pPr>
      <w:pStyle w:val="Noga"/>
      <w:jc w:val="right"/>
    </w:pPr>
  </w:p>
  <w:p w:rsidR="006C69EC" w:rsidRDefault="006C69E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C83" w:rsidRDefault="00A96C83" w:rsidP="00767987">
      <w:pPr>
        <w:spacing w:line="240" w:lineRule="auto"/>
      </w:pPr>
      <w:r>
        <w:separator/>
      </w:r>
    </w:p>
  </w:footnote>
  <w:footnote w:type="continuationSeparator" w:id="0">
    <w:p w:rsidR="00A96C83" w:rsidRDefault="00A96C83"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CBD" w:rsidRDefault="00820CBD">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CBD" w:rsidRDefault="00820CBD">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E50" w:rsidRPr="00A9231D" w:rsidRDefault="005C3E50" w:rsidP="005C3E50">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6A2662D8" wp14:editId="5DAAEB08">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rsidR="005C3E50" w:rsidRPr="00A9231D" w:rsidRDefault="005C3E50" w:rsidP="005C3E50">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76B55"/>
    <w:multiLevelType w:val="hybridMultilevel"/>
    <w:tmpl w:val="C79C1F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528D25A9"/>
    <w:multiLevelType w:val="hybridMultilevel"/>
    <w:tmpl w:val="FDF40306"/>
    <w:lvl w:ilvl="0" w:tplc="71DA1FEC">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FC3212"/>
    <w:multiLevelType w:val="hybridMultilevel"/>
    <w:tmpl w:val="30F470F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718ED"/>
    <w:rsid w:val="000B3FE6"/>
    <w:rsid w:val="000E21B2"/>
    <w:rsid w:val="00104CF4"/>
    <w:rsid w:val="001449B9"/>
    <w:rsid w:val="0019011D"/>
    <w:rsid w:val="001D3A30"/>
    <w:rsid w:val="00204177"/>
    <w:rsid w:val="00210F24"/>
    <w:rsid w:val="00257372"/>
    <w:rsid w:val="00332A23"/>
    <w:rsid w:val="003636EA"/>
    <w:rsid w:val="00366636"/>
    <w:rsid w:val="00367DE6"/>
    <w:rsid w:val="00375438"/>
    <w:rsid w:val="003B3E19"/>
    <w:rsid w:val="004076C6"/>
    <w:rsid w:val="00413F50"/>
    <w:rsid w:val="004914E2"/>
    <w:rsid w:val="004B7F76"/>
    <w:rsid w:val="004E1BCE"/>
    <w:rsid w:val="00552E5C"/>
    <w:rsid w:val="005729C6"/>
    <w:rsid w:val="00592079"/>
    <w:rsid w:val="005C3E50"/>
    <w:rsid w:val="005F1CDA"/>
    <w:rsid w:val="00607AA6"/>
    <w:rsid w:val="00663992"/>
    <w:rsid w:val="00682FFE"/>
    <w:rsid w:val="00692EB6"/>
    <w:rsid w:val="006C69EC"/>
    <w:rsid w:val="006D17B5"/>
    <w:rsid w:val="007039D0"/>
    <w:rsid w:val="007044BD"/>
    <w:rsid w:val="00710C90"/>
    <w:rsid w:val="00717DDF"/>
    <w:rsid w:val="00767987"/>
    <w:rsid w:val="00782FD4"/>
    <w:rsid w:val="007C5745"/>
    <w:rsid w:val="007D04F3"/>
    <w:rsid w:val="00811140"/>
    <w:rsid w:val="00820CBD"/>
    <w:rsid w:val="00834401"/>
    <w:rsid w:val="008732F3"/>
    <w:rsid w:val="008A27E1"/>
    <w:rsid w:val="008A3F94"/>
    <w:rsid w:val="008D30A8"/>
    <w:rsid w:val="008F410C"/>
    <w:rsid w:val="00904A48"/>
    <w:rsid w:val="00980294"/>
    <w:rsid w:val="009C5392"/>
    <w:rsid w:val="009E0C40"/>
    <w:rsid w:val="009F192B"/>
    <w:rsid w:val="00A50E4B"/>
    <w:rsid w:val="00A715DC"/>
    <w:rsid w:val="00A9231D"/>
    <w:rsid w:val="00A96C83"/>
    <w:rsid w:val="00AF6F8A"/>
    <w:rsid w:val="00B01357"/>
    <w:rsid w:val="00B40287"/>
    <w:rsid w:val="00BE6AA2"/>
    <w:rsid w:val="00C0216A"/>
    <w:rsid w:val="00C37546"/>
    <w:rsid w:val="00CA1460"/>
    <w:rsid w:val="00CC6C23"/>
    <w:rsid w:val="00CD6077"/>
    <w:rsid w:val="00CE234E"/>
    <w:rsid w:val="00D02973"/>
    <w:rsid w:val="00DA09BE"/>
    <w:rsid w:val="00DE3553"/>
    <w:rsid w:val="00E30579"/>
    <w:rsid w:val="00E37094"/>
    <w:rsid w:val="00EA1EDC"/>
    <w:rsid w:val="00F17430"/>
    <w:rsid w:val="00F22D5F"/>
    <w:rsid w:val="00F46C2D"/>
    <w:rsid w:val="00FB00DD"/>
    <w:rsid w:val="00FB7B69"/>
    <w:rsid w:val="00FE1680"/>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89029D-D534-4CF9-8555-38669BE2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aliases w:val="K1,Table of contents numbered,Elenco num ARGEA,body,Odsek zoznamu2,za tekst,Označevanje,List Paragraph2,Odstavek seznama_IP,Bulletpoints,Lista viñetas,List Paragraph compact,Normal bullet 2,Paragraphe de liste 2,Reference list"/>
    <w:basedOn w:val="Navaden"/>
    <w:link w:val="OdstavekseznamaZnak"/>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customStyle="1" w:styleId="OdstavekseznamaZnak">
    <w:name w:val="Odstavek seznama Znak"/>
    <w:aliases w:val="K1 Znak,Table of contents numbered Znak,Elenco num ARGEA Znak,body Znak,Odsek zoznamu2 Znak,za tekst Znak,Označevanje Znak,List Paragraph2 Znak,Odstavek seznama_IP Znak,Bulletpoints Znak,Lista viñetas Znak,Normal bullet 2 Znak"/>
    <w:link w:val="Odstavekseznama"/>
    <w:uiPriority w:val="34"/>
    <w:qFormat/>
    <w:locked/>
    <w:rsid w:val="00FB7B69"/>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54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1048</Words>
  <Characters>5980</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Rajh</dc:creator>
  <cp:keywords/>
  <dc:description/>
  <cp:lastModifiedBy>Andreja Rajh</cp:lastModifiedBy>
  <cp:revision>13</cp:revision>
  <dcterms:created xsi:type="dcterms:W3CDTF">2025-01-28T09:32:00Z</dcterms:created>
  <dcterms:modified xsi:type="dcterms:W3CDTF">2025-01-30T07:31:00Z</dcterms:modified>
</cp:coreProperties>
</file>