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2A9" w:rsidRPr="00130C9E" w:rsidRDefault="00DB72A9" w:rsidP="00130C9E">
      <w:pPr>
        <w:pStyle w:val="datumtevilka"/>
        <w:rPr>
          <w:rFonts w:cs="Arial"/>
        </w:rPr>
      </w:pPr>
    </w:p>
    <w:p w:rsidR="00DB72A9" w:rsidRPr="00130C9E" w:rsidRDefault="00DB72A9" w:rsidP="00130C9E">
      <w:pPr>
        <w:pStyle w:val="datumtevilka"/>
        <w:rPr>
          <w:rFonts w:cs="Arial"/>
        </w:rPr>
      </w:pPr>
      <w:r w:rsidRPr="00130C9E">
        <w:rPr>
          <w:rFonts w:cs="Arial"/>
        </w:rPr>
        <w:t xml:space="preserve">Številka: </w:t>
      </w:r>
      <w:r w:rsidRPr="00130C9E">
        <w:rPr>
          <w:rFonts w:cs="Arial"/>
        </w:rPr>
        <w:tab/>
      </w:r>
      <w:r w:rsidR="00517716">
        <w:rPr>
          <w:rFonts w:cs="Arial"/>
          <w:color w:val="000000"/>
        </w:rPr>
        <w:t>02401</w:t>
      </w:r>
      <w:r w:rsidR="002C2C0D" w:rsidRPr="00130C9E">
        <w:rPr>
          <w:rFonts w:cs="Arial"/>
          <w:color w:val="000000"/>
        </w:rPr>
        <w:t>-1/2023</w:t>
      </w:r>
      <w:r w:rsidR="006B7058" w:rsidRPr="00130C9E">
        <w:rPr>
          <w:rFonts w:cs="Arial"/>
          <w:color w:val="000000"/>
        </w:rPr>
        <w:t>/4</w:t>
      </w:r>
    </w:p>
    <w:p w:rsidR="00DB72A9" w:rsidRPr="00130C9E" w:rsidRDefault="00DB72A9" w:rsidP="00130C9E">
      <w:pPr>
        <w:pStyle w:val="datumtevilka"/>
        <w:rPr>
          <w:rFonts w:cs="Arial"/>
        </w:rPr>
      </w:pPr>
      <w:r w:rsidRPr="00130C9E">
        <w:rPr>
          <w:rFonts w:cs="Arial"/>
          <w:color w:val="000000"/>
        </w:rPr>
        <w:t xml:space="preserve">Datum: </w:t>
      </w:r>
      <w:r w:rsidRPr="00130C9E">
        <w:rPr>
          <w:rFonts w:cs="Arial"/>
        </w:rPr>
        <w:tab/>
      </w:r>
      <w:r w:rsidR="00517716">
        <w:rPr>
          <w:rFonts w:cs="Arial"/>
          <w:color w:val="000000"/>
        </w:rPr>
        <w:t>2. 2</w:t>
      </w:r>
      <w:r w:rsidR="002C2C0D" w:rsidRPr="00130C9E">
        <w:rPr>
          <w:rFonts w:cs="Arial"/>
          <w:color w:val="000000"/>
        </w:rPr>
        <w:t>. 2023</w:t>
      </w:r>
      <w:r w:rsidRPr="00130C9E">
        <w:rPr>
          <w:rFonts w:cs="Arial"/>
        </w:rPr>
        <w:t xml:space="preserve"> </w:t>
      </w:r>
    </w:p>
    <w:p w:rsidR="00DB72A9" w:rsidRPr="00130C9E" w:rsidRDefault="00DB72A9" w:rsidP="00130C9E">
      <w:pPr>
        <w:tabs>
          <w:tab w:val="left" w:pos="7920"/>
        </w:tabs>
        <w:autoSpaceDE w:val="0"/>
        <w:autoSpaceDN w:val="0"/>
        <w:adjustRightInd w:val="0"/>
        <w:jc w:val="center"/>
        <w:rPr>
          <w:rFonts w:cs="Arial"/>
          <w:color w:val="000000"/>
          <w:szCs w:val="20"/>
        </w:rPr>
      </w:pPr>
    </w:p>
    <w:p w:rsidR="00DB72A9" w:rsidRPr="00130C9E" w:rsidRDefault="00DB72A9" w:rsidP="00130C9E">
      <w:pPr>
        <w:tabs>
          <w:tab w:val="left" w:pos="7920"/>
        </w:tabs>
        <w:autoSpaceDE w:val="0"/>
        <w:autoSpaceDN w:val="0"/>
        <w:adjustRightInd w:val="0"/>
        <w:jc w:val="center"/>
        <w:rPr>
          <w:rFonts w:cs="Arial"/>
          <w:color w:val="000000"/>
          <w:szCs w:val="20"/>
        </w:rPr>
      </w:pPr>
    </w:p>
    <w:p w:rsidR="00130C9E" w:rsidRPr="00130C9E" w:rsidRDefault="00130C9E" w:rsidP="00130C9E">
      <w:pPr>
        <w:suppressAutoHyphens/>
        <w:jc w:val="center"/>
        <w:rPr>
          <w:rFonts w:cs="Arial"/>
          <w:b/>
          <w:color w:val="000000"/>
          <w:szCs w:val="20"/>
          <w:lang w:eastAsia="ar-SA"/>
        </w:rPr>
      </w:pPr>
      <w:r w:rsidRPr="00130C9E">
        <w:rPr>
          <w:rFonts w:cs="Arial"/>
          <w:b/>
          <w:color w:val="000000"/>
          <w:szCs w:val="20"/>
          <w:lang w:eastAsia="ar-SA"/>
        </w:rPr>
        <w:t>Končno poročilo Medresorske delovne skupine za Dolgoročno podnebno strategijo Slovenije do 2050</w:t>
      </w:r>
    </w:p>
    <w:p w:rsidR="00130C9E" w:rsidRDefault="00130C9E" w:rsidP="00130C9E">
      <w:pPr>
        <w:suppressAutoHyphens/>
        <w:rPr>
          <w:rFonts w:cs="Arial"/>
          <w:color w:val="000000"/>
          <w:szCs w:val="20"/>
          <w:lang w:eastAsia="ar-SA"/>
        </w:rPr>
      </w:pPr>
    </w:p>
    <w:p w:rsidR="00517716" w:rsidRPr="00130C9E" w:rsidRDefault="00517716" w:rsidP="00130C9E">
      <w:pPr>
        <w:suppressAutoHyphens/>
        <w:rPr>
          <w:rFonts w:cs="Arial"/>
          <w:color w:val="000000"/>
          <w:szCs w:val="20"/>
          <w:lang w:eastAsia="ar-SA"/>
        </w:rPr>
      </w:pPr>
    </w:p>
    <w:p w:rsidR="00130C9E" w:rsidRDefault="00130C9E" w:rsidP="00130C9E">
      <w:pPr>
        <w:suppressAutoHyphens/>
        <w:jc w:val="both"/>
        <w:rPr>
          <w:rFonts w:cs="Arial"/>
          <w:color w:val="000000"/>
          <w:szCs w:val="20"/>
          <w:lang w:eastAsia="ar-SA"/>
        </w:rPr>
      </w:pPr>
      <w:r w:rsidRPr="00130C9E">
        <w:rPr>
          <w:rFonts w:cs="Arial"/>
          <w:color w:val="000000"/>
          <w:szCs w:val="20"/>
          <w:lang w:eastAsia="ar-SA"/>
        </w:rPr>
        <w:t xml:space="preserve">V skladu s 15. členom Uredbe (EU) 2018/1999 Evropskega parlamenta in Sveta z dne </w:t>
      </w:r>
      <w:r>
        <w:rPr>
          <w:rFonts w:cs="Arial"/>
          <w:color w:val="000000"/>
          <w:szCs w:val="20"/>
          <w:lang w:eastAsia="ar-SA"/>
        </w:rPr>
        <w:br/>
      </w:r>
      <w:r w:rsidRPr="00130C9E">
        <w:rPr>
          <w:rFonts w:cs="Arial"/>
          <w:color w:val="000000"/>
          <w:szCs w:val="20"/>
          <w:lang w:eastAsia="ar-SA"/>
        </w:rPr>
        <w:t xml:space="preserve">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w:t>
      </w:r>
      <w:r>
        <w:rPr>
          <w:rFonts w:cs="Arial"/>
          <w:color w:val="000000"/>
          <w:szCs w:val="20"/>
          <w:lang w:eastAsia="ar-SA"/>
        </w:rPr>
        <w:t>(UL L št. 328 z dne 21. 12. </w:t>
      </w:r>
      <w:r w:rsidRPr="00130C9E">
        <w:rPr>
          <w:rFonts w:cs="Arial"/>
          <w:color w:val="000000"/>
          <w:szCs w:val="20"/>
          <w:lang w:eastAsia="ar-SA"/>
        </w:rPr>
        <w:t xml:space="preserve">2018, str. 1), zadnjič spremenjene z Uredbo (EU) 2021/1119 Evropskega parlamenta in Sveta z dne 30. junija 2021 o vzpostavitvi okvira za doseganje podnebne nevtralnosti in spremembi uredb (ES) št. 401/2009 in </w:t>
      </w:r>
      <w:r>
        <w:rPr>
          <w:rFonts w:cs="Arial"/>
          <w:color w:val="000000"/>
          <w:szCs w:val="20"/>
          <w:lang w:eastAsia="ar-SA"/>
        </w:rPr>
        <w:br/>
      </w:r>
      <w:r w:rsidRPr="00130C9E">
        <w:rPr>
          <w:rFonts w:cs="Arial"/>
          <w:color w:val="000000"/>
          <w:szCs w:val="20"/>
          <w:lang w:eastAsia="ar-SA"/>
        </w:rPr>
        <w:t xml:space="preserve">(EU) 2018/1999 (evropska podnebna </w:t>
      </w:r>
      <w:r>
        <w:rPr>
          <w:rFonts w:cs="Arial"/>
          <w:color w:val="000000"/>
          <w:szCs w:val="20"/>
          <w:lang w:eastAsia="ar-SA"/>
        </w:rPr>
        <w:t>pravila) (UL L št. 243 z dne 9. 7. </w:t>
      </w:r>
      <w:r w:rsidRPr="00130C9E">
        <w:rPr>
          <w:rFonts w:cs="Arial"/>
          <w:color w:val="000000"/>
          <w:szCs w:val="20"/>
          <w:lang w:eastAsia="ar-SA"/>
        </w:rPr>
        <w:t xml:space="preserve">2021, str. 1), (v nadaljnjem besedilu: Uredba 2018/1999/EU) je morala Republika Slovenija do 1. januarja 2020 pripraviti dolgoročno podnebno strategijo in jo posredovati Evropski komisiji. </w:t>
      </w:r>
    </w:p>
    <w:p w:rsidR="00130C9E" w:rsidRPr="00130C9E" w:rsidRDefault="00130C9E" w:rsidP="00130C9E">
      <w:pPr>
        <w:suppressAutoHyphens/>
        <w:jc w:val="both"/>
        <w:rPr>
          <w:rFonts w:cs="Arial"/>
          <w:color w:val="000000"/>
          <w:szCs w:val="20"/>
          <w:lang w:eastAsia="ar-SA"/>
        </w:rPr>
      </w:pPr>
    </w:p>
    <w:p w:rsidR="00130C9E" w:rsidRPr="00130C9E" w:rsidRDefault="00130C9E" w:rsidP="00130C9E">
      <w:pPr>
        <w:pStyle w:val="datumtevilka"/>
        <w:jc w:val="both"/>
        <w:rPr>
          <w:rStyle w:val="fontstyle01"/>
        </w:rPr>
      </w:pPr>
      <w:r w:rsidRPr="00130C9E">
        <w:rPr>
          <w:rFonts w:cs="Arial"/>
          <w:color w:val="000000"/>
          <w:lang w:eastAsia="ar-SA"/>
        </w:rPr>
        <w:t>Medresorska delovna skupina za</w:t>
      </w:r>
      <w:r w:rsidRPr="00130C9E">
        <w:rPr>
          <w:rFonts w:cs="Arial"/>
        </w:rPr>
        <w:t xml:space="preserve"> D</w:t>
      </w:r>
      <w:r w:rsidRPr="00130C9E">
        <w:rPr>
          <w:rFonts w:cs="Arial"/>
          <w:color w:val="000000"/>
          <w:lang w:eastAsia="ar-SA"/>
        </w:rPr>
        <w:t xml:space="preserve">olgoročno podnebno strategijo Slovenije do 2050 </w:t>
      </w:r>
      <w:r>
        <w:rPr>
          <w:rFonts w:cs="Arial"/>
          <w:color w:val="000000"/>
          <w:lang w:eastAsia="ar-SA"/>
        </w:rPr>
        <w:br/>
      </w:r>
      <w:r w:rsidRPr="00130C9E">
        <w:rPr>
          <w:rFonts w:cs="Arial"/>
          <w:color w:val="000000"/>
          <w:lang w:eastAsia="ar-SA"/>
        </w:rPr>
        <w:t xml:space="preserve">(v nadaljnjem besedilu: MDS) je bila ustanovljena s sklepom Vlade Republike Slovenije </w:t>
      </w:r>
      <w:r>
        <w:rPr>
          <w:rFonts w:cs="Arial"/>
          <w:color w:val="000000"/>
          <w:lang w:eastAsia="ar-SA"/>
        </w:rPr>
        <w:br/>
      </w:r>
      <w:r w:rsidRPr="00130C9E">
        <w:rPr>
          <w:rFonts w:cs="Arial"/>
          <w:color w:val="000000"/>
          <w:lang w:eastAsia="ar-SA"/>
        </w:rPr>
        <w:t xml:space="preserve">št. </w:t>
      </w:r>
      <w:r w:rsidRPr="00130C9E">
        <w:rPr>
          <w:rFonts w:cs="Arial"/>
          <w:color w:val="000000"/>
        </w:rPr>
        <w:t xml:space="preserve">02401-19/2020/5 z dne </w:t>
      </w:r>
      <w:r>
        <w:rPr>
          <w:rFonts w:cs="Arial"/>
          <w:color w:val="000000"/>
          <w:lang w:eastAsia="ar-SA"/>
        </w:rPr>
        <w:t>20. 8. </w:t>
      </w:r>
      <w:r w:rsidRPr="00130C9E">
        <w:rPr>
          <w:rFonts w:cs="Arial"/>
          <w:color w:val="000000"/>
          <w:lang w:eastAsia="ar-SA"/>
        </w:rPr>
        <w:t>2020. Njene naloge so obsegale</w:t>
      </w:r>
      <w:r w:rsidRPr="00130C9E">
        <w:rPr>
          <w:rStyle w:val="fontstyle01"/>
        </w:rPr>
        <w:t xml:space="preserve"> pripravo osnutka Dolgoročne podnebne strategije Slovenije do 2050, spremljanje njenega izvajanja, po potrebi priprava osnutka njene posodobitve in vsaki dve leti priprava poročila o izpolnjevanju svojih nalog.</w:t>
      </w:r>
    </w:p>
    <w:p w:rsidR="00130C9E" w:rsidRPr="00130C9E" w:rsidRDefault="00130C9E" w:rsidP="00130C9E">
      <w:pPr>
        <w:suppressAutoHyphens/>
        <w:jc w:val="both"/>
        <w:rPr>
          <w:rStyle w:val="fontstyle01"/>
        </w:rPr>
      </w:pPr>
    </w:p>
    <w:p w:rsidR="00130C9E" w:rsidRPr="00130C9E" w:rsidRDefault="00130C9E" w:rsidP="00130C9E">
      <w:pPr>
        <w:pStyle w:val="Sprotnaopomba-besedilo"/>
        <w:spacing w:line="260" w:lineRule="exact"/>
        <w:jc w:val="both"/>
        <w:rPr>
          <w:rFonts w:ascii="Arial" w:eastAsia="Times New Roman" w:hAnsi="Arial" w:cs="Arial"/>
          <w:color w:val="000000"/>
          <w:lang w:eastAsia="ar-SA"/>
        </w:rPr>
      </w:pPr>
      <w:r w:rsidRPr="00130C9E">
        <w:rPr>
          <w:rFonts w:ascii="Arial" w:eastAsia="Times New Roman" w:hAnsi="Arial" w:cs="Arial"/>
          <w:iCs/>
          <w:lang w:eastAsia="sl-SI"/>
        </w:rPr>
        <w:t>Državni zbor R</w:t>
      </w:r>
      <w:r>
        <w:rPr>
          <w:rFonts w:ascii="Arial" w:eastAsia="Times New Roman" w:hAnsi="Arial" w:cs="Arial"/>
          <w:iCs/>
          <w:lang w:eastAsia="sl-SI"/>
        </w:rPr>
        <w:t xml:space="preserve">epublike </w:t>
      </w:r>
      <w:r w:rsidRPr="00130C9E">
        <w:rPr>
          <w:rFonts w:ascii="Arial" w:eastAsia="Times New Roman" w:hAnsi="Arial" w:cs="Arial"/>
          <w:iCs/>
          <w:lang w:eastAsia="sl-SI"/>
        </w:rPr>
        <w:t>S</w:t>
      </w:r>
      <w:r>
        <w:rPr>
          <w:rFonts w:ascii="Arial" w:eastAsia="Times New Roman" w:hAnsi="Arial" w:cs="Arial"/>
          <w:iCs/>
          <w:lang w:eastAsia="sl-SI"/>
        </w:rPr>
        <w:t>lovenije</w:t>
      </w:r>
      <w:r w:rsidRPr="00130C9E">
        <w:rPr>
          <w:rFonts w:ascii="Arial" w:eastAsia="Times New Roman" w:hAnsi="Arial" w:cs="Arial"/>
          <w:color w:val="000000"/>
          <w:lang w:eastAsia="ar-SA"/>
        </w:rPr>
        <w:t xml:space="preserve"> je 13. julija 2021 sprejel Resolucijo o Dolgoročni podnebni strategiji Slovenije do leta 2050 (v nadaljnjem besedilu: ReDPS50), s katero si je Republika Slovenija v letu 2050 zastavila cilj podnebne nevtralnosti.</w:t>
      </w:r>
    </w:p>
    <w:p w:rsidR="00130C9E" w:rsidRPr="00130C9E" w:rsidRDefault="00130C9E" w:rsidP="00130C9E">
      <w:pPr>
        <w:suppressAutoHyphens/>
        <w:jc w:val="both"/>
        <w:rPr>
          <w:rFonts w:cs="Arial"/>
          <w:color w:val="000000"/>
          <w:szCs w:val="20"/>
          <w:lang w:eastAsia="ar-SA"/>
        </w:rPr>
      </w:pPr>
    </w:p>
    <w:p w:rsidR="00130C9E" w:rsidRPr="00130C9E" w:rsidRDefault="00130C9E" w:rsidP="00130C9E">
      <w:pPr>
        <w:jc w:val="both"/>
        <w:rPr>
          <w:rFonts w:cs="Arial"/>
          <w:color w:val="000000"/>
          <w:szCs w:val="20"/>
          <w:lang w:eastAsia="ar-SA"/>
        </w:rPr>
      </w:pPr>
      <w:r w:rsidRPr="00130C9E">
        <w:rPr>
          <w:rFonts w:cs="Arial"/>
          <w:color w:val="000000"/>
          <w:szCs w:val="20"/>
          <w:lang w:eastAsia="ar-SA"/>
        </w:rPr>
        <w:t>ReDPS50 se do leta 2030 spremlja preko Celovitega nacionalnega energetskega podnebnega načrta (v nadaljnjem besedilu: NEPN), ki je do leta 2030 osrednji operativni načrt na področju energetsko-podnebne politike in ga ReDPS50 tudi povzema.</w:t>
      </w:r>
    </w:p>
    <w:p w:rsidR="00130C9E" w:rsidRPr="00130C9E" w:rsidRDefault="00130C9E" w:rsidP="00130C9E">
      <w:pPr>
        <w:jc w:val="both"/>
        <w:rPr>
          <w:rFonts w:cs="Arial"/>
          <w:color w:val="000000"/>
          <w:szCs w:val="20"/>
          <w:lang w:eastAsia="ar-SA"/>
        </w:rPr>
      </w:pPr>
      <w:r w:rsidRPr="00130C9E">
        <w:rPr>
          <w:rFonts w:cs="Arial"/>
          <w:color w:val="000000"/>
          <w:szCs w:val="20"/>
          <w:lang w:eastAsia="ar-SA"/>
        </w:rPr>
        <w:t xml:space="preserve"> </w:t>
      </w:r>
    </w:p>
    <w:p w:rsidR="00130C9E" w:rsidRDefault="00130C9E" w:rsidP="00130C9E">
      <w:pPr>
        <w:jc w:val="both"/>
        <w:rPr>
          <w:rStyle w:val="fontstyle01"/>
        </w:rPr>
      </w:pPr>
      <w:r w:rsidRPr="00130C9E">
        <w:rPr>
          <w:rStyle w:val="fontstyle01"/>
        </w:rPr>
        <w:t xml:space="preserve">Odbor Državnega zbora za infrastrukturo, okolje in </w:t>
      </w:r>
      <w:r>
        <w:rPr>
          <w:rStyle w:val="fontstyle01"/>
        </w:rPr>
        <w:t>prostor je na 45. nujni seji 1. 9. </w:t>
      </w:r>
      <w:r w:rsidRPr="00130C9E">
        <w:rPr>
          <w:rStyle w:val="fontstyle01"/>
        </w:rPr>
        <w:t>2021 sprejel sklep, v katerem med drugim Ministrstvo za infrastrukturo in Ministrstvo za okolje in prostor poziva, da naj v prvi polovici leta 2022 pripravita poročilo o izvajanju NEPN. S pripravljenim poročilom se je Vlada R</w:t>
      </w:r>
      <w:r w:rsidR="00282744">
        <w:rPr>
          <w:rStyle w:val="fontstyle01"/>
        </w:rPr>
        <w:t xml:space="preserve">epublike </w:t>
      </w:r>
      <w:r w:rsidRPr="00130C9E">
        <w:rPr>
          <w:rStyle w:val="fontstyle01"/>
        </w:rPr>
        <w:t>S</w:t>
      </w:r>
      <w:r w:rsidR="00282744">
        <w:rPr>
          <w:rStyle w:val="fontstyle01"/>
        </w:rPr>
        <w:t>lovenije</w:t>
      </w:r>
      <w:r w:rsidRPr="00130C9E">
        <w:rPr>
          <w:rStyle w:val="fontstyle01"/>
        </w:rPr>
        <w:t xml:space="preserve"> </w:t>
      </w:r>
      <w:r>
        <w:rPr>
          <w:rStyle w:val="fontstyle01"/>
        </w:rPr>
        <w:t>seznanila 19. 10. </w:t>
      </w:r>
      <w:r w:rsidRPr="00130C9E">
        <w:rPr>
          <w:rStyle w:val="fontstyle01"/>
        </w:rPr>
        <w:t>2022.</w:t>
      </w:r>
    </w:p>
    <w:p w:rsidR="00130C9E" w:rsidRPr="00130C9E" w:rsidRDefault="00130C9E" w:rsidP="00130C9E">
      <w:pPr>
        <w:jc w:val="both"/>
        <w:rPr>
          <w:rStyle w:val="fontstyle01"/>
        </w:rPr>
      </w:pPr>
    </w:p>
    <w:p w:rsidR="00130C9E" w:rsidRPr="00130C9E" w:rsidRDefault="00130C9E" w:rsidP="00130C9E">
      <w:pPr>
        <w:jc w:val="both"/>
        <w:rPr>
          <w:rStyle w:val="fontstyle01"/>
        </w:rPr>
      </w:pPr>
      <w:r w:rsidRPr="00130C9E">
        <w:rPr>
          <w:rStyle w:val="fontstyle01"/>
        </w:rPr>
        <w:t>S področja zmanjšanja emisij toplogrednih plinov poročilo navaja naslednje ključne poudarke:</w:t>
      </w:r>
    </w:p>
    <w:p w:rsidR="00130C9E" w:rsidRPr="00130C9E" w:rsidRDefault="00130C9E" w:rsidP="00130C9E">
      <w:pPr>
        <w:numPr>
          <w:ilvl w:val="0"/>
          <w:numId w:val="10"/>
        </w:numPr>
        <w:ind w:left="709" w:hanging="709"/>
        <w:jc w:val="both"/>
        <w:rPr>
          <w:rStyle w:val="fontstyle01"/>
        </w:rPr>
      </w:pPr>
      <w:r w:rsidRPr="00130C9E">
        <w:rPr>
          <w:rStyle w:val="fontstyle01"/>
        </w:rPr>
        <w:t>Slovenija je večinoma uspešna pri izvajanju ukrepov</w:t>
      </w:r>
      <w:r w:rsidR="00AC63D1">
        <w:rPr>
          <w:rStyle w:val="fontstyle01"/>
        </w:rPr>
        <w:t>,</w:t>
      </w:r>
      <w:r w:rsidRPr="00130C9E">
        <w:rPr>
          <w:rStyle w:val="fontstyle01"/>
        </w:rPr>
        <w:t xml:space="preserve"> sprejetih pred NEPN, manj uspešna pa je pri izvajanju dodatnih ukrepov, sprejetih z NEPN, kjer prihaja do zamud ter pomanjkanja potrebnih kadrovskih kapacitet.</w:t>
      </w:r>
    </w:p>
    <w:p w:rsidR="00130C9E" w:rsidRPr="00130C9E" w:rsidRDefault="00130C9E" w:rsidP="00130C9E">
      <w:pPr>
        <w:numPr>
          <w:ilvl w:val="0"/>
          <w:numId w:val="10"/>
        </w:numPr>
        <w:ind w:left="709" w:hanging="709"/>
        <w:jc w:val="both"/>
        <w:rPr>
          <w:rStyle w:val="fontstyle01"/>
        </w:rPr>
      </w:pPr>
      <w:r w:rsidRPr="00130C9E">
        <w:rPr>
          <w:rStyle w:val="fontstyle01"/>
        </w:rPr>
        <w:t>Slovenija je v letu 2020 izpolnila cilje na področju emisij TGP ter energetske učinkovitosti, za doseganje višjih ciljev v letu 2030 pa bo potrebno izvajanje ukrepov bistveno okrepiti (zlasti pri prenovi stavb ter tehnološkem prehodu v industriji) in uvesti dodatne ukrepe. Energetska učinkovitost na prvem mestu in njena dostopnost za vse mora postati prednostna usmeritev podnebno energetske politike.</w:t>
      </w:r>
    </w:p>
    <w:p w:rsidR="00130C9E" w:rsidRPr="00130C9E" w:rsidRDefault="00130C9E" w:rsidP="00130C9E">
      <w:pPr>
        <w:numPr>
          <w:ilvl w:val="0"/>
          <w:numId w:val="10"/>
        </w:numPr>
        <w:ind w:left="709" w:hanging="709"/>
        <w:jc w:val="both"/>
        <w:rPr>
          <w:rStyle w:val="fontstyle01"/>
        </w:rPr>
      </w:pPr>
      <w:r w:rsidRPr="00130C9E">
        <w:rPr>
          <w:rStyle w:val="fontstyle01"/>
        </w:rPr>
        <w:lastRenderedPageBreak/>
        <w:t xml:space="preserve">Delež obnovljivih virov energije v Sloveniji brez statističnega </w:t>
      </w:r>
      <w:r>
        <w:rPr>
          <w:rStyle w:val="fontstyle01"/>
        </w:rPr>
        <w:t>prenosa je bil v letu 2020 24,1 </w:t>
      </w:r>
      <w:r w:rsidRPr="00130C9E">
        <w:rPr>
          <w:rStyle w:val="fontstyle01"/>
        </w:rPr>
        <w:t>% (cilj 25</w:t>
      </w:r>
      <w:r>
        <w:rPr>
          <w:rStyle w:val="fontstyle01"/>
        </w:rPr>
        <w:t> </w:t>
      </w:r>
      <w:r w:rsidRPr="00130C9E">
        <w:rPr>
          <w:rStyle w:val="fontstyle01"/>
        </w:rPr>
        <w:t>%), zato bo odpravi ovir na tem področju, še posebej umeščanju v prostor, treba nameniti bistveno več pozornosti.</w:t>
      </w:r>
    </w:p>
    <w:p w:rsidR="00130C9E" w:rsidRPr="00130C9E" w:rsidRDefault="00130C9E" w:rsidP="00130C9E">
      <w:pPr>
        <w:numPr>
          <w:ilvl w:val="0"/>
          <w:numId w:val="10"/>
        </w:numPr>
        <w:ind w:left="709" w:hanging="709"/>
        <w:jc w:val="both"/>
        <w:rPr>
          <w:rStyle w:val="fontstyle01"/>
        </w:rPr>
      </w:pPr>
      <w:r w:rsidRPr="00130C9E">
        <w:rPr>
          <w:rStyle w:val="fontstyle01"/>
        </w:rPr>
        <w:t xml:space="preserve">Kljub opaznemu napredku pri izvajanju ukrepov za trajnostno mobilnost bodo za doseganje ciljev potrebni bolj ambiciozni ukrepi in njihovo hitrejše izvajanje, kar zahteva tudi močno politično podporo tako na lokalni kot državni ravni. </w:t>
      </w:r>
    </w:p>
    <w:p w:rsidR="00130C9E" w:rsidRPr="00130C9E" w:rsidRDefault="00130C9E" w:rsidP="00130C9E">
      <w:pPr>
        <w:numPr>
          <w:ilvl w:val="0"/>
          <w:numId w:val="10"/>
        </w:numPr>
        <w:ind w:left="709" w:hanging="709"/>
        <w:jc w:val="both"/>
        <w:rPr>
          <w:rStyle w:val="fontstyle01"/>
        </w:rPr>
      </w:pPr>
      <w:r w:rsidRPr="00130C9E">
        <w:rPr>
          <w:rStyle w:val="fontstyle01"/>
        </w:rPr>
        <w:t>Velik zaostanek in premajhna vlaganja v električno distribucijsko omrežje bo povzročilo, da bo le-to kmalu postalo glavno ozko grlo zelenega prehoda v Sloveniji, zato je neizvajanje ukrepov NEPN na tem področju alarmantno.</w:t>
      </w:r>
    </w:p>
    <w:p w:rsidR="00130C9E" w:rsidRPr="00130C9E" w:rsidRDefault="00130C9E" w:rsidP="00130C9E">
      <w:pPr>
        <w:numPr>
          <w:ilvl w:val="0"/>
          <w:numId w:val="10"/>
        </w:numPr>
        <w:ind w:left="709" w:hanging="709"/>
        <w:jc w:val="both"/>
        <w:rPr>
          <w:rStyle w:val="fontstyle01"/>
        </w:rPr>
      </w:pPr>
      <w:r w:rsidRPr="00130C9E">
        <w:rPr>
          <w:rStyle w:val="fontstyle01"/>
        </w:rPr>
        <w:t>Slovenija je z izgradnjo prenosnega daljnovoda z Madžarsko še povečala povezanost z regionalnimi trgi električne energije in trenutno še zagotavlja visok delež domače proizvodnje električne energ</w:t>
      </w:r>
      <w:r>
        <w:rPr>
          <w:rStyle w:val="fontstyle01"/>
        </w:rPr>
        <w:t>ije (93 </w:t>
      </w:r>
      <w:r w:rsidRPr="00130C9E">
        <w:rPr>
          <w:rStyle w:val="fontstyle01"/>
        </w:rPr>
        <w:t>% v letu 2020), vendar bo skladno s sprejeto Strategijo izhoda iz premoga naj</w:t>
      </w:r>
      <w:r w:rsidR="004A5EFF">
        <w:rPr>
          <w:rStyle w:val="fontstyle01"/>
        </w:rPr>
        <w:t>pozneje</w:t>
      </w:r>
      <w:bookmarkStart w:id="0" w:name="_GoBack"/>
      <w:bookmarkEnd w:id="0"/>
      <w:r w:rsidRPr="00130C9E">
        <w:rPr>
          <w:rStyle w:val="fontstyle01"/>
        </w:rPr>
        <w:t xml:space="preserve"> do leta 2033 treba hitro zagotoviti dodatne proizvodne kapacitete.</w:t>
      </w:r>
    </w:p>
    <w:p w:rsidR="00130C9E" w:rsidRPr="00130C9E" w:rsidRDefault="00130C9E" w:rsidP="00130C9E">
      <w:pPr>
        <w:numPr>
          <w:ilvl w:val="0"/>
          <w:numId w:val="10"/>
        </w:numPr>
        <w:ind w:left="709" w:hanging="709"/>
        <w:jc w:val="both"/>
        <w:rPr>
          <w:rStyle w:val="fontstyle01"/>
        </w:rPr>
      </w:pPr>
      <w:r w:rsidRPr="00130C9E">
        <w:rPr>
          <w:rStyle w:val="fontstyle01"/>
        </w:rPr>
        <w:t>Aktualne krizne razmere v Evropi zahtevajo pospešeno diverzifikacijo dobavnih poti pri oskrbi z zemeljskim plinom, pospešena vlaganja v infrastrukturo in proizvodne kapacitete za alternativna plinasta goriva.</w:t>
      </w:r>
    </w:p>
    <w:p w:rsidR="00130C9E" w:rsidRPr="00130C9E" w:rsidRDefault="00130C9E" w:rsidP="00130C9E">
      <w:pPr>
        <w:numPr>
          <w:ilvl w:val="0"/>
          <w:numId w:val="10"/>
        </w:numPr>
        <w:ind w:left="709" w:hanging="709"/>
        <w:jc w:val="both"/>
        <w:rPr>
          <w:rStyle w:val="fontstyle01"/>
        </w:rPr>
      </w:pPr>
      <w:r w:rsidRPr="00130C9E">
        <w:rPr>
          <w:rStyle w:val="fontstyle01"/>
        </w:rPr>
        <w:t>Neizpolnjevanje ciljev vlaganj v raziskave in razvoj predstavlja veliko tveganje za počasnejšo in dražjo izvedbo zelenega prehoda, saj je vključevanje slovenske industrije in storitev v ta proces ključno za prihodnji trajnostni razvoj Slovenije.</w:t>
      </w:r>
    </w:p>
    <w:p w:rsidR="00130C9E" w:rsidRPr="00130C9E" w:rsidRDefault="00130C9E" w:rsidP="00130C9E">
      <w:pPr>
        <w:numPr>
          <w:ilvl w:val="0"/>
          <w:numId w:val="10"/>
        </w:numPr>
        <w:ind w:left="709" w:hanging="709"/>
        <w:jc w:val="both"/>
        <w:rPr>
          <w:rStyle w:val="fontstyle01"/>
        </w:rPr>
      </w:pPr>
      <w:r w:rsidRPr="00130C9E">
        <w:rPr>
          <w:rStyle w:val="fontstyle01"/>
        </w:rPr>
        <w:t>Aktualne krizne razmere v Evropi in ukrepi za blaženje visokih cen energije se morajo izvajati še hitreje ter ciljno in prednostno usmerjati na najbolj ranljive skupine prebivalstva in obvladovanje energetske revščine.</w:t>
      </w:r>
    </w:p>
    <w:p w:rsidR="00130C9E" w:rsidRDefault="00130C9E" w:rsidP="00130C9E">
      <w:pPr>
        <w:jc w:val="both"/>
        <w:rPr>
          <w:rStyle w:val="fontstyle01"/>
        </w:rPr>
      </w:pPr>
    </w:p>
    <w:p w:rsidR="00130C9E" w:rsidRDefault="00130C9E" w:rsidP="00130C9E">
      <w:pPr>
        <w:jc w:val="both"/>
        <w:rPr>
          <w:rStyle w:val="fontstyle01"/>
        </w:rPr>
      </w:pPr>
      <w:r w:rsidRPr="00130C9E">
        <w:rPr>
          <w:rStyle w:val="fontstyle01"/>
        </w:rPr>
        <w:t>Emisije toplogrednih plinov v Sloveniji se od leta 2016 znižujejo, za doseganje bolj ambicioznih ciljev do leta 2030 pa bo treba bistveno okrepiti aktivnosti v vseh sektorjih ter povečati uporabo OVE skladno s cilji NEPN. V zadnjih letih se vzpostavlja širše podporno okolje za hitrejši in uspešen prehod v podnebno nevtralno družbo. Za prepotrebno hitrejšo tehnološko transformacijo v industriji pa bo treba zagotoviti večjo stabilnost financiranja in bolj ciljno usmerjeno izvajanje ukrepov, ki prispevajo h konkretnim merljivim učinkom zmanjševanja emisij in rabe energije.</w:t>
      </w:r>
    </w:p>
    <w:p w:rsidR="00282744" w:rsidRPr="00130C9E" w:rsidRDefault="00282744" w:rsidP="00130C9E">
      <w:pPr>
        <w:jc w:val="both"/>
        <w:rPr>
          <w:rStyle w:val="fontstyle01"/>
        </w:rPr>
      </w:pPr>
    </w:p>
    <w:p w:rsidR="00130C9E" w:rsidRPr="00130C9E" w:rsidRDefault="00130C9E" w:rsidP="00130C9E">
      <w:pPr>
        <w:jc w:val="both"/>
        <w:rPr>
          <w:rStyle w:val="fontstyle01"/>
        </w:rPr>
      </w:pPr>
      <w:r w:rsidRPr="00130C9E">
        <w:rPr>
          <w:rStyle w:val="fontstyle01"/>
        </w:rPr>
        <w:t>Ukrepi spodbujanja rabe OVE se ne izvajajo v celoti, zaostanek je največji pri proizvodnji električne energije iz OVE, kjer je aktualna predvsem problematika učinkovitega sonaravnega umeščanja v prostor. Izpolnjevanje cilja s plačili statističnih prenosov oz. nakupi v tujini (prvič v letu 2020; preliminarna ocena kaže, da tudi</w:t>
      </w:r>
      <w:r w:rsidR="00282744">
        <w:rPr>
          <w:rStyle w:val="fontstyle01"/>
        </w:rPr>
        <w:t xml:space="preserve"> v letu 2021 ne bomo dosegli 25 </w:t>
      </w:r>
      <w:r w:rsidRPr="00130C9E">
        <w:rPr>
          <w:rStyle w:val="fontstyle01"/>
        </w:rPr>
        <w:t>% deleža OVE) je izhod v sili, ki ne prinaša nobenih pozitivnih narodnogospodarskih učinkov, saj Slovenija ne razpolaga s kupljeno energijo, odliv denarja v tujino ne prinaša nobenih multiplikativnih učinkov, stroški pa so višji od stroškov spodbud v nove kapacitete OVE v Sloveniji.</w:t>
      </w:r>
    </w:p>
    <w:p w:rsidR="00130C9E" w:rsidRPr="00130C9E" w:rsidRDefault="00130C9E" w:rsidP="00130C9E">
      <w:pPr>
        <w:jc w:val="both"/>
        <w:rPr>
          <w:rStyle w:val="fontstyle01"/>
        </w:rPr>
      </w:pPr>
    </w:p>
    <w:p w:rsidR="00130C9E" w:rsidRPr="00130C9E" w:rsidRDefault="00130C9E" w:rsidP="00130C9E">
      <w:pPr>
        <w:jc w:val="both"/>
        <w:rPr>
          <w:rStyle w:val="fontstyle01"/>
        </w:rPr>
      </w:pPr>
      <w:r w:rsidRPr="00130C9E">
        <w:rPr>
          <w:rStyle w:val="fontstyle01"/>
        </w:rPr>
        <w:t>V prihodnjih letih se bo spremljanje izvajanja ReDPS50 nadaljevalo preko spremljanja izvajanja NEPN, saj morajo države članice na podlagi 17. člena Uredbe 2018/1999/EU do 15. 3. 2023 in nato vsaki dve leti poročati o stanju izvajanja svojega NEPN, in</w:t>
      </w:r>
      <w:r w:rsidRPr="00130C9E">
        <w:rPr>
          <w:szCs w:val="20"/>
        </w:rPr>
        <w:t xml:space="preserve"> </w:t>
      </w:r>
      <w:r w:rsidRPr="00130C9E">
        <w:rPr>
          <w:rStyle w:val="fontstyle01"/>
        </w:rPr>
        <w:t xml:space="preserve">sicer s poročilom o napredku izvajanja NEPN, ki obsega vseh pet razsežnosti energetske unije. </w:t>
      </w:r>
    </w:p>
    <w:p w:rsidR="00130C9E" w:rsidRPr="00130C9E" w:rsidRDefault="00130C9E" w:rsidP="00130C9E">
      <w:pPr>
        <w:jc w:val="both"/>
        <w:rPr>
          <w:rFonts w:cs="Arial"/>
          <w:color w:val="000000"/>
          <w:szCs w:val="20"/>
          <w:lang w:eastAsia="ar-SA"/>
        </w:rPr>
      </w:pPr>
    </w:p>
    <w:p w:rsidR="00130C9E" w:rsidRPr="00130C9E" w:rsidRDefault="00282744" w:rsidP="00130C9E">
      <w:pPr>
        <w:suppressAutoHyphens/>
        <w:jc w:val="both"/>
        <w:rPr>
          <w:rFonts w:cs="Arial"/>
          <w:color w:val="000000"/>
          <w:szCs w:val="20"/>
          <w:lang w:eastAsia="ar-SA"/>
        </w:rPr>
      </w:pPr>
      <w:r>
        <w:rPr>
          <w:rFonts w:cs="Arial"/>
          <w:color w:val="000000"/>
          <w:szCs w:val="20"/>
          <w:lang w:eastAsia="ar-SA"/>
        </w:rPr>
        <w:t>15. 12. </w:t>
      </w:r>
      <w:r w:rsidR="00130C9E" w:rsidRPr="00130C9E">
        <w:rPr>
          <w:rFonts w:cs="Arial"/>
          <w:color w:val="000000"/>
          <w:szCs w:val="20"/>
          <w:lang w:eastAsia="ar-SA"/>
        </w:rPr>
        <w:t>2022 je Vlada R</w:t>
      </w:r>
      <w:r>
        <w:rPr>
          <w:rFonts w:cs="Arial"/>
          <w:color w:val="000000"/>
          <w:szCs w:val="20"/>
          <w:lang w:eastAsia="ar-SA"/>
        </w:rPr>
        <w:t xml:space="preserve">epublike </w:t>
      </w:r>
      <w:r w:rsidR="00130C9E" w:rsidRPr="00130C9E">
        <w:rPr>
          <w:rFonts w:cs="Arial"/>
          <w:color w:val="000000"/>
          <w:szCs w:val="20"/>
          <w:lang w:eastAsia="ar-SA"/>
        </w:rPr>
        <w:t>S</w:t>
      </w:r>
      <w:r>
        <w:rPr>
          <w:rFonts w:cs="Arial"/>
          <w:color w:val="000000"/>
          <w:szCs w:val="20"/>
          <w:lang w:eastAsia="ar-SA"/>
        </w:rPr>
        <w:t>lovenije</w:t>
      </w:r>
      <w:r w:rsidR="00130C9E" w:rsidRPr="00130C9E">
        <w:rPr>
          <w:rFonts w:cs="Arial"/>
          <w:color w:val="000000"/>
          <w:szCs w:val="20"/>
          <w:lang w:eastAsia="ar-SA"/>
        </w:rPr>
        <w:t xml:space="preserve"> ustanovila Stalno medresorsko delovno skupino za Celoviti nacionalni energetski in podnebni načrt in Dolgoročno podnebno strategijo Slovenije do 2050. Med njenimi nalogami je med drugim tudi priprava osnutka posodobitve ReDPS50. Obstoj MDS ni več potreben, zato je MDS prenehala z delovanjem.</w:t>
      </w:r>
    </w:p>
    <w:p w:rsidR="00DB72A9" w:rsidRPr="00130C9E" w:rsidRDefault="00DB72A9" w:rsidP="00130C9E">
      <w:pPr>
        <w:pStyle w:val="podpisi"/>
        <w:rPr>
          <w:rFonts w:cs="Arial"/>
          <w:szCs w:val="20"/>
          <w:lang w:val="sl-SI"/>
        </w:rPr>
      </w:pPr>
    </w:p>
    <w:p w:rsidR="00782FD4" w:rsidRPr="00130C9E" w:rsidRDefault="00782FD4" w:rsidP="00130C9E">
      <w:pPr>
        <w:rPr>
          <w:rFonts w:cs="Arial"/>
          <w:szCs w:val="20"/>
        </w:rPr>
      </w:pPr>
    </w:p>
    <w:sectPr w:rsidR="00782FD4" w:rsidRPr="00130C9E" w:rsidSect="00045CD6">
      <w:footerReference w:type="default" r:id="rId7"/>
      <w:headerReference w:type="first" r:id="rId8"/>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8C3" w:rsidRDefault="00E238C3" w:rsidP="00767987">
      <w:pPr>
        <w:spacing w:line="240" w:lineRule="auto"/>
      </w:pPr>
      <w:r>
        <w:separator/>
      </w:r>
    </w:p>
  </w:endnote>
  <w:endnote w:type="continuationSeparator" w:id="0">
    <w:p w:rsidR="00E238C3" w:rsidRDefault="00E238C3"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712008"/>
      <w:docPartObj>
        <w:docPartGallery w:val="Page Numbers (Bottom of Page)"/>
        <w:docPartUnique/>
      </w:docPartObj>
    </w:sdtPr>
    <w:sdtEndPr/>
    <w:sdtContent>
      <w:p w:rsidR="00423B5A" w:rsidRDefault="00423B5A">
        <w:pPr>
          <w:pStyle w:val="Noga"/>
          <w:jc w:val="right"/>
        </w:pPr>
        <w:r>
          <w:fldChar w:fldCharType="begin"/>
        </w:r>
        <w:r>
          <w:instrText>PAGE   \* MERGEFORMAT</w:instrText>
        </w:r>
        <w:r>
          <w:fldChar w:fldCharType="separate"/>
        </w:r>
        <w:r w:rsidR="004A5EFF">
          <w:rPr>
            <w:noProof/>
          </w:rPr>
          <w:t>2</w:t>
        </w:r>
        <w:r>
          <w:fldChar w:fldCharType="end"/>
        </w:r>
      </w:p>
    </w:sdtContent>
  </w:sdt>
  <w:p w:rsidR="00423B5A" w:rsidRDefault="00423B5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8C3" w:rsidRDefault="00E238C3" w:rsidP="00767987">
      <w:pPr>
        <w:spacing w:line="240" w:lineRule="auto"/>
      </w:pPr>
      <w:r>
        <w:separator/>
      </w:r>
    </w:p>
  </w:footnote>
  <w:footnote w:type="continuationSeparator" w:id="0">
    <w:p w:rsidR="00E238C3" w:rsidRDefault="00E238C3"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CD6" w:rsidRPr="00A9231D" w:rsidRDefault="00045CD6" w:rsidP="00045CD6">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9634D7D" wp14:editId="71A0A506">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045CD6" w:rsidRPr="00A9231D" w:rsidRDefault="00045CD6" w:rsidP="00045CD6">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045CD6" w:rsidRPr="00A9231D" w:rsidRDefault="00045CD6" w:rsidP="00045CD6">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045CD6" w:rsidRPr="00A9231D" w:rsidRDefault="00045CD6" w:rsidP="00045CD6">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045CD6" w:rsidRPr="00A9231D" w:rsidRDefault="00045CD6" w:rsidP="00045CD6">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86961"/>
    <w:multiLevelType w:val="hybridMultilevel"/>
    <w:tmpl w:val="F93AF0D8"/>
    <w:lvl w:ilvl="0" w:tplc="17D4A8C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13C11856"/>
    <w:multiLevelType w:val="hybridMultilevel"/>
    <w:tmpl w:val="8356EA4E"/>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 w15:restartNumberingAfterBreak="0">
    <w:nsid w:val="31BB19E3"/>
    <w:multiLevelType w:val="hybridMultilevel"/>
    <w:tmpl w:val="EA126C2A"/>
    <w:lvl w:ilvl="0" w:tplc="68AADA7A">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C983290"/>
    <w:multiLevelType w:val="hybridMultilevel"/>
    <w:tmpl w:val="3A80BD0A"/>
    <w:lvl w:ilvl="0" w:tplc="17D4A8C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4CE1253D"/>
    <w:multiLevelType w:val="hybridMultilevel"/>
    <w:tmpl w:val="8278B46E"/>
    <w:lvl w:ilvl="0" w:tplc="E47E7AB6">
      <w:start w:val="1"/>
      <w:numFmt w:val="bullet"/>
      <w:lvlText w:val=""/>
      <w:lvlJc w:val="left"/>
      <w:pPr>
        <w:tabs>
          <w:tab w:val="num" w:pos="360"/>
        </w:tabs>
        <w:ind w:left="360" w:hanging="360"/>
      </w:pPr>
      <w:rPr>
        <w:rFonts w:ascii="Symbol" w:hAnsi="Symbol"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5087F"/>
    <w:multiLevelType w:val="hybridMultilevel"/>
    <w:tmpl w:val="F6305A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9" w15:restartNumberingAfterBreak="0">
    <w:nsid w:val="7F88653E"/>
    <w:multiLevelType w:val="hybridMultilevel"/>
    <w:tmpl w:val="58227EF0"/>
    <w:lvl w:ilvl="0" w:tplc="58F8AED4">
      <w:start w:val="1"/>
      <w:numFmt w:val="decimal"/>
      <w:lvlText w:val="%1."/>
      <w:lvlJc w:val="left"/>
      <w:pPr>
        <w:tabs>
          <w:tab w:val="num" w:pos="360"/>
        </w:tabs>
        <w:ind w:left="360" w:hanging="360"/>
      </w:pPr>
      <w:rPr>
        <w:color w:val="auto"/>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8"/>
  </w:num>
  <w:num w:numId="2">
    <w:abstractNumId w:val="3"/>
  </w:num>
  <w:num w:numId="3">
    <w:abstractNumId w:val="6"/>
  </w:num>
  <w:num w:numId="4">
    <w:abstractNumId w:val="1"/>
  </w:num>
  <w:num w:numId="5">
    <w:abstractNumId w:val="9"/>
  </w:num>
  <w:num w:numId="6">
    <w:abstractNumId w:val="5"/>
  </w:num>
  <w:num w:numId="7">
    <w:abstractNumId w:val="4"/>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23D04"/>
    <w:rsid w:val="00040B59"/>
    <w:rsid w:val="00045CD6"/>
    <w:rsid w:val="00092828"/>
    <w:rsid w:val="000B1764"/>
    <w:rsid w:val="000B3ACC"/>
    <w:rsid w:val="000B3FE6"/>
    <w:rsid w:val="000C6833"/>
    <w:rsid w:val="000E21B2"/>
    <w:rsid w:val="000E37CD"/>
    <w:rsid w:val="00130C9E"/>
    <w:rsid w:val="001945F7"/>
    <w:rsid w:val="001B4F62"/>
    <w:rsid w:val="001D0157"/>
    <w:rsid w:val="001D5C7A"/>
    <w:rsid w:val="00204177"/>
    <w:rsid w:val="0023410D"/>
    <w:rsid w:val="0026268C"/>
    <w:rsid w:val="00282744"/>
    <w:rsid w:val="0028412A"/>
    <w:rsid w:val="002C2C0D"/>
    <w:rsid w:val="002E19F1"/>
    <w:rsid w:val="00366636"/>
    <w:rsid w:val="00367DE6"/>
    <w:rsid w:val="00395E3E"/>
    <w:rsid w:val="003B3E19"/>
    <w:rsid w:val="004076C6"/>
    <w:rsid w:val="00423B5A"/>
    <w:rsid w:val="00430882"/>
    <w:rsid w:val="0048195C"/>
    <w:rsid w:val="004826DE"/>
    <w:rsid w:val="004A5EFF"/>
    <w:rsid w:val="004B3EEE"/>
    <w:rsid w:val="004B7F76"/>
    <w:rsid w:val="004E1BCE"/>
    <w:rsid w:val="00517716"/>
    <w:rsid w:val="00592079"/>
    <w:rsid w:val="005D235B"/>
    <w:rsid w:val="005F32E0"/>
    <w:rsid w:val="005F773D"/>
    <w:rsid w:val="00601AFB"/>
    <w:rsid w:val="00622E75"/>
    <w:rsid w:val="0062417D"/>
    <w:rsid w:val="00677D46"/>
    <w:rsid w:val="00682FFE"/>
    <w:rsid w:val="006841AF"/>
    <w:rsid w:val="006B7058"/>
    <w:rsid w:val="006C69EC"/>
    <w:rsid w:val="006F4C06"/>
    <w:rsid w:val="007039D0"/>
    <w:rsid w:val="007078C3"/>
    <w:rsid w:val="00710C90"/>
    <w:rsid w:val="00767987"/>
    <w:rsid w:val="00782FD4"/>
    <w:rsid w:val="007E5828"/>
    <w:rsid w:val="00811140"/>
    <w:rsid w:val="008647EF"/>
    <w:rsid w:val="00882FF4"/>
    <w:rsid w:val="008A3F94"/>
    <w:rsid w:val="00904A48"/>
    <w:rsid w:val="009524FA"/>
    <w:rsid w:val="00980294"/>
    <w:rsid w:val="009C5392"/>
    <w:rsid w:val="00A2057C"/>
    <w:rsid w:val="00A50E4B"/>
    <w:rsid w:val="00A82313"/>
    <w:rsid w:val="00A9231D"/>
    <w:rsid w:val="00AA3EC0"/>
    <w:rsid w:val="00AA5340"/>
    <w:rsid w:val="00AC63D1"/>
    <w:rsid w:val="00B04215"/>
    <w:rsid w:val="00B31722"/>
    <w:rsid w:val="00B40287"/>
    <w:rsid w:val="00B42A32"/>
    <w:rsid w:val="00B62CD9"/>
    <w:rsid w:val="00B84BB0"/>
    <w:rsid w:val="00BD1220"/>
    <w:rsid w:val="00C0216A"/>
    <w:rsid w:val="00C630F5"/>
    <w:rsid w:val="00CA6EBA"/>
    <w:rsid w:val="00CD6077"/>
    <w:rsid w:val="00CE234E"/>
    <w:rsid w:val="00D02973"/>
    <w:rsid w:val="00D4569D"/>
    <w:rsid w:val="00DA09BE"/>
    <w:rsid w:val="00DB72A9"/>
    <w:rsid w:val="00DC3803"/>
    <w:rsid w:val="00DE6C72"/>
    <w:rsid w:val="00E1629A"/>
    <w:rsid w:val="00E238C3"/>
    <w:rsid w:val="00E30579"/>
    <w:rsid w:val="00E331E9"/>
    <w:rsid w:val="00E76B49"/>
    <w:rsid w:val="00EA3E7E"/>
    <w:rsid w:val="00FB00DD"/>
    <w:rsid w:val="00FB7BCE"/>
    <w:rsid w:val="00FC1EFC"/>
    <w:rsid w:val="00FD7E8A"/>
    <w:rsid w:val="00FE16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styleId="Sprotnaopomba-besedilo">
    <w:name w:val="footnote text"/>
    <w:basedOn w:val="Navaden"/>
    <w:link w:val="Sprotnaopomba-besediloZnak"/>
    <w:unhideWhenUsed/>
    <w:rsid w:val="00130C9E"/>
    <w:pPr>
      <w:spacing w:line="240" w:lineRule="auto"/>
    </w:pPr>
    <w:rPr>
      <w:rFonts w:ascii="Calibri" w:eastAsia="Calibri" w:hAnsi="Calibri"/>
      <w:szCs w:val="20"/>
    </w:rPr>
  </w:style>
  <w:style w:type="character" w:customStyle="1" w:styleId="Sprotnaopomba-besediloZnak">
    <w:name w:val="Sprotna opomba - besedilo Znak"/>
    <w:basedOn w:val="Privzetapisavaodstavka"/>
    <w:link w:val="Sprotnaopomba-besedilo"/>
    <w:rsid w:val="00130C9E"/>
    <w:rPr>
      <w:rFonts w:ascii="Calibri" w:eastAsia="Calibri" w:hAnsi="Calibri" w:cs="Times New Roman"/>
      <w:sz w:val="20"/>
      <w:szCs w:val="20"/>
    </w:rPr>
  </w:style>
  <w:style w:type="character" w:customStyle="1" w:styleId="fontstyle01">
    <w:name w:val="fontstyle01"/>
    <w:rsid w:val="00130C9E"/>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5732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Slapšak</dc:creator>
  <cp:keywords/>
  <dc:description/>
  <cp:lastModifiedBy>Barbara Kunavar</cp:lastModifiedBy>
  <cp:revision>5</cp:revision>
  <dcterms:created xsi:type="dcterms:W3CDTF">2023-01-31T10:08:00Z</dcterms:created>
  <dcterms:modified xsi:type="dcterms:W3CDTF">2023-02-01T09:22:00Z</dcterms:modified>
</cp:coreProperties>
</file>