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7CB" w14:textId="39B994C7" w:rsidR="00261625" w:rsidRPr="00620790" w:rsidRDefault="00D70BFB" w:rsidP="00261625">
      <w:pPr>
        <w:spacing w:before="40"/>
        <w:ind w:right="-3"/>
        <w:rPr>
          <w:rFonts w:cs="Arial"/>
          <w:szCs w:val="20"/>
        </w:rPr>
      </w:pPr>
      <w:r w:rsidRPr="00620790">
        <w:rPr>
          <w:rFonts w:cs="Arial"/>
          <w:noProof/>
          <w:szCs w:val="20"/>
          <w:lang w:eastAsia="sl-SI"/>
        </w:rPr>
        <w:drawing>
          <wp:inline distT="0" distB="0" distL="0" distR="0" wp14:anchorId="570BCDBE" wp14:editId="6980916A">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6605" cy="347345"/>
                    </a:xfrm>
                    <a:prstGeom prst="rect">
                      <a:avLst/>
                    </a:prstGeom>
                    <a:noFill/>
                  </pic:spPr>
                </pic:pic>
              </a:graphicData>
            </a:graphic>
          </wp:inline>
        </w:drawing>
      </w:r>
      <w:r w:rsidR="00261625" w:rsidRPr="00620790">
        <w:rPr>
          <w:rFonts w:cs="Arial"/>
          <w:szCs w:val="20"/>
        </w:rPr>
        <w:t xml:space="preserve"> </w:t>
      </w:r>
    </w:p>
    <w:p w14:paraId="0BB394FF"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Langusova ulica 4, 1000 Ljubljana</w:t>
      </w:r>
      <w:r w:rsidRPr="00620790">
        <w:rPr>
          <w:rFonts w:cs="Arial"/>
          <w:sz w:val="18"/>
          <w:szCs w:val="18"/>
        </w:rPr>
        <w:tab/>
        <w:t>T: 01 478 82 00</w:t>
      </w:r>
    </w:p>
    <w:p w14:paraId="0367BCF4"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t>E: gp.mope@gov.si</w:t>
      </w:r>
    </w:p>
    <w:p w14:paraId="3DC8869A" w14:textId="77777777"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t>www.mope.gov.si</w:t>
      </w:r>
    </w:p>
    <w:p w14:paraId="7582D6B1" w14:textId="77777777" w:rsidR="00261625" w:rsidRPr="00620790" w:rsidRDefault="00261625" w:rsidP="00261625">
      <w:pPr>
        <w:spacing w:before="60"/>
        <w:ind w:right="-3"/>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6475" w:rsidRPr="00620790" w14:paraId="0EB23FAD" w14:textId="77777777" w:rsidTr="002751C7">
        <w:trPr>
          <w:gridAfter w:val="2"/>
          <w:wAfter w:w="3067" w:type="dxa"/>
        </w:trPr>
        <w:tc>
          <w:tcPr>
            <w:tcW w:w="6096" w:type="dxa"/>
            <w:gridSpan w:val="2"/>
          </w:tcPr>
          <w:p w14:paraId="4891713E" w14:textId="57B1513B" w:rsidR="00261625" w:rsidRPr="00620790" w:rsidRDefault="00261625" w:rsidP="00C23129">
            <w:pPr>
              <w:pStyle w:val="Neotevilenodstavek"/>
              <w:spacing w:before="0" w:after="0" w:line="260" w:lineRule="exact"/>
              <w:jc w:val="left"/>
              <w:rPr>
                <w:szCs w:val="20"/>
              </w:rPr>
            </w:pPr>
            <w:r w:rsidRPr="00620790">
              <w:rPr>
                <w:noProof/>
                <w:szCs w:val="20"/>
              </w:rPr>
              <mc:AlternateContent>
                <mc:Choice Requires="wps">
                  <w:drawing>
                    <wp:anchor distT="0" distB="0" distL="114300" distR="114300" simplePos="0" relativeHeight="251654656" behindDoc="1" locked="0" layoutInCell="1" allowOverlap="1" wp14:anchorId="77A7B0EF" wp14:editId="773BB08A">
                      <wp:simplePos x="0" y="0"/>
                      <wp:positionH relativeFrom="column">
                        <wp:posOffset>1404620</wp:posOffset>
                      </wp:positionH>
                      <wp:positionV relativeFrom="paragraph">
                        <wp:posOffset>9076055</wp:posOffset>
                      </wp:positionV>
                      <wp:extent cx="4791075" cy="580390"/>
                      <wp:effectExtent l="0" t="1905" r="635"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17A3" w14:textId="77777777" w:rsidR="00241D56" w:rsidRPr="00D61ACE" w:rsidRDefault="00241D56"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7B0EF"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604217A3" w14:textId="77777777" w:rsidR="00241D56" w:rsidRPr="00D61ACE" w:rsidRDefault="00241D56" w:rsidP="00261625">
                            <w:pPr>
                              <w:rPr>
                                <w:color w:val="000000"/>
                                <w:spacing w:val="-2"/>
                                <w:sz w:val="16"/>
                                <w:szCs w:val="16"/>
                                <w:lang w:eastAsia="sl-SI"/>
                              </w:rPr>
                            </w:pPr>
                          </w:p>
                        </w:txbxContent>
                      </v:textbox>
                    </v:shape>
                  </w:pict>
                </mc:Fallback>
              </mc:AlternateContent>
            </w:r>
            <w:r w:rsidR="007362E4" w:rsidRPr="00620790">
              <w:rPr>
                <w:szCs w:val="20"/>
              </w:rPr>
              <w:t>Številka</w:t>
            </w:r>
            <w:r w:rsidR="007362E4" w:rsidRPr="00C16544">
              <w:rPr>
                <w:szCs w:val="20"/>
              </w:rPr>
              <w:t xml:space="preserve">: </w:t>
            </w:r>
            <w:r w:rsidR="000355B1">
              <w:rPr>
                <w:szCs w:val="20"/>
              </w:rPr>
              <w:t>007-228/2025</w:t>
            </w:r>
            <w:r w:rsidR="003A10A0">
              <w:rPr>
                <w:szCs w:val="20"/>
              </w:rPr>
              <w:t>/</w:t>
            </w:r>
            <w:r w:rsidR="00BF51B3">
              <w:rPr>
                <w:szCs w:val="20"/>
              </w:rPr>
              <w:t>40</w:t>
            </w:r>
          </w:p>
        </w:tc>
      </w:tr>
      <w:tr w:rsidR="008E6475" w:rsidRPr="00620790" w14:paraId="5A1AF902" w14:textId="77777777" w:rsidTr="002751C7">
        <w:trPr>
          <w:gridAfter w:val="2"/>
          <w:wAfter w:w="3067" w:type="dxa"/>
        </w:trPr>
        <w:tc>
          <w:tcPr>
            <w:tcW w:w="6096" w:type="dxa"/>
            <w:gridSpan w:val="2"/>
          </w:tcPr>
          <w:p w14:paraId="674195C1" w14:textId="63F19CCC" w:rsidR="00261625" w:rsidRPr="00620790" w:rsidRDefault="00261625" w:rsidP="00FC2F23">
            <w:pPr>
              <w:pStyle w:val="Neotevilenodstavek"/>
              <w:spacing w:line="260" w:lineRule="exact"/>
              <w:jc w:val="left"/>
              <w:rPr>
                <w:szCs w:val="20"/>
              </w:rPr>
            </w:pPr>
            <w:r w:rsidRPr="00620790">
              <w:rPr>
                <w:szCs w:val="20"/>
              </w:rPr>
              <w:t>Ljubljana,</w:t>
            </w:r>
            <w:r w:rsidR="00D70BFB" w:rsidRPr="00620790">
              <w:rPr>
                <w:szCs w:val="20"/>
              </w:rPr>
              <w:t xml:space="preserve"> </w:t>
            </w:r>
            <w:r w:rsidR="00863189">
              <w:rPr>
                <w:szCs w:val="20"/>
              </w:rPr>
              <w:t>1</w:t>
            </w:r>
            <w:r w:rsidR="008D5BC3">
              <w:rPr>
                <w:szCs w:val="20"/>
              </w:rPr>
              <w:t>6</w:t>
            </w:r>
            <w:r w:rsidR="00F450CE" w:rsidRPr="00620790">
              <w:rPr>
                <w:szCs w:val="20"/>
              </w:rPr>
              <w:t>.</w:t>
            </w:r>
            <w:r w:rsidR="000709EB">
              <w:rPr>
                <w:szCs w:val="20"/>
              </w:rPr>
              <w:t>1</w:t>
            </w:r>
            <w:r w:rsidR="00D729DE">
              <w:rPr>
                <w:szCs w:val="20"/>
              </w:rPr>
              <w:t>2</w:t>
            </w:r>
            <w:r w:rsidR="00F450CE" w:rsidRPr="00620790">
              <w:rPr>
                <w:szCs w:val="20"/>
              </w:rPr>
              <w:t>. 202</w:t>
            </w:r>
            <w:r w:rsidR="00436D70">
              <w:rPr>
                <w:szCs w:val="20"/>
              </w:rPr>
              <w:t>5</w:t>
            </w:r>
            <w:r w:rsidR="001348A9">
              <w:rPr>
                <w:szCs w:val="20"/>
              </w:rPr>
              <w:t xml:space="preserve"> </w:t>
            </w:r>
            <w:r w:rsidR="00587C76">
              <w:rPr>
                <w:szCs w:val="20"/>
              </w:rPr>
              <w:t xml:space="preserve"> </w:t>
            </w:r>
          </w:p>
        </w:tc>
      </w:tr>
      <w:tr w:rsidR="008E6475" w:rsidRPr="00620790" w14:paraId="55CBB61A" w14:textId="77777777" w:rsidTr="002751C7">
        <w:trPr>
          <w:gridAfter w:val="2"/>
          <w:wAfter w:w="3067" w:type="dxa"/>
        </w:trPr>
        <w:tc>
          <w:tcPr>
            <w:tcW w:w="6096" w:type="dxa"/>
            <w:gridSpan w:val="2"/>
          </w:tcPr>
          <w:p w14:paraId="57CFB125" w14:textId="10C556EB" w:rsidR="00261625" w:rsidRPr="00620790" w:rsidRDefault="00261625" w:rsidP="00D70BFB">
            <w:pPr>
              <w:pStyle w:val="Neotevilenodstavek"/>
              <w:spacing w:before="0" w:after="0" w:line="260" w:lineRule="exact"/>
              <w:jc w:val="left"/>
              <w:rPr>
                <w:szCs w:val="20"/>
              </w:rPr>
            </w:pPr>
            <w:r w:rsidRPr="00620790">
              <w:rPr>
                <w:iCs/>
                <w:szCs w:val="20"/>
              </w:rPr>
              <w:t xml:space="preserve">EVA </w:t>
            </w:r>
            <w:r w:rsidR="003B6CFD" w:rsidRPr="00436D70">
              <w:rPr>
                <w:color w:val="000000"/>
                <w:szCs w:val="20"/>
              </w:rPr>
              <w:t>202</w:t>
            </w:r>
            <w:r w:rsidR="00FA7442">
              <w:rPr>
                <w:color w:val="000000"/>
                <w:szCs w:val="20"/>
              </w:rPr>
              <w:t>5</w:t>
            </w:r>
            <w:r w:rsidR="003B6CFD" w:rsidRPr="00436D70">
              <w:rPr>
                <w:color w:val="000000"/>
                <w:szCs w:val="20"/>
              </w:rPr>
              <w:t>-2570-00</w:t>
            </w:r>
            <w:r w:rsidR="00FA7442">
              <w:rPr>
                <w:color w:val="000000"/>
                <w:szCs w:val="20"/>
              </w:rPr>
              <w:t>61</w:t>
            </w:r>
          </w:p>
        </w:tc>
      </w:tr>
      <w:tr w:rsidR="008E6475" w:rsidRPr="00620790" w14:paraId="1FFBF15A" w14:textId="77777777" w:rsidTr="00B06C85">
        <w:trPr>
          <w:gridAfter w:val="2"/>
          <w:wAfter w:w="3067" w:type="dxa"/>
          <w:trHeight w:val="1151"/>
        </w:trPr>
        <w:tc>
          <w:tcPr>
            <w:tcW w:w="6096" w:type="dxa"/>
            <w:gridSpan w:val="2"/>
          </w:tcPr>
          <w:p w14:paraId="0315DF3D" w14:textId="77777777" w:rsidR="00261625" w:rsidRPr="00620790" w:rsidRDefault="00261625" w:rsidP="002751C7">
            <w:pPr>
              <w:spacing w:line="260" w:lineRule="exact"/>
              <w:rPr>
                <w:rFonts w:cs="Arial"/>
                <w:szCs w:val="20"/>
              </w:rPr>
            </w:pPr>
            <w:r w:rsidRPr="00620790">
              <w:rPr>
                <w:rFonts w:cs="Arial"/>
                <w:szCs w:val="20"/>
              </w:rPr>
              <w:t>GENERALNI SEKRETARIAT VLADE REPUBLIKE SLOVENIJE</w:t>
            </w:r>
          </w:p>
          <w:p w14:paraId="7921C7D3" w14:textId="120C2B03" w:rsidR="00261625" w:rsidRPr="00620790" w:rsidRDefault="00620790" w:rsidP="002751C7">
            <w:pPr>
              <w:spacing w:line="260" w:lineRule="exact"/>
              <w:rPr>
                <w:rFonts w:cs="Arial"/>
                <w:szCs w:val="20"/>
              </w:rPr>
            </w:pPr>
            <w:hyperlink r:id="rId9" w:history="1">
              <w:r w:rsidRPr="00620790">
                <w:rPr>
                  <w:rStyle w:val="Hiperpovezava"/>
                  <w:rFonts w:cs="Arial"/>
                  <w:szCs w:val="20"/>
                </w:rPr>
                <w:t>gp.gs@gov.si</w:t>
              </w:r>
            </w:hyperlink>
          </w:p>
        </w:tc>
      </w:tr>
      <w:tr w:rsidR="008E6475" w:rsidRPr="00620790" w14:paraId="469EAE30" w14:textId="77777777" w:rsidTr="002751C7">
        <w:tc>
          <w:tcPr>
            <w:tcW w:w="9163" w:type="dxa"/>
            <w:gridSpan w:val="4"/>
          </w:tcPr>
          <w:p w14:paraId="1F66D24E" w14:textId="29CCF829" w:rsidR="00261625" w:rsidRPr="00707B6A" w:rsidRDefault="00261625" w:rsidP="00FC2F23">
            <w:pPr>
              <w:pStyle w:val="Naslovpredpisa"/>
              <w:spacing w:before="0" w:after="0" w:line="260" w:lineRule="exact"/>
              <w:jc w:val="left"/>
              <w:rPr>
                <w:szCs w:val="20"/>
              </w:rPr>
            </w:pPr>
            <w:r w:rsidRPr="00707B6A">
              <w:rPr>
                <w:szCs w:val="20"/>
              </w:rPr>
              <w:t xml:space="preserve">ZADEVA: Predlog </w:t>
            </w:r>
            <w:r w:rsidR="00AD19FE" w:rsidRPr="00707B6A">
              <w:rPr>
                <w:szCs w:val="20"/>
              </w:rPr>
              <w:t xml:space="preserve">Zakona </w:t>
            </w:r>
            <w:r w:rsidR="00FA7442" w:rsidRPr="00FA7442">
              <w:rPr>
                <w:szCs w:val="20"/>
              </w:rPr>
              <w:t>o spodbujanju konkurenčnosti</w:t>
            </w:r>
            <w:r w:rsidR="00321B68">
              <w:rPr>
                <w:szCs w:val="20"/>
              </w:rPr>
              <w:t xml:space="preserve"> in razogljičenja</w:t>
            </w:r>
            <w:r w:rsidR="00FA7442" w:rsidRPr="00FA7442">
              <w:rPr>
                <w:szCs w:val="20"/>
              </w:rPr>
              <w:t xml:space="preserve"> elektrointenzivnih podjetij</w:t>
            </w:r>
            <w:r w:rsidR="00C16544">
              <w:rPr>
                <w:szCs w:val="20"/>
              </w:rPr>
              <w:t>– predlog za</w:t>
            </w:r>
            <w:r w:rsidR="00FA7442">
              <w:rPr>
                <w:szCs w:val="20"/>
              </w:rPr>
              <w:t xml:space="preserve"> </w:t>
            </w:r>
            <w:r w:rsidR="00C16544">
              <w:rPr>
                <w:szCs w:val="20"/>
              </w:rPr>
              <w:t>obravnavo</w:t>
            </w:r>
          </w:p>
        </w:tc>
      </w:tr>
      <w:tr w:rsidR="008E6475" w:rsidRPr="00620790" w14:paraId="544DA6A4" w14:textId="77777777" w:rsidTr="002751C7">
        <w:tc>
          <w:tcPr>
            <w:tcW w:w="9163" w:type="dxa"/>
            <w:gridSpan w:val="4"/>
          </w:tcPr>
          <w:p w14:paraId="508D3596" w14:textId="77777777" w:rsidR="00261625" w:rsidRPr="00620790" w:rsidRDefault="00261625" w:rsidP="002751C7">
            <w:pPr>
              <w:pStyle w:val="Poglavje"/>
              <w:spacing w:before="0" w:after="0" w:line="260" w:lineRule="exact"/>
              <w:jc w:val="left"/>
              <w:rPr>
                <w:szCs w:val="20"/>
              </w:rPr>
            </w:pPr>
            <w:r w:rsidRPr="00620790">
              <w:rPr>
                <w:szCs w:val="20"/>
              </w:rPr>
              <w:t>1. Predlog sklepov vlade:</w:t>
            </w:r>
          </w:p>
        </w:tc>
      </w:tr>
      <w:tr w:rsidR="008E6475" w:rsidRPr="00620790" w14:paraId="7898D19B" w14:textId="77777777" w:rsidTr="002751C7">
        <w:tc>
          <w:tcPr>
            <w:tcW w:w="9163" w:type="dxa"/>
            <w:gridSpan w:val="4"/>
          </w:tcPr>
          <w:p w14:paraId="6216D446" w14:textId="31186094" w:rsidR="0086781F" w:rsidRDefault="00261625" w:rsidP="002751C7">
            <w:pPr>
              <w:overflowPunct w:val="0"/>
              <w:autoSpaceDE w:val="0"/>
              <w:autoSpaceDN w:val="0"/>
              <w:adjustRightInd w:val="0"/>
              <w:textAlignment w:val="baseline"/>
              <w:rPr>
                <w:rFonts w:cs="Arial"/>
                <w:szCs w:val="20"/>
              </w:rPr>
            </w:pPr>
            <w:r w:rsidRPr="00620790">
              <w:rPr>
                <w:rFonts w:cs="Arial"/>
                <w:szCs w:val="20"/>
              </w:rPr>
              <w:t>Na podlagi drugega odstavka 2. člena Zakona o Vladi Republike Slovenije (Uradni list RS, št. 24/05 – uradno prečiščeno besedilo, 109/08, 38/10 – ZUKN</w:t>
            </w:r>
            <w:r w:rsidR="00D73283" w:rsidRPr="00620790">
              <w:rPr>
                <w:rFonts w:cs="Arial"/>
                <w:szCs w:val="20"/>
              </w:rPr>
              <w:t>, 8/12, 21/13, 47/13 – ZDU-1G,</w:t>
            </w:r>
            <w:r w:rsidRPr="00620790">
              <w:rPr>
                <w:rFonts w:cs="Arial"/>
                <w:szCs w:val="20"/>
              </w:rPr>
              <w:t xml:space="preserve"> 65/14</w:t>
            </w:r>
            <w:r w:rsidR="005C15D3" w:rsidRPr="00620790">
              <w:rPr>
                <w:rFonts w:cs="Arial"/>
                <w:szCs w:val="20"/>
              </w:rPr>
              <w:t xml:space="preserve">, </w:t>
            </w:r>
            <w:r w:rsidR="00D73283" w:rsidRPr="00620790">
              <w:rPr>
                <w:rFonts w:cs="Arial"/>
                <w:szCs w:val="20"/>
              </w:rPr>
              <w:t>55/17</w:t>
            </w:r>
            <w:r w:rsidR="000355B1">
              <w:rPr>
                <w:rFonts w:cs="Arial"/>
                <w:szCs w:val="20"/>
              </w:rPr>
              <w:t>,</w:t>
            </w:r>
            <w:r w:rsidR="005C15D3" w:rsidRPr="00620790">
              <w:rPr>
                <w:rFonts w:cs="Arial"/>
                <w:szCs w:val="20"/>
              </w:rPr>
              <w:t xml:space="preserve"> </w:t>
            </w:r>
            <w:r w:rsidR="00F85DA5" w:rsidRPr="00620790">
              <w:rPr>
                <w:rFonts w:cs="Arial"/>
                <w:szCs w:val="20"/>
              </w:rPr>
              <w:t>163</w:t>
            </w:r>
            <w:r w:rsidR="005C15D3" w:rsidRPr="00620790">
              <w:rPr>
                <w:rFonts w:cs="Arial"/>
                <w:szCs w:val="20"/>
              </w:rPr>
              <w:t>/2</w:t>
            </w:r>
            <w:r w:rsidR="00F85DA5" w:rsidRPr="00620790">
              <w:rPr>
                <w:rFonts w:cs="Arial"/>
                <w:szCs w:val="20"/>
              </w:rPr>
              <w:t>2</w:t>
            </w:r>
            <w:r w:rsidR="000355B1">
              <w:rPr>
                <w:rFonts w:cs="Arial"/>
                <w:szCs w:val="20"/>
              </w:rPr>
              <w:t xml:space="preserve"> in </w:t>
            </w:r>
            <w:r w:rsidR="000355B1" w:rsidRPr="000355B1">
              <w:rPr>
                <w:rFonts w:cs="Arial"/>
                <w:szCs w:val="20"/>
              </w:rPr>
              <w:t>57/25 – ZF</w:t>
            </w:r>
            <w:r w:rsidRPr="00620790">
              <w:rPr>
                <w:rFonts w:cs="Arial"/>
                <w:szCs w:val="20"/>
              </w:rPr>
              <w:t xml:space="preserve">) je Vlada Republike Slovenije na … seji dne …  pod točko ...  sprejela </w:t>
            </w:r>
          </w:p>
          <w:p w14:paraId="41FEB1AD" w14:textId="39E6D0F8" w:rsidR="00261625" w:rsidRPr="00620790" w:rsidRDefault="0086781F" w:rsidP="0086781F">
            <w:pPr>
              <w:overflowPunct w:val="0"/>
              <w:autoSpaceDE w:val="0"/>
              <w:autoSpaceDN w:val="0"/>
              <w:adjustRightInd w:val="0"/>
              <w:jc w:val="center"/>
              <w:textAlignment w:val="baseline"/>
              <w:rPr>
                <w:rFonts w:cs="Arial"/>
                <w:szCs w:val="20"/>
              </w:rPr>
            </w:pPr>
            <w:r>
              <w:rPr>
                <w:rFonts w:cs="Arial"/>
                <w:szCs w:val="20"/>
              </w:rPr>
              <w:t>SKLEP</w:t>
            </w:r>
            <w:r w:rsidR="00261625" w:rsidRPr="00620790">
              <w:rPr>
                <w:rFonts w:cs="Arial"/>
                <w:szCs w:val="20"/>
              </w:rPr>
              <w:t>:</w:t>
            </w:r>
          </w:p>
          <w:p w14:paraId="62F31A5A" w14:textId="77777777" w:rsidR="00261625" w:rsidRPr="00620790" w:rsidRDefault="00261625" w:rsidP="002751C7">
            <w:pPr>
              <w:pStyle w:val="Neotevilenodstavek"/>
              <w:spacing w:before="0" w:after="0" w:line="260" w:lineRule="exact"/>
              <w:rPr>
                <w:iCs/>
                <w:szCs w:val="20"/>
              </w:rPr>
            </w:pPr>
          </w:p>
          <w:p w14:paraId="519E114D" w14:textId="641E60BE" w:rsidR="00261625" w:rsidRPr="00620790" w:rsidRDefault="00813C56" w:rsidP="00B06C85">
            <w:pPr>
              <w:rPr>
                <w:rFonts w:cs="Arial"/>
                <w:szCs w:val="20"/>
              </w:rPr>
            </w:pPr>
            <w:r w:rsidRPr="00813C56">
              <w:rPr>
                <w:rFonts w:eastAsia="Times New Roman" w:cs="Arial"/>
                <w:iCs/>
                <w:szCs w:val="20"/>
                <w:lang w:eastAsia="sl-SI"/>
              </w:rPr>
              <w:t>Vlada Republike Slovenije je določila besedilo</w:t>
            </w:r>
            <w:r w:rsidR="00013E94">
              <w:rPr>
                <w:rFonts w:eastAsia="Times New Roman" w:cs="Arial"/>
                <w:iCs/>
                <w:szCs w:val="20"/>
                <w:lang w:eastAsia="sl-SI"/>
              </w:rPr>
              <w:t xml:space="preserve"> </w:t>
            </w:r>
            <w:bookmarkStart w:id="0" w:name="_Hlk216091375"/>
            <w:r w:rsidR="00013E94">
              <w:rPr>
                <w:rFonts w:eastAsia="Times New Roman" w:cs="Arial"/>
                <w:iCs/>
                <w:szCs w:val="20"/>
                <w:lang w:eastAsia="sl-SI"/>
              </w:rPr>
              <w:t>predloga</w:t>
            </w:r>
            <w:r w:rsidRPr="00813C56">
              <w:rPr>
                <w:rFonts w:eastAsia="Times New Roman" w:cs="Arial"/>
                <w:iCs/>
                <w:szCs w:val="20"/>
                <w:lang w:eastAsia="sl-SI"/>
              </w:rPr>
              <w:t xml:space="preserve"> </w:t>
            </w:r>
            <w:r w:rsidR="00FA7442" w:rsidRPr="00FA7442">
              <w:rPr>
                <w:rFonts w:eastAsia="Times New Roman" w:cs="Arial"/>
                <w:iCs/>
                <w:szCs w:val="20"/>
                <w:lang w:eastAsia="sl-SI"/>
              </w:rPr>
              <w:t>Zakon</w:t>
            </w:r>
            <w:r w:rsidR="00FA7442">
              <w:rPr>
                <w:rFonts w:eastAsia="Times New Roman" w:cs="Arial"/>
                <w:iCs/>
                <w:szCs w:val="20"/>
                <w:lang w:eastAsia="sl-SI"/>
              </w:rPr>
              <w:t>a</w:t>
            </w:r>
            <w:r w:rsidR="00FA7442" w:rsidRPr="00FA7442">
              <w:rPr>
                <w:rFonts w:eastAsia="Times New Roman" w:cs="Arial"/>
                <w:iCs/>
                <w:szCs w:val="20"/>
                <w:lang w:eastAsia="sl-SI"/>
              </w:rPr>
              <w:t xml:space="preserve"> o spodbujanju konkurenčnosti</w:t>
            </w:r>
            <w:r w:rsidR="00321B68">
              <w:rPr>
                <w:rFonts w:eastAsia="Times New Roman" w:cs="Arial"/>
                <w:iCs/>
                <w:szCs w:val="20"/>
                <w:lang w:eastAsia="sl-SI"/>
              </w:rPr>
              <w:t xml:space="preserve"> in razogljičenja</w:t>
            </w:r>
            <w:r w:rsidR="00FA7442" w:rsidRPr="00FA7442">
              <w:rPr>
                <w:rFonts w:eastAsia="Times New Roman" w:cs="Arial"/>
                <w:iCs/>
                <w:szCs w:val="20"/>
                <w:lang w:eastAsia="sl-SI"/>
              </w:rPr>
              <w:t xml:space="preserve"> elektrointenzivnih podjetij</w:t>
            </w:r>
            <w:r w:rsidRPr="00813C56">
              <w:rPr>
                <w:rFonts w:eastAsia="Times New Roman" w:cs="Arial"/>
                <w:iCs/>
                <w:szCs w:val="20"/>
                <w:lang w:eastAsia="sl-SI"/>
              </w:rPr>
              <w:t xml:space="preserve"> </w:t>
            </w:r>
            <w:bookmarkEnd w:id="0"/>
            <w:r w:rsidRPr="00813C56">
              <w:rPr>
                <w:rFonts w:eastAsia="Times New Roman" w:cs="Arial"/>
                <w:iCs/>
                <w:szCs w:val="20"/>
                <w:lang w:eastAsia="sl-SI"/>
              </w:rPr>
              <w:t>in ga pošilja v Državni zbor Republike Slovenije v obravnavo in spreje</w:t>
            </w:r>
            <w:r w:rsidR="00013E94">
              <w:rPr>
                <w:rFonts w:eastAsia="Times New Roman" w:cs="Arial"/>
                <w:iCs/>
                <w:szCs w:val="20"/>
                <w:lang w:eastAsia="sl-SI"/>
              </w:rPr>
              <w:t>m</w:t>
            </w:r>
            <w:r w:rsidRPr="00813C56">
              <w:rPr>
                <w:rFonts w:eastAsia="Times New Roman" w:cs="Arial"/>
                <w:iCs/>
                <w:szCs w:val="20"/>
                <w:lang w:eastAsia="sl-SI"/>
              </w:rPr>
              <w:t xml:space="preserve"> po </w:t>
            </w:r>
            <w:r w:rsidR="000355B1">
              <w:rPr>
                <w:rFonts w:eastAsia="Times New Roman" w:cs="Arial"/>
                <w:iCs/>
                <w:szCs w:val="20"/>
                <w:lang w:eastAsia="sl-SI"/>
              </w:rPr>
              <w:t>nujnem</w:t>
            </w:r>
            <w:r w:rsidRPr="00813C56">
              <w:rPr>
                <w:rFonts w:eastAsia="Times New Roman" w:cs="Arial"/>
                <w:iCs/>
                <w:szCs w:val="20"/>
                <w:lang w:eastAsia="sl-SI"/>
              </w:rPr>
              <w:t xml:space="preserve"> zakonodajnem postopku. </w:t>
            </w:r>
            <w:r w:rsidR="00261625" w:rsidRPr="00620790">
              <w:rPr>
                <w:rFonts w:cs="Arial"/>
                <w:szCs w:val="20"/>
              </w:rPr>
              <w:t xml:space="preserve">                                               </w:t>
            </w:r>
          </w:p>
          <w:p w14:paraId="380A917D" w14:textId="2CB0BC73" w:rsidR="00B06C85" w:rsidRPr="00620790" w:rsidRDefault="00261625" w:rsidP="00B06C85">
            <w:pPr>
              <w:pStyle w:val="Neotevilenodstavek"/>
              <w:spacing w:before="0" w:after="0" w:line="260" w:lineRule="exact"/>
              <w:ind w:left="720"/>
              <w:rPr>
                <w:iCs/>
                <w:szCs w:val="20"/>
              </w:rPr>
            </w:pPr>
            <w:r w:rsidRPr="00620790">
              <w:rPr>
                <w:iCs/>
                <w:szCs w:val="20"/>
              </w:rPr>
              <w:t xml:space="preserve">                                                          </w:t>
            </w:r>
            <w:r w:rsidR="00B06C85" w:rsidRPr="00620790">
              <w:rPr>
                <w:iCs/>
                <w:szCs w:val="20"/>
              </w:rPr>
              <w:t xml:space="preserve">                    </w:t>
            </w:r>
            <w:r w:rsidR="00F450CE" w:rsidRPr="00620790">
              <w:rPr>
                <w:color w:val="000000"/>
                <w:szCs w:val="20"/>
              </w:rPr>
              <w:t>Barbara Kolenko Helbl</w:t>
            </w:r>
            <w:r w:rsidR="00F450CE" w:rsidRPr="00620790">
              <w:rPr>
                <w:iCs/>
                <w:szCs w:val="20"/>
              </w:rPr>
              <w:t xml:space="preserve"> </w:t>
            </w:r>
          </w:p>
          <w:p w14:paraId="087C2C13" w14:textId="4B1F80ED" w:rsidR="00261625" w:rsidRPr="00620790" w:rsidRDefault="00261625" w:rsidP="002751C7">
            <w:pPr>
              <w:pStyle w:val="Neotevilenodstavek"/>
              <w:spacing w:before="0" w:after="0" w:line="260" w:lineRule="exact"/>
              <w:rPr>
                <w:szCs w:val="20"/>
              </w:rPr>
            </w:pPr>
            <w:r w:rsidRPr="00620790">
              <w:rPr>
                <w:szCs w:val="20"/>
              </w:rPr>
              <w:t xml:space="preserve">                                                           </w:t>
            </w:r>
            <w:r w:rsidR="00F450CE" w:rsidRPr="00620790">
              <w:rPr>
                <w:szCs w:val="20"/>
              </w:rPr>
              <w:t xml:space="preserve">                           GENERALNA</w:t>
            </w:r>
            <w:r w:rsidRPr="00620790">
              <w:rPr>
                <w:szCs w:val="20"/>
              </w:rPr>
              <w:t xml:space="preserve"> SEK</w:t>
            </w:r>
            <w:r w:rsidR="00B06C85" w:rsidRPr="00620790">
              <w:rPr>
                <w:szCs w:val="20"/>
              </w:rPr>
              <w:t>RETAR</w:t>
            </w:r>
            <w:r w:rsidR="00F450CE" w:rsidRPr="00620790">
              <w:rPr>
                <w:szCs w:val="20"/>
              </w:rPr>
              <w:t>KA</w:t>
            </w:r>
          </w:p>
          <w:p w14:paraId="1EB38934" w14:textId="77777777" w:rsidR="00261625" w:rsidRPr="00620790" w:rsidRDefault="00261625" w:rsidP="002751C7">
            <w:pPr>
              <w:pStyle w:val="Neotevilenodstavek"/>
              <w:spacing w:before="0" w:after="0" w:line="260" w:lineRule="exact"/>
              <w:rPr>
                <w:iCs/>
                <w:szCs w:val="20"/>
              </w:rPr>
            </w:pPr>
          </w:p>
          <w:p w14:paraId="68A3617C" w14:textId="77777777" w:rsidR="00261625" w:rsidRPr="00620790" w:rsidRDefault="00261625" w:rsidP="002751C7">
            <w:pPr>
              <w:pStyle w:val="Neotevilenodstavek"/>
              <w:spacing w:before="0" w:after="0" w:line="260" w:lineRule="exact"/>
              <w:rPr>
                <w:iCs/>
                <w:szCs w:val="20"/>
              </w:rPr>
            </w:pPr>
          </w:p>
          <w:p w14:paraId="5EDFCAD4" w14:textId="45EFA2B9" w:rsidR="00261625" w:rsidRPr="00620790" w:rsidRDefault="00E321A1" w:rsidP="002751C7">
            <w:pPr>
              <w:pStyle w:val="Neotevilenodstavek"/>
              <w:spacing w:before="0" w:after="0" w:line="260" w:lineRule="exact"/>
              <w:rPr>
                <w:iCs/>
                <w:szCs w:val="20"/>
              </w:rPr>
            </w:pPr>
            <w:r w:rsidRPr="00620790">
              <w:rPr>
                <w:iCs/>
                <w:szCs w:val="20"/>
              </w:rPr>
              <w:t>Priloga</w:t>
            </w:r>
            <w:r w:rsidR="00261625" w:rsidRPr="00620790">
              <w:rPr>
                <w:iCs/>
                <w:szCs w:val="20"/>
              </w:rPr>
              <w:t>:</w:t>
            </w:r>
          </w:p>
          <w:p w14:paraId="4A751FBA" w14:textId="20AB3AA7" w:rsidR="00261625" w:rsidRPr="00620790" w:rsidRDefault="00F450CE" w:rsidP="005E0421">
            <w:pPr>
              <w:pStyle w:val="Neotevilenodstavek"/>
              <w:numPr>
                <w:ilvl w:val="0"/>
                <w:numId w:val="12"/>
              </w:numPr>
              <w:spacing w:before="0" w:after="0" w:line="260" w:lineRule="exact"/>
              <w:rPr>
                <w:iCs/>
                <w:szCs w:val="20"/>
              </w:rPr>
            </w:pPr>
            <w:r w:rsidRPr="00620790">
              <w:rPr>
                <w:iCs/>
                <w:szCs w:val="20"/>
              </w:rPr>
              <w:t>p</w:t>
            </w:r>
            <w:r w:rsidR="00E321A1" w:rsidRPr="00620790">
              <w:rPr>
                <w:iCs/>
                <w:szCs w:val="20"/>
              </w:rPr>
              <w:t xml:space="preserve">redlog </w:t>
            </w:r>
            <w:r w:rsidR="00FA7442" w:rsidRPr="00FA7442">
              <w:rPr>
                <w:iCs/>
                <w:szCs w:val="20"/>
              </w:rPr>
              <w:t xml:space="preserve">Zakon o spodbujanju konkurenčnosti </w:t>
            </w:r>
            <w:r w:rsidR="00822C6A">
              <w:rPr>
                <w:iCs/>
                <w:szCs w:val="20"/>
              </w:rPr>
              <w:t xml:space="preserve">in razogljičenja </w:t>
            </w:r>
            <w:r w:rsidR="00FA7442" w:rsidRPr="00FA7442">
              <w:rPr>
                <w:iCs/>
                <w:szCs w:val="20"/>
              </w:rPr>
              <w:t>elektrointenzivnih podjetij</w:t>
            </w:r>
          </w:p>
          <w:p w14:paraId="0A4EEDF4" w14:textId="77777777" w:rsidR="00261625" w:rsidRPr="00620790" w:rsidRDefault="00261625" w:rsidP="002751C7">
            <w:pPr>
              <w:pStyle w:val="Neotevilenodstavek"/>
              <w:spacing w:before="0" w:after="0" w:line="260" w:lineRule="exact"/>
              <w:rPr>
                <w:iCs/>
                <w:szCs w:val="20"/>
              </w:rPr>
            </w:pPr>
          </w:p>
          <w:p w14:paraId="110B52C8" w14:textId="77777777" w:rsidR="00261625" w:rsidRPr="00620790" w:rsidRDefault="00261625" w:rsidP="002751C7">
            <w:pPr>
              <w:pStyle w:val="Neotevilenodstavek"/>
              <w:spacing w:before="0" w:after="0" w:line="260" w:lineRule="exact"/>
              <w:rPr>
                <w:iCs/>
                <w:szCs w:val="20"/>
              </w:rPr>
            </w:pPr>
            <w:r w:rsidRPr="00620790">
              <w:rPr>
                <w:iCs/>
                <w:szCs w:val="20"/>
              </w:rPr>
              <w:t>Prejemniki:</w:t>
            </w:r>
          </w:p>
          <w:p w14:paraId="7A736B6A" w14:textId="77777777" w:rsidR="00261625" w:rsidRPr="00620790" w:rsidRDefault="00261625" w:rsidP="005E0421">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620790">
              <w:rPr>
                <w:rFonts w:cs="Arial"/>
                <w:bCs/>
                <w:szCs w:val="20"/>
              </w:rPr>
              <w:t>Državni zbor Republike Slovenije</w:t>
            </w:r>
          </w:p>
          <w:p w14:paraId="40967F97" w14:textId="2AB60F98" w:rsidR="002039FF" w:rsidRPr="00620790" w:rsidRDefault="00F450CE" w:rsidP="005E0421">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620790">
              <w:rPr>
                <w:rFonts w:cs="Arial"/>
                <w:bCs/>
                <w:szCs w:val="20"/>
              </w:rPr>
              <w:t>v</w:t>
            </w:r>
            <w:r w:rsidR="00400E17" w:rsidRPr="00620790">
              <w:rPr>
                <w:rFonts w:cs="Arial"/>
                <w:bCs/>
                <w:szCs w:val="20"/>
              </w:rPr>
              <w:t>sa ministrstva</w:t>
            </w:r>
          </w:p>
          <w:p w14:paraId="210D24EE" w14:textId="31CE184D" w:rsidR="00400E17" w:rsidRPr="00620790" w:rsidRDefault="00400E17" w:rsidP="005E0421">
            <w:pPr>
              <w:pStyle w:val="Odstavekseznama"/>
              <w:numPr>
                <w:ilvl w:val="0"/>
                <w:numId w:val="13"/>
              </w:numPr>
              <w:overflowPunct w:val="0"/>
              <w:autoSpaceDE w:val="0"/>
              <w:autoSpaceDN w:val="0"/>
              <w:adjustRightInd w:val="0"/>
              <w:spacing w:after="0" w:line="240" w:lineRule="auto"/>
              <w:textAlignment w:val="baseline"/>
              <w:rPr>
                <w:rFonts w:cs="Arial"/>
                <w:szCs w:val="20"/>
              </w:rPr>
            </w:pPr>
            <w:r w:rsidRPr="00620790">
              <w:rPr>
                <w:rFonts w:cs="Arial"/>
                <w:bCs/>
                <w:szCs w:val="20"/>
              </w:rPr>
              <w:t>Služba Vlade RS za zakonodajo</w:t>
            </w:r>
          </w:p>
          <w:p w14:paraId="6B1AA780" w14:textId="77777777" w:rsidR="00261625" w:rsidRPr="00620790" w:rsidRDefault="00261625" w:rsidP="002751C7">
            <w:pPr>
              <w:pStyle w:val="Neotevilenodstavek"/>
              <w:spacing w:before="0" w:after="0" w:line="260" w:lineRule="exact"/>
              <w:rPr>
                <w:iCs/>
                <w:szCs w:val="20"/>
              </w:rPr>
            </w:pPr>
          </w:p>
        </w:tc>
      </w:tr>
      <w:tr w:rsidR="008E6475" w:rsidRPr="00620790" w14:paraId="4A2B92F5" w14:textId="77777777" w:rsidTr="002751C7">
        <w:tc>
          <w:tcPr>
            <w:tcW w:w="9163" w:type="dxa"/>
            <w:gridSpan w:val="4"/>
          </w:tcPr>
          <w:p w14:paraId="19AE2E1B" w14:textId="77777777" w:rsidR="00261625" w:rsidRPr="00620790" w:rsidRDefault="00261625" w:rsidP="002751C7">
            <w:pPr>
              <w:pStyle w:val="Neotevilenodstavek"/>
              <w:spacing w:before="0" w:after="0" w:line="260" w:lineRule="exact"/>
              <w:rPr>
                <w:b/>
                <w:iCs/>
                <w:szCs w:val="20"/>
              </w:rPr>
            </w:pPr>
            <w:r w:rsidRPr="00620790">
              <w:rPr>
                <w:b/>
                <w:szCs w:val="20"/>
              </w:rPr>
              <w:t>2. Predlog za obravnavo predloga zakona po nujnem ali skrajšanem postopku v državnem zboru z obrazložitvijo razlogov:</w:t>
            </w:r>
          </w:p>
        </w:tc>
      </w:tr>
      <w:tr w:rsidR="008E6475" w:rsidRPr="00620790" w14:paraId="2AED54E5" w14:textId="77777777" w:rsidTr="002751C7">
        <w:tc>
          <w:tcPr>
            <w:tcW w:w="9163" w:type="dxa"/>
            <w:gridSpan w:val="4"/>
          </w:tcPr>
          <w:p w14:paraId="1BAB5B85" w14:textId="683FAAE8" w:rsidR="00F157A7" w:rsidRPr="00F157A7" w:rsidRDefault="00F157A7" w:rsidP="00F157A7">
            <w:pPr>
              <w:rPr>
                <w:rFonts w:cs="Arial"/>
                <w:szCs w:val="20"/>
              </w:rPr>
            </w:pPr>
            <w:r w:rsidRPr="00F157A7">
              <w:rPr>
                <w:rFonts w:cs="Arial"/>
                <w:szCs w:val="20"/>
              </w:rPr>
              <w:t>Vlada Republike Slovenije predlaga Državnemu zboru Republike Slovenije, da predlog zakona obravnava po nujnem postopku, da se preprečijo težko popravljive posledice za delovanje države zaradi poslabšanja stanja v gospodarstvu in posledično socialnih razmer, do katerih lahko pripelje nekonkurenčnost slovenskih energetsko intenzivnih podjetij, izpostavljenih mednarodni trgovini, ki s strani države nimajo podpore, ki jo imajo njihova konkurenčna podjetja iz drugih držav članic EU.</w:t>
            </w:r>
          </w:p>
          <w:p w14:paraId="17E2C361" w14:textId="77777777" w:rsidR="00F157A7" w:rsidRPr="00F157A7" w:rsidRDefault="00F157A7" w:rsidP="00F157A7">
            <w:pPr>
              <w:rPr>
                <w:rFonts w:cs="Arial"/>
                <w:szCs w:val="20"/>
              </w:rPr>
            </w:pPr>
            <w:r w:rsidRPr="00F157A7">
              <w:rPr>
                <w:rFonts w:cs="Arial"/>
                <w:szCs w:val="20"/>
              </w:rPr>
              <w:t xml:space="preserve">Ker je treba zagotoviti čim hitrejšo odobritev tega predloga zakona za zagotavljanje državne pomoči s strani Evropske komisije in izvajanje ukrepa tudi za obdobje porabe električne energije od 1. januarja 2026 dalje, je potrebno, da se predlog zakona obravnava po nujnem postopku. Komisija bo svoje odločitve sprejela, ko bo imela zagotovila, da se predlog zakona ne bo več spreminjal in bo poznala njegovo končno verzijo. </w:t>
            </w:r>
          </w:p>
          <w:p w14:paraId="716E0D58" w14:textId="77777777" w:rsidR="00F157A7" w:rsidRPr="00F157A7" w:rsidRDefault="00F157A7" w:rsidP="00F157A7">
            <w:pPr>
              <w:rPr>
                <w:rFonts w:cs="Arial"/>
                <w:szCs w:val="20"/>
              </w:rPr>
            </w:pPr>
            <w:r w:rsidRPr="00F157A7">
              <w:rPr>
                <w:rFonts w:cs="Arial"/>
                <w:szCs w:val="20"/>
              </w:rPr>
              <w:lastRenderedPageBreak/>
              <w:t>Če zakon ne bi bil sprejet in uveljavljen pravočasno, elektrointenzivnim podjetjem v Republiki Sloveniji ne bi bilo mogoče zagotoviti ustreznega mehanizma blaženja visokih stroškov električne energije v skladu z okvirom CISAF, kar bi jih v razmerju do konkurentov v drugih državah lahko postavilo v bistveno slabši položaj, povečalo tveganje za zmanjšanje proizvodnje ali selitev proizvodnje ter s tem povzročilo resne posledice za gospodarsko in socialno stanje v državi.</w:t>
            </w:r>
          </w:p>
          <w:p w14:paraId="04B18FFB" w14:textId="2602D026" w:rsidR="00025EDE" w:rsidRPr="00620790" w:rsidRDefault="00F157A7" w:rsidP="00F157A7">
            <w:pPr>
              <w:rPr>
                <w:rFonts w:cs="Arial"/>
                <w:szCs w:val="20"/>
              </w:rPr>
            </w:pPr>
            <w:r w:rsidRPr="00F157A7">
              <w:rPr>
                <w:rFonts w:cs="Arial"/>
                <w:szCs w:val="20"/>
              </w:rPr>
              <w:t>Hkrati bo zamuda pri sprejemu zakona otežila doseganje ciljev razogljičenja industrije, saj so naložbene zaveze upravičencev neposredno vezane na prejeto pomoč v letih 2026–2028. Zato je nujna čim hitrejša zakonodajna obravnava, ki omogoča pravočasno priglasitev in odobritev ukrepa s strani Evropske komisije ter začetek njegovega izvajanja.</w:t>
            </w:r>
          </w:p>
        </w:tc>
      </w:tr>
      <w:tr w:rsidR="008E6475" w:rsidRPr="00620790" w14:paraId="106C946C" w14:textId="77777777" w:rsidTr="002751C7">
        <w:tc>
          <w:tcPr>
            <w:tcW w:w="9163" w:type="dxa"/>
            <w:gridSpan w:val="4"/>
          </w:tcPr>
          <w:p w14:paraId="6DDE9E52" w14:textId="77777777" w:rsidR="00261625" w:rsidRPr="00620790" w:rsidRDefault="00261625" w:rsidP="002751C7">
            <w:pPr>
              <w:pStyle w:val="Neotevilenodstavek"/>
              <w:spacing w:before="0" w:after="0" w:line="260" w:lineRule="exact"/>
              <w:rPr>
                <w:b/>
                <w:iCs/>
                <w:szCs w:val="20"/>
              </w:rPr>
            </w:pPr>
            <w:r w:rsidRPr="00620790">
              <w:rPr>
                <w:b/>
                <w:szCs w:val="20"/>
              </w:rPr>
              <w:lastRenderedPageBreak/>
              <w:t>3.a Osebe, odgovorne za strokovno pripravo in usklajenost gradiva:</w:t>
            </w:r>
          </w:p>
        </w:tc>
      </w:tr>
      <w:tr w:rsidR="008E6475" w:rsidRPr="00620790" w14:paraId="2DBCDA3B" w14:textId="77777777" w:rsidTr="002751C7">
        <w:tc>
          <w:tcPr>
            <w:tcW w:w="9163" w:type="dxa"/>
            <w:gridSpan w:val="4"/>
          </w:tcPr>
          <w:p w14:paraId="61C78AE6" w14:textId="7E46B510" w:rsidR="00A465CD" w:rsidRPr="00620790" w:rsidRDefault="00A465CD" w:rsidP="00813C56">
            <w:pPr>
              <w:pStyle w:val="Neotevilenodstavek"/>
              <w:numPr>
                <w:ilvl w:val="0"/>
                <w:numId w:val="7"/>
              </w:numPr>
              <w:spacing w:before="0" w:after="0" w:line="240" w:lineRule="auto"/>
              <w:rPr>
                <w:iCs/>
                <w:szCs w:val="20"/>
              </w:rPr>
            </w:pPr>
            <w:r w:rsidRPr="00620790">
              <w:rPr>
                <w:iCs/>
                <w:szCs w:val="20"/>
              </w:rPr>
              <w:t>mag. Bojan Kumer, minister</w:t>
            </w:r>
          </w:p>
          <w:p w14:paraId="3F28853A" w14:textId="2011105C" w:rsidR="00A465CD" w:rsidRPr="00620790" w:rsidRDefault="00A465CD" w:rsidP="00813C56">
            <w:pPr>
              <w:pStyle w:val="Neotevilenodstavek"/>
              <w:numPr>
                <w:ilvl w:val="0"/>
                <w:numId w:val="7"/>
              </w:numPr>
              <w:spacing w:before="0" w:after="0" w:line="240" w:lineRule="auto"/>
              <w:ind w:left="714" w:hanging="357"/>
              <w:rPr>
                <w:iCs/>
                <w:szCs w:val="20"/>
              </w:rPr>
            </w:pPr>
            <w:r w:rsidRPr="00620790">
              <w:rPr>
                <w:iCs/>
                <w:szCs w:val="20"/>
              </w:rPr>
              <w:t>mag. Tina Seršen, državna sekretarka</w:t>
            </w:r>
          </w:p>
          <w:p w14:paraId="4D4F81C1" w14:textId="77777777" w:rsidR="00A465CD" w:rsidRPr="00813C56" w:rsidRDefault="00A465CD" w:rsidP="00813C56">
            <w:pPr>
              <w:pStyle w:val="Neotevilenodstavek"/>
              <w:numPr>
                <w:ilvl w:val="0"/>
                <w:numId w:val="7"/>
              </w:numPr>
              <w:spacing w:before="0" w:after="0" w:line="240" w:lineRule="auto"/>
              <w:rPr>
                <w:szCs w:val="20"/>
              </w:rPr>
            </w:pPr>
            <w:r w:rsidRPr="00620790">
              <w:rPr>
                <w:iCs/>
                <w:szCs w:val="20"/>
              </w:rPr>
              <w:t>mag. Hinko Šolinc, generalni direktor Direktorata za energijo</w:t>
            </w:r>
          </w:p>
          <w:p w14:paraId="7EB62BD7" w14:textId="45BB4275" w:rsidR="00813C56" w:rsidRPr="00BA1792" w:rsidRDefault="00813C56" w:rsidP="00BA1792">
            <w:pPr>
              <w:pStyle w:val="Neotevilenodstavek"/>
              <w:numPr>
                <w:ilvl w:val="0"/>
                <w:numId w:val="7"/>
              </w:numPr>
              <w:spacing w:before="0" w:after="0" w:line="240" w:lineRule="auto"/>
              <w:rPr>
                <w:szCs w:val="20"/>
              </w:rPr>
            </w:pPr>
            <w:r w:rsidRPr="00813C56">
              <w:rPr>
                <w:szCs w:val="20"/>
              </w:rPr>
              <w:t>mag.</w:t>
            </w:r>
            <w:r w:rsidR="00FA7442">
              <w:rPr>
                <w:szCs w:val="20"/>
              </w:rPr>
              <w:t xml:space="preserve"> Silvo Škornik</w:t>
            </w:r>
            <w:r w:rsidRPr="00813C56">
              <w:rPr>
                <w:szCs w:val="20"/>
              </w:rPr>
              <w:t xml:space="preserve">, vodja Sektorja za </w:t>
            </w:r>
            <w:r w:rsidR="00FA7442">
              <w:rPr>
                <w:szCs w:val="20"/>
              </w:rPr>
              <w:t>oskrbo z</w:t>
            </w:r>
            <w:r w:rsidRPr="00813C56">
              <w:rPr>
                <w:szCs w:val="20"/>
              </w:rPr>
              <w:t xml:space="preserve"> energij</w:t>
            </w:r>
            <w:r w:rsidR="00FA7442">
              <w:rPr>
                <w:szCs w:val="20"/>
              </w:rPr>
              <w:t>o</w:t>
            </w:r>
          </w:p>
        </w:tc>
      </w:tr>
      <w:tr w:rsidR="008E6475" w:rsidRPr="00620790" w14:paraId="25BFCE61" w14:textId="77777777" w:rsidTr="002751C7">
        <w:tc>
          <w:tcPr>
            <w:tcW w:w="9163" w:type="dxa"/>
            <w:gridSpan w:val="4"/>
          </w:tcPr>
          <w:p w14:paraId="410CDE7A" w14:textId="77777777" w:rsidR="00261625" w:rsidRPr="00620790" w:rsidRDefault="00261625" w:rsidP="002751C7">
            <w:pPr>
              <w:pStyle w:val="Neotevilenodstavek"/>
              <w:spacing w:before="0" w:after="0" w:line="260" w:lineRule="exact"/>
              <w:rPr>
                <w:b/>
                <w:iCs/>
                <w:szCs w:val="20"/>
              </w:rPr>
            </w:pPr>
            <w:r w:rsidRPr="00620790">
              <w:rPr>
                <w:b/>
                <w:iCs/>
                <w:szCs w:val="20"/>
              </w:rPr>
              <w:t xml:space="preserve">3.b Zunanji strokovnjaki, ki so </w:t>
            </w:r>
            <w:r w:rsidRPr="00620790">
              <w:rPr>
                <w:b/>
                <w:szCs w:val="20"/>
              </w:rPr>
              <w:t>sodelovali pri pripravi dela ali celotnega gradiva:</w:t>
            </w:r>
          </w:p>
        </w:tc>
      </w:tr>
      <w:tr w:rsidR="008E6475" w:rsidRPr="00620790" w14:paraId="749A4EFD" w14:textId="77777777" w:rsidTr="002751C7">
        <w:tc>
          <w:tcPr>
            <w:tcW w:w="9163" w:type="dxa"/>
            <w:gridSpan w:val="4"/>
          </w:tcPr>
          <w:p w14:paraId="4A5D33D5" w14:textId="33611447" w:rsidR="00261625" w:rsidRPr="00620790" w:rsidRDefault="00707B6A" w:rsidP="00332227">
            <w:pPr>
              <w:pStyle w:val="Neotevilenodstavek"/>
              <w:spacing w:before="0" w:after="0" w:line="260" w:lineRule="exact"/>
              <w:rPr>
                <w:iCs/>
                <w:szCs w:val="20"/>
              </w:rPr>
            </w:pPr>
            <w:r>
              <w:rPr>
                <w:iCs/>
                <w:szCs w:val="20"/>
              </w:rPr>
              <w:t>Pri pripravi gradiva ni bilo zunanjih sodelavcev.</w:t>
            </w:r>
          </w:p>
        </w:tc>
      </w:tr>
      <w:tr w:rsidR="008E6475" w:rsidRPr="00620790" w14:paraId="33350AE0" w14:textId="77777777" w:rsidTr="002751C7">
        <w:tc>
          <w:tcPr>
            <w:tcW w:w="9163" w:type="dxa"/>
            <w:gridSpan w:val="4"/>
          </w:tcPr>
          <w:p w14:paraId="5ED52D3B" w14:textId="77777777" w:rsidR="00261625" w:rsidRPr="00620790" w:rsidRDefault="00261625" w:rsidP="002751C7">
            <w:pPr>
              <w:pStyle w:val="Neotevilenodstavek"/>
              <w:spacing w:before="0" w:after="0" w:line="260" w:lineRule="exact"/>
              <w:rPr>
                <w:b/>
                <w:iCs/>
                <w:szCs w:val="20"/>
              </w:rPr>
            </w:pPr>
            <w:r w:rsidRPr="00620790">
              <w:rPr>
                <w:b/>
                <w:szCs w:val="20"/>
              </w:rPr>
              <w:t>4. Predstavniki vlade, ki bodo sodelovali pri delu državnega zbora:</w:t>
            </w:r>
          </w:p>
        </w:tc>
      </w:tr>
      <w:tr w:rsidR="008E6475" w:rsidRPr="00620790" w14:paraId="0EDB4C9D" w14:textId="77777777" w:rsidTr="002751C7">
        <w:tc>
          <w:tcPr>
            <w:tcW w:w="9163" w:type="dxa"/>
            <w:gridSpan w:val="4"/>
          </w:tcPr>
          <w:p w14:paraId="6C850B84" w14:textId="77777777" w:rsidR="00813C56" w:rsidRP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Bojan Kumer, minister</w:t>
            </w:r>
          </w:p>
          <w:p w14:paraId="4717BB9E" w14:textId="77777777" w:rsid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Tina Seršen, državna sekretarka</w:t>
            </w:r>
          </w:p>
          <w:p w14:paraId="012DCF47" w14:textId="0D7372EA" w:rsidR="00D51286" w:rsidRPr="00813C56" w:rsidRDefault="00D51286" w:rsidP="00813C56">
            <w:pPr>
              <w:pStyle w:val="Neotevilenodstavek"/>
              <w:numPr>
                <w:ilvl w:val="0"/>
                <w:numId w:val="7"/>
              </w:numPr>
              <w:spacing w:before="0" w:after="0" w:line="240" w:lineRule="auto"/>
              <w:ind w:left="714" w:hanging="357"/>
              <w:rPr>
                <w:iCs/>
                <w:szCs w:val="20"/>
              </w:rPr>
            </w:pPr>
            <w:r>
              <w:rPr>
                <w:iCs/>
                <w:szCs w:val="20"/>
              </w:rPr>
              <w:t>Uroš Vajgl, državni sekretar</w:t>
            </w:r>
          </w:p>
          <w:p w14:paraId="74856F31" w14:textId="77777777" w:rsidR="00813C56" w:rsidRPr="00813C56" w:rsidRDefault="00813C56" w:rsidP="00813C56">
            <w:pPr>
              <w:pStyle w:val="Neotevilenodstavek"/>
              <w:numPr>
                <w:ilvl w:val="0"/>
                <w:numId w:val="7"/>
              </w:numPr>
              <w:spacing w:before="0" w:after="0" w:line="240" w:lineRule="auto"/>
              <w:ind w:left="714" w:hanging="357"/>
              <w:rPr>
                <w:iCs/>
                <w:szCs w:val="20"/>
              </w:rPr>
            </w:pPr>
            <w:r w:rsidRPr="00813C56">
              <w:rPr>
                <w:iCs/>
                <w:szCs w:val="20"/>
              </w:rPr>
              <w:t>mag. Hinko Šolinc, generalni direktor Direktorata za energijo</w:t>
            </w:r>
          </w:p>
          <w:p w14:paraId="1CF8C647" w14:textId="40D9ACF4" w:rsidR="007A4010" w:rsidRPr="00BA1792" w:rsidRDefault="00813C56" w:rsidP="00BA1792">
            <w:pPr>
              <w:pStyle w:val="Neotevilenodstavek"/>
              <w:numPr>
                <w:ilvl w:val="0"/>
                <w:numId w:val="7"/>
              </w:numPr>
              <w:spacing w:before="0" w:after="0" w:line="240" w:lineRule="auto"/>
              <w:ind w:left="714" w:hanging="357"/>
              <w:rPr>
                <w:iCs/>
                <w:szCs w:val="20"/>
              </w:rPr>
            </w:pPr>
            <w:r w:rsidRPr="00813C56">
              <w:rPr>
                <w:iCs/>
                <w:szCs w:val="20"/>
              </w:rPr>
              <w:t>mag.</w:t>
            </w:r>
            <w:r w:rsidR="00FA7442">
              <w:rPr>
                <w:iCs/>
                <w:szCs w:val="20"/>
              </w:rPr>
              <w:t xml:space="preserve"> Silvo Škornik</w:t>
            </w:r>
            <w:r w:rsidRPr="00813C56">
              <w:rPr>
                <w:iCs/>
                <w:szCs w:val="20"/>
              </w:rPr>
              <w:t xml:space="preserve">, vodja Sektorja za </w:t>
            </w:r>
            <w:r w:rsidR="00FA7442">
              <w:rPr>
                <w:iCs/>
                <w:szCs w:val="20"/>
              </w:rPr>
              <w:t xml:space="preserve">oskrbo z </w:t>
            </w:r>
            <w:r w:rsidRPr="00813C56">
              <w:rPr>
                <w:iCs/>
                <w:szCs w:val="20"/>
              </w:rPr>
              <w:t>energij</w:t>
            </w:r>
            <w:r w:rsidR="00FA7442">
              <w:rPr>
                <w:iCs/>
                <w:szCs w:val="20"/>
              </w:rPr>
              <w:t>o</w:t>
            </w:r>
          </w:p>
        </w:tc>
      </w:tr>
      <w:tr w:rsidR="008E6475" w:rsidRPr="00620790" w14:paraId="20916A56" w14:textId="77777777" w:rsidTr="002751C7">
        <w:tc>
          <w:tcPr>
            <w:tcW w:w="9163" w:type="dxa"/>
            <w:gridSpan w:val="4"/>
          </w:tcPr>
          <w:p w14:paraId="0E16ED11" w14:textId="77777777" w:rsidR="00261625" w:rsidRPr="00620790" w:rsidRDefault="00261625" w:rsidP="002751C7">
            <w:pPr>
              <w:pStyle w:val="Oddelek"/>
              <w:numPr>
                <w:ilvl w:val="0"/>
                <w:numId w:val="0"/>
              </w:numPr>
              <w:spacing w:before="0" w:after="0" w:line="260" w:lineRule="exact"/>
              <w:jc w:val="left"/>
              <w:rPr>
                <w:szCs w:val="20"/>
              </w:rPr>
            </w:pPr>
            <w:r w:rsidRPr="00620790">
              <w:rPr>
                <w:szCs w:val="20"/>
              </w:rPr>
              <w:t>5. Kratek povzetek gradiva:</w:t>
            </w:r>
          </w:p>
        </w:tc>
      </w:tr>
      <w:tr w:rsidR="008E6475" w:rsidRPr="00620790" w14:paraId="103F95F2" w14:textId="77777777" w:rsidTr="002751C7">
        <w:tc>
          <w:tcPr>
            <w:tcW w:w="9163" w:type="dxa"/>
            <w:gridSpan w:val="4"/>
          </w:tcPr>
          <w:p w14:paraId="7181E39D" w14:textId="77777777" w:rsidR="008C190F" w:rsidRDefault="008C190F" w:rsidP="008C190F">
            <w:pPr>
              <w:overflowPunct w:val="0"/>
              <w:autoSpaceDE w:val="0"/>
              <w:autoSpaceDN w:val="0"/>
              <w:adjustRightInd w:val="0"/>
              <w:spacing w:line="276" w:lineRule="auto"/>
              <w:textAlignment w:val="baseline"/>
              <w:rPr>
                <w:rFonts w:cs="Arial"/>
                <w:szCs w:val="20"/>
              </w:rPr>
            </w:pPr>
            <w:r w:rsidRPr="004D71CE">
              <w:rPr>
                <w:rFonts w:cs="Arial"/>
                <w:szCs w:val="20"/>
              </w:rPr>
              <w:t>Energetsko intenzivna industrija v Republiki Sloveniji je pomemben del gospodarstva, ki ustvarja visoko dodano vrednost, pomemben delež izvoza ter zagotavlja veliko število delovnih mest, pogosto v okoljih, kjer so možnosti za alternativno zaposlitev omejene. Za ta podjetja so stroški električne energije eden ključnih stroškov poslovanja in pomemben dejavnik njihove mednarodne konkurenčnosti.</w:t>
            </w:r>
          </w:p>
          <w:p w14:paraId="3074E83A" w14:textId="14D4ED6F" w:rsid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 xml:space="preserve">V trenutnih gospodarskih razmerah, ko se slovenska industrija sooča z visokimi cenami energentov, je podpora energetsko intenzivnim podjetjem, ki so izvozno usmerjena, nujno potrebna. Obravnava teh podjetij v okviru strateškega nacionalnega interesa ni le gospodarska nuja, temveč tudi temeljna predpostavka za uspešno izvajanje evropskega zelenega prehoda, ohranjanje industrijske suverenosti in zagotavljanje socialne kohezije. </w:t>
            </w:r>
          </w:p>
          <w:p w14:paraId="2F42275B" w14:textId="3656868F" w:rsid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Brez razvoja domačih zmogljivosti na teh področjih bo Slovenija ranljiva na mednarodnem trgu, omejena pri zeleni transformaciji in odvisna od geopolitično nestabilnih partnerjev, kar ima lahko vpliv na večja nihanja v proizvodnji in izvozu, slabšo ekonomiko poslovanja teh družb kot tudi negativne učinke na trgu dela.</w:t>
            </w:r>
          </w:p>
          <w:p w14:paraId="7D112AB4"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V zadnjih letih se je trg z električno energijo v Evropski uniji soočal z izrazito cenovno volatilnostjo in obdobji izjemno visokih cen. Ob hkratnih ambicioznih ciljih razogljičenja in prehoda na podnebno nevtralno gospodarstvo to povečuje tveganje, da energetsko intenzivna podjetja del proizvodnje selijo izven EU ali zmanjšajo obseg proizvodnje, kar lahko negativno vpliva na gospodarsko rast, zaposlenost in doseganje podnebnih ciljev.</w:t>
            </w:r>
          </w:p>
          <w:p w14:paraId="16A03A66"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Evropska komisija je zato sprejela Okvir za ukrepe državne pomoči v podporo dogovoru o čisti industriji/čisti energiji (CISAF), s katerim državam članicam omogoča, da v omejenem obsegu in pod strogimi pogoji podprejo energetsko intenzivna podjetja pri soočanju z visokimi stroški električne energije, hkrati pa jih zavežejo k vlaganjem v razogljičenje in prehod na čistejše tehnologije.</w:t>
            </w:r>
          </w:p>
          <w:p w14:paraId="1BED0A0A"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Obstoječa nacionalna zakonodaja ne zagotavlja posebnega, ciljno usmerjenega in časovno omejenega instrumenta, ki bi bil skladen s CISAF in bi omogočal:</w:t>
            </w:r>
          </w:p>
          <w:p w14:paraId="6FA6D0D6" w14:textId="77777777" w:rsidR="004D71CE" w:rsidRPr="004D71CE"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lastRenderedPageBreak/>
              <w:t>•</w:t>
            </w:r>
            <w:r w:rsidRPr="004D71CE">
              <w:rPr>
                <w:rFonts w:cs="Arial"/>
                <w:szCs w:val="20"/>
              </w:rPr>
              <w:tab/>
              <w:t>delno blaženje stroškov električne energije elektrointenzivnim podjetjem v najbolj izpostavljenih sektorjih in</w:t>
            </w:r>
          </w:p>
          <w:p w14:paraId="1371CFDA" w14:textId="49B46E6B" w:rsidR="00292952" w:rsidRPr="008C190F" w:rsidRDefault="004D71CE" w:rsidP="004D71CE">
            <w:pPr>
              <w:overflowPunct w:val="0"/>
              <w:autoSpaceDE w:val="0"/>
              <w:autoSpaceDN w:val="0"/>
              <w:adjustRightInd w:val="0"/>
              <w:spacing w:line="276" w:lineRule="auto"/>
              <w:textAlignment w:val="baseline"/>
              <w:rPr>
                <w:rFonts w:cs="Arial"/>
                <w:szCs w:val="20"/>
              </w:rPr>
            </w:pPr>
            <w:r w:rsidRPr="004D71CE">
              <w:rPr>
                <w:rFonts w:cs="Arial"/>
                <w:szCs w:val="20"/>
              </w:rPr>
              <w:t>•</w:t>
            </w:r>
            <w:r w:rsidRPr="004D71CE">
              <w:rPr>
                <w:rFonts w:cs="Arial"/>
                <w:szCs w:val="20"/>
              </w:rPr>
              <w:tab/>
              <w:t>hkrati obvezno vlaganje pomembnega dela prejete pomoči v naložbe v razogljičenje.</w:t>
            </w:r>
          </w:p>
        </w:tc>
      </w:tr>
      <w:tr w:rsidR="008E6475" w:rsidRPr="00620790" w14:paraId="1F4B7CB1" w14:textId="77777777" w:rsidTr="002751C7">
        <w:tc>
          <w:tcPr>
            <w:tcW w:w="9163" w:type="dxa"/>
            <w:gridSpan w:val="4"/>
          </w:tcPr>
          <w:p w14:paraId="72681DC8" w14:textId="77777777" w:rsidR="00C76E48" w:rsidRPr="00620790" w:rsidRDefault="00C76E48" w:rsidP="00C76E48">
            <w:pPr>
              <w:pStyle w:val="Oddelek"/>
              <w:numPr>
                <w:ilvl w:val="0"/>
                <w:numId w:val="0"/>
              </w:numPr>
              <w:spacing w:before="0" w:after="0" w:line="260" w:lineRule="exact"/>
              <w:jc w:val="left"/>
              <w:rPr>
                <w:szCs w:val="20"/>
              </w:rPr>
            </w:pPr>
            <w:r w:rsidRPr="00620790">
              <w:rPr>
                <w:szCs w:val="20"/>
              </w:rPr>
              <w:lastRenderedPageBreak/>
              <w:t>6. Presoja posledic za:</w:t>
            </w:r>
          </w:p>
        </w:tc>
      </w:tr>
      <w:tr w:rsidR="008E6475" w:rsidRPr="00620790" w14:paraId="14F76B41" w14:textId="77777777" w:rsidTr="002751C7">
        <w:tc>
          <w:tcPr>
            <w:tcW w:w="1448" w:type="dxa"/>
          </w:tcPr>
          <w:p w14:paraId="2DFB4FAB" w14:textId="77777777" w:rsidR="00C76E48" w:rsidRPr="00620790" w:rsidRDefault="00C76E48" w:rsidP="00C76E48">
            <w:pPr>
              <w:pStyle w:val="Neotevilenodstavek"/>
              <w:spacing w:before="0" w:after="0" w:line="260" w:lineRule="exact"/>
              <w:ind w:left="360"/>
              <w:rPr>
                <w:iCs/>
                <w:szCs w:val="20"/>
              </w:rPr>
            </w:pPr>
            <w:r w:rsidRPr="00620790">
              <w:rPr>
                <w:iCs/>
                <w:szCs w:val="20"/>
              </w:rPr>
              <w:t>a)</w:t>
            </w:r>
          </w:p>
        </w:tc>
        <w:tc>
          <w:tcPr>
            <w:tcW w:w="5444" w:type="dxa"/>
            <w:gridSpan w:val="2"/>
          </w:tcPr>
          <w:p w14:paraId="1D2C23E5" w14:textId="77777777" w:rsidR="00C76E48" w:rsidRPr="00620790" w:rsidRDefault="00C76E48" w:rsidP="00C76E48">
            <w:pPr>
              <w:pStyle w:val="Neotevilenodstavek"/>
              <w:spacing w:before="0" w:after="0" w:line="260" w:lineRule="exact"/>
              <w:rPr>
                <w:szCs w:val="20"/>
              </w:rPr>
            </w:pPr>
            <w:r w:rsidRPr="00620790">
              <w:rPr>
                <w:szCs w:val="20"/>
              </w:rPr>
              <w:t>javnofinančna sredstva nad 40.000 EUR v tekočem in naslednjih treh letih</w:t>
            </w:r>
          </w:p>
        </w:tc>
        <w:tc>
          <w:tcPr>
            <w:tcW w:w="2271" w:type="dxa"/>
            <w:vAlign w:val="center"/>
          </w:tcPr>
          <w:p w14:paraId="4169DAB0" w14:textId="117F0DEB" w:rsidR="00C76E48" w:rsidRPr="00F521FD" w:rsidRDefault="00ED51E8" w:rsidP="00C76E48">
            <w:pPr>
              <w:pStyle w:val="Neotevilenodstavek"/>
              <w:spacing w:before="0" w:after="0" w:line="260" w:lineRule="exact"/>
              <w:jc w:val="center"/>
              <w:rPr>
                <w:iCs/>
                <w:szCs w:val="20"/>
                <w:highlight w:val="yellow"/>
              </w:rPr>
            </w:pPr>
            <w:r w:rsidRPr="00ED51E8">
              <w:rPr>
                <w:iCs/>
                <w:szCs w:val="20"/>
              </w:rPr>
              <w:t>DA</w:t>
            </w:r>
          </w:p>
        </w:tc>
      </w:tr>
      <w:tr w:rsidR="008E6475" w:rsidRPr="00620790" w14:paraId="20B03953" w14:textId="77777777" w:rsidTr="002751C7">
        <w:tc>
          <w:tcPr>
            <w:tcW w:w="1448" w:type="dxa"/>
          </w:tcPr>
          <w:p w14:paraId="72DA63DE" w14:textId="77777777" w:rsidR="00C76E48" w:rsidRPr="00620790" w:rsidRDefault="00C76E48" w:rsidP="00C76E48">
            <w:pPr>
              <w:pStyle w:val="Neotevilenodstavek"/>
              <w:spacing w:before="0" w:after="0" w:line="260" w:lineRule="exact"/>
              <w:ind w:left="360"/>
              <w:rPr>
                <w:iCs/>
                <w:szCs w:val="20"/>
              </w:rPr>
            </w:pPr>
            <w:r w:rsidRPr="00620790">
              <w:rPr>
                <w:iCs/>
                <w:szCs w:val="20"/>
              </w:rPr>
              <w:t>b)</w:t>
            </w:r>
          </w:p>
        </w:tc>
        <w:tc>
          <w:tcPr>
            <w:tcW w:w="5444" w:type="dxa"/>
            <w:gridSpan w:val="2"/>
          </w:tcPr>
          <w:p w14:paraId="3F3631E3" w14:textId="302A291D" w:rsidR="00C76E48" w:rsidRPr="00620790" w:rsidRDefault="00C76E48" w:rsidP="00D70BFB">
            <w:pPr>
              <w:pStyle w:val="Neotevilenodstavek"/>
              <w:spacing w:before="0" w:after="0" w:line="260" w:lineRule="exact"/>
              <w:rPr>
                <w:iCs/>
                <w:szCs w:val="20"/>
              </w:rPr>
            </w:pPr>
            <w:r w:rsidRPr="00620790">
              <w:rPr>
                <w:bCs/>
                <w:szCs w:val="20"/>
              </w:rPr>
              <w:t>usklajenost slovenskega pravnega reda s pravnim redom Evropske unije</w:t>
            </w:r>
          </w:p>
        </w:tc>
        <w:tc>
          <w:tcPr>
            <w:tcW w:w="2271" w:type="dxa"/>
            <w:vAlign w:val="center"/>
          </w:tcPr>
          <w:p w14:paraId="1D249D38" w14:textId="3AB1C46D" w:rsidR="00C76E48" w:rsidRPr="00F521FD" w:rsidRDefault="00D70BFB" w:rsidP="00C76E48">
            <w:pPr>
              <w:pStyle w:val="Neotevilenodstavek"/>
              <w:spacing w:before="0" w:after="0" w:line="260" w:lineRule="exact"/>
              <w:jc w:val="center"/>
              <w:rPr>
                <w:iCs/>
                <w:szCs w:val="20"/>
                <w:highlight w:val="yellow"/>
              </w:rPr>
            </w:pPr>
            <w:r w:rsidRPr="00DC6D2F">
              <w:rPr>
                <w:iCs/>
                <w:szCs w:val="20"/>
              </w:rPr>
              <w:t>DA</w:t>
            </w:r>
          </w:p>
        </w:tc>
      </w:tr>
      <w:tr w:rsidR="008E6475" w:rsidRPr="00620790" w14:paraId="5806B1E1" w14:textId="77777777" w:rsidTr="002751C7">
        <w:tc>
          <w:tcPr>
            <w:tcW w:w="1448" w:type="dxa"/>
          </w:tcPr>
          <w:p w14:paraId="2393DFAC" w14:textId="77777777" w:rsidR="00C76E48" w:rsidRPr="00620790" w:rsidRDefault="00C76E48" w:rsidP="00C76E48">
            <w:pPr>
              <w:pStyle w:val="Neotevilenodstavek"/>
              <w:spacing w:before="0" w:after="0" w:line="260" w:lineRule="exact"/>
              <w:ind w:left="360"/>
              <w:rPr>
                <w:iCs/>
                <w:szCs w:val="20"/>
              </w:rPr>
            </w:pPr>
            <w:r w:rsidRPr="00620790">
              <w:rPr>
                <w:iCs/>
                <w:szCs w:val="20"/>
              </w:rPr>
              <w:t>c)</w:t>
            </w:r>
          </w:p>
        </w:tc>
        <w:tc>
          <w:tcPr>
            <w:tcW w:w="5444" w:type="dxa"/>
            <w:gridSpan w:val="2"/>
          </w:tcPr>
          <w:p w14:paraId="7AF89E00" w14:textId="77777777" w:rsidR="00C76E48" w:rsidRPr="00620790" w:rsidRDefault="00C76E48" w:rsidP="00C76E48">
            <w:pPr>
              <w:pStyle w:val="Neotevilenodstavek"/>
              <w:spacing w:before="0" w:after="0" w:line="260" w:lineRule="exact"/>
              <w:rPr>
                <w:iCs/>
                <w:szCs w:val="20"/>
              </w:rPr>
            </w:pPr>
            <w:r w:rsidRPr="00620790">
              <w:rPr>
                <w:szCs w:val="20"/>
              </w:rPr>
              <w:t>administrativne posledice</w:t>
            </w:r>
          </w:p>
        </w:tc>
        <w:tc>
          <w:tcPr>
            <w:tcW w:w="2271" w:type="dxa"/>
            <w:vAlign w:val="center"/>
          </w:tcPr>
          <w:p w14:paraId="2ED26202" w14:textId="48317D96" w:rsidR="00C76E48" w:rsidRPr="00F521FD" w:rsidRDefault="00402B99" w:rsidP="00C76E48">
            <w:pPr>
              <w:pStyle w:val="Neotevilenodstavek"/>
              <w:spacing w:before="0" w:after="0" w:line="260" w:lineRule="exact"/>
              <w:jc w:val="center"/>
              <w:rPr>
                <w:szCs w:val="20"/>
                <w:highlight w:val="yellow"/>
              </w:rPr>
            </w:pPr>
            <w:r w:rsidRPr="00402B99">
              <w:rPr>
                <w:szCs w:val="20"/>
              </w:rPr>
              <w:t>DA</w:t>
            </w:r>
          </w:p>
        </w:tc>
      </w:tr>
      <w:tr w:rsidR="008E6475" w:rsidRPr="00620790" w14:paraId="14CCF7C2" w14:textId="77777777" w:rsidTr="002751C7">
        <w:tc>
          <w:tcPr>
            <w:tcW w:w="1448" w:type="dxa"/>
          </w:tcPr>
          <w:p w14:paraId="13E2E5B3" w14:textId="77777777" w:rsidR="00C76E48" w:rsidRPr="00620790" w:rsidRDefault="00C76E48" w:rsidP="00C76E48">
            <w:pPr>
              <w:pStyle w:val="Neotevilenodstavek"/>
              <w:spacing w:before="0" w:after="0" w:line="260" w:lineRule="exact"/>
              <w:ind w:left="360"/>
              <w:rPr>
                <w:iCs/>
                <w:szCs w:val="20"/>
              </w:rPr>
            </w:pPr>
            <w:r w:rsidRPr="00620790">
              <w:rPr>
                <w:iCs/>
                <w:szCs w:val="20"/>
              </w:rPr>
              <w:t>č)</w:t>
            </w:r>
          </w:p>
        </w:tc>
        <w:tc>
          <w:tcPr>
            <w:tcW w:w="5444" w:type="dxa"/>
            <w:gridSpan w:val="2"/>
          </w:tcPr>
          <w:p w14:paraId="0292B928" w14:textId="77777777" w:rsidR="00C76E48" w:rsidRPr="00620790" w:rsidRDefault="00C76E48" w:rsidP="00C76E48">
            <w:pPr>
              <w:pStyle w:val="Neotevilenodstavek"/>
              <w:spacing w:before="0" w:after="0" w:line="260" w:lineRule="exact"/>
              <w:rPr>
                <w:bCs/>
                <w:szCs w:val="20"/>
              </w:rPr>
            </w:pPr>
            <w:r w:rsidRPr="00620790">
              <w:rPr>
                <w:szCs w:val="20"/>
              </w:rPr>
              <w:t>gospodarstvo, zlasti</w:t>
            </w:r>
            <w:r w:rsidRPr="00620790">
              <w:rPr>
                <w:bCs/>
                <w:szCs w:val="20"/>
              </w:rPr>
              <w:t xml:space="preserve"> mala in srednja podjetja ter konkurenčnost podjetij</w:t>
            </w:r>
          </w:p>
        </w:tc>
        <w:tc>
          <w:tcPr>
            <w:tcW w:w="2271" w:type="dxa"/>
            <w:vAlign w:val="center"/>
          </w:tcPr>
          <w:p w14:paraId="51D5DEB0" w14:textId="7CD1A77A" w:rsidR="00C76E48" w:rsidRPr="00F521FD" w:rsidRDefault="0048717C" w:rsidP="00C76E48">
            <w:pPr>
              <w:pStyle w:val="Neotevilenodstavek"/>
              <w:spacing w:before="0" w:after="0" w:line="260" w:lineRule="exact"/>
              <w:jc w:val="center"/>
              <w:rPr>
                <w:iCs/>
                <w:szCs w:val="20"/>
                <w:highlight w:val="yellow"/>
              </w:rPr>
            </w:pPr>
            <w:r>
              <w:rPr>
                <w:iCs/>
                <w:szCs w:val="20"/>
              </w:rPr>
              <w:t>DA</w:t>
            </w:r>
          </w:p>
        </w:tc>
      </w:tr>
      <w:tr w:rsidR="008E6475" w:rsidRPr="00620790" w14:paraId="4B91757D" w14:textId="77777777" w:rsidTr="002751C7">
        <w:tc>
          <w:tcPr>
            <w:tcW w:w="1448" w:type="dxa"/>
          </w:tcPr>
          <w:p w14:paraId="16499496" w14:textId="77777777" w:rsidR="00C76E48" w:rsidRPr="00620790" w:rsidRDefault="00C76E48" w:rsidP="00C76E48">
            <w:pPr>
              <w:pStyle w:val="Neotevilenodstavek"/>
              <w:spacing w:before="0" w:after="0" w:line="260" w:lineRule="exact"/>
              <w:ind w:left="360"/>
              <w:rPr>
                <w:iCs/>
                <w:szCs w:val="20"/>
              </w:rPr>
            </w:pPr>
            <w:r w:rsidRPr="00620790">
              <w:rPr>
                <w:iCs/>
                <w:szCs w:val="20"/>
              </w:rPr>
              <w:t>d)</w:t>
            </w:r>
          </w:p>
        </w:tc>
        <w:tc>
          <w:tcPr>
            <w:tcW w:w="5444" w:type="dxa"/>
            <w:gridSpan w:val="2"/>
          </w:tcPr>
          <w:p w14:paraId="1FD6006E" w14:textId="77777777" w:rsidR="00C76E48" w:rsidRPr="00620790" w:rsidRDefault="00C76E48" w:rsidP="00C76E48">
            <w:pPr>
              <w:pStyle w:val="Neotevilenodstavek"/>
              <w:spacing w:before="0" w:after="0" w:line="260" w:lineRule="exact"/>
              <w:rPr>
                <w:bCs/>
                <w:szCs w:val="20"/>
              </w:rPr>
            </w:pPr>
            <w:r w:rsidRPr="00620790">
              <w:rPr>
                <w:bCs/>
                <w:szCs w:val="20"/>
              </w:rPr>
              <w:t>okolje, vključno s prostorskimi in varstvenimi vidiki</w:t>
            </w:r>
          </w:p>
        </w:tc>
        <w:tc>
          <w:tcPr>
            <w:tcW w:w="2271" w:type="dxa"/>
            <w:vAlign w:val="center"/>
          </w:tcPr>
          <w:p w14:paraId="6FDB4FCE" w14:textId="4B6EECCB" w:rsidR="00C76E48" w:rsidRPr="00F521FD" w:rsidRDefault="0048717C" w:rsidP="00C76E48">
            <w:pPr>
              <w:pStyle w:val="Neotevilenodstavek"/>
              <w:spacing w:before="0" w:after="0" w:line="260" w:lineRule="exact"/>
              <w:jc w:val="center"/>
              <w:rPr>
                <w:iCs/>
                <w:szCs w:val="20"/>
                <w:highlight w:val="yellow"/>
              </w:rPr>
            </w:pPr>
            <w:r>
              <w:rPr>
                <w:iCs/>
                <w:szCs w:val="20"/>
              </w:rPr>
              <w:t>DA</w:t>
            </w:r>
          </w:p>
        </w:tc>
      </w:tr>
      <w:tr w:rsidR="008E6475" w:rsidRPr="00620790" w14:paraId="4366A7AE" w14:textId="77777777" w:rsidTr="002751C7">
        <w:tc>
          <w:tcPr>
            <w:tcW w:w="1448" w:type="dxa"/>
          </w:tcPr>
          <w:p w14:paraId="26552CBB" w14:textId="77777777" w:rsidR="00C76E48" w:rsidRPr="00620790" w:rsidRDefault="00C76E48" w:rsidP="00C76E48">
            <w:pPr>
              <w:pStyle w:val="Neotevilenodstavek"/>
              <w:spacing w:before="0" w:after="0" w:line="260" w:lineRule="exact"/>
              <w:ind w:left="360"/>
              <w:rPr>
                <w:iCs/>
                <w:szCs w:val="20"/>
              </w:rPr>
            </w:pPr>
            <w:r w:rsidRPr="00620790">
              <w:rPr>
                <w:iCs/>
                <w:szCs w:val="20"/>
              </w:rPr>
              <w:t>e)</w:t>
            </w:r>
          </w:p>
        </w:tc>
        <w:tc>
          <w:tcPr>
            <w:tcW w:w="5444" w:type="dxa"/>
            <w:gridSpan w:val="2"/>
          </w:tcPr>
          <w:p w14:paraId="2CA1C020" w14:textId="77777777" w:rsidR="00C76E48" w:rsidRPr="00620790" w:rsidRDefault="00C76E48" w:rsidP="00C76E48">
            <w:pPr>
              <w:pStyle w:val="Neotevilenodstavek"/>
              <w:spacing w:before="0" w:after="0" w:line="260" w:lineRule="exact"/>
              <w:rPr>
                <w:bCs/>
                <w:szCs w:val="20"/>
              </w:rPr>
            </w:pPr>
            <w:r w:rsidRPr="00620790">
              <w:rPr>
                <w:bCs/>
                <w:szCs w:val="20"/>
              </w:rPr>
              <w:t>socialno področje</w:t>
            </w:r>
          </w:p>
        </w:tc>
        <w:tc>
          <w:tcPr>
            <w:tcW w:w="2271" w:type="dxa"/>
            <w:vAlign w:val="center"/>
          </w:tcPr>
          <w:p w14:paraId="54545C52" w14:textId="39EC0E40" w:rsidR="00C76E48" w:rsidRPr="00F521FD" w:rsidRDefault="0048717C" w:rsidP="00C76E48">
            <w:pPr>
              <w:pStyle w:val="Neotevilenodstavek"/>
              <w:spacing w:before="0" w:after="0" w:line="260" w:lineRule="exact"/>
              <w:jc w:val="center"/>
              <w:rPr>
                <w:iCs/>
                <w:szCs w:val="20"/>
                <w:highlight w:val="yellow"/>
              </w:rPr>
            </w:pPr>
            <w:r>
              <w:rPr>
                <w:szCs w:val="20"/>
              </w:rPr>
              <w:t>DA</w:t>
            </w:r>
          </w:p>
        </w:tc>
      </w:tr>
      <w:tr w:rsidR="008E6475" w:rsidRPr="00620790" w14:paraId="3FD478EE" w14:textId="77777777" w:rsidTr="002751C7">
        <w:tc>
          <w:tcPr>
            <w:tcW w:w="1448" w:type="dxa"/>
            <w:tcBorders>
              <w:bottom w:val="single" w:sz="4" w:space="0" w:color="auto"/>
            </w:tcBorders>
          </w:tcPr>
          <w:p w14:paraId="543B9BA5" w14:textId="77777777" w:rsidR="00C76E48" w:rsidRPr="00620790" w:rsidRDefault="00C76E48" w:rsidP="00C76E48">
            <w:pPr>
              <w:pStyle w:val="Neotevilenodstavek"/>
              <w:spacing w:before="0" w:after="0" w:line="260" w:lineRule="exact"/>
              <w:ind w:left="360"/>
              <w:rPr>
                <w:iCs/>
                <w:szCs w:val="20"/>
              </w:rPr>
            </w:pPr>
            <w:r w:rsidRPr="00620790">
              <w:rPr>
                <w:iCs/>
                <w:szCs w:val="20"/>
              </w:rPr>
              <w:t>f)</w:t>
            </w:r>
          </w:p>
        </w:tc>
        <w:tc>
          <w:tcPr>
            <w:tcW w:w="5444" w:type="dxa"/>
            <w:gridSpan w:val="2"/>
            <w:tcBorders>
              <w:bottom w:val="single" w:sz="4" w:space="0" w:color="auto"/>
            </w:tcBorders>
          </w:tcPr>
          <w:p w14:paraId="0DCEF631" w14:textId="77777777" w:rsidR="00C76E48" w:rsidRPr="00620790" w:rsidRDefault="00C76E48" w:rsidP="00C76E48">
            <w:pPr>
              <w:pStyle w:val="Neotevilenodstavek"/>
              <w:spacing w:before="0" w:after="0" w:line="260" w:lineRule="exact"/>
              <w:rPr>
                <w:bCs/>
                <w:szCs w:val="20"/>
              </w:rPr>
            </w:pPr>
            <w:r w:rsidRPr="00620790">
              <w:rPr>
                <w:bCs/>
                <w:szCs w:val="20"/>
              </w:rPr>
              <w:t>dokumente razvojnega načrtovanja:</w:t>
            </w:r>
          </w:p>
          <w:p w14:paraId="57C762D5"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nacionalne dokumente razvojnega načrtovanja</w:t>
            </w:r>
          </w:p>
          <w:p w14:paraId="17276597"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politike na ravni programov po strukturi razvojne klasifikacije programskega proračuna</w:t>
            </w:r>
          </w:p>
          <w:p w14:paraId="5D710E05"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dokumente Evropske unije in mednarodnih organizacij</w:t>
            </w:r>
          </w:p>
        </w:tc>
        <w:tc>
          <w:tcPr>
            <w:tcW w:w="2271" w:type="dxa"/>
            <w:tcBorders>
              <w:bottom w:val="single" w:sz="4" w:space="0" w:color="auto"/>
            </w:tcBorders>
            <w:vAlign w:val="center"/>
          </w:tcPr>
          <w:p w14:paraId="5533D08C" w14:textId="15115E16" w:rsidR="00C76E48" w:rsidRPr="00F521FD" w:rsidRDefault="00C76E48" w:rsidP="00C76E48">
            <w:pPr>
              <w:pStyle w:val="Neotevilenodstavek"/>
              <w:spacing w:before="0" w:after="0" w:line="260" w:lineRule="exact"/>
              <w:jc w:val="center"/>
              <w:rPr>
                <w:iCs/>
                <w:szCs w:val="20"/>
                <w:highlight w:val="yellow"/>
              </w:rPr>
            </w:pPr>
            <w:r w:rsidRPr="00DC6D2F">
              <w:rPr>
                <w:szCs w:val="20"/>
              </w:rPr>
              <w:t>NE</w:t>
            </w:r>
          </w:p>
        </w:tc>
      </w:tr>
      <w:tr w:rsidR="008E6475" w:rsidRPr="00620790" w14:paraId="6204A1D7" w14:textId="77777777" w:rsidTr="002751C7">
        <w:tc>
          <w:tcPr>
            <w:tcW w:w="9163" w:type="dxa"/>
            <w:gridSpan w:val="4"/>
            <w:tcBorders>
              <w:top w:val="single" w:sz="4" w:space="0" w:color="auto"/>
              <w:left w:val="single" w:sz="4" w:space="0" w:color="auto"/>
              <w:bottom w:val="single" w:sz="4" w:space="0" w:color="auto"/>
              <w:right w:val="single" w:sz="4" w:space="0" w:color="auto"/>
            </w:tcBorders>
          </w:tcPr>
          <w:p w14:paraId="553015C8" w14:textId="77777777" w:rsidR="00C76E48" w:rsidRPr="00620790" w:rsidRDefault="00C76E48" w:rsidP="00C76E48">
            <w:pPr>
              <w:pStyle w:val="Oddelek"/>
              <w:widowControl w:val="0"/>
              <w:numPr>
                <w:ilvl w:val="0"/>
                <w:numId w:val="0"/>
              </w:numPr>
              <w:spacing w:before="0" w:after="0" w:line="260" w:lineRule="exact"/>
              <w:jc w:val="left"/>
              <w:rPr>
                <w:szCs w:val="20"/>
              </w:rPr>
            </w:pPr>
            <w:r w:rsidRPr="00620790">
              <w:rPr>
                <w:szCs w:val="20"/>
              </w:rPr>
              <w:t>7.a Predstavitev ocene finančnih posledic nad 40.000 EUR:</w:t>
            </w:r>
          </w:p>
          <w:p w14:paraId="2F5A5910" w14:textId="77777777" w:rsidR="00ED51E8" w:rsidRDefault="00C76E48" w:rsidP="00ED51E8">
            <w:pPr>
              <w:pStyle w:val="Oddelek"/>
              <w:widowControl w:val="0"/>
              <w:numPr>
                <w:ilvl w:val="0"/>
                <w:numId w:val="0"/>
              </w:numPr>
              <w:spacing w:before="0" w:after="0" w:line="260" w:lineRule="exact"/>
              <w:jc w:val="left"/>
              <w:rPr>
                <w:b w:val="0"/>
                <w:szCs w:val="20"/>
              </w:rPr>
            </w:pPr>
            <w:r w:rsidRPr="00620790">
              <w:rPr>
                <w:b w:val="0"/>
                <w:szCs w:val="20"/>
              </w:rPr>
              <w:t>(Samo če izberete DA pod točko 6.a.)</w:t>
            </w:r>
          </w:p>
          <w:p w14:paraId="6089642E" w14:textId="084C6CA2" w:rsidR="006B5871" w:rsidRDefault="006B5871" w:rsidP="006B5871">
            <w:pPr>
              <w:pStyle w:val="Oddelek"/>
              <w:widowControl w:val="0"/>
              <w:numPr>
                <w:ilvl w:val="0"/>
                <w:numId w:val="0"/>
              </w:numPr>
              <w:spacing w:after="0" w:line="260" w:lineRule="exact"/>
              <w:jc w:val="both"/>
              <w:rPr>
                <w:b w:val="0"/>
                <w:szCs w:val="20"/>
              </w:rPr>
            </w:pPr>
            <w:r w:rsidRPr="006B5871">
              <w:rPr>
                <w:b w:val="0"/>
                <w:szCs w:val="20"/>
              </w:rPr>
              <w:t>Zakon predvideva, da se sredstva za izvajanje ukrepa zagotavljajo izven državnega proračuna, in sicer iz sredstev družb v 100 % lasti Republike Slovenije, ki imajo v neposredni ali posredni lasti elektrarne s skupno močjo nad 400 MW.</w:t>
            </w:r>
            <w:r w:rsidR="0050223F">
              <w:rPr>
                <w:b w:val="0"/>
                <w:szCs w:val="20"/>
              </w:rPr>
              <w:t xml:space="preserve"> </w:t>
            </w:r>
            <w:r w:rsidRPr="006B5871">
              <w:rPr>
                <w:b w:val="0"/>
                <w:szCs w:val="20"/>
              </w:rPr>
              <w:t>Vlada z vsakoletnim sklepom določi</w:t>
            </w:r>
            <w:r>
              <w:rPr>
                <w:b w:val="0"/>
                <w:szCs w:val="20"/>
              </w:rPr>
              <w:t xml:space="preserve"> </w:t>
            </w:r>
            <w:r w:rsidRPr="006B5871">
              <w:rPr>
                <w:b w:val="0"/>
                <w:szCs w:val="20"/>
              </w:rPr>
              <w:t>skupni razpoložljivi letni znesek sredstev za dodelitev spodbud</w:t>
            </w:r>
            <w:r w:rsidR="0050223F">
              <w:rPr>
                <w:b w:val="0"/>
                <w:szCs w:val="20"/>
              </w:rPr>
              <w:t>, za kar bi na podlagi ocen Energetske zbornice zadoščalo 30 mio EUR letno in bi za vsa tri leta znašalo skupaj okrog 90 mio EUR.</w:t>
            </w:r>
          </w:p>
          <w:p w14:paraId="386A7E3D" w14:textId="0DCDB53D" w:rsidR="00ED6419" w:rsidRPr="006B5871" w:rsidRDefault="00ED6419" w:rsidP="006B5871">
            <w:pPr>
              <w:pStyle w:val="Oddelek"/>
              <w:widowControl w:val="0"/>
              <w:numPr>
                <w:ilvl w:val="0"/>
                <w:numId w:val="0"/>
              </w:numPr>
              <w:spacing w:after="0" w:line="260" w:lineRule="exact"/>
              <w:jc w:val="both"/>
              <w:rPr>
                <w:b w:val="0"/>
                <w:szCs w:val="20"/>
              </w:rPr>
            </w:pPr>
            <w:r>
              <w:rPr>
                <w:b w:val="0"/>
                <w:szCs w:val="20"/>
              </w:rPr>
              <w:t xml:space="preserve">Po uveljavljenem načelu, da Republika Slovenija od energetskih podjetij v 100% državni lasti načrtuje za vplačila proračun 50% načrtovanega dobička se bodo zaradi zagotovitve izvajanja ukrepa po tem zakonu v višini 30 mio letno, prilivi v proračun zmanjšali za 15 mio EUR v letih 2026, 2027 in 2028. </w:t>
            </w:r>
          </w:p>
          <w:p w14:paraId="30C072E6" w14:textId="76F033B4" w:rsidR="00333425" w:rsidRPr="00620790" w:rsidRDefault="00333425" w:rsidP="006B5871">
            <w:pPr>
              <w:pStyle w:val="Oddelek"/>
              <w:widowControl w:val="0"/>
              <w:numPr>
                <w:ilvl w:val="0"/>
                <w:numId w:val="0"/>
              </w:numPr>
              <w:spacing w:before="0" w:after="0" w:line="260" w:lineRule="exact"/>
              <w:jc w:val="both"/>
              <w:rPr>
                <w:b w:val="0"/>
                <w:szCs w:val="20"/>
              </w:rPr>
            </w:pPr>
          </w:p>
        </w:tc>
      </w:tr>
    </w:tbl>
    <w:p w14:paraId="66C1AF76" w14:textId="77777777" w:rsidR="00261625" w:rsidRPr="00620790" w:rsidRDefault="00261625" w:rsidP="00261625">
      <w:pPr>
        <w:spacing w:line="260" w:lineRule="exact"/>
        <w:rPr>
          <w:rFonts w:cs="Arial"/>
          <w:vanish/>
          <w:szCs w:val="20"/>
        </w:rPr>
      </w:pPr>
    </w:p>
    <w:tbl>
      <w:tblPr>
        <w:tblW w:w="961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297"/>
        <w:gridCol w:w="1538"/>
        <w:gridCol w:w="392"/>
        <w:gridCol w:w="1811"/>
        <w:gridCol w:w="677"/>
        <w:gridCol w:w="1076"/>
        <w:gridCol w:w="2198"/>
      </w:tblGrid>
      <w:tr w:rsidR="008E6475" w:rsidRPr="00620790" w14:paraId="3E43F76E" w14:textId="77777777" w:rsidTr="0032093C">
        <w:trPr>
          <w:cantSplit/>
          <w:trHeight w:val="35"/>
        </w:trPr>
        <w:tc>
          <w:tcPr>
            <w:tcW w:w="9616"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753376" w14:textId="30FCA79D" w:rsidR="00261625" w:rsidRPr="00620790" w:rsidRDefault="00261625" w:rsidP="002751C7">
            <w:pPr>
              <w:pStyle w:val="Naslov1"/>
              <w:keepNext w:val="0"/>
              <w:pageBreakBefore/>
              <w:widowControl w:val="0"/>
              <w:tabs>
                <w:tab w:val="left" w:pos="2340"/>
              </w:tabs>
              <w:spacing w:before="0"/>
              <w:ind w:left="142" w:hanging="142"/>
              <w:rPr>
                <w:rFonts w:cs="Arial"/>
                <w:szCs w:val="20"/>
              </w:rPr>
            </w:pPr>
            <w:bookmarkStart w:id="1" w:name="_Ref120275319"/>
            <w:r w:rsidRPr="00620790">
              <w:rPr>
                <w:rFonts w:cs="Arial"/>
                <w:szCs w:val="20"/>
              </w:rPr>
              <w:lastRenderedPageBreak/>
              <w:t>I. Ocena finančnih posledic, ki niso načrtovane v sprejetem proračunu</w:t>
            </w:r>
            <w:bookmarkEnd w:id="1"/>
          </w:p>
        </w:tc>
      </w:tr>
      <w:tr w:rsidR="00C90449" w:rsidRPr="00620790" w14:paraId="2C044EC0" w14:textId="77777777" w:rsidTr="008654E1">
        <w:trPr>
          <w:cantSplit/>
          <w:trHeight w:val="276"/>
        </w:trPr>
        <w:tc>
          <w:tcPr>
            <w:tcW w:w="1924" w:type="dxa"/>
            <w:gridSpan w:val="2"/>
            <w:tcBorders>
              <w:top w:val="single" w:sz="4" w:space="0" w:color="auto"/>
              <w:left w:val="single" w:sz="4" w:space="0" w:color="auto"/>
              <w:bottom w:val="single" w:sz="4" w:space="0" w:color="auto"/>
              <w:right w:val="single" w:sz="4" w:space="0" w:color="auto"/>
            </w:tcBorders>
            <w:vAlign w:val="center"/>
          </w:tcPr>
          <w:p w14:paraId="50780E54" w14:textId="77777777" w:rsidR="00261625" w:rsidRPr="00620790" w:rsidRDefault="00261625" w:rsidP="002751C7">
            <w:pPr>
              <w:widowControl w:val="0"/>
              <w:spacing w:line="260" w:lineRule="exact"/>
              <w:ind w:left="-122" w:right="-112"/>
              <w:jc w:val="center"/>
              <w:rPr>
                <w:rFonts w:cs="Arial"/>
                <w:szCs w:val="20"/>
              </w:rPr>
            </w:pP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28CA7E6A" w14:textId="77777777" w:rsidR="00261625" w:rsidRPr="00620790" w:rsidRDefault="00261625" w:rsidP="002751C7">
            <w:pPr>
              <w:widowControl w:val="0"/>
              <w:spacing w:line="260" w:lineRule="exact"/>
              <w:jc w:val="center"/>
              <w:rPr>
                <w:rFonts w:cs="Arial"/>
                <w:szCs w:val="20"/>
              </w:rPr>
            </w:pPr>
            <w:r w:rsidRPr="00620790">
              <w:rPr>
                <w:rFonts w:cs="Arial"/>
                <w:szCs w:val="20"/>
              </w:rPr>
              <w:t>Tekoče leto (t)</w:t>
            </w:r>
          </w:p>
        </w:tc>
        <w:tc>
          <w:tcPr>
            <w:tcW w:w="1811" w:type="dxa"/>
            <w:tcBorders>
              <w:top w:val="single" w:sz="4" w:space="0" w:color="auto"/>
              <w:left w:val="single" w:sz="4" w:space="0" w:color="auto"/>
              <w:bottom w:val="single" w:sz="4" w:space="0" w:color="auto"/>
              <w:right w:val="single" w:sz="4" w:space="0" w:color="auto"/>
            </w:tcBorders>
            <w:vAlign w:val="center"/>
          </w:tcPr>
          <w:p w14:paraId="7B607070" w14:textId="77777777" w:rsidR="00261625" w:rsidRPr="00620790" w:rsidRDefault="00261625" w:rsidP="002751C7">
            <w:pPr>
              <w:widowControl w:val="0"/>
              <w:spacing w:line="260" w:lineRule="exact"/>
              <w:jc w:val="center"/>
              <w:rPr>
                <w:rFonts w:cs="Arial"/>
                <w:szCs w:val="20"/>
              </w:rPr>
            </w:pPr>
            <w:r w:rsidRPr="00620790">
              <w:rPr>
                <w:rFonts w:cs="Arial"/>
                <w:szCs w:val="20"/>
              </w:rPr>
              <w:t>t + 1</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DC660EA" w14:textId="77777777" w:rsidR="00261625" w:rsidRPr="00620790" w:rsidRDefault="00261625" w:rsidP="002751C7">
            <w:pPr>
              <w:widowControl w:val="0"/>
              <w:spacing w:line="260" w:lineRule="exact"/>
              <w:jc w:val="center"/>
              <w:rPr>
                <w:rFonts w:cs="Arial"/>
                <w:szCs w:val="20"/>
              </w:rPr>
            </w:pPr>
            <w:r w:rsidRPr="00620790">
              <w:rPr>
                <w:rFonts w:cs="Arial"/>
                <w:szCs w:val="20"/>
              </w:rPr>
              <w:t>t + 2</w:t>
            </w:r>
          </w:p>
        </w:tc>
        <w:tc>
          <w:tcPr>
            <w:tcW w:w="2198" w:type="dxa"/>
            <w:tcBorders>
              <w:top w:val="single" w:sz="4" w:space="0" w:color="auto"/>
              <w:left w:val="single" w:sz="4" w:space="0" w:color="auto"/>
              <w:bottom w:val="single" w:sz="4" w:space="0" w:color="auto"/>
              <w:right w:val="single" w:sz="4" w:space="0" w:color="auto"/>
            </w:tcBorders>
            <w:vAlign w:val="center"/>
          </w:tcPr>
          <w:p w14:paraId="7E80BDF5" w14:textId="77777777" w:rsidR="00261625" w:rsidRPr="00620790" w:rsidRDefault="00261625" w:rsidP="002751C7">
            <w:pPr>
              <w:widowControl w:val="0"/>
              <w:spacing w:line="260" w:lineRule="exact"/>
              <w:jc w:val="center"/>
              <w:rPr>
                <w:rFonts w:cs="Arial"/>
                <w:szCs w:val="20"/>
              </w:rPr>
            </w:pPr>
            <w:r w:rsidRPr="00620790">
              <w:rPr>
                <w:rFonts w:cs="Arial"/>
                <w:szCs w:val="20"/>
              </w:rPr>
              <w:t>t + 3</w:t>
            </w:r>
          </w:p>
        </w:tc>
      </w:tr>
      <w:tr w:rsidR="00C90449" w:rsidRPr="00072E0D" w14:paraId="48DE1F3F" w14:textId="77777777" w:rsidTr="008654E1">
        <w:trPr>
          <w:cantSplit/>
          <w:trHeight w:val="423"/>
        </w:trPr>
        <w:tc>
          <w:tcPr>
            <w:tcW w:w="1924" w:type="dxa"/>
            <w:gridSpan w:val="2"/>
            <w:tcBorders>
              <w:top w:val="single" w:sz="4" w:space="0" w:color="auto"/>
              <w:left w:val="single" w:sz="4" w:space="0" w:color="auto"/>
              <w:bottom w:val="single" w:sz="4" w:space="0" w:color="auto"/>
              <w:right w:val="single" w:sz="4" w:space="0" w:color="auto"/>
            </w:tcBorders>
            <w:vAlign w:val="center"/>
          </w:tcPr>
          <w:p w14:paraId="3C4DE136" w14:textId="77777777" w:rsidR="00261625" w:rsidRPr="00072E0D" w:rsidRDefault="00261625" w:rsidP="002751C7">
            <w:pPr>
              <w:widowControl w:val="0"/>
              <w:spacing w:line="260" w:lineRule="exact"/>
              <w:rPr>
                <w:rFonts w:cs="Arial"/>
                <w:bCs/>
                <w:szCs w:val="20"/>
              </w:rPr>
            </w:pPr>
            <w:r w:rsidRPr="00072E0D">
              <w:rPr>
                <w:rFonts w:cs="Arial"/>
                <w:bCs/>
                <w:szCs w:val="20"/>
              </w:rPr>
              <w:t>Predvideno povečanje (+) ali zmanjšanje (</w:t>
            </w:r>
            <w:r w:rsidRPr="00072E0D">
              <w:rPr>
                <w:rFonts w:cs="Arial"/>
                <w:b/>
                <w:szCs w:val="20"/>
              </w:rPr>
              <w:t>–</w:t>
            </w:r>
            <w:r w:rsidRPr="00072E0D">
              <w:rPr>
                <w:rFonts w:cs="Arial"/>
                <w:bCs/>
                <w:szCs w:val="20"/>
              </w:rPr>
              <w:t xml:space="preserve">) prihodkov državnega proračuna </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12C596B5" w14:textId="6BE116B3" w:rsidR="00261625" w:rsidRPr="00072E0D" w:rsidRDefault="00D526E1" w:rsidP="002751C7">
            <w:pPr>
              <w:pStyle w:val="Naslov1"/>
              <w:keepNext w:val="0"/>
              <w:widowControl w:val="0"/>
              <w:tabs>
                <w:tab w:val="left" w:pos="360"/>
              </w:tabs>
              <w:spacing w:before="0"/>
              <w:rPr>
                <w:rFonts w:cs="Arial"/>
                <w:b w:val="0"/>
                <w:bCs w:val="0"/>
                <w:szCs w:val="20"/>
              </w:rPr>
            </w:pPr>
            <w:r w:rsidRPr="00072E0D">
              <w:rPr>
                <w:rFonts w:cs="Arial"/>
                <w:b w:val="0"/>
                <w:bCs w:val="0"/>
                <w:szCs w:val="20"/>
              </w:rPr>
              <w:t>0</w:t>
            </w:r>
            <w:r w:rsidR="00220960" w:rsidRPr="00072E0D">
              <w:rPr>
                <w:rFonts w:cs="Arial"/>
                <w:b w:val="0"/>
                <w:bCs w:val="0"/>
                <w:szCs w:val="20"/>
              </w:rPr>
              <w:t>,00</w:t>
            </w:r>
          </w:p>
        </w:tc>
        <w:tc>
          <w:tcPr>
            <w:tcW w:w="1811" w:type="dxa"/>
            <w:tcBorders>
              <w:top w:val="single" w:sz="4" w:space="0" w:color="auto"/>
              <w:left w:val="single" w:sz="4" w:space="0" w:color="auto"/>
              <w:bottom w:val="single" w:sz="4" w:space="0" w:color="auto"/>
              <w:right w:val="single" w:sz="4" w:space="0" w:color="auto"/>
            </w:tcBorders>
            <w:vAlign w:val="center"/>
          </w:tcPr>
          <w:p w14:paraId="4133592C" w14:textId="67F94020" w:rsidR="00261625" w:rsidRPr="00072E0D" w:rsidRDefault="008654E1" w:rsidP="008654E1">
            <w:pPr>
              <w:pStyle w:val="Naslov1"/>
              <w:keepNext w:val="0"/>
              <w:widowControl w:val="0"/>
              <w:tabs>
                <w:tab w:val="left" w:pos="360"/>
              </w:tabs>
              <w:spacing w:before="0"/>
              <w:jc w:val="both"/>
              <w:rPr>
                <w:rFonts w:cs="Arial"/>
                <w:b w:val="0"/>
                <w:bCs w:val="0"/>
                <w:szCs w:val="20"/>
              </w:rPr>
            </w:pPr>
            <w:r w:rsidRPr="00072E0D">
              <w:rPr>
                <w:rFonts w:cs="Arial"/>
                <w:szCs w:val="20"/>
              </w:rPr>
              <w:t>(–</w:t>
            </w:r>
            <w:r>
              <w:rPr>
                <w:rFonts w:cs="Arial"/>
                <w:szCs w:val="20"/>
              </w:rPr>
              <w:t xml:space="preserve">) </w:t>
            </w:r>
            <w:r>
              <w:rPr>
                <w:rFonts w:cs="Arial"/>
                <w:b w:val="0"/>
                <w:bCs w:val="0"/>
                <w:szCs w:val="20"/>
              </w:rPr>
              <w:t>15.000.00</w:t>
            </w:r>
            <w:r w:rsidR="00D526E1" w:rsidRPr="00072E0D">
              <w:rPr>
                <w:rFonts w:cs="Arial"/>
                <w:b w:val="0"/>
                <w:bCs w:val="0"/>
                <w:szCs w:val="20"/>
              </w:rPr>
              <w:t>0</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9F0C865" w14:textId="7A4AD119" w:rsidR="00261625" w:rsidRPr="00072E0D" w:rsidRDefault="008654E1" w:rsidP="002751C7">
            <w:pPr>
              <w:pStyle w:val="Naslov1"/>
              <w:keepNext w:val="0"/>
              <w:widowControl w:val="0"/>
              <w:tabs>
                <w:tab w:val="left" w:pos="360"/>
              </w:tabs>
              <w:spacing w:before="0"/>
              <w:rPr>
                <w:rFonts w:cs="Arial"/>
                <w:b w:val="0"/>
                <w:szCs w:val="20"/>
              </w:rPr>
            </w:pPr>
            <w:r w:rsidRPr="00072E0D">
              <w:rPr>
                <w:rFonts w:cs="Arial"/>
                <w:szCs w:val="20"/>
              </w:rPr>
              <w:t>(–</w:t>
            </w:r>
            <w:r>
              <w:rPr>
                <w:rFonts w:cs="Arial"/>
                <w:szCs w:val="20"/>
              </w:rPr>
              <w:t xml:space="preserve">) </w:t>
            </w:r>
            <w:r>
              <w:rPr>
                <w:rFonts w:cs="Arial"/>
                <w:b w:val="0"/>
                <w:bCs w:val="0"/>
                <w:szCs w:val="20"/>
              </w:rPr>
              <w:t>15.000.00</w:t>
            </w:r>
            <w:r w:rsidRPr="00072E0D">
              <w:rPr>
                <w:rFonts w:cs="Arial"/>
                <w:b w:val="0"/>
                <w:bCs w:val="0"/>
                <w:szCs w:val="20"/>
              </w:rPr>
              <w:t>0</w:t>
            </w:r>
          </w:p>
        </w:tc>
        <w:tc>
          <w:tcPr>
            <w:tcW w:w="2198" w:type="dxa"/>
            <w:tcBorders>
              <w:top w:val="single" w:sz="4" w:space="0" w:color="auto"/>
              <w:left w:val="single" w:sz="4" w:space="0" w:color="auto"/>
              <w:bottom w:val="single" w:sz="4" w:space="0" w:color="auto"/>
              <w:right w:val="single" w:sz="4" w:space="0" w:color="auto"/>
            </w:tcBorders>
            <w:vAlign w:val="center"/>
          </w:tcPr>
          <w:p w14:paraId="5544BB9B" w14:textId="1F1F01AC" w:rsidR="00261625" w:rsidRPr="00072E0D" w:rsidRDefault="008654E1" w:rsidP="002751C7">
            <w:pPr>
              <w:pStyle w:val="Naslov1"/>
              <w:keepNext w:val="0"/>
              <w:widowControl w:val="0"/>
              <w:tabs>
                <w:tab w:val="left" w:pos="360"/>
              </w:tabs>
              <w:spacing w:before="0"/>
              <w:rPr>
                <w:rFonts w:cs="Arial"/>
                <w:b w:val="0"/>
                <w:szCs w:val="20"/>
              </w:rPr>
            </w:pPr>
            <w:r w:rsidRPr="00072E0D">
              <w:rPr>
                <w:rFonts w:cs="Arial"/>
                <w:szCs w:val="20"/>
              </w:rPr>
              <w:t>(–</w:t>
            </w:r>
            <w:r>
              <w:rPr>
                <w:rFonts w:cs="Arial"/>
                <w:szCs w:val="20"/>
              </w:rPr>
              <w:t xml:space="preserve">) </w:t>
            </w:r>
            <w:r>
              <w:rPr>
                <w:rFonts w:cs="Arial"/>
                <w:b w:val="0"/>
                <w:bCs w:val="0"/>
                <w:szCs w:val="20"/>
              </w:rPr>
              <w:t>15.000.00</w:t>
            </w:r>
            <w:r w:rsidRPr="00072E0D">
              <w:rPr>
                <w:rFonts w:cs="Arial"/>
                <w:b w:val="0"/>
                <w:bCs w:val="0"/>
                <w:szCs w:val="20"/>
              </w:rPr>
              <w:t>0</w:t>
            </w:r>
          </w:p>
        </w:tc>
      </w:tr>
      <w:tr w:rsidR="008E6475" w:rsidRPr="00620790" w14:paraId="1136B184" w14:textId="77777777" w:rsidTr="0032093C">
        <w:trPr>
          <w:cantSplit/>
          <w:trHeight w:val="257"/>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5EF054" w14:textId="77777777" w:rsidR="00261625" w:rsidRPr="00620790" w:rsidRDefault="00261625" w:rsidP="002751C7">
            <w:pPr>
              <w:pStyle w:val="Naslov1"/>
              <w:keepNext w:val="0"/>
              <w:widowControl w:val="0"/>
              <w:tabs>
                <w:tab w:val="left" w:pos="2340"/>
              </w:tabs>
              <w:spacing w:before="0"/>
              <w:ind w:left="142" w:hanging="142"/>
              <w:rPr>
                <w:rFonts w:cs="Arial"/>
                <w:szCs w:val="20"/>
              </w:rPr>
            </w:pPr>
            <w:r w:rsidRPr="00620790">
              <w:rPr>
                <w:rFonts w:cs="Arial"/>
                <w:szCs w:val="20"/>
              </w:rPr>
              <w:t>II. Finančne posledice za državni proračun</w:t>
            </w:r>
          </w:p>
        </w:tc>
      </w:tr>
      <w:tr w:rsidR="008E6475" w:rsidRPr="00620790" w14:paraId="3DFD5C49" w14:textId="77777777" w:rsidTr="0032093C">
        <w:trPr>
          <w:cantSplit/>
          <w:trHeight w:val="257"/>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44D71D" w14:textId="77777777" w:rsidR="00261625" w:rsidRPr="00620790" w:rsidRDefault="00261625" w:rsidP="002751C7">
            <w:pPr>
              <w:pStyle w:val="Naslov1"/>
              <w:keepNext w:val="0"/>
              <w:widowControl w:val="0"/>
              <w:tabs>
                <w:tab w:val="left" w:pos="2340"/>
              </w:tabs>
              <w:spacing w:before="0"/>
              <w:ind w:left="142" w:hanging="142"/>
              <w:rPr>
                <w:rFonts w:cs="Arial"/>
                <w:szCs w:val="20"/>
              </w:rPr>
            </w:pPr>
            <w:r w:rsidRPr="00620790">
              <w:rPr>
                <w:rFonts w:cs="Arial"/>
                <w:szCs w:val="20"/>
              </w:rPr>
              <w:t>II.a Pravice porabe za izvedbo predlaganih rešitev so zagotovljene:</w:t>
            </w:r>
          </w:p>
        </w:tc>
      </w:tr>
      <w:tr w:rsidR="00C90449" w:rsidRPr="00620790" w14:paraId="793B7B2B"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3BCA33F6" w14:textId="77777777" w:rsidR="00261625" w:rsidRPr="00620790" w:rsidRDefault="00261625" w:rsidP="002751C7">
            <w:pPr>
              <w:widowControl w:val="0"/>
              <w:spacing w:line="260" w:lineRule="exact"/>
              <w:jc w:val="center"/>
              <w:rPr>
                <w:rFonts w:cs="Arial"/>
                <w:szCs w:val="20"/>
              </w:rPr>
            </w:pPr>
            <w:r w:rsidRPr="00620790">
              <w:rPr>
                <w:rFonts w:cs="Arial"/>
                <w:szCs w:val="20"/>
              </w:rPr>
              <w:t xml:space="preserve">Ime proračunskega uporabnika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57383D3B" w14:textId="77777777" w:rsidR="00261625" w:rsidRPr="00620790" w:rsidRDefault="00261625" w:rsidP="002751C7">
            <w:pPr>
              <w:widowControl w:val="0"/>
              <w:spacing w:line="260" w:lineRule="exact"/>
              <w:jc w:val="center"/>
              <w:rPr>
                <w:rFonts w:cs="Arial"/>
                <w:szCs w:val="20"/>
              </w:rPr>
            </w:pPr>
            <w:r w:rsidRPr="00620790">
              <w:rPr>
                <w:rFonts w:cs="Arial"/>
                <w:szCs w:val="20"/>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391EA9C" w14:textId="77777777" w:rsidR="00261625" w:rsidRPr="00620790" w:rsidRDefault="00261625" w:rsidP="002751C7">
            <w:pPr>
              <w:widowControl w:val="0"/>
              <w:spacing w:line="260" w:lineRule="exact"/>
              <w:jc w:val="center"/>
              <w:rPr>
                <w:rFonts w:cs="Arial"/>
                <w:szCs w:val="20"/>
              </w:rPr>
            </w:pPr>
            <w:r w:rsidRPr="00620790">
              <w:rPr>
                <w:rFonts w:cs="Arial"/>
                <w:szCs w:val="20"/>
              </w:rPr>
              <w:t>Šifra in naziv proračunske postavke</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2FE224E9" w14:textId="77777777" w:rsidR="00261625" w:rsidRPr="00620790" w:rsidRDefault="00261625" w:rsidP="002751C7">
            <w:pPr>
              <w:widowControl w:val="0"/>
              <w:spacing w:line="260" w:lineRule="exact"/>
              <w:jc w:val="center"/>
              <w:rPr>
                <w:rFonts w:cs="Arial"/>
                <w:szCs w:val="20"/>
              </w:rPr>
            </w:pPr>
            <w:r w:rsidRPr="00620790">
              <w:rPr>
                <w:rFonts w:cs="Arial"/>
                <w:szCs w:val="20"/>
              </w:rPr>
              <w:t>Znesek za tekoče leto (t)</w:t>
            </w:r>
          </w:p>
        </w:tc>
        <w:tc>
          <w:tcPr>
            <w:tcW w:w="2198" w:type="dxa"/>
            <w:tcBorders>
              <w:top w:val="single" w:sz="4" w:space="0" w:color="auto"/>
              <w:left w:val="single" w:sz="4" w:space="0" w:color="auto"/>
              <w:bottom w:val="single" w:sz="4" w:space="0" w:color="auto"/>
              <w:right w:val="single" w:sz="4" w:space="0" w:color="auto"/>
            </w:tcBorders>
            <w:vAlign w:val="center"/>
          </w:tcPr>
          <w:p w14:paraId="11AEC801" w14:textId="77777777" w:rsidR="00261625" w:rsidRPr="00620790" w:rsidRDefault="00261625" w:rsidP="002751C7">
            <w:pPr>
              <w:widowControl w:val="0"/>
              <w:spacing w:line="260" w:lineRule="exact"/>
              <w:jc w:val="center"/>
              <w:rPr>
                <w:rFonts w:cs="Arial"/>
                <w:szCs w:val="20"/>
              </w:rPr>
            </w:pPr>
            <w:r w:rsidRPr="00620790">
              <w:rPr>
                <w:rFonts w:cs="Arial"/>
                <w:szCs w:val="20"/>
              </w:rPr>
              <w:t>Znesek za t + 1</w:t>
            </w:r>
          </w:p>
        </w:tc>
      </w:tr>
      <w:tr w:rsidR="004D6117" w:rsidRPr="00620790" w14:paraId="774ADA33"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5D39656A" w14:textId="2F43F98E" w:rsidR="004D6117" w:rsidRPr="00B34FD1" w:rsidRDefault="004D6117" w:rsidP="002751C7">
            <w:pPr>
              <w:widowControl w:val="0"/>
              <w:spacing w:line="260" w:lineRule="exact"/>
              <w:jc w:val="center"/>
              <w:rPr>
                <w:rFonts w:cs="Arial"/>
                <w:szCs w:val="20"/>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7DF47BF4" w14:textId="25830AD9" w:rsidR="008B169B" w:rsidRPr="00B34FD1" w:rsidRDefault="008B169B" w:rsidP="008B169B">
            <w:pPr>
              <w:widowControl w:val="0"/>
              <w:spacing w:line="260" w:lineRule="exact"/>
              <w:rPr>
                <w:rFonts w:cs="Arial"/>
                <w:szCs w:val="20"/>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74447CA" w14:textId="3078CDFC" w:rsidR="004D6117" w:rsidRPr="00B34FD1" w:rsidRDefault="004D6117" w:rsidP="002751C7">
            <w:pPr>
              <w:widowControl w:val="0"/>
              <w:spacing w:line="260" w:lineRule="exact"/>
              <w:jc w:val="center"/>
              <w:rPr>
                <w:rFonts w:cs="Arial"/>
                <w:szCs w:val="20"/>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0182C583" w14:textId="74104D77" w:rsidR="004D6117" w:rsidRPr="00B34FD1" w:rsidRDefault="004D6117" w:rsidP="002751C7">
            <w:pPr>
              <w:widowControl w:val="0"/>
              <w:spacing w:line="260" w:lineRule="exact"/>
              <w:jc w:val="center"/>
              <w:rPr>
                <w:rFonts w:cs="Arial"/>
                <w:szCs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10DFDDC0" w14:textId="2480963C" w:rsidR="004D6117" w:rsidRPr="0048717C" w:rsidRDefault="004D6117" w:rsidP="002751C7">
            <w:pPr>
              <w:widowControl w:val="0"/>
              <w:spacing w:line="260" w:lineRule="exact"/>
              <w:jc w:val="center"/>
              <w:rPr>
                <w:rFonts w:cs="Arial"/>
                <w:szCs w:val="20"/>
                <w:highlight w:val="yellow"/>
              </w:rPr>
            </w:pPr>
          </w:p>
        </w:tc>
      </w:tr>
      <w:tr w:rsidR="0032093C" w:rsidRPr="00620790" w14:paraId="4CCD29C0" w14:textId="77777777" w:rsidTr="008654E1">
        <w:trPr>
          <w:cantSplit/>
          <w:trHeight w:val="95"/>
        </w:trPr>
        <w:tc>
          <w:tcPr>
            <w:tcW w:w="5665" w:type="dxa"/>
            <w:gridSpan w:val="5"/>
            <w:tcBorders>
              <w:top w:val="single" w:sz="4" w:space="0" w:color="auto"/>
              <w:left w:val="single" w:sz="4" w:space="0" w:color="auto"/>
              <w:bottom w:val="single" w:sz="4" w:space="0" w:color="auto"/>
              <w:right w:val="single" w:sz="4" w:space="0" w:color="auto"/>
            </w:tcBorders>
            <w:vAlign w:val="center"/>
          </w:tcPr>
          <w:p w14:paraId="1064320D" w14:textId="77777777" w:rsidR="0032093C" w:rsidRPr="000E0E44" w:rsidRDefault="0032093C" w:rsidP="0032093C">
            <w:pPr>
              <w:pStyle w:val="Naslov1"/>
              <w:keepNext w:val="0"/>
              <w:widowControl w:val="0"/>
              <w:tabs>
                <w:tab w:val="left" w:pos="360"/>
              </w:tabs>
              <w:spacing w:before="0"/>
              <w:rPr>
                <w:rFonts w:cs="Arial"/>
                <w:szCs w:val="20"/>
              </w:rPr>
            </w:pPr>
            <w:r w:rsidRPr="000E0E44">
              <w:rPr>
                <w:rFonts w:cs="Arial"/>
                <w:szCs w:val="20"/>
              </w:rPr>
              <w:t>SKUPAJ</w:t>
            </w:r>
          </w:p>
        </w:tc>
        <w:tc>
          <w:tcPr>
            <w:tcW w:w="1753" w:type="dxa"/>
            <w:gridSpan w:val="2"/>
            <w:tcBorders>
              <w:top w:val="single" w:sz="4" w:space="0" w:color="auto"/>
              <w:left w:val="single" w:sz="4" w:space="0" w:color="auto"/>
              <w:bottom w:val="single" w:sz="4" w:space="0" w:color="auto"/>
              <w:right w:val="single" w:sz="4" w:space="0" w:color="auto"/>
            </w:tcBorders>
          </w:tcPr>
          <w:p w14:paraId="6EE0CC4D" w14:textId="6C79F516" w:rsidR="0032093C" w:rsidRPr="0032093C" w:rsidRDefault="0032093C" w:rsidP="0032093C">
            <w:pPr>
              <w:widowControl w:val="0"/>
              <w:spacing w:line="260" w:lineRule="exact"/>
              <w:jc w:val="center"/>
              <w:rPr>
                <w:rFonts w:cs="Arial"/>
                <w:b/>
                <w:bCs/>
                <w:szCs w:val="20"/>
              </w:rPr>
            </w:pPr>
          </w:p>
        </w:tc>
        <w:tc>
          <w:tcPr>
            <w:tcW w:w="2198" w:type="dxa"/>
            <w:tcBorders>
              <w:top w:val="single" w:sz="4" w:space="0" w:color="auto"/>
              <w:left w:val="single" w:sz="4" w:space="0" w:color="auto"/>
              <w:bottom w:val="single" w:sz="4" w:space="0" w:color="auto"/>
              <w:right w:val="single" w:sz="4" w:space="0" w:color="auto"/>
            </w:tcBorders>
          </w:tcPr>
          <w:p w14:paraId="410A8CED" w14:textId="20049FFA" w:rsidR="0032093C" w:rsidRPr="0032093C" w:rsidRDefault="0032093C" w:rsidP="0032093C">
            <w:pPr>
              <w:pStyle w:val="Naslov1"/>
              <w:keepNext w:val="0"/>
              <w:widowControl w:val="0"/>
              <w:tabs>
                <w:tab w:val="left" w:pos="360"/>
              </w:tabs>
              <w:spacing w:before="0"/>
              <w:rPr>
                <w:rFonts w:cs="Arial"/>
                <w:szCs w:val="20"/>
              </w:rPr>
            </w:pPr>
          </w:p>
        </w:tc>
      </w:tr>
      <w:tr w:rsidR="00E34FFA" w:rsidRPr="00620790" w14:paraId="0563E1EF" w14:textId="77777777" w:rsidTr="0032093C">
        <w:trPr>
          <w:cantSplit/>
          <w:trHeight w:val="294"/>
        </w:trPr>
        <w:tc>
          <w:tcPr>
            <w:tcW w:w="9616"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C799CA" w14:textId="77777777" w:rsidR="00E34FFA" w:rsidRPr="00620790" w:rsidRDefault="00E34FFA" w:rsidP="00E34FFA">
            <w:pPr>
              <w:pStyle w:val="Naslov1"/>
              <w:keepNext w:val="0"/>
              <w:widowControl w:val="0"/>
              <w:tabs>
                <w:tab w:val="left" w:pos="2340"/>
              </w:tabs>
              <w:spacing w:before="0"/>
              <w:rPr>
                <w:rFonts w:cs="Arial"/>
                <w:szCs w:val="20"/>
              </w:rPr>
            </w:pPr>
            <w:r w:rsidRPr="00620790">
              <w:rPr>
                <w:rFonts w:cs="Arial"/>
                <w:szCs w:val="20"/>
              </w:rPr>
              <w:t>II.b Manjkajoče pravice porabe bodo zagotovljene s prerazporeditvijo:</w:t>
            </w:r>
          </w:p>
        </w:tc>
      </w:tr>
      <w:tr w:rsidR="00C90449" w:rsidRPr="00620790" w14:paraId="52731303" w14:textId="77777777" w:rsidTr="008654E1">
        <w:trPr>
          <w:cantSplit/>
          <w:trHeight w:val="100"/>
        </w:trPr>
        <w:tc>
          <w:tcPr>
            <w:tcW w:w="1627" w:type="dxa"/>
            <w:tcBorders>
              <w:top w:val="single" w:sz="4" w:space="0" w:color="auto"/>
              <w:left w:val="single" w:sz="4" w:space="0" w:color="auto"/>
              <w:bottom w:val="single" w:sz="4" w:space="0" w:color="auto"/>
              <w:right w:val="single" w:sz="4" w:space="0" w:color="auto"/>
            </w:tcBorders>
            <w:vAlign w:val="center"/>
          </w:tcPr>
          <w:p w14:paraId="63DF3190"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Ime proračunskega uporabnika </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047D53CF" w14:textId="77777777" w:rsidR="00E34FFA" w:rsidRPr="00620790" w:rsidRDefault="00E34FFA" w:rsidP="00E34FFA">
            <w:pPr>
              <w:widowControl w:val="0"/>
              <w:spacing w:line="260" w:lineRule="exact"/>
              <w:jc w:val="center"/>
              <w:rPr>
                <w:rFonts w:cs="Arial"/>
                <w:szCs w:val="20"/>
              </w:rPr>
            </w:pPr>
            <w:r w:rsidRPr="00620790">
              <w:rPr>
                <w:rFonts w:cs="Arial"/>
                <w:szCs w:val="20"/>
              </w:rPr>
              <w:t>Šifra in naziv ukrepa, projekta</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5704CE4A"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Šifra in naziv proračunske postavke </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E6ADF85" w14:textId="77777777" w:rsidR="00E34FFA" w:rsidRPr="00620790" w:rsidRDefault="00E34FFA" w:rsidP="00E34FFA">
            <w:pPr>
              <w:widowControl w:val="0"/>
              <w:spacing w:line="260" w:lineRule="exact"/>
              <w:jc w:val="center"/>
              <w:rPr>
                <w:rFonts w:cs="Arial"/>
                <w:szCs w:val="20"/>
              </w:rPr>
            </w:pPr>
            <w:r w:rsidRPr="00620790">
              <w:rPr>
                <w:rFonts w:cs="Arial"/>
                <w:szCs w:val="20"/>
              </w:rPr>
              <w:t>Znesek za tekoče leto (t)</w:t>
            </w:r>
          </w:p>
        </w:tc>
        <w:tc>
          <w:tcPr>
            <w:tcW w:w="2198" w:type="dxa"/>
            <w:tcBorders>
              <w:top w:val="single" w:sz="4" w:space="0" w:color="auto"/>
              <w:left w:val="single" w:sz="4" w:space="0" w:color="auto"/>
              <w:bottom w:val="single" w:sz="4" w:space="0" w:color="auto"/>
              <w:right w:val="single" w:sz="4" w:space="0" w:color="auto"/>
            </w:tcBorders>
            <w:vAlign w:val="center"/>
          </w:tcPr>
          <w:p w14:paraId="150DEE13" w14:textId="77777777" w:rsidR="00E34FFA" w:rsidRPr="00620790" w:rsidRDefault="00E34FFA" w:rsidP="00E34FFA">
            <w:pPr>
              <w:widowControl w:val="0"/>
              <w:spacing w:line="260" w:lineRule="exact"/>
              <w:jc w:val="center"/>
              <w:rPr>
                <w:rFonts w:cs="Arial"/>
                <w:szCs w:val="20"/>
              </w:rPr>
            </w:pPr>
            <w:r w:rsidRPr="00620790">
              <w:rPr>
                <w:rFonts w:cs="Arial"/>
                <w:szCs w:val="20"/>
              </w:rPr>
              <w:t xml:space="preserve">Znesek za t + 1 </w:t>
            </w:r>
          </w:p>
        </w:tc>
      </w:tr>
      <w:tr w:rsidR="0032093C" w:rsidRPr="00620790" w14:paraId="6F60B601" w14:textId="77777777" w:rsidTr="008654E1">
        <w:trPr>
          <w:cantSplit/>
          <w:trHeight w:val="95"/>
        </w:trPr>
        <w:tc>
          <w:tcPr>
            <w:tcW w:w="1627" w:type="dxa"/>
            <w:tcBorders>
              <w:top w:val="single" w:sz="4" w:space="0" w:color="auto"/>
              <w:left w:val="single" w:sz="4" w:space="0" w:color="auto"/>
              <w:bottom w:val="single" w:sz="4" w:space="0" w:color="auto"/>
              <w:right w:val="single" w:sz="4" w:space="0" w:color="auto"/>
            </w:tcBorders>
          </w:tcPr>
          <w:p w14:paraId="23AD3834" w14:textId="5A4C430A" w:rsidR="0032093C" w:rsidRPr="0032093C" w:rsidRDefault="0032093C" w:rsidP="0032093C">
            <w:pPr>
              <w:pStyle w:val="Naslov1"/>
              <w:keepNext w:val="0"/>
              <w:widowControl w:val="0"/>
              <w:tabs>
                <w:tab w:val="left" w:pos="360"/>
              </w:tabs>
              <w:spacing w:before="0"/>
              <w:rPr>
                <w:rFonts w:cs="Arial"/>
                <w:b w:val="0"/>
                <w:bCs w:val="0"/>
                <w:szCs w:val="20"/>
              </w:rPr>
            </w:pPr>
          </w:p>
        </w:tc>
        <w:tc>
          <w:tcPr>
            <w:tcW w:w="1835" w:type="dxa"/>
            <w:gridSpan w:val="2"/>
            <w:tcBorders>
              <w:top w:val="single" w:sz="4" w:space="0" w:color="auto"/>
              <w:left w:val="single" w:sz="4" w:space="0" w:color="auto"/>
              <w:bottom w:val="single" w:sz="4" w:space="0" w:color="auto"/>
              <w:right w:val="single" w:sz="4" w:space="0" w:color="auto"/>
            </w:tcBorders>
          </w:tcPr>
          <w:p w14:paraId="4751DBC3" w14:textId="3BBCEFE7" w:rsidR="0032093C" w:rsidRPr="0032093C" w:rsidRDefault="0032093C" w:rsidP="0032093C">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tcPr>
          <w:p w14:paraId="2A689C83" w14:textId="329C92EA" w:rsidR="0032093C" w:rsidRPr="0032093C" w:rsidRDefault="0032093C" w:rsidP="0032093C">
            <w:pPr>
              <w:pStyle w:val="Naslov1"/>
              <w:keepNext w:val="0"/>
              <w:widowControl w:val="0"/>
              <w:tabs>
                <w:tab w:val="left" w:pos="360"/>
              </w:tabs>
              <w:spacing w:before="0"/>
              <w:rPr>
                <w:rFonts w:cs="Arial"/>
                <w:b w:val="0"/>
                <w:bCs w:val="0"/>
                <w:szCs w:val="20"/>
              </w:rPr>
            </w:pPr>
          </w:p>
        </w:tc>
        <w:tc>
          <w:tcPr>
            <w:tcW w:w="1753" w:type="dxa"/>
            <w:gridSpan w:val="2"/>
            <w:tcBorders>
              <w:top w:val="single" w:sz="4" w:space="0" w:color="auto"/>
              <w:left w:val="single" w:sz="4" w:space="0" w:color="auto"/>
              <w:bottom w:val="single" w:sz="4" w:space="0" w:color="auto"/>
              <w:right w:val="single" w:sz="4" w:space="0" w:color="auto"/>
            </w:tcBorders>
          </w:tcPr>
          <w:p w14:paraId="0A490ACF" w14:textId="5A0FFE53" w:rsidR="0032093C" w:rsidRPr="0032093C" w:rsidRDefault="0032093C" w:rsidP="0032093C">
            <w:pPr>
              <w:pStyle w:val="Naslov1"/>
              <w:keepNext w:val="0"/>
              <w:widowControl w:val="0"/>
              <w:tabs>
                <w:tab w:val="left" w:pos="360"/>
              </w:tabs>
              <w:spacing w:before="0"/>
              <w:rPr>
                <w:rFonts w:cs="Arial"/>
                <w:b w:val="0"/>
                <w:bCs w:val="0"/>
                <w:szCs w:val="20"/>
              </w:rPr>
            </w:pPr>
          </w:p>
        </w:tc>
        <w:tc>
          <w:tcPr>
            <w:tcW w:w="2198" w:type="dxa"/>
            <w:tcBorders>
              <w:top w:val="single" w:sz="4" w:space="0" w:color="auto"/>
              <w:left w:val="single" w:sz="4" w:space="0" w:color="auto"/>
              <w:bottom w:val="single" w:sz="4" w:space="0" w:color="auto"/>
              <w:right w:val="single" w:sz="4" w:space="0" w:color="auto"/>
            </w:tcBorders>
          </w:tcPr>
          <w:p w14:paraId="2F306A09" w14:textId="1DBC40D5" w:rsidR="0032093C" w:rsidRPr="0032093C" w:rsidRDefault="0032093C" w:rsidP="0032093C">
            <w:pPr>
              <w:pStyle w:val="Naslov1"/>
              <w:keepNext w:val="0"/>
              <w:widowControl w:val="0"/>
              <w:tabs>
                <w:tab w:val="left" w:pos="360"/>
              </w:tabs>
              <w:spacing w:before="0"/>
              <w:rPr>
                <w:rFonts w:cs="Arial"/>
                <w:b w:val="0"/>
                <w:bCs w:val="0"/>
                <w:szCs w:val="20"/>
              </w:rPr>
            </w:pPr>
          </w:p>
        </w:tc>
      </w:tr>
      <w:tr w:rsidR="0032093C" w:rsidRPr="00620790" w14:paraId="599C4AB4" w14:textId="77777777" w:rsidTr="008654E1">
        <w:trPr>
          <w:cantSplit/>
          <w:trHeight w:val="95"/>
        </w:trPr>
        <w:tc>
          <w:tcPr>
            <w:tcW w:w="1627" w:type="dxa"/>
            <w:tcBorders>
              <w:top w:val="single" w:sz="4" w:space="0" w:color="auto"/>
              <w:left w:val="single" w:sz="4" w:space="0" w:color="auto"/>
              <w:bottom w:val="single" w:sz="4" w:space="0" w:color="auto"/>
              <w:right w:val="single" w:sz="4" w:space="0" w:color="auto"/>
            </w:tcBorders>
          </w:tcPr>
          <w:p w14:paraId="7A1C0214" w14:textId="6D9AB73E" w:rsidR="0032093C" w:rsidRPr="0032093C" w:rsidRDefault="0032093C" w:rsidP="0032093C">
            <w:pPr>
              <w:pStyle w:val="Naslov1"/>
              <w:keepNext w:val="0"/>
              <w:widowControl w:val="0"/>
              <w:tabs>
                <w:tab w:val="left" w:pos="360"/>
              </w:tabs>
              <w:spacing w:before="0"/>
              <w:rPr>
                <w:rFonts w:cs="Arial"/>
                <w:b w:val="0"/>
                <w:bCs w:val="0"/>
                <w:szCs w:val="20"/>
              </w:rPr>
            </w:pPr>
          </w:p>
        </w:tc>
        <w:tc>
          <w:tcPr>
            <w:tcW w:w="1835" w:type="dxa"/>
            <w:gridSpan w:val="2"/>
            <w:tcBorders>
              <w:top w:val="single" w:sz="4" w:space="0" w:color="auto"/>
              <w:left w:val="single" w:sz="4" w:space="0" w:color="auto"/>
              <w:bottom w:val="single" w:sz="4" w:space="0" w:color="auto"/>
              <w:right w:val="single" w:sz="4" w:space="0" w:color="auto"/>
            </w:tcBorders>
          </w:tcPr>
          <w:p w14:paraId="1F88B772" w14:textId="493ABE13" w:rsidR="0032093C" w:rsidRPr="0032093C" w:rsidRDefault="0032093C" w:rsidP="0032093C">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tcPr>
          <w:p w14:paraId="5AF265C2" w14:textId="1643FC82" w:rsidR="0032093C" w:rsidRPr="0032093C" w:rsidRDefault="0032093C" w:rsidP="0032093C">
            <w:pPr>
              <w:pStyle w:val="Naslov1"/>
              <w:keepNext w:val="0"/>
              <w:widowControl w:val="0"/>
              <w:tabs>
                <w:tab w:val="left" w:pos="360"/>
              </w:tabs>
              <w:spacing w:before="0"/>
              <w:rPr>
                <w:rFonts w:cs="Arial"/>
                <w:b w:val="0"/>
                <w:bCs w:val="0"/>
                <w:szCs w:val="20"/>
              </w:rPr>
            </w:pPr>
          </w:p>
        </w:tc>
        <w:tc>
          <w:tcPr>
            <w:tcW w:w="1753" w:type="dxa"/>
            <w:gridSpan w:val="2"/>
            <w:tcBorders>
              <w:top w:val="single" w:sz="4" w:space="0" w:color="auto"/>
              <w:left w:val="single" w:sz="4" w:space="0" w:color="auto"/>
              <w:bottom w:val="single" w:sz="4" w:space="0" w:color="auto"/>
              <w:right w:val="single" w:sz="4" w:space="0" w:color="auto"/>
            </w:tcBorders>
          </w:tcPr>
          <w:p w14:paraId="2036990C" w14:textId="4155DE75" w:rsidR="0032093C" w:rsidRPr="0032093C" w:rsidRDefault="0032093C" w:rsidP="0032093C">
            <w:pPr>
              <w:pStyle w:val="Naslov1"/>
              <w:keepNext w:val="0"/>
              <w:widowControl w:val="0"/>
              <w:tabs>
                <w:tab w:val="left" w:pos="360"/>
              </w:tabs>
              <w:spacing w:before="0"/>
              <w:rPr>
                <w:rFonts w:cs="Arial"/>
                <w:b w:val="0"/>
                <w:bCs w:val="0"/>
                <w:szCs w:val="20"/>
              </w:rPr>
            </w:pPr>
          </w:p>
        </w:tc>
        <w:tc>
          <w:tcPr>
            <w:tcW w:w="2198" w:type="dxa"/>
            <w:tcBorders>
              <w:top w:val="single" w:sz="4" w:space="0" w:color="auto"/>
              <w:left w:val="single" w:sz="4" w:space="0" w:color="auto"/>
              <w:bottom w:val="single" w:sz="4" w:space="0" w:color="auto"/>
              <w:right w:val="single" w:sz="4" w:space="0" w:color="auto"/>
            </w:tcBorders>
          </w:tcPr>
          <w:p w14:paraId="699A2578" w14:textId="3AB4B378" w:rsidR="0032093C" w:rsidRPr="0032093C" w:rsidRDefault="0032093C" w:rsidP="0032093C">
            <w:pPr>
              <w:pStyle w:val="Naslov1"/>
              <w:keepNext w:val="0"/>
              <w:widowControl w:val="0"/>
              <w:tabs>
                <w:tab w:val="left" w:pos="360"/>
              </w:tabs>
              <w:spacing w:before="0"/>
              <w:rPr>
                <w:rFonts w:cs="Arial"/>
                <w:b w:val="0"/>
                <w:bCs w:val="0"/>
                <w:szCs w:val="20"/>
              </w:rPr>
            </w:pPr>
          </w:p>
        </w:tc>
      </w:tr>
      <w:tr w:rsidR="0032093C" w:rsidRPr="00620790" w14:paraId="3CAC8327" w14:textId="77777777" w:rsidTr="008654E1">
        <w:trPr>
          <w:cantSplit/>
          <w:trHeight w:val="95"/>
        </w:trPr>
        <w:tc>
          <w:tcPr>
            <w:tcW w:w="5665" w:type="dxa"/>
            <w:gridSpan w:val="5"/>
            <w:tcBorders>
              <w:top w:val="single" w:sz="4" w:space="0" w:color="auto"/>
              <w:left w:val="single" w:sz="4" w:space="0" w:color="auto"/>
              <w:bottom w:val="single" w:sz="4" w:space="0" w:color="auto"/>
              <w:right w:val="single" w:sz="4" w:space="0" w:color="auto"/>
            </w:tcBorders>
            <w:vAlign w:val="center"/>
          </w:tcPr>
          <w:p w14:paraId="7AEF04D4" w14:textId="77777777" w:rsidR="0032093C" w:rsidRPr="00620790" w:rsidRDefault="0032093C" w:rsidP="0032093C">
            <w:pPr>
              <w:pStyle w:val="Naslov1"/>
              <w:keepNext w:val="0"/>
              <w:widowControl w:val="0"/>
              <w:tabs>
                <w:tab w:val="left" w:pos="360"/>
              </w:tabs>
              <w:spacing w:before="0"/>
              <w:rPr>
                <w:rFonts w:cs="Arial"/>
                <w:szCs w:val="20"/>
              </w:rPr>
            </w:pPr>
            <w:r w:rsidRPr="00620790">
              <w:rPr>
                <w:rFonts w:cs="Arial"/>
                <w:szCs w:val="20"/>
              </w:rPr>
              <w:t>SKUPAJ</w:t>
            </w:r>
          </w:p>
        </w:tc>
        <w:tc>
          <w:tcPr>
            <w:tcW w:w="1753" w:type="dxa"/>
            <w:gridSpan w:val="2"/>
            <w:tcBorders>
              <w:top w:val="single" w:sz="4" w:space="0" w:color="auto"/>
              <w:left w:val="single" w:sz="4" w:space="0" w:color="auto"/>
              <w:bottom w:val="single" w:sz="4" w:space="0" w:color="auto"/>
              <w:right w:val="single" w:sz="4" w:space="0" w:color="auto"/>
            </w:tcBorders>
          </w:tcPr>
          <w:p w14:paraId="3E993DB7" w14:textId="0378F22D" w:rsidR="0032093C" w:rsidRPr="00620790" w:rsidRDefault="0032093C" w:rsidP="0032093C">
            <w:pPr>
              <w:pStyle w:val="Naslov1"/>
              <w:keepNext w:val="0"/>
              <w:widowControl w:val="0"/>
              <w:tabs>
                <w:tab w:val="left" w:pos="360"/>
              </w:tabs>
              <w:spacing w:before="0"/>
              <w:rPr>
                <w:rFonts w:cs="Arial"/>
                <w:szCs w:val="20"/>
              </w:rPr>
            </w:pPr>
          </w:p>
        </w:tc>
        <w:tc>
          <w:tcPr>
            <w:tcW w:w="2198" w:type="dxa"/>
            <w:tcBorders>
              <w:top w:val="single" w:sz="4" w:space="0" w:color="auto"/>
              <w:left w:val="single" w:sz="4" w:space="0" w:color="auto"/>
              <w:bottom w:val="single" w:sz="4" w:space="0" w:color="auto"/>
              <w:right w:val="single" w:sz="4" w:space="0" w:color="auto"/>
            </w:tcBorders>
          </w:tcPr>
          <w:p w14:paraId="17E16355" w14:textId="009F89DF" w:rsidR="0032093C" w:rsidRPr="00620790" w:rsidRDefault="0032093C" w:rsidP="0032093C">
            <w:pPr>
              <w:pStyle w:val="Naslov1"/>
              <w:keepNext w:val="0"/>
              <w:widowControl w:val="0"/>
              <w:tabs>
                <w:tab w:val="left" w:pos="360"/>
              </w:tabs>
              <w:spacing w:before="0"/>
              <w:rPr>
                <w:rFonts w:cs="Arial"/>
                <w:szCs w:val="20"/>
              </w:rPr>
            </w:pPr>
          </w:p>
        </w:tc>
      </w:tr>
      <w:tr w:rsidR="00E34FFA" w:rsidRPr="00620790" w14:paraId="757057C2" w14:textId="77777777" w:rsidTr="0032093C">
        <w:trPr>
          <w:cantSplit/>
          <w:trHeight w:val="207"/>
        </w:trPr>
        <w:tc>
          <w:tcPr>
            <w:tcW w:w="9616"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304FC0" w14:textId="77777777" w:rsidR="00E34FFA" w:rsidRPr="00620790" w:rsidRDefault="00E34FFA" w:rsidP="00E34FFA">
            <w:pPr>
              <w:pStyle w:val="Naslov1"/>
              <w:keepNext w:val="0"/>
              <w:widowControl w:val="0"/>
              <w:tabs>
                <w:tab w:val="left" w:pos="2340"/>
              </w:tabs>
              <w:spacing w:before="0"/>
              <w:rPr>
                <w:rFonts w:cs="Arial"/>
                <w:szCs w:val="20"/>
              </w:rPr>
            </w:pPr>
            <w:r w:rsidRPr="00620790">
              <w:rPr>
                <w:rFonts w:cs="Arial"/>
                <w:szCs w:val="20"/>
              </w:rPr>
              <w:t>II.c Načrtovana nadomestitev zmanjšanih prihodkov in povečanih odhodkov proračuna:</w:t>
            </w:r>
          </w:p>
        </w:tc>
      </w:tr>
      <w:tr w:rsidR="00C90449" w:rsidRPr="00620790" w14:paraId="3045D333" w14:textId="77777777" w:rsidTr="0032093C">
        <w:trPr>
          <w:cantSplit/>
          <w:trHeight w:val="100"/>
        </w:trPr>
        <w:tc>
          <w:tcPr>
            <w:tcW w:w="3462" w:type="dxa"/>
            <w:gridSpan w:val="3"/>
            <w:tcBorders>
              <w:top w:val="single" w:sz="4" w:space="0" w:color="auto"/>
              <w:left w:val="single" w:sz="4" w:space="0" w:color="auto"/>
              <w:bottom w:val="single" w:sz="4" w:space="0" w:color="auto"/>
              <w:right w:val="single" w:sz="4" w:space="0" w:color="auto"/>
            </w:tcBorders>
            <w:vAlign w:val="center"/>
          </w:tcPr>
          <w:p w14:paraId="71E3939A"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Novi prihodki</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42A26AF7"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Znesek za tekoče leto (t)</w:t>
            </w: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6BEE4E7C" w14:textId="77777777" w:rsidR="00E34FFA" w:rsidRPr="00620790" w:rsidRDefault="00E34FFA" w:rsidP="00E34FFA">
            <w:pPr>
              <w:widowControl w:val="0"/>
              <w:spacing w:line="260" w:lineRule="exact"/>
              <w:ind w:left="-122" w:right="-112"/>
              <w:jc w:val="center"/>
              <w:rPr>
                <w:rFonts w:cs="Arial"/>
                <w:szCs w:val="20"/>
              </w:rPr>
            </w:pPr>
            <w:r w:rsidRPr="00620790">
              <w:rPr>
                <w:rFonts w:cs="Arial"/>
                <w:szCs w:val="20"/>
              </w:rPr>
              <w:t>Znesek za t + 1</w:t>
            </w:r>
          </w:p>
        </w:tc>
      </w:tr>
      <w:tr w:rsidR="00C90449" w:rsidRPr="00620790" w14:paraId="6F8A0C1C" w14:textId="77777777" w:rsidTr="0032093C">
        <w:trPr>
          <w:cantSplit/>
          <w:trHeight w:val="95"/>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C70D632" w14:textId="77777777" w:rsidR="00E34FFA" w:rsidRPr="00620790" w:rsidRDefault="00E34FFA" w:rsidP="00E34FFA">
            <w:pPr>
              <w:pStyle w:val="Naslov1"/>
              <w:keepNext w:val="0"/>
              <w:widowControl w:val="0"/>
              <w:tabs>
                <w:tab w:val="left" w:pos="360"/>
              </w:tabs>
              <w:spacing w:before="0"/>
              <w:rPr>
                <w:rFonts w:cs="Arial"/>
                <w:b w:val="0"/>
                <w:bCs w:val="0"/>
                <w:szCs w:val="20"/>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2FD5F57C" w14:textId="77777777" w:rsidR="00E34FFA" w:rsidRPr="00620790" w:rsidRDefault="00E34FFA" w:rsidP="00E34FFA">
            <w:pPr>
              <w:pStyle w:val="Naslov1"/>
              <w:keepNext w:val="0"/>
              <w:widowControl w:val="0"/>
              <w:tabs>
                <w:tab w:val="left" w:pos="360"/>
              </w:tabs>
              <w:spacing w:before="0"/>
              <w:rPr>
                <w:rFonts w:cs="Arial"/>
                <w:b w:val="0"/>
                <w:bCs w:val="0"/>
                <w:szCs w:val="20"/>
              </w:rPr>
            </w:pP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3E376E2A" w14:textId="77777777" w:rsidR="00E34FFA" w:rsidRPr="00620790" w:rsidRDefault="00E34FFA" w:rsidP="00E34FFA">
            <w:pPr>
              <w:pStyle w:val="Naslov1"/>
              <w:keepNext w:val="0"/>
              <w:widowControl w:val="0"/>
              <w:tabs>
                <w:tab w:val="left" w:pos="360"/>
              </w:tabs>
              <w:spacing w:before="0"/>
              <w:rPr>
                <w:rFonts w:cs="Arial"/>
                <w:b w:val="0"/>
                <w:bCs w:val="0"/>
                <w:szCs w:val="20"/>
              </w:rPr>
            </w:pPr>
          </w:p>
        </w:tc>
      </w:tr>
      <w:tr w:rsidR="00C90449" w:rsidRPr="00620790" w14:paraId="37800F3E" w14:textId="77777777" w:rsidTr="0032093C">
        <w:trPr>
          <w:cantSplit/>
          <w:trHeight w:val="95"/>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DFF799F" w14:textId="77777777" w:rsidR="00E34FFA" w:rsidRPr="00620790" w:rsidRDefault="00E34FFA" w:rsidP="00E34FFA">
            <w:pPr>
              <w:pStyle w:val="Naslov1"/>
              <w:keepNext w:val="0"/>
              <w:widowControl w:val="0"/>
              <w:tabs>
                <w:tab w:val="left" w:pos="360"/>
              </w:tabs>
              <w:spacing w:before="0"/>
              <w:rPr>
                <w:rFonts w:cs="Arial"/>
                <w:szCs w:val="20"/>
              </w:rPr>
            </w:pPr>
            <w:r w:rsidRPr="00620790">
              <w:rPr>
                <w:rFonts w:cs="Arial"/>
                <w:szCs w:val="20"/>
              </w:rPr>
              <w:t>SKUPAJ</w:t>
            </w: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6CE98E84" w14:textId="77777777" w:rsidR="00E34FFA" w:rsidRPr="00620790" w:rsidRDefault="00E34FFA" w:rsidP="00E34FFA">
            <w:pPr>
              <w:pStyle w:val="Naslov1"/>
              <w:keepNext w:val="0"/>
              <w:widowControl w:val="0"/>
              <w:tabs>
                <w:tab w:val="left" w:pos="360"/>
              </w:tabs>
              <w:spacing w:before="0"/>
              <w:rPr>
                <w:rFonts w:cs="Arial"/>
                <w:szCs w:val="20"/>
              </w:rPr>
            </w:pPr>
          </w:p>
        </w:tc>
        <w:tc>
          <w:tcPr>
            <w:tcW w:w="3951" w:type="dxa"/>
            <w:gridSpan w:val="3"/>
            <w:tcBorders>
              <w:top w:val="single" w:sz="4" w:space="0" w:color="auto"/>
              <w:left w:val="single" w:sz="4" w:space="0" w:color="auto"/>
              <w:bottom w:val="single" w:sz="4" w:space="0" w:color="auto"/>
              <w:right w:val="single" w:sz="4" w:space="0" w:color="auto"/>
            </w:tcBorders>
            <w:vAlign w:val="center"/>
          </w:tcPr>
          <w:p w14:paraId="570D6247" w14:textId="77777777" w:rsidR="00E34FFA" w:rsidRPr="00620790" w:rsidRDefault="00E34FFA" w:rsidP="00E34FFA">
            <w:pPr>
              <w:pStyle w:val="Naslov1"/>
              <w:keepNext w:val="0"/>
              <w:widowControl w:val="0"/>
              <w:tabs>
                <w:tab w:val="left" w:pos="360"/>
              </w:tabs>
              <w:spacing w:before="0"/>
              <w:rPr>
                <w:rFonts w:cs="Arial"/>
                <w:szCs w:val="20"/>
              </w:rPr>
            </w:pPr>
          </w:p>
        </w:tc>
      </w:tr>
      <w:tr w:rsidR="00E34FFA" w:rsidRPr="00620790" w14:paraId="489B901D"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616" w:type="dxa"/>
            <w:gridSpan w:val="8"/>
          </w:tcPr>
          <w:p w14:paraId="46D58202" w14:textId="77777777" w:rsidR="00E34FFA" w:rsidRPr="00620790" w:rsidRDefault="00E34FFA" w:rsidP="00E34FFA">
            <w:pPr>
              <w:widowControl w:val="0"/>
              <w:spacing w:line="260" w:lineRule="exact"/>
              <w:rPr>
                <w:rFonts w:cs="Arial"/>
                <w:b/>
                <w:szCs w:val="20"/>
              </w:rPr>
            </w:pPr>
          </w:p>
          <w:p w14:paraId="07E96152" w14:textId="77777777" w:rsidR="00E34FFA" w:rsidRPr="00620790" w:rsidRDefault="00E34FFA" w:rsidP="00E34FFA">
            <w:pPr>
              <w:widowControl w:val="0"/>
              <w:spacing w:line="260" w:lineRule="exact"/>
              <w:rPr>
                <w:rFonts w:cs="Arial"/>
                <w:b/>
                <w:szCs w:val="20"/>
              </w:rPr>
            </w:pPr>
            <w:r w:rsidRPr="00620790">
              <w:rPr>
                <w:rFonts w:cs="Arial"/>
                <w:b/>
                <w:szCs w:val="20"/>
              </w:rPr>
              <w:t>OBRAZLOŽITEV:</w:t>
            </w:r>
          </w:p>
          <w:p w14:paraId="1F472B0F" w14:textId="77777777" w:rsidR="00E34FFA" w:rsidRPr="00620790" w:rsidRDefault="00E34FFA" w:rsidP="00E34FFA">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Ocena finančnih posledic, ki niso načrtovane v sprejetem proračunu</w:t>
            </w:r>
          </w:p>
          <w:p w14:paraId="084B8EA2" w14:textId="77777777" w:rsidR="00E34FFA" w:rsidRPr="00620790" w:rsidRDefault="00E34FFA" w:rsidP="00E34FFA">
            <w:pPr>
              <w:widowControl w:val="0"/>
              <w:spacing w:line="260" w:lineRule="exact"/>
              <w:ind w:left="360" w:hanging="76"/>
              <w:rPr>
                <w:rFonts w:cs="Arial"/>
                <w:szCs w:val="20"/>
                <w:lang w:eastAsia="sl-SI"/>
              </w:rPr>
            </w:pPr>
            <w:r w:rsidRPr="00620790">
              <w:rPr>
                <w:rFonts w:cs="Arial"/>
                <w:szCs w:val="20"/>
                <w:lang w:eastAsia="sl-SI"/>
              </w:rPr>
              <w:t>V zvezi s predlaganim vladnim gradivom se navedejo predvidene spremembe (povečanje, zmanjšanje):</w:t>
            </w:r>
          </w:p>
          <w:p w14:paraId="55AB8875"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prihodkov državnega proračuna in občinskih proračunov,</w:t>
            </w:r>
          </w:p>
          <w:p w14:paraId="309EE5C5"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odhodkov državnega proračuna, ki niso načrtovani na ukrepih oziroma projektih sprejetih proračunov,</w:t>
            </w:r>
          </w:p>
          <w:p w14:paraId="5AE1744E" w14:textId="77777777" w:rsidR="00E34FFA" w:rsidRPr="00620790" w:rsidRDefault="00E34FFA" w:rsidP="00E34FFA">
            <w:pPr>
              <w:widowControl w:val="0"/>
              <w:numPr>
                <w:ilvl w:val="0"/>
                <w:numId w:val="4"/>
              </w:numPr>
              <w:suppressAutoHyphens/>
              <w:spacing w:after="0" w:line="260" w:lineRule="exact"/>
              <w:rPr>
                <w:rFonts w:cs="Arial"/>
                <w:szCs w:val="20"/>
              </w:rPr>
            </w:pPr>
            <w:r w:rsidRPr="00620790">
              <w:rPr>
                <w:rFonts w:cs="Arial"/>
                <w:szCs w:val="20"/>
                <w:lang w:eastAsia="sl-SI"/>
              </w:rPr>
              <w:t>obveznosti za druga javnofinančna sredstva (drugi viri), ki niso načrtovana na ukrepih oziroma projektih sprejetih proračunov.</w:t>
            </w:r>
          </w:p>
          <w:p w14:paraId="1637C7F4" w14:textId="77777777" w:rsidR="00E34FFA" w:rsidRPr="00620790" w:rsidRDefault="00E34FFA" w:rsidP="00E34FFA">
            <w:pPr>
              <w:widowControl w:val="0"/>
              <w:spacing w:line="260" w:lineRule="exact"/>
              <w:rPr>
                <w:rFonts w:cs="Arial"/>
                <w:szCs w:val="20"/>
                <w:lang w:eastAsia="sl-SI"/>
              </w:rPr>
            </w:pPr>
          </w:p>
          <w:p w14:paraId="74FE9987" w14:textId="77777777" w:rsidR="00E34FFA" w:rsidRPr="00620790" w:rsidRDefault="00E34FFA" w:rsidP="00E34FFA">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Finančne posledice za državni proračun</w:t>
            </w:r>
          </w:p>
          <w:p w14:paraId="6654D198"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Prikazane morajo biti finančne posledice za državni proračun, ki so na proračunskih postavkah načrtovane v dinamiki projektov oziroma ukrepov:</w:t>
            </w:r>
          </w:p>
          <w:p w14:paraId="5EF9904E" w14:textId="77777777" w:rsidR="00E34FFA" w:rsidRPr="00620790" w:rsidRDefault="00E34FFA" w:rsidP="00E34FFA">
            <w:pPr>
              <w:widowControl w:val="0"/>
              <w:spacing w:line="260" w:lineRule="exact"/>
              <w:ind w:left="720"/>
              <w:rPr>
                <w:rFonts w:cs="Arial"/>
                <w:b/>
                <w:szCs w:val="20"/>
                <w:lang w:eastAsia="sl-SI"/>
              </w:rPr>
            </w:pPr>
            <w:r w:rsidRPr="00620790">
              <w:rPr>
                <w:rFonts w:cs="Arial"/>
                <w:b/>
                <w:szCs w:val="20"/>
                <w:lang w:eastAsia="sl-SI"/>
              </w:rPr>
              <w:t>II.a Pravice porabe za izvedbo predlaganih rešitev so zagotovljene:</w:t>
            </w:r>
          </w:p>
          <w:p w14:paraId="2721E33E"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A17925F"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proračunski uporabnik, ki bo financiral novi projekt oziroma ukrep,</w:t>
            </w:r>
          </w:p>
          <w:p w14:paraId="55571FFA"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 xml:space="preserve">projekt oziroma ukrep, s katerim se bodo dosegli cilji vladnega gradiva, in </w:t>
            </w:r>
          </w:p>
          <w:p w14:paraId="0A728F04" w14:textId="77777777" w:rsidR="00E34FFA" w:rsidRPr="00620790" w:rsidRDefault="00E34FFA" w:rsidP="00E34FFA">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proračunske postavke.</w:t>
            </w:r>
          </w:p>
          <w:p w14:paraId="67E55415"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3D79C58" w14:textId="77777777" w:rsidR="00E34FFA" w:rsidRPr="00620790" w:rsidRDefault="00E34FFA" w:rsidP="00E34FFA">
            <w:pPr>
              <w:widowControl w:val="0"/>
              <w:spacing w:line="260" w:lineRule="exact"/>
              <w:ind w:left="714"/>
              <w:rPr>
                <w:rFonts w:cs="Arial"/>
                <w:b/>
                <w:szCs w:val="20"/>
                <w:lang w:eastAsia="sl-SI"/>
              </w:rPr>
            </w:pPr>
            <w:r w:rsidRPr="00620790">
              <w:rPr>
                <w:rFonts w:cs="Arial"/>
                <w:b/>
                <w:szCs w:val="20"/>
                <w:lang w:eastAsia="sl-SI"/>
              </w:rPr>
              <w:t>II.b Manjkajoče pravice porabe bodo zagotovljene s prerazporeditvijo:</w:t>
            </w:r>
          </w:p>
          <w:p w14:paraId="6195B954" w14:textId="77777777" w:rsidR="00E34FFA" w:rsidRPr="00620790" w:rsidRDefault="00E34FFA" w:rsidP="00E34FFA">
            <w:pPr>
              <w:widowControl w:val="0"/>
              <w:spacing w:line="260" w:lineRule="exact"/>
              <w:rPr>
                <w:rFonts w:cs="Arial"/>
                <w:szCs w:val="20"/>
                <w:lang w:eastAsia="sl-SI"/>
              </w:rPr>
            </w:pPr>
            <w:r w:rsidRPr="00620790">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7F3B1CB" w14:textId="77777777" w:rsidR="00E34FFA" w:rsidRPr="00620790" w:rsidRDefault="00E34FFA" w:rsidP="00E34FFA">
            <w:pPr>
              <w:widowControl w:val="0"/>
              <w:spacing w:line="260" w:lineRule="exact"/>
              <w:ind w:left="714"/>
              <w:rPr>
                <w:rFonts w:cs="Arial"/>
                <w:b/>
                <w:szCs w:val="20"/>
                <w:lang w:eastAsia="sl-SI"/>
              </w:rPr>
            </w:pPr>
            <w:r w:rsidRPr="00620790">
              <w:rPr>
                <w:rFonts w:cs="Arial"/>
                <w:b/>
                <w:szCs w:val="20"/>
                <w:lang w:eastAsia="sl-SI"/>
              </w:rPr>
              <w:t>II.c Načrtovana nadomestitev zmanjšanih prihodkov in povečanih odhodkov proračuna:</w:t>
            </w:r>
          </w:p>
          <w:p w14:paraId="5CC33A2C" w14:textId="2133C290" w:rsidR="00E34FFA" w:rsidRPr="00410DD7" w:rsidRDefault="00E34FFA" w:rsidP="00410DD7">
            <w:pPr>
              <w:widowControl w:val="0"/>
              <w:spacing w:line="260" w:lineRule="exact"/>
              <w:rPr>
                <w:rFonts w:cs="Arial"/>
                <w:szCs w:val="20"/>
                <w:lang w:eastAsia="sl-SI"/>
              </w:rPr>
            </w:pPr>
            <w:r w:rsidRPr="00620790">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E34FFA" w:rsidRPr="00620790" w14:paraId="643ECB7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Pr>
          <w:p w14:paraId="12F4721E" w14:textId="77777777" w:rsidR="00E34FFA" w:rsidRPr="00620790" w:rsidRDefault="00E34FFA" w:rsidP="00E34FFA">
            <w:pPr>
              <w:pStyle w:val="Oddelek"/>
              <w:widowControl w:val="0"/>
              <w:numPr>
                <w:ilvl w:val="0"/>
                <w:numId w:val="0"/>
              </w:numPr>
              <w:spacing w:before="0" w:after="0" w:line="260" w:lineRule="exact"/>
              <w:jc w:val="left"/>
              <w:rPr>
                <w:szCs w:val="20"/>
              </w:rPr>
            </w:pPr>
            <w:r w:rsidRPr="00620790">
              <w:rPr>
                <w:szCs w:val="20"/>
              </w:rPr>
              <w:lastRenderedPageBreak/>
              <w:t>7.b Predstavitev ocene finančnih posledic pod 40.000 EUR:</w:t>
            </w:r>
          </w:p>
          <w:p w14:paraId="46CAAA9C" w14:textId="77777777" w:rsidR="00E34FFA" w:rsidRPr="00620790" w:rsidRDefault="00E34FFA" w:rsidP="00E34FFA">
            <w:pPr>
              <w:pStyle w:val="Oddelek"/>
              <w:widowControl w:val="0"/>
              <w:numPr>
                <w:ilvl w:val="0"/>
                <w:numId w:val="0"/>
              </w:numPr>
              <w:spacing w:before="0" w:after="0" w:line="260" w:lineRule="exact"/>
              <w:jc w:val="left"/>
              <w:rPr>
                <w:b w:val="0"/>
                <w:szCs w:val="20"/>
              </w:rPr>
            </w:pPr>
            <w:r w:rsidRPr="00620790">
              <w:rPr>
                <w:b w:val="0"/>
                <w:szCs w:val="20"/>
              </w:rPr>
              <w:t>(Samo če izberete NE pod točko 6.a.)</w:t>
            </w:r>
          </w:p>
          <w:p w14:paraId="680007F9" w14:textId="77777777" w:rsidR="00E34FFA" w:rsidRPr="00620790" w:rsidRDefault="00E34FFA" w:rsidP="00E34FFA">
            <w:pPr>
              <w:pStyle w:val="Oddelek"/>
              <w:widowControl w:val="0"/>
              <w:numPr>
                <w:ilvl w:val="0"/>
                <w:numId w:val="0"/>
              </w:numPr>
              <w:spacing w:before="0" w:after="0" w:line="260" w:lineRule="exact"/>
              <w:jc w:val="left"/>
              <w:rPr>
                <w:b w:val="0"/>
                <w:szCs w:val="20"/>
              </w:rPr>
            </w:pPr>
            <w:r w:rsidRPr="00620790">
              <w:rPr>
                <w:b w:val="0"/>
                <w:szCs w:val="20"/>
              </w:rPr>
              <w:t>Kratka obrazložitev</w:t>
            </w:r>
          </w:p>
        </w:tc>
      </w:tr>
      <w:tr w:rsidR="00E34FFA" w:rsidRPr="00620790" w14:paraId="1808712F"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16" w:type="dxa"/>
            <w:gridSpan w:val="8"/>
            <w:tcBorders>
              <w:top w:val="single" w:sz="4" w:space="0" w:color="000000"/>
              <w:left w:val="single" w:sz="4" w:space="0" w:color="000000"/>
              <w:bottom w:val="single" w:sz="4" w:space="0" w:color="000000"/>
              <w:right w:val="single" w:sz="4" w:space="0" w:color="000000"/>
            </w:tcBorders>
          </w:tcPr>
          <w:p w14:paraId="5810D000"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8. Predstavitev sodelovanja z združenji občin:</w:t>
            </w:r>
          </w:p>
        </w:tc>
      </w:tr>
      <w:tr w:rsidR="00E34FFA" w:rsidRPr="00620790" w14:paraId="7013B14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tcPr>
          <w:p w14:paraId="16EAE21B" w14:textId="77777777" w:rsidR="00E34FFA" w:rsidRPr="00620790" w:rsidRDefault="00E34FFA" w:rsidP="00E34FFA">
            <w:pPr>
              <w:pStyle w:val="Neotevilenodstavek"/>
              <w:widowControl w:val="0"/>
              <w:spacing w:before="0" w:after="0" w:line="260" w:lineRule="exact"/>
              <w:rPr>
                <w:iCs/>
                <w:szCs w:val="20"/>
              </w:rPr>
            </w:pPr>
            <w:r w:rsidRPr="00620790">
              <w:rPr>
                <w:iCs/>
                <w:szCs w:val="20"/>
              </w:rPr>
              <w:t>Vsebina predloženega gradiva (predpisa) vpliva na:</w:t>
            </w:r>
          </w:p>
          <w:p w14:paraId="4BF0EAF8"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pristojnosti občin,</w:t>
            </w:r>
          </w:p>
          <w:p w14:paraId="7472F8AB"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delovanje občin,</w:t>
            </w:r>
          </w:p>
          <w:p w14:paraId="79BAAA62" w14:textId="77777777" w:rsidR="00E34FFA" w:rsidRPr="00620790" w:rsidRDefault="00E34FFA" w:rsidP="00E34FFA">
            <w:pPr>
              <w:pStyle w:val="Neotevilenodstavek"/>
              <w:widowControl w:val="0"/>
              <w:numPr>
                <w:ilvl w:val="1"/>
                <w:numId w:val="4"/>
              </w:numPr>
              <w:spacing w:before="0" w:after="0" w:line="260" w:lineRule="exact"/>
              <w:rPr>
                <w:iCs/>
                <w:szCs w:val="20"/>
              </w:rPr>
            </w:pPr>
            <w:r w:rsidRPr="00620790">
              <w:rPr>
                <w:iCs/>
                <w:szCs w:val="20"/>
              </w:rPr>
              <w:t>financiranje občin.</w:t>
            </w:r>
          </w:p>
          <w:p w14:paraId="092771F5" w14:textId="77777777" w:rsidR="00E34FFA" w:rsidRPr="00620790" w:rsidRDefault="00E34FFA" w:rsidP="00E34FFA">
            <w:pPr>
              <w:pStyle w:val="Neotevilenodstavek"/>
              <w:widowControl w:val="0"/>
              <w:spacing w:before="0" w:after="0" w:line="260" w:lineRule="exact"/>
              <w:ind w:left="1440"/>
              <w:rPr>
                <w:iCs/>
                <w:szCs w:val="20"/>
              </w:rPr>
            </w:pPr>
          </w:p>
        </w:tc>
        <w:tc>
          <w:tcPr>
            <w:tcW w:w="3274" w:type="dxa"/>
            <w:gridSpan w:val="2"/>
          </w:tcPr>
          <w:p w14:paraId="494B7D53" w14:textId="3D70CAF7" w:rsidR="00E34FFA" w:rsidRPr="00620790" w:rsidRDefault="0001492A" w:rsidP="00E34FFA">
            <w:pPr>
              <w:pStyle w:val="Neotevilenodstavek"/>
              <w:widowControl w:val="0"/>
              <w:spacing w:before="0" w:after="0" w:line="260" w:lineRule="exact"/>
              <w:jc w:val="center"/>
              <w:rPr>
                <w:szCs w:val="20"/>
              </w:rPr>
            </w:pPr>
            <w:r>
              <w:rPr>
                <w:szCs w:val="20"/>
              </w:rPr>
              <w:t>NE</w:t>
            </w:r>
          </w:p>
        </w:tc>
      </w:tr>
      <w:tr w:rsidR="00E34FFA" w:rsidRPr="00620790" w14:paraId="5E6FD43B"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16" w:type="dxa"/>
            <w:gridSpan w:val="8"/>
          </w:tcPr>
          <w:p w14:paraId="3E846EEC" w14:textId="4CF77CCD" w:rsidR="00E34FFA" w:rsidRPr="00620790" w:rsidRDefault="00E34FFA" w:rsidP="00E34FFA">
            <w:pPr>
              <w:pStyle w:val="Neotevilenodstavek"/>
              <w:widowControl w:val="0"/>
              <w:spacing w:before="0" w:after="0" w:line="260" w:lineRule="exact"/>
              <w:rPr>
                <w:iCs/>
                <w:szCs w:val="20"/>
              </w:rPr>
            </w:pPr>
            <w:r w:rsidRPr="00620790">
              <w:rPr>
                <w:iCs/>
                <w:szCs w:val="20"/>
              </w:rPr>
              <w:t xml:space="preserve">Gradivo (predpis) je bilo poslano v mnenje: </w:t>
            </w:r>
          </w:p>
          <w:p w14:paraId="79A018E4" w14:textId="7D86C8E2" w:rsidR="00E34FFA" w:rsidRPr="00620790" w:rsidRDefault="00E34FFA" w:rsidP="00E34FFA">
            <w:pPr>
              <w:pStyle w:val="Neotevilenodstavek"/>
              <w:widowControl w:val="0"/>
              <w:numPr>
                <w:ilvl w:val="0"/>
                <w:numId w:val="6"/>
              </w:numPr>
              <w:spacing w:before="0" w:after="0" w:line="260" w:lineRule="exact"/>
              <w:rPr>
                <w:iCs/>
                <w:szCs w:val="20"/>
              </w:rPr>
            </w:pPr>
            <w:r w:rsidRPr="00620790">
              <w:rPr>
                <w:iCs/>
                <w:szCs w:val="20"/>
              </w:rPr>
              <w:t xml:space="preserve">Skupnosti občin Slovenije SOS: </w:t>
            </w:r>
            <w:r w:rsidR="0001492A">
              <w:rPr>
                <w:iCs/>
                <w:szCs w:val="20"/>
              </w:rPr>
              <w:t>NE</w:t>
            </w:r>
          </w:p>
          <w:p w14:paraId="0DE7D5C6" w14:textId="4648EDFB" w:rsidR="00E34FFA" w:rsidRPr="00620790" w:rsidRDefault="00E34FFA" w:rsidP="00E34FFA">
            <w:pPr>
              <w:pStyle w:val="Neotevilenodstavek"/>
              <w:widowControl w:val="0"/>
              <w:numPr>
                <w:ilvl w:val="0"/>
                <w:numId w:val="6"/>
              </w:numPr>
              <w:spacing w:before="0" w:after="0" w:line="260" w:lineRule="exact"/>
              <w:rPr>
                <w:iCs/>
                <w:szCs w:val="20"/>
              </w:rPr>
            </w:pPr>
            <w:r w:rsidRPr="00620790">
              <w:rPr>
                <w:iCs/>
                <w:szCs w:val="20"/>
              </w:rPr>
              <w:t xml:space="preserve">Združenju občin Slovenije ZOS: </w:t>
            </w:r>
            <w:r w:rsidR="0001492A">
              <w:rPr>
                <w:iCs/>
                <w:szCs w:val="20"/>
              </w:rPr>
              <w:t>NE</w:t>
            </w:r>
          </w:p>
          <w:p w14:paraId="6171104E" w14:textId="279AF586" w:rsidR="00E34FFA" w:rsidRPr="00620790" w:rsidRDefault="00E34FFA" w:rsidP="00E34FFA">
            <w:pPr>
              <w:pStyle w:val="Neotevilenodstavek"/>
              <w:widowControl w:val="0"/>
              <w:numPr>
                <w:ilvl w:val="0"/>
                <w:numId w:val="6"/>
              </w:numPr>
              <w:spacing w:before="0" w:after="0" w:line="260" w:lineRule="exact"/>
              <w:rPr>
                <w:b/>
                <w:iCs/>
                <w:szCs w:val="20"/>
              </w:rPr>
            </w:pPr>
            <w:r w:rsidRPr="00620790">
              <w:rPr>
                <w:iCs/>
                <w:szCs w:val="20"/>
              </w:rPr>
              <w:t xml:space="preserve">Združenju mestnih občin Slovenije ZMOS: </w:t>
            </w:r>
            <w:r w:rsidR="0001492A">
              <w:rPr>
                <w:iCs/>
                <w:szCs w:val="20"/>
              </w:rPr>
              <w:t>NE</w:t>
            </w:r>
          </w:p>
          <w:p w14:paraId="5EC38591" w14:textId="10ABBDAE" w:rsidR="00D745A0" w:rsidRPr="00620790" w:rsidRDefault="00D745A0" w:rsidP="00D745A0">
            <w:pPr>
              <w:pStyle w:val="Neotevilenodstavek"/>
              <w:widowControl w:val="0"/>
              <w:spacing w:before="0" w:after="0" w:line="260" w:lineRule="exact"/>
              <w:rPr>
                <w:iCs/>
                <w:szCs w:val="20"/>
              </w:rPr>
            </w:pPr>
          </w:p>
          <w:p w14:paraId="5F37100E" w14:textId="7EC9F090" w:rsidR="00250991" w:rsidRPr="00620790" w:rsidRDefault="00250991" w:rsidP="00A871F0">
            <w:pPr>
              <w:widowControl w:val="0"/>
              <w:overflowPunct w:val="0"/>
              <w:autoSpaceDE w:val="0"/>
              <w:autoSpaceDN w:val="0"/>
              <w:adjustRightInd w:val="0"/>
              <w:spacing w:after="0" w:line="260" w:lineRule="exact"/>
              <w:textAlignment w:val="baseline"/>
              <w:rPr>
                <w:rFonts w:cs="Arial"/>
                <w:iCs/>
                <w:szCs w:val="20"/>
              </w:rPr>
            </w:pPr>
          </w:p>
        </w:tc>
      </w:tr>
      <w:tr w:rsidR="00E34FFA" w:rsidRPr="00620790" w14:paraId="0FDA1EB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Pr>
          <w:p w14:paraId="032DD1E6"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9. Predstavitev sodelovanja javnosti:</w:t>
            </w:r>
          </w:p>
        </w:tc>
      </w:tr>
      <w:tr w:rsidR="00E34FFA" w:rsidRPr="00620790" w14:paraId="5FC84E1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tcPr>
          <w:p w14:paraId="3DD89112" w14:textId="77777777" w:rsidR="00E34FFA" w:rsidRPr="00620790" w:rsidRDefault="00E34FFA" w:rsidP="00E34FFA">
            <w:pPr>
              <w:pStyle w:val="Neotevilenodstavek"/>
              <w:widowControl w:val="0"/>
              <w:spacing w:before="0" w:after="0" w:line="260" w:lineRule="exact"/>
              <w:rPr>
                <w:szCs w:val="20"/>
              </w:rPr>
            </w:pPr>
            <w:r w:rsidRPr="00620790">
              <w:rPr>
                <w:iCs/>
                <w:szCs w:val="20"/>
              </w:rPr>
              <w:t>Gradivo je bilo predhodno objavljeno na spletni strani predlagatelja:</w:t>
            </w:r>
          </w:p>
        </w:tc>
        <w:tc>
          <w:tcPr>
            <w:tcW w:w="3274" w:type="dxa"/>
            <w:gridSpan w:val="2"/>
          </w:tcPr>
          <w:p w14:paraId="38423A6E" w14:textId="41163358" w:rsidR="00E34FFA" w:rsidRPr="00620790" w:rsidRDefault="00E34FFA" w:rsidP="00E34FFA">
            <w:pPr>
              <w:pStyle w:val="Neotevilenodstavek"/>
              <w:widowControl w:val="0"/>
              <w:spacing w:before="0" w:after="0" w:line="260" w:lineRule="exact"/>
              <w:jc w:val="center"/>
              <w:rPr>
                <w:szCs w:val="20"/>
              </w:rPr>
            </w:pPr>
            <w:r w:rsidRPr="00620790">
              <w:rPr>
                <w:b/>
                <w:szCs w:val="20"/>
              </w:rPr>
              <w:t>DA</w:t>
            </w:r>
          </w:p>
        </w:tc>
      </w:tr>
      <w:tr w:rsidR="00E34FFA" w:rsidRPr="00620790" w14:paraId="316B8556"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16" w:type="dxa"/>
            <w:gridSpan w:val="8"/>
          </w:tcPr>
          <w:p w14:paraId="22690181" w14:textId="77777777" w:rsidR="00E34FFA" w:rsidRPr="00620790" w:rsidRDefault="00E34FFA" w:rsidP="00E34FFA">
            <w:pPr>
              <w:pStyle w:val="Neotevilenodstavek"/>
              <w:widowControl w:val="0"/>
              <w:spacing w:before="0" w:after="0" w:line="260" w:lineRule="exact"/>
              <w:rPr>
                <w:iCs/>
                <w:szCs w:val="20"/>
              </w:rPr>
            </w:pPr>
            <w:r w:rsidRPr="00620790">
              <w:rPr>
                <w:iCs/>
                <w:szCs w:val="20"/>
              </w:rPr>
              <w:t>(Če je odgovor NE, navedite, zakaj ni bilo objavljeno.)</w:t>
            </w:r>
          </w:p>
        </w:tc>
      </w:tr>
      <w:tr w:rsidR="00E34FFA" w:rsidRPr="00620790" w14:paraId="5CF8D217"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9616" w:type="dxa"/>
            <w:gridSpan w:val="8"/>
          </w:tcPr>
          <w:p w14:paraId="237E444C" w14:textId="7A99B457" w:rsidR="00E34FFA" w:rsidRPr="0070759D" w:rsidRDefault="00E34FFA" w:rsidP="00E34FFA">
            <w:pPr>
              <w:pStyle w:val="Neotevilenodstavek"/>
              <w:widowControl w:val="0"/>
              <w:spacing w:before="0" w:after="0" w:line="260" w:lineRule="exact"/>
              <w:rPr>
                <w:iCs/>
                <w:szCs w:val="20"/>
              </w:rPr>
            </w:pPr>
            <w:bookmarkStart w:id="2" w:name="_Hlk214949084"/>
            <w:r w:rsidRPr="0070759D">
              <w:rPr>
                <w:iCs/>
                <w:szCs w:val="20"/>
              </w:rPr>
              <w:t>Gradivo je bilo objavljeno na e-demokraciji.</w:t>
            </w:r>
          </w:p>
          <w:p w14:paraId="07761FB3" w14:textId="5CC80B25" w:rsidR="00E34FFA" w:rsidRPr="0070759D" w:rsidRDefault="00E34FFA" w:rsidP="00794FBF">
            <w:pPr>
              <w:rPr>
                <w:rFonts w:ascii="Calibri" w:hAnsi="Calibri"/>
              </w:rPr>
            </w:pPr>
            <w:r w:rsidRPr="0070759D">
              <w:rPr>
                <w:iCs/>
                <w:szCs w:val="20"/>
              </w:rPr>
              <w:t xml:space="preserve">Datum objave: </w:t>
            </w:r>
            <w:r w:rsidR="000355B1">
              <w:t>7</w:t>
            </w:r>
            <w:r w:rsidR="00794FBF" w:rsidRPr="0070759D">
              <w:t>. 1</w:t>
            </w:r>
            <w:r w:rsidR="0001492A">
              <w:t>1</w:t>
            </w:r>
            <w:r w:rsidR="00794FBF" w:rsidRPr="0070759D">
              <w:t xml:space="preserve">. 2025 do </w:t>
            </w:r>
            <w:r w:rsidR="0001492A">
              <w:t>2</w:t>
            </w:r>
            <w:r w:rsidR="000355B1">
              <w:t>2</w:t>
            </w:r>
            <w:r w:rsidR="00794FBF" w:rsidRPr="0070759D">
              <w:t>. 11. 2025</w:t>
            </w:r>
          </w:p>
          <w:p w14:paraId="2051B5F3" w14:textId="73403AB7" w:rsidR="00FF30B4" w:rsidRPr="0070759D" w:rsidRDefault="00FF30B4" w:rsidP="00E34FFA">
            <w:pPr>
              <w:pStyle w:val="Neotevilenodstavek"/>
              <w:widowControl w:val="0"/>
              <w:spacing w:before="0" w:after="0" w:line="260" w:lineRule="exact"/>
              <w:rPr>
                <w:iCs/>
                <w:szCs w:val="20"/>
              </w:rPr>
            </w:pPr>
          </w:p>
          <w:p w14:paraId="0199A8DE" w14:textId="77777777" w:rsidR="00D745A0" w:rsidRPr="0070759D" w:rsidRDefault="00D745A0" w:rsidP="00D745A0">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lastRenderedPageBreak/>
              <w:t xml:space="preserve">V razpravo so bili vključeni: </w:t>
            </w:r>
          </w:p>
          <w:p w14:paraId="58447D2B" w14:textId="77777777" w:rsidR="00D745A0" w:rsidRPr="0070759D" w:rsidRDefault="00D745A0" w:rsidP="00D745A0">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t>predstavniki zainteresirane javnosti,</w:t>
            </w:r>
          </w:p>
          <w:p w14:paraId="5682BB81" w14:textId="77777777" w:rsidR="00D745A0" w:rsidRPr="0070759D" w:rsidRDefault="00D745A0" w:rsidP="00D745A0">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70759D">
              <w:rPr>
                <w:rFonts w:eastAsia="Times New Roman" w:cs="Arial"/>
                <w:iCs/>
                <w:szCs w:val="20"/>
                <w:lang w:eastAsia="sl-SI"/>
              </w:rPr>
              <w:t>predstavniki strokovne javnosti.</w:t>
            </w:r>
          </w:p>
          <w:p w14:paraId="38641E55" w14:textId="77777777" w:rsidR="00D745A0" w:rsidRPr="0070759D" w:rsidRDefault="00D745A0" w:rsidP="00E34FFA">
            <w:pPr>
              <w:pStyle w:val="Neotevilenodstavek"/>
              <w:widowControl w:val="0"/>
              <w:spacing w:before="0" w:after="0" w:line="260" w:lineRule="exact"/>
              <w:rPr>
                <w:iCs/>
                <w:szCs w:val="20"/>
              </w:rPr>
            </w:pPr>
          </w:p>
          <w:p w14:paraId="1575F201" w14:textId="0F3DEB5B" w:rsidR="00C81738" w:rsidRPr="00C81738" w:rsidRDefault="00C81738" w:rsidP="00C81738">
            <w:pPr>
              <w:pStyle w:val="Neotevilenodstavek"/>
              <w:widowControl w:val="0"/>
              <w:spacing w:after="0" w:line="260" w:lineRule="exact"/>
              <w:rPr>
                <w:iCs/>
                <w:szCs w:val="20"/>
              </w:rPr>
            </w:pPr>
            <w:r w:rsidRPr="00C81738">
              <w:rPr>
                <w:iCs/>
                <w:szCs w:val="20"/>
              </w:rPr>
              <w:t>V okviru javne obravnave smo prejeli pripombe različnih deležnikov. To so: SIST, Calcit, Valji, Hidria, SIJ Acroni, Resalta, Gospodarska zbornica Slovenije, Papirnica Vevče, Borzen, AquafilSLO, HSE, GEN-energija, Talum</w:t>
            </w:r>
            <w:r w:rsidR="000C16A3">
              <w:rPr>
                <w:iCs/>
                <w:szCs w:val="20"/>
              </w:rPr>
              <w:t>, SIJ Metal Ravne.</w:t>
            </w:r>
          </w:p>
          <w:p w14:paraId="68D1D8F7" w14:textId="557AB083" w:rsidR="00C81738" w:rsidRPr="00C81738" w:rsidRDefault="00C81738" w:rsidP="00C81738">
            <w:pPr>
              <w:pStyle w:val="Neotevilenodstavek"/>
              <w:widowControl w:val="0"/>
              <w:spacing w:after="0" w:line="260" w:lineRule="exact"/>
              <w:rPr>
                <w:iCs/>
                <w:szCs w:val="20"/>
              </w:rPr>
            </w:pPr>
            <w:r w:rsidRPr="00C81738">
              <w:rPr>
                <w:iCs/>
                <w:szCs w:val="20"/>
              </w:rPr>
              <w:t>Ministrstvo, pristojno za energijo</w:t>
            </w:r>
            <w:r w:rsidR="000355B1">
              <w:rPr>
                <w:iCs/>
                <w:szCs w:val="20"/>
              </w:rPr>
              <w:t>,</w:t>
            </w:r>
            <w:r w:rsidRPr="00C81738">
              <w:rPr>
                <w:iCs/>
                <w:szCs w:val="20"/>
              </w:rPr>
              <w:t xml:space="preserve"> je pregledalo in obravnavalo vse prejete pripombe in jih v največji možni meri upoštevalo, v kolikor so bile strokovno utemeljene ter niso bile v nasprotju s pravnim redom Republike Slovenije in EU ter sistemskimi rešitvami predloga zakona. </w:t>
            </w:r>
            <w:r>
              <w:rPr>
                <w:iCs/>
                <w:szCs w:val="20"/>
              </w:rPr>
              <w:t>P</w:t>
            </w:r>
            <w:r w:rsidRPr="00C81738">
              <w:rPr>
                <w:iCs/>
                <w:szCs w:val="20"/>
              </w:rPr>
              <w:t>ripomb</w:t>
            </w:r>
            <w:r>
              <w:rPr>
                <w:iCs/>
                <w:szCs w:val="20"/>
              </w:rPr>
              <w:t>e</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557D7C4E" w14:textId="77777777" w:rsidR="00C81738" w:rsidRPr="00C81738" w:rsidRDefault="00C81738" w:rsidP="00C81738">
            <w:pPr>
              <w:pStyle w:val="Neotevilenodstavek"/>
              <w:widowControl w:val="0"/>
              <w:spacing w:after="0" w:line="260" w:lineRule="exact"/>
              <w:rPr>
                <w:iCs/>
                <w:szCs w:val="20"/>
              </w:rPr>
            </w:pPr>
          </w:p>
          <w:p w14:paraId="4A16B0D9" w14:textId="0CEB1442" w:rsidR="00C81738" w:rsidRPr="00C81738" w:rsidRDefault="00C81738" w:rsidP="00C81738">
            <w:pPr>
              <w:pStyle w:val="Neotevilenodstavek"/>
              <w:widowControl w:val="0"/>
              <w:spacing w:after="0" w:line="260" w:lineRule="exact"/>
              <w:rPr>
                <w:iCs/>
                <w:szCs w:val="20"/>
              </w:rPr>
            </w:pPr>
            <w:r w:rsidRPr="00C81738">
              <w:rPr>
                <w:iCs/>
                <w:szCs w:val="20"/>
              </w:rPr>
              <w:t xml:space="preserve">Pripombe se nanašajo predvsem na: </w:t>
            </w:r>
          </w:p>
          <w:p w14:paraId="638B5FFA" w14:textId="77777777" w:rsidR="00C81738" w:rsidRPr="00C81738" w:rsidRDefault="00C81738" w:rsidP="00C81738">
            <w:pPr>
              <w:pStyle w:val="Neotevilenodstavek"/>
              <w:widowControl w:val="0"/>
              <w:spacing w:after="0" w:line="260" w:lineRule="exact"/>
              <w:rPr>
                <w:iCs/>
                <w:szCs w:val="20"/>
              </w:rPr>
            </w:pPr>
            <w:r w:rsidRPr="00C81738">
              <w:rPr>
                <w:iCs/>
                <w:szCs w:val="20"/>
              </w:rPr>
              <w:t>- višine praga letne porabe električne energije za upravičenost do pomoči,</w:t>
            </w:r>
          </w:p>
          <w:p w14:paraId="74EDF047" w14:textId="77777777" w:rsidR="00C81738" w:rsidRPr="00C81738" w:rsidRDefault="00C81738" w:rsidP="00C81738">
            <w:pPr>
              <w:pStyle w:val="Neotevilenodstavek"/>
              <w:widowControl w:val="0"/>
              <w:spacing w:after="0" w:line="260" w:lineRule="exact"/>
              <w:rPr>
                <w:iCs/>
                <w:szCs w:val="20"/>
              </w:rPr>
            </w:pPr>
            <w:r w:rsidRPr="00C81738">
              <w:rPr>
                <w:iCs/>
                <w:szCs w:val="20"/>
              </w:rPr>
              <w:t>- višino podpore oziroma pomoči,</w:t>
            </w:r>
          </w:p>
          <w:p w14:paraId="6727DAA9" w14:textId="77777777" w:rsidR="00C81738" w:rsidRPr="00C81738" w:rsidRDefault="00C81738" w:rsidP="00C81738">
            <w:pPr>
              <w:pStyle w:val="Neotevilenodstavek"/>
              <w:widowControl w:val="0"/>
              <w:spacing w:after="0" w:line="260" w:lineRule="exact"/>
              <w:rPr>
                <w:iCs/>
                <w:szCs w:val="20"/>
              </w:rPr>
            </w:pPr>
            <w:r w:rsidRPr="00C81738">
              <w:rPr>
                <w:iCs/>
                <w:szCs w:val="20"/>
              </w:rPr>
              <w:t>- načina kumulacije pomoči tega ukrepa z drugimi spodbudami za iste naložbe,</w:t>
            </w:r>
          </w:p>
          <w:p w14:paraId="7EFC83CC" w14:textId="77777777" w:rsidR="00C81738" w:rsidRPr="00C81738" w:rsidRDefault="00C81738" w:rsidP="00C81738">
            <w:pPr>
              <w:pStyle w:val="Neotevilenodstavek"/>
              <w:widowControl w:val="0"/>
              <w:spacing w:after="0" w:line="260" w:lineRule="exact"/>
              <w:rPr>
                <w:iCs/>
                <w:szCs w:val="20"/>
              </w:rPr>
            </w:pPr>
            <w:r w:rsidRPr="00C81738">
              <w:rPr>
                <w:iCs/>
                <w:szCs w:val="20"/>
              </w:rPr>
              <w:t>- sistem upravljanja z energijo in</w:t>
            </w:r>
          </w:p>
          <w:p w14:paraId="3859135C" w14:textId="77777777" w:rsidR="00C81738" w:rsidRPr="00C81738" w:rsidRDefault="00C81738" w:rsidP="00C81738">
            <w:pPr>
              <w:pStyle w:val="Neotevilenodstavek"/>
              <w:widowControl w:val="0"/>
              <w:spacing w:after="0" w:line="260" w:lineRule="exact"/>
              <w:rPr>
                <w:iCs/>
                <w:szCs w:val="20"/>
              </w:rPr>
            </w:pPr>
            <w:r w:rsidRPr="00C81738">
              <w:rPr>
                <w:iCs/>
                <w:szCs w:val="20"/>
              </w:rPr>
              <w:t>- načina izvajanja naložb preko pogodbenih modelov energetskih storitev (ESCO).</w:t>
            </w:r>
          </w:p>
          <w:p w14:paraId="4C4879C7" w14:textId="77777777" w:rsidR="00C81738" w:rsidRPr="00C81738" w:rsidRDefault="00C81738" w:rsidP="00C81738">
            <w:pPr>
              <w:pStyle w:val="Neotevilenodstavek"/>
              <w:widowControl w:val="0"/>
              <w:spacing w:after="0" w:line="260" w:lineRule="exact"/>
              <w:rPr>
                <w:iCs/>
                <w:szCs w:val="20"/>
              </w:rPr>
            </w:pPr>
          </w:p>
          <w:p w14:paraId="1B939644" w14:textId="205E2161" w:rsidR="00C81738" w:rsidRDefault="00C81738" w:rsidP="00C81738">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sidR="00E6348F">
              <w:rPr>
                <w:iCs/>
                <w:szCs w:val="20"/>
              </w:rPr>
              <w:t>s</w:t>
            </w:r>
            <w:r w:rsidRPr="00C81738">
              <w:rPr>
                <w:iCs/>
                <w:szCs w:val="20"/>
              </w:rPr>
              <w:t>o smiselno upošteva</w:t>
            </w:r>
            <w:r w:rsidR="00E6348F">
              <w:rPr>
                <w:iCs/>
                <w:szCs w:val="20"/>
              </w:rPr>
              <w:t>ne</w:t>
            </w:r>
            <w:r w:rsidRPr="00C81738">
              <w:rPr>
                <w:iCs/>
                <w:szCs w:val="20"/>
              </w:rPr>
              <w:t>.</w:t>
            </w:r>
          </w:p>
          <w:bookmarkEnd w:id="2"/>
          <w:p w14:paraId="7017D2A4" w14:textId="0F3EEE6E" w:rsidR="0029252C" w:rsidRPr="0070759D" w:rsidRDefault="0029252C" w:rsidP="00E6348F">
            <w:pPr>
              <w:pStyle w:val="Neotevilenodstavek"/>
              <w:widowControl w:val="0"/>
              <w:spacing w:after="0" w:line="260" w:lineRule="exact"/>
              <w:rPr>
                <w:iCs/>
                <w:szCs w:val="20"/>
              </w:rPr>
            </w:pPr>
          </w:p>
        </w:tc>
      </w:tr>
      <w:tr w:rsidR="00E34FFA" w:rsidRPr="00620790" w14:paraId="2BEB5AC4"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vAlign w:val="center"/>
          </w:tcPr>
          <w:p w14:paraId="50A0A794" w14:textId="77777777" w:rsidR="00E34FFA" w:rsidRPr="00620790" w:rsidRDefault="00E34FFA" w:rsidP="00E34FFA">
            <w:pPr>
              <w:pStyle w:val="Neotevilenodstavek"/>
              <w:widowControl w:val="0"/>
              <w:spacing w:before="0" w:after="0" w:line="260" w:lineRule="exact"/>
              <w:jc w:val="left"/>
              <w:rPr>
                <w:szCs w:val="20"/>
              </w:rPr>
            </w:pPr>
            <w:r w:rsidRPr="00620790">
              <w:rPr>
                <w:b/>
                <w:szCs w:val="20"/>
              </w:rPr>
              <w:lastRenderedPageBreak/>
              <w:t>10. Pri pripravi gradiva so bile upoštevane zahteve iz Resolucije o normativni dejavnosti:</w:t>
            </w:r>
          </w:p>
        </w:tc>
        <w:tc>
          <w:tcPr>
            <w:tcW w:w="3274" w:type="dxa"/>
            <w:gridSpan w:val="2"/>
            <w:vAlign w:val="center"/>
          </w:tcPr>
          <w:p w14:paraId="3E49AFD5" w14:textId="12B54CA5" w:rsidR="00E34FFA" w:rsidRPr="00620790" w:rsidRDefault="00E34FFA" w:rsidP="00E34FFA">
            <w:pPr>
              <w:pStyle w:val="Neotevilenodstavek"/>
              <w:widowControl w:val="0"/>
              <w:spacing w:before="0" w:after="0" w:line="260" w:lineRule="exact"/>
              <w:jc w:val="center"/>
              <w:rPr>
                <w:iCs/>
                <w:szCs w:val="20"/>
              </w:rPr>
            </w:pPr>
            <w:r w:rsidRPr="00620790">
              <w:rPr>
                <w:b/>
                <w:szCs w:val="20"/>
              </w:rPr>
              <w:t>DA</w:t>
            </w:r>
          </w:p>
        </w:tc>
      </w:tr>
      <w:tr w:rsidR="00E34FFA" w:rsidRPr="00620790" w14:paraId="54FC5BA9"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2" w:type="dxa"/>
            <w:gridSpan w:val="6"/>
            <w:vAlign w:val="center"/>
          </w:tcPr>
          <w:p w14:paraId="7F05E99D" w14:textId="77777777" w:rsidR="00E34FFA" w:rsidRPr="00620790" w:rsidRDefault="00E34FFA" w:rsidP="00E34FFA">
            <w:pPr>
              <w:pStyle w:val="Neotevilenodstavek"/>
              <w:widowControl w:val="0"/>
              <w:spacing w:before="0" w:after="0" w:line="260" w:lineRule="exact"/>
              <w:jc w:val="left"/>
              <w:rPr>
                <w:b/>
                <w:szCs w:val="20"/>
              </w:rPr>
            </w:pPr>
            <w:r w:rsidRPr="00620790">
              <w:rPr>
                <w:b/>
                <w:szCs w:val="20"/>
              </w:rPr>
              <w:t>11. Gradivo je uvrščeno v delovni program vlade:</w:t>
            </w:r>
          </w:p>
        </w:tc>
        <w:tc>
          <w:tcPr>
            <w:tcW w:w="3274" w:type="dxa"/>
            <w:gridSpan w:val="2"/>
            <w:vAlign w:val="center"/>
          </w:tcPr>
          <w:p w14:paraId="20E03921" w14:textId="352F18AD" w:rsidR="00E34FFA" w:rsidRPr="00620790" w:rsidRDefault="00467F12" w:rsidP="00E34FFA">
            <w:pPr>
              <w:pStyle w:val="Neotevilenodstavek"/>
              <w:widowControl w:val="0"/>
              <w:spacing w:before="0" w:after="0" w:line="260" w:lineRule="exact"/>
              <w:jc w:val="center"/>
              <w:rPr>
                <w:b/>
                <w:szCs w:val="20"/>
              </w:rPr>
            </w:pPr>
            <w:r>
              <w:rPr>
                <w:b/>
                <w:szCs w:val="20"/>
              </w:rPr>
              <w:t>NE</w:t>
            </w:r>
          </w:p>
        </w:tc>
      </w:tr>
      <w:tr w:rsidR="00E34FFA" w:rsidRPr="00620790" w14:paraId="273060A0" w14:textId="77777777" w:rsidTr="003209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16" w:type="dxa"/>
            <w:gridSpan w:val="8"/>
            <w:tcBorders>
              <w:top w:val="single" w:sz="4" w:space="0" w:color="000000"/>
              <w:left w:val="single" w:sz="4" w:space="0" w:color="000000"/>
              <w:bottom w:val="single" w:sz="4" w:space="0" w:color="000000"/>
              <w:right w:val="single" w:sz="4" w:space="0" w:color="000000"/>
            </w:tcBorders>
          </w:tcPr>
          <w:p w14:paraId="705556D5" w14:textId="77777777" w:rsidR="00E34FFA" w:rsidRPr="00620790" w:rsidRDefault="00E34FFA" w:rsidP="00E34FFA">
            <w:pPr>
              <w:pStyle w:val="Poglavje"/>
              <w:widowControl w:val="0"/>
              <w:spacing w:before="0" w:after="0" w:line="260" w:lineRule="exact"/>
              <w:ind w:left="3400"/>
              <w:jc w:val="left"/>
              <w:rPr>
                <w:szCs w:val="20"/>
              </w:rPr>
            </w:pPr>
          </w:p>
          <w:p w14:paraId="5DF47D1C" w14:textId="72AEE87D" w:rsidR="00E624B6" w:rsidRDefault="00856BA9" w:rsidP="00E624B6">
            <w:pPr>
              <w:pStyle w:val="Poglavje"/>
              <w:widowControl w:val="0"/>
              <w:spacing w:before="0" w:after="0" w:line="260" w:lineRule="exact"/>
              <w:ind w:left="5662" w:firstLine="284"/>
              <w:jc w:val="left"/>
              <w:rPr>
                <w:b w:val="0"/>
                <w:szCs w:val="20"/>
              </w:rPr>
            </w:pPr>
            <w:r w:rsidRPr="00620790">
              <w:rPr>
                <w:b w:val="0"/>
                <w:szCs w:val="20"/>
              </w:rPr>
              <w:t xml:space="preserve">mag. </w:t>
            </w:r>
            <w:r w:rsidR="006D490D">
              <w:rPr>
                <w:b w:val="0"/>
                <w:szCs w:val="20"/>
              </w:rPr>
              <w:t>Tina Seršen</w:t>
            </w:r>
          </w:p>
          <w:p w14:paraId="7EA1FB3D" w14:textId="5827E8BC" w:rsidR="00856BA9" w:rsidRPr="00620790" w:rsidRDefault="00467F12" w:rsidP="00467F12">
            <w:pPr>
              <w:pStyle w:val="Poglavje"/>
              <w:widowControl w:val="0"/>
              <w:spacing w:before="0" w:after="0" w:line="260" w:lineRule="exact"/>
              <w:ind w:left="5662"/>
              <w:jc w:val="left"/>
              <w:rPr>
                <w:b w:val="0"/>
                <w:szCs w:val="20"/>
              </w:rPr>
            </w:pPr>
            <w:r>
              <w:rPr>
                <w:b w:val="0"/>
                <w:szCs w:val="20"/>
              </w:rPr>
              <w:t xml:space="preserve">  </w:t>
            </w:r>
            <w:r w:rsidR="006D490D">
              <w:rPr>
                <w:b w:val="0"/>
                <w:szCs w:val="20"/>
              </w:rPr>
              <w:t>DRŽAVNA SEKRETARKA</w:t>
            </w:r>
          </w:p>
        </w:tc>
      </w:tr>
    </w:tbl>
    <w:p w14:paraId="46BE175C" w14:textId="62D56632" w:rsidR="00BF3FE5" w:rsidRDefault="00BF3FE5">
      <w:pPr>
        <w:rPr>
          <w:rFonts w:cs="Arial"/>
          <w:szCs w:val="20"/>
        </w:rPr>
      </w:pPr>
    </w:p>
    <w:p w14:paraId="2FBE7537" w14:textId="0B13DCA0" w:rsidR="00BF3FE5" w:rsidRDefault="00BF3FE5">
      <w:pPr>
        <w:spacing w:after="160"/>
        <w:rPr>
          <w:rFonts w:cs="Arial"/>
          <w:szCs w:val="20"/>
        </w:rPr>
      </w:pPr>
    </w:p>
    <w:p w14:paraId="0C318559" w14:textId="77777777" w:rsidR="00BF3FE5" w:rsidRPr="00620790" w:rsidRDefault="00BF3FE5">
      <w:pPr>
        <w:rPr>
          <w:rFonts w:cs="Arial"/>
          <w:szCs w:val="20"/>
        </w:rPr>
      </w:pPr>
    </w:p>
    <w:p w14:paraId="0B50189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6234008"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17812C0B"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38306096"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673FE6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6DDF748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1143A6A"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6406B67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FBF9504"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762D3F5"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04D3772"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A083B31"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04FDFC59"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41FE086D"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1C8CC6B1"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5FC9359E"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F1EE23B" w14:textId="77777777" w:rsidR="00E6348F" w:rsidRDefault="00E6348F"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p>
    <w:p w14:paraId="2B640A95" w14:textId="451AC5B1" w:rsidR="009F54B1" w:rsidRPr="00620790"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r w:rsidRPr="00620790">
        <w:rPr>
          <w:rFonts w:eastAsia="Times New Roman" w:cs="Arial"/>
          <w:b/>
          <w:szCs w:val="20"/>
          <w:lang w:eastAsia="sl-SI"/>
        </w:rPr>
        <w:lastRenderedPageBreak/>
        <w:t>PREDLOG</w:t>
      </w:r>
    </w:p>
    <w:p w14:paraId="37F6D19E" w14:textId="56EE327D" w:rsidR="009F54B1" w:rsidRPr="00620790"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lang w:eastAsia="sl-SI"/>
        </w:rPr>
      </w:pPr>
      <w:r w:rsidRPr="000A4748">
        <w:rPr>
          <w:rFonts w:eastAsia="Times New Roman" w:cs="Arial"/>
          <w:b/>
          <w:szCs w:val="20"/>
          <w:lang w:eastAsia="sl-SI"/>
        </w:rPr>
        <w:t>(</w:t>
      </w:r>
      <w:r w:rsidR="00784351" w:rsidRPr="000A4748">
        <w:rPr>
          <w:rFonts w:eastAsia="Times New Roman" w:cs="Arial"/>
          <w:b/>
          <w:szCs w:val="20"/>
          <w:lang w:eastAsia="sl-SI"/>
        </w:rPr>
        <w:t>EVA 202</w:t>
      </w:r>
      <w:r w:rsidR="00467F12">
        <w:rPr>
          <w:rFonts w:eastAsia="Times New Roman" w:cs="Arial"/>
          <w:b/>
          <w:szCs w:val="20"/>
          <w:lang w:eastAsia="sl-SI"/>
        </w:rPr>
        <w:t>5</w:t>
      </w:r>
      <w:r w:rsidR="00784351" w:rsidRPr="000A4748">
        <w:rPr>
          <w:rFonts w:eastAsia="Times New Roman" w:cs="Arial"/>
          <w:b/>
          <w:szCs w:val="20"/>
          <w:lang w:eastAsia="sl-SI"/>
        </w:rPr>
        <w:t>-2570-00</w:t>
      </w:r>
      <w:r w:rsidR="00467F12">
        <w:rPr>
          <w:rFonts w:eastAsia="Times New Roman" w:cs="Arial"/>
          <w:b/>
          <w:szCs w:val="20"/>
          <w:lang w:eastAsia="sl-SI"/>
        </w:rPr>
        <w:t>61</w:t>
      </w:r>
      <w:r w:rsidRPr="000A4748">
        <w:rPr>
          <w:rFonts w:eastAsia="Times New Roman" w:cs="Arial"/>
          <w:b/>
          <w:szCs w:val="20"/>
          <w:lang w:eastAsia="sl-SI"/>
        </w:rPr>
        <w:t>)</w:t>
      </w:r>
    </w:p>
    <w:p w14:paraId="12D46BEC" w14:textId="77777777" w:rsidR="009F54B1" w:rsidRPr="00784351" w:rsidRDefault="009F54B1" w:rsidP="009F54B1">
      <w:pPr>
        <w:suppressAutoHyphens/>
        <w:overflowPunct w:val="0"/>
        <w:autoSpaceDE w:val="0"/>
        <w:autoSpaceDN w:val="0"/>
        <w:adjustRightInd w:val="0"/>
        <w:spacing w:after="0" w:line="260" w:lineRule="exact"/>
        <w:jc w:val="right"/>
        <w:textAlignment w:val="baseline"/>
        <w:rPr>
          <w:rFonts w:eastAsia="Times New Roman" w:cs="Arial"/>
          <w:b/>
          <w:szCs w:val="20"/>
          <w:highlight w:val="yellow"/>
          <w:lang w:eastAsia="sl-SI"/>
        </w:rPr>
      </w:pPr>
    </w:p>
    <w:p w14:paraId="4E703B1B" w14:textId="11CC173F" w:rsidR="00784351" w:rsidRPr="000A4748" w:rsidRDefault="00784351" w:rsidP="009F54B1">
      <w:pPr>
        <w:suppressAutoHyphens/>
        <w:overflowPunct w:val="0"/>
        <w:autoSpaceDE w:val="0"/>
        <w:autoSpaceDN w:val="0"/>
        <w:adjustRightInd w:val="0"/>
        <w:spacing w:after="0" w:line="260" w:lineRule="exact"/>
        <w:jc w:val="center"/>
        <w:textAlignment w:val="baseline"/>
        <w:rPr>
          <w:rFonts w:eastAsia="Times New Roman" w:cs="Arial"/>
          <w:b/>
          <w:szCs w:val="20"/>
          <w:lang w:eastAsia="sl-SI"/>
        </w:rPr>
      </w:pPr>
      <w:r w:rsidRPr="000A4748">
        <w:rPr>
          <w:rFonts w:eastAsia="Times New Roman" w:cs="Arial"/>
          <w:b/>
          <w:szCs w:val="20"/>
          <w:lang w:eastAsia="sl-SI"/>
        </w:rPr>
        <w:t>Z</w:t>
      </w:r>
      <w:r w:rsidR="005B276C">
        <w:rPr>
          <w:rFonts w:eastAsia="Times New Roman" w:cs="Arial"/>
          <w:b/>
          <w:szCs w:val="20"/>
          <w:lang w:eastAsia="sl-SI"/>
        </w:rPr>
        <w:t xml:space="preserve">AKON O </w:t>
      </w:r>
      <w:r w:rsidR="00797896" w:rsidRPr="00797896">
        <w:rPr>
          <w:rFonts w:eastAsia="Times New Roman" w:cs="Arial"/>
          <w:b/>
          <w:szCs w:val="20"/>
          <w:lang w:eastAsia="sl-SI"/>
        </w:rPr>
        <w:t xml:space="preserve">SPODBUJANJU KONKURENČNOSTI </w:t>
      </w:r>
      <w:r w:rsidR="0003603F">
        <w:rPr>
          <w:rFonts w:eastAsia="Times New Roman" w:cs="Arial"/>
          <w:b/>
          <w:szCs w:val="20"/>
          <w:lang w:eastAsia="sl-SI"/>
        </w:rPr>
        <w:t xml:space="preserve">IN RAZOGLJIČENJA </w:t>
      </w:r>
      <w:r w:rsidR="00797896" w:rsidRPr="00797896">
        <w:rPr>
          <w:rFonts w:eastAsia="Times New Roman" w:cs="Arial"/>
          <w:b/>
          <w:szCs w:val="20"/>
          <w:lang w:eastAsia="sl-SI"/>
        </w:rPr>
        <w:t>ELEKTROINTENZIVNIH PODJETI</w:t>
      </w:r>
      <w:r w:rsidR="00797896">
        <w:rPr>
          <w:rFonts w:eastAsia="Times New Roman" w:cs="Arial"/>
          <w:b/>
          <w:szCs w:val="20"/>
          <w:lang w:eastAsia="sl-SI"/>
        </w:rPr>
        <w:t>J</w:t>
      </w:r>
    </w:p>
    <w:p w14:paraId="126FEFE8" w14:textId="77777777" w:rsidR="009F54B1" w:rsidRPr="00620790" w:rsidRDefault="009F54B1" w:rsidP="009F54B1">
      <w:pPr>
        <w:suppressAutoHyphens/>
        <w:overflowPunct w:val="0"/>
        <w:autoSpaceDE w:val="0"/>
        <w:autoSpaceDN w:val="0"/>
        <w:adjustRightInd w:val="0"/>
        <w:spacing w:after="0" w:line="260" w:lineRule="exact"/>
        <w:jc w:val="center"/>
        <w:textAlignment w:val="baseline"/>
        <w:rPr>
          <w:rFonts w:eastAsia="Times New Roman" w:cs="Arial"/>
          <w:b/>
          <w:szCs w:val="20"/>
          <w:lang w:eastAsia="sl-SI"/>
        </w:rPr>
      </w:pPr>
    </w:p>
    <w:p w14:paraId="6B536248" w14:textId="6016A3EB" w:rsidR="009F54B1" w:rsidRPr="00620790" w:rsidRDefault="009F54B1" w:rsidP="008A6824">
      <w:pPr>
        <w:pStyle w:val="Naslov1"/>
        <w:jc w:val="both"/>
        <w:rPr>
          <w:rFonts w:eastAsia="Times New Roman" w:cs="Arial"/>
          <w:szCs w:val="20"/>
          <w:lang w:eastAsia="sl-SI"/>
        </w:rPr>
      </w:pPr>
      <w:r w:rsidRPr="00620790">
        <w:rPr>
          <w:rFonts w:eastAsia="Times New Roman" w:cs="Arial"/>
          <w:szCs w:val="20"/>
          <w:lang w:eastAsia="sl-SI"/>
        </w:rPr>
        <w:t>I. UVOD</w:t>
      </w:r>
    </w:p>
    <w:p w14:paraId="1FBEFD43" w14:textId="6C308758" w:rsidR="00416C42" w:rsidRPr="00B90E1F" w:rsidRDefault="009F54B1" w:rsidP="00B90E1F">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1. OCENA STANJA IN RAZLOGI ZA SPREJEM PREDLOGA ZAKONA</w:t>
      </w:r>
    </w:p>
    <w:p w14:paraId="3BF657C2" w14:textId="77777777" w:rsidR="00467F12" w:rsidRDefault="00467F12" w:rsidP="00467F12">
      <w:pPr>
        <w:spacing w:before="100" w:beforeAutospacing="1" w:after="100" w:afterAutospacing="1" w:line="240" w:lineRule="auto"/>
        <w:rPr>
          <w:rFonts w:eastAsia="Times New Roman" w:cs="Arial"/>
          <w:iCs/>
          <w:szCs w:val="20"/>
          <w:lang w:eastAsia="sl-SI"/>
        </w:rPr>
      </w:pPr>
      <w:r w:rsidRPr="00467F12">
        <w:rPr>
          <w:rFonts w:eastAsia="Times New Roman" w:cs="Arial"/>
          <w:iCs/>
          <w:szCs w:val="20"/>
          <w:lang w:eastAsia="sl-SI"/>
        </w:rPr>
        <w:t>Energetsko intenzivna industrija v Republiki Sloveniji je pomemben del gospodarstva, ki ustvarja visoko dodano vrednost, pomemben delež izvoza ter zagotavlja veliko število delovnih mest, pogosto v okoljih, kjer so možnosti za alternativno zaposlitev omejene. Za ta podjetja so stroški električne energije eden ključnih stroškov poslovanja in pomemben dejavnik njihove mednarodne konkurenčnosti.</w:t>
      </w:r>
    </w:p>
    <w:p w14:paraId="605DAA18" w14:textId="2E0A758A"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V trenutnih gospodarskih razmerah, ko se slovenska industrija sooča z visokimi cenami energentov, je podpora energetsko intenzivnim podjetjem nujno potrebna. Obravnava teh podjetij v okviru strateškega nacionalnega interesa ni le gospodarska nuja, temveč tudi temeljna predpostavka za uspešno izvajanje evropskega zelenega prehoda, ohranjanje industrijske suverenosti in zagotavljanje socialne kohezije.</w:t>
      </w:r>
    </w:p>
    <w:p w14:paraId="045350F6" w14:textId="792CF7C2"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Proizvodnja v industrijah materialov in strateških surovin ni le industrijska politika – je temeljna varnostna, geostrateška in trajnostna izbira za prihodnost Evrope. Industrije materialov so ključne za večjo strateško avtonomijo Evrope pri materialih. Primarni industrijski materiali predstavljajo surovinsko osnovo za vse ostale industrijske panoge v Sloveniji in Evropi. Gre za materiale, ki so kritično pomembni za razvoj, proizvodnjo in uporabo nizkoogljičnih materialov, ki so ključni za izvedbo zelenega prehoda. Brez razvoja domačih zmogljivosti na teh področjih bo </w:t>
      </w:r>
      <w:r w:rsidR="00D729DE">
        <w:rPr>
          <w:rFonts w:eastAsia="Times New Roman" w:cs="Arial"/>
          <w:iCs/>
          <w:szCs w:val="20"/>
          <w:lang w:eastAsia="sl-SI"/>
        </w:rPr>
        <w:t>Evropska unija (v nadaljnjem besedilu: EU)</w:t>
      </w:r>
      <w:r w:rsidRPr="00731973">
        <w:rPr>
          <w:rFonts w:eastAsia="Times New Roman" w:cs="Arial"/>
          <w:iCs/>
          <w:szCs w:val="20"/>
          <w:lang w:eastAsia="sl-SI"/>
        </w:rPr>
        <w:t xml:space="preserve"> še naprej ranljiva na svetovnem trgu, omejena pri zeleni transformaciji in odvisna od geopolitično nestabilnih partnerjev, kar ima lahko vpliv na večja nihanja v proizvodnji in izvozu, slabšo ekonomiko poslovanja teh družb kot tudi na negativne učinke na trgu dela.</w:t>
      </w:r>
    </w:p>
    <w:p w14:paraId="196BA150" w14:textId="720EF7EC"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V zadnjih letih se je trg z električno energijo v E</w:t>
      </w:r>
      <w:r w:rsidR="00D729DE">
        <w:rPr>
          <w:rFonts w:eastAsia="Times New Roman" w:cs="Arial"/>
          <w:iCs/>
          <w:szCs w:val="20"/>
          <w:lang w:eastAsia="sl-SI"/>
        </w:rPr>
        <w:t>U</w:t>
      </w:r>
      <w:r w:rsidRPr="008779D6">
        <w:rPr>
          <w:rFonts w:eastAsia="Times New Roman" w:cs="Arial"/>
          <w:iCs/>
          <w:szCs w:val="20"/>
          <w:lang w:eastAsia="sl-SI"/>
        </w:rPr>
        <w:t xml:space="preserve"> soočal z izrazito cenovno volatilnostjo in obdobji izjemno visokih cen. Ob hkratnih ambicioznih ciljih razogljičenja in prehoda na podnebno nevtralno gospodarstvo to povečuje tveganje, da energetsko intenzivna podjetja del proizvodnje selijo izven EU ali zmanjšajo obseg proizvodnje, kar lahko negativno vpliva na gospodarsko rast, zaposlenost in doseganje podnebnih ciljev.</w:t>
      </w:r>
    </w:p>
    <w:p w14:paraId="511830D6" w14:textId="42F893AA"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Evropska komisija je zato sprejela</w:t>
      </w:r>
      <w:r w:rsidR="00D729DE">
        <w:rPr>
          <w:rFonts w:eastAsia="Times New Roman" w:cs="Arial"/>
          <w:iCs/>
          <w:szCs w:val="20"/>
          <w:lang w:eastAsia="sl-SI"/>
        </w:rPr>
        <w:t xml:space="preserve"> Sporočilo Komisije -</w:t>
      </w:r>
      <w:r w:rsidRPr="008779D6">
        <w:rPr>
          <w:rFonts w:eastAsia="Times New Roman" w:cs="Arial"/>
          <w:iCs/>
          <w:szCs w:val="20"/>
          <w:lang w:eastAsia="sl-SI"/>
        </w:rPr>
        <w:t xml:space="preserve"> Okvir za ukrepe državne pomoči v podporo dogovoru o čisti industriji </w:t>
      </w:r>
      <w:r w:rsidR="00D729DE" w:rsidRPr="00D729DE">
        <w:rPr>
          <w:rFonts w:eastAsia="Times New Roman" w:cs="Arial"/>
          <w:iCs/>
          <w:szCs w:val="20"/>
          <w:lang w:eastAsia="sl-SI"/>
        </w:rPr>
        <w:t>(UL C št. C/2025/3602 z dne 4. 7. 2025; v nadaljnjem besedilu:</w:t>
      </w:r>
      <w:r w:rsidR="001A5340">
        <w:rPr>
          <w:rFonts w:eastAsia="Times New Roman" w:cs="Arial"/>
          <w:iCs/>
          <w:szCs w:val="20"/>
          <w:lang w:eastAsia="sl-SI"/>
        </w:rPr>
        <w:t xml:space="preserve"> </w:t>
      </w:r>
      <w:r w:rsidR="00D729DE" w:rsidRPr="00D729DE">
        <w:rPr>
          <w:rFonts w:eastAsia="Times New Roman" w:cs="Arial"/>
          <w:iCs/>
          <w:szCs w:val="20"/>
          <w:lang w:eastAsia="sl-SI"/>
        </w:rPr>
        <w:t>CISAF)</w:t>
      </w:r>
      <w:r w:rsidRPr="008779D6">
        <w:rPr>
          <w:rFonts w:eastAsia="Times New Roman" w:cs="Arial"/>
          <w:iCs/>
          <w:szCs w:val="20"/>
          <w:lang w:eastAsia="sl-SI"/>
        </w:rPr>
        <w:t>, s katerim državam članicam omogoča, da v omejenem obsegu in pod strogimi pogoji podprejo energetsko intenzivna podjetja pri soočanju z visokimi stroški električne energije, hkrati pa jih zavežejo k vlaganjem v razogljičenje in prehod na čistejše tehnologije.</w:t>
      </w:r>
    </w:p>
    <w:p w14:paraId="2816531E" w14:textId="77777777"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Obstoječa nacionalna zakonodaja ne zagotavlja posebnega, ciljno usmerjenega in časovno omejenega instrumenta, ki bi bil skladen s CISAF in bi omogočal:</w:t>
      </w:r>
    </w:p>
    <w:p w14:paraId="7B7F6369" w14:textId="0472A186"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w:t>
      </w:r>
      <w:r>
        <w:rPr>
          <w:rFonts w:eastAsia="Times New Roman" w:cs="Arial"/>
          <w:iCs/>
          <w:szCs w:val="20"/>
          <w:lang w:eastAsia="sl-SI"/>
        </w:rPr>
        <w:t xml:space="preserve"> </w:t>
      </w:r>
      <w:r w:rsidRPr="008779D6">
        <w:rPr>
          <w:rFonts w:eastAsia="Times New Roman" w:cs="Arial"/>
          <w:iCs/>
          <w:szCs w:val="20"/>
          <w:lang w:eastAsia="sl-SI"/>
        </w:rPr>
        <w:t>delno blaženje stroškov električne energije elektrointenzivnim podjetjem v najbolj izpostavljenih sektorjih in</w:t>
      </w:r>
    </w:p>
    <w:p w14:paraId="6115B837" w14:textId="0F9D5752" w:rsidR="008779D6" w:rsidRP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w:t>
      </w:r>
      <w:r>
        <w:rPr>
          <w:rFonts w:eastAsia="Times New Roman" w:cs="Arial"/>
          <w:iCs/>
          <w:szCs w:val="20"/>
          <w:lang w:eastAsia="sl-SI"/>
        </w:rPr>
        <w:t xml:space="preserve"> </w:t>
      </w:r>
      <w:r w:rsidRPr="008779D6">
        <w:rPr>
          <w:rFonts w:eastAsia="Times New Roman" w:cs="Arial"/>
          <w:iCs/>
          <w:szCs w:val="20"/>
          <w:lang w:eastAsia="sl-SI"/>
        </w:rPr>
        <w:t>hkrati obvezno vlaganje pomembnega dela prejete pomoči v naložbe v razogljičenje.</w:t>
      </w:r>
    </w:p>
    <w:p w14:paraId="6650B065" w14:textId="1949069A" w:rsidR="008779D6" w:rsidRDefault="008779D6" w:rsidP="008779D6">
      <w:pPr>
        <w:spacing w:before="100" w:beforeAutospacing="1" w:after="100" w:afterAutospacing="1" w:line="240" w:lineRule="auto"/>
        <w:rPr>
          <w:rFonts w:eastAsia="Times New Roman" w:cs="Arial"/>
          <w:iCs/>
          <w:szCs w:val="20"/>
          <w:lang w:eastAsia="sl-SI"/>
        </w:rPr>
      </w:pPr>
      <w:r w:rsidRPr="008779D6">
        <w:rPr>
          <w:rFonts w:eastAsia="Times New Roman" w:cs="Arial"/>
          <w:iCs/>
          <w:szCs w:val="20"/>
          <w:lang w:eastAsia="sl-SI"/>
        </w:rPr>
        <w:t>Zaradi navedenega je potreben poseben, vsebinsko omejen in časovno opredeljen zakon, ki za obdobje 2026–2028 vzpostavlja sistem spodbud, skladen s pravili EU o državnih pomočeh, ter prispeva k ohranjanju konkurenčnosti in hkratnemu pospeševanju razogljičenja industrije.</w:t>
      </w:r>
    </w:p>
    <w:p w14:paraId="57EEB62C" w14:textId="77777777" w:rsidR="008779D6" w:rsidRDefault="008779D6" w:rsidP="00731973">
      <w:pPr>
        <w:spacing w:before="100" w:beforeAutospacing="1" w:after="100" w:afterAutospacing="1" w:line="240" w:lineRule="auto"/>
        <w:rPr>
          <w:rFonts w:eastAsia="Times New Roman" w:cs="Arial"/>
          <w:iCs/>
          <w:szCs w:val="20"/>
          <w:lang w:eastAsia="sl-SI"/>
        </w:rPr>
      </w:pPr>
    </w:p>
    <w:p w14:paraId="0B55929C" w14:textId="1430A1D9"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S</w:t>
      </w:r>
      <w:r w:rsidRPr="00731973">
        <w:rPr>
          <w:rFonts w:eastAsia="Times New Roman" w:cs="Arial"/>
          <w:iCs/>
          <w:szCs w:val="20"/>
          <w:lang w:eastAsia="sl-SI"/>
        </w:rPr>
        <w:t>lovenska energetsko intenzivna podjetja</w:t>
      </w:r>
      <w:r>
        <w:rPr>
          <w:rFonts w:eastAsia="Times New Roman" w:cs="Arial"/>
          <w:iCs/>
          <w:szCs w:val="20"/>
          <w:lang w:eastAsia="sl-SI"/>
        </w:rPr>
        <w:t xml:space="preserve"> so bila</w:t>
      </w:r>
      <w:r w:rsidRPr="00731973">
        <w:rPr>
          <w:rFonts w:eastAsia="Times New Roman" w:cs="Arial"/>
          <w:iCs/>
          <w:szCs w:val="20"/>
          <w:lang w:eastAsia="sl-SI"/>
        </w:rPr>
        <w:t xml:space="preserve"> v obdobju 2021–2024 močno prizadeta zaradi energetske krize. Cene električne energije za velike industrijske odjemalce so se v tem obdobju za nekaj časa potrojile, pri čemer so bile v letu 2024 še vedno za 150 % višje od ravni leta 2021. Kljub temu, da so bile cene EE v Sloveniji pred krizo nižje od povprečja EU, so se med krizo dvignile nad evropsko povprečje. V segmentu največjih odjemalcev (70–150 GWh) so bile cene v letu 2024 za približno 30 EUR/MWh višje od povprečja EU. Še bolj zaskrbljujoča je primerjava s tretjimi državami, kot so Bosna in Hercegovina, Srbija in Turčija, kjer so bile cene </w:t>
      </w:r>
      <w:r w:rsidR="00D729DE">
        <w:rPr>
          <w:rFonts w:eastAsia="Times New Roman" w:cs="Arial"/>
          <w:iCs/>
          <w:szCs w:val="20"/>
          <w:lang w:eastAsia="sl-SI"/>
        </w:rPr>
        <w:t>električne energije</w:t>
      </w:r>
      <w:r w:rsidRPr="00731973">
        <w:rPr>
          <w:rFonts w:eastAsia="Times New Roman" w:cs="Arial"/>
          <w:iCs/>
          <w:szCs w:val="20"/>
          <w:lang w:eastAsia="sl-SI"/>
        </w:rPr>
        <w:t xml:space="preserve"> v letu 2024 približno polovične glede na slovenske. Te države tudi niso vključene v</w:t>
      </w:r>
      <w:r w:rsidR="00FF3576">
        <w:rPr>
          <w:rFonts w:eastAsia="Times New Roman" w:cs="Arial"/>
          <w:iCs/>
          <w:szCs w:val="20"/>
          <w:lang w:eastAsia="sl-SI"/>
        </w:rPr>
        <w:t xml:space="preserve"> trgovalno evropsko shemo z emisijskimi kuponi,</w:t>
      </w:r>
      <w:r w:rsidRPr="00731973">
        <w:rPr>
          <w:rFonts w:eastAsia="Times New Roman" w:cs="Arial"/>
          <w:iCs/>
          <w:szCs w:val="20"/>
          <w:lang w:eastAsia="sl-SI"/>
        </w:rPr>
        <w:t xml:space="preserve"> z EU pa imajo podpisane ugodne trgovinske sporazume z nizkimi trgovinskimi ovirami. To je povzročilo znatno poslabšanje stroškovne konkurenčnosti slovenskih izvozno usmerjenih podjetij.</w:t>
      </w:r>
    </w:p>
    <w:p w14:paraId="6CE628B6" w14:textId="7EF6652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Posledično je prišlo do znatnega upada industrijske proizvodnje v sedmih </w:t>
      </w:r>
      <w:r w:rsidR="00B008BF" w:rsidRPr="00731973">
        <w:rPr>
          <w:rFonts w:eastAsia="Times New Roman" w:cs="Arial"/>
          <w:iCs/>
          <w:szCs w:val="20"/>
          <w:lang w:eastAsia="sl-SI"/>
        </w:rPr>
        <w:t>ključnih</w:t>
      </w:r>
      <w:r w:rsidRPr="00731973">
        <w:rPr>
          <w:rFonts w:eastAsia="Times New Roman" w:cs="Arial"/>
          <w:iCs/>
          <w:szCs w:val="20"/>
          <w:lang w:eastAsia="sl-SI"/>
        </w:rPr>
        <w:t xml:space="preserve"> energetsko intenzivnih industrijah materialov. V skupini industrij materialov posluje skupaj okrog 4.700 podjetij (22 % vseh podjetij v predelovalni dejavnosti). Vrednost proizvodnje v teh dejavnostih je v letu 2024 znašala 12,2 milijardi evrov, dodana vrednost pa 3,2 milijardi evrov. Število zaposlenih je leta 2024 znašalo 56.300 in je bilo za 3 % nižje kot leta 2021. V industrijah materialov so se med letoma 2021 in 2024 realni prihodki zmanjšali za eno osmino glede na leto 2021 (-12,5%), dodana vrednost pa za dobro četrtino (-25,4 %). Posledično so trendno izgubljale svoj relativni pomen v slovenski predelovalni dejavnosti. </w:t>
      </w:r>
    </w:p>
    <w:p w14:paraId="33E6995F" w14:textId="41485E83"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 xml:space="preserve">Ukrep začasne cenovne olajšave za električno energijo za energetsko intenzivne porabnike iz </w:t>
      </w:r>
      <w:r w:rsidRPr="00731973">
        <w:rPr>
          <w:rFonts w:eastAsia="Times New Roman" w:cs="Arial"/>
          <w:iCs/>
          <w:szCs w:val="20"/>
          <w:lang w:eastAsia="sl-SI"/>
        </w:rPr>
        <w:t>CISAF</w:t>
      </w:r>
      <w:r>
        <w:rPr>
          <w:rFonts w:eastAsia="Times New Roman" w:cs="Arial"/>
          <w:iCs/>
          <w:szCs w:val="20"/>
          <w:lang w:eastAsia="sl-SI"/>
        </w:rPr>
        <w:t xml:space="preserve"> je</w:t>
      </w:r>
      <w:r w:rsidRPr="00731973">
        <w:rPr>
          <w:rFonts w:eastAsia="Times New Roman" w:cs="Arial"/>
          <w:iCs/>
          <w:szCs w:val="20"/>
          <w:lang w:eastAsia="sl-SI"/>
        </w:rPr>
        <w:t xml:space="preserve"> skladen z evropskimi cilji glede zelene preobrazbe. Stabilna cena električne energije omogoča finančno uspešnost izvedbe projektov elektrifikacije in prehoda na </w:t>
      </w:r>
      <w:r w:rsidR="00015EAE">
        <w:rPr>
          <w:rFonts w:eastAsia="Times New Roman" w:cs="Arial"/>
          <w:iCs/>
          <w:szCs w:val="20"/>
          <w:lang w:eastAsia="sl-SI"/>
        </w:rPr>
        <w:t>obnovljive vire energije (v nadaljnjem besedilu: OVE)</w:t>
      </w:r>
      <w:r w:rsidRPr="00731973">
        <w:rPr>
          <w:rFonts w:eastAsia="Times New Roman" w:cs="Arial"/>
          <w:iCs/>
          <w:szCs w:val="20"/>
          <w:lang w:eastAsia="sl-SI"/>
        </w:rPr>
        <w:t xml:space="preserve"> ter pospešuje </w:t>
      </w:r>
      <w:r>
        <w:rPr>
          <w:rFonts w:eastAsia="Times New Roman" w:cs="Arial"/>
          <w:iCs/>
          <w:szCs w:val="20"/>
          <w:lang w:eastAsia="sl-SI"/>
        </w:rPr>
        <w:t>širjenje uporabe</w:t>
      </w:r>
      <w:r w:rsidRPr="00731973">
        <w:rPr>
          <w:rFonts w:eastAsia="Times New Roman" w:cs="Arial"/>
          <w:iCs/>
          <w:szCs w:val="20"/>
          <w:lang w:eastAsia="sl-SI"/>
        </w:rPr>
        <w:t xml:space="preserve"> čistih tehnologij; krepi strateško avtonomijo z ohranjanjem domačih materialnih kapacitet in zmanjševanjem ogljičnega uhajanja v panogah z visoko trgovinsko in elektro-intenzivnostjo; varuje sidrna delovna mesta v industrijskih regijah; ter je fiskalno razumen, ker se lahko opre na namenske vire in povračila v letih nizkih cen električne energije. Glavni argumenti za uporabo mehanizma CISAF so naslednji:</w:t>
      </w:r>
    </w:p>
    <w:p w14:paraId="30968ECE" w14:textId="7F213EAC"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1.</w:t>
      </w:r>
      <w:r>
        <w:rPr>
          <w:rFonts w:eastAsia="Times New Roman" w:cs="Arial"/>
          <w:iCs/>
          <w:szCs w:val="20"/>
          <w:lang w:eastAsia="sl-SI"/>
        </w:rPr>
        <w:t xml:space="preserve"> </w:t>
      </w:r>
      <w:r w:rsidRPr="00731973">
        <w:rPr>
          <w:rFonts w:eastAsia="Times New Roman" w:cs="Arial"/>
          <w:iCs/>
          <w:szCs w:val="20"/>
          <w:lang w:eastAsia="sl-SI"/>
        </w:rPr>
        <w:t xml:space="preserve">Pospešitev zelenega prehoda: </w:t>
      </w:r>
      <w:r w:rsidR="00015EAE">
        <w:rPr>
          <w:rFonts w:eastAsia="Times New Roman" w:cs="Arial"/>
          <w:iCs/>
          <w:szCs w:val="20"/>
          <w:lang w:eastAsia="sl-SI"/>
        </w:rPr>
        <w:t>e</w:t>
      </w:r>
      <w:r w:rsidRPr="00731973">
        <w:rPr>
          <w:rFonts w:eastAsia="Times New Roman" w:cs="Arial"/>
          <w:iCs/>
          <w:szCs w:val="20"/>
          <w:lang w:eastAsia="sl-SI"/>
        </w:rPr>
        <w:t>nergetsko intenzivnim podjetjem omogoča predvidljivost stroškov, ki so ključni za financiranje obsežnih naložb v elektrifikacijo, energetsko učinkovitost in prehod na obnovljive vire, s čimer dejansko pospešuje njihovo razogljičenje.</w:t>
      </w:r>
    </w:p>
    <w:p w14:paraId="1AF13EA5" w14:textId="396E3BE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2.</w:t>
      </w:r>
      <w:r>
        <w:rPr>
          <w:rFonts w:eastAsia="Times New Roman" w:cs="Arial"/>
          <w:iCs/>
          <w:szCs w:val="20"/>
          <w:lang w:eastAsia="sl-SI"/>
        </w:rPr>
        <w:t xml:space="preserve"> </w:t>
      </w:r>
      <w:r w:rsidRPr="00731973">
        <w:rPr>
          <w:rFonts w:eastAsia="Times New Roman" w:cs="Arial"/>
          <w:iCs/>
          <w:szCs w:val="20"/>
          <w:lang w:eastAsia="sl-SI"/>
        </w:rPr>
        <w:t xml:space="preserve">Krepitev strateške avtonomije: </w:t>
      </w:r>
      <w:r w:rsidR="00015EAE">
        <w:rPr>
          <w:rFonts w:eastAsia="Times New Roman" w:cs="Arial"/>
          <w:iCs/>
          <w:szCs w:val="20"/>
          <w:lang w:eastAsia="sl-SI"/>
        </w:rPr>
        <w:t>s</w:t>
      </w:r>
      <w:r w:rsidRPr="00731973">
        <w:rPr>
          <w:rFonts w:eastAsia="Times New Roman" w:cs="Arial"/>
          <w:iCs/>
          <w:szCs w:val="20"/>
          <w:lang w:eastAsia="sl-SI"/>
        </w:rPr>
        <w:t xml:space="preserve"> preprečevanjem selitve kritičnih proizvodnih panog (kovine, minerali, kemikalije, gradbeni materiali, steklo, stroji) v tretje države mehanizem ščiti strateške dobavne verige EU in preprečuje trajno izgubo industrijskega znanja ter kapacitet.</w:t>
      </w:r>
    </w:p>
    <w:p w14:paraId="33FCF032" w14:textId="54FCEAA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3.</w:t>
      </w:r>
      <w:r>
        <w:rPr>
          <w:rFonts w:eastAsia="Times New Roman" w:cs="Arial"/>
          <w:iCs/>
          <w:szCs w:val="20"/>
          <w:lang w:eastAsia="sl-SI"/>
        </w:rPr>
        <w:t xml:space="preserve"> </w:t>
      </w:r>
      <w:r w:rsidRPr="00731973">
        <w:rPr>
          <w:rFonts w:eastAsia="Times New Roman" w:cs="Arial"/>
          <w:iCs/>
          <w:szCs w:val="20"/>
          <w:lang w:eastAsia="sl-SI"/>
        </w:rPr>
        <w:t xml:space="preserve">Preprečevanje ogljičnega uhajanja: </w:t>
      </w:r>
      <w:r w:rsidR="00015EAE">
        <w:rPr>
          <w:rFonts w:eastAsia="Times New Roman" w:cs="Arial"/>
          <w:iCs/>
          <w:szCs w:val="20"/>
          <w:lang w:eastAsia="sl-SI"/>
        </w:rPr>
        <w:t>c</w:t>
      </w:r>
      <w:r w:rsidRPr="00731973">
        <w:rPr>
          <w:rFonts w:eastAsia="Times New Roman" w:cs="Arial"/>
          <w:iCs/>
          <w:szCs w:val="20"/>
          <w:lang w:eastAsia="sl-SI"/>
        </w:rPr>
        <w:t>iljana podpora podjetjem v panogah z visoko trgovinsko in elektro-intenzivnostjo, ki so zaradi visokih energetskih stroškov izpostavljena globalni konkurenci, preprečuje selitev proizvodnje, emisij in delovnih mest iz EU v države z nižjimi okoljskimi standardi, kar ohranja globalni okoljski učinek.</w:t>
      </w:r>
    </w:p>
    <w:p w14:paraId="0997871C" w14:textId="05C2EB6D"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4.</w:t>
      </w:r>
      <w:r>
        <w:rPr>
          <w:rFonts w:eastAsia="Times New Roman" w:cs="Arial"/>
          <w:iCs/>
          <w:szCs w:val="20"/>
          <w:lang w:eastAsia="sl-SI"/>
        </w:rPr>
        <w:t xml:space="preserve"> </w:t>
      </w:r>
      <w:r w:rsidRPr="00731973">
        <w:rPr>
          <w:rFonts w:eastAsia="Times New Roman" w:cs="Arial"/>
          <w:iCs/>
          <w:szCs w:val="20"/>
          <w:lang w:eastAsia="sl-SI"/>
        </w:rPr>
        <w:t xml:space="preserve">Varuje regionalno zaposlenost in dobavne verige: </w:t>
      </w:r>
      <w:r w:rsidR="00015EAE">
        <w:rPr>
          <w:rFonts w:eastAsia="Times New Roman" w:cs="Arial"/>
          <w:iCs/>
          <w:szCs w:val="20"/>
          <w:lang w:eastAsia="sl-SI"/>
        </w:rPr>
        <w:t>s</w:t>
      </w:r>
      <w:r w:rsidRPr="00731973">
        <w:rPr>
          <w:rFonts w:eastAsia="Times New Roman" w:cs="Arial"/>
          <w:iCs/>
          <w:szCs w:val="20"/>
          <w:lang w:eastAsia="sl-SI"/>
        </w:rPr>
        <w:t xml:space="preserve"> podpiranjem strateških delodajalcev v regijah mehanizem preprečuje domino učinke izgube delovnih mest, zmanjšanja davčnih prihodkov in depopulacije, s čimer varuje socialno in ekonomsko stabilnost. Ciljana, pogojena in časovno omejena pomoč je cenejša od kasnejših socialnih in fiskalnih stroškov zapiranja obratov in stroškov spodbujanja reindustrializacije.</w:t>
      </w:r>
    </w:p>
    <w:p w14:paraId="0FA91BF9" w14:textId="21CE7783"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5.</w:t>
      </w:r>
      <w:r>
        <w:rPr>
          <w:rFonts w:eastAsia="Times New Roman" w:cs="Arial"/>
          <w:iCs/>
          <w:szCs w:val="20"/>
          <w:lang w:eastAsia="sl-SI"/>
        </w:rPr>
        <w:t xml:space="preserve"> </w:t>
      </w:r>
      <w:r w:rsidRPr="00731973">
        <w:rPr>
          <w:rFonts w:eastAsia="Times New Roman" w:cs="Arial"/>
          <w:iCs/>
          <w:szCs w:val="20"/>
          <w:lang w:eastAsia="sl-SI"/>
        </w:rPr>
        <w:t xml:space="preserve">Krepi konkurenčnost in naložbe: </w:t>
      </w:r>
      <w:r w:rsidR="00104641">
        <w:rPr>
          <w:rFonts w:eastAsia="Times New Roman" w:cs="Arial"/>
          <w:iCs/>
          <w:szCs w:val="20"/>
          <w:lang w:eastAsia="sl-SI"/>
        </w:rPr>
        <w:t>s</w:t>
      </w:r>
      <w:r w:rsidRPr="00731973">
        <w:rPr>
          <w:rFonts w:eastAsia="Times New Roman" w:cs="Arial"/>
          <w:iCs/>
          <w:szCs w:val="20"/>
          <w:lang w:eastAsia="sl-SI"/>
        </w:rPr>
        <w:t>tabilna cena energije omogoča “finančno zapiranje” projektov elektrifikacije in razogljičenja. Z zagotavljanjem konkurenčnih energetskih pogojev, ki so primerljivi s tistimi pri konkurentih v drugih državah, mehanizem spodbuja podjetja, da svoje naložbe v zelene tehnologije izvedejo doma in ne v tujini.</w:t>
      </w:r>
    </w:p>
    <w:p w14:paraId="65A2E92F" w14:textId="08CB97F0"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lastRenderedPageBreak/>
        <w:t>6</w:t>
      </w:r>
      <w:r w:rsidRPr="00731973">
        <w:rPr>
          <w:rFonts w:eastAsia="Times New Roman" w:cs="Arial"/>
          <w:iCs/>
          <w:szCs w:val="20"/>
          <w:lang w:eastAsia="sl-SI"/>
        </w:rPr>
        <w:t>.</w:t>
      </w:r>
      <w:r>
        <w:rPr>
          <w:rFonts w:eastAsia="Times New Roman" w:cs="Arial"/>
          <w:iCs/>
          <w:szCs w:val="20"/>
          <w:lang w:eastAsia="sl-SI"/>
        </w:rPr>
        <w:t xml:space="preserve"> </w:t>
      </w:r>
      <w:r w:rsidRPr="00731973">
        <w:rPr>
          <w:rFonts w:eastAsia="Times New Roman" w:cs="Arial"/>
          <w:iCs/>
          <w:szCs w:val="20"/>
          <w:lang w:eastAsia="sl-SI"/>
        </w:rPr>
        <w:t xml:space="preserve">Vzpostavitev jasnih pogojev in nadzora: </w:t>
      </w:r>
      <w:r w:rsidR="00104641">
        <w:rPr>
          <w:rFonts w:eastAsia="Times New Roman" w:cs="Arial"/>
          <w:iCs/>
          <w:szCs w:val="20"/>
          <w:lang w:eastAsia="sl-SI"/>
        </w:rPr>
        <w:t>m</w:t>
      </w:r>
      <w:r w:rsidRPr="00731973">
        <w:rPr>
          <w:rFonts w:eastAsia="Times New Roman" w:cs="Arial"/>
          <w:iCs/>
          <w:szCs w:val="20"/>
          <w:lang w:eastAsia="sl-SI"/>
        </w:rPr>
        <w:t>ehanizem je zasnovan kot ciljan, pogojen in časovno omejen, kar pomeni, da je pomoč vezana na merljive (kvantificirane) obveznosti podjetij za izvajanje ukrepov učinkovitosti in razogljičenja, ter zagotavlja transparentno poročanje.</w:t>
      </w:r>
    </w:p>
    <w:p w14:paraId="5368770D" w14:textId="05908046" w:rsidR="00731973" w:rsidRPr="00731973" w:rsidRDefault="00731973"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7</w:t>
      </w:r>
      <w:r w:rsidRPr="00731973">
        <w:rPr>
          <w:rFonts w:eastAsia="Times New Roman" w:cs="Arial"/>
          <w:iCs/>
          <w:szCs w:val="20"/>
          <w:lang w:eastAsia="sl-SI"/>
        </w:rPr>
        <w:t>.</w:t>
      </w:r>
      <w:r w:rsidR="009B4C5F">
        <w:rPr>
          <w:rFonts w:eastAsia="Times New Roman" w:cs="Arial"/>
          <w:iCs/>
          <w:szCs w:val="20"/>
          <w:lang w:eastAsia="sl-SI"/>
        </w:rPr>
        <w:t xml:space="preserve"> </w:t>
      </w:r>
      <w:r w:rsidRPr="00731973">
        <w:rPr>
          <w:rFonts w:eastAsia="Times New Roman" w:cs="Arial"/>
          <w:iCs/>
          <w:szCs w:val="20"/>
          <w:lang w:eastAsia="sl-SI"/>
        </w:rPr>
        <w:t xml:space="preserve">Krepitev družbenega dogovora: </w:t>
      </w:r>
      <w:r w:rsidR="00104641">
        <w:rPr>
          <w:rFonts w:eastAsia="Times New Roman" w:cs="Arial"/>
          <w:iCs/>
          <w:szCs w:val="20"/>
          <w:lang w:eastAsia="sl-SI"/>
        </w:rPr>
        <w:t>m</w:t>
      </w:r>
      <w:r w:rsidRPr="00731973">
        <w:rPr>
          <w:rFonts w:eastAsia="Times New Roman" w:cs="Arial"/>
          <w:iCs/>
          <w:szCs w:val="20"/>
          <w:lang w:eastAsia="sl-SI"/>
        </w:rPr>
        <w:t>ehanizem temelji na načelu "pomoč v zameno za preobrazbo", kjer javna podpora ne predstavlja subvencije, temveč pogodbeno pospešuje prehod podjetij v trajnostno in nizkoogljično poslovanje.</w:t>
      </w:r>
    </w:p>
    <w:p w14:paraId="0B1A896A" w14:textId="0E57D1B2" w:rsidR="00731973" w:rsidRPr="00731973" w:rsidRDefault="009B4C5F"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Ukrep za zniževanje stroška za določeno količino električne energije (največ</w:t>
      </w:r>
      <w:r w:rsidR="00731973" w:rsidRPr="00731973">
        <w:rPr>
          <w:rFonts w:eastAsia="Times New Roman" w:cs="Arial"/>
          <w:iCs/>
          <w:szCs w:val="20"/>
          <w:lang w:eastAsia="sl-SI"/>
        </w:rPr>
        <w:t xml:space="preserve"> </w:t>
      </w:r>
      <w:r>
        <w:rPr>
          <w:rFonts w:eastAsia="Times New Roman" w:cs="Arial"/>
          <w:iCs/>
          <w:szCs w:val="20"/>
          <w:lang w:eastAsia="sl-SI"/>
        </w:rPr>
        <w:t>do polovice letne porabe)</w:t>
      </w:r>
      <w:r w:rsidR="00731973" w:rsidRPr="00731973">
        <w:rPr>
          <w:rFonts w:eastAsia="Times New Roman" w:cs="Arial"/>
          <w:iCs/>
          <w:szCs w:val="20"/>
          <w:lang w:eastAsia="sl-SI"/>
        </w:rPr>
        <w:t xml:space="preserve">, izveden v okviru mehanizma CISAF in kombiniran z jasnimi pogoji razogljičenja, </w:t>
      </w:r>
      <w:r>
        <w:rPr>
          <w:rFonts w:eastAsia="Times New Roman" w:cs="Arial"/>
          <w:iCs/>
          <w:szCs w:val="20"/>
          <w:lang w:eastAsia="sl-SI"/>
        </w:rPr>
        <w:t xml:space="preserve">je </w:t>
      </w:r>
      <w:r w:rsidR="00731973" w:rsidRPr="00731973">
        <w:rPr>
          <w:rFonts w:eastAsia="Times New Roman" w:cs="Arial"/>
          <w:iCs/>
          <w:szCs w:val="20"/>
          <w:lang w:eastAsia="sl-SI"/>
        </w:rPr>
        <w:t>racionalen, skladen in ciljan odgovor</w:t>
      </w:r>
      <w:r>
        <w:rPr>
          <w:rFonts w:eastAsia="Times New Roman" w:cs="Arial"/>
          <w:iCs/>
          <w:szCs w:val="20"/>
          <w:lang w:eastAsia="sl-SI"/>
        </w:rPr>
        <w:t xml:space="preserve"> države</w:t>
      </w:r>
      <w:r w:rsidR="00731973" w:rsidRPr="00731973">
        <w:rPr>
          <w:rFonts w:eastAsia="Times New Roman" w:cs="Arial"/>
          <w:iCs/>
          <w:szCs w:val="20"/>
          <w:lang w:eastAsia="sl-SI"/>
        </w:rPr>
        <w:t xml:space="preserve"> na </w:t>
      </w:r>
      <w:r>
        <w:rPr>
          <w:rFonts w:eastAsia="Times New Roman" w:cs="Arial"/>
          <w:iCs/>
          <w:szCs w:val="20"/>
          <w:lang w:eastAsia="sl-SI"/>
        </w:rPr>
        <w:t xml:space="preserve">potrebe elektro intenzivne industrije, ki je izpostavljena mednarodni trgovini </w:t>
      </w:r>
      <w:r w:rsidR="00731973" w:rsidRPr="00731973">
        <w:rPr>
          <w:rFonts w:eastAsia="Times New Roman" w:cs="Arial"/>
          <w:iCs/>
          <w:szCs w:val="20"/>
          <w:lang w:eastAsia="sl-SI"/>
        </w:rPr>
        <w:t>ter globaln</w:t>
      </w:r>
      <w:r>
        <w:rPr>
          <w:rFonts w:eastAsia="Times New Roman" w:cs="Arial"/>
          <w:iCs/>
          <w:szCs w:val="20"/>
          <w:lang w:eastAsia="sl-SI"/>
        </w:rPr>
        <w:t>i</w:t>
      </w:r>
      <w:r w:rsidR="008B6654">
        <w:rPr>
          <w:rFonts w:eastAsia="Times New Roman" w:cs="Arial"/>
          <w:iCs/>
          <w:szCs w:val="20"/>
          <w:lang w:eastAsia="sl-SI"/>
        </w:rPr>
        <w:t xml:space="preserve"> </w:t>
      </w:r>
      <w:r w:rsidR="00731973" w:rsidRPr="00731973">
        <w:rPr>
          <w:rFonts w:eastAsia="Times New Roman" w:cs="Arial"/>
          <w:iCs/>
          <w:szCs w:val="20"/>
          <w:lang w:eastAsia="sl-SI"/>
        </w:rPr>
        <w:t>industrijsk</w:t>
      </w:r>
      <w:r>
        <w:rPr>
          <w:rFonts w:eastAsia="Times New Roman" w:cs="Arial"/>
          <w:iCs/>
          <w:szCs w:val="20"/>
          <w:lang w:eastAsia="sl-SI"/>
        </w:rPr>
        <w:t>i</w:t>
      </w:r>
      <w:r w:rsidR="00731973" w:rsidRPr="00731973">
        <w:rPr>
          <w:rFonts w:eastAsia="Times New Roman" w:cs="Arial"/>
          <w:iCs/>
          <w:szCs w:val="20"/>
          <w:lang w:eastAsia="sl-SI"/>
        </w:rPr>
        <w:t xml:space="preserve"> tekm</w:t>
      </w:r>
      <w:r>
        <w:rPr>
          <w:rFonts w:eastAsia="Times New Roman" w:cs="Arial"/>
          <w:iCs/>
          <w:szCs w:val="20"/>
          <w:lang w:eastAsia="sl-SI"/>
        </w:rPr>
        <w:t>i</w:t>
      </w:r>
      <w:r w:rsidR="00731973" w:rsidRPr="00731973">
        <w:rPr>
          <w:rFonts w:eastAsia="Times New Roman" w:cs="Arial"/>
          <w:iCs/>
          <w:szCs w:val="20"/>
          <w:lang w:eastAsia="sl-SI"/>
        </w:rPr>
        <w:t>. Sloveniji omogoča ohranitev strateških proizvodnih kapacitet, dobro plačanih delovnih mest in izvozne konkurenčnosti, hkrati pa pospešuje naložbe v učinkovitost, OVE in fleksibilnost. To ni odmik od evropskih ciljev, temveč orodje za njihovo dosego – na način, ki zmanjšuje tveganje selitve proizvodnje, krepi strateško avtonomijo in varuje socialno kohezijo.</w:t>
      </w:r>
    </w:p>
    <w:p w14:paraId="2C1EEEB1" w14:textId="1CAC71FA"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Na podlagi podatkov S</w:t>
      </w:r>
      <w:r w:rsidR="00104641">
        <w:rPr>
          <w:rFonts w:eastAsia="Times New Roman" w:cs="Arial"/>
          <w:iCs/>
          <w:szCs w:val="20"/>
          <w:lang w:eastAsia="sl-SI"/>
        </w:rPr>
        <w:t>tatističnega urada Republike Slovenije (v nadaljnjem besedilu: SURS)</w:t>
      </w:r>
      <w:r w:rsidRPr="00731973">
        <w:rPr>
          <w:rFonts w:eastAsia="Times New Roman" w:cs="Arial"/>
          <w:iCs/>
          <w:szCs w:val="20"/>
          <w:lang w:eastAsia="sl-SI"/>
        </w:rPr>
        <w:t xml:space="preserve"> in </w:t>
      </w:r>
      <w:r w:rsidR="00104641">
        <w:rPr>
          <w:rFonts w:eastAsia="Times New Roman" w:cs="Arial"/>
          <w:iCs/>
          <w:szCs w:val="20"/>
          <w:lang w:eastAsia="sl-SI"/>
        </w:rPr>
        <w:t xml:space="preserve">Agencije Republike Slovenije za javnopravne evidence in storitve (v nadaljnjem besedilu: </w:t>
      </w:r>
      <w:r w:rsidRPr="00731973">
        <w:rPr>
          <w:rFonts w:eastAsia="Times New Roman" w:cs="Arial"/>
          <w:iCs/>
          <w:szCs w:val="20"/>
          <w:lang w:eastAsia="sl-SI"/>
        </w:rPr>
        <w:t>AJPES</w:t>
      </w:r>
      <w:r w:rsidR="00104641">
        <w:rPr>
          <w:rFonts w:eastAsia="Times New Roman" w:cs="Arial"/>
          <w:iCs/>
          <w:szCs w:val="20"/>
          <w:lang w:eastAsia="sl-SI"/>
        </w:rPr>
        <w:t>)</w:t>
      </w:r>
      <w:r w:rsidRPr="00731973">
        <w:rPr>
          <w:rFonts w:eastAsia="Times New Roman" w:cs="Arial"/>
          <w:iCs/>
          <w:szCs w:val="20"/>
          <w:lang w:eastAsia="sl-SI"/>
        </w:rPr>
        <w:t xml:space="preserve"> je bilo ugotovljeno, da večina sektorjev, ki jih CISAF opredeljuje kot upravičene, izpolnjuje tudi slovenske kriterije elektro intenzivnosti (EI ≥ 5 %) in trgovinske intenzivnosti (TI ≥ 5 %). Poleg tega je bil identificiran dodaten sektor – proizvodnja motornih vozil in prikolic – ki kljub temu, da ga CISAF ne navaja, na podlagi slovenskih podatkov za segment največjih odjemalcev </w:t>
      </w:r>
      <w:r w:rsidR="00104641">
        <w:rPr>
          <w:rFonts w:eastAsia="Times New Roman" w:cs="Arial"/>
          <w:iCs/>
          <w:szCs w:val="20"/>
          <w:lang w:eastAsia="sl-SI"/>
        </w:rPr>
        <w:t>električne energije</w:t>
      </w:r>
      <w:r w:rsidRPr="00731973">
        <w:rPr>
          <w:rFonts w:eastAsia="Times New Roman" w:cs="Arial"/>
          <w:iCs/>
          <w:szCs w:val="20"/>
          <w:lang w:eastAsia="sl-SI"/>
        </w:rPr>
        <w:t xml:space="preserve"> izpolnjuje pogoj glede elektro intenzivnosti.</w:t>
      </w:r>
    </w:p>
    <w:p w14:paraId="5785EF76" w14:textId="43964DC8"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Analiza</w:t>
      </w:r>
      <w:r w:rsidR="009B4C5F">
        <w:rPr>
          <w:rFonts w:eastAsia="Times New Roman" w:cs="Arial"/>
          <w:iCs/>
          <w:szCs w:val="20"/>
          <w:lang w:eastAsia="sl-SI"/>
        </w:rPr>
        <w:t xml:space="preserve"> naročena s strani </w:t>
      </w:r>
      <w:r w:rsidR="00104641">
        <w:rPr>
          <w:rFonts w:eastAsia="Times New Roman" w:cs="Arial"/>
          <w:iCs/>
          <w:szCs w:val="20"/>
          <w:lang w:eastAsia="sl-SI"/>
        </w:rPr>
        <w:t xml:space="preserve">Ministrstva za gospodarstvo, turizem in šport (v nadaljnjem besedilu: </w:t>
      </w:r>
      <w:r w:rsidR="009B4C5F">
        <w:rPr>
          <w:rFonts w:eastAsia="Times New Roman" w:cs="Arial"/>
          <w:iCs/>
          <w:szCs w:val="20"/>
          <w:lang w:eastAsia="sl-SI"/>
        </w:rPr>
        <w:t>MGTŠ</w:t>
      </w:r>
      <w:r w:rsidR="00104641">
        <w:rPr>
          <w:rFonts w:eastAsia="Times New Roman" w:cs="Arial"/>
          <w:iCs/>
          <w:szCs w:val="20"/>
          <w:lang w:eastAsia="sl-SI"/>
        </w:rPr>
        <w:t>)</w:t>
      </w:r>
      <w:r w:rsidR="009B4C5F">
        <w:rPr>
          <w:rFonts w:eastAsia="Times New Roman" w:cs="Arial"/>
          <w:iCs/>
          <w:szCs w:val="20"/>
          <w:lang w:eastAsia="sl-SI"/>
        </w:rPr>
        <w:t xml:space="preserve"> je pokazala, da če </w:t>
      </w:r>
      <w:r w:rsidR="008779D6">
        <w:rPr>
          <w:rFonts w:eastAsia="Times New Roman" w:cs="Arial"/>
          <w:iCs/>
          <w:szCs w:val="20"/>
          <w:lang w:eastAsia="sl-SI"/>
        </w:rPr>
        <w:t xml:space="preserve">se </w:t>
      </w:r>
      <w:r w:rsidR="009B4C5F">
        <w:rPr>
          <w:rFonts w:eastAsia="Times New Roman" w:cs="Arial"/>
          <w:iCs/>
          <w:szCs w:val="20"/>
          <w:lang w:eastAsia="sl-SI"/>
        </w:rPr>
        <w:t xml:space="preserve">poleg kriterijev elektro in trgovinske intenzivnosti upošteva še </w:t>
      </w:r>
      <w:r w:rsidRPr="00731973">
        <w:rPr>
          <w:rFonts w:eastAsia="Times New Roman" w:cs="Arial"/>
          <w:iCs/>
          <w:szCs w:val="20"/>
          <w:lang w:eastAsia="sl-SI"/>
        </w:rPr>
        <w:t>dodatn</w:t>
      </w:r>
      <w:r w:rsidR="009B4C5F">
        <w:rPr>
          <w:rFonts w:eastAsia="Times New Roman" w:cs="Arial"/>
          <w:iCs/>
          <w:szCs w:val="20"/>
          <w:lang w:eastAsia="sl-SI"/>
        </w:rPr>
        <w:t>i</w:t>
      </w:r>
      <w:r w:rsidRPr="00731973">
        <w:rPr>
          <w:rFonts w:eastAsia="Times New Roman" w:cs="Arial"/>
          <w:iCs/>
          <w:szCs w:val="20"/>
          <w:lang w:eastAsia="sl-SI"/>
        </w:rPr>
        <w:t xml:space="preserve"> kriterij </w:t>
      </w:r>
      <w:r w:rsidR="008779D6">
        <w:rPr>
          <w:rFonts w:eastAsia="Times New Roman" w:cs="Arial"/>
          <w:iCs/>
          <w:szCs w:val="20"/>
          <w:lang w:eastAsia="sl-SI"/>
        </w:rPr>
        <w:t xml:space="preserve">z vidika </w:t>
      </w:r>
      <w:r w:rsidRPr="00731973">
        <w:rPr>
          <w:rFonts w:eastAsia="Times New Roman" w:cs="Arial"/>
          <w:iCs/>
          <w:szCs w:val="20"/>
          <w:lang w:eastAsia="sl-SI"/>
        </w:rPr>
        <w:t>vpliva dviga cen električne energije na poslovanje posameznega odjemalca elektrike</w:t>
      </w:r>
      <w:r w:rsidR="008779D6">
        <w:rPr>
          <w:rFonts w:eastAsia="Times New Roman" w:cs="Arial"/>
          <w:iCs/>
          <w:szCs w:val="20"/>
          <w:lang w:eastAsia="sl-SI"/>
        </w:rPr>
        <w:t xml:space="preserve">, ki se razbere skozi primerjavo izbranih </w:t>
      </w:r>
      <w:r w:rsidRPr="00731973">
        <w:rPr>
          <w:rFonts w:eastAsia="Times New Roman" w:cs="Arial"/>
          <w:iCs/>
          <w:szCs w:val="20"/>
          <w:lang w:eastAsia="sl-SI"/>
        </w:rPr>
        <w:t>indikatorjev poslovanja</w:t>
      </w:r>
      <w:r w:rsidR="008779D6">
        <w:rPr>
          <w:rFonts w:eastAsia="Times New Roman" w:cs="Arial"/>
          <w:iCs/>
          <w:szCs w:val="20"/>
          <w:lang w:eastAsia="sl-SI"/>
        </w:rPr>
        <w:t>, ki kažejo na</w:t>
      </w:r>
      <w:r w:rsidRPr="00731973">
        <w:rPr>
          <w:rFonts w:eastAsia="Times New Roman" w:cs="Arial"/>
          <w:iCs/>
          <w:szCs w:val="20"/>
          <w:lang w:eastAsia="sl-SI"/>
        </w:rPr>
        <w:t xml:space="preserve"> negativen vpliv na poslovanje v letu 2024 glede na 2021</w:t>
      </w:r>
      <w:r w:rsidR="008779D6">
        <w:rPr>
          <w:rFonts w:eastAsia="Times New Roman" w:cs="Arial"/>
          <w:iCs/>
          <w:szCs w:val="20"/>
          <w:lang w:eastAsia="sl-SI"/>
        </w:rPr>
        <w:t>, potem</w:t>
      </w:r>
      <w:r w:rsidRPr="00731973">
        <w:rPr>
          <w:rFonts w:eastAsia="Times New Roman" w:cs="Arial"/>
          <w:iCs/>
          <w:szCs w:val="20"/>
          <w:lang w:eastAsia="sl-SI"/>
        </w:rPr>
        <w:t xml:space="preserve"> spadajo med upravičene sektorje rudarstvo, proizvodnja tekstilij, lesnih izdelkov, papirja in kemikalij ter proizvodnja nekovinskih in kovinskih materialov, kovinskih izdelkov, električnih strojev in naprav in proizvodnja vozil. Med upravičene sektorje pa ne bi spadala podjetja v živilski industriji in farmaciji in v proizvodnji gumarskih in plastičnih izdelkov, saj so v teh dejavnostih (v povprečju) uspeli kljub energetski krizi ta stroškovni šok uspešno nadomestiti in izboljšati svoje poslovanje glede na leto 2021. Po podatkih za leto 2024 skupno število upravičenih podjetij do pomoči po kombinaciji teh kriterijev in ob upoštevanju 5 % elektro intenzivnosti znaša 38.</w:t>
      </w:r>
    </w:p>
    <w:p w14:paraId="484078C7"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Kumulativna neposredna ekonomska škoda zaradi neukrepanja v obdobju 2022–2024 (na vzorcu upravičenih podjetij) je ocenjena na 2,2 milijarde EUR izgubljenih prihodkov od prodaje, 1,8 milijarde EUR izgubljenega izvoza, 1,2 milijarde EUR izgubljene dodane vrednosti in 2.000 izgubljenih delovnih mest.</w:t>
      </w:r>
    </w:p>
    <w:p w14:paraId="6C664E3F"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Ocena učinkov v primeru nadaljevanja trenutnih trendov brez ukrepa v obdobju 2025-2027 (na vzorcu upravičenih podjetij) kaže na dodatno potencialno kumulativno izgubo do 1,3 milijarde EUR pri prodaji, 1 milijarde EUR pri izvozu, 0,5 milijarde EUR pri dodani vrednosti in 2.800 delovnih mest. </w:t>
      </w:r>
    </w:p>
    <w:p w14:paraId="2BD4AC91" w14:textId="314CAAC1" w:rsidR="00731973" w:rsidRPr="00731973" w:rsidRDefault="008779D6" w:rsidP="00731973">
      <w:pPr>
        <w:spacing w:before="100" w:beforeAutospacing="1" w:after="100" w:afterAutospacing="1" w:line="240" w:lineRule="auto"/>
        <w:rPr>
          <w:rFonts w:eastAsia="Times New Roman" w:cs="Arial"/>
          <w:iCs/>
          <w:szCs w:val="20"/>
          <w:lang w:eastAsia="sl-SI"/>
        </w:rPr>
      </w:pPr>
      <w:r>
        <w:rPr>
          <w:rFonts w:eastAsia="Times New Roman" w:cs="Arial"/>
          <w:iCs/>
          <w:szCs w:val="20"/>
          <w:lang w:eastAsia="sl-SI"/>
        </w:rPr>
        <w:t>Simulacija</w:t>
      </w:r>
      <w:r w:rsidR="00731973" w:rsidRPr="00731973">
        <w:rPr>
          <w:rFonts w:eastAsia="Times New Roman" w:cs="Arial"/>
          <w:iCs/>
          <w:szCs w:val="20"/>
          <w:lang w:eastAsia="sl-SI"/>
        </w:rPr>
        <w:t xml:space="preserve"> obseg</w:t>
      </w:r>
      <w:r>
        <w:rPr>
          <w:rFonts w:eastAsia="Times New Roman" w:cs="Arial"/>
          <w:iCs/>
          <w:szCs w:val="20"/>
          <w:lang w:eastAsia="sl-SI"/>
        </w:rPr>
        <w:t>a</w:t>
      </w:r>
      <w:r w:rsidR="00731973" w:rsidRPr="00731973">
        <w:rPr>
          <w:rFonts w:eastAsia="Times New Roman" w:cs="Arial"/>
          <w:iCs/>
          <w:szCs w:val="20"/>
          <w:lang w:eastAsia="sl-SI"/>
        </w:rPr>
        <w:t xml:space="preserve"> državne pomoči ob različnih višinah praga odjema električne energije (&gt;15 GWh ali &gt;20 GWh) in ob različnih višinah praga elektro intenzivnosti posameznih podjetij (v razponu med &gt;3 % in &gt;8 %)</w:t>
      </w:r>
      <w:r>
        <w:rPr>
          <w:rFonts w:eastAsia="Times New Roman" w:cs="Arial"/>
          <w:iCs/>
          <w:szCs w:val="20"/>
          <w:lang w:eastAsia="sl-SI"/>
        </w:rPr>
        <w:t xml:space="preserve"> je pokazala</w:t>
      </w:r>
      <w:r w:rsidR="00731973" w:rsidRPr="00731973">
        <w:rPr>
          <w:rFonts w:eastAsia="Times New Roman" w:cs="Arial"/>
          <w:iCs/>
          <w:szCs w:val="20"/>
          <w:lang w:eastAsia="sl-SI"/>
        </w:rPr>
        <w:t xml:space="preserve">, da bi uvedba sheme državne pomoči ob upoštevanju praga odjema električne energije &gt;15 GWh in &gt;5 % elektro intenzivnosti zajemala 38 upravičenih podjetij. Skupen obseg subvencionirane porabe </w:t>
      </w:r>
      <w:r w:rsidR="00104641">
        <w:rPr>
          <w:rFonts w:eastAsia="Times New Roman" w:cs="Arial"/>
          <w:iCs/>
          <w:szCs w:val="20"/>
          <w:lang w:eastAsia="sl-SI"/>
        </w:rPr>
        <w:t>električne energije</w:t>
      </w:r>
      <w:r w:rsidR="00731973" w:rsidRPr="00731973">
        <w:rPr>
          <w:rFonts w:eastAsia="Times New Roman" w:cs="Arial"/>
          <w:iCs/>
          <w:szCs w:val="20"/>
          <w:lang w:eastAsia="sl-SI"/>
        </w:rPr>
        <w:t xml:space="preserve"> po zamejeni ceni (70 EUR/MWh) bi znašal 1,081 TWh električne energije letno in bi za državni proračun pomenila obveznost v višini 30 milijonov EUR letno. </w:t>
      </w:r>
    </w:p>
    <w:p w14:paraId="77939928" w14:textId="77777777" w:rsidR="00731973" w:rsidRPr="00731973" w:rsidRDefault="00731973" w:rsidP="00731973">
      <w:pPr>
        <w:spacing w:before="100" w:beforeAutospacing="1" w:after="100" w:afterAutospacing="1" w:line="240" w:lineRule="auto"/>
        <w:rPr>
          <w:rFonts w:eastAsia="Times New Roman" w:cs="Arial"/>
          <w:iCs/>
          <w:szCs w:val="20"/>
          <w:lang w:eastAsia="sl-SI"/>
        </w:rPr>
      </w:pPr>
      <w:r w:rsidRPr="00731973">
        <w:rPr>
          <w:rFonts w:eastAsia="Times New Roman" w:cs="Arial"/>
          <w:iCs/>
          <w:szCs w:val="20"/>
          <w:lang w:eastAsia="sl-SI"/>
        </w:rPr>
        <w:t xml:space="preserve">Modelske ocene kažejo, da bi kumulativni učinek od vladnega ukrepa v naslednjih treh letih na ravni celotnega gospodarstva lahko vplival na povečanje skupnih prihodkov in prihodkov od izvoza za 0.7 %, dodane vrednosti za 0.4 % in zaposlenosti za 0.4 %. Vrednostno (v cenah iz leta 2024) to pomeni, da bi zaradi vladnega ukrepa zamejitve cen električne energije za upravičene sektorje lahko prišlo do kumulativnega povečanja prihodkov od prodaje v višini za 840 mio EUR, prihodkov od izvoza za 410 </w:t>
      </w:r>
      <w:r w:rsidRPr="00731973">
        <w:rPr>
          <w:rFonts w:eastAsia="Times New Roman" w:cs="Arial"/>
          <w:iCs/>
          <w:szCs w:val="20"/>
          <w:lang w:eastAsia="sl-SI"/>
        </w:rPr>
        <w:lastRenderedPageBreak/>
        <w:t>mio EUR, dodane vrednosti za do 285 mio EUR in za okrog 110 novih delovnih mest v panogah, ki bodo deležne državne pomoči.</w:t>
      </w:r>
    </w:p>
    <w:p w14:paraId="611AED31" w14:textId="77777777" w:rsidR="00F341E0" w:rsidRPr="00467F12" w:rsidRDefault="00F341E0" w:rsidP="009F54B1">
      <w:pPr>
        <w:suppressAutoHyphens/>
        <w:overflowPunct w:val="0"/>
        <w:autoSpaceDE w:val="0"/>
        <w:autoSpaceDN w:val="0"/>
        <w:adjustRightInd w:val="0"/>
        <w:spacing w:after="0" w:line="260" w:lineRule="exact"/>
        <w:textAlignment w:val="baseline"/>
        <w:outlineLvl w:val="3"/>
        <w:rPr>
          <w:rFonts w:eastAsia="Times New Roman" w:cs="Arial"/>
          <w:iCs/>
          <w:szCs w:val="20"/>
          <w:lang w:eastAsia="sl-SI"/>
        </w:rPr>
      </w:pPr>
    </w:p>
    <w:p w14:paraId="11967B9B" w14:textId="77777777" w:rsidR="00467F12" w:rsidRDefault="00467F12"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4F05A224" w14:textId="75B5F8E9"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2. CILJI, NAČELA IN POGLAVITNE REŠITVE PREDLOGA ZAKONA</w:t>
      </w:r>
    </w:p>
    <w:p w14:paraId="71663A05" w14:textId="77777777" w:rsidR="00F5378F" w:rsidRPr="00620790" w:rsidRDefault="00F5378F" w:rsidP="00ED6BA3">
      <w:pPr>
        <w:rPr>
          <w:rFonts w:eastAsia="Times New Roman"/>
          <w:lang w:eastAsia="sl-SI"/>
        </w:rPr>
      </w:pPr>
    </w:p>
    <w:p w14:paraId="37B1A50E" w14:textId="1B3E421E" w:rsidR="009F54B1"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2.1 Cilji</w:t>
      </w:r>
    </w:p>
    <w:p w14:paraId="56450165" w14:textId="7F9EDCFA" w:rsidR="00D25D04" w:rsidRDefault="00D25D04" w:rsidP="00484FB5">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4572FAD0" w14:textId="0CDE6A4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 xml:space="preserve">Glavni cilji </w:t>
      </w:r>
      <w:r w:rsidR="00104641">
        <w:rPr>
          <w:rFonts w:eastAsia="Times New Roman" w:cs="Arial"/>
          <w:szCs w:val="20"/>
          <w:lang w:eastAsia="sl-SI"/>
        </w:rPr>
        <w:t xml:space="preserve">predloga zakona </w:t>
      </w:r>
      <w:r w:rsidRPr="00797896">
        <w:rPr>
          <w:rFonts w:eastAsia="Times New Roman" w:cs="Arial"/>
          <w:szCs w:val="20"/>
          <w:lang w:eastAsia="sl-SI"/>
        </w:rPr>
        <w:t>so:</w:t>
      </w:r>
    </w:p>
    <w:p w14:paraId="670CCCD6" w14:textId="5D32AB4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1.</w:t>
      </w:r>
      <w:r>
        <w:rPr>
          <w:rFonts w:eastAsia="Times New Roman" w:cs="Arial"/>
          <w:szCs w:val="20"/>
          <w:lang w:eastAsia="sl-SI"/>
        </w:rPr>
        <w:t xml:space="preserve"> </w:t>
      </w:r>
      <w:r w:rsidRPr="00797896">
        <w:rPr>
          <w:rFonts w:eastAsia="Times New Roman" w:cs="Arial"/>
          <w:szCs w:val="20"/>
          <w:lang w:eastAsia="sl-SI"/>
        </w:rPr>
        <w:t>ohranitev mednarodne konkurenčnosti elektrointenzivnih podjetij v upravičenih sektorjih v Republiki Sloveniji v razmerah visokih in volatilnih cen električne energije,</w:t>
      </w:r>
    </w:p>
    <w:p w14:paraId="711B0E52" w14:textId="0A1A331E"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2.</w:t>
      </w:r>
      <w:r>
        <w:rPr>
          <w:rFonts w:eastAsia="Times New Roman" w:cs="Arial"/>
          <w:szCs w:val="20"/>
          <w:lang w:eastAsia="sl-SI"/>
        </w:rPr>
        <w:t xml:space="preserve"> </w:t>
      </w:r>
      <w:r w:rsidRPr="00797896">
        <w:rPr>
          <w:rFonts w:eastAsia="Times New Roman" w:cs="Arial"/>
          <w:szCs w:val="20"/>
          <w:lang w:eastAsia="sl-SI"/>
        </w:rPr>
        <w:t>preprečevanje selitve proizvodnje in izgube delovnih mest v energetsko intenzivni industriji,</w:t>
      </w:r>
    </w:p>
    <w:p w14:paraId="3601652A" w14:textId="510AE907"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3.</w:t>
      </w:r>
      <w:r>
        <w:rPr>
          <w:rFonts w:eastAsia="Times New Roman" w:cs="Arial"/>
          <w:szCs w:val="20"/>
          <w:lang w:eastAsia="sl-SI"/>
        </w:rPr>
        <w:t xml:space="preserve"> </w:t>
      </w:r>
      <w:r w:rsidRPr="00797896">
        <w:rPr>
          <w:rFonts w:eastAsia="Times New Roman" w:cs="Arial"/>
          <w:szCs w:val="20"/>
          <w:lang w:eastAsia="sl-SI"/>
        </w:rPr>
        <w:t>pospeševanje razogljičenja industrije z zavezo upravičencev, da vsaj polovico prejetih sredstev investirajo v naložbe v razogljičenje,</w:t>
      </w:r>
    </w:p>
    <w:p w14:paraId="6E92BC05" w14:textId="7CDBA38C"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4.</w:t>
      </w:r>
      <w:r>
        <w:rPr>
          <w:rFonts w:eastAsia="Times New Roman" w:cs="Arial"/>
          <w:szCs w:val="20"/>
          <w:lang w:eastAsia="sl-SI"/>
        </w:rPr>
        <w:t xml:space="preserve"> </w:t>
      </w:r>
      <w:r w:rsidRPr="00797896">
        <w:rPr>
          <w:rFonts w:eastAsia="Times New Roman" w:cs="Arial"/>
          <w:szCs w:val="20"/>
          <w:lang w:eastAsia="sl-SI"/>
        </w:rPr>
        <w:t>učinkovita in ciljna uporaba omejenih sredstev, pri kateri se preprečuje prekomerno nadomestilo in dvojno financiranje,</w:t>
      </w:r>
    </w:p>
    <w:p w14:paraId="14F2C61B" w14:textId="2EADC637" w:rsid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5.</w:t>
      </w:r>
      <w:r>
        <w:rPr>
          <w:rFonts w:eastAsia="Times New Roman" w:cs="Arial"/>
          <w:szCs w:val="20"/>
          <w:lang w:eastAsia="sl-SI"/>
        </w:rPr>
        <w:t xml:space="preserve"> </w:t>
      </w:r>
      <w:r w:rsidRPr="00797896">
        <w:rPr>
          <w:rFonts w:eastAsia="Times New Roman" w:cs="Arial"/>
          <w:szCs w:val="20"/>
          <w:lang w:eastAsia="sl-SI"/>
        </w:rPr>
        <w:t xml:space="preserve">zagotavljanje skladnosti z okvirom EU za državne pomoči, zlasti s CISAF in </w:t>
      </w:r>
      <w:r w:rsidR="00104641">
        <w:rPr>
          <w:rFonts w:eastAsia="Times New Roman" w:cs="Arial"/>
          <w:szCs w:val="20"/>
          <w:lang w:eastAsia="sl-SI"/>
        </w:rPr>
        <w:t>S</w:t>
      </w:r>
      <w:r w:rsidRPr="00797896">
        <w:rPr>
          <w:rFonts w:eastAsia="Times New Roman" w:cs="Arial"/>
          <w:szCs w:val="20"/>
          <w:lang w:eastAsia="sl-SI"/>
        </w:rPr>
        <w:t>mernicami</w:t>
      </w:r>
      <w:r w:rsidR="00104641">
        <w:rPr>
          <w:rFonts w:eastAsia="Times New Roman" w:cs="Arial"/>
          <w:szCs w:val="20"/>
          <w:lang w:eastAsia="sl-SI"/>
        </w:rPr>
        <w:t xml:space="preserve"> o državni pomoči za podnebje, varstvo okolja in energijo</w:t>
      </w:r>
      <w:r w:rsidRPr="00797896">
        <w:rPr>
          <w:rFonts w:eastAsia="Times New Roman" w:cs="Arial"/>
          <w:szCs w:val="20"/>
          <w:lang w:eastAsia="sl-SI"/>
        </w:rPr>
        <w:t xml:space="preserve"> </w:t>
      </w:r>
      <w:r w:rsidR="00104641">
        <w:rPr>
          <w:rFonts w:eastAsia="Times New Roman" w:cs="Arial"/>
          <w:szCs w:val="20"/>
          <w:lang w:eastAsia="sl-SI"/>
        </w:rPr>
        <w:t xml:space="preserve">(v nadaljnjem besedilu: </w:t>
      </w:r>
      <w:r w:rsidRPr="00797896">
        <w:rPr>
          <w:rFonts w:eastAsia="Times New Roman" w:cs="Arial"/>
          <w:szCs w:val="20"/>
          <w:lang w:eastAsia="sl-SI"/>
        </w:rPr>
        <w:t>CEEAG</w:t>
      </w:r>
      <w:r w:rsidR="00104641">
        <w:rPr>
          <w:rFonts w:eastAsia="Times New Roman" w:cs="Arial"/>
          <w:szCs w:val="20"/>
          <w:lang w:eastAsia="sl-SI"/>
        </w:rPr>
        <w:t>)</w:t>
      </w:r>
      <w:r w:rsidRPr="00797896">
        <w:rPr>
          <w:rFonts w:eastAsia="Times New Roman" w:cs="Arial"/>
          <w:szCs w:val="20"/>
          <w:lang w:eastAsia="sl-SI"/>
        </w:rPr>
        <w:t>.</w:t>
      </w:r>
    </w:p>
    <w:p w14:paraId="11A4116A" w14:textId="77777777" w:rsidR="00774888" w:rsidRDefault="00774888"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68C22268" w14:textId="6F25A126"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bookmarkStart w:id="3" w:name="_Hlk196395800"/>
      <w:r w:rsidRPr="00620790">
        <w:rPr>
          <w:rFonts w:eastAsia="Times New Roman" w:cs="Arial"/>
          <w:b/>
          <w:szCs w:val="20"/>
          <w:lang w:eastAsia="sl-SI"/>
        </w:rPr>
        <w:t>2.2 Načela</w:t>
      </w:r>
    </w:p>
    <w:p w14:paraId="28635E50" w14:textId="5598609F" w:rsidR="00850A84" w:rsidRDefault="00850A84" w:rsidP="00CD2B23">
      <w:pPr>
        <w:spacing w:line="276" w:lineRule="auto"/>
        <w:contextualSpacing/>
        <w:rPr>
          <w:rFonts w:eastAsia="Times New Roman" w:cs="Arial"/>
          <w:szCs w:val="20"/>
        </w:rPr>
      </w:pPr>
    </w:p>
    <w:p w14:paraId="45F2609C" w14:textId="3DC461C9" w:rsidR="00797896" w:rsidRPr="00797896" w:rsidRDefault="00797896" w:rsidP="00797896">
      <w:pPr>
        <w:spacing w:line="276" w:lineRule="auto"/>
        <w:contextualSpacing/>
        <w:rPr>
          <w:rFonts w:eastAsia="Times New Roman" w:cs="Arial"/>
          <w:szCs w:val="20"/>
        </w:rPr>
      </w:pPr>
      <w:r>
        <w:rPr>
          <w:rFonts w:eastAsia="Times New Roman" w:cs="Arial"/>
          <w:szCs w:val="20"/>
        </w:rPr>
        <w:t xml:space="preserve">Predlog </w:t>
      </w:r>
      <w:r w:rsidR="00104641">
        <w:rPr>
          <w:rFonts w:eastAsia="Times New Roman" w:cs="Arial"/>
          <w:szCs w:val="20"/>
        </w:rPr>
        <w:t>z</w:t>
      </w:r>
      <w:r w:rsidRPr="00797896">
        <w:rPr>
          <w:rFonts w:eastAsia="Times New Roman" w:cs="Arial"/>
          <w:szCs w:val="20"/>
        </w:rPr>
        <w:t>akon</w:t>
      </w:r>
      <w:r>
        <w:rPr>
          <w:rFonts w:eastAsia="Times New Roman" w:cs="Arial"/>
          <w:szCs w:val="20"/>
        </w:rPr>
        <w:t>a</w:t>
      </w:r>
      <w:r w:rsidRPr="00797896">
        <w:rPr>
          <w:rFonts w:eastAsia="Times New Roman" w:cs="Arial"/>
          <w:szCs w:val="20"/>
        </w:rPr>
        <w:t xml:space="preserve"> temelji na naslednjih načelih:</w:t>
      </w:r>
    </w:p>
    <w:p w14:paraId="7E71284B" w14:textId="4D4A5FB3"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ciljne usmerjenosti – pomoč je omejena na elektrointenzivna podjetja v upravičenih sektorjih, za katera je dokazano, da stroški električne energije pomembno vplivajo na njihovo konkurenčnost;</w:t>
      </w:r>
    </w:p>
    <w:p w14:paraId="5623CD77" w14:textId="563DE70F"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časovne omejenosti – ukrep je omejen na obdobje porabe električne energije v letih 2026–2028, zakon pa se uporablja do zaključka poračunov in poročanja;</w:t>
      </w:r>
    </w:p>
    <w:p w14:paraId="368E30C3" w14:textId="6FBD2492"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pogojenosti – dodelitev spodbud je pogojena z izpolnjevanjem meril elektrointenzivnosti, ustreznim energetskim upravljanjem in izvedbo naložb v razogljičenje;</w:t>
      </w:r>
    </w:p>
    <w:p w14:paraId="07F17D36" w14:textId="5D37B48C"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razogljičenja – najmanj 50 % prejetih sredstev morajo upravičenci investirati v naložbe z neposrednim učinkom na zmanjšanje emisij toplogrednih plinov in porabe fosilnih goriv;</w:t>
      </w:r>
    </w:p>
    <w:p w14:paraId="565D4853" w14:textId="1B727B35" w:rsidR="00797896" w:rsidRP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preprečevanja prekomernega nadomestila – z zakonskimi omejitvami višine spodbude, minimalno ceno električne energije in upoštevanjem drugih oblik pomoči se preprečuje prekomerno nadomestilo;</w:t>
      </w:r>
    </w:p>
    <w:p w14:paraId="6DFE6271" w14:textId="59A6539D" w:rsidR="00797896" w:rsidRDefault="00797896" w:rsidP="00797896">
      <w:pPr>
        <w:spacing w:line="276" w:lineRule="auto"/>
        <w:contextualSpacing/>
        <w:rPr>
          <w:rFonts w:eastAsia="Times New Roman" w:cs="Arial"/>
          <w:szCs w:val="20"/>
        </w:rPr>
      </w:pPr>
      <w:r w:rsidRPr="00797896">
        <w:rPr>
          <w:rFonts w:eastAsia="Times New Roman" w:cs="Arial"/>
          <w:szCs w:val="20"/>
        </w:rPr>
        <w:t>•</w:t>
      </w:r>
      <w:r>
        <w:rPr>
          <w:rFonts w:eastAsia="Times New Roman" w:cs="Arial"/>
          <w:szCs w:val="20"/>
        </w:rPr>
        <w:t xml:space="preserve"> </w:t>
      </w:r>
      <w:r w:rsidRPr="00797896">
        <w:rPr>
          <w:rFonts w:eastAsia="Times New Roman" w:cs="Arial"/>
          <w:szCs w:val="20"/>
        </w:rPr>
        <w:t>načelo preglednosti in odgovornosti – določa se obveznost poročanja, objave podatkov o prejemnikih in zneskih pomoči ter nadzora nad namensko porabo sredstev.</w:t>
      </w:r>
    </w:p>
    <w:p w14:paraId="323087D4" w14:textId="77777777" w:rsidR="00797896" w:rsidRPr="00620790" w:rsidRDefault="00797896" w:rsidP="00CD2B23">
      <w:pPr>
        <w:spacing w:line="276" w:lineRule="auto"/>
        <w:contextualSpacing/>
        <w:rPr>
          <w:rFonts w:eastAsia="Times New Roman" w:cs="Arial"/>
          <w:szCs w:val="20"/>
        </w:rPr>
      </w:pPr>
    </w:p>
    <w:bookmarkEnd w:id="3"/>
    <w:p w14:paraId="02DECD09" w14:textId="36EDD81B" w:rsidR="009F54B1" w:rsidRPr="00620790" w:rsidRDefault="00F5378F" w:rsidP="00F5378F">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2.3 </w:t>
      </w:r>
      <w:r w:rsidR="009F54B1" w:rsidRPr="00620790">
        <w:rPr>
          <w:rFonts w:eastAsia="Times New Roman" w:cs="Arial"/>
          <w:b/>
          <w:szCs w:val="20"/>
          <w:lang w:eastAsia="sl-SI"/>
        </w:rPr>
        <w:t>Poglavitne rešitve</w:t>
      </w:r>
    </w:p>
    <w:p w14:paraId="7C4F3C5B" w14:textId="77777777" w:rsidR="00F5378F" w:rsidRPr="00620790" w:rsidRDefault="00F5378F" w:rsidP="00F5378F">
      <w:pPr>
        <w:rPr>
          <w:rFonts w:eastAsia="Times New Roman" w:cs="Arial"/>
          <w:szCs w:val="20"/>
          <w:lang w:eastAsia="sl-SI"/>
        </w:rPr>
      </w:pPr>
    </w:p>
    <w:p w14:paraId="7312D39A" w14:textId="2F830C3C" w:rsidR="003F670C" w:rsidRPr="00620790" w:rsidRDefault="00D2648D" w:rsidP="000C21B9">
      <w:pPr>
        <w:overflowPunct w:val="0"/>
        <w:autoSpaceDE w:val="0"/>
        <w:autoSpaceDN w:val="0"/>
        <w:adjustRightInd w:val="0"/>
        <w:ind w:left="360" w:hanging="360"/>
        <w:textAlignment w:val="baseline"/>
        <w:rPr>
          <w:rFonts w:eastAsia="Times New Roman" w:cs="Arial"/>
          <w:b/>
          <w:szCs w:val="20"/>
          <w:lang w:eastAsia="sl-SI"/>
        </w:rPr>
      </w:pPr>
      <w:r w:rsidRPr="00620790">
        <w:rPr>
          <w:rFonts w:eastAsia="Times New Roman" w:cs="Arial"/>
          <w:b/>
          <w:szCs w:val="20"/>
          <w:lang w:eastAsia="sl-SI"/>
        </w:rPr>
        <w:t xml:space="preserve">a) </w:t>
      </w:r>
      <w:r w:rsidR="009F54B1" w:rsidRPr="00620790">
        <w:rPr>
          <w:rFonts w:eastAsia="Times New Roman" w:cs="Arial"/>
          <w:b/>
          <w:szCs w:val="20"/>
          <w:lang w:eastAsia="sl-SI"/>
        </w:rPr>
        <w:t>Predstavitev predlaganih rešitev:</w:t>
      </w:r>
    </w:p>
    <w:p w14:paraId="10E0F230" w14:textId="77777777"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Poglavitne rešitve zakona so:</w:t>
      </w:r>
    </w:p>
    <w:p w14:paraId="20B7E3AC" w14:textId="2F00A57E"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opredelitev elektrointenzivnih podjetij in upravičenih sektorjev na podlagi razmerja med stroški električne energije in dodano vrednostjo ter s sklicevanjem na prilogo smernic CEEAG oziroma dodatne odločitve Evropske komisije v okviru CISAF,</w:t>
      </w:r>
    </w:p>
    <w:p w14:paraId="49A5F4DB" w14:textId="23D1C1F9"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določitev upravičencev z minimalno letno porabo električne energije 15 GWh, najmanj 5 % deležem stroškov električne energije v dodani vrednosti in uvedenim sistemom upravljanja z energijo (npr. ISO 50001),</w:t>
      </w:r>
    </w:p>
    <w:p w14:paraId="7EAF5850" w14:textId="66599BB2"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določitev referenčne tržne cene električne energije na podlagi povprečja zadnjih dvanajstih mesečnih cen produkta »EEX-PXE Slovenian Power Base Year Future« za posamezno leto,</w:t>
      </w:r>
    </w:p>
    <w:p w14:paraId="27DBDE57" w14:textId="038A951A"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omejitev intenzivnosti spodbude na največ 50 % stroškov napovedane porabe električne energije, z dodatnimi varovalkami:</w:t>
      </w:r>
    </w:p>
    <w:p w14:paraId="38ED6B06" w14:textId="5B55356C"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lastRenderedPageBreak/>
        <w:t>da stroški električne energije po prejemu spodbude ne smejo pasti pod 50 % stroškov, ki bi nastali pri referenčni tržni ceni,</w:t>
      </w:r>
    </w:p>
    <w:p w14:paraId="072FA099" w14:textId="6C5E538E"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da povprečni strošek električne energije ne sme biti nižji od 50 EUR/MWh,</w:t>
      </w:r>
    </w:p>
    <w:p w14:paraId="4930B1C6" w14:textId="32489B19" w:rsidR="00797896" w:rsidRPr="00797896" w:rsidRDefault="00797896" w:rsidP="00797896">
      <w:pPr>
        <w:pStyle w:val="Odstavekseznama"/>
        <w:numPr>
          <w:ilvl w:val="0"/>
          <w:numId w:val="50"/>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da se upošteva vpliv vseh drugih oblik pomoči za blaženje visokih stroškov električne energije,</w:t>
      </w:r>
    </w:p>
    <w:p w14:paraId="6C20C880" w14:textId="1FEAA969"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povezava pomoči z naložbami v razogljičenje, pri čemer morajo upravičenci najmanj 50 % prejetih sredstev uporabiti za naložbe v:</w:t>
      </w:r>
    </w:p>
    <w:p w14:paraId="40B8D2F5" w14:textId="4D21995C"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proizvodnjo energije iz obnovljivih virov,</w:t>
      </w:r>
    </w:p>
    <w:p w14:paraId="0D81CF9B" w14:textId="6D26AA2E"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shranjevanje energije,</w:t>
      </w:r>
    </w:p>
    <w:p w14:paraId="4806358A" w14:textId="791C7C64"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prožnost na strani odjema,</w:t>
      </w:r>
    </w:p>
    <w:p w14:paraId="3140CCDF" w14:textId="3DB165C2"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energetsko učinkovitost,</w:t>
      </w:r>
    </w:p>
    <w:p w14:paraId="1E004368" w14:textId="75155F84"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proizvodnjo obnovljivega ali nizkoogljičnega vodika,</w:t>
      </w:r>
    </w:p>
    <w:p w14:paraId="0B26AFB2" w14:textId="6A902419" w:rsidR="00797896" w:rsidRPr="00797896" w:rsidRDefault="00797896" w:rsidP="00797896">
      <w:pPr>
        <w:pStyle w:val="Odstavekseznama"/>
        <w:numPr>
          <w:ilvl w:val="0"/>
          <w:numId w:val="51"/>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elektrifikacijo procesov z nadomeščanjem fosilnih goriv,</w:t>
      </w:r>
    </w:p>
    <w:p w14:paraId="662EFB01" w14:textId="5E5008CD"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jasno urejen postopek javnega poziva, vloge in odločanja:</w:t>
      </w:r>
    </w:p>
    <w:p w14:paraId="3360502C" w14:textId="102B54A3"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letni javni poziv do 31. januarja,</w:t>
      </w:r>
    </w:p>
    <w:p w14:paraId="10F076AA" w14:textId="1250D73D"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natančno opredeljena vsebina vloge in dokazil,</w:t>
      </w:r>
    </w:p>
    <w:p w14:paraId="74050097" w14:textId="27CAD90E"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odločanje operaterja trga z odločbo z določeno najvišjo letno spodbudo,</w:t>
      </w:r>
    </w:p>
    <w:p w14:paraId="7EF4A0D4" w14:textId="0BA82771" w:rsidR="00797896" w:rsidRPr="00797896" w:rsidRDefault="00797896" w:rsidP="00797896">
      <w:pPr>
        <w:pStyle w:val="Odstavekseznama"/>
        <w:numPr>
          <w:ilvl w:val="0"/>
          <w:numId w:val="52"/>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izplačevanje v obliki akontacij in poračun na podlagi dejanske porabe in poročanja,</w:t>
      </w:r>
    </w:p>
    <w:p w14:paraId="09CAEE83" w14:textId="40609E9A"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zagotavljanje virov sredstev s posebno obveznostjo družb v 100 % lasti države, ki imajo v lasti elektrarne s skupno močjo nad 400 MW, da v skladu s sklepom vlade zagotavljajo finančna sredstva za spodbude in stroške operaterja trga,</w:t>
      </w:r>
    </w:p>
    <w:p w14:paraId="492CD70E" w14:textId="0F5DF264" w:rsidR="00797896" w:rsidRPr="00797896"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obveznosti poročanja in nadzora, vključno z:</w:t>
      </w:r>
    </w:p>
    <w:p w14:paraId="58430828" w14:textId="4F642EB9"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letnim poročanjem upravičencev operaterju trga o porabi električne energije in o izvedbi naložb v razogljičenje,</w:t>
      </w:r>
    </w:p>
    <w:p w14:paraId="1E9CB8BB" w14:textId="1D86B429"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vodenjem evidenc in objavo podatkov o prejemnikih ter zneskih spodbud,</w:t>
      </w:r>
    </w:p>
    <w:p w14:paraId="7D679B5F" w14:textId="2E511027" w:rsidR="00797896" w:rsidRPr="00797896" w:rsidRDefault="00797896" w:rsidP="00797896">
      <w:pPr>
        <w:pStyle w:val="Odstavekseznama"/>
        <w:numPr>
          <w:ilvl w:val="0"/>
          <w:numId w:val="53"/>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nadzorom s strani pristojne inšpekcije,</w:t>
      </w:r>
    </w:p>
    <w:p w14:paraId="33CA9323" w14:textId="5E29735A" w:rsidR="005430AC" w:rsidRDefault="00797896" w:rsidP="00797896">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797896">
        <w:rPr>
          <w:rFonts w:eastAsia="Times New Roman" w:cs="Arial"/>
          <w:szCs w:val="20"/>
          <w:lang w:eastAsia="sl-SI"/>
        </w:rPr>
        <w:t>•</w:t>
      </w:r>
      <w:r>
        <w:rPr>
          <w:rFonts w:eastAsia="Times New Roman" w:cs="Arial"/>
          <w:szCs w:val="20"/>
          <w:lang w:eastAsia="sl-SI"/>
        </w:rPr>
        <w:t xml:space="preserve"> </w:t>
      </w:r>
      <w:r w:rsidRPr="00797896">
        <w:rPr>
          <w:rFonts w:eastAsia="Times New Roman" w:cs="Arial"/>
          <w:szCs w:val="20"/>
          <w:lang w:eastAsia="sl-SI"/>
        </w:rPr>
        <w:t>sankcije in vračila v primeru neresničnih podatkov, neizpolnjevanja pogojev ali neizvedbe naložb v razogljičenje, vključno z obveznostjo vračila neupravičeno prejetih sredstev z zamudnimi obrestmi in predpisom prekrškov.</w:t>
      </w:r>
    </w:p>
    <w:p w14:paraId="78B1977C" w14:textId="77777777" w:rsidR="00797896" w:rsidRPr="009B551B" w:rsidRDefault="00797896" w:rsidP="005430AC">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2B98F27C" w14:textId="0B66EA06" w:rsidR="009F54B1" w:rsidRDefault="00D2648D" w:rsidP="009F54B1">
      <w:pPr>
        <w:overflowPunct w:val="0"/>
        <w:autoSpaceDE w:val="0"/>
        <w:autoSpaceDN w:val="0"/>
        <w:adjustRightInd w:val="0"/>
        <w:spacing w:line="276" w:lineRule="auto"/>
        <w:ind w:left="360" w:hanging="360"/>
        <w:textAlignment w:val="baseline"/>
        <w:rPr>
          <w:rFonts w:eastAsia="Times New Roman" w:cs="Arial"/>
          <w:b/>
          <w:szCs w:val="20"/>
          <w:lang w:eastAsia="sl-SI"/>
        </w:rPr>
      </w:pPr>
      <w:r w:rsidRPr="00620790">
        <w:rPr>
          <w:rFonts w:eastAsia="Times New Roman" w:cs="Arial"/>
          <w:b/>
          <w:szCs w:val="20"/>
          <w:lang w:eastAsia="sl-SI"/>
        </w:rPr>
        <w:t xml:space="preserve">b) </w:t>
      </w:r>
      <w:r w:rsidR="009F54B1" w:rsidRPr="00620790">
        <w:rPr>
          <w:rFonts w:eastAsia="Times New Roman" w:cs="Arial"/>
          <w:b/>
          <w:szCs w:val="20"/>
          <w:lang w:eastAsia="sl-SI"/>
        </w:rPr>
        <w:t>Način reševanja:</w:t>
      </w:r>
    </w:p>
    <w:p w14:paraId="64565220" w14:textId="56A11E1B" w:rsidR="00625A40" w:rsidRDefault="00711869" w:rsidP="00711869">
      <w:pPr>
        <w:suppressAutoHyphens/>
        <w:overflowPunct w:val="0"/>
        <w:autoSpaceDE w:val="0"/>
        <w:autoSpaceDN w:val="0"/>
        <w:adjustRightInd w:val="0"/>
        <w:spacing w:line="260" w:lineRule="exact"/>
        <w:textAlignment w:val="baseline"/>
        <w:rPr>
          <w:rFonts w:eastAsia="Times New Roman" w:cs="Arial"/>
          <w:szCs w:val="20"/>
          <w:lang w:eastAsia="sl-SI"/>
        </w:rPr>
      </w:pPr>
      <w:r w:rsidRPr="00711869">
        <w:rPr>
          <w:rFonts w:eastAsia="Times New Roman" w:cs="Arial"/>
          <w:bCs/>
          <w:szCs w:val="20"/>
          <w:lang w:eastAsia="sl-SI"/>
        </w:rPr>
        <w:t>Poglavitna vprašanja, ki se bodo urejala s predlaganim zakonom, so navedena v predhodni točki.</w:t>
      </w:r>
      <w:r w:rsidRPr="00711869">
        <w:rPr>
          <w:rFonts w:eastAsia="Times New Roman" w:cs="Arial"/>
          <w:sz w:val="22"/>
          <w:lang w:eastAsia="sl-SI"/>
        </w:rPr>
        <w:t xml:space="preserve"> </w:t>
      </w:r>
      <w:r w:rsidRPr="00711869">
        <w:rPr>
          <w:rFonts w:eastAsia="Times New Roman" w:cs="Arial"/>
          <w:szCs w:val="20"/>
          <w:lang w:eastAsia="sl-SI"/>
        </w:rPr>
        <w:t>Predlog zakona</w:t>
      </w:r>
      <w:r w:rsidR="00630C8A">
        <w:rPr>
          <w:rFonts w:eastAsia="Times New Roman" w:cs="Arial"/>
          <w:szCs w:val="20"/>
          <w:lang w:eastAsia="sl-SI"/>
        </w:rPr>
        <w:t xml:space="preserve"> ne predvideva </w:t>
      </w:r>
      <w:r>
        <w:rPr>
          <w:rFonts w:eastAsia="Times New Roman" w:cs="Arial"/>
          <w:szCs w:val="20"/>
          <w:lang w:eastAsia="sl-SI"/>
        </w:rPr>
        <w:t>izdajo</w:t>
      </w:r>
      <w:r w:rsidRPr="00711869">
        <w:rPr>
          <w:rFonts w:eastAsia="Times New Roman" w:cs="Arial"/>
          <w:szCs w:val="20"/>
          <w:lang w:eastAsia="sl-SI"/>
        </w:rPr>
        <w:t xml:space="preserve"> podzakonskih predpisov, tako </w:t>
      </w:r>
      <w:r w:rsidR="00630C8A">
        <w:rPr>
          <w:rFonts w:eastAsia="Times New Roman" w:cs="Arial"/>
          <w:szCs w:val="20"/>
          <w:lang w:eastAsia="sl-SI"/>
        </w:rPr>
        <w:t xml:space="preserve">ne s strani </w:t>
      </w:r>
      <w:r w:rsidRPr="00711869">
        <w:rPr>
          <w:rFonts w:eastAsia="Times New Roman" w:cs="Arial"/>
          <w:szCs w:val="20"/>
          <w:lang w:eastAsia="sl-SI"/>
        </w:rPr>
        <w:t>vlade kot tudi</w:t>
      </w:r>
      <w:r w:rsidR="00630C8A">
        <w:rPr>
          <w:rFonts w:eastAsia="Times New Roman" w:cs="Arial"/>
          <w:szCs w:val="20"/>
          <w:lang w:eastAsia="sl-SI"/>
        </w:rPr>
        <w:t xml:space="preserve"> ne s strani</w:t>
      </w:r>
      <w:r w:rsidRPr="00711869">
        <w:rPr>
          <w:rFonts w:eastAsia="Times New Roman" w:cs="Arial"/>
          <w:szCs w:val="20"/>
          <w:lang w:eastAsia="sl-SI"/>
        </w:rPr>
        <w:t xml:space="preserve"> ministra, pristojnega za energijo. </w:t>
      </w:r>
      <w:r w:rsidR="00630C8A">
        <w:rPr>
          <w:rFonts w:eastAsia="Times New Roman" w:cs="Arial"/>
          <w:szCs w:val="20"/>
          <w:lang w:eastAsia="sl-SI"/>
        </w:rPr>
        <w:t>Mora pa operater trga objaviti navodila vezana na poročanje upravičencev, da bo lahko zagotovil ustrezne podatke za odločanje, spremljanje izvajanja ukrepa in poročanje.</w:t>
      </w:r>
    </w:p>
    <w:p w14:paraId="46EA888F" w14:textId="77777777" w:rsidR="00EF0CC6" w:rsidRPr="00EF0CC6" w:rsidRDefault="00EF0CC6" w:rsidP="00EF0CC6">
      <w:pPr>
        <w:pStyle w:val="Odstavekseznama"/>
        <w:overflowPunct w:val="0"/>
        <w:autoSpaceDE w:val="0"/>
        <w:autoSpaceDN w:val="0"/>
        <w:adjustRightInd w:val="0"/>
        <w:spacing w:line="276" w:lineRule="auto"/>
        <w:ind w:left="360"/>
        <w:textAlignment w:val="baseline"/>
        <w:rPr>
          <w:rFonts w:eastAsia="Times New Roman" w:cs="Arial"/>
          <w:b/>
          <w:szCs w:val="20"/>
          <w:lang w:eastAsia="sl-SI"/>
        </w:rPr>
      </w:pPr>
    </w:p>
    <w:p w14:paraId="4547337A" w14:textId="4D8D75BC" w:rsidR="009F54B1" w:rsidRPr="00EF0CC6" w:rsidRDefault="00D2648D" w:rsidP="00EF0CC6">
      <w:pPr>
        <w:overflowPunct w:val="0"/>
        <w:autoSpaceDE w:val="0"/>
        <w:autoSpaceDN w:val="0"/>
        <w:adjustRightInd w:val="0"/>
        <w:spacing w:line="276" w:lineRule="auto"/>
        <w:textAlignment w:val="baseline"/>
        <w:rPr>
          <w:rFonts w:eastAsia="Times New Roman" w:cs="Arial"/>
          <w:b/>
          <w:szCs w:val="20"/>
          <w:lang w:eastAsia="sl-SI"/>
        </w:rPr>
      </w:pPr>
      <w:r w:rsidRPr="00EF0CC6">
        <w:rPr>
          <w:rFonts w:eastAsia="Times New Roman" w:cs="Arial"/>
          <w:b/>
          <w:szCs w:val="20"/>
          <w:lang w:eastAsia="sl-SI"/>
        </w:rPr>
        <w:t xml:space="preserve">c) </w:t>
      </w:r>
      <w:r w:rsidR="009F54B1" w:rsidRPr="00EF0CC6">
        <w:rPr>
          <w:rFonts w:eastAsia="Times New Roman" w:cs="Arial"/>
          <w:b/>
          <w:szCs w:val="20"/>
          <w:lang w:eastAsia="sl-SI"/>
        </w:rPr>
        <w:t>Normativna usklajenost predloga zakona:</w:t>
      </w:r>
    </w:p>
    <w:p w14:paraId="578EB020" w14:textId="270EBF17" w:rsidR="009F54B1" w:rsidRPr="00620790" w:rsidRDefault="00013E94" w:rsidP="009F54B1">
      <w:pPr>
        <w:spacing w:line="260" w:lineRule="exact"/>
        <w:rPr>
          <w:rFonts w:eastAsia="Times New Roman" w:cs="Arial"/>
          <w:szCs w:val="20"/>
        </w:rPr>
      </w:pPr>
      <w:r>
        <w:rPr>
          <w:rFonts w:eastAsia="Times New Roman" w:cs="Arial"/>
          <w:szCs w:val="20"/>
        </w:rPr>
        <w:t>Predlog z</w:t>
      </w:r>
      <w:r w:rsidR="009F54B1" w:rsidRPr="00620790">
        <w:rPr>
          <w:rFonts w:eastAsia="Times New Roman" w:cs="Arial"/>
          <w:szCs w:val="20"/>
        </w:rPr>
        <w:t>akon</w:t>
      </w:r>
      <w:r>
        <w:rPr>
          <w:rFonts w:eastAsia="Times New Roman" w:cs="Arial"/>
          <w:szCs w:val="20"/>
        </w:rPr>
        <w:t>a</w:t>
      </w:r>
      <w:r w:rsidR="009F54B1" w:rsidRPr="00620790">
        <w:rPr>
          <w:rFonts w:eastAsia="Times New Roman" w:cs="Arial"/>
          <w:szCs w:val="20"/>
        </w:rPr>
        <w:t xml:space="preserve"> je usklajen z veljavnim pravnim redom in </w:t>
      </w:r>
      <w:r w:rsidR="00A906C0" w:rsidRPr="00620790">
        <w:rPr>
          <w:rFonts w:eastAsia="Times New Roman" w:cs="Arial"/>
          <w:szCs w:val="20"/>
        </w:rPr>
        <w:t>s</w:t>
      </w:r>
      <w:r w:rsidR="009F54B1" w:rsidRPr="00620790">
        <w:rPr>
          <w:rFonts w:eastAsia="Times New Roman" w:cs="Arial"/>
          <w:szCs w:val="20"/>
        </w:rPr>
        <w:t xml:space="preserve"> pravnim redom E</w:t>
      </w:r>
      <w:r w:rsidR="00A906C0" w:rsidRPr="00620790">
        <w:rPr>
          <w:rFonts w:eastAsia="Times New Roman" w:cs="Arial"/>
          <w:szCs w:val="20"/>
        </w:rPr>
        <w:t>U.</w:t>
      </w:r>
      <w:r w:rsidR="009F54B1" w:rsidRPr="00620790">
        <w:rPr>
          <w:rFonts w:eastAsia="Times New Roman" w:cs="Arial"/>
          <w:szCs w:val="20"/>
        </w:rPr>
        <w:t xml:space="preserve"> </w:t>
      </w:r>
    </w:p>
    <w:p w14:paraId="649D4875" w14:textId="3D9B2984" w:rsidR="00D2648D" w:rsidRPr="00620790" w:rsidRDefault="003F6934" w:rsidP="00D2648D">
      <w:pPr>
        <w:spacing w:line="260" w:lineRule="exact"/>
        <w:rPr>
          <w:rFonts w:eastAsia="Times New Roman" w:cs="Arial"/>
          <w:b/>
          <w:szCs w:val="20"/>
        </w:rPr>
      </w:pPr>
      <w:r w:rsidRPr="00620790">
        <w:rPr>
          <w:rFonts w:eastAsia="Times New Roman" w:cs="Arial"/>
          <w:b/>
          <w:szCs w:val="20"/>
        </w:rPr>
        <w:t>č</w:t>
      </w:r>
      <w:r w:rsidR="00D2648D" w:rsidRPr="00620790">
        <w:rPr>
          <w:rFonts w:eastAsia="Times New Roman" w:cs="Arial"/>
          <w:b/>
          <w:szCs w:val="20"/>
        </w:rPr>
        <w:t>) Usklajenost predloga zakona:</w:t>
      </w:r>
    </w:p>
    <w:p w14:paraId="3EB9C84A" w14:textId="2BC13A1F"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 xml:space="preserve">Gradivo je bilo </w:t>
      </w:r>
      <w:r>
        <w:rPr>
          <w:rFonts w:eastAsia="Times New Roman" w:cs="Arial"/>
          <w:iCs/>
          <w:szCs w:val="20"/>
          <w:lang w:eastAsia="sl-SI"/>
        </w:rPr>
        <w:t xml:space="preserve">v javni obravnavi </w:t>
      </w:r>
      <w:r w:rsidRPr="00630C8A">
        <w:rPr>
          <w:rFonts w:eastAsia="Times New Roman" w:cs="Arial"/>
          <w:iCs/>
          <w:szCs w:val="20"/>
          <w:lang w:eastAsia="sl-SI"/>
        </w:rPr>
        <w:t>objavljeno na e-demokraciji</w:t>
      </w:r>
      <w:r>
        <w:rPr>
          <w:rFonts w:eastAsia="Times New Roman" w:cs="Arial"/>
          <w:iCs/>
          <w:szCs w:val="20"/>
          <w:lang w:eastAsia="sl-SI"/>
        </w:rPr>
        <w:t xml:space="preserve"> od </w:t>
      </w:r>
      <w:r w:rsidR="008B6654">
        <w:t>7</w:t>
      </w:r>
      <w:r w:rsidRPr="00630C8A">
        <w:t>. 11. 2025 do 2</w:t>
      </w:r>
      <w:r w:rsidR="008B6654">
        <w:t>2</w:t>
      </w:r>
      <w:r w:rsidRPr="00630C8A">
        <w:t>. 11. 2025</w:t>
      </w:r>
      <w:r>
        <w:t>. Objavljeno je</w:t>
      </w:r>
      <w:r w:rsidR="008B6654">
        <w:t xml:space="preserve"> bilo</w:t>
      </w:r>
      <w:r>
        <w:t xml:space="preserve"> tudi na Portalu energetika.</w:t>
      </w:r>
    </w:p>
    <w:p w14:paraId="225F731A"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42CF81CA"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 xml:space="preserve">V razpravo so bili vključeni: </w:t>
      </w:r>
    </w:p>
    <w:p w14:paraId="2DB2F7F4" w14:textId="77777777" w:rsidR="00630C8A" w:rsidRPr="00630C8A" w:rsidRDefault="00630C8A" w:rsidP="00630C8A">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predstavniki zainteresirane javnosti,</w:t>
      </w:r>
    </w:p>
    <w:p w14:paraId="45DF0FC0" w14:textId="77777777" w:rsidR="00630C8A" w:rsidRPr="00630C8A" w:rsidRDefault="00630C8A" w:rsidP="00630C8A">
      <w:pPr>
        <w:widowControl w:val="0"/>
        <w:numPr>
          <w:ilvl w:val="0"/>
          <w:numId w:val="6"/>
        </w:numPr>
        <w:overflowPunct w:val="0"/>
        <w:autoSpaceDE w:val="0"/>
        <w:autoSpaceDN w:val="0"/>
        <w:adjustRightInd w:val="0"/>
        <w:spacing w:after="0" w:line="260" w:lineRule="exact"/>
        <w:textAlignment w:val="baseline"/>
        <w:rPr>
          <w:rFonts w:eastAsia="Times New Roman" w:cs="Arial"/>
          <w:iCs/>
          <w:szCs w:val="20"/>
          <w:lang w:eastAsia="sl-SI"/>
        </w:rPr>
      </w:pPr>
      <w:r w:rsidRPr="00630C8A">
        <w:rPr>
          <w:rFonts w:eastAsia="Times New Roman" w:cs="Arial"/>
          <w:iCs/>
          <w:szCs w:val="20"/>
          <w:lang w:eastAsia="sl-SI"/>
        </w:rPr>
        <w:t>predstavniki strokovne javnosti.</w:t>
      </w:r>
    </w:p>
    <w:p w14:paraId="196C16DD" w14:textId="77777777" w:rsidR="00630C8A" w:rsidRPr="00630C8A" w:rsidRDefault="00630C8A" w:rsidP="00630C8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23A707D4" w14:textId="0CB36335" w:rsidR="00AE3AA1" w:rsidRPr="00C81738" w:rsidRDefault="00AE3AA1" w:rsidP="00AE3AA1">
      <w:pPr>
        <w:pStyle w:val="Neotevilenodstavek"/>
        <w:widowControl w:val="0"/>
        <w:spacing w:after="0" w:line="260" w:lineRule="exact"/>
        <w:rPr>
          <w:iCs/>
          <w:szCs w:val="20"/>
        </w:rPr>
      </w:pPr>
      <w:r w:rsidRPr="00C81738">
        <w:rPr>
          <w:iCs/>
          <w:szCs w:val="20"/>
        </w:rPr>
        <w:t>V okviru javne obravnave smo prejeli pripombe različnih deležnikov. To so: SIST, Calcit, Valji</w:t>
      </w:r>
      <w:r w:rsidR="003A7C85">
        <w:rPr>
          <w:iCs/>
          <w:szCs w:val="20"/>
        </w:rPr>
        <w:t>,</w:t>
      </w:r>
      <w:r w:rsidRPr="00C81738">
        <w:rPr>
          <w:iCs/>
          <w:szCs w:val="20"/>
        </w:rPr>
        <w:t xml:space="preserve"> Hidria, SIJ Acroni, Resalta, Gospodarska zbornica Slovenije, Papirnica Vevče, Borzen, AquafilSLO, HSE, GEN-energija, Talum. </w:t>
      </w:r>
    </w:p>
    <w:p w14:paraId="59E41F23" w14:textId="4A98D213" w:rsidR="00AE3AA1" w:rsidRPr="00C81738" w:rsidRDefault="00AE3AA1" w:rsidP="00AE3AA1">
      <w:pPr>
        <w:pStyle w:val="Neotevilenodstavek"/>
        <w:widowControl w:val="0"/>
        <w:spacing w:after="0" w:line="260" w:lineRule="exact"/>
        <w:rPr>
          <w:iCs/>
          <w:szCs w:val="20"/>
        </w:rPr>
      </w:pPr>
      <w:r w:rsidRPr="00C81738">
        <w:rPr>
          <w:iCs/>
          <w:szCs w:val="20"/>
        </w:rPr>
        <w:lastRenderedPageBreak/>
        <w:t>Ministrstvo, pristojno za energijo</w:t>
      </w:r>
      <w:r w:rsidR="003D145C">
        <w:rPr>
          <w:iCs/>
          <w:szCs w:val="20"/>
        </w:rPr>
        <w:t>,</w:t>
      </w:r>
      <w:r w:rsidRPr="00C81738">
        <w:rPr>
          <w:iCs/>
          <w:szCs w:val="20"/>
        </w:rPr>
        <w:t xml:space="preserve"> je pregledalo in obravnavalo vse prejete pripombe in jih v največji možni meri upoštevalo, v kolikor so bile strokovno utemeljene ter niso bile v nasprotju s pravnim redom Republike Slovenije in EU ter sistemskimi rešitvami predloga zakona. </w:t>
      </w:r>
      <w:r>
        <w:rPr>
          <w:iCs/>
          <w:szCs w:val="20"/>
        </w:rPr>
        <w:t>P</w:t>
      </w:r>
      <w:r w:rsidRPr="00C81738">
        <w:rPr>
          <w:iCs/>
          <w:szCs w:val="20"/>
        </w:rPr>
        <w:t>ripomb</w:t>
      </w:r>
      <w:r>
        <w:rPr>
          <w:iCs/>
          <w:szCs w:val="20"/>
        </w:rPr>
        <w:t>e</w:t>
      </w:r>
      <w:r w:rsidR="003A7C85">
        <w:rPr>
          <w:iCs/>
          <w:szCs w:val="20"/>
        </w:rPr>
        <w:t>,</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1F8B7ABA" w14:textId="77777777" w:rsidR="00AE3AA1" w:rsidRPr="00C81738" w:rsidRDefault="00AE3AA1" w:rsidP="00AE3AA1">
      <w:pPr>
        <w:pStyle w:val="Neotevilenodstavek"/>
        <w:widowControl w:val="0"/>
        <w:spacing w:after="0" w:line="260" w:lineRule="exact"/>
        <w:rPr>
          <w:iCs/>
          <w:szCs w:val="20"/>
        </w:rPr>
      </w:pPr>
    </w:p>
    <w:p w14:paraId="44EFF275" w14:textId="77777777" w:rsidR="00AE3AA1" w:rsidRPr="00C81738" w:rsidRDefault="00AE3AA1" w:rsidP="00AE3AA1">
      <w:pPr>
        <w:pStyle w:val="Neotevilenodstavek"/>
        <w:widowControl w:val="0"/>
        <w:spacing w:after="0" w:line="260" w:lineRule="exact"/>
        <w:rPr>
          <w:iCs/>
          <w:szCs w:val="20"/>
        </w:rPr>
      </w:pPr>
      <w:r w:rsidRPr="00C81738">
        <w:rPr>
          <w:iCs/>
          <w:szCs w:val="20"/>
        </w:rPr>
        <w:t xml:space="preserve">Pripombe se nanašajo predvsem na: </w:t>
      </w:r>
    </w:p>
    <w:p w14:paraId="443557E2" w14:textId="77777777" w:rsidR="00AE3AA1" w:rsidRPr="00C81738" w:rsidRDefault="00AE3AA1" w:rsidP="00AE3AA1">
      <w:pPr>
        <w:pStyle w:val="Neotevilenodstavek"/>
        <w:widowControl w:val="0"/>
        <w:spacing w:after="0" w:line="260" w:lineRule="exact"/>
        <w:rPr>
          <w:iCs/>
          <w:szCs w:val="20"/>
        </w:rPr>
      </w:pPr>
      <w:r w:rsidRPr="00C81738">
        <w:rPr>
          <w:iCs/>
          <w:szCs w:val="20"/>
        </w:rPr>
        <w:t>- višine praga letne porabe električne energije za upravičenost do pomoči,</w:t>
      </w:r>
    </w:p>
    <w:p w14:paraId="4D7949B9" w14:textId="77777777" w:rsidR="00AE3AA1" w:rsidRPr="00C81738" w:rsidRDefault="00AE3AA1" w:rsidP="00AE3AA1">
      <w:pPr>
        <w:pStyle w:val="Neotevilenodstavek"/>
        <w:widowControl w:val="0"/>
        <w:spacing w:after="0" w:line="260" w:lineRule="exact"/>
        <w:rPr>
          <w:iCs/>
          <w:szCs w:val="20"/>
        </w:rPr>
      </w:pPr>
      <w:r w:rsidRPr="00C81738">
        <w:rPr>
          <w:iCs/>
          <w:szCs w:val="20"/>
        </w:rPr>
        <w:t>- višino podpore oziroma pomoči,</w:t>
      </w:r>
    </w:p>
    <w:p w14:paraId="410E2921" w14:textId="77777777" w:rsidR="00AE3AA1" w:rsidRPr="00C81738" w:rsidRDefault="00AE3AA1" w:rsidP="00AE3AA1">
      <w:pPr>
        <w:pStyle w:val="Neotevilenodstavek"/>
        <w:widowControl w:val="0"/>
        <w:spacing w:after="0" w:line="260" w:lineRule="exact"/>
        <w:rPr>
          <w:iCs/>
          <w:szCs w:val="20"/>
        </w:rPr>
      </w:pPr>
      <w:r w:rsidRPr="00C81738">
        <w:rPr>
          <w:iCs/>
          <w:szCs w:val="20"/>
        </w:rPr>
        <w:t>- načina kumulacije pomoči tega ukrepa z drugimi spodbudami za iste naložbe,</w:t>
      </w:r>
    </w:p>
    <w:p w14:paraId="574CB88B" w14:textId="77777777" w:rsidR="00AE3AA1" w:rsidRPr="00C81738" w:rsidRDefault="00AE3AA1" w:rsidP="00AE3AA1">
      <w:pPr>
        <w:pStyle w:val="Neotevilenodstavek"/>
        <w:widowControl w:val="0"/>
        <w:spacing w:after="0" w:line="260" w:lineRule="exact"/>
        <w:rPr>
          <w:iCs/>
          <w:szCs w:val="20"/>
        </w:rPr>
      </w:pPr>
      <w:r w:rsidRPr="00C81738">
        <w:rPr>
          <w:iCs/>
          <w:szCs w:val="20"/>
        </w:rPr>
        <w:t>- sistem upravljanja z energijo in</w:t>
      </w:r>
    </w:p>
    <w:p w14:paraId="3550995E" w14:textId="77777777" w:rsidR="00AE3AA1" w:rsidRPr="00C81738" w:rsidRDefault="00AE3AA1" w:rsidP="00AE3AA1">
      <w:pPr>
        <w:pStyle w:val="Neotevilenodstavek"/>
        <w:widowControl w:val="0"/>
        <w:spacing w:after="0" w:line="260" w:lineRule="exact"/>
        <w:rPr>
          <w:iCs/>
          <w:szCs w:val="20"/>
        </w:rPr>
      </w:pPr>
      <w:r w:rsidRPr="00C81738">
        <w:rPr>
          <w:iCs/>
          <w:szCs w:val="20"/>
        </w:rPr>
        <w:t>- načina izvajanja naložb preko pogodbenih modelov energetskih storitev (ESCO).</w:t>
      </w:r>
    </w:p>
    <w:p w14:paraId="70188210" w14:textId="77777777" w:rsidR="00AE3AA1" w:rsidRPr="00C81738" w:rsidRDefault="00AE3AA1" w:rsidP="00AE3AA1">
      <w:pPr>
        <w:pStyle w:val="Neotevilenodstavek"/>
        <w:widowControl w:val="0"/>
        <w:spacing w:after="0" w:line="260" w:lineRule="exact"/>
        <w:rPr>
          <w:iCs/>
          <w:szCs w:val="20"/>
        </w:rPr>
      </w:pPr>
    </w:p>
    <w:p w14:paraId="7742949F" w14:textId="77777777" w:rsidR="00AE3AA1" w:rsidRDefault="00AE3AA1" w:rsidP="00AE3AA1">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Pr>
          <w:iCs/>
          <w:szCs w:val="20"/>
        </w:rPr>
        <w:t>s</w:t>
      </w:r>
      <w:r w:rsidRPr="00C81738">
        <w:rPr>
          <w:iCs/>
          <w:szCs w:val="20"/>
        </w:rPr>
        <w:t>o smiselno upošteva</w:t>
      </w:r>
      <w:r>
        <w:rPr>
          <w:iCs/>
          <w:szCs w:val="20"/>
        </w:rPr>
        <w:t>ne</w:t>
      </w:r>
      <w:r w:rsidRPr="00C81738">
        <w:rPr>
          <w:iCs/>
          <w:szCs w:val="20"/>
        </w:rPr>
        <w:t>.</w:t>
      </w:r>
    </w:p>
    <w:p w14:paraId="1F21DEB1" w14:textId="77777777" w:rsidR="00630C8A" w:rsidRDefault="00630C8A"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5F52277B" w14:textId="77777777" w:rsidR="00630C8A" w:rsidRDefault="00630C8A"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336A337D" w14:textId="7168DF79" w:rsidR="00620790" w:rsidRPr="00784DDE" w:rsidRDefault="009F54B1" w:rsidP="00784DD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3. OCENA FINANČNIH POSLEDIC PREDLOGA ZAKONA ZA DRŽAVNI PRORAČUN IN DRUGA JAVNA FINANČNA SREDSTVA</w:t>
      </w:r>
    </w:p>
    <w:p w14:paraId="157093D1" w14:textId="77777777" w:rsidR="007B025D" w:rsidRPr="00735F02" w:rsidRDefault="007B025D" w:rsidP="00D176F6">
      <w:pPr>
        <w:rPr>
          <w:highlight w:val="cyan"/>
        </w:rPr>
      </w:pPr>
    </w:p>
    <w:p w14:paraId="0D801BF9" w14:textId="17E44B36" w:rsidR="003230E4" w:rsidRDefault="003D145C" w:rsidP="003230E4">
      <w:pPr>
        <w:overflowPunct w:val="0"/>
        <w:autoSpaceDE w:val="0"/>
        <w:autoSpaceDN w:val="0"/>
        <w:adjustRightInd w:val="0"/>
        <w:spacing w:line="276" w:lineRule="auto"/>
        <w:textAlignment w:val="baseline"/>
      </w:pPr>
      <w:r>
        <w:t>Predlog z</w:t>
      </w:r>
      <w:r w:rsidR="003230E4">
        <w:t>akon</w:t>
      </w:r>
      <w:r>
        <w:t>a</w:t>
      </w:r>
      <w:r w:rsidR="003230E4">
        <w:t xml:space="preserve"> predvideva, da se sredstva za izvajanje ukrepa zagotavljajo izven državnega proračuna, in sicer iz sredstev družb proizvajalcev električne energije v 100 % lasti Republike Slovenije, ki imajo v neposredni ali posredni lasti elektrarne s skupno močjo nad 400 MW, razen če proizvajalci izvajajo pretežno gospodarsko javno službo.</w:t>
      </w:r>
    </w:p>
    <w:p w14:paraId="06BDE3CC" w14:textId="43804E03" w:rsidR="003230E4" w:rsidRDefault="003230E4" w:rsidP="003230E4">
      <w:pPr>
        <w:overflowPunct w:val="0"/>
        <w:autoSpaceDE w:val="0"/>
        <w:autoSpaceDN w:val="0"/>
        <w:adjustRightInd w:val="0"/>
        <w:spacing w:line="276" w:lineRule="auto"/>
        <w:textAlignment w:val="baseline"/>
      </w:pPr>
      <w:r>
        <w:t>Vlada bo z vsakoletnim sklepom določila:</w:t>
      </w:r>
    </w:p>
    <w:p w14:paraId="2B09E51D" w14:textId="79A56DA7" w:rsidR="003230E4" w:rsidRDefault="003230E4" w:rsidP="00552272">
      <w:pPr>
        <w:pStyle w:val="Odstavekseznama"/>
        <w:numPr>
          <w:ilvl w:val="1"/>
          <w:numId w:val="55"/>
        </w:numPr>
        <w:overflowPunct w:val="0"/>
        <w:autoSpaceDE w:val="0"/>
        <w:autoSpaceDN w:val="0"/>
        <w:adjustRightInd w:val="0"/>
        <w:spacing w:line="276" w:lineRule="auto"/>
        <w:textAlignment w:val="baseline"/>
      </w:pPr>
      <w:r>
        <w:t xml:space="preserve">skupni razpoložljivi letni znesek sredstev za dodelitev spodbud in </w:t>
      </w:r>
    </w:p>
    <w:p w14:paraId="2107426B" w14:textId="04B5694B" w:rsidR="003230E4" w:rsidRDefault="003230E4" w:rsidP="00552272">
      <w:pPr>
        <w:pStyle w:val="Odstavekseznama"/>
        <w:numPr>
          <w:ilvl w:val="1"/>
          <w:numId w:val="55"/>
        </w:numPr>
        <w:overflowPunct w:val="0"/>
        <w:autoSpaceDE w:val="0"/>
        <w:autoSpaceDN w:val="0"/>
        <w:adjustRightInd w:val="0"/>
        <w:spacing w:line="276" w:lineRule="auto"/>
        <w:textAlignment w:val="baseline"/>
      </w:pPr>
      <w:r>
        <w:t>najvišjo spodbudo v EUR/MWh.</w:t>
      </w:r>
    </w:p>
    <w:p w14:paraId="39BC8FE4" w14:textId="5E159723" w:rsidR="003230E4" w:rsidRDefault="003230E4" w:rsidP="003230E4">
      <w:pPr>
        <w:overflowPunct w:val="0"/>
        <w:autoSpaceDE w:val="0"/>
        <w:autoSpaceDN w:val="0"/>
        <w:adjustRightInd w:val="0"/>
        <w:spacing w:line="276" w:lineRule="auto"/>
        <w:textAlignment w:val="baseline"/>
      </w:pPr>
      <w:r>
        <w:t xml:space="preserve">Pri odločanju bo upoštevala stanje na energetskih trgih, finančne zmožnosti zavezancev ter ocenjeno porabo električne energije upravičencev. Sklep </w:t>
      </w:r>
      <w:r w:rsidR="00552272">
        <w:t>se bo vsako leto</w:t>
      </w:r>
      <w:r>
        <w:t xml:space="preserve"> objavi</w:t>
      </w:r>
      <w:r w:rsidR="00552272">
        <w:t>lo</w:t>
      </w:r>
      <w:r>
        <w:t xml:space="preserve"> v Uradnem listu Republike Slovenije, kar </w:t>
      </w:r>
      <w:r w:rsidR="00552272">
        <w:t xml:space="preserve">bo </w:t>
      </w:r>
      <w:r>
        <w:t>prispeva</w:t>
      </w:r>
      <w:r w:rsidR="00552272">
        <w:t>lo</w:t>
      </w:r>
      <w:r>
        <w:t xml:space="preserve"> k preglednosti in predvidljivosti.</w:t>
      </w:r>
    </w:p>
    <w:p w14:paraId="11E8F6D9" w14:textId="77777777" w:rsidR="003230E4" w:rsidRDefault="003230E4" w:rsidP="003230E4">
      <w:pPr>
        <w:overflowPunct w:val="0"/>
        <w:autoSpaceDE w:val="0"/>
        <w:autoSpaceDN w:val="0"/>
        <w:adjustRightInd w:val="0"/>
        <w:spacing w:line="276" w:lineRule="auto"/>
        <w:textAlignment w:val="baseline"/>
      </w:pPr>
      <w:r>
        <w:t>Posledice za javna sredstva se tako kažejo:</w:t>
      </w:r>
    </w:p>
    <w:p w14:paraId="31528E37" w14:textId="26713D24" w:rsidR="003230E4" w:rsidRDefault="003230E4" w:rsidP="00552272">
      <w:pPr>
        <w:pStyle w:val="Odstavekseznama"/>
        <w:numPr>
          <w:ilvl w:val="1"/>
          <w:numId w:val="57"/>
        </w:numPr>
        <w:overflowPunct w:val="0"/>
        <w:autoSpaceDE w:val="0"/>
        <w:autoSpaceDN w:val="0"/>
        <w:adjustRightInd w:val="0"/>
        <w:spacing w:line="276" w:lineRule="auto"/>
        <w:textAlignment w:val="baseline"/>
      </w:pPr>
      <w:r>
        <w:t>neposredno v obremenitvi zavezancev (energetskih družb v državni lasti), ki sredstva zagotavljajo operaterju trga, in</w:t>
      </w:r>
    </w:p>
    <w:p w14:paraId="4726B457" w14:textId="5362F4A3" w:rsidR="003230E4" w:rsidRDefault="003230E4" w:rsidP="00552272">
      <w:pPr>
        <w:pStyle w:val="Odstavekseznama"/>
        <w:numPr>
          <w:ilvl w:val="1"/>
          <w:numId w:val="57"/>
        </w:numPr>
        <w:overflowPunct w:val="0"/>
        <w:autoSpaceDE w:val="0"/>
        <w:autoSpaceDN w:val="0"/>
        <w:adjustRightInd w:val="0"/>
        <w:spacing w:line="276" w:lineRule="auto"/>
        <w:textAlignment w:val="baseline"/>
      </w:pPr>
      <w:r>
        <w:t>posredno v morebitnem zmanjšanju prihodkov iz dividend ali drugih prihodkov države iz naslova poslovanja teh družb, odvisno od višine letnih sredstev za spodbude.</w:t>
      </w:r>
    </w:p>
    <w:p w14:paraId="32E137B6" w14:textId="77777777" w:rsidR="003230E4" w:rsidRDefault="003230E4" w:rsidP="003230E4">
      <w:pPr>
        <w:overflowPunct w:val="0"/>
        <w:autoSpaceDE w:val="0"/>
        <w:autoSpaceDN w:val="0"/>
        <w:adjustRightInd w:val="0"/>
        <w:spacing w:line="276" w:lineRule="auto"/>
        <w:textAlignment w:val="baseline"/>
      </w:pPr>
      <w:r>
        <w:t>Za državni proračun se predvideva zlasti:</w:t>
      </w:r>
    </w:p>
    <w:p w14:paraId="05230D40" w14:textId="70DAE009" w:rsidR="003230E4" w:rsidRDefault="003230E4" w:rsidP="00B17BA2">
      <w:pPr>
        <w:pStyle w:val="Odstavekseznama"/>
        <w:numPr>
          <w:ilvl w:val="1"/>
          <w:numId w:val="59"/>
        </w:numPr>
        <w:overflowPunct w:val="0"/>
        <w:autoSpaceDE w:val="0"/>
        <w:autoSpaceDN w:val="0"/>
        <w:adjustRightInd w:val="0"/>
        <w:spacing w:line="276" w:lineRule="auto"/>
        <w:textAlignment w:val="baseline"/>
      </w:pPr>
      <w:r>
        <w:t>obremenitev z upravnimi in nadzornimi stroški pristojnih organov (ministrstva, inšpekcije),</w:t>
      </w:r>
    </w:p>
    <w:p w14:paraId="2CBFF258" w14:textId="6BAC9C2A" w:rsidR="003230E4" w:rsidRDefault="003230E4" w:rsidP="00B17BA2">
      <w:pPr>
        <w:pStyle w:val="Odstavekseznama"/>
        <w:numPr>
          <w:ilvl w:val="1"/>
          <w:numId w:val="59"/>
        </w:numPr>
        <w:overflowPunct w:val="0"/>
        <w:autoSpaceDE w:val="0"/>
        <w:autoSpaceDN w:val="0"/>
        <w:adjustRightInd w:val="0"/>
        <w:spacing w:line="276" w:lineRule="auto"/>
        <w:textAlignment w:val="baseline"/>
      </w:pPr>
      <w:r>
        <w:t>morebitne posledice vračil neupravičeno prejetih spodbud, ki se vplačujejo v proračun.</w:t>
      </w:r>
    </w:p>
    <w:p w14:paraId="5AC0E63F" w14:textId="77777777" w:rsidR="003230E4" w:rsidRDefault="003230E4" w:rsidP="003230E4">
      <w:pPr>
        <w:overflowPunct w:val="0"/>
        <w:autoSpaceDE w:val="0"/>
        <w:autoSpaceDN w:val="0"/>
        <w:adjustRightInd w:val="0"/>
        <w:spacing w:line="276" w:lineRule="auto"/>
        <w:textAlignment w:val="baseline"/>
      </w:pPr>
      <w:r>
        <w:t>Natančna kvantitativna ocena finančnih učinkov bo odvisna od:</w:t>
      </w:r>
    </w:p>
    <w:p w14:paraId="354DD548" w14:textId="1E928F98" w:rsidR="003230E4" w:rsidRDefault="003230E4" w:rsidP="00651193">
      <w:pPr>
        <w:pStyle w:val="Odstavekseznama"/>
        <w:numPr>
          <w:ilvl w:val="1"/>
          <w:numId w:val="61"/>
        </w:numPr>
        <w:overflowPunct w:val="0"/>
        <w:autoSpaceDE w:val="0"/>
        <w:autoSpaceDN w:val="0"/>
        <w:adjustRightInd w:val="0"/>
        <w:spacing w:line="276" w:lineRule="auto"/>
        <w:textAlignment w:val="baseline"/>
      </w:pPr>
      <w:r>
        <w:t>števila in strukture upravičencev,</w:t>
      </w:r>
    </w:p>
    <w:p w14:paraId="05FBEF32" w14:textId="37CE27EF" w:rsidR="003230E4" w:rsidRDefault="003230E4" w:rsidP="00651193">
      <w:pPr>
        <w:pStyle w:val="Odstavekseznama"/>
        <w:numPr>
          <w:ilvl w:val="1"/>
          <w:numId w:val="61"/>
        </w:numPr>
        <w:overflowPunct w:val="0"/>
        <w:autoSpaceDE w:val="0"/>
        <w:autoSpaceDN w:val="0"/>
        <w:adjustRightInd w:val="0"/>
        <w:spacing w:line="276" w:lineRule="auto"/>
        <w:textAlignment w:val="baseline"/>
      </w:pPr>
      <w:r>
        <w:t>njihove dejanske porabe električne energije v letih 2026–2028,</w:t>
      </w:r>
    </w:p>
    <w:p w14:paraId="2D1401F2" w14:textId="479210B4" w:rsidR="003230E4" w:rsidRDefault="003230E4" w:rsidP="00651193">
      <w:pPr>
        <w:pStyle w:val="Odstavekseznama"/>
        <w:numPr>
          <w:ilvl w:val="1"/>
          <w:numId w:val="61"/>
        </w:numPr>
        <w:overflowPunct w:val="0"/>
        <w:autoSpaceDE w:val="0"/>
        <w:autoSpaceDN w:val="0"/>
        <w:adjustRightInd w:val="0"/>
        <w:spacing w:line="276" w:lineRule="auto"/>
        <w:textAlignment w:val="baseline"/>
      </w:pPr>
      <w:r>
        <w:t>gibanja tržnih cen električne energije in</w:t>
      </w:r>
    </w:p>
    <w:p w14:paraId="739B5DE7" w14:textId="71BDD0C6" w:rsidR="003230E4" w:rsidRDefault="003230E4" w:rsidP="00651193">
      <w:pPr>
        <w:pStyle w:val="Odstavekseznama"/>
        <w:numPr>
          <w:ilvl w:val="1"/>
          <w:numId w:val="61"/>
        </w:numPr>
        <w:overflowPunct w:val="0"/>
        <w:autoSpaceDE w:val="0"/>
        <w:autoSpaceDN w:val="0"/>
        <w:adjustRightInd w:val="0"/>
        <w:spacing w:line="276" w:lineRule="auto"/>
        <w:textAlignment w:val="baseline"/>
      </w:pPr>
      <w:r>
        <w:t>višine najvišje spodbude, ki jo za posamezno leto določi vlada.</w:t>
      </w:r>
    </w:p>
    <w:p w14:paraId="06421C02" w14:textId="54C34073" w:rsidR="00735F02" w:rsidRDefault="003230E4" w:rsidP="003230E4">
      <w:pPr>
        <w:overflowPunct w:val="0"/>
        <w:autoSpaceDE w:val="0"/>
        <w:autoSpaceDN w:val="0"/>
        <w:adjustRightInd w:val="0"/>
        <w:spacing w:line="276" w:lineRule="auto"/>
        <w:textAlignment w:val="baseline"/>
      </w:pPr>
      <w:r>
        <w:lastRenderedPageBreak/>
        <w:t xml:space="preserve">Zaradi navedenega </w:t>
      </w:r>
      <w:r w:rsidR="00C13DDE">
        <w:t xml:space="preserve">predlog </w:t>
      </w:r>
      <w:r>
        <w:t>zakon</w:t>
      </w:r>
      <w:r w:rsidR="00C13DDE">
        <w:t>a</w:t>
      </w:r>
      <w:r>
        <w:t xml:space="preserve"> določa mehanizem letnega prilagajanja preko sklepa vlade in sorazmernega znižanja najvišje spodbude v primeru preseganja razpoložljivih sredstev, kar omogoča natančnejše obvladovanje finančnih posledic.</w:t>
      </w:r>
    </w:p>
    <w:p w14:paraId="0904C61D" w14:textId="338B3906" w:rsidR="007E7CBC" w:rsidRPr="002552EF" w:rsidRDefault="007E7CBC" w:rsidP="003230E4">
      <w:pPr>
        <w:overflowPunct w:val="0"/>
        <w:autoSpaceDE w:val="0"/>
        <w:autoSpaceDN w:val="0"/>
        <w:adjustRightInd w:val="0"/>
        <w:spacing w:line="276" w:lineRule="auto"/>
        <w:textAlignment w:val="baseline"/>
      </w:pPr>
      <w:r w:rsidRPr="00DD4E31">
        <w:t>Predlog zakona ne bo imel posledic za druga javnofinančna sredstva.</w:t>
      </w:r>
    </w:p>
    <w:p w14:paraId="36F9D0E4" w14:textId="77777777" w:rsidR="009F54B1" w:rsidRPr="0076107B"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4. NAVEDBA, DA SO SREDSTVA ZA IZVAJANJE ZAKONA V DRŽAVNEM PRORAČUNU ZAGOTOVLJENA, ČE PREDLOG ZAKONA PREDVIDEVA PORABO PRORAČUNSKIH SREDSTEV </w:t>
      </w:r>
      <w:r w:rsidRPr="0076107B">
        <w:rPr>
          <w:rFonts w:eastAsia="Times New Roman" w:cs="Arial"/>
          <w:b/>
          <w:szCs w:val="20"/>
          <w:lang w:eastAsia="sl-SI"/>
        </w:rPr>
        <w:t>V OBDOBJU, ZA KATERO JE BIL DRŽAVNI PRORAČUN ŽE SPREJET</w:t>
      </w:r>
    </w:p>
    <w:p w14:paraId="38FBC9EE" w14:textId="77777777" w:rsidR="00D7597E" w:rsidRPr="0076107B" w:rsidRDefault="00D7597E" w:rsidP="006E58FD">
      <w:pPr>
        <w:suppressAutoHyphens/>
        <w:overflowPunct w:val="0"/>
        <w:autoSpaceDE w:val="0"/>
        <w:autoSpaceDN w:val="0"/>
        <w:adjustRightInd w:val="0"/>
        <w:spacing w:after="0" w:line="260" w:lineRule="exact"/>
        <w:jc w:val="left"/>
        <w:textAlignment w:val="baseline"/>
        <w:rPr>
          <w:rFonts w:eastAsia="Times New Roman" w:cs="Arial"/>
          <w:iCs/>
          <w:szCs w:val="20"/>
        </w:rPr>
      </w:pPr>
    </w:p>
    <w:p w14:paraId="02888540" w14:textId="648C474A" w:rsidR="001D7902" w:rsidRPr="00DD4E31" w:rsidRDefault="001D7902" w:rsidP="00C12004">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 xml:space="preserve">Za izvajanje </w:t>
      </w:r>
      <w:r w:rsidR="00C13DDE" w:rsidRPr="00DD4E31">
        <w:rPr>
          <w:rFonts w:eastAsia="Times New Roman" w:cs="Arial"/>
          <w:iCs/>
          <w:szCs w:val="20"/>
        </w:rPr>
        <w:t xml:space="preserve">predloga </w:t>
      </w:r>
      <w:r w:rsidRPr="00DD4E31">
        <w:rPr>
          <w:rFonts w:eastAsia="Times New Roman" w:cs="Arial"/>
          <w:iCs/>
          <w:szCs w:val="20"/>
        </w:rPr>
        <w:t>zakona dodatnih finančnih sredstev v že sprejetem proračunu ni treba zagotoviti.</w:t>
      </w:r>
    </w:p>
    <w:p w14:paraId="72F31731" w14:textId="4EE8F319" w:rsidR="00ED315F" w:rsidRPr="00DD4E31" w:rsidRDefault="0051678F" w:rsidP="001853FC">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 xml:space="preserve">Sredstva za </w:t>
      </w:r>
      <w:r w:rsidR="00CD1846" w:rsidRPr="00DD4E31">
        <w:rPr>
          <w:rFonts w:eastAsia="Times New Roman" w:cs="Arial"/>
          <w:iCs/>
          <w:szCs w:val="20"/>
        </w:rPr>
        <w:t xml:space="preserve">izvajanje ukrepa bodo Borzen zagotovljena iz sredstev ukrepa, ki ga za vsako leto določi vlada. </w:t>
      </w:r>
    </w:p>
    <w:p w14:paraId="3F44F145" w14:textId="784B2CCD" w:rsidR="007E7CBC" w:rsidRPr="00DD4E31" w:rsidRDefault="007E7CBC" w:rsidP="001853FC">
      <w:pPr>
        <w:suppressAutoHyphens/>
        <w:overflowPunct w:val="0"/>
        <w:autoSpaceDE w:val="0"/>
        <w:autoSpaceDN w:val="0"/>
        <w:adjustRightInd w:val="0"/>
        <w:spacing w:after="0" w:line="260" w:lineRule="exact"/>
        <w:textAlignment w:val="baseline"/>
        <w:rPr>
          <w:rFonts w:eastAsia="Times New Roman" w:cs="Arial"/>
          <w:iCs/>
          <w:szCs w:val="20"/>
        </w:rPr>
      </w:pPr>
      <w:r w:rsidRPr="00DD4E31">
        <w:rPr>
          <w:rFonts w:eastAsia="Times New Roman" w:cs="Arial"/>
          <w:iCs/>
          <w:szCs w:val="20"/>
        </w:rPr>
        <w:t>S</w:t>
      </w:r>
      <w:r w:rsidRPr="00DD4E31">
        <w:rPr>
          <w:rFonts w:eastAsia="Times New Roman" w:cs="Arial"/>
          <w:iCs/>
          <w:szCs w:val="20"/>
        </w:rPr>
        <w:t>redstva</w:t>
      </w:r>
      <w:r w:rsidRPr="00DD4E31">
        <w:rPr>
          <w:rFonts w:eastAsia="Times New Roman" w:cs="Arial"/>
          <w:iCs/>
          <w:szCs w:val="20"/>
        </w:rPr>
        <w:t xml:space="preserve"> </w:t>
      </w:r>
      <w:r w:rsidRPr="00DD4E31">
        <w:rPr>
          <w:rFonts w:eastAsia="Times New Roman" w:cs="Arial"/>
          <w:iCs/>
          <w:szCs w:val="20"/>
        </w:rPr>
        <w:t>za obremenitev z upravnimi in nadzornimi stroški pristojnih organov</w:t>
      </w:r>
      <w:r w:rsidRPr="00DD4E31">
        <w:rPr>
          <w:rFonts w:eastAsia="Times New Roman" w:cs="Arial"/>
          <w:iCs/>
          <w:szCs w:val="20"/>
        </w:rPr>
        <w:t xml:space="preserve"> se bodo</w:t>
      </w:r>
      <w:r w:rsidRPr="00DD4E31">
        <w:rPr>
          <w:rFonts w:eastAsia="Times New Roman" w:cs="Arial"/>
          <w:iCs/>
          <w:szCs w:val="20"/>
        </w:rPr>
        <w:t xml:space="preserve"> </w:t>
      </w:r>
      <w:r w:rsidRPr="00DD4E31">
        <w:rPr>
          <w:rFonts w:eastAsia="Times New Roman" w:cs="Arial"/>
          <w:iCs/>
          <w:szCs w:val="20"/>
        </w:rPr>
        <w:t xml:space="preserve">zagotovila </w:t>
      </w:r>
      <w:r w:rsidRPr="00DD4E31">
        <w:rPr>
          <w:rFonts w:eastAsia="Times New Roman" w:cs="Arial"/>
          <w:iCs/>
          <w:szCs w:val="20"/>
        </w:rPr>
        <w:t>v že sprejetih proračunih s prerazporeditvami znotraj proračunskih postavk posameznih proračunskih uporabnikov</w:t>
      </w:r>
      <w:r w:rsidRPr="00DD4E31">
        <w:rPr>
          <w:rFonts w:eastAsia="Times New Roman" w:cs="Arial"/>
          <w:iCs/>
          <w:szCs w:val="20"/>
        </w:rPr>
        <w:t>.</w:t>
      </w:r>
    </w:p>
    <w:p w14:paraId="11797167" w14:textId="77777777" w:rsidR="001853FC" w:rsidRDefault="001853FC" w:rsidP="001853FC">
      <w:pPr>
        <w:suppressAutoHyphens/>
        <w:overflowPunct w:val="0"/>
        <w:autoSpaceDE w:val="0"/>
        <w:autoSpaceDN w:val="0"/>
        <w:adjustRightInd w:val="0"/>
        <w:spacing w:after="0" w:line="260" w:lineRule="exact"/>
        <w:textAlignment w:val="baseline"/>
        <w:rPr>
          <w:rFonts w:eastAsia="Times New Roman" w:cs="Arial"/>
          <w:iCs/>
          <w:szCs w:val="20"/>
        </w:rPr>
      </w:pPr>
    </w:p>
    <w:p w14:paraId="3EEC92F6" w14:textId="661E0FA3"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5. PRIKAZ UREDITVE V DRUGIH PRAVNIH SISTEMIH IN PRILAGOJENOSTI PREDLAGANE UREDITVE PRAVU EVROPSKE UNIJE</w:t>
      </w:r>
    </w:p>
    <w:p w14:paraId="398F980D" w14:textId="77777777" w:rsidR="00FB27C4" w:rsidRPr="00620790" w:rsidRDefault="00FB27C4" w:rsidP="00FB27C4">
      <w:pPr>
        <w:rPr>
          <w:rFonts w:cs="Arial"/>
          <w:szCs w:val="20"/>
          <w:lang w:eastAsia="sl-SI"/>
        </w:rPr>
      </w:pPr>
    </w:p>
    <w:p w14:paraId="3AD03908" w14:textId="741418C9" w:rsidR="009B6A89" w:rsidRPr="002C1EE7" w:rsidRDefault="001D0FA6" w:rsidP="009B6A89">
      <w:pPr>
        <w:rPr>
          <w:rFonts w:cs="Arial"/>
          <w:szCs w:val="20"/>
          <w:lang w:eastAsia="sl-SI"/>
        </w:rPr>
      </w:pPr>
      <w:r w:rsidRPr="002C1EE7">
        <w:rPr>
          <w:rFonts w:cs="Arial"/>
          <w:szCs w:val="20"/>
          <w:lang w:eastAsia="sl-SI"/>
        </w:rPr>
        <w:t>V nadaljevanju se predstavlja aktualna ureditev v treh državah članicah E</w:t>
      </w:r>
      <w:r w:rsidR="000A49D9">
        <w:rPr>
          <w:rFonts w:cs="Arial"/>
          <w:szCs w:val="20"/>
          <w:lang w:eastAsia="sl-SI"/>
        </w:rPr>
        <w:t xml:space="preserve">vropske </w:t>
      </w:r>
      <w:r w:rsidRPr="002C1EE7">
        <w:rPr>
          <w:rFonts w:cs="Arial"/>
          <w:szCs w:val="20"/>
          <w:lang w:eastAsia="sl-SI"/>
        </w:rPr>
        <w:t>U</w:t>
      </w:r>
      <w:r w:rsidR="000A49D9">
        <w:rPr>
          <w:rFonts w:cs="Arial"/>
          <w:szCs w:val="20"/>
          <w:lang w:eastAsia="sl-SI"/>
        </w:rPr>
        <w:t>nije</w:t>
      </w:r>
      <w:r w:rsidR="008C061C">
        <w:rPr>
          <w:rStyle w:val="Sprotnaopomba-sklic"/>
          <w:rFonts w:cs="Arial"/>
          <w:szCs w:val="20"/>
          <w:lang w:eastAsia="sl-SI"/>
        </w:rPr>
        <w:footnoteReference w:id="1"/>
      </w:r>
      <w:r w:rsidR="003071CF" w:rsidRPr="002C1EE7">
        <w:rPr>
          <w:rFonts w:cs="Arial"/>
          <w:szCs w:val="20"/>
          <w:lang w:eastAsia="sl-SI"/>
        </w:rPr>
        <w:t>.</w:t>
      </w:r>
      <w:r w:rsidRPr="002C1EE7">
        <w:rPr>
          <w:rFonts w:cs="Arial"/>
          <w:szCs w:val="20"/>
          <w:lang w:eastAsia="sl-SI"/>
        </w:rPr>
        <w:t xml:space="preserve"> </w:t>
      </w:r>
    </w:p>
    <w:p w14:paraId="2E6536AB" w14:textId="77777777" w:rsidR="001F1CE7" w:rsidRPr="001F1CE7" w:rsidRDefault="001F1CE7" w:rsidP="001F1CE7">
      <w:pPr>
        <w:rPr>
          <w:rFonts w:cs="Arial"/>
          <w:szCs w:val="20"/>
          <w:lang w:eastAsia="en-GB"/>
        </w:rPr>
      </w:pPr>
      <w:r w:rsidRPr="001F1CE7">
        <w:rPr>
          <w:rFonts w:cs="Arial"/>
          <w:szCs w:val="20"/>
          <w:lang w:eastAsia="en-GB"/>
        </w:rPr>
        <w:t>Evropske države so se na energetsko krizo odzvale z različnimi ukrepi, prilagojenimi svojim fiskalnim zmožnostim, strukturi dodane vrednosti gospodarstva in političnim prioritetam. Med najbolj sistematične in celovite pristope sodi ukrepanje Francije, ki že od leta 2022 ohranja kombinacijo reguliranih cen, davčnih olajšav in ciljnih subvencij, pri čemer nadaljuje z usmeritvijo v zeleni prehod.</w:t>
      </w:r>
    </w:p>
    <w:p w14:paraId="7BEF0CDE" w14:textId="0BB8F032"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4" w:name="_Toc201714251"/>
      <w:bookmarkStart w:id="5" w:name="_Toc211241066"/>
      <w:r w:rsidRPr="001F1CE7">
        <w:rPr>
          <w:rFonts w:cs="Arial"/>
          <w:szCs w:val="20"/>
        </w:rPr>
        <w:t>FRANCIJA</w:t>
      </w:r>
      <w:bookmarkEnd w:id="4"/>
      <w:bookmarkEnd w:id="5"/>
    </w:p>
    <w:p w14:paraId="1CCD9D2F" w14:textId="77777777" w:rsidR="001F1CE7" w:rsidRPr="001F1CE7" w:rsidRDefault="001F1CE7" w:rsidP="001F1CE7">
      <w:pPr>
        <w:outlineLvl w:val="3"/>
        <w:rPr>
          <w:rFonts w:cs="Arial"/>
          <w:szCs w:val="20"/>
          <w:lang w:eastAsia="en-GB"/>
        </w:rPr>
      </w:pPr>
      <w:r w:rsidRPr="001F1CE7">
        <w:rPr>
          <w:rFonts w:cs="Arial"/>
          <w:szCs w:val="20"/>
          <w:lang w:eastAsia="en-GB"/>
        </w:rPr>
        <w:t>Francija je med letoma 2022 in 2024 uvedla obsežen nabor ukrepov za zamejitev rasti cen energije in zaščito podjetij, zlasti malih in srednje velikih (MSP) podjetij ter energetsko intenzivnih sektorjev. Leta 2025 je večina ključnih ukrepov ostala v veljavi, nekateri so bili prenovljeni ali ciljno omejeni, hkrati pa se nadaljujejo strateške investicije v razogljičenje industrije v okviru nacionalnega načrta France 2030 (Ministère de la Transition Énergétique, 2025; ADEME, 2025).</w:t>
      </w:r>
    </w:p>
    <w:p w14:paraId="1713C35B" w14:textId="77777777" w:rsidR="001F1CE7" w:rsidRPr="001F1CE7" w:rsidRDefault="001F1CE7" w:rsidP="001F1CE7">
      <w:pPr>
        <w:outlineLvl w:val="3"/>
        <w:rPr>
          <w:rFonts w:cs="Arial"/>
          <w:szCs w:val="20"/>
          <w:lang w:eastAsia="en-GB"/>
        </w:rPr>
      </w:pPr>
    </w:p>
    <w:p w14:paraId="6C3A4522"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6" w:name="_Toc211241067"/>
      <w:r w:rsidRPr="001F1CE7">
        <w:rPr>
          <w:rFonts w:ascii="Arial" w:hAnsi="Arial" w:cs="Arial"/>
          <w:sz w:val="20"/>
          <w:szCs w:val="20"/>
        </w:rPr>
        <w:t>Mehanizem ARENH</w:t>
      </w:r>
      <w:bookmarkEnd w:id="6"/>
    </w:p>
    <w:p w14:paraId="127B29B5" w14:textId="77777777" w:rsidR="001F1CE7" w:rsidRPr="001F1CE7" w:rsidRDefault="001F1CE7" w:rsidP="001F1CE7">
      <w:pPr>
        <w:rPr>
          <w:rFonts w:cs="Arial"/>
          <w:szCs w:val="20"/>
          <w:lang w:eastAsia="en-GB"/>
        </w:rPr>
      </w:pPr>
      <w:r w:rsidRPr="001F1CE7">
        <w:rPr>
          <w:rFonts w:cs="Arial"/>
          <w:szCs w:val="20"/>
          <w:lang w:eastAsia="en-GB"/>
        </w:rPr>
        <w:t>Francija je v zadnjih petnajstih letih razvila specifičen sistem za zniževanje stroškov električne energije za industrijske odjemalce, ki temelji na posebnem položaju države kot največje evropske jedrske velesile (proizvajalke jedrske energije). Približno 70 % francoske električne energije nastane iz jedrskih elektrarn, kar pomeni, da so proizvodni stroški razmeroma nizki in stabilni. Kljub temu so morali francoski industrijski odjemalci pogosto kupovati električno energijo po cenah, ki so bile vezane na evropske veleprodajne trge, kjer so cene močno nihale zaradi nihanja cen zemeljskega plina in drugih dejavnikov (nizki vodostaji rek ob sušnih mesecih ipd.). Da bi zaščitila gospodarstvo in omogočila, da se prednosti nizke proizvodne cene jedrske energije na domačem trgu prenesejo na podjetja, je francoska vlada uvedla več posebnih mehanizmov. Najpomembnejši med njimi je bil sistem ARENH, ki je bil v veljavi od leta 2011 do konca leta 2025.</w:t>
      </w:r>
    </w:p>
    <w:p w14:paraId="19FBBE14" w14:textId="77777777" w:rsidR="001F1CE7" w:rsidRPr="001F1CE7" w:rsidRDefault="001F1CE7" w:rsidP="001F1CE7">
      <w:pPr>
        <w:rPr>
          <w:rFonts w:cs="Arial"/>
          <w:szCs w:val="20"/>
          <w:lang w:eastAsia="en-GB"/>
        </w:rPr>
      </w:pPr>
    </w:p>
    <w:p w14:paraId="69B7B704" w14:textId="77777777" w:rsidR="001F1CE7" w:rsidRPr="001F1CE7" w:rsidRDefault="001F1CE7" w:rsidP="001F1CE7">
      <w:pPr>
        <w:rPr>
          <w:rFonts w:cs="Arial"/>
          <w:szCs w:val="20"/>
          <w:lang w:eastAsia="en-GB"/>
        </w:rPr>
      </w:pPr>
      <w:r w:rsidRPr="001F1CE7">
        <w:rPr>
          <w:rFonts w:cs="Arial"/>
          <w:szCs w:val="20"/>
          <w:lang w:eastAsia="en-GB"/>
        </w:rPr>
        <w:lastRenderedPageBreak/>
        <w:t xml:space="preserve">Mehanizem </w:t>
      </w:r>
      <w:r w:rsidRPr="001F1CE7">
        <w:rPr>
          <w:rFonts w:cs="Arial"/>
          <w:b/>
          <w:bCs/>
          <w:szCs w:val="20"/>
          <w:lang w:eastAsia="en-GB"/>
        </w:rPr>
        <w:t xml:space="preserve">ARENH </w:t>
      </w:r>
      <w:r w:rsidRPr="001F1CE7">
        <w:rPr>
          <w:rFonts w:cs="Arial"/>
          <w:szCs w:val="20"/>
          <w:lang w:eastAsia="en-GB"/>
        </w:rPr>
        <w:t>(Accès Régulé à l’Électricité Nucléaire Historique) je industrijskim odjemalcem omogočil posreden dostop do »jedrske dividende«. Deloval je tako, da so vsi alternativni ponudniki električne energije v Franciji lahko od državnega energetskega podjetja EDF odkupili del njegove jedrske proizvodnje po vnaprej določeni fiksni ceni, ki jo je določil regulator CRE. Ta cena je znašala 42 evrov/MWh in se od leta 2012 do ukinitve ni spreminjala. Skupna količina elektrike, ki je bila na voljo prek sistema ARENH, je bila omejena na 100 TWh na leto. Če je skupno povpraševanje preseglo ta prag, se je razpoložljiva količina razdelila sorazmerno med ponudnike. Sistem se je tako uporabljal kot kanal, prek katerega so končni industrijski odjemalci lahko kupovali električno energijo po bistveno nižji ceni od tiste na prostem trgu. V praksi so tržne cene v kriznih letih nihale med 80 in celo 500 evri/MWh, zato je bila razlika za podjetja zelo občutna. ARENH je sicer omogočal pomembne prihranke, a je hkrati finančno obremenjeval EDF, saj je moral del svoje proizvodnje v jedrskih kapacitetah prodajati pod tržno vrednostjo. To je bil tudi eden ključnih razlogov, da se je Francija odločila za ukinitev mehanizma s 1. januarjem 2026.</w:t>
      </w:r>
    </w:p>
    <w:p w14:paraId="47F505AB" w14:textId="77777777" w:rsidR="001F1CE7" w:rsidRPr="001F1CE7" w:rsidRDefault="001F1CE7" w:rsidP="001F1CE7">
      <w:pPr>
        <w:rPr>
          <w:rFonts w:cs="Arial"/>
          <w:szCs w:val="20"/>
          <w:lang w:eastAsia="en-GB"/>
        </w:rPr>
      </w:pPr>
    </w:p>
    <w:p w14:paraId="1DE75C92" w14:textId="77777777" w:rsidR="001F1CE7" w:rsidRPr="001F1CE7" w:rsidRDefault="001F1CE7" w:rsidP="001F1CE7">
      <w:pPr>
        <w:rPr>
          <w:rFonts w:cs="Arial"/>
          <w:szCs w:val="20"/>
          <w:lang w:eastAsia="en-GB"/>
        </w:rPr>
      </w:pPr>
      <w:r w:rsidRPr="001F1CE7">
        <w:rPr>
          <w:rFonts w:cs="Arial"/>
          <w:szCs w:val="20"/>
          <w:lang w:eastAsia="en-GB"/>
        </w:rPr>
        <w:t>Namesto ARENH-a bo od leta 2026 dalje uveden nov sistem, ki temelji na načelu »delitve vrednosti« oziroma na pogodbah o razliki v ceni (</w:t>
      </w:r>
      <w:r w:rsidRPr="001F1CE7">
        <w:rPr>
          <w:rFonts w:cs="Arial"/>
          <w:b/>
          <w:bCs/>
          <w:szCs w:val="20"/>
          <w:lang w:eastAsia="en-GB"/>
        </w:rPr>
        <w:t>Contracts for Difference – CfD</w:t>
      </w:r>
      <w:r w:rsidRPr="001F1CE7">
        <w:rPr>
          <w:rFonts w:cs="Arial"/>
          <w:szCs w:val="20"/>
          <w:lang w:eastAsia="en-GB"/>
        </w:rPr>
        <w:t>). V tem modelu se je vlada z EDF dogovorila za referenčno ceno celotne jedrske proizvodnje, ki bo okvirno v razponu med 60 in 70 evrov/MWh.</w:t>
      </w:r>
      <w:r w:rsidRPr="001F1CE7">
        <w:rPr>
          <w:rStyle w:val="Sprotnaopomba-sklic"/>
          <w:rFonts w:cs="Arial"/>
          <w:szCs w:val="20"/>
          <w:lang w:eastAsia="en-GB"/>
        </w:rPr>
        <w:footnoteReference w:id="2"/>
      </w:r>
      <w:r w:rsidRPr="001F1CE7">
        <w:rPr>
          <w:rFonts w:cs="Arial"/>
          <w:szCs w:val="20"/>
          <w:lang w:eastAsia="en-GB"/>
        </w:rPr>
        <w:t xml:space="preserve"> Ko bo tržna cena električne energije presegla referenčno ceno, bo razlika vračunana v korist odjemalcev – država bo poskrbela, da bodo industrijski in gospodinjski uporabniki dobili nadomestilo, ki bo znižalo njihove račune. Če pa bo tržna cena padla pod referenčno, bodo odjemalci razliko vračali državi. Novi mehanizem naj bi bil tržno bolj usklajen, hkrati pa bo industriji še vedno zagotavljal cenovno stabilnost, EDF pa zaščitil pred sistematičnimi izgubami, ki jih je povzročal ARENH.</w:t>
      </w:r>
    </w:p>
    <w:p w14:paraId="4FD712A6" w14:textId="77777777" w:rsidR="001F1CE7" w:rsidRPr="001F1CE7" w:rsidRDefault="001F1CE7" w:rsidP="001F1CE7">
      <w:pPr>
        <w:rPr>
          <w:rFonts w:cs="Arial"/>
          <w:szCs w:val="20"/>
          <w:lang w:eastAsia="en-GB"/>
        </w:rPr>
      </w:pPr>
    </w:p>
    <w:p w14:paraId="08F33A55" w14:textId="77777777" w:rsidR="001F1CE7" w:rsidRPr="001F1CE7" w:rsidRDefault="001F1CE7" w:rsidP="001F1CE7">
      <w:pPr>
        <w:rPr>
          <w:rFonts w:cs="Arial"/>
          <w:szCs w:val="20"/>
          <w:lang w:eastAsia="en-GB"/>
        </w:rPr>
      </w:pPr>
      <w:r w:rsidRPr="001F1CE7">
        <w:rPr>
          <w:rFonts w:cs="Arial"/>
          <w:szCs w:val="20"/>
          <w:lang w:eastAsia="en-GB"/>
        </w:rPr>
        <w:t>Skupaj gledano francoski model pomeni, da so industrijski odjemalci v zadnjem desetletju uživali neposredne koristi nizkocenovne jedrske proizvodnje. V obdobju 2011–2025 je to omogočal sistem ARENH s fiksno zajamčeno ceno 42 evrov/MWh, od leta 2026 naprej pa bo ta vloga prenesena na nov CfD-model z referenčno ceno v območju 60–70 evrov/MWh. Tako se bo ohranil cilj – cenovna stabilnost za gospodarstvo – vendar v bolj trajnostni obliki, ki obenem zmanjšuje finančno breme za EDF. Začasni ukrepi v letih energetske krize pa so dodatno zagotovili, da podjetja niso izgubila konkurenčnosti in da ni prišlo do obsežnih zaprtij proizvodnje.</w:t>
      </w:r>
    </w:p>
    <w:p w14:paraId="7611820D" w14:textId="77777777" w:rsidR="001F1CE7" w:rsidRPr="001F1CE7" w:rsidRDefault="001F1CE7" w:rsidP="001F1CE7">
      <w:pPr>
        <w:rPr>
          <w:rFonts w:cs="Arial"/>
          <w:szCs w:val="20"/>
          <w:lang w:eastAsia="en-GB"/>
        </w:rPr>
      </w:pPr>
    </w:p>
    <w:p w14:paraId="18B72F40"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7" w:name="_Toc201714252"/>
      <w:bookmarkStart w:id="8" w:name="_Toc211241068"/>
      <w:r w:rsidRPr="001F1CE7">
        <w:rPr>
          <w:rFonts w:ascii="Arial" w:hAnsi="Arial" w:cs="Arial"/>
          <w:sz w:val="20"/>
          <w:szCs w:val="20"/>
        </w:rPr>
        <w:t>Drugi mehanizmi cenovne regulacij</w:t>
      </w:r>
      <w:bookmarkEnd w:id="7"/>
      <w:r w:rsidRPr="001F1CE7">
        <w:rPr>
          <w:rFonts w:ascii="Arial" w:hAnsi="Arial" w:cs="Arial"/>
          <w:sz w:val="20"/>
          <w:szCs w:val="20"/>
        </w:rPr>
        <w:t>e</w:t>
      </w:r>
      <w:bookmarkEnd w:id="8"/>
    </w:p>
    <w:p w14:paraId="469C6DE9" w14:textId="77777777" w:rsidR="001F1CE7" w:rsidRPr="001F1CE7" w:rsidRDefault="001F1CE7" w:rsidP="001F1CE7">
      <w:pPr>
        <w:rPr>
          <w:rFonts w:cs="Arial"/>
          <w:b/>
          <w:bCs/>
          <w:szCs w:val="20"/>
          <w:lang w:eastAsia="en-GB"/>
        </w:rPr>
      </w:pPr>
      <w:r w:rsidRPr="001F1CE7">
        <w:rPr>
          <w:rFonts w:cs="Arial"/>
          <w:szCs w:val="20"/>
          <w:lang w:eastAsia="en-GB"/>
        </w:rPr>
        <w:t>Poleg teh sistemskih rešitev je francoska vlada v času energetske krize v letih 2022 in 2023 sprejela tudi vrsto začasnih ukrepov za podjetja. Med najpomembnejšimi je bil tako imenovani »amortisseur électricité« oziroma blažilnik cene električne energije, ki je bil namenjen predvsem malim in srednje velikim podjetjem. Omogočal je, da je država pokrivala del stroškov nad določeno mejo in tako omejila letno povprečno ceno za ta podjetja</w:t>
      </w:r>
    </w:p>
    <w:p w14:paraId="7A315E4E" w14:textId="77777777" w:rsidR="001F1CE7" w:rsidRPr="001F1CE7" w:rsidRDefault="001F1CE7" w:rsidP="001F1CE7">
      <w:pPr>
        <w:rPr>
          <w:rFonts w:cs="Arial"/>
          <w:szCs w:val="20"/>
          <w:lang w:eastAsia="en-GB"/>
        </w:rPr>
      </w:pPr>
    </w:p>
    <w:p w14:paraId="52FBCE4C" w14:textId="77777777" w:rsidR="001F1CE7" w:rsidRPr="001F1CE7" w:rsidRDefault="001F1CE7" w:rsidP="001F1CE7">
      <w:pPr>
        <w:rPr>
          <w:rFonts w:cs="Arial"/>
          <w:szCs w:val="20"/>
          <w:lang w:eastAsia="en-GB"/>
        </w:rPr>
      </w:pPr>
      <w:r w:rsidRPr="001F1CE7">
        <w:rPr>
          <w:rFonts w:cs="Arial"/>
          <w:szCs w:val="20"/>
          <w:lang w:eastAsia="en-GB"/>
        </w:rPr>
        <w:t>Med letoma 2022 in 2024 je Francija izvajala tudi ukrep t.i. »tarifnega ščita« (</w:t>
      </w:r>
      <w:r w:rsidRPr="001F1CE7">
        <w:rPr>
          <w:rFonts w:cs="Arial"/>
          <w:i/>
          <w:iCs/>
          <w:szCs w:val="20"/>
          <w:lang w:eastAsia="en-GB"/>
        </w:rPr>
        <w:t>bouclier tarifaire</w:t>
      </w:r>
      <w:r w:rsidRPr="001F1CE7">
        <w:rPr>
          <w:rFonts w:cs="Arial"/>
          <w:szCs w:val="20"/>
          <w:lang w:eastAsia="en-GB"/>
        </w:rPr>
        <w:t>), ki je omejeval letno rast cen električne energije za gospodinjstva in mala ter srednja podjetja (MSP), in sicer na največ 15 %. Ukrep, financiran s strani države in operativno izvajan prek državnega podjetja EDF, je predstavljal enega izmed ključnih mehanizmov za zamejevanje cenovnih pritiskov v času energetske krize (Reuters, 2024). V letu 2025 je bil ukrep prenovljen in podaljšan, vendar v ožjem obsegu - nanaša se le še na posebej izpostavljena MSP.</w:t>
      </w:r>
    </w:p>
    <w:p w14:paraId="21260C1C" w14:textId="77777777" w:rsidR="001F1CE7" w:rsidRPr="001F1CE7" w:rsidRDefault="001F1CE7" w:rsidP="001F1CE7">
      <w:pPr>
        <w:rPr>
          <w:rFonts w:cs="Arial"/>
          <w:szCs w:val="20"/>
          <w:lang w:eastAsia="en-GB"/>
        </w:rPr>
      </w:pPr>
    </w:p>
    <w:p w14:paraId="4BAB411F" w14:textId="77777777" w:rsidR="001F1CE7" w:rsidRPr="001F1CE7" w:rsidRDefault="001F1CE7" w:rsidP="001F1CE7">
      <w:pPr>
        <w:rPr>
          <w:rFonts w:cs="Arial"/>
          <w:szCs w:val="20"/>
          <w:lang w:eastAsia="en-GB"/>
        </w:rPr>
      </w:pPr>
      <w:r w:rsidRPr="001F1CE7">
        <w:rPr>
          <w:rFonts w:cs="Arial"/>
          <w:szCs w:val="20"/>
          <w:lang w:eastAsia="en-GB"/>
        </w:rPr>
        <w:lastRenderedPageBreak/>
        <w:t>Vzporedno s tem je Francija v letu 2025 uvedla tudi znižano regulirano prodajno tarifo električne energije (TRVE) za MSP in gospodinjstva, ki predstavlja osrednji mehanizem za nadzor stroškov električne energije po umiku tarifnega ščita. Na podlagi odločitve Komisije za regulacijo energije (CRE) je bila ta tarifa od 1. februarja 2025 znižana za 15 %, s ciljem omiliti učinke prehoda na tržno oblikovane cene (CRE, 2025; Service-public.fr, 2025). Gre za prilagojeno obliko cenovne regulacije, ki ohranja zaščitni učinek za ranljive odjemalce brez neposrednega posega v cene za celoten trg.</w:t>
      </w:r>
    </w:p>
    <w:p w14:paraId="03EE2FE3" w14:textId="77777777" w:rsidR="001F1CE7" w:rsidRPr="001F1CE7" w:rsidRDefault="001F1CE7" w:rsidP="001F1CE7">
      <w:pPr>
        <w:rPr>
          <w:rFonts w:cs="Arial"/>
          <w:szCs w:val="20"/>
          <w:lang w:eastAsia="en-GB"/>
        </w:rPr>
      </w:pPr>
    </w:p>
    <w:p w14:paraId="63AFC0F9" w14:textId="77777777" w:rsidR="001F1CE7" w:rsidRPr="001F1CE7" w:rsidRDefault="001F1CE7" w:rsidP="001F1CE7">
      <w:pPr>
        <w:rPr>
          <w:rFonts w:cs="Arial"/>
          <w:szCs w:val="20"/>
          <w:lang w:eastAsia="en-GB"/>
        </w:rPr>
      </w:pPr>
      <w:r w:rsidRPr="001F1CE7">
        <w:rPr>
          <w:rFonts w:cs="Arial"/>
          <w:szCs w:val="20"/>
          <w:lang w:eastAsia="en-GB"/>
        </w:rPr>
        <w:t>Dodatno olajšavo za industrijske odjemalce predstavlja prilagojena trošarina na električno energijo (TICFE), ki se v letu 2025 še naprej uporablja kot oblika davčne razbremenitve. Za MSP s priključno močjo pod 250 kW znaša TICFE 26,23 €/MWh, kar presega začasno znižano raven iz preteklih let (20,50 €/MWh), vendar ostaja pod predkriznimi vrednostmi (CRE, 2025). Ohranitev znižane obremenitve celotne cene električne energije (z omrežnino in dajatvami) je ključen element francoske politike za zaščito industrijske konkurenčnosti.</w:t>
      </w:r>
    </w:p>
    <w:p w14:paraId="688B026C" w14:textId="77777777" w:rsidR="001F1CE7" w:rsidRPr="001F1CE7" w:rsidRDefault="001F1CE7" w:rsidP="001F1CE7">
      <w:pPr>
        <w:rPr>
          <w:rFonts w:cs="Arial"/>
          <w:szCs w:val="20"/>
          <w:lang w:eastAsia="en-GB"/>
        </w:rPr>
      </w:pPr>
    </w:p>
    <w:p w14:paraId="37E8CDA4" w14:textId="77777777" w:rsidR="001F1CE7" w:rsidRPr="001F1CE7" w:rsidRDefault="001F1CE7" w:rsidP="001F1CE7">
      <w:pPr>
        <w:rPr>
          <w:rFonts w:cs="Arial"/>
          <w:szCs w:val="20"/>
          <w:lang w:eastAsia="en-GB"/>
        </w:rPr>
      </w:pPr>
      <w:r w:rsidRPr="001F1CE7">
        <w:rPr>
          <w:rFonts w:cs="Arial"/>
          <w:szCs w:val="20"/>
          <w:lang w:eastAsia="en-GB"/>
        </w:rPr>
        <w:t>Pomemben del ukrepov vključuje tudi začasno ustavitev rasti tarif za uporabo električnega omrežja (TURPE), ki jih določa CRE. Ta odločitev, veljavna do februarja 2025, je bila usklajena z načrtovano reformo mehanizma reguliranega dostopa do zgodovinske jedrske energije (ARENH) (EnergyNews.pro, 2024). Novi model, predstavljen v okviru državnega proračuna za leto 2025, predvideva prerazporeditev prihodkov iz jedrske proizvodnje z namenom, da bi se del koristi neposredno prenesel na končne industrijske odjemalce (Enerdata.net, 2024).</w:t>
      </w:r>
    </w:p>
    <w:p w14:paraId="7925CF56" w14:textId="77777777" w:rsidR="001F1CE7" w:rsidRPr="001F1CE7" w:rsidRDefault="001F1CE7" w:rsidP="001F1CE7">
      <w:pPr>
        <w:rPr>
          <w:rFonts w:cs="Arial"/>
          <w:szCs w:val="20"/>
          <w:lang w:eastAsia="en-GB"/>
        </w:rPr>
      </w:pPr>
    </w:p>
    <w:p w14:paraId="3A901060" w14:textId="77777777" w:rsidR="001F1CE7" w:rsidRPr="001F1CE7" w:rsidRDefault="001F1CE7" w:rsidP="001F1CE7">
      <w:pPr>
        <w:rPr>
          <w:rFonts w:cs="Arial"/>
          <w:szCs w:val="20"/>
          <w:lang w:eastAsia="en-GB"/>
        </w:rPr>
      </w:pPr>
      <w:r w:rsidRPr="001F1CE7">
        <w:rPr>
          <w:rFonts w:cs="Arial"/>
          <w:szCs w:val="20"/>
          <w:lang w:eastAsia="en-GB"/>
        </w:rPr>
        <w:t xml:space="preserve">Poleg tega </w:t>
      </w:r>
      <w:r w:rsidRPr="001F1CE7">
        <w:rPr>
          <w:rFonts w:cs="Arial"/>
          <w:b/>
          <w:bCs/>
          <w:szCs w:val="20"/>
          <w:lang w:eastAsia="en-GB"/>
        </w:rPr>
        <w:t>za energetsko intenzivne panoge, kot so jeklarska in kemična industrija, obstajajo še posebne sheme, ki vključujejo znižane dajatve in trošarine (npr. TICFE/CSPE) ter možnost dolgoročnih pogodb z EDF po ugodnejših cenah.</w:t>
      </w:r>
    </w:p>
    <w:p w14:paraId="43D10FB6" w14:textId="77777777" w:rsidR="001F1CE7" w:rsidRPr="001F1CE7" w:rsidRDefault="001F1CE7" w:rsidP="001F1CE7">
      <w:pPr>
        <w:rPr>
          <w:rFonts w:cs="Arial"/>
          <w:szCs w:val="20"/>
          <w:lang w:eastAsia="en-GB"/>
        </w:rPr>
      </w:pPr>
    </w:p>
    <w:p w14:paraId="465494FB" w14:textId="77777777" w:rsidR="001F1CE7" w:rsidRPr="001F1CE7" w:rsidRDefault="001F1CE7" w:rsidP="001F1CE7">
      <w:pPr>
        <w:rPr>
          <w:rFonts w:cs="Arial"/>
          <w:szCs w:val="20"/>
          <w:lang w:eastAsia="en-GB"/>
        </w:rPr>
      </w:pPr>
      <w:r w:rsidRPr="001F1CE7">
        <w:rPr>
          <w:rFonts w:cs="Arial"/>
          <w:szCs w:val="20"/>
          <w:lang w:eastAsia="en-GB"/>
        </w:rPr>
        <w:t>Kumulativni učinek navedenih ukrepov potrjuje, da Francija tudi v letu 2025 nadaljuje s strateškim povezovanjem cenovne zaščite industrije z dolgoročnim reformnim okvirjem energetskega trga. S tem pristopom vlada ohranja konkurenčnost energetsko intenzivnih sektorjev in MSP ob hkratni fiskalni vzdržnosti in tržni usmerjenosti.</w:t>
      </w:r>
    </w:p>
    <w:p w14:paraId="35E42F2F"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9" w:name="_Toc201714253"/>
      <w:bookmarkStart w:id="10" w:name="_Toc211241069"/>
      <w:r w:rsidRPr="001F1CE7">
        <w:rPr>
          <w:rFonts w:ascii="Arial" w:hAnsi="Arial" w:cs="Arial"/>
          <w:sz w:val="20"/>
          <w:szCs w:val="20"/>
        </w:rPr>
        <w:t>Davčne olajšave</w:t>
      </w:r>
      <w:bookmarkEnd w:id="9"/>
      <w:r w:rsidRPr="001F1CE7">
        <w:rPr>
          <w:rFonts w:ascii="Arial" w:hAnsi="Arial" w:cs="Arial"/>
          <w:sz w:val="20"/>
          <w:szCs w:val="20"/>
        </w:rPr>
        <w:t xml:space="preserve"> na porabljeno količino električne energije</w:t>
      </w:r>
      <w:bookmarkEnd w:id="10"/>
    </w:p>
    <w:p w14:paraId="0DF2FB4A" w14:textId="59C2DBE0" w:rsidR="001F1CE7" w:rsidRPr="001F1CE7" w:rsidRDefault="001F1CE7" w:rsidP="001F1CE7">
      <w:pPr>
        <w:rPr>
          <w:rFonts w:cs="Arial"/>
          <w:szCs w:val="20"/>
          <w:lang w:eastAsia="en-GB"/>
        </w:rPr>
      </w:pPr>
      <w:r w:rsidRPr="001F1CE7">
        <w:rPr>
          <w:rFonts w:cs="Arial"/>
          <w:szCs w:val="20"/>
          <w:lang w:eastAsia="en-GB"/>
        </w:rPr>
        <w:t>Pomemben ukrep na področju razbremenitve cen električne energije je bilo znižanje TICFE prispevka (Contribution tarifaire d’électricité), kar je bistveno zmanjšalo obremenitev končnih porabnikov elektrike. Prispevek je bil med letoma 2022 in 2024 skoraj v celoti odpravljen, kar velja tudi v letu 2025. Gre za nadaljevanje brez sprememb, ki ima pomembne učinke na konkurenčnost podjetij (Tax Foundation, 2024).</w:t>
      </w:r>
    </w:p>
    <w:p w14:paraId="3D9EF7DC"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11" w:name="_Toc201714254"/>
      <w:bookmarkStart w:id="12" w:name="_Toc211241070"/>
      <w:r w:rsidRPr="001F1CE7">
        <w:rPr>
          <w:rFonts w:ascii="Arial" w:hAnsi="Arial" w:cs="Arial"/>
          <w:sz w:val="20"/>
          <w:szCs w:val="20"/>
        </w:rPr>
        <w:t>Neposredna finančna pomoč</w:t>
      </w:r>
      <w:bookmarkEnd w:id="11"/>
      <w:bookmarkEnd w:id="12"/>
    </w:p>
    <w:p w14:paraId="169792AF" w14:textId="77777777" w:rsidR="001F1CE7" w:rsidRPr="001F1CE7" w:rsidRDefault="001F1CE7" w:rsidP="001F1CE7">
      <w:pPr>
        <w:rPr>
          <w:rFonts w:cs="Arial"/>
          <w:szCs w:val="20"/>
          <w:lang w:eastAsia="en-GB"/>
        </w:rPr>
      </w:pPr>
      <w:r w:rsidRPr="001F1CE7">
        <w:rPr>
          <w:rFonts w:cs="Arial"/>
          <w:szCs w:val="20"/>
          <w:lang w:eastAsia="en-GB"/>
        </w:rPr>
        <w:t>V odziv na visoke cene energije je Francija od leta 2022 dalje uvedla sistem energetskih bonov in subvencij, ki so bili namenjeni podjetjem, ki izkazujejo visoko energetsko intenzivnost ali tveganje za likvidnostno krizo. Do leta 2024 so bila sredstva dodeljevana na podlagi kriterijev porabe električne energije v razmerju do prihodkov in kazalnikov EBITDA.</w:t>
      </w:r>
    </w:p>
    <w:p w14:paraId="4FE2FC4B" w14:textId="77777777" w:rsidR="001F1CE7" w:rsidRPr="001F1CE7" w:rsidRDefault="001F1CE7" w:rsidP="001F1CE7">
      <w:pPr>
        <w:rPr>
          <w:rFonts w:cs="Arial"/>
          <w:szCs w:val="20"/>
          <w:lang w:eastAsia="en-GB"/>
        </w:rPr>
      </w:pPr>
    </w:p>
    <w:p w14:paraId="51F5B657" w14:textId="77777777" w:rsidR="001F1CE7" w:rsidRPr="001F1CE7" w:rsidRDefault="001F1CE7" w:rsidP="001F1CE7">
      <w:pPr>
        <w:rPr>
          <w:rFonts w:cs="Arial"/>
          <w:szCs w:val="20"/>
          <w:lang w:eastAsia="en-GB"/>
        </w:rPr>
      </w:pPr>
      <w:r w:rsidRPr="001F1CE7">
        <w:rPr>
          <w:rFonts w:cs="Arial"/>
          <w:szCs w:val="20"/>
          <w:lang w:eastAsia="en-GB"/>
        </w:rPr>
        <w:t>V letu 2025 se ti programi nadaljujejo z določenimi prilagoditvami, pri čemer so pogoji za upravičenost nekoliko zaostreni in bolj ciljno usmerjeni k podjetjem v težki industriji. Gre za prenovljen ukrep, ki ostaja skladen s smernicami EU o začasni pomoči (Evropska komisija, 2023).</w:t>
      </w:r>
    </w:p>
    <w:p w14:paraId="5A61136D"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13" w:name="_Toc201714255"/>
      <w:bookmarkStart w:id="14" w:name="_Toc211241071"/>
      <w:r w:rsidRPr="001F1CE7">
        <w:rPr>
          <w:rFonts w:ascii="Arial" w:hAnsi="Arial" w:cs="Arial"/>
          <w:sz w:val="20"/>
          <w:szCs w:val="20"/>
        </w:rPr>
        <w:lastRenderedPageBreak/>
        <w:t>Investicije v industrijsko razogljičenje (France 2030)</w:t>
      </w:r>
      <w:bookmarkEnd w:id="13"/>
      <w:bookmarkEnd w:id="14"/>
    </w:p>
    <w:p w14:paraId="5933250C" w14:textId="77777777" w:rsidR="001F1CE7" w:rsidRPr="001F1CE7" w:rsidRDefault="001F1CE7" w:rsidP="001F1CE7">
      <w:pPr>
        <w:rPr>
          <w:rFonts w:cs="Arial"/>
          <w:szCs w:val="20"/>
          <w:lang w:eastAsia="en-GB"/>
        </w:rPr>
      </w:pPr>
      <w:r w:rsidRPr="001F1CE7">
        <w:rPr>
          <w:rFonts w:cs="Arial"/>
          <w:szCs w:val="20"/>
          <w:lang w:eastAsia="en-GB"/>
        </w:rPr>
        <w:t>Ključni strateški ukrep, ki presega kratkoročne sheme pomoči, je vključen v program France 2030, ki se je začel izvajati leta 2023 in se nadaljuje z dodatnimi razpisi tudi v letu 2025 (ADEME, 2025). Gre za nacionalni investicijski okvir, namenjen prehodu industrije na nizkoogljične tehnologije.</w:t>
      </w:r>
    </w:p>
    <w:p w14:paraId="1A211F25" w14:textId="77777777" w:rsidR="001F1CE7" w:rsidRPr="001F1CE7" w:rsidRDefault="001F1CE7" w:rsidP="001F1CE7">
      <w:pPr>
        <w:rPr>
          <w:rFonts w:cs="Arial"/>
          <w:szCs w:val="20"/>
          <w:lang w:eastAsia="en-GB"/>
        </w:rPr>
      </w:pPr>
    </w:p>
    <w:p w14:paraId="03B4837F" w14:textId="77777777" w:rsidR="001F1CE7" w:rsidRPr="001F1CE7" w:rsidRDefault="001F1CE7" w:rsidP="001F1CE7">
      <w:pPr>
        <w:rPr>
          <w:rFonts w:cs="Arial"/>
          <w:szCs w:val="20"/>
          <w:lang w:eastAsia="en-GB"/>
        </w:rPr>
      </w:pPr>
      <w:r w:rsidRPr="001F1CE7">
        <w:rPr>
          <w:rFonts w:cs="Arial"/>
          <w:szCs w:val="20"/>
          <w:lang w:eastAsia="en-GB"/>
        </w:rPr>
        <w:t>Program omogoča nepovratna sredstva za elektrifikacijo proizvodnje, zajem odvečne toplote, uvajanje zelenega vodika ter digitalizacijo energetsko intenzivnih procesov. Prednost imajo panoge, kot so kovinsko-predelovalna industrija, kemična industrija, steklarstvo in cementna proizvodnja. Ta instrument predstavlja nadaljevanje z novimi razpisi, kar pomeni, da se ukrep nadgrajuje, vendar v okviru že vzpostavljene strateške sheme.</w:t>
      </w:r>
    </w:p>
    <w:p w14:paraId="3F254354" w14:textId="77777777" w:rsidR="001F1CE7" w:rsidRPr="001F1CE7" w:rsidRDefault="001F1CE7" w:rsidP="001F1CE7">
      <w:pPr>
        <w:rPr>
          <w:rFonts w:cs="Arial"/>
          <w:szCs w:val="20"/>
          <w:lang w:eastAsia="en-GB"/>
        </w:rPr>
      </w:pPr>
    </w:p>
    <w:p w14:paraId="1394BD18" w14:textId="52A0FC50" w:rsidR="001F1CE7" w:rsidRPr="006E1C7B" w:rsidRDefault="001F1CE7" w:rsidP="001F1CE7">
      <w:pPr>
        <w:pStyle w:val="Napis"/>
        <w:jc w:val="center"/>
        <w:rPr>
          <w:rFonts w:asciiTheme="minorHAnsi" w:hAnsiTheme="minorHAnsi" w:cstheme="minorHAnsi"/>
          <w:color w:val="000000" w:themeColor="text1"/>
          <w:sz w:val="24"/>
          <w:szCs w:val="22"/>
          <w:lang w:eastAsia="en-GB"/>
        </w:rPr>
      </w:pPr>
      <w:bookmarkStart w:id="15" w:name="_Toc127362616"/>
      <w:bookmarkStart w:id="16" w:name="_Toc201714286"/>
      <w:bookmarkStart w:id="17" w:name="_Toc211241122"/>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1</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bookmarkEnd w:id="15"/>
      <w:r w:rsidRPr="006E1C7B">
        <w:rPr>
          <w:rFonts w:asciiTheme="minorHAnsi" w:hAnsiTheme="minorHAnsi" w:cstheme="minorHAnsi"/>
          <w:color w:val="000000" w:themeColor="text1"/>
          <w:sz w:val="24"/>
          <w:szCs w:val="22"/>
          <w:lang w:eastAsia="en-GB"/>
        </w:rPr>
        <w:t>Ukrepi Francije na področju regulacije cen električne energije, veljavi v letu 2025</w:t>
      </w:r>
      <w:bookmarkEnd w:id="16"/>
      <w:bookmarkEnd w:id="17"/>
    </w:p>
    <w:tbl>
      <w:tblPr>
        <w:tblStyle w:val="GridTable5Dark-Accent11"/>
        <w:tblW w:w="0" w:type="auto"/>
        <w:tblLook w:val="04A0" w:firstRow="1" w:lastRow="0" w:firstColumn="1" w:lastColumn="0" w:noHBand="0" w:noVBand="1"/>
      </w:tblPr>
      <w:tblGrid>
        <w:gridCol w:w="1568"/>
        <w:gridCol w:w="1664"/>
        <w:gridCol w:w="2960"/>
        <w:gridCol w:w="1444"/>
        <w:gridCol w:w="1426"/>
      </w:tblGrid>
      <w:tr w:rsidR="001F1CE7" w:rsidRPr="006E1C7B" w14:paraId="2F809AF9"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26F173" w14:textId="77777777" w:rsidR="001F1CE7" w:rsidRPr="006E1C7B" w:rsidRDefault="001F1CE7" w:rsidP="006C3D53">
            <w:pPr>
              <w:rPr>
                <w:rFonts w:asciiTheme="minorHAnsi" w:hAnsiTheme="minorHAnsi" w:cstheme="minorHAnsi"/>
                <w:b w:val="0"/>
                <w:bCs w:val="0"/>
                <w:sz w:val="22"/>
              </w:rPr>
            </w:pPr>
            <w:r w:rsidRPr="006E1C7B">
              <w:rPr>
                <w:rStyle w:val="Krepko"/>
                <w:rFonts w:asciiTheme="minorHAnsi" w:hAnsiTheme="minorHAnsi" w:cstheme="minorHAnsi"/>
                <w:sz w:val="22"/>
              </w:rPr>
              <w:t>Tematsko področje</w:t>
            </w:r>
          </w:p>
        </w:tc>
        <w:tc>
          <w:tcPr>
            <w:tcW w:w="0" w:type="auto"/>
            <w:vAlign w:val="center"/>
            <w:hideMark/>
          </w:tcPr>
          <w:p w14:paraId="0D09974E"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Naziv ukrepa / mehanizma</w:t>
            </w:r>
          </w:p>
        </w:tc>
        <w:tc>
          <w:tcPr>
            <w:tcW w:w="0" w:type="auto"/>
            <w:vAlign w:val="center"/>
            <w:hideMark/>
          </w:tcPr>
          <w:p w14:paraId="43FE4C99"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Opis ukrepa</w:t>
            </w:r>
          </w:p>
        </w:tc>
        <w:tc>
          <w:tcPr>
            <w:tcW w:w="0" w:type="auto"/>
            <w:vAlign w:val="center"/>
            <w:hideMark/>
          </w:tcPr>
          <w:p w14:paraId="0DCD6B71"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Obdobje veljavnosti</w:t>
            </w:r>
          </w:p>
        </w:tc>
        <w:tc>
          <w:tcPr>
            <w:tcW w:w="0" w:type="auto"/>
            <w:vAlign w:val="center"/>
            <w:hideMark/>
          </w:tcPr>
          <w:p w14:paraId="1C9F8A1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Style w:val="Krepko"/>
                <w:rFonts w:asciiTheme="minorHAnsi" w:hAnsiTheme="minorHAnsi" w:cstheme="minorHAnsi"/>
                <w:sz w:val="22"/>
              </w:rPr>
              <w:t>Status v letu 2025</w:t>
            </w:r>
          </w:p>
        </w:tc>
      </w:tr>
      <w:tr w:rsidR="001F1CE7" w:rsidRPr="006E1C7B" w14:paraId="4212181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C6126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10BCF25B"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Tarifni ščit (</w:t>
            </w:r>
            <w:r w:rsidRPr="006E1C7B">
              <w:rPr>
                <w:rStyle w:val="Poudarek"/>
                <w:rFonts w:asciiTheme="minorHAnsi" w:hAnsiTheme="minorHAnsi" w:cstheme="minorHAnsi"/>
                <w:szCs w:val="20"/>
              </w:rPr>
              <w:t>bouclier tarifaire</w:t>
            </w:r>
            <w:r w:rsidRPr="006E1C7B">
              <w:rPr>
                <w:rFonts w:asciiTheme="minorHAnsi" w:hAnsiTheme="minorHAnsi" w:cstheme="minorHAnsi"/>
                <w:szCs w:val="20"/>
              </w:rPr>
              <w:t>) za MSP</w:t>
            </w:r>
          </w:p>
        </w:tc>
        <w:tc>
          <w:tcPr>
            <w:tcW w:w="0" w:type="auto"/>
            <w:vAlign w:val="center"/>
            <w:hideMark/>
          </w:tcPr>
          <w:p w14:paraId="3BAA4721"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Omejitev rasti cen elektrike na max. 15 % letno; v letu 2025 veljaven le za posebej izpostavljena MSP</w:t>
            </w:r>
          </w:p>
        </w:tc>
        <w:tc>
          <w:tcPr>
            <w:tcW w:w="0" w:type="auto"/>
            <w:vAlign w:val="center"/>
            <w:hideMark/>
          </w:tcPr>
          <w:p w14:paraId="0E778E1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1B91C3D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Prenovljen in omejen</w:t>
            </w:r>
          </w:p>
        </w:tc>
      </w:tr>
      <w:tr w:rsidR="001F1CE7" w:rsidRPr="006E1C7B" w14:paraId="67C2796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34260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2AA34F9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Znižana regulirana prodajna tarifa (TRVE)</w:t>
            </w:r>
          </w:p>
        </w:tc>
        <w:tc>
          <w:tcPr>
            <w:tcW w:w="0" w:type="auto"/>
            <w:vAlign w:val="center"/>
            <w:hideMark/>
          </w:tcPr>
          <w:p w14:paraId="5631B33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1. 2. 2025 znižanje za 15 % za MSP in gospodinjstva kot nadomestilo za ukinitev tarifnega ščita (CRE, 2025)</w:t>
            </w:r>
          </w:p>
        </w:tc>
        <w:tc>
          <w:tcPr>
            <w:tcW w:w="0" w:type="auto"/>
            <w:vAlign w:val="center"/>
            <w:hideMark/>
          </w:tcPr>
          <w:p w14:paraId="4BB530E0"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2025 dalje</w:t>
            </w:r>
          </w:p>
        </w:tc>
        <w:tc>
          <w:tcPr>
            <w:tcW w:w="0" w:type="auto"/>
            <w:vAlign w:val="center"/>
            <w:hideMark/>
          </w:tcPr>
          <w:p w14:paraId="0120F0C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ukrep</w:t>
            </w:r>
          </w:p>
        </w:tc>
      </w:tr>
      <w:tr w:rsidR="001F1CE7" w:rsidRPr="006E1C7B" w14:paraId="678B633A"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B86692"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Davčne olajšave</w:t>
            </w:r>
          </w:p>
        </w:tc>
        <w:tc>
          <w:tcPr>
            <w:tcW w:w="0" w:type="auto"/>
            <w:vAlign w:val="center"/>
            <w:hideMark/>
          </w:tcPr>
          <w:p w14:paraId="7F43C188"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TICFE – znižana trošarina na elektriko</w:t>
            </w:r>
          </w:p>
        </w:tc>
        <w:tc>
          <w:tcPr>
            <w:tcW w:w="0" w:type="auto"/>
            <w:vAlign w:val="center"/>
            <w:hideMark/>
          </w:tcPr>
          <w:p w14:paraId="65647E1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Trošarina 26,23 €/MWh za MSP s priključno močjo &lt;250 kVA, kar ostaja pod predkrizno ravnijo</w:t>
            </w:r>
          </w:p>
        </w:tc>
        <w:tc>
          <w:tcPr>
            <w:tcW w:w="0" w:type="auto"/>
            <w:vAlign w:val="center"/>
            <w:hideMark/>
          </w:tcPr>
          <w:p w14:paraId="5B45D93F"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21AC3C2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 xml:space="preserve">Se nadaljuje </w:t>
            </w:r>
          </w:p>
        </w:tc>
      </w:tr>
      <w:tr w:rsidR="001F1CE7" w:rsidRPr="006E1C7B" w14:paraId="02110F7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6A8C79"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 / omrežnine</w:t>
            </w:r>
          </w:p>
        </w:tc>
        <w:tc>
          <w:tcPr>
            <w:tcW w:w="0" w:type="auto"/>
            <w:vAlign w:val="center"/>
            <w:hideMark/>
          </w:tcPr>
          <w:p w14:paraId="379BE71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Odlog zvišanja tarif za uporabo omrežja (TURPE)</w:t>
            </w:r>
          </w:p>
        </w:tc>
        <w:tc>
          <w:tcPr>
            <w:tcW w:w="0" w:type="auto"/>
            <w:vAlign w:val="center"/>
            <w:hideMark/>
          </w:tcPr>
          <w:p w14:paraId="72FCE46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CRE je preložila zvišanje tarif za omrežje, da bi omilila pritisk na cene za industrijo (EnergyNews.pro, 2024)</w:t>
            </w:r>
          </w:p>
        </w:tc>
        <w:tc>
          <w:tcPr>
            <w:tcW w:w="0" w:type="auto"/>
            <w:vAlign w:val="center"/>
            <w:hideMark/>
          </w:tcPr>
          <w:p w14:paraId="6AD2F9BD"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01/2025 - 02/2025</w:t>
            </w:r>
          </w:p>
        </w:tc>
        <w:tc>
          <w:tcPr>
            <w:tcW w:w="0" w:type="auto"/>
            <w:vAlign w:val="center"/>
            <w:hideMark/>
          </w:tcPr>
          <w:p w14:paraId="3AC3BC0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ukrep (izveden, trenutno neaktiven)</w:t>
            </w:r>
            <w:r w:rsidRPr="006E1C7B">
              <w:rPr>
                <w:rStyle w:val="Sprotnaopomba-sklic"/>
                <w:rFonts w:asciiTheme="minorHAnsi" w:hAnsiTheme="minorHAnsi" w:cstheme="minorHAnsi"/>
                <w:szCs w:val="20"/>
              </w:rPr>
              <w:footnoteReference w:id="3"/>
            </w:r>
          </w:p>
        </w:tc>
      </w:tr>
      <w:tr w:rsidR="001F1CE7" w:rsidRPr="006E1C7B" w14:paraId="746243D9"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8B278A"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6C78B4C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Reforma mehanizma ARENH</w:t>
            </w:r>
          </w:p>
        </w:tc>
        <w:tc>
          <w:tcPr>
            <w:tcW w:w="0" w:type="auto"/>
            <w:vAlign w:val="center"/>
            <w:hideMark/>
          </w:tcPr>
          <w:p w14:paraId="6DBBE00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Novi model zamejitve cen elektrike iz jedrske energije prek modela CfD z namenom znižanja stroškov elektrike za industrijo</w:t>
            </w:r>
          </w:p>
        </w:tc>
        <w:tc>
          <w:tcPr>
            <w:tcW w:w="0" w:type="auto"/>
            <w:vAlign w:val="center"/>
            <w:hideMark/>
          </w:tcPr>
          <w:p w14:paraId="5B8E4D2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2025 dalje</w:t>
            </w:r>
          </w:p>
        </w:tc>
        <w:tc>
          <w:tcPr>
            <w:tcW w:w="0" w:type="auto"/>
            <w:vAlign w:val="center"/>
            <w:hideMark/>
          </w:tcPr>
          <w:p w14:paraId="7D31A3B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Nov sistemski ukrep</w:t>
            </w:r>
          </w:p>
        </w:tc>
      </w:tr>
      <w:tr w:rsidR="001F1CE7" w:rsidRPr="006E1C7B" w14:paraId="499F565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1C7A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Neposredna pomoč</w:t>
            </w:r>
          </w:p>
        </w:tc>
        <w:tc>
          <w:tcPr>
            <w:tcW w:w="0" w:type="auto"/>
            <w:vAlign w:val="center"/>
            <w:hideMark/>
          </w:tcPr>
          <w:p w14:paraId="22E53A3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Subvencije za energetsko intenzivne sektorje</w:t>
            </w:r>
          </w:p>
        </w:tc>
        <w:tc>
          <w:tcPr>
            <w:tcW w:w="0" w:type="auto"/>
            <w:vAlign w:val="center"/>
            <w:hideMark/>
          </w:tcPr>
          <w:p w14:paraId="4EF652A0"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Finančna pomoč vezana na stroške in EBITDA; nadgrajena z elementi energetske transformacije (Ministère de la Transition Énergétique, 2025)</w:t>
            </w:r>
          </w:p>
        </w:tc>
        <w:tc>
          <w:tcPr>
            <w:tcW w:w="0" w:type="auto"/>
            <w:vAlign w:val="center"/>
            <w:hideMark/>
          </w:tcPr>
          <w:p w14:paraId="5ACCA26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2022 - 2025</w:t>
            </w:r>
          </w:p>
        </w:tc>
        <w:tc>
          <w:tcPr>
            <w:tcW w:w="0" w:type="auto"/>
            <w:vAlign w:val="center"/>
            <w:hideMark/>
          </w:tcPr>
          <w:p w14:paraId="777E76C5"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Prenovljen</w:t>
            </w:r>
          </w:p>
        </w:tc>
      </w:tr>
      <w:tr w:rsidR="001F1CE7" w:rsidRPr="006E1C7B" w14:paraId="63EF77C2"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C0C56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razogljičenje</w:t>
            </w:r>
          </w:p>
        </w:tc>
        <w:tc>
          <w:tcPr>
            <w:tcW w:w="0" w:type="auto"/>
            <w:vAlign w:val="center"/>
            <w:hideMark/>
          </w:tcPr>
          <w:p w14:paraId="7E61491E"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Style w:val="Poudarek"/>
                <w:rFonts w:asciiTheme="minorHAnsi" w:hAnsiTheme="minorHAnsi" w:cstheme="minorHAnsi"/>
                <w:szCs w:val="20"/>
              </w:rPr>
              <w:t>France 2030</w:t>
            </w:r>
            <w:r w:rsidRPr="006E1C7B">
              <w:rPr>
                <w:rFonts w:asciiTheme="minorHAnsi" w:hAnsiTheme="minorHAnsi" w:cstheme="minorHAnsi"/>
                <w:szCs w:val="20"/>
              </w:rPr>
              <w:t xml:space="preserve"> – industrijski razogljičitveni ukrepi</w:t>
            </w:r>
          </w:p>
        </w:tc>
        <w:tc>
          <w:tcPr>
            <w:tcW w:w="0" w:type="auto"/>
            <w:vAlign w:val="center"/>
            <w:hideMark/>
          </w:tcPr>
          <w:p w14:paraId="753F022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Sredstva za elektrifikacijo, rabo vodika, zajem toplote, zajem CO</w:t>
            </w:r>
            <w:r w:rsidRPr="006E1C7B">
              <w:rPr>
                <w:rFonts w:asciiTheme="minorHAnsi" w:hAnsiTheme="minorHAnsi" w:cstheme="minorHAnsi"/>
                <w:szCs w:val="20"/>
                <w:vertAlign w:val="subscript"/>
              </w:rPr>
              <w:t>2</w:t>
            </w:r>
            <w:r w:rsidRPr="006E1C7B">
              <w:rPr>
                <w:rFonts w:asciiTheme="minorHAnsi" w:hAnsiTheme="minorHAnsi" w:cstheme="minorHAnsi"/>
                <w:szCs w:val="20"/>
              </w:rPr>
              <w:t xml:space="preserve"> (CCUS), in digitalizacijo v industriji (ADEME, 2025)</w:t>
            </w:r>
          </w:p>
        </w:tc>
        <w:tc>
          <w:tcPr>
            <w:tcW w:w="0" w:type="auto"/>
            <w:vAlign w:val="center"/>
            <w:hideMark/>
          </w:tcPr>
          <w:p w14:paraId="0D427A1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Od 2023 dalje</w:t>
            </w:r>
          </w:p>
        </w:tc>
        <w:tc>
          <w:tcPr>
            <w:tcW w:w="0" w:type="auto"/>
            <w:vAlign w:val="center"/>
            <w:hideMark/>
          </w:tcPr>
          <w:p w14:paraId="4A52C22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6E1C7B">
              <w:rPr>
                <w:rFonts w:asciiTheme="minorHAnsi" w:hAnsiTheme="minorHAnsi" w:cstheme="minorHAnsi"/>
                <w:szCs w:val="20"/>
              </w:rPr>
              <w:t>Nadaljuje se z razpisi</w:t>
            </w:r>
          </w:p>
        </w:tc>
      </w:tr>
      <w:tr w:rsidR="001F1CE7" w:rsidRPr="006E1C7B" w14:paraId="49ECD099" w14:textId="77777777" w:rsidTr="006C3D53">
        <w:tc>
          <w:tcPr>
            <w:cnfStyle w:val="001000000000" w:firstRow="0" w:lastRow="0" w:firstColumn="1" w:lastColumn="0" w:oddVBand="0" w:evenVBand="0" w:oddHBand="0" w:evenHBand="0" w:firstRowFirstColumn="0" w:firstRowLastColumn="0" w:lastRowFirstColumn="0" w:lastRowLastColumn="0"/>
            <w:tcW w:w="0" w:type="auto"/>
          </w:tcPr>
          <w:p w14:paraId="74D237A6" w14:textId="77777777" w:rsidR="001F1CE7" w:rsidRPr="006E1C7B" w:rsidRDefault="001F1CE7" w:rsidP="006C3D53">
            <w:pPr>
              <w:rPr>
                <w:rFonts w:asciiTheme="minorHAnsi" w:hAnsiTheme="minorHAnsi" w:cstheme="minorHAnsi"/>
                <w:b w:val="0"/>
                <w:bCs w:val="0"/>
                <w:sz w:val="22"/>
                <w:lang w:eastAsia="en-GB"/>
              </w:rPr>
            </w:pPr>
            <w:r w:rsidRPr="006E1C7B">
              <w:rPr>
                <w:rFonts w:asciiTheme="minorHAnsi" w:hAnsiTheme="minorHAnsi" w:cstheme="minorHAnsi"/>
                <w:sz w:val="22"/>
              </w:rPr>
              <w:lastRenderedPageBreak/>
              <w:t>Tržne cene in referenčne tarife</w:t>
            </w:r>
          </w:p>
        </w:tc>
        <w:tc>
          <w:tcPr>
            <w:tcW w:w="0" w:type="auto"/>
          </w:tcPr>
          <w:p w14:paraId="3FADC3E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Style w:val="Poudarek"/>
                <w:rFonts w:asciiTheme="minorHAnsi" w:hAnsiTheme="minorHAnsi" w:cstheme="minorHAnsi"/>
                <w:i w:val="0"/>
                <w:iCs w:val="0"/>
                <w:szCs w:val="20"/>
                <w:lang w:eastAsia="en-GB"/>
              </w:rPr>
            </w:pPr>
            <w:r w:rsidRPr="006E1C7B">
              <w:rPr>
                <w:rFonts w:asciiTheme="minorHAnsi" w:hAnsiTheme="minorHAnsi" w:cstheme="minorHAnsi"/>
                <w:szCs w:val="20"/>
              </w:rPr>
              <w:t>Stabilizacija industrijskih cen elektrike</w:t>
            </w:r>
          </w:p>
        </w:tc>
        <w:tc>
          <w:tcPr>
            <w:tcW w:w="0" w:type="auto"/>
          </w:tcPr>
          <w:p w14:paraId="084164A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Tržne cene stabilizirane med 60–70 €/MWh; povprečna industrijska cena ~50 €/MWh; referenčna cena jedrske energije: 70 €/MWh (Le Monde, 2024; CRE)</w:t>
            </w:r>
          </w:p>
        </w:tc>
        <w:tc>
          <w:tcPr>
            <w:tcW w:w="0" w:type="auto"/>
          </w:tcPr>
          <w:p w14:paraId="4FBE946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2025 (in naprej za referenčno leto 2026)</w:t>
            </w:r>
          </w:p>
        </w:tc>
        <w:tc>
          <w:tcPr>
            <w:tcW w:w="0" w:type="auto"/>
          </w:tcPr>
          <w:p w14:paraId="5D4F654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rPr>
              <w:t>Indikativni učinek ukrepov / Napoved</w:t>
            </w:r>
          </w:p>
        </w:tc>
      </w:tr>
    </w:tbl>
    <w:p w14:paraId="1D0B50D4" w14:textId="77777777" w:rsidR="001F1CE7" w:rsidRPr="006E1C7B" w:rsidRDefault="001F1CE7" w:rsidP="001F1CE7">
      <w:pPr>
        <w:rPr>
          <w:rFonts w:asciiTheme="minorHAnsi" w:hAnsiTheme="minorHAnsi" w:cstheme="minorHAnsi"/>
          <w:lang w:eastAsia="en-GB"/>
        </w:rPr>
      </w:pPr>
    </w:p>
    <w:p w14:paraId="5628A749" w14:textId="77777777" w:rsidR="001F1CE7" w:rsidRPr="001F1CE7" w:rsidRDefault="001F1CE7" w:rsidP="001F1CE7">
      <w:pPr>
        <w:pStyle w:val="Naslov2"/>
        <w:keepLines w:val="0"/>
        <w:numPr>
          <w:ilvl w:val="1"/>
          <w:numId w:val="0"/>
        </w:numPr>
        <w:spacing w:before="240" w:line="240" w:lineRule="auto"/>
        <w:ind w:left="567" w:hanging="567"/>
        <w:jc w:val="left"/>
        <w:rPr>
          <w:rFonts w:cs="Arial"/>
          <w:szCs w:val="20"/>
        </w:rPr>
      </w:pPr>
      <w:bookmarkStart w:id="18" w:name="_Toc201714271"/>
      <w:bookmarkStart w:id="19" w:name="_Toc211241072"/>
      <w:r w:rsidRPr="001F1CE7">
        <w:rPr>
          <w:rFonts w:cs="Arial"/>
          <w:szCs w:val="20"/>
        </w:rPr>
        <w:t>ITALIJA</w:t>
      </w:r>
      <w:bookmarkEnd w:id="18"/>
      <w:bookmarkEnd w:id="19"/>
    </w:p>
    <w:p w14:paraId="70A6864A" w14:textId="77777777" w:rsidR="001F1CE7" w:rsidRPr="001F1CE7" w:rsidRDefault="001F1CE7" w:rsidP="001F1CE7">
      <w:pPr>
        <w:rPr>
          <w:rFonts w:cs="Arial"/>
          <w:szCs w:val="20"/>
        </w:rPr>
      </w:pPr>
      <w:r w:rsidRPr="001F1CE7">
        <w:rPr>
          <w:rFonts w:cs="Arial"/>
          <w:szCs w:val="20"/>
        </w:rPr>
        <w:t>Italija je ob energetski krizi izbrala strategijo podpore industriji prek posrednih ukrepov za stabilizacijo cen električne energije, brez neposredne administrativne regulacije. To pomeni, da za energetsko intenzivne dejavnosti (EID) ni določala cenovnih kapic ali reguliranih tarif kot npr. Francija, temveč je uvedla ciljno usmerjene sheme in mehanizme, ki omogočajo dostop do električne energije pod ugodnejšimi in bolj predvidljivimi pogoji.</w:t>
      </w:r>
    </w:p>
    <w:p w14:paraId="3F7ABEDE" w14:textId="77777777" w:rsidR="001F1CE7" w:rsidRPr="001F1CE7" w:rsidRDefault="001F1CE7" w:rsidP="001F1CE7">
      <w:pPr>
        <w:rPr>
          <w:rFonts w:cs="Arial"/>
          <w:szCs w:val="20"/>
        </w:rPr>
      </w:pPr>
    </w:p>
    <w:p w14:paraId="62F91965"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0" w:name="_Toc211241073"/>
      <w:r w:rsidRPr="001F1CE7">
        <w:rPr>
          <w:rFonts w:ascii="Arial" w:hAnsi="Arial" w:cs="Arial"/>
          <w:sz w:val="20"/>
          <w:szCs w:val="20"/>
        </w:rPr>
        <w:t>Energy Release 2.0</w:t>
      </w:r>
      <w:bookmarkEnd w:id="20"/>
    </w:p>
    <w:p w14:paraId="0950343A" w14:textId="77777777" w:rsidR="001F1CE7" w:rsidRPr="001F1CE7" w:rsidRDefault="001F1CE7" w:rsidP="001F1CE7">
      <w:pPr>
        <w:rPr>
          <w:rFonts w:cs="Arial"/>
          <w:szCs w:val="20"/>
        </w:rPr>
      </w:pPr>
      <w:r w:rsidRPr="001F1CE7">
        <w:rPr>
          <w:rFonts w:cs="Arial"/>
          <w:szCs w:val="20"/>
        </w:rPr>
        <w:t xml:space="preserve">V letu 2024 je Italija uvedla nadgradnjo obstoječega mehanizma z imenom </w:t>
      </w:r>
      <w:r w:rsidRPr="001F1CE7">
        <w:rPr>
          <w:rFonts w:cs="Arial"/>
          <w:b/>
          <w:bCs/>
          <w:szCs w:val="20"/>
        </w:rPr>
        <w:t>Energy Release 2.0</w:t>
      </w:r>
      <w:r w:rsidRPr="001F1CE7">
        <w:rPr>
          <w:rFonts w:cs="Arial"/>
          <w:szCs w:val="20"/>
        </w:rPr>
        <w:t>.</w:t>
      </w:r>
      <w:r w:rsidRPr="001F1CE7">
        <w:rPr>
          <w:rStyle w:val="Sprotnaopomba-sklic"/>
          <w:rFonts w:cs="Arial"/>
          <w:szCs w:val="20"/>
        </w:rPr>
        <w:footnoteReference w:id="4"/>
      </w:r>
      <w:r w:rsidRPr="001F1CE7">
        <w:rPr>
          <w:rFonts w:cs="Arial"/>
          <w:szCs w:val="20"/>
        </w:rPr>
        <w:t xml:space="preserve"> Gre za model, po katerem državni ali para-javni proizvajalci električne energije (zlasti GSE – Gestore dei Servizi Energetici) prodajajo električno energijo določenim industrijskim odjemalcem po vnaprej določenih cenah, ki so praviloma nižje od tržnih in dolgoročno stabilnejše, hkrati pa se kupci zavežejo vrniti dobavljeno energijo po enakih cenah na podlagi naložb v lastne energetske vire.</w:t>
      </w:r>
    </w:p>
    <w:p w14:paraId="64F04433" w14:textId="77777777" w:rsidR="001F1CE7" w:rsidRPr="001F1CE7" w:rsidRDefault="001F1CE7" w:rsidP="001F1CE7">
      <w:pPr>
        <w:rPr>
          <w:rFonts w:cs="Arial"/>
          <w:szCs w:val="20"/>
        </w:rPr>
      </w:pPr>
    </w:p>
    <w:p w14:paraId="70753C08" w14:textId="77777777" w:rsidR="001F1CE7" w:rsidRPr="001F1CE7" w:rsidRDefault="001F1CE7" w:rsidP="001F1CE7">
      <w:pPr>
        <w:rPr>
          <w:rFonts w:cs="Arial"/>
          <w:szCs w:val="20"/>
        </w:rPr>
      </w:pPr>
      <w:r w:rsidRPr="001F1CE7">
        <w:rPr>
          <w:rFonts w:cs="Arial"/>
          <w:szCs w:val="20"/>
        </w:rPr>
        <w:t>Energy Release 2.0 je v veljavi od julija 2024, z objavo na institucionalni spletni strani Ministrstva za okolje in energetsko varnost (MASE). Ta dekret ureja mehanizem odkupa električne energije iz razpoložljivih virov družbe GSE in njenega kasnejšega vračila družbi GSE, skupaj z ustreznimi jamstvi o izvoru energije. Cilj tega podpornega ukrepa je spodbuditi namestitev novih proizvodnih enot za proizvodnjo energije iz obnovljivih virov in energetsko intenzivnim podjetjem ponuditi možnost nakupa električne energije po znižanih cenah.</w:t>
      </w:r>
    </w:p>
    <w:p w14:paraId="5C8CE123" w14:textId="77777777" w:rsidR="001F1CE7" w:rsidRPr="001F1CE7" w:rsidRDefault="001F1CE7" w:rsidP="001F1CE7">
      <w:pPr>
        <w:rPr>
          <w:rFonts w:cs="Arial"/>
          <w:szCs w:val="20"/>
        </w:rPr>
      </w:pPr>
    </w:p>
    <w:p w14:paraId="23A5DAA7" w14:textId="77777777" w:rsidR="001F1CE7" w:rsidRPr="001F1CE7" w:rsidRDefault="001F1CE7" w:rsidP="001F1CE7">
      <w:pPr>
        <w:rPr>
          <w:rFonts w:cs="Arial"/>
          <w:b/>
          <w:bCs/>
          <w:szCs w:val="20"/>
        </w:rPr>
      </w:pPr>
      <w:r w:rsidRPr="001F1CE7">
        <w:rPr>
          <w:rFonts w:cs="Arial"/>
          <w:b/>
          <w:bCs/>
          <w:szCs w:val="20"/>
        </w:rPr>
        <w:t>Opis mehanizma</w:t>
      </w:r>
    </w:p>
    <w:p w14:paraId="2CC1F177" w14:textId="77777777" w:rsidR="001F1CE7" w:rsidRPr="001F1CE7" w:rsidRDefault="001F1CE7" w:rsidP="001F1CE7">
      <w:pPr>
        <w:rPr>
          <w:rFonts w:cs="Arial"/>
          <w:szCs w:val="20"/>
        </w:rPr>
      </w:pPr>
    </w:p>
    <w:p w14:paraId="27592FEF" w14:textId="77777777" w:rsidR="001F1CE7" w:rsidRPr="001F1CE7" w:rsidRDefault="001F1CE7" w:rsidP="001F1CE7">
      <w:pPr>
        <w:rPr>
          <w:rFonts w:cs="Arial"/>
          <w:szCs w:val="20"/>
        </w:rPr>
      </w:pPr>
      <w:r w:rsidRPr="001F1CE7">
        <w:rPr>
          <w:rFonts w:cs="Arial"/>
          <w:szCs w:val="20"/>
        </w:rPr>
        <w:t>Program Energy Release 2.0 je namenjen izključno določenim upravičencem – predvsem energetsko intenzivnim industrijam, ki izpolnjujejo kriterije glede porabe električne energije, udeležbe v sistemu EU ETS in izkazanih težav pri stroških elektrike. Podjetja se morajo prijaviti in skleniti pogodbo z GSE ali drugim zavezanim dobaviteljem, cene pa so določene z uredbo vlade.</w:t>
      </w:r>
    </w:p>
    <w:p w14:paraId="2390A52A" w14:textId="77777777" w:rsidR="001F1CE7" w:rsidRPr="001F1CE7" w:rsidRDefault="001F1CE7" w:rsidP="001F1CE7">
      <w:pPr>
        <w:rPr>
          <w:rFonts w:cs="Arial"/>
          <w:szCs w:val="20"/>
        </w:rPr>
      </w:pPr>
    </w:p>
    <w:p w14:paraId="7F1CFEB7" w14:textId="77777777" w:rsidR="001F1CE7" w:rsidRPr="001F1CE7" w:rsidRDefault="001F1CE7" w:rsidP="001F1CE7">
      <w:pPr>
        <w:rPr>
          <w:rFonts w:cs="Arial"/>
          <w:szCs w:val="20"/>
        </w:rPr>
      </w:pPr>
      <w:r w:rsidRPr="001F1CE7">
        <w:rPr>
          <w:rFonts w:cs="Arial"/>
          <w:szCs w:val="20"/>
        </w:rPr>
        <w:t xml:space="preserve">Energetsko intenzivna podjetja – torej podjetja, registrirana pri </w:t>
      </w:r>
      <w:r w:rsidRPr="001F1CE7">
        <w:rPr>
          <w:rFonts w:cs="Arial"/>
          <w:i/>
          <w:iCs/>
          <w:szCs w:val="20"/>
        </w:rPr>
        <w:t>Cassa per i servizi energetici e ambientali</w:t>
      </w:r>
      <w:r w:rsidRPr="001F1CE7">
        <w:rPr>
          <w:rFonts w:cs="Arial"/>
          <w:szCs w:val="20"/>
        </w:rPr>
        <w:t xml:space="preserve"> (CSEA, Sklad za energetske in okoljske storitve) – imajo možnost, da najprej prejmejo električno energijo in pripadajoča jamstva o izvoru energije od GSE, bodisi posamično bodisi v združeni obliki, po zamejeni ceni 65 €/MWh (za obdobje 36 mesecev). Nato v obdobju 20 let družbi GSE povrnejo enako količino električne energije in vrednost pripadajočih jamstev o izvoru, prav tako po ceni 65 €/MWh, tako da se sami ali prek tretjih oseb zavežejo k gradnji novih elektrarn za proizvodnjo električne energije iz obnovljivih virov (fotovoltaika, vetrna ali hidro energija).</w:t>
      </w:r>
    </w:p>
    <w:p w14:paraId="1664B71B" w14:textId="77777777" w:rsidR="001F1CE7" w:rsidRPr="001F1CE7" w:rsidRDefault="001F1CE7" w:rsidP="001F1CE7">
      <w:pPr>
        <w:rPr>
          <w:rFonts w:cs="Arial"/>
          <w:szCs w:val="20"/>
        </w:rPr>
      </w:pPr>
    </w:p>
    <w:p w14:paraId="30D14DC4" w14:textId="77777777" w:rsidR="001F1CE7" w:rsidRPr="001F1CE7" w:rsidRDefault="001F1CE7" w:rsidP="001F1CE7">
      <w:pPr>
        <w:rPr>
          <w:rFonts w:cs="Arial"/>
          <w:szCs w:val="20"/>
        </w:rPr>
      </w:pPr>
      <w:r w:rsidRPr="001F1CE7">
        <w:rPr>
          <w:rFonts w:cs="Arial"/>
          <w:szCs w:val="20"/>
        </w:rPr>
        <w:t>Energetsko intenzivna podjetja so imela možnost izraziti interes za sodelovanje v razpisu, neposredno ali preko agregatorja, prek portala GSE do 3. marca 2025, pri čemer so morala vnaprej navesti želeno količino električne energije (ne več kot trenutno letno porabo). Po podatkih GSE je bilo oddanih 559 izjav o interesu, večinoma neposredno s strani energetsko intenzivnih podjetij in ne – kot je bilo pričakovano – preko agregatorjev. Skupna zahtevana količina električne energije naj bi presegala 70 TWh (kar je skoraj trikrat več od količine energije, ki jo ima GSE na voljo, to je 24 TWh/leto). Objava rezultatov razpisa, ki je bila predvidena za začetek aprila 2025, ob zaključku te analize še ni bila na voljo. Vpletene strani zato čakajo na rezultate, da bodo lahko izvedle naslednje korake in podpisale pogodbe z GSE (pogodbe o predplačilu in povračilu energije za dodeljene količine).</w:t>
      </w:r>
    </w:p>
    <w:p w14:paraId="68A13291" w14:textId="77777777" w:rsidR="001F1CE7" w:rsidRPr="001F1CE7" w:rsidRDefault="001F1CE7" w:rsidP="001F1CE7">
      <w:pPr>
        <w:rPr>
          <w:rFonts w:cs="Arial"/>
          <w:szCs w:val="20"/>
        </w:rPr>
      </w:pPr>
    </w:p>
    <w:p w14:paraId="0B1DC0C4" w14:textId="77777777" w:rsidR="001F1CE7" w:rsidRPr="001F1CE7" w:rsidRDefault="001F1CE7" w:rsidP="001F1CE7">
      <w:pPr>
        <w:rPr>
          <w:rFonts w:cs="Arial"/>
          <w:szCs w:val="20"/>
        </w:rPr>
      </w:pPr>
      <w:r w:rsidRPr="001F1CE7">
        <w:rPr>
          <w:rFonts w:cs="Arial"/>
          <w:szCs w:val="20"/>
        </w:rPr>
        <w:t>Prednosti tega modela so, da država:</w:t>
      </w:r>
    </w:p>
    <w:p w14:paraId="0F78DBC0"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 xml:space="preserve">uporablja prihodke iz preteklih izrednih davkov </w:t>
      </w:r>
      <w:r w:rsidRPr="001F1CE7">
        <w:rPr>
          <w:rFonts w:cs="Arial"/>
          <w:szCs w:val="20"/>
        </w:rPr>
        <w:t>(npr. davek na presežne dobičke) in presežkov iz proizvodnje OVE za podporo izbranim podjetjem,</w:t>
      </w:r>
    </w:p>
    <w:p w14:paraId="2A92FF3C"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zmanjšuje spremenljivost oz. nihanja tržnih cen</w:t>
      </w:r>
      <w:r w:rsidRPr="001F1CE7">
        <w:rPr>
          <w:rFonts w:cs="Arial"/>
          <w:szCs w:val="20"/>
        </w:rPr>
        <w:t xml:space="preserve"> za EID podjetja, ki so sicer zaradi svoje energetske intenzivnosti posebej ranljiva,</w:t>
      </w:r>
    </w:p>
    <w:p w14:paraId="64567A42"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szCs w:val="20"/>
        </w:rPr>
        <w:t xml:space="preserve">hkrati </w:t>
      </w:r>
      <w:r w:rsidRPr="001F1CE7">
        <w:rPr>
          <w:rFonts w:cs="Arial"/>
          <w:b/>
          <w:bCs/>
          <w:szCs w:val="20"/>
        </w:rPr>
        <w:t>ne moti delovanja energetskih trgov</w:t>
      </w:r>
      <w:r w:rsidRPr="001F1CE7">
        <w:rPr>
          <w:rFonts w:cs="Arial"/>
          <w:szCs w:val="20"/>
        </w:rPr>
        <w:t xml:space="preserve"> v klasičnem smislu, saj so pogodbe sklenjene prostovoljno in so določene količine električne energije posebej namenjene temu programu</w:t>
      </w:r>
    </w:p>
    <w:p w14:paraId="649D3188" w14:textId="77777777" w:rsidR="001F1CE7" w:rsidRPr="001F1CE7" w:rsidRDefault="001F1CE7" w:rsidP="001F1CE7">
      <w:pPr>
        <w:numPr>
          <w:ilvl w:val="0"/>
          <w:numId w:val="64"/>
        </w:numPr>
        <w:tabs>
          <w:tab w:val="num" w:pos="720"/>
        </w:tabs>
        <w:spacing w:after="0" w:line="240" w:lineRule="auto"/>
        <w:rPr>
          <w:rFonts w:cs="Arial"/>
          <w:szCs w:val="20"/>
        </w:rPr>
      </w:pPr>
      <w:r w:rsidRPr="001F1CE7">
        <w:rPr>
          <w:rFonts w:cs="Arial"/>
          <w:b/>
          <w:bCs/>
          <w:szCs w:val="20"/>
        </w:rPr>
        <w:t>spodbuja naložbe</w:t>
      </w:r>
      <w:r w:rsidRPr="001F1CE7">
        <w:rPr>
          <w:rFonts w:cs="Arial"/>
          <w:szCs w:val="20"/>
        </w:rPr>
        <w:t xml:space="preserve"> podjetij v EID v obnovljive vire energije.</w:t>
      </w:r>
    </w:p>
    <w:p w14:paraId="7D821C66" w14:textId="77777777" w:rsidR="001F1CE7" w:rsidRPr="001F1CE7" w:rsidRDefault="001F1CE7" w:rsidP="001F1CE7">
      <w:pPr>
        <w:rPr>
          <w:rFonts w:cs="Arial"/>
          <w:b/>
          <w:bCs/>
          <w:szCs w:val="20"/>
        </w:rPr>
      </w:pPr>
    </w:p>
    <w:p w14:paraId="038867C6" w14:textId="77777777" w:rsidR="001F1CE7" w:rsidRPr="001F1CE7" w:rsidRDefault="001F1CE7" w:rsidP="001F1CE7">
      <w:pPr>
        <w:rPr>
          <w:rFonts w:cs="Arial"/>
          <w:szCs w:val="20"/>
        </w:rPr>
      </w:pPr>
      <w:r w:rsidRPr="001F1CE7">
        <w:rPr>
          <w:rFonts w:cs="Arial"/>
          <w:szCs w:val="20"/>
        </w:rPr>
        <w:t xml:space="preserve">Ta mehanizem je v določenem delu primerljiv z dolgoročnimi PPA pogodbami (Power Purchase Agreements), a zlasti zato, ker v njem nastopa država kot posrednik in subjekt, ki omogoča prodajo. Italija s tem ubira </w:t>
      </w:r>
      <w:r w:rsidRPr="001F1CE7">
        <w:rPr>
          <w:rFonts w:cs="Arial"/>
          <w:b/>
          <w:bCs/>
          <w:szCs w:val="20"/>
        </w:rPr>
        <w:t>posebno pot med popolno tržno liberalizacijo in neposredno regulacijo</w:t>
      </w:r>
      <w:r w:rsidRPr="001F1CE7">
        <w:rPr>
          <w:rFonts w:cs="Arial"/>
          <w:szCs w:val="20"/>
        </w:rPr>
        <w:t xml:space="preserve"> ter s tem preprečuje izpad proizvodnje v ključnih industrijah (npr. aluminij, cement, papir, jeklo).</w:t>
      </w:r>
    </w:p>
    <w:p w14:paraId="2301CE01" w14:textId="77777777" w:rsidR="001F1CE7" w:rsidRPr="001F1CE7" w:rsidRDefault="001F1CE7" w:rsidP="001F1CE7">
      <w:pPr>
        <w:rPr>
          <w:rFonts w:cs="Arial"/>
          <w:szCs w:val="20"/>
        </w:rPr>
      </w:pPr>
    </w:p>
    <w:p w14:paraId="1748C340" w14:textId="77777777" w:rsidR="001F1CE7" w:rsidRPr="001F1CE7" w:rsidRDefault="001F1CE7" w:rsidP="001F1CE7">
      <w:pPr>
        <w:rPr>
          <w:rFonts w:cs="Arial"/>
          <w:szCs w:val="20"/>
        </w:rPr>
      </w:pPr>
      <w:r w:rsidRPr="001F1CE7">
        <w:rPr>
          <w:rFonts w:cs="Arial"/>
          <w:szCs w:val="20"/>
        </w:rPr>
        <w:t xml:space="preserve">Italijanski pristop je zanimiv primer, kako lahko država s ciljanimi in strukturiranimi ukrepi zaščiti strateške industrije pred negativnimi posledicami energetske krize, brez posredovanja na celoten trg električne energije, hkrati pa spodbuja podjetja v naložbe v energetske obrate za proizvodnjo električne energije. Model Energy Release 2.0 je v svojem vsebinskem smislu podoben novim evropskim smernicam </w:t>
      </w:r>
      <w:r w:rsidRPr="001F1CE7">
        <w:rPr>
          <w:rFonts w:cs="Arial"/>
          <w:b/>
          <w:bCs/>
          <w:szCs w:val="20"/>
        </w:rPr>
        <w:t xml:space="preserve">CISAF (Clean Industrial Deal State Aid Framework) </w:t>
      </w:r>
      <w:r w:rsidRPr="001F1CE7">
        <w:rPr>
          <w:rFonts w:cs="Arial"/>
          <w:szCs w:val="20"/>
        </w:rPr>
        <w:t>iz junija 2025</w:t>
      </w:r>
      <w:r w:rsidRPr="001F1CE7">
        <w:rPr>
          <w:rFonts w:cs="Arial"/>
          <w:b/>
          <w:bCs/>
          <w:szCs w:val="20"/>
        </w:rPr>
        <w:t xml:space="preserve"> </w:t>
      </w:r>
      <w:r w:rsidRPr="001F1CE7">
        <w:rPr>
          <w:rFonts w:cs="Arial"/>
          <w:szCs w:val="20"/>
        </w:rPr>
        <w:t>glede poenostavljenih postopkov za dodelitev državne pomoči. V skladu s CISAF lahko državna pomoč krije do 50 % povprečne veleprodajne cene električne energije, vendar največ za polovico letne porabe podjetja, pri čemer mora znižana cena znašati najmanj 50 EUR/MWh. Upravičenci morajo najmanj polovico prejete pomoči obvezno investirati v nove ali posodobljene energetske zmogljivosti, kot so obnovljivi viri, ukrepi energetske učinkovitosti, fleksibilnost ali proizvodnja zelenega vodika. Pomoč je omejena na največ tri leta in je namenjena podjetjem iz sektorjev navedenih v Prilogi 1 k Smernicam o državni pomoči za podnebje, varstvo okolja in energijo ter drugim sektorjem, ki izpolnjujejo pogoje v skladu s CISAF (več o CISAF v naslednjem poglavju).</w:t>
      </w:r>
    </w:p>
    <w:p w14:paraId="5D771B48" w14:textId="77777777" w:rsidR="001F1CE7" w:rsidRPr="001F1CE7" w:rsidRDefault="001F1CE7" w:rsidP="001F1CE7">
      <w:pPr>
        <w:rPr>
          <w:rFonts w:cs="Arial"/>
          <w:szCs w:val="20"/>
        </w:rPr>
      </w:pPr>
    </w:p>
    <w:p w14:paraId="3D5E795D" w14:textId="77777777" w:rsidR="001F1CE7" w:rsidRPr="001F1CE7" w:rsidRDefault="001F1CE7" w:rsidP="001F1CE7">
      <w:pPr>
        <w:rPr>
          <w:rFonts w:cs="Arial"/>
          <w:szCs w:val="20"/>
        </w:rPr>
      </w:pPr>
      <w:r w:rsidRPr="001F1CE7">
        <w:rPr>
          <w:rFonts w:cs="Arial"/>
          <w:szCs w:val="20"/>
        </w:rPr>
        <w:t xml:space="preserve">Model Energy Release 2.0 in smernice CISAF sta zelo relevantna mehanizma, saj omogočata </w:t>
      </w:r>
      <w:r w:rsidRPr="001F1CE7">
        <w:rPr>
          <w:rFonts w:cs="Arial"/>
          <w:b/>
          <w:bCs/>
          <w:szCs w:val="20"/>
        </w:rPr>
        <w:t>stabilizacijo cen in ohranitev konkurenčnosti industrije</w:t>
      </w:r>
      <w:r w:rsidRPr="001F1CE7">
        <w:rPr>
          <w:rFonts w:cs="Arial"/>
          <w:szCs w:val="20"/>
        </w:rPr>
        <w:t>, ne da bi to pomenilo celovito spremembo regulacije trga, hkrati pa podjetja spodbujata k naložbam v nizkoogljične energetske obrate za proizvodnjo električne energije.</w:t>
      </w:r>
    </w:p>
    <w:p w14:paraId="6C62C750" w14:textId="77777777" w:rsidR="001F1CE7" w:rsidRPr="001F1CE7" w:rsidRDefault="001F1CE7" w:rsidP="001F1CE7">
      <w:pPr>
        <w:rPr>
          <w:rFonts w:cs="Arial"/>
          <w:szCs w:val="20"/>
        </w:rPr>
      </w:pPr>
    </w:p>
    <w:p w14:paraId="248542CC" w14:textId="01FF223F"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21" w:name="_Toc201714256"/>
      <w:bookmarkStart w:id="22" w:name="_Toc211241074"/>
      <w:r w:rsidRPr="001F1CE7">
        <w:rPr>
          <w:rFonts w:cs="Arial"/>
          <w:szCs w:val="20"/>
        </w:rPr>
        <w:t>NEMČIJA</w:t>
      </w:r>
      <w:bookmarkEnd w:id="21"/>
      <w:bookmarkEnd w:id="22"/>
    </w:p>
    <w:p w14:paraId="276053F8" w14:textId="77777777" w:rsidR="001F1CE7" w:rsidRPr="001F1CE7" w:rsidRDefault="001F1CE7" w:rsidP="001F1CE7">
      <w:pPr>
        <w:rPr>
          <w:rStyle w:val="Krepko"/>
          <w:rFonts w:cs="Arial"/>
          <w:b w:val="0"/>
          <w:bCs w:val="0"/>
          <w:szCs w:val="20"/>
        </w:rPr>
      </w:pPr>
      <w:r w:rsidRPr="001F1CE7">
        <w:rPr>
          <w:rFonts w:cs="Arial"/>
          <w:szCs w:val="20"/>
        </w:rPr>
        <w:t xml:space="preserve">Nemčija je že od leta 2022 dalje vzpostavila obsežen okvir za blažitev vpliva visokih cen električne energije na gospodarstvo, znan kot </w:t>
      </w:r>
      <w:r w:rsidRPr="001F1CE7">
        <w:rPr>
          <w:rFonts w:cs="Arial"/>
          <w:i/>
          <w:iCs/>
          <w:szCs w:val="20"/>
        </w:rPr>
        <w:t>Abwehrschirm</w:t>
      </w:r>
      <w:r w:rsidRPr="001F1CE7">
        <w:rPr>
          <w:rFonts w:cs="Arial"/>
          <w:szCs w:val="20"/>
        </w:rPr>
        <w:t xml:space="preserve"> (gospodarski obrambni ščit), vreden približno 200 milijard evrov. Ukrepi so vključevali cenovne omejitve, davčne razbremenitve, neposredno pomoč energetsko intenzivnim podjetjem in sistemsko podporo za industrijsko razogljičenje. Leta 2025 Nemčija </w:t>
      </w:r>
      <w:r w:rsidRPr="001F1CE7">
        <w:rPr>
          <w:rFonts w:cs="Arial"/>
          <w:szCs w:val="20"/>
        </w:rPr>
        <w:lastRenderedPageBreak/>
        <w:t>večino ukrepov nadaljuje, hkrati pa je uvedla nove mehanizme in okrepila že obstoječe programe (Bruegel, 2024; BMWK, 2025; Reuters, 2025).</w:t>
      </w:r>
    </w:p>
    <w:p w14:paraId="35820BFD"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3" w:name="_Toc201714257"/>
      <w:bookmarkStart w:id="24" w:name="_Toc211241075"/>
      <w:r w:rsidRPr="001F1CE7">
        <w:rPr>
          <w:rFonts w:ascii="Arial" w:hAnsi="Arial" w:cs="Arial"/>
          <w:sz w:val="20"/>
          <w:szCs w:val="20"/>
        </w:rPr>
        <w:t>Cenovne omejitve električne energije za industrijo</w:t>
      </w:r>
      <w:bookmarkEnd w:id="23"/>
      <w:bookmarkEnd w:id="24"/>
    </w:p>
    <w:p w14:paraId="5912B9E8" w14:textId="77777777" w:rsidR="001F1CE7" w:rsidRPr="001F1CE7" w:rsidRDefault="001F1CE7" w:rsidP="001F1CE7">
      <w:pPr>
        <w:rPr>
          <w:rStyle w:val="Krepko"/>
          <w:rFonts w:cs="Arial"/>
          <w:b w:val="0"/>
          <w:bCs w:val="0"/>
          <w:szCs w:val="20"/>
        </w:rPr>
      </w:pPr>
      <w:r w:rsidRPr="001F1CE7">
        <w:rPr>
          <w:rStyle w:val="Krepko"/>
          <w:rFonts w:cs="Arial"/>
          <w:szCs w:val="20"/>
        </w:rPr>
        <w:t xml:space="preserve">V letih 2023–2024 je Nemčija vzpostavila </w:t>
      </w:r>
      <w:r w:rsidRPr="001F1CE7">
        <w:rPr>
          <w:rStyle w:val="Krepko"/>
          <w:rFonts w:cs="Arial"/>
          <w:i/>
          <w:iCs/>
          <w:szCs w:val="20"/>
        </w:rPr>
        <w:t>Strompreisbremse</w:t>
      </w:r>
      <w:r w:rsidRPr="001F1CE7">
        <w:rPr>
          <w:rStyle w:val="Krepko"/>
          <w:rFonts w:cs="Arial"/>
          <w:szCs w:val="20"/>
        </w:rPr>
        <w:t xml:space="preserve">, mehanizem za omejitev cene električne energije, s katerim je bilo 70 % porabe upravičenih podjetij subvencionirano do 130 evrov/MWh za osnovno oskrbo. Ta ukrep je bil del nemškega energetskega zaščitnega ščita v vrednosti 200 milijard evrov, namenjenega ublažitvi posledic energetske krize. Shema je začela veljati marca 2023. </w:t>
      </w:r>
    </w:p>
    <w:p w14:paraId="3E72E0AF" w14:textId="77777777" w:rsidR="001F1CE7" w:rsidRPr="001F1CE7" w:rsidRDefault="001F1CE7" w:rsidP="001F1CE7">
      <w:pPr>
        <w:rPr>
          <w:rStyle w:val="Krepko"/>
          <w:rFonts w:cs="Arial"/>
          <w:b w:val="0"/>
          <w:bCs w:val="0"/>
          <w:szCs w:val="20"/>
        </w:rPr>
      </w:pPr>
    </w:p>
    <w:p w14:paraId="58226686" w14:textId="77777777" w:rsidR="001F1CE7" w:rsidRPr="001F1CE7" w:rsidRDefault="001F1CE7" w:rsidP="001F1CE7">
      <w:pPr>
        <w:rPr>
          <w:rStyle w:val="Krepko"/>
          <w:rFonts w:cs="Arial"/>
          <w:b w:val="0"/>
          <w:bCs w:val="0"/>
          <w:szCs w:val="20"/>
        </w:rPr>
      </w:pPr>
      <w:r w:rsidRPr="001F1CE7">
        <w:rPr>
          <w:rStyle w:val="Krepko"/>
          <w:rFonts w:cs="Arial"/>
          <w:szCs w:val="20"/>
        </w:rPr>
        <w:t>Za gospodinjstva in mala podjetja (z letno porabo do 30.000 kWh) je bila cena električne energije omejena na 400 evrov/MWh (bruto) za 80 % njihove porabe v preteklem letu. Ta ukrep je bil prav tako del zgoraj omenjenega energetskega zaščitnega ščita.</w:t>
      </w:r>
    </w:p>
    <w:p w14:paraId="3AC4116D" w14:textId="77777777" w:rsidR="001F1CE7" w:rsidRPr="001F1CE7" w:rsidRDefault="001F1CE7" w:rsidP="001F1CE7">
      <w:pPr>
        <w:rPr>
          <w:rStyle w:val="Krepko"/>
          <w:rFonts w:cs="Arial"/>
          <w:b w:val="0"/>
          <w:bCs w:val="0"/>
          <w:szCs w:val="20"/>
        </w:rPr>
      </w:pPr>
    </w:p>
    <w:p w14:paraId="0EDD47E9" w14:textId="77777777" w:rsidR="001F1CE7" w:rsidRPr="001F1CE7" w:rsidRDefault="001F1CE7" w:rsidP="001F1CE7">
      <w:pPr>
        <w:rPr>
          <w:rStyle w:val="Krepko"/>
          <w:rFonts w:cs="Arial"/>
          <w:b w:val="0"/>
          <w:bCs w:val="0"/>
          <w:szCs w:val="20"/>
        </w:rPr>
      </w:pPr>
      <w:r w:rsidRPr="001F1CE7">
        <w:rPr>
          <w:rStyle w:val="Krepko"/>
          <w:rFonts w:cs="Arial"/>
          <w:szCs w:val="20"/>
        </w:rPr>
        <w:t>Poleg teh ukrepov je nemško Ministrstvo za gospodarstvo in podnebne ukrepe (BMWK) maja 2023 predstavilo predlog za uvedbo t.i. "industrijske cene elektrike" (</w:t>
      </w:r>
      <w:r w:rsidRPr="001F1CE7">
        <w:rPr>
          <w:rStyle w:val="Krepko"/>
          <w:rFonts w:cs="Arial"/>
          <w:i/>
          <w:iCs/>
          <w:szCs w:val="20"/>
        </w:rPr>
        <w:t>Industriestrompreis</w:t>
      </w:r>
      <w:r w:rsidRPr="001F1CE7">
        <w:rPr>
          <w:rStyle w:val="Krepko"/>
          <w:rFonts w:cs="Arial"/>
          <w:szCs w:val="20"/>
        </w:rPr>
        <w:t>), ki bi za energetsko intenzivne industrije omejila ceno električne energije na 60 evrov /MWh za 80 % porabe do leta 2030. Čeprav je bil predlog deležen podpore industrijskih združenj, ga zvezna vlada in parlament še nista odobrila.</w:t>
      </w:r>
    </w:p>
    <w:p w14:paraId="5A1C69CB" w14:textId="77777777" w:rsidR="001F1CE7" w:rsidRPr="001F1CE7" w:rsidRDefault="001F1CE7" w:rsidP="001F1CE7">
      <w:pPr>
        <w:rPr>
          <w:rStyle w:val="Krepko"/>
          <w:rFonts w:cs="Arial"/>
          <w:b w:val="0"/>
          <w:bCs w:val="0"/>
          <w:szCs w:val="20"/>
        </w:rPr>
      </w:pPr>
    </w:p>
    <w:p w14:paraId="0F137AC6"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5" w:name="_Toc201714258"/>
      <w:bookmarkStart w:id="26" w:name="_Toc211241076"/>
      <w:r w:rsidRPr="001F1CE7">
        <w:rPr>
          <w:rFonts w:ascii="Arial" w:hAnsi="Arial" w:cs="Arial"/>
          <w:sz w:val="20"/>
          <w:szCs w:val="20"/>
        </w:rPr>
        <w:t>Davčne olajšave: odprava EEG dajatve</w:t>
      </w:r>
      <w:bookmarkEnd w:id="25"/>
      <w:bookmarkEnd w:id="26"/>
    </w:p>
    <w:p w14:paraId="7959B23A" w14:textId="77777777" w:rsidR="001F1CE7" w:rsidRPr="001F1CE7" w:rsidRDefault="001F1CE7" w:rsidP="001F1CE7">
      <w:pPr>
        <w:rPr>
          <w:rStyle w:val="Krepko"/>
          <w:rFonts w:cs="Arial"/>
          <w:b w:val="0"/>
          <w:bCs w:val="0"/>
          <w:szCs w:val="20"/>
        </w:rPr>
      </w:pPr>
      <w:r w:rsidRPr="001F1CE7">
        <w:rPr>
          <w:rStyle w:val="Krepko"/>
          <w:rFonts w:cs="Arial"/>
          <w:szCs w:val="20"/>
        </w:rPr>
        <w:t>Med ključne strukturne razbremenitve spada odprava dajatve za obnovljive vire energije (EEG-Umlage), ki je bila v letu 2022 ukinjena za vse končne uporabnike, vključno z industrijo. Ukrep velja tudi v letu 2025 in predstavlja neprekinjeno veljavno politiko davčne razbremenitve. Stroške OVE prispevka od takrat naprej krije državni proračun, kar prispeva k stabilnosti in konkurenčnosti industrijskih tarif (Bruegel, 2024).</w:t>
      </w:r>
    </w:p>
    <w:p w14:paraId="01175309"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7" w:name="_Toc201714259"/>
      <w:bookmarkStart w:id="28" w:name="_Toc211241077"/>
      <w:r w:rsidRPr="001F1CE7">
        <w:rPr>
          <w:rFonts w:ascii="Arial" w:hAnsi="Arial" w:cs="Arial"/>
          <w:sz w:val="20"/>
          <w:szCs w:val="20"/>
        </w:rPr>
        <w:t>Subvencije in posojila za energetsko intenzivne panoge</w:t>
      </w:r>
      <w:bookmarkEnd w:id="27"/>
      <w:bookmarkEnd w:id="28"/>
    </w:p>
    <w:p w14:paraId="76D92C66" w14:textId="77777777" w:rsidR="001F1CE7" w:rsidRPr="001F1CE7" w:rsidRDefault="001F1CE7" w:rsidP="001F1CE7">
      <w:pPr>
        <w:rPr>
          <w:rFonts w:cs="Arial"/>
          <w:szCs w:val="20"/>
        </w:rPr>
      </w:pPr>
      <w:r w:rsidRPr="001F1CE7">
        <w:rPr>
          <w:rFonts w:cs="Arial"/>
          <w:szCs w:val="20"/>
        </w:rPr>
        <w:t>V obdobju 2022 - 2024 so bila podjetja, katerih stroški energije so predstavljali velik delež dodane vrednosti, upravičena do ciljne krizne pomoči v okviru Temporary Crisis and Transition Framework Evropske komisije. Pomoč je zajemala subvencioniranje dodatnih stroškov, nastalih po letu 2021, ter dostop do kreditnih linij prek razvojne banke KfW (Evropska komisija, 2023).</w:t>
      </w:r>
    </w:p>
    <w:p w14:paraId="048944BD" w14:textId="77777777" w:rsidR="001F1CE7" w:rsidRPr="001F1CE7" w:rsidRDefault="001F1CE7" w:rsidP="001F1CE7">
      <w:pPr>
        <w:rPr>
          <w:rFonts w:cs="Arial"/>
          <w:szCs w:val="20"/>
        </w:rPr>
      </w:pPr>
    </w:p>
    <w:p w14:paraId="211EB318" w14:textId="77777777" w:rsidR="001F1CE7" w:rsidRPr="001F1CE7" w:rsidRDefault="001F1CE7" w:rsidP="001F1CE7">
      <w:pPr>
        <w:rPr>
          <w:rFonts w:cs="Arial"/>
          <w:szCs w:val="20"/>
        </w:rPr>
      </w:pPr>
      <w:r w:rsidRPr="001F1CE7">
        <w:rPr>
          <w:rFonts w:cs="Arial"/>
          <w:szCs w:val="20"/>
        </w:rPr>
        <w:t>V letu 2025 se ti instrumenti nadaljujejo, vendar v spremenjeni obliki: nadomestilo je zdaj financirano iz nacionalnih virov in delno iz kohezijskih skladov EU, pogoji za upravičenost pa vključujejo podrobna energetska poročila in načrte razogljičenja. Do 80 % dodatnih stroškov energije je mogoče subvencionirati, če podjetje izkaže pomembno poslabšanje konkurenčnega položaja. Ukrep torej pomeni razširitev prejšnje sheme s poudarkom na transformacijskih načrtih (BMWK, 2025).</w:t>
      </w:r>
    </w:p>
    <w:p w14:paraId="31C96E8B"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29" w:name="_Toc201714260"/>
      <w:bookmarkStart w:id="30" w:name="_Toc211241078"/>
      <w:r w:rsidRPr="001F1CE7">
        <w:rPr>
          <w:rFonts w:ascii="Arial" w:hAnsi="Arial" w:cs="Arial"/>
          <w:sz w:val="20"/>
          <w:szCs w:val="20"/>
        </w:rPr>
        <w:t>Investicije in industrijska transformacija (KTF)</w:t>
      </w:r>
      <w:bookmarkEnd w:id="29"/>
      <w:bookmarkEnd w:id="30"/>
    </w:p>
    <w:p w14:paraId="17A2A7A2" w14:textId="77777777" w:rsidR="001F1CE7" w:rsidRPr="001F1CE7" w:rsidRDefault="001F1CE7" w:rsidP="001F1CE7">
      <w:pPr>
        <w:rPr>
          <w:rFonts w:cs="Arial"/>
          <w:szCs w:val="20"/>
        </w:rPr>
      </w:pPr>
      <w:r w:rsidRPr="001F1CE7">
        <w:rPr>
          <w:rFonts w:cs="Arial"/>
          <w:szCs w:val="20"/>
        </w:rPr>
        <w:t>Že leta 2021 ustanovljen Industrijski podnebni in transformacijski sklad (Klima- und Transformationsfonds – KTF) je ključni instrument za prehod energetsko intenzivne industrije v podnebno nevtralnost. V letih 2022 - 2024 so bila sofinancirana vlaganja v obnovljive vire, vodikove tehnologije, elektrifikacijo proizvodnje in digitalizacijo energetske rabe.</w:t>
      </w:r>
    </w:p>
    <w:p w14:paraId="5605C339" w14:textId="77777777" w:rsidR="001F1CE7" w:rsidRPr="001F1CE7" w:rsidRDefault="001F1CE7" w:rsidP="001F1CE7">
      <w:pPr>
        <w:rPr>
          <w:rFonts w:cs="Arial"/>
          <w:szCs w:val="20"/>
        </w:rPr>
      </w:pPr>
    </w:p>
    <w:p w14:paraId="361F4596" w14:textId="77777777" w:rsidR="001F1CE7" w:rsidRPr="001F1CE7" w:rsidRDefault="001F1CE7" w:rsidP="001F1CE7">
      <w:pPr>
        <w:rPr>
          <w:rFonts w:cs="Arial"/>
          <w:szCs w:val="20"/>
        </w:rPr>
      </w:pPr>
      <w:r w:rsidRPr="001F1CE7">
        <w:rPr>
          <w:rFonts w:cs="Arial"/>
          <w:szCs w:val="20"/>
        </w:rPr>
        <w:t>Leta 2025 Nemčija nadaljuje z izvajanjem KTF, vendar uvaja nove prednostne naloge, vključno s spodbudami za:</w:t>
      </w:r>
    </w:p>
    <w:p w14:paraId="68BD6A33"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lastRenderedPageBreak/>
        <w:t>zamenjavo fosilne procesne toplote z električnimi rešitvami (npr. indukcijske ali uporovne peči),</w:t>
      </w:r>
    </w:p>
    <w:p w14:paraId="45A01725"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t>uvedbo sistemov za digitalno optimizacijo rabe energije v realnem času,</w:t>
      </w:r>
    </w:p>
    <w:p w14:paraId="29A4C082" w14:textId="77777777" w:rsidR="001F1CE7" w:rsidRPr="001F1CE7" w:rsidRDefault="001F1CE7" w:rsidP="001F1CE7">
      <w:pPr>
        <w:pStyle w:val="Odstavekseznama"/>
        <w:numPr>
          <w:ilvl w:val="0"/>
          <w:numId w:val="63"/>
        </w:numPr>
        <w:spacing w:after="0" w:line="240" w:lineRule="auto"/>
        <w:contextualSpacing/>
        <w:rPr>
          <w:rFonts w:cs="Arial"/>
          <w:szCs w:val="20"/>
        </w:rPr>
      </w:pPr>
      <w:r w:rsidRPr="001F1CE7">
        <w:rPr>
          <w:rFonts w:cs="Arial"/>
          <w:szCs w:val="20"/>
        </w:rPr>
        <w:t>razvoj infrastrukture za zeleni vodik.</w:t>
      </w:r>
    </w:p>
    <w:p w14:paraId="3079FB71" w14:textId="77777777" w:rsidR="001F1CE7" w:rsidRPr="001F1CE7" w:rsidRDefault="001F1CE7" w:rsidP="001F1CE7">
      <w:pPr>
        <w:rPr>
          <w:rFonts w:cs="Arial"/>
          <w:szCs w:val="20"/>
        </w:rPr>
      </w:pPr>
    </w:p>
    <w:p w14:paraId="52AFEB14" w14:textId="77777777" w:rsidR="001F1CE7" w:rsidRPr="001F1CE7" w:rsidRDefault="001F1CE7" w:rsidP="001F1CE7">
      <w:pPr>
        <w:rPr>
          <w:rFonts w:cs="Arial"/>
          <w:szCs w:val="20"/>
        </w:rPr>
      </w:pPr>
      <w:r w:rsidRPr="001F1CE7">
        <w:rPr>
          <w:rFonts w:cs="Arial"/>
          <w:szCs w:val="20"/>
        </w:rPr>
        <w:t>Podpora znaša med 30 % in 60 % upravičenih stroškov, glede na sektor in stopnjo dekarbonizacijskega učinka (BMWK, 2025). Ti ukrepi predstavljajo nadaljevanje že obstoječega sklada s pomembno vsebinsko nadgradnjo.</w:t>
      </w:r>
    </w:p>
    <w:p w14:paraId="41DA2D9D" w14:textId="77777777" w:rsidR="001F1CE7" w:rsidRPr="006E1C7B" w:rsidRDefault="001F1CE7" w:rsidP="001F1CE7">
      <w:pPr>
        <w:jc w:val="center"/>
        <w:rPr>
          <w:rFonts w:asciiTheme="minorHAnsi" w:hAnsiTheme="minorHAnsi" w:cstheme="minorHAnsi"/>
          <w:lang w:eastAsia="en-GB"/>
        </w:rPr>
      </w:pPr>
    </w:p>
    <w:p w14:paraId="6A14C795" w14:textId="52877D0B" w:rsidR="001F1CE7" w:rsidRPr="006E1C7B" w:rsidRDefault="001F1CE7" w:rsidP="001F1CE7">
      <w:pPr>
        <w:pStyle w:val="Napis"/>
        <w:jc w:val="center"/>
        <w:rPr>
          <w:rFonts w:asciiTheme="minorHAnsi" w:hAnsiTheme="minorHAnsi" w:cstheme="minorHAnsi"/>
          <w:color w:val="000000" w:themeColor="text1"/>
          <w:sz w:val="24"/>
          <w:szCs w:val="22"/>
        </w:rPr>
      </w:pPr>
      <w:bookmarkStart w:id="31" w:name="_Toc201714287"/>
      <w:bookmarkStart w:id="32" w:name="_Toc211241123"/>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2</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r w:rsidRPr="006E1C7B">
        <w:rPr>
          <w:rFonts w:asciiTheme="minorHAnsi" w:hAnsiTheme="minorHAnsi" w:cstheme="minorHAnsi"/>
          <w:color w:val="000000" w:themeColor="text1"/>
          <w:sz w:val="24"/>
          <w:szCs w:val="22"/>
        </w:rPr>
        <w:t>Ukrepi Nemčije na področju zamejevanja cen električne energije za leto 2025</w:t>
      </w:r>
      <w:bookmarkEnd w:id="31"/>
      <w:bookmarkEnd w:id="32"/>
    </w:p>
    <w:tbl>
      <w:tblPr>
        <w:tblStyle w:val="GridTable5Dark-Accent11"/>
        <w:tblW w:w="0" w:type="auto"/>
        <w:tblLook w:val="04A0" w:firstRow="1" w:lastRow="0" w:firstColumn="1" w:lastColumn="0" w:noHBand="0" w:noVBand="1"/>
      </w:tblPr>
      <w:tblGrid>
        <w:gridCol w:w="1664"/>
        <w:gridCol w:w="2190"/>
        <w:gridCol w:w="2595"/>
        <w:gridCol w:w="1286"/>
        <w:gridCol w:w="1327"/>
      </w:tblGrid>
      <w:tr w:rsidR="001F1CE7" w:rsidRPr="006E1C7B" w14:paraId="6C148B75"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9A062"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Tematsko področje</w:t>
            </w:r>
          </w:p>
        </w:tc>
        <w:tc>
          <w:tcPr>
            <w:tcW w:w="0" w:type="auto"/>
            <w:vAlign w:val="center"/>
            <w:hideMark/>
          </w:tcPr>
          <w:p w14:paraId="4FCA8FBD"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Naziv ukrepa / mehanizma</w:t>
            </w:r>
          </w:p>
        </w:tc>
        <w:tc>
          <w:tcPr>
            <w:tcW w:w="0" w:type="auto"/>
            <w:vAlign w:val="center"/>
            <w:hideMark/>
          </w:tcPr>
          <w:p w14:paraId="28F93215"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Opis ukrepa</w:t>
            </w:r>
          </w:p>
        </w:tc>
        <w:tc>
          <w:tcPr>
            <w:tcW w:w="0" w:type="auto"/>
            <w:vAlign w:val="center"/>
            <w:hideMark/>
          </w:tcPr>
          <w:p w14:paraId="7B032319"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Obdobje veljavnosti</w:t>
            </w:r>
          </w:p>
        </w:tc>
        <w:tc>
          <w:tcPr>
            <w:tcW w:w="0" w:type="auto"/>
            <w:vAlign w:val="center"/>
            <w:hideMark/>
          </w:tcPr>
          <w:p w14:paraId="42665D4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rPr>
            </w:pPr>
            <w:r w:rsidRPr="006E1C7B">
              <w:rPr>
                <w:rFonts w:asciiTheme="minorHAnsi" w:hAnsiTheme="minorHAnsi" w:cstheme="minorHAnsi"/>
                <w:sz w:val="22"/>
              </w:rPr>
              <w:t>Status v letu 2025</w:t>
            </w:r>
          </w:p>
        </w:tc>
      </w:tr>
      <w:tr w:rsidR="001F1CE7" w:rsidRPr="006E1C7B" w14:paraId="5045DC6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37099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Cenovna regulacija</w:t>
            </w:r>
          </w:p>
        </w:tc>
        <w:tc>
          <w:tcPr>
            <w:tcW w:w="0" w:type="auto"/>
            <w:vAlign w:val="center"/>
            <w:hideMark/>
          </w:tcPr>
          <w:p w14:paraId="39775931"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Cenovna kapica za elektriko (0,40 €/kWh za 70 % porabe) za gospodinjstva in MSP</w:t>
            </w:r>
          </w:p>
        </w:tc>
        <w:tc>
          <w:tcPr>
            <w:tcW w:w="0" w:type="auto"/>
            <w:vAlign w:val="center"/>
            <w:hideMark/>
          </w:tcPr>
          <w:p w14:paraId="32A5925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70 % porabe elektrike industrijskih podjetij je omejeno na 0,40 €/kWh; ostalo po tržni ceni.</w:t>
            </w:r>
          </w:p>
        </w:tc>
        <w:tc>
          <w:tcPr>
            <w:tcW w:w="0" w:type="auto"/>
            <w:vAlign w:val="center"/>
            <w:hideMark/>
          </w:tcPr>
          <w:p w14:paraId="14EB7F1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2023 - 2025</w:t>
            </w:r>
          </w:p>
        </w:tc>
        <w:tc>
          <w:tcPr>
            <w:tcW w:w="0" w:type="auto"/>
            <w:vAlign w:val="center"/>
            <w:hideMark/>
          </w:tcPr>
          <w:p w14:paraId="2976DE96"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Prenovljen ukrep</w:t>
            </w:r>
          </w:p>
        </w:tc>
      </w:tr>
      <w:tr w:rsidR="001F1CE7" w:rsidRPr="006E1C7B" w14:paraId="52DF0CE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267427"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Davčne olajšave</w:t>
            </w:r>
          </w:p>
        </w:tc>
        <w:tc>
          <w:tcPr>
            <w:tcW w:w="0" w:type="auto"/>
            <w:vAlign w:val="center"/>
            <w:hideMark/>
          </w:tcPr>
          <w:p w14:paraId="1542D03E"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Odprava EEG dajatve (EEG-Umlage)</w:t>
            </w:r>
          </w:p>
        </w:tc>
        <w:tc>
          <w:tcPr>
            <w:tcW w:w="0" w:type="auto"/>
            <w:vAlign w:val="center"/>
            <w:hideMark/>
          </w:tcPr>
          <w:p w14:paraId="3F3B865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EEG prispevek ukinjen 2022; še vedno v veljavi v 2025.</w:t>
            </w:r>
          </w:p>
        </w:tc>
        <w:tc>
          <w:tcPr>
            <w:tcW w:w="0" w:type="auto"/>
            <w:vAlign w:val="center"/>
            <w:hideMark/>
          </w:tcPr>
          <w:p w14:paraId="699E34D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2022 dalje</w:t>
            </w:r>
          </w:p>
        </w:tc>
        <w:tc>
          <w:tcPr>
            <w:tcW w:w="0" w:type="auto"/>
            <w:vAlign w:val="center"/>
            <w:hideMark/>
          </w:tcPr>
          <w:p w14:paraId="755EDA0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Nadaljuje se brez sprememb</w:t>
            </w:r>
          </w:p>
        </w:tc>
      </w:tr>
      <w:tr w:rsidR="001F1CE7" w:rsidRPr="006E1C7B" w14:paraId="4BBBB7FF"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FF6D36"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Subvencije za industrijo</w:t>
            </w:r>
          </w:p>
        </w:tc>
        <w:tc>
          <w:tcPr>
            <w:tcW w:w="0" w:type="auto"/>
            <w:vAlign w:val="center"/>
            <w:hideMark/>
          </w:tcPr>
          <w:p w14:paraId="4F0D824A"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Subvencije in posojila za energetsko intenzivne panoge</w:t>
            </w:r>
          </w:p>
        </w:tc>
        <w:tc>
          <w:tcPr>
            <w:tcW w:w="0" w:type="auto"/>
            <w:vAlign w:val="center"/>
            <w:hideMark/>
          </w:tcPr>
          <w:p w14:paraId="544C2A4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Subvencioniranje do 80 % dodatnih stroškov energije; sofinaciranje CCS tehnologij (Capex, Opex in pogodbe za razliko).</w:t>
            </w:r>
          </w:p>
        </w:tc>
        <w:tc>
          <w:tcPr>
            <w:tcW w:w="0" w:type="auto"/>
            <w:vAlign w:val="center"/>
            <w:hideMark/>
          </w:tcPr>
          <w:p w14:paraId="08FE8DA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2022 - 2025</w:t>
            </w:r>
          </w:p>
        </w:tc>
        <w:tc>
          <w:tcPr>
            <w:tcW w:w="0" w:type="auto"/>
            <w:vAlign w:val="center"/>
            <w:hideMark/>
          </w:tcPr>
          <w:p w14:paraId="288D31C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Prenovljen ukrep</w:t>
            </w:r>
          </w:p>
        </w:tc>
      </w:tr>
      <w:tr w:rsidR="001F1CE7" w:rsidRPr="006E1C7B" w14:paraId="4B393E28"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8E928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transformacijo</w:t>
            </w:r>
          </w:p>
        </w:tc>
        <w:tc>
          <w:tcPr>
            <w:tcW w:w="0" w:type="auto"/>
            <w:vAlign w:val="center"/>
            <w:hideMark/>
          </w:tcPr>
          <w:p w14:paraId="2797CCD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Industrijski podnebni in transformacijski sklad (KTF)</w:t>
            </w:r>
          </w:p>
        </w:tc>
        <w:tc>
          <w:tcPr>
            <w:tcW w:w="0" w:type="auto"/>
            <w:vAlign w:val="center"/>
            <w:hideMark/>
          </w:tcPr>
          <w:p w14:paraId="059A036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Sofinanciranje projektov elektrifikacije, vodika, digitalizacije industrije.</w:t>
            </w:r>
          </w:p>
        </w:tc>
        <w:tc>
          <w:tcPr>
            <w:tcW w:w="0" w:type="auto"/>
            <w:vAlign w:val="center"/>
            <w:hideMark/>
          </w:tcPr>
          <w:p w14:paraId="0080B80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2021 dalje</w:t>
            </w:r>
          </w:p>
        </w:tc>
        <w:tc>
          <w:tcPr>
            <w:tcW w:w="0" w:type="auto"/>
            <w:vAlign w:val="center"/>
            <w:hideMark/>
          </w:tcPr>
          <w:p w14:paraId="652157FC"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Nadaljuje se z novimi razpisi</w:t>
            </w:r>
          </w:p>
        </w:tc>
      </w:tr>
      <w:tr w:rsidR="001F1CE7" w:rsidRPr="006E1C7B" w14:paraId="7F5112B1"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126124"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Investicije v digitalizacijo</w:t>
            </w:r>
          </w:p>
        </w:tc>
        <w:tc>
          <w:tcPr>
            <w:tcW w:w="0" w:type="auto"/>
            <w:vAlign w:val="center"/>
            <w:hideMark/>
          </w:tcPr>
          <w:p w14:paraId="52258F66"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Digitalna optimizacija porabe energije v realnem času</w:t>
            </w:r>
          </w:p>
        </w:tc>
        <w:tc>
          <w:tcPr>
            <w:tcW w:w="0" w:type="auto"/>
            <w:vAlign w:val="center"/>
            <w:hideMark/>
          </w:tcPr>
          <w:p w14:paraId="05FB167F"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Novi razpisi za uvedbo digitalnih sistemov za upravljanje porabe v industriji.</w:t>
            </w:r>
          </w:p>
        </w:tc>
        <w:tc>
          <w:tcPr>
            <w:tcW w:w="0" w:type="auto"/>
            <w:vAlign w:val="center"/>
            <w:hideMark/>
          </w:tcPr>
          <w:p w14:paraId="0C9AC2D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2025</w:t>
            </w:r>
          </w:p>
        </w:tc>
        <w:tc>
          <w:tcPr>
            <w:tcW w:w="0" w:type="auto"/>
            <w:vAlign w:val="center"/>
            <w:hideMark/>
          </w:tcPr>
          <w:p w14:paraId="28311DC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 ukrep</w:t>
            </w:r>
          </w:p>
        </w:tc>
      </w:tr>
      <w:tr w:rsidR="001F1CE7" w:rsidRPr="006E1C7B" w14:paraId="2DD11889"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470C9B" w14:textId="77777777" w:rsidR="001F1CE7" w:rsidRPr="006E1C7B" w:rsidRDefault="001F1CE7" w:rsidP="006C3D53">
            <w:pPr>
              <w:rPr>
                <w:rFonts w:asciiTheme="minorHAnsi" w:hAnsiTheme="minorHAnsi" w:cstheme="minorHAnsi"/>
                <w:b w:val="0"/>
                <w:bCs w:val="0"/>
                <w:sz w:val="22"/>
              </w:rPr>
            </w:pPr>
            <w:r w:rsidRPr="006E1C7B">
              <w:rPr>
                <w:rFonts w:asciiTheme="minorHAnsi" w:hAnsiTheme="minorHAnsi" w:cstheme="minorHAnsi"/>
                <w:sz w:val="22"/>
              </w:rPr>
              <w:t>Uporaba zelenega vodika</w:t>
            </w:r>
          </w:p>
        </w:tc>
        <w:tc>
          <w:tcPr>
            <w:tcW w:w="0" w:type="auto"/>
            <w:vAlign w:val="center"/>
            <w:hideMark/>
          </w:tcPr>
          <w:p w14:paraId="14BB7D5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Spodbude za razvoj infrastrukture za zeleni vodik</w:t>
            </w:r>
          </w:p>
        </w:tc>
        <w:tc>
          <w:tcPr>
            <w:tcW w:w="0" w:type="auto"/>
            <w:vAlign w:val="center"/>
            <w:hideMark/>
          </w:tcPr>
          <w:p w14:paraId="77C41CB6"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Podpora za vodikovo infrastrukturo in uporabo v energetsko intenzivni industriji.</w:t>
            </w:r>
          </w:p>
        </w:tc>
        <w:tc>
          <w:tcPr>
            <w:tcW w:w="0" w:type="auto"/>
            <w:vAlign w:val="center"/>
            <w:hideMark/>
          </w:tcPr>
          <w:p w14:paraId="398E757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od 2025</w:t>
            </w:r>
          </w:p>
        </w:tc>
        <w:tc>
          <w:tcPr>
            <w:tcW w:w="0" w:type="auto"/>
            <w:vAlign w:val="center"/>
            <w:hideMark/>
          </w:tcPr>
          <w:p w14:paraId="293D401B"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E1C7B">
              <w:rPr>
                <w:rFonts w:asciiTheme="minorHAnsi" w:hAnsiTheme="minorHAnsi" w:cstheme="minorHAnsi"/>
                <w:sz w:val="22"/>
              </w:rPr>
              <w:t>Nov ukrep</w:t>
            </w:r>
          </w:p>
        </w:tc>
      </w:tr>
    </w:tbl>
    <w:p w14:paraId="49A7199C" w14:textId="77777777" w:rsidR="001F1CE7" w:rsidRPr="006E1C7B" w:rsidRDefault="001F1CE7" w:rsidP="001F1CE7">
      <w:pPr>
        <w:rPr>
          <w:rFonts w:asciiTheme="minorHAnsi" w:hAnsiTheme="minorHAnsi" w:cstheme="minorHAnsi"/>
          <w:lang w:eastAsia="en-GB"/>
        </w:rPr>
      </w:pPr>
    </w:p>
    <w:p w14:paraId="2A8E4758" w14:textId="0D5FEBC8" w:rsidR="001F1CE7" w:rsidRPr="001F1CE7" w:rsidRDefault="00FF6A8A" w:rsidP="001F1CE7">
      <w:pPr>
        <w:pStyle w:val="Naslov2"/>
        <w:keepLines w:val="0"/>
        <w:numPr>
          <w:ilvl w:val="1"/>
          <w:numId w:val="0"/>
        </w:numPr>
        <w:spacing w:before="240" w:line="240" w:lineRule="auto"/>
        <w:ind w:left="567" w:hanging="567"/>
        <w:jc w:val="left"/>
        <w:rPr>
          <w:rFonts w:cs="Arial"/>
          <w:szCs w:val="20"/>
        </w:rPr>
      </w:pPr>
      <w:bookmarkStart w:id="33" w:name="_Toc201714261"/>
      <w:bookmarkStart w:id="34" w:name="_Toc211241079"/>
      <w:r w:rsidRPr="001F1CE7">
        <w:rPr>
          <w:rFonts w:cs="Arial"/>
          <w:szCs w:val="20"/>
        </w:rPr>
        <w:t>ČEŠKA</w:t>
      </w:r>
      <w:bookmarkEnd w:id="33"/>
      <w:bookmarkEnd w:id="34"/>
    </w:p>
    <w:p w14:paraId="2F53D45C" w14:textId="77777777" w:rsidR="001F1CE7" w:rsidRPr="001F1CE7" w:rsidRDefault="001F1CE7" w:rsidP="001F1CE7">
      <w:pPr>
        <w:rPr>
          <w:rStyle w:val="Krepko"/>
          <w:rFonts w:cs="Arial"/>
          <w:b w:val="0"/>
          <w:bCs w:val="0"/>
          <w:szCs w:val="20"/>
          <w:lang w:eastAsia="en-GB"/>
        </w:rPr>
      </w:pPr>
      <w:r w:rsidRPr="001F1CE7">
        <w:rPr>
          <w:rFonts w:cs="Arial"/>
          <w:szCs w:val="20"/>
          <w:lang w:eastAsia="en-GB"/>
        </w:rPr>
        <w:t>Češka je med letoma 2022 in 2024 sprejela širok nabor ukrepov za ublažitev učinkov energetske krize na češke družbe, pri čemer je v letu 2025 nadaljevala le z izbranimi instrumenti, ki so osredotočeni na podjetja z visoko porabo električne energije. Nacionalni pristop kombinira cenovno regulacijo, davčne olajšave, neposredne subvencije in investicije v povečanje energetske neodvisnosti industrije (Bruegel, 2024; MPO, 2025).</w:t>
      </w:r>
    </w:p>
    <w:p w14:paraId="3E069BA6"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5" w:name="_Toc201714262"/>
      <w:bookmarkStart w:id="36" w:name="_Toc211241080"/>
      <w:r w:rsidRPr="001F1CE7">
        <w:rPr>
          <w:rFonts w:ascii="Arial" w:hAnsi="Arial" w:cs="Arial"/>
          <w:sz w:val="20"/>
          <w:szCs w:val="20"/>
        </w:rPr>
        <w:lastRenderedPageBreak/>
        <w:t>Cenovna regulacija</w:t>
      </w:r>
      <w:bookmarkEnd w:id="35"/>
      <w:bookmarkEnd w:id="36"/>
    </w:p>
    <w:p w14:paraId="1E8DFB0F" w14:textId="77777777" w:rsidR="001F1CE7" w:rsidRPr="001F1CE7" w:rsidRDefault="001F1CE7" w:rsidP="001F1CE7">
      <w:pPr>
        <w:rPr>
          <w:rFonts w:cs="Arial"/>
          <w:szCs w:val="20"/>
          <w:lang w:eastAsia="en-GB"/>
        </w:rPr>
      </w:pPr>
      <w:r w:rsidRPr="001F1CE7">
        <w:rPr>
          <w:rFonts w:cs="Arial"/>
          <w:szCs w:val="20"/>
          <w:lang w:eastAsia="en-GB"/>
        </w:rPr>
        <w:t>V obdobju 2022–2024 je bila uvedena cenovna kapica za elektriko (240 evrov/MWh) in plin (120 evrov/MWh) za podjetja in gospodinjstva. Leta 2023 je vlada vzpostavila še cenovni vavčerski sistem, ki je pokrival del stroškov podjetij glede na referenčno porabo (Bruegel, 2024).</w:t>
      </w:r>
    </w:p>
    <w:p w14:paraId="47E53A6D" w14:textId="77777777" w:rsidR="001F1CE7" w:rsidRPr="001F1CE7" w:rsidRDefault="001F1CE7" w:rsidP="001F1CE7">
      <w:pPr>
        <w:rPr>
          <w:rFonts w:cs="Arial"/>
          <w:szCs w:val="20"/>
          <w:lang w:eastAsia="en-GB"/>
        </w:rPr>
      </w:pPr>
    </w:p>
    <w:p w14:paraId="3FFF487B" w14:textId="77777777" w:rsidR="001F1CE7" w:rsidRPr="001F1CE7" w:rsidRDefault="001F1CE7" w:rsidP="001F1CE7">
      <w:pPr>
        <w:rPr>
          <w:rFonts w:cs="Arial"/>
          <w:szCs w:val="20"/>
          <w:lang w:eastAsia="en-GB"/>
        </w:rPr>
      </w:pPr>
      <w:r w:rsidRPr="001F1CE7">
        <w:rPr>
          <w:rFonts w:cs="Arial"/>
          <w:szCs w:val="20"/>
          <w:lang w:eastAsia="en-GB"/>
        </w:rPr>
        <w:t>V letu 2025 se neposredna regulacija cen nadomešča z bolj ciljno usmerjenim sistemom pomoči, kjer podjetja – predvsem mala in srednje velika (MSP) ter energetsko intenzivna – lahko pridobijo vavčer za subvencionirano ceno električne energije ali plina, če njihova letna poraba presega 2 GWh. Gre za prenovljen in ožji model prejšnjih cenovnih kapic, ki je usmerjen v bolj učinkovito alokacijo državne pomoči.</w:t>
      </w:r>
    </w:p>
    <w:p w14:paraId="3F8C6B34"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7" w:name="_Toc201714263"/>
      <w:bookmarkStart w:id="38" w:name="_Toc211241081"/>
      <w:r w:rsidRPr="001F1CE7">
        <w:rPr>
          <w:rFonts w:ascii="Arial" w:hAnsi="Arial" w:cs="Arial"/>
          <w:sz w:val="20"/>
          <w:szCs w:val="20"/>
        </w:rPr>
        <w:t>Davčne olajšave in oprostitve</w:t>
      </w:r>
      <w:bookmarkEnd w:id="37"/>
      <w:bookmarkEnd w:id="38"/>
    </w:p>
    <w:p w14:paraId="08F97F8A" w14:textId="77777777" w:rsidR="001F1CE7" w:rsidRPr="001F1CE7" w:rsidRDefault="001F1CE7" w:rsidP="001F1CE7">
      <w:pPr>
        <w:rPr>
          <w:rFonts w:cs="Arial"/>
          <w:szCs w:val="20"/>
          <w:lang w:eastAsia="en-GB"/>
        </w:rPr>
      </w:pPr>
      <w:r w:rsidRPr="001F1CE7">
        <w:rPr>
          <w:rFonts w:cs="Arial"/>
          <w:szCs w:val="20"/>
          <w:lang w:eastAsia="en-GB"/>
        </w:rPr>
        <w:t>Od leta 2022 dalje Češka uporablja 0-% stopnjo DDV za elektriko in plin za poslovne uporabnike, kar predstavlja davčno olajšavo, ki se uporablja neposredno ob izdaji računa in ne zahteva posebnega postopka. Ukrep ostaja nespremenjen tudi v letu 2025 in velja za vsa podjetja, kar pomeni nadaljevanje brez sprememb (Tax Foundation, 2024).</w:t>
      </w:r>
    </w:p>
    <w:p w14:paraId="669E75D8" w14:textId="77777777" w:rsidR="001F1CE7" w:rsidRPr="001F1CE7" w:rsidRDefault="001F1CE7" w:rsidP="001F1CE7">
      <w:pPr>
        <w:rPr>
          <w:rFonts w:cs="Arial"/>
          <w:szCs w:val="20"/>
          <w:lang w:eastAsia="en-GB"/>
        </w:rPr>
      </w:pPr>
    </w:p>
    <w:p w14:paraId="681BDFD2" w14:textId="77777777" w:rsidR="001F1CE7" w:rsidRPr="001F1CE7" w:rsidRDefault="001F1CE7" w:rsidP="001F1CE7">
      <w:pPr>
        <w:rPr>
          <w:rFonts w:cs="Arial"/>
          <w:szCs w:val="20"/>
          <w:lang w:eastAsia="en-GB"/>
        </w:rPr>
      </w:pPr>
      <w:r w:rsidRPr="001F1CE7">
        <w:rPr>
          <w:rFonts w:cs="Arial"/>
          <w:szCs w:val="20"/>
          <w:lang w:eastAsia="en-GB"/>
        </w:rPr>
        <w:t>Dodatno lahko podjetja, ki izkažejo energetsko intenzivnost nad 4 % bruto dodane vrednosti, uveljavljajo oprostitve plačila prispevkov za obnovljive vire energije, skladno z Zakonom št. 165/2012 Sb. (MPO, 2025). Tudi ta ukrep velja neprekinjeno in se v letu 2025 nadaljuje brez bistvenih sprememb.</w:t>
      </w:r>
    </w:p>
    <w:p w14:paraId="10665AE7"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39" w:name="_Toc201714264"/>
      <w:bookmarkStart w:id="40" w:name="_Toc211241082"/>
      <w:r w:rsidRPr="001F1CE7">
        <w:rPr>
          <w:rFonts w:ascii="Arial" w:hAnsi="Arial" w:cs="Arial"/>
          <w:sz w:val="20"/>
          <w:szCs w:val="20"/>
        </w:rPr>
        <w:t>Neposredne subvencije za energetsko intenzivne panoge</w:t>
      </w:r>
      <w:bookmarkEnd w:id="39"/>
      <w:bookmarkEnd w:id="40"/>
    </w:p>
    <w:p w14:paraId="41B9FAB4" w14:textId="77777777" w:rsidR="001F1CE7" w:rsidRPr="001F1CE7" w:rsidRDefault="001F1CE7" w:rsidP="001F1CE7">
      <w:pPr>
        <w:rPr>
          <w:rFonts w:cs="Arial"/>
          <w:szCs w:val="20"/>
          <w:lang w:eastAsia="en-GB"/>
        </w:rPr>
      </w:pPr>
      <w:r w:rsidRPr="001F1CE7">
        <w:rPr>
          <w:rFonts w:cs="Arial"/>
          <w:szCs w:val="20"/>
          <w:lang w:eastAsia="en-GB"/>
        </w:rPr>
        <w:t xml:space="preserve">Med letoma 2022 in 2024 je Češka izvajala program izplačil za podjetja, ki so se soočila z izrazitim porastom cen energije in katerih stroški energije so presegli 30 % vseh operativnih stroškov. Višina pomoči je bila omejena na 2 milijona EUR, z možnostjo dodatne odobritve prek sheme </w:t>
      </w:r>
      <w:r w:rsidRPr="001F1CE7">
        <w:rPr>
          <w:rFonts w:cs="Arial"/>
          <w:i/>
          <w:iCs/>
          <w:szCs w:val="20"/>
          <w:lang w:eastAsia="en-GB"/>
        </w:rPr>
        <w:t>Temporary Crisis and Transition Framework</w:t>
      </w:r>
      <w:r w:rsidRPr="001F1CE7">
        <w:rPr>
          <w:rFonts w:cs="Arial"/>
          <w:szCs w:val="20"/>
          <w:lang w:eastAsia="en-GB"/>
        </w:rPr>
        <w:t xml:space="preserve"> Evropske komisije (Evropska komisija, 2023).</w:t>
      </w:r>
    </w:p>
    <w:p w14:paraId="16D39A5E" w14:textId="77777777" w:rsidR="001F1CE7" w:rsidRPr="001F1CE7" w:rsidRDefault="001F1CE7" w:rsidP="001F1CE7">
      <w:pPr>
        <w:rPr>
          <w:rFonts w:cs="Arial"/>
          <w:szCs w:val="20"/>
          <w:lang w:eastAsia="en-GB"/>
        </w:rPr>
      </w:pPr>
    </w:p>
    <w:p w14:paraId="4ED5CCDB" w14:textId="77777777" w:rsidR="001F1CE7" w:rsidRPr="001F1CE7" w:rsidRDefault="001F1CE7" w:rsidP="001F1CE7">
      <w:pPr>
        <w:rPr>
          <w:rFonts w:cs="Arial"/>
          <w:szCs w:val="20"/>
          <w:lang w:eastAsia="en-GB"/>
        </w:rPr>
      </w:pPr>
      <w:r w:rsidRPr="001F1CE7">
        <w:rPr>
          <w:rFonts w:cs="Arial"/>
          <w:szCs w:val="20"/>
          <w:lang w:eastAsia="en-GB"/>
        </w:rPr>
        <w:t>V letu 2025 se ta mehanizem ohranja v podobni obliki - upravičenost temelji na kazalnikih energetske intenzivnosti, padcu EBITDA ter revizorsko potrjenih bilancah. Gre torej za podaljšanje obstoječega programa, vendar z strožjimi pogoji za oceno učinkovitosti.</w:t>
      </w:r>
    </w:p>
    <w:p w14:paraId="7B20DD0C" w14:textId="77777777" w:rsidR="001F1CE7" w:rsidRPr="001F1CE7" w:rsidRDefault="001F1CE7" w:rsidP="001F1CE7">
      <w:pPr>
        <w:pStyle w:val="Naslov3"/>
        <w:keepLines w:val="0"/>
        <w:numPr>
          <w:ilvl w:val="2"/>
          <w:numId w:val="0"/>
        </w:numPr>
        <w:spacing w:before="240" w:after="240" w:line="240" w:lineRule="auto"/>
        <w:ind w:left="720" w:hanging="720"/>
        <w:jc w:val="left"/>
        <w:rPr>
          <w:rFonts w:ascii="Arial" w:hAnsi="Arial" w:cs="Arial"/>
          <w:sz w:val="20"/>
          <w:szCs w:val="20"/>
        </w:rPr>
      </w:pPr>
      <w:bookmarkStart w:id="41" w:name="_Toc201714265"/>
      <w:bookmarkStart w:id="42" w:name="_Toc211241083"/>
      <w:r w:rsidRPr="001F1CE7">
        <w:rPr>
          <w:rFonts w:ascii="Arial" w:hAnsi="Arial" w:cs="Arial"/>
          <w:sz w:val="20"/>
          <w:szCs w:val="20"/>
        </w:rPr>
        <w:t>Investicije v energetsko učinkovitost in diverzifikacijo</w:t>
      </w:r>
      <w:bookmarkEnd w:id="41"/>
      <w:bookmarkEnd w:id="42"/>
    </w:p>
    <w:p w14:paraId="36CD205A" w14:textId="77777777" w:rsidR="001F1CE7" w:rsidRPr="001F1CE7" w:rsidRDefault="001F1CE7" w:rsidP="001F1CE7">
      <w:pPr>
        <w:rPr>
          <w:rFonts w:cs="Arial"/>
          <w:szCs w:val="20"/>
          <w:lang w:eastAsia="en-GB"/>
        </w:rPr>
      </w:pPr>
      <w:r w:rsidRPr="001F1CE7">
        <w:rPr>
          <w:rFonts w:cs="Arial"/>
          <w:szCs w:val="20"/>
          <w:lang w:eastAsia="en-GB"/>
        </w:rPr>
        <w:t xml:space="preserve">Program </w:t>
      </w:r>
      <w:r w:rsidRPr="001F1CE7">
        <w:rPr>
          <w:rFonts w:cs="Arial"/>
          <w:i/>
          <w:iCs/>
          <w:szCs w:val="20"/>
          <w:lang w:eastAsia="en-GB"/>
        </w:rPr>
        <w:t>OP TAK</w:t>
      </w:r>
      <w:r w:rsidRPr="001F1CE7">
        <w:rPr>
          <w:rFonts w:cs="Arial"/>
          <w:szCs w:val="20"/>
          <w:lang w:eastAsia="en-GB"/>
        </w:rPr>
        <w:t xml:space="preserve"> (</w:t>
      </w:r>
      <w:r w:rsidRPr="001F1CE7">
        <w:rPr>
          <w:rFonts w:cs="Arial"/>
          <w:i/>
          <w:iCs/>
          <w:szCs w:val="20"/>
          <w:lang w:eastAsia="en-GB"/>
        </w:rPr>
        <w:t>Operational Programme Technologies and Applications for Competitiveness</w:t>
      </w:r>
      <w:r w:rsidRPr="001F1CE7">
        <w:rPr>
          <w:rFonts w:cs="Arial"/>
          <w:szCs w:val="20"/>
          <w:lang w:eastAsia="en-GB"/>
        </w:rPr>
        <w:t>), ki se izvaja v sodelovanju z evropskimi kohezijskimi skladi, v letu 2025 predstavlja enega ključnih novih ukrepov. Namenjen je povečanju energetske učinkovitosti in neodvisnosti industrije, predvsem v sektorjih, kot so steklarstvo, kovinska industrija, papirništvo in prehrambna proizvodnja (MPO, 2025).</w:t>
      </w:r>
    </w:p>
    <w:p w14:paraId="765EF46F" w14:textId="77777777" w:rsidR="001F1CE7" w:rsidRPr="001F1CE7" w:rsidRDefault="001F1CE7" w:rsidP="001F1CE7">
      <w:pPr>
        <w:rPr>
          <w:rFonts w:cs="Arial"/>
          <w:szCs w:val="20"/>
          <w:lang w:eastAsia="en-GB"/>
        </w:rPr>
      </w:pPr>
    </w:p>
    <w:p w14:paraId="33D43B10" w14:textId="77777777" w:rsidR="001F1CE7" w:rsidRPr="001F1CE7" w:rsidRDefault="001F1CE7" w:rsidP="001F1CE7">
      <w:pPr>
        <w:rPr>
          <w:rFonts w:cs="Arial"/>
          <w:szCs w:val="20"/>
          <w:lang w:eastAsia="en-GB"/>
        </w:rPr>
      </w:pPr>
      <w:r w:rsidRPr="001F1CE7">
        <w:rPr>
          <w:rFonts w:cs="Arial"/>
          <w:szCs w:val="20"/>
          <w:lang w:eastAsia="en-GB"/>
        </w:rPr>
        <w:t>Ukrep vključuje nepovratna sredstva za:</w:t>
      </w:r>
    </w:p>
    <w:p w14:paraId="6FEAAEA6"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lastno proizvodnjo elektrike iz OVE (npr. fotonapetostne elektrarne, bioplinarne),</w:t>
      </w:r>
    </w:p>
    <w:p w14:paraId="193B0E58"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zajem in ponovno uporabo odvečne toplote,</w:t>
      </w:r>
    </w:p>
    <w:p w14:paraId="09A1F926" w14:textId="77777777" w:rsidR="001F1CE7" w:rsidRPr="001F1CE7" w:rsidRDefault="001F1CE7" w:rsidP="001F1CE7">
      <w:pPr>
        <w:numPr>
          <w:ilvl w:val="0"/>
          <w:numId w:val="62"/>
        </w:numPr>
        <w:spacing w:after="0" w:line="240" w:lineRule="auto"/>
        <w:rPr>
          <w:rFonts w:cs="Arial"/>
          <w:szCs w:val="20"/>
          <w:lang w:eastAsia="en-GB"/>
        </w:rPr>
      </w:pPr>
      <w:r w:rsidRPr="001F1CE7">
        <w:rPr>
          <w:rFonts w:cs="Arial"/>
          <w:szCs w:val="20"/>
          <w:lang w:eastAsia="en-GB"/>
        </w:rPr>
        <w:t>izboljšanje toplotne izolacije in digitalne sisteme za upravljanje porabe.</w:t>
      </w:r>
    </w:p>
    <w:p w14:paraId="25DFDC9B" w14:textId="77777777" w:rsidR="001F1CE7" w:rsidRPr="001F1CE7" w:rsidRDefault="001F1CE7" w:rsidP="001F1CE7">
      <w:pPr>
        <w:rPr>
          <w:rFonts w:cs="Arial"/>
          <w:szCs w:val="20"/>
          <w:lang w:eastAsia="en-GB"/>
        </w:rPr>
      </w:pPr>
    </w:p>
    <w:p w14:paraId="181EE9D2" w14:textId="77777777" w:rsidR="001F1CE7" w:rsidRPr="001F1CE7" w:rsidRDefault="001F1CE7" w:rsidP="001F1CE7">
      <w:pPr>
        <w:rPr>
          <w:rFonts w:cs="Arial"/>
          <w:szCs w:val="20"/>
          <w:lang w:eastAsia="en-GB"/>
        </w:rPr>
      </w:pPr>
      <w:r w:rsidRPr="001F1CE7">
        <w:rPr>
          <w:rFonts w:cs="Arial"/>
          <w:szCs w:val="20"/>
          <w:lang w:eastAsia="en-GB"/>
        </w:rPr>
        <w:t>Celoten razpis za leto 2025 je vreden približno 16 milijard CZK (cca. 650 milijonov EUR), kar pomeni nov ali okrepljen investicijski program, usmerjen v trajno zmanjšanje energetske odvisnosti industrije.</w:t>
      </w:r>
    </w:p>
    <w:p w14:paraId="74FCEA03" w14:textId="77777777" w:rsidR="001F1CE7" w:rsidRPr="006E1C7B" w:rsidRDefault="001F1CE7" w:rsidP="001F1CE7">
      <w:pPr>
        <w:jc w:val="center"/>
        <w:rPr>
          <w:rFonts w:asciiTheme="minorHAnsi" w:hAnsiTheme="minorHAnsi" w:cstheme="minorHAnsi"/>
          <w:lang w:eastAsia="en-GB"/>
        </w:rPr>
      </w:pPr>
    </w:p>
    <w:p w14:paraId="25AA754B" w14:textId="35423FA7" w:rsidR="001F1CE7" w:rsidRPr="006E1C7B" w:rsidRDefault="001F1CE7" w:rsidP="001F1CE7">
      <w:pPr>
        <w:pStyle w:val="Napis"/>
        <w:jc w:val="center"/>
        <w:rPr>
          <w:rFonts w:asciiTheme="minorHAnsi" w:hAnsiTheme="minorHAnsi" w:cstheme="minorHAnsi"/>
          <w:color w:val="000000" w:themeColor="text1"/>
          <w:sz w:val="24"/>
          <w:szCs w:val="22"/>
        </w:rPr>
      </w:pPr>
      <w:bookmarkStart w:id="43" w:name="_Toc201714288"/>
      <w:bookmarkStart w:id="44" w:name="_Toc211241124"/>
      <w:r w:rsidRPr="006E1C7B">
        <w:rPr>
          <w:rFonts w:asciiTheme="minorHAnsi" w:hAnsiTheme="minorHAnsi" w:cstheme="minorHAnsi"/>
          <w:color w:val="000000" w:themeColor="text1"/>
          <w:sz w:val="24"/>
          <w:szCs w:val="22"/>
          <w:lang w:eastAsia="en-GB"/>
        </w:rPr>
        <w:t xml:space="preserve">Tabela </w:t>
      </w:r>
      <w:r w:rsidRPr="006E1C7B">
        <w:rPr>
          <w:rFonts w:asciiTheme="minorHAnsi" w:hAnsiTheme="minorHAnsi" w:cstheme="minorHAnsi"/>
          <w:color w:val="000000" w:themeColor="text1"/>
          <w:sz w:val="24"/>
          <w:szCs w:val="22"/>
          <w:lang w:eastAsia="en-GB"/>
        </w:rPr>
        <w:fldChar w:fldCharType="begin"/>
      </w:r>
      <w:r w:rsidRPr="006E1C7B">
        <w:rPr>
          <w:rFonts w:asciiTheme="minorHAnsi" w:hAnsiTheme="minorHAnsi" w:cstheme="minorHAnsi"/>
          <w:color w:val="000000" w:themeColor="text1"/>
          <w:sz w:val="24"/>
          <w:szCs w:val="22"/>
          <w:lang w:eastAsia="en-GB"/>
        </w:rPr>
        <w:instrText xml:space="preserve"> SEQ Table \* ARABIC </w:instrText>
      </w:r>
      <w:r w:rsidRPr="006E1C7B">
        <w:rPr>
          <w:rFonts w:asciiTheme="minorHAnsi" w:hAnsiTheme="minorHAnsi" w:cstheme="minorHAnsi"/>
          <w:color w:val="000000" w:themeColor="text1"/>
          <w:sz w:val="24"/>
          <w:szCs w:val="22"/>
          <w:lang w:eastAsia="en-GB"/>
        </w:rPr>
        <w:fldChar w:fldCharType="separate"/>
      </w:r>
      <w:r w:rsidR="00E3675E">
        <w:rPr>
          <w:rFonts w:asciiTheme="minorHAnsi" w:hAnsiTheme="minorHAnsi" w:cstheme="minorHAnsi"/>
          <w:noProof/>
          <w:color w:val="000000" w:themeColor="text1"/>
          <w:sz w:val="24"/>
          <w:szCs w:val="22"/>
          <w:lang w:eastAsia="en-GB"/>
        </w:rPr>
        <w:t>3</w:t>
      </w:r>
      <w:r w:rsidRPr="006E1C7B">
        <w:rPr>
          <w:rFonts w:asciiTheme="minorHAnsi" w:hAnsiTheme="minorHAnsi" w:cstheme="minorHAnsi"/>
          <w:color w:val="000000" w:themeColor="text1"/>
          <w:sz w:val="24"/>
          <w:szCs w:val="22"/>
          <w:lang w:eastAsia="en-GB"/>
        </w:rPr>
        <w:fldChar w:fldCharType="end"/>
      </w:r>
      <w:r w:rsidRPr="006E1C7B">
        <w:rPr>
          <w:rFonts w:asciiTheme="minorHAnsi" w:hAnsiTheme="minorHAnsi" w:cstheme="minorHAnsi"/>
          <w:color w:val="000000" w:themeColor="text1"/>
          <w:sz w:val="24"/>
          <w:szCs w:val="22"/>
          <w:lang w:eastAsia="en-GB"/>
        </w:rPr>
        <w:t xml:space="preserve">: </w:t>
      </w:r>
      <w:r w:rsidRPr="006E1C7B">
        <w:rPr>
          <w:rFonts w:asciiTheme="minorHAnsi" w:hAnsiTheme="minorHAnsi" w:cstheme="minorHAnsi"/>
          <w:color w:val="000000" w:themeColor="text1"/>
          <w:sz w:val="24"/>
          <w:szCs w:val="22"/>
        </w:rPr>
        <w:t>Ukrepi Češke na področju zamejitve cen električne energije za leto 2025</w:t>
      </w:r>
      <w:bookmarkEnd w:id="43"/>
      <w:bookmarkEnd w:id="44"/>
    </w:p>
    <w:tbl>
      <w:tblPr>
        <w:tblStyle w:val="GridTable5Dark-Accent11"/>
        <w:tblW w:w="0" w:type="auto"/>
        <w:tblLook w:val="04A0" w:firstRow="1" w:lastRow="0" w:firstColumn="1" w:lastColumn="0" w:noHBand="0" w:noVBand="1"/>
      </w:tblPr>
      <w:tblGrid>
        <w:gridCol w:w="1594"/>
        <w:gridCol w:w="2203"/>
        <w:gridCol w:w="2527"/>
        <w:gridCol w:w="1329"/>
        <w:gridCol w:w="1409"/>
      </w:tblGrid>
      <w:tr w:rsidR="001F1CE7" w:rsidRPr="006E1C7B" w14:paraId="5522AF7A" w14:textId="77777777" w:rsidTr="006C3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628FFF" w14:textId="77777777" w:rsidR="001F1CE7" w:rsidRPr="006E1C7B" w:rsidRDefault="001F1CE7" w:rsidP="006C3D53">
            <w:pPr>
              <w:rPr>
                <w:rFonts w:asciiTheme="minorHAnsi" w:hAnsiTheme="minorHAnsi" w:cstheme="minorHAnsi"/>
                <w:b w:val="0"/>
                <w:bCs w:val="0"/>
                <w:sz w:val="22"/>
                <w:lang w:eastAsia="en-GB"/>
              </w:rPr>
            </w:pPr>
            <w:r w:rsidRPr="006E1C7B">
              <w:rPr>
                <w:rFonts w:asciiTheme="minorHAnsi" w:hAnsiTheme="minorHAnsi" w:cstheme="minorHAnsi"/>
                <w:sz w:val="22"/>
                <w:lang w:eastAsia="en-GB"/>
              </w:rPr>
              <w:lastRenderedPageBreak/>
              <w:t>Tematsko področje</w:t>
            </w:r>
          </w:p>
        </w:tc>
        <w:tc>
          <w:tcPr>
            <w:tcW w:w="0" w:type="auto"/>
            <w:vAlign w:val="center"/>
            <w:hideMark/>
          </w:tcPr>
          <w:p w14:paraId="3B3AE3A2"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Naziv ukrepa / mehanizma</w:t>
            </w:r>
          </w:p>
        </w:tc>
        <w:tc>
          <w:tcPr>
            <w:tcW w:w="0" w:type="auto"/>
            <w:vAlign w:val="center"/>
            <w:hideMark/>
          </w:tcPr>
          <w:p w14:paraId="5D3B87F4"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Opis ukrepa</w:t>
            </w:r>
          </w:p>
        </w:tc>
        <w:tc>
          <w:tcPr>
            <w:tcW w:w="0" w:type="auto"/>
            <w:vAlign w:val="center"/>
            <w:hideMark/>
          </w:tcPr>
          <w:p w14:paraId="4FDB8E21"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Obdobje veljavnosti</w:t>
            </w:r>
          </w:p>
        </w:tc>
        <w:tc>
          <w:tcPr>
            <w:tcW w:w="0" w:type="auto"/>
            <w:vAlign w:val="center"/>
            <w:hideMark/>
          </w:tcPr>
          <w:p w14:paraId="34E876CF" w14:textId="77777777" w:rsidR="001F1CE7" w:rsidRPr="006E1C7B" w:rsidRDefault="001F1CE7" w:rsidP="006C3D5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lang w:eastAsia="en-GB"/>
              </w:rPr>
            </w:pPr>
            <w:r w:rsidRPr="006E1C7B">
              <w:rPr>
                <w:rFonts w:asciiTheme="minorHAnsi" w:hAnsiTheme="minorHAnsi" w:cstheme="minorHAnsi"/>
                <w:sz w:val="22"/>
                <w:lang w:eastAsia="en-GB"/>
              </w:rPr>
              <w:t>Status v letu 2025</w:t>
            </w:r>
          </w:p>
        </w:tc>
      </w:tr>
      <w:tr w:rsidR="001F1CE7" w:rsidRPr="006E1C7B" w14:paraId="5E55C244"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B2B1B7"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Cenovna regulacija</w:t>
            </w:r>
          </w:p>
        </w:tc>
        <w:tc>
          <w:tcPr>
            <w:tcW w:w="0" w:type="auto"/>
            <w:vAlign w:val="center"/>
            <w:hideMark/>
          </w:tcPr>
          <w:p w14:paraId="18587D85"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Cenovni vavčerski sistem za MSP in energetsko intenzivna podjetja</w:t>
            </w:r>
          </w:p>
        </w:tc>
        <w:tc>
          <w:tcPr>
            <w:tcW w:w="0" w:type="auto"/>
            <w:vAlign w:val="center"/>
            <w:hideMark/>
          </w:tcPr>
          <w:p w14:paraId="15D40819"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Ciljno usmerjena podpora za podjetja z &gt;2 GWh letne porabe; nadomestilo za ukinjene cenovne kapice iz 2022–24.</w:t>
            </w:r>
          </w:p>
        </w:tc>
        <w:tc>
          <w:tcPr>
            <w:tcW w:w="0" w:type="auto"/>
            <w:vAlign w:val="center"/>
            <w:hideMark/>
          </w:tcPr>
          <w:p w14:paraId="02476414"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2023 - 2025</w:t>
            </w:r>
          </w:p>
        </w:tc>
        <w:tc>
          <w:tcPr>
            <w:tcW w:w="0" w:type="auto"/>
            <w:vAlign w:val="center"/>
            <w:hideMark/>
          </w:tcPr>
          <w:p w14:paraId="07D70133"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Prenovljen ukrep</w:t>
            </w:r>
          </w:p>
        </w:tc>
      </w:tr>
      <w:tr w:rsidR="001F1CE7" w:rsidRPr="006E1C7B" w14:paraId="7CF1500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0A9924"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Davčne olajšave</w:t>
            </w:r>
          </w:p>
        </w:tc>
        <w:tc>
          <w:tcPr>
            <w:tcW w:w="0" w:type="auto"/>
            <w:vAlign w:val="center"/>
            <w:hideMark/>
          </w:tcPr>
          <w:p w14:paraId="00A1BA98"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0 % DDV na elektriko in plin za podjetja</w:t>
            </w:r>
          </w:p>
        </w:tc>
        <w:tc>
          <w:tcPr>
            <w:tcW w:w="0" w:type="auto"/>
            <w:vAlign w:val="center"/>
            <w:hideMark/>
          </w:tcPr>
          <w:p w14:paraId="57801BC1"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Davčna oprostitev, ki se samodejno uveljavlja na računu, velja za vse poslovne odjemalce.</w:t>
            </w:r>
          </w:p>
        </w:tc>
        <w:tc>
          <w:tcPr>
            <w:tcW w:w="0" w:type="auto"/>
            <w:vAlign w:val="center"/>
            <w:hideMark/>
          </w:tcPr>
          <w:p w14:paraId="68B5A057"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1AD51E1F"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Nadaljuje se brez sprememb</w:t>
            </w:r>
          </w:p>
        </w:tc>
      </w:tr>
      <w:tr w:rsidR="001F1CE7" w:rsidRPr="006E1C7B" w14:paraId="2CE6F3C1"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98AC75"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Davčne oprostitve</w:t>
            </w:r>
          </w:p>
        </w:tc>
        <w:tc>
          <w:tcPr>
            <w:tcW w:w="0" w:type="auto"/>
            <w:vAlign w:val="center"/>
            <w:hideMark/>
          </w:tcPr>
          <w:p w14:paraId="0C1CE517"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Oprostitev prispevkov za OVE za energetsko intenzivna podjetja</w:t>
            </w:r>
          </w:p>
        </w:tc>
        <w:tc>
          <w:tcPr>
            <w:tcW w:w="0" w:type="auto"/>
            <w:vAlign w:val="center"/>
            <w:hideMark/>
          </w:tcPr>
          <w:p w14:paraId="4B8D5C00"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Za podjetja z energetskimi stroški &gt;4 % BDP; določa Zakon št. 165/2012 Sb.</w:t>
            </w:r>
          </w:p>
        </w:tc>
        <w:tc>
          <w:tcPr>
            <w:tcW w:w="0" w:type="auto"/>
            <w:vAlign w:val="center"/>
            <w:hideMark/>
          </w:tcPr>
          <w:p w14:paraId="090F522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2BCE8592"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Nadaljuje se brez sprememb</w:t>
            </w:r>
          </w:p>
        </w:tc>
      </w:tr>
      <w:tr w:rsidR="001F1CE7" w:rsidRPr="006E1C7B" w14:paraId="6FD54F7B" w14:textId="77777777" w:rsidTr="006C3D5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21F20E"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Neposredna pomoč</w:t>
            </w:r>
          </w:p>
        </w:tc>
        <w:tc>
          <w:tcPr>
            <w:tcW w:w="0" w:type="auto"/>
            <w:vAlign w:val="center"/>
            <w:hideMark/>
          </w:tcPr>
          <w:p w14:paraId="384FCCBE"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Subvencije za izjemno visoke stroške energije (EU TCTF)</w:t>
            </w:r>
          </w:p>
        </w:tc>
        <w:tc>
          <w:tcPr>
            <w:tcW w:w="0" w:type="auto"/>
            <w:vAlign w:val="center"/>
            <w:hideMark/>
          </w:tcPr>
          <w:p w14:paraId="686E5DB4"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Pomoč do 2 mio EUR oz. več z dovoljenjem EK; zahteva padec EBITDA in revizorsko bilanco.</w:t>
            </w:r>
          </w:p>
        </w:tc>
        <w:tc>
          <w:tcPr>
            <w:tcW w:w="0" w:type="auto"/>
            <w:vAlign w:val="center"/>
            <w:hideMark/>
          </w:tcPr>
          <w:p w14:paraId="6D0DA392"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2022 - 2025</w:t>
            </w:r>
          </w:p>
        </w:tc>
        <w:tc>
          <w:tcPr>
            <w:tcW w:w="0" w:type="auto"/>
            <w:vAlign w:val="center"/>
            <w:hideMark/>
          </w:tcPr>
          <w:p w14:paraId="3F49086F" w14:textId="77777777" w:rsidR="001F1CE7" w:rsidRPr="006E1C7B" w:rsidRDefault="001F1CE7" w:rsidP="006C3D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Podaljšan program v okviru EU okvirja</w:t>
            </w:r>
          </w:p>
        </w:tc>
      </w:tr>
      <w:tr w:rsidR="001F1CE7" w:rsidRPr="006E1C7B" w14:paraId="55C07474" w14:textId="77777777" w:rsidTr="006C3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57149F" w14:textId="77777777" w:rsidR="001F1CE7" w:rsidRPr="006E1C7B" w:rsidRDefault="001F1CE7" w:rsidP="006C3D53">
            <w:pPr>
              <w:rPr>
                <w:rFonts w:asciiTheme="minorHAnsi" w:hAnsiTheme="minorHAnsi" w:cstheme="minorHAnsi"/>
                <w:sz w:val="22"/>
                <w:lang w:eastAsia="en-GB"/>
              </w:rPr>
            </w:pPr>
            <w:r w:rsidRPr="006E1C7B">
              <w:rPr>
                <w:rFonts w:asciiTheme="minorHAnsi" w:hAnsiTheme="minorHAnsi" w:cstheme="minorHAnsi"/>
                <w:sz w:val="22"/>
                <w:lang w:eastAsia="en-GB"/>
              </w:rPr>
              <w:t>Investicije v OVE in učinkovitost</w:t>
            </w:r>
          </w:p>
        </w:tc>
        <w:tc>
          <w:tcPr>
            <w:tcW w:w="0" w:type="auto"/>
            <w:vAlign w:val="center"/>
            <w:hideMark/>
          </w:tcPr>
          <w:p w14:paraId="58BF0A2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Program OP TAK (Operational Programme for Competitiveness)</w:t>
            </w:r>
          </w:p>
        </w:tc>
        <w:tc>
          <w:tcPr>
            <w:tcW w:w="0" w:type="auto"/>
            <w:vAlign w:val="center"/>
            <w:hideMark/>
          </w:tcPr>
          <w:p w14:paraId="33F64833"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Nepovratna sredstva za fotovoltaiko, bioplinarne, toplotno optimizacijo in pametne sisteme; poudarek na težki industriji.</w:t>
            </w:r>
          </w:p>
        </w:tc>
        <w:tc>
          <w:tcPr>
            <w:tcW w:w="0" w:type="auto"/>
            <w:vAlign w:val="center"/>
            <w:hideMark/>
          </w:tcPr>
          <w:p w14:paraId="0A3C9CEE"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2025</w:t>
            </w:r>
          </w:p>
        </w:tc>
        <w:tc>
          <w:tcPr>
            <w:tcW w:w="0" w:type="auto"/>
            <w:vAlign w:val="center"/>
            <w:hideMark/>
          </w:tcPr>
          <w:p w14:paraId="525D061D" w14:textId="77777777" w:rsidR="001F1CE7" w:rsidRPr="006E1C7B" w:rsidRDefault="001F1CE7" w:rsidP="006C3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GB"/>
              </w:rPr>
            </w:pPr>
            <w:r w:rsidRPr="006E1C7B">
              <w:rPr>
                <w:rFonts w:asciiTheme="minorHAnsi" w:hAnsiTheme="minorHAnsi" w:cstheme="minorHAnsi"/>
                <w:szCs w:val="20"/>
                <w:lang w:eastAsia="en-GB"/>
              </w:rPr>
              <w:t>Nov oz. razširjen ukrep</w:t>
            </w:r>
          </w:p>
        </w:tc>
      </w:tr>
    </w:tbl>
    <w:p w14:paraId="2C82FF12" w14:textId="4C3674C5" w:rsidR="00620790" w:rsidRDefault="00620790" w:rsidP="002A0B05">
      <w:pPr>
        <w:rPr>
          <w:rFonts w:cs="Arial"/>
          <w:szCs w:val="20"/>
          <w:lang w:eastAsia="sl-SI"/>
        </w:rPr>
      </w:pPr>
    </w:p>
    <w:p w14:paraId="3E772842" w14:textId="5F423958" w:rsidR="001F1CE7" w:rsidRPr="00620790" w:rsidRDefault="007E7CBC" w:rsidP="002A0B05">
      <w:pPr>
        <w:rPr>
          <w:rFonts w:cs="Arial"/>
          <w:szCs w:val="20"/>
          <w:lang w:eastAsia="sl-SI"/>
        </w:rPr>
      </w:pPr>
      <w:r w:rsidRPr="00DD4E31">
        <w:rPr>
          <w:rFonts w:cs="Arial"/>
          <w:szCs w:val="20"/>
          <w:lang w:eastAsia="sl-SI"/>
        </w:rPr>
        <w:t>Predlog zakona ni predmet usklajevanja s pravom EU.</w:t>
      </w:r>
    </w:p>
    <w:p w14:paraId="28305345" w14:textId="6C83F561" w:rsidR="009F54B1" w:rsidRPr="00620790" w:rsidRDefault="00D051E9" w:rsidP="009F54B1">
      <w:pPr>
        <w:tabs>
          <w:tab w:val="left" w:pos="270"/>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w:t>
      </w:r>
      <w:r w:rsidR="009F54B1" w:rsidRPr="00620790">
        <w:rPr>
          <w:rFonts w:eastAsia="Times New Roman" w:cs="Arial"/>
          <w:b/>
          <w:szCs w:val="20"/>
          <w:lang w:eastAsia="sl-SI"/>
        </w:rPr>
        <w:t>. PRESOJA POSLEDIC, KI JIH BO IMEL SPREJEM ZAKONA</w:t>
      </w:r>
    </w:p>
    <w:p w14:paraId="1D698C64" w14:textId="77777777" w:rsidR="00F2090B" w:rsidRPr="00620790" w:rsidRDefault="00F2090B" w:rsidP="00ED6BA3">
      <w:pPr>
        <w:rPr>
          <w:rFonts w:eastAsia="Times New Roman"/>
          <w:lang w:eastAsia="sl-SI"/>
        </w:rPr>
      </w:pPr>
    </w:p>
    <w:p w14:paraId="60F74B64" w14:textId="6A35FCF6"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6.1 Presoja administrativnih posledic </w:t>
      </w:r>
    </w:p>
    <w:p w14:paraId="70022458" w14:textId="2EB99D13" w:rsidR="008C2A0A" w:rsidRPr="006E6C33" w:rsidRDefault="009F54B1" w:rsidP="008C2A0A">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 xml:space="preserve">a) v </w:t>
      </w:r>
      <w:r w:rsidRPr="006E6C33">
        <w:rPr>
          <w:rFonts w:eastAsia="Times New Roman" w:cs="Arial"/>
          <w:b/>
          <w:szCs w:val="20"/>
          <w:lang w:eastAsia="sl-SI"/>
        </w:rPr>
        <w:t xml:space="preserve">postopkih oziroma poslovanju javne uprave ali pravosodnih organov: </w:t>
      </w:r>
    </w:p>
    <w:p w14:paraId="03CCECBA" w14:textId="3D924638" w:rsidR="008C2764" w:rsidRPr="008C2764" w:rsidRDefault="0037183D" w:rsidP="008C2764">
      <w:pPr>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8C2764" w:rsidRPr="008C2764">
        <w:rPr>
          <w:rFonts w:eastAsia="Times New Roman" w:cs="Arial"/>
          <w:szCs w:val="20"/>
          <w:lang w:eastAsia="sl-SI"/>
        </w:rPr>
        <w:t>akon</w:t>
      </w:r>
      <w:r>
        <w:rPr>
          <w:rFonts w:eastAsia="Times New Roman" w:cs="Arial"/>
          <w:szCs w:val="20"/>
          <w:lang w:eastAsia="sl-SI"/>
        </w:rPr>
        <w:t>a</w:t>
      </w:r>
      <w:r w:rsidR="008C2764" w:rsidRPr="008C2764">
        <w:rPr>
          <w:rFonts w:eastAsia="Times New Roman" w:cs="Arial"/>
          <w:szCs w:val="20"/>
          <w:lang w:eastAsia="sl-SI"/>
        </w:rPr>
        <w:t xml:space="preserve"> bo imel določene posledice za:</w:t>
      </w:r>
    </w:p>
    <w:p w14:paraId="67A23DBC" w14:textId="042F1314"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operaterja trga, ki bo izvajal javne pozive, obdeloval vloge, izdajal odločbe, izvajal poračune, vodil evidence in pripravljal poročila,</w:t>
      </w:r>
    </w:p>
    <w:p w14:paraId="56274EE8" w14:textId="1CBFB89F"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ministrstvo, pristojno za energijo, in ministrstvo, pristojno za finance, ki bosta sodelovala pri pripravi sklepov vlade, spremljanju izvajanja ukrepa in poročanju,</w:t>
      </w:r>
    </w:p>
    <w:p w14:paraId="3D0AEC8E" w14:textId="50C35000" w:rsidR="008C2764" w:rsidRPr="008C2764" w:rsidRDefault="008C2764" w:rsidP="008C2764">
      <w:pPr>
        <w:pStyle w:val="Odstavekseznama"/>
        <w:numPr>
          <w:ilvl w:val="0"/>
          <w:numId w:val="66"/>
        </w:num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inšpektorat, pristojen za energijo, ki bo izvajal nadzor nad izpolnjevanjem določb zakona.</w:t>
      </w:r>
    </w:p>
    <w:p w14:paraId="0FFD4886" w14:textId="2F9C9D80" w:rsidR="00BB5F14" w:rsidRDefault="008C2764" w:rsidP="008C2764">
      <w:pPr>
        <w:overflowPunct w:val="0"/>
        <w:autoSpaceDE w:val="0"/>
        <w:autoSpaceDN w:val="0"/>
        <w:adjustRightInd w:val="0"/>
        <w:spacing w:after="0" w:line="260" w:lineRule="exact"/>
        <w:textAlignment w:val="baseline"/>
        <w:rPr>
          <w:rFonts w:eastAsia="Times New Roman" w:cs="Arial"/>
          <w:szCs w:val="20"/>
          <w:lang w:eastAsia="sl-SI"/>
        </w:rPr>
      </w:pPr>
      <w:r w:rsidRPr="008C2764">
        <w:rPr>
          <w:rFonts w:eastAsia="Times New Roman" w:cs="Arial"/>
          <w:szCs w:val="20"/>
          <w:lang w:eastAsia="sl-SI"/>
        </w:rPr>
        <w:t xml:space="preserve">Za te organe se pričakuje zmerno povečanje obsega dela, ki pa je omejeno v času in št. upravičencev. </w:t>
      </w:r>
      <w:r w:rsidR="0037183D">
        <w:rPr>
          <w:rFonts w:eastAsia="Times New Roman" w:cs="Arial"/>
          <w:szCs w:val="20"/>
          <w:lang w:eastAsia="sl-SI"/>
        </w:rPr>
        <w:t>Predlog z</w:t>
      </w:r>
      <w:r w:rsidRPr="008C2764">
        <w:rPr>
          <w:rFonts w:eastAsia="Times New Roman" w:cs="Arial"/>
          <w:szCs w:val="20"/>
          <w:lang w:eastAsia="sl-SI"/>
        </w:rPr>
        <w:t>akon</w:t>
      </w:r>
      <w:r w:rsidR="0037183D">
        <w:rPr>
          <w:rFonts w:eastAsia="Times New Roman" w:cs="Arial"/>
          <w:szCs w:val="20"/>
          <w:lang w:eastAsia="sl-SI"/>
        </w:rPr>
        <w:t>a</w:t>
      </w:r>
      <w:r w:rsidRPr="008C2764">
        <w:rPr>
          <w:rFonts w:eastAsia="Times New Roman" w:cs="Arial"/>
          <w:szCs w:val="20"/>
          <w:lang w:eastAsia="sl-SI"/>
        </w:rPr>
        <w:t xml:space="preserve"> predvideva tudi namensko nadomestilo operaterju trga za stroške izvajanja ukrepa.</w:t>
      </w:r>
    </w:p>
    <w:p w14:paraId="1B379799" w14:textId="77777777" w:rsidR="00BB5F14" w:rsidRDefault="00BB5F14" w:rsidP="008C2764">
      <w:pPr>
        <w:overflowPunct w:val="0"/>
        <w:autoSpaceDE w:val="0"/>
        <w:autoSpaceDN w:val="0"/>
        <w:adjustRightInd w:val="0"/>
        <w:spacing w:after="0" w:line="260" w:lineRule="exact"/>
        <w:textAlignment w:val="baseline"/>
        <w:rPr>
          <w:rFonts w:eastAsia="Times New Roman" w:cs="Arial"/>
          <w:szCs w:val="20"/>
          <w:lang w:eastAsia="sl-SI"/>
        </w:rPr>
      </w:pPr>
    </w:p>
    <w:p w14:paraId="138912CF" w14:textId="02D407B0" w:rsidR="008C2A0A" w:rsidRPr="00620790" w:rsidRDefault="009F54B1" w:rsidP="008C2764">
      <w:pPr>
        <w:overflowPunct w:val="0"/>
        <w:autoSpaceDE w:val="0"/>
        <w:autoSpaceDN w:val="0"/>
        <w:adjustRightInd w:val="0"/>
        <w:spacing w:after="0" w:line="260" w:lineRule="exact"/>
        <w:textAlignment w:val="baseline"/>
        <w:rPr>
          <w:rFonts w:eastAsia="Times New Roman" w:cs="Arial"/>
          <w:b/>
          <w:szCs w:val="20"/>
          <w:lang w:eastAsia="sl-SI"/>
        </w:rPr>
      </w:pPr>
      <w:r w:rsidRPr="00620790">
        <w:rPr>
          <w:rFonts w:eastAsia="Times New Roman" w:cs="Arial"/>
          <w:b/>
          <w:szCs w:val="20"/>
          <w:lang w:eastAsia="sl-SI"/>
        </w:rPr>
        <w:t xml:space="preserve">b) pri obveznostih strank do javne </w:t>
      </w:r>
      <w:r w:rsidR="008C2A0A" w:rsidRPr="00620790">
        <w:rPr>
          <w:rFonts w:eastAsia="Times New Roman" w:cs="Arial"/>
          <w:b/>
          <w:szCs w:val="20"/>
          <w:lang w:eastAsia="sl-SI"/>
        </w:rPr>
        <w:t>uprave ali pravosodnih organov:</w:t>
      </w:r>
    </w:p>
    <w:p w14:paraId="6709CBDA" w14:textId="2D7B246B" w:rsidR="00D9263E" w:rsidRPr="00D9263E" w:rsidRDefault="00D9263E" w:rsidP="008C2A0A">
      <w:pPr>
        <w:overflowPunct w:val="0"/>
        <w:autoSpaceDE w:val="0"/>
        <w:autoSpaceDN w:val="0"/>
        <w:adjustRightInd w:val="0"/>
        <w:spacing w:after="0" w:line="260" w:lineRule="exact"/>
        <w:textAlignment w:val="baseline"/>
        <w:rPr>
          <w:rFonts w:eastAsia="Times New Roman" w:cs="Arial"/>
          <w:bCs/>
          <w:szCs w:val="20"/>
          <w:lang w:eastAsia="sl-SI"/>
        </w:rPr>
      </w:pPr>
      <w:r w:rsidRPr="00D9263E">
        <w:rPr>
          <w:rFonts w:eastAsia="Times New Roman" w:cs="Arial"/>
          <w:bCs/>
          <w:szCs w:val="20"/>
          <w:lang w:eastAsia="sl-SI"/>
        </w:rPr>
        <w:t xml:space="preserve">Predlog zakona nima administrativnih posledic pri obveznostih strank do javne uprave ali pravosodnih organov. </w:t>
      </w:r>
    </w:p>
    <w:p w14:paraId="7A05702B" w14:textId="142D8227" w:rsidR="00D038BC" w:rsidRPr="00620790" w:rsidRDefault="00D038BC" w:rsidP="008C2A0A">
      <w:pPr>
        <w:overflowPunct w:val="0"/>
        <w:autoSpaceDE w:val="0"/>
        <w:autoSpaceDN w:val="0"/>
        <w:adjustRightInd w:val="0"/>
        <w:spacing w:after="0" w:line="260" w:lineRule="exact"/>
        <w:textAlignment w:val="baseline"/>
        <w:rPr>
          <w:rFonts w:eastAsia="Times New Roman" w:cs="Arial"/>
          <w:b/>
          <w:szCs w:val="20"/>
          <w:lang w:eastAsia="sl-SI"/>
        </w:rPr>
      </w:pPr>
    </w:p>
    <w:p w14:paraId="33E11169" w14:textId="3367A8B5"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6.2 Presoja posledic za okolje, vključno s prostorskimi in varstvenimi vidiki, in sicer za:</w:t>
      </w:r>
    </w:p>
    <w:p w14:paraId="5C3B5589" w14:textId="77777777" w:rsidR="00BB5F14" w:rsidRPr="00BB5F14" w:rsidRDefault="00BB5F14" w:rsidP="00BB5F14">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Zaradi obveznosti, da upravičenci najmanj 50 % prejetih spodbud investirajo v naložbe v razogljičenje, se pričakuje pozitiven okoljski učinek, zlasti:</w:t>
      </w:r>
    </w:p>
    <w:p w14:paraId="6B4D4873" w14:textId="43002157"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povečanje proizvodnje električne energije iz obnovljivih virov za lastne potrebe upravičencev,</w:t>
      </w:r>
    </w:p>
    <w:p w14:paraId="0EE16242" w14:textId="7C212DBA"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povečanje energetske učinkovitosti in s tem zmanjšanje porabe električne energije,</w:t>
      </w:r>
    </w:p>
    <w:p w14:paraId="778348D4" w14:textId="770D1CD8"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zamenjava fosilnih goriv z elektrifikacijo procesov,</w:t>
      </w:r>
    </w:p>
    <w:p w14:paraId="028DD878" w14:textId="07DD9DFC"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t>razvoj in uporaba obnovljivega ali nizkoogljičnega vodika,</w:t>
      </w:r>
    </w:p>
    <w:p w14:paraId="16B612FE" w14:textId="05266CB1" w:rsidR="00BB5F14" w:rsidRPr="00BB5F14" w:rsidRDefault="00BB5F14" w:rsidP="00BB5F14">
      <w:pPr>
        <w:pStyle w:val="Odstavekseznama"/>
        <w:numPr>
          <w:ilvl w:val="0"/>
          <w:numId w:val="67"/>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BB5F14">
        <w:rPr>
          <w:rFonts w:eastAsia="Times New Roman" w:cs="Arial"/>
          <w:szCs w:val="20"/>
          <w:lang w:eastAsia="sl-SI"/>
        </w:rPr>
        <w:lastRenderedPageBreak/>
        <w:t>zmanjšanje emisij toplogrednih plinov in drugih onesnaževal.</w:t>
      </w:r>
    </w:p>
    <w:p w14:paraId="0D93504C" w14:textId="24200A03" w:rsidR="00784DDE" w:rsidRPr="00620790" w:rsidRDefault="0037183D" w:rsidP="00BB5F14">
      <w:pPr>
        <w:suppressAutoHyphens/>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BB5F14" w:rsidRPr="00BB5F14">
        <w:rPr>
          <w:rFonts w:eastAsia="Times New Roman" w:cs="Arial"/>
          <w:szCs w:val="20"/>
          <w:lang w:eastAsia="sl-SI"/>
        </w:rPr>
        <w:t>akon</w:t>
      </w:r>
      <w:r>
        <w:rPr>
          <w:rFonts w:eastAsia="Times New Roman" w:cs="Arial"/>
          <w:szCs w:val="20"/>
          <w:lang w:eastAsia="sl-SI"/>
        </w:rPr>
        <w:t>a</w:t>
      </w:r>
      <w:r w:rsidR="00BB5F14" w:rsidRPr="00BB5F14">
        <w:rPr>
          <w:rFonts w:eastAsia="Times New Roman" w:cs="Arial"/>
          <w:szCs w:val="20"/>
          <w:lang w:eastAsia="sl-SI"/>
        </w:rPr>
        <w:t xml:space="preserve"> je tako usmerjen ne le v kratkoročno blaženje stroškov, temveč tudi v dolgoročno zmanjševanje odvisnosti od fosilnih goriv in prispevek k ciljem podnebne politike Republike Slovenije in Evropske unije.</w:t>
      </w:r>
    </w:p>
    <w:p w14:paraId="07A547EE" w14:textId="77777777" w:rsidR="00FC0C5C" w:rsidRDefault="00FC0C5C"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47212D47" w14:textId="4688C2C8"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6.3 Presoja posledic za gospodarstvo, in sicer za:</w:t>
      </w:r>
    </w:p>
    <w:p w14:paraId="09B593FE" w14:textId="7C2CEDF4" w:rsidR="00FC0C5C" w:rsidRPr="00FC0C5C" w:rsidRDefault="0037183D" w:rsidP="00FC0C5C">
      <w:pPr>
        <w:suppressAutoHyphens/>
        <w:overflowPunct w:val="0"/>
        <w:autoSpaceDE w:val="0"/>
        <w:autoSpaceDN w:val="0"/>
        <w:adjustRightInd w:val="0"/>
        <w:spacing w:after="0" w:line="260" w:lineRule="exact"/>
        <w:textAlignment w:val="baseline"/>
        <w:rPr>
          <w:rFonts w:eastAsia="Times New Roman" w:cs="Arial"/>
          <w:szCs w:val="20"/>
          <w:lang w:eastAsia="sl-SI"/>
        </w:rPr>
      </w:pPr>
      <w:r>
        <w:rPr>
          <w:rFonts w:eastAsia="Times New Roman" w:cs="Arial"/>
          <w:szCs w:val="20"/>
          <w:lang w:eastAsia="sl-SI"/>
        </w:rPr>
        <w:t>Predlog z</w:t>
      </w:r>
      <w:r w:rsidR="00FC0C5C" w:rsidRPr="00FC0C5C">
        <w:rPr>
          <w:rFonts w:eastAsia="Times New Roman" w:cs="Arial"/>
          <w:szCs w:val="20"/>
          <w:lang w:eastAsia="sl-SI"/>
        </w:rPr>
        <w:t>akon</w:t>
      </w:r>
      <w:r>
        <w:rPr>
          <w:rFonts w:eastAsia="Times New Roman" w:cs="Arial"/>
          <w:szCs w:val="20"/>
          <w:lang w:eastAsia="sl-SI"/>
        </w:rPr>
        <w:t>a</w:t>
      </w:r>
      <w:r w:rsidR="00FC0C5C" w:rsidRPr="00FC0C5C">
        <w:rPr>
          <w:rFonts w:eastAsia="Times New Roman" w:cs="Arial"/>
          <w:szCs w:val="20"/>
          <w:lang w:eastAsia="sl-SI"/>
        </w:rPr>
        <w:t xml:space="preserve"> bo imel pomembne pozitivne gospodarske učinke, zlasti v sektorjih:</w:t>
      </w:r>
    </w:p>
    <w:p w14:paraId="15FB35B1" w14:textId="517C5BF1"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z visoko porabo električne energije,</w:t>
      </w:r>
    </w:p>
    <w:p w14:paraId="6147868A" w14:textId="5F535C5F"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z velikim deležem izvoza in</w:t>
      </w:r>
    </w:p>
    <w:p w14:paraId="100141AA" w14:textId="435B5E5D"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s pomembno vlogo v dobavnih verigah.</w:t>
      </w:r>
    </w:p>
    <w:p w14:paraId="1B40CEF5" w14:textId="77777777" w:rsidR="00FC0C5C" w:rsidRPr="00CA4854" w:rsidRDefault="00FC0C5C" w:rsidP="007A5FA7">
      <w:pPr>
        <w:suppressAutoHyphens/>
        <w:overflowPunct w:val="0"/>
        <w:autoSpaceDE w:val="0"/>
        <w:autoSpaceDN w:val="0"/>
        <w:adjustRightInd w:val="0"/>
        <w:spacing w:after="0" w:line="260" w:lineRule="exact"/>
        <w:textAlignment w:val="baseline"/>
        <w:rPr>
          <w:rFonts w:eastAsia="Times New Roman" w:cs="Arial"/>
          <w:szCs w:val="20"/>
          <w:lang w:eastAsia="sl-SI"/>
        </w:rPr>
      </w:pPr>
      <w:r w:rsidRPr="00CA4854">
        <w:rPr>
          <w:rFonts w:eastAsia="Times New Roman" w:cs="Arial"/>
          <w:szCs w:val="20"/>
          <w:lang w:eastAsia="sl-SI"/>
        </w:rPr>
        <w:t>Zagotavljanje delnega blaženja stroškov električne energije bo:</w:t>
      </w:r>
    </w:p>
    <w:p w14:paraId="20504953" w14:textId="0C53FEE5"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omogočilo ohranjanje proizvodnje in delovnih mest,</w:t>
      </w:r>
    </w:p>
    <w:p w14:paraId="4319B118" w14:textId="579E456A"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zmanjšalo tveganje selitve proizvodnje v države z nižjimi stroški energije ali manj strogimi okoljskimi standardi,</w:t>
      </w:r>
    </w:p>
    <w:p w14:paraId="4BABCB8C" w14:textId="43D8D9F7" w:rsidR="00FC0C5C" w:rsidRPr="00FC0C5C" w:rsidRDefault="00FC0C5C" w:rsidP="00FC0C5C">
      <w:pPr>
        <w:pStyle w:val="Odstavekseznama"/>
        <w:numPr>
          <w:ilvl w:val="0"/>
          <w:numId w:val="68"/>
        </w:numPr>
        <w:suppressAutoHyphens/>
        <w:overflowPunct w:val="0"/>
        <w:autoSpaceDE w:val="0"/>
        <w:autoSpaceDN w:val="0"/>
        <w:adjustRightInd w:val="0"/>
        <w:spacing w:after="0" w:line="260" w:lineRule="exact"/>
        <w:textAlignment w:val="baseline"/>
        <w:rPr>
          <w:rFonts w:eastAsia="Times New Roman" w:cs="Arial"/>
          <w:szCs w:val="20"/>
          <w:lang w:eastAsia="sl-SI"/>
        </w:rPr>
      </w:pPr>
      <w:r w:rsidRPr="00FC0C5C">
        <w:rPr>
          <w:rFonts w:eastAsia="Times New Roman" w:cs="Arial"/>
          <w:szCs w:val="20"/>
          <w:lang w:eastAsia="sl-SI"/>
        </w:rPr>
        <w:t>prispevalo k stabilnejšemu investicijskemu okolju za nova vlaganja v proizvodne kapacitete in razogljičenje.</w:t>
      </w:r>
    </w:p>
    <w:p w14:paraId="4FBB64EF" w14:textId="77777777" w:rsidR="003A46D4" w:rsidRPr="00620790" w:rsidRDefault="003A46D4" w:rsidP="00E06ED0">
      <w:pPr>
        <w:suppressAutoHyphens/>
        <w:overflowPunct w:val="0"/>
        <w:autoSpaceDE w:val="0"/>
        <w:autoSpaceDN w:val="0"/>
        <w:adjustRightInd w:val="0"/>
        <w:spacing w:after="0" w:line="260" w:lineRule="exact"/>
        <w:textAlignment w:val="baseline"/>
        <w:rPr>
          <w:rFonts w:eastAsia="Times New Roman" w:cs="Arial"/>
          <w:szCs w:val="20"/>
          <w:lang w:eastAsia="sl-SI"/>
        </w:rPr>
      </w:pPr>
    </w:p>
    <w:p w14:paraId="156011ED" w14:textId="2056600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6.4 Presoja posledic za socialno področje, in sicer za:</w:t>
      </w:r>
    </w:p>
    <w:p w14:paraId="447AE58C" w14:textId="44AA8EAE" w:rsidR="00F07E0B" w:rsidRPr="00F07E0B" w:rsidRDefault="0037183D" w:rsidP="00F07E0B">
      <w:pPr>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Pr>
          <w:rFonts w:eastAsia="Times New Roman" w:cs="Arial"/>
          <w:szCs w:val="20"/>
          <w:lang w:eastAsia="sl-SI"/>
        </w:rPr>
        <w:t>Predlog z</w:t>
      </w:r>
      <w:r w:rsidR="00F07E0B" w:rsidRPr="00F07E0B">
        <w:rPr>
          <w:rFonts w:eastAsia="Times New Roman" w:cs="Arial"/>
          <w:szCs w:val="20"/>
          <w:lang w:eastAsia="sl-SI"/>
        </w:rPr>
        <w:t>akon</w:t>
      </w:r>
      <w:r>
        <w:rPr>
          <w:rFonts w:eastAsia="Times New Roman" w:cs="Arial"/>
          <w:szCs w:val="20"/>
          <w:lang w:eastAsia="sl-SI"/>
        </w:rPr>
        <w:t>a</w:t>
      </w:r>
      <w:r w:rsidR="00F07E0B" w:rsidRPr="00F07E0B">
        <w:rPr>
          <w:rFonts w:eastAsia="Times New Roman" w:cs="Arial"/>
          <w:szCs w:val="20"/>
          <w:lang w:eastAsia="sl-SI"/>
        </w:rPr>
        <w:t xml:space="preserve"> ne posega neposredno v pravice posameznikov, temveč prek gospodarskih učinkov prispeva k stabilnosti zaposlovanja in socialni varnosti.</w:t>
      </w:r>
      <w:r w:rsidR="00F07E0B">
        <w:rPr>
          <w:rFonts w:eastAsia="Times New Roman" w:cs="Arial"/>
          <w:szCs w:val="20"/>
          <w:lang w:eastAsia="sl-SI"/>
        </w:rPr>
        <w:t xml:space="preserve"> </w:t>
      </w:r>
      <w:r w:rsidR="005544E2">
        <w:rPr>
          <w:rFonts w:eastAsia="Times New Roman" w:cs="Arial"/>
          <w:szCs w:val="20"/>
          <w:lang w:eastAsia="sl-SI"/>
        </w:rPr>
        <w:t xml:space="preserve">S spodbujanjem </w:t>
      </w:r>
      <w:r w:rsidR="00F07E0B" w:rsidRPr="00F07E0B">
        <w:rPr>
          <w:rFonts w:eastAsia="Times New Roman" w:cs="Arial"/>
          <w:szCs w:val="20"/>
          <w:lang w:eastAsia="sl-SI"/>
        </w:rPr>
        <w:t>konkurenčnosti elektrointenzivnih podjetij se posredn</w:t>
      </w:r>
      <w:r w:rsidR="00F07E0B">
        <w:rPr>
          <w:rFonts w:eastAsia="Times New Roman" w:cs="Arial"/>
          <w:szCs w:val="20"/>
          <w:lang w:eastAsia="sl-SI"/>
        </w:rPr>
        <w:t xml:space="preserve">o </w:t>
      </w:r>
      <w:r w:rsidR="00F07E0B" w:rsidRPr="00F07E0B">
        <w:rPr>
          <w:rFonts w:eastAsia="Times New Roman" w:cs="Arial"/>
          <w:szCs w:val="20"/>
          <w:lang w:eastAsia="sl-SI"/>
        </w:rPr>
        <w:t>ohranjajo delovna mesta v energetsko intenzivni industriji in povezanih dejavnostih,</w:t>
      </w:r>
      <w:r w:rsidR="00F07E0B">
        <w:rPr>
          <w:rFonts w:eastAsia="Times New Roman" w:cs="Arial"/>
          <w:szCs w:val="20"/>
          <w:lang w:eastAsia="sl-SI"/>
        </w:rPr>
        <w:t xml:space="preserve"> ter </w:t>
      </w:r>
      <w:r w:rsidR="00F07E0B" w:rsidRPr="00F07E0B">
        <w:rPr>
          <w:rFonts w:eastAsia="Times New Roman" w:cs="Arial"/>
          <w:szCs w:val="20"/>
          <w:lang w:eastAsia="sl-SI"/>
        </w:rPr>
        <w:t>zmanjšuje tveganje socialnih in regionalnih negativnih učinkov, povezanih z morebitnim zapiranjem obratov, zlasti v regijah, kjer je industrija ključni del lokalnega gospodarstva.</w:t>
      </w:r>
    </w:p>
    <w:p w14:paraId="78A8D5C7" w14:textId="77777777" w:rsidR="00F07E0B" w:rsidRDefault="00F07E0B" w:rsidP="00F07E0B">
      <w:pPr>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0B4924DB" w14:textId="188D1D46" w:rsidR="009F54B1" w:rsidRPr="00620790" w:rsidRDefault="009F54B1" w:rsidP="00F07E0B">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6.5 Presoja posledic za dokumente razvojnega načrtovanja, in sicer za:</w:t>
      </w:r>
    </w:p>
    <w:p w14:paraId="3ECD1AA2" w14:textId="1D99A825" w:rsidR="00E06ED0" w:rsidRPr="000403B5" w:rsidRDefault="00013E94" w:rsidP="009F54B1">
      <w:pPr>
        <w:overflowPunct w:val="0"/>
        <w:autoSpaceDE w:val="0"/>
        <w:autoSpaceDN w:val="0"/>
        <w:adjustRightInd w:val="0"/>
        <w:spacing w:line="260" w:lineRule="exact"/>
        <w:textAlignment w:val="baseline"/>
        <w:rPr>
          <w:rFonts w:eastAsia="Times New Roman" w:cs="Arial"/>
          <w:bCs/>
          <w:szCs w:val="20"/>
          <w:lang w:eastAsia="sl-SI"/>
        </w:rPr>
      </w:pPr>
      <w:r>
        <w:rPr>
          <w:rFonts w:eastAsia="Times New Roman" w:cs="Arial"/>
          <w:bCs/>
          <w:szCs w:val="20"/>
          <w:lang w:eastAsia="sl-SI"/>
        </w:rPr>
        <w:t>Predlog z</w:t>
      </w:r>
      <w:r w:rsidR="000403B5">
        <w:rPr>
          <w:rFonts w:eastAsia="Times New Roman" w:cs="Arial"/>
          <w:bCs/>
          <w:szCs w:val="20"/>
          <w:lang w:eastAsia="sl-SI"/>
        </w:rPr>
        <w:t>akon</w:t>
      </w:r>
      <w:r>
        <w:rPr>
          <w:rFonts w:eastAsia="Times New Roman" w:cs="Arial"/>
          <w:bCs/>
          <w:szCs w:val="20"/>
          <w:lang w:eastAsia="sl-SI"/>
        </w:rPr>
        <w:t>a</w:t>
      </w:r>
      <w:r w:rsidR="000403B5">
        <w:rPr>
          <w:rFonts w:eastAsia="Times New Roman" w:cs="Arial"/>
          <w:bCs/>
          <w:szCs w:val="20"/>
          <w:lang w:eastAsia="sl-SI"/>
        </w:rPr>
        <w:t xml:space="preserve"> ne bo imel neposrednih posledic na dokumente razvojnega načrtovanja.</w:t>
      </w:r>
    </w:p>
    <w:p w14:paraId="77AC7987" w14:textId="32FA138F" w:rsidR="009F54B1" w:rsidRPr="00620790" w:rsidRDefault="009F54B1" w:rsidP="009F54B1">
      <w:pPr>
        <w:overflowPunct w:val="0"/>
        <w:autoSpaceDE w:val="0"/>
        <w:autoSpaceDN w:val="0"/>
        <w:adjustRightInd w:val="0"/>
        <w:spacing w:line="260" w:lineRule="exact"/>
        <w:textAlignment w:val="baseline"/>
        <w:rPr>
          <w:rFonts w:eastAsia="Times New Roman" w:cs="Arial"/>
          <w:b/>
          <w:szCs w:val="20"/>
          <w:lang w:eastAsia="sl-SI"/>
        </w:rPr>
      </w:pPr>
      <w:r w:rsidRPr="00620790">
        <w:rPr>
          <w:rFonts w:eastAsia="Times New Roman" w:cs="Arial"/>
          <w:b/>
          <w:szCs w:val="20"/>
          <w:lang w:eastAsia="sl-SI"/>
        </w:rPr>
        <w:t>6.6 Presoja posledic za druga področja</w:t>
      </w:r>
    </w:p>
    <w:p w14:paraId="2EBF3378" w14:textId="2AD46065" w:rsidR="009F54B1" w:rsidRPr="00620790" w:rsidRDefault="00013E94" w:rsidP="009F54B1">
      <w:pPr>
        <w:overflowPunct w:val="0"/>
        <w:autoSpaceDE w:val="0"/>
        <w:autoSpaceDN w:val="0"/>
        <w:adjustRightInd w:val="0"/>
        <w:spacing w:line="260" w:lineRule="exact"/>
        <w:textAlignment w:val="baseline"/>
        <w:rPr>
          <w:rFonts w:eastAsia="Times New Roman" w:cs="Arial"/>
          <w:szCs w:val="20"/>
          <w:lang w:eastAsia="sl-SI"/>
        </w:rPr>
      </w:pPr>
      <w:r>
        <w:rPr>
          <w:rFonts w:eastAsia="Times New Roman" w:cs="Arial"/>
          <w:szCs w:val="20"/>
          <w:lang w:eastAsia="sl-SI"/>
        </w:rPr>
        <w:t>Predlog z</w:t>
      </w:r>
      <w:r w:rsidR="009504CA" w:rsidRPr="00620790">
        <w:rPr>
          <w:rFonts w:eastAsia="Times New Roman" w:cs="Arial"/>
          <w:szCs w:val="20"/>
          <w:lang w:eastAsia="sl-SI"/>
        </w:rPr>
        <w:t>akon</w:t>
      </w:r>
      <w:r>
        <w:rPr>
          <w:rFonts w:eastAsia="Times New Roman" w:cs="Arial"/>
          <w:szCs w:val="20"/>
          <w:lang w:eastAsia="sl-SI"/>
        </w:rPr>
        <w:t>a</w:t>
      </w:r>
      <w:r w:rsidR="009504CA" w:rsidRPr="00620790">
        <w:rPr>
          <w:rFonts w:eastAsia="Times New Roman" w:cs="Arial"/>
          <w:szCs w:val="20"/>
          <w:lang w:eastAsia="sl-SI"/>
        </w:rPr>
        <w:t xml:space="preserve"> ne bo imel posledic na drugih področjih.</w:t>
      </w:r>
    </w:p>
    <w:p w14:paraId="78264CFF" w14:textId="7777777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6.7 Izvajanje sprejetega predpisa:</w:t>
      </w:r>
    </w:p>
    <w:p w14:paraId="7064BAA2" w14:textId="77777777" w:rsidR="009F54B1" w:rsidRPr="00620790" w:rsidRDefault="009F54B1" w:rsidP="005E0421">
      <w:pPr>
        <w:numPr>
          <w:ilvl w:val="0"/>
          <w:numId w:val="8"/>
        </w:numPr>
        <w:overflowPunct w:val="0"/>
        <w:autoSpaceDE w:val="0"/>
        <w:autoSpaceDN w:val="0"/>
        <w:adjustRightInd w:val="0"/>
        <w:spacing w:line="260" w:lineRule="exact"/>
        <w:textAlignment w:val="baseline"/>
        <w:rPr>
          <w:rFonts w:eastAsia="Times New Roman" w:cs="Arial"/>
          <w:szCs w:val="20"/>
          <w:lang w:eastAsia="sl-SI"/>
        </w:rPr>
      </w:pPr>
      <w:r w:rsidRPr="00620790">
        <w:rPr>
          <w:rFonts w:eastAsia="Times New Roman" w:cs="Arial"/>
          <w:szCs w:val="20"/>
          <w:lang w:eastAsia="sl-SI"/>
        </w:rPr>
        <w:t>Predstavitev sprejetega zakona:</w:t>
      </w:r>
    </w:p>
    <w:p w14:paraId="38A90D47" w14:textId="6CA9C0DE" w:rsidR="00B64152" w:rsidRPr="00620790" w:rsidRDefault="00F5378F" w:rsidP="009F54B1">
      <w:pPr>
        <w:overflowPunct w:val="0"/>
        <w:autoSpaceDE w:val="0"/>
        <w:autoSpaceDN w:val="0"/>
        <w:adjustRightInd w:val="0"/>
        <w:spacing w:line="276" w:lineRule="auto"/>
        <w:ind w:left="720"/>
        <w:textAlignment w:val="baseline"/>
        <w:rPr>
          <w:rFonts w:eastAsia="Times New Roman" w:cs="Arial"/>
          <w:szCs w:val="20"/>
          <w:lang w:eastAsia="sl-SI"/>
        </w:rPr>
      </w:pPr>
      <w:r w:rsidRPr="00620790">
        <w:rPr>
          <w:rFonts w:eastAsia="Times New Roman" w:cs="Arial"/>
          <w:szCs w:val="20"/>
          <w:lang w:eastAsia="sl-SI"/>
        </w:rPr>
        <w:t>Z</w:t>
      </w:r>
      <w:r w:rsidR="009F54B1" w:rsidRPr="00620790">
        <w:rPr>
          <w:rFonts w:eastAsia="Times New Roman" w:cs="Arial"/>
          <w:szCs w:val="20"/>
          <w:lang w:eastAsia="sl-SI"/>
        </w:rPr>
        <w:t>akon bo objavljen na spletni strani M</w:t>
      </w:r>
      <w:r w:rsidR="00A43767" w:rsidRPr="00620790">
        <w:rPr>
          <w:rFonts w:eastAsia="Times New Roman" w:cs="Arial"/>
          <w:szCs w:val="20"/>
          <w:lang w:eastAsia="sl-SI"/>
        </w:rPr>
        <w:t>OPE</w:t>
      </w:r>
      <w:r w:rsidR="009F54B1" w:rsidRPr="00620790">
        <w:rPr>
          <w:rFonts w:eastAsia="Times New Roman" w:cs="Arial"/>
          <w:szCs w:val="20"/>
          <w:lang w:eastAsia="sl-SI"/>
        </w:rPr>
        <w:t>. Posebn</w:t>
      </w:r>
      <w:r w:rsidR="00FF651F">
        <w:rPr>
          <w:rFonts w:eastAsia="Times New Roman" w:cs="Arial"/>
          <w:szCs w:val="20"/>
          <w:lang w:eastAsia="sl-SI"/>
        </w:rPr>
        <w:t xml:space="preserve">i dogodki niso predvideni. </w:t>
      </w:r>
    </w:p>
    <w:p w14:paraId="63383812" w14:textId="77777777" w:rsidR="009F54B1" w:rsidRPr="00620790" w:rsidRDefault="009F54B1" w:rsidP="005E0421">
      <w:pPr>
        <w:numPr>
          <w:ilvl w:val="0"/>
          <w:numId w:val="8"/>
        </w:numPr>
        <w:overflowPunct w:val="0"/>
        <w:autoSpaceDE w:val="0"/>
        <w:autoSpaceDN w:val="0"/>
        <w:adjustRightInd w:val="0"/>
        <w:spacing w:line="260" w:lineRule="exact"/>
        <w:textAlignment w:val="baseline"/>
        <w:rPr>
          <w:rFonts w:eastAsia="Times New Roman" w:cs="Arial"/>
          <w:szCs w:val="20"/>
          <w:lang w:eastAsia="sl-SI"/>
        </w:rPr>
      </w:pPr>
      <w:r w:rsidRPr="00620790">
        <w:rPr>
          <w:rFonts w:eastAsia="Times New Roman" w:cs="Arial"/>
          <w:szCs w:val="20"/>
          <w:lang w:eastAsia="sl-SI"/>
        </w:rPr>
        <w:t>Spremljanje izvajanja sprejetega predpisa:</w:t>
      </w:r>
    </w:p>
    <w:p w14:paraId="7ECC002C" w14:textId="6A87752E" w:rsidR="009F54B1" w:rsidRPr="00620790" w:rsidRDefault="00A862A7" w:rsidP="009F54B1">
      <w:pPr>
        <w:overflowPunct w:val="0"/>
        <w:autoSpaceDE w:val="0"/>
        <w:autoSpaceDN w:val="0"/>
        <w:adjustRightInd w:val="0"/>
        <w:spacing w:line="276" w:lineRule="auto"/>
        <w:ind w:left="360"/>
        <w:textAlignment w:val="baseline"/>
        <w:rPr>
          <w:rFonts w:eastAsia="Times New Roman" w:cs="Arial"/>
          <w:szCs w:val="20"/>
          <w:lang w:eastAsia="sl-SI"/>
        </w:rPr>
      </w:pPr>
      <w:r w:rsidRPr="00620790">
        <w:rPr>
          <w:rFonts w:eastAsia="Times New Roman" w:cs="Arial"/>
          <w:szCs w:val="20"/>
          <w:lang w:eastAsia="sl-SI"/>
        </w:rPr>
        <w:t>I</w:t>
      </w:r>
      <w:r w:rsidR="009F54B1" w:rsidRPr="00620790">
        <w:rPr>
          <w:rFonts w:eastAsia="Times New Roman" w:cs="Arial"/>
          <w:szCs w:val="20"/>
          <w:lang w:eastAsia="sl-SI"/>
        </w:rPr>
        <w:t xml:space="preserve">zvajanje zakona </w:t>
      </w:r>
      <w:r w:rsidRPr="00620790">
        <w:rPr>
          <w:rFonts w:eastAsia="Times New Roman" w:cs="Arial"/>
          <w:szCs w:val="20"/>
          <w:lang w:eastAsia="sl-SI"/>
        </w:rPr>
        <w:t>bo</w:t>
      </w:r>
      <w:r w:rsidR="009B6A89">
        <w:rPr>
          <w:rFonts w:eastAsia="Times New Roman" w:cs="Arial"/>
          <w:szCs w:val="20"/>
          <w:lang w:eastAsia="sl-SI"/>
        </w:rPr>
        <w:t xml:space="preserve"> spremljalo </w:t>
      </w:r>
      <w:r w:rsidRPr="00620790">
        <w:rPr>
          <w:rFonts w:eastAsia="Times New Roman" w:cs="Arial"/>
          <w:szCs w:val="20"/>
          <w:lang w:eastAsia="sl-SI"/>
        </w:rPr>
        <w:t>ministrstv</w:t>
      </w:r>
      <w:r w:rsidR="009B6A89">
        <w:rPr>
          <w:rFonts w:eastAsia="Times New Roman" w:cs="Arial"/>
          <w:szCs w:val="20"/>
          <w:lang w:eastAsia="sl-SI"/>
        </w:rPr>
        <w:t>o</w:t>
      </w:r>
      <w:r w:rsidRPr="00620790">
        <w:rPr>
          <w:rFonts w:eastAsia="Times New Roman" w:cs="Arial"/>
          <w:szCs w:val="20"/>
          <w:lang w:eastAsia="sl-SI"/>
        </w:rPr>
        <w:t>, pristojn</w:t>
      </w:r>
      <w:r w:rsidR="009B6A89">
        <w:rPr>
          <w:rFonts w:eastAsia="Times New Roman" w:cs="Arial"/>
          <w:szCs w:val="20"/>
          <w:lang w:eastAsia="sl-SI"/>
        </w:rPr>
        <w:t>o</w:t>
      </w:r>
      <w:r w:rsidRPr="00620790">
        <w:rPr>
          <w:rFonts w:eastAsia="Times New Roman" w:cs="Arial"/>
          <w:szCs w:val="20"/>
          <w:lang w:eastAsia="sl-SI"/>
        </w:rPr>
        <w:t xml:space="preserve"> za energijo</w:t>
      </w:r>
      <w:r w:rsidR="009B6A89">
        <w:rPr>
          <w:rFonts w:eastAsia="Times New Roman" w:cs="Arial"/>
          <w:szCs w:val="20"/>
          <w:lang w:eastAsia="sl-SI"/>
        </w:rPr>
        <w:t>.</w:t>
      </w:r>
      <w:r w:rsidR="009F54B1" w:rsidRPr="00620790">
        <w:rPr>
          <w:rFonts w:eastAsia="Times New Roman" w:cs="Arial"/>
          <w:szCs w:val="20"/>
          <w:lang w:eastAsia="sl-SI"/>
        </w:rPr>
        <w:t xml:space="preserve"> </w:t>
      </w:r>
    </w:p>
    <w:p w14:paraId="732F9EED" w14:textId="77777777" w:rsidR="009F54B1" w:rsidRPr="00620790" w:rsidRDefault="009F54B1" w:rsidP="009F54B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6.8 Druge pomembne okoliščine v zvezi z vprašanji, ki jih ureja predlog zakona</w:t>
      </w:r>
    </w:p>
    <w:p w14:paraId="04F0EF8D" w14:textId="0A1043AE" w:rsidR="009F54B1" w:rsidRPr="00620790" w:rsidRDefault="00D9263E" w:rsidP="009F54B1">
      <w:pPr>
        <w:overflowPunct w:val="0"/>
        <w:autoSpaceDE w:val="0"/>
        <w:autoSpaceDN w:val="0"/>
        <w:adjustRightInd w:val="0"/>
        <w:spacing w:line="260" w:lineRule="exact"/>
        <w:ind w:left="709"/>
        <w:textAlignment w:val="baseline"/>
        <w:rPr>
          <w:rFonts w:eastAsia="Times New Roman" w:cs="Arial"/>
          <w:szCs w:val="20"/>
          <w:lang w:eastAsia="sl-SI"/>
        </w:rPr>
      </w:pPr>
      <w:r>
        <w:rPr>
          <w:rFonts w:eastAsia="Times New Roman" w:cs="Arial"/>
          <w:szCs w:val="20"/>
          <w:lang w:eastAsia="sl-SI"/>
        </w:rPr>
        <w:t>V zvezi z vprašanji, ki jih predlog zakona ureja, ni drugih pomembnih vprašanj.</w:t>
      </w:r>
    </w:p>
    <w:p w14:paraId="2A2294AB" w14:textId="60BB5325" w:rsidR="009F54B1" w:rsidRPr="00620790" w:rsidRDefault="009F54B1" w:rsidP="009F54B1">
      <w:pPr>
        <w:tabs>
          <w:tab w:val="left" w:pos="285"/>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7. PRIKAZ SODELOVANJA JAVNOSTI PRI PRIPRAVI PREDLOGA ZAKONA:</w:t>
      </w:r>
    </w:p>
    <w:p w14:paraId="755CD352" w14:textId="50C7CFB0"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 xml:space="preserve">Gradivo je bilo v javni obravnavi objavljeno na e-demokraciji od </w:t>
      </w:r>
      <w:r w:rsidR="0045555C">
        <w:rPr>
          <w:rFonts w:eastAsia="Times New Roman" w:cs="Arial"/>
          <w:iCs/>
          <w:szCs w:val="20"/>
          <w:lang w:eastAsia="sl-SI"/>
        </w:rPr>
        <w:t>7</w:t>
      </w:r>
      <w:r w:rsidRPr="00B96395">
        <w:rPr>
          <w:rFonts w:eastAsia="Times New Roman" w:cs="Arial"/>
          <w:iCs/>
          <w:szCs w:val="20"/>
          <w:lang w:eastAsia="sl-SI"/>
        </w:rPr>
        <w:t>. 11. 2025 do 2</w:t>
      </w:r>
      <w:r w:rsidR="0045555C">
        <w:rPr>
          <w:rFonts w:eastAsia="Times New Roman" w:cs="Arial"/>
          <w:iCs/>
          <w:szCs w:val="20"/>
          <w:lang w:eastAsia="sl-SI"/>
        </w:rPr>
        <w:t>2</w:t>
      </w:r>
      <w:r w:rsidRPr="00B96395">
        <w:rPr>
          <w:rFonts w:eastAsia="Times New Roman" w:cs="Arial"/>
          <w:iCs/>
          <w:szCs w:val="20"/>
          <w:lang w:eastAsia="sl-SI"/>
        </w:rPr>
        <w:t>. 11. 2025. Objavljeno je tudi na Portalu energetika.</w:t>
      </w:r>
    </w:p>
    <w:p w14:paraId="0523EE26"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4E73D6EF"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 xml:space="preserve">V razpravo so bili vključeni: </w:t>
      </w:r>
    </w:p>
    <w:p w14:paraId="4D097254" w14:textId="18DD7A9B" w:rsidR="00B96395" w:rsidRPr="00B96395" w:rsidRDefault="00B96395" w:rsidP="00B96395">
      <w:pPr>
        <w:pStyle w:val="Odstavekseznama"/>
        <w:widowControl w:val="0"/>
        <w:numPr>
          <w:ilvl w:val="0"/>
          <w:numId w:val="69"/>
        </w:numPr>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predstavniki zainteresirane javnosti,</w:t>
      </w:r>
    </w:p>
    <w:p w14:paraId="7E73E2BE" w14:textId="5F4AE66D" w:rsidR="00B96395" w:rsidRPr="00B96395" w:rsidRDefault="00B96395" w:rsidP="00B96395">
      <w:pPr>
        <w:pStyle w:val="Odstavekseznama"/>
        <w:widowControl w:val="0"/>
        <w:numPr>
          <w:ilvl w:val="0"/>
          <w:numId w:val="69"/>
        </w:numPr>
        <w:overflowPunct w:val="0"/>
        <w:autoSpaceDE w:val="0"/>
        <w:autoSpaceDN w:val="0"/>
        <w:adjustRightInd w:val="0"/>
        <w:spacing w:after="0" w:line="260" w:lineRule="exact"/>
        <w:textAlignment w:val="baseline"/>
        <w:rPr>
          <w:rFonts w:eastAsia="Times New Roman" w:cs="Arial"/>
          <w:iCs/>
          <w:szCs w:val="20"/>
          <w:lang w:eastAsia="sl-SI"/>
        </w:rPr>
      </w:pPr>
      <w:r w:rsidRPr="00B96395">
        <w:rPr>
          <w:rFonts w:eastAsia="Times New Roman" w:cs="Arial"/>
          <w:iCs/>
          <w:szCs w:val="20"/>
          <w:lang w:eastAsia="sl-SI"/>
        </w:rPr>
        <w:t>predstavniki strokovne javnosti.</w:t>
      </w:r>
    </w:p>
    <w:p w14:paraId="3ECE983F" w14:textId="77777777" w:rsidR="00B96395" w:rsidRPr="00B96395" w:rsidRDefault="00B96395" w:rsidP="00B96395">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5E09413B" w14:textId="19614314" w:rsidR="00061E98" w:rsidRPr="00C81738" w:rsidRDefault="00061E98" w:rsidP="00061E98">
      <w:pPr>
        <w:pStyle w:val="Neotevilenodstavek"/>
        <w:widowControl w:val="0"/>
        <w:spacing w:after="0" w:line="260" w:lineRule="exact"/>
        <w:rPr>
          <w:iCs/>
          <w:szCs w:val="20"/>
        </w:rPr>
      </w:pPr>
      <w:r w:rsidRPr="00C81738">
        <w:rPr>
          <w:iCs/>
          <w:szCs w:val="20"/>
        </w:rPr>
        <w:t>V okviru javne obravnave smo prejeli pripombe različnih deležnikov. To so: SIST, Calcit, Valji, Hidria, SIJ Acroni, Resalta, Gospodarska zbornica Slovenije, Papirnica Vevče, Borzen, AquafilSLO, HSE, GEN-energija, Talum</w:t>
      </w:r>
      <w:r w:rsidR="00D21BF6">
        <w:rPr>
          <w:iCs/>
          <w:szCs w:val="20"/>
        </w:rPr>
        <w:t xml:space="preserve">, </w:t>
      </w:r>
      <w:r w:rsidR="00D21BF6" w:rsidRPr="00D21BF6">
        <w:rPr>
          <w:iCs/>
          <w:szCs w:val="20"/>
        </w:rPr>
        <w:t>SIJ Metal Ravne</w:t>
      </w:r>
      <w:r w:rsidR="00D21BF6">
        <w:rPr>
          <w:iCs/>
          <w:szCs w:val="20"/>
        </w:rPr>
        <w:t>.</w:t>
      </w:r>
    </w:p>
    <w:p w14:paraId="24184D60" w14:textId="7E17A471" w:rsidR="00061E98" w:rsidRPr="00C81738" w:rsidRDefault="00061E98" w:rsidP="00061E98">
      <w:pPr>
        <w:pStyle w:val="Neotevilenodstavek"/>
        <w:widowControl w:val="0"/>
        <w:spacing w:after="0" w:line="260" w:lineRule="exact"/>
        <w:rPr>
          <w:iCs/>
          <w:szCs w:val="20"/>
        </w:rPr>
      </w:pPr>
      <w:r w:rsidRPr="00C81738">
        <w:rPr>
          <w:iCs/>
          <w:szCs w:val="20"/>
        </w:rPr>
        <w:t xml:space="preserve">Ministrstvo, pristojno za energijo je pregledalo in obravnavalo vse prejete pripombe in jih v največji možni meri upoštevalo, v kolikor so bile strokovno utemeljene ter niso bile v nasprotju s pravnim redom </w:t>
      </w:r>
      <w:r w:rsidRPr="00C81738">
        <w:rPr>
          <w:iCs/>
          <w:szCs w:val="20"/>
        </w:rPr>
        <w:lastRenderedPageBreak/>
        <w:t xml:space="preserve">Republike Slovenije in EU ter sistemskimi rešitvami predloga zakona. </w:t>
      </w:r>
      <w:r>
        <w:rPr>
          <w:iCs/>
          <w:szCs w:val="20"/>
        </w:rPr>
        <w:t>P</w:t>
      </w:r>
      <w:r w:rsidRPr="00C81738">
        <w:rPr>
          <w:iCs/>
          <w:szCs w:val="20"/>
        </w:rPr>
        <w:t>ripomb</w:t>
      </w:r>
      <w:r>
        <w:rPr>
          <w:iCs/>
          <w:szCs w:val="20"/>
        </w:rPr>
        <w:t>e</w:t>
      </w:r>
      <w:r w:rsidR="003A7C85">
        <w:rPr>
          <w:iCs/>
          <w:szCs w:val="20"/>
        </w:rPr>
        <w:t>,</w:t>
      </w:r>
      <w:r w:rsidRPr="00C81738">
        <w:rPr>
          <w:iCs/>
          <w:szCs w:val="20"/>
        </w:rPr>
        <w:t xml:space="preserve"> ki so</w:t>
      </w:r>
      <w:r>
        <w:rPr>
          <w:iCs/>
          <w:szCs w:val="20"/>
        </w:rPr>
        <w:t xml:space="preserve"> bile </w:t>
      </w:r>
      <w:r w:rsidRPr="00C81738">
        <w:rPr>
          <w:iCs/>
          <w:szCs w:val="20"/>
        </w:rPr>
        <w:t>neskladne z veljavnimi pravili državnih pomoči</w:t>
      </w:r>
      <w:r>
        <w:rPr>
          <w:iCs/>
          <w:szCs w:val="20"/>
        </w:rPr>
        <w:t>, niso upoštevane</w:t>
      </w:r>
      <w:r w:rsidRPr="00C81738">
        <w:rPr>
          <w:iCs/>
          <w:szCs w:val="20"/>
        </w:rPr>
        <w:t>.</w:t>
      </w:r>
    </w:p>
    <w:p w14:paraId="535D26A7" w14:textId="77777777" w:rsidR="00061E98" w:rsidRPr="00C81738" w:rsidRDefault="00061E98" w:rsidP="00061E98">
      <w:pPr>
        <w:pStyle w:val="Neotevilenodstavek"/>
        <w:widowControl w:val="0"/>
        <w:spacing w:after="0" w:line="260" w:lineRule="exact"/>
        <w:rPr>
          <w:iCs/>
          <w:szCs w:val="20"/>
        </w:rPr>
      </w:pPr>
    </w:p>
    <w:p w14:paraId="37A0B926" w14:textId="77777777" w:rsidR="00061E98" w:rsidRPr="00C81738" w:rsidRDefault="00061E98" w:rsidP="00061E98">
      <w:pPr>
        <w:pStyle w:val="Neotevilenodstavek"/>
        <w:widowControl w:val="0"/>
        <w:spacing w:after="0" w:line="260" w:lineRule="exact"/>
        <w:rPr>
          <w:iCs/>
          <w:szCs w:val="20"/>
        </w:rPr>
      </w:pPr>
      <w:r w:rsidRPr="00C81738">
        <w:rPr>
          <w:iCs/>
          <w:szCs w:val="20"/>
        </w:rPr>
        <w:t xml:space="preserve">Pripombe se nanašajo predvsem na: </w:t>
      </w:r>
    </w:p>
    <w:p w14:paraId="2BEBB089" w14:textId="77777777" w:rsidR="00061E98" w:rsidRPr="00C81738" w:rsidRDefault="00061E98" w:rsidP="00061E98">
      <w:pPr>
        <w:pStyle w:val="Neotevilenodstavek"/>
        <w:widowControl w:val="0"/>
        <w:spacing w:after="0" w:line="260" w:lineRule="exact"/>
        <w:rPr>
          <w:iCs/>
          <w:szCs w:val="20"/>
        </w:rPr>
      </w:pPr>
      <w:r w:rsidRPr="00C81738">
        <w:rPr>
          <w:iCs/>
          <w:szCs w:val="20"/>
        </w:rPr>
        <w:t>- višine praga letne porabe električne energije za upravičenost do pomoči,</w:t>
      </w:r>
    </w:p>
    <w:p w14:paraId="0BE0476C" w14:textId="77777777" w:rsidR="00061E98" w:rsidRPr="00C81738" w:rsidRDefault="00061E98" w:rsidP="00061E98">
      <w:pPr>
        <w:pStyle w:val="Neotevilenodstavek"/>
        <w:widowControl w:val="0"/>
        <w:spacing w:after="0" w:line="260" w:lineRule="exact"/>
        <w:rPr>
          <w:iCs/>
          <w:szCs w:val="20"/>
        </w:rPr>
      </w:pPr>
      <w:r w:rsidRPr="00C81738">
        <w:rPr>
          <w:iCs/>
          <w:szCs w:val="20"/>
        </w:rPr>
        <w:t>- višino podpore oziroma pomoči,</w:t>
      </w:r>
    </w:p>
    <w:p w14:paraId="3620B0EF" w14:textId="77777777" w:rsidR="00061E98" w:rsidRPr="00C81738" w:rsidRDefault="00061E98" w:rsidP="00061E98">
      <w:pPr>
        <w:pStyle w:val="Neotevilenodstavek"/>
        <w:widowControl w:val="0"/>
        <w:spacing w:after="0" w:line="260" w:lineRule="exact"/>
        <w:rPr>
          <w:iCs/>
          <w:szCs w:val="20"/>
        </w:rPr>
      </w:pPr>
      <w:r w:rsidRPr="00C81738">
        <w:rPr>
          <w:iCs/>
          <w:szCs w:val="20"/>
        </w:rPr>
        <w:t>- načina kumulacije pomoči tega ukrepa z drugimi spodbudami za iste naložbe,</w:t>
      </w:r>
    </w:p>
    <w:p w14:paraId="1F308B3B" w14:textId="77777777" w:rsidR="00061E98" w:rsidRPr="00C81738" w:rsidRDefault="00061E98" w:rsidP="00061E98">
      <w:pPr>
        <w:pStyle w:val="Neotevilenodstavek"/>
        <w:widowControl w:val="0"/>
        <w:spacing w:after="0" w:line="260" w:lineRule="exact"/>
        <w:rPr>
          <w:iCs/>
          <w:szCs w:val="20"/>
        </w:rPr>
      </w:pPr>
      <w:r w:rsidRPr="00C81738">
        <w:rPr>
          <w:iCs/>
          <w:szCs w:val="20"/>
        </w:rPr>
        <w:t>- sistem upravljanja z energijo in</w:t>
      </w:r>
    </w:p>
    <w:p w14:paraId="245A1813" w14:textId="77777777" w:rsidR="00061E98" w:rsidRPr="00C81738" w:rsidRDefault="00061E98" w:rsidP="00061E98">
      <w:pPr>
        <w:pStyle w:val="Neotevilenodstavek"/>
        <w:widowControl w:val="0"/>
        <w:spacing w:after="0" w:line="260" w:lineRule="exact"/>
        <w:rPr>
          <w:iCs/>
          <w:szCs w:val="20"/>
        </w:rPr>
      </w:pPr>
      <w:r w:rsidRPr="00C81738">
        <w:rPr>
          <w:iCs/>
          <w:szCs w:val="20"/>
        </w:rPr>
        <w:t>- načina izvajanja naložb preko pogodbenih modelov energetskih storitev (ESCO).</w:t>
      </w:r>
    </w:p>
    <w:p w14:paraId="2F5A48E0" w14:textId="77777777" w:rsidR="00061E98" w:rsidRPr="00C81738" w:rsidRDefault="00061E98" w:rsidP="00061E98">
      <w:pPr>
        <w:pStyle w:val="Neotevilenodstavek"/>
        <w:widowControl w:val="0"/>
        <w:spacing w:after="0" w:line="260" w:lineRule="exact"/>
        <w:rPr>
          <w:iCs/>
          <w:szCs w:val="20"/>
        </w:rPr>
      </w:pPr>
    </w:p>
    <w:p w14:paraId="35AA8727" w14:textId="77777777" w:rsidR="00061E98" w:rsidRDefault="00061E98" w:rsidP="00061E98">
      <w:pPr>
        <w:pStyle w:val="Neotevilenodstavek"/>
        <w:widowControl w:val="0"/>
        <w:spacing w:after="0" w:line="260" w:lineRule="exact"/>
        <w:rPr>
          <w:iCs/>
          <w:szCs w:val="20"/>
        </w:rPr>
      </w:pPr>
      <w:r w:rsidRPr="00C81738">
        <w:rPr>
          <w:iCs/>
          <w:szCs w:val="20"/>
        </w:rPr>
        <w:t xml:space="preserve">Več pripomb in predlogov se nanaša na definicije oziroma izraze uporabljene v osnutku zakona. Te pripombe </w:t>
      </w:r>
      <w:r>
        <w:rPr>
          <w:iCs/>
          <w:szCs w:val="20"/>
        </w:rPr>
        <w:t>s</w:t>
      </w:r>
      <w:r w:rsidRPr="00C81738">
        <w:rPr>
          <w:iCs/>
          <w:szCs w:val="20"/>
        </w:rPr>
        <w:t>o smiselno upošteva</w:t>
      </w:r>
      <w:r>
        <w:rPr>
          <w:iCs/>
          <w:szCs w:val="20"/>
        </w:rPr>
        <w:t>ne</w:t>
      </w:r>
      <w:r w:rsidRPr="00C81738">
        <w:rPr>
          <w:iCs/>
          <w:szCs w:val="20"/>
        </w:rPr>
        <w:t>.</w:t>
      </w:r>
    </w:p>
    <w:p w14:paraId="007ADDCE" w14:textId="77777777" w:rsidR="00773CD1" w:rsidRDefault="00773CD1" w:rsidP="00E06ED0">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6BCC477B" w14:textId="3C3D89AC" w:rsidR="009F54B1" w:rsidRDefault="009F54B1" w:rsidP="009F54B1">
      <w:pPr>
        <w:overflowPunct w:val="0"/>
        <w:autoSpaceDE w:val="0"/>
        <w:autoSpaceDN w:val="0"/>
        <w:adjustRightInd w:val="0"/>
        <w:spacing w:line="260" w:lineRule="exact"/>
        <w:textAlignment w:val="baseline"/>
        <w:rPr>
          <w:rFonts w:eastAsia="Times New Roman" w:cs="Arial"/>
          <w:b/>
          <w:szCs w:val="20"/>
          <w:lang w:eastAsia="sl-SI"/>
        </w:rPr>
      </w:pPr>
      <w:r w:rsidRPr="00620790">
        <w:rPr>
          <w:rFonts w:eastAsia="Times New Roman" w:cs="Arial"/>
          <w:b/>
          <w:szCs w:val="20"/>
          <w:lang w:eastAsia="sl-SI"/>
        </w:rPr>
        <w:t>8. PODATEK O ZUNANJEM STROKOVNJAKU OZIROMA PRAVNI OSEBI, KI JE SODELOVALA PRI PRIPRAVI PREDLOGA ZAKONA, IN ZNESKU PLAČILA ZA TA NAMEN:</w:t>
      </w:r>
    </w:p>
    <w:p w14:paraId="78DA1BF0" w14:textId="14B51B14" w:rsidR="00C8753B" w:rsidRPr="00C8753B" w:rsidRDefault="00C8753B" w:rsidP="009F54B1">
      <w:pPr>
        <w:overflowPunct w:val="0"/>
        <w:autoSpaceDE w:val="0"/>
        <w:autoSpaceDN w:val="0"/>
        <w:adjustRightInd w:val="0"/>
        <w:spacing w:line="260" w:lineRule="exact"/>
        <w:textAlignment w:val="baseline"/>
        <w:rPr>
          <w:rFonts w:eastAsia="Times New Roman" w:cs="Arial"/>
          <w:bCs/>
          <w:szCs w:val="20"/>
          <w:lang w:eastAsia="sl-SI"/>
        </w:rPr>
      </w:pPr>
      <w:r w:rsidRPr="00C8753B">
        <w:rPr>
          <w:rFonts w:eastAsia="Times New Roman" w:cs="Arial"/>
          <w:bCs/>
          <w:szCs w:val="20"/>
          <w:lang w:eastAsia="sl-SI"/>
        </w:rPr>
        <w:t>Pri pripravi predloga zakona niso sodelovali zunanji strokovnjaki</w:t>
      </w:r>
      <w:r w:rsidR="00013E94">
        <w:rPr>
          <w:rFonts w:eastAsia="Times New Roman" w:cs="Arial"/>
          <w:bCs/>
          <w:szCs w:val="20"/>
          <w:lang w:eastAsia="sl-SI"/>
        </w:rPr>
        <w:t xml:space="preserve"> oziroma pravne osebe</w:t>
      </w:r>
      <w:r w:rsidRPr="00C8753B">
        <w:rPr>
          <w:rFonts w:eastAsia="Times New Roman" w:cs="Arial"/>
          <w:bCs/>
          <w:szCs w:val="20"/>
          <w:lang w:eastAsia="sl-SI"/>
        </w:rPr>
        <w:t>.</w:t>
      </w:r>
    </w:p>
    <w:p w14:paraId="79672338" w14:textId="77777777" w:rsidR="009F54B1" w:rsidRPr="00620790" w:rsidRDefault="009F54B1" w:rsidP="009F54B1">
      <w:pPr>
        <w:tabs>
          <w:tab w:val="left" w:pos="180"/>
          <w:tab w:val="left" w:pos="345"/>
          <w:tab w:val="left" w:pos="555"/>
        </w:tabs>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620790">
        <w:rPr>
          <w:rFonts w:eastAsia="Times New Roman" w:cs="Arial"/>
          <w:b/>
          <w:szCs w:val="20"/>
          <w:lang w:eastAsia="sl-SI"/>
        </w:rPr>
        <w:t>9. NAVEDBA, KATERI PREDSTAVNIKI PREDLAGATELJA BODO SODELOVALI PRI DELU DRŽAVNEGA ZBORA IN DELOVNIH TELES</w:t>
      </w:r>
    </w:p>
    <w:p w14:paraId="75854CB5" w14:textId="77777777" w:rsidR="009F54B1" w:rsidRPr="00620790" w:rsidRDefault="009F54B1" w:rsidP="00076155">
      <w:pPr>
        <w:spacing w:after="0"/>
        <w:rPr>
          <w:rFonts w:eastAsia="Times New Roman" w:cs="Arial"/>
          <w:szCs w:val="20"/>
          <w:lang w:eastAsia="sl-SI"/>
        </w:rPr>
      </w:pPr>
    </w:p>
    <w:p w14:paraId="470854A0" w14:textId="77777777" w:rsidR="00CF556E" w:rsidRPr="00FF651F" w:rsidRDefault="00CF556E" w:rsidP="00CF556E">
      <w:pPr>
        <w:pStyle w:val="Neotevilenodstavek"/>
        <w:spacing w:before="0" w:after="0" w:line="240" w:lineRule="auto"/>
        <w:rPr>
          <w:iCs/>
          <w:szCs w:val="20"/>
        </w:rPr>
      </w:pPr>
      <w:r w:rsidRPr="00FF651F">
        <w:rPr>
          <w:iCs/>
          <w:szCs w:val="20"/>
        </w:rPr>
        <w:t>mag. Bojan Kumer, minister</w:t>
      </w:r>
    </w:p>
    <w:p w14:paraId="25A3569E" w14:textId="77777777" w:rsidR="00CF556E" w:rsidRDefault="00CF556E" w:rsidP="00CF556E">
      <w:pPr>
        <w:pStyle w:val="Neotevilenodstavek"/>
        <w:spacing w:before="0" w:after="0" w:line="240" w:lineRule="auto"/>
        <w:rPr>
          <w:iCs/>
          <w:szCs w:val="20"/>
        </w:rPr>
      </w:pPr>
      <w:r w:rsidRPr="00FF651F">
        <w:rPr>
          <w:iCs/>
          <w:szCs w:val="20"/>
        </w:rPr>
        <w:t>mag. Tina Seršen, državna sekretarka</w:t>
      </w:r>
    </w:p>
    <w:p w14:paraId="345EF674" w14:textId="6F426181" w:rsidR="008C152B" w:rsidRPr="00FF651F" w:rsidRDefault="008C152B" w:rsidP="00CF556E">
      <w:pPr>
        <w:pStyle w:val="Neotevilenodstavek"/>
        <w:spacing w:before="0" w:after="0" w:line="240" w:lineRule="auto"/>
        <w:rPr>
          <w:iCs/>
          <w:szCs w:val="20"/>
        </w:rPr>
      </w:pPr>
      <w:r>
        <w:rPr>
          <w:iCs/>
          <w:szCs w:val="20"/>
        </w:rPr>
        <w:t>Uroš Vajgl, državni sekretar</w:t>
      </w:r>
    </w:p>
    <w:p w14:paraId="063EB2BC" w14:textId="77777777" w:rsidR="00CF556E" w:rsidRPr="00FF651F" w:rsidRDefault="00CF556E" w:rsidP="00CF556E">
      <w:pPr>
        <w:pStyle w:val="Neotevilenodstavek"/>
        <w:spacing w:before="0" w:after="0" w:line="240" w:lineRule="auto"/>
        <w:rPr>
          <w:iCs/>
          <w:szCs w:val="20"/>
        </w:rPr>
      </w:pPr>
      <w:r w:rsidRPr="00FF651F">
        <w:rPr>
          <w:iCs/>
          <w:szCs w:val="20"/>
        </w:rPr>
        <w:t>mag. Hinko Šolinc, generalni direktor Direktorata za energijo</w:t>
      </w:r>
    </w:p>
    <w:p w14:paraId="6CE0D7BE" w14:textId="2EE760C8" w:rsidR="00CF556E" w:rsidRPr="00FF651F" w:rsidRDefault="00CF556E" w:rsidP="00CF556E">
      <w:pPr>
        <w:pStyle w:val="Neotevilenodstavek"/>
        <w:spacing w:before="0" w:after="0" w:line="240" w:lineRule="auto"/>
        <w:rPr>
          <w:iCs/>
          <w:szCs w:val="20"/>
        </w:rPr>
      </w:pPr>
      <w:r w:rsidRPr="00FF651F">
        <w:rPr>
          <w:iCs/>
          <w:szCs w:val="20"/>
        </w:rPr>
        <w:t>mag.</w:t>
      </w:r>
      <w:r w:rsidR="00385A8A">
        <w:rPr>
          <w:iCs/>
          <w:szCs w:val="20"/>
        </w:rPr>
        <w:t xml:space="preserve"> </w:t>
      </w:r>
      <w:r w:rsidR="00B41B0A">
        <w:rPr>
          <w:iCs/>
          <w:szCs w:val="20"/>
        </w:rPr>
        <w:t>Silvo Škornik</w:t>
      </w:r>
      <w:r w:rsidRPr="00FF651F">
        <w:rPr>
          <w:iCs/>
          <w:szCs w:val="20"/>
        </w:rPr>
        <w:t xml:space="preserve">, vodja Sektorja za </w:t>
      </w:r>
      <w:r w:rsidR="00B41B0A">
        <w:rPr>
          <w:iCs/>
          <w:szCs w:val="20"/>
        </w:rPr>
        <w:t>oskrbo z</w:t>
      </w:r>
      <w:r w:rsidRPr="00FF651F">
        <w:rPr>
          <w:iCs/>
          <w:szCs w:val="20"/>
        </w:rPr>
        <w:t xml:space="preserve"> energij</w:t>
      </w:r>
      <w:r w:rsidR="00B41B0A">
        <w:rPr>
          <w:iCs/>
          <w:szCs w:val="20"/>
        </w:rPr>
        <w:t>o</w:t>
      </w:r>
      <w:r w:rsidR="00412175">
        <w:rPr>
          <w:iCs/>
          <w:szCs w:val="20"/>
        </w:rPr>
        <w:t xml:space="preserve"> </w:t>
      </w:r>
    </w:p>
    <w:p w14:paraId="463DAC50" w14:textId="1C776656" w:rsidR="00180F70" w:rsidRDefault="00180F70" w:rsidP="00CF556E">
      <w:pPr>
        <w:pStyle w:val="Neotevilenodstavek"/>
        <w:spacing w:before="0" w:after="0" w:line="240" w:lineRule="auto"/>
        <w:rPr>
          <w:iCs/>
          <w:szCs w:val="20"/>
        </w:rPr>
      </w:pPr>
    </w:p>
    <w:p w14:paraId="6102052B" w14:textId="77777777" w:rsidR="00180F70" w:rsidRDefault="00180F70">
      <w:pPr>
        <w:spacing w:after="160"/>
        <w:rPr>
          <w:rFonts w:eastAsia="Times New Roman" w:cs="Arial"/>
          <w:iCs/>
          <w:szCs w:val="20"/>
          <w:lang w:eastAsia="sl-SI"/>
        </w:rPr>
      </w:pPr>
      <w:r>
        <w:rPr>
          <w:iCs/>
          <w:szCs w:val="20"/>
        </w:rPr>
        <w:br w:type="page"/>
      </w:r>
    </w:p>
    <w:p w14:paraId="57C9C729" w14:textId="72EA5FFC" w:rsidR="004F289B" w:rsidRDefault="009F54B1" w:rsidP="004F289B">
      <w:pPr>
        <w:pStyle w:val="Naslov1"/>
        <w:jc w:val="both"/>
        <w:rPr>
          <w:rFonts w:eastAsia="Times New Roman" w:cs="Arial"/>
          <w:szCs w:val="20"/>
          <w:lang w:eastAsia="sl-SI"/>
        </w:rPr>
      </w:pPr>
      <w:r w:rsidRPr="00620790">
        <w:rPr>
          <w:rFonts w:eastAsia="Times New Roman" w:cs="Arial"/>
          <w:szCs w:val="20"/>
          <w:lang w:eastAsia="sl-SI"/>
        </w:rPr>
        <w:lastRenderedPageBreak/>
        <w:t>II. BESEDILO ČLENOV</w:t>
      </w:r>
    </w:p>
    <w:p w14:paraId="17C84E7F" w14:textId="77777777" w:rsidR="00BE5832" w:rsidRPr="00BE5832" w:rsidRDefault="00BE5832" w:rsidP="004F3E5C">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 SPLOŠNE DOLOČBE</w:t>
      </w:r>
    </w:p>
    <w:p w14:paraId="7A781EA6" w14:textId="77777777" w:rsidR="00BE5832" w:rsidRPr="00BE5832" w:rsidRDefault="00BE5832" w:rsidP="00BE5832">
      <w:pPr>
        <w:spacing w:after="160" w:line="259" w:lineRule="auto"/>
        <w:rPr>
          <w:rFonts w:eastAsia="Aptos" w:cs="Arial"/>
          <w:color w:val="000000"/>
          <w:kern w:val="2"/>
          <w:szCs w:val="20"/>
          <w14:ligatures w14:val="standardContextual"/>
        </w:rPr>
      </w:pPr>
    </w:p>
    <w:p w14:paraId="6D3CAF34"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C1A431E" w14:textId="7A0FA5C5"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4F3E5C">
        <w:rPr>
          <w:rFonts w:eastAsia="Aptos" w:cs="Arial"/>
          <w:color w:val="000000"/>
          <w:kern w:val="2"/>
          <w:szCs w:val="20"/>
          <w14:ligatures w14:val="standardContextual"/>
        </w:rPr>
        <w:t>vsebina</w:t>
      </w:r>
      <w:r w:rsidRPr="00BE5832">
        <w:rPr>
          <w:rFonts w:eastAsia="Aptos" w:cs="Arial"/>
          <w:color w:val="000000"/>
          <w:kern w:val="2"/>
          <w:szCs w:val="20"/>
          <w14:ligatures w14:val="standardContextual"/>
        </w:rPr>
        <w:t xml:space="preserve"> zakona)</w:t>
      </w:r>
    </w:p>
    <w:p w14:paraId="268DBF06" w14:textId="23B01E59" w:rsidR="00BE5832" w:rsidRPr="004F3E5C" w:rsidRDefault="004F3E5C" w:rsidP="004F3E5C">
      <w:pPr>
        <w:spacing w:after="160" w:line="259" w:lineRule="auto"/>
        <w:rPr>
          <w:rFonts w:eastAsia="Aptos" w:cs="Arial"/>
          <w:color w:val="000000"/>
          <w:kern w:val="2"/>
          <w:szCs w:val="20"/>
          <w14:ligatures w14:val="standardContextual"/>
        </w:rPr>
      </w:pPr>
      <w:r w:rsidRPr="004F3E5C">
        <w:rPr>
          <w:rFonts w:eastAsia="Aptos" w:cs="Arial"/>
          <w:color w:val="000000"/>
          <w:kern w:val="2"/>
          <w:szCs w:val="20"/>
          <w14:ligatures w14:val="standardContextual"/>
        </w:rPr>
        <w:t>(1</w:t>
      </w:r>
      <w:r>
        <w:rPr>
          <w:rFonts w:eastAsia="Aptos" w:cs="Arial"/>
          <w:color w:val="000000"/>
          <w:kern w:val="2"/>
          <w:szCs w:val="20"/>
          <w14:ligatures w14:val="standardContextual"/>
        </w:rPr>
        <w:t xml:space="preserve">) </w:t>
      </w:r>
      <w:r w:rsidR="00BE5832" w:rsidRPr="004F3E5C">
        <w:rPr>
          <w:rFonts w:eastAsia="Aptos" w:cs="Arial"/>
          <w:color w:val="000000"/>
          <w:kern w:val="2"/>
          <w:szCs w:val="20"/>
          <w14:ligatures w14:val="standardContextual"/>
        </w:rPr>
        <w:t xml:space="preserve">Ta zakon določa </w:t>
      </w:r>
      <w:r w:rsidR="00D729DE" w:rsidRPr="004F3E5C">
        <w:rPr>
          <w:rFonts w:eastAsia="Aptos" w:cs="Arial"/>
          <w:color w:val="000000"/>
          <w:kern w:val="2"/>
          <w:szCs w:val="20"/>
          <w14:ligatures w14:val="standardContextual"/>
        </w:rPr>
        <w:t>začasni</w:t>
      </w:r>
      <w:r w:rsidR="00BE5832" w:rsidRPr="004F3E5C">
        <w:rPr>
          <w:rFonts w:eastAsia="Aptos" w:cs="Arial"/>
          <w:color w:val="000000"/>
          <w:kern w:val="2"/>
          <w:szCs w:val="20"/>
          <w14:ligatures w14:val="standardContextual"/>
        </w:rPr>
        <w:t xml:space="preserve"> ukrep dodelitve spodbude za pokritje dela stroškov električne energije elektrointenzivn</w:t>
      </w:r>
      <w:r>
        <w:rPr>
          <w:rFonts w:eastAsia="Aptos" w:cs="Arial"/>
          <w:color w:val="000000"/>
          <w:kern w:val="2"/>
          <w:szCs w:val="20"/>
          <w14:ligatures w14:val="standardContextual"/>
        </w:rPr>
        <w:t>im</w:t>
      </w:r>
      <w:r w:rsidR="00BE5832" w:rsidRPr="004F3E5C">
        <w:rPr>
          <w:rFonts w:eastAsia="Aptos" w:cs="Arial"/>
          <w:color w:val="000000"/>
          <w:kern w:val="2"/>
          <w:szCs w:val="20"/>
          <w14:ligatures w14:val="standardContextual"/>
        </w:rPr>
        <w:t xml:space="preserve"> podjetj</w:t>
      </w:r>
      <w:r>
        <w:rPr>
          <w:rFonts w:eastAsia="Aptos" w:cs="Arial"/>
          <w:color w:val="000000"/>
          <w:kern w:val="2"/>
          <w:szCs w:val="20"/>
          <w14:ligatures w14:val="standardContextual"/>
        </w:rPr>
        <w:t>em (v nadaljnjem besedilu: spodbude)</w:t>
      </w:r>
      <w:r w:rsidR="00BE5832" w:rsidRPr="004F3E5C">
        <w:rPr>
          <w:rFonts w:eastAsia="Aptos" w:cs="Arial"/>
          <w:color w:val="000000"/>
          <w:kern w:val="2"/>
          <w:szCs w:val="20"/>
          <w14:ligatures w14:val="standardContextual"/>
        </w:rPr>
        <w:t xml:space="preserve"> s ciljem </w:t>
      </w:r>
      <w:r w:rsidR="00D729DE" w:rsidRPr="004F3E5C">
        <w:rPr>
          <w:rFonts w:eastAsia="Aptos" w:cs="Arial"/>
          <w:color w:val="000000"/>
          <w:kern w:val="2"/>
          <w:szCs w:val="20"/>
          <w14:ligatures w14:val="standardContextual"/>
        </w:rPr>
        <w:t>spodbujanja</w:t>
      </w:r>
      <w:r w:rsidR="00BE5832" w:rsidRPr="004F3E5C">
        <w:rPr>
          <w:rFonts w:eastAsia="Aptos" w:cs="Arial"/>
          <w:color w:val="000000"/>
          <w:kern w:val="2"/>
          <w:szCs w:val="20"/>
          <w14:ligatures w14:val="standardContextual"/>
        </w:rPr>
        <w:t xml:space="preserve"> njihove konkurenčnosti</w:t>
      </w:r>
      <w:r w:rsidR="005544E2">
        <w:rPr>
          <w:rFonts w:eastAsia="Aptos" w:cs="Arial"/>
          <w:color w:val="000000"/>
          <w:kern w:val="2"/>
          <w:szCs w:val="20"/>
          <w14:ligatures w14:val="standardContextual"/>
        </w:rPr>
        <w:t xml:space="preserve"> in razogljičenja</w:t>
      </w:r>
      <w:r>
        <w:rPr>
          <w:rFonts w:eastAsia="Aptos" w:cs="Arial"/>
          <w:color w:val="000000"/>
          <w:kern w:val="2"/>
          <w:szCs w:val="20"/>
          <w14:ligatures w14:val="standardContextual"/>
        </w:rPr>
        <w:t>.</w:t>
      </w:r>
    </w:p>
    <w:p w14:paraId="72017245" w14:textId="77777777" w:rsidR="00BE5832" w:rsidRPr="00BE5832" w:rsidRDefault="00BE5832" w:rsidP="008745D1">
      <w:pPr>
        <w:spacing w:after="160" w:line="259" w:lineRule="auto"/>
        <w:contextualSpacing/>
        <w:rPr>
          <w:rFonts w:eastAsia="Aptos" w:cs="Arial"/>
          <w:color w:val="000000"/>
          <w:kern w:val="2"/>
          <w:szCs w:val="20"/>
          <w14:ligatures w14:val="standardContextual"/>
        </w:rPr>
      </w:pPr>
    </w:p>
    <w:p w14:paraId="7BB6B4D3" w14:textId="5AFDEB25" w:rsidR="00BE5832" w:rsidRPr="00BE5832" w:rsidRDefault="004F3E5C" w:rsidP="00BE5832">
      <w:p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(2) Začasni u</w:t>
      </w:r>
      <w:r w:rsidR="00BE5832" w:rsidRPr="00BE5832">
        <w:rPr>
          <w:rFonts w:eastAsia="Aptos" w:cs="Arial"/>
          <w:color w:val="000000"/>
          <w:kern w:val="2"/>
          <w:szCs w:val="20"/>
          <w14:ligatures w14:val="standardContextual"/>
        </w:rPr>
        <w:t>krep</w:t>
      </w:r>
      <w:r>
        <w:rPr>
          <w:rFonts w:eastAsia="Aptos" w:cs="Arial"/>
          <w:color w:val="000000"/>
          <w:kern w:val="2"/>
          <w:szCs w:val="20"/>
          <w14:ligatures w14:val="standardContextual"/>
        </w:rPr>
        <w:t xml:space="preserve"> iz prejšnjega odstavka</w:t>
      </w:r>
      <w:r w:rsidR="00BE5832" w:rsidRPr="00BE5832">
        <w:rPr>
          <w:rFonts w:eastAsia="Aptos" w:cs="Arial"/>
          <w:color w:val="000000"/>
          <w:kern w:val="2"/>
          <w:szCs w:val="20"/>
          <w14:ligatures w14:val="standardContextual"/>
        </w:rPr>
        <w:t xml:space="preserve"> se izvaja v skladu s Sporočilom Komisije – Okvir za ukrepe državne pomoči v podporo dogovoru o čisti industriji (UL C št.</w:t>
      </w:r>
      <w:r>
        <w:rPr>
          <w:rFonts w:eastAsia="Aptos" w:cs="Arial"/>
          <w:color w:val="000000"/>
          <w:kern w:val="2"/>
          <w:szCs w:val="20"/>
          <w14:ligatures w14:val="standardContextual"/>
        </w:rPr>
        <w:t xml:space="preserve"> C/2025/</w:t>
      </w:r>
      <w:r w:rsidR="00BE5832" w:rsidRPr="00BE5832">
        <w:rPr>
          <w:rFonts w:eastAsia="Aptos" w:cs="Arial"/>
          <w:color w:val="000000"/>
          <w:kern w:val="2"/>
          <w:szCs w:val="20"/>
          <w14:ligatures w14:val="standardContextual"/>
        </w:rPr>
        <w:t>3602 z dne 4. 7. 2025</w:t>
      </w:r>
      <w:r>
        <w:rPr>
          <w:rFonts w:eastAsia="Aptos" w:cs="Arial"/>
          <w:color w:val="000000"/>
          <w:kern w:val="2"/>
          <w:szCs w:val="20"/>
          <w14:ligatures w14:val="standardContextual"/>
        </w:rPr>
        <w:t>; v nadaljnjem besedilu: okvir</w:t>
      </w:r>
      <w:r w:rsidR="00BE5832" w:rsidRPr="00BE5832">
        <w:rPr>
          <w:rFonts w:eastAsia="Aptos" w:cs="Arial"/>
          <w:color w:val="000000"/>
          <w:kern w:val="2"/>
          <w:szCs w:val="20"/>
          <w14:ligatures w14:val="standardContextual"/>
        </w:rPr>
        <w:t>).</w:t>
      </w:r>
    </w:p>
    <w:p w14:paraId="2B43ED5A" w14:textId="77777777" w:rsidR="00BE5832" w:rsidRPr="00BE5832" w:rsidRDefault="00BE5832" w:rsidP="00BE5832">
      <w:pPr>
        <w:spacing w:after="160" w:line="259" w:lineRule="auto"/>
        <w:rPr>
          <w:rFonts w:eastAsia="Aptos" w:cs="Arial"/>
          <w:color w:val="000000"/>
          <w:kern w:val="2"/>
          <w:szCs w:val="20"/>
          <w14:ligatures w14:val="standardContextual"/>
        </w:rPr>
      </w:pPr>
    </w:p>
    <w:p w14:paraId="67F56258"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BCAC334"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(pomen izrazov)</w:t>
      </w:r>
    </w:p>
    <w:p w14:paraId="3CAF77AF" w14:textId="77777777"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Izrazi, uporabljeni v tem zakonu, pomenijo:</w:t>
      </w:r>
    </w:p>
    <w:p w14:paraId="328F4D97" w14:textId="00B059D3" w:rsid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»elektrointenzivno podjetje« je podjetje, katerega povprečna elektrointenzivnost v zadnjih treh </w:t>
      </w:r>
      <w:r w:rsidR="00863189">
        <w:rPr>
          <w:rFonts w:eastAsia="Aptos" w:cs="Arial"/>
          <w:color w:val="000000"/>
          <w:kern w:val="2"/>
          <w:szCs w:val="20"/>
          <w14:ligatures w14:val="standardContextual"/>
        </w:rPr>
        <w:t xml:space="preserve">zaključenih </w:t>
      </w:r>
      <w:r w:rsidRPr="00BE5832">
        <w:rPr>
          <w:rFonts w:eastAsia="Aptos" w:cs="Arial"/>
          <w:color w:val="000000"/>
          <w:kern w:val="2"/>
          <w:szCs w:val="20"/>
          <w14:ligatures w14:val="standardContextual"/>
        </w:rPr>
        <w:t>letih presega 5 %</w:t>
      </w:r>
      <w:r w:rsidR="0014176E">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w:t>
      </w:r>
    </w:p>
    <w:p w14:paraId="6163DBB7" w14:textId="608C2525" w:rsidR="0014176E" w:rsidRPr="00BE5832" w:rsidRDefault="0014176E" w:rsidP="00BE5832">
      <w:pPr>
        <w:numPr>
          <w:ilvl w:val="0"/>
          <w:numId w:val="79"/>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 xml:space="preserve">»elektrointenzivnost« je </w:t>
      </w:r>
      <w:r w:rsidRPr="00BE5832">
        <w:rPr>
          <w:rFonts w:eastAsia="Aptos" w:cs="Arial"/>
          <w:color w:val="000000"/>
          <w:kern w:val="2"/>
          <w:szCs w:val="20"/>
          <w14:ligatures w14:val="standardContextual"/>
        </w:rPr>
        <w:t xml:space="preserve">odstotni delež povprečja stroškov </w:t>
      </w:r>
      <w:r w:rsidR="00643124">
        <w:rPr>
          <w:rFonts w:eastAsia="Aptos" w:cs="Arial"/>
          <w:color w:val="000000"/>
          <w:kern w:val="2"/>
          <w:szCs w:val="20"/>
          <w14:ligatures w14:val="standardContextual"/>
        </w:rPr>
        <w:t>podjetja</w:t>
      </w:r>
      <w:r w:rsidRPr="00BE5832">
        <w:rPr>
          <w:rFonts w:eastAsia="Aptos" w:cs="Arial"/>
          <w:color w:val="000000"/>
          <w:kern w:val="2"/>
          <w:szCs w:val="20"/>
          <w14:ligatures w14:val="standardContextual"/>
        </w:rPr>
        <w:t xml:space="preserve"> v zadnjih treh</w:t>
      </w:r>
      <w:r>
        <w:rPr>
          <w:rFonts w:eastAsia="Aptos" w:cs="Arial"/>
          <w:color w:val="000000"/>
          <w:kern w:val="2"/>
          <w:szCs w:val="20"/>
          <w14:ligatures w14:val="standardContextual"/>
        </w:rPr>
        <w:t xml:space="preserve"> zaključenih</w:t>
      </w:r>
      <w:r w:rsidRPr="00BE5832">
        <w:rPr>
          <w:rFonts w:eastAsia="Aptos" w:cs="Arial"/>
          <w:color w:val="000000"/>
          <w:kern w:val="2"/>
          <w:szCs w:val="20"/>
          <w14:ligatures w14:val="standardContextual"/>
        </w:rPr>
        <w:t xml:space="preserve"> letih za porabo električne energije, k</w:t>
      </w:r>
      <w:r>
        <w:rPr>
          <w:rFonts w:eastAsia="Aptos" w:cs="Arial"/>
          <w:color w:val="000000"/>
          <w:kern w:val="2"/>
          <w:szCs w:val="20"/>
          <w14:ligatures w14:val="standardContextual"/>
        </w:rPr>
        <w:t>i</w:t>
      </w:r>
      <w:r w:rsidRPr="00BE5832">
        <w:rPr>
          <w:rFonts w:eastAsia="Aptos" w:cs="Arial"/>
          <w:color w:val="000000"/>
          <w:kern w:val="2"/>
          <w:szCs w:val="20"/>
          <w14:ligatures w14:val="standardContextual"/>
        </w:rPr>
        <w:t xml:space="preserve"> </w:t>
      </w:r>
      <w:r w:rsidR="00643124">
        <w:rPr>
          <w:rFonts w:eastAsia="Aptos" w:cs="Arial"/>
          <w:color w:val="000000"/>
          <w:kern w:val="2"/>
          <w:szCs w:val="20"/>
          <w14:ligatures w14:val="standardContextual"/>
        </w:rPr>
        <w:t xml:space="preserve">vključujejo </w:t>
      </w:r>
      <w:r w:rsidRPr="00BE5832">
        <w:rPr>
          <w:rFonts w:eastAsia="Aptos" w:cs="Arial"/>
          <w:color w:val="000000"/>
          <w:kern w:val="2"/>
          <w:szCs w:val="20"/>
          <w14:ligatures w14:val="standardContextual"/>
        </w:rPr>
        <w:t xml:space="preserve">tudi omrežnino, davke in prispevke, na vseh </w:t>
      </w:r>
      <w:r>
        <w:rPr>
          <w:rFonts w:eastAsia="Aptos" w:cs="Arial"/>
          <w:color w:val="000000"/>
          <w:kern w:val="2"/>
          <w:szCs w:val="20"/>
          <w14:ligatures w14:val="standardContextual"/>
        </w:rPr>
        <w:t xml:space="preserve">merilnih </w:t>
      </w:r>
      <w:r w:rsidRPr="00BE5832">
        <w:rPr>
          <w:rFonts w:eastAsia="Aptos" w:cs="Arial"/>
          <w:color w:val="000000"/>
          <w:kern w:val="2"/>
          <w:szCs w:val="20"/>
          <w14:ligatures w14:val="standardContextual"/>
        </w:rPr>
        <w:t>mestih</w:t>
      </w:r>
      <w:r w:rsidR="00B83FB5">
        <w:rPr>
          <w:rFonts w:eastAsia="Aptos" w:cs="Arial"/>
          <w:color w:val="000000"/>
          <w:kern w:val="2"/>
          <w:szCs w:val="20"/>
          <w14:ligatures w14:val="standardContextual"/>
        </w:rPr>
        <w:t xml:space="preserve"> podjetja</w:t>
      </w:r>
      <w:r w:rsidRPr="00BE5832">
        <w:rPr>
          <w:rFonts w:eastAsia="Aptos" w:cs="Arial"/>
          <w:color w:val="000000"/>
          <w:kern w:val="2"/>
          <w:szCs w:val="20"/>
          <w14:ligatures w14:val="standardContextual"/>
        </w:rPr>
        <w:t xml:space="preserve"> od njegovega povprečja bruto dodane vrednosti v zadnjih treh letih;</w:t>
      </w:r>
    </w:p>
    <w:p w14:paraId="3EA06B9A" w14:textId="0FCD4BC8" w:rsidR="00BE5832" w:rsidRP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bookmarkStart w:id="45" w:name="_Hlk213325212"/>
      <w:r w:rsidRPr="00BE5832">
        <w:rPr>
          <w:rFonts w:eastAsia="Aptos" w:cs="Arial"/>
          <w:color w:val="000000"/>
          <w:kern w:val="2"/>
          <w:szCs w:val="20"/>
          <w14:ligatures w14:val="standardContextual"/>
        </w:rPr>
        <w:t>referenčna tržna cena pasovne električne energije za posamezno leto</w:t>
      </w:r>
      <w:bookmarkEnd w:id="45"/>
      <w:r w:rsidRPr="00BE5832">
        <w:rPr>
          <w:rFonts w:eastAsia="Aptos" w:cs="Arial"/>
          <w:color w:val="000000"/>
          <w:kern w:val="2"/>
          <w:szCs w:val="20"/>
          <w14:ligatures w14:val="standardContextual"/>
        </w:rPr>
        <w:t xml:space="preserve">« je cena v EUR/MWh, ki se za posamezno koledarsko leto izračuna kot povprečje zaključnih cen vseh trgovalnih dni iz predhodnega koledarskega leta za produkt »EEX-PXE Slovenian Power Base Year Future« </w:t>
      </w:r>
      <w:r w:rsidR="00752801">
        <w:rPr>
          <w:rFonts w:eastAsia="Aptos" w:cs="Arial"/>
          <w:color w:val="000000"/>
          <w:kern w:val="2"/>
          <w:szCs w:val="20"/>
          <w14:ligatures w14:val="standardContextual"/>
        </w:rPr>
        <w:t xml:space="preserve">in </w:t>
      </w:r>
      <w:r w:rsidRPr="00BE5832">
        <w:rPr>
          <w:rFonts w:eastAsia="Aptos" w:cs="Arial"/>
          <w:color w:val="000000"/>
          <w:kern w:val="2"/>
          <w:szCs w:val="20"/>
          <w14:ligatures w14:val="standardContextual"/>
        </w:rPr>
        <w:t>se zaokroži na dve decimalni mesti;</w:t>
      </w:r>
    </w:p>
    <w:p w14:paraId="2B4CD34E" w14:textId="0FD36BDF" w:rsidR="00BE5832" w:rsidRP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bookmarkStart w:id="46" w:name="_Hlk214958418"/>
      <w:r w:rsidRPr="00BE5832">
        <w:rPr>
          <w:rFonts w:eastAsia="Aptos" w:cs="Arial"/>
          <w:color w:val="000000"/>
          <w:kern w:val="2"/>
          <w:szCs w:val="20"/>
          <w14:ligatures w14:val="standardContextual"/>
        </w:rPr>
        <w:t>skupna letna poraba električne energije« je vsota električne energije, ki jo upravičenec v koledarskem letu porabi za lastne potrebe na vseh svojih merilnih mestih, ne glede na vir dobave;</w:t>
      </w:r>
      <w:bookmarkEnd w:id="46"/>
    </w:p>
    <w:p w14:paraId="3D532171" w14:textId="633525DB" w:rsidR="00BE5832" w:rsidRDefault="00BE5832" w:rsidP="00BE5832">
      <w:pPr>
        <w:numPr>
          <w:ilvl w:val="0"/>
          <w:numId w:val="7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»upravičeni sektor« je sektor iz Priloge 1 Smernic o državni pomoči za podnebje, varstvo okolja in energijo za leto 2022 (UL C št. 80 z dne 18. 2. 2022, str. 1</w:t>
      </w:r>
      <w:r w:rsidR="00752801">
        <w:rPr>
          <w:rFonts w:eastAsia="Aptos" w:cs="Arial"/>
          <w:color w:val="000000"/>
          <w:kern w:val="2"/>
          <w:szCs w:val="20"/>
          <w14:ligatures w14:val="standardContextual"/>
        </w:rPr>
        <w:t>; v nadaljnjem besedilu: smernice</w:t>
      </w:r>
      <w:r w:rsidRPr="00BE5832">
        <w:rPr>
          <w:rFonts w:eastAsia="Aptos" w:cs="Arial"/>
          <w:color w:val="000000"/>
          <w:kern w:val="2"/>
          <w:szCs w:val="20"/>
          <w14:ligatures w14:val="standardContextual"/>
        </w:rPr>
        <w:t xml:space="preserve">), oziroma </w:t>
      </w:r>
      <w:r w:rsidR="0045562B">
        <w:rPr>
          <w:rFonts w:eastAsia="Aptos" w:cs="Arial"/>
          <w:color w:val="000000"/>
          <w:kern w:val="2"/>
          <w:szCs w:val="20"/>
          <w14:ligatures w14:val="standardContextual"/>
        </w:rPr>
        <w:t xml:space="preserve">sektor, ki ga Evropska komisija </w:t>
      </w:r>
      <w:r w:rsidR="00552BD5">
        <w:rPr>
          <w:rFonts w:eastAsia="Aptos" w:cs="Arial"/>
          <w:color w:val="000000"/>
          <w:kern w:val="2"/>
          <w:szCs w:val="20"/>
          <w14:ligatures w14:val="standardContextual"/>
        </w:rPr>
        <w:t>prizna</w:t>
      </w:r>
      <w:r w:rsidR="0045562B">
        <w:rPr>
          <w:rFonts w:eastAsia="Aptos" w:cs="Arial"/>
          <w:color w:val="000000"/>
          <w:kern w:val="2"/>
          <w:szCs w:val="20"/>
          <w14:ligatures w14:val="standardContextual"/>
        </w:rPr>
        <w:t>va</w:t>
      </w:r>
      <w:r w:rsidR="00552BD5">
        <w:rPr>
          <w:rFonts w:eastAsia="Aptos" w:cs="Arial"/>
          <w:color w:val="000000"/>
          <w:kern w:val="2"/>
          <w:szCs w:val="20"/>
          <w14:ligatures w14:val="standardContextual"/>
        </w:rPr>
        <w:t xml:space="preserve"> za upravičenega</w:t>
      </w:r>
      <w:r w:rsidRPr="00BE5832">
        <w:rPr>
          <w:rFonts w:eastAsia="Aptos" w:cs="Arial"/>
          <w:color w:val="000000"/>
          <w:kern w:val="2"/>
          <w:szCs w:val="20"/>
          <w14:ligatures w14:val="standardContextual"/>
        </w:rPr>
        <w:t xml:space="preserve"> na podlagi dokazil o izpolnjevanju meril za upravičenost iz</w:t>
      </w:r>
      <w:r w:rsidR="00B83FB5">
        <w:rPr>
          <w:rFonts w:eastAsia="Aptos" w:cs="Arial"/>
          <w:color w:val="000000"/>
          <w:kern w:val="2"/>
          <w:szCs w:val="20"/>
          <w14:ligatures w14:val="standardContextual"/>
        </w:rPr>
        <w:t xml:space="preserve"> okvira</w:t>
      </w:r>
      <w:r w:rsidRPr="00BE5832">
        <w:rPr>
          <w:rFonts w:eastAsia="Aptos" w:cs="Arial"/>
          <w:color w:val="000000"/>
          <w:kern w:val="2"/>
          <w:szCs w:val="20"/>
          <w14:ligatures w14:val="standardContextual"/>
        </w:rPr>
        <w:t>.</w:t>
      </w:r>
    </w:p>
    <w:p w14:paraId="5972CFBA" w14:textId="77777777" w:rsidR="00E62EC9" w:rsidRPr="00BE5832" w:rsidRDefault="00E62EC9" w:rsidP="00E62EC9">
      <w:pPr>
        <w:spacing w:after="160" w:line="259" w:lineRule="auto"/>
        <w:ind w:left="720"/>
        <w:contextualSpacing/>
        <w:rPr>
          <w:rFonts w:eastAsia="Aptos" w:cs="Arial"/>
          <w:color w:val="000000"/>
          <w:kern w:val="2"/>
          <w:szCs w:val="20"/>
          <w14:ligatures w14:val="standardContextual"/>
        </w:rPr>
      </w:pPr>
    </w:p>
    <w:p w14:paraId="3936B82E" w14:textId="77777777" w:rsidR="00BE5832" w:rsidRPr="00BE5832" w:rsidRDefault="00BE5832" w:rsidP="00752801">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II. UPRAVIČENCI IN POGOJI</w:t>
      </w:r>
    </w:p>
    <w:p w14:paraId="0344852C" w14:textId="77777777" w:rsidR="00BE5832" w:rsidRPr="00BE5832" w:rsidRDefault="00BE5832" w:rsidP="00BE5832">
      <w:pPr>
        <w:spacing w:after="160" w:line="259" w:lineRule="auto"/>
        <w:rPr>
          <w:rFonts w:eastAsia="Aptos" w:cs="Arial"/>
          <w:color w:val="000000"/>
          <w:kern w:val="2"/>
          <w:szCs w:val="20"/>
          <w14:ligatures w14:val="standardContextual"/>
        </w:rPr>
      </w:pPr>
    </w:p>
    <w:p w14:paraId="76B58EE5"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2E37E3F3"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(upravičenci do spodbude)</w:t>
      </w:r>
    </w:p>
    <w:p w14:paraId="23185147" w14:textId="3DDDF23D" w:rsidR="00502F5F" w:rsidRPr="00BE5832" w:rsidRDefault="00502F5F" w:rsidP="00502F5F">
      <w:pPr>
        <w:numPr>
          <w:ilvl w:val="0"/>
          <w:numId w:val="8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Do spodbude po tem zakonu so upravičena elektrointenzivna podjetja iz upravičenih sektorjev, ki izpolnjujejo naslednje pogoje</w:t>
      </w:r>
      <w:r w:rsidR="00F15442">
        <w:rPr>
          <w:rFonts w:eastAsia="Aptos" w:cs="Arial"/>
          <w:color w:val="000000"/>
          <w:kern w:val="2"/>
          <w:szCs w:val="20"/>
          <w14:ligatures w14:val="standardContextual"/>
        </w:rPr>
        <w:t xml:space="preserve"> (v nadaljnjem besedilu: upravičenci)</w:t>
      </w:r>
      <w:r w:rsidRPr="00BE5832">
        <w:rPr>
          <w:rFonts w:eastAsia="Aptos" w:cs="Arial"/>
          <w:color w:val="000000"/>
          <w:kern w:val="2"/>
          <w:szCs w:val="20"/>
          <w14:ligatures w14:val="standardContextual"/>
        </w:rPr>
        <w:t>:</w:t>
      </w:r>
    </w:p>
    <w:p w14:paraId="76F2CEAE" w14:textId="77777777" w:rsidR="00502F5F" w:rsidRPr="00BE5832" w:rsidRDefault="00502F5F" w:rsidP="00502F5F">
      <w:pPr>
        <w:numPr>
          <w:ilvl w:val="0"/>
          <w:numId w:val="90"/>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skupna letna poraba električne energije znaša vsaj 15 GWh in</w:t>
      </w:r>
    </w:p>
    <w:p w14:paraId="5BEFEAC3" w14:textId="3DAE1507" w:rsidR="00502F5F" w:rsidRDefault="00780B23" w:rsidP="00502F5F">
      <w:pPr>
        <w:numPr>
          <w:ilvl w:val="0"/>
          <w:numId w:val="90"/>
        </w:numPr>
        <w:spacing w:after="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 xml:space="preserve">elektrointenzivno </w:t>
      </w:r>
      <w:r w:rsidR="00502F5F" w:rsidRPr="00BE5832">
        <w:rPr>
          <w:rFonts w:eastAsia="Aptos" w:cs="Arial"/>
          <w:color w:val="000000"/>
          <w:kern w:val="2"/>
          <w:szCs w:val="20"/>
          <w14:ligatures w14:val="standardContextual"/>
        </w:rPr>
        <w:t xml:space="preserve">podjetje ima vzpostavljen sistem upravljanja z energijo (SIST EN ISO 50001) oziroma  </w:t>
      </w:r>
      <w:r w:rsidR="00F15442">
        <w:rPr>
          <w:rFonts w:eastAsia="Aptos" w:cs="Arial"/>
          <w:color w:val="000000"/>
          <w:kern w:val="2"/>
          <w:szCs w:val="20"/>
          <w14:ligatures w14:val="standardContextual"/>
        </w:rPr>
        <w:t xml:space="preserve">izvajajo </w:t>
      </w:r>
      <w:r w:rsidR="00502F5F" w:rsidRPr="00BE5832">
        <w:rPr>
          <w:rFonts w:eastAsia="Aptos" w:cs="Arial"/>
          <w:color w:val="000000"/>
          <w:kern w:val="2"/>
          <w:szCs w:val="20"/>
          <w14:ligatures w14:val="standardContextual"/>
        </w:rPr>
        <w:t>energetsk</w:t>
      </w:r>
      <w:r w:rsidR="00F15442">
        <w:rPr>
          <w:rFonts w:eastAsia="Aptos" w:cs="Arial"/>
          <w:color w:val="000000"/>
          <w:kern w:val="2"/>
          <w:szCs w:val="20"/>
          <w14:ligatures w14:val="standardContextual"/>
        </w:rPr>
        <w:t>e</w:t>
      </w:r>
      <w:r w:rsidR="00502F5F" w:rsidRPr="00BE5832">
        <w:rPr>
          <w:rFonts w:eastAsia="Aptos" w:cs="Arial"/>
          <w:color w:val="000000"/>
          <w:kern w:val="2"/>
          <w:szCs w:val="20"/>
          <w14:ligatures w14:val="standardContextual"/>
        </w:rPr>
        <w:t xml:space="preserve"> pregled</w:t>
      </w:r>
      <w:r w:rsidR="00F15442">
        <w:rPr>
          <w:rFonts w:eastAsia="Aptos" w:cs="Arial"/>
          <w:color w:val="000000"/>
          <w:kern w:val="2"/>
          <w:szCs w:val="20"/>
          <w14:ligatures w14:val="standardContextual"/>
        </w:rPr>
        <w:t>e v skladu z</w:t>
      </w:r>
      <w:r w:rsidR="00502F5F" w:rsidRPr="00BE5832">
        <w:rPr>
          <w:rFonts w:eastAsia="Aptos" w:cs="Arial"/>
          <w:color w:val="000000"/>
          <w:kern w:val="2"/>
          <w:szCs w:val="20"/>
          <w14:ligatures w14:val="standardContextual"/>
        </w:rPr>
        <w:t xml:space="preserve"> zakon</w:t>
      </w:r>
      <w:r w:rsidR="00F15442">
        <w:rPr>
          <w:rFonts w:eastAsia="Aptos" w:cs="Arial"/>
          <w:color w:val="000000"/>
          <w:kern w:val="2"/>
          <w:szCs w:val="20"/>
          <w14:ligatures w14:val="standardContextual"/>
        </w:rPr>
        <w:t>om</w:t>
      </w:r>
      <w:r w:rsidR="00502F5F" w:rsidRPr="00BE5832">
        <w:rPr>
          <w:rFonts w:eastAsia="Aptos" w:cs="Arial"/>
          <w:color w:val="000000"/>
          <w:kern w:val="2"/>
          <w:szCs w:val="20"/>
          <w14:ligatures w14:val="standardContextual"/>
        </w:rPr>
        <w:t>, ki ureja učinkovito rabo energije.</w:t>
      </w:r>
    </w:p>
    <w:p w14:paraId="798E6AD0" w14:textId="77777777" w:rsidR="00502F5F" w:rsidRDefault="00502F5F" w:rsidP="00502F5F">
      <w:pPr>
        <w:spacing w:after="0" w:line="259" w:lineRule="auto"/>
        <w:ind w:left="1068"/>
        <w:contextualSpacing/>
        <w:rPr>
          <w:rFonts w:eastAsia="Aptos" w:cs="Arial"/>
          <w:color w:val="000000"/>
          <w:kern w:val="2"/>
          <w:szCs w:val="20"/>
          <w14:ligatures w14:val="standardContextual"/>
        </w:rPr>
      </w:pPr>
    </w:p>
    <w:p w14:paraId="6BD1AECF" w14:textId="65840BB0" w:rsidR="00780B23" w:rsidRPr="00780B23" w:rsidRDefault="00502F5F" w:rsidP="00780B23">
      <w:pPr>
        <w:pStyle w:val="Odstavekseznama"/>
        <w:numPr>
          <w:ilvl w:val="0"/>
          <w:numId w:val="89"/>
        </w:numPr>
        <w:rPr>
          <w:rFonts w:eastAsia="Aptos" w:cs="Arial"/>
          <w:color w:val="000000"/>
          <w:kern w:val="2"/>
          <w:szCs w:val="20"/>
          <w14:ligatures w14:val="standardContextual"/>
        </w:rPr>
      </w:pPr>
      <w:r w:rsidRPr="00502F5F">
        <w:rPr>
          <w:rFonts w:eastAsia="Aptos" w:cs="Arial"/>
          <w:color w:val="000000"/>
          <w:kern w:val="2"/>
          <w:szCs w:val="20"/>
          <w14:ligatures w14:val="standardContextual"/>
        </w:rPr>
        <w:t xml:space="preserve">Elektrointenzivno podjetje, ki izvaja dejavnost v sektorju, ki ni upravičeni sektor iz Priloge 1 </w:t>
      </w:r>
      <w:r w:rsidR="00FA38B1">
        <w:rPr>
          <w:rFonts w:eastAsia="Aptos" w:cs="Arial"/>
          <w:color w:val="000000"/>
          <w:kern w:val="2"/>
          <w:szCs w:val="20"/>
          <w14:ligatures w14:val="standardContextual"/>
        </w:rPr>
        <w:t>s</w:t>
      </w:r>
      <w:r w:rsidRPr="00502F5F">
        <w:rPr>
          <w:rFonts w:eastAsia="Aptos" w:cs="Arial"/>
          <w:color w:val="000000"/>
          <w:kern w:val="2"/>
          <w:szCs w:val="20"/>
          <w14:ligatures w14:val="standardContextual"/>
        </w:rPr>
        <w:t>mernic, mora v vlogi s podatki za obdobje vsaj treh</w:t>
      </w:r>
      <w:r w:rsidR="00C4394E">
        <w:rPr>
          <w:rFonts w:eastAsia="Aptos" w:cs="Arial"/>
          <w:color w:val="000000"/>
          <w:kern w:val="2"/>
          <w:szCs w:val="20"/>
          <w14:ligatures w14:val="standardContextual"/>
        </w:rPr>
        <w:t xml:space="preserve"> zaključenih</w:t>
      </w:r>
      <w:r w:rsidRPr="00502F5F">
        <w:rPr>
          <w:rFonts w:eastAsia="Aptos" w:cs="Arial"/>
          <w:color w:val="000000"/>
          <w:kern w:val="2"/>
          <w:szCs w:val="20"/>
          <w14:ligatures w14:val="standardContextual"/>
        </w:rPr>
        <w:t xml:space="preserve"> let</w:t>
      </w:r>
      <w:r w:rsidR="00C4394E">
        <w:rPr>
          <w:rFonts w:eastAsia="Aptos" w:cs="Arial"/>
          <w:color w:val="000000"/>
          <w:kern w:val="2"/>
          <w:szCs w:val="20"/>
          <w14:ligatures w14:val="standardContextual"/>
        </w:rPr>
        <w:t xml:space="preserve"> pred oddajo vloge</w:t>
      </w:r>
      <w:r w:rsidRPr="00502F5F">
        <w:rPr>
          <w:rFonts w:eastAsia="Aptos" w:cs="Arial"/>
          <w:color w:val="000000"/>
          <w:kern w:val="2"/>
          <w:szCs w:val="20"/>
          <w14:ligatures w14:val="standardContextual"/>
        </w:rPr>
        <w:t xml:space="preserve"> dokazati, </w:t>
      </w:r>
      <w:r w:rsidRPr="00502F5F">
        <w:rPr>
          <w:rFonts w:eastAsia="Aptos" w:cs="Arial"/>
          <w:color w:val="000000"/>
          <w:kern w:val="2"/>
          <w:szCs w:val="20"/>
          <w14:ligatures w14:val="standardContextual"/>
        </w:rPr>
        <w:lastRenderedPageBreak/>
        <w:t xml:space="preserve">da ta sektor ali podsektor na ravni </w:t>
      </w:r>
      <w:r w:rsidR="00FA38B1">
        <w:rPr>
          <w:rFonts w:eastAsia="Aptos" w:cs="Arial"/>
          <w:color w:val="000000"/>
          <w:kern w:val="2"/>
          <w:szCs w:val="20"/>
          <w14:ligatures w14:val="standardContextual"/>
        </w:rPr>
        <w:t xml:space="preserve">Evropske </w:t>
      </w:r>
      <w:r w:rsidRPr="00502F5F">
        <w:rPr>
          <w:rFonts w:eastAsia="Aptos" w:cs="Arial"/>
          <w:color w:val="000000"/>
          <w:kern w:val="2"/>
          <w:szCs w:val="20"/>
          <w14:ligatures w14:val="standardContextual"/>
        </w:rPr>
        <w:t>Unije izpolnjuje merila za upravičenost, kar preveri in potrdi neodvisni strokovnjak</w:t>
      </w:r>
      <w:r w:rsidR="00780B23">
        <w:rPr>
          <w:rFonts w:eastAsia="Aptos" w:cs="Arial"/>
          <w:color w:val="000000"/>
          <w:kern w:val="2"/>
          <w:szCs w:val="20"/>
          <w14:ligatures w14:val="standardContextual"/>
        </w:rPr>
        <w:t xml:space="preserve">, </w:t>
      </w:r>
      <w:r w:rsidR="00780B23" w:rsidRPr="00780B23">
        <w:rPr>
          <w:rFonts w:eastAsia="Aptos" w:cs="Arial"/>
          <w:color w:val="000000"/>
          <w:kern w:val="2"/>
          <w:szCs w:val="20"/>
          <w14:ligatures w14:val="standardContextual"/>
        </w:rPr>
        <w:t>ki:</w:t>
      </w:r>
    </w:p>
    <w:p w14:paraId="662C272B" w14:textId="15C13B41" w:rsidR="00780B23" w:rsidRPr="00780B23" w:rsidRDefault="00780B23" w:rsidP="00780B23">
      <w:pPr>
        <w:pStyle w:val="Odstavekseznama"/>
        <w:ind w:left="720"/>
        <w:rPr>
          <w:rFonts w:eastAsia="Aptos" w:cs="Arial"/>
          <w:color w:val="000000"/>
          <w:kern w:val="2"/>
          <w:szCs w:val="20"/>
          <w14:ligatures w14:val="standardContextual"/>
        </w:rPr>
      </w:pPr>
      <w:r w:rsidRPr="00780B23">
        <w:rPr>
          <w:rFonts w:eastAsia="Aptos" w:cs="Arial"/>
          <w:color w:val="000000"/>
          <w:kern w:val="2"/>
          <w:szCs w:val="20"/>
          <w14:ligatures w14:val="standardContextual"/>
        </w:rPr>
        <w:t>- ima dokazljive strokovne izkušnje na področju ekonomske in energetske statistike, industrijske ekonomike ali sorodnih disciplin ter izkušnje z obdelavo statističnih podatkov;</w:t>
      </w:r>
    </w:p>
    <w:p w14:paraId="46E79315" w14:textId="2B844B8D" w:rsidR="00780B23" w:rsidRPr="00780B23" w:rsidRDefault="00780B23" w:rsidP="00780B23">
      <w:pPr>
        <w:pStyle w:val="Odstavekseznama"/>
        <w:ind w:left="720"/>
        <w:rPr>
          <w:rFonts w:eastAsia="Aptos" w:cs="Arial"/>
          <w:color w:val="000000"/>
          <w:kern w:val="2"/>
          <w:szCs w:val="20"/>
          <w14:ligatures w14:val="standardContextual"/>
        </w:rPr>
      </w:pPr>
      <w:r w:rsidRPr="00780B23">
        <w:rPr>
          <w:rFonts w:eastAsia="Aptos" w:cs="Arial"/>
          <w:color w:val="000000"/>
          <w:kern w:val="2"/>
          <w:szCs w:val="20"/>
          <w14:ligatures w14:val="standardContextual"/>
        </w:rPr>
        <w:t>- je funkcionalno in organizacijsko neodvis</w:t>
      </w:r>
      <w:r>
        <w:rPr>
          <w:rFonts w:eastAsia="Aptos" w:cs="Arial"/>
          <w:color w:val="000000"/>
          <w:kern w:val="2"/>
          <w:szCs w:val="20"/>
          <w14:ligatures w14:val="standardContextual"/>
        </w:rPr>
        <w:t>en</w:t>
      </w:r>
      <w:r w:rsidRPr="00780B23">
        <w:rPr>
          <w:rFonts w:eastAsia="Aptos" w:cs="Arial"/>
          <w:color w:val="000000"/>
          <w:kern w:val="2"/>
          <w:szCs w:val="20"/>
          <w14:ligatures w14:val="standardContextual"/>
        </w:rPr>
        <w:t xml:space="preserve"> od organa, ki dodeljuje državno pomoč ter od potencialnih upravičencev in njihovih interesnih združenj;</w:t>
      </w:r>
    </w:p>
    <w:p w14:paraId="3D026D23" w14:textId="48A8BA5F" w:rsidR="00780B23" w:rsidRPr="00780B23" w:rsidRDefault="00780B23" w:rsidP="00780B23">
      <w:pPr>
        <w:pStyle w:val="Odstavekseznama"/>
        <w:ind w:left="720"/>
        <w:rPr>
          <w:rFonts w:eastAsia="Aptos" w:cs="Arial"/>
          <w:color w:val="000000"/>
          <w:kern w:val="2"/>
          <w:szCs w:val="20"/>
          <w14:ligatures w14:val="standardContextual"/>
        </w:rPr>
      </w:pPr>
      <w:r w:rsidRPr="00780B23">
        <w:rPr>
          <w:rFonts w:eastAsia="Aptos" w:cs="Arial"/>
          <w:color w:val="000000"/>
          <w:kern w:val="2"/>
          <w:szCs w:val="20"/>
          <w14:ligatures w14:val="standardContextual"/>
        </w:rPr>
        <w:t>- ni v nasprotju interesov;</w:t>
      </w:r>
    </w:p>
    <w:p w14:paraId="2121AFC2" w14:textId="63898BDC" w:rsidR="00780B23" w:rsidRPr="00780B23" w:rsidRDefault="00780B23" w:rsidP="00780B23">
      <w:pPr>
        <w:pStyle w:val="Odstavekseznama"/>
        <w:ind w:left="720"/>
        <w:rPr>
          <w:rFonts w:eastAsia="Aptos" w:cs="Arial"/>
          <w:color w:val="000000"/>
          <w:kern w:val="2"/>
          <w:szCs w:val="20"/>
          <w14:ligatures w14:val="standardContextual"/>
        </w:rPr>
      </w:pPr>
      <w:r w:rsidRPr="00780B23">
        <w:rPr>
          <w:rFonts w:eastAsia="Aptos" w:cs="Arial"/>
          <w:color w:val="000000"/>
          <w:kern w:val="2"/>
          <w:szCs w:val="20"/>
          <w14:ligatures w14:val="standardContextual"/>
        </w:rPr>
        <w:t>- je izbran na podlagi odprtih, objektivnih in nediskriminatornih kriterijev</w:t>
      </w:r>
      <w:r>
        <w:rPr>
          <w:rFonts w:eastAsia="Aptos" w:cs="Arial"/>
          <w:color w:val="000000"/>
          <w:kern w:val="2"/>
          <w:szCs w:val="20"/>
          <w14:ligatures w14:val="standardContextual"/>
        </w:rPr>
        <w:t>.</w:t>
      </w:r>
    </w:p>
    <w:p w14:paraId="6E8A4A01" w14:textId="39795FC0" w:rsidR="00BE5832" w:rsidRPr="00863189" w:rsidRDefault="00863189" w:rsidP="00863189">
      <w:pPr>
        <w:pStyle w:val="Odstavekseznama"/>
        <w:numPr>
          <w:ilvl w:val="0"/>
          <w:numId w:val="89"/>
        </w:numPr>
        <w:rPr>
          <w:rFonts w:eastAsia="Aptos" w:cs="Arial"/>
          <w:color w:val="000000"/>
          <w:kern w:val="2"/>
          <w:szCs w:val="20"/>
          <w14:ligatures w14:val="standardContextual"/>
        </w:rPr>
      </w:pPr>
      <w:r w:rsidRPr="00863189">
        <w:rPr>
          <w:rFonts w:eastAsia="Aptos" w:cs="Arial"/>
          <w:color w:val="000000"/>
          <w:kern w:val="2"/>
          <w:szCs w:val="20"/>
          <w14:ligatures w14:val="standardContextual"/>
        </w:rPr>
        <w:t xml:space="preserve">Če je </w:t>
      </w:r>
      <w:r>
        <w:rPr>
          <w:rFonts w:eastAsia="Aptos" w:cs="Arial"/>
          <w:color w:val="000000"/>
          <w:kern w:val="2"/>
          <w:szCs w:val="20"/>
          <w14:ligatures w14:val="standardContextual"/>
        </w:rPr>
        <w:t>elektrointenzivo podjetje</w:t>
      </w:r>
      <w:r w:rsidRPr="00863189">
        <w:rPr>
          <w:rFonts w:eastAsia="Aptos" w:cs="Arial"/>
          <w:color w:val="000000"/>
          <w:kern w:val="2"/>
          <w:szCs w:val="20"/>
          <w14:ligatures w14:val="standardContextual"/>
        </w:rPr>
        <w:t xml:space="preserve"> zaradi naložb v zadnjih petih letih</w:t>
      </w:r>
      <w:r w:rsidR="00BB241A">
        <w:rPr>
          <w:rFonts w:eastAsia="Aptos" w:cs="Arial"/>
          <w:color w:val="000000"/>
          <w:kern w:val="2"/>
          <w:szCs w:val="20"/>
          <w14:ligatures w14:val="standardContextual"/>
        </w:rPr>
        <w:t xml:space="preserve"> pred oddajo vloge</w:t>
      </w:r>
      <w:r w:rsidRPr="00863189">
        <w:rPr>
          <w:rFonts w:eastAsia="Aptos" w:cs="Arial"/>
          <w:color w:val="000000"/>
          <w:kern w:val="2"/>
          <w:szCs w:val="20"/>
          <w14:ligatures w14:val="standardContextual"/>
        </w:rPr>
        <w:t xml:space="preserve"> specifično porabo na enoto proizvodnje znižal</w:t>
      </w:r>
      <w:r w:rsidR="00A20A63">
        <w:rPr>
          <w:rFonts w:eastAsia="Aptos" w:cs="Arial"/>
          <w:color w:val="000000"/>
          <w:kern w:val="2"/>
          <w:szCs w:val="20"/>
          <w14:ligatures w14:val="standardContextual"/>
        </w:rPr>
        <w:t>o</w:t>
      </w:r>
      <w:r w:rsidRPr="00863189">
        <w:rPr>
          <w:rFonts w:eastAsia="Aptos" w:cs="Arial"/>
          <w:color w:val="000000"/>
          <w:kern w:val="2"/>
          <w:szCs w:val="20"/>
          <w14:ligatures w14:val="standardContextual"/>
        </w:rPr>
        <w:t xml:space="preserve"> zaradi naložb v trajnostne tehnologije, se za izračun elektrointenzivnosti uporabljajo povprečne vrednosti porabe, do katere bi prišlo brez upoštevanja učinkov omenjenih naložb. Če se v času izvajanja ukrepa po tem zakonu upravičencu zaradi izvedenih trajnostnih naložb poraba električne energije tako zniža, da zahtevani pogoj elektrointenzivnosti ni izpolnjen, se za njen izračun uporablja podatek o porabi, do katere bi prišlo brez izvedenih naložb. Če gre za </w:t>
      </w:r>
      <w:r w:rsidR="00A20A63">
        <w:rPr>
          <w:rFonts w:eastAsia="Aptos" w:cs="Arial"/>
          <w:color w:val="000000"/>
          <w:kern w:val="2"/>
          <w:szCs w:val="20"/>
          <w14:ligatures w14:val="standardContextual"/>
        </w:rPr>
        <w:t>elektrointenzivno podjetje</w:t>
      </w:r>
      <w:r w:rsidRPr="00863189">
        <w:rPr>
          <w:rFonts w:eastAsia="Aptos" w:cs="Arial"/>
          <w:color w:val="000000"/>
          <w:kern w:val="2"/>
          <w:szCs w:val="20"/>
          <w14:ligatures w14:val="standardContextual"/>
        </w:rPr>
        <w:t>, ki posluje manj kot eno leto, se v prvem letu poslovanja uporabijo projekcije podatkov, za drugo leto podatki za preteklo leto poslovanja, za tretje leto pa se uporabi povprečje podatkov za prvo in drugo leto poslovanja</w:t>
      </w:r>
      <w:r w:rsidR="00D9778D">
        <w:rPr>
          <w:rFonts w:eastAsia="Aptos" w:cs="Arial"/>
          <w:color w:val="000000"/>
          <w:kern w:val="2"/>
          <w:szCs w:val="20"/>
          <w14:ligatures w14:val="standardContextual"/>
        </w:rPr>
        <w:t>.</w:t>
      </w:r>
    </w:p>
    <w:p w14:paraId="4BE89DBF" w14:textId="3601B581" w:rsidR="0030222B" w:rsidRDefault="00BE5832" w:rsidP="0030222B">
      <w:pPr>
        <w:numPr>
          <w:ilvl w:val="0"/>
          <w:numId w:val="89"/>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Do spodbude ni upravičeno </w:t>
      </w:r>
      <w:r w:rsidR="00FA38B1">
        <w:rPr>
          <w:rFonts w:eastAsia="Aptos" w:cs="Arial"/>
          <w:color w:val="000000"/>
          <w:kern w:val="2"/>
          <w:szCs w:val="20"/>
          <w14:ligatures w14:val="standardContextual"/>
        </w:rPr>
        <w:t xml:space="preserve">elektrointenzivno </w:t>
      </w:r>
      <w:r w:rsidRPr="00BE5832">
        <w:rPr>
          <w:rFonts w:eastAsia="Aptos" w:cs="Arial"/>
          <w:color w:val="000000"/>
          <w:kern w:val="2"/>
          <w:szCs w:val="20"/>
          <w14:ligatures w14:val="standardContextual"/>
        </w:rPr>
        <w:t>podjetje v težavah v skladu z zakonom, ki ureja reševanje in prestrukturiranje podjetij v težavah.</w:t>
      </w:r>
    </w:p>
    <w:p w14:paraId="56145F3F" w14:textId="77777777" w:rsidR="0013704C" w:rsidRPr="0013704C" w:rsidRDefault="0013704C" w:rsidP="0013704C">
      <w:pPr>
        <w:spacing w:after="160" w:line="259" w:lineRule="auto"/>
        <w:contextualSpacing/>
        <w:rPr>
          <w:rFonts w:eastAsia="Aptos" w:cs="Arial"/>
          <w:color w:val="000000"/>
          <w:kern w:val="2"/>
          <w:szCs w:val="20"/>
          <w14:ligatures w14:val="standardContextual"/>
        </w:rPr>
      </w:pPr>
    </w:p>
    <w:p w14:paraId="74121E94" w14:textId="10B40271" w:rsidR="00D90CDD" w:rsidRPr="00D90CDD" w:rsidRDefault="0030222B" w:rsidP="00D90CDD">
      <w:pPr>
        <w:numPr>
          <w:ilvl w:val="0"/>
          <w:numId w:val="89"/>
        </w:numPr>
        <w:spacing w:after="0" w:line="259" w:lineRule="auto"/>
        <w:contextualSpacing/>
        <w:rPr>
          <w:rFonts w:eastAsia="Aptos" w:cs="Arial"/>
          <w:color w:val="000000"/>
          <w:kern w:val="2"/>
          <w:szCs w:val="20"/>
          <w14:ligatures w14:val="standardContextual"/>
        </w:rPr>
      </w:pPr>
      <w:r w:rsidRPr="0030222B">
        <w:rPr>
          <w:rFonts w:eastAsia="Aptos" w:cs="Arial"/>
          <w:color w:val="000000"/>
          <w:kern w:val="2"/>
          <w:szCs w:val="20"/>
          <w14:ligatures w14:val="standardContextual"/>
        </w:rPr>
        <w:t>Do spodbude ni upravičeno</w:t>
      </w:r>
      <w:r w:rsidR="00FA38B1">
        <w:rPr>
          <w:rFonts w:eastAsia="Aptos" w:cs="Arial"/>
          <w:color w:val="000000"/>
          <w:kern w:val="2"/>
          <w:szCs w:val="20"/>
          <w14:ligatures w14:val="standardContextual"/>
        </w:rPr>
        <w:t xml:space="preserve"> elektrointenzivno</w:t>
      </w:r>
      <w:r w:rsidRPr="0030222B">
        <w:rPr>
          <w:rFonts w:eastAsia="Aptos" w:cs="Arial"/>
          <w:color w:val="000000"/>
          <w:kern w:val="2"/>
          <w:szCs w:val="20"/>
          <w14:ligatures w14:val="standardContextual"/>
        </w:rPr>
        <w:t xml:space="preserve"> podjetje, ki v poslovnih knjigah na zadnji dan leta, ki je pred letom, v katerem prejema spodbudo, izkazuje terjatve iz naslova dolgoročnih ali kratkoročnih finančnih naložb lastnikom gospodarske družbe oziroma lastnikom obvladujoče in odvisnih družb</w:t>
      </w:r>
      <w:r w:rsidR="00D90CDD">
        <w:rPr>
          <w:rFonts w:eastAsia="Aptos" w:cs="Arial"/>
          <w:color w:val="000000"/>
          <w:kern w:val="2"/>
          <w:szCs w:val="20"/>
          <w14:ligatures w14:val="standardContextual"/>
        </w:rPr>
        <w:t xml:space="preserve">, </w:t>
      </w:r>
      <w:r w:rsidR="00D90CDD" w:rsidRPr="00D90CDD">
        <w:rPr>
          <w:rFonts w:eastAsia="Aptos" w:cs="Arial"/>
          <w:color w:val="000000"/>
          <w:kern w:val="2"/>
          <w:szCs w:val="20"/>
          <w14:ligatures w14:val="standardContextual"/>
        </w:rPr>
        <w:t>razen kratkoročnih likvidnostnih aranžmajev po tržnih pogojih</w:t>
      </w:r>
      <w:r w:rsidRPr="0030222B">
        <w:rPr>
          <w:rFonts w:eastAsia="Aptos" w:cs="Arial"/>
          <w:color w:val="000000"/>
          <w:kern w:val="2"/>
          <w:szCs w:val="20"/>
          <w14:ligatures w14:val="standardContextual"/>
        </w:rPr>
        <w:t>. Če gre za skupino družb</w:t>
      </w:r>
      <w:r w:rsidR="00C434A3">
        <w:rPr>
          <w:rFonts w:eastAsia="Aptos" w:cs="Arial"/>
          <w:color w:val="000000"/>
          <w:kern w:val="2"/>
          <w:szCs w:val="20"/>
          <w14:ligatures w14:val="standardContextual"/>
        </w:rPr>
        <w:t>,</w:t>
      </w:r>
      <w:r w:rsidRPr="0030222B">
        <w:rPr>
          <w:rFonts w:eastAsia="Aptos" w:cs="Arial"/>
          <w:color w:val="000000"/>
          <w:kern w:val="2"/>
          <w:szCs w:val="20"/>
          <w14:ligatures w14:val="standardContextual"/>
        </w:rPr>
        <w:t xml:space="preserve"> terjatve iz naslova dolgoročnih in kratkoročnih finančnih naložb</w:t>
      </w:r>
      <w:r w:rsidR="00D90CDD">
        <w:rPr>
          <w:rFonts w:eastAsia="Aptos" w:cs="Arial"/>
          <w:color w:val="000000"/>
          <w:kern w:val="2"/>
          <w:szCs w:val="20"/>
          <w14:ligatures w14:val="standardContextual"/>
        </w:rPr>
        <w:t xml:space="preserve">, </w:t>
      </w:r>
      <w:r w:rsidR="00D90CDD" w:rsidRPr="00D90CDD">
        <w:rPr>
          <w:rFonts w:eastAsia="Aptos" w:cs="Arial"/>
          <w:color w:val="000000"/>
          <w:kern w:val="2"/>
          <w:szCs w:val="20"/>
          <w14:ligatures w14:val="standardContextual"/>
        </w:rPr>
        <w:t>razen kratkoročnih likvidnostnih aranžmajev po tržnih pogojih</w:t>
      </w:r>
      <w:r w:rsidRPr="0030222B">
        <w:rPr>
          <w:rFonts w:eastAsia="Aptos" w:cs="Arial"/>
          <w:color w:val="000000"/>
          <w:kern w:val="2"/>
          <w:szCs w:val="20"/>
          <w14:ligatures w14:val="standardContextual"/>
        </w:rPr>
        <w:t xml:space="preserve"> ne smejo biti izkazane v razmerju do lastnikov katerekoli družbe v skupini.</w:t>
      </w:r>
    </w:p>
    <w:p w14:paraId="79F7E10C" w14:textId="77777777" w:rsidR="00EF5CCC" w:rsidRPr="00EF5CCC" w:rsidRDefault="00EF5CCC" w:rsidP="00EF5CCC">
      <w:pPr>
        <w:spacing w:after="160" w:line="259" w:lineRule="auto"/>
        <w:contextualSpacing/>
        <w:rPr>
          <w:rFonts w:eastAsia="Aptos" w:cs="Arial"/>
          <w:color w:val="000000"/>
          <w:kern w:val="2"/>
          <w:szCs w:val="20"/>
          <w14:ligatures w14:val="standardContextual"/>
        </w:rPr>
      </w:pPr>
    </w:p>
    <w:p w14:paraId="4BB03C1A" w14:textId="1284E174" w:rsidR="00B976E5" w:rsidRPr="00B976E5" w:rsidRDefault="009103BE" w:rsidP="00B976E5">
      <w:pPr>
        <w:numPr>
          <w:ilvl w:val="0"/>
          <w:numId w:val="89"/>
        </w:numPr>
        <w:spacing w:after="160" w:line="259" w:lineRule="auto"/>
        <w:contextualSpacing/>
        <w:rPr>
          <w:rFonts w:eastAsia="Aptos" w:cs="Arial"/>
          <w:color w:val="000000"/>
          <w:kern w:val="2"/>
          <w:szCs w:val="20"/>
          <w14:ligatures w14:val="standardContextual"/>
        </w:rPr>
      </w:pPr>
      <w:r w:rsidRPr="009103BE">
        <w:rPr>
          <w:rFonts w:eastAsia="Aptos" w:cs="Arial"/>
          <w:color w:val="000000"/>
          <w:kern w:val="2"/>
          <w:szCs w:val="20"/>
          <w14:ligatures w14:val="standardContextual"/>
        </w:rPr>
        <w:t>Do spodbude je upravičeno elektrointenzivno podjetje, ki</w:t>
      </w:r>
      <w:r w:rsidR="00B976E5" w:rsidRPr="00B976E5">
        <w:rPr>
          <w:rFonts w:eastAsia="Aptos" w:cs="Arial"/>
          <w:color w:val="000000"/>
          <w:kern w:val="2"/>
          <w:szCs w:val="20"/>
          <w14:ligatures w14:val="standardContextual"/>
        </w:rPr>
        <w:t>:</w:t>
      </w:r>
    </w:p>
    <w:p w14:paraId="42FE9F5E" w14:textId="77777777" w:rsidR="00B976E5" w:rsidRPr="00B976E5" w:rsidRDefault="00B976E5" w:rsidP="00B976E5">
      <w:pPr>
        <w:spacing w:after="160" w:line="259" w:lineRule="auto"/>
        <w:ind w:left="720"/>
        <w:contextualSpacing/>
        <w:rPr>
          <w:rFonts w:eastAsia="Aptos" w:cs="Arial"/>
          <w:color w:val="000000"/>
          <w:kern w:val="2"/>
          <w:szCs w:val="20"/>
          <w14:ligatures w14:val="standardContextual"/>
        </w:rPr>
      </w:pPr>
      <w:r w:rsidRPr="00B976E5">
        <w:rPr>
          <w:rFonts w:eastAsia="Aptos" w:cs="Arial"/>
          <w:color w:val="000000"/>
          <w:kern w:val="2"/>
          <w:szCs w:val="20"/>
          <w14:ligatures w14:val="standardContextual"/>
        </w:rPr>
        <w:t>- nima zapadlih neporavnanih obveznosti iz naslova obveznih dajatev in drugih denarnih nedavčnih obveznosti v skladu z zakonom, ki ureja finančno upravo oziroma če vrednost teh neplačanih zapadlih obveznosti na dan oddaje vloge znaša manj kot 50 eurov. Šteje se, da upravičenec ne izpolnjuje obveznosti iz prejšnjega stavka tudi, če na dan oddaje vloge ni imel predloženih vseh obračunov davčnih odtegljajev za dohodke iz delovnega razmerja za obdobje zadnjih petih let do dne oddaje vloge,</w:t>
      </w:r>
    </w:p>
    <w:p w14:paraId="3D349E88" w14:textId="77777777" w:rsidR="00B976E5" w:rsidRPr="00B976E5" w:rsidRDefault="00B976E5" w:rsidP="00B976E5">
      <w:pPr>
        <w:spacing w:after="160" w:line="259" w:lineRule="auto"/>
        <w:ind w:left="720"/>
        <w:contextualSpacing/>
        <w:rPr>
          <w:rFonts w:eastAsia="Aptos" w:cs="Arial"/>
          <w:color w:val="000000"/>
          <w:kern w:val="2"/>
          <w:szCs w:val="20"/>
          <w14:ligatures w14:val="standardContextual"/>
        </w:rPr>
      </w:pPr>
      <w:r w:rsidRPr="00B976E5">
        <w:rPr>
          <w:rFonts w:eastAsia="Aptos" w:cs="Arial"/>
          <w:color w:val="000000"/>
          <w:kern w:val="2"/>
          <w:szCs w:val="20"/>
          <w14:ligatures w14:val="standardContextual"/>
        </w:rPr>
        <w:t>- nima neporavnanih obveznosti iz naslova odločb o vračilu nezakonito prejete državne pomoči in</w:t>
      </w:r>
    </w:p>
    <w:p w14:paraId="26B2A8E4" w14:textId="5716CEA1" w:rsidR="00B976E5" w:rsidRPr="00B976E5" w:rsidRDefault="00B976E5" w:rsidP="00B976E5">
      <w:pPr>
        <w:spacing w:after="160" w:line="259" w:lineRule="auto"/>
        <w:ind w:left="720"/>
        <w:contextualSpacing/>
        <w:rPr>
          <w:rFonts w:eastAsia="Aptos" w:cs="Arial"/>
          <w:color w:val="000000"/>
          <w:kern w:val="2"/>
          <w:szCs w:val="20"/>
          <w14:ligatures w14:val="standardContextual"/>
        </w:rPr>
      </w:pPr>
      <w:r w:rsidRPr="00B976E5">
        <w:rPr>
          <w:rFonts w:eastAsia="Aptos" w:cs="Arial"/>
          <w:color w:val="000000"/>
          <w:kern w:val="2"/>
          <w:szCs w:val="20"/>
          <w14:ligatures w14:val="standardContextual"/>
        </w:rPr>
        <w:t>- nima zapadlih in neporavnanih obveznosti iz naslova dobave električne energije, plačila omrežnine in obveznih prispevkov, in s tem povezanih poslov.</w:t>
      </w:r>
    </w:p>
    <w:p w14:paraId="6DE9C92D" w14:textId="77777777" w:rsidR="00B976E5" w:rsidRPr="00BE5832" w:rsidRDefault="00B976E5" w:rsidP="00B976E5">
      <w:pPr>
        <w:spacing w:after="160" w:line="259" w:lineRule="auto"/>
        <w:ind w:left="720"/>
        <w:contextualSpacing/>
        <w:rPr>
          <w:rFonts w:eastAsia="Aptos" w:cs="Arial"/>
          <w:color w:val="000000"/>
          <w:kern w:val="2"/>
          <w:szCs w:val="20"/>
          <w14:ligatures w14:val="standardContextual"/>
        </w:rPr>
      </w:pPr>
    </w:p>
    <w:p w14:paraId="66CE682C" w14:textId="60C6D810" w:rsidR="00BE5832" w:rsidRPr="00BE5832" w:rsidRDefault="00BE5832" w:rsidP="00B74E7C">
      <w:pPr>
        <w:spacing w:after="160" w:line="259" w:lineRule="auto"/>
        <w:contextualSpacing/>
        <w:rPr>
          <w:rFonts w:eastAsia="Aptos" w:cs="Arial"/>
          <w:color w:val="000000"/>
          <w:kern w:val="2"/>
          <w:szCs w:val="20"/>
          <w14:ligatures w14:val="standardContextual"/>
        </w:rPr>
      </w:pPr>
    </w:p>
    <w:p w14:paraId="177F545A" w14:textId="6812F2ED" w:rsidR="00BE5832" w:rsidRPr="00BE5832" w:rsidRDefault="00BE5832" w:rsidP="00FA38B1">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III. VIŠINA SPODBUDE</w:t>
      </w:r>
    </w:p>
    <w:p w14:paraId="0AD3B78C" w14:textId="77777777" w:rsidR="00BE5832" w:rsidRPr="00BE5832" w:rsidRDefault="00BE5832" w:rsidP="00BE5832">
      <w:pPr>
        <w:spacing w:after="160" w:line="259" w:lineRule="auto"/>
        <w:rPr>
          <w:rFonts w:eastAsia="Aptos" w:cs="Arial"/>
          <w:color w:val="000000"/>
          <w:kern w:val="2"/>
          <w:szCs w:val="20"/>
          <w14:ligatures w14:val="standardContextual"/>
        </w:rPr>
      </w:pPr>
    </w:p>
    <w:p w14:paraId="773527D5"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4D461C80" w14:textId="64CC7302"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DB1E3F" w:rsidRPr="00DB1E3F">
        <w:rPr>
          <w:rFonts w:eastAsia="Aptos" w:cs="Arial"/>
          <w:color w:val="000000"/>
          <w:kern w:val="2"/>
          <w:szCs w:val="20"/>
          <w14:ligatures w14:val="standardContextual"/>
        </w:rPr>
        <w:t>pravila za določitev višine in dodelitev spodbude</w:t>
      </w:r>
      <w:r w:rsidRPr="00BE5832">
        <w:rPr>
          <w:rFonts w:eastAsia="Aptos" w:cs="Arial"/>
          <w:color w:val="000000"/>
          <w:kern w:val="2"/>
          <w:szCs w:val="20"/>
          <w14:ligatures w14:val="standardContextual"/>
        </w:rPr>
        <w:t>)</w:t>
      </w:r>
    </w:p>
    <w:p w14:paraId="15C039BD"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0A73B5F8" w14:textId="23015AB0" w:rsidR="00BE5832" w:rsidRPr="00BE5832" w:rsidRDefault="00FA38B1" w:rsidP="00FA38B1">
      <w:pPr>
        <w:numPr>
          <w:ilvl w:val="0"/>
          <w:numId w:val="88"/>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Upravičencu se lahko dodeli s</w:t>
      </w:r>
      <w:r w:rsidR="00BE5832" w:rsidRPr="00BE5832">
        <w:rPr>
          <w:rFonts w:eastAsia="Aptos" w:cs="Arial"/>
          <w:color w:val="000000"/>
          <w:kern w:val="2"/>
          <w:szCs w:val="20"/>
          <w14:ligatures w14:val="standardContextual"/>
        </w:rPr>
        <w:t>podbuda za 50 % letne porabe električne energije za posamezno</w:t>
      </w:r>
      <w:r w:rsidR="00F31FD4">
        <w:rPr>
          <w:rFonts w:eastAsia="Aptos" w:cs="Arial"/>
          <w:color w:val="000000"/>
          <w:kern w:val="2"/>
          <w:szCs w:val="20"/>
          <w14:ligatures w14:val="standardContextual"/>
        </w:rPr>
        <w:t xml:space="preserve"> koledarsko</w:t>
      </w:r>
      <w:r w:rsidR="00BE5832" w:rsidRPr="00BE5832">
        <w:rPr>
          <w:rFonts w:eastAsia="Aptos" w:cs="Arial"/>
          <w:color w:val="000000"/>
          <w:kern w:val="2"/>
          <w:szCs w:val="20"/>
          <w14:ligatures w14:val="standardContextual"/>
        </w:rPr>
        <w:t xml:space="preserve"> leto.</w:t>
      </w:r>
    </w:p>
    <w:p w14:paraId="1418A850"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0FDC7E7" w14:textId="6D61649A"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lastRenderedPageBreak/>
        <w:t>Akontacija spodbude za posamezno</w:t>
      </w:r>
      <w:r w:rsidR="00F31FD4">
        <w:rPr>
          <w:rFonts w:eastAsia="Aptos" w:cs="Arial"/>
          <w:color w:val="000000"/>
          <w:kern w:val="2"/>
          <w:szCs w:val="20"/>
          <w14:ligatures w14:val="standardContextual"/>
        </w:rPr>
        <w:t xml:space="preserve"> koledarsko</w:t>
      </w:r>
      <w:r w:rsidRPr="00BE5832">
        <w:rPr>
          <w:rFonts w:eastAsia="Aptos" w:cs="Arial"/>
          <w:color w:val="000000"/>
          <w:kern w:val="2"/>
          <w:szCs w:val="20"/>
          <w14:ligatures w14:val="standardContextual"/>
        </w:rPr>
        <w:t xml:space="preserve"> leto se izračuna na podlagi napovedane letne porabe električne energije.</w:t>
      </w:r>
    </w:p>
    <w:p w14:paraId="2DA11ED0" w14:textId="77777777" w:rsidR="00BE5832" w:rsidRPr="00BE5832" w:rsidRDefault="00BE5832" w:rsidP="00FA38B1">
      <w:pPr>
        <w:spacing w:after="160" w:line="259" w:lineRule="auto"/>
        <w:contextualSpacing/>
        <w:rPr>
          <w:rFonts w:eastAsia="Aptos" w:cs="Arial"/>
          <w:color w:val="000000"/>
          <w:kern w:val="2"/>
          <w:szCs w:val="20"/>
          <w14:ligatures w14:val="standardContextual"/>
        </w:rPr>
      </w:pPr>
    </w:p>
    <w:p w14:paraId="1927E004" w14:textId="77777777"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Spodbuda za enoto podprte električne energije ne sme presegati 50 % referenčne tržne cene pasovne električne energije za posamezno leto.</w:t>
      </w:r>
    </w:p>
    <w:p w14:paraId="29C9B3C0"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3A018C5D" w14:textId="1D0389DA"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Povprečni strošek za enoto podprte električne energije brez upoštevanja omrežnine, davkov, obveznih prispevkov in drugih dajatev za upravičenca, ki je prejel spodbudo, ne sme biti nižji od 50 EUR/MWh, pri čemer se upoštevajo tudi vse druge oblike pomoči, ki jih je upravičenec za posamezno</w:t>
      </w:r>
      <w:r w:rsidR="00F31FD4">
        <w:rPr>
          <w:rFonts w:eastAsia="Aptos" w:cs="Arial"/>
          <w:color w:val="000000"/>
          <w:kern w:val="2"/>
          <w:szCs w:val="20"/>
          <w14:ligatures w14:val="standardContextual"/>
        </w:rPr>
        <w:t xml:space="preserve"> koledarsko</w:t>
      </w:r>
      <w:r w:rsidRPr="00BE5832">
        <w:rPr>
          <w:rFonts w:eastAsia="Aptos" w:cs="Arial"/>
          <w:color w:val="000000"/>
          <w:kern w:val="2"/>
          <w:szCs w:val="20"/>
          <w14:ligatures w14:val="standardContextual"/>
        </w:rPr>
        <w:t xml:space="preserve"> leto prejel za znižanje cene električne energije.</w:t>
      </w:r>
    </w:p>
    <w:p w14:paraId="6872ADCA"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12820EB4" w14:textId="3BDB64FF" w:rsidR="00BE5832" w:rsidRPr="00BE5832" w:rsidRDefault="00BE5832" w:rsidP="007F3AA0">
      <w:pPr>
        <w:numPr>
          <w:ilvl w:val="0"/>
          <w:numId w:val="8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Če se spodbuda iz tega zakona kumulira</w:t>
      </w:r>
      <w:r w:rsidR="00592CA8">
        <w:rPr>
          <w:rFonts w:eastAsia="Aptos" w:cs="Arial"/>
          <w:color w:val="000000"/>
          <w:kern w:val="2"/>
          <w:szCs w:val="20"/>
          <w14:ligatures w14:val="standardContextual"/>
        </w:rPr>
        <w:t xml:space="preserve"> z</w:t>
      </w:r>
      <w:r w:rsidRPr="00BE5832">
        <w:rPr>
          <w:rFonts w:eastAsia="Aptos" w:cs="Arial"/>
          <w:color w:val="000000"/>
          <w:kern w:val="2"/>
          <w:szCs w:val="20"/>
          <w14:ligatures w14:val="standardContextual"/>
        </w:rPr>
        <w:t xml:space="preserve"> nadomestilo</w:t>
      </w:r>
      <w:r w:rsidR="00592CA8">
        <w:rPr>
          <w:rFonts w:eastAsia="Aptos" w:cs="Arial"/>
          <w:color w:val="000000"/>
          <w:kern w:val="2"/>
          <w:szCs w:val="20"/>
          <w14:ligatures w14:val="standardContextual"/>
        </w:rPr>
        <w:t>m za kritje</w:t>
      </w:r>
      <w:r w:rsidRPr="00BE5832">
        <w:rPr>
          <w:rFonts w:eastAsia="Aptos" w:cs="Arial"/>
          <w:color w:val="000000"/>
          <w:kern w:val="2"/>
          <w:szCs w:val="20"/>
          <w14:ligatures w14:val="standardContextual"/>
        </w:rPr>
        <w:t xml:space="preserve"> posrednih stroškov emisij</w:t>
      </w:r>
      <w:r w:rsidR="00592CA8">
        <w:rPr>
          <w:rFonts w:eastAsia="Aptos" w:cs="Arial"/>
          <w:color w:val="000000"/>
          <w:kern w:val="2"/>
          <w:szCs w:val="20"/>
          <w14:ligatures w14:val="standardContextual"/>
        </w:rPr>
        <w:t xml:space="preserve"> toplogrednih plinov</w:t>
      </w:r>
      <w:r w:rsidRPr="00BE5832">
        <w:rPr>
          <w:rFonts w:eastAsia="Aptos" w:cs="Arial"/>
          <w:color w:val="000000"/>
          <w:kern w:val="2"/>
          <w:szCs w:val="20"/>
          <w14:ligatures w14:val="standardContextual"/>
        </w:rPr>
        <w:t xml:space="preserve"> iz predpisa, ki ureja nadomestilo za kritje posrednih stroškov zaradi stroškov emisij toplogrednih plinov, skupni znesek pomoči ne sme presegati najvišjega zneska, ki se uporablja na podlagi tega zakona ali predpisa, ki ureja nadomestilo za kritje posrednih stroškov zaradi stroškov emisij toplogrednih plinov. </w:t>
      </w:r>
    </w:p>
    <w:p w14:paraId="227ACD95"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0A966AFE" w14:textId="7E1A5C98" w:rsidR="00DC6F3B" w:rsidRDefault="00BE5832" w:rsidP="00705443">
      <w:pPr>
        <w:numPr>
          <w:ilvl w:val="0"/>
          <w:numId w:val="88"/>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Spodbuda se upravičencem podeljuje za nakup električne energije</w:t>
      </w:r>
      <w:r w:rsidR="00DC6F3B">
        <w:rPr>
          <w:rFonts w:eastAsia="Aptos" w:cs="Arial"/>
          <w:color w:val="000000"/>
          <w:kern w:val="2"/>
          <w:szCs w:val="20"/>
          <w14:ligatures w14:val="standardContextual"/>
        </w:rPr>
        <w:t xml:space="preserve"> in</w:t>
      </w:r>
      <w:r w:rsidRPr="00BE5832">
        <w:rPr>
          <w:rFonts w:eastAsia="Aptos" w:cs="Arial"/>
          <w:color w:val="000000"/>
          <w:kern w:val="2"/>
          <w:szCs w:val="20"/>
          <w14:ligatures w14:val="standardContextual"/>
        </w:rPr>
        <w:t xml:space="preserve"> porabljene </w:t>
      </w:r>
      <w:r w:rsidR="00DC6F3B">
        <w:rPr>
          <w:rFonts w:eastAsia="Aptos" w:cs="Arial"/>
          <w:color w:val="000000"/>
          <w:kern w:val="2"/>
          <w:szCs w:val="20"/>
          <w14:ligatures w14:val="standardContextual"/>
        </w:rPr>
        <w:t xml:space="preserve">na ozemlju Republike Slovenije </w:t>
      </w:r>
      <w:r w:rsidRPr="00BE5832">
        <w:rPr>
          <w:rFonts w:eastAsia="Aptos" w:cs="Arial"/>
          <w:color w:val="000000"/>
          <w:kern w:val="2"/>
          <w:szCs w:val="20"/>
          <w14:ligatures w14:val="standardContextual"/>
        </w:rPr>
        <w:t xml:space="preserve">v letih 2026, 2027 in 2028. Te električne energije upravičenec ne sme prodajati, prenašati ali posredno prenesti tretjim osebam. </w:t>
      </w:r>
    </w:p>
    <w:p w14:paraId="479336B0" w14:textId="77777777" w:rsidR="00DC6F3B" w:rsidRDefault="00DC6F3B" w:rsidP="00705443">
      <w:pPr>
        <w:pStyle w:val="Odstavekseznama"/>
        <w:spacing w:after="0"/>
        <w:rPr>
          <w:rFonts w:eastAsia="Aptos" w:cs="Arial"/>
          <w:color w:val="000000"/>
          <w:kern w:val="2"/>
          <w:szCs w:val="20"/>
          <w14:ligatures w14:val="standardContextual"/>
        </w:rPr>
      </w:pPr>
    </w:p>
    <w:p w14:paraId="5C2D9DD3" w14:textId="474B073F" w:rsidR="00BE5832" w:rsidRPr="00BE5832" w:rsidRDefault="00BE5832" w:rsidP="00705443">
      <w:pPr>
        <w:numPr>
          <w:ilvl w:val="0"/>
          <w:numId w:val="88"/>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Upravičenec vodi evidenco o porabi in cenah nakupa električne energije, ki je predmet ukrepa iz tega zakona, in jo mora na zahtevo operaterja trga iz 9</w:t>
      </w:r>
      <w:r w:rsidR="00A81843">
        <w:rPr>
          <w:rFonts w:eastAsia="Aptos" w:cs="Arial"/>
          <w:color w:val="000000"/>
          <w:kern w:val="2"/>
          <w:szCs w:val="20"/>
          <w14:ligatures w14:val="standardContextual"/>
        </w:rPr>
        <w:t>6</w:t>
      </w:r>
      <w:r w:rsidRPr="00BE5832">
        <w:rPr>
          <w:rFonts w:eastAsia="Aptos" w:cs="Arial"/>
          <w:color w:val="000000"/>
          <w:kern w:val="2"/>
          <w:szCs w:val="20"/>
          <w14:ligatures w14:val="standardContextual"/>
        </w:rPr>
        <w:t>. člena Zakona o oskrbi z električno energijo (Uradni list RS, št. 172/21 in 47/25) predložiti na vpogled.</w:t>
      </w:r>
    </w:p>
    <w:p w14:paraId="5D0C998B" w14:textId="77777777" w:rsidR="00BE5832" w:rsidRPr="00BE5832" w:rsidRDefault="00BE5832" w:rsidP="007F3AA0">
      <w:pPr>
        <w:spacing w:after="160" w:line="259" w:lineRule="auto"/>
        <w:rPr>
          <w:rFonts w:eastAsia="Aptos" w:cs="Arial"/>
          <w:color w:val="000000"/>
          <w:kern w:val="2"/>
          <w:szCs w:val="20"/>
          <w14:ligatures w14:val="standardContextual"/>
        </w:rPr>
      </w:pPr>
    </w:p>
    <w:p w14:paraId="605C7F68" w14:textId="5340615B" w:rsidR="00BE5832" w:rsidRPr="00BE5832" w:rsidRDefault="005120A6" w:rsidP="00FE5D5A">
      <w:pPr>
        <w:keepNext/>
        <w:keepLines/>
        <w:spacing w:before="360" w:after="80" w:line="259" w:lineRule="auto"/>
        <w:jc w:val="center"/>
        <w:outlineLvl w:val="0"/>
        <w:rPr>
          <w:rFonts w:eastAsia="Times New Roman" w:cs="Arial"/>
          <w:color w:val="000000"/>
          <w:kern w:val="2"/>
          <w:szCs w:val="20"/>
          <w14:ligatures w14:val="standardContextual"/>
        </w:rPr>
      </w:pPr>
      <w:r>
        <w:rPr>
          <w:rFonts w:eastAsia="Times New Roman" w:cs="Arial"/>
          <w:color w:val="000000"/>
          <w:kern w:val="2"/>
          <w:szCs w:val="20"/>
          <w14:ligatures w14:val="standardContextual"/>
        </w:rPr>
        <w:t>I</w:t>
      </w:r>
      <w:r w:rsidR="00BE5832" w:rsidRPr="00BE5832">
        <w:rPr>
          <w:rFonts w:eastAsia="Times New Roman" w:cs="Arial"/>
          <w:color w:val="000000"/>
          <w:kern w:val="2"/>
          <w:szCs w:val="20"/>
          <w14:ligatures w14:val="standardContextual"/>
        </w:rPr>
        <w:t>V. POSTOPEK</w:t>
      </w:r>
      <w:r w:rsidR="00FE5D5A">
        <w:rPr>
          <w:rFonts w:eastAsia="Times New Roman" w:cs="Arial"/>
          <w:color w:val="000000"/>
          <w:kern w:val="2"/>
          <w:szCs w:val="20"/>
          <w14:ligatures w14:val="standardContextual"/>
        </w:rPr>
        <w:t xml:space="preserve"> ZA DODELITEV SPODBUDE</w:t>
      </w:r>
    </w:p>
    <w:p w14:paraId="579098FD" w14:textId="77777777" w:rsidR="00BE5832" w:rsidRPr="00BE5832" w:rsidRDefault="00BE5832" w:rsidP="00BE5832">
      <w:pPr>
        <w:spacing w:after="160" w:line="259" w:lineRule="auto"/>
        <w:rPr>
          <w:rFonts w:eastAsia="Aptos" w:cs="Arial"/>
          <w:color w:val="000000"/>
          <w:kern w:val="2"/>
          <w:szCs w:val="20"/>
          <w14:ligatures w14:val="standardContextual"/>
        </w:rPr>
      </w:pPr>
    </w:p>
    <w:p w14:paraId="614A0470"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6F99376B"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(vloga in dokumentacija)</w:t>
      </w:r>
    </w:p>
    <w:p w14:paraId="63EFF1F0" w14:textId="77777777"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p>
    <w:p w14:paraId="07217DF3" w14:textId="61F1FE24" w:rsidR="00BE5832" w:rsidRPr="00BE5832" w:rsidRDefault="00704AFB" w:rsidP="007F3AA0">
      <w:pPr>
        <w:numPr>
          <w:ilvl w:val="0"/>
          <w:numId w:val="80"/>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Spodbude se dodeljujejo</w:t>
      </w:r>
      <w:r w:rsidR="00160A83">
        <w:rPr>
          <w:rFonts w:eastAsia="Aptos" w:cs="Arial"/>
          <w:color w:val="000000"/>
          <w:kern w:val="2"/>
          <w:szCs w:val="20"/>
          <w14:ligatures w14:val="standardContextual"/>
        </w:rPr>
        <w:t xml:space="preserve"> na podlagi postopka, ki se prične</w:t>
      </w:r>
      <w:r>
        <w:rPr>
          <w:rFonts w:eastAsia="Aptos" w:cs="Arial"/>
          <w:color w:val="000000"/>
          <w:kern w:val="2"/>
          <w:szCs w:val="20"/>
          <w14:ligatures w14:val="standardContextual"/>
        </w:rPr>
        <w:t xml:space="preserve"> z javnim pozivom, ki ga objavi o</w:t>
      </w:r>
      <w:r w:rsidR="00BE5832" w:rsidRPr="00BE5832">
        <w:rPr>
          <w:rFonts w:eastAsia="Aptos" w:cs="Arial"/>
          <w:color w:val="000000"/>
          <w:kern w:val="2"/>
          <w:szCs w:val="20"/>
          <w14:ligatures w14:val="standardContextual"/>
        </w:rPr>
        <w:t>perater trga</w:t>
      </w:r>
      <w:r w:rsidR="00160A83">
        <w:rPr>
          <w:rFonts w:eastAsia="Aptos" w:cs="Arial"/>
          <w:color w:val="000000"/>
          <w:kern w:val="2"/>
          <w:szCs w:val="20"/>
          <w14:ligatures w14:val="standardContextual"/>
        </w:rPr>
        <w:t xml:space="preserve"> na spletni strani</w:t>
      </w:r>
      <w:r w:rsidR="00BE5832" w:rsidRPr="00BE5832">
        <w:rPr>
          <w:rFonts w:eastAsia="Aptos" w:cs="Arial"/>
          <w:color w:val="000000"/>
          <w:kern w:val="2"/>
          <w:szCs w:val="20"/>
          <w14:ligatures w14:val="standardContextual"/>
        </w:rPr>
        <w:t xml:space="preserve"> vsako leto najkasneje v roku 10 delovnih dni od objave sklepa iz prvega odstavka 1</w:t>
      </w:r>
      <w:r w:rsidR="00345534">
        <w:rPr>
          <w:rFonts w:eastAsia="Aptos" w:cs="Arial"/>
          <w:color w:val="000000"/>
          <w:kern w:val="2"/>
          <w:szCs w:val="20"/>
          <w14:ligatures w14:val="standardContextual"/>
        </w:rPr>
        <w:t>1</w:t>
      </w:r>
      <w:r w:rsidR="00BE5832" w:rsidRPr="00BE5832">
        <w:rPr>
          <w:rFonts w:eastAsia="Aptos" w:cs="Arial"/>
          <w:color w:val="000000"/>
          <w:kern w:val="2"/>
          <w:szCs w:val="20"/>
          <w14:ligatures w14:val="standardContextual"/>
        </w:rPr>
        <w:t xml:space="preserve">. člena tega zakona. </w:t>
      </w:r>
      <w:r w:rsidR="00160A83">
        <w:rPr>
          <w:rFonts w:eastAsia="Aptos" w:cs="Arial"/>
          <w:color w:val="000000"/>
          <w:kern w:val="2"/>
          <w:szCs w:val="20"/>
          <w14:ligatures w14:val="standardContextual"/>
        </w:rPr>
        <w:t>V javnem pozivu operater trga določi zlasti namen poziva, upravičence in roke za vložitev vloge.</w:t>
      </w:r>
    </w:p>
    <w:p w14:paraId="38A5A8BB" w14:textId="77777777" w:rsidR="00BE5832" w:rsidRPr="00BE5832" w:rsidRDefault="00BE5832" w:rsidP="006E332E">
      <w:pPr>
        <w:spacing w:after="0" w:line="259" w:lineRule="auto"/>
        <w:rPr>
          <w:rFonts w:eastAsia="Aptos" w:cs="Arial"/>
          <w:color w:val="000000"/>
          <w:kern w:val="2"/>
          <w:szCs w:val="20"/>
          <w14:ligatures w14:val="standardContextual"/>
        </w:rPr>
      </w:pPr>
    </w:p>
    <w:p w14:paraId="4646CE39" w14:textId="70688D56" w:rsidR="00BE5832" w:rsidRPr="00BE5832" w:rsidRDefault="00BE5832" w:rsidP="007F3AA0">
      <w:pPr>
        <w:numPr>
          <w:ilvl w:val="0"/>
          <w:numId w:val="80"/>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Upravičenec na podlagi javnega poziva vloži vlogo pri operaterju trga. Vloga mora vsebovati</w:t>
      </w:r>
      <w:r w:rsidR="004539E2">
        <w:rPr>
          <w:rFonts w:eastAsia="Aptos" w:cs="Arial"/>
          <w:color w:val="000000"/>
          <w:kern w:val="2"/>
          <w:szCs w:val="20"/>
          <w14:ligatures w14:val="standardContextual"/>
        </w:rPr>
        <w:t xml:space="preserve"> naslednje podatke</w:t>
      </w:r>
      <w:r w:rsidRPr="00BE5832">
        <w:rPr>
          <w:rFonts w:eastAsia="Aptos" w:cs="Arial"/>
          <w:color w:val="000000"/>
          <w:kern w:val="2"/>
          <w:szCs w:val="20"/>
          <w14:ligatures w14:val="standardContextual"/>
        </w:rPr>
        <w:t xml:space="preserve">: </w:t>
      </w:r>
    </w:p>
    <w:p w14:paraId="256234B4" w14:textId="77777777"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napoved porabe električne energije za tekoče leto, </w:t>
      </w:r>
    </w:p>
    <w:p w14:paraId="438CA89E" w14:textId="664BD45C"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dokazila o porabi električne energije za vsa merilna mesta in kjer je relevantno</w:t>
      </w:r>
      <w:r w:rsidR="00A130D7">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tudi podatke o porabi iz lastnih virov v zadnjih treh zaključenih koledarskih letih pred vložitvijo vloge in dokazila o porabi električne energije v teh letih za vsa merilna mesta; </w:t>
      </w:r>
    </w:p>
    <w:p w14:paraId="062D9D54" w14:textId="442BF7DB"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izračun elektrointenzivnosti</w:t>
      </w:r>
      <w:r w:rsidR="00A130D7">
        <w:rPr>
          <w:rFonts w:eastAsia="Aptos" w:cs="Arial"/>
          <w:color w:val="000000"/>
          <w:kern w:val="2"/>
          <w:szCs w:val="20"/>
          <w14:ligatures w14:val="standardContextual"/>
        </w:rPr>
        <w:t xml:space="preserve"> upravičenca</w:t>
      </w:r>
      <w:r w:rsidRPr="00BE5832">
        <w:rPr>
          <w:rFonts w:eastAsia="Aptos" w:cs="Arial"/>
          <w:color w:val="000000"/>
          <w:kern w:val="2"/>
          <w:szCs w:val="20"/>
          <w14:ligatures w14:val="standardContextual"/>
        </w:rPr>
        <w:t xml:space="preserve"> in računovodske izkaze, iz katerih </w:t>
      </w:r>
      <w:r w:rsidR="00A130D7">
        <w:rPr>
          <w:rFonts w:eastAsia="Aptos" w:cs="Arial"/>
          <w:color w:val="000000"/>
          <w:kern w:val="2"/>
          <w:szCs w:val="20"/>
          <w14:ligatures w14:val="standardContextual"/>
        </w:rPr>
        <w:t>izhaja</w:t>
      </w:r>
      <w:r w:rsidRPr="00BE5832">
        <w:rPr>
          <w:rFonts w:eastAsia="Aptos" w:cs="Arial"/>
          <w:color w:val="000000"/>
          <w:kern w:val="2"/>
          <w:szCs w:val="20"/>
          <w14:ligatures w14:val="standardContextual"/>
        </w:rPr>
        <w:t xml:space="preserve"> pravilnost izračuna;</w:t>
      </w:r>
    </w:p>
    <w:p w14:paraId="1EF95085" w14:textId="636BC898" w:rsidR="00BE5832" w:rsidRPr="00BE5832" w:rsidRDefault="00C95328" w:rsidP="007F3AA0">
      <w:pPr>
        <w:numPr>
          <w:ilvl w:val="0"/>
          <w:numId w:val="73"/>
        </w:numPr>
        <w:spacing w:after="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dokazila</w:t>
      </w:r>
      <w:r w:rsidR="00BE5832" w:rsidRPr="00BE5832">
        <w:rPr>
          <w:rFonts w:eastAsia="Aptos" w:cs="Arial"/>
          <w:color w:val="000000"/>
          <w:kern w:val="2"/>
          <w:szCs w:val="20"/>
          <w14:ligatures w14:val="standardContextual"/>
        </w:rPr>
        <w:t xml:space="preserve"> o izpolnjevanju pogojev iz </w:t>
      </w:r>
      <w:r w:rsidR="00DE78F9">
        <w:rPr>
          <w:rFonts w:eastAsia="Aptos" w:cs="Arial"/>
          <w:color w:val="000000"/>
          <w:kern w:val="2"/>
          <w:szCs w:val="20"/>
          <w14:ligatures w14:val="standardContextual"/>
        </w:rPr>
        <w:t>3</w:t>
      </w:r>
      <w:r w:rsidR="00BE5832" w:rsidRPr="00BE5832">
        <w:rPr>
          <w:rFonts w:eastAsia="Aptos" w:cs="Arial"/>
          <w:color w:val="000000"/>
          <w:kern w:val="2"/>
          <w:szCs w:val="20"/>
          <w14:ligatures w14:val="standardContextual"/>
        </w:rPr>
        <w:t>. člena tega zakona;</w:t>
      </w:r>
    </w:p>
    <w:p w14:paraId="5D92D036" w14:textId="56B5B9B0"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načrt izvedbe naložb, ki zajema opis naložb, napoved začetka izvajanja in obratovanja</w:t>
      </w:r>
      <w:r w:rsidR="00B90151">
        <w:rPr>
          <w:rFonts w:eastAsia="Aptos" w:cs="Arial"/>
          <w:color w:val="000000"/>
          <w:kern w:val="2"/>
          <w:szCs w:val="20"/>
          <w14:ligatures w14:val="standardContextual"/>
        </w:rPr>
        <w:t xml:space="preserve"> naložb</w:t>
      </w:r>
      <w:r w:rsidRPr="00BE5832">
        <w:rPr>
          <w:rFonts w:eastAsia="Aptos" w:cs="Arial"/>
          <w:color w:val="000000"/>
          <w:kern w:val="2"/>
          <w:szCs w:val="20"/>
          <w14:ligatures w14:val="standardContextual"/>
        </w:rPr>
        <w:t>, oceno končne vrednosti naložb in oceno pričakovanega letnega rezultata z vidika razogljičenja</w:t>
      </w:r>
      <w:r w:rsidR="00B2790A">
        <w:rPr>
          <w:rFonts w:eastAsia="Aptos" w:cs="Arial"/>
          <w:color w:val="000000"/>
          <w:kern w:val="2"/>
          <w:szCs w:val="20"/>
          <w14:ligatures w14:val="standardContextual"/>
        </w:rPr>
        <w:t>;</w:t>
      </w:r>
      <w:r w:rsidRPr="00BE5832">
        <w:rPr>
          <w:rFonts w:eastAsia="Aptos" w:cs="Arial"/>
          <w:color w:val="000000"/>
          <w:kern w:val="2"/>
          <w:szCs w:val="20"/>
          <w14:ligatures w14:val="standardContextual"/>
        </w:rPr>
        <w:t xml:space="preserve"> </w:t>
      </w:r>
    </w:p>
    <w:p w14:paraId="644A95E9" w14:textId="18BB17DE"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kontaktne osebe;</w:t>
      </w:r>
    </w:p>
    <w:p w14:paraId="1C65F3DF" w14:textId="0FDB35A6" w:rsidR="00BE5832" w:rsidRPr="00BE5832" w:rsidRDefault="00BE5832" w:rsidP="007F3AA0">
      <w:pPr>
        <w:numPr>
          <w:ilvl w:val="0"/>
          <w:numId w:val="7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druge </w:t>
      </w:r>
      <w:r w:rsidR="00B90151">
        <w:rPr>
          <w:rFonts w:eastAsia="Aptos" w:cs="Arial"/>
          <w:color w:val="000000"/>
          <w:kern w:val="2"/>
          <w:szCs w:val="20"/>
          <w14:ligatures w14:val="standardContextual"/>
        </w:rPr>
        <w:t>podatke</w:t>
      </w:r>
      <w:r w:rsidRPr="00BE5832">
        <w:rPr>
          <w:rFonts w:eastAsia="Aptos" w:cs="Arial"/>
          <w:color w:val="000000"/>
          <w:kern w:val="2"/>
          <w:szCs w:val="20"/>
          <w14:ligatures w14:val="standardContextual"/>
        </w:rPr>
        <w:t>, določene v javnem pozivu.</w:t>
      </w:r>
    </w:p>
    <w:p w14:paraId="6DE3BDF3" w14:textId="77777777" w:rsidR="00BE5832" w:rsidRPr="00BE5832" w:rsidRDefault="00BE5832" w:rsidP="00197CF2">
      <w:pPr>
        <w:spacing w:after="0" w:line="259" w:lineRule="auto"/>
        <w:contextualSpacing/>
        <w:rPr>
          <w:rFonts w:eastAsia="Aptos" w:cs="Arial"/>
          <w:color w:val="000000"/>
          <w:kern w:val="2"/>
          <w:szCs w:val="20"/>
          <w14:ligatures w14:val="standardContextual"/>
        </w:rPr>
      </w:pPr>
    </w:p>
    <w:p w14:paraId="10473299" w14:textId="446C3963" w:rsidR="00197CF2" w:rsidRPr="00197CF2" w:rsidRDefault="00197CF2" w:rsidP="00197CF2">
      <w:pPr>
        <w:pStyle w:val="Odstavekseznama"/>
        <w:numPr>
          <w:ilvl w:val="0"/>
          <w:numId w:val="80"/>
        </w:numPr>
        <w:rPr>
          <w:rFonts w:eastAsia="Aptos" w:cs="Arial"/>
          <w:color w:val="000000"/>
          <w:kern w:val="2"/>
          <w:szCs w:val="20"/>
          <w14:ligatures w14:val="standardContextual"/>
        </w:rPr>
      </w:pPr>
      <w:r w:rsidRPr="00197CF2">
        <w:rPr>
          <w:rFonts w:eastAsia="Aptos" w:cs="Arial"/>
          <w:color w:val="000000"/>
          <w:kern w:val="2"/>
          <w:szCs w:val="20"/>
          <w14:ligatures w14:val="standardContextual"/>
        </w:rPr>
        <w:t xml:space="preserve">Vloga na javni poziv se vloži pri operaterju trga praviloma v elektronski obliki, na način in v roku, opredeljenem v javnem pozivu. Postopek dodeljevanja spodbud, komunikacija, vročanje in </w:t>
      </w:r>
      <w:r w:rsidRPr="00197CF2">
        <w:rPr>
          <w:rFonts w:eastAsia="Aptos" w:cs="Arial"/>
          <w:color w:val="000000"/>
          <w:kern w:val="2"/>
          <w:szCs w:val="20"/>
          <w14:ligatures w14:val="standardContextual"/>
        </w:rPr>
        <w:lastRenderedPageBreak/>
        <w:t xml:space="preserve">obveščanje potekajo na elektronski način prek informacijskega sistema, ki je dostopen na vstopnem spletnem mestu. </w:t>
      </w:r>
    </w:p>
    <w:p w14:paraId="4FCC22C8" w14:textId="77777777" w:rsidR="00BE5832" w:rsidRPr="00BE5832" w:rsidRDefault="00BE5832" w:rsidP="00BE5832">
      <w:pPr>
        <w:spacing w:after="0" w:line="259" w:lineRule="auto"/>
        <w:rPr>
          <w:rFonts w:eastAsia="Aptos" w:cs="Arial"/>
          <w:color w:val="000000"/>
          <w:kern w:val="2"/>
          <w:szCs w:val="20"/>
          <w14:ligatures w14:val="standardContextual"/>
        </w:rPr>
      </w:pPr>
    </w:p>
    <w:p w14:paraId="655F2F57" w14:textId="77777777" w:rsidR="00BE5832" w:rsidRPr="00BE5832" w:rsidRDefault="00BE5832" w:rsidP="00BE583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0FA810E6" w14:textId="07B97211"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(odločanje in način </w:t>
      </w:r>
      <w:r w:rsidR="000B30EA">
        <w:rPr>
          <w:rFonts w:eastAsia="Aptos" w:cs="Arial"/>
          <w:color w:val="000000"/>
          <w:kern w:val="2"/>
          <w:szCs w:val="20"/>
          <w14:ligatures w14:val="standardContextual"/>
        </w:rPr>
        <w:t>izvršitve</w:t>
      </w:r>
      <w:r w:rsidRPr="00BE5832">
        <w:rPr>
          <w:rFonts w:eastAsia="Aptos" w:cs="Arial"/>
          <w:color w:val="000000"/>
          <w:kern w:val="2"/>
          <w:szCs w:val="20"/>
          <w14:ligatures w14:val="standardContextual"/>
        </w:rPr>
        <w:t xml:space="preserve"> odločbe)</w:t>
      </w:r>
    </w:p>
    <w:p w14:paraId="3D9CF76F" w14:textId="77777777" w:rsidR="00BE5832" w:rsidRPr="00BE5832" w:rsidRDefault="00BE5832" w:rsidP="00BE5832">
      <w:pPr>
        <w:spacing w:after="0" w:line="259" w:lineRule="auto"/>
        <w:ind w:left="720"/>
        <w:contextualSpacing/>
        <w:rPr>
          <w:rFonts w:eastAsia="Aptos" w:cs="Arial"/>
          <w:color w:val="000000"/>
          <w:kern w:val="2"/>
          <w:szCs w:val="20"/>
          <w14:ligatures w14:val="standardContextual"/>
        </w:rPr>
      </w:pPr>
    </w:p>
    <w:p w14:paraId="147721B7" w14:textId="77777777" w:rsidR="007A3BC1" w:rsidRDefault="007A3BC1" w:rsidP="007A3BC1">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po pregledu vloge upravičenca </w:t>
      </w:r>
      <w:r>
        <w:rPr>
          <w:rFonts w:eastAsia="Aptos" w:cs="Arial"/>
          <w:color w:val="000000"/>
          <w:kern w:val="2"/>
          <w:szCs w:val="20"/>
          <w14:ligatures w14:val="standardContextual"/>
        </w:rPr>
        <w:t>ugotavlja, ali je vloga popolna in ali so izpolnjeni pogoji iz javnega poziva. V primeru zahteve za dopolnitev vloge se šteje, da je vloga oddana pravočasno, če jo upravičenec dopolni v roku.</w:t>
      </w:r>
    </w:p>
    <w:p w14:paraId="12BD43BD" w14:textId="77777777" w:rsidR="007A3BC1" w:rsidRPr="00BE5832" w:rsidRDefault="007A3BC1" w:rsidP="007A3BC1">
      <w:pPr>
        <w:spacing w:after="0" w:line="259" w:lineRule="auto"/>
        <w:ind w:left="720"/>
        <w:contextualSpacing/>
        <w:rPr>
          <w:rFonts w:eastAsia="Aptos" w:cs="Arial"/>
          <w:color w:val="000000"/>
          <w:kern w:val="2"/>
          <w:szCs w:val="20"/>
          <w14:ligatures w14:val="standardContextual"/>
        </w:rPr>
      </w:pPr>
    </w:p>
    <w:p w14:paraId="49CD39C9" w14:textId="77777777"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 dodelitvi spodbude odloči operater trga z odločbo za vsako leto posebej.</w:t>
      </w:r>
    </w:p>
    <w:p w14:paraId="7D551684" w14:textId="77777777" w:rsidR="00BE5832" w:rsidRPr="00BE5832" w:rsidRDefault="00BE5832" w:rsidP="00795E76">
      <w:pPr>
        <w:spacing w:after="0" w:line="259" w:lineRule="auto"/>
        <w:contextualSpacing/>
        <w:rPr>
          <w:rFonts w:eastAsia="Aptos" w:cs="Arial"/>
          <w:color w:val="000000"/>
          <w:kern w:val="2"/>
          <w:szCs w:val="20"/>
          <w14:ligatures w14:val="standardContextual"/>
        </w:rPr>
      </w:pPr>
    </w:p>
    <w:p w14:paraId="11256DFD" w14:textId="107B669E" w:rsidR="007632EA"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V odločbi</w:t>
      </w:r>
      <w:r w:rsidR="007632EA">
        <w:rPr>
          <w:rFonts w:eastAsia="Aptos" w:cs="Arial"/>
          <w:color w:val="000000"/>
          <w:kern w:val="2"/>
          <w:szCs w:val="20"/>
          <w14:ligatures w14:val="standardContextual"/>
        </w:rPr>
        <w:t xml:space="preserve"> o dodelitvi spodbude se</w:t>
      </w:r>
      <w:r w:rsidRPr="00BE5832">
        <w:rPr>
          <w:rFonts w:eastAsia="Aptos" w:cs="Arial"/>
          <w:color w:val="000000"/>
          <w:kern w:val="2"/>
          <w:szCs w:val="20"/>
          <w14:ligatures w14:val="standardContextual"/>
        </w:rPr>
        <w:t xml:space="preserve"> določi</w:t>
      </w:r>
      <w:r w:rsidR="007632EA">
        <w:rPr>
          <w:rFonts w:eastAsia="Aptos" w:cs="Arial"/>
          <w:color w:val="000000"/>
          <w:kern w:val="2"/>
          <w:szCs w:val="20"/>
          <w14:ligatures w14:val="standardContextual"/>
        </w:rPr>
        <w:t>:</w:t>
      </w:r>
    </w:p>
    <w:p w14:paraId="66309081" w14:textId="77777777"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največja letna višina spodbude, do katere je upravičenec upravičen,</w:t>
      </w:r>
    </w:p>
    <w:p w14:paraId="5CB97082" w14:textId="77777777"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znesek in roke izplačila akontacij, </w:t>
      </w:r>
    </w:p>
    <w:p w14:paraId="0534EED2" w14:textId="77777777"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 xml:space="preserve">način poračuna, </w:t>
      </w:r>
    </w:p>
    <w:p w14:paraId="534CC5A7" w14:textId="47E52720"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 xml:space="preserve">navedbo naložb iz načrta in roke </w:t>
      </w:r>
      <w:r>
        <w:rPr>
          <w:rFonts w:eastAsia="Aptos" w:cs="Arial"/>
          <w:color w:val="000000"/>
          <w:kern w:val="2"/>
          <w:szCs w:val="20"/>
          <w14:ligatures w14:val="standardContextual"/>
        </w:rPr>
        <w:t>za začetek izvedbe naložbe</w:t>
      </w:r>
      <w:r w:rsidR="00BE5832" w:rsidRPr="00BE5832">
        <w:rPr>
          <w:rFonts w:eastAsia="Aptos" w:cs="Arial"/>
          <w:color w:val="000000"/>
          <w:kern w:val="2"/>
          <w:szCs w:val="20"/>
          <w14:ligatures w14:val="standardContextual"/>
        </w:rPr>
        <w:t xml:space="preserve"> </w:t>
      </w:r>
    </w:p>
    <w:p w14:paraId="6C0261F0" w14:textId="0B158A8E"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 pogoj</w:t>
      </w:r>
      <w:r w:rsidR="006F5755">
        <w:rPr>
          <w:rFonts w:eastAsia="Aptos" w:cs="Arial"/>
          <w:color w:val="000000"/>
          <w:kern w:val="2"/>
          <w:szCs w:val="20"/>
          <w14:ligatures w14:val="standardContextual"/>
        </w:rPr>
        <w:t>e</w:t>
      </w:r>
      <w:r>
        <w:rPr>
          <w:rFonts w:eastAsia="Aptos" w:cs="Arial"/>
          <w:color w:val="000000"/>
          <w:kern w:val="2"/>
          <w:szCs w:val="20"/>
          <w14:ligatures w14:val="standardContextual"/>
        </w:rPr>
        <w:t>, ki morajo biti izpolnjeni za izplačilo spodbude,</w:t>
      </w:r>
    </w:p>
    <w:p w14:paraId="500CD6FE" w14:textId="74FC27CF" w:rsidR="007632EA"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 xml:space="preserve">- </w:t>
      </w:r>
      <w:r w:rsidR="00BE5832" w:rsidRPr="00BE5832">
        <w:rPr>
          <w:rFonts w:eastAsia="Aptos" w:cs="Arial"/>
          <w:color w:val="000000"/>
          <w:kern w:val="2"/>
          <w:szCs w:val="20"/>
          <w14:ligatures w14:val="standardContextual"/>
        </w:rPr>
        <w:t>posledice, če spodbuda ni uporabljena za upravičene naložbe</w:t>
      </w:r>
      <w:r>
        <w:rPr>
          <w:rFonts w:eastAsia="Aptos" w:cs="Arial"/>
          <w:color w:val="000000"/>
          <w:kern w:val="2"/>
          <w:szCs w:val="20"/>
          <w14:ligatures w14:val="standardContextual"/>
        </w:rPr>
        <w:t xml:space="preserve"> in</w:t>
      </w:r>
    </w:p>
    <w:p w14:paraId="444DAFE7" w14:textId="625A8013" w:rsidR="00BE5832" w:rsidRPr="00BE5832" w:rsidRDefault="007632EA" w:rsidP="007632EA">
      <w:pPr>
        <w:spacing w:after="0" w:line="259" w:lineRule="auto"/>
        <w:ind w:left="709"/>
        <w:contextualSpacing/>
        <w:rPr>
          <w:rFonts w:eastAsia="Aptos" w:cs="Arial"/>
          <w:color w:val="000000"/>
          <w:kern w:val="2"/>
          <w:szCs w:val="20"/>
          <w14:ligatures w14:val="standardContextual"/>
        </w:rPr>
      </w:pPr>
      <w:r>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sankcije v primeru neizpolnjevanja obveznosti.</w:t>
      </w:r>
    </w:p>
    <w:p w14:paraId="736204C3" w14:textId="77777777" w:rsidR="00BE5832" w:rsidRPr="00BE5832" w:rsidRDefault="00BE5832" w:rsidP="007F3AA0">
      <w:pPr>
        <w:spacing w:after="0" w:line="259" w:lineRule="auto"/>
        <w:ind w:left="720"/>
        <w:contextualSpacing/>
        <w:rPr>
          <w:rFonts w:eastAsia="Aptos" w:cs="Arial"/>
          <w:color w:val="000000"/>
          <w:kern w:val="2"/>
          <w:szCs w:val="20"/>
          <w14:ligatures w14:val="standardContextual"/>
        </w:rPr>
      </w:pPr>
    </w:p>
    <w:p w14:paraId="125D907F" w14:textId="32D2F3C8"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w:t>
      </w:r>
      <w:r w:rsidR="00ED6ED4">
        <w:rPr>
          <w:rFonts w:eastAsia="Aptos" w:cs="Arial"/>
          <w:color w:val="000000"/>
          <w:kern w:val="2"/>
          <w:szCs w:val="20"/>
          <w14:ligatures w14:val="standardContextual"/>
        </w:rPr>
        <w:t xml:space="preserve"> dodeljeno</w:t>
      </w:r>
      <w:r w:rsidRPr="00BE5832">
        <w:rPr>
          <w:rFonts w:eastAsia="Aptos" w:cs="Arial"/>
          <w:color w:val="000000"/>
          <w:kern w:val="2"/>
          <w:szCs w:val="20"/>
          <w14:ligatures w14:val="standardContextual"/>
        </w:rPr>
        <w:t xml:space="preserve"> spodbudo v obliki akontacije za posamezno leto izplača v dveh enakih obrokih, in sicer prvega najkasneje do 30. </w:t>
      </w:r>
      <w:r w:rsidR="00C9058D">
        <w:rPr>
          <w:rFonts w:eastAsia="Aptos" w:cs="Arial"/>
          <w:color w:val="000000"/>
          <w:kern w:val="2"/>
          <w:szCs w:val="20"/>
          <w14:ligatures w14:val="standardContextual"/>
        </w:rPr>
        <w:t>junija</w:t>
      </w:r>
      <w:r w:rsidRPr="00BE5832">
        <w:rPr>
          <w:rFonts w:eastAsia="Aptos" w:cs="Arial"/>
          <w:color w:val="000000"/>
          <w:kern w:val="2"/>
          <w:szCs w:val="20"/>
          <w14:ligatures w14:val="standardContextual"/>
        </w:rPr>
        <w:t xml:space="preserve"> in drugega do 30. novembra. </w:t>
      </w:r>
    </w:p>
    <w:p w14:paraId="2A7D2218"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1D91B0E9" w14:textId="7C96C241" w:rsidR="00BE5832" w:rsidRPr="00BE5832" w:rsidRDefault="00BE5832" w:rsidP="007F3AA0">
      <w:pPr>
        <w:numPr>
          <w:ilvl w:val="0"/>
          <w:numId w:val="7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 na podlagi poročila iz 1</w:t>
      </w:r>
      <w:r w:rsidR="00154925">
        <w:rPr>
          <w:rFonts w:eastAsia="Aptos" w:cs="Arial"/>
          <w:color w:val="000000"/>
          <w:kern w:val="2"/>
          <w:szCs w:val="20"/>
          <w14:ligatures w14:val="standardContextual"/>
        </w:rPr>
        <w:t>3</w:t>
      </w:r>
      <w:r w:rsidRPr="00BE5832">
        <w:rPr>
          <w:rFonts w:eastAsia="Aptos" w:cs="Arial"/>
          <w:color w:val="000000"/>
          <w:kern w:val="2"/>
          <w:szCs w:val="20"/>
          <w14:ligatures w14:val="standardContextual"/>
        </w:rPr>
        <w:t>. člena tega zakona do 30. aprila</w:t>
      </w:r>
      <w:r w:rsidR="00ED6ED4">
        <w:rPr>
          <w:rFonts w:eastAsia="Aptos" w:cs="Arial"/>
          <w:color w:val="000000"/>
          <w:kern w:val="2"/>
          <w:szCs w:val="20"/>
          <w14:ligatures w14:val="standardContextual"/>
        </w:rPr>
        <w:t xml:space="preserve"> naslednjega leta s sklepom</w:t>
      </w:r>
      <w:r w:rsidRPr="00BE5832">
        <w:rPr>
          <w:rFonts w:eastAsia="Aptos" w:cs="Arial"/>
          <w:color w:val="000000"/>
          <w:kern w:val="2"/>
          <w:szCs w:val="20"/>
          <w14:ligatures w14:val="standardContextual"/>
        </w:rPr>
        <w:t xml:space="preserve"> izvede poračun za preteklo leto. </w:t>
      </w:r>
      <w:r w:rsidR="006A3A44">
        <w:rPr>
          <w:rFonts w:eastAsia="Aptos" w:cs="Arial"/>
          <w:color w:val="000000"/>
          <w:kern w:val="2"/>
          <w:szCs w:val="20"/>
          <w14:ligatures w14:val="standardContextual"/>
        </w:rPr>
        <w:t>Višina spodbude na podlagi sklepa o poračunu ne more biti višja kot je višina, določena v odločbi iz tretjega odstavka tega člena.</w:t>
      </w:r>
    </w:p>
    <w:p w14:paraId="793CAB57" w14:textId="77777777" w:rsidR="00BE5832" w:rsidRPr="00BE5832" w:rsidRDefault="00BE5832" w:rsidP="007F3AA0">
      <w:pPr>
        <w:spacing w:after="0" w:line="259" w:lineRule="auto"/>
        <w:rPr>
          <w:rFonts w:eastAsia="Aptos" w:cs="Arial"/>
          <w:color w:val="000000"/>
          <w:kern w:val="2"/>
          <w:szCs w:val="20"/>
          <w14:ligatures w14:val="standardContextual"/>
        </w:rPr>
      </w:pPr>
    </w:p>
    <w:p w14:paraId="27861A80" w14:textId="188DAA52" w:rsidR="00BE5832" w:rsidRPr="00BE5832" w:rsidRDefault="00BE5832" w:rsidP="007F3AA0">
      <w:pPr>
        <w:numPr>
          <w:ilvl w:val="0"/>
          <w:numId w:val="74"/>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Zoper odločbo o dodelitvi spodbude ter zoper sklepe, ki </w:t>
      </w:r>
      <w:r w:rsidR="00795E76">
        <w:rPr>
          <w:rFonts w:eastAsia="Aptos" w:cs="Arial"/>
          <w:color w:val="000000"/>
          <w:kern w:val="2"/>
          <w:szCs w:val="20"/>
          <w14:ligatures w14:val="standardContextual"/>
        </w:rPr>
        <w:t xml:space="preserve">jo </w:t>
      </w:r>
      <w:r w:rsidRPr="00BE5832">
        <w:rPr>
          <w:rFonts w:eastAsia="Aptos" w:cs="Arial"/>
          <w:color w:val="000000"/>
          <w:kern w:val="2"/>
          <w:szCs w:val="20"/>
          <w14:ligatures w14:val="standardContextual"/>
        </w:rPr>
        <w:t>izda operater trga na podlagi tega zakona,</w:t>
      </w:r>
      <w:r w:rsidR="00483C4C">
        <w:rPr>
          <w:rFonts w:eastAsia="Aptos" w:cs="Arial"/>
          <w:color w:val="000000"/>
          <w:kern w:val="2"/>
          <w:szCs w:val="20"/>
          <w14:ligatures w14:val="standardContextual"/>
        </w:rPr>
        <w:t xml:space="preserve"> ni pritožbe.</w:t>
      </w:r>
      <w:r w:rsidRPr="00BE5832">
        <w:rPr>
          <w:rFonts w:eastAsia="Aptos" w:cs="Arial"/>
          <w:color w:val="000000"/>
          <w:kern w:val="2"/>
          <w:szCs w:val="20"/>
          <w14:ligatures w14:val="standardContextual"/>
        </w:rPr>
        <w:t xml:space="preserve"> </w:t>
      </w:r>
    </w:p>
    <w:p w14:paraId="5EB35792" w14:textId="77777777" w:rsidR="00BE5832" w:rsidRPr="00BE5832" w:rsidRDefault="00BE5832" w:rsidP="00BE5832">
      <w:pPr>
        <w:spacing w:after="160" w:line="259" w:lineRule="auto"/>
        <w:ind w:left="720"/>
        <w:contextualSpacing/>
        <w:jc w:val="left"/>
        <w:rPr>
          <w:rFonts w:eastAsia="Aptos" w:cs="Arial"/>
          <w:color w:val="000000"/>
          <w:kern w:val="2"/>
          <w:szCs w:val="20"/>
          <w14:ligatures w14:val="standardContextual"/>
        </w:rPr>
      </w:pPr>
    </w:p>
    <w:p w14:paraId="21336949"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4C5AE8EA" w14:textId="3F6A307A" w:rsidR="00BE5832" w:rsidRPr="007C39D0" w:rsidRDefault="00BE5832" w:rsidP="007C39D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7C39D0">
        <w:rPr>
          <w:rFonts w:eastAsia="Times New Roman" w:cs="Arial"/>
          <w:color w:val="000000"/>
          <w:kern w:val="2"/>
          <w:szCs w:val="20"/>
          <w14:ligatures w14:val="standardContextual"/>
        </w:rPr>
        <w:t xml:space="preserve"> člen</w:t>
      </w:r>
    </w:p>
    <w:p w14:paraId="56A63937" w14:textId="2FFF7710"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(sprememba okoliščin in </w:t>
      </w:r>
      <w:r w:rsidR="009F4BB3">
        <w:rPr>
          <w:rFonts w:eastAsia="Aptos" w:cs="Arial"/>
          <w:color w:val="000000"/>
          <w:kern w:val="2"/>
          <w:szCs w:val="20"/>
          <w14:ligatures w14:val="standardContextual"/>
        </w:rPr>
        <w:t xml:space="preserve">vrnitev </w:t>
      </w:r>
      <w:r w:rsidRPr="00BE5832">
        <w:rPr>
          <w:rFonts w:eastAsia="Aptos" w:cs="Arial"/>
          <w:color w:val="000000"/>
          <w:kern w:val="2"/>
          <w:szCs w:val="20"/>
          <w14:ligatures w14:val="standardContextual"/>
        </w:rPr>
        <w:t>neupravičen</w:t>
      </w:r>
      <w:r w:rsidR="009F4BB3">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spodbud</w:t>
      </w:r>
      <w:r w:rsidR="009F4BB3">
        <w:rPr>
          <w:rFonts w:eastAsia="Aptos" w:cs="Arial"/>
          <w:color w:val="000000"/>
          <w:kern w:val="2"/>
          <w:szCs w:val="20"/>
          <w14:ligatures w14:val="standardContextual"/>
        </w:rPr>
        <w:t>e</w:t>
      </w:r>
      <w:r w:rsidRPr="00BE5832">
        <w:rPr>
          <w:rFonts w:eastAsia="Aptos" w:cs="Arial"/>
          <w:color w:val="000000"/>
          <w:kern w:val="2"/>
          <w:szCs w:val="20"/>
          <w14:ligatures w14:val="standardContextual"/>
        </w:rPr>
        <w:t>)</w:t>
      </w:r>
    </w:p>
    <w:p w14:paraId="41EDD583" w14:textId="0D35A1CB" w:rsidR="00BE5832" w:rsidRDefault="009F4BB3" w:rsidP="007F3AA0">
      <w:pPr>
        <w:numPr>
          <w:ilvl w:val="0"/>
          <w:numId w:val="86"/>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Upravičenec, ki mu je bila z odločbo dodeljena spodbuda (v nadaljnjem besedilu: prejemnik spodbude)</w:t>
      </w:r>
      <w:r w:rsidR="00F81548">
        <w:rPr>
          <w:rFonts w:eastAsia="Aptos" w:cs="Arial"/>
          <w:color w:val="000000"/>
          <w:kern w:val="2"/>
          <w:szCs w:val="20"/>
          <w14:ligatures w14:val="standardContextual"/>
        </w:rPr>
        <w:t>,</w:t>
      </w:r>
      <w:r w:rsidR="00BE5832" w:rsidRPr="00BE5832">
        <w:rPr>
          <w:rFonts w:eastAsia="Aptos" w:cs="Arial"/>
          <w:color w:val="000000"/>
          <w:kern w:val="2"/>
          <w:szCs w:val="20"/>
          <w14:ligatures w14:val="standardContextual"/>
        </w:rPr>
        <w:t xml:space="preserve"> sporoči operaterju trga vsa dejstva, ki nastanejo po izdaji odločbe o dodelitvi spodbude in vplivajo na upravičenost do spodbude, njeno višino ali čas prejemanja v osmih dneh od dne</w:t>
      </w:r>
      <w:r w:rsidR="00F81548">
        <w:rPr>
          <w:rFonts w:eastAsia="Aptos" w:cs="Arial"/>
          <w:color w:val="000000"/>
          <w:kern w:val="2"/>
          <w:szCs w:val="20"/>
          <w14:ligatures w14:val="standardContextual"/>
        </w:rPr>
        <w:t>va</w:t>
      </w:r>
      <w:r w:rsidR="00BE5832" w:rsidRPr="00BE5832">
        <w:rPr>
          <w:rFonts w:eastAsia="Aptos" w:cs="Arial"/>
          <w:color w:val="000000"/>
          <w:kern w:val="2"/>
          <w:szCs w:val="20"/>
          <w14:ligatures w14:val="standardContextual"/>
        </w:rPr>
        <w:t>, ko je zanje izvedel.</w:t>
      </w:r>
    </w:p>
    <w:p w14:paraId="2CD4C99E" w14:textId="77777777" w:rsidR="007F3AA0" w:rsidRPr="00BE5832" w:rsidRDefault="007F3AA0" w:rsidP="007F3AA0">
      <w:pPr>
        <w:spacing w:after="160" w:line="259" w:lineRule="auto"/>
        <w:ind w:left="360"/>
        <w:contextualSpacing/>
        <w:rPr>
          <w:rFonts w:eastAsia="Aptos" w:cs="Arial"/>
          <w:color w:val="000000"/>
          <w:kern w:val="2"/>
          <w:szCs w:val="20"/>
          <w14:ligatures w14:val="standardContextual"/>
        </w:rPr>
      </w:pPr>
    </w:p>
    <w:p w14:paraId="5C24D6F5" w14:textId="77777777" w:rsidR="00BE5832" w:rsidRPr="00BE5832" w:rsidRDefault="00BE5832" w:rsidP="007F3AA0">
      <w:pPr>
        <w:spacing w:after="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(2) Operater trga po uradni dolžnosti ali na pobudo prejemnika spodbude izda odločbo, s katero:</w:t>
      </w:r>
    </w:p>
    <w:p w14:paraId="0C576314" w14:textId="623E15DE" w:rsidR="00BE5832" w:rsidRPr="00BE5832" w:rsidRDefault="00BE5832" w:rsidP="007F3AA0">
      <w:pPr>
        <w:numPr>
          <w:ilvl w:val="0"/>
          <w:numId w:val="84"/>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odpravi ali razveljavi odločbo o dodelitvi spodbude, če zaradi spremenjenih okoliščin prejemnik</w:t>
      </w:r>
      <w:r w:rsidR="00F81548">
        <w:rPr>
          <w:rFonts w:eastAsia="Aptos" w:cs="Arial"/>
          <w:color w:val="000000"/>
          <w:kern w:val="2"/>
          <w:szCs w:val="20"/>
          <w14:ligatures w14:val="standardContextual"/>
        </w:rPr>
        <w:t xml:space="preserve"> spodbude</w:t>
      </w:r>
      <w:r w:rsidRPr="00BE5832">
        <w:rPr>
          <w:rFonts w:eastAsia="Aptos" w:cs="Arial"/>
          <w:color w:val="000000"/>
          <w:kern w:val="2"/>
          <w:szCs w:val="20"/>
          <w14:ligatures w14:val="standardContextual"/>
        </w:rPr>
        <w:t xml:space="preserve"> ni upravičen do spodbude;</w:t>
      </w:r>
    </w:p>
    <w:p w14:paraId="0F80A33A" w14:textId="77777777" w:rsidR="00BE5832" w:rsidRPr="00BE5832" w:rsidRDefault="00BE5832" w:rsidP="007F3AA0">
      <w:pPr>
        <w:numPr>
          <w:ilvl w:val="0"/>
          <w:numId w:val="84"/>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spremeni odločbo o dodelitvi spodbude, če je prejemnik zaradi spremenjenih okoliščin upravičen do drugačne višine ali trajanja ali če po izdaji odločbe nastanejo okoliščine, ki vplivajo na pogoje in podatke, določene v odločbi o dodelitvi spodbude.</w:t>
      </w:r>
    </w:p>
    <w:p w14:paraId="55029AF2" w14:textId="77777777" w:rsidR="00BE5832" w:rsidRPr="00BE5832" w:rsidRDefault="00BE5832" w:rsidP="007F3AA0">
      <w:pPr>
        <w:spacing w:after="160" w:line="259" w:lineRule="auto"/>
        <w:ind w:left="720"/>
        <w:contextualSpacing/>
        <w:rPr>
          <w:rFonts w:eastAsia="Aptos" w:cs="Arial"/>
          <w:color w:val="000000"/>
          <w:kern w:val="2"/>
          <w:szCs w:val="20"/>
          <w14:ligatures w14:val="standardContextual"/>
        </w:rPr>
      </w:pPr>
    </w:p>
    <w:p w14:paraId="5FFF1C90" w14:textId="77777777" w:rsidR="00BE5832" w:rsidRPr="00BE5832" w:rsidRDefault="00BE5832" w:rsidP="007F3AA0">
      <w:pPr>
        <w:numPr>
          <w:ilvl w:val="0"/>
          <w:numId w:val="8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Če je prejemnik spodbude zaradi spremenjenih okoliščin prejel spodbudo, do katere ni upravičen, operater trga v odločbi iz prejšnjega odstavka opredeli vrednost neupravičeno prejete podpore in vračilo.</w:t>
      </w:r>
    </w:p>
    <w:p w14:paraId="58F7BAAB" w14:textId="77777777" w:rsidR="00BE5832" w:rsidRPr="00BE5832" w:rsidRDefault="00BE5832" w:rsidP="007F3AA0">
      <w:pPr>
        <w:spacing w:after="160" w:line="259" w:lineRule="auto"/>
        <w:ind w:left="360"/>
        <w:contextualSpacing/>
        <w:rPr>
          <w:rFonts w:eastAsia="Aptos" w:cs="Arial"/>
          <w:color w:val="000000"/>
          <w:kern w:val="2"/>
          <w:szCs w:val="20"/>
          <w14:ligatures w14:val="standardContextual"/>
        </w:rPr>
      </w:pPr>
    </w:p>
    <w:p w14:paraId="23105F6A" w14:textId="23D795C6" w:rsidR="006B3125" w:rsidRPr="0019095E" w:rsidRDefault="00BE5832" w:rsidP="0019095E">
      <w:pPr>
        <w:pStyle w:val="Odstavekseznama"/>
        <w:numPr>
          <w:ilvl w:val="0"/>
          <w:numId w:val="80"/>
        </w:numPr>
        <w:rPr>
          <w:rFonts w:eastAsia="Aptos" w:cs="Arial"/>
          <w:color w:val="000000"/>
          <w:kern w:val="2"/>
          <w:szCs w:val="20"/>
          <w14:ligatures w14:val="standardContextual"/>
        </w:rPr>
      </w:pPr>
      <w:r w:rsidRPr="0019095E">
        <w:rPr>
          <w:rFonts w:eastAsia="Aptos" w:cs="Arial"/>
          <w:color w:val="000000"/>
          <w:kern w:val="2"/>
          <w:szCs w:val="20"/>
          <w14:ligatures w14:val="standardContextual"/>
        </w:rPr>
        <w:t>Če je bila odločba o dodelitvi spodbude izdana na podlagi neresničnih navedb in podatkov prejemnika</w:t>
      </w:r>
      <w:r w:rsidR="003D4B3F" w:rsidRPr="0019095E">
        <w:rPr>
          <w:rFonts w:eastAsia="Aptos" w:cs="Arial"/>
          <w:color w:val="000000"/>
          <w:kern w:val="2"/>
          <w:szCs w:val="20"/>
          <w14:ligatures w14:val="standardContextual"/>
        </w:rPr>
        <w:t xml:space="preserve"> spodbude</w:t>
      </w:r>
      <w:r w:rsidRPr="0019095E">
        <w:rPr>
          <w:rFonts w:eastAsia="Aptos" w:cs="Arial"/>
          <w:color w:val="000000"/>
          <w:kern w:val="2"/>
          <w:szCs w:val="20"/>
          <w14:ligatures w14:val="standardContextual"/>
        </w:rPr>
        <w:t xml:space="preserve">, ali na podlagi ponarejene listine ali krive izpovedbe priče ali izvedenca, ali </w:t>
      </w:r>
      <w:r w:rsidRPr="0019095E">
        <w:rPr>
          <w:rFonts w:eastAsia="Aptos" w:cs="Arial"/>
          <w:color w:val="000000"/>
          <w:kern w:val="2"/>
          <w:szCs w:val="20"/>
          <w14:ligatures w14:val="standardContextual"/>
        </w:rPr>
        <w:lastRenderedPageBreak/>
        <w:t>kot posledica kakšnega drugega kaznivega dejanja, operater trga odpravi odločbo o dodelitvi spodbude ter prejemniku</w:t>
      </w:r>
      <w:r w:rsidR="003D4B3F" w:rsidRPr="0019095E">
        <w:rPr>
          <w:rFonts w:eastAsia="Aptos" w:cs="Arial"/>
          <w:color w:val="000000"/>
          <w:kern w:val="2"/>
          <w:szCs w:val="20"/>
          <w14:ligatures w14:val="standardContextual"/>
        </w:rPr>
        <w:t xml:space="preserve"> spodbude</w:t>
      </w:r>
      <w:r w:rsidRPr="0019095E">
        <w:rPr>
          <w:rFonts w:eastAsia="Aptos" w:cs="Arial"/>
          <w:color w:val="000000"/>
          <w:kern w:val="2"/>
          <w:szCs w:val="20"/>
          <w14:ligatures w14:val="standardContextual"/>
        </w:rPr>
        <w:t xml:space="preserve"> naloži vračilo neupravičeno izplačane spodbude skupaj z zakonskimi zamudnimi obrestmi, ki tečejo od dneva izdaje odločbe dalje do plačila.</w:t>
      </w:r>
      <w:r w:rsidR="006B3125" w:rsidRPr="0019095E">
        <w:rPr>
          <w:rFonts w:eastAsia="Aptos" w:cs="Arial"/>
          <w:color w:val="000000"/>
          <w:kern w:val="2"/>
          <w:szCs w:val="20"/>
          <w14:ligatures w14:val="standardContextual"/>
        </w:rPr>
        <w:t xml:space="preserve"> </w:t>
      </w:r>
      <w:r w:rsidR="0019095E" w:rsidRPr="0019095E">
        <w:rPr>
          <w:rFonts w:eastAsia="Aptos" w:cs="Arial"/>
          <w:color w:val="000000"/>
          <w:kern w:val="2"/>
          <w:szCs w:val="20"/>
          <w14:ligatures w14:val="standardContextual"/>
        </w:rPr>
        <w:t>Operater trga ta sredstva nakaže v proračun Republike Slovenije.</w:t>
      </w:r>
    </w:p>
    <w:p w14:paraId="70CB65A6" w14:textId="77777777" w:rsidR="002E3CF3" w:rsidRPr="008B1E30" w:rsidRDefault="002E3CF3" w:rsidP="002E3CF3">
      <w:pPr>
        <w:spacing w:after="0" w:line="259" w:lineRule="auto"/>
        <w:ind w:left="360"/>
        <w:contextualSpacing/>
        <w:rPr>
          <w:rFonts w:eastAsia="Aptos" w:cs="Arial"/>
          <w:color w:val="000000"/>
          <w:kern w:val="2"/>
          <w:szCs w:val="20"/>
          <w14:ligatures w14:val="standardContextual"/>
        </w:rPr>
      </w:pPr>
    </w:p>
    <w:p w14:paraId="54A04D77" w14:textId="714F0052" w:rsidR="004D33BB" w:rsidRPr="004D33BB" w:rsidRDefault="006B3125" w:rsidP="004D33BB">
      <w:pPr>
        <w:pStyle w:val="Odstavekseznama"/>
        <w:numPr>
          <w:ilvl w:val="0"/>
          <w:numId w:val="80"/>
        </w:numPr>
        <w:rPr>
          <w:rFonts w:eastAsia="Aptos" w:cs="Arial"/>
          <w:color w:val="000000"/>
          <w:kern w:val="2"/>
          <w:szCs w:val="20"/>
          <w14:ligatures w14:val="standardContextual"/>
        </w:rPr>
      </w:pPr>
      <w:r w:rsidRPr="004D33BB">
        <w:rPr>
          <w:rFonts w:eastAsia="Aptos" w:cs="Arial"/>
          <w:color w:val="000000"/>
          <w:kern w:val="2"/>
          <w:szCs w:val="20"/>
          <w14:ligatures w14:val="standardContextual"/>
        </w:rPr>
        <w:t>Če operater trga ugotovi, da</w:t>
      </w:r>
      <w:r w:rsidR="003D4B3F" w:rsidRPr="004D33BB">
        <w:rPr>
          <w:rFonts w:eastAsia="Aptos" w:cs="Arial"/>
          <w:color w:val="000000"/>
          <w:kern w:val="2"/>
          <w:szCs w:val="20"/>
          <w14:ligatures w14:val="standardContextual"/>
        </w:rPr>
        <w:t xml:space="preserve"> prejemnik spodbude ni</w:t>
      </w:r>
      <w:r w:rsidRPr="004D33BB">
        <w:rPr>
          <w:rFonts w:eastAsia="Aptos" w:cs="Arial"/>
          <w:color w:val="000000"/>
          <w:kern w:val="2"/>
          <w:szCs w:val="20"/>
          <w14:ligatures w14:val="standardContextual"/>
        </w:rPr>
        <w:t xml:space="preserve"> izpolnjeval pogojev, se mu </w:t>
      </w:r>
      <w:r w:rsidR="002E3CF3" w:rsidRPr="004D33BB">
        <w:rPr>
          <w:rFonts w:eastAsia="Aptos" w:cs="Arial"/>
          <w:color w:val="000000"/>
          <w:kern w:val="2"/>
          <w:szCs w:val="20"/>
          <w14:ligatures w14:val="standardContextual"/>
        </w:rPr>
        <w:t xml:space="preserve">neupravičeno </w:t>
      </w:r>
      <w:r w:rsidRPr="004D33BB">
        <w:rPr>
          <w:rFonts w:eastAsia="Aptos" w:cs="Arial"/>
          <w:color w:val="000000"/>
          <w:kern w:val="2"/>
          <w:szCs w:val="20"/>
          <w14:ligatures w14:val="standardContextual"/>
        </w:rPr>
        <w:t>dodeljen</w:t>
      </w:r>
      <w:r w:rsidR="002E3CF3" w:rsidRPr="004D33BB">
        <w:rPr>
          <w:rFonts w:eastAsia="Aptos" w:cs="Arial"/>
          <w:color w:val="000000"/>
          <w:kern w:val="2"/>
          <w:szCs w:val="20"/>
          <w14:ligatures w14:val="standardContextual"/>
        </w:rPr>
        <w:t xml:space="preserve"> del</w:t>
      </w:r>
      <w:r w:rsidRPr="004D33BB">
        <w:rPr>
          <w:rFonts w:eastAsia="Aptos" w:cs="Arial"/>
          <w:color w:val="000000"/>
          <w:kern w:val="2"/>
          <w:szCs w:val="20"/>
          <w14:ligatures w14:val="standardContextual"/>
        </w:rPr>
        <w:t xml:space="preserve"> spodbud</w:t>
      </w:r>
      <w:r w:rsidR="002E3CF3" w:rsidRPr="004D33BB">
        <w:rPr>
          <w:rFonts w:eastAsia="Aptos" w:cs="Arial"/>
          <w:color w:val="000000"/>
          <w:kern w:val="2"/>
          <w:szCs w:val="20"/>
          <w14:ligatures w14:val="standardContextual"/>
        </w:rPr>
        <w:t>e</w:t>
      </w:r>
      <w:r w:rsidRPr="004D33BB">
        <w:rPr>
          <w:rFonts w:eastAsia="Aptos" w:cs="Arial"/>
          <w:color w:val="000000"/>
          <w:kern w:val="2"/>
          <w:szCs w:val="20"/>
          <w14:ligatures w14:val="standardContextual"/>
        </w:rPr>
        <w:t xml:space="preserve"> </w:t>
      </w:r>
      <w:r w:rsidR="00683B04">
        <w:rPr>
          <w:rFonts w:eastAsia="Aptos" w:cs="Arial"/>
          <w:color w:val="000000"/>
          <w:kern w:val="2"/>
          <w:szCs w:val="20"/>
          <w14:ligatures w14:val="standardContextual"/>
        </w:rPr>
        <w:t>z odločbo</w:t>
      </w:r>
      <w:r w:rsidRPr="004D33BB">
        <w:rPr>
          <w:rFonts w:eastAsia="Aptos" w:cs="Arial"/>
          <w:color w:val="000000"/>
          <w:kern w:val="2"/>
          <w:szCs w:val="20"/>
          <w14:ligatures w14:val="standardContextual"/>
        </w:rPr>
        <w:t xml:space="preserve"> odvzame, </w:t>
      </w:r>
      <w:r w:rsidR="00447AED" w:rsidRPr="004D33BB">
        <w:rPr>
          <w:rFonts w:eastAsia="Aptos" w:cs="Arial"/>
          <w:color w:val="000000"/>
          <w:kern w:val="2"/>
          <w:szCs w:val="20"/>
          <w14:ligatures w14:val="standardContextual"/>
        </w:rPr>
        <w:t>prejemnik spodbude</w:t>
      </w:r>
      <w:r w:rsidRPr="004D33BB">
        <w:rPr>
          <w:rFonts w:eastAsia="Aptos" w:cs="Arial"/>
          <w:color w:val="000000"/>
          <w:kern w:val="2"/>
          <w:szCs w:val="20"/>
          <w14:ligatures w14:val="standardContextual"/>
        </w:rPr>
        <w:t xml:space="preserve"> pa je dolžan vrniti neupravičeno prejeta sredstva skupaj z zamudnimi obrestmi, določenimi v skladu z zakonom, ki ureja obrestno mero zamudnih obresti, na način, kot je določeno v </w:t>
      </w:r>
      <w:r w:rsidR="00683B04">
        <w:rPr>
          <w:rFonts w:eastAsia="Aptos" w:cs="Arial"/>
          <w:color w:val="000000"/>
          <w:kern w:val="2"/>
          <w:szCs w:val="20"/>
          <w14:ligatures w14:val="standardContextual"/>
        </w:rPr>
        <w:t xml:space="preserve">odločbi </w:t>
      </w:r>
      <w:r w:rsidRPr="004D33BB">
        <w:rPr>
          <w:rFonts w:eastAsia="Aptos" w:cs="Arial"/>
          <w:color w:val="000000"/>
          <w:kern w:val="2"/>
          <w:szCs w:val="20"/>
          <w14:ligatures w14:val="standardContextual"/>
        </w:rPr>
        <w:t>operater</w:t>
      </w:r>
      <w:r w:rsidR="00683B04">
        <w:rPr>
          <w:rFonts w:eastAsia="Aptos" w:cs="Arial"/>
          <w:color w:val="000000"/>
          <w:kern w:val="2"/>
          <w:szCs w:val="20"/>
          <w14:ligatures w14:val="standardContextual"/>
        </w:rPr>
        <w:t>ja</w:t>
      </w:r>
      <w:r w:rsidRPr="004D33BB">
        <w:rPr>
          <w:rFonts w:eastAsia="Aptos" w:cs="Arial"/>
          <w:color w:val="000000"/>
          <w:kern w:val="2"/>
          <w:szCs w:val="20"/>
          <w14:ligatures w14:val="standardContextual"/>
        </w:rPr>
        <w:t xml:space="preserve"> trga. Neupravičeno prejeta sredstva mora vrniti v 30 dneh po vročitvi </w:t>
      </w:r>
      <w:r w:rsidR="00683B04">
        <w:rPr>
          <w:rFonts w:eastAsia="Aptos" w:cs="Arial"/>
          <w:color w:val="000000"/>
          <w:kern w:val="2"/>
          <w:szCs w:val="20"/>
          <w14:ligatures w14:val="standardContextual"/>
        </w:rPr>
        <w:t>odločbe</w:t>
      </w:r>
      <w:r w:rsidRPr="004D33BB">
        <w:rPr>
          <w:rFonts w:eastAsia="Aptos" w:cs="Arial"/>
          <w:color w:val="000000"/>
          <w:kern w:val="2"/>
          <w:szCs w:val="20"/>
          <w14:ligatures w14:val="standardContextual"/>
        </w:rPr>
        <w:t>, skupaj z zakonskimi zamudnimi obrestmi po zakonu, ki ureja predpisano obrestno mero zamudnih obresti, ki tečejo od dneva poteka roka za vračilo neupravičeno prejetih sredstev do dneva vračila.</w:t>
      </w:r>
      <w:r w:rsidR="004D33BB" w:rsidRPr="004D33BB">
        <w:rPr>
          <w:rFonts w:eastAsia="Aptos" w:cs="Arial"/>
          <w:color w:val="000000"/>
          <w:kern w:val="2"/>
          <w:szCs w:val="20"/>
          <w14:ligatures w14:val="standardContextual"/>
        </w:rPr>
        <w:t xml:space="preserve"> Operater trga ta sredstva nakaže v proračun Republike Slovenije.</w:t>
      </w:r>
    </w:p>
    <w:p w14:paraId="0636D7CE" w14:textId="24C8C119" w:rsidR="006B3125" w:rsidRPr="008B1E30" w:rsidRDefault="006B3125" w:rsidP="004D33BB">
      <w:pPr>
        <w:spacing w:after="0" w:line="259" w:lineRule="auto"/>
        <w:contextualSpacing/>
        <w:rPr>
          <w:rFonts w:eastAsia="Aptos" w:cs="Arial"/>
          <w:color w:val="000000"/>
          <w:kern w:val="2"/>
          <w:szCs w:val="20"/>
          <w14:ligatures w14:val="standardContextual"/>
        </w:rPr>
      </w:pPr>
    </w:p>
    <w:p w14:paraId="3049821A" w14:textId="77777777" w:rsidR="00FB01EA" w:rsidRDefault="00FB01EA" w:rsidP="00927446">
      <w:pPr>
        <w:pStyle w:val="Odstavekseznama"/>
        <w:rPr>
          <w:rFonts w:eastAsia="Aptos" w:cs="Arial"/>
          <w:color w:val="000000"/>
          <w:kern w:val="2"/>
          <w:szCs w:val="20"/>
          <w14:ligatures w14:val="standardContextual"/>
        </w:rPr>
      </w:pPr>
    </w:p>
    <w:p w14:paraId="594A87A3" w14:textId="10245F05" w:rsidR="00927446" w:rsidRPr="00FB01EA" w:rsidRDefault="009447E0" w:rsidP="00FB01EA">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FB01EA">
        <w:rPr>
          <w:rFonts w:eastAsia="Times New Roman" w:cs="Arial"/>
          <w:color w:val="000000"/>
          <w:kern w:val="2"/>
          <w:szCs w:val="20"/>
          <w14:ligatures w14:val="standardContextual"/>
        </w:rPr>
        <w:t>člen</w:t>
      </w:r>
    </w:p>
    <w:p w14:paraId="17FFEEDF" w14:textId="56BD1584" w:rsidR="009447E0" w:rsidRDefault="009447E0" w:rsidP="00FB01EA">
      <w:pPr>
        <w:pStyle w:val="Odstavekseznama"/>
        <w:jc w:val="center"/>
        <w:rPr>
          <w:rFonts w:eastAsia="Aptos" w:cs="Arial"/>
          <w:color w:val="000000"/>
          <w:kern w:val="2"/>
          <w:szCs w:val="20"/>
          <w14:ligatures w14:val="standardContextual"/>
        </w:rPr>
      </w:pPr>
      <w:r>
        <w:rPr>
          <w:rFonts w:eastAsia="Aptos" w:cs="Arial"/>
          <w:color w:val="000000"/>
          <w:kern w:val="2"/>
          <w:szCs w:val="20"/>
          <w14:ligatures w14:val="standardContextual"/>
        </w:rPr>
        <w:t>(</w:t>
      </w:r>
      <w:bookmarkStart w:id="47" w:name="_Hlk216104176"/>
      <w:r>
        <w:rPr>
          <w:rFonts w:eastAsia="Aptos" w:cs="Arial"/>
          <w:color w:val="000000"/>
          <w:kern w:val="2"/>
          <w:szCs w:val="20"/>
          <w14:ligatures w14:val="standardContextual"/>
        </w:rPr>
        <w:t>pridobivanje in obdelava podatkov</w:t>
      </w:r>
      <w:r w:rsidR="00D86FA3">
        <w:rPr>
          <w:rFonts w:eastAsia="Aptos" w:cs="Arial"/>
          <w:color w:val="000000"/>
          <w:kern w:val="2"/>
          <w:szCs w:val="20"/>
          <w14:ligatures w14:val="standardContextual"/>
        </w:rPr>
        <w:t xml:space="preserve">, </w:t>
      </w:r>
      <w:r w:rsidR="00D86FA3">
        <w:rPr>
          <w:rFonts w:eastAsia="Aptos" w:cs="Arial"/>
          <w:color w:val="000000"/>
          <w:kern w:val="2"/>
          <w:szCs w:val="20"/>
          <w14:ligatures w14:val="standardContextual"/>
        </w:rPr>
        <w:t>evidenc</w:t>
      </w:r>
      <w:r w:rsidR="00A0257F">
        <w:rPr>
          <w:rFonts w:eastAsia="Aptos" w:cs="Arial"/>
          <w:color w:val="000000"/>
          <w:kern w:val="2"/>
          <w:szCs w:val="20"/>
          <w14:ligatures w14:val="standardContextual"/>
        </w:rPr>
        <w:t>a</w:t>
      </w:r>
      <w:r w:rsidR="00D86FA3">
        <w:rPr>
          <w:rFonts w:eastAsia="Aptos" w:cs="Arial"/>
          <w:color w:val="000000"/>
          <w:kern w:val="2"/>
          <w:szCs w:val="20"/>
          <w14:ligatures w14:val="standardContextual"/>
        </w:rPr>
        <w:t xml:space="preserve"> ter </w:t>
      </w:r>
      <w:r>
        <w:rPr>
          <w:rFonts w:eastAsia="Aptos" w:cs="Arial"/>
          <w:color w:val="000000"/>
          <w:kern w:val="2"/>
          <w:szCs w:val="20"/>
          <w14:ligatures w14:val="standardContextual"/>
        </w:rPr>
        <w:t>hramba</w:t>
      </w:r>
      <w:bookmarkEnd w:id="47"/>
      <w:r>
        <w:rPr>
          <w:rFonts w:eastAsia="Aptos" w:cs="Arial"/>
          <w:color w:val="000000"/>
          <w:kern w:val="2"/>
          <w:szCs w:val="20"/>
          <w14:ligatures w14:val="standardContextual"/>
        </w:rPr>
        <w:t>)</w:t>
      </w:r>
    </w:p>
    <w:p w14:paraId="6C2A308D" w14:textId="77777777" w:rsidR="00C16630" w:rsidRDefault="00C16630" w:rsidP="00FB01EA">
      <w:pPr>
        <w:pStyle w:val="Odstavekseznama"/>
        <w:jc w:val="center"/>
        <w:rPr>
          <w:rFonts w:eastAsia="Aptos" w:cs="Arial"/>
          <w:color w:val="000000"/>
          <w:kern w:val="2"/>
          <w:szCs w:val="20"/>
          <w14:ligatures w14:val="standardContextual"/>
        </w:rPr>
      </w:pPr>
    </w:p>
    <w:p w14:paraId="07416F5A" w14:textId="745990F4" w:rsidR="00BE038D" w:rsidRDefault="009447E0"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Operater trga lahko za namen vodenja postopka in odločanja o dodelitvi spodbude, izplačila spodbude ali v postopku spremljanja in nadzora dodeljenih spodbud pridobiva in obdeluje podatke o merilnih mestih in podatke o porabi upravičencev, ki so vložili vlogo iz 5. člena tega zakona. Operater prenosnega in distribucijskega omrežja in elektrodistribucijska podjetja operaterju trga na njegovo zahtevo brezplačno posredujejo podatke, ki jih potrebuje za ta namen.</w:t>
      </w:r>
      <w:r w:rsidR="00BE038D" w:rsidRPr="00BE038D">
        <w:rPr>
          <w:rFonts w:eastAsia="Aptos" w:cs="Arial"/>
          <w:color w:val="000000"/>
          <w:kern w:val="2"/>
          <w:szCs w:val="20"/>
          <w14:ligatures w14:val="standardContextual"/>
        </w:rPr>
        <w:t xml:space="preserve"> </w:t>
      </w:r>
    </w:p>
    <w:p w14:paraId="59AEFFD7" w14:textId="77777777" w:rsidR="001B077C" w:rsidRPr="00BE038D" w:rsidRDefault="001B077C" w:rsidP="001B077C">
      <w:pPr>
        <w:spacing w:after="160" w:line="259" w:lineRule="auto"/>
        <w:ind w:left="360"/>
        <w:contextualSpacing/>
        <w:rPr>
          <w:rFonts w:eastAsia="Aptos" w:cs="Arial"/>
          <w:color w:val="000000"/>
          <w:kern w:val="2"/>
          <w:szCs w:val="20"/>
          <w14:ligatures w14:val="standardContextual"/>
        </w:rPr>
      </w:pPr>
    </w:p>
    <w:p w14:paraId="3E4A4557" w14:textId="3FA710EF" w:rsidR="009447E0" w:rsidRDefault="00BE038D"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Upravičenec vodi evidenco o porabi in cenah nakupa električne energije, ki je predmet ukrepa iz tega zakona, in jo mora na zahtevo operaterja trga iz 96. člena Zakona o oskrbi z električno energijo (Uradni list RS, št. 172/21 in 47/25) predložiti na vpogled.</w:t>
      </w:r>
    </w:p>
    <w:p w14:paraId="07D983F0" w14:textId="77777777" w:rsidR="001B077C" w:rsidRDefault="001B077C" w:rsidP="001B077C">
      <w:pPr>
        <w:spacing w:after="160" w:line="259" w:lineRule="auto"/>
        <w:contextualSpacing/>
        <w:rPr>
          <w:rFonts w:eastAsia="Aptos" w:cs="Arial"/>
          <w:color w:val="000000"/>
          <w:kern w:val="2"/>
          <w:szCs w:val="20"/>
          <w14:ligatures w14:val="standardContextual"/>
        </w:rPr>
      </w:pPr>
    </w:p>
    <w:p w14:paraId="6C23D12E" w14:textId="757B4AE9" w:rsidR="006A1A7D" w:rsidRPr="00BE038D" w:rsidRDefault="006A1A7D" w:rsidP="0094588D">
      <w:pPr>
        <w:numPr>
          <w:ilvl w:val="0"/>
          <w:numId w:val="102"/>
        </w:numPr>
        <w:spacing w:after="160" w:line="259" w:lineRule="auto"/>
        <w:contextualSpacing/>
        <w:rPr>
          <w:rFonts w:eastAsia="Aptos" w:cs="Arial"/>
          <w:color w:val="000000"/>
          <w:kern w:val="2"/>
          <w:szCs w:val="20"/>
          <w14:ligatures w14:val="standardContextual"/>
        </w:rPr>
      </w:pPr>
      <w:r w:rsidRPr="00BE038D">
        <w:rPr>
          <w:rFonts w:eastAsia="Aptos" w:cs="Arial"/>
          <w:color w:val="000000"/>
          <w:kern w:val="2"/>
          <w:szCs w:val="20"/>
          <w14:ligatures w14:val="standardContextual"/>
        </w:rPr>
        <w:t>Dokumentacija v zvezi z dodeljenimi spodbudami in ukrepi po tem zakonu se hrani 10 let od zadnje dodelitve spodbude.</w:t>
      </w:r>
    </w:p>
    <w:p w14:paraId="0F609C8F" w14:textId="77777777" w:rsidR="006A1A7D" w:rsidRDefault="006A1A7D" w:rsidP="006A1A7D">
      <w:pPr>
        <w:rPr>
          <w:rFonts w:eastAsia="Aptos"/>
        </w:rPr>
      </w:pPr>
    </w:p>
    <w:p w14:paraId="5B14BD4D" w14:textId="2B454807" w:rsidR="005120A6" w:rsidRPr="00BE5832" w:rsidRDefault="005120A6" w:rsidP="005120A6">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V. </w:t>
      </w:r>
      <w:r>
        <w:rPr>
          <w:rFonts w:eastAsia="Times New Roman" w:cs="Arial"/>
          <w:color w:val="000000"/>
          <w:kern w:val="2"/>
          <w:szCs w:val="20"/>
          <w14:ligatures w14:val="standardContextual"/>
        </w:rPr>
        <w:t>UKREPI ZA</w:t>
      </w:r>
      <w:r w:rsidRPr="00BE5832">
        <w:rPr>
          <w:rFonts w:eastAsia="Times New Roman" w:cs="Arial"/>
          <w:color w:val="000000"/>
          <w:kern w:val="2"/>
          <w:szCs w:val="20"/>
          <w14:ligatures w14:val="standardContextual"/>
        </w:rPr>
        <w:t xml:space="preserve"> RAZOGLIČENJ</w:t>
      </w:r>
      <w:r>
        <w:rPr>
          <w:rFonts w:eastAsia="Times New Roman" w:cs="Arial"/>
          <w:color w:val="000000"/>
          <w:kern w:val="2"/>
          <w:szCs w:val="20"/>
          <w14:ligatures w14:val="standardContextual"/>
        </w:rPr>
        <w:t>E</w:t>
      </w:r>
    </w:p>
    <w:p w14:paraId="45AF0B8A" w14:textId="77777777" w:rsidR="005120A6" w:rsidRPr="00BE5832" w:rsidRDefault="005120A6" w:rsidP="005120A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bookmarkStart w:id="48" w:name="_Hlk216168369"/>
      <w:r w:rsidRPr="00BE5832">
        <w:rPr>
          <w:rFonts w:eastAsia="Times New Roman" w:cs="Arial"/>
          <w:color w:val="000000"/>
          <w:kern w:val="2"/>
          <w:szCs w:val="20"/>
          <w14:ligatures w14:val="standardContextual"/>
        </w:rPr>
        <w:t>člen</w:t>
      </w:r>
    </w:p>
    <w:p w14:paraId="675A7B6E" w14:textId="77777777" w:rsidR="005120A6" w:rsidRPr="00BE5832" w:rsidRDefault="005120A6" w:rsidP="005120A6">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(upravičene naložbe v razogljičenje)</w:t>
      </w:r>
    </w:p>
    <w:bookmarkEnd w:id="48"/>
    <w:p w14:paraId="153E240C" w14:textId="77777777" w:rsidR="005120A6" w:rsidRPr="00BE5832" w:rsidRDefault="005120A6" w:rsidP="005120A6">
      <w:pPr>
        <w:spacing w:after="160" w:line="259" w:lineRule="auto"/>
        <w:rPr>
          <w:rFonts w:eastAsia="Aptos" w:cs="Arial"/>
          <w:color w:val="000000"/>
          <w:kern w:val="2"/>
          <w:szCs w:val="20"/>
          <w14:ligatures w14:val="standardContextual"/>
        </w:rPr>
      </w:pPr>
    </w:p>
    <w:p w14:paraId="0BF9A838" w14:textId="6D1BA4EE" w:rsidR="005120A6" w:rsidRPr="00A81F03" w:rsidRDefault="005120A6" w:rsidP="005120A6">
      <w:pPr>
        <w:numPr>
          <w:ilvl w:val="0"/>
          <w:numId w:val="71"/>
        </w:numPr>
        <w:spacing w:after="0" w:line="259" w:lineRule="auto"/>
        <w:contextualSpacing/>
        <w:rPr>
          <w:rFonts w:eastAsia="Aptos" w:cs="Arial"/>
          <w:color w:val="000000"/>
          <w:kern w:val="2"/>
          <w:szCs w:val="20"/>
          <w14:ligatures w14:val="standardContextual"/>
        </w:rPr>
      </w:pPr>
      <w:r w:rsidRPr="00A81F03">
        <w:rPr>
          <w:rFonts w:eastAsia="Aptos" w:cs="Arial"/>
          <w:color w:val="000000"/>
          <w:kern w:val="2"/>
          <w:szCs w:val="20"/>
          <w14:ligatures w14:val="standardContextual"/>
        </w:rPr>
        <w:t xml:space="preserve">Prejemniki spodbud morajo </w:t>
      </w:r>
      <w:r w:rsidR="009B4A9C" w:rsidRPr="00A81F03">
        <w:rPr>
          <w:rFonts w:eastAsia="Aptos" w:cs="Arial"/>
          <w:color w:val="000000"/>
          <w:kern w:val="2"/>
          <w:szCs w:val="20"/>
          <w14:ligatures w14:val="standardContextual"/>
        </w:rPr>
        <w:t>vsaj v višini 50 % zneska prejetih spodbud</w:t>
      </w:r>
      <w:r w:rsidR="009B4A9C" w:rsidRPr="00A81F03">
        <w:rPr>
          <w:rFonts w:eastAsia="Aptos" w:cs="Arial"/>
          <w:color w:val="000000"/>
          <w:kern w:val="2"/>
          <w:szCs w:val="20"/>
          <w14:ligatures w14:val="standardContextual"/>
        </w:rPr>
        <w:t xml:space="preserve"> </w:t>
      </w:r>
      <w:r w:rsidRPr="00A81F03">
        <w:rPr>
          <w:rFonts w:eastAsia="Aptos" w:cs="Arial"/>
          <w:color w:val="000000"/>
          <w:kern w:val="2"/>
          <w:szCs w:val="20"/>
          <w14:ligatures w14:val="standardContextual"/>
        </w:rPr>
        <w:t>investirati v trajnostne naložbe v razogljičenje (v nadaljnjem besedilu: naložbe), kot so:</w:t>
      </w:r>
    </w:p>
    <w:p w14:paraId="03B7273E"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naprave za proizvodnjo energije iz obnovljivih virov, </w:t>
      </w:r>
    </w:p>
    <w:p w14:paraId="24692029"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baterijski hranilniki električne energije in druge tehnološke rešitve za shranjevanje energije, </w:t>
      </w:r>
    </w:p>
    <w:p w14:paraId="700385EE"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ukrepi za povečanje prožnosti na strani povpraševanja po električni energiji, </w:t>
      </w:r>
    </w:p>
    <w:p w14:paraId="5235EEC6"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zamenjava transformatorjev z bolj energetsko učinkovitimi in posodobitve razdelilnih naprav na vseh napetostnih nivojih ter </w:t>
      </w:r>
      <w:r>
        <w:rPr>
          <w:rFonts w:eastAsia="Aptos" w:cs="Arial"/>
          <w:color w:val="000000"/>
          <w:kern w:val="2"/>
          <w:szCs w:val="20"/>
          <w14:ligatures w14:val="standardContextual"/>
        </w:rPr>
        <w:t>drugi</w:t>
      </w:r>
      <w:r w:rsidRPr="00BE5832">
        <w:rPr>
          <w:rFonts w:eastAsia="Aptos" w:cs="Arial"/>
          <w:color w:val="000000"/>
          <w:kern w:val="2"/>
          <w:szCs w:val="20"/>
          <w14:ligatures w14:val="standardContextual"/>
        </w:rPr>
        <w:t xml:space="preserve"> ukrepi za izboljšanja energetske učinkovitosti, ki vplivajo na znižanje porabe električne energije, </w:t>
      </w:r>
    </w:p>
    <w:p w14:paraId="7A1610BF"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sistemi izrabe odvečne toplote,</w:t>
      </w:r>
    </w:p>
    <w:p w14:paraId="3B8D6207"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elektrolizatorji in druga oprema za proizvodnjo obnovljivega ali nizkoogljičnega vodika ali drugih zelenih goriv,</w:t>
      </w:r>
    </w:p>
    <w:p w14:paraId="39F67D16" w14:textId="77777777" w:rsidR="005120A6" w:rsidRPr="00BE5832" w:rsidRDefault="005120A6" w:rsidP="005120A6">
      <w:pPr>
        <w:numPr>
          <w:ilvl w:val="0"/>
          <w:numId w:val="93"/>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naložbe za elektrifikacijo, s katerimi se zniža poraba fosilnih energentov. </w:t>
      </w:r>
    </w:p>
    <w:p w14:paraId="402986F7" w14:textId="77777777" w:rsidR="005120A6" w:rsidRPr="00BE5832" w:rsidRDefault="005120A6" w:rsidP="005120A6">
      <w:pPr>
        <w:spacing w:after="0" w:line="259" w:lineRule="auto"/>
        <w:rPr>
          <w:rFonts w:eastAsia="Aptos" w:cs="Arial"/>
          <w:color w:val="000000"/>
          <w:kern w:val="2"/>
          <w:szCs w:val="20"/>
          <w14:ligatures w14:val="standardContextual"/>
        </w:rPr>
      </w:pPr>
    </w:p>
    <w:p w14:paraId="142B80A2" w14:textId="77777777" w:rsidR="005120A6" w:rsidRPr="00BE5832" w:rsidRDefault="005120A6" w:rsidP="005120A6">
      <w:pPr>
        <w:numPr>
          <w:ilvl w:val="0"/>
          <w:numId w:val="7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Za naložbe upravičenci ne smejo prejemati pomoči iz drugega ukrepa državnih pomoči. </w:t>
      </w:r>
    </w:p>
    <w:p w14:paraId="63F28497"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69D58878" w14:textId="77777777" w:rsidR="005120A6" w:rsidRDefault="005120A6" w:rsidP="005120A6">
      <w:pPr>
        <w:numPr>
          <w:ilvl w:val="0"/>
          <w:numId w:val="7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Investicije v naložbe se priznajo le za nove naložbe. Investicije za nakup rabljenih, obnovljenih, pilotnih in prototipnih naprav se ne štejejo za naložbe.</w:t>
      </w:r>
    </w:p>
    <w:p w14:paraId="3FE147D9" w14:textId="77777777" w:rsidR="005120A6" w:rsidRPr="004629F9" w:rsidRDefault="005120A6" w:rsidP="005120A6">
      <w:pPr>
        <w:spacing w:after="160" w:line="259" w:lineRule="auto"/>
        <w:contextualSpacing/>
        <w:rPr>
          <w:rFonts w:eastAsia="Aptos" w:cs="Arial"/>
          <w:color w:val="000000"/>
          <w:kern w:val="2"/>
          <w:szCs w:val="20"/>
          <w14:ligatures w14:val="standardContextual"/>
        </w:rPr>
      </w:pPr>
    </w:p>
    <w:p w14:paraId="1DAB8D8F" w14:textId="77777777" w:rsidR="005120A6" w:rsidRPr="00BE5832" w:rsidRDefault="005120A6" w:rsidP="005120A6">
      <w:pPr>
        <w:spacing w:after="160" w:line="259" w:lineRule="auto"/>
        <w:contextualSpacing/>
        <w:rPr>
          <w:rFonts w:eastAsia="Aptos" w:cs="Arial"/>
          <w:color w:val="000000"/>
          <w:kern w:val="2"/>
          <w:szCs w:val="20"/>
          <w14:ligatures w14:val="standardContextual"/>
        </w:rPr>
      </w:pPr>
    </w:p>
    <w:p w14:paraId="59625CD2"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2D8FD522" w14:textId="77777777" w:rsidR="005120A6" w:rsidRPr="00BE5832" w:rsidRDefault="005120A6" w:rsidP="005120A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01F041F6" w14:textId="77777777" w:rsidR="005120A6" w:rsidRPr="00BE5832" w:rsidRDefault="005120A6" w:rsidP="005120A6">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(obveznosti glede naložb)</w:t>
      </w:r>
    </w:p>
    <w:p w14:paraId="791F2E37" w14:textId="77777777" w:rsidR="005120A6" w:rsidRPr="00BE5832" w:rsidRDefault="005120A6" w:rsidP="005120A6">
      <w:pPr>
        <w:spacing w:after="160" w:line="259" w:lineRule="auto"/>
        <w:rPr>
          <w:rFonts w:eastAsia="Aptos" w:cs="Arial"/>
          <w:color w:val="000000"/>
          <w:kern w:val="2"/>
          <w:szCs w:val="20"/>
          <w14:ligatures w14:val="standardContextual"/>
        </w:rPr>
      </w:pPr>
    </w:p>
    <w:p w14:paraId="3C3CE87F" w14:textId="5400D067" w:rsidR="005120A6" w:rsidRPr="00BE5832" w:rsidRDefault="005120A6" w:rsidP="005120A6">
      <w:pPr>
        <w:numPr>
          <w:ilvl w:val="0"/>
          <w:numId w:val="7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Naložbe </w:t>
      </w:r>
      <w:r>
        <w:rPr>
          <w:rFonts w:eastAsia="Aptos" w:cs="Arial"/>
          <w:color w:val="000000"/>
          <w:kern w:val="2"/>
          <w:szCs w:val="20"/>
          <w14:ligatures w14:val="standardContextual"/>
        </w:rPr>
        <w:t>se morajo</w:t>
      </w:r>
      <w:r w:rsidRPr="00BE5832">
        <w:rPr>
          <w:rFonts w:eastAsia="Aptos" w:cs="Arial"/>
          <w:color w:val="000000"/>
          <w:kern w:val="2"/>
          <w:szCs w:val="20"/>
          <w14:ligatures w14:val="standardContextual"/>
        </w:rPr>
        <w:t xml:space="preserve"> začeti izvajati najkasneje v 48 mesecih od dodelitve spodbud</w:t>
      </w:r>
      <w:r>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razen če upravičenec z obrazložitvijo v vlogi iz </w:t>
      </w:r>
      <w:r w:rsidR="004E30C5">
        <w:rPr>
          <w:rFonts w:eastAsia="Aptos" w:cs="Arial"/>
          <w:color w:val="000000"/>
          <w:kern w:val="2"/>
          <w:szCs w:val="20"/>
          <w14:ligatures w14:val="standardContextual"/>
        </w:rPr>
        <w:t>5</w:t>
      </w:r>
      <w:r w:rsidRPr="00BE5832">
        <w:rPr>
          <w:rFonts w:eastAsia="Aptos" w:cs="Arial"/>
          <w:color w:val="000000"/>
          <w:kern w:val="2"/>
          <w:szCs w:val="20"/>
          <w14:ligatures w14:val="standardContextual"/>
        </w:rPr>
        <w:t>. člena tega zakona dokaže, da je zaradi tehničnih razlogov primeren daljši časovni okvir, kar upravičenec podrobneje opredeli v vlogi.</w:t>
      </w:r>
      <w:r w:rsidR="00B57637">
        <w:rPr>
          <w:rFonts w:eastAsia="Aptos" w:cs="Arial"/>
          <w:color w:val="000000"/>
          <w:kern w:val="2"/>
          <w:szCs w:val="20"/>
          <w14:ligatures w14:val="standardContextual"/>
        </w:rPr>
        <w:t xml:space="preserve"> </w:t>
      </w:r>
      <w:r w:rsidR="00910750">
        <w:rPr>
          <w:rFonts w:eastAsia="Aptos" w:cs="Arial"/>
          <w:color w:val="000000"/>
          <w:kern w:val="2"/>
          <w:szCs w:val="20"/>
          <w14:ligatures w14:val="standardContextual"/>
        </w:rPr>
        <w:t>Med tehnične razloge se štejejo okoliščine</w:t>
      </w:r>
      <w:r w:rsidR="00910750" w:rsidRPr="00910750">
        <w:rPr>
          <w:rFonts w:eastAsia="Aptos" w:cs="Arial"/>
          <w:color w:val="000000"/>
          <w:kern w:val="2"/>
          <w:szCs w:val="20"/>
          <w14:ligatures w14:val="standardContextual"/>
        </w:rPr>
        <w:t xml:space="preserve">, ki niso posledica ravnanja ali opustitev prejemnika spodbude, </w:t>
      </w:r>
      <w:r w:rsidR="00910750">
        <w:rPr>
          <w:rFonts w:eastAsia="Aptos" w:cs="Arial"/>
          <w:color w:val="000000"/>
          <w:kern w:val="2"/>
          <w:szCs w:val="20"/>
          <w14:ligatures w14:val="standardContextual"/>
        </w:rPr>
        <w:t xml:space="preserve">kot so zamude </w:t>
      </w:r>
      <w:r w:rsidR="00910750" w:rsidRPr="00910750">
        <w:rPr>
          <w:rFonts w:eastAsia="Aptos" w:cs="Arial"/>
          <w:color w:val="000000"/>
          <w:kern w:val="2"/>
          <w:szCs w:val="20"/>
          <w14:ligatures w14:val="standardContextual"/>
        </w:rPr>
        <w:t xml:space="preserve">pri pridobivanju dovoljenj, </w:t>
      </w:r>
      <w:r w:rsidR="00B57637">
        <w:rPr>
          <w:rFonts w:eastAsia="Aptos" w:cs="Arial"/>
          <w:color w:val="000000"/>
          <w:kern w:val="2"/>
          <w:szCs w:val="20"/>
          <w14:ligatures w14:val="standardContextual"/>
        </w:rPr>
        <w:t>ne</w:t>
      </w:r>
      <w:r w:rsidR="00910750" w:rsidRPr="00910750">
        <w:rPr>
          <w:rFonts w:eastAsia="Aptos" w:cs="Arial"/>
          <w:color w:val="000000"/>
          <w:kern w:val="2"/>
          <w:szCs w:val="20"/>
          <w14:ligatures w14:val="standardContextual"/>
        </w:rPr>
        <w:t>izpolnjevanj</w:t>
      </w:r>
      <w:r w:rsidR="00B57637">
        <w:rPr>
          <w:rFonts w:eastAsia="Aptos" w:cs="Arial"/>
          <w:color w:val="000000"/>
          <w:kern w:val="2"/>
          <w:szCs w:val="20"/>
          <w14:ligatures w14:val="standardContextual"/>
        </w:rPr>
        <w:t>u</w:t>
      </w:r>
      <w:r w:rsidR="00910750" w:rsidRPr="00910750">
        <w:rPr>
          <w:rFonts w:eastAsia="Aptos" w:cs="Arial"/>
          <w:color w:val="000000"/>
          <w:kern w:val="2"/>
          <w:szCs w:val="20"/>
          <w14:ligatures w14:val="standardContextual"/>
        </w:rPr>
        <w:t xml:space="preserve"> rokov s strani </w:t>
      </w:r>
      <w:r w:rsidR="00910750">
        <w:rPr>
          <w:rFonts w:eastAsia="Aptos" w:cs="Arial"/>
          <w:color w:val="000000"/>
          <w:kern w:val="2"/>
          <w:szCs w:val="20"/>
          <w14:ligatures w14:val="standardContextual"/>
        </w:rPr>
        <w:t xml:space="preserve">izvajalcev, </w:t>
      </w:r>
      <w:r w:rsidR="00A856C4">
        <w:rPr>
          <w:rFonts w:eastAsia="Aptos" w:cs="Arial"/>
          <w:color w:val="000000"/>
          <w:kern w:val="2"/>
          <w:szCs w:val="20"/>
          <w14:ligatures w14:val="standardContextual"/>
        </w:rPr>
        <w:t>zagotavljanju</w:t>
      </w:r>
      <w:r w:rsidR="00910750">
        <w:rPr>
          <w:rFonts w:eastAsia="Aptos" w:cs="Arial"/>
          <w:color w:val="000000"/>
          <w:kern w:val="2"/>
          <w:szCs w:val="20"/>
          <w14:ligatures w14:val="standardContextual"/>
        </w:rPr>
        <w:t xml:space="preserve"> finančnih virov</w:t>
      </w:r>
      <w:r w:rsidR="00910750" w:rsidRPr="00910750">
        <w:rPr>
          <w:rFonts w:eastAsia="Aptos" w:cs="Arial"/>
          <w:color w:val="000000"/>
          <w:kern w:val="2"/>
          <w:szCs w:val="20"/>
          <w14:ligatures w14:val="standardContextual"/>
        </w:rPr>
        <w:t>.</w:t>
      </w:r>
    </w:p>
    <w:p w14:paraId="07B02BED" w14:textId="77777777" w:rsidR="005120A6" w:rsidRPr="00BE5832" w:rsidRDefault="005120A6" w:rsidP="005120A6">
      <w:pPr>
        <w:spacing w:after="160" w:line="259" w:lineRule="auto"/>
        <w:ind w:left="720"/>
        <w:contextualSpacing/>
        <w:rPr>
          <w:rFonts w:eastAsia="Aptos" w:cs="Arial"/>
          <w:color w:val="000000"/>
          <w:kern w:val="2"/>
          <w:szCs w:val="20"/>
          <w14:ligatures w14:val="standardContextual"/>
        </w:rPr>
      </w:pPr>
    </w:p>
    <w:p w14:paraId="5D556D6F" w14:textId="77777777" w:rsidR="0019797D" w:rsidRDefault="005120A6" w:rsidP="0019797D">
      <w:pPr>
        <w:numPr>
          <w:ilvl w:val="0"/>
          <w:numId w:val="72"/>
        </w:numPr>
        <w:spacing w:after="0" w:line="259" w:lineRule="auto"/>
        <w:contextualSpacing/>
        <w:rPr>
          <w:rFonts w:eastAsia="Aptos" w:cs="Arial"/>
          <w:color w:val="000000"/>
          <w:kern w:val="2"/>
          <w:szCs w:val="20"/>
          <w14:ligatures w14:val="standardContextual"/>
        </w:rPr>
      </w:pPr>
      <w:r w:rsidRPr="0019797D">
        <w:rPr>
          <w:rFonts w:eastAsia="Aptos" w:cs="Arial"/>
          <w:color w:val="000000"/>
          <w:kern w:val="2"/>
          <w:szCs w:val="20"/>
          <w14:ligatures w14:val="standardContextual"/>
        </w:rPr>
        <w:t>Za posamezno naložbo se lahko namenijo spodbude, ki se prejmejo za več let. V tem primeru se naložbe začnejo izvajati najkasneje v 48 mesecih od dodelitve spodbude za zadnje leto upravičenosti.</w:t>
      </w:r>
    </w:p>
    <w:p w14:paraId="31542D37" w14:textId="77777777" w:rsidR="0019797D" w:rsidRDefault="0019797D" w:rsidP="0019797D">
      <w:pPr>
        <w:pStyle w:val="Odstavekseznama"/>
        <w:spacing w:after="0"/>
        <w:rPr>
          <w:rFonts w:eastAsia="Aptos" w:cs="Arial"/>
          <w:color w:val="000000"/>
          <w:kern w:val="2"/>
          <w:szCs w:val="20"/>
          <w14:ligatures w14:val="standardContextual"/>
        </w:rPr>
      </w:pPr>
    </w:p>
    <w:p w14:paraId="443782C1" w14:textId="27EA29E1" w:rsidR="005120A6" w:rsidRDefault="005120A6" w:rsidP="0019797D">
      <w:pPr>
        <w:numPr>
          <w:ilvl w:val="0"/>
          <w:numId w:val="72"/>
        </w:numPr>
        <w:spacing w:after="0" w:line="259" w:lineRule="auto"/>
        <w:contextualSpacing/>
        <w:rPr>
          <w:rFonts w:eastAsia="Aptos" w:cs="Arial"/>
          <w:color w:val="000000"/>
          <w:kern w:val="2"/>
          <w:szCs w:val="20"/>
          <w14:ligatures w14:val="standardContextual"/>
        </w:rPr>
      </w:pPr>
      <w:r w:rsidRPr="0019797D">
        <w:rPr>
          <w:rFonts w:eastAsia="Aptos" w:cs="Arial"/>
          <w:color w:val="000000"/>
          <w:kern w:val="2"/>
          <w:szCs w:val="20"/>
          <w14:ligatures w14:val="standardContextual"/>
        </w:rPr>
        <w:t>Upravičenec, ki prejme spodbudo po tem zakonu, mora ostati lastnik naložbe, v katero je investiral, še najmanj pet let po njenem dokončanju.</w:t>
      </w:r>
    </w:p>
    <w:p w14:paraId="1DBC4AAB" w14:textId="77777777" w:rsidR="00043D98" w:rsidRDefault="00043D98" w:rsidP="00043D98">
      <w:pPr>
        <w:pStyle w:val="Odstavekseznama"/>
        <w:rPr>
          <w:rFonts w:eastAsia="Aptos" w:cs="Arial"/>
          <w:color w:val="000000"/>
          <w:kern w:val="2"/>
          <w:szCs w:val="20"/>
          <w14:ligatures w14:val="standardContextual"/>
        </w:rPr>
      </w:pPr>
    </w:p>
    <w:p w14:paraId="3C390076" w14:textId="7B3AC609" w:rsidR="00043D98" w:rsidRPr="00043D98" w:rsidRDefault="00043D98" w:rsidP="00043D98">
      <w:pPr>
        <w:numPr>
          <w:ilvl w:val="0"/>
          <w:numId w:val="72"/>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Dokler podjetje ne izvede naložb v razogljičenje, za katere se je zavezalo z načrtom naložb v vlogi na javni poziv po tem ukrepu, ne sme:</w:t>
      </w:r>
    </w:p>
    <w:p w14:paraId="65B61D60" w14:textId="3B9CCEAC" w:rsidR="00043D98" w:rsidRPr="00043D98" w:rsidRDefault="00043D98" w:rsidP="00043D98">
      <w:pPr>
        <w:pStyle w:val="Odstavekseznama"/>
        <w:numPr>
          <w:ilvl w:val="0"/>
          <w:numId w:val="84"/>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iz čistega dobička poslovnega leta, za katero je prejelo spodbudo po tem zakonu, izplačati dividend ali izvajati odkupa lastnih deležev oziroma delnic v znesku, ki presega razliko med čistim dobičkom posameznega poslovnega leta po sprejetju letnega poročila in skupnim zneskom spodbude, ki se nanaša na to poslovno leto, vključno z izplačanimi akontacijami in poračunom, ne glede na datum izplačila spodbude. Če je čisti dobiček posameznega poslovnega leta nižji ali enak znesku spodbude, ki se nanaša na isto leto, izplačilo dividend ali odkup lastnih deležev oziroma delnic iz čistega dobička tega poslovnega leta ni dovoljeno;</w:t>
      </w:r>
    </w:p>
    <w:p w14:paraId="1691D0BB" w14:textId="01C1EA3F" w:rsidR="00043D98" w:rsidRPr="00043D98" w:rsidRDefault="00043D98" w:rsidP="00043D98">
      <w:pPr>
        <w:pStyle w:val="Odstavekseznama"/>
        <w:numPr>
          <w:ilvl w:val="0"/>
          <w:numId w:val="84"/>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odobriti novih posojil neposrednim lastnikom ali povezanim osebam, razen kratkoročnih likvidnostnih aranžmajev po tržnih pogojih.</w:t>
      </w:r>
    </w:p>
    <w:p w14:paraId="73015C23" w14:textId="77777777" w:rsidR="00043D98" w:rsidRPr="00043D98" w:rsidRDefault="00043D98" w:rsidP="00043D98">
      <w:pPr>
        <w:spacing w:after="0" w:line="259" w:lineRule="auto"/>
        <w:ind w:left="720"/>
        <w:contextualSpacing/>
        <w:rPr>
          <w:rFonts w:eastAsia="Aptos" w:cs="Arial"/>
          <w:color w:val="000000"/>
          <w:kern w:val="2"/>
          <w:szCs w:val="20"/>
          <w14:ligatures w14:val="standardContextual"/>
        </w:rPr>
      </w:pPr>
    </w:p>
    <w:p w14:paraId="75D23EB3" w14:textId="60A75B29" w:rsidR="00043D98" w:rsidRPr="00CE33CD" w:rsidRDefault="00043D98" w:rsidP="00CE33CD">
      <w:pPr>
        <w:numPr>
          <w:ilvl w:val="0"/>
          <w:numId w:val="72"/>
        </w:numPr>
        <w:spacing w:after="0" w:line="259" w:lineRule="auto"/>
        <w:contextualSpacing/>
        <w:rPr>
          <w:rFonts w:eastAsia="Aptos" w:cs="Arial"/>
          <w:color w:val="000000"/>
          <w:kern w:val="2"/>
          <w:szCs w:val="20"/>
          <w14:ligatures w14:val="standardContextual"/>
        </w:rPr>
      </w:pPr>
      <w:r w:rsidRPr="00043D98">
        <w:rPr>
          <w:rFonts w:eastAsia="Aptos" w:cs="Arial"/>
          <w:color w:val="000000"/>
          <w:kern w:val="2"/>
          <w:szCs w:val="20"/>
          <w14:ligatures w14:val="standardContextual"/>
        </w:rPr>
        <w:t xml:space="preserve">V primeru dovoljenih izplačil ali posojil iz prejšnjega odstavka prejeta korist iz tega ukrepa ne sme predstavljati vira sredstev za izplačilo dividend ali odobritev posojil lastnikom ali povezanim osebam.  </w:t>
      </w:r>
    </w:p>
    <w:p w14:paraId="4954E7B9" w14:textId="77777777" w:rsidR="00927446" w:rsidRPr="00BE5832" w:rsidRDefault="00927446" w:rsidP="00927446">
      <w:pPr>
        <w:spacing w:after="160" w:line="259" w:lineRule="auto"/>
        <w:contextualSpacing/>
        <w:rPr>
          <w:rFonts w:eastAsia="Aptos" w:cs="Arial"/>
          <w:color w:val="000000"/>
          <w:kern w:val="2"/>
          <w:szCs w:val="20"/>
          <w14:ligatures w14:val="standardContextual"/>
        </w:rPr>
      </w:pPr>
    </w:p>
    <w:p w14:paraId="3683E50B" w14:textId="77777777" w:rsidR="00BE5832" w:rsidRPr="00BE5832" w:rsidRDefault="00BE5832" w:rsidP="007F3AA0">
      <w:pPr>
        <w:spacing w:after="160" w:line="259" w:lineRule="auto"/>
        <w:rPr>
          <w:rFonts w:eastAsia="Aptos" w:cs="Arial"/>
          <w:color w:val="000000"/>
          <w:kern w:val="2"/>
          <w:szCs w:val="20"/>
          <w14:ligatures w14:val="standardContextual"/>
        </w:rPr>
      </w:pPr>
    </w:p>
    <w:p w14:paraId="7CF6AE5C" w14:textId="03DB4334" w:rsidR="00BE5832" w:rsidRPr="00BE5832" w:rsidRDefault="00BE5832" w:rsidP="00D26C52">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VI. </w:t>
      </w:r>
      <w:r w:rsidRPr="00BE5832">
        <w:rPr>
          <w:rFonts w:eastAsia="Times New Roman" w:cs="Arial"/>
          <w:color w:val="000000"/>
          <w:kern w:val="2"/>
          <w:szCs w:val="20"/>
          <w14:ligatures w14:val="standardContextual"/>
        </w:rPr>
        <w:tab/>
      </w:r>
      <w:r w:rsidR="00763ACA">
        <w:rPr>
          <w:rFonts w:eastAsia="Times New Roman" w:cs="Arial"/>
          <w:color w:val="000000"/>
          <w:kern w:val="2"/>
          <w:szCs w:val="20"/>
          <w14:ligatures w14:val="standardContextual"/>
        </w:rPr>
        <w:t>VIRI FINANCIRANJA</w:t>
      </w:r>
    </w:p>
    <w:p w14:paraId="1E8BF7AF" w14:textId="77777777" w:rsidR="00BE5832" w:rsidRPr="00BE5832" w:rsidRDefault="00BE5832" w:rsidP="00BE5832">
      <w:pPr>
        <w:spacing w:after="160" w:line="259" w:lineRule="auto"/>
        <w:rPr>
          <w:rFonts w:eastAsia="Aptos" w:cs="Arial"/>
          <w:color w:val="000000"/>
          <w:kern w:val="2"/>
          <w:szCs w:val="20"/>
          <w14:ligatures w14:val="standardContextual"/>
        </w:rPr>
      </w:pPr>
    </w:p>
    <w:p w14:paraId="7AA9BC94" w14:textId="77777777" w:rsidR="00BE5832" w:rsidRPr="00BE5832" w:rsidRDefault="00BE5832" w:rsidP="007C39D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5CB468F5" w14:textId="28111FB9" w:rsidR="00BE5832" w:rsidRPr="007C39D0" w:rsidRDefault="00BE5832" w:rsidP="007C39D0">
      <w:pPr>
        <w:keepNext/>
        <w:keepLines/>
        <w:spacing w:before="160" w:after="80" w:line="259" w:lineRule="auto"/>
        <w:ind w:left="644"/>
        <w:jc w:val="center"/>
        <w:outlineLvl w:val="1"/>
        <w:rPr>
          <w:rFonts w:eastAsia="Times New Roman" w:cs="Arial"/>
          <w:color w:val="000000"/>
          <w:kern w:val="2"/>
          <w:szCs w:val="20"/>
          <w14:ligatures w14:val="standardContextual"/>
        </w:rPr>
      </w:pPr>
      <w:r w:rsidRPr="007C39D0">
        <w:rPr>
          <w:rFonts w:eastAsia="Times New Roman" w:cs="Arial"/>
          <w:color w:val="000000"/>
          <w:kern w:val="2"/>
          <w:szCs w:val="20"/>
          <w14:ligatures w14:val="standardContextual"/>
        </w:rPr>
        <w:t>(zagotavljanje sredstev)</w:t>
      </w:r>
    </w:p>
    <w:p w14:paraId="102B6E20" w14:textId="77777777" w:rsidR="00BE5832" w:rsidRPr="00BE5832" w:rsidRDefault="00BE5832" w:rsidP="00BE5832">
      <w:pPr>
        <w:spacing w:after="160" w:line="259" w:lineRule="auto"/>
        <w:rPr>
          <w:rFonts w:eastAsia="Aptos" w:cs="Arial"/>
          <w:color w:val="000000"/>
          <w:kern w:val="2"/>
          <w:szCs w:val="20"/>
          <w14:ligatures w14:val="standardContextual"/>
        </w:rPr>
      </w:pPr>
    </w:p>
    <w:p w14:paraId="6D2C8369" w14:textId="4C0EC1A1"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Vlada</w:t>
      </w:r>
      <w:r w:rsidR="005B6E2F">
        <w:rPr>
          <w:rFonts w:eastAsia="Aptos" w:cs="Arial"/>
          <w:color w:val="000000"/>
          <w:kern w:val="2"/>
          <w:szCs w:val="20"/>
          <w14:ligatures w14:val="standardContextual"/>
        </w:rPr>
        <w:t xml:space="preserve"> v skladu s šestim odstavkom 4. člena tega zakona</w:t>
      </w:r>
      <w:r w:rsidRPr="00BE5832">
        <w:rPr>
          <w:rFonts w:eastAsia="Aptos" w:cs="Arial"/>
          <w:color w:val="000000"/>
          <w:kern w:val="2"/>
          <w:szCs w:val="20"/>
          <w14:ligatures w14:val="standardContextual"/>
        </w:rPr>
        <w:t xml:space="preserve"> vsako leto najkasneje do 31. januarja s sklepom določi razpoložljiv znesek, ki se bo v tekočem letu namenil za izvajanje ukrepa po tem zakonu in najvišjo spodbudo za električno energijo v EUR/MWh. Sklep se objavi v Uradnem listu Republike Slovenije.</w:t>
      </w:r>
    </w:p>
    <w:p w14:paraId="5FBA3F6A"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071FB17C" w14:textId="07D54240"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na podlagi pregleda prejetih vlog vsako leto najkasneje do konca meseca </w:t>
      </w:r>
      <w:r w:rsidR="00B86384">
        <w:rPr>
          <w:rFonts w:eastAsia="Aptos" w:cs="Arial"/>
          <w:color w:val="000000"/>
          <w:kern w:val="2"/>
          <w:szCs w:val="20"/>
          <w14:ligatures w14:val="standardContextual"/>
        </w:rPr>
        <w:t>marca</w:t>
      </w:r>
      <w:r w:rsidRPr="00BE5832">
        <w:rPr>
          <w:rFonts w:eastAsia="Aptos" w:cs="Arial"/>
          <w:color w:val="000000"/>
          <w:kern w:val="2"/>
          <w:szCs w:val="20"/>
          <w14:ligatures w14:val="standardContextual"/>
        </w:rPr>
        <w:t xml:space="preserve"> preveri napovedi porabe upravičencev in </w:t>
      </w:r>
      <w:r w:rsidR="009A2872" w:rsidRPr="00BE5832">
        <w:rPr>
          <w:rFonts w:eastAsia="Aptos" w:cs="Arial"/>
          <w:color w:val="000000"/>
          <w:kern w:val="2"/>
          <w:szCs w:val="20"/>
          <w14:ligatures w14:val="standardContextual"/>
        </w:rPr>
        <w:t>ugotav</w:t>
      </w:r>
      <w:r w:rsidR="009A2872">
        <w:rPr>
          <w:rFonts w:eastAsia="Aptos" w:cs="Arial"/>
          <w:color w:val="000000"/>
          <w:kern w:val="2"/>
          <w:szCs w:val="20"/>
          <w14:ligatures w14:val="standardContextual"/>
        </w:rPr>
        <w:t>lja</w:t>
      </w:r>
      <w:r w:rsidRPr="00BE5832">
        <w:rPr>
          <w:rFonts w:eastAsia="Aptos" w:cs="Arial"/>
          <w:color w:val="000000"/>
          <w:kern w:val="2"/>
          <w:szCs w:val="20"/>
          <w14:ligatures w14:val="standardContextual"/>
        </w:rPr>
        <w:t xml:space="preserve"> morebitno odstopanje od </w:t>
      </w:r>
      <w:r w:rsidR="009A2872">
        <w:rPr>
          <w:rFonts w:eastAsia="Aptos" w:cs="Arial"/>
          <w:color w:val="000000"/>
          <w:kern w:val="2"/>
          <w:szCs w:val="20"/>
          <w14:ligatures w14:val="standardContextual"/>
        </w:rPr>
        <w:t xml:space="preserve">napovedi porabe, ki je bila uporabljena pri določanju najvišje spodbude za električno energijo v postopku iz </w:t>
      </w:r>
      <w:r w:rsidRPr="00BE5832">
        <w:rPr>
          <w:rFonts w:eastAsia="Aptos" w:cs="Arial"/>
          <w:color w:val="000000"/>
          <w:kern w:val="2"/>
          <w:szCs w:val="20"/>
          <w14:ligatures w14:val="standardContextual"/>
        </w:rPr>
        <w:t>prejšnjega odstavka. V primeru višje napovedi potreb operater trga izračuna povprečno letno spodbudo v EUR/MWh, tako, da sorazmerno zniža najvišjo spodbudo, ki jo je sprejela vlada</w:t>
      </w:r>
      <w:r w:rsidR="009A2872">
        <w:rPr>
          <w:rFonts w:eastAsia="Aptos" w:cs="Arial"/>
          <w:color w:val="000000"/>
          <w:kern w:val="2"/>
          <w:szCs w:val="20"/>
          <w14:ligatures w14:val="standardContextual"/>
        </w:rPr>
        <w:t xml:space="preserve"> v postopku iz prejšnjega odstavka</w:t>
      </w:r>
      <w:r w:rsidRPr="00BE5832">
        <w:rPr>
          <w:rFonts w:eastAsia="Aptos" w:cs="Arial"/>
          <w:color w:val="000000"/>
          <w:kern w:val="2"/>
          <w:szCs w:val="20"/>
          <w14:ligatures w14:val="standardContextual"/>
        </w:rPr>
        <w:t xml:space="preserve">. Povprečno spodbudo v EUR/MWh objavi na svoji spletni najkasneje do 15. </w:t>
      </w:r>
      <w:r w:rsidR="00A5531F">
        <w:rPr>
          <w:rFonts w:eastAsia="Aptos" w:cs="Arial"/>
          <w:color w:val="000000"/>
          <w:kern w:val="2"/>
          <w:szCs w:val="20"/>
          <w14:ligatures w14:val="standardContextual"/>
        </w:rPr>
        <w:t>aprila</w:t>
      </w:r>
      <w:r w:rsidRPr="00BE5832">
        <w:rPr>
          <w:rFonts w:eastAsia="Aptos" w:cs="Arial"/>
          <w:color w:val="000000"/>
          <w:kern w:val="2"/>
          <w:szCs w:val="20"/>
          <w14:ligatures w14:val="standardContextual"/>
        </w:rPr>
        <w:t>.</w:t>
      </w:r>
    </w:p>
    <w:p w14:paraId="65E88BB4"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2544784C" w14:textId="671EAB5D"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Zavezanci za zagotavljanje sredstev iz prvega odstavka tega člena so družbe v posredni ali neposredni 100 odstotni državni lasti, ki imajo v svoji neposredni ali posredni lasti elektrarne s skupno nazivno močjo več kot 400 MW, </w:t>
      </w:r>
      <w:bookmarkStart w:id="49" w:name="_Hlk214967322"/>
      <w:r w:rsidRPr="00BE5832">
        <w:rPr>
          <w:rFonts w:eastAsia="Aptos" w:cs="Arial"/>
          <w:color w:val="000000"/>
          <w:kern w:val="2"/>
          <w:szCs w:val="20"/>
          <w14:ligatures w14:val="standardContextual"/>
        </w:rPr>
        <w:t>razen v kolikor proizvajalci</w:t>
      </w:r>
      <w:r w:rsidR="00BD18A6">
        <w:rPr>
          <w:rFonts w:eastAsia="Aptos" w:cs="Arial"/>
          <w:color w:val="000000"/>
          <w:kern w:val="2"/>
          <w:szCs w:val="20"/>
          <w14:ligatures w14:val="standardContextual"/>
        </w:rPr>
        <w:t xml:space="preserve"> </w:t>
      </w:r>
      <w:r w:rsidRPr="00BE5832">
        <w:rPr>
          <w:rFonts w:eastAsia="Aptos" w:cs="Arial"/>
          <w:color w:val="000000"/>
          <w:kern w:val="2"/>
          <w:szCs w:val="20"/>
          <w14:ligatures w14:val="standardContextual"/>
        </w:rPr>
        <w:t>izvajajo gospodarsko javno službo, in sicer v enaki višini.</w:t>
      </w:r>
      <w:bookmarkEnd w:id="49"/>
    </w:p>
    <w:p w14:paraId="4EC7B168"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5DEDCCA7" w14:textId="5DCA04CA" w:rsidR="00BE5832" w:rsidRPr="00BE5832" w:rsidRDefault="00BE5832" w:rsidP="00DA6357">
      <w:pPr>
        <w:numPr>
          <w:ilvl w:val="0"/>
          <w:numId w:val="75"/>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Družbe iz prejšnjega odstavka z operaterjem trga sklenejo pogodbo, v kateri uredijo način plačila sredstev operaterju trga. Družbe iz prejšnjega odstavka morajo pogodbo z operaterjem trga podpisati najkasneje v roku </w:t>
      </w:r>
      <w:r w:rsidR="00521347">
        <w:rPr>
          <w:rFonts w:eastAsia="Aptos" w:cs="Arial"/>
          <w:color w:val="000000"/>
          <w:kern w:val="2"/>
          <w:szCs w:val="20"/>
          <w14:ligatures w14:val="standardContextual"/>
        </w:rPr>
        <w:t>trideset</w:t>
      </w:r>
      <w:r w:rsidRPr="00BE5832">
        <w:rPr>
          <w:rFonts w:eastAsia="Aptos" w:cs="Arial"/>
          <w:color w:val="000000"/>
          <w:kern w:val="2"/>
          <w:szCs w:val="20"/>
          <w14:ligatures w14:val="standardContextual"/>
        </w:rPr>
        <w:t xml:space="preserve"> dni od objave sklepa vlade v Uradnem listu Republike Slovenije. Pogodba obsega vsaj določbe glede izplačil sredstev, roke in pogoje za izplačilo.</w:t>
      </w:r>
    </w:p>
    <w:p w14:paraId="06D115C3" w14:textId="77777777" w:rsidR="00BE5832" w:rsidRPr="00BE5832" w:rsidRDefault="00BE5832" w:rsidP="00BE5832">
      <w:pPr>
        <w:spacing w:after="160" w:line="259" w:lineRule="auto"/>
        <w:ind w:left="720"/>
        <w:contextualSpacing/>
        <w:jc w:val="left"/>
        <w:rPr>
          <w:rFonts w:eastAsia="Aptos" w:cs="Arial"/>
          <w:color w:val="000000"/>
          <w:kern w:val="2"/>
          <w:szCs w:val="20"/>
          <w14:ligatures w14:val="standardContextual"/>
        </w:rPr>
      </w:pPr>
    </w:p>
    <w:p w14:paraId="1E3C8D51"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4062E1A" w14:textId="44E8D1FE" w:rsidR="00BE5832" w:rsidRPr="00BE5832" w:rsidRDefault="007C39D0" w:rsidP="00761453">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Pr>
          <w:rFonts w:eastAsia="Times New Roman" w:cs="Arial"/>
          <w:color w:val="000000"/>
          <w:kern w:val="2"/>
          <w:szCs w:val="20"/>
          <w14:ligatures w14:val="standardContextual"/>
        </w:rPr>
        <w:t>člen</w:t>
      </w:r>
    </w:p>
    <w:p w14:paraId="4C234E79" w14:textId="3A4CCEBE" w:rsidR="00BE5832" w:rsidRPr="00BE5832" w:rsidRDefault="00BE5832" w:rsidP="00BE5832">
      <w:pPr>
        <w:spacing w:after="16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D26C52">
        <w:rPr>
          <w:rFonts w:eastAsia="Aptos" w:cs="Arial"/>
          <w:color w:val="000000"/>
          <w:kern w:val="2"/>
          <w:szCs w:val="20"/>
          <w14:ligatures w14:val="standardContextual"/>
        </w:rPr>
        <w:t>višina nadomestila operaterju trga za izvajanje ukrepa</w:t>
      </w:r>
      <w:r w:rsidRPr="00BE5832">
        <w:rPr>
          <w:rFonts w:eastAsia="Aptos" w:cs="Arial"/>
          <w:color w:val="000000"/>
          <w:kern w:val="2"/>
          <w:szCs w:val="20"/>
          <w14:ligatures w14:val="standardContextual"/>
        </w:rPr>
        <w:t>)</w:t>
      </w:r>
    </w:p>
    <w:p w14:paraId="01864630"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173F44D4"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je upravičen do sredstev za izvajanje ukrepa na podlagi tega zakona v višini 0,2 EUR/MWh za vsako MWh vseh upravičencev do spodbude, ki se zagotavljajo iz sredstev iz prvega odstavka prejšnjega člena. </w:t>
      </w:r>
    </w:p>
    <w:p w14:paraId="714044FE"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49A3B0A8" w14:textId="740EBA2B" w:rsidR="00BE5832" w:rsidRPr="00BE5832" w:rsidRDefault="00BE5832" w:rsidP="007C4728">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VII. POROČANJE</w:t>
      </w:r>
      <w:r w:rsidR="007C4728">
        <w:rPr>
          <w:rFonts w:eastAsia="Times New Roman" w:cs="Arial"/>
          <w:color w:val="000000"/>
          <w:kern w:val="2"/>
          <w:szCs w:val="20"/>
          <w14:ligatures w14:val="standardContextual"/>
        </w:rPr>
        <w:t xml:space="preserve"> IN</w:t>
      </w:r>
      <w:r w:rsidRPr="00BE5832">
        <w:rPr>
          <w:rFonts w:eastAsia="Times New Roman" w:cs="Arial"/>
          <w:color w:val="000000"/>
          <w:kern w:val="2"/>
          <w:szCs w:val="20"/>
          <w14:ligatures w14:val="standardContextual"/>
        </w:rPr>
        <w:t xml:space="preserve"> NADZOR </w:t>
      </w:r>
    </w:p>
    <w:p w14:paraId="27BD0050" w14:textId="77777777" w:rsidR="00BE5832" w:rsidRPr="00BE5832" w:rsidRDefault="00BE5832" w:rsidP="00E24155">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18C1CA64" w14:textId="39D8C297"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(poročanje</w:t>
      </w:r>
      <w:r w:rsidR="007C4728">
        <w:rPr>
          <w:rFonts w:eastAsia="Aptos" w:cs="Arial"/>
          <w:color w:val="000000"/>
          <w:kern w:val="2"/>
          <w:szCs w:val="20"/>
          <w14:ligatures w14:val="standardContextual"/>
        </w:rPr>
        <w:t xml:space="preserve"> prejemnika spodbude</w:t>
      </w:r>
      <w:r w:rsidRPr="00BE5832">
        <w:rPr>
          <w:rFonts w:eastAsia="Aptos" w:cs="Arial"/>
          <w:color w:val="000000"/>
          <w:kern w:val="2"/>
          <w:szCs w:val="20"/>
          <w14:ligatures w14:val="standardContextual"/>
        </w:rPr>
        <w:t>)</w:t>
      </w:r>
    </w:p>
    <w:p w14:paraId="5D7E2330" w14:textId="77777777" w:rsidR="00BE5832" w:rsidRPr="00BE5832" w:rsidRDefault="00BE5832" w:rsidP="00BE5832">
      <w:pPr>
        <w:spacing w:after="160" w:line="259" w:lineRule="auto"/>
        <w:rPr>
          <w:rFonts w:eastAsia="Aptos" w:cs="Arial"/>
          <w:color w:val="000000"/>
          <w:kern w:val="2"/>
          <w:szCs w:val="20"/>
          <w14:ligatures w14:val="standardContextual"/>
        </w:rPr>
      </w:pPr>
    </w:p>
    <w:p w14:paraId="4B18BF81" w14:textId="00E1D27D" w:rsidR="00BE5832" w:rsidRPr="00BE5832" w:rsidRDefault="00B07C47" w:rsidP="00DA6357">
      <w:pPr>
        <w:numPr>
          <w:ilvl w:val="0"/>
          <w:numId w:val="81"/>
        </w:numPr>
        <w:spacing w:after="160" w:line="259" w:lineRule="auto"/>
        <w:contextualSpacing/>
        <w:rPr>
          <w:rFonts w:eastAsia="Aptos" w:cs="Arial"/>
          <w:color w:val="000000"/>
          <w:kern w:val="2"/>
          <w:szCs w:val="20"/>
          <w14:ligatures w14:val="standardContextual"/>
        </w:rPr>
      </w:pPr>
      <w:r>
        <w:rPr>
          <w:rFonts w:eastAsia="Aptos" w:cs="Arial"/>
          <w:color w:val="000000"/>
          <w:kern w:val="2"/>
          <w:szCs w:val="20"/>
          <w14:ligatures w14:val="standardContextual"/>
        </w:rPr>
        <w:t>Prejemnik spodbude</w:t>
      </w:r>
      <w:r w:rsidR="00BE5832" w:rsidRPr="00BE5832">
        <w:rPr>
          <w:rFonts w:eastAsia="Aptos" w:cs="Arial"/>
          <w:color w:val="000000"/>
          <w:kern w:val="2"/>
          <w:szCs w:val="20"/>
          <w14:ligatures w14:val="standardContextual"/>
        </w:rPr>
        <w:t xml:space="preserve"> operaterju trga najkasneje do 1. aprila tekočega leta poroča za preteklo leto</w:t>
      </w:r>
      <w:r w:rsidR="00E96C74">
        <w:rPr>
          <w:rFonts w:eastAsia="Aptos" w:cs="Arial"/>
          <w:color w:val="000000"/>
          <w:kern w:val="2"/>
          <w:szCs w:val="20"/>
          <w14:ligatures w14:val="standardContextual"/>
        </w:rPr>
        <w:t xml:space="preserve"> o</w:t>
      </w:r>
      <w:r w:rsidR="00BE5832" w:rsidRPr="00BE5832">
        <w:rPr>
          <w:rFonts w:eastAsia="Aptos" w:cs="Arial"/>
          <w:color w:val="000000"/>
          <w:kern w:val="2"/>
          <w:szCs w:val="20"/>
          <w14:ligatures w14:val="standardContextual"/>
        </w:rPr>
        <w:t>:</w:t>
      </w:r>
    </w:p>
    <w:p w14:paraId="0F779441" w14:textId="682A08E4" w:rsidR="00BE5832" w:rsidRPr="00BE5832"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porabi električne energije</w:t>
      </w:r>
      <w:r w:rsidR="00E96C74">
        <w:rPr>
          <w:rFonts w:eastAsia="Aptos" w:cs="Arial"/>
          <w:color w:val="000000"/>
          <w:kern w:val="2"/>
          <w:szCs w:val="20"/>
          <w14:ligatures w14:val="standardContextual"/>
        </w:rPr>
        <w:t>,</w:t>
      </w:r>
    </w:p>
    <w:p w14:paraId="230C5CFC" w14:textId="24CE6979" w:rsidR="00B07C47"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izvajanju naložb, ki so bile </w:t>
      </w:r>
      <w:r w:rsidR="00B07C47">
        <w:rPr>
          <w:rFonts w:eastAsia="Aptos" w:cs="Arial"/>
          <w:color w:val="000000"/>
          <w:kern w:val="2"/>
          <w:szCs w:val="20"/>
          <w14:ligatures w14:val="standardContextual"/>
        </w:rPr>
        <w:t>vsebovane</w:t>
      </w:r>
      <w:r w:rsidRPr="00BE5832">
        <w:rPr>
          <w:rFonts w:eastAsia="Aptos" w:cs="Arial"/>
          <w:color w:val="000000"/>
          <w:kern w:val="2"/>
          <w:szCs w:val="20"/>
          <w14:ligatures w14:val="standardContextual"/>
        </w:rPr>
        <w:t xml:space="preserve"> v vlogi iz </w:t>
      </w:r>
      <w:r w:rsidR="00C337A4">
        <w:rPr>
          <w:rFonts w:eastAsia="Aptos" w:cs="Arial"/>
          <w:color w:val="000000"/>
          <w:kern w:val="2"/>
          <w:szCs w:val="20"/>
          <w14:ligatures w14:val="standardContextual"/>
        </w:rPr>
        <w:t>5</w:t>
      </w:r>
      <w:r w:rsidRPr="00BE5832">
        <w:rPr>
          <w:rFonts w:eastAsia="Aptos" w:cs="Arial"/>
          <w:color w:val="000000"/>
          <w:kern w:val="2"/>
          <w:szCs w:val="20"/>
          <w14:ligatures w14:val="standardContextual"/>
        </w:rPr>
        <w:t>. člena tega zakona</w:t>
      </w:r>
      <w:r w:rsidR="00E96C74">
        <w:rPr>
          <w:rFonts w:eastAsia="Aptos" w:cs="Arial"/>
          <w:color w:val="000000"/>
          <w:kern w:val="2"/>
          <w:szCs w:val="20"/>
          <w14:ligatures w14:val="standardContextual"/>
        </w:rPr>
        <w:t xml:space="preserve"> in</w:t>
      </w:r>
    </w:p>
    <w:p w14:paraId="797F33AA" w14:textId="282943F0" w:rsidR="00BE5832" w:rsidRPr="00BE5832" w:rsidRDefault="00BE5832" w:rsidP="00DA6357">
      <w:pPr>
        <w:numPr>
          <w:ilvl w:val="0"/>
          <w:numId w:val="82"/>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doseženih rezultatih razogljičenja.</w:t>
      </w:r>
    </w:p>
    <w:p w14:paraId="1FEDE77D"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04D65B17" w14:textId="4FCBF64E" w:rsidR="00BE5832" w:rsidRPr="00BE5832" w:rsidRDefault="00BE5832" w:rsidP="00DA6357">
      <w:pPr>
        <w:numPr>
          <w:ilvl w:val="0"/>
          <w:numId w:val="81"/>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Ob zaključku investicije</w:t>
      </w:r>
      <w:r w:rsidR="00E36F68">
        <w:rPr>
          <w:rFonts w:eastAsia="Aptos" w:cs="Arial"/>
          <w:color w:val="000000"/>
          <w:kern w:val="2"/>
          <w:szCs w:val="20"/>
          <w14:ligatures w14:val="standardContextual"/>
        </w:rPr>
        <w:t xml:space="preserve"> v naložbo</w:t>
      </w:r>
      <w:r w:rsidRPr="00BE5832">
        <w:rPr>
          <w:rFonts w:eastAsia="Aptos" w:cs="Arial"/>
          <w:color w:val="000000"/>
          <w:kern w:val="2"/>
          <w:szCs w:val="20"/>
          <w14:ligatures w14:val="standardContextual"/>
        </w:rPr>
        <w:t xml:space="preserve"> </w:t>
      </w:r>
      <w:r w:rsidR="00E36F68">
        <w:rPr>
          <w:rFonts w:eastAsia="Aptos" w:cs="Arial"/>
          <w:color w:val="000000"/>
          <w:kern w:val="2"/>
          <w:szCs w:val="20"/>
          <w14:ligatures w14:val="standardContextual"/>
        </w:rPr>
        <w:t>prejemnik spodbude</w:t>
      </w:r>
      <w:r w:rsidRPr="00BE5832">
        <w:rPr>
          <w:rFonts w:eastAsia="Aptos" w:cs="Arial"/>
          <w:color w:val="000000"/>
          <w:kern w:val="2"/>
          <w:szCs w:val="20"/>
          <w14:ligatures w14:val="standardContextual"/>
        </w:rPr>
        <w:t xml:space="preserve"> operaterju trga predloži zaključno poročilo o izvedeni investiciji, iz katerega </w:t>
      </w:r>
      <w:r w:rsidR="00455080">
        <w:rPr>
          <w:rFonts w:eastAsia="Aptos" w:cs="Arial"/>
          <w:color w:val="000000"/>
          <w:kern w:val="2"/>
          <w:szCs w:val="20"/>
          <w14:ligatures w14:val="standardContextual"/>
        </w:rPr>
        <w:t>je razvidna</w:t>
      </w:r>
      <w:r w:rsidRPr="00BE5832">
        <w:rPr>
          <w:rFonts w:eastAsia="Aptos" w:cs="Arial"/>
          <w:color w:val="000000"/>
          <w:kern w:val="2"/>
          <w:szCs w:val="20"/>
          <w14:ligatures w14:val="standardContextual"/>
        </w:rPr>
        <w:t xml:space="preserve"> vrsta naložbe, datum zaključka naložbe ter drugi podatki, iz katerih izhaja, da </w:t>
      </w:r>
      <w:r w:rsidR="00E36F68">
        <w:rPr>
          <w:rFonts w:eastAsia="Aptos" w:cs="Arial"/>
          <w:color w:val="000000"/>
          <w:kern w:val="2"/>
          <w:szCs w:val="20"/>
          <w14:ligatures w14:val="standardContextual"/>
        </w:rPr>
        <w:t>so</w:t>
      </w:r>
      <w:r w:rsidRPr="00BE5832">
        <w:rPr>
          <w:rFonts w:eastAsia="Aptos" w:cs="Arial"/>
          <w:color w:val="000000"/>
          <w:kern w:val="2"/>
          <w:szCs w:val="20"/>
          <w14:ligatures w14:val="standardContextual"/>
        </w:rPr>
        <w:t xml:space="preserve"> izpoln</w:t>
      </w:r>
      <w:r w:rsidR="00E36F68">
        <w:rPr>
          <w:rFonts w:eastAsia="Aptos" w:cs="Arial"/>
          <w:color w:val="000000"/>
          <w:kern w:val="2"/>
          <w:szCs w:val="20"/>
          <w14:ligatures w14:val="standardContextual"/>
        </w:rPr>
        <w:t>jene</w:t>
      </w:r>
      <w:r w:rsidRPr="00BE5832">
        <w:rPr>
          <w:rFonts w:eastAsia="Aptos" w:cs="Arial"/>
          <w:color w:val="000000"/>
          <w:kern w:val="2"/>
          <w:szCs w:val="20"/>
          <w14:ligatures w14:val="standardContextual"/>
        </w:rPr>
        <w:t xml:space="preserve"> obveznosti na podlagi dodeljene spodbude. Zaključno poročilo podpiše zakoniti zastopnik upravičenca, ki pod materialno in kazensko odgovornostjo jamči, da so podatki navedeni v poročilu resnični in točni.</w:t>
      </w:r>
    </w:p>
    <w:p w14:paraId="2E712912"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4641555B" w14:textId="5EB4F058" w:rsidR="00BE5832" w:rsidRPr="00BE5832" w:rsidRDefault="00BE5832" w:rsidP="00DA6357">
      <w:pPr>
        <w:numPr>
          <w:ilvl w:val="0"/>
          <w:numId w:val="81"/>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za zagotavljanje potrebnih informacij </w:t>
      </w:r>
      <w:r w:rsidR="002A28A7">
        <w:rPr>
          <w:rFonts w:eastAsia="Aptos" w:cs="Arial"/>
          <w:color w:val="000000"/>
          <w:kern w:val="2"/>
          <w:szCs w:val="20"/>
          <w14:ligatures w14:val="standardContextual"/>
        </w:rPr>
        <w:t>pripravi</w:t>
      </w:r>
      <w:r w:rsidRPr="00BE5832">
        <w:rPr>
          <w:rFonts w:eastAsia="Aptos" w:cs="Arial"/>
          <w:color w:val="000000"/>
          <w:kern w:val="2"/>
          <w:szCs w:val="20"/>
          <w14:ligatures w14:val="standardContextual"/>
        </w:rPr>
        <w:t xml:space="preserve"> </w:t>
      </w:r>
      <w:r w:rsidR="002A28A7">
        <w:rPr>
          <w:rFonts w:eastAsia="Aptos" w:cs="Arial"/>
          <w:color w:val="000000"/>
          <w:kern w:val="2"/>
          <w:szCs w:val="20"/>
          <w14:ligatures w14:val="standardContextual"/>
        </w:rPr>
        <w:t>navodila in obrazce</w:t>
      </w:r>
      <w:r w:rsidR="0053294A">
        <w:rPr>
          <w:rFonts w:eastAsia="Aptos" w:cs="Arial"/>
          <w:color w:val="000000"/>
          <w:kern w:val="2"/>
          <w:szCs w:val="20"/>
          <w14:ligatures w14:val="standardContextual"/>
        </w:rPr>
        <w:t xml:space="preserve"> za</w:t>
      </w:r>
      <w:r w:rsidRPr="00BE5832">
        <w:rPr>
          <w:rFonts w:eastAsia="Aptos" w:cs="Arial"/>
          <w:color w:val="000000"/>
          <w:kern w:val="2"/>
          <w:szCs w:val="20"/>
          <w14:ligatures w14:val="standardContextual"/>
        </w:rPr>
        <w:t xml:space="preserve"> obvezn</w:t>
      </w:r>
      <w:r w:rsidR="0053294A">
        <w:rPr>
          <w:rFonts w:eastAsia="Aptos" w:cs="Arial"/>
          <w:color w:val="000000"/>
          <w:kern w:val="2"/>
          <w:szCs w:val="20"/>
          <w14:ligatures w14:val="standardContextual"/>
        </w:rPr>
        <w:t>o</w:t>
      </w:r>
      <w:r w:rsidRPr="00BE5832">
        <w:rPr>
          <w:rFonts w:eastAsia="Aptos" w:cs="Arial"/>
          <w:color w:val="000000"/>
          <w:kern w:val="2"/>
          <w:szCs w:val="20"/>
          <w14:ligatures w14:val="standardContextual"/>
        </w:rPr>
        <w:t xml:space="preserve"> poročanj</w:t>
      </w:r>
      <w:r w:rsidR="0053294A">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prejemnikov spodbud, ki jih objavi na spletni strani. </w:t>
      </w:r>
    </w:p>
    <w:p w14:paraId="53745847" w14:textId="77777777" w:rsidR="00BE5832" w:rsidRPr="00BE5832" w:rsidRDefault="00BE5832" w:rsidP="00BE5832">
      <w:pPr>
        <w:spacing w:after="160" w:line="259" w:lineRule="auto"/>
        <w:rPr>
          <w:rFonts w:eastAsia="Aptos" w:cs="Arial"/>
          <w:color w:val="000000"/>
          <w:kern w:val="2"/>
          <w:szCs w:val="20"/>
          <w14:ligatures w14:val="standardContextual"/>
        </w:rPr>
      </w:pPr>
    </w:p>
    <w:p w14:paraId="316B7BED"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037E0EAA" w14:textId="77777777" w:rsidR="00BE5832" w:rsidRPr="00BE5832" w:rsidRDefault="00BE5832" w:rsidP="00EE11FA">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160541E3" w14:textId="5717FC93" w:rsidR="00BE5832" w:rsidRPr="00BE5832" w:rsidRDefault="00BE5832" w:rsidP="00BE5832">
      <w:pPr>
        <w:spacing w:after="0" w:line="259" w:lineRule="auto"/>
        <w:ind w:left="720"/>
        <w:contextualSpacing/>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(ukrepi v primeru neizpolnjevanja</w:t>
      </w:r>
      <w:r w:rsidR="00A378EA">
        <w:rPr>
          <w:rFonts w:eastAsia="Aptos" w:cs="Arial"/>
          <w:color w:val="000000"/>
          <w:kern w:val="2"/>
          <w:szCs w:val="20"/>
          <w14:ligatures w14:val="standardContextual"/>
        </w:rPr>
        <w:t xml:space="preserve"> obveznosti prejemnika spodbude</w:t>
      </w:r>
      <w:r w:rsidRPr="00BE5832">
        <w:rPr>
          <w:rFonts w:eastAsia="Aptos" w:cs="Arial"/>
          <w:color w:val="000000"/>
          <w:kern w:val="2"/>
          <w:szCs w:val="20"/>
          <w14:ligatures w14:val="standardContextual"/>
        </w:rPr>
        <w:t>)</w:t>
      </w:r>
    </w:p>
    <w:p w14:paraId="62BD68CB" w14:textId="77777777" w:rsidR="00BE5832" w:rsidRPr="00BE5832" w:rsidRDefault="00BE5832" w:rsidP="00BE5832">
      <w:pPr>
        <w:spacing w:after="0" w:line="259" w:lineRule="auto"/>
        <w:ind w:left="720"/>
        <w:contextualSpacing/>
        <w:rPr>
          <w:rFonts w:eastAsia="Aptos" w:cs="Arial"/>
          <w:color w:val="000000"/>
          <w:kern w:val="2"/>
          <w:szCs w:val="20"/>
          <w14:ligatures w14:val="standardContextual"/>
        </w:rPr>
      </w:pPr>
    </w:p>
    <w:p w14:paraId="176A30F4" w14:textId="7EA7832C" w:rsidR="00BE5832" w:rsidRPr="00903DEB" w:rsidRDefault="00BE5832" w:rsidP="00DA6357">
      <w:pPr>
        <w:numPr>
          <w:ilvl w:val="0"/>
          <w:numId w:val="77"/>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lastRenderedPageBreak/>
        <w:t xml:space="preserve">Operater trga na podlagi poročil </w:t>
      </w:r>
      <w:r w:rsidR="00A378EA" w:rsidRPr="00903DEB">
        <w:rPr>
          <w:rFonts w:eastAsia="Aptos" w:cs="Arial"/>
          <w:color w:val="000000"/>
          <w:kern w:val="2"/>
          <w:szCs w:val="20"/>
          <w14:ligatures w14:val="standardContextual"/>
        </w:rPr>
        <w:t>prejemnikov spodbud</w:t>
      </w:r>
      <w:r w:rsidRPr="00903DEB">
        <w:rPr>
          <w:rFonts w:eastAsia="Aptos" w:cs="Arial"/>
          <w:color w:val="000000"/>
          <w:kern w:val="2"/>
          <w:szCs w:val="20"/>
          <w14:ligatures w14:val="standardContextual"/>
        </w:rPr>
        <w:t xml:space="preserve">, ugotovitev revizij ali ugotovitev inšpekcije, pristojne za energijo, </w:t>
      </w:r>
      <w:r w:rsidR="00495DF8">
        <w:rPr>
          <w:rFonts w:eastAsia="Aptos" w:cs="Arial"/>
          <w:color w:val="000000"/>
          <w:kern w:val="2"/>
          <w:szCs w:val="20"/>
          <w14:ligatures w14:val="standardContextual"/>
        </w:rPr>
        <w:t>preveri</w:t>
      </w:r>
      <w:r w:rsidRPr="00903DEB">
        <w:rPr>
          <w:rFonts w:eastAsia="Aptos" w:cs="Arial"/>
          <w:color w:val="000000"/>
          <w:kern w:val="2"/>
          <w:szCs w:val="20"/>
          <w14:ligatures w14:val="standardContextual"/>
        </w:rPr>
        <w:t>:</w:t>
      </w:r>
    </w:p>
    <w:p w14:paraId="5FE4C81F" w14:textId="3E43E811" w:rsidR="00BE5832" w:rsidRPr="00903DEB" w:rsidRDefault="00BE5832" w:rsidP="00DA6357">
      <w:pPr>
        <w:numPr>
          <w:ilvl w:val="0"/>
          <w:numId w:val="76"/>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ali je bila posameznemu </w:t>
      </w:r>
      <w:r w:rsidR="00495DF8">
        <w:rPr>
          <w:rFonts w:eastAsia="Aptos" w:cs="Arial"/>
          <w:color w:val="000000"/>
          <w:kern w:val="2"/>
          <w:szCs w:val="20"/>
          <w14:ligatures w14:val="standardContextual"/>
        </w:rPr>
        <w:t>prejemniku spodbude</w:t>
      </w:r>
      <w:r w:rsidRPr="00903DEB">
        <w:rPr>
          <w:rFonts w:eastAsia="Aptos" w:cs="Arial"/>
          <w:color w:val="000000"/>
          <w:kern w:val="2"/>
          <w:szCs w:val="20"/>
          <w14:ligatures w14:val="standardContextual"/>
        </w:rPr>
        <w:t xml:space="preserve"> v posameznem letu odobrena previsoka spodbuda, ker ni porabil napovedane količino električne energije oziroma, ker </w:t>
      </w:r>
      <w:r w:rsidR="00A378EA" w:rsidRPr="00903DEB">
        <w:rPr>
          <w:rFonts w:eastAsia="Aptos" w:cs="Arial"/>
          <w:color w:val="000000"/>
          <w:kern w:val="2"/>
          <w:szCs w:val="20"/>
          <w14:ligatures w14:val="standardContextual"/>
        </w:rPr>
        <w:t xml:space="preserve">spodbude ali </w:t>
      </w:r>
      <w:r w:rsidRPr="00903DEB">
        <w:rPr>
          <w:rFonts w:eastAsia="Aptos" w:cs="Arial"/>
          <w:color w:val="000000"/>
          <w:kern w:val="2"/>
          <w:szCs w:val="20"/>
          <w14:ligatures w14:val="standardContextual"/>
        </w:rPr>
        <w:t xml:space="preserve">njenega določenega dela ni </w:t>
      </w:r>
      <w:r w:rsidR="00A378EA" w:rsidRPr="00903DEB">
        <w:rPr>
          <w:rFonts w:eastAsia="Aptos" w:cs="Arial"/>
          <w:color w:val="000000"/>
          <w:kern w:val="2"/>
          <w:szCs w:val="20"/>
          <w14:ligatures w14:val="standardContextual"/>
        </w:rPr>
        <w:t>namenil za investiranje v naložbe</w:t>
      </w:r>
      <w:r w:rsidRPr="00903DEB">
        <w:rPr>
          <w:rFonts w:eastAsia="Aptos" w:cs="Arial"/>
          <w:color w:val="000000"/>
          <w:kern w:val="2"/>
          <w:szCs w:val="20"/>
          <w14:ligatures w14:val="standardContextual"/>
        </w:rPr>
        <w:t xml:space="preserve"> za upravičene namene, </w:t>
      </w:r>
    </w:p>
    <w:p w14:paraId="66DE320A" w14:textId="5AB825F3" w:rsidR="00BE5832" w:rsidRPr="00903DEB" w:rsidRDefault="00BE5832" w:rsidP="00DA6357">
      <w:pPr>
        <w:numPr>
          <w:ilvl w:val="0"/>
          <w:numId w:val="76"/>
        </w:numPr>
        <w:spacing w:after="16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ali upošteva določbe tega zakona v zvezi </w:t>
      </w:r>
      <w:r w:rsidR="000435B8">
        <w:rPr>
          <w:rFonts w:eastAsia="Aptos" w:cs="Arial"/>
          <w:color w:val="000000"/>
          <w:kern w:val="2"/>
          <w:szCs w:val="20"/>
          <w14:ligatures w14:val="standardContextual"/>
        </w:rPr>
        <w:t xml:space="preserve">z namenom in upravičenostjo </w:t>
      </w:r>
      <w:r w:rsidRPr="00903DEB">
        <w:rPr>
          <w:rFonts w:eastAsia="Aptos" w:cs="Arial"/>
          <w:color w:val="000000"/>
          <w:kern w:val="2"/>
          <w:szCs w:val="20"/>
          <w14:ligatures w14:val="standardContextual"/>
        </w:rPr>
        <w:t>prejet</w:t>
      </w:r>
      <w:r w:rsidR="000435B8">
        <w:rPr>
          <w:rFonts w:eastAsia="Aptos" w:cs="Arial"/>
          <w:color w:val="000000"/>
          <w:kern w:val="2"/>
          <w:szCs w:val="20"/>
          <w14:ligatures w14:val="standardContextual"/>
        </w:rPr>
        <w:t>e</w:t>
      </w:r>
      <w:r w:rsidRPr="00903DEB">
        <w:rPr>
          <w:rFonts w:eastAsia="Aptos" w:cs="Arial"/>
          <w:color w:val="000000"/>
          <w:kern w:val="2"/>
          <w:szCs w:val="20"/>
          <w14:ligatures w14:val="standardContextual"/>
        </w:rPr>
        <w:t xml:space="preserve"> spodbud</w:t>
      </w:r>
      <w:r w:rsidR="000435B8">
        <w:rPr>
          <w:rFonts w:eastAsia="Aptos" w:cs="Arial"/>
          <w:color w:val="000000"/>
          <w:kern w:val="2"/>
          <w:szCs w:val="20"/>
          <w14:ligatures w14:val="standardContextual"/>
        </w:rPr>
        <w:t>e</w:t>
      </w:r>
      <w:r w:rsidRPr="00903DEB">
        <w:rPr>
          <w:rFonts w:eastAsia="Aptos" w:cs="Arial"/>
          <w:color w:val="000000"/>
          <w:kern w:val="2"/>
          <w:szCs w:val="20"/>
          <w14:ligatures w14:val="standardContextual"/>
        </w:rPr>
        <w:t>,</w:t>
      </w:r>
    </w:p>
    <w:p w14:paraId="0FFDB756" w14:textId="4AEF2C1D" w:rsidR="00495DF8" w:rsidRPr="00495DF8" w:rsidRDefault="00BE5832" w:rsidP="00495DF8">
      <w:pPr>
        <w:numPr>
          <w:ilvl w:val="0"/>
          <w:numId w:val="76"/>
        </w:numPr>
        <w:spacing w:after="0" w:line="259" w:lineRule="auto"/>
        <w:contextualSpacing/>
        <w:rPr>
          <w:rFonts w:eastAsia="Aptos" w:cs="Arial"/>
          <w:color w:val="000000"/>
          <w:kern w:val="2"/>
          <w:szCs w:val="20"/>
          <w14:ligatures w14:val="standardContextual"/>
        </w:rPr>
      </w:pPr>
      <w:r w:rsidRPr="00903DEB">
        <w:rPr>
          <w:rFonts w:eastAsia="Aptos" w:cs="Arial"/>
          <w:color w:val="000000"/>
          <w:kern w:val="2"/>
          <w:szCs w:val="20"/>
          <w14:ligatures w14:val="standardContextual"/>
        </w:rPr>
        <w:t xml:space="preserve">ali je upravičenec izpolnil svoje zaveze iz načrta naložb. </w:t>
      </w:r>
    </w:p>
    <w:p w14:paraId="4F5A8423" w14:textId="77777777" w:rsidR="00495DF8" w:rsidRDefault="00495DF8" w:rsidP="00495DF8">
      <w:pPr>
        <w:spacing w:after="0" w:line="259" w:lineRule="auto"/>
        <w:ind w:left="720"/>
        <w:contextualSpacing/>
        <w:rPr>
          <w:rFonts w:eastAsia="Aptos" w:cs="Arial"/>
          <w:color w:val="000000"/>
          <w:kern w:val="2"/>
          <w:szCs w:val="20"/>
          <w14:ligatures w14:val="standardContextual"/>
        </w:rPr>
      </w:pPr>
    </w:p>
    <w:p w14:paraId="2401D24F" w14:textId="218D9359" w:rsidR="00BE5832" w:rsidRPr="00BE5832" w:rsidRDefault="00BE5832" w:rsidP="00DA6357">
      <w:pPr>
        <w:numPr>
          <w:ilvl w:val="0"/>
          <w:numId w:val="77"/>
        </w:numPr>
        <w:spacing w:after="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v primeru zamud pri izvajanju načrta naložb pozove </w:t>
      </w:r>
      <w:r w:rsidR="00394FB5">
        <w:rPr>
          <w:rFonts w:eastAsia="Aptos" w:cs="Arial"/>
          <w:color w:val="000000"/>
          <w:kern w:val="2"/>
          <w:szCs w:val="20"/>
          <w14:ligatures w14:val="standardContextual"/>
        </w:rPr>
        <w:t>prejemnika spodbude</w:t>
      </w:r>
      <w:r w:rsidRPr="00BE5832">
        <w:rPr>
          <w:rFonts w:eastAsia="Aptos" w:cs="Arial"/>
          <w:color w:val="000000"/>
          <w:kern w:val="2"/>
          <w:szCs w:val="20"/>
          <w14:ligatures w14:val="standardContextual"/>
        </w:rPr>
        <w:t>, da posreduje nov terminski načrt za izvedbo</w:t>
      </w:r>
      <w:r w:rsidR="00234A09">
        <w:rPr>
          <w:rFonts w:eastAsia="Aptos" w:cs="Arial"/>
          <w:color w:val="000000"/>
          <w:kern w:val="2"/>
          <w:szCs w:val="20"/>
          <w14:ligatures w14:val="standardContextual"/>
        </w:rPr>
        <w:t xml:space="preserve"> za končanje naložbe </w:t>
      </w:r>
      <w:r w:rsidRPr="00BE5832">
        <w:rPr>
          <w:rFonts w:eastAsia="Aptos" w:cs="Arial"/>
          <w:color w:val="000000"/>
          <w:kern w:val="2"/>
          <w:szCs w:val="20"/>
          <w14:ligatures w14:val="standardContextual"/>
        </w:rPr>
        <w:t xml:space="preserve">najkasneje do 31. decembra 2032. </w:t>
      </w:r>
    </w:p>
    <w:p w14:paraId="74EDE089"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4EEDDC5C" w14:textId="30DBE7AD" w:rsidR="00BE5832" w:rsidRPr="007C4D96" w:rsidRDefault="00BE5832" w:rsidP="003E2298">
      <w:pPr>
        <w:numPr>
          <w:ilvl w:val="0"/>
          <w:numId w:val="77"/>
        </w:numPr>
        <w:spacing w:after="0" w:line="259" w:lineRule="auto"/>
        <w:contextualSpacing/>
        <w:rPr>
          <w:rFonts w:eastAsia="Aptos" w:cs="Arial"/>
          <w:color w:val="000000"/>
          <w:kern w:val="2"/>
          <w:szCs w:val="20"/>
          <w14:ligatures w14:val="standardContextual"/>
        </w:rPr>
      </w:pPr>
      <w:r w:rsidRPr="007C4D96">
        <w:rPr>
          <w:rFonts w:eastAsia="Aptos" w:cs="Arial"/>
          <w:color w:val="000000"/>
          <w:kern w:val="2"/>
          <w:szCs w:val="20"/>
          <w14:ligatures w14:val="standardContextual"/>
        </w:rPr>
        <w:t xml:space="preserve">Če pri ponovnem nadzoru operater trga ugotovi, da načrtovane naložbe niso bile končane </w:t>
      </w:r>
      <w:r w:rsidR="003C5D05" w:rsidRPr="007C4D96">
        <w:rPr>
          <w:rFonts w:eastAsia="Aptos" w:cs="Arial"/>
          <w:color w:val="000000"/>
          <w:kern w:val="2"/>
          <w:szCs w:val="20"/>
          <w14:ligatures w14:val="standardContextual"/>
        </w:rPr>
        <w:t xml:space="preserve">v </w:t>
      </w:r>
      <w:r w:rsidRPr="007C4D96">
        <w:rPr>
          <w:rFonts w:eastAsia="Aptos" w:cs="Arial"/>
          <w:color w:val="000000"/>
          <w:kern w:val="2"/>
          <w:szCs w:val="20"/>
          <w14:ligatures w14:val="standardContextual"/>
        </w:rPr>
        <w:t>rok</w:t>
      </w:r>
      <w:r w:rsidR="003C5D05" w:rsidRPr="007C4D96">
        <w:rPr>
          <w:rFonts w:eastAsia="Aptos" w:cs="Arial"/>
          <w:color w:val="000000"/>
          <w:kern w:val="2"/>
          <w:szCs w:val="20"/>
          <w14:ligatures w14:val="standardContextual"/>
        </w:rPr>
        <w:t>u</w:t>
      </w:r>
      <w:r w:rsidRPr="007C4D96">
        <w:rPr>
          <w:rFonts w:eastAsia="Aptos" w:cs="Arial"/>
          <w:color w:val="000000"/>
          <w:kern w:val="2"/>
          <w:szCs w:val="20"/>
          <w14:ligatures w14:val="standardContextual"/>
        </w:rPr>
        <w:t xml:space="preserve"> iz prejšnjega odstavka, s sklepom določi delež neizpolnitve načrta naložb</w:t>
      </w:r>
      <w:r w:rsidR="00394FB5" w:rsidRPr="007C4D96">
        <w:rPr>
          <w:rFonts w:eastAsia="Aptos" w:cs="Arial"/>
          <w:color w:val="000000"/>
          <w:kern w:val="2"/>
          <w:szCs w:val="20"/>
          <w14:ligatures w14:val="standardContextual"/>
        </w:rPr>
        <w:t xml:space="preserve"> in višino neupravičeno prejete spodbude</w:t>
      </w:r>
      <w:r w:rsidRPr="007C4D96">
        <w:rPr>
          <w:rFonts w:eastAsia="Aptos" w:cs="Arial"/>
          <w:color w:val="000000"/>
          <w:kern w:val="2"/>
          <w:szCs w:val="20"/>
          <w14:ligatures w14:val="standardContextual"/>
        </w:rPr>
        <w:t>, ki jo mora zavezanec plačati operaterju trga v tridesetih dneh</w:t>
      </w:r>
      <w:r w:rsidR="007C4D96" w:rsidRPr="007C4D96">
        <w:rPr>
          <w:rFonts w:eastAsia="Aptos" w:cs="Arial"/>
          <w:color w:val="000000"/>
          <w:kern w:val="2"/>
          <w:szCs w:val="20"/>
          <w14:ligatures w14:val="standardContextual"/>
        </w:rPr>
        <w:t xml:space="preserve"> po vročitvi sklepa</w:t>
      </w:r>
      <w:r w:rsidRPr="007C4D96">
        <w:rPr>
          <w:rFonts w:eastAsia="Aptos" w:cs="Arial"/>
          <w:color w:val="000000"/>
          <w:kern w:val="2"/>
          <w:szCs w:val="20"/>
          <w14:ligatures w14:val="standardContextual"/>
        </w:rPr>
        <w:t xml:space="preserve">. </w:t>
      </w:r>
      <w:r w:rsidR="00394FB5" w:rsidRPr="007C4D96">
        <w:rPr>
          <w:rFonts w:eastAsia="Aptos" w:cs="Arial"/>
          <w:color w:val="000000"/>
          <w:kern w:val="2"/>
          <w:szCs w:val="20"/>
          <w14:ligatures w14:val="standardContextual"/>
        </w:rPr>
        <w:t>Po tem roku se prejemniku spodbude začnejo zaračunavati zakonske zamudne</w:t>
      </w:r>
      <w:r w:rsidR="007C4D96" w:rsidRPr="007C4D96">
        <w:rPr>
          <w:rFonts w:eastAsia="Aptos" w:cs="Arial"/>
          <w:color w:val="000000"/>
          <w:kern w:val="2"/>
          <w:szCs w:val="20"/>
          <w14:ligatures w14:val="standardContextual"/>
        </w:rPr>
        <w:t xml:space="preserve"> obresti po zakonu, ki ureja predpisano obrestno mero zamudnih obresti</w:t>
      </w:r>
      <w:r w:rsidR="00394FB5" w:rsidRPr="007C4D96">
        <w:rPr>
          <w:rFonts w:eastAsia="Aptos" w:cs="Arial"/>
          <w:color w:val="000000"/>
          <w:kern w:val="2"/>
          <w:szCs w:val="20"/>
          <w14:ligatures w14:val="standardContextual"/>
        </w:rPr>
        <w:t xml:space="preserve">. </w:t>
      </w:r>
      <w:r w:rsidRPr="007C4D96">
        <w:rPr>
          <w:rFonts w:eastAsia="Aptos" w:cs="Arial"/>
          <w:color w:val="000000"/>
          <w:kern w:val="2"/>
          <w:szCs w:val="20"/>
          <w14:ligatures w14:val="standardContextual"/>
        </w:rPr>
        <w:t>Operater trga ta sredstva nakaže v proračun Republike Slovenije</w:t>
      </w:r>
      <w:r w:rsidR="007C4D96">
        <w:rPr>
          <w:rFonts w:eastAsia="Aptos" w:cs="Arial"/>
          <w:color w:val="000000"/>
          <w:kern w:val="2"/>
          <w:szCs w:val="20"/>
          <w14:ligatures w14:val="standardContextual"/>
        </w:rPr>
        <w:t>.</w:t>
      </w:r>
    </w:p>
    <w:p w14:paraId="162B9E2D" w14:textId="77777777" w:rsidR="00BE5832" w:rsidRPr="00BE5832" w:rsidRDefault="00BE5832" w:rsidP="00754213">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člen</w:t>
      </w:r>
    </w:p>
    <w:p w14:paraId="225FD547" w14:textId="77777777" w:rsidR="00BE5832" w:rsidRPr="00BE5832" w:rsidRDefault="00BE5832" w:rsidP="00BE5832">
      <w:pPr>
        <w:spacing w:after="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(nadzor)</w:t>
      </w:r>
    </w:p>
    <w:p w14:paraId="5185CFB8" w14:textId="77777777" w:rsidR="00BE5832" w:rsidRPr="00BE5832" w:rsidRDefault="00BE5832" w:rsidP="00BE5832">
      <w:pPr>
        <w:spacing w:after="0" w:line="259" w:lineRule="auto"/>
        <w:rPr>
          <w:rFonts w:eastAsia="Aptos" w:cs="Arial"/>
          <w:color w:val="000000"/>
          <w:kern w:val="2"/>
          <w:szCs w:val="20"/>
          <w14:ligatures w14:val="standardContextual"/>
        </w:rPr>
      </w:pPr>
    </w:p>
    <w:p w14:paraId="396FA3D4" w14:textId="00769FDE"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Inšpektorat, pristojen za energijo, izvaja nadzor nad izvajanjem določb tega zakona.</w:t>
      </w:r>
    </w:p>
    <w:p w14:paraId="0AECCC6B" w14:textId="77777777" w:rsidR="00BE5832" w:rsidRPr="00BE5832" w:rsidRDefault="00BE5832" w:rsidP="00BE5832">
      <w:pPr>
        <w:spacing w:after="160" w:line="259" w:lineRule="auto"/>
        <w:rPr>
          <w:rFonts w:eastAsia="Aptos" w:cs="Arial"/>
          <w:color w:val="000000"/>
          <w:kern w:val="2"/>
          <w:szCs w:val="20"/>
          <w14:ligatures w14:val="standardContextual"/>
        </w:rPr>
      </w:pPr>
    </w:p>
    <w:p w14:paraId="396AD487" w14:textId="3D06AF5B" w:rsidR="00BE5832" w:rsidRPr="00BE5832" w:rsidRDefault="00BE5832" w:rsidP="009E1640">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52680699" w14:textId="4481FB98"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C55A33">
        <w:rPr>
          <w:rFonts w:eastAsia="Aptos" w:cs="Arial"/>
          <w:color w:val="000000"/>
          <w:kern w:val="2"/>
          <w:szCs w:val="20"/>
          <w14:ligatures w14:val="standardContextual"/>
        </w:rPr>
        <w:t xml:space="preserve">vodenje evidence, objava podatkov in </w:t>
      </w:r>
      <w:r w:rsidRPr="00BE5832">
        <w:rPr>
          <w:rFonts w:eastAsia="Aptos" w:cs="Arial"/>
          <w:color w:val="000000"/>
          <w:kern w:val="2"/>
          <w:szCs w:val="20"/>
          <w14:ligatures w14:val="standardContextual"/>
        </w:rPr>
        <w:t>poročanje)</w:t>
      </w:r>
    </w:p>
    <w:p w14:paraId="7BD20753" w14:textId="5C539F4C" w:rsidR="00BE5832" w:rsidRPr="00BE5832" w:rsidRDefault="00BE5832" w:rsidP="00DA6357">
      <w:pPr>
        <w:numPr>
          <w:ilvl w:val="0"/>
          <w:numId w:val="7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Operater trga vodi evidenco dodeljenih spodbud</w:t>
      </w:r>
      <w:r w:rsidR="003C5D05">
        <w:rPr>
          <w:rFonts w:eastAsia="Aptos" w:cs="Arial"/>
          <w:color w:val="000000"/>
          <w:kern w:val="2"/>
          <w:szCs w:val="20"/>
          <w14:ligatures w14:val="standardContextual"/>
        </w:rPr>
        <w:t>, na spletni strani objavlja</w:t>
      </w:r>
      <w:r w:rsidR="00EF5C20">
        <w:rPr>
          <w:rFonts w:eastAsia="Aptos" w:cs="Arial"/>
          <w:color w:val="000000"/>
          <w:kern w:val="2"/>
          <w:szCs w:val="20"/>
          <w14:ligatures w14:val="standardContextual"/>
        </w:rPr>
        <w:t xml:space="preserve"> </w:t>
      </w:r>
      <w:r w:rsidR="000B6DA8">
        <w:rPr>
          <w:rFonts w:eastAsia="Aptos" w:cs="Arial"/>
          <w:color w:val="000000"/>
          <w:kern w:val="2"/>
          <w:szCs w:val="20"/>
          <w14:ligatures w14:val="standardContextual"/>
        </w:rPr>
        <w:t>prejemnike spodbud</w:t>
      </w:r>
      <w:r w:rsidRPr="00BE5832">
        <w:rPr>
          <w:rFonts w:eastAsia="Aptos" w:cs="Arial"/>
          <w:color w:val="000000"/>
          <w:kern w:val="2"/>
          <w:szCs w:val="20"/>
          <w14:ligatures w14:val="standardContextual"/>
        </w:rPr>
        <w:t xml:space="preserve"> in znesk</w:t>
      </w:r>
      <w:r w:rsidR="003C5D05">
        <w:rPr>
          <w:rFonts w:eastAsia="Aptos" w:cs="Arial"/>
          <w:color w:val="000000"/>
          <w:kern w:val="2"/>
          <w:szCs w:val="20"/>
          <w14:ligatures w14:val="standardContextual"/>
        </w:rPr>
        <w:t>e</w:t>
      </w:r>
      <w:r w:rsidRPr="00BE5832">
        <w:rPr>
          <w:rFonts w:eastAsia="Aptos" w:cs="Arial"/>
          <w:color w:val="000000"/>
          <w:kern w:val="2"/>
          <w:szCs w:val="20"/>
          <w14:ligatures w14:val="standardContextual"/>
        </w:rPr>
        <w:t xml:space="preserve"> letn</w:t>
      </w:r>
      <w:r w:rsidR="003C5D05">
        <w:rPr>
          <w:rFonts w:eastAsia="Aptos" w:cs="Arial"/>
          <w:color w:val="000000"/>
          <w:kern w:val="2"/>
          <w:szCs w:val="20"/>
          <w14:ligatures w14:val="standardContextual"/>
        </w:rPr>
        <w:t>o</w:t>
      </w:r>
      <w:r w:rsidRPr="00BE5832">
        <w:rPr>
          <w:rFonts w:eastAsia="Aptos" w:cs="Arial"/>
          <w:color w:val="000000"/>
          <w:kern w:val="2"/>
          <w:szCs w:val="20"/>
          <w14:ligatures w14:val="standardContextual"/>
        </w:rPr>
        <w:t xml:space="preserve"> </w:t>
      </w:r>
      <w:r w:rsidR="003C5D05">
        <w:rPr>
          <w:rFonts w:eastAsia="Aptos" w:cs="Arial"/>
          <w:color w:val="000000"/>
          <w:kern w:val="2"/>
          <w:szCs w:val="20"/>
          <w14:ligatures w14:val="standardContextual"/>
        </w:rPr>
        <w:t>dodeljenih</w:t>
      </w:r>
      <w:r w:rsidRPr="00BE5832">
        <w:rPr>
          <w:rFonts w:eastAsia="Aptos" w:cs="Arial"/>
          <w:color w:val="000000"/>
          <w:kern w:val="2"/>
          <w:szCs w:val="20"/>
          <w14:ligatures w14:val="standardContextual"/>
        </w:rPr>
        <w:t xml:space="preserve"> spodbud ter pripravlja</w:t>
      </w:r>
      <w:r w:rsidR="003C5D05">
        <w:rPr>
          <w:rFonts w:eastAsia="Aptos" w:cs="Arial"/>
          <w:color w:val="000000"/>
          <w:kern w:val="2"/>
          <w:szCs w:val="20"/>
          <w14:ligatures w14:val="standardContextual"/>
        </w:rPr>
        <w:t xml:space="preserve"> in posreduje</w:t>
      </w:r>
      <w:r w:rsidRPr="00BE5832">
        <w:rPr>
          <w:rFonts w:eastAsia="Aptos" w:cs="Arial"/>
          <w:color w:val="000000"/>
          <w:kern w:val="2"/>
          <w:szCs w:val="20"/>
          <w14:ligatures w14:val="standardContextual"/>
        </w:rPr>
        <w:t xml:space="preserve"> letna poročila ministrstv</w:t>
      </w:r>
      <w:r w:rsidR="003C5D05">
        <w:rPr>
          <w:rFonts w:eastAsia="Aptos" w:cs="Arial"/>
          <w:color w:val="000000"/>
          <w:kern w:val="2"/>
          <w:szCs w:val="20"/>
          <w14:ligatures w14:val="standardContextual"/>
        </w:rPr>
        <w:t>u</w:t>
      </w:r>
      <w:r w:rsidRPr="00BE5832">
        <w:rPr>
          <w:rFonts w:eastAsia="Aptos" w:cs="Arial"/>
          <w:color w:val="000000"/>
          <w:kern w:val="2"/>
          <w:szCs w:val="20"/>
          <w14:ligatures w14:val="standardContextual"/>
        </w:rPr>
        <w:t>, pristojn</w:t>
      </w:r>
      <w:r w:rsidR="003C5D05">
        <w:rPr>
          <w:rFonts w:eastAsia="Aptos" w:cs="Arial"/>
          <w:color w:val="000000"/>
          <w:kern w:val="2"/>
          <w:szCs w:val="20"/>
          <w14:ligatures w14:val="standardContextual"/>
        </w:rPr>
        <w:t>emu</w:t>
      </w:r>
      <w:r w:rsidRPr="00BE5832">
        <w:rPr>
          <w:rFonts w:eastAsia="Aptos" w:cs="Arial"/>
          <w:color w:val="000000"/>
          <w:kern w:val="2"/>
          <w:szCs w:val="20"/>
          <w14:ligatures w14:val="standardContextual"/>
        </w:rPr>
        <w:t xml:space="preserve"> za finance. </w:t>
      </w:r>
    </w:p>
    <w:p w14:paraId="437002FF" w14:textId="77777777" w:rsidR="00BE5832" w:rsidRPr="00BE5832" w:rsidRDefault="00BE5832" w:rsidP="00DA6357">
      <w:pPr>
        <w:spacing w:after="160" w:line="259" w:lineRule="auto"/>
        <w:ind w:left="720"/>
        <w:contextualSpacing/>
        <w:rPr>
          <w:rFonts w:eastAsia="Aptos" w:cs="Arial"/>
          <w:color w:val="000000"/>
          <w:kern w:val="2"/>
          <w:szCs w:val="20"/>
          <w14:ligatures w14:val="standardContextual"/>
        </w:rPr>
      </w:pPr>
    </w:p>
    <w:p w14:paraId="3549270B" w14:textId="56D32014" w:rsidR="00BE5832" w:rsidRPr="00853926" w:rsidRDefault="00BE5832" w:rsidP="00DA6357">
      <w:pPr>
        <w:numPr>
          <w:ilvl w:val="0"/>
          <w:numId w:val="78"/>
        </w:numPr>
        <w:spacing w:after="160" w:line="259" w:lineRule="auto"/>
        <w:contextualSpacing/>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Operater trga do realizacije zadnjega načrta naložb na podlagi poročil </w:t>
      </w:r>
      <w:r w:rsidR="003A4054">
        <w:rPr>
          <w:rFonts w:eastAsia="Aptos" w:cs="Arial"/>
          <w:color w:val="000000"/>
          <w:kern w:val="2"/>
          <w:szCs w:val="20"/>
          <w14:ligatures w14:val="standardContextual"/>
        </w:rPr>
        <w:t>prejemnikov spodbud</w:t>
      </w:r>
      <w:r w:rsidRPr="00BE5832">
        <w:rPr>
          <w:rFonts w:eastAsia="Aptos" w:cs="Arial"/>
          <w:color w:val="000000"/>
          <w:kern w:val="2"/>
          <w:szCs w:val="20"/>
          <w14:ligatures w14:val="standardContextual"/>
        </w:rPr>
        <w:t xml:space="preserve"> o izvajanju naložb na spletni strani objavlja letno poročilo o izvedenih naložbenih ukrepih in o doseženih rezultatih razogljičenja.</w:t>
      </w:r>
    </w:p>
    <w:p w14:paraId="052440D6" w14:textId="77777777" w:rsidR="00BE5832" w:rsidRPr="00BE5832" w:rsidRDefault="00BE5832" w:rsidP="00BE5832">
      <w:pPr>
        <w:spacing w:after="160" w:line="259" w:lineRule="auto"/>
        <w:ind w:left="720"/>
        <w:contextualSpacing/>
        <w:rPr>
          <w:rFonts w:eastAsia="Aptos" w:cs="Arial"/>
          <w:color w:val="000000"/>
          <w:kern w:val="2"/>
          <w:szCs w:val="20"/>
          <w14:ligatures w14:val="standardContextual"/>
        </w:rPr>
      </w:pPr>
    </w:p>
    <w:p w14:paraId="5AD7FC13" w14:textId="77777777" w:rsidR="00BE5832" w:rsidRPr="00BE5832" w:rsidRDefault="00BE5832" w:rsidP="00783CC9">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VIII. KAZENSKE DOLOČBE</w:t>
      </w:r>
    </w:p>
    <w:p w14:paraId="2AEE56CC" w14:textId="77777777" w:rsidR="00BE5832" w:rsidRPr="00BE5832" w:rsidRDefault="00BE5832" w:rsidP="00BE5832">
      <w:pPr>
        <w:spacing w:after="160" w:line="259" w:lineRule="auto"/>
        <w:rPr>
          <w:rFonts w:eastAsia="Aptos" w:cs="Arial"/>
          <w:color w:val="000000"/>
          <w:kern w:val="2"/>
          <w:szCs w:val="20"/>
          <w14:ligatures w14:val="standardContextual"/>
        </w:rPr>
      </w:pPr>
    </w:p>
    <w:p w14:paraId="1484872F" w14:textId="5A680796" w:rsidR="00BE5832" w:rsidRPr="00BE5832" w:rsidRDefault="00BE5832" w:rsidP="009255B9">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3B42DCF5" w14:textId="77777777"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(prekrški)</w:t>
      </w:r>
    </w:p>
    <w:p w14:paraId="0F237667" w14:textId="14F64929"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(1) Z globo od </w:t>
      </w:r>
      <w:r w:rsidR="00A561D8">
        <w:rPr>
          <w:rFonts w:eastAsia="Aptos" w:cs="Arial"/>
          <w:color w:val="000000"/>
          <w:kern w:val="2"/>
          <w:szCs w:val="20"/>
          <w14:ligatures w14:val="standardContextual"/>
        </w:rPr>
        <w:t>5</w:t>
      </w:r>
      <w:r w:rsidRPr="00BE5832">
        <w:rPr>
          <w:rFonts w:eastAsia="Aptos" w:cs="Arial"/>
          <w:color w:val="000000"/>
          <w:kern w:val="2"/>
          <w:szCs w:val="20"/>
          <w14:ligatures w14:val="standardContextual"/>
        </w:rPr>
        <w:t xml:space="preserve">.000 do </w:t>
      </w:r>
      <w:r w:rsidR="00A561D8">
        <w:rPr>
          <w:rFonts w:eastAsia="Aptos" w:cs="Arial"/>
          <w:color w:val="000000"/>
          <w:kern w:val="2"/>
          <w:szCs w:val="20"/>
          <w14:ligatures w14:val="standardContextual"/>
        </w:rPr>
        <w:t>50</w:t>
      </w:r>
      <w:r w:rsidRPr="00BE5832">
        <w:rPr>
          <w:rFonts w:eastAsia="Aptos" w:cs="Arial"/>
          <w:color w:val="000000"/>
          <w:kern w:val="2"/>
          <w:szCs w:val="20"/>
          <w14:ligatures w14:val="standardContextual"/>
        </w:rPr>
        <w:t xml:space="preserve">.000 eurov se za prekršek kaznuje pravna oseba, samostojni podjetnik posameznik ali posameznik, ki samostojno opravlja dejavnost, </w:t>
      </w:r>
      <w:r w:rsidR="0065371A">
        <w:rPr>
          <w:rFonts w:eastAsia="Aptos" w:cs="Arial"/>
          <w:color w:val="000000"/>
          <w:kern w:val="2"/>
          <w:szCs w:val="20"/>
          <w14:ligatures w14:val="standardContextual"/>
        </w:rPr>
        <w:t>če ne poroča v skladu s prvim odstavkom 1</w:t>
      </w:r>
      <w:r w:rsidR="009255B9">
        <w:rPr>
          <w:rFonts w:eastAsia="Aptos" w:cs="Arial"/>
          <w:color w:val="000000"/>
          <w:kern w:val="2"/>
          <w:szCs w:val="20"/>
          <w14:ligatures w14:val="standardContextual"/>
        </w:rPr>
        <w:t>3</w:t>
      </w:r>
      <w:r w:rsidR="0065371A">
        <w:rPr>
          <w:rFonts w:eastAsia="Aptos" w:cs="Arial"/>
          <w:color w:val="000000"/>
          <w:kern w:val="2"/>
          <w:szCs w:val="20"/>
          <w14:ligatures w14:val="standardContextual"/>
        </w:rPr>
        <w:t xml:space="preserve">. člena tega zakona ali če ne predloži </w:t>
      </w:r>
      <w:r w:rsidR="009255B9">
        <w:rPr>
          <w:rFonts w:eastAsia="Aptos" w:cs="Arial"/>
          <w:color w:val="000000"/>
          <w:kern w:val="2"/>
          <w:szCs w:val="20"/>
          <w14:ligatures w14:val="standardContextual"/>
        </w:rPr>
        <w:t>zaključnega</w:t>
      </w:r>
      <w:r w:rsidR="0065371A">
        <w:rPr>
          <w:rFonts w:eastAsia="Aptos" w:cs="Arial"/>
          <w:color w:val="000000"/>
          <w:kern w:val="2"/>
          <w:szCs w:val="20"/>
          <w14:ligatures w14:val="standardContextual"/>
        </w:rPr>
        <w:t xml:space="preserve"> poročila v skladu z drugim odstavkom 1</w:t>
      </w:r>
      <w:r w:rsidR="009255B9">
        <w:rPr>
          <w:rFonts w:eastAsia="Aptos" w:cs="Arial"/>
          <w:color w:val="000000"/>
          <w:kern w:val="2"/>
          <w:szCs w:val="20"/>
          <w14:ligatures w14:val="standardContextual"/>
        </w:rPr>
        <w:t>3</w:t>
      </w:r>
      <w:r w:rsidR="0065371A">
        <w:rPr>
          <w:rFonts w:eastAsia="Aptos" w:cs="Arial"/>
          <w:color w:val="000000"/>
          <w:kern w:val="2"/>
          <w:szCs w:val="20"/>
          <w14:ligatures w14:val="standardContextual"/>
        </w:rPr>
        <w:t xml:space="preserve">. člena tega zakona. </w:t>
      </w:r>
    </w:p>
    <w:p w14:paraId="5E820743" w14:textId="6627D9D5"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(2) Z globo od </w:t>
      </w:r>
      <w:r w:rsidR="00B66E73">
        <w:rPr>
          <w:rFonts w:eastAsia="Aptos" w:cs="Arial"/>
          <w:color w:val="000000"/>
          <w:kern w:val="2"/>
          <w:szCs w:val="20"/>
          <w14:ligatures w14:val="standardContextual"/>
        </w:rPr>
        <w:t>500</w:t>
      </w:r>
      <w:r w:rsidRPr="00BE5832">
        <w:rPr>
          <w:rFonts w:eastAsia="Aptos" w:cs="Arial"/>
          <w:color w:val="000000"/>
          <w:kern w:val="2"/>
          <w:szCs w:val="20"/>
          <w14:ligatures w14:val="standardContextual"/>
        </w:rPr>
        <w:t xml:space="preserve"> do </w:t>
      </w:r>
      <w:r w:rsidR="00B66E73">
        <w:rPr>
          <w:rFonts w:eastAsia="Aptos" w:cs="Arial"/>
          <w:color w:val="000000"/>
          <w:kern w:val="2"/>
          <w:szCs w:val="20"/>
          <w14:ligatures w14:val="standardContextual"/>
        </w:rPr>
        <w:t>2</w:t>
      </w:r>
      <w:r w:rsidR="00B97E09">
        <w:rPr>
          <w:rFonts w:eastAsia="Aptos" w:cs="Arial"/>
          <w:color w:val="000000"/>
          <w:kern w:val="2"/>
          <w:szCs w:val="20"/>
          <w14:ligatures w14:val="standardContextual"/>
        </w:rPr>
        <w:t>.</w:t>
      </w:r>
      <w:r w:rsidR="00B66E73">
        <w:rPr>
          <w:rFonts w:eastAsia="Aptos" w:cs="Arial"/>
          <w:color w:val="000000"/>
          <w:kern w:val="2"/>
          <w:szCs w:val="20"/>
          <w14:ligatures w14:val="standardContextual"/>
        </w:rPr>
        <w:t>000</w:t>
      </w:r>
      <w:r w:rsidRPr="00BE5832">
        <w:rPr>
          <w:rFonts w:eastAsia="Aptos" w:cs="Arial"/>
          <w:color w:val="000000"/>
          <w:kern w:val="2"/>
          <w:szCs w:val="20"/>
          <w14:ligatures w14:val="standardContextual"/>
        </w:rPr>
        <w:t xml:space="preserve"> eurov se za prekršek iz prejšnjega odstavka kaznuje odgovorna oseba pravne osebe, odgovorna oseba samostojnega podjetnika posameznika ali odgovorna oseba posameznika, ki samostojno opravlja dejavnost.</w:t>
      </w:r>
    </w:p>
    <w:p w14:paraId="3D5D77DF" w14:textId="77777777" w:rsidR="00BE5832" w:rsidRPr="00BE5832" w:rsidRDefault="00BE5832" w:rsidP="00BE5832">
      <w:pPr>
        <w:spacing w:after="160" w:line="259" w:lineRule="auto"/>
        <w:rPr>
          <w:rFonts w:eastAsia="Aptos" w:cs="Arial"/>
          <w:color w:val="000000"/>
          <w:kern w:val="2"/>
          <w:szCs w:val="20"/>
          <w14:ligatures w14:val="standardContextual"/>
        </w:rPr>
      </w:pPr>
    </w:p>
    <w:p w14:paraId="45CC7A62" w14:textId="564529B8" w:rsidR="00BE5832" w:rsidRPr="00EF5C20" w:rsidRDefault="00BE5832" w:rsidP="0074618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EF5C20">
        <w:rPr>
          <w:rFonts w:eastAsia="Times New Roman" w:cs="Arial"/>
          <w:color w:val="000000"/>
          <w:kern w:val="2"/>
          <w:szCs w:val="20"/>
          <w14:ligatures w14:val="standardContextual"/>
        </w:rPr>
        <w:lastRenderedPageBreak/>
        <w:t xml:space="preserve"> člen</w:t>
      </w:r>
    </w:p>
    <w:p w14:paraId="507FC94F" w14:textId="77777777"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(višina globe v hitrem prekrškovnem postopku)</w:t>
      </w:r>
    </w:p>
    <w:p w14:paraId="515AAF05" w14:textId="77777777" w:rsidR="00BE5832" w:rsidRP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Za prekrške iz tega zakona se sme v hitrem postopku izreči globa tudi v znesku, ki je višji od najnižje predpisane globe, določene s tem zakonom.</w:t>
      </w:r>
    </w:p>
    <w:p w14:paraId="581BFBBD" w14:textId="408ECEAC" w:rsidR="00BE5832" w:rsidRPr="00ED3982" w:rsidRDefault="00BE5832" w:rsidP="00ED3982">
      <w:pPr>
        <w:keepNext/>
        <w:keepLines/>
        <w:spacing w:before="360" w:after="80" w:line="259" w:lineRule="auto"/>
        <w:jc w:val="center"/>
        <w:outlineLvl w:val="0"/>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IX. PREHODNE IN KONČNE DOLOČBE</w:t>
      </w:r>
    </w:p>
    <w:p w14:paraId="449555A8" w14:textId="6BE46D16" w:rsidR="00BE5832" w:rsidRPr="00BE5832" w:rsidRDefault="00BE5832" w:rsidP="00ED3982">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1EB2A0E8" w14:textId="5901BD96" w:rsidR="00BE5832" w:rsidRPr="00BE5832" w:rsidRDefault="00BE5832" w:rsidP="00DA6357">
      <w:pPr>
        <w:spacing w:after="160" w:line="259" w:lineRule="auto"/>
        <w:ind w:left="360"/>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(trajanje ukrepa)</w:t>
      </w:r>
    </w:p>
    <w:p w14:paraId="45D39549" w14:textId="7A109A22" w:rsidR="00BE5832" w:rsidRDefault="00BE5832" w:rsidP="00BE5832">
      <w:pPr>
        <w:spacing w:after="160" w:line="259" w:lineRule="auto"/>
        <w:rPr>
          <w:rFonts w:eastAsia="Aptos" w:cs="Arial"/>
          <w:color w:val="000000"/>
          <w:kern w:val="2"/>
          <w:szCs w:val="20"/>
          <w14:ligatures w14:val="standardContextual"/>
        </w:rPr>
      </w:pPr>
      <w:r w:rsidRPr="00BE5832">
        <w:rPr>
          <w:rFonts w:eastAsia="Aptos" w:cs="Arial"/>
          <w:color w:val="000000"/>
          <w:kern w:val="2"/>
          <w:szCs w:val="20"/>
          <w14:ligatures w14:val="standardContextual"/>
        </w:rPr>
        <w:t xml:space="preserve">Ukrep </w:t>
      </w:r>
      <w:r w:rsidR="00AC0F75">
        <w:rPr>
          <w:rFonts w:eastAsia="Aptos" w:cs="Arial"/>
          <w:color w:val="000000"/>
          <w:kern w:val="2"/>
          <w:szCs w:val="20"/>
          <w14:ligatures w14:val="standardContextual"/>
        </w:rPr>
        <w:t>iz tega zakona</w:t>
      </w:r>
      <w:r w:rsidRPr="00BE5832">
        <w:rPr>
          <w:rFonts w:eastAsia="Aptos" w:cs="Arial"/>
          <w:color w:val="000000"/>
          <w:kern w:val="2"/>
          <w:szCs w:val="20"/>
          <w14:ligatures w14:val="standardContextual"/>
        </w:rPr>
        <w:t xml:space="preserve"> se izvaja do 31. decembra 2028.</w:t>
      </w:r>
    </w:p>
    <w:p w14:paraId="4B6C708D" w14:textId="77777777" w:rsidR="00853926" w:rsidRPr="00BE5832" w:rsidRDefault="00853926" w:rsidP="00BE5832">
      <w:pPr>
        <w:spacing w:after="160" w:line="259" w:lineRule="auto"/>
        <w:rPr>
          <w:rFonts w:eastAsia="Aptos" w:cs="Arial"/>
          <w:color w:val="000000"/>
          <w:kern w:val="2"/>
          <w:szCs w:val="20"/>
          <w14:ligatures w14:val="standardContextual"/>
        </w:rPr>
      </w:pPr>
    </w:p>
    <w:p w14:paraId="6112E36A" w14:textId="3B240727" w:rsidR="00BE5832" w:rsidRPr="00BE5832" w:rsidRDefault="00BE5832" w:rsidP="00503B14">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2CAB47CE" w14:textId="78DB056F" w:rsidR="00BE5832" w:rsidRPr="00BE5832" w:rsidRDefault="00BE5832" w:rsidP="00BE5832">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853926">
        <w:rPr>
          <w:rFonts w:eastAsia="Aptos" w:cs="Arial"/>
          <w:color w:val="000000"/>
          <w:kern w:val="2"/>
          <w:szCs w:val="20"/>
          <w14:ligatures w14:val="standardContextual"/>
        </w:rPr>
        <w:t>določitev razpoložljivega zneska</w:t>
      </w:r>
      <w:r w:rsidRPr="00BE5832">
        <w:rPr>
          <w:rFonts w:eastAsia="Aptos" w:cs="Arial"/>
          <w:color w:val="000000"/>
          <w:kern w:val="2"/>
          <w:szCs w:val="20"/>
          <w14:ligatures w14:val="standardContextual"/>
        </w:rPr>
        <w:t>)</w:t>
      </w:r>
    </w:p>
    <w:p w14:paraId="1313007A" w14:textId="4131F774" w:rsidR="00D26C52" w:rsidRPr="00D375D7" w:rsidRDefault="00853926" w:rsidP="00D375D7">
      <w:pPr>
        <w:spacing w:after="160" w:line="259" w:lineRule="auto"/>
        <w:rPr>
          <w:rFonts w:eastAsia="Aptos" w:cs="Arial"/>
          <w:color w:val="000000"/>
          <w:kern w:val="2"/>
          <w:szCs w:val="20"/>
          <w14:ligatures w14:val="standardContextual"/>
        </w:rPr>
      </w:pPr>
      <w:r w:rsidRPr="00853926">
        <w:rPr>
          <w:rFonts w:eastAsia="Aptos" w:cs="Arial"/>
          <w:color w:val="000000"/>
          <w:kern w:val="2"/>
          <w:szCs w:val="20"/>
          <w14:ligatures w14:val="standardContextual"/>
        </w:rPr>
        <w:t>Vlada določi razpoložljiv znesek iz 11. člena tega zakona</w:t>
      </w:r>
      <w:r w:rsidRPr="00853926">
        <w:rPr>
          <w:rFonts w:eastAsia="Aptos" w:cs="Arial"/>
          <w:color w:val="000000"/>
          <w:kern w:val="2"/>
          <w:szCs w:val="20"/>
          <w14:ligatures w14:val="standardContextual"/>
        </w:rPr>
        <w:t xml:space="preserve"> </w:t>
      </w:r>
      <w:r>
        <w:rPr>
          <w:rFonts w:eastAsia="Aptos" w:cs="Arial"/>
          <w:color w:val="000000"/>
          <w:kern w:val="2"/>
          <w:szCs w:val="20"/>
          <w14:ligatures w14:val="standardContextual"/>
        </w:rPr>
        <w:t>n</w:t>
      </w:r>
      <w:r w:rsidR="00EC4DE0" w:rsidRPr="00EC4DE0">
        <w:rPr>
          <w:rFonts w:eastAsia="Aptos" w:cs="Arial"/>
          <w:color w:val="000000"/>
          <w:kern w:val="2"/>
          <w:szCs w:val="20"/>
          <w14:ligatures w14:val="standardContextual"/>
        </w:rPr>
        <w:t>ajkasneje v 30 dneh od pridobitve pozitivne odločbe Evropske komisije o združljivosti sheme pomoči z notranjim trgom Evropske unije</w:t>
      </w:r>
      <w:r>
        <w:rPr>
          <w:rFonts w:eastAsia="Aptos" w:cs="Arial"/>
          <w:color w:val="000000"/>
          <w:kern w:val="2"/>
          <w:szCs w:val="20"/>
          <w14:ligatures w14:val="standardContextual"/>
        </w:rPr>
        <w:t>.</w:t>
      </w:r>
    </w:p>
    <w:p w14:paraId="69AFE9BA" w14:textId="77777777" w:rsidR="00D86238" w:rsidRDefault="00D86238" w:rsidP="00BE5832">
      <w:pPr>
        <w:spacing w:after="160" w:line="259" w:lineRule="auto"/>
        <w:rPr>
          <w:rFonts w:eastAsia="Aptos" w:cs="Arial"/>
          <w:color w:val="000000"/>
          <w:kern w:val="2"/>
          <w:szCs w:val="20"/>
          <w14:ligatures w14:val="standardContextual"/>
        </w:rPr>
      </w:pPr>
    </w:p>
    <w:p w14:paraId="0B1151FA" w14:textId="426CAA65" w:rsidR="00D86238" w:rsidRPr="00405836" w:rsidRDefault="00D86238" w:rsidP="00405836">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405836">
        <w:rPr>
          <w:rFonts w:eastAsia="Times New Roman" w:cs="Arial"/>
          <w:color w:val="000000"/>
          <w:kern w:val="2"/>
          <w:szCs w:val="20"/>
          <w14:ligatures w14:val="standardContextual"/>
        </w:rPr>
        <w:t xml:space="preserve">člen </w:t>
      </w:r>
    </w:p>
    <w:p w14:paraId="372971D3" w14:textId="69B72E2F" w:rsidR="00D86238" w:rsidRDefault="00D86238" w:rsidP="00405836">
      <w:pPr>
        <w:spacing w:after="160" w:line="259" w:lineRule="auto"/>
        <w:jc w:val="center"/>
        <w:rPr>
          <w:rFonts w:eastAsia="Aptos" w:cs="Arial"/>
          <w:color w:val="000000"/>
          <w:kern w:val="2"/>
          <w:szCs w:val="20"/>
          <w14:ligatures w14:val="standardContextual"/>
        </w:rPr>
      </w:pPr>
      <w:r>
        <w:rPr>
          <w:rFonts w:eastAsia="Aptos" w:cs="Arial"/>
          <w:color w:val="000000"/>
          <w:kern w:val="2"/>
          <w:szCs w:val="20"/>
          <w14:ligatures w14:val="standardContextual"/>
        </w:rPr>
        <w:t>(poročanj</w:t>
      </w:r>
      <w:r w:rsidR="00853926">
        <w:rPr>
          <w:rFonts w:eastAsia="Aptos" w:cs="Arial"/>
          <w:color w:val="000000"/>
          <w:kern w:val="2"/>
          <w:szCs w:val="20"/>
          <w14:ligatures w14:val="standardContextual"/>
        </w:rPr>
        <w:t>e</w:t>
      </w:r>
      <w:r>
        <w:rPr>
          <w:rFonts w:eastAsia="Aptos" w:cs="Arial"/>
          <w:color w:val="000000"/>
          <w:kern w:val="2"/>
          <w:szCs w:val="20"/>
          <w14:ligatures w14:val="standardContextual"/>
        </w:rPr>
        <w:t xml:space="preserve"> prejemnika spodbude)</w:t>
      </w:r>
    </w:p>
    <w:p w14:paraId="5D96377E" w14:textId="6B8F6DB7" w:rsidR="00D86238" w:rsidRDefault="00D86238" w:rsidP="00D86238">
      <w:p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 xml:space="preserve">Prejemnik spodbude </w:t>
      </w:r>
      <w:r w:rsidR="009B2C3D">
        <w:rPr>
          <w:rFonts w:eastAsia="Aptos" w:cs="Arial"/>
          <w:color w:val="000000"/>
          <w:kern w:val="2"/>
          <w:szCs w:val="20"/>
          <w14:ligatures w14:val="standardContextual"/>
        </w:rPr>
        <w:t>operaterju trga zadnjič poroča</w:t>
      </w:r>
      <w:r w:rsidR="00F90EED">
        <w:rPr>
          <w:rFonts w:eastAsia="Aptos" w:cs="Arial"/>
          <w:color w:val="000000"/>
          <w:kern w:val="2"/>
          <w:szCs w:val="20"/>
          <w14:ligatures w14:val="standardContextual"/>
        </w:rPr>
        <w:t xml:space="preserve"> na podlagi 13. člena tega zakona</w:t>
      </w:r>
      <w:r w:rsidR="009B2C3D">
        <w:rPr>
          <w:rFonts w:eastAsia="Aptos" w:cs="Arial"/>
          <w:color w:val="000000"/>
          <w:kern w:val="2"/>
          <w:szCs w:val="20"/>
          <w14:ligatures w14:val="standardContextual"/>
        </w:rPr>
        <w:t xml:space="preserve"> </w:t>
      </w:r>
      <w:r w:rsidR="00853926">
        <w:rPr>
          <w:rFonts w:eastAsia="Aptos" w:cs="Arial"/>
          <w:color w:val="000000"/>
          <w:kern w:val="2"/>
          <w:szCs w:val="20"/>
          <w14:ligatures w14:val="standardContextual"/>
        </w:rPr>
        <w:t>o porabi električne energije</w:t>
      </w:r>
      <w:r w:rsidR="009B2C3D">
        <w:rPr>
          <w:rFonts w:eastAsia="Aptos" w:cs="Arial"/>
          <w:color w:val="000000"/>
          <w:kern w:val="2"/>
          <w:szCs w:val="20"/>
          <w14:ligatures w14:val="standardContextual"/>
        </w:rPr>
        <w:t xml:space="preserve"> do 1. aprila 2029, o izvajanju naložb pa</w:t>
      </w:r>
      <w:r w:rsidR="00EA06F5">
        <w:rPr>
          <w:rFonts w:eastAsia="Aptos" w:cs="Arial"/>
          <w:color w:val="000000"/>
          <w:kern w:val="2"/>
          <w:szCs w:val="20"/>
          <w14:ligatures w14:val="standardContextual"/>
        </w:rPr>
        <w:t xml:space="preserve"> </w:t>
      </w:r>
      <w:r w:rsidR="009B2C3D">
        <w:rPr>
          <w:rFonts w:eastAsia="Aptos" w:cs="Arial"/>
          <w:color w:val="000000"/>
          <w:kern w:val="2"/>
          <w:szCs w:val="20"/>
          <w14:ligatures w14:val="standardContextual"/>
        </w:rPr>
        <w:t>do 1. aprila 2033</w:t>
      </w:r>
      <w:r w:rsidR="0061466C">
        <w:rPr>
          <w:rFonts w:eastAsia="Aptos" w:cs="Arial"/>
          <w:color w:val="000000"/>
          <w:kern w:val="2"/>
          <w:szCs w:val="20"/>
          <w14:ligatures w14:val="standardContextual"/>
        </w:rPr>
        <w:t>.</w:t>
      </w:r>
      <w:r w:rsidR="00F90EED">
        <w:rPr>
          <w:rFonts w:eastAsia="Aptos" w:cs="Arial"/>
          <w:color w:val="000000"/>
          <w:kern w:val="2"/>
          <w:szCs w:val="20"/>
          <w14:ligatures w14:val="standardContextual"/>
        </w:rPr>
        <w:t xml:space="preserve"> </w:t>
      </w:r>
    </w:p>
    <w:p w14:paraId="2DE2F3D2" w14:textId="77777777" w:rsidR="00AC0F75" w:rsidRPr="00BE5832" w:rsidRDefault="00AC0F75" w:rsidP="00BE5832">
      <w:pPr>
        <w:spacing w:after="160" w:line="259" w:lineRule="auto"/>
        <w:rPr>
          <w:rFonts w:eastAsia="Aptos" w:cs="Arial"/>
          <w:color w:val="000000"/>
          <w:kern w:val="2"/>
          <w:szCs w:val="20"/>
          <w14:ligatures w14:val="standardContextual"/>
        </w:rPr>
      </w:pPr>
    </w:p>
    <w:p w14:paraId="520B8924" w14:textId="14E8B214" w:rsidR="00AC0F75" w:rsidRPr="00BE5832" w:rsidRDefault="00AC0F75"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sidRPr="00BE5832">
        <w:rPr>
          <w:rFonts w:eastAsia="Times New Roman" w:cs="Arial"/>
          <w:color w:val="000000"/>
          <w:kern w:val="2"/>
          <w:szCs w:val="20"/>
          <w14:ligatures w14:val="standardContextual"/>
        </w:rPr>
        <w:t xml:space="preserve"> člen</w:t>
      </w:r>
    </w:p>
    <w:p w14:paraId="1F990D83" w14:textId="6F67F0D5" w:rsidR="00AC0F75" w:rsidRPr="00BE5832" w:rsidRDefault="00AC0F75" w:rsidP="00AC0F75">
      <w:pPr>
        <w:spacing w:after="160" w:line="259" w:lineRule="auto"/>
        <w:jc w:val="center"/>
        <w:rPr>
          <w:rFonts w:eastAsia="Aptos" w:cs="Arial"/>
          <w:color w:val="000000"/>
          <w:kern w:val="2"/>
          <w:szCs w:val="20"/>
          <w14:ligatures w14:val="standardContextual"/>
        </w:rPr>
      </w:pPr>
      <w:r w:rsidRPr="00BE5832">
        <w:rPr>
          <w:rFonts w:eastAsia="Aptos" w:cs="Arial"/>
          <w:color w:val="000000"/>
          <w:kern w:val="2"/>
          <w:szCs w:val="20"/>
          <w14:ligatures w14:val="standardContextual"/>
        </w:rPr>
        <w:t>(</w:t>
      </w:r>
      <w:r w:rsidR="00695F6F">
        <w:rPr>
          <w:rFonts w:eastAsia="Aptos" w:cs="Arial"/>
          <w:color w:val="000000"/>
          <w:kern w:val="2"/>
          <w:szCs w:val="20"/>
          <w14:ligatures w14:val="standardContextual"/>
        </w:rPr>
        <w:t xml:space="preserve">uporaba zakona za namen poročanja, </w:t>
      </w:r>
      <w:r w:rsidR="00744CA0">
        <w:rPr>
          <w:rFonts w:eastAsia="Aptos" w:cs="Arial"/>
          <w:color w:val="000000"/>
          <w:kern w:val="2"/>
          <w:szCs w:val="20"/>
          <w14:ligatures w14:val="standardContextual"/>
        </w:rPr>
        <w:t xml:space="preserve">za </w:t>
      </w:r>
      <w:r w:rsidR="00695F6F">
        <w:rPr>
          <w:rFonts w:eastAsia="Aptos" w:cs="Arial"/>
          <w:color w:val="000000"/>
          <w:kern w:val="2"/>
          <w:szCs w:val="20"/>
          <w14:ligatures w14:val="standardContextual"/>
        </w:rPr>
        <w:t>obveznosti ter vračila</w:t>
      </w:r>
      <w:r w:rsidRPr="00BE5832">
        <w:rPr>
          <w:rFonts w:eastAsia="Aptos" w:cs="Arial"/>
          <w:color w:val="000000"/>
          <w:kern w:val="2"/>
          <w:szCs w:val="20"/>
          <w14:ligatures w14:val="standardContextual"/>
        </w:rPr>
        <w:t>)</w:t>
      </w:r>
    </w:p>
    <w:p w14:paraId="3A56F9AE" w14:textId="4B4302BF" w:rsidR="00AC0F75" w:rsidRDefault="00695F6F" w:rsidP="00295AEC">
      <w:pPr>
        <w:pStyle w:val="Odstavekseznama"/>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Ta zakon se</w:t>
      </w:r>
      <w:r w:rsidRPr="00BD18A6">
        <w:rPr>
          <w:rFonts w:eastAsia="Aptos" w:cs="Arial"/>
          <w:color w:val="000000"/>
          <w:kern w:val="2"/>
          <w:szCs w:val="20"/>
          <w14:ligatures w14:val="standardContextual"/>
        </w:rPr>
        <w:t xml:space="preserve"> za namene poročanja</w:t>
      </w:r>
      <w:r w:rsidR="00643C4E">
        <w:rPr>
          <w:rFonts w:eastAsia="Aptos" w:cs="Arial"/>
          <w:color w:val="000000"/>
          <w:kern w:val="2"/>
          <w:szCs w:val="20"/>
          <w14:ligatures w14:val="standardContextual"/>
        </w:rPr>
        <w:t xml:space="preserve"> iz 13. člena tega zakona</w:t>
      </w:r>
      <w:r w:rsidRPr="00BD18A6">
        <w:rPr>
          <w:rFonts w:eastAsia="Aptos" w:cs="Arial"/>
          <w:color w:val="000000"/>
          <w:kern w:val="2"/>
          <w:szCs w:val="20"/>
          <w14:ligatures w14:val="standardContextual"/>
        </w:rPr>
        <w:t xml:space="preserve"> uporablja do 31. decembra 2033, za vse ostale obveznosti, ki se nanašajo na izpolnjevanje obveznosti glede dodeljenih spodbud in vračila neupravičeno prejete spodbude, pa se uporablja do 31. decembra 2037.</w:t>
      </w:r>
    </w:p>
    <w:p w14:paraId="5CB74A8F" w14:textId="77777777" w:rsidR="002967DA" w:rsidRPr="00295AEC" w:rsidRDefault="002967DA" w:rsidP="00295AEC">
      <w:pPr>
        <w:pStyle w:val="Odstavekseznama"/>
        <w:spacing w:after="160" w:line="259" w:lineRule="auto"/>
        <w:rPr>
          <w:rFonts w:eastAsia="Aptos" w:cs="Arial"/>
          <w:color w:val="000000"/>
          <w:kern w:val="2"/>
          <w:szCs w:val="20"/>
          <w14:ligatures w14:val="standardContextual"/>
        </w:rPr>
      </w:pPr>
    </w:p>
    <w:p w14:paraId="785F4BB1" w14:textId="14FED0D0" w:rsidR="00BE5832" w:rsidRDefault="005F3F41"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r>
        <w:rPr>
          <w:rFonts w:eastAsia="Times New Roman" w:cs="Arial"/>
          <w:color w:val="000000"/>
          <w:kern w:val="2"/>
          <w:szCs w:val="20"/>
          <w14:ligatures w14:val="standardContextual"/>
        </w:rPr>
        <w:t>č</w:t>
      </w:r>
      <w:r w:rsidR="00BE5832" w:rsidRPr="00BE5832">
        <w:rPr>
          <w:rFonts w:eastAsia="Times New Roman" w:cs="Arial"/>
          <w:color w:val="000000"/>
          <w:kern w:val="2"/>
          <w:szCs w:val="20"/>
          <w14:ligatures w14:val="standardContextual"/>
        </w:rPr>
        <w:t>len</w:t>
      </w:r>
    </w:p>
    <w:p w14:paraId="377B7D46" w14:textId="77777777" w:rsidR="005F3F41" w:rsidRPr="005F3F41" w:rsidRDefault="005F3F41" w:rsidP="005F3F41">
      <w:pPr>
        <w:pStyle w:val="Odstavekseznama"/>
        <w:spacing w:after="160" w:line="259" w:lineRule="auto"/>
        <w:ind w:left="644"/>
        <w:jc w:val="center"/>
        <w:rPr>
          <w:rFonts w:eastAsia="Aptos" w:cs="Arial"/>
          <w:color w:val="000000"/>
          <w:kern w:val="2"/>
          <w:szCs w:val="20"/>
          <w14:ligatures w14:val="standardContextual"/>
        </w:rPr>
      </w:pPr>
      <w:bookmarkStart w:id="50" w:name="_Hlk213307573"/>
      <w:r w:rsidRPr="005F3F41">
        <w:rPr>
          <w:rFonts w:eastAsia="Aptos" w:cs="Arial"/>
          <w:color w:val="000000"/>
          <w:kern w:val="2"/>
          <w:szCs w:val="20"/>
          <w14:ligatures w14:val="standardContextual"/>
        </w:rPr>
        <w:t>(začetek uporabe)</w:t>
      </w:r>
    </w:p>
    <w:bookmarkEnd w:id="50"/>
    <w:p w14:paraId="02D914A3" w14:textId="77777777" w:rsidR="005F3F41" w:rsidRDefault="005F3F41" w:rsidP="005F3F41">
      <w:pPr>
        <w:pStyle w:val="Odstavekseznama"/>
        <w:numPr>
          <w:ilvl w:val="0"/>
          <w:numId w:val="103"/>
        </w:num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Ta zakon se začne</w:t>
      </w:r>
      <w:r>
        <w:rPr>
          <w:rFonts w:eastAsia="Aptos" w:cs="Arial"/>
          <w:color w:val="000000"/>
          <w:kern w:val="2"/>
          <w:szCs w:val="20"/>
          <w14:ligatures w14:val="standardContextual"/>
        </w:rPr>
        <w:t xml:space="preserve"> uporabljati </w:t>
      </w:r>
      <w:r w:rsidRPr="00567C7F">
        <w:rPr>
          <w:rFonts w:eastAsia="Aptos" w:cs="Arial"/>
          <w:color w:val="000000"/>
          <w:kern w:val="2"/>
          <w:szCs w:val="20"/>
          <w14:ligatures w14:val="standardContextual"/>
        </w:rPr>
        <w:t>po pridobitvi pozitivne odločbe Evropske komisije o združljivosti sheme pomoči z notranjim trgom Evropske Unije</w:t>
      </w:r>
      <w:r>
        <w:rPr>
          <w:rFonts w:eastAsia="Aptos" w:cs="Arial"/>
          <w:color w:val="000000"/>
          <w:kern w:val="2"/>
          <w:szCs w:val="20"/>
          <w14:ligatures w14:val="standardContextual"/>
        </w:rPr>
        <w:t xml:space="preserve">. </w:t>
      </w:r>
    </w:p>
    <w:p w14:paraId="1781C0CC" w14:textId="5A8D3A22" w:rsidR="005F3F41" w:rsidRDefault="005F3F41" w:rsidP="005F3F41">
      <w:pPr>
        <w:pStyle w:val="Odstavekseznama"/>
        <w:numPr>
          <w:ilvl w:val="0"/>
          <w:numId w:val="103"/>
        </w:numPr>
        <w:spacing w:after="160" w:line="259" w:lineRule="auto"/>
        <w:rPr>
          <w:rFonts w:eastAsia="Aptos" w:cs="Arial"/>
          <w:color w:val="000000"/>
          <w:kern w:val="2"/>
          <w:szCs w:val="20"/>
          <w14:ligatures w14:val="standardContextual"/>
        </w:rPr>
      </w:pPr>
      <w:r>
        <w:rPr>
          <w:rFonts w:eastAsia="Aptos" w:cs="Arial"/>
          <w:color w:val="000000"/>
          <w:kern w:val="2"/>
          <w:szCs w:val="20"/>
          <w14:ligatures w14:val="standardContextual"/>
        </w:rPr>
        <w:t xml:space="preserve">Minister, pristojen za energijo, objavi naznanilo o prejetju odločbe iz prejšnjega </w:t>
      </w:r>
      <w:r>
        <w:rPr>
          <w:rFonts w:eastAsia="Aptos" w:cs="Arial"/>
          <w:color w:val="000000"/>
          <w:kern w:val="2"/>
          <w:szCs w:val="20"/>
          <w14:ligatures w14:val="standardContextual"/>
        </w:rPr>
        <w:t>od</w:t>
      </w:r>
      <w:r>
        <w:rPr>
          <w:rFonts w:eastAsia="Aptos" w:cs="Arial"/>
          <w:color w:val="000000"/>
          <w:kern w:val="2"/>
          <w:szCs w:val="20"/>
          <w14:ligatures w14:val="standardContextual"/>
        </w:rPr>
        <w:t xml:space="preserve">stavka </w:t>
      </w:r>
      <w:r>
        <w:rPr>
          <w:rFonts w:eastAsia="Aptos" w:cs="Arial"/>
          <w:color w:val="000000"/>
          <w:kern w:val="2"/>
          <w:szCs w:val="20"/>
          <w14:ligatures w14:val="standardContextual"/>
        </w:rPr>
        <w:t>v Uradnem listu Republike Slovenije</w:t>
      </w:r>
      <w:r w:rsidRPr="00567C7F">
        <w:rPr>
          <w:rFonts w:eastAsia="Aptos" w:cs="Arial"/>
          <w:color w:val="000000"/>
          <w:kern w:val="2"/>
          <w:szCs w:val="20"/>
          <w14:ligatures w14:val="standardContextual"/>
        </w:rPr>
        <w:t>.</w:t>
      </w:r>
    </w:p>
    <w:p w14:paraId="70D86845" w14:textId="77777777" w:rsidR="005F3F41" w:rsidRDefault="005F3F41" w:rsidP="005F3F41">
      <w:pPr>
        <w:keepNext/>
        <w:keepLines/>
        <w:spacing w:before="160" w:after="80" w:line="259" w:lineRule="auto"/>
        <w:ind w:left="644"/>
        <w:outlineLvl w:val="1"/>
        <w:rPr>
          <w:rFonts w:eastAsia="Times New Roman" w:cs="Arial"/>
          <w:color w:val="000000"/>
          <w:kern w:val="2"/>
          <w:szCs w:val="20"/>
          <w14:ligatures w14:val="standardContextual"/>
        </w:rPr>
      </w:pPr>
    </w:p>
    <w:p w14:paraId="2A9FFB87" w14:textId="77777777" w:rsidR="005F3F41" w:rsidRPr="00BE5832" w:rsidRDefault="005F3F41" w:rsidP="00BB31ED">
      <w:pPr>
        <w:keepNext/>
        <w:keepLines/>
        <w:numPr>
          <w:ilvl w:val="0"/>
          <w:numId w:val="70"/>
        </w:numPr>
        <w:spacing w:before="160" w:after="80" w:line="259" w:lineRule="auto"/>
        <w:jc w:val="center"/>
        <w:outlineLvl w:val="1"/>
        <w:rPr>
          <w:rFonts w:eastAsia="Times New Roman" w:cs="Arial"/>
          <w:color w:val="000000"/>
          <w:kern w:val="2"/>
          <w:szCs w:val="20"/>
          <w14:ligatures w14:val="standardContextual"/>
        </w:rPr>
      </w:pPr>
    </w:p>
    <w:p w14:paraId="63D3A85D" w14:textId="07184338" w:rsidR="00792F3A" w:rsidRDefault="00792F3A" w:rsidP="00792F3A">
      <w:pPr>
        <w:pStyle w:val="Odstavekseznama"/>
        <w:spacing w:after="160" w:line="259" w:lineRule="auto"/>
        <w:jc w:val="center"/>
        <w:rPr>
          <w:rFonts w:eastAsia="Aptos" w:cs="Arial"/>
          <w:color w:val="000000"/>
          <w:kern w:val="2"/>
          <w:szCs w:val="20"/>
          <w14:ligatures w14:val="standardContextual"/>
        </w:rPr>
      </w:pPr>
      <w:r>
        <w:rPr>
          <w:rFonts w:eastAsia="Aptos" w:cs="Arial"/>
          <w:color w:val="000000"/>
          <w:kern w:val="2"/>
          <w:szCs w:val="20"/>
          <w14:ligatures w14:val="standardContextual"/>
        </w:rPr>
        <w:t>(začetek veljavnosti)</w:t>
      </w:r>
    </w:p>
    <w:p w14:paraId="32C543A2" w14:textId="48D76168" w:rsidR="005F3F41" w:rsidRPr="00567C7F" w:rsidRDefault="005F3F41" w:rsidP="00567C7F">
      <w:pPr>
        <w:pStyle w:val="Odstavekseznama"/>
        <w:spacing w:after="160" w:line="259" w:lineRule="auto"/>
        <w:rPr>
          <w:rFonts w:eastAsia="Aptos" w:cs="Arial"/>
          <w:color w:val="000000"/>
          <w:kern w:val="2"/>
          <w:szCs w:val="20"/>
          <w14:ligatures w14:val="standardContextual"/>
        </w:rPr>
      </w:pPr>
      <w:r w:rsidRPr="00BD18A6">
        <w:rPr>
          <w:rFonts w:eastAsia="Aptos" w:cs="Arial"/>
          <w:color w:val="000000"/>
          <w:kern w:val="2"/>
          <w:szCs w:val="20"/>
          <w14:ligatures w14:val="standardContextual"/>
        </w:rPr>
        <w:t>Ta zakon začne veljati 1. januarja 2026 in velja do 30. junija 2029</w:t>
      </w:r>
    </w:p>
    <w:p w14:paraId="27F7AF31" w14:textId="3BEAC497" w:rsidR="004F289B" w:rsidRDefault="004F289B" w:rsidP="004F289B">
      <w:pPr>
        <w:spacing w:after="0" w:line="240" w:lineRule="auto"/>
        <w:rPr>
          <w:rFonts w:eastAsia="Arial" w:cs="Arial"/>
          <w:b/>
          <w:bCs/>
          <w:szCs w:val="20"/>
        </w:rPr>
      </w:pPr>
    </w:p>
    <w:p w14:paraId="286A2ECB" w14:textId="77777777" w:rsidR="003C0F64" w:rsidRPr="004F289B" w:rsidRDefault="003C0F64" w:rsidP="004F289B">
      <w:pPr>
        <w:spacing w:after="0" w:line="240" w:lineRule="auto"/>
        <w:rPr>
          <w:rFonts w:eastAsia="Arial" w:cs="Arial"/>
          <w:b/>
          <w:bCs/>
          <w:szCs w:val="20"/>
        </w:rPr>
      </w:pPr>
    </w:p>
    <w:p w14:paraId="6408C34A" w14:textId="77777777" w:rsidR="004F289B" w:rsidRPr="004F289B" w:rsidRDefault="004F289B" w:rsidP="004F289B">
      <w:pPr>
        <w:keepNext/>
        <w:keepLines/>
        <w:outlineLvl w:val="0"/>
        <w:rPr>
          <w:rFonts w:eastAsia="Times New Roman" w:cs="Arial"/>
          <w:b/>
          <w:bCs/>
          <w:caps/>
          <w:spacing w:val="4"/>
          <w:szCs w:val="20"/>
          <w:lang w:eastAsia="sl-SI"/>
        </w:rPr>
      </w:pPr>
      <w:r w:rsidRPr="004F289B">
        <w:rPr>
          <w:rFonts w:eastAsia="Times New Roman" w:cs="Arial"/>
          <w:b/>
          <w:bCs/>
          <w:caps/>
          <w:spacing w:val="4"/>
          <w:szCs w:val="20"/>
          <w:lang w:eastAsia="sl-SI"/>
        </w:rPr>
        <w:lastRenderedPageBreak/>
        <w:t>III. OBRAZLOŽITEV</w:t>
      </w:r>
    </w:p>
    <w:p w14:paraId="787C27D3" w14:textId="7D791C1C" w:rsidR="00DA6357" w:rsidRPr="00DA6357" w:rsidRDefault="00DA6357" w:rsidP="00DA6357">
      <w:pPr>
        <w:rPr>
          <w:rFonts w:eastAsia="Times New Roman" w:cs="Arial"/>
          <w:b/>
          <w:bCs/>
          <w:szCs w:val="20"/>
          <w:lang w:eastAsia="ar-SA"/>
        </w:rPr>
      </w:pPr>
      <w:r w:rsidRPr="00DA6357">
        <w:rPr>
          <w:rFonts w:eastAsia="Times New Roman" w:cs="Arial"/>
          <w:b/>
          <w:bCs/>
          <w:szCs w:val="20"/>
          <w:lang w:eastAsia="ar-SA"/>
        </w:rPr>
        <w:t>K 1. členu (vsebina</w:t>
      </w:r>
      <w:r w:rsidR="00012E11">
        <w:rPr>
          <w:rFonts w:eastAsia="Times New Roman" w:cs="Arial"/>
          <w:b/>
          <w:bCs/>
          <w:szCs w:val="20"/>
          <w:lang w:eastAsia="ar-SA"/>
        </w:rPr>
        <w:t xml:space="preserve"> zakona</w:t>
      </w:r>
      <w:r w:rsidRPr="00DA6357">
        <w:rPr>
          <w:rFonts w:eastAsia="Times New Roman" w:cs="Arial"/>
          <w:b/>
          <w:bCs/>
          <w:szCs w:val="20"/>
          <w:lang w:eastAsia="ar-SA"/>
        </w:rPr>
        <w:t>)</w:t>
      </w:r>
    </w:p>
    <w:p w14:paraId="4E10D372" w14:textId="2BA92D38"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V 1. členu je določen predmet zakona. Člen opredeljuje, da se z zakonom uvaja </w:t>
      </w:r>
      <w:r w:rsidR="00012E11">
        <w:rPr>
          <w:rFonts w:eastAsia="Times New Roman" w:cs="Arial"/>
          <w:szCs w:val="20"/>
          <w:lang w:eastAsia="ar-SA"/>
        </w:rPr>
        <w:t>začasni</w:t>
      </w:r>
      <w:r w:rsidRPr="00DA6357">
        <w:rPr>
          <w:rFonts w:eastAsia="Times New Roman" w:cs="Arial"/>
          <w:szCs w:val="20"/>
          <w:lang w:eastAsia="ar-SA"/>
        </w:rPr>
        <w:t xml:space="preserve"> ukrep dodelitve spodbud za pokritje dela stroškov električne energije elektrointenzivnim podjetjem, s ciljem </w:t>
      </w:r>
      <w:r w:rsidR="00012E11">
        <w:rPr>
          <w:rFonts w:eastAsia="Times New Roman" w:cs="Arial"/>
          <w:szCs w:val="20"/>
          <w:lang w:eastAsia="ar-SA"/>
        </w:rPr>
        <w:t>spodbujati</w:t>
      </w:r>
      <w:r w:rsidRPr="00DA6357">
        <w:rPr>
          <w:rFonts w:eastAsia="Times New Roman" w:cs="Arial"/>
          <w:szCs w:val="20"/>
          <w:lang w:eastAsia="ar-SA"/>
        </w:rPr>
        <w:t xml:space="preserve"> njihovo konkurenčnost</w:t>
      </w:r>
      <w:r w:rsidR="008A37CD">
        <w:rPr>
          <w:rFonts w:eastAsia="Times New Roman" w:cs="Arial"/>
          <w:szCs w:val="20"/>
          <w:lang w:eastAsia="ar-SA"/>
        </w:rPr>
        <w:t xml:space="preserve"> in razogljičenje</w:t>
      </w:r>
      <w:r w:rsidRPr="00DA6357">
        <w:rPr>
          <w:rFonts w:eastAsia="Times New Roman" w:cs="Arial"/>
          <w:szCs w:val="20"/>
          <w:lang w:eastAsia="ar-SA"/>
        </w:rPr>
        <w:t>.</w:t>
      </w:r>
    </w:p>
    <w:p w14:paraId="768C97C0"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Zakon ni splošen energetski zakon, temveč je ciljno usmerjen, časovno omejen zakon, ki je podlaga za ukrep državne pomoči, ki je namenjena omejeni skupini podjetij, ki jih izrazito prizadevajo visoki stroški električne energije.</w:t>
      </w:r>
    </w:p>
    <w:p w14:paraId="21DDF6AB" w14:textId="6C6BF996" w:rsidR="00DA6357" w:rsidRPr="00DA6357" w:rsidRDefault="00012E11" w:rsidP="00DA6357">
      <w:pPr>
        <w:rPr>
          <w:rFonts w:eastAsia="Arial" w:cs="Arial"/>
          <w:szCs w:val="20"/>
        </w:rPr>
      </w:pPr>
      <w:r>
        <w:rPr>
          <w:rFonts w:eastAsia="Arial" w:cs="Arial"/>
          <w:szCs w:val="20"/>
        </w:rPr>
        <w:t>Ta člen ureja tudi</w:t>
      </w:r>
      <w:r w:rsidR="00DA6357" w:rsidRPr="00DA6357">
        <w:rPr>
          <w:rFonts w:eastAsia="Arial" w:cs="Arial"/>
          <w:szCs w:val="20"/>
        </w:rPr>
        <w:t xml:space="preserve"> skladnost ukrepa s pravom EU, in sicer s Sporočilom Komisije C/2025/3602 – Okvir za ukrepe državne pomoči v podporo dogovoru o čisti industriji / čisti energiji (CISAF)</w:t>
      </w:r>
      <w:r w:rsidR="00E3675E">
        <w:rPr>
          <w:rFonts w:eastAsia="Arial" w:cs="Arial"/>
          <w:szCs w:val="20"/>
        </w:rPr>
        <w:t xml:space="preserve">, in sicer je določeno, </w:t>
      </w:r>
      <w:r w:rsidR="00DA6357" w:rsidRPr="00DA6357">
        <w:rPr>
          <w:rFonts w:eastAsia="Arial" w:cs="Arial"/>
          <w:szCs w:val="20"/>
        </w:rPr>
        <w:t>da se ukrep izvaja v skladu s tem posebnim okvirom državnih pomoči</w:t>
      </w:r>
      <w:r w:rsidR="00D52A81">
        <w:rPr>
          <w:rFonts w:eastAsia="Arial" w:cs="Arial"/>
          <w:szCs w:val="20"/>
        </w:rPr>
        <w:t>.</w:t>
      </w:r>
    </w:p>
    <w:p w14:paraId="5B4CC7ED" w14:textId="77777777" w:rsidR="00DA6357" w:rsidRPr="00DA6357" w:rsidRDefault="00DA6357" w:rsidP="00DA6357">
      <w:pPr>
        <w:rPr>
          <w:rFonts w:eastAsia="Arial" w:cs="Arial"/>
          <w:b/>
          <w:bCs/>
          <w:szCs w:val="20"/>
        </w:rPr>
      </w:pPr>
    </w:p>
    <w:p w14:paraId="2B9EA5B7" w14:textId="27B3C63F" w:rsidR="00DA6357" w:rsidRPr="00DA6357" w:rsidRDefault="00DA6357" w:rsidP="00DA6357">
      <w:pPr>
        <w:rPr>
          <w:rFonts w:eastAsia="Arial" w:cs="Arial"/>
          <w:b/>
          <w:bCs/>
          <w:szCs w:val="20"/>
        </w:rPr>
      </w:pPr>
      <w:r w:rsidRPr="00DA6357">
        <w:rPr>
          <w:rFonts w:eastAsia="Arial" w:cs="Arial"/>
          <w:b/>
          <w:bCs/>
          <w:szCs w:val="20"/>
        </w:rPr>
        <w:t xml:space="preserve">K </w:t>
      </w:r>
      <w:r w:rsidR="001A3BF9">
        <w:rPr>
          <w:rFonts w:eastAsia="Arial" w:cs="Arial"/>
          <w:b/>
          <w:bCs/>
          <w:szCs w:val="20"/>
        </w:rPr>
        <w:t>2</w:t>
      </w:r>
      <w:r w:rsidRPr="00DA6357">
        <w:rPr>
          <w:rFonts w:eastAsia="Arial" w:cs="Arial"/>
          <w:b/>
          <w:bCs/>
          <w:szCs w:val="20"/>
        </w:rPr>
        <w:t>. členu (pomen izrazov)</w:t>
      </w:r>
    </w:p>
    <w:p w14:paraId="0048366D"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Ta člen določa ključne pojme, ki se uporabljajo v zakonu, in s tem zagotavlja pravno varnost in enotno razlago. </w:t>
      </w:r>
    </w:p>
    <w:p w14:paraId="6D5C9803" w14:textId="0EB5B082"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Definicija »elektrointenzivnega podjetja« temelji na razmerju med povprečnimi stroški električne energije v zadnjih treh letih in povprečno bruto dodano vrednostjo v istem obdobju, pri čemer je prag postavljen pri 5 %. Določena je tudi metodologija za podjetja, ki poslujejo krajše od treh let (projekcije, podatki iz preteklih let, povprečje). Ta definicija povzema standarde iz EU pravil za elektrointenzivnost, s čimer se zagotovi, da je ukrep usmerjen v najbolj izpostavljena podjetja. Metodologija zajema tudi način izračunavanja elektrointenzivnosti, če je upravičenec zaradi trajnostnih naložb v zadnjem obdobju svojo specifično porabo na enoto proizvodnje znižal oziroma, če se upravičencu v času izvajanja ukrepa po tem zakonu zaradi izvedenih trajnostnih naložb poraba električne energije tako zniža, da zahtevani pogoj elektrointenzivnosti ni izpolnjen. </w:t>
      </w:r>
    </w:p>
    <w:p w14:paraId="14408F93"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Za namene tega zakona se dodana vrednost upravičenca v opazovanem obdobju (zadnje zaključeno koledarsko leto pred oddajo vloge) določi na podlagi izkaza poslovnega izida za to leto, sestavljenega v skladu z veljavnimi slovenskimi računovodskimi standardi (SRS) ali MSRP, kot:</w:t>
      </w:r>
    </w:p>
    <w:p w14:paraId="0BD0AC3C" w14:textId="6328ECF4" w:rsidR="00DA6357" w:rsidRPr="00DA6357" w:rsidRDefault="00DA6357" w:rsidP="00DA6357">
      <w:pPr>
        <w:rPr>
          <w:rFonts w:eastAsia="Times New Roman" w:cs="Arial"/>
          <w:szCs w:val="20"/>
          <w:lang w:eastAsia="ar-SA"/>
        </w:rPr>
      </w:pPr>
      <w:r w:rsidRPr="00DA6357">
        <w:rPr>
          <w:rFonts w:eastAsia="Times New Roman" w:cs="Arial"/>
          <w:szCs w:val="20"/>
          <w:lang w:eastAsia="ar-SA"/>
        </w:rPr>
        <w:t>DV = (čisti prihodki od prodaje + sprememba vrednosti zalog proizvodov in nedokončane proizvodnje + usredstveni lastni proizvodi in lastne storitve + drugi poslovni prihodki) - (stroški blaga, materiala in storitev + drugi poslovni odhodki).</w:t>
      </w:r>
    </w:p>
    <w:p w14:paraId="5F6C2541"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Pri podjetjih, ki sestavljajo računovodske izkaze po MSRP, se upoštevajo postavke, ki po vsebini ustrezajo navedenim postavkam izkaza poslovnega izida po ZGD-1.</w:t>
      </w:r>
    </w:p>
    <w:p w14:paraId="52DE15F0"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Dodana vrednost se ugotavlja na bruto ravni, zato se od nje ne odštevajo amortizacija in drugi odpisi vrednosti. V izračun se ne vključujejo finančni prihodki in odhodki ter izredni prihodki in odhodki, razen če so vključeni v zgoraj navedene postavke poslovnih prihodkov oziroma odhodkov. V primeru razhajanj med podatki v vlogi in podatki iz javno objavljenih letnih poročil na AJPES se za namen dokazovanja dejstev iz vloge štejejo za verodostojne podatki iz javno objavljenih letnih poročil.</w:t>
      </w:r>
    </w:p>
    <w:p w14:paraId="458669AD" w14:textId="4C492192" w:rsidR="00135708" w:rsidRPr="00DA6357" w:rsidRDefault="00DA6357" w:rsidP="00DA6357">
      <w:pPr>
        <w:rPr>
          <w:rFonts w:eastAsia="Times New Roman" w:cs="Arial"/>
          <w:szCs w:val="20"/>
          <w:lang w:eastAsia="ar-SA"/>
        </w:rPr>
      </w:pPr>
      <w:r w:rsidRPr="00DA6357">
        <w:rPr>
          <w:rFonts w:eastAsia="Times New Roman" w:cs="Arial"/>
          <w:szCs w:val="20"/>
          <w:lang w:eastAsia="ar-SA"/>
        </w:rPr>
        <w:t>Definicija »skupna letna poraba električne energije« je vsota vse električne energije, ki jo upravičenec v koledarskem letu porabi na vseh svojih merilnih mestih za lastne potrebe ne glede na to ali je kupljena na trgu ali proizvedena v samooskrbi oziroma energetski skupnosti oziroma dovedena iz javnega omrežja</w:t>
      </w:r>
      <w:r w:rsidR="00135708">
        <w:rPr>
          <w:rFonts w:eastAsia="Times New Roman" w:cs="Arial"/>
          <w:szCs w:val="20"/>
          <w:lang w:eastAsia="ar-SA"/>
        </w:rPr>
        <w:t xml:space="preserve">. </w:t>
      </w:r>
    </w:p>
    <w:p w14:paraId="6E754845"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 xml:space="preserve">Definicija »referenčne tržne cene električne energije« je vezana na povprečje zadnjih dvanajst mesečnih cen produkta »EEX-PXE Slovenian Power Base Year Future«, </w:t>
      </w:r>
      <w:r w:rsidRPr="00DA6357">
        <w:rPr>
          <w:rFonts w:eastAsia="Times New Roman" w:cs="Arial"/>
          <w:color w:val="000000"/>
          <w:szCs w:val="20"/>
        </w:rPr>
        <w:t xml:space="preserve">ki so objavljene na </w:t>
      </w:r>
      <w:hyperlink r:id="rId10" w:history="1">
        <w:r w:rsidRPr="00DA6357">
          <w:rPr>
            <w:rFonts w:eastAsia="Times New Roman" w:cs="Times New Roman"/>
            <w:color w:val="000000"/>
          </w:rPr>
          <w:t>www.eex.com</w:t>
        </w:r>
      </w:hyperlink>
      <w:r w:rsidRPr="00DA6357">
        <w:rPr>
          <w:rFonts w:eastAsia="Times New Roman" w:cs="Arial"/>
          <w:color w:val="000000"/>
          <w:szCs w:val="20"/>
        </w:rPr>
        <w:t xml:space="preserve">. </w:t>
      </w:r>
      <w:r w:rsidRPr="00DA6357">
        <w:rPr>
          <w:rFonts w:eastAsia="Times New Roman" w:cs="Arial"/>
          <w:szCs w:val="20"/>
          <w:lang w:eastAsia="ar-SA"/>
        </w:rPr>
        <w:t>za ustrezno leto, zaokroženo na dve decimalni mesti.</w:t>
      </w:r>
      <w:r w:rsidRPr="00DA6357">
        <w:rPr>
          <w:rFonts w:eastAsia="Times New Roman" w:cs="Arial"/>
          <w:color w:val="000000"/>
          <w:szCs w:val="20"/>
        </w:rPr>
        <w:t xml:space="preserve"> </w:t>
      </w:r>
      <w:r w:rsidRPr="00DA6357">
        <w:rPr>
          <w:rFonts w:eastAsia="Times New Roman" w:cs="Arial"/>
          <w:szCs w:val="20"/>
          <w:lang w:eastAsia="ar-SA"/>
        </w:rPr>
        <w:t>S tem se zagotovi objektivna, tržno utemeljena referenca, ki je ključna za izračun višine spodbude in za preprečevanje prekomernega nadomestila.</w:t>
      </w:r>
    </w:p>
    <w:p w14:paraId="24626A5E" w14:textId="05A76422" w:rsidR="00DA6357" w:rsidRPr="00DA6357" w:rsidRDefault="00DA6357" w:rsidP="00DA6357">
      <w:pPr>
        <w:rPr>
          <w:rFonts w:eastAsia="Times New Roman" w:cs="Arial"/>
          <w:szCs w:val="20"/>
          <w:lang w:eastAsia="ar-SA"/>
        </w:rPr>
      </w:pPr>
      <w:r w:rsidRPr="00DA6357">
        <w:rPr>
          <w:rFonts w:eastAsia="Times New Roman" w:cs="Arial"/>
          <w:szCs w:val="20"/>
          <w:lang w:eastAsia="ar-SA"/>
        </w:rPr>
        <w:t>Definicija »upravičeni sektor« se sklicuje na Prilogo 1 Smernic o državni pomoči za podnebje, varstvo okolja in energijo (CEEAG) 2022 (2022/C 80/01)</w:t>
      </w:r>
      <w:r w:rsidR="00C967E9">
        <w:rPr>
          <w:rFonts w:eastAsia="Times New Roman" w:cs="Arial"/>
          <w:szCs w:val="20"/>
          <w:lang w:eastAsia="ar-SA"/>
        </w:rPr>
        <w:t xml:space="preserve">, prav tako pa se za upravičen sektor šteje, če </w:t>
      </w:r>
      <w:r w:rsidR="00C967E9" w:rsidRPr="00C967E9">
        <w:rPr>
          <w:rFonts w:eastAsia="Times New Roman" w:cs="Arial"/>
          <w:szCs w:val="20"/>
          <w:lang w:eastAsia="ar-SA"/>
        </w:rPr>
        <w:t xml:space="preserve">ga je v času izvajanja tega ukrepa državne pomoči Evropska komisija dodatno uvrstila na seznam oziroma priznala za upravičenega na podlagi dokazil o izpolnjevanju meril za upravičenost iz Sporočila Komisije </w:t>
      </w:r>
      <w:r w:rsidR="00C967E9" w:rsidRPr="00C967E9">
        <w:rPr>
          <w:rFonts w:eastAsia="Times New Roman" w:cs="Arial"/>
          <w:szCs w:val="20"/>
          <w:lang w:eastAsia="ar-SA"/>
        </w:rPr>
        <w:lastRenderedPageBreak/>
        <w:t>C/2025/3602 z dne 4. 7. 2025 - Okvir za ukrepe državne pomoči v podporo dogovoru o čisti industriji (UL C št. 3602 z dne 4. 7. 2025).</w:t>
      </w:r>
      <w:r w:rsidR="00C967E9">
        <w:rPr>
          <w:rFonts w:eastAsia="Times New Roman" w:cs="Arial"/>
          <w:szCs w:val="20"/>
          <w:lang w:eastAsia="ar-SA"/>
        </w:rPr>
        <w:t xml:space="preserve"> </w:t>
      </w:r>
      <w:r w:rsidRPr="00DA6357">
        <w:rPr>
          <w:rFonts w:eastAsia="Times New Roman" w:cs="Arial"/>
          <w:szCs w:val="20"/>
          <w:lang w:eastAsia="ar-SA"/>
        </w:rPr>
        <w:t>S tem se zagotovi, da je pomoč omejena na sektorje, ki izpolnjujejo merila energetske in trgovinske izpostavljenosti in s tem tveganja selitve proizvodnje iz EU.</w:t>
      </w:r>
    </w:p>
    <w:p w14:paraId="6E974FD1" w14:textId="77777777" w:rsidR="00DA6357" w:rsidRPr="00DA6357" w:rsidRDefault="00DA6357" w:rsidP="00DA6357">
      <w:pPr>
        <w:rPr>
          <w:rFonts w:eastAsia="Times New Roman" w:cs="Arial"/>
          <w:szCs w:val="20"/>
          <w:lang w:eastAsia="ar-SA"/>
        </w:rPr>
      </w:pPr>
      <w:r w:rsidRPr="00DA6357">
        <w:rPr>
          <w:rFonts w:eastAsia="Times New Roman" w:cs="Arial"/>
          <w:szCs w:val="20"/>
          <w:lang w:eastAsia="ar-SA"/>
        </w:rPr>
        <w:t>Priloga 1 Smernic o državni pomoči za podnebje, varstvo okolja in energijo za leto 2022 vsebuje naslednji seznam sektorjev:</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43"/>
        <w:gridCol w:w="7313"/>
      </w:tblGrid>
      <w:tr w:rsidR="00DA6357" w:rsidRPr="00DA6357" w14:paraId="3FCE00D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DE038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Oznaka NACE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3B378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Poimenovanje</w:t>
            </w:r>
          </w:p>
        </w:tc>
      </w:tr>
      <w:tr w:rsidR="00DA6357" w:rsidRPr="00DA6357" w14:paraId="29F7224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025CC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0510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ADBB4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črnega premoga</w:t>
            </w:r>
          </w:p>
        </w:tc>
      </w:tr>
      <w:tr w:rsidR="00DA6357" w:rsidRPr="00DA6357" w14:paraId="08F9564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EA1B0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0620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1C190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zemeljskega plina</w:t>
            </w:r>
          </w:p>
        </w:tc>
      </w:tr>
      <w:tr w:rsidR="00DA6357" w:rsidRPr="00DA6357" w14:paraId="71CCBA7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6F736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0710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B043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železove rude</w:t>
            </w:r>
          </w:p>
        </w:tc>
      </w:tr>
      <w:tr w:rsidR="00DA6357" w:rsidRPr="00DA6357" w14:paraId="3B9FB02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1A724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0729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9FAC3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rud drugih neželeznih kovin</w:t>
            </w:r>
          </w:p>
        </w:tc>
      </w:tr>
      <w:tr w:rsidR="00DA6357" w:rsidRPr="00DA6357" w14:paraId="7621203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36662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FA65D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kamna</w:t>
            </w:r>
          </w:p>
        </w:tc>
      </w:tr>
      <w:tr w:rsidR="00DA6357" w:rsidRPr="00DA6357" w14:paraId="0F2661B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DD287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66DC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mineralov za kemikalije in gnojila</w:t>
            </w:r>
          </w:p>
        </w:tc>
      </w:tr>
      <w:tr w:rsidR="00DA6357" w:rsidRPr="00DA6357" w14:paraId="0FBD615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80427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82888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soli</w:t>
            </w:r>
          </w:p>
        </w:tc>
      </w:tr>
      <w:tr w:rsidR="00DA6357" w:rsidRPr="00DA6357" w14:paraId="3499766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4C117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0899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46A0F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Pridobivanje drugih rudnin in kamnin</w:t>
            </w:r>
          </w:p>
        </w:tc>
      </w:tr>
      <w:tr w:rsidR="00DA6357" w:rsidRPr="00DA6357" w14:paraId="44DA11B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60050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AD3BC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Predelava in konzerviranje rib, rakov in mehkužcev</w:t>
            </w:r>
          </w:p>
        </w:tc>
      </w:tr>
      <w:tr w:rsidR="00DA6357" w:rsidRPr="00DA6357" w14:paraId="2ECFA52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E7431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05DB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Predelava in konzerviranje krompirja</w:t>
            </w:r>
          </w:p>
        </w:tc>
      </w:tr>
      <w:tr w:rsidR="00DA6357" w:rsidRPr="00DA6357" w14:paraId="2E1FFBC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FF2E5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A1BEC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sadnih in zelenjavnih sokov</w:t>
            </w:r>
          </w:p>
        </w:tc>
      </w:tr>
      <w:tr w:rsidR="00DA6357" w:rsidRPr="00DA6357" w14:paraId="566EB8B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0A0EC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1039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E6B9B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Druga predelava in konzerviranje sadja in zelenjave</w:t>
            </w:r>
          </w:p>
        </w:tc>
      </w:tr>
      <w:tr w:rsidR="00DA6357" w:rsidRPr="00DA6357" w14:paraId="261F159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B1BA5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1041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45B43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olja in maščob</w:t>
            </w:r>
          </w:p>
        </w:tc>
      </w:tr>
      <w:tr w:rsidR="00DA6357" w:rsidRPr="00DA6357" w14:paraId="6F47CC0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8D297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1062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7B7BC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škroba in škrobnih izdelkov</w:t>
            </w:r>
          </w:p>
        </w:tc>
      </w:tr>
      <w:tr w:rsidR="00DA6357" w:rsidRPr="00DA6357" w14:paraId="11BA79B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6AB01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F3095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sladkorja</w:t>
            </w:r>
          </w:p>
        </w:tc>
      </w:tr>
      <w:tr w:rsidR="00DA6357" w:rsidRPr="00DA6357" w14:paraId="46CF01D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DD42C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743B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homogeniziranih in dietetičnih živil</w:t>
            </w:r>
          </w:p>
        </w:tc>
      </w:tr>
      <w:tr w:rsidR="00DA6357" w:rsidRPr="00DA6357" w14:paraId="18506CD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85FD3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4F8FE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aromatiziranih vin iz grozdja</w:t>
            </w:r>
          </w:p>
        </w:tc>
      </w:tr>
      <w:tr w:rsidR="00DA6357" w:rsidRPr="00DA6357" w14:paraId="1565A71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6CE28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3B2E2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slada</w:t>
            </w:r>
          </w:p>
        </w:tc>
      </w:tr>
      <w:tr w:rsidR="00DA6357" w:rsidRPr="00DA6357" w14:paraId="677A19A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C7136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4093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Priprava in predenje tekstilnih vlaken</w:t>
            </w:r>
          </w:p>
        </w:tc>
      </w:tr>
      <w:tr w:rsidR="00DA6357" w:rsidRPr="00DA6357" w14:paraId="193EA31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3776E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D98E8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Tkanje tekstilij</w:t>
            </w:r>
          </w:p>
        </w:tc>
      </w:tr>
      <w:tr w:rsidR="00DA6357" w:rsidRPr="00DA6357" w14:paraId="20C211C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04A55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46F21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Dodelava tekstilij</w:t>
            </w:r>
          </w:p>
        </w:tc>
      </w:tr>
      <w:tr w:rsidR="00DA6357" w:rsidRPr="00DA6357" w14:paraId="74A5180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30ECB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F4FD4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pletenih in kvačkanih materialov</w:t>
            </w:r>
          </w:p>
        </w:tc>
      </w:tr>
      <w:tr w:rsidR="00DA6357" w:rsidRPr="00DA6357" w14:paraId="5DF7DBC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97CE5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D3949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preprog</w:t>
            </w:r>
          </w:p>
        </w:tc>
      </w:tr>
      <w:tr w:rsidR="00DA6357" w:rsidRPr="00DA6357" w14:paraId="2039F96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B7AF0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330F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vrvi, vrvic in mrež</w:t>
            </w:r>
          </w:p>
        </w:tc>
      </w:tr>
      <w:tr w:rsidR="00DA6357" w:rsidRPr="00DA6357" w14:paraId="537CFBE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229CF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BBB4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netkanih tekstilij in izdelkov iz njih, razen oblačil</w:t>
            </w:r>
          </w:p>
        </w:tc>
      </w:tr>
      <w:tr w:rsidR="00DA6357" w:rsidRPr="00DA6357" w14:paraId="6FF6EE8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85D4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1396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7E51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tehničnega in industrijskega tekstila</w:t>
            </w:r>
          </w:p>
        </w:tc>
      </w:tr>
      <w:tr w:rsidR="00DA6357" w:rsidRPr="00DA6357" w14:paraId="39AEBBA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2996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1411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799D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usnjenih oblačil</w:t>
            </w:r>
          </w:p>
        </w:tc>
      </w:tr>
      <w:tr w:rsidR="00DA6357" w:rsidRPr="00DA6357" w14:paraId="58D5CD3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250E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1431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C6C08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nogavic</w:t>
            </w:r>
          </w:p>
        </w:tc>
      </w:tr>
      <w:tr w:rsidR="00DA6357" w:rsidRPr="00DA6357" w14:paraId="07189DE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2DC74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1511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4235D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Strojenje in dodelava usnja in krzna</w:t>
            </w:r>
          </w:p>
        </w:tc>
      </w:tr>
      <w:tr w:rsidR="00DA6357" w:rsidRPr="00DA6357" w14:paraId="142AC04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6D5E4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C607E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Žaganje, skobljanje in impregniranje lesa</w:t>
            </w:r>
          </w:p>
        </w:tc>
      </w:tr>
      <w:tr w:rsidR="00DA6357" w:rsidRPr="00DA6357" w14:paraId="7FF12A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1E37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3406A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furnirja in plošč na osnovi lesa</w:t>
            </w:r>
          </w:p>
        </w:tc>
      </w:tr>
      <w:tr w:rsidR="00DA6357" w:rsidRPr="00DA6357" w14:paraId="233C7D9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EC39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60D0F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sestavljenega parketa</w:t>
            </w:r>
          </w:p>
        </w:tc>
      </w:tr>
      <w:tr w:rsidR="00DA6357" w:rsidRPr="00DA6357" w14:paraId="6780F5F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AA49F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1629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E37EB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lesa, plute, slame in protja</w:t>
            </w:r>
          </w:p>
        </w:tc>
      </w:tr>
      <w:tr w:rsidR="00DA6357" w:rsidRPr="00DA6357" w14:paraId="56132CC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69DE0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767F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vlaknin</w:t>
            </w:r>
          </w:p>
        </w:tc>
      </w:tr>
      <w:tr w:rsidR="00DA6357" w:rsidRPr="00DA6357" w14:paraId="19E22E3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A9A7A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92B2C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papirja in kartona</w:t>
            </w:r>
          </w:p>
        </w:tc>
      </w:tr>
      <w:tr w:rsidR="00DA6357" w:rsidRPr="00DA6357" w14:paraId="209C030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14330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F7343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gospodinjskih, higienskih in toaletnih potrebščin iz papirja</w:t>
            </w:r>
          </w:p>
        </w:tc>
      </w:tr>
      <w:tr w:rsidR="00DA6357" w:rsidRPr="00DA6357" w14:paraId="363ECF0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2D92A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F68A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tapet</w:t>
            </w:r>
          </w:p>
        </w:tc>
      </w:tr>
      <w:tr w:rsidR="00DA6357" w:rsidRPr="00DA6357" w14:paraId="736B1E5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98D26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CD70B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naftnih derivatov</w:t>
            </w:r>
          </w:p>
        </w:tc>
      </w:tr>
      <w:tr w:rsidR="00DA6357" w:rsidRPr="00DA6357" w14:paraId="2411CC4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789A7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CBC35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tehničnih plinov</w:t>
            </w:r>
          </w:p>
        </w:tc>
      </w:tr>
      <w:tr w:rsidR="00DA6357" w:rsidRPr="00DA6357" w14:paraId="7AD0BC4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D69A4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EA97D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barvil in pigmentov</w:t>
            </w:r>
          </w:p>
        </w:tc>
      </w:tr>
      <w:tr w:rsidR="00DA6357" w:rsidRPr="00DA6357" w14:paraId="76A9AD4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D38BB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4C86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anorganskih osnovnih kemikalij</w:t>
            </w:r>
          </w:p>
        </w:tc>
      </w:tr>
      <w:tr w:rsidR="00DA6357" w:rsidRPr="00DA6357" w14:paraId="684C6E8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685E2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F1837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organskih osnovnih kemikalij</w:t>
            </w:r>
          </w:p>
        </w:tc>
      </w:tr>
      <w:tr w:rsidR="00DA6357" w:rsidRPr="00DA6357" w14:paraId="46A2529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8064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55D3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gnojil in dušikovih spojin</w:t>
            </w:r>
          </w:p>
        </w:tc>
      </w:tr>
      <w:tr w:rsidR="00DA6357" w:rsidRPr="00DA6357" w14:paraId="2B7403A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4760C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5921D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plastičnih mas v primarni obliki</w:t>
            </w:r>
          </w:p>
        </w:tc>
      </w:tr>
      <w:tr w:rsidR="00DA6357" w:rsidRPr="00DA6357" w14:paraId="129147B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BC1F1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027D6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sintetičnega kavčuka v primarni obliki</w:t>
            </w:r>
          </w:p>
        </w:tc>
      </w:tr>
      <w:tr w:rsidR="00DA6357" w:rsidRPr="00DA6357" w14:paraId="2710307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78D7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F4EC0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kemičnih izdelkov</w:t>
            </w:r>
          </w:p>
        </w:tc>
      </w:tr>
      <w:tr w:rsidR="00DA6357" w:rsidRPr="00DA6357" w14:paraId="2C4FF7F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1F661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2060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9BA6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umetnih vlaken</w:t>
            </w:r>
          </w:p>
        </w:tc>
      </w:tr>
      <w:tr w:rsidR="00DA6357" w:rsidRPr="00DA6357" w14:paraId="36E2A8A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E8625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2110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10C85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farmacevtskih surovin</w:t>
            </w:r>
          </w:p>
        </w:tc>
      </w:tr>
      <w:tr w:rsidR="00DA6357" w:rsidRPr="00DA6357" w14:paraId="21099DC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6D73BA"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FD649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in obnavljanje gumijastih plaščev in zračnic za vozila</w:t>
            </w:r>
          </w:p>
        </w:tc>
      </w:tr>
      <w:tr w:rsidR="00DA6357" w:rsidRPr="00DA6357" w14:paraId="1BC2AF6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F76E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686A4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gume</w:t>
            </w:r>
          </w:p>
        </w:tc>
      </w:tr>
      <w:tr w:rsidR="00DA6357" w:rsidRPr="00DA6357" w14:paraId="748AC57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D04C2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05409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plošč, folij, cevi in profilov iz plastičnih mas</w:t>
            </w:r>
          </w:p>
        </w:tc>
      </w:tr>
      <w:tr w:rsidR="00DA6357" w:rsidRPr="00DA6357" w14:paraId="54CE694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C5D7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EDB89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embalaže iz plastičnih mas</w:t>
            </w:r>
          </w:p>
        </w:tc>
      </w:tr>
      <w:tr w:rsidR="00DA6357" w:rsidRPr="00DA6357" w14:paraId="55F7017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AA3B3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2229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AD6B3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plastičnih mas</w:t>
            </w:r>
          </w:p>
        </w:tc>
      </w:tr>
      <w:tr w:rsidR="00DA6357" w:rsidRPr="00DA6357" w14:paraId="103E9A9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FFD59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B21E3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ravnega stekla</w:t>
            </w:r>
          </w:p>
        </w:tc>
      </w:tr>
      <w:tr w:rsidR="00DA6357" w:rsidRPr="00DA6357" w14:paraId="1564A8E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BCA46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FC34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Oblikovanje in obdelava ravnega stekla</w:t>
            </w:r>
          </w:p>
        </w:tc>
      </w:tr>
      <w:tr w:rsidR="00DA6357" w:rsidRPr="00DA6357" w14:paraId="23C7B4E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AFFD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CE8B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votlega stekla</w:t>
            </w:r>
          </w:p>
        </w:tc>
      </w:tr>
      <w:tr w:rsidR="00DA6357" w:rsidRPr="00DA6357" w14:paraId="7AC8E6C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72E8C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2314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58768E"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steklenih vlaken</w:t>
            </w:r>
          </w:p>
        </w:tc>
      </w:tr>
      <w:tr w:rsidR="00DA6357" w:rsidRPr="00DA6357" w14:paraId="296E2DE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4A14D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2319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0D7C8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in oblikovanje drugih vrst stekla ter tehničnih steklenih izdelkov</w:t>
            </w:r>
          </w:p>
        </w:tc>
      </w:tr>
      <w:tr w:rsidR="00DA6357" w:rsidRPr="00DA6357" w14:paraId="61936E7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E3532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FACCE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ognjevzdržne keramike</w:t>
            </w:r>
          </w:p>
        </w:tc>
      </w:tr>
      <w:tr w:rsidR="00DA6357" w:rsidRPr="00DA6357" w14:paraId="3E61A5F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00E28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0044F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keramičnih ploščic in oblog</w:t>
            </w:r>
          </w:p>
        </w:tc>
      </w:tr>
      <w:tr w:rsidR="00DA6357" w:rsidRPr="00DA6357" w14:paraId="50378FD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29F66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DE0A2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sanitarne keramike</w:t>
            </w:r>
          </w:p>
        </w:tc>
      </w:tr>
      <w:tr w:rsidR="00DA6357" w:rsidRPr="00DA6357" w14:paraId="04223CE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9634F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7B16B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izolatorjev in izolacijskih elementov iz keramike</w:t>
            </w:r>
          </w:p>
        </w:tc>
      </w:tr>
      <w:tr w:rsidR="00DA6357" w:rsidRPr="00DA6357" w14:paraId="53B6184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6162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0D63B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druge tehnične keramike</w:t>
            </w:r>
          </w:p>
        </w:tc>
      </w:tr>
      <w:tr w:rsidR="00DA6357" w:rsidRPr="00DA6357" w14:paraId="206235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CE1E4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2349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6B81D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keramičnih izdelkov</w:t>
            </w:r>
          </w:p>
        </w:tc>
      </w:tr>
      <w:tr w:rsidR="00DA6357" w:rsidRPr="00DA6357" w14:paraId="0267731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9F189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7EAAB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cementa</w:t>
            </w:r>
          </w:p>
        </w:tc>
      </w:tr>
      <w:tr w:rsidR="00DA6357" w:rsidRPr="00DA6357" w14:paraId="327B784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B6051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EDA90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brusilnih sredstev</w:t>
            </w:r>
          </w:p>
        </w:tc>
      </w:tr>
      <w:tr w:rsidR="00DA6357" w:rsidRPr="00DA6357" w14:paraId="546572D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C2B8E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C3FB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nekovinskih mineralnih izdelkov</w:t>
            </w:r>
          </w:p>
        </w:tc>
      </w:tr>
      <w:tr w:rsidR="00DA6357" w:rsidRPr="00DA6357" w14:paraId="0E74711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F2E197"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C54EF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surovega železa, jekla, ferozlitin</w:t>
            </w:r>
          </w:p>
        </w:tc>
      </w:tr>
      <w:tr w:rsidR="00DA6357" w:rsidRPr="00DA6357" w14:paraId="116508C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2455A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5D12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jeklenih cevi, votlih profilov in fitingov</w:t>
            </w:r>
          </w:p>
        </w:tc>
      </w:tr>
      <w:tr w:rsidR="00DA6357" w:rsidRPr="00DA6357" w14:paraId="6358C01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0E84B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0588AB"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vlečenje profilov</w:t>
            </w:r>
          </w:p>
        </w:tc>
      </w:tr>
      <w:tr w:rsidR="00DA6357" w:rsidRPr="00DA6357" w14:paraId="2A7639C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CE267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A79E7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valjanje traku</w:t>
            </w:r>
          </w:p>
        </w:tc>
      </w:tr>
      <w:tr w:rsidR="00DA6357" w:rsidRPr="00DA6357" w14:paraId="3343B37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27FC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2434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3BAC0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Hladno vlečenje žice</w:t>
            </w:r>
          </w:p>
        </w:tc>
      </w:tr>
      <w:tr w:rsidR="00DA6357" w:rsidRPr="00DA6357" w14:paraId="1AABB2E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484F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18B3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aluminija</w:t>
            </w:r>
          </w:p>
        </w:tc>
      </w:tr>
      <w:tr w:rsidR="00DA6357" w:rsidRPr="00DA6357" w14:paraId="57F56A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FB53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D0CA8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svinca, cinka in kositra</w:t>
            </w:r>
          </w:p>
        </w:tc>
      </w:tr>
      <w:tr w:rsidR="00DA6357" w:rsidRPr="00DA6357" w14:paraId="1D23C90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45C3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23955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bakra</w:t>
            </w:r>
          </w:p>
        </w:tc>
      </w:tr>
      <w:tr w:rsidR="00DA6357" w:rsidRPr="00DA6357" w14:paraId="18566C2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E2BB8D"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41CCB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neželeznih kovin</w:t>
            </w:r>
          </w:p>
        </w:tc>
      </w:tr>
      <w:tr w:rsidR="00DA6357" w:rsidRPr="00DA6357" w14:paraId="433F8B4B"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8109C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2446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61BA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jedrskega goriva</w:t>
            </w:r>
          </w:p>
        </w:tc>
      </w:tr>
      <w:tr w:rsidR="00DA6357" w:rsidRPr="00DA6357" w14:paraId="3F3D7D0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CF99A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47957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železa</w:t>
            </w:r>
          </w:p>
        </w:tc>
      </w:tr>
      <w:tr w:rsidR="00DA6357" w:rsidRPr="00DA6357" w14:paraId="5BC1A52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3239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2550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8C60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Kovanje, stiskanje, vtiskovanje in valjanje kovin; prašna metalurgija</w:t>
            </w:r>
          </w:p>
        </w:tc>
      </w:tr>
      <w:tr w:rsidR="00DA6357" w:rsidRPr="00DA6357" w14:paraId="0421FBA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EA96D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A8F0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Površinska obdelava in prekrivanje kovin</w:t>
            </w:r>
          </w:p>
        </w:tc>
      </w:tr>
      <w:tr w:rsidR="00DA6357" w:rsidRPr="00DA6357" w14:paraId="5ED6314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C06E8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2571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5C9BE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rezil in jedilnega pribora</w:t>
            </w:r>
          </w:p>
        </w:tc>
      </w:tr>
      <w:tr w:rsidR="00DA6357" w:rsidRPr="00DA6357" w14:paraId="6F6D2DB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E5A3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4905B8"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izdelkov iz žice, verig in vzmeti</w:t>
            </w:r>
          </w:p>
        </w:tc>
      </w:tr>
      <w:tr w:rsidR="00DA6357" w:rsidRPr="00DA6357" w14:paraId="28414CB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7FEFC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1F13A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vijačnega materiala, vezi</w:t>
            </w:r>
          </w:p>
        </w:tc>
      </w:tr>
      <w:tr w:rsidR="00DA6357" w:rsidRPr="00DA6357" w14:paraId="6DE434F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84BDC"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2611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F3392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elektronskih komponent</w:t>
            </w:r>
          </w:p>
        </w:tc>
      </w:tr>
      <w:tr w:rsidR="00DA6357" w:rsidRPr="00DA6357" w14:paraId="4FA746E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D05FC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2720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F798A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baterij in akumulatorjev</w:t>
            </w:r>
          </w:p>
        </w:tc>
      </w:tr>
      <w:tr w:rsidR="00DA6357" w:rsidRPr="00DA6357" w14:paraId="79F8FF0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590E9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92D4C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kablov iz optičnih vlaken</w:t>
            </w:r>
          </w:p>
        </w:tc>
      </w:tr>
      <w:tr w:rsidR="00DA6357" w:rsidRPr="00DA6357" w14:paraId="0742E6B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5B8BD3"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2732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0FFBFD"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električnih kablov in žic</w:t>
            </w:r>
          </w:p>
        </w:tc>
      </w:tr>
      <w:tr w:rsidR="00DA6357" w:rsidRPr="00DA6357" w14:paraId="496388B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98B63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2790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944D3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električnih naprav</w:t>
            </w:r>
          </w:p>
        </w:tc>
      </w:tr>
      <w:tr w:rsidR="00DA6357" w:rsidRPr="00DA6357" w14:paraId="6A924E0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804B1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2815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CE7CA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ležajev, zobnikov in elementov za mehanski prenos energije</w:t>
            </w:r>
          </w:p>
        </w:tc>
      </w:tr>
      <w:tr w:rsidR="00DA6357" w:rsidRPr="00DA6357" w14:paraId="61A1F0A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7E6D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3091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EEA0F6"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motornih koles</w:t>
            </w:r>
          </w:p>
        </w:tc>
      </w:tr>
      <w:tr w:rsidR="00DA6357" w:rsidRPr="00DA6357" w14:paraId="6C815C9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9B31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3099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D8495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vprežnih in drugih vozil</w:t>
            </w:r>
          </w:p>
        </w:tc>
      </w:tr>
    </w:tbl>
    <w:p w14:paraId="39C95D6D" w14:textId="77777777" w:rsidR="00DA6357" w:rsidRPr="00DA6357" w:rsidRDefault="00DA6357" w:rsidP="00DA6357">
      <w:pPr>
        <w:rPr>
          <w:rFonts w:eastAsia="Times New Roman" w:cs="Arial"/>
          <w:szCs w:val="20"/>
          <w:lang w:eastAsia="ar-SA"/>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89"/>
        <w:gridCol w:w="7267"/>
      </w:tblGrid>
      <w:tr w:rsidR="00DA6357" w:rsidRPr="00DA6357" w14:paraId="043843A7"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11F95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Oznaka NACE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9730CF" w14:textId="77777777" w:rsidR="00DA6357" w:rsidRPr="00DA6357" w:rsidRDefault="00DA6357" w:rsidP="00DA6357">
            <w:pPr>
              <w:spacing w:before="60" w:after="60" w:line="312" w:lineRule="atLeast"/>
              <w:ind w:right="195"/>
              <w:jc w:val="center"/>
              <w:rPr>
                <w:rFonts w:ascii="Times New Roman" w:eastAsia="Times New Roman" w:hAnsi="Times New Roman" w:cs="Times New Roman"/>
                <w:b/>
                <w:bCs/>
                <w:sz w:val="22"/>
                <w:lang w:eastAsia="sl-SI"/>
              </w:rPr>
            </w:pPr>
            <w:r w:rsidRPr="00DA6357">
              <w:rPr>
                <w:rFonts w:ascii="Times New Roman" w:eastAsia="Times New Roman" w:hAnsi="Times New Roman" w:cs="Times New Roman"/>
                <w:b/>
                <w:bCs/>
                <w:sz w:val="22"/>
                <w:lang w:eastAsia="sl-SI"/>
              </w:rPr>
              <w:t>Poimenovanje</w:t>
            </w:r>
          </w:p>
        </w:tc>
      </w:tr>
      <w:tr w:rsidR="00DA6357" w:rsidRPr="00DA6357" w14:paraId="10F4F80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8817F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0C1E58"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mesa, razen perutninskega</w:t>
            </w:r>
          </w:p>
        </w:tc>
      </w:tr>
      <w:tr w:rsidR="00DA6357" w:rsidRPr="00DA6357" w14:paraId="4CB718F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DCDBA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E3296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perutninskega mesa</w:t>
            </w:r>
          </w:p>
        </w:tc>
      </w:tr>
      <w:tr w:rsidR="00DA6357" w:rsidRPr="00DA6357" w14:paraId="440C347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44EA4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1042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DCBB5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margarine in podobnih jedilnih maščob</w:t>
            </w:r>
          </w:p>
        </w:tc>
      </w:tr>
      <w:tr w:rsidR="00DA6357" w:rsidRPr="00DA6357" w14:paraId="0CB1310C"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4507EE"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4DFB5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Mlekarstvo in sirarstvo</w:t>
            </w:r>
          </w:p>
        </w:tc>
      </w:tr>
      <w:tr w:rsidR="00DA6357" w:rsidRPr="00DA6357" w14:paraId="7736FF6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B3626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D35A2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Mlinarstvo</w:t>
            </w:r>
          </w:p>
        </w:tc>
      </w:tr>
      <w:tr w:rsidR="00DA6357" w:rsidRPr="00DA6357" w14:paraId="548FCD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F1264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1072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554DA1"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prepečenca in piškotov; proizvodnja trajnega peciva in slaščic</w:t>
            </w:r>
          </w:p>
        </w:tc>
      </w:tr>
      <w:tr w:rsidR="00DA6357" w:rsidRPr="00DA6357" w14:paraId="0392471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C4FB9"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1073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EB366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testenin</w:t>
            </w:r>
          </w:p>
        </w:tc>
      </w:tr>
      <w:tr w:rsidR="00DA6357" w:rsidRPr="00DA6357" w14:paraId="54C77E6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BCF52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157F7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kakava, čokolade in sladkornih izdelkov</w:t>
            </w:r>
          </w:p>
        </w:tc>
      </w:tr>
      <w:tr w:rsidR="00DA6357" w:rsidRPr="00DA6357" w14:paraId="0F9B473F"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7FED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077EE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pripravljenih jedi in obrokov</w:t>
            </w:r>
          </w:p>
        </w:tc>
      </w:tr>
      <w:tr w:rsidR="00DA6357" w:rsidRPr="00DA6357" w14:paraId="50A1454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08F6A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1089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EA67E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prehrambenih izdelkov, drugje nerazvrščenih</w:t>
            </w:r>
          </w:p>
        </w:tc>
      </w:tr>
      <w:tr w:rsidR="00DA6357" w:rsidRPr="00DA6357" w14:paraId="095F3408"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EBF41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FFBF6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krmi</w:t>
            </w:r>
          </w:p>
        </w:tc>
      </w:tr>
      <w:tr w:rsidR="00DA6357" w:rsidRPr="00DA6357" w14:paraId="6627D84D"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5BC750"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1092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FA08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hrane za hišne živali</w:t>
            </w:r>
          </w:p>
        </w:tc>
      </w:tr>
      <w:tr w:rsidR="00DA6357" w:rsidRPr="00DA6357" w14:paraId="47319291"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A1E73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1107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2F7893"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brezalkoholnih pijač, mineralnih in drugih stekleničenih vod</w:t>
            </w:r>
          </w:p>
        </w:tc>
      </w:tr>
      <w:tr w:rsidR="00DA6357" w:rsidRPr="00DA6357" w14:paraId="11B8EE5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D0A57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69539A"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pisarniških potrebščin iz papirja</w:t>
            </w:r>
          </w:p>
        </w:tc>
      </w:tr>
      <w:tr w:rsidR="00DA6357" w:rsidRPr="00DA6357" w14:paraId="38C5F382"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9C970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1729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5B11C7"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izdelkov iz papirja in kartona</w:t>
            </w:r>
          </w:p>
        </w:tc>
      </w:tr>
      <w:tr w:rsidR="00DA6357" w:rsidRPr="00DA6357" w14:paraId="1BA150A4"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1B9181"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A9BC1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razstreliv</w:t>
            </w:r>
          </w:p>
        </w:tc>
      </w:tr>
      <w:tr w:rsidR="00DA6357" w:rsidRPr="00DA6357" w14:paraId="1AC312F0"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9F635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2052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B2F08C"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sredstev za lepljenje</w:t>
            </w:r>
          </w:p>
        </w:tc>
      </w:tr>
      <w:tr w:rsidR="00DA6357" w:rsidRPr="00DA6357" w14:paraId="5C1B1B83"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BA4034"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3DDB8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strešnikov, opeke in drugih gradbenih izdelkov iz žgane gline</w:t>
            </w:r>
          </w:p>
        </w:tc>
      </w:tr>
      <w:tr w:rsidR="00DA6357" w:rsidRPr="00DA6357" w14:paraId="737BCDFA"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FB5226"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B4250"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apna in mavca</w:t>
            </w:r>
          </w:p>
        </w:tc>
      </w:tr>
      <w:tr w:rsidR="00DA6357" w:rsidRPr="00DA6357" w14:paraId="54947026"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99E4A2"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2365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E4FB95"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izdelkov iz vlaknatega cementa</w:t>
            </w:r>
          </w:p>
        </w:tc>
      </w:tr>
      <w:tr w:rsidR="00DA6357" w:rsidRPr="00DA6357" w14:paraId="60B36A3E"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9F46B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696779"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jekla</w:t>
            </w:r>
          </w:p>
        </w:tc>
      </w:tr>
      <w:tr w:rsidR="00DA6357" w:rsidRPr="00DA6357" w14:paraId="43D806E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FFABD5"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2453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6FE60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Litje lahkih kovin</w:t>
            </w:r>
          </w:p>
        </w:tc>
      </w:tr>
      <w:tr w:rsidR="00DA6357" w:rsidRPr="00DA6357" w14:paraId="7694594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8E0238"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2591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F7F58F"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jeklenih bobnov, sodov in podobnih posod</w:t>
            </w:r>
          </w:p>
        </w:tc>
      </w:tr>
      <w:tr w:rsidR="00DA6357" w:rsidRPr="00DA6357" w14:paraId="4C0923E5"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31A29B"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lastRenderedPageBreak/>
              <w:t>2592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37D592"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lahke kovinske embalaže</w:t>
            </w:r>
          </w:p>
        </w:tc>
      </w:tr>
      <w:tr w:rsidR="00DA6357" w:rsidRPr="00DA6357" w14:paraId="3407E879" w14:textId="77777777" w:rsidTr="0062648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2EABA" w14:textId="77777777" w:rsidR="00DA6357" w:rsidRPr="00DA6357" w:rsidRDefault="00DA6357" w:rsidP="00DA6357">
            <w:pPr>
              <w:spacing w:before="60" w:after="60" w:line="312" w:lineRule="atLeast"/>
              <w:ind w:right="195"/>
              <w:jc w:val="center"/>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2932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E38F94" w14:textId="77777777" w:rsidR="00DA6357" w:rsidRPr="00DA6357" w:rsidRDefault="00DA6357" w:rsidP="00DA6357">
            <w:pPr>
              <w:spacing w:before="60" w:after="60" w:line="312" w:lineRule="atLeast"/>
              <w:jc w:val="left"/>
              <w:rPr>
                <w:rFonts w:ascii="Times New Roman" w:eastAsia="Times New Roman" w:hAnsi="Times New Roman" w:cs="Times New Roman"/>
                <w:sz w:val="22"/>
                <w:lang w:eastAsia="sl-SI"/>
              </w:rPr>
            </w:pPr>
            <w:r w:rsidRPr="00DA6357">
              <w:rPr>
                <w:rFonts w:ascii="Times New Roman" w:eastAsia="Times New Roman" w:hAnsi="Times New Roman" w:cs="Times New Roman"/>
                <w:sz w:val="22"/>
                <w:lang w:eastAsia="sl-SI"/>
              </w:rPr>
              <w:t>Proizvodnja drugih delov in opreme za motorna vozila</w:t>
            </w:r>
          </w:p>
        </w:tc>
      </w:tr>
    </w:tbl>
    <w:p w14:paraId="2E6E3D47" w14:textId="77777777" w:rsidR="00DA6357" w:rsidRPr="00DA6357" w:rsidRDefault="00DA6357" w:rsidP="00DA6357">
      <w:pPr>
        <w:rPr>
          <w:rFonts w:eastAsia="Times New Roman" w:cs="Arial"/>
          <w:szCs w:val="20"/>
          <w:lang w:eastAsia="ar-SA"/>
        </w:rPr>
      </w:pPr>
    </w:p>
    <w:p w14:paraId="5631A608" w14:textId="77777777" w:rsidR="00DA6357" w:rsidRPr="00DA6357" w:rsidRDefault="00DA6357" w:rsidP="00DA6357">
      <w:pPr>
        <w:rPr>
          <w:rFonts w:eastAsia="Times New Roman" w:cs="Arial"/>
          <w:szCs w:val="20"/>
          <w:lang w:eastAsia="ar-SA"/>
        </w:rPr>
      </w:pPr>
    </w:p>
    <w:p w14:paraId="49BB678F" w14:textId="1EEA6E91" w:rsidR="00DA6357" w:rsidRPr="00DA6357" w:rsidRDefault="00DA6357" w:rsidP="00DA6357">
      <w:pPr>
        <w:rPr>
          <w:rFonts w:eastAsia="Arial" w:cs="Arial"/>
          <w:b/>
          <w:bCs/>
          <w:szCs w:val="20"/>
        </w:rPr>
      </w:pPr>
      <w:r w:rsidRPr="00DA6357">
        <w:rPr>
          <w:rFonts w:eastAsia="Arial" w:cs="Arial"/>
          <w:b/>
          <w:bCs/>
          <w:szCs w:val="20"/>
        </w:rPr>
        <w:t xml:space="preserve">K </w:t>
      </w:r>
      <w:r w:rsidR="00EE7959">
        <w:rPr>
          <w:rFonts w:eastAsia="Arial" w:cs="Arial"/>
          <w:b/>
          <w:bCs/>
          <w:szCs w:val="20"/>
        </w:rPr>
        <w:t>3</w:t>
      </w:r>
      <w:r w:rsidRPr="00DA6357">
        <w:rPr>
          <w:rFonts w:eastAsia="Arial" w:cs="Arial"/>
          <w:b/>
          <w:bCs/>
          <w:szCs w:val="20"/>
        </w:rPr>
        <w:t>. členu (upravičenci do spodbude)</w:t>
      </w:r>
    </w:p>
    <w:p w14:paraId="3580ACF2" w14:textId="07FFD61E" w:rsidR="00DA6357" w:rsidRPr="00DA6357" w:rsidRDefault="00EE7959" w:rsidP="00DA6357">
      <w:pPr>
        <w:rPr>
          <w:rFonts w:eastAsia="Times New Roman" w:cs="Times New Roman"/>
        </w:rPr>
      </w:pPr>
      <w:r>
        <w:rPr>
          <w:rFonts w:eastAsia="Times New Roman" w:cs="Times New Roman"/>
        </w:rPr>
        <w:t>Ta</w:t>
      </w:r>
      <w:r w:rsidR="00DA6357" w:rsidRPr="00DA6357">
        <w:rPr>
          <w:rFonts w:eastAsia="Times New Roman" w:cs="Times New Roman"/>
        </w:rPr>
        <w:t xml:space="preserve"> člen določa pogoje upravičenosti za pridobitev spodbude. V skladu z zakonom so upravičenci elektrointenzivna podjetja iz upravičenih sektorjev, ki izpolnjujejo kumulativne pogoje:</w:t>
      </w:r>
    </w:p>
    <w:p w14:paraId="24778B25" w14:textId="77777777" w:rsidR="00DA6357" w:rsidRPr="00DA6357" w:rsidRDefault="00DA6357" w:rsidP="00DA6357">
      <w:pPr>
        <w:rPr>
          <w:rFonts w:eastAsia="Times New Roman" w:cs="Times New Roman"/>
        </w:rPr>
      </w:pPr>
      <w:r w:rsidRPr="00DA6357">
        <w:rPr>
          <w:rFonts w:eastAsia="Times New Roman" w:cs="Times New Roman"/>
        </w:rPr>
        <w:t xml:space="preserve">- vsaj 15 GWh letnega odjema električne energije, da se izloči manjše odjemalce in usmerja ukrep v podjetja, kjer ima cena električne energije sistemski vpliv na konkurenčnost, </w:t>
      </w:r>
    </w:p>
    <w:p w14:paraId="1921CC02" w14:textId="77777777" w:rsidR="00DA6357" w:rsidRPr="00DA6357" w:rsidRDefault="00DA6357" w:rsidP="00DA6357">
      <w:pPr>
        <w:rPr>
          <w:rFonts w:eastAsia="Times New Roman" w:cs="Times New Roman"/>
        </w:rPr>
      </w:pPr>
      <w:r w:rsidRPr="00DA6357">
        <w:rPr>
          <w:rFonts w:eastAsia="Times New Roman" w:cs="Times New Roman"/>
        </w:rPr>
        <w:t>- najmanj 5 % delež stroškov električne energije v dodani vrednosti, je pogoj v vidika elektrointenzivnosti in še dodatno cilja pomoč v podjetja z dejansko visokim bremenom stroškov energije,</w:t>
      </w:r>
    </w:p>
    <w:p w14:paraId="409C19BB" w14:textId="6C2F5134" w:rsidR="00DA6357" w:rsidRDefault="00DA6357" w:rsidP="00DA6357">
      <w:pPr>
        <w:rPr>
          <w:rFonts w:eastAsia="Times New Roman" w:cs="Times New Roman"/>
        </w:rPr>
      </w:pPr>
      <w:r w:rsidRPr="00DA6357">
        <w:rPr>
          <w:rFonts w:eastAsia="Times New Roman" w:cs="Times New Roman"/>
        </w:rPr>
        <w:t>- vzpostavljen sistem upravljanja z energijo (</w:t>
      </w:r>
      <w:r w:rsidR="008B733F">
        <w:rPr>
          <w:rFonts w:eastAsia="Times New Roman" w:cs="Times New Roman"/>
        </w:rPr>
        <w:t xml:space="preserve">SIST EN </w:t>
      </w:r>
      <w:r w:rsidRPr="00DA6357">
        <w:rPr>
          <w:rFonts w:eastAsia="Times New Roman" w:cs="Times New Roman"/>
        </w:rPr>
        <w:t>ISO 50001)</w:t>
      </w:r>
      <w:r w:rsidR="008B733F">
        <w:rPr>
          <w:rFonts w:eastAsia="Times New Roman" w:cs="Times New Roman"/>
        </w:rPr>
        <w:t xml:space="preserve"> oziroma izvajanje energetskih pregledov v skladu z zakonom, ki ureja učinkovito rabo energije, </w:t>
      </w:r>
      <w:r w:rsidRPr="00DA6357">
        <w:rPr>
          <w:rFonts w:eastAsia="Times New Roman" w:cs="Times New Roman"/>
        </w:rPr>
        <w:t xml:space="preserve">s čimer se spodbuja sistematično upravljanje z energijo in energetsko učinkovitost kot predpogoj prejemanja pomoči. </w:t>
      </w:r>
    </w:p>
    <w:p w14:paraId="7E0F2F28" w14:textId="77BF2B57" w:rsidR="00B469F6" w:rsidRPr="00B469F6" w:rsidRDefault="003A053A" w:rsidP="00B469F6">
      <w:pPr>
        <w:rPr>
          <w:rFonts w:eastAsia="Times New Roman" w:cs="Times New Roman"/>
        </w:rPr>
      </w:pPr>
      <w:r>
        <w:rPr>
          <w:rFonts w:eastAsia="Times New Roman" w:cs="Times New Roman"/>
        </w:rPr>
        <w:t>V tem členu</w:t>
      </w:r>
      <w:r w:rsidR="00CC5AB8">
        <w:rPr>
          <w:rFonts w:eastAsia="Times New Roman" w:cs="Times New Roman"/>
        </w:rPr>
        <w:t xml:space="preserve"> je</w:t>
      </w:r>
      <w:r>
        <w:rPr>
          <w:rFonts w:eastAsia="Times New Roman" w:cs="Times New Roman"/>
        </w:rPr>
        <w:t xml:space="preserve"> tudi</w:t>
      </w:r>
      <w:r w:rsidR="00CC5AB8">
        <w:rPr>
          <w:rFonts w:eastAsia="Times New Roman" w:cs="Times New Roman"/>
        </w:rPr>
        <w:t xml:space="preserve"> določeno, da mora e</w:t>
      </w:r>
      <w:r w:rsidR="00CC5AB8" w:rsidRPr="00CC5AB8">
        <w:rPr>
          <w:rFonts w:eastAsia="Times New Roman" w:cs="Times New Roman"/>
        </w:rPr>
        <w:t>lektrointenzivno podjetje, ki izvaja svojo dejavnost v sektorju, ki ni upravičeni sektor iz Priloge 1 Smernic o državni pomoči za podnebje, varstvo okolja in energijo za leto 2022, v vlogi s podatki za obdobje vsaj treh let dokazati, da ta sektor ali podsektor na ravni Unije izpolnjuje merila za upravičenost, kar je preveril in potrdil neodvisni strokovnjak.</w:t>
      </w:r>
      <w:r w:rsidR="00B469F6">
        <w:rPr>
          <w:rFonts w:eastAsia="Times New Roman" w:cs="Times New Roman"/>
        </w:rPr>
        <w:t xml:space="preserve"> </w:t>
      </w:r>
      <w:r w:rsidR="00B469F6" w:rsidRPr="00B469F6">
        <w:rPr>
          <w:rFonts w:eastAsia="Times New Roman" w:cs="Times New Roman"/>
        </w:rPr>
        <w:t>Neodvisni strokovnjak</w:t>
      </w:r>
      <w:r w:rsidR="00B469F6">
        <w:rPr>
          <w:rFonts w:eastAsia="Times New Roman" w:cs="Times New Roman"/>
        </w:rPr>
        <w:t>,</w:t>
      </w:r>
      <w:r w:rsidR="00B469F6" w:rsidRPr="00B469F6">
        <w:rPr>
          <w:rFonts w:eastAsia="Times New Roman" w:cs="Times New Roman"/>
        </w:rPr>
        <w:t xml:space="preserve"> ki ga navaj</w:t>
      </w:r>
      <w:r w:rsidR="00B469F6">
        <w:rPr>
          <w:rFonts w:eastAsia="Times New Roman" w:cs="Times New Roman"/>
        </w:rPr>
        <w:t>a</w:t>
      </w:r>
      <w:r w:rsidR="00B469F6" w:rsidRPr="00B469F6">
        <w:rPr>
          <w:rFonts w:eastAsia="Times New Roman" w:cs="Times New Roman"/>
        </w:rPr>
        <w:t xml:space="preserve"> zakon</w:t>
      </w:r>
      <w:r w:rsidR="00B469F6">
        <w:rPr>
          <w:rFonts w:eastAsia="Times New Roman" w:cs="Times New Roman"/>
        </w:rPr>
        <w:t>,</w:t>
      </w:r>
      <w:r w:rsidR="00B469F6" w:rsidRPr="00B469F6">
        <w:rPr>
          <w:rFonts w:eastAsia="Times New Roman" w:cs="Times New Roman"/>
        </w:rPr>
        <w:t xml:space="preserve"> je pravna ali fizična oseba oziroma skupina takih oseb, ki:</w:t>
      </w:r>
    </w:p>
    <w:p w14:paraId="27910479" w14:textId="2DC24D2E" w:rsidR="00B469F6" w:rsidRPr="00B469F6" w:rsidRDefault="00B469F6" w:rsidP="00B469F6">
      <w:pPr>
        <w:rPr>
          <w:rFonts w:eastAsia="Times New Roman" w:cs="Times New Roman"/>
        </w:rPr>
      </w:pPr>
      <w:r w:rsidRPr="00B469F6">
        <w:rPr>
          <w:rFonts w:eastAsia="Times New Roman" w:cs="Times New Roman"/>
        </w:rPr>
        <w:t>-</w:t>
      </w:r>
      <w:r>
        <w:rPr>
          <w:rFonts w:eastAsia="Times New Roman" w:cs="Times New Roman"/>
        </w:rPr>
        <w:t xml:space="preserve"> </w:t>
      </w:r>
      <w:r w:rsidRPr="00B469F6">
        <w:rPr>
          <w:rFonts w:eastAsia="Times New Roman" w:cs="Times New Roman"/>
        </w:rPr>
        <w:t>ima dokazljive strokovne izkušnje na področju ekonomske in energetske statistike, industrijske ekonomike ali sorodnih disciplin ter izkušnje z obdelavo statističnih podatkov na ravni sektorjev in podsektorjev v skladu z NACE klasifikacijo;</w:t>
      </w:r>
    </w:p>
    <w:p w14:paraId="6E69B38B" w14:textId="5BD4065F" w:rsidR="00B469F6" w:rsidRPr="00B469F6"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je funkcionalno in organizacijsko neodvisna od organa, ki dodeljuje državno pomoč v skladu s CISAF, ter od potencialnih upravičencev in njihovih interesnih združenj;</w:t>
      </w:r>
    </w:p>
    <w:p w14:paraId="6819CF98" w14:textId="7AB4376E" w:rsidR="00B469F6" w:rsidRPr="00B469F6" w:rsidRDefault="00B469F6" w:rsidP="00B469F6">
      <w:pPr>
        <w:rPr>
          <w:rFonts w:eastAsia="Times New Roman" w:cs="Times New Roman"/>
        </w:rPr>
      </w:pPr>
      <w:r w:rsidRPr="00B469F6">
        <w:rPr>
          <w:rFonts w:eastAsia="Times New Roman" w:cs="Times New Roman"/>
        </w:rPr>
        <w:t>-</w:t>
      </w:r>
      <w:r>
        <w:rPr>
          <w:rFonts w:eastAsia="Times New Roman" w:cs="Times New Roman"/>
        </w:rPr>
        <w:t xml:space="preserve"> </w:t>
      </w:r>
      <w:r w:rsidRPr="00B469F6">
        <w:rPr>
          <w:rFonts w:eastAsia="Times New Roman" w:cs="Times New Roman"/>
        </w:rPr>
        <w:t>ni v nasprotju interesov, pri čemer nasprotje interesov pomeni vsako situacijo, v kateri je nepristransko in objektivno opravljanje naloge ogroženo zaradi gospodarskega interesa ali drugih osebnih interesov strokovnjaka oziroma oseb, ki z njim sodelujejo;</w:t>
      </w:r>
    </w:p>
    <w:p w14:paraId="0177D604" w14:textId="32F5B1B5" w:rsidR="00B469F6" w:rsidRPr="00B469F6"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je izbrana na podlagi odprtih, objektivnih in nediskriminatornih kriterijev, ki zagotavljajo strokovno usposobljenost in neodvisnost;</w:t>
      </w:r>
    </w:p>
    <w:p w14:paraId="58DB3260" w14:textId="6089E46C" w:rsidR="00CC5AB8" w:rsidRDefault="00B469F6" w:rsidP="00B469F6">
      <w:pPr>
        <w:rPr>
          <w:rFonts w:eastAsia="Times New Roman" w:cs="Times New Roman"/>
        </w:rPr>
      </w:pPr>
      <w:r>
        <w:rPr>
          <w:rFonts w:eastAsia="Times New Roman" w:cs="Times New Roman"/>
        </w:rPr>
        <w:t xml:space="preserve">- </w:t>
      </w:r>
      <w:r w:rsidRPr="00B469F6">
        <w:rPr>
          <w:rFonts w:eastAsia="Times New Roman" w:cs="Times New Roman"/>
        </w:rPr>
        <w:t>pri preverjanju podatkov uporablja reprezentativne podatke za zadevni sektor ali podsektor na ravni Unije, ki pokrivajo obdobje vsaj zadnjih treh let, za katera so podatki na voljo, in ki so usklajeni z zahtevami točke 117 CISAF in točke 406 CEEAG.</w:t>
      </w:r>
    </w:p>
    <w:p w14:paraId="5DBB2826" w14:textId="1CF8B639" w:rsidR="003A053A" w:rsidRPr="00DA6357" w:rsidRDefault="003A053A" w:rsidP="00B469F6">
      <w:pPr>
        <w:rPr>
          <w:rFonts w:eastAsia="Times New Roman" w:cs="Times New Roman"/>
        </w:rPr>
      </w:pPr>
      <w:r>
        <w:rPr>
          <w:rFonts w:eastAsia="Times New Roman" w:cs="Times New Roman"/>
        </w:rPr>
        <w:t>Ta člen ureja tudi problematiko elektrointenzivnih podjetij, ki so zaradi ukrepov za prehod v razogljičenje svojo porabo električne energije znižali pod 15 GWh v</w:t>
      </w:r>
      <w:r w:rsidRPr="003A053A">
        <w:rPr>
          <w:rFonts w:eastAsia="Times New Roman" w:cs="Times New Roman"/>
        </w:rPr>
        <w:t xml:space="preserve"> zadnjih petih letih pred oddajo vloge </w:t>
      </w:r>
      <w:r>
        <w:rPr>
          <w:rFonts w:eastAsia="Times New Roman" w:cs="Times New Roman"/>
        </w:rPr>
        <w:t xml:space="preserve">in </w:t>
      </w:r>
      <w:r w:rsidRPr="003A053A">
        <w:rPr>
          <w:rFonts w:eastAsia="Times New Roman" w:cs="Times New Roman"/>
        </w:rPr>
        <w:t>svojo specifično porabo na enoto proizvodnje</w:t>
      </w:r>
      <w:r>
        <w:rPr>
          <w:rFonts w:eastAsia="Times New Roman" w:cs="Times New Roman"/>
        </w:rPr>
        <w:t xml:space="preserve"> s tem znižali. Z</w:t>
      </w:r>
      <w:r w:rsidRPr="003A053A">
        <w:rPr>
          <w:rFonts w:eastAsia="Times New Roman" w:cs="Times New Roman"/>
        </w:rPr>
        <w:t xml:space="preserve">a izračun elektrointenzivnosti </w:t>
      </w:r>
      <w:r w:rsidR="0093739F">
        <w:rPr>
          <w:rFonts w:eastAsia="Times New Roman" w:cs="Times New Roman"/>
        </w:rPr>
        <w:t xml:space="preserve">lahko </w:t>
      </w:r>
      <w:r w:rsidRPr="003A053A">
        <w:rPr>
          <w:rFonts w:eastAsia="Times New Roman" w:cs="Times New Roman"/>
        </w:rPr>
        <w:t>uporabljajo povprečne vrednosti porabe, do katere bi prišlo brez upoštevanja učinkov omenjenih naložb. Če se v času izvajanja ukrepa po tem zakonu upravičencu zaradi izvedenih trajnostnih naložb poraba električne energije tako zniža, da zahtevani pogoj elektrointenzivnosti ni izpolnjen, se za njen izračun uporablja podatek o porabi, do katere bi prišlo brez izvedenih naložb. Če gre za odjemalca električne energije, ki posluje manj kot eno leto, se v prvem letu poslovanja uporabijo projekcije podatkov, za drugo leto podatki za preteklo leto poslovanja, za tretje leto pa se uporabi povprečje podatkov za prvo in drugo leto poslovanja.</w:t>
      </w:r>
    </w:p>
    <w:p w14:paraId="514811EC" w14:textId="25CA9FDB" w:rsidR="00DA6357" w:rsidRDefault="00CB2D3F" w:rsidP="00DA6357">
      <w:pPr>
        <w:rPr>
          <w:rFonts w:eastAsia="Times New Roman" w:cs="Times New Roman"/>
        </w:rPr>
      </w:pPr>
      <w:r>
        <w:rPr>
          <w:rFonts w:eastAsia="Times New Roman" w:cs="Times New Roman"/>
        </w:rPr>
        <w:t>Ta člen</w:t>
      </w:r>
      <w:r w:rsidR="00DA6357" w:rsidRPr="00DA6357">
        <w:rPr>
          <w:rFonts w:eastAsia="Times New Roman" w:cs="Times New Roman"/>
        </w:rPr>
        <w:t xml:space="preserve"> iz upravičenosti izključuje podjetja v težavah v skladu z zakonom, ki ureja reševanje in prestrukturiranje podjetij v težavah. S tem se preprečuje nedovoljeno reševanje podjetij v težavah zunaj uveljavljenih okvirov.</w:t>
      </w:r>
    </w:p>
    <w:p w14:paraId="2FCB4D7A" w14:textId="7D8CA31D" w:rsidR="004E06FA" w:rsidRDefault="004E06FA" w:rsidP="00DA6357">
      <w:pPr>
        <w:rPr>
          <w:rFonts w:eastAsia="Times New Roman" w:cs="Times New Roman"/>
        </w:rPr>
      </w:pPr>
      <w:r>
        <w:rPr>
          <w:rFonts w:eastAsia="Times New Roman" w:cs="Times New Roman"/>
        </w:rPr>
        <w:t>Ta člen določa tudi, da se n</w:t>
      </w:r>
      <w:r w:rsidRPr="004E06FA">
        <w:rPr>
          <w:rFonts w:eastAsia="Times New Roman" w:cs="Times New Roman"/>
        </w:rPr>
        <w:t xml:space="preserve">a poziv lahko prijavi vsak upravičenec, ki izpolnjuje pogoje iz tega člena in nima zapadlih neporavnanih obveznosti do države. Upravičenci tudi ne smejo imeti neporavnanih </w:t>
      </w:r>
      <w:r w:rsidRPr="004E06FA">
        <w:rPr>
          <w:rFonts w:eastAsia="Times New Roman" w:cs="Times New Roman"/>
        </w:rPr>
        <w:lastRenderedPageBreak/>
        <w:t>obveznosti iz odločb o vračilu nezakonite državne pomoči ter nima zapadlih in neporavnanih obveznosti iz naslova dobave električne energije, plačila omrežnine in obveznih prispevkov, in s tem povezanih poslov.</w:t>
      </w:r>
    </w:p>
    <w:p w14:paraId="07B8F9DC" w14:textId="469EA596" w:rsidR="005E626B" w:rsidRPr="005E626B" w:rsidRDefault="005E626B" w:rsidP="005E626B">
      <w:pPr>
        <w:rPr>
          <w:rFonts w:eastAsia="Times New Roman" w:cs="Times New Roman"/>
        </w:rPr>
      </w:pPr>
      <w:r>
        <w:rPr>
          <w:rFonts w:eastAsia="Times New Roman" w:cs="Times New Roman"/>
        </w:rPr>
        <w:t>S tem členom se</w:t>
      </w:r>
      <w:r w:rsidRPr="005E626B">
        <w:rPr>
          <w:rFonts w:eastAsia="Times New Roman" w:cs="Times New Roman"/>
        </w:rPr>
        <w:t xml:space="preserve"> zagotavlja</w:t>
      </w:r>
      <w:r>
        <w:rPr>
          <w:rFonts w:eastAsia="Times New Roman" w:cs="Times New Roman"/>
        </w:rPr>
        <w:t xml:space="preserve"> tudi</w:t>
      </w:r>
      <w:r w:rsidRPr="005E626B">
        <w:rPr>
          <w:rFonts w:eastAsia="Times New Roman" w:cs="Times New Roman"/>
        </w:rPr>
        <w:t xml:space="preserve">, da prejeta spodbuda za financiranje stroška električne energije, ni uporabljena za dejansko financiranje povezanih oseb (lastnikov). Namen državne pomoči je, da se skladno s pravili EU zagotovi zgolj v nujnem obsegu. Brez omejitve bi bilo v diskreciji prejemnika pomoči, da namesto izterjave terjatev do povezanih oseb (lastnikov) financiranje svojega poslovanja zagotavlja iz naslova prejete pomoči, kar bi v nasprotju s pravili EU o državnih pomočeh zviševalo znesek potrebne pomoči. Skladno s tem je torej postavljena zahteva, da mora pred prejemom pomoči podjetje zagotoviti izterjavo finančnih naložb do lastnikov. </w:t>
      </w:r>
    </w:p>
    <w:p w14:paraId="1C8991B0" w14:textId="5E5624D1" w:rsidR="005E626B" w:rsidRDefault="005E626B" w:rsidP="005E626B">
      <w:pPr>
        <w:rPr>
          <w:rFonts w:eastAsia="Times New Roman" w:cs="Times New Roman"/>
        </w:rPr>
      </w:pPr>
      <w:r w:rsidRPr="005E626B">
        <w:rPr>
          <w:rFonts w:eastAsia="Times New Roman" w:cs="Times New Roman"/>
        </w:rPr>
        <w:t>Ta omejitev ne velja za aranžmaje, katerih namen je kratkoročno upravljanje likvidnosti (t.i. cashpool).</w:t>
      </w:r>
    </w:p>
    <w:p w14:paraId="36029A9E" w14:textId="77777777" w:rsidR="005E626B" w:rsidRPr="00DA6357" w:rsidRDefault="005E626B" w:rsidP="00DA6357">
      <w:pPr>
        <w:rPr>
          <w:rFonts w:eastAsia="Times New Roman" w:cs="Times New Roman"/>
        </w:rPr>
      </w:pPr>
    </w:p>
    <w:p w14:paraId="54E47DF9" w14:textId="2C5511B1" w:rsidR="00DA6357" w:rsidRPr="00DA6357" w:rsidRDefault="00DA6357" w:rsidP="00DA6357">
      <w:pPr>
        <w:rPr>
          <w:rFonts w:eastAsia="Arial" w:cs="Arial"/>
          <w:b/>
          <w:bCs/>
          <w:szCs w:val="20"/>
        </w:rPr>
      </w:pPr>
      <w:r w:rsidRPr="00DA6357">
        <w:rPr>
          <w:rFonts w:eastAsia="Arial" w:cs="Arial"/>
          <w:b/>
          <w:bCs/>
          <w:szCs w:val="20"/>
        </w:rPr>
        <w:t xml:space="preserve">K </w:t>
      </w:r>
      <w:r w:rsidR="001C2BCA">
        <w:rPr>
          <w:rFonts w:eastAsia="Arial" w:cs="Arial"/>
          <w:b/>
          <w:bCs/>
          <w:szCs w:val="20"/>
        </w:rPr>
        <w:t>4</w:t>
      </w:r>
      <w:r w:rsidRPr="00DA6357">
        <w:rPr>
          <w:rFonts w:eastAsia="Arial" w:cs="Arial"/>
          <w:b/>
          <w:bCs/>
          <w:szCs w:val="20"/>
        </w:rPr>
        <w:t>. členu (</w:t>
      </w:r>
      <w:r w:rsidR="002E4D7A" w:rsidRPr="002E4D7A">
        <w:rPr>
          <w:rFonts w:eastAsia="Arial" w:cs="Arial"/>
          <w:b/>
          <w:bCs/>
          <w:szCs w:val="20"/>
        </w:rPr>
        <w:t>pravila za določitev višine in dodelitev spodbude</w:t>
      </w:r>
      <w:r w:rsidRPr="00DA6357">
        <w:rPr>
          <w:rFonts w:eastAsia="Arial" w:cs="Arial"/>
          <w:b/>
          <w:bCs/>
          <w:szCs w:val="20"/>
        </w:rPr>
        <w:t>)</w:t>
      </w:r>
    </w:p>
    <w:p w14:paraId="5CC1A13B" w14:textId="04769A34" w:rsidR="00DA6357" w:rsidRPr="00DA6357" w:rsidRDefault="001C2BCA" w:rsidP="00DA6357">
      <w:pPr>
        <w:rPr>
          <w:rFonts w:eastAsia="Times New Roman" w:cs="Times New Roman"/>
        </w:rPr>
      </w:pPr>
      <w:r>
        <w:rPr>
          <w:rFonts w:eastAsia="Times New Roman" w:cs="Times New Roman"/>
        </w:rPr>
        <w:t>Ta</w:t>
      </w:r>
      <w:r w:rsidR="00DA6357" w:rsidRPr="00DA6357">
        <w:rPr>
          <w:rFonts w:eastAsia="Times New Roman" w:cs="Times New Roman"/>
        </w:rPr>
        <w:t xml:space="preserve"> člen določa način izračuna in omejitve višine spodbude ter časovni okvir, v katerem se lahko spodbude dodeljujejo.</w:t>
      </w:r>
    </w:p>
    <w:p w14:paraId="0B53443B" w14:textId="77777777" w:rsidR="00DA6357" w:rsidRPr="00DA6357" w:rsidRDefault="00DA6357" w:rsidP="00DA6357">
      <w:pPr>
        <w:rPr>
          <w:rFonts w:eastAsia="Times New Roman" w:cs="Times New Roman"/>
        </w:rPr>
      </w:pPr>
      <w:r w:rsidRPr="00DA6357">
        <w:rPr>
          <w:rFonts w:eastAsia="Times New Roman" w:cs="Times New Roman"/>
        </w:rPr>
        <w:t xml:space="preserve">V prvem odstavku so določene ključne varovalke, da lahko spodbuda pokrije del stroškov za 50 % letne porabe električne energije za posamezno leto, in da se mora paziti, da po prejemu spodbude stroški za ta delež elektrike ne smejo pasti pod 50 % stroškov, ki bi nastali ob plačilu referenčne tržne cene. </w:t>
      </w:r>
    </w:p>
    <w:p w14:paraId="146D3F36" w14:textId="77777777" w:rsidR="00DA6357" w:rsidRPr="00DA6357" w:rsidRDefault="00DA6357" w:rsidP="00DA6357">
      <w:pPr>
        <w:rPr>
          <w:rFonts w:eastAsia="Times New Roman" w:cs="Times New Roman"/>
        </w:rPr>
      </w:pPr>
      <w:r w:rsidRPr="00DA6357">
        <w:rPr>
          <w:rFonts w:eastAsia="Times New Roman" w:cs="Times New Roman"/>
        </w:rPr>
        <w:t xml:space="preserve">Hkrati se določa, da za upravičence, ki so prejeli spodbudo, povprečni strošek podprtega dela električne energije (brez omrežnin in drugih dajatev) ne sme biti v nobenem primeru nižji od 50 EUR/MWh, tudi ko se upoštevajo še vse druge oblike prejete pomoči za znižanje stroškov električne energije. </w:t>
      </w:r>
    </w:p>
    <w:p w14:paraId="3E1EC1CD" w14:textId="77777777" w:rsidR="00DA6357" w:rsidRPr="00DA6357" w:rsidRDefault="00DA6357" w:rsidP="00DA6357">
      <w:pPr>
        <w:rPr>
          <w:rFonts w:eastAsia="Times New Roman" w:cs="Times New Roman"/>
        </w:rPr>
      </w:pPr>
      <w:r w:rsidRPr="00DA6357">
        <w:rPr>
          <w:rFonts w:eastAsia="Times New Roman" w:cs="Times New Roman"/>
        </w:rPr>
        <w:t>S temi določbami se preprečuje prekomerno nadomestilo in zagotavlja, da upravičenci kljub spodbudam nosijo bistveni del tržnega tveganja pri nakupih električne energije na trgu.</w:t>
      </w:r>
    </w:p>
    <w:p w14:paraId="7AE541C7" w14:textId="1912D065" w:rsidR="000F2046" w:rsidRDefault="000F2046" w:rsidP="00DA6357">
      <w:pPr>
        <w:rPr>
          <w:rFonts w:eastAsia="Times New Roman" w:cs="Times New Roman"/>
        </w:rPr>
      </w:pPr>
      <w:r w:rsidRPr="000F2046">
        <w:rPr>
          <w:rFonts w:eastAsia="Times New Roman" w:cs="Times New Roman"/>
        </w:rPr>
        <w:t>Podpora za stroške za električno energijo se zagotavlja poleg ukrepa po tem zakonu še z nadomestilom posrednih stroškov emisij iz predpisa, ki ureja nadomestilo za kritje posrednih stroškov zaradi stroškov emisij toplogrednih plinov. Glede na to, da zakon predvideva, da se spodbuda za stroške električne energije izplačuje kot akontacija za stroške električne energije iz napovedi, nadomestilo za pokrivanje posrednih stroškov emisij pa za nazaj za preteklo leto, je jasno, da bodo prve odločbe po tem zakonu. Pri ugotavljanju, kolikšno nadomestilo za pokrivanje posrednih stroškov emisij pripada upravičencu bo potrebno upoštevati, koliko spodbude je upravičenec prejel po tem zakonu, drugače bi bilo kršeno pravilo kumulacije iz točke 125 CISAF.</w:t>
      </w:r>
    </w:p>
    <w:p w14:paraId="3CFD9E61" w14:textId="7CB9B1C1" w:rsidR="00DA6357" w:rsidRPr="00DA6357" w:rsidRDefault="00DA6357" w:rsidP="00DA6357">
      <w:pPr>
        <w:rPr>
          <w:rFonts w:eastAsia="Times New Roman" w:cs="Times New Roman"/>
        </w:rPr>
      </w:pPr>
      <w:r w:rsidRPr="00DA6357">
        <w:rPr>
          <w:rFonts w:eastAsia="Times New Roman" w:cs="Times New Roman"/>
        </w:rPr>
        <w:t xml:space="preserve">Ta člen določa še, da se spodbuda podeljuje za porabo električne energije v letih 2026, 2027 in 2028 in da mora biti električna energija fizično porabljena v Republiki Sloveniji. Podprte električne energije upravičenec ne sme prodajati ali posredno prenašati tretjim osebam, zato je dodana obveznost vodenja natančne evidence nabave in porabe električne energije. S tem se zagotovi, da je pomoč geografsko vezana na ozemlje Republike Slovenije in povezana z dejansko porabo upravičencev, ne pa za kakšne druge neupravičene namene. </w:t>
      </w:r>
    </w:p>
    <w:p w14:paraId="68B1BEF6" w14:textId="77777777" w:rsidR="00DA6357" w:rsidRPr="00DA6357" w:rsidRDefault="00DA6357" w:rsidP="00DA6357">
      <w:pPr>
        <w:rPr>
          <w:rFonts w:eastAsia="Times New Roman" w:cs="Times New Roman"/>
        </w:rPr>
      </w:pPr>
    </w:p>
    <w:p w14:paraId="03FC85B9" w14:textId="52CAA159" w:rsidR="00DA6357" w:rsidRPr="00DA6357" w:rsidRDefault="00DA6357" w:rsidP="00DA6357">
      <w:pPr>
        <w:rPr>
          <w:rFonts w:eastAsia="Arial" w:cs="Arial"/>
          <w:b/>
          <w:bCs/>
          <w:szCs w:val="20"/>
        </w:rPr>
      </w:pPr>
      <w:r w:rsidRPr="00DA6357">
        <w:rPr>
          <w:rFonts w:eastAsia="Arial" w:cs="Arial"/>
          <w:b/>
          <w:bCs/>
          <w:szCs w:val="20"/>
        </w:rPr>
        <w:t xml:space="preserve">K </w:t>
      </w:r>
      <w:r w:rsidR="00CB2D3F">
        <w:rPr>
          <w:rFonts w:eastAsia="Arial" w:cs="Arial"/>
          <w:b/>
          <w:bCs/>
          <w:szCs w:val="20"/>
        </w:rPr>
        <w:t>5</w:t>
      </w:r>
      <w:r w:rsidRPr="00DA6357">
        <w:rPr>
          <w:rFonts w:eastAsia="Arial" w:cs="Arial"/>
          <w:b/>
          <w:bCs/>
          <w:szCs w:val="20"/>
        </w:rPr>
        <w:t>. členu (vloga in dokumentacija)</w:t>
      </w:r>
    </w:p>
    <w:p w14:paraId="09A2C927" w14:textId="4E3D66BC" w:rsidR="00DA6357" w:rsidRPr="00DA6357" w:rsidRDefault="00CB2D3F" w:rsidP="00DA6357">
      <w:pPr>
        <w:rPr>
          <w:rFonts w:eastAsia="Arial" w:cs="Arial"/>
          <w:szCs w:val="20"/>
        </w:rPr>
      </w:pPr>
      <w:r>
        <w:rPr>
          <w:rFonts w:eastAsia="Arial" w:cs="Arial"/>
          <w:szCs w:val="20"/>
        </w:rPr>
        <w:t xml:space="preserve">Ta </w:t>
      </w:r>
      <w:r w:rsidR="00DA6357" w:rsidRPr="00DA6357">
        <w:rPr>
          <w:rFonts w:eastAsia="Arial" w:cs="Arial"/>
          <w:szCs w:val="20"/>
        </w:rPr>
        <w:t>člen ureja postopek javnega poziva in vsebino vloge.</w:t>
      </w:r>
      <w:r w:rsidR="00EE10F3">
        <w:rPr>
          <w:rFonts w:eastAsia="Arial" w:cs="Arial"/>
          <w:szCs w:val="20"/>
        </w:rPr>
        <w:t xml:space="preserve"> Celoten postopek se izvaja skladno z zakonom, ki ureja splošni upravni postopek.</w:t>
      </w:r>
    </w:p>
    <w:p w14:paraId="22DF6977" w14:textId="77777777" w:rsidR="003A4147" w:rsidRDefault="00DA6357" w:rsidP="00DA6357">
      <w:pPr>
        <w:rPr>
          <w:rFonts w:eastAsia="Arial" w:cs="Arial"/>
          <w:szCs w:val="20"/>
        </w:rPr>
      </w:pPr>
      <w:r w:rsidRPr="00DA6357">
        <w:rPr>
          <w:rFonts w:eastAsia="Arial" w:cs="Arial"/>
          <w:szCs w:val="20"/>
        </w:rPr>
        <w:t xml:space="preserve">Operater trga mora vsako leto najkasneje v roku 10 dni od objave sklepa vlade objaviti javni poziv za dodelitev spodbud. </w:t>
      </w:r>
    </w:p>
    <w:p w14:paraId="3604F5B6" w14:textId="49EEC207" w:rsidR="006B3125" w:rsidRDefault="00DA6357" w:rsidP="00DA6357">
      <w:pPr>
        <w:rPr>
          <w:rFonts w:eastAsia="Arial" w:cs="Arial"/>
          <w:szCs w:val="20"/>
        </w:rPr>
      </w:pPr>
      <w:r w:rsidRPr="00DA6357">
        <w:rPr>
          <w:rFonts w:eastAsia="Arial" w:cs="Arial"/>
          <w:szCs w:val="20"/>
        </w:rPr>
        <w:t>Vlogi se predpisuje podrobna vsebina, ki jo je potrebno zagotoviti za odločanje: napoved</w:t>
      </w:r>
      <w:r w:rsidR="003A4147">
        <w:rPr>
          <w:rFonts w:eastAsia="Arial" w:cs="Arial"/>
          <w:szCs w:val="20"/>
        </w:rPr>
        <w:t xml:space="preserve"> </w:t>
      </w:r>
      <w:r w:rsidRPr="00DA6357">
        <w:rPr>
          <w:rFonts w:eastAsia="Arial" w:cs="Arial"/>
          <w:szCs w:val="20"/>
        </w:rPr>
        <w:t xml:space="preserve">porabe električne energije za tekoče leto, podatke in dokazila o porabi za zadnja tri leta, izračun elektrointenzivnosti in ustrezne računovodske izkaze, </w:t>
      </w:r>
      <w:r w:rsidR="00921C40">
        <w:rPr>
          <w:rFonts w:eastAsia="Arial" w:cs="Arial"/>
          <w:szCs w:val="20"/>
        </w:rPr>
        <w:t>dokazila</w:t>
      </w:r>
      <w:r w:rsidRPr="00DA6357">
        <w:rPr>
          <w:rFonts w:eastAsia="Arial" w:cs="Arial"/>
          <w:szCs w:val="20"/>
        </w:rPr>
        <w:t xml:space="preserve"> </w:t>
      </w:r>
      <w:r w:rsidR="00921C40">
        <w:rPr>
          <w:rFonts w:eastAsia="Arial" w:cs="Arial"/>
          <w:szCs w:val="20"/>
        </w:rPr>
        <w:t>glede sistema upravljanja z energijo, energetskih pregledov</w:t>
      </w:r>
      <w:r w:rsidRPr="00DA6357">
        <w:rPr>
          <w:rFonts w:eastAsia="Arial" w:cs="Arial"/>
          <w:szCs w:val="20"/>
        </w:rPr>
        <w:t>,</w:t>
      </w:r>
      <w:r w:rsidR="00921C40">
        <w:rPr>
          <w:rFonts w:eastAsia="Arial" w:cs="Arial"/>
          <w:szCs w:val="20"/>
        </w:rPr>
        <w:t xml:space="preserve"> dokazila v zvezi z opravljanjem dejavnosti v upravičenem sektorju,</w:t>
      </w:r>
      <w:r w:rsidRPr="00DA6357">
        <w:rPr>
          <w:rFonts w:eastAsia="Arial" w:cs="Arial"/>
          <w:szCs w:val="20"/>
        </w:rPr>
        <w:t xml:space="preserve"> okvirni načrt naložb v razogljičenje z opisom naložb, rokom začetka obratovanja, oceno vrednosti in pričakovanimi rezultati, kot na primer </w:t>
      </w:r>
      <w:r w:rsidR="003D04B4" w:rsidRPr="003D04B4">
        <w:rPr>
          <w:rFonts w:eastAsia="Arial" w:cs="Arial"/>
          <w:szCs w:val="20"/>
        </w:rPr>
        <w:t xml:space="preserve">dodatna proizvodnja energije iz obnovljivih virov energije, prihranek električne </w:t>
      </w:r>
      <w:r w:rsidR="003D04B4" w:rsidRPr="003D04B4">
        <w:rPr>
          <w:rFonts w:eastAsia="Arial" w:cs="Arial"/>
          <w:szCs w:val="20"/>
        </w:rPr>
        <w:lastRenderedPageBreak/>
        <w:t>energije, zmanjšanje izpustov toplogrednih plinov ali znižanje porabe fosilnih energentov</w:t>
      </w:r>
      <w:r w:rsidR="003D04B4" w:rsidRPr="00DA6357">
        <w:rPr>
          <w:rFonts w:eastAsia="Arial" w:cs="Arial"/>
          <w:szCs w:val="20"/>
        </w:rPr>
        <w:t xml:space="preserve"> </w:t>
      </w:r>
      <w:r w:rsidRPr="00DA6357">
        <w:rPr>
          <w:rFonts w:eastAsia="Arial" w:cs="Arial"/>
          <w:szCs w:val="20"/>
        </w:rPr>
        <w:t>itd. Vloga mora vsebovati tudi kontaktne osebe, ki bodo na razpolago za komunikacijo z operaterjem trga ves čas postopka, do zaključka naložbe ter druge sestavine, določene v javnem pozivu.</w:t>
      </w:r>
    </w:p>
    <w:p w14:paraId="64034B06" w14:textId="77777777" w:rsidR="00DA6357" w:rsidRPr="00DA6357" w:rsidRDefault="00DA6357" w:rsidP="00DA6357">
      <w:pPr>
        <w:rPr>
          <w:rFonts w:eastAsia="Arial" w:cs="Arial"/>
          <w:szCs w:val="20"/>
        </w:rPr>
      </w:pPr>
    </w:p>
    <w:p w14:paraId="6D6210B3" w14:textId="58ECD746" w:rsidR="00DA6357" w:rsidRPr="00DA6357" w:rsidRDefault="00DA6357" w:rsidP="00DA6357">
      <w:pPr>
        <w:rPr>
          <w:rFonts w:eastAsia="Arial" w:cs="Arial"/>
          <w:b/>
          <w:bCs/>
          <w:szCs w:val="20"/>
        </w:rPr>
      </w:pPr>
      <w:r w:rsidRPr="00DA6357">
        <w:rPr>
          <w:rFonts w:eastAsia="Arial" w:cs="Arial"/>
          <w:b/>
          <w:bCs/>
          <w:szCs w:val="20"/>
        </w:rPr>
        <w:t xml:space="preserve">K </w:t>
      </w:r>
      <w:r w:rsidR="00CB2D3F">
        <w:rPr>
          <w:rFonts w:eastAsia="Arial" w:cs="Arial"/>
          <w:b/>
          <w:bCs/>
          <w:szCs w:val="20"/>
        </w:rPr>
        <w:t>6</w:t>
      </w:r>
      <w:r w:rsidRPr="00DA6357">
        <w:rPr>
          <w:rFonts w:eastAsia="Arial" w:cs="Arial"/>
          <w:b/>
          <w:bCs/>
          <w:szCs w:val="20"/>
        </w:rPr>
        <w:t>. členu (odločanje in način izvrš</w:t>
      </w:r>
      <w:r w:rsidR="00FF3576">
        <w:rPr>
          <w:rFonts w:eastAsia="Arial" w:cs="Arial"/>
          <w:b/>
          <w:bCs/>
          <w:szCs w:val="20"/>
        </w:rPr>
        <w:t>itve</w:t>
      </w:r>
      <w:r w:rsidRPr="00DA6357">
        <w:rPr>
          <w:rFonts w:eastAsia="Arial" w:cs="Arial"/>
          <w:b/>
          <w:bCs/>
          <w:szCs w:val="20"/>
        </w:rPr>
        <w:t xml:space="preserve"> odločbe)</w:t>
      </w:r>
    </w:p>
    <w:p w14:paraId="662795F7" w14:textId="5EAE098B" w:rsidR="00DA6357" w:rsidRPr="00DA6357" w:rsidRDefault="00CB2D3F" w:rsidP="00DA6357">
      <w:pPr>
        <w:rPr>
          <w:rFonts w:eastAsia="Arial" w:cs="Arial"/>
          <w:szCs w:val="20"/>
        </w:rPr>
      </w:pPr>
      <w:r>
        <w:rPr>
          <w:rFonts w:eastAsia="Arial" w:cs="Arial"/>
          <w:szCs w:val="20"/>
        </w:rPr>
        <w:t>Ta</w:t>
      </w:r>
      <w:r w:rsidR="00DA6357" w:rsidRPr="00DA6357">
        <w:rPr>
          <w:rFonts w:eastAsia="Arial" w:cs="Arial"/>
          <w:szCs w:val="20"/>
        </w:rPr>
        <w:t xml:space="preserve"> člen ureja odločanje o dodelitvi spodbud in način izplačevanja ter poračuna. O dodelitvi spodbude odloči operater trga z odločbo za vsako leto posebej. Z odločb</w:t>
      </w:r>
      <w:r w:rsidR="00617299">
        <w:rPr>
          <w:rFonts w:eastAsia="Arial" w:cs="Arial"/>
          <w:szCs w:val="20"/>
        </w:rPr>
        <w:t>o</w:t>
      </w:r>
      <w:r w:rsidR="00DA6357" w:rsidRPr="00DA6357">
        <w:rPr>
          <w:rFonts w:eastAsia="Arial" w:cs="Arial"/>
          <w:szCs w:val="20"/>
        </w:rPr>
        <w:t xml:space="preserve"> določi največjo letno višino spodbude, dinamiko izplačila akontacij in način poračuna. Spodbuda se izplača v dveh akontacijah (do 30. maja in do 30. novembra). Poračun za preteklo leto se opravi na podlagi poročil upravičencev za preteklo leto do konca aprila. </w:t>
      </w:r>
      <w:r w:rsidR="00727189" w:rsidRPr="00727189">
        <w:rPr>
          <w:rFonts w:eastAsia="Arial" w:cs="Arial"/>
          <w:szCs w:val="20"/>
        </w:rPr>
        <w:t>Višina spodbude na podlagi sklepa o poračunu ne more biti višja kot je višina, določena v odločbi iz tretjega odstavka tega člena.</w:t>
      </w:r>
    </w:p>
    <w:p w14:paraId="17B11726" w14:textId="77777777" w:rsidR="00DA6357" w:rsidRPr="00DA6357" w:rsidRDefault="00DA6357" w:rsidP="00DA6357">
      <w:pPr>
        <w:rPr>
          <w:rFonts w:eastAsia="Arial" w:cs="Arial"/>
          <w:szCs w:val="20"/>
        </w:rPr>
      </w:pPr>
      <w:r w:rsidRPr="00DA6357">
        <w:rPr>
          <w:rFonts w:eastAsia="Arial" w:cs="Arial"/>
          <w:szCs w:val="20"/>
        </w:rPr>
        <w:t>Pritožba zoper odločbo in zoper vse sklepe, ki jih izda operater trga, ni možna, omogočen pa je upravni spor. S tem se zagotovi hitrost postopka in pravno varstvo v skladu s pravili upravnega spora.</w:t>
      </w:r>
    </w:p>
    <w:p w14:paraId="7FD1CE4A" w14:textId="77777777" w:rsidR="00DA6357" w:rsidRPr="00DA6357" w:rsidRDefault="00DA6357" w:rsidP="00DA6357">
      <w:pPr>
        <w:rPr>
          <w:rFonts w:eastAsia="Arial" w:cs="Arial"/>
          <w:szCs w:val="20"/>
        </w:rPr>
      </w:pPr>
    </w:p>
    <w:p w14:paraId="2EE3E3A5" w14:textId="47C103B8" w:rsidR="00DA6357" w:rsidRPr="00DA6357" w:rsidRDefault="00DA6357" w:rsidP="00DA6357">
      <w:pPr>
        <w:rPr>
          <w:rFonts w:eastAsia="Arial" w:cs="Arial"/>
          <w:szCs w:val="20"/>
        </w:rPr>
      </w:pPr>
      <w:r w:rsidRPr="00DA6357">
        <w:rPr>
          <w:rFonts w:eastAsia="Arial" w:cs="Arial"/>
          <w:b/>
          <w:bCs/>
          <w:szCs w:val="20"/>
        </w:rPr>
        <w:t xml:space="preserve">K </w:t>
      </w:r>
      <w:r w:rsidR="00CB2D3F">
        <w:rPr>
          <w:rFonts w:eastAsia="Arial" w:cs="Arial"/>
          <w:b/>
          <w:bCs/>
          <w:szCs w:val="20"/>
        </w:rPr>
        <w:t>7</w:t>
      </w:r>
      <w:r w:rsidRPr="00DA6357">
        <w:rPr>
          <w:rFonts w:eastAsia="Arial" w:cs="Arial"/>
          <w:b/>
          <w:bCs/>
          <w:szCs w:val="20"/>
        </w:rPr>
        <w:t xml:space="preserve">. členu (sprememba okoliščin in </w:t>
      </w:r>
      <w:r w:rsidR="004B027F">
        <w:rPr>
          <w:rFonts w:eastAsia="Arial" w:cs="Arial"/>
          <w:b/>
          <w:bCs/>
          <w:szCs w:val="20"/>
        </w:rPr>
        <w:t xml:space="preserve">vrnitev </w:t>
      </w:r>
      <w:r w:rsidRPr="00DA6357">
        <w:rPr>
          <w:rFonts w:eastAsia="Arial" w:cs="Arial"/>
          <w:b/>
          <w:bCs/>
          <w:szCs w:val="20"/>
        </w:rPr>
        <w:t>neupravičen</w:t>
      </w:r>
      <w:r w:rsidR="004B027F">
        <w:rPr>
          <w:rFonts w:eastAsia="Arial" w:cs="Arial"/>
          <w:b/>
          <w:bCs/>
          <w:szCs w:val="20"/>
        </w:rPr>
        <w:t>e</w:t>
      </w:r>
      <w:r w:rsidRPr="00DA6357">
        <w:rPr>
          <w:rFonts w:eastAsia="Arial" w:cs="Arial"/>
          <w:b/>
          <w:bCs/>
          <w:szCs w:val="20"/>
        </w:rPr>
        <w:t xml:space="preserve"> spodbud</w:t>
      </w:r>
      <w:r w:rsidR="004B027F">
        <w:rPr>
          <w:rFonts w:eastAsia="Arial" w:cs="Arial"/>
          <w:b/>
          <w:bCs/>
          <w:szCs w:val="20"/>
        </w:rPr>
        <w:t>e</w:t>
      </w:r>
      <w:r w:rsidRPr="00DA6357">
        <w:rPr>
          <w:rFonts w:eastAsia="Arial" w:cs="Arial"/>
          <w:b/>
          <w:bCs/>
          <w:szCs w:val="20"/>
        </w:rPr>
        <w:t>)</w:t>
      </w:r>
    </w:p>
    <w:p w14:paraId="77A10708" w14:textId="39069CC7" w:rsidR="00DA6357" w:rsidRPr="00DA6357" w:rsidRDefault="006B3125" w:rsidP="00DA6357">
      <w:pPr>
        <w:rPr>
          <w:rFonts w:eastAsia="Arial" w:cs="Arial"/>
          <w:szCs w:val="20"/>
        </w:rPr>
      </w:pPr>
      <w:r>
        <w:rPr>
          <w:rFonts w:eastAsia="Arial" w:cs="Arial"/>
          <w:szCs w:val="20"/>
        </w:rPr>
        <w:t>Ta</w:t>
      </w:r>
      <w:r w:rsidR="00DA6357" w:rsidRPr="00DA6357">
        <w:rPr>
          <w:rFonts w:eastAsia="Arial" w:cs="Arial"/>
          <w:szCs w:val="20"/>
        </w:rPr>
        <w:t xml:space="preserve"> člen določa, da morajo prejemniki spodbud sporočati najkasneje v osmih dneh o vseh pomembnih spremembah ali novih dejstvih, ki vplivajo na upravičenost do prejete spodbude. Zajete so </w:t>
      </w:r>
      <w:r w:rsidR="00FB01EA">
        <w:rPr>
          <w:rFonts w:eastAsia="Arial" w:cs="Arial"/>
          <w:szCs w:val="20"/>
        </w:rPr>
        <w:t xml:space="preserve">tudi </w:t>
      </w:r>
      <w:r w:rsidR="00DA6357" w:rsidRPr="00DA6357">
        <w:rPr>
          <w:rFonts w:eastAsia="Arial" w:cs="Arial"/>
          <w:szCs w:val="20"/>
        </w:rPr>
        <w:t>določbe, ki v primeru seznanitve s spremembami stanja nalagajo odločanje operaterju trga po uradni dolžnosti, ki mora ugotoviti novo višino spodbude oziroma določiti pogoje za vrnitev neupravičenega dela spodbude.</w:t>
      </w:r>
    </w:p>
    <w:p w14:paraId="59D690EC" w14:textId="5B5C4D6F" w:rsidR="00FB7DA9" w:rsidRDefault="00FB7DA9" w:rsidP="00FB7DA9">
      <w:pPr>
        <w:rPr>
          <w:rFonts w:eastAsia="Arial" w:cs="Arial"/>
          <w:szCs w:val="20"/>
        </w:rPr>
      </w:pPr>
      <w:r>
        <w:rPr>
          <w:rFonts w:eastAsia="Arial" w:cs="Arial"/>
          <w:szCs w:val="20"/>
        </w:rPr>
        <w:t>Č</w:t>
      </w:r>
      <w:r w:rsidR="00DA6357" w:rsidRPr="00DA6357">
        <w:rPr>
          <w:rFonts w:eastAsia="Arial" w:cs="Arial"/>
          <w:szCs w:val="20"/>
        </w:rPr>
        <w:t>len določa</w:t>
      </w:r>
      <w:r>
        <w:rPr>
          <w:rFonts w:eastAsia="Arial" w:cs="Arial"/>
          <w:szCs w:val="20"/>
        </w:rPr>
        <w:t xml:space="preserve"> tudi</w:t>
      </w:r>
      <w:r w:rsidR="00DA6357" w:rsidRPr="00DA6357">
        <w:rPr>
          <w:rFonts w:eastAsia="Arial" w:cs="Arial"/>
          <w:szCs w:val="20"/>
        </w:rPr>
        <w:t>, da je potrebno prejemniku</w:t>
      </w:r>
      <w:r w:rsidR="00D96D58">
        <w:rPr>
          <w:rFonts w:eastAsia="Arial" w:cs="Arial"/>
          <w:szCs w:val="20"/>
        </w:rPr>
        <w:t xml:space="preserve"> </w:t>
      </w:r>
      <w:r w:rsidR="00DA6357" w:rsidRPr="00DA6357">
        <w:rPr>
          <w:rFonts w:eastAsia="Arial" w:cs="Arial"/>
          <w:szCs w:val="20"/>
        </w:rPr>
        <w:t>neupravičeno izplačane spodbude v primeru, ko je ta izvedena zaradi neresničnih navedb in podatkov prejemnika</w:t>
      </w:r>
      <w:r w:rsidR="00D96D58">
        <w:rPr>
          <w:rFonts w:eastAsia="Arial" w:cs="Arial"/>
          <w:szCs w:val="20"/>
        </w:rPr>
        <w:t xml:space="preserve">, </w:t>
      </w:r>
      <w:r w:rsidR="00D96D58" w:rsidRPr="00D96D58">
        <w:rPr>
          <w:rFonts w:eastAsia="Arial" w:cs="Arial"/>
          <w:szCs w:val="20"/>
        </w:rPr>
        <w:t>z odločbo operaterja trga</w:t>
      </w:r>
      <w:r w:rsidR="00D96D58">
        <w:rPr>
          <w:rFonts w:eastAsia="Arial" w:cs="Arial"/>
          <w:szCs w:val="20"/>
        </w:rPr>
        <w:t xml:space="preserve"> o odpravi odločbe o dodelitvi spodbude,</w:t>
      </w:r>
      <w:r w:rsidR="00DA6357" w:rsidRPr="00DA6357">
        <w:rPr>
          <w:rFonts w:eastAsia="Arial" w:cs="Arial"/>
          <w:szCs w:val="20"/>
        </w:rPr>
        <w:t xml:space="preserve"> naložiti vračilo neupravičeno izplačane spodbude skupaj z zakonskimi zamudnimi obrestmi, ki tečejo od dneva izdaje odločbe</w:t>
      </w:r>
      <w:r w:rsidR="00D96D58">
        <w:rPr>
          <w:rFonts w:eastAsia="Arial" w:cs="Arial"/>
          <w:szCs w:val="20"/>
        </w:rPr>
        <w:t xml:space="preserve"> o dodelitvi spodbude</w:t>
      </w:r>
      <w:r w:rsidR="00DA6357" w:rsidRPr="00DA6357">
        <w:rPr>
          <w:rFonts w:eastAsia="Arial" w:cs="Arial"/>
          <w:szCs w:val="20"/>
        </w:rPr>
        <w:t xml:space="preserve"> dalje do plačila</w:t>
      </w:r>
      <w:r w:rsidR="00DA6357" w:rsidRPr="00D96D58">
        <w:rPr>
          <w:rFonts w:eastAsia="Arial" w:cs="Arial"/>
          <w:szCs w:val="20"/>
        </w:rPr>
        <w:t>.</w:t>
      </w:r>
      <w:r w:rsidRPr="00D96D58">
        <w:rPr>
          <w:rFonts w:eastAsia="Arial" w:cs="Arial"/>
          <w:szCs w:val="20"/>
        </w:rPr>
        <w:t xml:space="preserve"> G</w:t>
      </w:r>
      <w:r w:rsidRPr="00FB7DA9">
        <w:rPr>
          <w:rFonts w:eastAsia="Arial" w:cs="Arial"/>
          <w:szCs w:val="20"/>
        </w:rPr>
        <w:t xml:space="preserve">re za posledice neresničnih podatkov ali neizpolnjevanja pogojev: odvzem spodbude in obveznost vračila neupravičeno prejetih sredstev z zamudnimi obrestmi. To je bistven instrument za varovanje integritete ukrepa. </w:t>
      </w:r>
    </w:p>
    <w:p w14:paraId="6B0386EE" w14:textId="02103533" w:rsidR="00D96D58" w:rsidRDefault="00D96D58" w:rsidP="00FB7DA9">
      <w:pPr>
        <w:rPr>
          <w:rFonts w:eastAsia="Arial" w:cs="Arial"/>
          <w:szCs w:val="20"/>
        </w:rPr>
      </w:pPr>
      <w:r>
        <w:rPr>
          <w:rFonts w:eastAsia="Arial" w:cs="Arial"/>
          <w:szCs w:val="20"/>
        </w:rPr>
        <w:t>Člen ureja tudi razmere, ko se okoliščine pri poslovanju prejemnika spodbude v letu, ko je bila zagotovljena spodbuda, spremenijo glede na napovedi iz vloge, ki imajo za posledico</w:t>
      </w:r>
      <w:r w:rsidR="00B32796">
        <w:rPr>
          <w:rFonts w:eastAsia="Arial" w:cs="Arial"/>
          <w:szCs w:val="20"/>
        </w:rPr>
        <w:t>, da npr. ni dosežena napovedana letna poraba električne energije</w:t>
      </w:r>
      <w:r w:rsidR="00031254">
        <w:rPr>
          <w:rFonts w:eastAsia="Arial" w:cs="Arial"/>
          <w:szCs w:val="20"/>
        </w:rPr>
        <w:t xml:space="preserve"> </w:t>
      </w:r>
      <w:r w:rsidR="00B373B1">
        <w:rPr>
          <w:rFonts w:eastAsia="Arial" w:cs="Arial"/>
          <w:szCs w:val="20"/>
        </w:rPr>
        <w:t xml:space="preserve">ali kak drug pogoj in je posledično </w:t>
      </w:r>
      <w:r w:rsidRPr="00D96D58">
        <w:rPr>
          <w:rFonts w:eastAsia="Arial" w:cs="Arial"/>
          <w:szCs w:val="20"/>
        </w:rPr>
        <w:t xml:space="preserve">prejemnik spodbude dolžan vrniti neupravičeno prejeta sredstva skupaj z zamudnimi obrestmi, določenimi v skladu z zakonom, ki ureja obrestno mero zamudnih obresti, na način, kot je določeno v </w:t>
      </w:r>
      <w:r w:rsidR="00E301C4">
        <w:rPr>
          <w:rFonts w:eastAsia="Arial" w:cs="Arial"/>
          <w:szCs w:val="20"/>
        </w:rPr>
        <w:t xml:space="preserve">odločbi </w:t>
      </w:r>
      <w:r w:rsidRPr="00D96D58">
        <w:rPr>
          <w:rFonts w:eastAsia="Arial" w:cs="Arial"/>
          <w:szCs w:val="20"/>
        </w:rPr>
        <w:t>operater</w:t>
      </w:r>
      <w:r w:rsidR="00E301C4">
        <w:rPr>
          <w:rFonts w:eastAsia="Arial" w:cs="Arial"/>
          <w:szCs w:val="20"/>
        </w:rPr>
        <w:t>ja</w:t>
      </w:r>
      <w:r w:rsidRPr="00D96D58">
        <w:rPr>
          <w:rFonts w:eastAsia="Arial" w:cs="Arial"/>
          <w:szCs w:val="20"/>
        </w:rPr>
        <w:t xml:space="preserve"> trga. Neupravičeno prejeta sredstva mora vrniti v 30 dneh po vročitvi </w:t>
      </w:r>
      <w:r w:rsidR="00E301C4">
        <w:rPr>
          <w:rFonts w:eastAsia="Arial" w:cs="Arial"/>
          <w:szCs w:val="20"/>
        </w:rPr>
        <w:t>odločbe</w:t>
      </w:r>
      <w:r w:rsidRPr="00D96D58">
        <w:rPr>
          <w:rFonts w:eastAsia="Arial" w:cs="Arial"/>
          <w:szCs w:val="20"/>
        </w:rPr>
        <w:t>, skupaj z zakonskimi zamudnimi obrestmi po zakonu, ki ureja predpisano obrestno mero zamudnih obresti, ki tečejo od dneva poteka roka za vračilo neupravičeno prejetih sredstev do dneva vračila.</w:t>
      </w:r>
    </w:p>
    <w:p w14:paraId="4909F1C4" w14:textId="77777777" w:rsidR="00D96D58" w:rsidRDefault="00D96D58" w:rsidP="00FB7DA9">
      <w:pPr>
        <w:rPr>
          <w:rFonts w:eastAsia="Arial" w:cs="Arial"/>
          <w:szCs w:val="20"/>
          <w:highlight w:val="yellow"/>
        </w:rPr>
      </w:pPr>
    </w:p>
    <w:p w14:paraId="2C71DE7F" w14:textId="7F085FA5" w:rsidR="008328E2" w:rsidRPr="0022423E" w:rsidRDefault="00E16E82" w:rsidP="008328E2">
      <w:pPr>
        <w:rPr>
          <w:rFonts w:eastAsia="Arial" w:cs="Arial"/>
          <w:b/>
          <w:bCs/>
          <w:szCs w:val="20"/>
        </w:rPr>
      </w:pPr>
      <w:r>
        <w:rPr>
          <w:rFonts w:eastAsia="Arial" w:cs="Arial"/>
          <w:b/>
          <w:bCs/>
          <w:szCs w:val="20"/>
        </w:rPr>
        <w:t>K 8. členu</w:t>
      </w:r>
      <w:r w:rsidR="008328E2" w:rsidRPr="0022423E">
        <w:rPr>
          <w:rFonts w:eastAsia="Arial" w:cs="Arial"/>
          <w:b/>
          <w:bCs/>
          <w:szCs w:val="20"/>
        </w:rPr>
        <w:t xml:space="preserve"> (pridobivanje in obdelava podatkov ter hramba)</w:t>
      </w:r>
    </w:p>
    <w:p w14:paraId="7797B2CB" w14:textId="1B5E78CC" w:rsidR="00DA6357" w:rsidRDefault="008328E2" w:rsidP="008328E2">
      <w:pPr>
        <w:rPr>
          <w:rFonts w:eastAsia="Arial" w:cs="Arial"/>
          <w:szCs w:val="20"/>
        </w:rPr>
      </w:pPr>
      <w:r>
        <w:rPr>
          <w:rFonts w:eastAsia="Arial" w:cs="Arial"/>
          <w:szCs w:val="20"/>
        </w:rPr>
        <w:t>Ta člen</w:t>
      </w:r>
      <w:r w:rsidRPr="008328E2">
        <w:rPr>
          <w:rFonts w:eastAsia="Arial" w:cs="Arial"/>
          <w:szCs w:val="20"/>
        </w:rPr>
        <w:t xml:space="preserve"> določa, da operater trga lahko za izvajanje tega zakona dostopa do podatkov o merilnih mestih in o porabi upravičencev, kar morajo brezplačno zagotoviti operater prenosnega in distribucijskega omrežja in elektrodistribucijska podjetja. </w:t>
      </w:r>
    </w:p>
    <w:p w14:paraId="11B2FD60" w14:textId="74F279C4" w:rsidR="00DA6357" w:rsidRDefault="0022423E" w:rsidP="00DA6357">
      <w:pPr>
        <w:rPr>
          <w:rFonts w:eastAsia="Arial" w:cs="Arial"/>
          <w:szCs w:val="20"/>
        </w:rPr>
      </w:pPr>
      <w:r w:rsidRPr="0022423E">
        <w:rPr>
          <w:rFonts w:eastAsia="Arial" w:cs="Arial"/>
          <w:szCs w:val="20"/>
        </w:rPr>
        <w:t>V tem členu je določen tudi 10 letni rok hrambe dokumentacije v zvezi z dodeljenimi spodbudami iz tega zakona.</w:t>
      </w:r>
    </w:p>
    <w:p w14:paraId="3C02C32E" w14:textId="77777777" w:rsidR="00DB4F66" w:rsidRDefault="00DB4F66" w:rsidP="00CD24FA">
      <w:pPr>
        <w:rPr>
          <w:rFonts w:eastAsia="Times New Roman" w:cs="Times New Roman"/>
          <w:b/>
          <w:bCs/>
        </w:rPr>
      </w:pPr>
    </w:p>
    <w:p w14:paraId="225DF194" w14:textId="68345DE3" w:rsidR="00CD24FA" w:rsidRPr="00DA6357" w:rsidRDefault="00CD24FA" w:rsidP="00CD24FA">
      <w:pPr>
        <w:rPr>
          <w:rFonts w:eastAsia="Arial" w:cs="Arial"/>
          <w:b/>
          <w:bCs/>
          <w:szCs w:val="20"/>
        </w:rPr>
      </w:pPr>
      <w:r w:rsidRPr="00DA6357">
        <w:rPr>
          <w:rFonts w:eastAsia="Times New Roman" w:cs="Times New Roman"/>
          <w:b/>
          <w:bCs/>
        </w:rPr>
        <w:t xml:space="preserve">K </w:t>
      </w:r>
      <w:r w:rsidR="00BE1F55">
        <w:rPr>
          <w:rFonts w:eastAsia="Times New Roman" w:cs="Times New Roman"/>
          <w:b/>
          <w:bCs/>
        </w:rPr>
        <w:t>9</w:t>
      </w:r>
      <w:r w:rsidRPr="00DA6357">
        <w:rPr>
          <w:rFonts w:eastAsia="Times New Roman" w:cs="Times New Roman"/>
          <w:b/>
          <w:bCs/>
        </w:rPr>
        <w:t xml:space="preserve">. </w:t>
      </w:r>
      <w:r w:rsidRPr="00DA6357">
        <w:rPr>
          <w:rFonts w:eastAsia="Arial" w:cs="Arial"/>
          <w:b/>
          <w:bCs/>
          <w:szCs w:val="20"/>
        </w:rPr>
        <w:t>členu (upravičene naložbe v razogljičenje)</w:t>
      </w:r>
    </w:p>
    <w:p w14:paraId="09098A7E" w14:textId="7821409D" w:rsidR="00CD24FA" w:rsidRPr="00DA6357" w:rsidRDefault="00CD24FA" w:rsidP="00CD24FA">
      <w:pPr>
        <w:rPr>
          <w:rFonts w:eastAsia="Arial" w:cs="Arial"/>
          <w:szCs w:val="20"/>
        </w:rPr>
      </w:pPr>
      <w:r>
        <w:rPr>
          <w:rFonts w:eastAsia="Arial" w:cs="Arial"/>
          <w:szCs w:val="20"/>
        </w:rPr>
        <w:t>Ta</w:t>
      </w:r>
      <w:r w:rsidRPr="00DA6357">
        <w:rPr>
          <w:rFonts w:eastAsia="Arial" w:cs="Arial"/>
          <w:szCs w:val="20"/>
        </w:rPr>
        <w:t xml:space="preserve"> člen natančno določa, za kakšne naložbe v razogljičenje morajo prejemniki uporabiti vsaj 50 % </w:t>
      </w:r>
      <w:r w:rsidR="00BE1F55">
        <w:rPr>
          <w:rFonts w:eastAsia="Arial" w:cs="Arial"/>
          <w:szCs w:val="20"/>
        </w:rPr>
        <w:t xml:space="preserve">višine zneska </w:t>
      </w:r>
      <w:r w:rsidRPr="00DA6357">
        <w:rPr>
          <w:rFonts w:eastAsia="Arial" w:cs="Arial"/>
          <w:szCs w:val="20"/>
        </w:rPr>
        <w:t xml:space="preserve">prejetih spodbud. </w:t>
      </w:r>
    </w:p>
    <w:p w14:paraId="4E12C170" w14:textId="77777777" w:rsidR="00CD24FA" w:rsidRPr="00DA6357" w:rsidRDefault="00CD24FA" w:rsidP="001C6D70">
      <w:pPr>
        <w:rPr>
          <w:rFonts w:eastAsia="Arial" w:cs="Arial"/>
          <w:szCs w:val="20"/>
        </w:rPr>
      </w:pPr>
      <w:r w:rsidRPr="00DA6357">
        <w:rPr>
          <w:rFonts w:eastAsia="Arial" w:cs="Arial"/>
          <w:szCs w:val="20"/>
        </w:rPr>
        <w:t>Kot upravičene naložbe so opredeljene naložbe v trajnostne tehnologije, kot so na primer:</w:t>
      </w:r>
    </w:p>
    <w:p w14:paraId="4093D255"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lastRenderedPageBreak/>
        <w:t xml:space="preserve">naprave za proizvodnjo energije iz obnovljivih virov, </w:t>
      </w:r>
    </w:p>
    <w:p w14:paraId="01F8EF42"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baterijski hranilniki električne energije in druge tehnološke rešitve za shranjevanje energije,</w:t>
      </w:r>
    </w:p>
    <w:p w14:paraId="45FF6B6D"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ukrepi za povečanje prožnost na strani povpraševanja po električni energiji, </w:t>
      </w:r>
    </w:p>
    <w:p w14:paraId="72C91421"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zamenjava transformatorjev z bolj energetsko učinkovitimi in posodobitve VN/SN/NN razdelilnih naprav ter ostali ukrepi za izboljšanja energetske učinkovitosti, ki vplivajo na znižanje porabe električne energije, </w:t>
      </w:r>
    </w:p>
    <w:p w14:paraId="27163D89"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sistemi izrabe odvečne toplote,</w:t>
      </w:r>
    </w:p>
    <w:p w14:paraId="1B437AE0"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elektrolizatorji in pripadajoča oprema za proizvodnjo obnovljivega ali nizkoogljičnega vodika ali drugih zelenih goriv,</w:t>
      </w:r>
    </w:p>
    <w:p w14:paraId="06CDAF82" w14:textId="77777777" w:rsidR="00CD24FA" w:rsidRPr="00DA6357" w:rsidRDefault="00CD24FA" w:rsidP="001C6D70">
      <w:pPr>
        <w:numPr>
          <w:ilvl w:val="0"/>
          <w:numId w:val="94"/>
        </w:numPr>
        <w:spacing w:after="160" w:line="259" w:lineRule="auto"/>
        <w:contextualSpacing/>
        <w:rPr>
          <w:rFonts w:eastAsia="Arial" w:cs="Arial"/>
          <w:kern w:val="2"/>
          <w:szCs w:val="20"/>
          <w14:ligatures w14:val="standardContextual"/>
        </w:rPr>
      </w:pPr>
      <w:r w:rsidRPr="00DA6357">
        <w:rPr>
          <w:rFonts w:eastAsia="Arial" w:cs="Arial"/>
          <w:kern w:val="2"/>
          <w:szCs w:val="20"/>
          <w14:ligatures w14:val="standardContextual"/>
        </w:rPr>
        <w:t xml:space="preserve">naložbe v elektrifikacijo, s katerimi se zmanjšuje poraba fosilnih energentov. </w:t>
      </w:r>
    </w:p>
    <w:p w14:paraId="0C70D67C" w14:textId="77777777" w:rsidR="001C6D70" w:rsidRDefault="001C6D70" w:rsidP="001C6D70">
      <w:pPr>
        <w:rPr>
          <w:rFonts w:eastAsia="Arial" w:cs="Arial"/>
          <w:szCs w:val="20"/>
        </w:rPr>
      </w:pPr>
    </w:p>
    <w:p w14:paraId="1BD2B052" w14:textId="2D7D4463" w:rsidR="00CD24FA" w:rsidRDefault="001C6D70" w:rsidP="001C6D70">
      <w:pPr>
        <w:rPr>
          <w:rFonts w:eastAsia="Arial" w:cs="Arial"/>
          <w:szCs w:val="20"/>
        </w:rPr>
      </w:pPr>
      <w:r>
        <w:rPr>
          <w:rFonts w:eastAsia="Arial" w:cs="Arial"/>
          <w:szCs w:val="20"/>
        </w:rPr>
        <w:t>Ta člen</w:t>
      </w:r>
      <w:r w:rsidR="00CD24FA" w:rsidRPr="00DA6357">
        <w:rPr>
          <w:rFonts w:eastAsia="Arial" w:cs="Arial"/>
          <w:szCs w:val="20"/>
        </w:rPr>
        <w:t xml:space="preserve"> določa </w:t>
      </w:r>
      <w:r>
        <w:rPr>
          <w:rFonts w:eastAsia="Arial" w:cs="Arial"/>
          <w:szCs w:val="20"/>
        </w:rPr>
        <w:t xml:space="preserve">tudi </w:t>
      </w:r>
      <w:r w:rsidR="00CD24FA" w:rsidRPr="00DA6357">
        <w:rPr>
          <w:rFonts w:eastAsia="Arial" w:cs="Arial"/>
          <w:szCs w:val="20"/>
        </w:rPr>
        <w:t xml:space="preserve">prepoved dvojnega financiranja. Skladno s točko 122 CISAF za naložbe, ki jih morajo izpeljati, upravičenci ne smejo prejemati pomoči iz nobenega drugega ukrepa državnih pomoči. </w:t>
      </w:r>
    </w:p>
    <w:p w14:paraId="22D2F527" w14:textId="77777777" w:rsidR="00CD24FA" w:rsidRPr="00DA6357" w:rsidRDefault="00CD24FA" w:rsidP="00CD24FA">
      <w:pPr>
        <w:rPr>
          <w:rFonts w:eastAsia="Arial" w:cs="Arial"/>
          <w:szCs w:val="20"/>
        </w:rPr>
      </w:pPr>
    </w:p>
    <w:p w14:paraId="121390EB" w14:textId="05720BF8" w:rsidR="00CD24FA" w:rsidRPr="00DA6357" w:rsidRDefault="00CD24FA" w:rsidP="00CD24FA">
      <w:pPr>
        <w:rPr>
          <w:rFonts w:eastAsia="Arial" w:cs="Arial"/>
          <w:b/>
          <w:bCs/>
          <w:szCs w:val="20"/>
        </w:rPr>
      </w:pPr>
      <w:r w:rsidRPr="00DA6357">
        <w:rPr>
          <w:rFonts w:eastAsia="Arial" w:cs="Arial"/>
          <w:b/>
          <w:bCs/>
          <w:szCs w:val="20"/>
        </w:rPr>
        <w:t xml:space="preserve">K </w:t>
      </w:r>
      <w:r w:rsidR="000C096B">
        <w:rPr>
          <w:rFonts w:eastAsia="Arial" w:cs="Arial"/>
          <w:b/>
          <w:bCs/>
          <w:szCs w:val="20"/>
        </w:rPr>
        <w:t>10</w:t>
      </w:r>
      <w:r w:rsidRPr="00DA6357">
        <w:rPr>
          <w:rFonts w:eastAsia="Arial" w:cs="Arial"/>
          <w:b/>
          <w:bCs/>
          <w:szCs w:val="20"/>
        </w:rPr>
        <w:t>. členu (obveznosti glede naložb)</w:t>
      </w:r>
    </w:p>
    <w:p w14:paraId="13AB403F" w14:textId="546343F6" w:rsidR="00CD24FA" w:rsidRDefault="00CD24FA" w:rsidP="00CD24FA">
      <w:pPr>
        <w:rPr>
          <w:rFonts w:eastAsia="Arial" w:cs="Arial"/>
          <w:szCs w:val="20"/>
        </w:rPr>
      </w:pPr>
      <w:r w:rsidRPr="00DA6357">
        <w:rPr>
          <w:rFonts w:eastAsia="Arial" w:cs="Arial"/>
          <w:szCs w:val="20"/>
        </w:rPr>
        <w:t xml:space="preserve">Zakon upošteva, da gre pri trajnostnih naložbah pogosto za kapitalsko zahtevne in kompleksne projekte, ki zahtevajo večletno načrtovanje, hkrati pa zagotavlja, da bodo naložbe časovno omejene, da se izogne nepotrebnemu odlašanju. </w:t>
      </w:r>
      <w:r w:rsidR="00CB0B58">
        <w:rPr>
          <w:rFonts w:eastAsia="Arial" w:cs="Arial"/>
          <w:szCs w:val="20"/>
        </w:rPr>
        <w:t>Ta</w:t>
      </w:r>
      <w:r w:rsidRPr="00DA6357">
        <w:rPr>
          <w:rFonts w:eastAsia="Arial" w:cs="Arial"/>
          <w:szCs w:val="20"/>
        </w:rPr>
        <w:t xml:space="preserve"> člen tako določa časovne in vsebinske obveznosti glede uresničevanja naložb v razogljičenje. Naložbe je treba začeti izvajati najkasneje v 48 mesecih od dodelitve spodbude, z možnostjo podaljšanja roka iz tehničnih razlogov, ki jih upravičenec obrazloži v vlogi. </w:t>
      </w:r>
      <w:r w:rsidR="00235ABF">
        <w:rPr>
          <w:rFonts w:eastAsia="Arial" w:cs="Arial"/>
          <w:szCs w:val="20"/>
        </w:rPr>
        <w:t>Kot tehnični razlogi so v skladu s 122. točko CISAF mišljeni razlogi</w:t>
      </w:r>
      <w:r w:rsidR="007B33BE">
        <w:rPr>
          <w:rFonts w:eastAsia="Arial" w:cs="Arial"/>
          <w:szCs w:val="20"/>
        </w:rPr>
        <w:t xml:space="preserve">, ki niso posledica ravnanja ali opustitev </w:t>
      </w:r>
      <w:r w:rsidR="006F7898">
        <w:rPr>
          <w:rFonts w:eastAsia="Arial" w:cs="Arial"/>
          <w:szCs w:val="20"/>
        </w:rPr>
        <w:t>prejemnika spodbude, ampak do zamud prihaja zaradi težav pri pridobivanju dovoljenj, izpolnjevanja rokov s strani dobaviteljev ali izvajalcev tehnologij, pridobivanje kreditnih možnosti itd.</w:t>
      </w:r>
      <w:r w:rsidR="00235ABF">
        <w:rPr>
          <w:rFonts w:eastAsia="Arial" w:cs="Arial"/>
          <w:szCs w:val="20"/>
        </w:rPr>
        <w:t xml:space="preserve"> </w:t>
      </w:r>
      <w:r w:rsidRPr="00DA6357">
        <w:rPr>
          <w:rFonts w:eastAsia="Arial" w:cs="Arial"/>
          <w:szCs w:val="20"/>
        </w:rPr>
        <w:t xml:space="preserve">Zagotavlja se tudi možnost, da se spodbude iz več let kumulativno namenijo za eno naložbo, saj se mora upoštevati, da gre pogosto za kapitalsko zahtevne in kompleksne projekte, ki zahtevajo večletno načrtovanje, hkrati pa so naložbe časovno omejene. </w:t>
      </w:r>
      <w:r w:rsidR="00CB0B58">
        <w:rPr>
          <w:rFonts w:eastAsia="Arial" w:cs="Arial"/>
          <w:szCs w:val="20"/>
        </w:rPr>
        <w:t xml:space="preserve">Člen določa tudi, da mora </w:t>
      </w:r>
      <w:r w:rsidR="00CB0B58" w:rsidRPr="00CB0B58">
        <w:rPr>
          <w:rFonts w:eastAsia="Arial" w:cs="Arial"/>
          <w:szCs w:val="20"/>
        </w:rPr>
        <w:t>u</w:t>
      </w:r>
      <w:r w:rsidR="001C6D70" w:rsidRPr="00CB0B58">
        <w:rPr>
          <w:rFonts w:eastAsia="Arial" w:cs="Arial"/>
          <w:szCs w:val="20"/>
        </w:rPr>
        <w:t>pravičenec, ki prejme spodbudo po tem zakonu, ostati lastnik naložbe še najmanj 5 let po njenem dokončanju.</w:t>
      </w:r>
    </w:p>
    <w:p w14:paraId="1B9D3DBE" w14:textId="77777777" w:rsidR="00CE33CD" w:rsidRPr="00CE33CD" w:rsidRDefault="00CE33CD" w:rsidP="00CE33CD">
      <w:pPr>
        <w:rPr>
          <w:rFonts w:eastAsia="Arial" w:cs="Arial"/>
          <w:szCs w:val="20"/>
        </w:rPr>
      </w:pPr>
      <w:r w:rsidRPr="00CE33CD">
        <w:rPr>
          <w:rFonts w:eastAsia="Arial" w:cs="Arial"/>
          <w:szCs w:val="20"/>
        </w:rPr>
        <w:t>Ta člen uvaja tudi pomembno omejitev razdelitve dobička in finančnih transakcij do izvedbe naložb v razogljičenje, na katere se je upravičenec zavezal v vlogi, tako da se omejuje izplačilo dividend in odkup lastnih deležev, omejuje se odobritev posojil lastnikom ali povezanim osebam, hkrati pa se določa, da spodbuda ne sme biti vir sredstev za takšna izplačila ali posojila. S tem zakon zasleduje cilj, da bodo imele spodbude dejansko funkcijo blaženja stroškov električne energije in financiranja razogljičenja, ne pa povečanja drugih koristi lastnikom.</w:t>
      </w:r>
    </w:p>
    <w:p w14:paraId="43E1E2B9" w14:textId="7A566D40" w:rsidR="00CE33CD" w:rsidRPr="00DA6357" w:rsidRDefault="00CE33CD" w:rsidP="00CE33CD">
      <w:pPr>
        <w:rPr>
          <w:rFonts w:eastAsia="Arial" w:cs="Arial"/>
          <w:szCs w:val="20"/>
        </w:rPr>
      </w:pPr>
      <w:r w:rsidRPr="00CE33CD">
        <w:rPr>
          <w:rFonts w:eastAsia="Arial" w:cs="Arial"/>
          <w:szCs w:val="20"/>
        </w:rPr>
        <w:t>Ta člen je ključni element povezave med kratkoročno pomočjo za ceno elektrike in dolgoročnim razogljičenjem industrije ter sledi zahtevam CISAF, da se takšne pomoči vežejo na konkretne naložbene zaveze. Določeno je, da se kot primerne naložbe priznajo le naložbe v novo opremo. Investicije za nakup rabljenih, obnovljenih, pilotnih in prototipnih naprav, ukrepov se ne štejejo za naložbe po tem zakonu.</w:t>
      </w:r>
    </w:p>
    <w:p w14:paraId="62639563" w14:textId="77777777" w:rsidR="00CD24FA" w:rsidRPr="00DA6357" w:rsidRDefault="00CD24FA" w:rsidP="00DA6357">
      <w:pPr>
        <w:rPr>
          <w:rFonts w:eastAsia="Arial" w:cs="Arial"/>
          <w:szCs w:val="20"/>
        </w:rPr>
      </w:pPr>
    </w:p>
    <w:p w14:paraId="1AAF0772" w14:textId="03083F4F" w:rsidR="00DA6357" w:rsidRPr="00DA6357" w:rsidRDefault="00DA6357" w:rsidP="00DA6357">
      <w:pPr>
        <w:rPr>
          <w:rFonts w:eastAsia="Arial" w:cs="Arial"/>
          <w:b/>
          <w:bCs/>
          <w:szCs w:val="20"/>
        </w:rPr>
      </w:pPr>
      <w:bookmarkStart w:id="51" w:name="_Hlk214966503"/>
      <w:r w:rsidRPr="00DA6357">
        <w:rPr>
          <w:rFonts w:eastAsia="Arial" w:cs="Arial"/>
          <w:b/>
          <w:bCs/>
          <w:szCs w:val="20"/>
        </w:rPr>
        <w:t>K 1</w:t>
      </w:r>
      <w:r w:rsidR="00280958">
        <w:rPr>
          <w:rFonts w:eastAsia="Arial" w:cs="Arial"/>
          <w:b/>
          <w:bCs/>
          <w:szCs w:val="20"/>
        </w:rPr>
        <w:t>1</w:t>
      </w:r>
      <w:r w:rsidRPr="00DA6357">
        <w:rPr>
          <w:rFonts w:eastAsia="Arial" w:cs="Arial"/>
          <w:b/>
          <w:bCs/>
          <w:szCs w:val="20"/>
        </w:rPr>
        <w:t xml:space="preserve">. členu </w:t>
      </w:r>
      <w:bookmarkEnd w:id="51"/>
      <w:r w:rsidRPr="00DA6357">
        <w:rPr>
          <w:rFonts w:eastAsia="Arial" w:cs="Arial"/>
          <w:b/>
          <w:bCs/>
          <w:szCs w:val="20"/>
        </w:rPr>
        <w:t>(zagotavljanje sredstev)</w:t>
      </w:r>
    </w:p>
    <w:p w14:paraId="47BD6366" w14:textId="395D3977" w:rsidR="00DA6357" w:rsidRPr="00DA6357" w:rsidRDefault="00B57C8E" w:rsidP="00DA6357">
      <w:pPr>
        <w:rPr>
          <w:rFonts w:eastAsia="Arial" w:cs="Arial"/>
          <w:szCs w:val="20"/>
        </w:rPr>
      </w:pPr>
      <w:r>
        <w:rPr>
          <w:rFonts w:eastAsia="Arial" w:cs="Arial"/>
          <w:szCs w:val="20"/>
        </w:rPr>
        <w:t>Ta</w:t>
      </w:r>
      <w:r w:rsidR="00DA6357" w:rsidRPr="00DA6357">
        <w:rPr>
          <w:rFonts w:eastAsia="Arial" w:cs="Arial"/>
          <w:szCs w:val="20"/>
        </w:rPr>
        <w:t xml:space="preserve"> člen ureja višino in razpoložljivost sredstev za izvajanje ukrepa ter določa vlogo vlade.</w:t>
      </w:r>
    </w:p>
    <w:p w14:paraId="26765E42" w14:textId="2975D9FB" w:rsidR="00DA6357" w:rsidRPr="00DA6357" w:rsidRDefault="00DA6357" w:rsidP="00DA6357">
      <w:pPr>
        <w:rPr>
          <w:rFonts w:eastAsia="Arial" w:cs="Arial"/>
          <w:szCs w:val="20"/>
        </w:rPr>
      </w:pPr>
      <w:r w:rsidRPr="00DA6357">
        <w:rPr>
          <w:rFonts w:eastAsia="Arial" w:cs="Arial"/>
          <w:szCs w:val="20"/>
        </w:rPr>
        <w:t xml:space="preserve">Vlada </w:t>
      </w:r>
      <w:r w:rsidR="00492ACA">
        <w:rPr>
          <w:rFonts w:eastAsia="Arial" w:cs="Arial"/>
          <w:szCs w:val="20"/>
        </w:rPr>
        <w:t>(</w:t>
      </w:r>
      <w:r w:rsidRPr="00DA6357">
        <w:rPr>
          <w:rFonts w:eastAsia="Arial" w:cs="Arial"/>
          <w:szCs w:val="20"/>
        </w:rPr>
        <w:t>do vključno leta 2028</w:t>
      </w:r>
      <w:r w:rsidR="00492ACA">
        <w:rPr>
          <w:rFonts w:eastAsia="Arial" w:cs="Arial"/>
          <w:szCs w:val="20"/>
        </w:rPr>
        <w:t>)</w:t>
      </w:r>
      <w:r w:rsidRPr="00DA6357">
        <w:rPr>
          <w:rFonts w:eastAsia="Arial" w:cs="Arial"/>
          <w:szCs w:val="20"/>
        </w:rPr>
        <w:t xml:space="preserve"> vsako leto najkasneje do 31. januarja s sklepom določi razpoložljiv letni skupni znesek sredstev in najvišjo možno spodbudo v EUR/MWh, ki je odvisna od ocene potrebne količine električne energije, ki jo bo potrebno v določenem letu podpreti.</w:t>
      </w:r>
      <w:r w:rsidR="00492ACA">
        <w:rPr>
          <w:rFonts w:eastAsia="Arial" w:cs="Arial"/>
          <w:szCs w:val="20"/>
        </w:rPr>
        <w:t xml:space="preserve"> </w:t>
      </w:r>
      <w:r w:rsidRPr="00DA6357">
        <w:rPr>
          <w:rFonts w:eastAsia="Arial" w:cs="Arial"/>
          <w:szCs w:val="20"/>
        </w:rPr>
        <w:t>Sklep se objavi v Uradnem listu, kar zagotavlja transparentnost.</w:t>
      </w:r>
    </w:p>
    <w:p w14:paraId="0934AD39" w14:textId="3CCF9FDF" w:rsidR="00DA6357" w:rsidRPr="00DA6357" w:rsidRDefault="00DA6357" w:rsidP="00DA6357">
      <w:pPr>
        <w:rPr>
          <w:rFonts w:eastAsia="Arial" w:cs="Arial"/>
          <w:szCs w:val="20"/>
        </w:rPr>
      </w:pPr>
      <w:r w:rsidRPr="00DA6357">
        <w:rPr>
          <w:rFonts w:eastAsia="Arial" w:cs="Arial"/>
          <w:szCs w:val="20"/>
        </w:rPr>
        <w:t>Operater trga na podlagi prejetih vlog preveri napoved porabe in ugotovi morebitna odstopanja od razpoložljivih sredstev. Če so potrebe večje, mora sorazmerno znižati najvišjo spodbudo v EUR/MWh in objaviti povprečno spodbudo v EUR/MWh na svoji spletni strani.</w:t>
      </w:r>
      <w:r w:rsidR="00761453">
        <w:rPr>
          <w:rFonts w:eastAsia="Arial" w:cs="Arial"/>
          <w:szCs w:val="20"/>
        </w:rPr>
        <w:t xml:space="preserve"> </w:t>
      </w:r>
      <w:r w:rsidRPr="00DA6357">
        <w:rPr>
          <w:rFonts w:eastAsia="Arial" w:cs="Arial"/>
          <w:szCs w:val="20"/>
        </w:rPr>
        <w:t>S tem se zagotavlja, da je ukrep omejen z razpoložljivim proračunom in da so morebitna preseganja rešena sorazmerno in transparentno.</w:t>
      </w:r>
    </w:p>
    <w:p w14:paraId="44E628B7" w14:textId="7D789D0A" w:rsidR="00DA6357" w:rsidRDefault="00DA6357" w:rsidP="00DA6357">
      <w:pPr>
        <w:rPr>
          <w:rFonts w:eastAsia="Arial" w:cs="Arial"/>
          <w:szCs w:val="20"/>
        </w:rPr>
      </w:pPr>
      <w:r w:rsidRPr="00AE488F">
        <w:rPr>
          <w:rFonts w:eastAsia="Arial" w:cs="Arial"/>
          <w:szCs w:val="20"/>
        </w:rPr>
        <w:lastRenderedPageBreak/>
        <w:t>V nadaljevanju člen določa zavezance za zagotavljanje sredstev: to so tiste družbe v 100 % državni lasti, ki imajo v neposredni ali posredni lasti elektrarne s skupno močjo nad 400 MW</w:t>
      </w:r>
      <w:r w:rsidRPr="00AE488F">
        <w:rPr>
          <w:rFonts w:eastAsia="Times New Roman" w:cs="Times New Roman"/>
        </w:rPr>
        <w:t xml:space="preserve"> in ne</w:t>
      </w:r>
      <w:r w:rsidRPr="00AE488F">
        <w:rPr>
          <w:rFonts w:eastAsia="Arial" w:cs="Arial"/>
          <w:szCs w:val="20"/>
        </w:rPr>
        <w:t xml:space="preserve"> izvajajo pretežno gospodarske javne službe.</w:t>
      </w:r>
      <w:r w:rsidRPr="00DA6357">
        <w:rPr>
          <w:rFonts w:eastAsia="Arial" w:cs="Arial"/>
          <w:szCs w:val="20"/>
        </w:rPr>
        <w:t xml:space="preserve"> Vsi zavezanci morajo zagotoviti sredstva v enaki višini. Zavezanci morajo z operaterjem trga skleniti pogodbo, ki uredi način plačila sredstev.</w:t>
      </w:r>
    </w:p>
    <w:p w14:paraId="2E735A8B" w14:textId="0817347A" w:rsidR="00552DC6" w:rsidRDefault="00552DC6" w:rsidP="00552DC6">
      <w:pPr>
        <w:rPr>
          <w:rFonts w:eastAsia="Arial" w:cs="Arial"/>
          <w:szCs w:val="20"/>
        </w:rPr>
      </w:pPr>
      <w:r w:rsidRPr="00552DC6">
        <w:rPr>
          <w:rFonts w:eastAsia="Arial" w:cs="Arial"/>
          <w:szCs w:val="20"/>
        </w:rPr>
        <w:t>Vir sredstev za pomoč po tem zakonu so družbe, ki so veliki proizvajalci. V primeru, da gre za skupino družb, sredstva zagotavlja obvladujoča družba in odvisne družbe niso še enkrat (dvojno) dolžne zagotavljati sredstev po tem odstavku. Breme se med skupine družb deli na način, da je vsaka skupina družb oz. družba (če ni del skupine) zavezana k zagotavljanju enakega zneska. Iz tega so izključeni proizvajalci, ki izvajajo gospodarsko javno službo, saj so aktivni v regulirani dejavnosti. Poleg tega so iz obveznosti izključeni vsi manjši proizvajalci, za katere bi takšna dajatev predstavljala nesorazmerno veliko breme. Glede na ocenjeno višino potrebnih sredstev za izvajanje zakona 30 milijonov EUR letno in količino vseh proizvajalcev, bi enakomerna dajatev med vse proizvajalce nepravično bistveno nesorazmerno obremenila manjše med njimi. Zagotovitev sredstev bi pri njih namreč predstavljala bistveno večji delež prihodka, kot pri velikih proizvajalcih.</w:t>
      </w:r>
    </w:p>
    <w:p w14:paraId="4CB4D97C" w14:textId="7C244636" w:rsidR="00DA6357" w:rsidRPr="00DA6357" w:rsidRDefault="00DA6357" w:rsidP="00DA6357">
      <w:pPr>
        <w:rPr>
          <w:rFonts w:eastAsia="Arial" w:cs="Arial"/>
          <w:szCs w:val="20"/>
        </w:rPr>
      </w:pPr>
      <w:r w:rsidRPr="00DA6357">
        <w:rPr>
          <w:rFonts w:eastAsia="Arial" w:cs="Arial"/>
          <w:szCs w:val="20"/>
        </w:rPr>
        <w:t>Država zasleduje logiko, da se del naj energetskih prihodkov namenja za industrijsko konkurenčnost in njeno razogljičenje.</w:t>
      </w:r>
    </w:p>
    <w:p w14:paraId="51083E31" w14:textId="77777777" w:rsidR="00DA6357" w:rsidRPr="00DA6357" w:rsidRDefault="00DA6357" w:rsidP="00DA6357">
      <w:pPr>
        <w:rPr>
          <w:rFonts w:eastAsia="Arial" w:cs="Arial"/>
          <w:szCs w:val="20"/>
        </w:rPr>
      </w:pPr>
    </w:p>
    <w:p w14:paraId="4446B6F7" w14:textId="6135CDF2" w:rsidR="00DA6357" w:rsidRPr="00DA6357" w:rsidRDefault="00DA6357" w:rsidP="00DA6357">
      <w:pPr>
        <w:rPr>
          <w:rFonts w:eastAsia="Arial" w:cs="Arial"/>
          <w:b/>
          <w:bCs/>
          <w:szCs w:val="20"/>
        </w:rPr>
      </w:pPr>
      <w:r w:rsidRPr="00DA6357">
        <w:rPr>
          <w:rFonts w:eastAsia="Arial" w:cs="Arial"/>
          <w:b/>
          <w:bCs/>
          <w:szCs w:val="20"/>
        </w:rPr>
        <w:t>K 1</w:t>
      </w:r>
      <w:r w:rsidR="00891EC7">
        <w:rPr>
          <w:rFonts w:eastAsia="Arial" w:cs="Arial"/>
          <w:b/>
          <w:bCs/>
          <w:szCs w:val="20"/>
        </w:rPr>
        <w:t>2</w:t>
      </w:r>
      <w:r w:rsidRPr="00DA6357">
        <w:rPr>
          <w:rFonts w:eastAsia="Arial" w:cs="Arial"/>
          <w:b/>
          <w:bCs/>
          <w:szCs w:val="20"/>
        </w:rPr>
        <w:t>. členu (</w:t>
      </w:r>
      <w:r w:rsidR="00993AC8">
        <w:rPr>
          <w:rFonts w:eastAsia="Arial" w:cs="Arial"/>
          <w:b/>
          <w:bCs/>
          <w:szCs w:val="20"/>
        </w:rPr>
        <w:t>višina nadomestila operaterju trga za izvajanje ukrepa</w:t>
      </w:r>
      <w:r w:rsidRPr="00DA6357">
        <w:rPr>
          <w:rFonts w:eastAsia="Arial" w:cs="Arial"/>
          <w:b/>
          <w:bCs/>
          <w:szCs w:val="20"/>
        </w:rPr>
        <w:t>)</w:t>
      </w:r>
    </w:p>
    <w:p w14:paraId="67E60169" w14:textId="4692E3F6" w:rsidR="00DA6357" w:rsidRDefault="0022146A" w:rsidP="00DA6357">
      <w:pPr>
        <w:rPr>
          <w:rFonts w:eastAsia="Arial" w:cs="Arial"/>
          <w:szCs w:val="20"/>
        </w:rPr>
      </w:pPr>
      <w:r>
        <w:rPr>
          <w:rFonts w:eastAsia="Arial" w:cs="Arial"/>
          <w:szCs w:val="20"/>
        </w:rPr>
        <w:t>Ta</w:t>
      </w:r>
      <w:r w:rsidR="00DA6357" w:rsidRPr="00DA6357">
        <w:rPr>
          <w:rFonts w:eastAsia="Arial" w:cs="Arial"/>
          <w:szCs w:val="20"/>
        </w:rPr>
        <w:t xml:space="preserve"> člen določa, da je operater trga upravičen do sredstev za svoje stroške pri izvajanju ukrepa v višini 0,2 EUR/MWh za vsako MWh porabe upravičencev do spodbude, pri čemer se ta sredstva zagotavljajo iz istih virov kot spodbude</w:t>
      </w:r>
      <w:r w:rsidR="00204425">
        <w:rPr>
          <w:rFonts w:eastAsia="Arial" w:cs="Arial"/>
          <w:szCs w:val="20"/>
        </w:rPr>
        <w:t>, in sicer samo v letih 2026, 2027 in 2028.</w:t>
      </w:r>
      <w:r w:rsidR="00D76D5D">
        <w:rPr>
          <w:rFonts w:eastAsia="Arial" w:cs="Arial"/>
          <w:szCs w:val="20"/>
        </w:rPr>
        <w:t xml:space="preserve"> Kasneje bodo stroški nižji</w:t>
      </w:r>
      <w:r w:rsidR="00B61495">
        <w:rPr>
          <w:rFonts w:eastAsia="Arial" w:cs="Arial"/>
          <w:szCs w:val="20"/>
        </w:rPr>
        <w:t xml:space="preserve"> in si jih bo operater trga pokrival iz nadomestila za izvajanje GJS operater trga</w:t>
      </w:r>
      <w:r w:rsidR="00D76D5D">
        <w:rPr>
          <w:rFonts w:eastAsia="Arial" w:cs="Arial"/>
          <w:szCs w:val="20"/>
        </w:rPr>
        <w:t xml:space="preserve">, </w:t>
      </w:r>
      <w:r w:rsidR="00B61495">
        <w:rPr>
          <w:rFonts w:eastAsia="Arial" w:cs="Arial"/>
          <w:szCs w:val="20"/>
        </w:rPr>
        <w:t xml:space="preserve">ker vlada ne bo več določala novih obveznosti po tem zakonu. </w:t>
      </w:r>
    </w:p>
    <w:p w14:paraId="4F6F36FB" w14:textId="61A0F1BF" w:rsidR="00BE7C0C" w:rsidRPr="00DA6357" w:rsidRDefault="00792DB6" w:rsidP="00DA6357">
      <w:pPr>
        <w:rPr>
          <w:rFonts w:eastAsia="Arial" w:cs="Arial"/>
          <w:szCs w:val="20"/>
        </w:rPr>
      </w:pPr>
      <w:r>
        <w:rPr>
          <w:rFonts w:eastAsia="Arial" w:cs="Arial"/>
          <w:szCs w:val="20"/>
        </w:rPr>
        <w:t>Na podlagi</w:t>
      </w:r>
      <w:r w:rsidR="00BE7C0C">
        <w:rPr>
          <w:rFonts w:eastAsia="Arial" w:cs="Arial"/>
          <w:szCs w:val="20"/>
        </w:rPr>
        <w:t xml:space="preserve"> pobude GZS Vladi RS, da naj zagotovi ukrep za zagotavljanje konkurenčnosti </w:t>
      </w:r>
      <w:r w:rsidR="000B475D">
        <w:rPr>
          <w:rFonts w:eastAsia="Arial" w:cs="Arial"/>
          <w:szCs w:val="20"/>
        </w:rPr>
        <w:t>za elektrointenzivna podjetja</w:t>
      </w:r>
      <w:r w:rsidR="00083459">
        <w:rPr>
          <w:rFonts w:eastAsia="Arial" w:cs="Arial"/>
          <w:szCs w:val="20"/>
        </w:rPr>
        <w:t xml:space="preserve">, je bila narejena ocena, da bi bilo letno treba podpreti do cca. 1TWh električne energije s spodbudo. Glede na podobne primere iz preteklosti, ko je bilo operaterju trga z interventno zakonodajo naloženo izvajanje dodatnih nalog, </w:t>
      </w:r>
      <w:r>
        <w:rPr>
          <w:rFonts w:eastAsia="Arial" w:cs="Arial"/>
          <w:szCs w:val="20"/>
        </w:rPr>
        <w:t xml:space="preserve">je bilo ocenjeno, da bi za dodatne stroške dela, IT podpore itd. operater trga potreboval cca. 200.000 eurov, kar bi mu zagotovili z nadomestilom </w:t>
      </w:r>
      <w:r w:rsidRPr="00792DB6">
        <w:rPr>
          <w:rFonts w:eastAsia="Arial" w:cs="Arial"/>
          <w:szCs w:val="20"/>
        </w:rPr>
        <w:t>v višini 0,2 EUR/MWh za vsako MWh porabe</w:t>
      </w:r>
      <w:r>
        <w:rPr>
          <w:rFonts w:eastAsia="Arial" w:cs="Arial"/>
          <w:szCs w:val="20"/>
        </w:rPr>
        <w:t>.</w:t>
      </w:r>
    </w:p>
    <w:p w14:paraId="7DD1179F" w14:textId="77777777" w:rsidR="00DA6357" w:rsidRPr="00DA6357" w:rsidRDefault="00DA6357" w:rsidP="00DA6357">
      <w:pPr>
        <w:rPr>
          <w:rFonts w:eastAsia="Arial" w:cs="Arial"/>
          <w:szCs w:val="20"/>
        </w:rPr>
      </w:pPr>
      <w:r w:rsidRPr="00DA6357">
        <w:rPr>
          <w:rFonts w:eastAsia="Arial" w:cs="Arial"/>
          <w:szCs w:val="20"/>
        </w:rPr>
        <w:t>Gre za standardno ureditev povračila stroškov izvajalca javnega ukrepa, ki zagotavlja, da ima operater trga ustrezno zagotovljena potrebna sredstva za administracijo, nadzor in poročanje vezano na ukrepe po tem zakonu, ne da bi bilo treba posegati po drugih virih oziroma, da bi se dodatno obremenjevali zavezanci, ki plačujejo prispevke za delo operaterja trga na podlagi drugih pravnih podlag in obstoječih razmerij.</w:t>
      </w:r>
    </w:p>
    <w:p w14:paraId="59841FFA" w14:textId="77777777" w:rsidR="00DA6357" w:rsidRPr="00DA6357" w:rsidRDefault="00DA6357" w:rsidP="00DA6357">
      <w:pPr>
        <w:rPr>
          <w:rFonts w:eastAsia="Arial" w:cs="Arial"/>
          <w:szCs w:val="20"/>
        </w:rPr>
      </w:pPr>
    </w:p>
    <w:p w14:paraId="3CCBA558" w14:textId="4443F59B" w:rsidR="00DA6357" w:rsidRPr="00DA6357" w:rsidRDefault="00DA6357" w:rsidP="00DA6357">
      <w:pPr>
        <w:rPr>
          <w:rFonts w:eastAsia="Arial" w:cs="Arial"/>
          <w:b/>
          <w:bCs/>
          <w:szCs w:val="20"/>
        </w:rPr>
      </w:pPr>
      <w:r w:rsidRPr="00DA6357">
        <w:rPr>
          <w:rFonts w:eastAsia="Arial" w:cs="Arial"/>
          <w:b/>
          <w:bCs/>
          <w:szCs w:val="20"/>
        </w:rPr>
        <w:t>K 1</w:t>
      </w:r>
      <w:r w:rsidR="00E24155">
        <w:rPr>
          <w:rFonts w:eastAsia="Arial" w:cs="Arial"/>
          <w:b/>
          <w:bCs/>
          <w:szCs w:val="20"/>
        </w:rPr>
        <w:t>3</w:t>
      </w:r>
      <w:r w:rsidRPr="00DA6357">
        <w:rPr>
          <w:rFonts w:eastAsia="Arial" w:cs="Arial"/>
          <w:b/>
          <w:bCs/>
          <w:szCs w:val="20"/>
        </w:rPr>
        <w:t>. členu (poročanje</w:t>
      </w:r>
      <w:r w:rsidR="003D14F5">
        <w:rPr>
          <w:rFonts w:eastAsia="Arial" w:cs="Arial"/>
          <w:b/>
          <w:bCs/>
          <w:szCs w:val="20"/>
        </w:rPr>
        <w:t xml:space="preserve"> prejemnika spodbude</w:t>
      </w:r>
      <w:r w:rsidRPr="00DA6357">
        <w:rPr>
          <w:rFonts w:eastAsia="Arial" w:cs="Arial"/>
          <w:b/>
          <w:bCs/>
          <w:szCs w:val="20"/>
        </w:rPr>
        <w:t>)</w:t>
      </w:r>
    </w:p>
    <w:p w14:paraId="6B92ED8B" w14:textId="4C418412" w:rsidR="00DA6357" w:rsidRPr="00DA6357" w:rsidRDefault="00DA6357" w:rsidP="00DA6357">
      <w:pPr>
        <w:rPr>
          <w:rFonts w:eastAsia="Arial" w:cs="Arial"/>
          <w:szCs w:val="20"/>
        </w:rPr>
      </w:pPr>
      <w:r w:rsidRPr="00DA6357">
        <w:rPr>
          <w:rFonts w:eastAsia="Arial" w:cs="Arial"/>
          <w:szCs w:val="20"/>
        </w:rPr>
        <w:t xml:space="preserve">Ta člen vzpostavlja podatkovno podlago za poračune, nadzor in izpolnjevanje obveznosti do Evropske komisije. </w:t>
      </w:r>
      <w:r w:rsidR="00834171">
        <w:rPr>
          <w:rFonts w:eastAsia="Arial" w:cs="Arial"/>
          <w:szCs w:val="20"/>
        </w:rPr>
        <w:t>V povezavi s tem členom je v prehodni določbi tega zakona urejeno, kdaj se zadnjič poroča o posameznih podatkih.</w:t>
      </w:r>
      <w:r w:rsidRPr="00DA6357">
        <w:rPr>
          <w:rFonts w:eastAsia="Arial" w:cs="Arial"/>
          <w:szCs w:val="20"/>
        </w:rPr>
        <w:t xml:space="preserve"> </w:t>
      </w:r>
    </w:p>
    <w:p w14:paraId="7EAFDFC2" w14:textId="11FE10B4" w:rsidR="00DA6357" w:rsidRPr="00DA6357" w:rsidRDefault="00DA6357" w:rsidP="00DA6357">
      <w:pPr>
        <w:rPr>
          <w:rFonts w:eastAsia="Arial" w:cs="Arial"/>
          <w:szCs w:val="20"/>
        </w:rPr>
      </w:pPr>
      <w:r w:rsidRPr="00DA6357">
        <w:rPr>
          <w:rFonts w:eastAsia="Arial" w:cs="Arial"/>
          <w:szCs w:val="20"/>
        </w:rPr>
        <w:t>Upravičenec mora operaterju trga do 1. aprila poročati za preteklo leto (do leta 2029) o porabi električne energije in (do leta 2033) o izvajanju naložb v razogljičenje in doseženih rezultatih (proizvodnja OVE, prihranki, emisije itd.).</w:t>
      </w:r>
      <w:r w:rsidR="00834171" w:rsidRPr="00834171">
        <w:rPr>
          <w:rFonts w:eastAsia="Arial" w:cs="Arial"/>
          <w:szCs w:val="20"/>
        </w:rPr>
        <w:t xml:space="preserve"> </w:t>
      </w:r>
      <w:r w:rsidR="00834171" w:rsidRPr="00DA6357">
        <w:rPr>
          <w:rFonts w:eastAsia="Arial" w:cs="Arial"/>
          <w:szCs w:val="20"/>
        </w:rPr>
        <w:t>Poročanje do 2033 je usklajeno z obdobjem, v katerem se naložbe v razogljičenje še izvajajo in spremljajo.</w:t>
      </w:r>
    </w:p>
    <w:p w14:paraId="3C2815D4" w14:textId="10E2420F" w:rsidR="00DA6357" w:rsidRPr="00DA6357" w:rsidRDefault="00DA6357" w:rsidP="00DA6357">
      <w:pPr>
        <w:rPr>
          <w:rFonts w:eastAsia="Arial" w:cs="Arial"/>
          <w:szCs w:val="20"/>
        </w:rPr>
      </w:pPr>
      <w:r w:rsidRPr="00DA6357">
        <w:rPr>
          <w:rFonts w:eastAsia="Arial" w:cs="Arial"/>
          <w:szCs w:val="20"/>
        </w:rPr>
        <w:t xml:space="preserve">Ta člen </w:t>
      </w:r>
      <w:r w:rsidR="00CE3527">
        <w:rPr>
          <w:rFonts w:eastAsia="Arial" w:cs="Arial"/>
          <w:szCs w:val="20"/>
        </w:rPr>
        <w:t xml:space="preserve">zaradi jasnosti </w:t>
      </w:r>
      <w:r w:rsidRPr="00DA6357">
        <w:rPr>
          <w:rFonts w:eastAsia="Arial" w:cs="Arial"/>
          <w:szCs w:val="20"/>
        </w:rPr>
        <w:t xml:space="preserve">določa tudi, da operater trga </w:t>
      </w:r>
      <w:r w:rsidR="001561FA">
        <w:rPr>
          <w:rFonts w:eastAsia="Arial" w:cs="Arial"/>
          <w:szCs w:val="20"/>
        </w:rPr>
        <w:t>pripravi</w:t>
      </w:r>
      <w:r w:rsidRPr="00DA6357">
        <w:rPr>
          <w:rFonts w:eastAsia="Arial" w:cs="Arial"/>
          <w:szCs w:val="20"/>
        </w:rPr>
        <w:t xml:space="preserve"> </w:t>
      </w:r>
      <w:r w:rsidR="001561FA">
        <w:rPr>
          <w:rFonts w:eastAsia="Arial" w:cs="Arial"/>
          <w:szCs w:val="20"/>
        </w:rPr>
        <w:t>navodila in obrazce za</w:t>
      </w:r>
      <w:r w:rsidRPr="00DA6357">
        <w:rPr>
          <w:rFonts w:eastAsia="Arial" w:cs="Arial"/>
          <w:szCs w:val="20"/>
        </w:rPr>
        <w:t xml:space="preserve"> obvezn</w:t>
      </w:r>
      <w:r w:rsidR="001561FA">
        <w:rPr>
          <w:rFonts w:eastAsia="Arial" w:cs="Arial"/>
          <w:szCs w:val="20"/>
        </w:rPr>
        <w:t>o</w:t>
      </w:r>
      <w:r w:rsidRPr="00DA6357">
        <w:rPr>
          <w:rFonts w:eastAsia="Arial" w:cs="Arial"/>
          <w:szCs w:val="20"/>
        </w:rPr>
        <w:t xml:space="preserve"> poročanj</w:t>
      </w:r>
      <w:r w:rsidR="001561FA">
        <w:rPr>
          <w:rFonts w:eastAsia="Arial" w:cs="Arial"/>
          <w:szCs w:val="20"/>
        </w:rPr>
        <w:t>e</w:t>
      </w:r>
      <w:r w:rsidRPr="00DA6357">
        <w:rPr>
          <w:rFonts w:eastAsia="Arial" w:cs="Arial"/>
          <w:szCs w:val="20"/>
        </w:rPr>
        <w:t>, ter jih objavi na svoji spletni strani.</w:t>
      </w:r>
      <w:r w:rsidR="00834171">
        <w:rPr>
          <w:rFonts w:eastAsia="Arial" w:cs="Arial"/>
          <w:szCs w:val="20"/>
        </w:rPr>
        <w:t xml:space="preserve"> </w:t>
      </w:r>
    </w:p>
    <w:p w14:paraId="68DA45B2" w14:textId="77777777" w:rsidR="00DA6357" w:rsidRPr="00DA6357" w:rsidRDefault="00DA6357" w:rsidP="00DA6357">
      <w:pPr>
        <w:rPr>
          <w:rFonts w:eastAsia="Arial" w:cs="Arial"/>
          <w:szCs w:val="20"/>
        </w:rPr>
      </w:pPr>
    </w:p>
    <w:p w14:paraId="18B0BC25" w14:textId="14DA72E0" w:rsidR="00DA6357" w:rsidRPr="00DA6357" w:rsidRDefault="00DA6357" w:rsidP="00DA6357">
      <w:pPr>
        <w:rPr>
          <w:rFonts w:eastAsia="Arial" w:cs="Arial"/>
          <w:b/>
          <w:bCs/>
          <w:szCs w:val="20"/>
        </w:rPr>
      </w:pPr>
      <w:r w:rsidRPr="00DA6357">
        <w:rPr>
          <w:rFonts w:eastAsia="Arial" w:cs="Arial"/>
          <w:b/>
          <w:bCs/>
          <w:szCs w:val="20"/>
        </w:rPr>
        <w:t>K 1</w:t>
      </w:r>
      <w:r w:rsidR="00754213">
        <w:rPr>
          <w:rFonts w:eastAsia="Arial" w:cs="Arial"/>
          <w:b/>
          <w:bCs/>
          <w:szCs w:val="20"/>
        </w:rPr>
        <w:t>4</w:t>
      </w:r>
      <w:r w:rsidRPr="00DA6357">
        <w:rPr>
          <w:rFonts w:eastAsia="Arial" w:cs="Arial"/>
          <w:b/>
          <w:bCs/>
          <w:szCs w:val="20"/>
        </w:rPr>
        <w:t>. členu (ukrepi v primeru neizpolnjevanja</w:t>
      </w:r>
      <w:r w:rsidR="003D14F5">
        <w:rPr>
          <w:rFonts w:eastAsia="Arial" w:cs="Arial"/>
          <w:b/>
          <w:bCs/>
          <w:szCs w:val="20"/>
        </w:rPr>
        <w:t xml:space="preserve"> obveznosti prejemnika spodbude</w:t>
      </w:r>
      <w:r w:rsidRPr="00DA6357">
        <w:rPr>
          <w:rFonts w:eastAsia="Arial" w:cs="Arial"/>
          <w:b/>
          <w:bCs/>
          <w:szCs w:val="20"/>
        </w:rPr>
        <w:t>)</w:t>
      </w:r>
    </w:p>
    <w:p w14:paraId="4F2EA24B" w14:textId="4ED76B79" w:rsidR="00DA6357" w:rsidRPr="00DA6357" w:rsidRDefault="00006BE3" w:rsidP="00DA6357">
      <w:pPr>
        <w:rPr>
          <w:rFonts w:eastAsia="Arial" w:cs="Arial"/>
          <w:szCs w:val="20"/>
        </w:rPr>
      </w:pPr>
      <w:r>
        <w:rPr>
          <w:rFonts w:eastAsia="Arial" w:cs="Arial"/>
          <w:szCs w:val="20"/>
        </w:rPr>
        <w:t>Ta</w:t>
      </w:r>
      <w:r w:rsidR="00DA6357" w:rsidRPr="00DA6357">
        <w:rPr>
          <w:rFonts w:eastAsia="Arial" w:cs="Arial"/>
          <w:szCs w:val="20"/>
        </w:rPr>
        <w:t xml:space="preserve"> člen je ključen za resnost naložbenih zavez in omogoča tudi delno vračilo sredstev glede na dejansko neizpolnitev, ker določa posledice neizpolnjevanja napovedi porabe ali naložbenih zavez.</w:t>
      </w:r>
    </w:p>
    <w:p w14:paraId="6F82C1A4" w14:textId="5F1E7BB3" w:rsidR="00942FDC" w:rsidRDefault="00AA1B79" w:rsidP="00DA6357">
      <w:pPr>
        <w:rPr>
          <w:rFonts w:eastAsia="Arial" w:cs="Arial"/>
          <w:szCs w:val="20"/>
        </w:rPr>
      </w:pPr>
      <w:r>
        <w:rPr>
          <w:rFonts w:eastAsia="Arial" w:cs="Arial"/>
          <w:szCs w:val="20"/>
        </w:rPr>
        <w:lastRenderedPageBreak/>
        <w:t>Ker gre za javna sredstva, je njihova poraba</w:t>
      </w:r>
      <w:r>
        <w:rPr>
          <w:rFonts w:eastAsia="Arial" w:cs="Arial"/>
          <w:szCs w:val="20"/>
        </w:rPr>
        <w:t xml:space="preserve"> podvržena različnim kontrolam.</w:t>
      </w:r>
      <w:r w:rsidRPr="00DA6357">
        <w:rPr>
          <w:rFonts w:eastAsia="Arial" w:cs="Arial"/>
          <w:szCs w:val="20"/>
        </w:rPr>
        <w:t xml:space="preserve"> </w:t>
      </w:r>
      <w:r w:rsidR="00DA6357" w:rsidRPr="00DA6357">
        <w:rPr>
          <w:rFonts w:eastAsia="Arial" w:cs="Arial"/>
          <w:szCs w:val="20"/>
        </w:rPr>
        <w:t xml:space="preserve">Operater trga mora na podlagi poročil upravičencev, izvedenih revizij ali ugotovitev inšpekcije ves čas preverjati ali je bila dodeljena previsoka spodbuda npr. zaradi manjše dejanske porabe električne energije ali neporabe električne energije za upravičene namene. Spremljati mora ali je upravičenec izpolnil zaveze iz svojega naložbenega načrta. </w:t>
      </w:r>
      <w:r w:rsidR="00942FDC">
        <w:rPr>
          <w:rFonts w:eastAsia="Arial" w:cs="Arial"/>
          <w:szCs w:val="20"/>
        </w:rPr>
        <w:t>N</w:t>
      </w:r>
      <w:r w:rsidR="00942FDC" w:rsidRPr="00942FDC">
        <w:rPr>
          <w:rFonts w:eastAsia="Arial" w:cs="Arial"/>
          <w:szCs w:val="20"/>
        </w:rPr>
        <w:t>eupravičeno izplačane spodbude</w:t>
      </w:r>
      <w:r w:rsidR="00942FDC" w:rsidRPr="00942FDC">
        <w:rPr>
          <w:rFonts w:eastAsia="Arial" w:cs="Arial"/>
          <w:szCs w:val="20"/>
        </w:rPr>
        <w:t xml:space="preserve"> </w:t>
      </w:r>
      <w:r w:rsidR="00942FDC" w:rsidRPr="00942FDC">
        <w:rPr>
          <w:rFonts w:eastAsia="Arial" w:cs="Arial"/>
          <w:szCs w:val="20"/>
        </w:rPr>
        <w:t>je potrebno z odločbo operaterja trga naložiti vračilo neupravičeno izplačane spodbude</w:t>
      </w:r>
    </w:p>
    <w:p w14:paraId="47504974" w14:textId="05D5BA4D" w:rsidR="00DA6357" w:rsidRPr="00DA6357" w:rsidRDefault="00DA6357" w:rsidP="00DA6357">
      <w:pPr>
        <w:rPr>
          <w:rFonts w:eastAsia="Arial" w:cs="Arial"/>
          <w:szCs w:val="20"/>
        </w:rPr>
      </w:pPr>
      <w:r w:rsidRPr="00DA6357">
        <w:rPr>
          <w:rFonts w:eastAsia="Arial" w:cs="Arial"/>
          <w:szCs w:val="20"/>
        </w:rPr>
        <w:t>V primeru zamud pri izvajanju naložb mora operater trga upravičenca pozvati k pripravi in posredovanju novega terminskega načrta, s katerim bo mogoče zagotoviti dokončanje napovedanih trajnostnih naložb najpozneje do 31. decembra 2032.</w:t>
      </w:r>
    </w:p>
    <w:p w14:paraId="6E1EC0AE" w14:textId="48E95BDB" w:rsidR="00DA6357" w:rsidRPr="00DA6357" w:rsidRDefault="00DA6357" w:rsidP="00DA6357">
      <w:pPr>
        <w:rPr>
          <w:rFonts w:eastAsia="Arial" w:cs="Arial"/>
          <w:szCs w:val="20"/>
        </w:rPr>
      </w:pPr>
      <w:r w:rsidRPr="00DA6357">
        <w:rPr>
          <w:rFonts w:eastAsia="Arial" w:cs="Arial"/>
          <w:szCs w:val="20"/>
        </w:rPr>
        <w:t>Če bo operater trga pri ponovnem nadzoru ugotovil, da naložbe niso bile dokončane, bo moral ugotoviti delež neizpolnitve in zaračunati zamudne obresti na sorazmerni del neupravičeno prejete spodbude.</w:t>
      </w:r>
      <w:r w:rsidR="00394FB5">
        <w:rPr>
          <w:rFonts w:eastAsia="Arial" w:cs="Arial"/>
          <w:szCs w:val="20"/>
        </w:rPr>
        <w:t xml:space="preserve"> Zamudne obresti začnejo teči po poteku roka, ki ga je operater trga določil za vrnitev preveč plačane spodbude.</w:t>
      </w:r>
    </w:p>
    <w:p w14:paraId="2CD2BD03" w14:textId="77777777" w:rsidR="00DA6357" w:rsidRPr="00DA6357" w:rsidRDefault="00DA6357" w:rsidP="00DA6357">
      <w:pPr>
        <w:rPr>
          <w:rFonts w:eastAsia="Arial" w:cs="Arial"/>
          <w:b/>
          <w:bCs/>
          <w:szCs w:val="20"/>
        </w:rPr>
      </w:pPr>
    </w:p>
    <w:p w14:paraId="2BA9E1DA" w14:textId="0EF7E682" w:rsidR="00DA6357" w:rsidRPr="00DA6357" w:rsidRDefault="00DA6357" w:rsidP="00DA6357">
      <w:pPr>
        <w:rPr>
          <w:rFonts w:eastAsia="Arial" w:cs="Arial"/>
          <w:b/>
          <w:bCs/>
          <w:szCs w:val="20"/>
        </w:rPr>
      </w:pPr>
      <w:r w:rsidRPr="00DA6357">
        <w:rPr>
          <w:rFonts w:eastAsia="Arial" w:cs="Arial"/>
          <w:b/>
          <w:bCs/>
          <w:szCs w:val="20"/>
        </w:rPr>
        <w:t>K 1</w:t>
      </w:r>
      <w:r w:rsidR="00754213">
        <w:rPr>
          <w:rFonts w:eastAsia="Arial" w:cs="Arial"/>
          <w:b/>
          <w:bCs/>
          <w:szCs w:val="20"/>
        </w:rPr>
        <w:t>5</w:t>
      </w:r>
      <w:r w:rsidRPr="00DA6357">
        <w:rPr>
          <w:rFonts w:eastAsia="Arial" w:cs="Arial"/>
          <w:b/>
          <w:bCs/>
          <w:szCs w:val="20"/>
        </w:rPr>
        <w:t>. členu (nadzor)</w:t>
      </w:r>
    </w:p>
    <w:p w14:paraId="2F4A1FCB" w14:textId="56247757" w:rsidR="00DA6357" w:rsidRPr="00DA6357" w:rsidRDefault="00754213" w:rsidP="00DA6357">
      <w:pPr>
        <w:rPr>
          <w:rFonts w:eastAsia="Arial" w:cs="Arial"/>
          <w:szCs w:val="20"/>
        </w:rPr>
      </w:pPr>
      <w:r>
        <w:rPr>
          <w:rFonts w:eastAsia="Arial" w:cs="Arial"/>
          <w:szCs w:val="20"/>
        </w:rPr>
        <w:t>Ta</w:t>
      </w:r>
      <w:r w:rsidR="00DA6357" w:rsidRPr="00DA6357">
        <w:rPr>
          <w:rFonts w:eastAsia="Arial" w:cs="Arial"/>
          <w:szCs w:val="20"/>
        </w:rPr>
        <w:t xml:space="preserve"> člen določa, da inšpektorat, pristojen za energijo, izvaja nadzor nad izpolnjevanjem obveznosti upravičencev po tem zakonu in upravičenostjo porabe sredstev skladno z odločbami o spodbudah.</w:t>
      </w:r>
    </w:p>
    <w:p w14:paraId="49B2800B" w14:textId="77777777" w:rsidR="00DA6357" w:rsidRPr="00DA6357" w:rsidRDefault="00DA6357" w:rsidP="00DA6357">
      <w:pPr>
        <w:rPr>
          <w:rFonts w:eastAsia="Arial" w:cs="Arial"/>
          <w:szCs w:val="20"/>
        </w:rPr>
      </w:pPr>
      <w:r w:rsidRPr="00DA6357">
        <w:rPr>
          <w:rFonts w:eastAsia="Arial" w:cs="Arial"/>
          <w:szCs w:val="20"/>
        </w:rPr>
        <w:t>S tem se naloge nadzora povezujejo z že obstoječo pristojnostjo na področju energetike, kar omogoča učinkovito izvajanje nadzora nad porabo električne energije, izpolnjevanjem pogojev in pravilno porabo spodbud.</w:t>
      </w:r>
    </w:p>
    <w:p w14:paraId="5FE702E8" w14:textId="77777777" w:rsidR="00DA6357" w:rsidRPr="00DA6357" w:rsidRDefault="00DA6357" w:rsidP="00DA6357">
      <w:pPr>
        <w:rPr>
          <w:rFonts w:eastAsia="Arial" w:cs="Arial"/>
          <w:szCs w:val="20"/>
        </w:rPr>
      </w:pPr>
    </w:p>
    <w:p w14:paraId="3C67611D" w14:textId="6B52D226" w:rsidR="00DA6357" w:rsidRPr="00DA6357" w:rsidRDefault="00DA6357" w:rsidP="00DA6357">
      <w:pPr>
        <w:rPr>
          <w:rFonts w:eastAsia="Arial" w:cs="Arial"/>
          <w:b/>
          <w:bCs/>
          <w:szCs w:val="20"/>
        </w:rPr>
      </w:pPr>
      <w:r w:rsidRPr="00DA6357">
        <w:rPr>
          <w:rFonts w:eastAsia="Arial" w:cs="Arial"/>
          <w:b/>
          <w:bCs/>
          <w:szCs w:val="20"/>
        </w:rPr>
        <w:t>K 1</w:t>
      </w:r>
      <w:r w:rsidR="009E1640">
        <w:rPr>
          <w:rFonts w:eastAsia="Arial" w:cs="Arial"/>
          <w:b/>
          <w:bCs/>
          <w:szCs w:val="20"/>
        </w:rPr>
        <w:t>6</w:t>
      </w:r>
      <w:r w:rsidRPr="00DA6357">
        <w:rPr>
          <w:rFonts w:eastAsia="Arial" w:cs="Arial"/>
          <w:b/>
          <w:bCs/>
          <w:szCs w:val="20"/>
        </w:rPr>
        <w:t>. členu (</w:t>
      </w:r>
      <w:r w:rsidR="00134175">
        <w:rPr>
          <w:rFonts w:eastAsia="Arial" w:cs="Arial"/>
          <w:b/>
          <w:bCs/>
          <w:szCs w:val="20"/>
        </w:rPr>
        <w:t xml:space="preserve">vodenje evidence, objava podatkov in </w:t>
      </w:r>
      <w:r w:rsidRPr="00DA6357">
        <w:rPr>
          <w:rFonts w:eastAsia="Arial" w:cs="Arial"/>
          <w:b/>
          <w:bCs/>
          <w:szCs w:val="20"/>
        </w:rPr>
        <w:t>poročanje)</w:t>
      </w:r>
    </w:p>
    <w:p w14:paraId="65055F6A" w14:textId="77777777" w:rsidR="00DA6357" w:rsidRPr="00DA6357" w:rsidRDefault="00DA6357" w:rsidP="00DA6357">
      <w:pPr>
        <w:rPr>
          <w:rFonts w:eastAsia="Arial" w:cs="Arial"/>
          <w:szCs w:val="20"/>
        </w:rPr>
      </w:pPr>
      <w:r w:rsidRPr="00DA6357">
        <w:rPr>
          <w:rFonts w:eastAsia="Arial" w:cs="Arial"/>
          <w:szCs w:val="20"/>
        </w:rPr>
        <w:t xml:space="preserve">Z določbami tega člena zakon omogoča izpolnjevanje obveznosti poročanja o državnih pomočeh v skladu s pravom EU ter prispeva k javni preglednosti porabe sredstev in učinkov ukrepa. </w:t>
      </w:r>
    </w:p>
    <w:p w14:paraId="1A2A4319" w14:textId="77777777" w:rsidR="00DA6357" w:rsidRPr="00DA6357" w:rsidRDefault="00DA6357" w:rsidP="00DA6357">
      <w:pPr>
        <w:rPr>
          <w:rFonts w:eastAsia="Arial" w:cs="Arial"/>
          <w:szCs w:val="20"/>
        </w:rPr>
      </w:pPr>
      <w:r w:rsidRPr="00DA6357">
        <w:rPr>
          <w:rFonts w:eastAsia="Arial" w:cs="Arial"/>
          <w:szCs w:val="20"/>
        </w:rPr>
        <w:t>Podrobneje se ureja podatkovni in poročevalski vidik državnih pomoči. Operater trga mora voditi evidenco dodeljenih spodbud in na svoji spletni strani objavljati pregleden seznam upravičencev in zneskov letnih prejetih spodbud, s čimer se zagotavlja transparentnost.</w:t>
      </w:r>
    </w:p>
    <w:p w14:paraId="625CC489" w14:textId="77777777" w:rsidR="00DA6357" w:rsidRPr="00DA6357" w:rsidRDefault="00DA6357" w:rsidP="00DA6357">
      <w:pPr>
        <w:rPr>
          <w:rFonts w:eastAsia="Arial" w:cs="Arial"/>
          <w:szCs w:val="20"/>
        </w:rPr>
      </w:pPr>
      <w:r w:rsidRPr="00DA6357">
        <w:rPr>
          <w:rFonts w:eastAsia="Arial" w:cs="Arial"/>
          <w:szCs w:val="20"/>
        </w:rPr>
        <w:t>Na podlagi zbranih podatkov mora operater trga pripravljati letna poročila o podeljenih pomočeh po tem zakonu za ministrstvo, pristojno za finance.</w:t>
      </w:r>
    </w:p>
    <w:p w14:paraId="1BECAD4A" w14:textId="77777777" w:rsidR="00DA6357" w:rsidRPr="00DA6357" w:rsidRDefault="00DA6357" w:rsidP="00ED3982">
      <w:pPr>
        <w:spacing w:after="0"/>
        <w:rPr>
          <w:rFonts w:eastAsia="Arial" w:cs="Arial"/>
          <w:szCs w:val="20"/>
        </w:rPr>
      </w:pPr>
      <w:r w:rsidRPr="00DA6357">
        <w:rPr>
          <w:rFonts w:eastAsia="Arial" w:cs="Arial"/>
          <w:szCs w:val="20"/>
        </w:rPr>
        <w:t>Po zakonu bo moral operater trga do realizacije zadnjega naložbenega načrta objavljati tudi letno poročilo o naložbenih ukrepih in doseženih rezultatih razogljičenja.</w:t>
      </w:r>
    </w:p>
    <w:p w14:paraId="3758E5CF" w14:textId="77777777" w:rsidR="00DA6357" w:rsidRPr="00DA6357" w:rsidRDefault="00DA6357" w:rsidP="00ED3982">
      <w:pPr>
        <w:rPr>
          <w:rFonts w:eastAsia="Arial" w:cs="Arial"/>
          <w:szCs w:val="20"/>
        </w:rPr>
      </w:pPr>
    </w:p>
    <w:p w14:paraId="687507B8" w14:textId="2904A986" w:rsidR="00DA6357" w:rsidRPr="00DA6357" w:rsidRDefault="00DA6357" w:rsidP="00ED3982">
      <w:pPr>
        <w:rPr>
          <w:rFonts w:eastAsia="Arial" w:cs="Arial"/>
          <w:b/>
          <w:bCs/>
          <w:szCs w:val="20"/>
        </w:rPr>
      </w:pPr>
      <w:r w:rsidRPr="00DA6357">
        <w:rPr>
          <w:rFonts w:eastAsia="Arial" w:cs="Arial"/>
          <w:b/>
          <w:bCs/>
          <w:szCs w:val="20"/>
        </w:rPr>
        <w:t>K 1</w:t>
      </w:r>
      <w:r w:rsidR="00746186">
        <w:rPr>
          <w:rFonts w:eastAsia="Arial" w:cs="Arial"/>
          <w:b/>
          <w:bCs/>
          <w:szCs w:val="20"/>
        </w:rPr>
        <w:t>7</w:t>
      </w:r>
      <w:r w:rsidRPr="00DA6357">
        <w:rPr>
          <w:rFonts w:eastAsia="Arial" w:cs="Arial"/>
          <w:b/>
          <w:bCs/>
          <w:szCs w:val="20"/>
        </w:rPr>
        <w:t>. členu (prekrški)</w:t>
      </w:r>
    </w:p>
    <w:p w14:paraId="6CB60FA8" w14:textId="7B436FD9" w:rsidR="00DA6357" w:rsidRPr="00DA6357" w:rsidRDefault="00DA6357" w:rsidP="00ED3982">
      <w:pPr>
        <w:rPr>
          <w:rFonts w:eastAsia="Arial" w:cs="Arial"/>
          <w:szCs w:val="20"/>
        </w:rPr>
      </w:pPr>
      <w:r w:rsidRPr="00DA6357">
        <w:rPr>
          <w:rFonts w:eastAsia="Arial" w:cs="Arial"/>
          <w:szCs w:val="20"/>
        </w:rPr>
        <w:t>V tem členu je določen prekršek za</w:t>
      </w:r>
      <w:r w:rsidR="006A7170">
        <w:rPr>
          <w:rFonts w:eastAsia="Arial" w:cs="Arial"/>
          <w:szCs w:val="20"/>
        </w:rPr>
        <w:t xml:space="preserve"> opustitev dolžnosti poročanja.</w:t>
      </w:r>
    </w:p>
    <w:p w14:paraId="1F839CDD" w14:textId="77777777" w:rsidR="00DA6357" w:rsidRPr="00DA6357" w:rsidRDefault="00DA6357" w:rsidP="00ED3982">
      <w:pPr>
        <w:rPr>
          <w:rFonts w:eastAsia="Arial" w:cs="Arial"/>
          <w:szCs w:val="20"/>
        </w:rPr>
      </w:pPr>
    </w:p>
    <w:p w14:paraId="17259571" w14:textId="5E3860C3" w:rsidR="00DA6357" w:rsidRPr="00DA6357" w:rsidRDefault="00DA6357" w:rsidP="00ED3982">
      <w:pPr>
        <w:rPr>
          <w:rFonts w:eastAsia="Arial" w:cs="Arial"/>
          <w:b/>
          <w:bCs/>
          <w:szCs w:val="20"/>
        </w:rPr>
      </w:pPr>
      <w:r w:rsidRPr="00DA6357">
        <w:rPr>
          <w:rFonts w:eastAsia="Arial" w:cs="Arial"/>
          <w:b/>
          <w:bCs/>
          <w:szCs w:val="20"/>
        </w:rPr>
        <w:t>K 1</w:t>
      </w:r>
      <w:r w:rsidR="00ED3982">
        <w:rPr>
          <w:rFonts w:eastAsia="Arial" w:cs="Arial"/>
          <w:b/>
          <w:bCs/>
          <w:szCs w:val="20"/>
        </w:rPr>
        <w:t>8.</w:t>
      </w:r>
      <w:r w:rsidRPr="00DA6357">
        <w:rPr>
          <w:rFonts w:eastAsia="Arial" w:cs="Arial"/>
          <w:b/>
          <w:bCs/>
          <w:szCs w:val="20"/>
        </w:rPr>
        <w:t xml:space="preserve"> členu (višina globe v hitrem prekrškovnem postopku)</w:t>
      </w:r>
    </w:p>
    <w:p w14:paraId="17E2CAA6" w14:textId="1346A219" w:rsidR="00DA6357" w:rsidRPr="00DA6357" w:rsidRDefault="0089106A" w:rsidP="00ED3982">
      <w:pPr>
        <w:rPr>
          <w:rFonts w:eastAsia="Arial" w:cs="Arial"/>
          <w:szCs w:val="20"/>
        </w:rPr>
      </w:pPr>
      <w:r>
        <w:rPr>
          <w:rFonts w:eastAsia="Arial" w:cs="Arial"/>
          <w:szCs w:val="20"/>
        </w:rPr>
        <w:t xml:space="preserve">Ta </w:t>
      </w:r>
      <w:r w:rsidR="00DA6357" w:rsidRPr="00DA6357">
        <w:rPr>
          <w:rFonts w:eastAsia="Arial" w:cs="Arial"/>
          <w:szCs w:val="20"/>
        </w:rPr>
        <w:t>člen omogoča, da se za prekrške iz tega zakona v hitrem prekrškovnem postopku izreče tudi globa, ki je višja od najnižje predpisane.</w:t>
      </w:r>
    </w:p>
    <w:p w14:paraId="7284F76D" w14:textId="77777777" w:rsidR="00DA6357" w:rsidRPr="00DA6357" w:rsidRDefault="00DA6357" w:rsidP="00ED3982">
      <w:pPr>
        <w:rPr>
          <w:rFonts w:eastAsia="Arial" w:cs="Arial"/>
          <w:szCs w:val="20"/>
        </w:rPr>
      </w:pPr>
      <w:r w:rsidRPr="00DA6357">
        <w:rPr>
          <w:rFonts w:eastAsia="Arial" w:cs="Arial"/>
          <w:szCs w:val="20"/>
        </w:rPr>
        <w:t>Ta določba povečuje odvračilni učinek sankcij, saj ne omejuje organov samo na minimalno globo, tudi kadar okoliščine primera utemeljujejo izrek višje globe, čeprav se postopek vodi po hitrem postopku.</w:t>
      </w:r>
    </w:p>
    <w:p w14:paraId="7215087B" w14:textId="77777777" w:rsidR="00DA6357" w:rsidRPr="00DA6357" w:rsidRDefault="00DA6357" w:rsidP="00DA6357">
      <w:pPr>
        <w:rPr>
          <w:rFonts w:eastAsia="Arial" w:cs="Arial"/>
          <w:szCs w:val="20"/>
        </w:rPr>
      </w:pPr>
    </w:p>
    <w:p w14:paraId="2BF34880" w14:textId="3485A4FC" w:rsidR="00DA6357" w:rsidRPr="00DA6357" w:rsidRDefault="00DA6357" w:rsidP="00DA6357">
      <w:pPr>
        <w:rPr>
          <w:rFonts w:eastAsia="Arial" w:cs="Arial"/>
          <w:b/>
          <w:bCs/>
          <w:szCs w:val="20"/>
        </w:rPr>
      </w:pPr>
      <w:r w:rsidRPr="00DA6357">
        <w:rPr>
          <w:rFonts w:eastAsia="Arial" w:cs="Arial"/>
          <w:b/>
          <w:bCs/>
          <w:szCs w:val="20"/>
        </w:rPr>
        <w:t>K 1</w:t>
      </w:r>
      <w:r w:rsidR="00ED3982">
        <w:rPr>
          <w:rFonts w:eastAsia="Arial" w:cs="Arial"/>
          <w:b/>
          <w:bCs/>
          <w:szCs w:val="20"/>
        </w:rPr>
        <w:t>9</w:t>
      </w:r>
      <w:r w:rsidRPr="00DA6357">
        <w:rPr>
          <w:rFonts w:eastAsia="Arial" w:cs="Arial"/>
          <w:b/>
          <w:bCs/>
          <w:szCs w:val="20"/>
        </w:rPr>
        <w:t>. členu (trajanje ukrepa)</w:t>
      </w:r>
    </w:p>
    <w:p w14:paraId="2F312D0B" w14:textId="4B486133" w:rsidR="00DA6357" w:rsidRPr="00DA6357" w:rsidRDefault="00DA6357" w:rsidP="00DA6357">
      <w:pPr>
        <w:rPr>
          <w:rFonts w:eastAsia="Arial" w:cs="Arial"/>
          <w:szCs w:val="20"/>
        </w:rPr>
      </w:pPr>
      <w:r w:rsidRPr="00DA6357">
        <w:rPr>
          <w:rFonts w:eastAsia="Arial" w:cs="Arial"/>
          <w:szCs w:val="20"/>
        </w:rPr>
        <w:t>Ta člen je pomemben z vidika časovne omejenosti državne pomoči, kot jo terja CISAF</w:t>
      </w:r>
      <w:r w:rsidR="00ED3982">
        <w:rPr>
          <w:rFonts w:eastAsia="Arial" w:cs="Arial"/>
          <w:szCs w:val="20"/>
        </w:rPr>
        <w:t>. Ukrep se izvaja do 31. decembra 2028.</w:t>
      </w:r>
    </w:p>
    <w:p w14:paraId="26C2F44E" w14:textId="77777777" w:rsidR="000708BC" w:rsidRDefault="000708BC" w:rsidP="00DA6357">
      <w:pPr>
        <w:rPr>
          <w:rFonts w:eastAsia="Arial" w:cs="Arial"/>
          <w:szCs w:val="20"/>
        </w:rPr>
      </w:pPr>
    </w:p>
    <w:p w14:paraId="79BFD83F" w14:textId="0DC876FB" w:rsidR="000708BC" w:rsidRPr="000708BC" w:rsidRDefault="000708BC" w:rsidP="00DA6357">
      <w:pPr>
        <w:rPr>
          <w:rFonts w:eastAsia="Arial" w:cs="Arial"/>
          <w:b/>
          <w:bCs/>
          <w:szCs w:val="20"/>
        </w:rPr>
      </w:pPr>
      <w:r w:rsidRPr="000708BC">
        <w:rPr>
          <w:rFonts w:eastAsia="Arial" w:cs="Arial"/>
          <w:b/>
          <w:bCs/>
          <w:szCs w:val="20"/>
        </w:rPr>
        <w:lastRenderedPageBreak/>
        <w:t>K 20. členu (prehodna določba glede sklepa vlade)</w:t>
      </w:r>
    </w:p>
    <w:p w14:paraId="2A21CE8A" w14:textId="7A584A0D" w:rsidR="001E62FA" w:rsidRDefault="000708BC" w:rsidP="00DA6357">
      <w:pPr>
        <w:rPr>
          <w:rFonts w:eastAsia="Arial" w:cs="Arial"/>
          <w:szCs w:val="20"/>
        </w:rPr>
      </w:pPr>
      <w:r>
        <w:rPr>
          <w:rFonts w:eastAsia="Arial" w:cs="Arial"/>
          <w:szCs w:val="20"/>
        </w:rPr>
        <w:t>V tem členu je določeno, da vlada prvič s sklepom določbi razpoložljiv znesek in najvišjo spodbudo za električno energijo</w:t>
      </w:r>
      <w:r w:rsidR="003925BB">
        <w:rPr>
          <w:rFonts w:eastAsia="Arial" w:cs="Arial"/>
          <w:szCs w:val="20"/>
        </w:rPr>
        <w:t xml:space="preserve"> v letu 2026 najkasneje v tridesetih dneh </w:t>
      </w:r>
      <w:r w:rsidR="003925BB" w:rsidRPr="003925BB">
        <w:rPr>
          <w:rFonts w:eastAsia="Arial" w:cs="Arial"/>
          <w:szCs w:val="20"/>
        </w:rPr>
        <w:t>od pridobitve pozitivne odločbe Evropske komisije o združljivosti sheme pomoči z notranjim trgom Evropske unije</w:t>
      </w:r>
      <w:r w:rsidR="003925BB">
        <w:rPr>
          <w:rFonts w:eastAsia="Arial" w:cs="Arial"/>
          <w:szCs w:val="20"/>
        </w:rPr>
        <w:t>.</w:t>
      </w:r>
    </w:p>
    <w:p w14:paraId="191175C8" w14:textId="77777777" w:rsidR="003A72B6" w:rsidRDefault="003A72B6" w:rsidP="00DA6357">
      <w:pPr>
        <w:rPr>
          <w:rFonts w:eastAsia="Arial" w:cs="Arial"/>
          <w:szCs w:val="20"/>
        </w:rPr>
      </w:pPr>
    </w:p>
    <w:p w14:paraId="239E3AF1" w14:textId="681841CF" w:rsidR="001E62FA" w:rsidRPr="001E62FA" w:rsidRDefault="001E62FA" w:rsidP="00DA6357">
      <w:pPr>
        <w:rPr>
          <w:rFonts w:eastAsia="Arial" w:cs="Arial"/>
          <w:b/>
          <w:bCs/>
          <w:szCs w:val="20"/>
        </w:rPr>
      </w:pPr>
      <w:r w:rsidRPr="001E62FA">
        <w:rPr>
          <w:rFonts w:eastAsia="Arial" w:cs="Arial"/>
          <w:b/>
          <w:bCs/>
          <w:szCs w:val="20"/>
        </w:rPr>
        <w:t>K 21. členu (prehodna določba glede poročanja prejemnika spodbude)</w:t>
      </w:r>
    </w:p>
    <w:p w14:paraId="2DF419AA" w14:textId="1DF69B2B" w:rsidR="00DA6357" w:rsidRDefault="001E62FA" w:rsidP="00DA6357">
      <w:pPr>
        <w:rPr>
          <w:rFonts w:eastAsia="Arial" w:cs="Arial"/>
          <w:szCs w:val="20"/>
        </w:rPr>
      </w:pPr>
      <w:r>
        <w:rPr>
          <w:rFonts w:eastAsia="Arial" w:cs="Arial"/>
          <w:szCs w:val="20"/>
        </w:rPr>
        <w:t>Ta člen ureja, do kdaj mora p</w:t>
      </w:r>
      <w:r w:rsidRPr="001E62FA">
        <w:rPr>
          <w:rFonts w:eastAsia="Arial" w:cs="Arial"/>
          <w:szCs w:val="20"/>
        </w:rPr>
        <w:t>rejemnik spodbude operaterju trga zadnjič poroča</w:t>
      </w:r>
      <w:r>
        <w:rPr>
          <w:rFonts w:eastAsia="Arial" w:cs="Arial"/>
          <w:szCs w:val="20"/>
        </w:rPr>
        <w:t>ti</w:t>
      </w:r>
      <w:r w:rsidRPr="001E62FA">
        <w:rPr>
          <w:rFonts w:eastAsia="Arial" w:cs="Arial"/>
          <w:szCs w:val="20"/>
        </w:rPr>
        <w:t xml:space="preserve"> na podlagi 13. člena tega zakona</w:t>
      </w:r>
      <w:r>
        <w:rPr>
          <w:rFonts w:eastAsia="Arial" w:cs="Arial"/>
          <w:szCs w:val="20"/>
        </w:rPr>
        <w:t>, in sicer</w:t>
      </w:r>
      <w:r w:rsidRPr="001E62FA">
        <w:rPr>
          <w:rFonts w:eastAsia="Arial" w:cs="Arial"/>
          <w:szCs w:val="20"/>
        </w:rPr>
        <w:t xml:space="preserve"> najkasneje do 1. aprila 2029 o porabi električne energije, o izvajanju naložb pa najkasneje do 1. aprila 2033</w:t>
      </w:r>
      <w:r w:rsidR="003269B8">
        <w:rPr>
          <w:rFonts w:eastAsia="Arial" w:cs="Arial"/>
          <w:szCs w:val="20"/>
        </w:rPr>
        <w:t xml:space="preserve">. </w:t>
      </w:r>
    </w:p>
    <w:p w14:paraId="78296C80" w14:textId="77777777" w:rsidR="00DB4F66" w:rsidRDefault="00DB4F66" w:rsidP="00DA6357">
      <w:pPr>
        <w:rPr>
          <w:rFonts w:eastAsia="Arial" w:cs="Arial"/>
          <w:b/>
          <w:bCs/>
          <w:szCs w:val="20"/>
        </w:rPr>
      </w:pPr>
    </w:p>
    <w:p w14:paraId="77883029" w14:textId="4836C4D1" w:rsidR="0089106A" w:rsidRPr="0089106A" w:rsidRDefault="0089106A" w:rsidP="00DA6357">
      <w:pPr>
        <w:rPr>
          <w:rFonts w:eastAsia="Arial" w:cs="Arial"/>
          <w:b/>
          <w:bCs/>
          <w:szCs w:val="20"/>
        </w:rPr>
      </w:pPr>
      <w:r w:rsidRPr="0089106A">
        <w:rPr>
          <w:rFonts w:eastAsia="Arial" w:cs="Arial"/>
          <w:b/>
          <w:bCs/>
          <w:szCs w:val="20"/>
        </w:rPr>
        <w:t>K 2</w:t>
      </w:r>
      <w:r w:rsidR="00D36886">
        <w:rPr>
          <w:rFonts w:eastAsia="Arial" w:cs="Arial"/>
          <w:b/>
          <w:bCs/>
          <w:szCs w:val="20"/>
        </w:rPr>
        <w:t>2</w:t>
      </w:r>
      <w:r w:rsidRPr="0089106A">
        <w:rPr>
          <w:rFonts w:eastAsia="Arial" w:cs="Arial"/>
          <w:b/>
          <w:bCs/>
          <w:szCs w:val="20"/>
        </w:rPr>
        <w:t>. členu (uporaba zakona za namen poročanja, za obveznosti ter vračila)</w:t>
      </w:r>
    </w:p>
    <w:p w14:paraId="4C68DF2B" w14:textId="4D0932A8" w:rsidR="0089106A" w:rsidRDefault="0089106A" w:rsidP="00DA6357">
      <w:pPr>
        <w:rPr>
          <w:rFonts w:eastAsia="Arial" w:cs="Arial"/>
          <w:szCs w:val="20"/>
        </w:rPr>
      </w:pPr>
      <w:r>
        <w:rPr>
          <w:rFonts w:eastAsia="Arial" w:cs="Arial"/>
          <w:szCs w:val="20"/>
        </w:rPr>
        <w:t>Ta člen določa, da se zakon uporablja do 31. decembra 2033 za namene poročanja, za vse ostale obveznosti in za vračila neupravičeno prejete spodbude, pa se uporablja do 31. decembra 2037.</w:t>
      </w:r>
    </w:p>
    <w:p w14:paraId="35B1CC86" w14:textId="2CD78333" w:rsidR="0089106A" w:rsidRPr="00DA6357" w:rsidRDefault="0089106A" w:rsidP="00DA6357">
      <w:pPr>
        <w:rPr>
          <w:rFonts w:eastAsia="Arial" w:cs="Arial"/>
          <w:szCs w:val="20"/>
        </w:rPr>
      </w:pPr>
    </w:p>
    <w:p w14:paraId="088969F3" w14:textId="526A94DB" w:rsidR="00DA6357" w:rsidRPr="00DA6357" w:rsidRDefault="00DA6357" w:rsidP="00DA6357">
      <w:pPr>
        <w:rPr>
          <w:rFonts w:eastAsia="Arial" w:cs="Arial"/>
          <w:b/>
          <w:bCs/>
          <w:szCs w:val="20"/>
        </w:rPr>
      </w:pPr>
      <w:r w:rsidRPr="00DA6357">
        <w:rPr>
          <w:rFonts w:eastAsia="Arial" w:cs="Arial"/>
          <w:b/>
          <w:bCs/>
          <w:szCs w:val="20"/>
        </w:rPr>
        <w:t>K 2</w:t>
      </w:r>
      <w:r w:rsidR="00D36886">
        <w:rPr>
          <w:rFonts w:eastAsia="Arial" w:cs="Arial"/>
          <w:b/>
          <w:bCs/>
          <w:szCs w:val="20"/>
        </w:rPr>
        <w:t>3</w:t>
      </w:r>
      <w:r w:rsidRPr="00DA6357">
        <w:rPr>
          <w:rFonts w:eastAsia="Arial" w:cs="Arial"/>
          <w:b/>
          <w:bCs/>
          <w:szCs w:val="20"/>
        </w:rPr>
        <w:t>. členu (začetek uporabe)</w:t>
      </w:r>
    </w:p>
    <w:p w14:paraId="2E911BAC" w14:textId="2577700B" w:rsidR="000548A5" w:rsidRDefault="002922CF" w:rsidP="004F289B">
      <w:pPr>
        <w:rPr>
          <w:rFonts w:eastAsia="Arial" w:cs="Arial"/>
          <w:szCs w:val="20"/>
        </w:rPr>
      </w:pPr>
      <w:r>
        <w:rPr>
          <w:rFonts w:eastAsia="Arial" w:cs="Arial"/>
          <w:szCs w:val="20"/>
        </w:rPr>
        <w:t xml:space="preserve">Ta člen ureja tudi začetek uporabe, in sicer se začne uporabljati </w:t>
      </w:r>
      <w:r w:rsidRPr="002922CF">
        <w:rPr>
          <w:rFonts w:eastAsia="Arial" w:cs="Arial"/>
          <w:szCs w:val="20"/>
        </w:rPr>
        <w:t xml:space="preserve">po </w:t>
      </w:r>
      <w:r w:rsidR="00BC11A5">
        <w:rPr>
          <w:rFonts w:eastAsia="Arial" w:cs="Arial"/>
          <w:szCs w:val="20"/>
        </w:rPr>
        <w:t>pridobitvi pozitivne odločbe Evropske komisije o združljivosti sheme pomoči z notranjim trgom Evropske unije.</w:t>
      </w:r>
      <w:r w:rsidR="003A4147">
        <w:rPr>
          <w:rFonts w:eastAsia="Arial" w:cs="Arial"/>
          <w:szCs w:val="20"/>
        </w:rPr>
        <w:t xml:space="preserve"> Člen določa tudi, da m</w:t>
      </w:r>
      <w:r w:rsidR="003A4147" w:rsidRPr="003A4147">
        <w:rPr>
          <w:rFonts w:eastAsia="Arial" w:cs="Arial"/>
          <w:szCs w:val="20"/>
        </w:rPr>
        <w:t>inister, pristojen za energijo, objavi naznanilo o prejetju odločbe</w:t>
      </w:r>
      <w:r w:rsidR="003A4147">
        <w:rPr>
          <w:rFonts w:eastAsia="Arial" w:cs="Arial"/>
          <w:szCs w:val="20"/>
        </w:rPr>
        <w:t xml:space="preserve"> (</w:t>
      </w:r>
      <w:r w:rsidR="003A4147" w:rsidRPr="003A4147">
        <w:rPr>
          <w:rFonts w:eastAsia="Arial" w:cs="Arial"/>
          <w:szCs w:val="20"/>
        </w:rPr>
        <w:t>odobritve sheme državne pomoči s strani Evropske komisije</w:t>
      </w:r>
      <w:r w:rsidR="003A4147">
        <w:rPr>
          <w:rFonts w:eastAsia="Arial" w:cs="Arial"/>
          <w:szCs w:val="20"/>
        </w:rPr>
        <w:t>)</w:t>
      </w:r>
      <w:r w:rsidR="00EA2287">
        <w:rPr>
          <w:rFonts w:eastAsia="Arial" w:cs="Arial"/>
          <w:szCs w:val="20"/>
        </w:rPr>
        <w:t xml:space="preserve"> v Uradnem listu Republike Slovenije</w:t>
      </w:r>
      <w:r w:rsidR="003A4147" w:rsidRPr="003A4147">
        <w:rPr>
          <w:rFonts w:eastAsia="Arial" w:cs="Arial"/>
          <w:szCs w:val="20"/>
        </w:rPr>
        <w:t>.</w:t>
      </w:r>
    </w:p>
    <w:p w14:paraId="7A36138C" w14:textId="77777777" w:rsidR="00EA2287" w:rsidRDefault="00EA2287" w:rsidP="004F289B">
      <w:pPr>
        <w:rPr>
          <w:rFonts w:eastAsia="Arial" w:cs="Arial"/>
          <w:szCs w:val="20"/>
        </w:rPr>
      </w:pPr>
    </w:p>
    <w:p w14:paraId="573CE612" w14:textId="25E511E8" w:rsidR="00EA2287" w:rsidRPr="00EA2287" w:rsidRDefault="00EA2287" w:rsidP="00EA2287">
      <w:pPr>
        <w:rPr>
          <w:rFonts w:eastAsia="Arial" w:cs="Arial"/>
          <w:b/>
          <w:bCs/>
          <w:szCs w:val="20"/>
        </w:rPr>
      </w:pPr>
      <w:r w:rsidRPr="00EA2287">
        <w:rPr>
          <w:rFonts w:eastAsia="Arial" w:cs="Arial"/>
          <w:b/>
          <w:bCs/>
          <w:szCs w:val="20"/>
        </w:rPr>
        <w:t>K 24. člen (</w:t>
      </w:r>
      <w:r w:rsidRPr="00EA2287">
        <w:rPr>
          <w:rFonts w:eastAsia="Arial" w:cs="Arial"/>
          <w:b/>
          <w:bCs/>
          <w:szCs w:val="20"/>
        </w:rPr>
        <w:t>začetek veljavnosti)</w:t>
      </w:r>
    </w:p>
    <w:p w14:paraId="0CF1EAE9" w14:textId="42C3C407" w:rsidR="00EA2287" w:rsidRPr="003A4147" w:rsidRDefault="00EA2287" w:rsidP="00EA2287">
      <w:pPr>
        <w:rPr>
          <w:rFonts w:eastAsia="Arial" w:cs="Arial"/>
          <w:szCs w:val="20"/>
        </w:rPr>
      </w:pPr>
      <w:r>
        <w:rPr>
          <w:rFonts w:eastAsia="Arial" w:cs="Arial"/>
          <w:szCs w:val="20"/>
        </w:rPr>
        <w:t>Ta člen določa veljavnost zakona, in sicer</w:t>
      </w:r>
      <w:r w:rsidRPr="00EA2287">
        <w:rPr>
          <w:rFonts w:eastAsia="Arial" w:cs="Arial"/>
          <w:szCs w:val="20"/>
        </w:rPr>
        <w:t xml:space="preserve"> začne veljati 1. januarja 2026 in velja do 30. junija 2029</w:t>
      </w:r>
      <w:r>
        <w:rPr>
          <w:rFonts w:eastAsia="Arial" w:cs="Arial"/>
          <w:szCs w:val="20"/>
        </w:rPr>
        <w:t>.</w:t>
      </w:r>
    </w:p>
    <w:p w14:paraId="5EC1B7A2" w14:textId="4F2B58E5" w:rsidR="009F54B1" w:rsidRPr="00847EE9" w:rsidRDefault="00847EE9" w:rsidP="00847EE9">
      <w:pPr>
        <w:pStyle w:val="Naslov1"/>
        <w:jc w:val="both"/>
        <w:rPr>
          <w:rFonts w:eastAsia="Times New Roman" w:cs="Arial"/>
          <w:szCs w:val="20"/>
          <w:lang w:eastAsia="sl-SI"/>
        </w:rPr>
      </w:pPr>
      <w:r w:rsidRPr="00847EE9">
        <w:rPr>
          <w:rFonts w:eastAsia="Times New Roman" w:cs="Arial"/>
          <w:caps w:val="0"/>
          <w:szCs w:val="20"/>
          <w:lang w:eastAsia="sl-SI"/>
        </w:rPr>
        <w:t>IV.</w:t>
      </w:r>
      <w:r w:rsidRPr="00847EE9">
        <w:rPr>
          <w:rFonts w:eastAsia="Times New Roman" w:cs="Arial"/>
          <w:szCs w:val="20"/>
          <w:lang w:eastAsia="sl-SI"/>
        </w:rPr>
        <w:t xml:space="preserve"> </w:t>
      </w:r>
      <w:r w:rsidR="009F54B1" w:rsidRPr="00847EE9">
        <w:rPr>
          <w:rFonts w:eastAsia="Times New Roman" w:cs="Arial"/>
          <w:szCs w:val="20"/>
          <w:lang w:eastAsia="sl-SI"/>
        </w:rPr>
        <w:t>BESEDILO ČLENOV, KI SE SPREMINJAJO</w:t>
      </w:r>
    </w:p>
    <w:p w14:paraId="0278E917" w14:textId="7F246EF1" w:rsidR="009E6B77" w:rsidRPr="002C1EE7" w:rsidRDefault="00885CFB" w:rsidP="009E6B77">
      <w:pPr>
        <w:spacing w:before="100" w:beforeAutospacing="1" w:after="100" w:afterAutospacing="1" w:line="240" w:lineRule="auto"/>
        <w:rPr>
          <w:rFonts w:eastAsiaTheme="minorHAnsi" w:cs="Arial"/>
          <w:iCs/>
          <w:szCs w:val="20"/>
        </w:rPr>
      </w:pPr>
      <w:r w:rsidRPr="002C1EE7">
        <w:rPr>
          <w:rFonts w:eastAsiaTheme="minorHAnsi" w:cs="Arial"/>
          <w:iCs/>
          <w:szCs w:val="20"/>
        </w:rPr>
        <w:t>V predlaganem gradivu ne gre za novelo zakona, temveč za samostojen zakon, zato se ne navajajo razveljavljene določbe.</w:t>
      </w:r>
    </w:p>
    <w:p w14:paraId="6D330B7F" w14:textId="4A28D8B1" w:rsidR="009F54B1" w:rsidRPr="00620790" w:rsidRDefault="009F54B1" w:rsidP="008A6824">
      <w:pPr>
        <w:pStyle w:val="Naslov1"/>
        <w:jc w:val="both"/>
        <w:rPr>
          <w:rFonts w:eastAsia="Times New Roman" w:cs="Arial"/>
          <w:szCs w:val="20"/>
          <w:lang w:eastAsia="sl-SI"/>
        </w:rPr>
      </w:pPr>
      <w:r w:rsidRPr="00620790">
        <w:rPr>
          <w:rFonts w:eastAsia="Times New Roman" w:cs="Arial"/>
          <w:szCs w:val="20"/>
          <w:lang w:eastAsia="sl-SI"/>
        </w:rPr>
        <w:lastRenderedPageBreak/>
        <w:t>V. PREDLOG, DA SE PREDLOG ZAKONA OBRAVNAVA PO NUJNEM OZIROMA SKRAJŠANEM POSTOPKU</w:t>
      </w:r>
    </w:p>
    <w:p w14:paraId="768A541C" w14:textId="1A02963D" w:rsidR="00B01CE8" w:rsidRDefault="00B01CE8" w:rsidP="008A04D2">
      <w:pPr>
        <w:pStyle w:val="Naslov1"/>
        <w:jc w:val="both"/>
        <w:rPr>
          <w:rFonts w:eastAsiaTheme="minorEastAsia" w:cs="Arial"/>
          <w:b w:val="0"/>
          <w:bCs w:val="0"/>
          <w:caps w:val="0"/>
          <w:spacing w:val="0"/>
          <w:szCs w:val="20"/>
          <w:lang w:eastAsia="sl-SI"/>
        </w:rPr>
      </w:pPr>
      <w:r w:rsidRPr="00B01CE8">
        <w:rPr>
          <w:rFonts w:eastAsiaTheme="minorEastAsia" w:cs="Arial"/>
          <w:b w:val="0"/>
          <w:bCs w:val="0"/>
          <w:caps w:val="0"/>
          <w:spacing w:val="0"/>
          <w:szCs w:val="20"/>
          <w:lang w:eastAsia="sl-SI"/>
        </w:rPr>
        <w:t xml:space="preserve">Vlada Republike Slovenije predlaga Državnemu zboru Republike Slovenije, da predlog zakona obravnava po nujnem postopku, da se preprečijo težko popravljive posledice za delovanje države zaradi </w:t>
      </w:r>
      <w:r>
        <w:rPr>
          <w:rFonts w:eastAsiaTheme="minorEastAsia" w:cs="Arial"/>
          <w:b w:val="0"/>
          <w:bCs w:val="0"/>
          <w:caps w:val="0"/>
          <w:spacing w:val="0"/>
          <w:szCs w:val="20"/>
          <w:lang w:eastAsia="sl-SI"/>
        </w:rPr>
        <w:t>poslabšanja stanja v gospodarstvu in posledično socialni</w:t>
      </w:r>
      <w:r w:rsidR="00D002C8">
        <w:rPr>
          <w:rFonts w:eastAsiaTheme="minorEastAsia" w:cs="Arial"/>
          <w:b w:val="0"/>
          <w:bCs w:val="0"/>
          <w:caps w:val="0"/>
          <w:spacing w:val="0"/>
          <w:szCs w:val="20"/>
          <w:lang w:eastAsia="sl-SI"/>
        </w:rPr>
        <w:t>h</w:t>
      </w:r>
      <w:r>
        <w:rPr>
          <w:rFonts w:eastAsiaTheme="minorEastAsia" w:cs="Arial"/>
          <w:b w:val="0"/>
          <w:bCs w:val="0"/>
          <w:caps w:val="0"/>
          <w:spacing w:val="0"/>
          <w:szCs w:val="20"/>
          <w:lang w:eastAsia="sl-SI"/>
        </w:rPr>
        <w:t xml:space="preserve"> razmer, do katerih lahko pripelje nekonkurenčnost slovenskih energetsko intenzivnih podjetij</w:t>
      </w:r>
      <w:r w:rsidR="00D002C8">
        <w:rPr>
          <w:rFonts w:eastAsiaTheme="minorEastAsia" w:cs="Arial"/>
          <w:b w:val="0"/>
          <w:bCs w:val="0"/>
          <w:caps w:val="0"/>
          <w:spacing w:val="0"/>
          <w:szCs w:val="20"/>
          <w:lang w:eastAsia="sl-SI"/>
        </w:rPr>
        <w:t>,</w:t>
      </w:r>
      <w:r>
        <w:rPr>
          <w:rFonts w:eastAsiaTheme="minorEastAsia" w:cs="Arial"/>
          <w:b w:val="0"/>
          <w:bCs w:val="0"/>
          <w:caps w:val="0"/>
          <w:spacing w:val="0"/>
          <w:szCs w:val="20"/>
          <w:lang w:eastAsia="sl-SI"/>
        </w:rPr>
        <w:t xml:space="preserve"> izpostavljenih mednarodni trgovini, ki s strani države nimajo podpore, ki jo imajo njihova konkurenčna podjetja iz drugih držav članic EU</w:t>
      </w:r>
      <w:r w:rsidR="00D002C8">
        <w:rPr>
          <w:rFonts w:eastAsiaTheme="minorEastAsia" w:cs="Arial"/>
          <w:b w:val="0"/>
          <w:bCs w:val="0"/>
          <w:caps w:val="0"/>
          <w:spacing w:val="0"/>
          <w:szCs w:val="20"/>
          <w:lang w:eastAsia="sl-SI"/>
        </w:rPr>
        <w:t>.</w:t>
      </w:r>
    </w:p>
    <w:p w14:paraId="1F692FAD" w14:textId="51623362" w:rsidR="008A04D2" w:rsidRPr="008A04D2" w:rsidRDefault="00B01CE8" w:rsidP="008A04D2">
      <w:pPr>
        <w:pStyle w:val="Naslov1"/>
        <w:jc w:val="both"/>
        <w:rPr>
          <w:rFonts w:eastAsiaTheme="minorEastAsia" w:cs="Arial"/>
          <w:b w:val="0"/>
          <w:bCs w:val="0"/>
          <w:caps w:val="0"/>
          <w:spacing w:val="0"/>
          <w:szCs w:val="20"/>
          <w:lang w:eastAsia="sl-SI"/>
        </w:rPr>
      </w:pPr>
      <w:r>
        <w:rPr>
          <w:rFonts w:eastAsiaTheme="minorEastAsia" w:cs="Arial"/>
          <w:b w:val="0"/>
          <w:bCs w:val="0"/>
          <w:caps w:val="0"/>
          <w:spacing w:val="0"/>
          <w:szCs w:val="20"/>
          <w:lang w:eastAsia="sl-SI"/>
        </w:rPr>
        <w:t>Ker je treba zagotoviti</w:t>
      </w:r>
      <w:r w:rsidR="008A04D2" w:rsidRPr="008A04D2">
        <w:rPr>
          <w:rFonts w:eastAsiaTheme="minorEastAsia" w:cs="Arial"/>
          <w:b w:val="0"/>
          <w:bCs w:val="0"/>
          <w:caps w:val="0"/>
          <w:spacing w:val="0"/>
          <w:szCs w:val="20"/>
          <w:lang w:eastAsia="sl-SI"/>
        </w:rPr>
        <w:t xml:space="preserve"> </w:t>
      </w:r>
      <w:r>
        <w:rPr>
          <w:rFonts w:eastAsiaTheme="minorEastAsia" w:cs="Arial"/>
          <w:b w:val="0"/>
          <w:bCs w:val="0"/>
          <w:caps w:val="0"/>
          <w:spacing w:val="0"/>
          <w:szCs w:val="20"/>
          <w:lang w:eastAsia="sl-SI"/>
        </w:rPr>
        <w:t>čim hitrejšo</w:t>
      </w:r>
      <w:r w:rsidR="008A04D2" w:rsidRPr="008A04D2">
        <w:rPr>
          <w:rFonts w:eastAsiaTheme="minorEastAsia" w:cs="Arial"/>
          <w:b w:val="0"/>
          <w:bCs w:val="0"/>
          <w:caps w:val="0"/>
          <w:spacing w:val="0"/>
          <w:szCs w:val="20"/>
          <w:lang w:eastAsia="sl-SI"/>
        </w:rPr>
        <w:t xml:space="preserve"> odobrit</w:t>
      </w:r>
      <w:r>
        <w:rPr>
          <w:rFonts w:eastAsiaTheme="minorEastAsia" w:cs="Arial"/>
          <w:b w:val="0"/>
          <w:bCs w:val="0"/>
          <w:caps w:val="0"/>
          <w:spacing w:val="0"/>
          <w:szCs w:val="20"/>
          <w:lang w:eastAsia="sl-SI"/>
        </w:rPr>
        <w:t>e</w:t>
      </w:r>
      <w:r w:rsidR="008A04D2" w:rsidRPr="008A04D2">
        <w:rPr>
          <w:rFonts w:eastAsiaTheme="minorEastAsia" w:cs="Arial"/>
          <w:b w:val="0"/>
          <w:bCs w:val="0"/>
          <w:caps w:val="0"/>
          <w:spacing w:val="0"/>
          <w:szCs w:val="20"/>
          <w:lang w:eastAsia="sl-SI"/>
        </w:rPr>
        <w:t>v</w:t>
      </w:r>
      <w:r>
        <w:rPr>
          <w:rFonts w:eastAsiaTheme="minorEastAsia" w:cs="Arial"/>
          <w:b w:val="0"/>
          <w:bCs w:val="0"/>
          <w:caps w:val="0"/>
          <w:spacing w:val="0"/>
          <w:szCs w:val="20"/>
          <w:lang w:eastAsia="sl-SI"/>
        </w:rPr>
        <w:t xml:space="preserve"> tega predloga zakona za zagotavljanje </w:t>
      </w:r>
      <w:r w:rsidR="008A04D2" w:rsidRPr="008A04D2">
        <w:rPr>
          <w:rFonts w:eastAsiaTheme="minorEastAsia" w:cs="Arial"/>
          <w:b w:val="0"/>
          <w:bCs w:val="0"/>
          <w:caps w:val="0"/>
          <w:spacing w:val="0"/>
          <w:szCs w:val="20"/>
          <w:lang w:eastAsia="sl-SI"/>
        </w:rPr>
        <w:t>državne pomoči s strani Evropske komisije in izvajanj</w:t>
      </w:r>
      <w:r>
        <w:rPr>
          <w:rFonts w:eastAsiaTheme="minorEastAsia" w:cs="Arial"/>
          <w:b w:val="0"/>
          <w:bCs w:val="0"/>
          <w:caps w:val="0"/>
          <w:spacing w:val="0"/>
          <w:szCs w:val="20"/>
          <w:lang w:eastAsia="sl-SI"/>
        </w:rPr>
        <w:t>e ukrepa</w:t>
      </w:r>
      <w:r w:rsidR="008A04D2" w:rsidRPr="008A04D2">
        <w:rPr>
          <w:rFonts w:eastAsiaTheme="minorEastAsia" w:cs="Arial"/>
          <w:b w:val="0"/>
          <w:bCs w:val="0"/>
          <w:caps w:val="0"/>
          <w:spacing w:val="0"/>
          <w:szCs w:val="20"/>
          <w:lang w:eastAsia="sl-SI"/>
        </w:rPr>
        <w:t xml:space="preserve"> </w:t>
      </w:r>
      <w:r>
        <w:rPr>
          <w:rFonts w:eastAsiaTheme="minorEastAsia" w:cs="Arial"/>
          <w:b w:val="0"/>
          <w:bCs w:val="0"/>
          <w:caps w:val="0"/>
          <w:spacing w:val="0"/>
          <w:szCs w:val="20"/>
          <w:lang w:eastAsia="sl-SI"/>
        </w:rPr>
        <w:t>tudi</w:t>
      </w:r>
      <w:r w:rsidR="008A04D2" w:rsidRPr="008A04D2">
        <w:rPr>
          <w:rFonts w:eastAsiaTheme="minorEastAsia" w:cs="Arial"/>
          <w:b w:val="0"/>
          <w:bCs w:val="0"/>
          <w:caps w:val="0"/>
          <w:spacing w:val="0"/>
          <w:szCs w:val="20"/>
          <w:lang w:eastAsia="sl-SI"/>
        </w:rPr>
        <w:t xml:space="preserve"> za obdobje porabe električne energije od 1. januarja 2026 dalje</w:t>
      </w:r>
      <w:r>
        <w:rPr>
          <w:rFonts w:eastAsiaTheme="minorEastAsia" w:cs="Arial"/>
          <w:b w:val="0"/>
          <w:bCs w:val="0"/>
          <w:caps w:val="0"/>
          <w:spacing w:val="0"/>
          <w:szCs w:val="20"/>
          <w:lang w:eastAsia="sl-SI"/>
        </w:rPr>
        <w:t>,</w:t>
      </w:r>
      <w:r w:rsidR="008A04D2" w:rsidRPr="008A04D2">
        <w:rPr>
          <w:rFonts w:eastAsiaTheme="minorEastAsia" w:cs="Arial"/>
          <w:b w:val="0"/>
          <w:bCs w:val="0"/>
          <w:caps w:val="0"/>
          <w:spacing w:val="0"/>
          <w:szCs w:val="20"/>
          <w:lang w:eastAsia="sl-SI"/>
        </w:rPr>
        <w:t xml:space="preserve"> je potrebno, da se predlog zakona obravnava po </w:t>
      </w:r>
      <w:r>
        <w:rPr>
          <w:rFonts w:eastAsiaTheme="minorEastAsia" w:cs="Arial"/>
          <w:b w:val="0"/>
          <w:bCs w:val="0"/>
          <w:caps w:val="0"/>
          <w:spacing w:val="0"/>
          <w:szCs w:val="20"/>
          <w:lang w:eastAsia="sl-SI"/>
        </w:rPr>
        <w:t>nujnem</w:t>
      </w:r>
      <w:r w:rsidR="008A04D2" w:rsidRPr="008A04D2">
        <w:rPr>
          <w:rFonts w:eastAsiaTheme="minorEastAsia" w:cs="Arial"/>
          <w:b w:val="0"/>
          <w:bCs w:val="0"/>
          <w:caps w:val="0"/>
          <w:spacing w:val="0"/>
          <w:szCs w:val="20"/>
          <w:lang w:eastAsia="sl-SI"/>
        </w:rPr>
        <w:t xml:space="preserve"> postopku.</w:t>
      </w:r>
      <w:r w:rsidR="00A3185C">
        <w:rPr>
          <w:rFonts w:eastAsiaTheme="minorEastAsia" w:cs="Arial"/>
          <w:b w:val="0"/>
          <w:bCs w:val="0"/>
          <w:caps w:val="0"/>
          <w:spacing w:val="0"/>
          <w:szCs w:val="20"/>
          <w:lang w:eastAsia="sl-SI"/>
        </w:rPr>
        <w:t xml:space="preserve"> Komisija bo svoje odločitve sprejela, ko bo imela zagotovila, da se predlog zakona ne bo več spreminjal in bo poznala njegovo končno verzijo. </w:t>
      </w:r>
    </w:p>
    <w:p w14:paraId="2156C8D4" w14:textId="77777777" w:rsidR="008A04D2" w:rsidRPr="008A04D2" w:rsidRDefault="008A04D2" w:rsidP="008A04D2">
      <w:pPr>
        <w:pStyle w:val="Naslov1"/>
        <w:jc w:val="both"/>
        <w:rPr>
          <w:rFonts w:eastAsiaTheme="minorEastAsia" w:cs="Arial"/>
          <w:b w:val="0"/>
          <w:bCs w:val="0"/>
          <w:caps w:val="0"/>
          <w:spacing w:val="0"/>
          <w:szCs w:val="20"/>
          <w:lang w:eastAsia="sl-SI"/>
        </w:rPr>
      </w:pPr>
      <w:r w:rsidRPr="008A04D2">
        <w:rPr>
          <w:rFonts w:eastAsiaTheme="minorEastAsia" w:cs="Arial"/>
          <w:b w:val="0"/>
          <w:bCs w:val="0"/>
          <w:caps w:val="0"/>
          <w:spacing w:val="0"/>
          <w:szCs w:val="20"/>
          <w:lang w:eastAsia="sl-SI"/>
        </w:rPr>
        <w:t>Če zakon ne bi bil sprejet in uveljavljen pravočasno, elektrointenzivnim podjetjem v Republiki Sloveniji ne bi bilo mogoče zagotoviti ustreznega mehanizma blaženja visokih stroškov električne energije v skladu z okvirom CISAF, kar bi jih v razmerju do konkurentov v drugih državah lahko postavilo v bistveno slabši položaj, povečalo tveganje za zmanjšanje proizvodnje ali selitev proizvodnje ter s tem povzročilo resne posledice za gospodarsko in socialno stanje v državi.</w:t>
      </w:r>
    </w:p>
    <w:p w14:paraId="4505EDB0" w14:textId="43CDEF4C" w:rsidR="008A04D2" w:rsidRDefault="008A04D2" w:rsidP="008A04D2">
      <w:pPr>
        <w:pStyle w:val="Naslov1"/>
        <w:jc w:val="both"/>
        <w:rPr>
          <w:rFonts w:eastAsiaTheme="minorEastAsia" w:cs="Arial"/>
          <w:b w:val="0"/>
          <w:bCs w:val="0"/>
          <w:caps w:val="0"/>
          <w:spacing w:val="0"/>
          <w:szCs w:val="20"/>
          <w:lang w:eastAsia="sl-SI"/>
        </w:rPr>
      </w:pPr>
      <w:r w:rsidRPr="008A04D2">
        <w:rPr>
          <w:rFonts w:eastAsiaTheme="minorEastAsia" w:cs="Arial"/>
          <w:b w:val="0"/>
          <w:bCs w:val="0"/>
          <w:caps w:val="0"/>
          <w:spacing w:val="0"/>
          <w:szCs w:val="20"/>
          <w:lang w:eastAsia="sl-SI"/>
        </w:rPr>
        <w:t>Hkrati b</w:t>
      </w:r>
      <w:r w:rsidR="00B01CE8">
        <w:rPr>
          <w:rFonts w:eastAsiaTheme="minorEastAsia" w:cs="Arial"/>
          <w:b w:val="0"/>
          <w:bCs w:val="0"/>
          <w:caps w:val="0"/>
          <w:spacing w:val="0"/>
          <w:szCs w:val="20"/>
          <w:lang w:eastAsia="sl-SI"/>
        </w:rPr>
        <w:t>o</w:t>
      </w:r>
      <w:r w:rsidRPr="008A04D2">
        <w:rPr>
          <w:rFonts w:eastAsiaTheme="minorEastAsia" w:cs="Arial"/>
          <w:b w:val="0"/>
          <w:bCs w:val="0"/>
          <w:caps w:val="0"/>
          <w:spacing w:val="0"/>
          <w:szCs w:val="20"/>
          <w:lang w:eastAsia="sl-SI"/>
        </w:rPr>
        <w:t xml:space="preserve"> zamuda pri sprejemu zakona otežila doseganje ciljev razogljičenja industrije, saj so naložbene zaveze upravičencev neposredno vezane na prejeto pomoč v letih 2026–2028. Zato je nujna </w:t>
      </w:r>
      <w:r>
        <w:rPr>
          <w:rFonts w:eastAsiaTheme="minorEastAsia" w:cs="Arial"/>
          <w:b w:val="0"/>
          <w:bCs w:val="0"/>
          <w:caps w:val="0"/>
          <w:spacing w:val="0"/>
          <w:szCs w:val="20"/>
          <w:lang w:eastAsia="sl-SI"/>
        </w:rPr>
        <w:t>čim hitrejša</w:t>
      </w:r>
      <w:r w:rsidRPr="008A04D2">
        <w:rPr>
          <w:rFonts w:eastAsiaTheme="minorEastAsia" w:cs="Arial"/>
          <w:b w:val="0"/>
          <w:bCs w:val="0"/>
          <w:caps w:val="0"/>
          <w:spacing w:val="0"/>
          <w:szCs w:val="20"/>
          <w:lang w:eastAsia="sl-SI"/>
        </w:rPr>
        <w:t xml:space="preserve"> zakonodajna obravnava, ki omogoča pravočasno priglasitev in odobritev ukrepa s strani Evropske komisije ter začetek njegovega izvajanja.</w:t>
      </w:r>
    </w:p>
    <w:p w14:paraId="04A9B5BF" w14:textId="0D9916A2" w:rsidR="000A0AA3" w:rsidRDefault="00584C04" w:rsidP="008A04D2">
      <w:pPr>
        <w:pStyle w:val="Naslov1"/>
        <w:jc w:val="both"/>
        <w:rPr>
          <w:rFonts w:eastAsia="Times New Roman" w:cs="Arial"/>
          <w:szCs w:val="20"/>
          <w:lang w:eastAsia="sl-SI"/>
        </w:rPr>
      </w:pPr>
      <w:r w:rsidRPr="00620790">
        <w:rPr>
          <w:rFonts w:eastAsia="Times New Roman" w:cs="Arial"/>
          <w:szCs w:val="20"/>
          <w:lang w:eastAsia="sl-SI"/>
        </w:rPr>
        <w:t>VI. PRILOGE</w:t>
      </w:r>
      <w:r w:rsidR="00935359">
        <w:rPr>
          <w:rFonts w:eastAsia="Times New Roman" w:cs="Arial"/>
          <w:szCs w:val="20"/>
          <w:lang w:eastAsia="sl-SI"/>
        </w:rPr>
        <w:t xml:space="preserve"> </w:t>
      </w:r>
    </w:p>
    <w:p w14:paraId="6712BD7C" w14:textId="3A48CA66" w:rsidR="00922B07" w:rsidRPr="00922B07" w:rsidRDefault="00D002C8" w:rsidP="00922B07">
      <w:pPr>
        <w:rPr>
          <w:lang w:eastAsia="sl-SI"/>
        </w:rPr>
      </w:pPr>
      <w:r>
        <w:rPr>
          <w:lang w:eastAsia="sl-SI"/>
        </w:rPr>
        <w:t>/</w:t>
      </w:r>
    </w:p>
    <w:sectPr w:rsidR="00922B07" w:rsidRPr="00922B0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A0D1" w14:textId="77777777" w:rsidR="009062EA" w:rsidRDefault="009062EA" w:rsidP="009F54B1">
      <w:pPr>
        <w:spacing w:after="0" w:line="240" w:lineRule="auto"/>
      </w:pPr>
      <w:r>
        <w:separator/>
      </w:r>
    </w:p>
    <w:p w14:paraId="11FC25DB" w14:textId="77777777" w:rsidR="009062EA" w:rsidRDefault="009062EA"/>
  </w:endnote>
  <w:endnote w:type="continuationSeparator" w:id="0">
    <w:p w14:paraId="1CEA7C98" w14:textId="77777777" w:rsidR="009062EA" w:rsidRDefault="009062EA" w:rsidP="009F54B1">
      <w:pPr>
        <w:spacing w:after="0" w:line="240" w:lineRule="auto"/>
      </w:pPr>
      <w:r>
        <w:continuationSeparator/>
      </w:r>
    </w:p>
    <w:p w14:paraId="6ABA8BFA" w14:textId="77777777" w:rsidR="009062EA" w:rsidRDefault="00906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EYInterstate Light">
    <w:altName w:val="Calibri"/>
    <w:charset w:val="EE"/>
    <w:family w:val="auto"/>
    <w:pitch w:val="variable"/>
    <w:sig w:usb0="A00002AF" w:usb1="5000206A"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947"/>
      <w:docPartObj>
        <w:docPartGallery w:val="Page Numbers (Bottom of Page)"/>
        <w:docPartUnique/>
      </w:docPartObj>
    </w:sdtPr>
    <w:sdtContent>
      <w:p w14:paraId="5C7D7CE6" w14:textId="5BD809DB" w:rsidR="00241D56" w:rsidRDefault="00241D56">
        <w:pPr>
          <w:pStyle w:val="Noga"/>
          <w:jc w:val="right"/>
        </w:pPr>
        <w:r>
          <w:fldChar w:fldCharType="begin"/>
        </w:r>
        <w:r>
          <w:instrText>PAGE   \* MERGEFORMAT</w:instrText>
        </w:r>
        <w:r>
          <w:fldChar w:fldCharType="separate"/>
        </w:r>
        <w:r w:rsidR="00635FD5">
          <w:rPr>
            <w:noProof/>
          </w:rPr>
          <w:t>107</w:t>
        </w:r>
        <w:r>
          <w:fldChar w:fldCharType="end"/>
        </w:r>
      </w:p>
    </w:sdtContent>
  </w:sdt>
  <w:p w14:paraId="60B3E9C0" w14:textId="77777777" w:rsidR="00241D56" w:rsidRDefault="00241D56">
    <w:pPr>
      <w:pStyle w:val="Noga"/>
    </w:pPr>
  </w:p>
  <w:p w14:paraId="61EFA8C3" w14:textId="77777777" w:rsidR="00241D56" w:rsidRDefault="00241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6641" w14:textId="77777777" w:rsidR="009062EA" w:rsidRDefault="009062EA" w:rsidP="009F54B1">
      <w:pPr>
        <w:spacing w:after="0" w:line="240" w:lineRule="auto"/>
      </w:pPr>
      <w:r>
        <w:separator/>
      </w:r>
    </w:p>
    <w:p w14:paraId="347ECE97" w14:textId="77777777" w:rsidR="009062EA" w:rsidRDefault="009062EA"/>
  </w:footnote>
  <w:footnote w:type="continuationSeparator" w:id="0">
    <w:p w14:paraId="3FF82EED" w14:textId="77777777" w:rsidR="009062EA" w:rsidRDefault="009062EA" w:rsidP="009F54B1">
      <w:pPr>
        <w:spacing w:after="0" w:line="240" w:lineRule="auto"/>
      </w:pPr>
      <w:r>
        <w:continuationSeparator/>
      </w:r>
    </w:p>
    <w:p w14:paraId="2F2D1656" w14:textId="77777777" w:rsidR="009062EA" w:rsidRDefault="009062EA"/>
  </w:footnote>
  <w:footnote w:id="1">
    <w:p w14:paraId="4207D533" w14:textId="1CD811FB" w:rsidR="008C061C" w:rsidRDefault="008C061C">
      <w:pPr>
        <w:pStyle w:val="Sprotnaopomba-besedilo"/>
      </w:pPr>
      <w:r>
        <w:rPr>
          <w:rStyle w:val="Sprotnaopomba-sklic"/>
        </w:rPr>
        <w:footnoteRef/>
      </w:r>
      <w:r>
        <w:t xml:space="preserve"> Vir: Študija upravičenosti državne pomoči energetsko intenzivnim sektorjem po CISAF direktivi; izvajalec: L.I.F.E. Institut d.o.o., 2025</w:t>
      </w:r>
    </w:p>
  </w:footnote>
  <w:footnote w:id="2">
    <w:p w14:paraId="534071E3" w14:textId="77777777" w:rsidR="001F1CE7" w:rsidRPr="00427DBE" w:rsidRDefault="001F1CE7" w:rsidP="001F1CE7">
      <w:pPr>
        <w:pStyle w:val="Sprotnaopomba-besedilo"/>
        <w:rPr>
          <w:sz w:val="24"/>
          <w:szCs w:val="24"/>
        </w:rPr>
      </w:pPr>
      <w:r w:rsidRPr="00427DBE">
        <w:rPr>
          <w:rStyle w:val="Sprotnaopomba-sklic"/>
        </w:rPr>
        <w:footnoteRef/>
      </w:r>
      <w:r w:rsidRPr="00427DBE">
        <w:t xml:space="preserve"> Le Monde</w:t>
      </w:r>
      <w:r>
        <w:t xml:space="preserve">, </w:t>
      </w:r>
      <w:hyperlink r:id="rId1" w:history="1">
        <w:r w:rsidRPr="002A3BDF">
          <w:rPr>
            <w:rStyle w:val="Hiperpovezava"/>
            <w:rFonts w:cstheme="minorHAnsi"/>
            <w:sz w:val="21"/>
            <w:szCs w:val="21"/>
          </w:rPr>
          <w:t>https://www.lemonde.fr/economie/article/2024/04/16/electricite-inquietude-des-industriels-sur-la-tarification-a-long-terme_6228097_3234.html</w:t>
        </w:r>
      </w:hyperlink>
      <w:r>
        <w:t xml:space="preserve"> </w:t>
      </w:r>
    </w:p>
  </w:footnote>
  <w:footnote w:id="3">
    <w:p w14:paraId="6A5DF2F2" w14:textId="77777777" w:rsidR="001F1CE7" w:rsidRDefault="001F1CE7" w:rsidP="001F1CE7">
      <w:pPr>
        <w:pStyle w:val="Sprotnaopomba-besedilo"/>
      </w:pPr>
    </w:p>
  </w:footnote>
  <w:footnote w:id="4">
    <w:p w14:paraId="313E13D1" w14:textId="77777777" w:rsidR="001F1CE7" w:rsidRPr="009767D1" w:rsidRDefault="001F1CE7" w:rsidP="001F1CE7">
      <w:pPr>
        <w:pStyle w:val="Sprotnaopomba-besedilo"/>
        <w:rPr>
          <w:rFonts w:cstheme="minorHAnsi"/>
        </w:rPr>
      </w:pPr>
      <w:r w:rsidRPr="009767D1">
        <w:rPr>
          <w:rStyle w:val="Sprotnaopomba-sklic"/>
          <w:rFonts w:cstheme="minorHAnsi"/>
        </w:rPr>
        <w:footnoteRef/>
      </w:r>
      <w:r w:rsidRPr="009767D1">
        <w:rPr>
          <w:rFonts w:cstheme="minorHAnsi"/>
        </w:rPr>
        <w:t xml:space="preserve"> </w:t>
      </w:r>
      <w:r>
        <w:rPr>
          <w:rFonts w:cstheme="minorHAnsi"/>
        </w:rPr>
        <w:t xml:space="preserve">Roedl (2025). </w:t>
      </w:r>
      <w:r w:rsidRPr="009767D1">
        <w:rPr>
          <w:rFonts w:cstheme="minorHAnsi"/>
        </w:rPr>
        <w:t>Energy Release 2.0 potential for producers</w:t>
      </w:r>
      <w:r>
        <w:rPr>
          <w:rFonts w:cstheme="minorHAnsi"/>
        </w:rPr>
        <w:t xml:space="preserve">. </w:t>
      </w:r>
      <w:hyperlink r:id="rId2" w:history="1">
        <w:r w:rsidRPr="000D65E9">
          <w:rPr>
            <w:rStyle w:val="Hiperpovezava"/>
            <w:rFonts w:cstheme="minorHAnsi"/>
          </w:rPr>
          <w:t>https://www.roedl.com/insights/renewable-energy/2025/april/italy-energy-release-two-zero-potential-for-producers</w:t>
        </w:r>
      </w:hyperlink>
      <w:r>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rkovnatokazatevilnotokoi"/>
      <w:suff w:val="nothing"/>
      <w:lvlText w:val=""/>
      <w:lvlJc w:val="left"/>
      <w:pPr>
        <w:tabs>
          <w:tab w:val="num" w:pos="0"/>
        </w:tabs>
        <w:ind w:left="432" w:hanging="432"/>
      </w:pPr>
      <w:rPr>
        <w:rFonts w:ascii="Arial" w:eastAsia="Calibri" w:hAnsi="Arial" w:cs="Arial" w:hint="default"/>
        <w:lang w:val="sl-SI"/>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62164"/>
    <w:multiLevelType w:val="hybridMultilevel"/>
    <w:tmpl w:val="6B6EBED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84A03"/>
    <w:multiLevelType w:val="hybridMultilevel"/>
    <w:tmpl w:val="EBBC50C8"/>
    <w:lvl w:ilvl="0" w:tplc="6EB816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3D7622"/>
    <w:multiLevelType w:val="hybridMultilevel"/>
    <w:tmpl w:val="8228DB86"/>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97C5E"/>
    <w:multiLevelType w:val="hybridMultilevel"/>
    <w:tmpl w:val="03D0812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E54163"/>
    <w:multiLevelType w:val="multilevel"/>
    <w:tmpl w:val="07A473BE"/>
    <w:styleLink w:val="Trenutniseznam1"/>
    <w:lvl w:ilvl="0">
      <w:start w:val="1"/>
      <w:numFmt w:val="decimal"/>
      <w:lvlText w:val="%1."/>
      <w:lvlJc w:val="left"/>
      <w:pPr>
        <w:ind w:left="1741" w:hanging="360"/>
      </w:pPr>
      <w:rPr>
        <w:rFonts w:ascii="Arial" w:eastAsia="Times New Roman" w:hAnsi="Arial" w:cs="Arial"/>
      </w:rPr>
    </w:lvl>
    <w:lvl w:ilvl="1">
      <w:start w:val="1"/>
      <w:numFmt w:val="lowerLetter"/>
      <w:lvlText w:val="%2."/>
      <w:lvlJc w:val="left"/>
      <w:pPr>
        <w:ind w:left="2461" w:hanging="360"/>
      </w:pPr>
    </w:lvl>
    <w:lvl w:ilvl="2">
      <w:start w:val="1"/>
      <w:numFmt w:val="lowerRoman"/>
      <w:lvlText w:val="%3."/>
      <w:lvlJc w:val="right"/>
      <w:pPr>
        <w:ind w:left="3181" w:hanging="180"/>
      </w:pPr>
    </w:lvl>
    <w:lvl w:ilvl="3">
      <w:start w:val="1"/>
      <w:numFmt w:val="decimal"/>
      <w:lvlText w:val="%4."/>
      <w:lvlJc w:val="left"/>
      <w:pPr>
        <w:ind w:left="3901" w:hanging="360"/>
      </w:pPr>
    </w:lvl>
    <w:lvl w:ilvl="4">
      <w:start w:val="1"/>
      <w:numFmt w:val="lowerLetter"/>
      <w:lvlText w:val="%5."/>
      <w:lvlJc w:val="left"/>
      <w:pPr>
        <w:ind w:left="4621" w:hanging="360"/>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6" w15:restartNumberingAfterBreak="0">
    <w:nsid w:val="0A1C73EB"/>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14611"/>
    <w:multiLevelType w:val="hybridMultilevel"/>
    <w:tmpl w:val="F9F6D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4840F0"/>
    <w:multiLevelType w:val="hybridMultilevel"/>
    <w:tmpl w:val="3924939A"/>
    <w:lvl w:ilvl="0" w:tplc="3E6E6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034D05"/>
    <w:multiLevelType w:val="hybridMultilevel"/>
    <w:tmpl w:val="09E2A7C8"/>
    <w:lvl w:ilvl="0" w:tplc="8E828DCA">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8A59F8"/>
    <w:multiLevelType w:val="hybridMultilevel"/>
    <w:tmpl w:val="2B0E06B0"/>
    <w:lvl w:ilvl="0" w:tplc="338E1BBA">
      <w:numFmt w:val="bullet"/>
      <w:lvlText w:val="-"/>
      <w:lvlJc w:val="left"/>
      <w:pPr>
        <w:ind w:left="1441" w:hanging="360"/>
      </w:pPr>
      <w:rPr>
        <w:rFonts w:ascii="Arial" w:eastAsia="Arial" w:hAnsi="Arial" w:cs="Arial" w:hint="default"/>
      </w:rPr>
    </w:lvl>
    <w:lvl w:ilvl="1" w:tplc="04240003" w:tentative="1">
      <w:start w:val="1"/>
      <w:numFmt w:val="bullet"/>
      <w:lvlText w:val="o"/>
      <w:lvlJc w:val="left"/>
      <w:pPr>
        <w:ind w:left="2161" w:hanging="360"/>
      </w:pPr>
      <w:rPr>
        <w:rFonts w:ascii="Courier New" w:hAnsi="Courier New" w:cs="Courier New" w:hint="default"/>
      </w:rPr>
    </w:lvl>
    <w:lvl w:ilvl="2" w:tplc="04240005" w:tentative="1">
      <w:start w:val="1"/>
      <w:numFmt w:val="bullet"/>
      <w:lvlText w:val=""/>
      <w:lvlJc w:val="left"/>
      <w:pPr>
        <w:ind w:left="2881" w:hanging="360"/>
      </w:pPr>
      <w:rPr>
        <w:rFonts w:ascii="Wingdings" w:hAnsi="Wingdings" w:hint="default"/>
      </w:rPr>
    </w:lvl>
    <w:lvl w:ilvl="3" w:tplc="04240001" w:tentative="1">
      <w:start w:val="1"/>
      <w:numFmt w:val="bullet"/>
      <w:lvlText w:val=""/>
      <w:lvlJc w:val="left"/>
      <w:pPr>
        <w:ind w:left="3601" w:hanging="360"/>
      </w:pPr>
      <w:rPr>
        <w:rFonts w:ascii="Symbol" w:hAnsi="Symbol" w:hint="default"/>
      </w:rPr>
    </w:lvl>
    <w:lvl w:ilvl="4" w:tplc="04240003" w:tentative="1">
      <w:start w:val="1"/>
      <w:numFmt w:val="bullet"/>
      <w:lvlText w:val="o"/>
      <w:lvlJc w:val="left"/>
      <w:pPr>
        <w:ind w:left="4321" w:hanging="360"/>
      </w:pPr>
      <w:rPr>
        <w:rFonts w:ascii="Courier New" w:hAnsi="Courier New" w:cs="Courier New" w:hint="default"/>
      </w:rPr>
    </w:lvl>
    <w:lvl w:ilvl="5" w:tplc="04240005" w:tentative="1">
      <w:start w:val="1"/>
      <w:numFmt w:val="bullet"/>
      <w:lvlText w:val=""/>
      <w:lvlJc w:val="left"/>
      <w:pPr>
        <w:ind w:left="5041" w:hanging="360"/>
      </w:pPr>
      <w:rPr>
        <w:rFonts w:ascii="Wingdings" w:hAnsi="Wingdings" w:hint="default"/>
      </w:rPr>
    </w:lvl>
    <w:lvl w:ilvl="6" w:tplc="04240001" w:tentative="1">
      <w:start w:val="1"/>
      <w:numFmt w:val="bullet"/>
      <w:lvlText w:val=""/>
      <w:lvlJc w:val="left"/>
      <w:pPr>
        <w:ind w:left="5761" w:hanging="360"/>
      </w:pPr>
      <w:rPr>
        <w:rFonts w:ascii="Symbol" w:hAnsi="Symbol" w:hint="default"/>
      </w:rPr>
    </w:lvl>
    <w:lvl w:ilvl="7" w:tplc="04240003" w:tentative="1">
      <w:start w:val="1"/>
      <w:numFmt w:val="bullet"/>
      <w:lvlText w:val="o"/>
      <w:lvlJc w:val="left"/>
      <w:pPr>
        <w:ind w:left="6481" w:hanging="360"/>
      </w:pPr>
      <w:rPr>
        <w:rFonts w:ascii="Courier New" w:hAnsi="Courier New" w:cs="Courier New" w:hint="default"/>
      </w:rPr>
    </w:lvl>
    <w:lvl w:ilvl="8" w:tplc="04240005" w:tentative="1">
      <w:start w:val="1"/>
      <w:numFmt w:val="bullet"/>
      <w:lvlText w:val=""/>
      <w:lvlJc w:val="left"/>
      <w:pPr>
        <w:ind w:left="7201" w:hanging="360"/>
      </w:pPr>
      <w:rPr>
        <w:rFonts w:ascii="Wingdings" w:hAnsi="Wingdings" w:hint="default"/>
      </w:rPr>
    </w:lvl>
  </w:abstractNum>
  <w:abstractNum w:abstractNumId="11" w15:restartNumberingAfterBreak="0">
    <w:nsid w:val="13C3468B"/>
    <w:multiLevelType w:val="hybridMultilevel"/>
    <w:tmpl w:val="F9F6D9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2B6618"/>
    <w:multiLevelType w:val="hybridMultilevel"/>
    <w:tmpl w:val="4F865230"/>
    <w:lvl w:ilvl="0" w:tplc="E7BEE3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853B78"/>
    <w:multiLevelType w:val="hybridMultilevel"/>
    <w:tmpl w:val="B248FC52"/>
    <w:lvl w:ilvl="0" w:tplc="8548B81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A2B181E"/>
    <w:multiLevelType w:val="hybridMultilevel"/>
    <w:tmpl w:val="CCD471EA"/>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3F28FB"/>
    <w:multiLevelType w:val="hybridMultilevel"/>
    <w:tmpl w:val="E3DC2C02"/>
    <w:lvl w:ilvl="0" w:tplc="8EBC32BC">
      <w:numFmt w:val="bullet"/>
      <w:lvlText w:val="−"/>
      <w:lvlJc w:val="left"/>
      <w:pPr>
        <w:ind w:left="720" w:hanging="360"/>
      </w:pPr>
      <w:rPr>
        <w:rFonts w:ascii="Segoe UI" w:eastAsiaTheme="minorHAnsi" w:hAnsi="Segoe U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A6C5D8F"/>
    <w:multiLevelType w:val="hybridMultilevel"/>
    <w:tmpl w:val="07801D5C"/>
    <w:lvl w:ilvl="0" w:tplc="8EBC32BC">
      <w:numFmt w:val="bullet"/>
      <w:lvlText w:val="−"/>
      <w:lvlJc w:val="left"/>
      <w:pPr>
        <w:ind w:left="720" w:hanging="360"/>
      </w:pPr>
      <w:rPr>
        <w:rFonts w:ascii="Segoe UI" w:eastAsiaTheme="minorHAnsi" w:hAnsi="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B4F4AE6"/>
    <w:multiLevelType w:val="hybridMultilevel"/>
    <w:tmpl w:val="233C14D8"/>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C203EE1"/>
    <w:multiLevelType w:val="hybridMultilevel"/>
    <w:tmpl w:val="6D5CD2F0"/>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1C3C5682"/>
    <w:multiLevelType w:val="multilevel"/>
    <w:tmpl w:val="F3E2ACA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944A9D"/>
    <w:multiLevelType w:val="hybridMultilevel"/>
    <w:tmpl w:val="59685E3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DD13C7"/>
    <w:multiLevelType w:val="hybridMultilevel"/>
    <w:tmpl w:val="B5FE3F9C"/>
    <w:lvl w:ilvl="0" w:tplc="8548B81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3E8326F"/>
    <w:multiLevelType w:val="hybridMultilevel"/>
    <w:tmpl w:val="261ED3B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3EE2726"/>
    <w:multiLevelType w:val="hybridMultilevel"/>
    <w:tmpl w:val="CD0CD7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E002693C">
      <w:start w:val="1"/>
      <w:numFmt w:val="lowerLetter"/>
      <w:lvlText w:val="%3."/>
      <w:lvlJc w:val="right"/>
      <w:pPr>
        <w:ind w:left="2160" w:hanging="180"/>
      </w:pPr>
      <w:rPr>
        <w:rFonts w:ascii="Arial" w:eastAsia="Arial" w:hAnsi="Arial" w:cs="Arial"/>
      </w:r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26C7531E"/>
    <w:multiLevelType w:val="multilevel"/>
    <w:tmpl w:val="F1D0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5738A8"/>
    <w:multiLevelType w:val="hybridMultilevel"/>
    <w:tmpl w:val="7C6A779A"/>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9CC4050"/>
    <w:multiLevelType w:val="multilevel"/>
    <w:tmpl w:val="53B22B82"/>
    <w:lvl w:ilvl="0">
      <w:start w:val="1"/>
      <w:numFmt w:val="bullet"/>
      <w:lvlText w:val="•"/>
      <w:lvlJc w:val="left"/>
      <w:pPr>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A0F4D00"/>
    <w:multiLevelType w:val="hybridMultilevel"/>
    <w:tmpl w:val="C02E5104"/>
    <w:lvl w:ilvl="0" w:tplc="5FE6570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B912539"/>
    <w:multiLevelType w:val="hybridMultilevel"/>
    <w:tmpl w:val="D1B80846"/>
    <w:lvl w:ilvl="0" w:tplc="12A4957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965BBE"/>
    <w:multiLevelType w:val="hybridMultilevel"/>
    <w:tmpl w:val="A4A4C718"/>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CFB51D4"/>
    <w:multiLevelType w:val="hybridMultilevel"/>
    <w:tmpl w:val="FA02B958"/>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9F6635"/>
    <w:multiLevelType w:val="hybridMultilevel"/>
    <w:tmpl w:val="D0FC072E"/>
    <w:lvl w:ilvl="0" w:tplc="CA8A89F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2DAA10E3"/>
    <w:multiLevelType w:val="hybridMultilevel"/>
    <w:tmpl w:val="3152827E"/>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AF5A23"/>
    <w:multiLevelType w:val="hybridMultilevel"/>
    <w:tmpl w:val="A1C23964"/>
    <w:lvl w:ilvl="0" w:tplc="0424000F">
      <w:start w:val="1"/>
      <w:numFmt w:val="decimal"/>
      <w:lvlText w:val="%1."/>
      <w:lvlJc w:val="left"/>
      <w:pPr>
        <w:ind w:left="720" w:hanging="360"/>
      </w:pPr>
    </w:lvl>
    <w:lvl w:ilvl="1" w:tplc="12A4957E">
      <w:numFmt w:val="bullet"/>
      <w:lvlText w:val="-"/>
      <w:lvlJc w:val="left"/>
      <w:pPr>
        <w:ind w:left="720" w:hanging="360"/>
      </w:pPr>
      <w:rPr>
        <w:rFonts w:ascii="Arial" w:eastAsia="Times New Roman" w:hAnsi="Arial" w:cs="Aria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1A1398E"/>
    <w:multiLevelType w:val="hybridMultilevel"/>
    <w:tmpl w:val="9C8885EC"/>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1DD22D3"/>
    <w:multiLevelType w:val="hybridMultilevel"/>
    <w:tmpl w:val="6180F76A"/>
    <w:lvl w:ilvl="0" w:tplc="D8469B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48A48C8"/>
    <w:multiLevelType w:val="hybridMultilevel"/>
    <w:tmpl w:val="B36CA55E"/>
    <w:lvl w:ilvl="0" w:tplc="B53661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351110FD"/>
    <w:multiLevelType w:val="hybridMultilevel"/>
    <w:tmpl w:val="F71EEBE6"/>
    <w:lvl w:ilvl="0" w:tplc="16A650AE">
      <w:start w:val="1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5192F54"/>
    <w:multiLevelType w:val="hybridMultilevel"/>
    <w:tmpl w:val="6B08AB78"/>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85D7466"/>
    <w:multiLevelType w:val="hybridMultilevel"/>
    <w:tmpl w:val="5F163614"/>
    <w:lvl w:ilvl="0" w:tplc="76AC1A70">
      <w:start w:val="49"/>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3"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AC72E05"/>
    <w:multiLevelType w:val="hybridMultilevel"/>
    <w:tmpl w:val="AE1290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4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BD1746C"/>
    <w:multiLevelType w:val="hybridMultilevel"/>
    <w:tmpl w:val="B23ADCB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DC31C34"/>
    <w:multiLevelType w:val="hybridMultilevel"/>
    <w:tmpl w:val="7D5CB5C4"/>
    <w:lvl w:ilvl="0" w:tplc="9E3A9A0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7" w15:restartNumberingAfterBreak="0">
    <w:nsid w:val="3E453090"/>
    <w:multiLevelType w:val="hybridMultilevel"/>
    <w:tmpl w:val="76228B20"/>
    <w:lvl w:ilvl="0" w:tplc="86A4BD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13250BF"/>
    <w:multiLevelType w:val="hybridMultilevel"/>
    <w:tmpl w:val="F3E2BC46"/>
    <w:lvl w:ilvl="0" w:tplc="1B1C88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15:restartNumberingAfterBreak="0">
    <w:nsid w:val="41370CB2"/>
    <w:multiLevelType w:val="hybridMultilevel"/>
    <w:tmpl w:val="0CDCAE22"/>
    <w:lvl w:ilvl="0" w:tplc="12A4957E">
      <w:numFmt w:val="bullet"/>
      <w:lvlText w:val="-"/>
      <w:lvlJc w:val="left"/>
      <w:pPr>
        <w:ind w:left="1695" w:hanging="360"/>
      </w:pPr>
      <w:rPr>
        <w:rFonts w:ascii="Arial" w:eastAsia="Times New Roman" w:hAnsi="Arial" w:cs="Arial" w:hint="default"/>
        <w:lang w:val="sl-SI"/>
      </w:rPr>
    </w:lvl>
    <w:lvl w:ilvl="1" w:tplc="FFFFFFFF" w:tentative="1">
      <w:start w:val="1"/>
      <w:numFmt w:val="bullet"/>
      <w:lvlText w:val="o"/>
      <w:lvlJc w:val="left"/>
      <w:pPr>
        <w:ind w:left="2415" w:hanging="360"/>
      </w:pPr>
      <w:rPr>
        <w:rFonts w:ascii="Courier New" w:hAnsi="Courier New" w:cs="Courier New" w:hint="default"/>
      </w:rPr>
    </w:lvl>
    <w:lvl w:ilvl="2" w:tplc="FFFFFFFF" w:tentative="1">
      <w:start w:val="1"/>
      <w:numFmt w:val="bullet"/>
      <w:lvlText w:val=""/>
      <w:lvlJc w:val="left"/>
      <w:pPr>
        <w:ind w:left="3135" w:hanging="360"/>
      </w:pPr>
      <w:rPr>
        <w:rFonts w:ascii="Wingdings" w:hAnsi="Wingdings" w:hint="default"/>
      </w:rPr>
    </w:lvl>
    <w:lvl w:ilvl="3" w:tplc="FFFFFFFF" w:tentative="1">
      <w:start w:val="1"/>
      <w:numFmt w:val="bullet"/>
      <w:lvlText w:val=""/>
      <w:lvlJc w:val="left"/>
      <w:pPr>
        <w:ind w:left="3855" w:hanging="360"/>
      </w:pPr>
      <w:rPr>
        <w:rFonts w:ascii="Symbol" w:hAnsi="Symbol" w:hint="default"/>
      </w:rPr>
    </w:lvl>
    <w:lvl w:ilvl="4" w:tplc="FFFFFFFF" w:tentative="1">
      <w:start w:val="1"/>
      <w:numFmt w:val="bullet"/>
      <w:lvlText w:val="o"/>
      <w:lvlJc w:val="left"/>
      <w:pPr>
        <w:ind w:left="4575" w:hanging="360"/>
      </w:pPr>
      <w:rPr>
        <w:rFonts w:ascii="Courier New" w:hAnsi="Courier New" w:cs="Courier New" w:hint="default"/>
      </w:rPr>
    </w:lvl>
    <w:lvl w:ilvl="5" w:tplc="FFFFFFFF" w:tentative="1">
      <w:start w:val="1"/>
      <w:numFmt w:val="bullet"/>
      <w:lvlText w:val=""/>
      <w:lvlJc w:val="left"/>
      <w:pPr>
        <w:ind w:left="5295" w:hanging="360"/>
      </w:pPr>
      <w:rPr>
        <w:rFonts w:ascii="Wingdings" w:hAnsi="Wingdings" w:hint="default"/>
      </w:rPr>
    </w:lvl>
    <w:lvl w:ilvl="6" w:tplc="FFFFFFFF" w:tentative="1">
      <w:start w:val="1"/>
      <w:numFmt w:val="bullet"/>
      <w:lvlText w:val=""/>
      <w:lvlJc w:val="left"/>
      <w:pPr>
        <w:ind w:left="6015" w:hanging="360"/>
      </w:pPr>
      <w:rPr>
        <w:rFonts w:ascii="Symbol" w:hAnsi="Symbol" w:hint="default"/>
      </w:rPr>
    </w:lvl>
    <w:lvl w:ilvl="7" w:tplc="FFFFFFFF" w:tentative="1">
      <w:start w:val="1"/>
      <w:numFmt w:val="bullet"/>
      <w:lvlText w:val="o"/>
      <w:lvlJc w:val="left"/>
      <w:pPr>
        <w:ind w:left="6735" w:hanging="360"/>
      </w:pPr>
      <w:rPr>
        <w:rFonts w:ascii="Courier New" w:hAnsi="Courier New" w:cs="Courier New" w:hint="default"/>
      </w:rPr>
    </w:lvl>
    <w:lvl w:ilvl="8" w:tplc="FFFFFFFF" w:tentative="1">
      <w:start w:val="1"/>
      <w:numFmt w:val="bullet"/>
      <w:lvlText w:val=""/>
      <w:lvlJc w:val="left"/>
      <w:pPr>
        <w:ind w:left="7455" w:hanging="360"/>
      </w:pPr>
      <w:rPr>
        <w:rFonts w:ascii="Wingdings" w:hAnsi="Wingdings" w:hint="default"/>
      </w:rPr>
    </w:lvl>
  </w:abstractNum>
  <w:abstractNum w:abstractNumId="50" w15:restartNumberingAfterBreak="0">
    <w:nsid w:val="41911754"/>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51A28D9"/>
    <w:multiLevelType w:val="hybridMultilevel"/>
    <w:tmpl w:val="03E0017E"/>
    <w:lvl w:ilvl="0" w:tplc="1B1C8866">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15:restartNumberingAfterBreak="0">
    <w:nsid w:val="4561600E"/>
    <w:multiLevelType w:val="hybridMultilevel"/>
    <w:tmpl w:val="ACBAEF2C"/>
    <w:lvl w:ilvl="0" w:tplc="1B1C8866">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4811799A"/>
    <w:multiLevelType w:val="hybridMultilevel"/>
    <w:tmpl w:val="B3EAA190"/>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AD64229"/>
    <w:multiLevelType w:val="hybridMultilevel"/>
    <w:tmpl w:val="BEC66B96"/>
    <w:lvl w:ilvl="0" w:tplc="E51864AE">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D852175"/>
    <w:multiLevelType w:val="hybridMultilevel"/>
    <w:tmpl w:val="F1BAFED0"/>
    <w:lvl w:ilvl="0" w:tplc="1B1C8866">
      <w:start w:val="1"/>
      <w:numFmt w:val="bullet"/>
      <w:lvlText w:val=""/>
      <w:lvlJc w:val="left"/>
      <w:pPr>
        <w:ind w:left="720" w:hanging="360"/>
      </w:pPr>
      <w:rPr>
        <w:rFonts w:ascii="Symbol" w:hAnsi="Symbol" w:hint="default"/>
      </w:rPr>
    </w:lvl>
    <w:lvl w:ilvl="1" w:tplc="0778C200">
      <w:numFmt w:val="bullet"/>
      <w:lvlText w:val="•"/>
      <w:lvlJc w:val="left"/>
      <w:pPr>
        <w:ind w:left="1440" w:hanging="360"/>
      </w:pPr>
      <w:rPr>
        <w:rFonts w:ascii="Arial" w:eastAsiaTheme="minorEastAsia"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D8F290C"/>
    <w:multiLevelType w:val="hybridMultilevel"/>
    <w:tmpl w:val="4B821E9C"/>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D933A7B"/>
    <w:multiLevelType w:val="hybridMultilevel"/>
    <w:tmpl w:val="97F05D96"/>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E5E286A"/>
    <w:multiLevelType w:val="hybridMultilevel"/>
    <w:tmpl w:val="222072A0"/>
    <w:lvl w:ilvl="0" w:tplc="FFFFFFFF">
      <w:numFmt w:val="bullet"/>
      <w:lvlText w:val="-"/>
      <w:lvlJc w:val="left"/>
      <w:pPr>
        <w:ind w:left="1429" w:hanging="360"/>
      </w:pPr>
      <w:rPr>
        <w:rFonts w:ascii="Arial" w:eastAsia="Times New Roman" w:hAnsi="Arial" w:cs="Arial" w:hint="default"/>
      </w:rPr>
    </w:lvl>
    <w:lvl w:ilvl="1" w:tplc="12A4957E">
      <w:numFmt w:val="bullet"/>
      <w:lvlText w:val="-"/>
      <w:lvlJc w:val="left"/>
      <w:pPr>
        <w:ind w:left="1776" w:hanging="360"/>
      </w:pPr>
      <w:rPr>
        <w:rFonts w:ascii="Arial" w:eastAsia="Times New Roman" w:hAnsi="Arial"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1295D07"/>
    <w:multiLevelType w:val="hybridMultilevel"/>
    <w:tmpl w:val="47563404"/>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146422B"/>
    <w:multiLevelType w:val="hybridMultilevel"/>
    <w:tmpl w:val="E6D28206"/>
    <w:lvl w:ilvl="0" w:tplc="20968CF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2EA1031"/>
    <w:multiLevelType w:val="hybridMultilevel"/>
    <w:tmpl w:val="59242EEC"/>
    <w:lvl w:ilvl="0" w:tplc="FFFFFFFF">
      <w:start w:val="1"/>
      <w:numFmt w:val="decimal"/>
      <w:lvlText w:val="%1."/>
      <w:lvlJc w:val="left"/>
      <w:pPr>
        <w:ind w:left="720" w:hanging="360"/>
      </w:pPr>
    </w:lvl>
    <w:lvl w:ilvl="1" w:tplc="04240017">
      <w:start w:val="1"/>
      <w:numFmt w:val="lowerLetter"/>
      <w:lvlText w:val="%2)"/>
      <w:lvlJc w:val="left"/>
      <w:pPr>
        <w:ind w:left="720" w:hanging="360"/>
      </w:pPr>
    </w:lvl>
    <w:lvl w:ilvl="2" w:tplc="FFFFFFFF">
      <w:start w:val="1"/>
      <w:numFmt w:val="lowerLetter"/>
      <w:lvlText w:val="%3."/>
      <w:lvlJc w:val="right"/>
      <w:pPr>
        <w:ind w:left="2160" w:hanging="180"/>
      </w:pPr>
      <w:rPr>
        <w:rFonts w:ascii="Arial" w:eastAsia="Arial" w:hAnsi="Arial" w:cs="Aria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53A46F13"/>
    <w:multiLevelType w:val="hybridMultilevel"/>
    <w:tmpl w:val="5560C7C4"/>
    <w:lvl w:ilvl="0" w:tplc="A628D1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490689C"/>
    <w:multiLevelType w:val="hybridMultilevel"/>
    <w:tmpl w:val="44BAE11E"/>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6D27F16"/>
    <w:multiLevelType w:val="hybridMultilevel"/>
    <w:tmpl w:val="11321B6C"/>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786075F"/>
    <w:multiLevelType w:val="hybridMultilevel"/>
    <w:tmpl w:val="F24CE08C"/>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A066F17"/>
    <w:multiLevelType w:val="multilevel"/>
    <w:tmpl w:val="4D3077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B8F4334"/>
    <w:multiLevelType w:val="hybridMultilevel"/>
    <w:tmpl w:val="B97E93BC"/>
    <w:lvl w:ilvl="0" w:tplc="1B1C88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D263CB5"/>
    <w:multiLevelType w:val="hybridMultilevel"/>
    <w:tmpl w:val="6C58EF4A"/>
    <w:lvl w:ilvl="0" w:tplc="FFFFFFFF">
      <w:numFmt w:val="bullet"/>
      <w:lvlText w:val="-"/>
      <w:lvlJc w:val="left"/>
      <w:pPr>
        <w:ind w:left="720" w:hanging="360"/>
      </w:pPr>
      <w:rPr>
        <w:rFonts w:ascii="Arial" w:eastAsia="Times New Roman" w:hAnsi="Arial" w:cs="Arial" w:hint="default"/>
      </w:rPr>
    </w:lvl>
    <w:lvl w:ilvl="1" w:tplc="12A4957E">
      <w:numFmt w:val="bullet"/>
      <w:lvlText w:val="-"/>
      <w:lvlJc w:val="left"/>
      <w:pPr>
        <w:ind w:left="1776"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F41807"/>
    <w:multiLevelType w:val="hybridMultilevel"/>
    <w:tmpl w:val="C8F4D0FA"/>
    <w:lvl w:ilvl="0" w:tplc="7C6A5C14">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4" w15:restartNumberingAfterBreak="0">
    <w:nsid w:val="61722CFA"/>
    <w:multiLevelType w:val="hybridMultilevel"/>
    <w:tmpl w:val="7446FB82"/>
    <w:lvl w:ilvl="0" w:tplc="0448B06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61746783"/>
    <w:multiLevelType w:val="hybridMultilevel"/>
    <w:tmpl w:val="959E5D54"/>
    <w:lvl w:ilvl="0" w:tplc="150CC716">
      <w:start w:val="16"/>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293640C"/>
    <w:multiLevelType w:val="multilevel"/>
    <w:tmpl w:val="117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AB1CAC"/>
    <w:multiLevelType w:val="hybridMultilevel"/>
    <w:tmpl w:val="C330C5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01749A"/>
    <w:multiLevelType w:val="hybridMultilevel"/>
    <w:tmpl w:val="8C900612"/>
    <w:lvl w:ilvl="0" w:tplc="882C88FC">
      <w:start w:val="2"/>
      <w:numFmt w:val="bullet"/>
      <w:pStyle w:val="rkovnatokazaodstavkomi"/>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65E6265"/>
    <w:multiLevelType w:val="hybridMultilevel"/>
    <w:tmpl w:val="D09ED350"/>
    <w:lvl w:ilvl="0" w:tplc="1DF48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7FC779E"/>
    <w:multiLevelType w:val="hybridMultilevel"/>
    <w:tmpl w:val="A1C23964"/>
    <w:lvl w:ilvl="0" w:tplc="FFFFFFFF">
      <w:start w:val="1"/>
      <w:numFmt w:val="decimal"/>
      <w:lvlText w:val="%1."/>
      <w:lvlJc w:val="left"/>
      <w:pPr>
        <w:ind w:left="720" w:hanging="360"/>
      </w:pPr>
    </w:lvl>
    <w:lvl w:ilvl="1" w:tplc="FFFFFFFF">
      <w:numFmt w:val="bullet"/>
      <w:lvlText w:val="-"/>
      <w:lvlJc w:val="left"/>
      <w:pPr>
        <w:ind w:left="72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072B61"/>
    <w:multiLevelType w:val="hybridMultilevel"/>
    <w:tmpl w:val="B4E665A6"/>
    <w:lvl w:ilvl="0" w:tplc="FFFFFFFF">
      <w:start w:val="1"/>
      <w:numFmt w:val="bullet"/>
      <w:lvlText w:val=""/>
      <w:lvlJc w:val="left"/>
      <w:pPr>
        <w:ind w:left="720" w:hanging="360"/>
      </w:pPr>
      <w:rPr>
        <w:rFonts w:ascii="Symbol" w:hAnsi="Symbol" w:hint="default"/>
      </w:rPr>
    </w:lvl>
    <w:lvl w:ilvl="1" w:tplc="1B1C886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6B8E74CA"/>
    <w:multiLevelType w:val="hybridMultilevel"/>
    <w:tmpl w:val="C330C5B8"/>
    <w:lvl w:ilvl="0" w:tplc="CA8A89F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B9513DD"/>
    <w:multiLevelType w:val="hybridMultilevel"/>
    <w:tmpl w:val="75B05B52"/>
    <w:lvl w:ilvl="0" w:tplc="1B1C88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D1E6113"/>
    <w:multiLevelType w:val="hybridMultilevel"/>
    <w:tmpl w:val="D6B0CB9A"/>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D8F5FFB"/>
    <w:multiLevelType w:val="hybridMultilevel"/>
    <w:tmpl w:val="C59EE4E0"/>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703024E1"/>
    <w:multiLevelType w:val="hybridMultilevel"/>
    <w:tmpl w:val="40F08EAC"/>
    <w:lvl w:ilvl="0" w:tplc="1B1C886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0C200AB"/>
    <w:multiLevelType w:val="hybridMultilevel"/>
    <w:tmpl w:val="669CDCC6"/>
    <w:lvl w:ilvl="0" w:tplc="8ED635E2">
      <w:start w:val="6"/>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12B5B0D"/>
    <w:multiLevelType w:val="hybridMultilevel"/>
    <w:tmpl w:val="2BDAAD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713F4B51"/>
    <w:multiLevelType w:val="hybridMultilevel"/>
    <w:tmpl w:val="4D949F34"/>
    <w:lvl w:ilvl="0" w:tplc="755A8800">
      <w:start w:val="1"/>
      <w:numFmt w:val="decimal"/>
      <w:lvlText w:val="(%1) "/>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3BF323D"/>
    <w:multiLevelType w:val="hybridMultilevel"/>
    <w:tmpl w:val="C512F176"/>
    <w:lvl w:ilvl="0" w:tplc="FFFFFFFF">
      <w:start w:val="1"/>
      <w:numFmt w:val="decimal"/>
      <w:lvlText w:val="%1."/>
      <w:lvlJc w:val="left"/>
      <w:pPr>
        <w:ind w:left="720" w:hanging="360"/>
      </w:pPr>
    </w:lvl>
    <w:lvl w:ilvl="1" w:tplc="04240017">
      <w:start w:val="1"/>
      <w:numFmt w:val="lowerLetter"/>
      <w:lvlText w:val="%2)"/>
      <w:lvlJc w:val="left"/>
      <w:pPr>
        <w:ind w:left="720" w:hanging="360"/>
      </w:pPr>
    </w:lvl>
    <w:lvl w:ilvl="2" w:tplc="FFFFFFFF">
      <w:start w:val="1"/>
      <w:numFmt w:val="lowerLetter"/>
      <w:lvlText w:val="%3."/>
      <w:lvlJc w:val="right"/>
      <w:pPr>
        <w:ind w:left="2160" w:hanging="180"/>
      </w:pPr>
      <w:rPr>
        <w:rFonts w:ascii="Arial" w:eastAsia="Arial" w:hAnsi="Arial" w:cs="Aria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3D21047"/>
    <w:multiLevelType w:val="multilevel"/>
    <w:tmpl w:val="A1B4FD3C"/>
    <w:styleLink w:val="Trenutni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6A279F9"/>
    <w:multiLevelType w:val="hybridMultilevel"/>
    <w:tmpl w:val="1FB00614"/>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77A548A"/>
    <w:multiLevelType w:val="hybridMultilevel"/>
    <w:tmpl w:val="F1587B94"/>
    <w:lvl w:ilvl="0" w:tplc="1B1C8866">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96" w15:restartNumberingAfterBreak="0">
    <w:nsid w:val="78DE35E3"/>
    <w:multiLevelType w:val="hybridMultilevel"/>
    <w:tmpl w:val="0A828C1A"/>
    <w:lvl w:ilvl="0" w:tplc="12A495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7BD900C3"/>
    <w:multiLevelType w:val="hybridMultilevel"/>
    <w:tmpl w:val="A8CE858E"/>
    <w:lvl w:ilvl="0" w:tplc="3AAE928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C255943"/>
    <w:multiLevelType w:val="multilevel"/>
    <w:tmpl w:val="428C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284008"/>
    <w:multiLevelType w:val="hybridMultilevel"/>
    <w:tmpl w:val="A84A893E"/>
    <w:lvl w:ilvl="0" w:tplc="12A4957E">
      <w:numFmt w:val="bullet"/>
      <w:lvlText w:val="-"/>
      <w:lvlJc w:val="left"/>
      <w:pPr>
        <w:ind w:left="1776" w:hanging="360"/>
      </w:pPr>
      <w:rPr>
        <w:rFonts w:ascii="Arial" w:eastAsia="Times New Roman" w:hAnsi="Arial" w:cs="Arial" w:hint="default"/>
      </w:rPr>
    </w:lvl>
    <w:lvl w:ilvl="1" w:tplc="8CAC0ED2">
      <w:start w:val="4"/>
      <w:numFmt w:val="bullet"/>
      <w:lvlText w:val="•"/>
      <w:lvlJc w:val="left"/>
      <w:pPr>
        <w:ind w:left="2841" w:hanging="705"/>
      </w:pPr>
      <w:rPr>
        <w:rFonts w:ascii="Arial" w:eastAsia="Times New Roman" w:hAnsi="Arial" w:cs="Arial"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0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7FE96629"/>
    <w:multiLevelType w:val="hybridMultilevel"/>
    <w:tmpl w:val="1E9CCA52"/>
    <w:lvl w:ilvl="0" w:tplc="C9D0DA4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08382173">
    <w:abstractNumId w:val="42"/>
  </w:num>
  <w:num w:numId="2" w16cid:durableId="643892010">
    <w:abstractNumId w:val="21"/>
  </w:num>
  <w:num w:numId="3" w16cid:durableId="2002198119">
    <w:abstractNumId w:val="70"/>
  </w:num>
  <w:num w:numId="4" w16cid:durableId="1601835068">
    <w:abstractNumId w:val="80"/>
  </w:num>
  <w:num w:numId="5" w16cid:durableId="1306357102">
    <w:abstractNumId w:val="100"/>
  </w:num>
  <w:num w:numId="6" w16cid:durableId="347341540">
    <w:abstractNumId w:val="51"/>
  </w:num>
  <w:num w:numId="7" w16cid:durableId="687801741">
    <w:abstractNumId w:val="52"/>
  </w:num>
  <w:num w:numId="8" w16cid:durableId="382800076">
    <w:abstractNumId w:val="12"/>
  </w:num>
  <w:num w:numId="9" w16cid:durableId="36468449">
    <w:abstractNumId w:val="83"/>
  </w:num>
  <w:num w:numId="10" w16cid:durableId="1412698232">
    <w:abstractNumId w:val="43"/>
    <w:lvlOverride w:ilvl="0">
      <w:startOverride w:val="1"/>
    </w:lvlOverride>
  </w:num>
  <w:num w:numId="11" w16cid:durableId="97675661">
    <w:abstractNumId w:val="18"/>
  </w:num>
  <w:num w:numId="12" w16cid:durableId="1151796995">
    <w:abstractNumId w:val="8"/>
  </w:num>
  <w:num w:numId="13" w16cid:durableId="1369066103">
    <w:abstractNumId w:val="4"/>
  </w:num>
  <w:num w:numId="14" w16cid:durableId="354769641">
    <w:abstractNumId w:val="61"/>
  </w:num>
  <w:num w:numId="15" w16cid:durableId="1678849848">
    <w:abstractNumId w:val="5"/>
  </w:num>
  <w:num w:numId="16" w16cid:durableId="154535167">
    <w:abstractNumId w:val="93"/>
  </w:num>
  <w:num w:numId="17" w16cid:durableId="2097437897">
    <w:abstractNumId w:val="78"/>
  </w:num>
  <w:num w:numId="18" w16cid:durableId="965235445">
    <w:abstractNumId w:val="41"/>
  </w:num>
  <w:num w:numId="19" w16cid:durableId="163208384">
    <w:abstractNumId w:val="101"/>
  </w:num>
  <w:num w:numId="20" w16cid:durableId="1199465225">
    <w:abstractNumId w:val="38"/>
  </w:num>
  <w:num w:numId="21" w16cid:durableId="1344016669">
    <w:abstractNumId w:val="0"/>
  </w:num>
  <w:num w:numId="22" w16cid:durableId="103618387">
    <w:abstractNumId w:val="10"/>
  </w:num>
  <w:num w:numId="23" w16cid:durableId="1148592447">
    <w:abstractNumId w:val="90"/>
  </w:num>
  <w:num w:numId="24" w16cid:durableId="1828747553">
    <w:abstractNumId w:val="11"/>
  </w:num>
  <w:num w:numId="25" w16cid:durableId="1945528444">
    <w:abstractNumId w:val="7"/>
  </w:num>
  <w:num w:numId="26" w16cid:durableId="373434172">
    <w:abstractNumId w:val="30"/>
  </w:num>
  <w:num w:numId="27" w16cid:durableId="1317563938">
    <w:abstractNumId w:val="96"/>
  </w:num>
  <w:num w:numId="28" w16cid:durableId="48767802">
    <w:abstractNumId w:val="94"/>
  </w:num>
  <w:num w:numId="29" w16cid:durableId="1469083889">
    <w:abstractNumId w:val="3"/>
  </w:num>
  <w:num w:numId="30" w16cid:durableId="1540899568">
    <w:abstractNumId w:val="35"/>
  </w:num>
  <w:num w:numId="31" w16cid:durableId="298919465">
    <w:abstractNumId w:val="99"/>
  </w:num>
  <w:num w:numId="32" w16cid:durableId="896664106">
    <w:abstractNumId w:val="72"/>
  </w:num>
  <w:num w:numId="33" w16cid:durableId="1553077127">
    <w:abstractNumId w:val="49"/>
  </w:num>
  <w:num w:numId="34" w16cid:durableId="1537695434">
    <w:abstractNumId w:val="56"/>
  </w:num>
  <w:num w:numId="35" w16cid:durableId="674646918">
    <w:abstractNumId w:val="60"/>
  </w:num>
  <w:num w:numId="36" w16cid:durableId="1232305925">
    <w:abstractNumId w:val="75"/>
  </w:num>
  <w:num w:numId="37" w16cid:durableId="922035893">
    <w:abstractNumId w:val="81"/>
  </w:num>
  <w:num w:numId="38" w16cid:durableId="1344091098">
    <w:abstractNumId w:val="6"/>
  </w:num>
  <w:num w:numId="39" w16cid:durableId="1454129901">
    <w:abstractNumId w:val="50"/>
  </w:num>
  <w:num w:numId="40" w16cid:durableId="1361778204">
    <w:abstractNumId w:val="98"/>
  </w:num>
  <w:num w:numId="41" w16cid:durableId="1727222911">
    <w:abstractNumId w:val="46"/>
  </w:num>
  <w:num w:numId="42" w16cid:durableId="1362628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3261906">
    <w:abstractNumId w:val="25"/>
  </w:num>
  <w:num w:numId="44" w16cid:durableId="1242174689">
    <w:abstractNumId w:val="64"/>
  </w:num>
  <w:num w:numId="45" w16cid:durableId="585116966">
    <w:abstractNumId w:val="44"/>
  </w:num>
  <w:num w:numId="46" w16cid:durableId="208147292">
    <w:abstractNumId w:val="92"/>
  </w:num>
  <w:num w:numId="47" w16cid:durableId="1295062601">
    <w:abstractNumId w:val="17"/>
  </w:num>
  <w:num w:numId="48" w16cid:durableId="2122409103">
    <w:abstractNumId w:val="16"/>
  </w:num>
  <w:num w:numId="49" w16cid:durableId="1748310483">
    <w:abstractNumId w:val="26"/>
  </w:num>
  <w:num w:numId="50" w16cid:durableId="392851933">
    <w:abstractNumId w:val="1"/>
  </w:num>
  <w:num w:numId="51" w16cid:durableId="994841295">
    <w:abstractNumId w:val="57"/>
  </w:num>
  <w:num w:numId="52" w16cid:durableId="170072517">
    <w:abstractNumId w:val="62"/>
  </w:num>
  <w:num w:numId="53" w16cid:durableId="428081937">
    <w:abstractNumId w:val="68"/>
  </w:num>
  <w:num w:numId="54" w16cid:durableId="1161239233">
    <w:abstractNumId w:val="15"/>
  </w:num>
  <w:num w:numId="55" w16cid:durableId="137765329">
    <w:abstractNumId w:val="32"/>
  </w:num>
  <w:num w:numId="56" w16cid:durableId="234899740">
    <w:abstractNumId w:val="85"/>
  </w:num>
  <w:num w:numId="57" w16cid:durableId="1652442582">
    <w:abstractNumId w:val="82"/>
  </w:num>
  <w:num w:numId="58" w16cid:durableId="108865752">
    <w:abstractNumId w:val="36"/>
  </w:num>
  <w:num w:numId="59" w16cid:durableId="671763238">
    <w:abstractNumId w:val="22"/>
  </w:num>
  <w:num w:numId="60" w16cid:durableId="726494049">
    <w:abstractNumId w:val="31"/>
  </w:num>
  <w:num w:numId="61" w16cid:durableId="544567719">
    <w:abstractNumId w:val="45"/>
  </w:num>
  <w:num w:numId="62" w16cid:durableId="137460713">
    <w:abstractNumId w:val="28"/>
  </w:num>
  <w:num w:numId="63" w16cid:durableId="1197624523">
    <w:abstractNumId w:val="74"/>
  </w:num>
  <w:num w:numId="64" w16cid:durableId="614797953">
    <w:abstractNumId w:val="69"/>
  </w:num>
  <w:num w:numId="65" w16cid:durableId="1519346426">
    <w:abstractNumId w:val="76"/>
  </w:num>
  <w:num w:numId="66" w16cid:durableId="1381780175">
    <w:abstractNumId w:val="34"/>
  </w:num>
  <w:num w:numId="67" w16cid:durableId="1854145219">
    <w:abstractNumId w:val="24"/>
  </w:num>
  <w:num w:numId="68" w16cid:durableId="330109389">
    <w:abstractNumId w:val="19"/>
  </w:num>
  <w:num w:numId="69" w16cid:durableId="222521445">
    <w:abstractNumId w:val="55"/>
  </w:num>
  <w:num w:numId="70" w16cid:durableId="1169054756">
    <w:abstractNumId w:val="20"/>
  </w:num>
  <w:num w:numId="71" w16cid:durableId="1827428456">
    <w:abstractNumId w:val="67"/>
  </w:num>
  <w:num w:numId="72" w16cid:durableId="1205482194">
    <w:abstractNumId w:val="66"/>
  </w:num>
  <w:num w:numId="73" w16cid:durableId="600071119">
    <w:abstractNumId w:val="71"/>
  </w:num>
  <w:num w:numId="74" w16cid:durableId="1866291175">
    <w:abstractNumId w:val="91"/>
  </w:num>
  <w:num w:numId="75" w16cid:durableId="696732277">
    <w:abstractNumId w:val="47"/>
  </w:num>
  <w:num w:numId="76" w16cid:durableId="775559929">
    <w:abstractNumId w:val="95"/>
  </w:num>
  <w:num w:numId="77" w16cid:durableId="1938516694">
    <w:abstractNumId w:val="87"/>
  </w:num>
  <w:num w:numId="78" w16cid:durableId="1455905622">
    <w:abstractNumId w:val="58"/>
  </w:num>
  <w:num w:numId="79" w16cid:durableId="412972875">
    <w:abstractNumId w:val="14"/>
  </w:num>
  <w:num w:numId="80" w16cid:durableId="636380472">
    <w:abstractNumId w:val="33"/>
  </w:num>
  <w:num w:numId="81" w16cid:durableId="1964580743">
    <w:abstractNumId w:val="40"/>
  </w:num>
  <w:num w:numId="82" w16cid:durableId="2003847136">
    <w:abstractNumId w:val="88"/>
  </w:num>
  <w:num w:numId="83" w16cid:durableId="1869949186">
    <w:abstractNumId w:val="86"/>
  </w:num>
  <w:num w:numId="84" w16cid:durableId="893542950">
    <w:abstractNumId w:val="23"/>
  </w:num>
  <w:num w:numId="85" w16cid:durableId="63534878">
    <w:abstractNumId w:val="9"/>
  </w:num>
  <w:num w:numId="86" w16cid:durableId="740837389">
    <w:abstractNumId w:val="84"/>
  </w:num>
  <w:num w:numId="87" w16cid:durableId="1185249355">
    <w:abstractNumId w:val="39"/>
  </w:num>
  <w:num w:numId="88" w16cid:durableId="116803106">
    <w:abstractNumId w:val="65"/>
  </w:num>
  <w:num w:numId="89" w16cid:durableId="1770807099">
    <w:abstractNumId w:val="27"/>
  </w:num>
  <w:num w:numId="90" w16cid:durableId="941763061">
    <w:abstractNumId w:val="54"/>
  </w:num>
  <w:num w:numId="91" w16cid:durableId="1403716716">
    <w:abstractNumId w:val="53"/>
  </w:num>
  <w:num w:numId="92" w16cid:durableId="225190304">
    <w:abstractNumId w:val="48"/>
  </w:num>
  <w:num w:numId="93" w16cid:durableId="993216248">
    <w:abstractNumId w:val="59"/>
  </w:num>
  <w:num w:numId="94" w16cid:durableId="604770339">
    <w:abstractNumId w:val="89"/>
  </w:num>
  <w:num w:numId="95" w16cid:durableId="1129977770">
    <w:abstractNumId w:val="79"/>
  </w:num>
  <w:num w:numId="96" w16cid:durableId="847601868">
    <w:abstractNumId w:val="2"/>
  </w:num>
  <w:num w:numId="97" w16cid:durableId="129596199">
    <w:abstractNumId w:val="37"/>
  </w:num>
  <w:num w:numId="98" w16cid:durableId="2022970032">
    <w:abstractNumId w:val="63"/>
  </w:num>
  <w:num w:numId="99" w16cid:durableId="2026133989">
    <w:abstractNumId w:val="13"/>
  </w:num>
  <w:num w:numId="100" w16cid:durableId="406653262">
    <w:abstractNumId w:val="97"/>
  </w:num>
  <w:num w:numId="101" w16cid:durableId="268590597">
    <w:abstractNumId w:val="29"/>
  </w:num>
  <w:num w:numId="102" w16cid:durableId="957178447">
    <w:abstractNumId w:val="77"/>
  </w:num>
  <w:num w:numId="103" w16cid:durableId="615987798">
    <w:abstractNumId w:val="7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hideGrammaticalErrors/>
  <w:proofState w:grammar="clean"/>
  <w:defaultTabStop w:val="709"/>
  <w:hyphenationZone w:val="425"/>
  <w:characterSpacingControl w:val="doNotCompress"/>
  <w:hdrShapeDefaults>
    <o:shapedefaults v:ext="edit" spidmax="2050">
      <o:colormru v:ext="edit" colors="#eac2d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7C"/>
    <w:rsid w:val="0000010B"/>
    <w:rsid w:val="000001A8"/>
    <w:rsid w:val="00000262"/>
    <w:rsid w:val="00000CE3"/>
    <w:rsid w:val="0000103B"/>
    <w:rsid w:val="000013AB"/>
    <w:rsid w:val="00001E63"/>
    <w:rsid w:val="000023B2"/>
    <w:rsid w:val="00003757"/>
    <w:rsid w:val="000038B8"/>
    <w:rsid w:val="00003E97"/>
    <w:rsid w:val="000040D2"/>
    <w:rsid w:val="000048C4"/>
    <w:rsid w:val="000049D6"/>
    <w:rsid w:val="00004F6F"/>
    <w:rsid w:val="00004F8E"/>
    <w:rsid w:val="00005A9E"/>
    <w:rsid w:val="00005C10"/>
    <w:rsid w:val="00005C47"/>
    <w:rsid w:val="00006BE3"/>
    <w:rsid w:val="00006F78"/>
    <w:rsid w:val="00007419"/>
    <w:rsid w:val="000074B7"/>
    <w:rsid w:val="00007F3D"/>
    <w:rsid w:val="00010187"/>
    <w:rsid w:val="00010302"/>
    <w:rsid w:val="00011177"/>
    <w:rsid w:val="00011A2B"/>
    <w:rsid w:val="00012025"/>
    <w:rsid w:val="000123D9"/>
    <w:rsid w:val="0001241F"/>
    <w:rsid w:val="00012D3A"/>
    <w:rsid w:val="00012E11"/>
    <w:rsid w:val="00013B32"/>
    <w:rsid w:val="00013E94"/>
    <w:rsid w:val="0001420F"/>
    <w:rsid w:val="0001492A"/>
    <w:rsid w:val="00015101"/>
    <w:rsid w:val="000153E7"/>
    <w:rsid w:val="00015825"/>
    <w:rsid w:val="00015A6B"/>
    <w:rsid w:val="00015EAE"/>
    <w:rsid w:val="00016559"/>
    <w:rsid w:val="000165A2"/>
    <w:rsid w:val="00016DCA"/>
    <w:rsid w:val="0001717D"/>
    <w:rsid w:val="00017B58"/>
    <w:rsid w:val="00017CDC"/>
    <w:rsid w:val="00020532"/>
    <w:rsid w:val="00020766"/>
    <w:rsid w:val="00020F22"/>
    <w:rsid w:val="0002137B"/>
    <w:rsid w:val="00021707"/>
    <w:rsid w:val="00021FA9"/>
    <w:rsid w:val="00022139"/>
    <w:rsid w:val="000222F9"/>
    <w:rsid w:val="00022683"/>
    <w:rsid w:val="00022717"/>
    <w:rsid w:val="0002282E"/>
    <w:rsid w:val="00022F28"/>
    <w:rsid w:val="00022FD2"/>
    <w:rsid w:val="0002307F"/>
    <w:rsid w:val="000236E5"/>
    <w:rsid w:val="000243FF"/>
    <w:rsid w:val="0002443E"/>
    <w:rsid w:val="00024DE4"/>
    <w:rsid w:val="00024E32"/>
    <w:rsid w:val="00024E33"/>
    <w:rsid w:val="000252C9"/>
    <w:rsid w:val="00025A02"/>
    <w:rsid w:val="00025D0D"/>
    <w:rsid w:val="00025EDE"/>
    <w:rsid w:val="0002613D"/>
    <w:rsid w:val="000263BC"/>
    <w:rsid w:val="000267CA"/>
    <w:rsid w:val="00026AE9"/>
    <w:rsid w:val="00026BA8"/>
    <w:rsid w:val="000271D4"/>
    <w:rsid w:val="000275E9"/>
    <w:rsid w:val="000277C6"/>
    <w:rsid w:val="00027B69"/>
    <w:rsid w:val="00031254"/>
    <w:rsid w:val="00031D5D"/>
    <w:rsid w:val="00032077"/>
    <w:rsid w:val="0003286B"/>
    <w:rsid w:val="00032C04"/>
    <w:rsid w:val="00032E59"/>
    <w:rsid w:val="00033DCB"/>
    <w:rsid w:val="0003423E"/>
    <w:rsid w:val="000343C6"/>
    <w:rsid w:val="000347AA"/>
    <w:rsid w:val="00034AF8"/>
    <w:rsid w:val="000355B1"/>
    <w:rsid w:val="0003596B"/>
    <w:rsid w:val="000359E2"/>
    <w:rsid w:val="00035CA5"/>
    <w:rsid w:val="00035D8B"/>
    <w:rsid w:val="0003603F"/>
    <w:rsid w:val="000364A9"/>
    <w:rsid w:val="00036BBD"/>
    <w:rsid w:val="00037088"/>
    <w:rsid w:val="0003791C"/>
    <w:rsid w:val="00037C92"/>
    <w:rsid w:val="000403B5"/>
    <w:rsid w:val="00040430"/>
    <w:rsid w:val="00040AB5"/>
    <w:rsid w:val="000411BC"/>
    <w:rsid w:val="000416F4"/>
    <w:rsid w:val="00041D38"/>
    <w:rsid w:val="0004203D"/>
    <w:rsid w:val="00042DBD"/>
    <w:rsid w:val="00042F5B"/>
    <w:rsid w:val="00043281"/>
    <w:rsid w:val="000435B8"/>
    <w:rsid w:val="00043D98"/>
    <w:rsid w:val="000449FD"/>
    <w:rsid w:val="00045BEB"/>
    <w:rsid w:val="0004605C"/>
    <w:rsid w:val="000468A6"/>
    <w:rsid w:val="000471C3"/>
    <w:rsid w:val="00047A7B"/>
    <w:rsid w:val="00047B9A"/>
    <w:rsid w:val="00050071"/>
    <w:rsid w:val="0005044A"/>
    <w:rsid w:val="00050991"/>
    <w:rsid w:val="00051712"/>
    <w:rsid w:val="0005179F"/>
    <w:rsid w:val="00051F9A"/>
    <w:rsid w:val="0005229F"/>
    <w:rsid w:val="000523CC"/>
    <w:rsid w:val="000523CE"/>
    <w:rsid w:val="00052A3A"/>
    <w:rsid w:val="00053040"/>
    <w:rsid w:val="0005376F"/>
    <w:rsid w:val="00053D9A"/>
    <w:rsid w:val="00054180"/>
    <w:rsid w:val="00054394"/>
    <w:rsid w:val="000548A5"/>
    <w:rsid w:val="00054CC2"/>
    <w:rsid w:val="0005526C"/>
    <w:rsid w:val="00055676"/>
    <w:rsid w:val="00055D5C"/>
    <w:rsid w:val="00055E25"/>
    <w:rsid w:val="000563EF"/>
    <w:rsid w:val="000565DE"/>
    <w:rsid w:val="000569A5"/>
    <w:rsid w:val="00057239"/>
    <w:rsid w:val="000578C2"/>
    <w:rsid w:val="00057F0A"/>
    <w:rsid w:val="00060104"/>
    <w:rsid w:val="000602E3"/>
    <w:rsid w:val="00061236"/>
    <w:rsid w:val="000617E6"/>
    <w:rsid w:val="00061C09"/>
    <w:rsid w:val="00061CEF"/>
    <w:rsid w:val="00061E98"/>
    <w:rsid w:val="00062616"/>
    <w:rsid w:val="000629B4"/>
    <w:rsid w:val="000630F0"/>
    <w:rsid w:val="000633EB"/>
    <w:rsid w:val="0006346A"/>
    <w:rsid w:val="00063A69"/>
    <w:rsid w:val="00063C23"/>
    <w:rsid w:val="00063F3D"/>
    <w:rsid w:val="0006433A"/>
    <w:rsid w:val="00064B66"/>
    <w:rsid w:val="00064FC4"/>
    <w:rsid w:val="00065432"/>
    <w:rsid w:val="000657DE"/>
    <w:rsid w:val="00065A26"/>
    <w:rsid w:val="00065BB3"/>
    <w:rsid w:val="00066D54"/>
    <w:rsid w:val="00066D9E"/>
    <w:rsid w:val="00066E1E"/>
    <w:rsid w:val="000673E3"/>
    <w:rsid w:val="000679D3"/>
    <w:rsid w:val="000679DA"/>
    <w:rsid w:val="00067AAA"/>
    <w:rsid w:val="000708BC"/>
    <w:rsid w:val="000709EB"/>
    <w:rsid w:val="00070DFD"/>
    <w:rsid w:val="00071179"/>
    <w:rsid w:val="0007188C"/>
    <w:rsid w:val="0007198A"/>
    <w:rsid w:val="000722B5"/>
    <w:rsid w:val="00072762"/>
    <w:rsid w:val="000727DB"/>
    <w:rsid w:val="00072BA4"/>
    <w:rsid w:val="00072E0D"/>
    <w:rsid w:val="00073363"/>
    <w:rsid w:val="00073544"/>
    <w:rsid w:val="00073E00"/>
    <w:rsid w:val="00074111"/>
    <w:rsid w:val="00074886"/>
    <w:rsid w:val="00074A6A"/>
    <w:rsid w:val="00074C12"/>
    <w:rsid w:val="00075532"/>
    <w:rsid w:val="000758F1"/>
    <w:rsid w:val="00075909"/>
    <w:rsid w:val="00075A44"/>
    <w:rsid w:val="00075D9D"/>
    <w:rsid w:val="00076155"/>
    <w:rsid w:val="000768F2"/>
    <w:rsid w:val="00076953"/>
    <w:rsid w:val="00076A9A"/>
    <w:rsid w:val="00076C52"/>
    <w:rsid w:val="0007769C"/>
    <w:rsid w:val="00077A5E"/>
    <w:rsid w:val="00077F49"/>
    <w:rsid w:val="00080B0E"/>
    <w:rsid w:val="00080C9F"/>
    <w:rsid w:val="00081454"/>
    <w:rsid w:val="00081842"/>
    <w:rsid w:val="00081A00"/>
    <w:rsid w:val="00081F81"/>
    <w:rsid w:val="00082588"/>
    <w:rsid w:val="00082A07"/>
    <w:rsid w:val="00082D2C"/>
    <w:rsid w:val="00083459"/>
    <w:rsid w:val="0008347D"/>
    <w:rsid w:val="00083910"/>
    <w:rsid w:val="0008394B"/>
    <w:rsid w:val="00083CD9"/>
    <w:rsid w:val="0008443C"/>
    <w:rsid w:val="000844AD"/>
    <w:rsid w:val="000852EE"/>
    <w:rsid w:val="00085C70"/>
    <w:rsid w:val="00085D1F"/>
    <w:rsid w:val="00085DBC"/>
    <w:rsid w:val="00085F90"/>
    <w:rsid w:val="000865C3"/>
    <w:rsid w:val="00086669"/>
    <w:rsid w:val="00086931"/>
    <w:rsid w:val="0008694F"/>
    <w:rsid w:val="00086ACD"/>
    <w:rsid w:val="00087536"/>
    <w:rsid w:val="00087A76"/>
    <w:rsid w:val="00087C9C"/>
    <w:rsid w:val="00087E9F"/>
    <w:rsid w:val="000904DC"/>
    <w:rsid w:val="00090684"/>
    <w:rsid w:val="00090E88"/>
    <w:rsid w:val="0009117F"/>
    <w:rsid w:val="000911F2"/>
    <w:rsid w:val="0009222B"/>
    <w:rsid w:val="0009295B"/>
    <w:rsid w:val="00092A33"/>
    <w:rsid w:val="00092C4D"/>
    <w:rsid w:val="00092E20"/>
    <w:rsid w:val="00093327"/>
    <w:rsid w:val="000934CD"/>
    <w:rsid w:val="00093AF2"/>
    <w:rsid w:val="000943D4"/>
    <w:rsid w:val="00094FEA"/>
    <w:rsid w:val="00095856"/>
    <w:rsid w:val="00095982"/>
    <w:rsid w:val="00095CFA"/>
    <w:rsid w:val="00096151"/>
    <w:rsid w:val="000961BA"/>
    <w:rsid w:val="00096694"/>
    <w:rsid w:val="0009688F"/>
    <w:rsid w:val="00096DC5"/>
    <w:rsid w:val="000974B3"/>
    <w:rsid w:val="00097675"/>
    <w:rsid w:val="0009789B"/>
    <w:rsid w:val="00097E2E"/>
    <w:rsid w:val="00097F8E"/>
    <w:rsid w:val="000A0134"/>
    <w:rsid w:val="000A0531"/>
    <w:rsid w:val="000A0606"/>
    <w:rsid w:val="000A0701"/>
    <w:rsid w:val="000A0AA3"/>
    <w:rsid w:val="000A0CED"/>
    <w:rsid w:val="000A12FA"/>
    <w:rsid w:val="000A167F"/>
    <w:rsid w:val="000A16CE"/>
    <w:rsid w:val="000A1B98"/>
    <w:rsid w:val="000A1BA4"/>
    <w:rsid w:val="000A1F01"/>
    <w:rsid w:val="000A23EA"/>
    <w:rsid w:val="000A2567"/>
    <w:rsid w:val="000A3622"/>
    <w:rsid w:val="000A3ABA"/>
    <w:rsid w:val="000A3BA0"/>
    <w:rsid w:val="000A3BBF"/>
    <w:rsid w:val="000A4748"/>
    <w:rsid w:val="000A49D9"/>
    <w:rsid w:val="000A4A4A"/>
    <w:rsid w:val="000A4FD8"/>
    <w:rsid w:val="000A5C79"/>
    <w:rsid w:val="000A6196"/>
    <w:rsid w:val="000A71A3"/>
    <w:rsid w:val="000A7AED"/>
    <w:rsid w:val="000A7E42"/>
    <w:rsid w:val="000B05E2"/>
    <w:rsid w:val="000B08B9"/>
    <w:rsid w:val="000B0DFB"/>
    <w:rsid w:val="000B1187"/>
    <w:rsid w:val="000B1716"/>
    <w:rsid w:val="000B1CE0"/>
    <w:rsid w:val="000B1CE4"/>
    <w:rsid w:val="000B1ECB"/>
    <w:rsid w:val="000B28EE"/>
    <w:rsid w:val="000B2A62"/>
    <w:rsid w:val="000B30EA"/>
    <w:rsid w:val="000B30F6"/>
    <w:rsid w:val="000B33EE"/>
    <w:rsid w:val="000B43C7"/>
    <w:rsid w:val="000B475D"/>
    <w:rsid w:val="000B5166"/>
    <w:rsid w:val="000B5892"/>
    <w:rsid w:val="000B590A"/>
    <w:rsid w:val="000B6D79"/>
    <w:rsid w:val="000B6DA8"/>
    <w:rsid w:val="000B72EF"/>
    <w:rsid w:val="000B755E"/>
    <w:rsid w:val="000B7F5B"/>
    <w:rsid w:val="000C08F4"/>
    <w:rsid w:val="000C096B"/>
    <w:rsid w:val="000C09C6"/>
    <w:rsid w:val="000C0CB2"/>
    <w:rsid w:val="000C0D8C"/>
    <w:rsid w:val="000C10C9"/>
    <w:rsid w:val="000C16A3"/>
    <w:rsid w:val="000C19D9"/>
    <w:rsid w:val="000C21B9"/>
    <w:rsid w:val="000C24FA"/>
    <w:rsid w:val="000C26B9"/>
    <w:rsid w:val="000C279D"/>
    <w:rsid w:val="000C3659"/>
    <w:rsid w:val="000C367C"/>
    <w:rsid w:val="000C36FA"/>
    <w:rsid w:val="000C397B"/>
    <w:rsid w:val="000C3B57"/>
    <w:rsid w:val="000C3B8F"/>
    <w:rsid w:val="000C4788"/>
    <w:rsid w:val="000C4AE9"/>
    <w:rsid w:val="000C509D"/>
    <w:rsid w:val="000C5199"/>
    <w:rsid w:val="000C538A"/>
    <w:rsid w:val="000C5C67"/>
    <w:rsid w:val="000C5D92"/>
    <w:rsid w:val="000C6ABE"/>
    <w:rsid w:val="000C7242"/>
    <w:rsid w:val="000C7781"/>
    <w:rsid w:val="000C786C"/>
    <w:rsid w:val="000C7D36"/>
    <w:rsid w:val="000D0008"/>
    <w:rsid w:val="000D0097"/>
    <w:rsid w:val="000D0A7B"/>
    <w:rsid w:val="000D103B"/>
    <w:rsid w:val="000D1250"/>
    <w:rsid w:val="000D20E6"/>
    <w:rsid w:val="000D2236"/>
    <w:rsid w:val="000D2E8E"/>
    <w:rsid w:val="000D32E5"/>
    <w:rsid w:val="000D33B9"/>
    <w:rsid w:val="000D3EC7"/>
    <w:rsid w:val="000D43AB"/>
    <w:rsid w:val="000D4B46"/>
    <w:rsid w:val="000D5238"/>
    <w:rsid w:val="000D5255"/>
    <w:rsid w:val="000D536D"/>
    <w:rsid w:val="000D55ED"/>
    <w:rsid w:val="000D5F39"/>
    <w:rsid w:val="000D6456"/>
    <w:rsid w:val="000D6FAF"/>
    <w:rsid w:val="000E0045"/>
    <w:rsid w:val="000E0B8B"/>
    <w:rsid w:val="000E0E44"/>
    <w:rsid w:val="000E1446"/>
    <w:rsid w:val="000E1893"/>
    <w:rsid w:val="000E18AA"/>
    <w:rsid w:val="000E263C"/>
    <w:rsid w:val="000E28FA"/>
    <w:rsid w:val="000E3266"/>
    <w:rsid w:val="000E32DB"/>
    <w:rsid w:val="000E35DB"/>
    <w:rsid w:val="000E3766"/>
    <w:rsid w:val="000E451A"/>
    <w:rsid w:val="000E4B69"/>
    <w:rsid w:val="000E4EC6"/>
    <w:rsid w:val="000E511A"/>
    <w:rsid w:val="000E5454"/>
    <w:rsid w:val="000E58BA"/>
    <w:rsid w:val="000E58EB"/>
    <w:rsid w:val="000E5A38"/>
    <w:rsid w:val="000E6E20"/>
    <w:rsid w:val="000E6E30"/>
    <w:rsid w:val="000E7636"/>
    <w:rsid w:val="000E7774"/>
    <w:rsid w:val="000E7A23"/>
    <w:rsid w:val="000F0539"/>
    <w:rsid w:val="000F08FF"/>
    <w:rsid w:val="000F0924"/>
    <w:rsid w:val="000F0D92"/>
    <w:rsid w:val="000F124A"/>
    <w:rsid w:val="000F14D6"/>
    <w:rsid w:val="000F15D7"/>
    <w:rsid w:val="000F2046"/>
    <w:rsid w:val="000F20CE"/>
    <w:rsid w:val="000F2400"/>
    <w:rsid w:val="000F2A32"/>
    <w:rsid w:val="000F2BC6"/>
    <w:rsid w:val="000F3081"/>
    <w:rsid w:val="000F330D"/>
    <w:rsid w:val="000F35BD"/>
    <w:rsid w:val="000F3940"/>
    <w:rsid w:val="000F4C34"/>
    <w:rsid w:val="000F4E93"/>
    <w:rsid w:val="000F4FCF"/>
    <w:rsid w:val="000F57EA"/>
    <w:rsid w:val="000F5A98"/>
    <w:rsid w:val="000F5C7C"/>
    <w:rsid w:val="000F60F4"/>
    <w:rsid w:val="000F6D50"/>
    <w:rsid w:val="000F6E15"/>
    <w:rsid w:val="000F7A3B"/>
    <w:rsid w:val="00100163"/>
    <w:rsid w:val="00100374"/>
    <w:rsid w:val="001006A9"/>
    <w:rsid w:val="00100780"/>
    <w:rsid w:val="00100CA5"/>
    <w:rsid w:val="00100F01"/>
    <w:rsid w:val="0010155C"/>
    <w:rsid w:val="001020F5"/>
    <w:rsid w:val="0010273F"/>
    <w:rsid w:val="0010301D"/>
    <w:rsid w:val="0010326D"/>
    <w:rsid w:val="001034EC"/>
    <w:rsid w:val="0010386C"/>
    <w:rsid w:val="00103A29"/>
    <w:rsid w:val="00104641"/>
    <w:rsid w:val="001052B6"/>
    <w:rsid w:val="00105401"/>
    <w:rsid w:val="001057BA"/>
    <w:rsid w:val="00105C13"/>
    <w:rsid w:val="00106054"/>
    <w:rsid w:val="00106189"/>
    <w:rsid w:val="001061E2"/>
    <w:rsid w:val="001063CE"/>
    <w:rsid w:val="00106661"/>
    <w:rsid w:val="00106EF1"/>
    <w:rsid w:val="00106F15"/>
    <w:rsid w:val="00106F17"/>
    <w:rsid w:val="00107393"/>
    <w:rsid w:val="00107CB3"/>
    <w:rsid w:val="00111096"/>
    <w:rsid w:val="001111BB"/>
    <w:rsid w:val="00111433"/>
    <w:rsid w:val="00111E45"/>
    <w:rsid w:val="00111F3E"/>
    <w:rsid w:val="00111F5F"/>
    <w:rsid w:val="0011208B"/>
    <w:rsid w:val="001127F6"/>
    <w:rsid w:val="001136A0"/>
    <w:rsid w:val="00113CD8"/>
    <w:rsid w:val="00113FDB"/>
    <w:rsid w:val="00114419"/>
    <w:rsid w:val="00114688"/>
    <w:rsid w:val="001146D8"/>
    <w:rsid w:val="0011477D"/>
    <w:rsid w:val="00115275"/>
    <w:rsid w:val="001152FB"/>
    <w:rsid w:val="001160F2"/>
    <w:rsid w:val="001163AB"/>
    <w:rsid w:val="00116A7A"/>
    <w:rsid w:val="00116B30"/>
    <w:rsid w:val="00116DDD"/>
    <w:rsid w:val="00116F84"/>
    <w:rsid w:val="0011702F"/>
    <w:rsid w:val="00117181"/>
    <w:rsid w:val="00117DBF"/>
    <w:rsid w:val="001201E5"/>
    <w:rsid w:val="00120F92"/>
    <w:rsid w:val="001211F0"/>
    <w:rsid w:val="0012142D"/>
    <w:rsid w:val="00121879"/>
    <w:rsid w:val="00121DEB"/>
    <w:rsid w:val="00121FD9"/>
    <w:rsid w:val="00122FDF"/>
    <w:rsid w:val="0012339D"/>
    <w:rsid w:val="00123DF6"/>
    <w:rsid w:val="001244D7"/>
    <w:rsid w:val="0012533B"/>
    <w:rsid w:val="0012588C"/>
    <w:rsid w:val="00125BEC"/>
    <w:rsid w:val="00126221"/>
    <w:rsid w:val="001263F5"/>
    <w:rsid w:val="0012640A"/>
    <w:rsid w:val="001265DE"/>
    <w:rsid w:val="00126D72"/>
    <w:rsid w:val="0012750D"/>
    <w:rsid w:val="0012789C"/>
    <w:rsid w:val="00127C68"/>
    <w:rsid w:val="00130312"/>
    <w:rsid w:val="00130A28"/>
    <w:rsid w:val="00130BEA"/>
    <w:rsid w:val="00130F34"/>
    <w:rsid w:val="0013103A"/>
    <w:rsid w:val="0013117D"/>
    <w:rsid w:val="0013125F"/>
    <w:rsid w:val="001312C7"/>
    <w:rsid w:val="001314D9"/>
    <w:rsid w:val="0013214A"/>
    <w:rsid w:val="00132375"/>
    <w:rsid w:val="001329A3"/>
    <w:rsid w:val="001338D9"/>
    <w:rsid w:val="0013394B"/>
    <w:rsid w:val="001339F2"/>
    <w:rsid w:val="00133A84"/>
    <w:rsid w:val="00134175"/>
    <w:rsid w:val="001341FE"/>
    <w:rsid w:val="0013438A"/>
    <w:rsid w:val="001348A9"/>
    <w:rsid w:val="00134C08"/>
    <w:rsid w:val="00134E46"/>
    <w:rsid w:val="0013566E"/>
    <w:rsid w:val="001356A3"/>
    <w:rsid w:val="00135708"/>
    <w:rsid w:val="00135752"/>
    <w:rsid w:val="0013656B"/>
    <w:rsid w:val="00136BC5"/>
    <w:rsid w:val="00136FA1"/>
    <w:rsid w:val="0013704C"/>
    <w:rsid w:val="00137661"/>
    <w:rsid w:val="001379AF"/>
    <w:rsid w:val="0014033E"/>
    <w:rsid w:val="001405B5"/>
    <w:rsid w:val="00140778"/>
    <w:rsid w:val="00140815"/>
    <w:rsid w:val="00140F0A"/>
    <w:rsid w:val="0014112C"/>
    <w:rsid w:val="00141478"/>
    <w:rsid w:val="001414D5"/>
    <w:rsid w:val="0014176E"/>
    <w:rsid w:val="00141AAE"/>
    <w:rsid w:val="00141BDC"/>
    <w:rsid w:val="00141C07"/>
    <w:rsid w:val="0014261E"/>
    <w:rsid w:val="001427AE"/>
    <w:rsid w:val="00142C17"/>
    <w:rsid w:val="00142C54"/>
    <w:rsid w:val="00143454"/>
    <w:rsid w:val="00143B3B"/>
    <w:rsid w:val="001441E0"/>
    <w:rsid w:val="001444C1"/>
    <w:rsid w:val="00144884"/>
    <w:rsid w:val="00144C87"/>
    <w:rsid w:val="00144D9D"/>
    <w:rsid w:val="001456EE"/>
    <w:rsid w:val="001459AF"/>
    <w:rsid w:val="00145FA5"/>
    <w:rsid w:val="00146BA0"/>
    <w:rsid w:val="00146BC9"/>
    <w:rsid w:val="00146D4B"/>
    <w:rsid w:val="00147CA1"/>
    <w:rsid w:val="00150651"/>
    <w:rsid w:val="00150925"/>
    <w:rsid w:val="001509E4"/>
    <w:rsid w:val="00150E5E"/>
    <w:rsid w:val="00151177"/>
    <w:rsid w:val="0015118A"/>
    <w:rsid w:val="001514B1"/>
    <w:rsid w:val="001526CD"/>
    <w:rsid w:val="001528AA"/>
    <w:rsid w:val="0015355E"/>
    <w:rsid w:val="00153CFF"/>
    <w:rsid w:val="00153EE2"/>
    <w:rsid w:val="00154510"/>
    <w:rsid w:val="0015452D"/>
    <w:rsid w:val="001545BF"/>
    <w:rsid w:val="00154925"/>
    <w:rsid w:val="00154A9D"/>
    <w:rsid w:val="00154C32"/>
    <w:rsid w:val="00154D88"/>
    <w:rsid w:val="00154FDB"/>
    <w:rsid w:val="001550A0"/>
    <w:rsid w:val="00155399"/>
    <w:rsid w:val="001556A5"/>
    <w:rsid w:val="00155EB3"/>
    <w:rsid w:val="001561FA"/>
    <w:rsid w:val="0015668A"/>
    <w:rsid w:val="00156EB2"/>
    <w:rsid w:val="00157D23"/>
    <w:rsid w:val="00160079"/>
    <w:rsid w:val="00160306"/>
    <w:rsid w:val="00160451"/>
    <w:rsid w:val="00160567"/>
    <w:rsid w:val="00160A62"/>
    <w:rsid w:val="00160A83"/>
    <w:rsid w:val="001614BB"/>
    <w:rsid w:val="00161557"/>
    <w:rsid w:val="001619B1"/>
    <w:rsid w:val="00161D3E"/>
    <w:rsid w:val="0016234C"/>
    <w:rsid w:val="00162F61"/>
    <w:rsid w:val="0016317A"/>
    <w:rsid w:val="00163AB1"/>
    <w:rsid w:val="00164207"/>
    <w:rsid w:val="0016424A"/>
    <w:rsid w:val="00164256"/>
    <w:rsid w:val="00164A07"/>
    <w:rsid w:val="00164C1D"/>
    <w:rsid w:val="0016521B"/>
    <w:rsid w:val="0016565D"/>
    <w:rsid w:val="00165BF7"/>
    <w:rsid w:val="00166329"/>
    <w:rsid w:val="00166B5B"/>
    <w:rsid w:val="00166B9E"/>
    <w:rsid w:val="00166F81"/>
    <w:rsid w:val="00166FD8"/>
    <w:rsid w:val="00167774"/>
    <w:rsid w:val="001678D6"/>
    <w:rsid w:val="00170045"/>
    <w:rsid w:val="00170257"/>
    <w:rsid w:val="0017052E"/>
    <w:rsid w:val="00170A7A"/>
    <w:rsid w:val="001713A7"/>
    <w:rsid w:val="00171DD0"/>
    <w:rsid w:val="00172203"/>
    <w:rsid w:val="001724AD"/>
    <w:rsid w:val="0017287A"/>
    <w:rsid w:val="00172BA5"/>
    <w:rsid w:val="00172E6C"/>
    <w:rsid w:val="00173238"/>
    <w:rsid w:val="001734C6"/>
    <w:rsid w:val="0017374D"/>
    <w:rsid w:val="001742F5"/>
    <w:rsid w:val="001744DD"/>
    <w:rsid w:val="00174BF8"/>
    <w:rsid w:val="00174D27"/>
    <w:rsid w:val="00175476"/>
    <w:rsid w:val="00175AA7"/>
    <w:rsid w:val="00175D95"/>
    <w:rsid w:val="001761F9"/>
    <w:rsid w:val="001766AF"/>
    <w:rsid w:val="00176A32"/>
    <w:rsid w:val="00176E7B"/>
    <w:rsid w:val="0017724C"/>
    <w:rsid w:val="00177712"/>
    <w:rsid w:val="0017780D"/>
    <w:rsid w:val="00177A8E"/>
    <w:rsid w:val="00177B35"/>
    <w:rsid w:val="00177C9F"/>
    <w:rsid w:val="00177DF1"/>
    <w:rsid w:val="00180F70"/>
    <w:rsid w:val="00181A79"/>
    <w:rsid w:val="00181DB4"/>
    <w:rsid w:val="001829EF"/>
    <w:rsid w:val="00182B88"/>
    <w:rsid w:val="00182E58"/>
    <w:rsid w:val="0018375C"/>
    <w:rsid w:val="00183B40"/>
    <w:rsid w:val="00183D4F"/>
    <w:rsid w:val="00183DDF"/>
    <w:rsid w:val="001840AB"/>
    <w:rsid w:val="00184224"/>
    <w:rsid w:val="001845AA"/>
    <w:rsid w:val="00184EBF"/>
    <w:rsid w:val="00185186"/>
    <w:rsid w:val="001852F6"/>
    <w:rsid w:val="001853FC"/>
    <w:rsid w:val="00185410"/>
    <w:rsid w:val="001872DB"/>
    <w:rsid w:val="00187D8D"/>
    <w:rsid w:val="00187F4D"/>
    <w:rsid w:val="00190086"/>
    <w:rsid w:val="0019095E"/>
    <w:rsid w:val="00190AA5"/>
    <w:rsid w:val="001914C1"/>
    <w:rsid w:val="0019150A"/>
    <w:rsid w:val="00191885"/>
    <w:rsid w:val="0019209A"/>
    <w:rsid w:val="0019232B"/>
    <w:rsid w:val="001929B7"/>
    <w:rsid w:val="00192D67"/>
    <w:rsid w:val="0019368E"/>
    <w:rsid w:val="00193B0F"/>
    <w:rsid w:val="00194961"/>
    <w:rsid w:val="00194B68"/>
    <w:rsid w:val="00195F24"/>
    <w:rsid w:val="001962D1"/>
    <w:rsid w:val="001966B6"/>
    <w:rsid w:val="00196703"/>
    <w:rsid w:val="00196A1E"/>
    <w:rsid w:val="00196E55"/>
    <w:rsid w:val="00197863"/>
    <w:rsid w:val="0019797D"/>
    <w:rsid w:val="00197B44"/>
    <w:rsid w:val="00197B86"/>
    <w:rsid w:val="00197CF2"/>
    <w:rsid w:val="001A0119"/>
    <w:rsid w:val="001A081E"/>
    <w:rsid w:val="001A0825"/>
    <w:rsid w:val="001A0A6A"/>
    <w:rsid w:val="001A0EB1"/>
    <w:rsid w:val="001A17EF"/>
    <w:rsid w:val="001A1E7B"/>
    <w:rsid w:val="001A1EA2"/>
    <w:rsid w:val="001A2010"/>
    <w:rsid w:val="001A26A2"/>
    <w:rsid w:val="001A2955"/>
    <w:rsid w:val="001A2B2B"/>
    <w:rsid w:val="001A306E"/>
    <w:rsid w:val="001A3350"/>
    <w:rsid w:val="001A37CB"/>
    <w:rsid w:val="001A3BF9"/>
    <w:rsid w:val="001A3D74"/>
    <w:rsid w:val="001A4246"/>
    <w:rsid w:val="001A4CC3"/>
    <w:rsid w:val="001A4D40"/>
    <w:rsid w:val="001A4DF4"/>
    <w:rsid w:val="001A51B5"/>
    <w:rsid w:val="001A522E"/>
    <w:rsid w:val="001A5340"/>
    <w:rsid w:val="001A5370"/>
    <w:rsid w:val="001A5625"/>
    <w:rsid w:val="001A57DC"/>
    <w:rsid w:val="001A5C90"/>
    <w:rsid w:val="001A607D"/>
    <w:rsid w:val="001A67F3"/>
    <w:rsid w:val="001A6808"/>
    <w:rsid w:val="001A6C3E"/>
    <w:rsid w:val="001A76E1"/>
    <w:rsid w:val="001A7D32"/>
    <w:rsid w:val="001B077C"/>
    <w:rsid w:val="001B0DD7"/>
    <w:rsid w:val="001B1193"/>
    <w:rsid w:val="001B144D"/>
    <w:rsid w:val="001B15D8"/>
    <w:rsid w:val="001B1C10"/>
    <w:rsid w:val="001B1CCC"/>
    <w:rsid w:val="001B1FCF"/>
    <w:rsid w:val="001B274A"/>
    <w:rsid w:val="001B2785"/>
    <w:rsid w:val="001B2C53"/>
    <w:rsid w:val="001B38F6"/>
    <w:rsid w:val="001B3C30"/>
    <w:rsid w:val="001B46CA"/>
    <w:rsid w:val="001B5164"/>
    <w:rsid w:val="001B5185"/>
    <w:rsid w:val="001B526D"/>
    <w:rsid w:val="001B534D"/>
    <w:rsid w:val="001B63AC"/>
    <w:rsid w:val="001B649B"/>
    <w:rsid w:val="001B6D31"/>
    <w:rsid w:val="001B6E45"/>
    <w:rsid w:val="001B77BB"/>
    <w:rsid w:val="001B7B91"/>
    <w:rsid w:val="001B7C64"/>
    <w:rsid w:val="001B7CAA"/>
    <w:rsid w:val="001B7E6A"/>
    <w:rsid w:val="001C002A"/>
    <w:rsid w:val="001C0B9B"/>
    <w:rsid w:val="001C0E61"/>
    <w:rsid w:val="001C0E83"/>
    <w:rsid w:val="001C11AF"/>
    <w:rsid w:val="001C12FE"/>
    <w:rsid w:val="001C16E0"/>
    <w:rsid w:val="001C1CAD"/>
    <w:rsid w:val="001C2BCA"/>
    <w:rsid w:val="001C2C7E"/>
    <w:rsid w:val="001C2E47"/>
    <w:rsid w:val="001C3302"/>
    <w:rsid w:val="001C365D"/>
    <w:rsid w:val="001C3919"/>
    <w:rsid w:val="001C46FF"/>
    <w:rsid w:val="001C4890"/>
    <w:rsid w:val="001C4F81"/>
    <w:rsid w:val="001C5227"/>
    <w:rsid w:val="001C54D2"/>
    <w:rsid w:val="001C56B5"/>
    <w:rsid w:val="001C5E63"/>
    <w:rsid w:val="001C63A4"/>
    <w:rsid w:val="001C6486"/>
    <w:rsid w:val="001C64B9"/>
    <w:rsid w:val="001C64E4"/>
    <w:rsid w:val="001C65FB"/>
    <w:rsid w:val="001C671C"/>
    <w:rsid w:val="001C6978"/>
    <w:rsid w:val="001C6D70"/>
    <w:rsid w:val="001C70A8"/>
    <w:rsid w:val="001C76E8"/>
    <w:rsid w:val="001C7ACC"/>
    <w:rsid w:val="001D0850"/>
    <w:rsid w:val="001D0FA6"/>
    <w:rsid w:val="001D1184"/>
    <w:rsid w:val="001D124A"/>
    <w:rsid w:val="001D1563"/>
    <w:rsid w:val="001D1D9F"/>
    <w:rsid w:val="001D2467"/>
    <w:rsid w:val="001D26E3"/>
    <w:rsid w:val="001D2921"/>
    <w:rsid w:val="001D34B5"/>
    <w:rsid w:val="001D40EB"/>
    <w:rsid w:val="001D5D38"/>
    <w:rsid w:val="001D5F07"/>
    <w:rsid w:val="001D5F87"/>
    <w:rsid w:val="001D637D"/>
    <w:rsid w:val="001D68FA"/>
    <w:rsid w:val="001D6ADC"/>
    <w:rsid w:val="001D7836"/>
    <w:rsid w:val="001D7902"/>
    <w:rsid w:val="001D7C23"/>
    <w:rsid w:val="001D7ED4"/>
    <w:rsid w:val="001E066C"/>
    <w:rsid w:val="001E1617"/>
    <w:rsid w:val="001E1B0A"/>
    <w:rsid w:val="001E1C4B"/>
    <w:rsid w:val="001E2027"/>
    <w:rsid w:val="001E273C"/>
    <w:rsid w:val="001E311E"/>
    <w:rsid w:val="001E355B"/>
    <w:rsid w:val="001E3B79"/>
    <w:rsid w:val="001E3C02"/>
    <w:rsid w:val="001E40DF"/>
    <w:rsid w:val="001E458D"/>
    <w:rsid w:val="001E47D0"/>
    <w:rsid w:val="001E49CD"/>
    <w:rsid w:val="001E54C6"/>
    <w:rsid w:val="001E5560"/>
    <w:rsid w:val="001E57ED"/>
    <w:rsid w:val="001E58D6"/>
    <w:rsid w:val="001E62FA"/>
    <w:rsid w:val="001E6596"/>
    <w:rsid w:val="001E74AB"/>
    <w:rsid w:val="001E74D7"/>
    <w:rsid w:val="001E7778"/>
    <w:rsid w:val="001F03D2"/>
    <w:rsid w:val="001F09AA"/>
    <w:rsid w:val="001F1256"/>
    <w:rsid w:val="001F1760"/>
    <w:rsid w:val="001F1BF7"/>
    <w:rsid w:val="001F1CE7"/>
    <w:rsid w:val="001F21C6"/>
    <w:rsid w:val="001F27EC"/>
    <w:rsid w:val="001F2ADD"/>
    <w:rsid w:val="001F2BE4"/>
    <w:rsid w:val="001F2C63"/>
    <w:rsid w:val="001F2CE3"/>
    <w:rsid w:val="001F3A32"/>
    <w:rsid w:val="001F3AC1"/>
    <w:rsid w:val="001F44A3"/>
    <w:rsid w:val="001F4989"/>
    <w:rsid w:val="001F4E26"/>
    <w:rsid w:val="001F513C"/>
    <w:rsid w:val="001F5C9F"/>
    <w:rsid w:val="001F6CA6"/>
    <w:rsid w:val="001F6D68"/>
    <w:rsid w:val="001F7430"/>
    <w:rsid w:val="001F7688"/>
    <w:rsid w:val="002004EA"/>
    <w:rsid w:val="00200E99"/>
    <w:rsid w:val="00201524"/>
    <w:rsid w:val="00201F2B"/>
    <w:rsid w:val="002026C8"/>
    <w:rsid w:val="002029E9"/>
    <w:rsid w:val="00203794"/>
    <w:rsid w:val="00203923"/>
    <w:rsid w:val="002039E2"/>
    <w:rsid w:val="002039FF"/>
    <w:rsid w:val="002041F3"/>
    <w:rsid w:val="00204425"/>
    <w:rsid w:val="00204444"/>
    <w:rsid w:val="00204A7A"/>
    <w:rsid w:val="00204D12"/>
    <w:rsid w:val="00204F85"/>
    <w:rsid w:val="00205395"/>
    <w:rsid w:val="0020546C"/>
    <w:rsid w:val="002054F3"/>
    <w:rsid w:val="002060FD"/>
    <w:rsid w:val="00206396"/>
    <w:rsid w:val="0020649E"/>
    <w:rsid w:val="0020689B"/>
    <w:rsid w:val="00206F59"/>
    <w:rsid w:val="0020736B"/>
    <w:rsid w:val="002075FF"/>
    <w:rsid w:val="00207AA7"/>
    <w:rsid w:val="00207F6D"/>
    <w:rsid w:val="002108DF"/>
    <w:rsid w:val="00210951"/>
    <w:rsid w:val="00210D61"/>
    <w:rsid w:val="00210FF3"/>
    <w:rsid w:val="0021100D"/>
    <w:rsid w:val="00211105"/>
    <w:rsid w:val="00211974"/>
    <w:rsid w:val="00212060"/>
    <w:rsid w:val="002123C0"/>
    <w:rsid w:val="00212A61"/>
    <w:rsid w:val="00212F6C"/>
    <w:rsid w:val="0021343C"/>
    <w:rsid w:val="002136FC"/>
    <w:rsid w:val="00213E7C"/>
    <w:rsid w:val="002141FB"/>
    <w:rsid w:val="00214AEB"/>
    <w:rsid w:val="00215482"/>
    <w:rsid w:val="0021580D"/>
    <w:rsid w:val="0021668E"/>
    <w:rsid w:val="00216C22"/>
    <w:rsid w:val="00216DA1"/>
    <w:rsid w:val="00217AF0"/>
    <w:rsid w:val="00220848"/>
    <w:rsid w:val="00220960"/>
    <w:rsid w:val="00220BAB"/>
    <w:rsid w:val="00220D0F"/>
    <w:rsid w:val="002210EA"/>
    <w:rsid w:val="0022146A"/>
    <w:rsid w:val="00221788"/>
    <w:rsid w:val="002218B5"/>
    <w:rsid w:val="00221A6A"/>
    <w:rsid w:val="00221CA2"/>
    <w:rsid w:val="00221F4D"/>
    <w:rsid w:val="0022203B"/>
    <w:rsid w:val="002220E2"/>
    <w:rsid w:val="00222208"/>
    <w:rsid w:val="00222A72"/>
    <w:rsid w:val="00222B56"/>
    <w:rsid w:val="00223433"/>
    <w:rsid w:val="002240CA"/>
    <w:rsid w:val="0022410B"/>
    <w:rsid w:val="0022423E"/>
    <w:rsid w:val="00224D0E"/>
    <w:rsid w:val="002250DD"/>
    <w:rsid w:val="00225A02"/>
    <w:rsid w:val="00225F9B"/>
    <w:rsid w:val="002266A4"/>
    <w:rsid w:val="00226B30"/>
    <w:rsid w:val="00226E54"/>
    <w:rsid w:val="00227C5C"/>
    <w:rsid w:val="00230028"/>
    <w:rsid w:val="00230666"/>
    <w:rsid w:val="002307B9"/>
    <w:rsid w:val="002307EE"/>
    <w:rsid w:val="002308BC"/>
    <w:rsid w:val="00230DA4"/>
    <w:rsid w:val="0023297B"/>
    <w:rsid w:val="00232A2A"/>
    <w:rsid w:val="002330D6"/>
    <w:rsid w:val="00233755"/>
    <w:rsid w:val="00233A7E"/>
    <w:rsid w:val="00233CC5"/>
    <w:rsid w:val="002346EE"/>
    <w:rsid w:val="00234906"/>
    <w:rsid w:val="00234A09"/>
    <w:rsid w:val="00234AEB"/>
    <w:rsid w:val="00234FC1"/>
    <w:rsid w:val="002354CC"/>
    <w:rsid w:val="00235857"/>
    <w:rsid w:val="002358C8"/>
    <w:rsid w:val="00235ABF"/>
    <w:rsid w:val="00236348"/>
    <w:rsid w:val="00236A11"/>
    <w:rsid w:val="00236AA8"/>
    <w:rsid w:val="00237489"/>
    <w:rsid w:val="00237E3E"/>
    <w:rsid w:val="00240597"/>
    <w:rsid w:val="0024075E"/>
    <w:rsid w:val="002407EF"/>
    <w:rsid w:val="00240C18"/>
    <w:rsid w:val="00241D56"/>
    <w:rsid w:val="00243254"/>
    <w:rsid w:val="00243302"/>
    <w:rsid w:val="00243B48"/>
    <w:rsid w:val="00243EF1"/>
    <w:rsid w:val="002441C4"/>
    <w:rsid w:val="00245138"/>
    <w:rsid w:val="002456F1"/>
    <w:rsid w:val="00245CC8"/>
    <w:rsid w:val="00245E97"/>
    <w:rsid w:val="0024603E"/>
    <w:rsid w:val="002460CA"/>
    <w:rsid w:val="0024659E"/>
    <w:rsid w:val="002467FA"/>
    <w:rsid w:val="00246F8C"/>
    <w:rsid w:val="00247CCF"/>
    <w:rsid w:val="00250991"/>
    <w:rsid w:val="00250A92"/>
    <w:rsid w:val="002513A9"/>
    <w:rsid w:val="0025231E"/>
    <w:rsid w:val="002527FD"/>
    <w:rsid w:val="002532DE"/>
    <w:rsid w:val="002535AE"/>
    <w:rsid w:val="00253C99"/>
    <w:rsid w:val="00253E7E"/>
    <w:rsid w:val="00254038"/>
    <w:rsid w:val="002552EF"/>
    <w:rsid w:val="00255917"/>
    <w:rsid w:val="002559B7"/>
    <w:rsid w:val="00255C91"/>
    <w:rsid w:val="00256095"/>
    <w:rsid w:val="00256212"/>
    <w:rsid w:val="00256230"/>
    <w:rsid w:val="0025637C"/>
    <w:rsid w:val="00256AF9"/>
    <w:rsid w:val="00257118"/>
    <w:rsid w:val="00257626"/>
    <w:rsid w:val="00257B5D"/>
    <w:rsid w:val="00257D3C"/>
    <w:rsid w:val="002600BF"/>
    <w:rsid w:val="002602FA"/>
    <w:rsid w:val="00260530"/>
    <w:rsid w:val="00260C99"/>
    <w:rsid w:val="00260D30"/>
    <w:rsid w:val="00261625"/>
    <w:rsid w:val="00261732"/>
    <w:rsid w:val="00261924"/>
    <w:rsid w:val="00261A66"/>
    <w:rsid w:val="002621B0"/>
    <w:rsid w:val="00263522"/>
    <w:rsid w:val="002640CF"/>
    <w:rsid w:val="00264C62"/>
    <w:rsid w:val="00265064"/>
    <w:rsid w:val="002653CE"/>
    <w:rsid w:val="002653F7"/>
    <w:rsid w:val="00265D32"/>
    <w:rsid w:val="00265E45"/>
    <w:rsid w:val="002667C4"/>
    <w:rsid w:val="00266C79"/>
    <w:rsid w:val="0026726B"/>
    <w:rsid w:val="00267395"/>
    <w:rsid w:val="00267652"/>
    <w:rsid w:val="0027022B"/>
    <w:rsid w:val="002703FE"/>
    <w:rsid w:val="00270917"/>
    <w:rsid w:val="00270AB1"/>
    <w:rsid w:val="00270B24"/>
    <w:rsid w:val="00270BF9"/>
    <w:rsid w:val="00270E42"/>
    <w:rsid w:val="00271278"/>
    <w:rsid w:val="00272121"/>
    <w:rsid w:val="002724EC"/>
    <w:rsid w:val="002729D8"/>
    <w:rsid w:val="00272BA3"/>
    <w:rsid w:val="002730CA"/>
    <w:rsid w:val="002730FC"/>
    <w:rsid w:val="00273275"/>
    <w:rsid w:val="0027338E"/>
    <w:rsid w:val="002739DB"/>
    <w:rsid w:val="002743C4"/>
    <w:rsid w:val="00274457"/>
    <w:rsid w:val="0027454E"/>
    <w:rsid w:val="00274C2F"/>
    <w:rsid w:val="00274E4D"/>
    <w:rsid w:val="00274EA5"/>
    <w:rsid w:val="002750DF"/>
    <w:rsid w:val="002751C7"/>
    <w:rsid w:val="002752C7"/>
    <w:rsid w:val="00275642"/>
    <w:rsid w:val="00275750"/>
    <w:rsid w:val="0027592E"/>
    <w:rsid w:val="00275A02"/>
    <w:rsid w:val="002760F0"/>
    <w:rsid w:val="00276F0A"/>
    <w:rsid w:val="00277615"/>
    <w:rsid w:val="0028013B"/>
    <w:rsid w:val="00280958"/>
    <w:rsid w:val="00280A2E"/>
    <w:rsid w:val="002812C7"/>
    <w:rsid w:val="00281F16"/>
    <w:rsid w:val="00282450"/>
    <w:rsid w:val="00283035"/>
    <w:rsid w:val="0028330A"/>
    <w:rsid w:val="00283446"/>
    <w:rsid w:val="002840E5"/>
    <w:rsid w:val="0028430F"/>
    <w:rsid w:val="0028459E"/>
    <w:rsid w:val="0028467F"/>
    <w:rsid w:val="00284719"/>
    <w:rsid w:val="00284EF8"/>
    <w:rsid w:val="00285958"/>
    <w:rsid w:val="00285A0E"/>
    <w:rsid w:val="00285CC9"/>
    <w:rsid w:val="002864B4"/>
    <w:rsid w:val="00286EC5"/>
    <w:rsid w:val="002879CB"/>
    <w:rsid w:val="00287A57"/>
    <w:rsid w:val="00290181"/>
    <w:rsid w:val="002903CC"/>
    <w:rsid w:val="00290498"/>
    <w:rsid w:val="0029181F"/>
    <w:rsid w:val="002918C4"/>
    <w:rsid w:val="00291C4C"/>
    <w:rsid w:val="00291FD6"/>
    <w:rsid w:val="0029203F"/>
    <w:rsid w:val="002922CF"/>
    <w:rsid w:val="0029231F"/>
    <w:rsid w:val="0029252C"/>
    <w:rsid w:val="00292924"/>
    <w:rsid w:val="00292952"/>
    <w:rsid w:val="0029299D"/>
    <w:rsid w:val="00293473"/>
    <w:rsid w:val="00293A2B"/>
    <w:rsid w:val="00293C0D"/>
    <w:rsid w:val="00293C15"/>
    <w:rsid w:val="00293F62"/>
    <w:rsid w:val="0029428D"/>
    <w:rsid w:val="002944E3"/>
    <w:rsid w:val="002945B1"/>
    <w:rsid w:val="00294820"/>
    <w:rsid w:val="00294B2A"/>
    <w:rsid w:val="002951A2"/>
    <w:rsid w:val="00295AEC"/>
    <w:rsid w:val="00295F73"/>
    <w:rsid w:val="0029652D"/>
    <w:rsid w:val="002967DA"/>
    <w:rsid w:val="002968A1"/>
    <w:rsid w:val="00296EAF"/>
    <w:rsid w:val="00296ED0"/>
    <w:rsid w:val="00296F32"/>
    <w:rsid w:val="0029721A"/>
    <w:rsid w:val="00297819"/>
    <w:rsid w:val="002A00F0"/>
    <w:rsid w:val="002A041B"/>
    <w:rsid w:val="002A06D0"/>
    <w:rsid w:val="002A0B05"/>
    <w:rsid w:val="002A0D1C"/>
    <w:rsid w:val="002A1C08"/>
    <w:rsid w:val="002A25B8"/>
    <w:rsid w:val="002A28A7"/>
    <w:rsid w:val="002A2A1F"/>
    <w:rsid w:val="002A2AFA"/>
    <w:rsid w:val="002A2E8D"/>
    <w:rsid w:val="002A3367"/>
    <w:rsid w:val="002A37AA"/>
    <w:rsid w:val="002A3A98"/>
    <w:rsid w:val="002A4120"/>
    <w:rsid w:val="002A609D"/>
    <w:rsid w:val="002A61CE"/>
    <w:rsid w:val="002A65F0"/>
    <w:rsid w:val="002A6A60"/>
    <w:rsid w:val="002A6BC4"/>
    <w:rsid w:val="002A6DBC"/>
    <w:rsid w:val="002A70F8"/>
    <w:rsid w:val="002A72B8"/>
    <w:rsid w:val="002A72FD"/>
    <w:rsid w:val="002A7A1D"/>
    <w:rsid w:val="002A7C94"/>
    <w:rsid w:val="002A7CE9"/>
    <w:rsid w:val="002A7EF5"/>
    <w:rsid w:val="002B02F8"/>
    <w:rsid w:val="002B06BD"/>
    <w:rsid w:val="002B0B2F"/>
    <w:rsid w:val="002B1F01"/>
    <w:rsid w:val="002B210A"/>
    <w:rsid w:val="002B23DF"/>
    <w:rsid w:val="002B2B0F"/>
    <w:rsid w:val="002B2EF6"/>
    <w:rsid w:val="002B353B"/>
    <w:rsid w:val="002B3A21"/>
    <w:rsid w:val="002B3CB5"/>
    <w:rsid w:val="002B3D3B"/>
    <w:rsid w:val="002B4362"/>
    <w:rsid w:val="002B43DF"/>
    <w:rsid w:val="002B4756"/>
    <w:rsid w:val="002B4A88"/>
    <w:rsid w:val="002B4D58"/>
    <w:rsid w:val="002B53E3"/>
    <w:rsid w:val="002B5C24"/>
    <w:rsid w:val="002B5CC8"/>
    <w:rsid w:val="002B5FD8"/>
    <w:rsid w:val="002B67C1"/>
    <w:rsid w:val="002B691C"/>
    <w:rsid w:val="002B6924"/>
    <w:rsid w:val="002B6EE6"/>
    <w:rsid w:val="002B71B3"/>
    <w:rsid w:val="002B7271"/>
    <w:rsid w:val="002C0362"/>
    <w:rsid w:val="002C0805"/>
    <w:rsid w:val="002C0987"/>
    <w:rsid w:val="002C0B8E"/>
    <w:rsid w:val="002C0BDB"/>
    <w:rsid w:val="002C0F71"/>
    <w:rsid w:val="002C0FEC"/>
    <w:rsid w:val="002C1299"/>
    <w:rsid w:val="002C1573"/>
    <w:rsid w:val="002C15E1"/>
    <w:rsid w:val="002C1CB3"/>
    <w:rsid w:val="002C1EE7"/>
    <w:rsid w:val="002C2A11"/>
    <w:rsid w:val="002C301F"/>
    <w:rsid w:val="002C36D7"/>
    <w:rsid w:val="002C373C"/>
    <w:rsid w:val="002C3D67"/>
    <w:rsid w:val="002C4AC9"/>
    <w:rsid w:val="002C4B77"/>
    <w:rsid w:val="002C5463"/>
    <w:rsid w:val="002C5B38"/>
    <w:rsid w:val="002C70DB"/>
    <w:rsid w:val="002C7514"/>
    <w:rsid w:val="002C776B"/>
    <w:rsid w:val="002C7B88"/>
    <w:rsid w:val="002C7FE8"/>
    <w:rsid w:val="002D007B"/>
    <w:rsid w:val="002D0241"/>
    <w:rsid w:val="002D13E4"/>
    <w:rsid w:val="002D1666"/>
    <w:rsid w:val="002D179B"/>
    <w:rsid w:val="002D199F"/>
    <w:rsid w:val="002D1C69"/>
    <w:rsid w:val="002D1CDD"/>
    <w:rsid w:val="002D1FAF"/>
    <w:rsid w:val="002D274B"/>
    <w:rsid w:val="002D28BE"/>
    <w:rsid w:val="002D2CDD"/>
    <w:rsid w:val="002D307A"/>
    <w:rsid w:val="002D36AB"/>
    <w:rsid w:val="002D3FEF"/>
    <w:rsid w:val="002D412F"/>
    <w:rsid w:val="002D4760"/>
    <w:rsid w:val="002D4ADC"/>
    <w:rsid w:val="002D56C3"/>
    <w:rsid w:val="002D5799"/>
    <w:rsid w:val="002D5EA6"/>
    <w:rsid w:val="002D6858"/>
    <w:rsid w:val="002D6A56"/>
    <w:rsid w:val="002D6AA8"/>
    <w:rsid w:val="002D6BEF"/>
    <w:rsid w:val="002D6D4A"/>
    <w:rsid w:val="002D6EA3"/>
    <w:rsid w:val="002D6F54"/>
    <w:rsid w:val="002D7ECC"/>
    <w:rsid w:val="002E007D"/>
    <w:rsid w:val="002E00F3"/>
    <w:rsid w:val="002E024E"/>
    <w:rsid w:val="002E0909"/>
    <w:rsid w:val="002E092C"/>
    <w:rsid w:val="002E1085"/>
    <w:rsid w:val="002E1136"/>
    <w:rsid w:val="002E129E"/>
    <w:rsid w:val="002E1419"/>
    <w:rsid w:val="002E1691"/>
    <w:rsid w:val="002E174B"/>
    <w:rsid w:val="002E17DD"/>
    <w:rsid w:val="002E1D0C"/>
    <w:rsid w:val="002E1D1E"/>
    <w:rsid w:val="002E23EB"/>
    <w:rsid w:val="002E24DF"/>
    <w:rsid w:val="002E2D8F"/>
    <w:rsid w:val="002E3864"/>
    <w:rsid w:val="002E3CF3"/>
    <w:rsid w:val="002E4185"/>
    <w:rsid w:val="002E41BD"/>
    <w:rsid w:val="002E4A30"/>
    <w:rsid w:val="002E4B5A"/>
    <w:rsid w:val="002E4D7A"/>
    <w:rsid w:val="002E4F3F"/>
    <w:rsid w:val="002E5381"/>
    <w:rsid w:val="002E5394"/>
    <w:rsid w:val="002E574C"/>
    <w:rsid w:val="002E5F2D"/>
    <w:rsid w:val="002E5FB8"/>
    <w:rsid w:val="002E6256"/>
    <w:rsid w:val="002E641C"/>
    <w:rsid w:val="002E6EA0"/>
    <w:rsid w:val="002E70A0"/>
    <w:rsid w:val="002E7359"/>
    <w:rsid w:val="002E76AF"/>
    <w:rsid w:val="002E78F4"/>
    <w:rsid w:val="002E7C4F"/>
    <w:rsid w:val="002F0114"/>
    <w:rsid w:val="002F15C3"/>
    <w:rsid w:val="002F1D00"/>
    <w:rsid w:val="002F22E0"/>
    <w:rsid w:val="002F32A6"/>
    <w:rsid w:val="002F32AC"/>
    <w:rsid w:val="002F3727"/>
    <w:rsid w:val="002F3F05"/>
    <w:rsid w:val="002F40A3"/>
    <w:rsid w:val="002F47D1"/>
    <w:rsid w:val="002F49D2"/>
    <w:rsid w:val="002F49DB"/>
    <w:rsid w:val="002F4A5E"/>
    <w:rsid w:val="002F4B27"/>
    <w:rsid w:val="002F519D"/>
    <w:rsid w:val="002F5281"/>
    <w:rsid w:val="002F5580"/>
    <w:rsid w:val="002F56A5"/>
    <w:rsid w:val="002F57A4"/>
    <w:rsid w:val="002F57BC"/>
    <w:rsid w:val="002F59BE"/>
    <w:rsid w:val="002F5CC6"/>
    <w:rsid w:val="002F6424"/>
    <w:rsid w:val="002F6448"/>
    <w:rsid w:val="002F66D9"/>
    <w:rsid w:val="002F6808"/>
    <w:rsid w:val="002F71CB"/>
    <w:rsid w:val="002F740A"/>
    <w:rsid w:val="002F74DC"/>
    <w:rsid w:val="002F75BD"/>
    <w:rsid w:val="002F77B5"/>
    <w:rsid w:val="00300E5A"/>
    <w:rsid w:val="0030222B"/>
    <w:rsid w:val="003025E2"/>
    <w:rsid w:val="0030271F"/>
    <w:rsid w:val="0030390B"/>
    <w:rsid w:val="003043DF"/>
    <w:rsid w:val="003046FB"/>
    <w:rsid w:val="00304880"/>
    <w:rsid w:val="00304933"/>
    <w:rsid w:val="00304B0E"/>
    <w:rsid w:val="00304B44"/>
    <w:rsid w:val="00304D92"/>
    <w:rsid w:val="00304EB2"/>
    <w:rsid w:val="00304EDB"/>
    <w:rsid w:val="00305019"/>
    <w:rsid w:val="00305274"/>
    <w:rsid w:val="00305318"/>
    <w:rsid w:val="0030560F"/>
    <w:rsid w:val="0030633E"/>
    <w:rsid w:val="00306588"/>
    <w:rsid w:val="003065CF"/>
    <w:rsid w:val="0030671B"/>
    <w:rsid w:val="00306C13"/>
    <w:rsid w:val="00306EE2"/>
    <w:rsid w:val="003071CF"/>
    <w:rsid w:val="00307A9D"/>
    <w:rsid w:val="00310151"/>
    <w:rsid w:val="003106BD"/>
    <w:rsid w:val="00311332"/>
    <w:rsid w:val="00311470"/>
    <w:rsid w:val="0031153A"/>
    <w:rsid w:val="003119B9"/>
    <w:rsid w:val="00311C91"/>
    <w:rsid w:val="00311EE7"/>
    <w:rsid w:val="00311F3F"/>
    <w:rsid w:val="00312094"/>
    <w:rsid w:val="00312C5C"/>
    <w:rsid w:val="003138C5"/>
    <w:rsid w:val="00313CCB"/>
    <w:rsid w:val="003140A3"/>
    <w:rsid w:val="003143B9"/>
    <w:rsid w:val="00314663"/>
    <w:rsid w:val="003146D9"/>
    <w:rsid w:val="00314718"/>
    <w:rsid w:val="00314E12"/>
    <w:rsid w:val="00314F94"/>
    <w:rsid w:val="003151C6"/>
    <w:rsid w:val="00315C87"/>
    <w:rsid w:val="003160BE"/>
    <w:rsid w:val="0031634A"/>
    <w:rsid w:val="00316528"/>
    <w:rsid w:val="003166C5"/>
    <w:rsid w:val="003171AF"/>
    <w:rsid w:val="00317210"/>
    <w:rsid w:val="003178E6"/>
    <w:rsid w:val="00317BD8"/>
    <w:rsid w:val="0032050F"/>
    <w:rsid w:val="0032093C"/>
    <w:rsid w:val="00320B52"/>
    <w:rsid w:val="00320C44"/>
    <w:rsid w:val="00320DFF"/>
    <w:rsid w:val="00321B68"/>
    <w:rsid w:val="00321BA6"/>
    <w:rsid w:val="00321D6D"/>
    <w:rsid w:val="00322077"/>
    <w:rsid w:val="003224B0"/>
    <w:rsid w:val="00322B29"/>
    <w:rsid w:val="00322BD7"/>
    <w:rsid w:val="00322D89"/>
    <w:rsid w:val="00323099"/>
    <w:rsid w:val="003230E4"/>
    <w:rsid w:val="00323A55"/>
    <w:rsid w:val="00324445"/>
    <w:rsid w:val="00324D48"/>
    <w:rsid w:val="00324D4B"/>
    <w:rsid w:val="00324F83"/>
    <w:rsid w:val="0032562E"/>
    <w:rsid w:val="00325F87"/>
    <w:rsid w:val="00326068"/>
    <w:rsid w:val="00326238"/>
    <w:rsid w:val="00326291"/>
    <w:rsid w:val="003262D3"/>
    <w:rsid w:val="003269B8"/>
    <w:rsid w:val="00327454"/>
    <w:rsid w:val="0033045D"/>
    <w:rsid w:val="00330484"/>
    <w:rsid w:val="0033057A"/>
    <w:rsid w:val="003306E5"/>
    <w:rsid w:val="00330E93"/>
    <w:rsid w:val="00331278"/>
    <w:rsid w:val="00331283"/>
    <w:rsid w:val="0033157B"/>
    <w:rsid w:val="00331EBF"/>
    <w:rsid w:val="00332227"/>
    <w:rsid w:val="0033235C"/>
    <w:rsid w:val="0033242E"/>
    <w:rsid w:val="0033287D"/>
    <w:rsid w:val="00333072"/>
    <w:rsid w:val="0033310C"/>
    <w:rsid w:val="00333349"/>
    <w:rsid w:val="00333425"/>
    <w:rsid w:val="00333734"/>
    <w:rsid w:val="0033405A"/>
    <w:rsid w:val="003340DB"/>
    <w:rsid w:val="00334311"/>
    <w:rsid w:val="0033471D"/>
    <w:rsid w:val="00335054"/>
    <w:rsid w:val="003352F9"/>
    <w:rsid w:val="00335498"/>
    <w:rsid w:val="0033593C"/>
    <w:rsid w:val="0033677F"/>
    <w:rsid w:val="00336BF3"/>
    <w:rsid w:val="0033717C"/>
    <w:rsid w:val="00337529"/>
    <w:rsid w:val="00337F66"/>
    <w:rsid w:val="00337FCC"/>
    <w:rsid w:val="00340376"/>
    <w:rsid w:val="0034038F"/>
    <w:rsid w:val="0034093C"/>
    <w:rsid w:val="00340A77"/>
    <w:rsid w:val="00340B0A"/>
    <w:rsid w:val="00340BAE"/>
    <w:rsid w:val="00341256"/>
    <w:rsid w:val="00341510"/>
    <w:rsid w:val="00341533"/>
    <w:rsid w:val="003417D5"/>
    <w:rsid w:val="00341D64"/>
    <w:rsid w:val="00342576"/>
    <w:rsid w:val="0034294F"/>
    <w:rsid w:val="00342FE8"/>
    <w:rsid w:val="003433E8"/>
    <w:rsid w:val="00343940"/>
    <w:rsid w:val="00343B66"/>
    <w:rsid w:val="003441C7"/>
    <w:rsid w:val="00344401"/>
    <w:rsid w:val="00344554"/>
    <w:rsid w:val="0034485D"/>
    <w:rsid w:val="00344873"/>
    <w:rsid w:val="00345534"/>
    <w:rsid w:val="003457D4"/>
    <w:rsid w:val="00345CE4"/>
    <w:rsid w:val="003473E0"/>
    <w:rsid w:val="003476C7"/>
    <w:rsid w:val="00347845"/>
    <w:rsid w:val="00347DC6"/>
    <w:rsid w:val="00347E6F"/>
    <w:rsid w:val="0035085C"/>
    <w:rsid w:val="00350DEC"/>
    <w:rsid w:val="0035131C"/>
    <w:rsid w:val="00351588"/>
    <w:rsid w:val="00351F3D"/>
    <w:rsid w:val="003524A0"/>
    <w:rsid w:val="00352FF5"/>
    <w:rsid w:val="0035317A"/>
    <w:rsid w:val="00353402"/>
    <w:rsid w:val="00353A46"/>
    <w:rsid w:val="003542CC"/>
    <w:rsid w:val="00354597"/>
    <w:rsid w:val="00354D26"/>
    <w:rsid w:val="003557B7"/>
    <w:rsid w:val="003558A9"/>
    <w:rsid w:val="00356699"/>
    <w:rsid w:val="00356B4D"/>
    <w:rsid w:val="00356C6C"/>
    <w:rsid w:val="00356EFF"/>
    <w:rsid w:val="00356F0D"/>
    <w:rsid w:val="003579BE"/>
    <w:rsid w:val="0036007A"/>
    <w:rsid w:val="003604A0"/>
    <w:rsid w:val="00360F58"/>
    <w:rsid w:val="00360F82"/>
    <w:rsid w:val="0036143B"/>
    <w:rsid w:val="00361CE3"/>
    <w:rsid w:val="003620B4"/>
    <w:rsid w:val="00364016"/>
    <w:rsid w:val="0036553E"/>
    <w:rsid w:val="00365813"/>
    <w:rsid w:val="00365B22"/>
    <w:rsid w:val="00366934"/>
    <w:rsid w:val="00366988"/>
    <w:rsid w:val="00366CF7"/>
    <w:rsid w:val="00367E65"/>
    <w:rsid w:val="0037006A"/>
    <w:rsid w:val="0037008D"/>
    <w:rsid w:val="003703F3"/>
    <w:rsid w:val="003708C0"/>
    <w:rsid w:val="00371601"/>
    <w:rsid w:val="0037161F"/>
    <w:rsid w:val="0037183D"/>
    <w:rsid w:val="003718FA"/>
    <w:rsid w:val="00371A4E"/>
    <w:rsid w:val="00371BC4"/>
    <w:rsid w:val="0037224B"/>
    <w:rsid w:val="003726AC"/>
    <w:rsid w:val="0037287D"/>
    <w:rsid w:val="00373509"/>
    <w:rsid w:val="00373656"/>
    <w:rsid w:val="003738E6"/>
    <w:rsid w:val="0037394C"/>
    <w:rsid w:val="00373FA0"/>
    <w:rsid w:val="0037424D"/>
    <w:rsid w:val="003742A4"/>
    <w:rsid w:val="003743F0"/>
    <w:rsid w:val="003745DA"/>
    <w:rsid w:val="00374965"/>
    <w:rsid w:val="00375005"/>
    <w:rsid w:val="0037556A"/>
    <w:rsid w:val="003755E9"/>
    <w:rsid w:val="003760D7"/>
    <w:rsid w:val="003765B2"/>
    <w:rsid w:val="003765E7"/>
    <w:rsid w:val="0037691C"/>
    <w:rsid w:val="00376A69"/>
    <w:rsid w:val="00376B70"/>
    <w:rsid w:val="00376D01"/>
    <w:rsid w:val="00377B3F"/>
    <w:rsid w:val="00377E29"/>
    <w:rsid w:val="00380450"/>
    <w:rsid w:val="003806E7"/>
    <w:rsid w:val="00380906"/>
    <w:rsid w:val="00380C1C"/>
    <w:rsid w:val="00380FED"/>
    <w:rsid w:val="00381448"/>
    <w:rsid w:val="003815C0"/>
    <w:rsid w:val="0038202F"/>
    <w:rsid w:val="00382270"/>
    <w:rsid w:val="003825B9"/>
    <w:rsid w:val="00382DC0"/>
    <w:rsid w:val="00382EAA"/>
    <w:rsid w:val="00383052"/>
    <w:rsid w:val="003831BE"/>
    <w:rsid w:val="0038365F"/>
    <w:rsid w:val="00383A53"/>
    <w:rsid w:val="00383AAD"/>
    <w:rsid w:val="00383BA4"/>
    <w:rsid w:val="003840F5"/>
    <w:rsid w:val="003851CD"/>
    <w:rsid w:val="0038529A"/>
    <w:rsid w:val="00385430"/>
    <w:rsid w:val="0038581A"/>
    <w:rsid w:val="00385A8A"/>
    <w:rsid w:val="00385FC1"/>
    <w:rsid w:val="0038662E"/>
    <w:rsid w:val="00386C8D"/>
    <w:rsid w:val="00386FDA"/>
    <w:rsid w:val="00387AB9"/>
    <w:rsid w:val="00390022"/>
    <w:rsid w:val="003903BA"/>
    <w:rsid w:val="0039066C"/>
    <w:rsid w:val="00390C07"/>
    <w:rsid w:val="00390D5C"/>
    <w:rsid w:val="00391544"/>
    <w:rsid w:val="00391CAE"/>
    <w:rsid w:val="00391EAA"/>
    <w:rsid w:val="00392162"/>
    <w:rsid w:val="003924F6"/>
    <w:rsid w:val="003925AB"/>
    <w:rsid w:val="003925BB"/>
    <w:rsid w:val="00392DC9"/>
    <w:rsid w:val="0039366E"/>
    <w:rsid w:val="00393CC5"/>
    <w:rsid w:val="00393DDA"/>
    <w:rsid w:val="00394933"/>
    <w:rsid w:val="00394D38"/>
    <w:rsid w:val="00394FB5"/>
    <w:rsid w:val="003950C2"/>
    <w:rsid w:val="003951E0"/>
    <w:rsid w:val="003953E5"/>
    <w:rsid w:val="003956FA"/>
    <w:rsid w:val="003956FD"/>
    <w:rsid w:val="00396485"/>
    <w:rsid w:val="00396627"/>
    <w:rsid w:val="0039680B"/>
    <w:rsid w:val="00396E96"/>
    <w:rsid w:val="0039710F"/>
    <w:rsid w:val="00397765"/>
    <w:rsid w:val="00397C75"/>
    <w:rsid w:val="003A01FB"/>
    <w:rsid w:val="003A0527"/>
    <w:rsid w:val="003A053A"/>
    <w:rsid w:val="003A0976"/>
    <w:rsid w:val="003A09CA"/>
    <w:rsid w:val="003A0A9C"/>
    <w:rsid w:val="003A10A0"/>
    <w:rsid w:val="003A1655"/>
    <w:rsid w:val="003A1A8F"/>
    <w:rsid w:val="003A20EB"/>
    <w:rsid w:val="003A31AF"/>
    <w:rsid w:val="003A3C4B"/>
    <w:rsid w:val="003A4054"/>
    <w:rsid w:val="003A4147"/>
    <w:rsid w:val="003A422C"/>
    <w:rsid w:val="003A46D4"/>
    <w:rsid w:val="003A5605"/>
    <w:rsid w:val="003A57F8"/>
    <w:rsid w:val="003A595B"/>
    <w:rsid w:val="003A5F36"/>
    <w:rsid w:val="003A72B6"/>
    <w:rsid w:val="003A759F"/>
    <w:rsid w:val="003A7768"/>
    <w:rsid w:val="003A781C"/>
    <w:rsid w:val="003A7894"/>
    <w:rsid w:val="003A79BC"/>
    <w:rsid w:val="003A7C85"/>
    <w:rsid w:val="003B02F4"/>
    <w:rsid w:val="003B0720"/>
    <w:rsid w:val="003B0D7B"/>
    <w:rsid w:val="003B2683"/>
    <w:rsid w:val="003B2B04"/>
    <w:rsid w:val="003B2E50"/>
    <w:rsid w:val="003B34C5"/>
    <w:rsid w:val="003B3A4D"/>
    <w:rsid w:val="003B427D"/>
    <w:rsid w:val="003B4713"/>
    <w:rsid w:val="003B5511"/>
    <w:rsid w:val="003B5514"/>
    <w:rsid w:val="003B55B6"/>
    <w:rsid w:val="003B55F8"/>
    <w:rsid w:val="003B56A5"/>
    <w:rsid w:val="003B648B"/>
    <w:rsid w:val="003B677B"/>
    <w:rsid w:val="003B6AB5"/>
    <w:rsid w:val="003B6CFD"/>
    <w:rsid w:val="003B70DF"/>
    <w:rsid w:val="003B7711"/>
    <w:rsid w:val="003B79A5"/>
    <w:rsid w:val="003B7B72"/>
    <w:rsid w:val="003C041C"/>
    <w:rsid w:val="003C0BC5"/>
    <w:rsid w:val="003C0F64"/>
    <w:rsid w:val="003C10A3"/>
    <w:rsid w:val="003C15A7"/>
    <w:rsid w:val="003C16BB"/>
    <w:rsid w:val="003C187A"/>
    <w:rsid w:val="003C1FAF"/>
    <w:rsid w:val="003C2123"/>
    <w:rsid w:val="003C257F"/>
    <w:rsid w:val="003C3125"/>
    <w:rsid w:val="003C31C1"/>
    <w:rsid w:val="003C3924"/>
    <w:rsid w:val="003C39B8"/>
    <w:rsid w:val="003C3A0E"/>
    <w:rsid w:val="003C3EF5"/>
    <w:rsid w:val="003C41B4"/>
    <w:rsid w:val="003C42BD"/>
    <w:rsid w:val="003C45D9"/>
    <w:rsid w:val="003C4875"/>
    <w:rsid w:val="003C4ABB"/>
    <w:rsid w:val="003C50EF"/>
    <w:rsid w:val="003C51B2"/>
    <w:rsid w:val="003C5519"/>
    <w:rsid w:val="003C5D05"/>
    <w:rsid w:val="003C6E2D"/>
    <w:rsid w:val="003C71DD"/>
    <w:rsid w:val="003C779A"/>
    <w:rsid w:val="003D00F1"/>
    <w:rsid w:val="003D04B4"/>
    <w:rsid w:val="003D0DDE"/>
    <w:rsid w:val="003D1377"/>
    <w:rsid w:val="003D145C"/>
    <w:rsid w:val="003D14F5"/>
    <w:rsid w:val="003D1EF8"/>
    <w:rsid w:val="003D205F"/>
    <w:rsid w:val="003D231D"/>
    <w:rsid w:val="003D26CD"/>
    <w:rsid w:val="003D3191"/>
    <w:rsid w:val="003D33CF"/>
    <w:rsid w:val="003D3732"/>
    <w:rsid w:val="003D3AAE"/>
    <w:rsid w:val="003D3C9E"/>
    <w:rsid w:val="003D3D0C"/>
    <w:rsid w:val="003D3FD6"/>
    <w:rsid w:val="003D43BD"/>
    <w:rsid w:val="003D4425"/>
    <w:rsid w:val="003D4484"/>
    <w:rsid w:val="003D4B3F"/>
    <w:rsid w:val="003D549D"/>
    <w:rsid w:val="003D65B3"/>
    <w:rsid w:val="003D6BCD"/>
    <w:rsid w:val="003D6DC9"/>
    <w:rsid w:val="003D7003"/>
    <w:rsid w:val="003D7061"/>
    <w:rsid w:val="003D72DC"/>
    <w:rsid w:val="003D7758"/>
    <w:rsid w:val="003E0195"/>
    <w:rsid w:val="003E0A9B"/>
    <w:rsid w:val="003E0AC9"/>
    <w:rsid w:val="003E10D5"/>
    <w:rsid w:val="003E117D"/>
    <w:rsid w:val="003E1487"/>
    <w:rsid w:val="003E2031"/>
    <w:rsid w:val="003E20D6"/>
    <w:rsid w:val="003E2533"/>
    <w:rsid w:val="003E2D2D"/>
    <w:rsid w:val="003E3053"/>
    <w:rsid w:val="003E32FE"/>
    <w:rsid w:val="003E3BF7"/>
    <w:rsid w:val="003E3CA6"/>
    <w:rsid w:val="003E3EA5"/>
    <w:rsid w:val="003E45D3"/>
    <w:rsid w:val="003E489B"/>
    <w:rsid w:val="003E5C11"/>
    <w:rsid w:val="003E600F"/>
    <w:rsid w:val="003E632D"/>
    <w:rsid w:val="003E6413"/>
    <w:rsid w:val="003E65E8"/>
    <w:rsid w:val="003E6675"/>
    <w:rsid w:val="003E676B"/>
    <w:rsid w:val="003E69F0"/>
    <w:rsid w:val="003E6E0C"/>
    <w:rsid w:val="003E6FC7"/>
    <w:rsid w:val="003E73F2"/>
    <w:rsid w:val="003E7821"/>
    <w:rsid w:val="003E7EFE"/>
    <w:rsid w:val="003F008F"/>
    <w:rsid w:val="003F0437"/>
    <w:rsid w:val="003F074A"/>
    <w:rsid w:val="003F0A18"/>
    <w:rsid w:val="003F0A39"/>
    <w:rsid w:val="003F0BDA"/>
    <w:rsid w:val="003F0E46"/>
    <w:rsid w:val="003F1157"/>
    <w:rsid w:val="003F1A58"/>
    <w:rsid w:val="003F1C42"/>
    <w:rsid w:val="003F23C9"/>
    <w:rsid w:val="003F2747"/>
    <w:rsid w:val="003F27C4"/>
    <w:rsid w:val="003F29B9"/>
    <w:rsid w:val="003F2BA4"/>
    <w:rsid w:val="003F2CA3"/>
    <w:rsid w:val="003F2DB9"/>
    <w:rsid w:val="003F32F1"/>
    <w:rsid w:val="003F3417"/>
    <w:rsid w:val="003F34E6"/>
    <w:rsid w:val="003F3500"/>
    <w:rsid w:val="003F415E"/>
    <w:rsid w:val="003F46FD"/>
    <w:rsid w:val="003F4CCE"/>
    <w:rsid w:val="003F4E0E"/>
    <w:rsid w:val="003F5383"/>
    <w:rsid w:val="003F6177"/>
    <w:rsid w:val="003F63B2"/>
    <w:rsid w:val="003F666A"/>
    <w:rsid w:val="003F670C"/>
    <w:rsid w:val="003F6934"/>
    <w:rsid w:val="003F7701"/>
    <w:rsid w:val="003F77E9"/>
    <w:rsid w:val="003F7A45"/>
    <w:rsid w:val="003F7C4B"/>
    <w:rsid w:val="003F7E3E"/>
    <w:rsid w:val="0040032A"/>
    <w:rsid w:val="00400977"/>
    <w:rsid w:val="004009DD"/>
    <w:rsid w:val="00400B72"/>
    <w:rsid w:val="00400E17"/>
    <w:rsid w:val="00401596"/>
    <w:rsid w:val="004018E5"/>
    <w:rsid w:val="00401924"/>
    <w:rsid w:val="00401AE5"/>
    <w:rsid w:val="0040241F"/>
    <w:rsid w:val="00402B99"/>
    <w:rsid w:val="0040358D"/>
    <w:rsid w:val="004039F0"/>
    <w:rsid w:val="00403A4B"/>
    <w:rsid w:val="00403AEE"/>
    <w:rsid w:val="00403B0E"/>
    <w:rsid w:val="00404352"/>
    <w:rsid w:val="00404496"/>
    <w:rsid w:val="004046CE"/>
    <w:rsid w:val="0040491D"/>
    <w:rsid w:val="00404DB8"/>
    <w:rsid w:val="0040554B"/>
    <w:rsid w:val="00405795"/>
    <w:rsid w:val="00405836"/>
    <w:rsid w:val="00405B8E"/>
    <w:rsid w:val="00406829"/>
    <w:rsid w:val="00406AFF"/>
    <w:rsid w:val="00406E40"/>
    <w:rsid w:val="00407627"/>
    <w:rsid w:val="00407783"/>
    <w:rsid w:val="0040791D"/>
    <w:rsid w:val="00407BC5"/>
    <w:rsid w:val="00410075"/>
    <w:rsid w:val="00410302"/>
    <w:rsid w:val="004107F1"/>
    <w:rsid w:val="00410DD7"/>
    <w:rsid w:val="00411858"/>
    <w:rsid w:val="0041194E"/>
    <w:rsid w:val="00411A13"/>
    <w:rsid w:val="00411DEC"/>
    <w:rsid w:val="00411E17"/>
    <w:rsid w:val="00412028"/>
    <w:rsid w:val="00412175"/>
    <w:rsid w:val="004128B7"/>
    <w:rsid w:val="004129AE"/>
    <w:rsid w:val="00412B74"/>
    <w:rsid w:val="004130D9"/>
    <w:rsid w:val="0041318E"/>
    <w:rsid w:val="00413A4D"/>
    <w:rsid w:val="00414126"/>
    <w:rsid w:val="004149A2"/>
    <w:rsid w:val="0041504C"/>
    <w:rsid w:val="00415B6B"/>
    <w:rsid w:val="00415E69"/>
    <w:rsid w:val="0041662B"/>
    <w:rsid w:val="00416641"/>
    <w:rsid w:val="00416C42"/>
    <w:rsid w:val="00416CBA"/>
    <w:rsid w:val="00416D3A"/>
    <w:rsid w:val="004173DF"/>
    <w:rsid w:val="004176EF"/>
    <w:rsid w:val="004179DC"/>
    <w:rsid w:val="00417D10"/>
    <w:rsid w:val="00417DBF"/>
    <w:rsid w:val="004206CB"/>
    <w:rsid w:val="00420B04"/>
    <w:rsid w:val="00420BCD"/>
    <w:rsid w:val="0042133D"/>
    <w:rsid w:val="00421529"/>
    <w:rsid w:val="004216C5"/>
    <w:rsid w:val="004218AF"/>
    <w:rsid w:val="00421D36"/>
    <w:rsid w:val="00422094"/>
    <w:rsid w:val="00422214"/>
    <w:rsid w:val="00422B79"/>
    <w:rsid w:val="00422BEB"/>
    <w:rsid w:val="0042375E"/>
    <w:rsid w:val="004239FC"/>
    <w:rsid w:val="00423B37"/>
    <w:rsid w:val="00423ED7"/>
    <w:rsid w:val="004242D1"/>
    <w:rsid w:val="00424533"/>
    <w:rsid w:val="00424B5B"/>
    <w:rsid w:val="00424C51"/>
    <w:rsid w:val="00424DA3"/>
    <w:rsid w:val="00425039"/>
    <w:rsid w:val="004254D2"/>
    <w:rsid w:val="00425593"/>
    <w:rsid w:val="00425926"/>
    <w:rsid w:val="0042615A"/>
    <w:rsid w:val="00426761"/>
    <w:rsid w:val="0042680E"/>
    <w:rsid w:val="00427299"/>
    <w:rsid w:val="00427729"/>
    <w:rsid w:val="00427DE1"/>
    <w:rsid w:val="00427F08"/>
    <w:rsid w:val="00427F9F"/>
    <w:rsid w:val="004301E6"/>
    <w:rsid w:val="00430588"/>
    <w:rsid w:val="00430BB8"/>
    <w:rsid w:val="004311C9"/>
    <w:rsid w:val="0043209B"/>
    <w:rsid w:val="00432115"/>
    <w:rsid w:val="0043214F"/>
    <w:rsid w:val="0043328E"/>
    <w:rsid w:val="00433456"/>
    <w:rsid w:val="00433483"/>
    <w:rsid w:val="0043371D"/>
    <w:rsid w:val="004340D2"/>
    <w:rsid w:val="00434239"/>
    <w:rsid w:val="004348CB"/>
    <w:rsid w:val="00434A4F"/>
    <w:rsid w:val="00434BE7"/>
    <w:rsid w:val="0043570A"/>
    <w:rsid w:val="00436614"/>
    <w:rsid w:val="00436B24"/>
    <w:rsid w:val="00436D70"/>
    <w:rsid w:val="00436FF1"/>
    <w:rsid w:val="004377C6"/>
    <w:rsid w:val="00437BEF"/>
    <w:rsid w:val="0044028F"/>
    <w:rsid w:val="004405D7"/>
    <w:rsid w:val="00440786"/>
    <w:rsid w:val="0044085A"/>
    <w:rsid w:val="00440AD4"/>
    <w:rsid w:val="00440CC8"/>
    <w:rsid w:val="00441706"/>
    <w:rsid w:val="00441760"/>
    <w:rsid w:val="00441B5D"/>
    <w:rsid w:val="00441D17"/>
    <w:rsid w:val="00441E07"/>
    <w:rsid w:val="00441FA0"/>
    <w:rsid w:val="004426A8"/>
    <w:rsid w:val="004426CF"/>
    <w:rsid w:val="00442D46"/>
    <w:rsid w:val="0044339D"/>
    <w:rsid w:val="004434BE"/>
    <w:rsid w:val="004436EE"/>
    <w:rsid w:val="004440C8"/>
    <w:rsid w:val="004443F1"/>
    <w:rsid w:val="004445F1"/>
    <w:rsid w:val="0044477D"/>
    <w:rsid w:val="00445926"/>
    <w:rsid w:val="004459A0"/>
    <w:rsid w:val="00445AF8"/>
    <w:rsid w:val="00446E28"/>
    <w:rsid w:val="0044733A"/>
    <w:rsid w:val="00447987"/>
    <w:rsid w:val="00447AED"/>
    <w:rsid w:val="004516B1"/>
    <w:rsid w:val="004516D7"/>
    <w:rsid w:val="00451A2E"/>
    <w:rsid w:val="00451DE8"/>
    <w:rsid w:val="00451E0A"/>
    <w:rsid w:val="004526BB"/>
    <w:rsid w:val="00452969"/>
    <w:rsid w:val="00452BD4"/>
    <w:rsid w:val="00453259"/>
    <w:rsid w:val="00453461"/>
    <w:rsid w:val="0045367D"/>
    <w:rsid w:val="004539E2"/>
    <w:rsid w:val="00453C92"/>
    <w:rsid w:val="00454E88"/>
    <w:rsid w:val="00455080"/>
    <w:rsid w:val="004552E0"/>
    <w:rsid w:val="0045555C"/>
    <w:rsid w:val="0045562B"/>
    <w:rsid w:val="00455816"/>
    <w:rsid w:val="00455863"/>
    <w:rsid w:val="00455B1A"/>
    <w:rsid w:val="00455F51"/>
    <w:rsid w:val="00456CD8"/>
    <w:rsid w:val="00456EEE"/>
    <w:rsid w:val="0045706C"/>
    <w:rsid w:val="00457E66"/>
    <w:rsid w:val="00460231"/>
    <w:rsid w:val="00460354"/>
    <w:rsid w:val="0046074E"/>
    <w:rsid w:val="004608CB"/>
    <w:rsid w:val="00460A98"/>
    <w:rsid w:val="00460B88"/>
    <w:rsid w:val="00460E19"/>
    <w:rsid w:val="00461DFF"/>
    <w:rsid w:val="00462209"/>
    <w:rsid w:val="004623FE"/>
    <w:rsid w:val="0046298C"/>
    <w:rsid w:val="004629F9"/>
    <w:rsid w:val="004634F9"/>
    <w:rsid w:val="00463640"/>
    <w:rsid w:val="0046386D"/>
    <w:rsid w:val="004638F5"/>
    <w:rsid w:val="00463B60"/>
    <w:rsid w:val="00463C88"/>
    <w:rsid w:val="00464029"/>
    <w:rsid w:val="00464145"/>
    <w:rsid w:val="00464726"/>
    <w:rsid w:val="00465167"/>
    <w:rsid w:val="00465789"/>
    <w:rsid w:val="00465D60"/>
    <w:rsid w:val="00465DF7"/>
    <w:rsid w:val="0046602A"/>
    <w:rsid w:val="004661A8"/>
    <w:rsid w:val="00466479"/>
    <w:rsid w:val="004665A0"/>
    <w:rsid w:val="0046672C"/>
    <w:rsid w:val="00466975"/>
    <w:rsid w:val="00466B03"/>
    <w:rsid w:val="00466FB9"/>
    <w:rsid w:val="00466FD8"/>
    <w:rsid w:val="004673ED"/>
    <w:rsid w:val="00467508"/>
    <w:rsid w:val="00467D62"/>
    <w:rsid w:val="00467F12"/>
    <w:rsid w:val="00470319"/>
    <w:rsid w:val="004709A6"/>
    <w:rsid w:val="00470ECA"/>
    <w:rsid w:val="00471362"/>
    <w:rsid w:val="0047188F"/>
    <w:rsid w:val="0047198B"/>
    <w:rsid w:val="00471A16"/>
    <w:rsid w:val="0047246B"/>
    <w:rsid w:val="00472E25"/>
    <w:rsid w:val="0047371E"/>
    <w:rsid w:val="00473B08"/>
    <w:rsid w:val="00473C6E"/>
    <w:rsid w:val="00474AEA"/>
    <w:rsid w:val="00474B53"/>
    <w:rsid w:val="00474E3D"/>
    <w:rsid w:val="00475304"/>
    <w:rsid w:val="00475877"/>
    <w:rsid w:val="004758AB"/>
    <w:rsid w:val="00475994"/>
    <w:rsid w:val="004759B4"/>
    <w:rsid w:val="0047623C"/>
    <w:rsid w:val="00476500"/>
    <w:rsid w:val="00476E39"/>
    <w:rsid w:val="00477242"/>
    <w:rsid w:val="004774AB"/>
    <w:rsid w:val="004778F4"/>
    <w:rsid w:val="00477AA4"/>
    <w:rsid w:val="00477BEB"/>
    <w:rsid w:val="004808C2"/>
    <w:rsid w:val="00480C35"/>
    <w:rsid w:val="00481355"/>
    <w:rsid w:val="004815AB"/>
    <w:rsid w:val="00481B77"/>
    <w:rsid w:val="00482218"/>
    <w:rsid w:val="00482490"/>
    <w:rsid w:val="004826DF"/>
    <w:rsid w:val="00482FEA"/>
    <w:rsid w:val="004832EF"/>
    <w:rsid w:val="0048346E"/>
    <w:rsid w:val="00483C4C"/>
    <w:rsid w:val="00483ED5"/>
    <w:rsid w:val="00484FB5"/>
    <w:rsid w:val="0048532A"/>
    <w:rsid w:val="0048555D"/>
    <w:rsid w:val="00485CCA"/>
    <w:rsid w:val="00486723"/>
    <w:rsid w:val="00486BD4"/>
    <w:rsid w:val="00486CAB"/>
    <w:rsid w:val="0048717C"/>
    <w:rsid w:val="004875A6"/>
    <w:rsid w:val="004877EC"/>
    <w:rsid w:val="00487B6B"/>
    <w:rsid w:val="00487F3E"/>
    <w:rsid w:val="00490271"/>
    <w:rsid w:val="004909C1"/>
    <w:rsid w:val="00490E75"/>
    <w:rsid w:val="00491607"/>
    <w:rsid w:val="0049162C"/>
    <w:rsid w:val="00491AF8"/>
    <w:rsid w:val="004922D3"/>
    <w:rsid w:val="0049235F"/>
    <w:rsid w:val="004925FA"/>
    <w:rsid w:val="0049295E"/>
    <w:rsid w:val="00492A6A"/>
    <w:rsid w:val="00492ACA"/>
    <w:rsid w:val="00492EDF"/>
    <w:rsid w:val="00492F26"/>
    <w:rsid w:val="00492F5D"/>
    <w:rsid w:val="00492FCD"/>
    <w:rsid w:val="0049380F"/>
    <w:rsid w:val="0049384E"/>
    <w:rsid w:val="004941AE"/>
    <w:rsid w:val="004948B0"/>
    <w:rsid w:val="004951F1"/>
    <w:rsid w:val="004952FD"/>
    <w:rsid w:val="00495B3F"/>
    <w:rsid w:val="00495DF8"/>
    <w:rsid w:val="00496B83"/>
    <w:rsid w:val="00497391"/>
    <w:rsid w:val="0049755D"/>
    <w:rsid w:val="0049759C"/>
    <w:rsid w:val="004976AA"/>
    <w:rsid w:val="004A046E"/>
    <w:rsid w:val="004A1187"/>
    <w:rsid w:val="004A1591"/>
    <w:rsid w:val="004A1E3F"/>
    <w:rsid w:val="004A2102"/>
    <w:rsid w:val="004A229F"/>
    <w:rsid w:val="004A22F4"/>
    <w:rsid w:val="004A237B"/>
    <w:rsid w:val="004A2F7A"/>
    <w:rsid w:val="004A36A0"/>
    <w:rsid w:val="004A3D4B"/>
    <w:rsid w:val="004A4492"/>
    <w:rsid w:val="004A4524"/>
    <w:rsid w:val="004A4992"/>
    <w:rsid w:val="004A499D"/>
    <w:rsid w:val="004A4BB7"/>
    <w:rsid w:val="004A514A"/>
    <w:rsid w:val="004A5AFD"/>
    <w:rsid w:val="004A5D46"/>
    <w:rsid w:val="004A5DF4"/>
    <w:rsid w:val="004A600D"/>
    <w:rsid w:val="004A6111"/>
    <w:rsid w:val="004A62BD"/>
    <w:rsid w:val="004A79D5"/>
    <w:rsid w:val="004B005D"/>
    <w:rsid w:val="004B027F"/>
    <w:rsid w:val="004B04C6"/>
    <w:rsid w:val="004B09FC"/>
    <w:rsid w:val="004B0DD6"/>
    <w:rsid w:val="004B1897"/>
    <w:rsid w:val="004B1A4E"/>
    <w:rsid w:val="004B1CE0"/>
    <w:rsid w:val="004B22DD"/>
    <w:rsid w:val="004B260C"/>
    <w:rsid w:val="004B2672"/>
    <w:rsid w:val="004B2888"/>
    <w:rsid w:val="004B2CB2"/>
    <w:rsid w:val="004B2CE0"/>
    <w:rsid w:val="004B2DA8"/>
    <w:rsid w:val="004B2DC1"/>
    <w:rsid w:val="004B2F6E"/>
    <w:rsid w:val="004B315D"/>
    <w:rsid w:val="004B3527"/>
    <w:rsid w:val="004B3672"/>
    <w:rsid w:val="004B37C8"/>
    <w:rsid w:val="004B3CDE"/>
    <w:rsid w:val="004B3E69"/>
    <w:rsid w:val="004B3FD2"/>
    <w:rsid w:val="004B44DA"/>
    <w:rsid w:val="004B47FB"/>
    <w:rsid w:val="004B4C1C"/>
    <w:rsid w:val="004B5695"/>
    <w:rsid w:val="004B62B7"/>
    <w:rsid w:val="004B65AF"/>
    <w:rsid w:val="004B68C6"/>
    <w:rsid w:val="004B6A65"/>
    <w:rsid w:val="004B6BB8"/>
    <w:rsid w:val="004B780A"/>
    <w:rsid w:val="004B792C"/>
    <w:rsid w:val="004C02F0"/>
    <w:rsid w:val="004C0F03"/>
    <w:rsid w:val="004C111E"/>
    <w:rsid w:val="004C119B"/>
    <w:rsid w:val="004C14DC"/>
    <w:rsid w:val="004C1A16"/>
    <w:rsid w:val="004C208C"/>
    <w:rsid w:val="004C2468"/>
    <w:rsid w:val="004C4825"/>
    <w:rsid w:val="004C4D1B"/>
    <w:rsid w:val="004C54C4"/>
    <w:rsid w:val="004C54F9"/>
    <w:rsid w:val="004C55FF"/>
    <w:rsid w:val="004C5901"/>
    <w:rsid w:val="004C6A14"/>
    <w:rsid w:val="004C6D81"/>
    <w:rsid w:val="004C6FF7"/>
    <w:rsid w:val="004C72D3"/>
    <w:rsid w:val="004C74DF"/>
    <w:rsid w:val="004C7559"/>
    <w:rsid w:val="004C7EE5"/>
    <w:rsid w:val="004D004D"/>
    <w:rsid w:val="004D0199"/>
    <w:rsid w:val="004D105B"/>
    <w:rsid w:val="004D1073"/>
    <w:rsid w:val="004D11B4"/>
    <w:rsid w:val="004D1649"/>
    <w:rsid w:val="004D1789"/>
    <w:rsid w:val="004D1A1C"/>
    <w:rsid w:val="004D1F32"/>
    <w:rsid w:val="004D2779"/>
    <w:rsid w:val="004D2CB9"/>
    <w:rsid w:val="004D2CC5"/>
    <w:rsid w:val="004D31F9"/>
    <w:rsid w:val="004D33BB"/>
    <w:rsid w:val="004D37FA"/>
    <w:rsid w:val="004D3814"/>
    <w:rsid w:val="004D38F7"/>
    <w:rsid w:val="004D3B28"/>
    <w:rsid w:val="004D3BAD"/>
    <w:rsid w:val="004D3D2F"/>
    <w:rsid w:val="004D43BD"/>
    <w:rsid w:val="004D4B76"/>
    <w:rsid w:val="004D4C41"/>
    <w:rsid w:val="004D5DB8"/>
    <w:rsid w:val="004D5F5C"/>
    <w:rsid w:val="004D6117"/>
    <w:rsid w:val="004D6540"/>
    <w:rsid w:val="004D6567"/>
    <w:rsid w:val="004D703B"/>
    <w:rsid w:val="004D71CE"/>
    <w:rsid w:val="004D75A0"/>
    <w:rsid w:val="004D760B"/>
    <w:rsid w:val="004E00FC"/>
    <w:rsid w:val="004E06FA"/>
    <w:rsid w:val="004E0EB5"/>
    <w:rsid w:val="004E2601"/>
    <w:rsid w:val="004E2877"/>
    <w:rsid w:val="004E294A"/>
    <w:rsid w:val="004E30C5"/>
    <w:rsid w:val="004E3771"/>
    <w:rsid w:val="004E3DBA"/>
    <w:rsid w:val="004E3DC6"/>
    <w:rsid w:val="004E46DF"/>
    <w:rsid w:val="004E499E"/>
    <w:rsid w:val="004E527A"/>
    <w:rsid w:val="004E541C"/>
    <w:rsid w:val="004E609A"/>
    <w:rsid w:val="004E61AA"/>
    <w:rsid w:val="004E68D5"/>
    <w:rsid w:val="004E6DA7"/>
    <w:rsid w:val="004E793E"/>
    <w:rsid w:val="004E7CB7"/>
    <w:rsid w:val="004E7D02"/>
    <w:rsid w:val="004E7D4C"/>
    <w:rsid w:val="004E7E7E"/>
    <w:rsid w:val="004F0022"/>
    <w:rsid w:val="004F0023"/>
    <w:rsid w:val="004F0073"/>
    <w:rsid w:val="004F0484"/>
    <w:rsid w:val="004F04CB"/>
    <w:rsid w:val="004F0BCC"/>
    <w:rsid w:val="004F0C9A"/>
    <w:rsid w:val="004F1131"/>
    <w:rsid w:val="004F12BB"/>
    <w:rsid w:val="004F242C"/>
    <w:rsid w:val="004F25C3"/>
    <w:rsid w:val="004F27F5"/>
    <w:rsid w:val="004F289B"/>
    <w:rsid w:val="004F2E79"/>
    <w:rsid w:val="004F3E5C"/>
    <w:rsid w:val="004F419F"/>
    <w:rsid w:val="004F4585"/>
    <w:rsid w:val="004F4C7D"/>
    <w:rsid w:val="004F519F"/>
    <w:rsid w:val="004F521A"/>
    <w:rsid w:val="004F5369"/>
    <w:rsid w:val="004F62A3"/>
    <w:rsid w:val="004F6425"/>
    <w:rsid w:val="004F66D9"/>
    <w:rsid w:val="004F683C"/>
    <w:rsid w:val="004F6C64"/>
    <w:rsid w:val="004F7009"/>
    <w:rsid w:val="004F73ED"/>
    <w:rsid w:val="004F743B"/>
    <w:rsid w:val="004F7AE7"/>
    <w:rsid w:val="004F7AF3"/>
    <w:rsid w:val="0050026A"/>
    <w:rsid w:val="005006F8"/>
    <w:rsid w:val="0050081C"/>
    <w:rsid w:val="00500BC9"/>
    <w:rsid w:val="00501185"/>
    <w:rsid w:val="00501691"/>
    <w:rsid w:val="0050187B"/>
    <w:rsid w:val="0050195A"/>
    <w:rsid w:val="00501E70"/>
    <w:rsid w:val="00501ED1"/>
    <w:rsid w:val="0050223F"/>
    <w:rsid w:val="00502906"/>
    <w:rsid w:val="00502F5F"/>
    <w:rsid w:val="00503003"/>
    <w:rsid w:val="00503213"/>
    <w:rsid w:val="00503661"/>
    <w:rsid w:val="00503B14"/>
    <w:rsid w:val="005048FB"/>
    <w:rsid w:val="00504FD3"/>
    <w:rsid w:val="0050517D"/>
    <w:rsid w:val="005051EF"/>
    <w:rsid w:val="00505A5F"/>
    <w:rsid w:val="0050628B"/>
    <w:rsid w:val="005065CC"/>
    <w:rsid w:val="00507139"/>
    <w:rsid w:val="005073E0"/>
    <w:rsid w:val="00507623"/>
    <w:rsid w:val="00507AF8"/>
    <w:rsid w:val="00510B62"/>
    <w:rsid w:val="005120A6"/>
    <w:rsid w:val="0051256C"/>
    <w:rsid w:val="00512C09"/>
    <w:rsid w:val="00512D61"/>
    <w:rsid w:val="00513CA6"/>
    <w:rsid w:val="00514178"/>
    <w:rsid w:val="005147E7"/>
    <w:rsid w:val="00514C40"/>
    <w:rsid w:val="0051509D"/>
    <w:rsid w:val="005157FB"/>
    <w:rsid w:val="0051584E"/>
    <w:rsid w:val="0051598D"/>
    <w:rsid w:val="00515E43"/>
    <w:rsid w:val="005160AC"/>
    <w:rsid w:val="0051664C"/>
    <w:rsid w:val="0051678F"/>
    <w:rsid w:val="00517707"/>
    <w:rsid w:val="00517E82"/>
    <w:rsid w:val="0052043A"/>
    <w:rsid w:val="00520B14"/>
    <w:rsid w:val="00520FB9"/>
    <w:rsid w:val="00521347"/>
    <w:rsid w:val="00521757"/>
    <w:rsid w:val="00521E09"/>
    <w:rsid w:val="0052246F"/>
    <w:rsid w:val="005231BE"/>
    <w:rsid w:val="00523D2A"/>
    <w:rsid w:val="005242D0"/>
    <w:rsid w:val="00524A59"/>
    <w:rsid w:val="005250BD"/>
    <w:rsid w:val="0052515B"/>
    <w:rsid w:val="005257BC"/>
    <w:rsid w:val="0052600D"/>
    <w:rsid w:val="005261BF"/>
    <w:rsid w:val="00526247"/>
    <w:rsid w:val="00526B8C"/>
    <w:rsid w:val="00526E2E"/>
    <w:rsid w:val="00527E73"/>
    <w:rsid w:val="00530048"/>
    <w:rsid w:val="00530115"/>
    <w:rsid w:val="005304EA"/>
    <w:rsid w:val="0053124D"/>
    <w:rsid w:val="00531318"/>
    <w:rsid w:val="00532636"/>
    <w:rsid w:val="0053294A"/>
    <w:rsid w:val="00532DE1"/>
    <w:rsid w:val="00532EF6"/>
    <w:rsid w:val="005347E4"/>
    <w:rsid w:val="00534C55"/>
    <w:rsid w:val="0053586C"/>
    <w:rsid w:val="00535D51"/>
    <w:rsid w:val="00536160"/>
    <w:rsid w:val="00536C02"/>
    <w:rsid w:val="005379D7"/>
    <w:rsid w:val="00537C76"/>
    <w:rsid w:val="00537E80"/>
    <w:rsid w:val="00540276"/>
    <w:rsid w:val="00540324"/>
    <w:rsid w:val="0054084A"/>
    <w:rsid w:val="005410F3"/>
    <w:rsid w:val="005419B2"/>
    <w:rsid w:val="00541B06"/>
    <w:rsid w:val="0054289C"/>
    <w:rsid w:val="00542EC8"/>
    <w:rsid w:val="005430AC"/>
    <w:rsid w:val="005433B5"/>
    <w:rsid w:val="00543449"/>
    <w:rsid w:val="005440D4"/>
    <w:rsid w:val="00544703"/>
    <w:rsid w:val="00544B45"/>
    <w:rsid w:val="0054551B"/>
    <w:rsid w:val="00545A54"/>
    <w:rsid w:val="005478E1"/>
    <w:rsid w:val="005504AB"/>
    <w:rsid w:val="005504AF"/>
    <w:rsid w:val="00550D72"/>
    <w:rsid w:val="00550DA9"/>
    <w:rsid w:val="00550E2F"/>
    <w:rsid w:val="00551255"/>
    <w:rsid w:val="00551BBF"/>
    <w:rsid w:val="00551C8D"/>
    <w:rsid w:val="00551CD8"/>
    <w:rsid w:val="00552049"/>
    <w:rsid w:val="00552264"/>
    <w:rsid w:val="00552272"/>
    <w:rsid w:val="00552BD5"/>
    <w:rsid w:val="00552DC6"/>
    <w:rsid w:val="00552E57"/>
    <w:rsid w:val="005536D5"/>
    <w:rsid w:val="00553A96"/>
    <w:rsid w:val="00553F3D"/>
    <w:rsid w:val="00554142"/>
    <w:rsid w:val="00554446"/>
    <w:rsid w:val="005544E2"/>
    <w:rsid w:val="005548A4"/>
    <w:rsid w:val="00554DB9"/>
    <w:rsid w:val="00554E4F"/>
    <w:rsid w:val="00554E63"/>
    <w:rsid w:val="00554FE9"/>
    <w:rsid w:val="0055514C"/>
    <w:rsid w:val="00555178"/>
    <w:rsid w:val="0055524E"/>
    <w:rsid w:val="0055573E"/>
    <w:rsid w:val="00555A56"/>
    <w:rsid w:val="00555E2A"/>
    <w:rsid w:val="0055605A"/>
    <w:rsid w:val="00556C1E"/>
    <w:rsid w:val="00556EA7"/>
    <w:rsid w:val="005575AF"/>
    <w:rsid w:val="005578F2"/>
    <w:rsid w:val="00561093"/>
    <w:rsid w:val="005613B4"/>
    <w:rsid w:val="005613B5"/>
    <w:rsid w:val="005618FE"/>
    <w:rsid w:val="005627A2"/>
    <w:rsid w:val="0056352B"/>
    <w:rsid w:val="0056373F"/>
    <w:rsid w:val="00563843"/>
    <w:rsid w:val="00563874"/>
    <w:rsid w:val="005642A0"/>
    <w:rsid w:val="005642C0"/>
    <w:rsid w:val="005645C2"/>
    <w:rsid w:val="00564D6A"/>
    <w:rsid w:val="005650A1"/>
    <w:rsid w:val="005653EB"/>
    <w:rsid w:val="005654A3"/>
    <w:rsid w:val="0056598C"/>
    <w:rsid w:val="00565E2B"/>
    <w:rsid w:val="00566441"/>
    <w:rsid w:val="00566663"/>
    <w:rsid w:val="00566C7C"/>
    <w:rsid w:val="005670BA"/>
    <w:rsid w:val="0056734D"/>
    <w:rsid w:val="00567C7F"/>
    <w:rsid w:val="005701B9"/>
    <w:rsid w:val="00570B69"/>
    <w:rsid w:val="00570FD8"/>
    <w:rsid w:val="00571C3B"/>
    <w:rsid w:val="005724D4"/>
    <w:rsid w:val="00572728"/>
    <w:rsid w:val="00572DAC"/>
    <w:rsid w:val="00573099"/>
    <w:rsid w:val="005730B6"/>
    <w:rsid w:val="005732CD"/>
    <w:rsid w:val="00573974"/>
    <w:rsid w:val="00573A87"/>
    <w:rsid w:val="00573FBA"/>
    <w:rsid w:val="00574328"/>
    <w:rsid w:val="0057445F"/>
    <w:rsid w:val="005744D4"/>
    <w:rsid w:val="00575350"/>
    <w:rsid w:val="00575491"/>
    <w:rsid w:val="00575B01"/>
    <w:rsid w:val="00576DE6"/>
    <w:rsid w:val="0057748F"/>
    <w:rsid w:val="00577DC4"/>
    <w:rsid w:val="00580250"/>
    <w:rsid w:val="005806E9"/>
    <w:rsid w:val="00580A0D"/>
    <w:rsid w:val="00580D75"/>
    <w:rsid w:val="00580D85"/>
    <w:rsid w:val="00582188"/>
    <w:rsid w:val="00582236"/>
    <w:rsid w:val="005822C7"/>
    <w:rsid w:val="00582376"/>
    <w:rsid w:val="00582723"/>
    <w:rsid w:val="005827B7"/>
    <w:rsid w:val="005829A7"/>
    <w:rsid w:val="00583859"/>
    <w:rsid w:val="00583C2A"/>
    <w:rsid w:val="005847F1"/>
    <w:rsid w:val="00584982"/>
    <w:rsid w:val="00584B7C"/>
    <w:rsid w:val="00584C04"/>
    <w:rsid w:val="00584CF6"/>
    <w:rsid w:val="00585467"/>
    <w:rsid w:val="00585BB0"/>
    <w:rsid w:val="005860F3"/>
    <w:rsid w:val="00586CB4"/>
    <w:rsid w:val="00586D98"/>
    <w:rsid w:val="00587C76"/>
    <w:rsid w:val="00587F5E"/>
    <w:rsid w:val="0059023B"/>
    <w:rsid w:val="0059095F"/>
    <w:rsid w:val="005909E6"/>
    <w:rsid w:val="00590AF1"/>
    <w:rsid w:val="00590CBA"/>
    <w:rsid w:val="0059109E"/>
    <w:rsid w:val="00591277"/>
    <w:rsid w:val="005919FA"/>
    <w:rsid w:val="00591BB4"/>
    <w:rsid w:val="00591CB7"/>
    <w:rsid w:val="00591E3E"/>
    <w:rsid w:val="005924AA"/>
    <w:rsid w:val="00592C13"/>
    <w:rsid w:val="00592CA8"/>
    <w:rsid w:val="005931F9"/>
    <w:rsid w:val="0059427A"/>
    <w:rsid w:val="00594737"/>
    <w:rsid w:val="00594828"/>
    <w:rsid w:val="00594B90"/>
    <w:rsid w:val="00594F38"/>
    <w:rsid w:val="005955F8"/>
    <w:rsid w:val="00595BDB"/>
    <w:rsid w:val="00595DDB"/>
    <w:rsid w:val="0059611D"/>
    <w:rsid w:val="0059617D"/>
    <w:rsid w:val="00596B79"/>
    <w:rsid w:val="00597205"/>
    <w:rsid w:val="0059736E"/>
    <w:rsid w:val="005979B5"/>
    <w:rsid w:val="00597C17"/>
    <w:rsid w:val="005A0F6C"/>
    <w:rsid w:val="005A14BC"/>
    <w:rsid w:val="005A1726"/>
    <w:rsid w:val="005A19CE"/>
    <w:rsid w:val="005A1C01"/>
    <w:rsid w:val="005A1C9D"/>
    <w:rsid w:val="005A1DC9"/>
    <w:rsid w:val="005A1F81"/>
    <w:rsid w:val="005A32E2"/>
    <w:rsid w:val="005A3444"/>
    <w:rsid w:val="005A3664"/>
    <w:rsid w:val="005A397D"/>
    <w:rsid w:val="005A44BA"/>
    <w:rsid w:val="005A5B41"/>
    <w:rsid w:val="005A5BCC"/>
    <w:rsid w:val="005A6031"/>
    <w:rsid w:val="005A63CA"/>
    <w:rsid w:val="005A63D2"/>
    <w:rsid w:val="005A645F"/>
    <w:rsid w:val="005A6DB5"/>
    <w:rsid w:val="005A7081"/>
    <w:rsid w:val="005A75A0"/>
    <w:rsid w:val="005A7C5E"/>
    <w:rsid w:val="005A7FF7"/>
    <w:rsid w:val="005B0F1F"/>
    <w:rsid w:val="005B1E00"/>
    <w:rsid w:val="005B2696"/>
    <w:rsid w:val="005B269C"/>
    <w:rsid w:val="005B276C"/>
    <w:rsid w:val="005B29B2"/>
    <w:rsid w:val="005B29EF"/>
    <w:rsid w:val="005B2CCD"/>
    <w:rsid w:val="005B2E1F"/>
    <w:rsid w:val="005B34D7"/>
    <w:rsid w:val="005B36BA"/>
    <w:rsid w:val="005B375F"/>
    <w:rsid w:val="005B3E70"/>
    <w:rsid w:val="005B3EC4"/>
    <w:rsid w:val="005B3F1B"/>
    <w:rsid w:val="005B3FDA"/>
    <w:rsid w:val="005B411E"/>
    <w:rsid w:val="005B4567"/>
    <w:rsid w:val="005B465B"/>
    <w:rsid w:val="005B49FF"/>
    <w:rsid w:val="005B50F3"/>
    <w:rsid w:val="005B5FB1"/>
    <w:rsid w:val="005B67B2"/>
    <w:rsid w:val="005B6E2F"/>
    <w:rsid w:val="005B7A8D"/>
    <w:rsid w:val="005C0BF2"/>
    <w:rsid w:val="005C0BFA"/>
    <w:rsid w:val="005C0E24"/>
    <w:rsid w:val="005C0EA2"/>
    <w:rsid w:val="005C15D3"/>
    <w:rsid w:val="005C1734"/>
    <w:rsid w:val="005C1994"/>
    <w:rsid w:val="005C1C24"/>
    <w:rsid w:val="005C222F"/>
    <w:rsid w:val="005C22AA"/>
    <w:rsid w:val="005C22EA"/>
    <w:rsid w:val="005C23D9"/>
    <w:rsid w:val="005C2A6A"/>
    <w:rsid w:val="005C3B77"/>
    <w:rsid w:val="005C4003"/>
    <w:rsid w:val="005C4250"/>
    <w:rsid w:val="005C47A8"/>
    <w:rsid w:val="005C4CA6"/>
    <w:rsid w:val="005C4F12"/>
    <w:rsid w:val="005C5BCD"/>
    <w:rsid w:val="005C6045"/>
    <w:rsid w:val="005C61F5"/>
    <w:rsid w:val="005C6A27"/>
    <w:rsid w:val="005C6AEF"/>
    <w:rsid w:val="005C75C8"/>
    <w:rsid w:val="005D012B"/>
    <w:rsid w:val="005D0412"/>
    <w:rsid w:val="005D086E"/>
    <w:rsid w:val="005D143F"/>
    <w:rsid w:val="005D14E7"/>
    <w:rsid w:val="005D189D"/>
    <w:rsid w:val="005D1F14"/>
    <w:rsid w:val="005D2033"/>
    <w:rsid w:val="005D220C"/>
    <w:rsid w:val="005D2A14"/>
    <w:rsid w:val="005D2A5B"/>
    <w:rsid w:val="005D358F"/>
    <w:rsid w:val="005D4655"/>
    <w:rsid w:val="005D4C44"/>
    <w:rsid w:val="005D4D78"/>
    <w:rsid w:val="005D5022"/>
    <w:rsid w:val="005D5397"/>
    <w:rsid w:val="005D56A0"/>
    <w:rsid w:val="005D5895"/>
    <w:rsid w:val="005D5DB6"/>
    <w:rsid w:val="005D5F9F"/>
    <w:rsid w:val="005D6210"/>
    <w:rsid w:val="005D66DA"/>
    <w:rsid w:val="005D6D50"/>
    <w:rsid w:val="005D6DD2"/>
    <w:rsid w:val="005D795F"/>
    <w:rsid w:val="005D79D6"/>
    <w:rsid w:val="005D7CEB"/>
    <w:rsid w:val="005D7E20"/>
    <w:rsid w:val="005E01EC"/>
    <w:rsid w:val="005E0421"/>
    <w:rsid w:val="005E08F7"/>
    <w:rsid w:val="005E0F58"/>
    <w:rsid w:val="005E1EB7"/>
    <w:rsid w:val="005E2204"/>
    <w:rsid w:val="005E229D"/>
    <w:rsid w:val="005E2DAE"/>
    <w:rsid w:val="005E37AF"/>
    <w:rsid w:val="005E416A"/>
    <w:rsid w:val="005E4740"/>
    <w:rsid w:val="005E4F7D"/>
    <w:rsid w:val="005E4FD7"/>
    <w:rsid w:val="005E58E6"/>
    <w:rsid w:val="005E60EA"/>
    <w:rsid w:val="005E626B"/>
    <w:rsid w:val="005E694B"/>
    <w:rsid w:val="005E6A73"/>
    <w:rsid w:val="005E6C41"/>
    <w:rsid w:val="005E7190"/>
    <w:rsid w:val="005E73B2"/>
    <w:rsid w:val="005E7441"/>
    <w:rsid w:val="005E74FB"/>
    <w:rsid w:val="005E7589"/>
    <w:rsid w:val="005E759D"/>
    <w:rsid w:val="005F052E"/>
    <w:rsid w:val="005F0BF9"/>
    <w:rsid w:val="005F129E"/>
    <w:rsid w:val="005F18A0"/>
    <w:rsid w:val="005F199D"/>
    <w:rsid w:val="005F19D4"/>
    <w:rsid w:val="005F21DC"/>
    <w:rsid w:val="005F21EF"/>
    <w:rsid w:val="005F2795"/>
    <w:rsid w:val="005F294C"/>
    <w:rsid w:val="005F299F"/>
    <w:rsid w:val="005F2BD6"/>
    <w:rsid w:val="005F32CD"/>
    <w:rsid w:val="005F35DE"/>
    <w:rsid w:val="005F3870"/>
    <w:rsid w:val="005F3B19"/>
    <w:rsid w:val="005F3EF8"/>
    <w:rsid w:val="005F3F41"/>
    <w:rsid w:val="005F433E"/>
    <w:rsid w:val="005F4794"/>
    <w:rsid w:val="005F5279"/>
    <w:rsid w:val="005F52D6"/>
    <w:rsid w:val="005F5744"/>
    <w:rsid w:val="005F57CC"/>
    <w:rsid w:val="005F5804"/>
    <w:rsid w:val="005F6311"/>
    <w:rsid w:val="005F674F"/>
    <w:rsid w:val="005F6AC0"/>
    <w:rsid w:val="005F6F31"/>
    <w:rsid w:val="005F7B4A"/>
    <w:rsid w:val="006004B3"/>
    <w:rsid w:val="00600EF4"/>
    <w:rsid w:val="00600FEB"/>
    <w:rsid w:val="00601CC6"/>
    <w:rsid w:val="00601F0F"/>
    <w:rsid w:val="00602106"/>
    <w:rsid w:val="006038AA"/>
    <w:rsid w:val="006038B9"/>
    <w:rsid w:val="00603D7F"/>
    <w:rsid w:val="0060442A"/>
    <w:rsid w:val="006047A4"/>
    <w:rsid w:val="00604E00"/>
    <w:rsid w:val="00604FFE"/>
    <w:rsid w:val="00605505"/>
    <w:rsid w:val="006055B6"/>
    <w:rsid w:val="00605872"/>
    <w:rsid w:val="00605B0D"/>
    <w:rsid w:val="00605ED9"/>
    <w:rsid w:val="00606302"/>
    <w:rsid w:val="0060648F"/>
    <w:rsid w:val="00606CB6"/>
    <w:rsid w:val="006072C6"/>
    <w:rsid w:val="0060765D"/>
    <w:rsid w:val="00610316"/>
    <w:rsid w:val="006103B6"/>
    <w:rsid w:val="00611337"/>
    <w:rsid w:val="006113B4"/>
    <w:rsid w:val="00611CB8"/>
    <w:rsid w:val="00612668"/>
    <w:rsid w:val="00612803"/>
    <w:rsid w:val="00612A12"/>
    <w:rsid w:val="00612CEB"/>
    <w:rsid w:val="0061332A"/>
    <w:rsid w:val="00613689"/>
    <w:rsid w:val="006137B1"/>
    <w:rsid w:val="0061466C"/>
    <w:rsid w:val="00614EC9"/>
    <w:rsid w:val="0061546A"/>
    <w:rsid w:val="00615C5A"/>
    <w:rsid w:val="00615E05"/>
    <w:rsid w:val="00615E97"/>
    <w:rsid w:val="00615FE3"/>
    <w:rsid w:val="00616738"/>
    <w:rsid w:val="00616C23"/>
    <w:rsid w:val="00616EE8"/>
    <w:rsid w:val="00617299"/>
    <w:rsid w:val="006173A8"/>
    <w:rsid w:val="006173E1"/>
    <w:rsid w:val="006176E8"/>
    <w:rsid w:val="00617B7D"/>
    <w:rsid w:val="00617DA6"/>
    <w:rsid w:val="00617DFD"/>
    <w:rsid w:val="00617F1A"/>
    <w:rsid w:val="00620193"/>
    <w:rsid w:val="006202E8"/>
    <w:rsid w:val="00620790"/>
    <w:rsid w:val="00620F0A"/>
    <w:rsid w:val="00621CBA"/>
    <w:rsid w:val="00621CD6"/>
    <w:rsid w:val="00621EA5"/>
    <w:rsid w:val="006226E4"/>
    <w:rsid w:val="00622ACD"/>
    <w:rsid w:val="00624506"/>
    <w:rsid w:val="00624779"/>
    <w:rsid w:val="00624C17"/>
    <w:rsid w:val="00625827"/>
    <w:rsid w:val="00625A1B"/>
    <w:rsid w:val="00625A40"/>
    <w:rsid w:val="00625D5D"/>
    <w:rsid w:val="0062625D"/>
    <w:rsid w:val="006262DB"/>
    <w:rsid w:val="006264C8"/>
    <w:rsid w:val="00626630"/>
    <w:rsid w:val="006266DA"/>
    <w:rsid w:val="00626A8C"/>
    <w:rsid w:val="006272D5"/>
    <w:rsid w:val="006273C2"/>
    <w:rsid w:val="00627400"/>
    <w:rsid w:val="00627D4D"/>
    <w:rsid w:val="00627EFF"/>
    <w:rsid w:val="00630083"/>
    <w:rsid w:val="00630142"/>
    <w:rsid w:val="006309B1"/>
    <w:rsid w:val="00630C8A"/>
    <w:rsid w:val="00631678"/>
    <w:rsid w:val="00631C71"/>
    <w:rsid w:val="00631DFB"/>
    <w:rsid w:val="0063265B"/>
    <w:rsid w:val="006329DB"/>
    <w:rsid w:val="00632FFA"/>
    <w:rsid w:val="00633FBD"/>
    <w:rsid w:val="00634ACC"/>
    <w:rsid w:val="0063528A"/>
    <w:rsid w:val="00635FD5"/>
    <w:rsid w:val="006360FD"/>
    <w:rsid w:val="00636631"/>
    <w:rsid w:val="00636EB7"/>
    <w:rsid w:val="0063729B"/>
    <w:rsid w:val="00637308"/>
    <w:rsid w:val="00637D52"/>
    <w:rsid w:val="006406C7"/>
    <w:rsid w:val="006407BC"/>
    <w:rsid w:val="00641298"/>
    <w:rsid w:val="006418CE"/>
    <w:rsid w:val="00641A41"/>
    <w:rsid w:val="00641E23"/>
    <w:rsid w:val="006421F6"/>
    <w:rsid w:val="00643124"/>
    <w:rsid w:val="00643779"/>
    <w:rsid w:val="00643BF9"/>
    <w:rsid w:val="00643C4E"/>
    <w:rsid w:val="00643D1E"/>
    <w:rsid w:val="00643E73"/>
    <w:rsid w:val="00644316"/>
    <w:rsid w:val="006445DA"/>
    <w:rsid w:val="0064506E"/>
    <w:rsid w:val="00645232"/>
    <w:rsid w:val="00645580"/>
    <w:rsid w:val="00645B60"/>
    <w:rsid w:val="00645DC8"/>
    <w:rsid w:val="00646D18"/>
    <w:rsid w:val="00646DD3"/>
    <w:rsid w:val="00646FE1"/>
    <w:rsid w:val="00647011"/>
    <w:rsid w:val="0064774B"/>
    <w:rsid w:val="00647C05"/>
    <w:rsid w:val="00650F0C"/>
    <w:rsid w:val="00650F75"/>
    <w:rsid w:val="00651193"/>
    <w:rsid w:val="0065288C"/>
    <w:rsid w:val="00652A58"/>
    <w:rsid w:val="0065309C"/>
    <w:rsid w:val="0065371A"/>
    <w:rsid w:val="00653B74"/>
    <w:rsid w:val="00654FC0"/>
    <w:rsid w:val="0065505F"/>
    <w:rsid w:val="006554F3"/>
    <w:rsid w:val="006555A3"/>
    <w:rsid w:val="00655B90"/>
    <w:rsid w:val="00655BA5"/>
    <w:rsid w:val="0065666D"/>
    <w:rsid w:val="0065671C"/>
    <w:rsid w:val="00656D56"/>
    <w:rsid w:val="00656D6D"/>
    <w:rsid w:val="00656FBB"/>
    <w:rsid w:val="006572F8"/>
    <w:rsid w:val="0065734E"/>
    <w:rsid w:val="006579F3"/>
    <w:rsid w:val="006602F6"/>
    <w:rsid w:val="006603D0"/>
    <w:rsid w:val="006605F7"/>
    <w:rsid w:val="006606AA"/>
    <w:rsid w:val="00660A9C"/>
    <w:rsid w:val="00660CDE"/>
    <w:rsid w:val="00660FC7"/>
    <w:rsid w:val="00661697"/>
    <w:rsid w:val="00661713"/>
    <w:rsid w:val="00661FBB"/>
    <w:rsid w:val="006629D1"/>
    <w:rsid w:val="00662BBB"/>
    <w:rsid w:val="00663259"/>
    <w:rsid w:val="00663541"/>
    <w:rsid w:val="006635EC"/>
    <w:rsid w:val="00664954"/>
    <w:rsid w:val="0066523F"/>
    <w:rsid w:val="00666ABE"/>
    <w:rsid w:val="00666F69"/>
    <w:rsid w:val="006670FC"/>
    <w:rsid w:val="00667271"/>
    <w:rsid w:val="00667803"/>
    <w:rsid w:val="00667EC2"/>
    <w:rsid w:val="00670157"/>
    <w:rsid w:val="006701E6"/>
    <w:rsid w:val="00670D06"/>
    <w:rsid w:val="00671106"/>
    <w:rsid w:val="00671469"/>
    <w:rsid w:val="00671A74"/>
    <w:rsid w:val="00671B3E"/>
    <w:rsid w:val="00671D8C"/>
    <w:rsid w:val="00671EBF"/>
    <w:rsid w:val="00672B52"/>
    <w:rsid w:val="00672F6D"/>
    <w:rsid w:val="00673559"/>
    <w:rsid w:val="0067366B"/>
    <w:rsid w:val="006736FD"/>
    <w:rsid w:val="00673D9A"/>
    <w:rsid w:val="00673E82"/>
    <w:rsid w:val="00673F98"/>
    <w:rsid w:val="00674057"/>
    <w:rsid w:val="00675397"/>
    <w:rsid w:val="00675651"/>
    <w:rsid w:val="0067566F"/>
    <w:rsid w:val="00675F5B"/>
    <w:rsid w:val="006762F8"/>
    <w:rsid w:val="00676795"/>
    <w:rsid w:val="006767E1"/>
    <w:rsid w:val="00676B75"/>
    <w:rsid w:val="00676EF3"/>
    <w:rsid w:val="006773AB"/>
    <w:rsid w:val="00677537"/>
    <w:rsid w:val="00680545"/>
    <w:rsid w:val="00680DEA"/>
    <w:rsid w:val="0068179A"/>
    <w:rsid w:val="00681BB4"/>
    <w:rsid w:val="006820D6"/>
    <w:rsid w:val="00682975"/>
    <w:rsid w:val="00682CFD"/>
    <w:rsid w:val="00682E0F"/>
    <w:rsid w:val="0068350B"/>
    <w:rsid w:val="00683625"/>
    <w:rsid w:val="00683B04"/>
    <w:rsid w:val="00683B61"/>
    <w:rsid w:val="00683D9B"/>
    <w:rsid w:val="006846AC"/>
    <w:rsid w:val="00684892"/>
    <w:rsid w:val="00684D4C"/>
    <w:rsid w:val="00685AB9"/>
    <w:rsid w:val="00685F47"/>
    <w:rsid w:val="006864B4"/>
    <w:rsid w:val="0068677F"/>
    <w:rsid w:val="00686D97"/>
    <w:rsid w:val="00687388"/>
    <w:rsid w:val="006873DA"/>
    <w:rsid w:val="00690016"/>
    <w:rsid w:val="0069045A"/>
    <w:rsid w:val="0069061C"/>
    <w:rsid w:val="0069082B"/>
    <w:rsid w:val="00690865"/>
    <w:rsid w:val="006909CF"/>
    <w:rsid w:val="00690BF9"/>
    <w:rsid w:val="006914CC"/>
    <w:rsid w:val="00692181"/>
    <w:rsid w:val="00692A7B"/>
    <w:rsid w:val="0069314B"/>
    <w:rsid w:val="006935F5"/>
    <w:rsid w:val="006937CE"/>
    <w:rsid w:val="0069385E"/>
    <w:rsid w:val="00693A5C"/>
    <w:rsid w:val="00694F50"/>
    <w:rsid w:val="006953FB"/>
    <w:rsid w:val="00695EE3"/>
    <w:rsid w:val="00695F6F"/>
    <w:rsid w:val="006961A1"/>
    <w:rsid w:val="0069657B"/>
    <w:rsid w:val="00696B02"/>
    <w:rsid w:val="00696F24"/>
    <w:rsid w:val="00697033"/>
    <w:rsid w:val="00697072"/>
    <w:rsid w:val="006977C2"/>
    <w:rsid w:val="006A0387"/>
    <w:rsid w:val="006A05D4"/>
    <w:rsid w:val="006A0F54"/>
    <w:rsid w:val="006A176B"/>
    <w:rsid w:val="006A1A7D"/>
    <w:rsid w:val="006A1D28"/>
    <w:rsid w:val="006A1ECE"/>
    <w:rsid w:val="006A308F"/>
    <w:rsid w:val="006A336A"/>
    <w:rsid w:val="006A3515"/>
    <w:rsid w:val="006A3646"/>
    <w:rsid w:val="006A3A44"/>
    <w:rsid w:val="006A3D4A"/>
    <w:rsid w:val="006A3F2F"/>
    <w:rsid w:val="006A3FA8"/>
    <w:rsid w:val="006A43D1"/>
    <w:rsid w:val="006A4976"/>
    <w:rsid w:val="006A5254"/>
    <w:rsid w:val="006A55E7"/>
    <w:rsid w:val="006A5F22"/>
    <w:rsid w:val="006A6ED4"/>
    <w:rsid w:val="006A7170"/>
    <w:rsid w:val="006B014E"/>
    <w:rsid w:val="006B034B"/>
    <w:rsid w:val="006B153F"/>
    <w:rsid w:val="006B15ED"/>
    <w:rsid w:val="006B1F80"/>
    <w:rsid w:val="006B1FC0"/>
    <w:rsid w:val="006B26E9"/>
    <w:rsid w:val="006B2EEE"/>
    <w:rsid w:val="006B3125"/>
    <w:rsid w:val="006B3327"/>
    <w:rsid w:val="006B36C6"/>
    <w:rsid w:val="006B3C91"/>
    <w:rsid w:val="006B4107"/>
    <w:rsid w:val="006B414D"/>
    <w:rsid w:val="006B42EA"/>
    <w:rsid w:val="006B4428"/>
    <w:rsid w:val="006B4554"/>
    <w:rsid w:val="006B4EC6"/>
    <w:rsid w:val="006B5317"/>
    <w:rsid w:val="006B5322"/>
    <w:rsid w:val="006B55FF"/>
    <w:rsid w:val="006B5871"/>
    <w:rsid w:val="006B7812"/>
    <w:rsid w:val="006B7860"/>
    <w:rsid w:val="006C044F"/>
    <w:rsid w:val="006C0CC8"/>
    <w:rsid w:val="006C0F97"/>
    <w:rsid w:val="006C1387"/>
    <w:rsid w:val="006C1474"/>
    <w:rsid w:val="006C14D6"/>
    <w:rsid w:val="006C1965"/>
    <w:rsid w:val="006C1DB5"/>
    <w:rsid w:val="006C20BA"/>
    <w:rsid w:val="006C2A2B"/>
    <w:rsid w:val="006C2E8E"/>
    <w:rsid w:val="006C2E9C"/>
    <w:rsid w:val="006C348F"/>
    <w:rsid w:val="006C3EED"/>
    <w:rsid w:val="006C4299"/>
    <w:rsid w:val="006C4C5F"/>
    <w:rsid w:val="006C54CA"/>
    <w:rsid w:val="006C55BB"/>
    <w:rsid w:val="006C61DD"/>
    <w:rsid w:val="006C627E"/>
    <w:rsid w:val="006C632E"/>
    <w:rsid w:val="006C6E42"/>
    <w:rsid w:val="006C759F"/>
    <w:rsid w:val="006C77C4"/>
    <w:rsid w:val="006C7AF9"/>
    <w:rsid w:val="006C7CA6"/>
    <w:rsid w:val="006D006A"/>
    <w:rsid w:val="006D01B0"/>
    <w:rsid w:val="006D0AB0"/>
    <w:rsid w:val="006D0B30"/>
    <w:rsid w:val="006D0B59"/>
    <w:rsid w:val="006D0D70"/>
    <w:rsid w:val="006D10AE"/>
    <w:rsid w:val="006D1155"/>
    <w:rsid w:val="006D12FE"/>
    <w:rsid w:val="006D14D2"/>
    <w:rsid w:val="006D1895"/>
    <w:rsid w:val="006D1D6C"/>
    <w:rsid w:val="006D248E"/>
    <w:rsid w:val="006D273C"/>
    <w:rsid w:val="006D2C6E"/>
    <w:rsid w:val="006D3F95"/>
    <w:rsid w:val="006D490D"/>
    <w:rsid w:val="006D49CA"/>
    <w:rsid w:val="006D4A55"/>
    <w:rsid w:val="006D529D"/>
    <w:rsid w:val="006D549A"/>
    <w:rsid w:val="006D5B65"/>
    <w:rsid w:val="006D66C6"/>
    <w:rsid w:val="006D68E9"/>
    <w:rsid w:val="006D692A"/>
    <w:rsid w:val="006D6B46"/>
    <w:rsid w:val="006D7681"/>
    <w:rsid w:val="006D76AB"/>
    <w:rsid w:val="006D79E2"/>
    <w:rsid w:val="006D7EC7"/>
    <w:rsid w:val="006E0A5F"/>
    <w:rsid w:val="006E0FFE"/>
    <w:rsid w:val="006E1437"/>
    <w:rsid w:val="006E22C4"/>
    <w:rsid w:val="006E2364"/>
    <w:rsid w:val="006E2CB2"/>
    <w:rsid w:val="006E2E0F"/>
    <w:rsid w:val="006E2E80"/>
    <w:rsid w:val="006E332E"/>
    <w:rsid w:val="006E36F1"/>
    <w:rsid w:val="006E3BA8"/>
    <w:rsid w:val="006E43E0"/>
    <w:rsid w:val="006E477E"/>
    <w:rsid w:val="006E5153"/>
    <w:rsid w:val="006E58FD"/>
    <w:rsid w:val="006E5AF4"/>
    <w:rsid w:val="006E6672"/>
    <w:rsid w:val="006E697B"/>
    <w:rsid w:val="006E6C33"/>
    <w:rsid w:val="006E79BD"/>
    <w:rsid w:val="006E7BEA"/>
    <w:rsid w:val="006F019C"/>
    <w:rsid w:val="006F07C0"/>
    <w:rsid w:val="006F0C43"/>
    <w:rsid w:val="006F11A2"/>
    <w:rsid w:val="006F137B"/>
    <w:rsid w:val="006F17A7"/>
    <w:rsid w:val="006F1AE8"/>
    <w:rsid w:val="006F1B14"/>
    <w:rsid w:val="006F25D6"/>
    <w:rsid w:val="006F268B"/>
    <w:rsid w:val="006F2BF4"/>
    <w:rsid w:val="006F2D79"/>
    <w:rsid w:val="006F309E"/>
    <w:rsid w:val="006F31F9"/>
    <w:rsid w:val="006F3204"/>
    <w:rsid w:val="006F3353"/>
    <w:rsid w:val="006F33A8"/>
    <w:rsid w:val="006F33C0"/>
    <w:rsid w:val="006F39B7"/>
    <w:rsid w:val="006F3CB3"/>
    <w:rsid w:val="006F4533"/>
    <w:rsid w:val="006F4CCC"/>
    <w:rsid w:val="006F4E4F"/>
    <w:rsid w:val="006F4EDE"/>
    <w:rsid w:val="006F556E"/>
    <w:rsid w:val="006F55D0"/>
    <w:rsid w:val="006F5621"/>
    <w:rsid w:val="006F5755"/>
    <w:rsid w:val="006F5AF2"/>
    <w:rsid w:val="006F5B8B"/>
    <w:rsid w:val="006F6271"/>
    <w:rsid w:val="006F67FE"/>
    <w:rsid w:val="006F6BF5"/>
    <w:rsid w:val="006F74CA"/>
    <w:rsid w:val="006F75F0"/>
    <w:rsid w:val="006F7898"/>
    <w:rsid w:val="006F78CD"/>
    <w:rsid w:val="007000E5"/>
    <w:rsid w:val="007000F3"/>
    <w:rsid w:val="00700755"/>
    <w:rsid w:val="007009A2"/>
    <w:rsid w:val="00700A83"/>
    <w:rsid w:val="0070159D"/>
    <w:rsid w:val="00701ACF"/>
    <w:rsid w:val="00702493"/>
    <w:rsid w:val="007024A0"/>
    <w:rsid w:val="00702886"/>
    <w:rsid w:val="007029C6"/>
    <w:rsid w:val="007029D3"/>
    <w:rsid w:val="0070305B"/>
    <w:rsid w:val="007030A3"/>
    <w:rsid w:val="00703D32"/>
    <w:rsid w:val="00703E97"/>
    <w:rsid w:val="007047FA"/>
    <w:rsid w:val="007049E6"/>
    <w:rsid w:val="00704AFB"/>
    <w:rsid w:val="0070516E"/>
    <w:rsid w:val="00705443"/>
    <w:rsid w:val="00705756"/>
    <w:rsid w:val="00705B24"/>
    <w:rsid w:val="00705FFE"/>
    <w:rsid w:val="00706D2B"/>
    <w:rsid w:val="00707245"/>
    <w:rsid w:val="0070759D"/>
    <w:rsid w:val="00707961"/>
    <w:rsid w:val="00707AD9"/>
    <w:rsid w:val="00707B6A"/>
    <w:rsid w:val="00707CAA"/>
    <w:rsid w:val="00710213"/>
    <w:rsid w:val="007103A5"/>
    <w:rsid w:val="00710C21"/>
    <w:rsid w:val="00711822"/>
    <w:rsid w:val="00711869"/>
    <w:rsid w:val="0071399D"/>
    <w:rsid w:val="00713ACE"/>
    <w:rsid w:val="00713F4B"/>
    <w:rsid w:val="007148D0"/>
    <w:rsid w:val="00714905"/>
    <w:rsid w:val="007149F0"/>
    <w:rsid w:val="0071609F"/>
    <w:rsid w:val="0071645F"/>
    <w:rsid w:val="007164DA"/>
    <w:rsid w:val="00716AF0"/>
    <w:rsid w:val="00717ABF"/>
    <w:rsid w:val="00717B8D"/>
    <w:rsid w:val="007204A5"/>
    <w:rsid w:val="0072052F"/>
    <w:rsid w:val="00720530"/>
    <w:rsid w:val="00720FCB"/>
    <w:rsid w:val="0072134F"/>
    <w:rsid w:val="00721896"/>
    <w:rsid w:val="00722206"/>
    <w:rsid w:val="007224F8"/>
    <w:rsid w:val="007228B0"/>
    <w:rsid w:val="007229A3"/>
    <w:rsid w:val="00722B3A"/>
    <w:rsid w:val="0072310E"/>
    <w:rsid w:val="007232F6"/>
    <w:rsid w:val="00723A67"/>
    <w:rsid w:val="00724695"/>
    <w:rsid w:val="007251D1"/>
    <w:rsid w:val="00726427"/>
    <w:rsid w:val="00726CE9"/>
    <w:rsid w:val="00726D29"/>
    <w:rsid w:val="00727189"/>
    <w:rsid w:val="007274BB"/>
    <w:rsid w:val="0073041F"/>
    <w:rsid w:val="0073081B"/>
    <w:rsid w:val="00730A8C"/>
    <w:rsid w:val="00730C8A"/>
    <w:rsid w:val="007310CD"/>
    <w:rsid w:val="007312E8"/>
    <w:rsid w:val="0073182F"/>
    <w:rsid w:val="00731973"/>
    <w:rsid w:val="00731A2B"/>
    <w:rsid w:val="007322AE"/>
    <w:rsid w:val="0073253E"/>
    <w:rsid w:val="00732D31"/>
    <w:rsid w:val="00733330"/>
    <w:rsid w:val="00733579"/>
    <w:rsid w:val="007338C6"/>
    <w:rsid w:val="00733D63"/>
    <w:rsid w:val="00734360"/>
    <w:rsid w:val="00734FCA"/>
    <w:rsid w:val="0073542D"/>
    <w:rsid w:val="0073550B"/>
    <w:rsid w:val="00735F02"/>
    <w:rsid w:val="007361D2"/>
    <w:rsid w:val="007362E4"/>
    <w:rsid w:val="00736A7F"/>
    <w:rsid w:val="00736D82"/>
    <w:rsid w:val="00737BCC"/>
    <w:rsid w:val="007405EC"/>
    <w:rsid w:val="00740ABB"/>
    <w:rsid w:val="00740B05"/>
    <w:rsid w:val="00740CBA"/>
    <w:rsid w:val="00740EAC"/>
    <w:rsid w:val="00741BDB"/>
    <w:rsid w:val="0074200E"/>
    <w:rsid w:val="007426A6"/>
    <w:rsid w:val="00742ED7"/>
    <w:rsid w:val="00743BB8"/>
    <w:rsid w:val="00743E22"/>
    <w:rsid w:val="00744261"/>
    <w:rsid w:val="0074483D"/>
    <w:rsid w:val="00744CA0"/>
    <w:rsid w:val="00744DE3"/>
    <w:rsid w:val="0074512F"/>
    <w:rsid w:val="0074590C"/>
    <w:rsid w:val="00746186"/>
    <w:rsid w:val="007472BB"/>
    <w:rsid w:val="007476A5"/>
    <w:rsid w:val="00747D37"/>
    <w:rsid w:val="00747E02"/>
    <w:rsid w:val="00750065"/>
    <w:rsid w:val="00750984"/>
    <w:rsid w:val="00750B29"/>
    <w:rsid w:val="00750F3A"/>
    <w:rsid w:val="0075194B"/>
    <w:rsid w:val="00751974"/>
    <w:rsid w:val="007519B1"/>
    <w:rsid w:val="00751F9F"/>
    <w:rsid w:val="0075236B"/>
    <w:rsid w:val="00752801"/>
    <w:rsid w:val="0075295F"/>
    <w:rsid w:val="007529C7"/>
    <w:rsid w:val="00752B4A"/>
    <w:rsid w:val="00752C91"/>
    <w:rsid w:val="007534CE"/>
    <w:rsid w:val="00753D50"/>
    <w:rsid w:val="00754213"/>
    <w:rsid w:val="007547E9"/>
    <w:rsid w:val="0075496C"/>
    <w:rsid w:val="00754D37"/>
    <w:rsid w:val="0075503A"/>
    <w:rsid w:val="00755284"/>
    <w:rsid w:val="00755482"/>
    <w:rsid w:val="007554E6"/>
    <w:rsid w:val="0075577D"/>
    <w:rsid w:val="00755890"/>
    <w:rsid w:val="0075618A"/>
    <w:rsid w:val="00756AAE"/>
    <w:rsid w:val="00756AC8"/>
    <w:rsid w:val="00757B4C"/>
    <w:rsid w:val="00757DAF"/>
    <w:rsid w:val="007601B5"/>
    <w:rsid w:val="00760B01"/>
    <w:rsid w:val="0076107B"/>
    <w:rsid w:val="0076108E"/>
    <w:rsid w:val="0076128D"/>
    <w:rsid w:val="00761453"/>
    <w:rsid w:val="0076163C"/>
    <w:rsid w:val="0076183D"/>
    <w:rsid w:val="007618B8"/>
    <w:rsid w:val="00761E54"/>
    <w:rsid w:val="0076228B"/>
    <w:rsid w:val="00762318"/>
    <w:rsid w:val="007623A9"/>
    <w:rsid w:val="007629ED"/>
    <w:rsid w:val="00762B25"/>
    <w:rsid w:val="00762E05"/>
    <w:rsid w:val="00762E86"/>
    <w:rsid w:val="007632EA"/>
    <w:rsid w:val="0076372D"/>
    <w:rsid w:val="00763A81"/>
    <w:rsid w:val="00763ACA"/>
    <w:rsid w:val="00763E03"/>
    <w:rsid w:val="0076437B"/>
    <w:rsid w:val="0076443D"/>
    <w:rsid w:val="00764FB1"/>
    <w:rsid w:val="00764FE9"/>
    <w:rsid w:val="00765619"/>
    <w:rsid w:val="00765712"/>
    <w:rsid w:val="007663E9"/>
    <w:rsid w:val="0076648D"/>
    <w:rsid w:val="0076655C"/>
    <w:rsid w:val="007668C0"/>
    <w:rsid w:val="007671C5"/>
    <w:rsid w:val="007675ED"/>
    <w:rsid w:val="0076793C"/>
    <w:rsid w:val="00767F28"/>
    <w:rsid w:val="007705B8"/>
    <w:rsid w:val="007708E0"/>
    <w:rsid w:val="00770FD4"/>
    <w:rsid w:val="0077172B"/>
    <w:rsid w:val="00771AED"/>
    <w:rsid w:val="00772222"/>
    <w:rsid w:val="007726A5"/>
    <w:rsid w:val="00773812"/>
    <w:rsid w:val="00773944"/>
    <w:rsid w:val="007739B5"/>
    <w:rsid w:val="00773A71"/>
    <w:rsid w:val="00773CD1"/>
    <w:rsid w:val="0077451B"/>
    <w:rsid w:val="00774888"/>
    <w:rsid w:val="00774B80"/>
    <w:rsid w:val="0077556F"/>
    <w:rsid w:val="00775A58"/>
    <w:rsid w:val="00775CB8"/>
    <w:rsid w:val="00775F8E"/>
    <w:rsid w:val="00776002"/>
    <w:rsid w:val="00776598"/>
    <w:rsid w:val="00777D80"/>
    <w:rsid w:val="00780B23"/>
    <w:rsid w:val="0078129C"/>
    <w:rsid w:val="007817EF"/>
    <w:rsid w:val="00781E7C"/>
    <w:rsid w:val="00782112"/>
    <w:rsid w:val="00782282"/>
    <w:rsid w:val="00782349"/>
    <w:rsid w:val="007824F9"/>
    <w:rsid w:val="00783046"/>
    <w:rsid w:val="0078332B"/>
    <w:rsid w:val="0078385D"/>
    <w:rsid w:val="00783CC9"/>
    <w:rsid w:val="007842F3"/>
    <w:rsid w:val="00784351"/>
    <w:rsid w:val="00784377"/>
    <w:rsid w:val="007844DE"/>
    <w:rsid w:val="00784DDE"/>
    <w:rsid w:val="00785416"/>
    <w:rsid w:val="0078586C"/>
    <w:rsid w:val="00785A9D"/>
    <w:rsid w:val="00785CCB"/>
    <w:rsid w:val="00785D9C"/>
    <w:rsid w:val="007860DE"/>
    <w:rsid w:val="007860F8"/>
    <w:rsid w:val="0078637A"/>
    <w:rsid w:val="00786981"/>
    <w:rsid w:val="0078702F"/>
    <w:rsid w:val="007877DA"/>
    <w:rsid w:val="00787A21"/>
    <w:rsid w:val="00787C42"/>
    <w:rsid w:val="007900A1"/>
    <w:rsid w:val="00790BAE"/>
    <w:rsid w:val="00791050"/>
    <w:rsid w:val="00791ACE"/>
    <w:rsid w:val="00791B09"/>
    <w:rsid w:val="0079223B"/>
    <w:rsid w:val="007923C6"/>
    <w:rsid w:val="00792704"/>
    <w:rsid w:val="00792B69"/>
    <w:rsid w:val="00792DAF"/>
    <w:rsid w:val="00792DB6"/>
    <w:rsid w:val="00792F3A"/>
    <w:rsid w:val="00793645"/>
    <w:rsid w:val="00793A12"/>
    <w:rsid w:val="007944F2"/>
    <w:rsid w:val="00794BF8"/>
    <w:rsid w:val="00794FBF"/>
    <w:rsid w:val="00795525"/>
    <w:rsid w:val="00795B3F"/>
    <w:rsid w:val="00795E76"/>
    <w:rsid w:val="007964E8"/>
    <w:rsid w:val="007967E3"/>
    <w:rsid w:val="007973A5"/>
    <w:rsid w:val="00797896"/>
    <w:rsid w:val="007978D1"/>
    <w:rsid w:val="00797FB3"/>
    <w:rsid w:val="007A041E"/>
    <w:rsid w:val="007A1146"/>
    <w:rsid w:val="007A154F"/>
    <w:rsid w:val="007A161B"/>
    <w:rsid w:val="007A16A8"/>
    <w:rsid w:val="007A1966"/>
    <w:rsid w:val="007A1EB2"/>
    <w:rsid w:val="007A24FD"/>
    <w:rsid w:val="007A25A1"/>
    <w:rsid w:val="007A26E8"/>
    <w:rsid w:val="007A2DF8"/>
    <w:rsid w:val="007A311B"/>
    <w:rsid w:val="007A3BC1"/>
    <w:rsid w:val="007A4010"/>
    <w:rsid w:val="007A42E0"/>
    <w:rsid w:val="007A4916"/>
    <w:rsid w:val="007A5407"/>
    <w:rsid w:val="007A555E"/>
    <w:rsid w:val="007A5EAF"/>
    <w:rsid w:val="007A5FA7"/>
    <w:rsid w:val="007A6253"/>
    <w:rsid w:val="007A6B07"/>
    <w:rsid w:val="007A6B72"/>
    <w:rsid w:val="007A6B74"/>
    <w:rsid w:val="007A6DC3"/>
    <w:rsid w:val="007A702B"/>
    <w:rsid w:val="007B025D"/>
    <w:rsid w:val="007B0794"/>
    <w:rsid w:val="007B09CD"/>
    <w:rsid w:val="007B0AAB"/>
    <w:rsid w:val="007B0B31"/>
    <w:rsid w:val="007B0D29"/>
    <w:rsid w:val="007B0E0D"/>
    <w:rsid w:val="007B0EDF"/>
    <w:rsid w:val="007B132D"/>
    <w:rsid w:val="007B148D"/>
    <w:rsid w:val="007B1DAA"/>
    <w:rsid w:val="007B23FA"/>
    <w:rsid w:val="007B33BE"/>
    <w:rsid w:val="007B355F"/>
    <w:rsid w:val="007B35FA"/>
    <w:rsid w:val="007B3901"/>
    <w:rsid w:val="007B3B3D"/>
    <w:rsid w:val="007B3C77"/>
    <w:rsid w:val="007B4149"/>
    <w:rsid w:val="007B48F2"/>
    <w:rsid w:val="007B62D1"/>
    <w:rsid w:val="007B6E5F"/>
    <w:rsid w:val="007B6EA4"/>
    <w:rsid w:val="007B6F00"/>
    <w:rsid w:val="007B714A"/>
    <w:rsid w:val="007B78DD"/>
    <w:rsid w:val="007B79AA"/>
    <w:rsid w:val="007B7A44"/>
    <w:rsid w:val="007B7B9C"/>
    <w:rsid w:val="007B7CA5"/>
    <w:rsid w:val="007B7FE5"/>
    <w:rsid w:val="007C0456"/>
    <w:rsid w:val="007C054D"/>
    <w:rsid w:val="007C0CB3"/>
    <w:rsid w:val="007C151B"/>
    <w:rsid w:val="007C1B56"/>
    <w:rsid w:val="007C24BB"/>
    <w:rsid w:val="007C39D0"/>
    <w:rsid w:val="007C45E3"/>
    <w:rsid w:val="007C4728"/>
    <w:rsid w:val="007C4B7B"/>
    <w:rsid w:val="007C4D96"/>
    <w:rsid w:val="007C5B60"/>
    <w:rsid w:val="007C69BA"/>
    <w:rsid w:val="007C72E3"/>
    <w:rsid w:val="007D024A"/>
    <w:rsid w:val="007D0524"/>
    <w:rsid w:val="007D082A"/>
    <w:rsid w:val="007D12FA"/>
    <w:rsid w:val="007D1412"/>
    <w:rsid w:val="007D1E24"/>
    <w:rsid w:val="007D23A9"/>
    <w:rsid w:val="007D2494"/>
    <w:rsid w:val="007D2556"/>
    <w:rsid w:val="007D2DC3"/>
    <w:rsid w:val="007D2EC0"/>
    <w:rsid w:val="007D2FE5"/>
    <w:rsid w:val="007D31E8"/>
    <w:rsid w:val="007D33A3"/>
    <w:rsid w:val="007D3463"/>
    <w:rsid w:val="007D3C77"/>
    <w:rsid w:val="007D41B3"/>
    <w:rsid w:val="007D49D3"/>
    <w:rsid w:val="007D4ABD"/>
    <w:rsid w:val="007D4F05"/>
    <w:rsid w:val="007D5232"/>
    <w:rsid w:val="007D589B"/>
    <w:rsid w:val="007D5BDA"/>
    <w:rsid w:val="007D5EF6"/>
    <w:rsid w:val="007D5F4F"/>
    <w:rsid w:val="007D660E"/>
    <w:rsid w:val="007D6C56"/>
    <w:rsid w:val="007D6C60"/>
    <w:rsid w:val="007D6DA6"/>
    <w:rsid w:val="007D6E59"/>
    <w:rsid w:val="007D7309"/>
    <w:rsid w:val="007E02B5"/>
    <w:rsid w:val="007E0820"/>
    <w:rsid w:val="007E14C2"/>
    <w:rsid w:val="007E1EC2"/>
    <w:rsid w:val="007E24C7"/>
    <w:rsid w:val="007E27FE"/>
    <w:rsid w:val="007E28F2"/>
    <w:rsid w:val="007E2998"/>
    <w:rsid w:val="007E2E1D"/>
    <w:rsid w:val="007E2EF0"/>
    <w:rsid w:val="007E3650"/>
    <w:rsid w:val="007E3750"/>
    <w:rsid w:val="007E39A1"/>
    <w:rsid w:val="007E3A89"/>
    <w:rsid w:val="007E3C45"/>
    <w:rsid w:val="007E3E66"/>
    <w:rsid w:val="007E3FB0"/>
    <w:rsid w:val="007E4219"/>
    <w:rsid w:val="007E4692"/>
    <w:rsid w:val="007E4998"/>
    <w:rsid w:val="007E4A73"/>
    <w:rsid w:val="007E4B28"/>
    <w:rsid w:val="007E52D4"/>
    <w:rsid w:val="007E5EA7"/>
    <w:rsid w:val="007E5EFB"/>
    <w:rsid w:val="007E654C"/>
    <w:rsid w:val="007E68D4"/>
    <w:rsid w:val="007E7018"/>
    <w:rsid w:val="007E74C9"/>
    <w:rsid w:val="007E79C3"/>
    <w:rsid w:val="007E7ABA"/>
    <w:rsid w:val="007E7CBC"/>
    <w:rsid w:val="007E7D01"/>
    <w:rsid w:val="007F037C"/>
    <w:rsid w:val="007F072E"/>
    <w:rsid w:val="007F098A"/>
    <w:rsid w:val="007F0A88"/>
    <w:rsid w:val="007F0F9A"/>
    <w:rsid w:val="007F1935"/>
    <w:rsid w:val="007F273E"/>
    <w:rsid w:val="007F2BAE"/>
    <w:rsid w:val="007F2D0E"/>
    <w:rsid w:val="007F313C"/>
    <w:rsid w:val="007F3188"/>
    <w:rsid w:val="007F3A3F"/>
    <w:rsid w:val="007F3AA0"/>
    <w:rsid w:val="007F3D04"/>
    <w:rsid w:val="007F4455"/>
    <w:rsid w:val="007F4A5E"/>
    <w:rsid w:val="007F4EAD"/>
    <w:rsid w:val="007F5208"/>
    <w:rsid w:val="007F546E"/>
    <w:rsid w:val="007F5564"/>
    <w:rsid w:val="007F55A1"/>
    <w:rsid w:val="007F56D6"/>
    <w:rsid w:val="007F5D9C"/>
    <w:rsid w:val="007F5EC9"/>
    <w:rsid w:val="007F67D2"/>
    <w:rsid w:val="007F67D5"/>
    <w:rsid w:val="007F680F"/>
    <w:rsid w:val="007F69F9"/>
    <w:rsid w:val="007F6C29"/>
    <w:rsid w:val="007F6C85"/>
    <w:rsid w:val="007F72E6"/>
    <w:rsid w:val="007F7AD1"/>
    <w:rsid w:val="00800285"/>
    <w:rsid w:val="008002C8"/>
    <w:rsid w:val="008003BC"/>
    <w:rsid w:val="008007D6"/>
    <w:rsid w:val="0080080E"/>
    <w:rsid w:val="008008E2"/>
    <w:rsid w:val="00800980"/>
    <w:rsid w:val="00800B21"/>
    <w:rsid w:val="00801AA2"/>
    <w:rsid w:val="00801AD0"/>
    <w:rsid w:val="00801E70"/>
    <w:rsid w:val="008022DA"/>
    <w:rsid w:val="00802F8C"/>
    <w:rsid w:val="0080356E"/>
    <w:rsid w:val="0080365E"/>
    <w:rsid w:val="008036A1"/>
    <w:rsid w:val="00803E4B"/>
    <w:rsid w:val="00804031"/>
    <w:rsid w:val="0080431B"/>
    <w:rsid w:val="00804666"/>
    <w:rsid w:val="0080478E"/>
    <w:rsid w:val="008053CA"/>
    <w:rsid w:val="00806105"/>
    <w:rsid w:val="00806709"/>
    <w:rsid w:val="00806A85"/>
    <w:rsid w:val="00806CBD"/>
    <w:rsid w:val="00806D98"/>
    <w:rsid w:val="00806EA5"/>
    <w:rsid w:val="00807A38"/>
    <w:rsid w:val="00810250"/>
    <w:rsid w:val="00810A0C"/>
    <w:rsid w:val="00810ED1"/>
    <w:rsid w:val="00810EDE"/>
    <w:rsid w:val="00811190"/>
    <w:rsid w:val="00811BD9"/>
    <w:rsid w:val="00812479"/>
    <w:rsid w:val="00812F7D"/>
    <w:rsid w:val="0081304D"/>
    <w:rsid w:val="00813B00"/>
    <w:rsid w:val="00813B53"/>
    <w:rsid w:val="00813C56"/>
    <w:rsid w:val="00813CB9"/>
    <w:rsid w:val="00814093"/>
    <w:rsid w:val="00814467"/>
    <w:rsid w:val="008146E2"/>
    <w:rsid w:val="008147AE"/>
    <w:rsid w:val="0081513D"/>
    <w:rsid w:val="008155C9"/>
    <w:rsid w:val="008162D3"/>
    <w:rsid w:val="0081662B"/>
    <w:rsid w:val="00816B48"/>
    <w:rsid w:val="00816DA3"/>
    <w:rsid w:val="0081746A"/>
    <w:rsid w:val="00817573"/>
    <w:rsid w:val="008177A7"/>
    <w:rsid w:val="008177D9"/>
    <w:rsid w:val="00817A0A"/>
    <w:rsid w:val="00817B53"/>
    <w:rsid w:val="00817D3A"/>
    <w:rsid w:val="00820710"/>
    <w:rsid w:val="00821002"/>
    <w:rsid w:val="0082103F"/>
    <w:rsid w:val="00821531"/>
    <w:rsid w:val="008215BB"/>
    <w:rsid w:val="008219AA"/>
    <w:rsid w:val="00822067"/>
    <w:rsid w:val="00822642"/>
    <w:rsid w:val="00822A5F"/>
    <w:rsid w:val="00822C6A"/>
    <w:rsid w:val="00822EB1"/>
    <w:rsid w:val="00822F66"/>
    <w:rsid w:val="00823093"/>
    <w:rsid w:val="0082338C"/>
    <w:rsid w:val="00823429"/>
    <w:rsid w:val="0082477E"/>
    <w:rsid w:val="00824FD7"/>
    <w:rsid w:val="00825D81"/>
    <w:rsid w:val="00825F97"/>
    <w:rsid w:val="00826283"/>
    <w:rsid w:val="00826AC6"/>
    <w:rsid w:val="00826D74"/>
    <w:rsid w:val="00826EE6"/>
    <w:rsid w:val="00827470"/>
    <w:rsid w:val="00827884"/>
    <w:rsid w:val="00827A4E"/>
    <w:rsid w:val="00827FEA"/>
    <w:rsid w:val="008300AF"/>
    <w:rsid w:val="008309B3"/>
    <w:rsid w:val="00830BED"/>
    <w:rsid w:val="00830CA8"/>
    <w:rsid w:val="00830DD4"/>
    <w:rsid w:val="00831076"/>
    <w:rsid w:val="008319B1"/>
    <w:rsid w:val="00831A98"/>
    <w:rsid w:val="00832538"/>
    <w:rsid w:val="008328E2"/>
    <w:rsid w:val="00832BE0"/>
    <w:rsid w:val="00833044"/>
    <w:rsid w:val="00833160"/>
    <w:rsid w:val="0083378A"/>
    <w:rsid w:val="008339CF"/>
    <w:rsid w:val="00833C91"/>
    <w:rsid w:val="00833DA1"/>
    <w:rsid w:val="00834171"/>
    <w:rsid w:val="00834588"/>
    <w:rsid w:val="00834668"/>
    <w:rsid w:val="00834808"/>
    <w:rsid w:val="00834CB2"/>
    <w:rsid w:val="00834F48"/>
    <w:rsid w:val="00835250"/>
    <w:rsid w:val="0083568A"/>
    <w:rsid w:val="00835867"/>
    <w:rsid w:val="008358C4"/>
    <w:rsid w:val="00835B05"/>
    <w:rsid w:val="00835BBD"/>
    <w:rsid w:val="008367F7"/>
    <w:rsid w:val="008374FF"/>
    <w:rsid w:val="00837E2B"/>
    <w:rsid w:val="00837F98"/>
    <w:rsid w:val="008408AD"/>
    <w:rsid w:val="00840DDB"/>
    <w:rsid w:val="00842083"/>
    <w:rsid w:val="008432A3"/>
    <w:rsid w:val="00843C3E"/>
    <w:rsid w:val="00844175"/>
    <w:rsid w:val="00844303"/>
    <w:rsid w:val="008450D5"/>
    <w:rsid w:val="008451D8"/>
    <w:rsid w:val="008452EB"/>
    <w:rsid w:val="00845860"/>
    <w:rsid w:val="00846477"/>
    <w:rsid w:val="00846478"/>
    <w:rsid w:val="00846AA9"/>
    <w:rsid w:val="00846E29"/>
    <w:rsid w:val="008476B9"/>
    <w:rsid w:val="00847A69"/>
    <w:rsid w:val="00847EE9"/>
    <w:rsid w:val="008509A2"/>
    <w:rsid w:val="00850A84"/>
    <w:rsid w:val="00851159"/>
    <w:rsid w:val="008514B2"/>
    <w:rsid w:val="008514F2"/>
    <w:rsid w:val="00851998"/>
    <w:rsid w:val="00851AB2"/>
    <w:rsid w:val="00851B0D"/>
    <w:rsid w:val="00851DBC"/>
    <w:rsid w:val="00852473"/>
    <w:rsid w:val="00852D56"/>
    <w:rsid w:val="00853517"/>
    <w:rsid w:val="00853762"/>
    <w:rsid w:val="00853926"/>
    <w:rsid w:val="0085410A"/>
    <w:rsid w:val="0085480E"/>
    <w:rsid w:val="00854F85"/>
    <w:rsid w:val="0085516A"/>
    <w:rsid w:val="008552ED"/>
    <w:rsid w:val="00855511"/>
    <w:rsid w:val="00856263"/>
    <w:rsid w:val="008562AA"/>
    <w:rsid w:val="0085639A"/>
    <w:rsid w:val="00856754"/>
    <w:rsid w:val="00856BA9"/>
    <w:rsid w:val="0085718E"/>
    <w:rsid w:val="008576DC"/>
    <w:rsid w:val="00857EC9"/>
    <w:rsid w:val="008600F9"/>
    <w:rsid w:val="00860214"/>
    <w:rsid w:val="00860872"/>
    <w:rsid w:val="00862BC7"/>
    <w:rsid w:val="00862EEC"/>
    <w:rsid w:val="00863189"/>
    <w:rsid w:val="00863C97"/>
    <w:rsid w:val="00864EE0"/>
    <w:rsid w:val="00865071"/>
    <w:rsid w:val="008654E1"/>
    <w:rsid w:val="00865A87"/>
    <w:rsid w:val="00865D64"/>
    <w:rsid w:val="00865E38"/>
    <w:rsid w:val="00865F79"/>
    <w:rsid w:val="00866706"/>
    <w:rsid w:val="008669B0"/>
    <w:rsid w:val="008669C2"/>
    <w:rsid w:val="00866FA1"/>
    <w:rsid w:val="0086709B"/>
    <w:rsid w:val="0086781F"/>
    <w:rsid w:val="00867CB7"/>
    <w:rsid w:val="00867D4E"/>
    <w:rsid w:val="008700D1"/>
    <w:rsid w:val="008701A3"/>
    <w:rsid w:val="0087033F"/>
    <w:rsid w:val="00870758"/>
    <w:rsid w:val="008707C1"/>
    <w:rsid w:val="008707CD"/>
    <w:rsid w:val="00871A37"/>
    <w:rsid w:val="00871A42"/>
    <w:rsid w:val="00872755"/>
    <w:rsid w:val="00872AFE"/>
    <w:rsid w:val="00872B36"/>
    <w:rsid w:val="00872C8A"/>
    <w:rsid w:val="00872EB7"/>
    <w:rsid w:val="00873F9C"/>
    <w:rsid w:val="00874291"/>
    <w:rsid w:val="008745D1"/>
    <w:rsid w:val="008748D8"/>
    <w:rsid w:val="00874CC0"/>
    <w:rsid w:val="00874E44"/>
    <w:rsid w:val="008750CE"/>
    <w:rsid w:val="008751A1"/>
    <w:rsid w:val="008755CC"/>
    <w:rsid w:val="008756B6"/>
    <w:rsid w:val="00875AC0"/>
    <w:rsid w:val="00875AF5"/>
    <w:rsid w:val="008760B7"/>
    <w:rsid w:val="008764CF"/>
    <w:rsid w:val="008768C9"/>
    <w:rsid w:val="00876E27"/>
    <w:rsid w:val="00877053"/>
    <w:rsid w:val="008777A9"/>
    <w:rsid w:val="008779D6"/>
    <w:rsid w:val="00877B77"/>
    <w:rsid w:val="008803C3"/>
    <w:rsid w:val="0088069E"/>
    <w:rsid w:val="008806B9"/>
    <w:rsid w:val="008810CD"/>
    <w:rsid w:val="008811F5"/>
    <w:rsid w:val="0088187A"/>
    <w:rsid w:val="00881EC2"/>
    <w:rsid w:val="0088346A"/>
    <w:rsid w:val="008838EF"/>
    <w:rsid w:val="00884084"/>
    <w:rsid w:val="008842F2"/>
    <w:rsid w:val="00884375"/>
    <w:rsid w:val="008843F4"/>
    <w:rsid w:val="008845A4"/>
    <w:rsid w:val="008846DB"/>
    <w:rsid w:val="008849FF"/>
    <w:rsid w:val="008859A8"/>
    <w:rsid w:val="00885CFB"/>
    <w:rsid w:val="008860B7"/>
    <w:rsid w:val="00886230"/>
    <w:rsid w:val="00886B14"/>
    <w:rsid w:val="0088763B"/>
    <w:rsid w:val="008877E9"/>
    <w:rsid w:val="00887BDA"/>
    <w:rsid w:val="00887C19"/>
    <w:rsid w:val="00890058"/>
    <w:rsid w:val="0089010D"/>
    <w:rsid w:val="008904B3"/>
    <w:rsid w:val="008908A6"/>
    <w:rsid w:val="008908B4"/>
    <w:rsid w:val="00890CE8"/>
    <w:rsid w:val="00890F25"/>
    <w:rsid w:val="0089106A"/>
    <w:rsid w:val="008913E7"/>
    <w:rsid w:val="008918FB"/>
    <w:rsid w:val="00891967"/>
    <w:rsid w:val="00891EC7"/>
    <w:rsid w:val="00892913"/>
    <w:rsid w:val="00892A39"/>
    <w:rsid w:val="0089306D"/>
    <w:rsid w:val="00893E07"/>
    <w:rsid w:val="008941F3"/>
    <w:rsid w:val="00894379"/>
    <w:rsid w:val="00894619"/>
    <w:rsid w:val="00895628"/>
    <w:rsid w:val="008961BC"/>
    <w:rsid w:val="00896423"/>
    <w:rsid w:val="00896750"/>
    <w:rsid w:val="00896C92"/>
    <w:rsid w:val="00896DD9"/>
    <w:rsid w:val="00897380"/>
    <w:rsid w:val="00897F64"/>
    <w:rsid w:val="008A04D2"/>
    <w:rsid w:val="008A0D42"/>
    <w:rsid w:val="008A1018"/>
    <w:rsid w:val="008A1391"/>
    <w:rsid w:val="008A1B59"/>
    <w:rsid w:val="008A1D5C"/>
    <w:rsid w:val="008A1FF3"/>
    <w:rsid w:val="008A2313"/>
    <w:rsid w:val="008A253A"/>
    <w:rsid w:val="008A2944"/>
    <w:rsid w:val="008A3387"/>
    <w:rsid w:val="008A36EF"/>
    <w:rsid w:val="008A3707"/>
    <w:rsid w:val="008A37CD"/>
    <w:rsid w:val="008A39CF"/>
    <w:rsid w:val="008A3A2F"/>
    <w:rsid w:val="008A4077"/>
    <w:rsid w:val="008A4152"/>
    <w:rsid w:val="008A453E"/>
    <w:rsid w:val="008A4703"/>
    <w:rsid w:val="008A4871"/>
    <w:rsid w:val="008A4D2E"/>
    <w:rsid w:val="008A4FAD"/>
    <w:rsid w:val="008A53EC"/>
    <w:rsid w:val="008A55C1"/>
    <w:rsid w:val="008A5C1B"/>
    <w:rsid w:val="008A6824"/>
    <w:rsid w:val="008A7023"/>
    <w:rsid w:val="008A7149"/>
    <w:rsid w:val="008A72B3"/>
    <w:rsid w:val="008A7FDB"/>
    <w:rsid w:val="008B0386"/>
    <w:rsid w:val="008B09F1"/>
    <w:rsid w:val="008B169B"/>
    <w:rsid w:val="008B1C4F"/>
    <w:rsid w:val="008B1E30"/>
    <w:rsid w:val="008B2562"/>
    <w:rsid w:val="008B25A5"/>
    <w:rsid w:val="008B26F2"/>
    <w:rsid w:val="008B2A8F"/>
    <w:rsid w:val="008B2CC3"/>
    <w:rsid w:val="008B3194"/>
    <w:rsid w:val="008B3A38"/>
    <w:rsid w:val="008B3C6C"/>
    <w:rsid w:val="008B3E15"/>
    <w:rsid w:val="008B4307"/>
    <w:rsid w:val="008B4FE8"/>
    <w:rsid w:val="008B5375"/>
    <w:rsid w:val="008B572E"/>
    <w:rsid w:val="008B5C9B"/>
    <w:rsid w:val="008B636C"/>
    <w:rsid w:val="008B6552"/>
    <w:rsid w:val="008B6654"/>
    <w:rsid w:val="008B6D20"/>
    <w:rsid w:val="008B733F"/>
    <w:rsid w:val="008B73E0"/>
    <w:rsid w:val="008B7683"/>
    <w:rsid w:val="008B7719"/>
    <w:rsid w:val="008B7C4E"/>
    <w:rsid w:val="008C0304"/>
    <w:rsid w:val="008C061C"/>
    <w:rsid w:val="008C0983"/>
    <w:rsid w:val="008C0A26"/>
    <w:rsid w:val="008C1431"/>
    <w:rsid w:val="008C1448"/>
    <w:rsid w:val="008C152B"/>
    <w:rsid w:val="008C16D2"/>
    <w:rsid w:val="008C190F"/>
    <w:rsid w:val="008C200D"/>
    <w:rsid w:val="008C2027"/>
    <w:rsid w:val="008C275D"/>
    <w:rsid w:val="008C2764"/>
    <w:rsid w:val="008C2A0A"/>
    <w:rsid w:val="008C398E"/>
    <w:rsid w:val="008C4024"/>
    <w:rsid w:val="008C444C"/>
    <w:rsid w:val="008C44A5"/>
    <w:rsid w:val="008C44F2"/>
    <w:rsid w:val="008C4686"/>
    <w:rsid w:val="008C46BE"/>
    <w:rsid w:val="008C4A29"/>
    <w:rsid w:val="008C4CB8"/>
    <w:rsid w:val="008C52B8"/>
    <w:rsid w:val="008C5637"/>
    <w:rsid w:val="008C56D0"/>
    <w:rsid w:val="008C5A05"/>
    <w:rsid w:val="008C6152"/>
    <w:rsid w:val="008C6600"/>
    <w:rsid w:val="008C6BC0"/>
    <w:rsid w:val="008C6BD9"/>
    <w:rsid w:val="008C6EDE"/>
    <w:rsid w:val="008C77A5"/>
    <w:rsid w:val="008D0BFB"/>
    <w:rsid w:val="008D11A8"/>
    <w:rsid w:val="008D11DC"/>
    <w:rsid w:val="008D17EF"/>
    <w:rsid w:val="008D244A"/>
    <w:rsid w:val="008D27A7"/>
    <w:rsid w:val="008D280A"/>
    <w:rsid w:val="008D34B7"/>
    <w:rsid w:val="008D36AD"/>
    <w:rsid w:val="008D387E"/>
    <w:rsid w:val="008D3B7E"/>
    <w:rsid w:val="008D4E1E"/>
    <w:rsid w:val="008D55C6"/>
    <w:rsid w:val="008D5BC3"/>
    <w:rsid w:val="008D5EA9"/>
    <w:rsid w:val="008D6090"/>
    <w:rsid w:val="008D6435"/>
    <w:rsid w:val="008D6610"/>
    <w:rsid w:val="008D6956"/>
    <w:rsid w:val="008D6A74"/>
    <w:rsid w:val="008D7657"/>
    <w:rsid w:val="008E00B7"/>
    <w:rsid w:val="008E0204"/>
    <w:rsid w:val="008E0275"/>
    <w:rsid w:val="008E0383"/>
    <w:rsid w:val="008E03CA"/>
    <w:rsid w:val="008E04B4"/>
    <w:rsid w:val="008E0C4F"/>
    <w:rsid w:val="008E0C92"/>
    <w:rsid w:val="008E140E"/>
    <w:rsid w:val="008E24FE"/>
    <w:rsid w:val="008E27A4"/>
    <w:rsid w:val="008E2B95"/>
    <w:rsid w:val="008E344A"/>
    <w:rsid w:val="008E35EA"/>
    <w:rsid w:val="008E3E11"/>
    <w:rsid w:val="008E4960"/>
    <w:rsid w:val="008E4FD7"/>
    <w:rsid w:val="008E510F"/>
    <w:rsid w:val="008E56DD"/>
    <w:rsid w:val="008E5823"/>
    <w:rsid w:val="008E5899"/>
    <w:rsid w:val="008E5A5F"/>
    <w:rsid w:val="008E5E7F"/>
    <w:rsid w:val="008E6475"/>
    <w:rsid w:val="008E65BE"/>
    <w:rsid w:val="008E6703"/>
    <w:rsid w:val="008E6CC4"/>
    <w:rsid w:val="008E6F85"/>
    <w:rsid w:val="008E70CA"/>
    <w:rsid w:val="008E71E6"/>
    <w:rsid w:val="008E73A4"/>
    <w:rsid w:val="008E7E56"/>
    <w:rsid w:val="008F0242"/>
    <w:rsid w:val="008F032B"/>
    <w:rsid w:val="008F08A8"/>
    <w:rsid w:val="008F0D36"/>
    <w:rsid w:val="008F1209"/>
    <w:rsid w:val="008F12AB"/>
    <w:rsid w:val="008F1484"/>
    <w:rsid w:val="008F15F9"/>
    <w:rsid w:val="008F25B5"/>
    <w:rsid w:val="008F2A73"/>
    <w:rsid w:val="008F2E95"/>
    <w:rsid w:val="008F2FD6"/>
    <w:rsid w:val="008F30B4"/>
    <w:rsid w:val="008F3422"/>
    <w:rsid w:val="008F5282"/>
    <w:rsid w:val="008F5503"/>
    <w:rsid w:val="008F592A"/>
    <w:rsid w:val="008F5E89"/>
    <w:rsid w:val="008F64C5"/>
    <w:rsid w:val="008F692F"/>
    <w:rsid w:val="008F7081"/>
    <w:rsid w:val="008F7D3E"/>
    <w:rsid w:val="00900802"/>
    <w:rsid w:val="00900810"/>
    <w:rsid w:val="009013EC"/>
    <w:rsid w:val="009017F0"/>
    <w:rsid w:val="00901ECF"/>
    <w:rsid w:val="0090202A"/>
    <w:rsid w:val="00902050"/>
    <w:rsid w:val="00903364"/>
    <w:rsid w:val="009034B8"/>
    <w:rsid w:val="00903803"/>
    <w:rsid w:val="00903DEB"/>
    <w:rsid w:val="00903E51"/>
    <w:rsid w:val="00903F5D"/>
    <w:rsid w:val="00904635"/>
    <w:rsid w:val="00904760"/>
    <w:rsid w:val="00904908"/>
    <w:rsid w:val="00904B4F"/>
    <w:rsid w:val="00904C3A"/>
    <w:rsid w:val="00904D50"/>
    <w:rsid w:val="00904EEB"/>
    <w:rsid w:val="0090512F"/>
    <w:rsid w:val="009051DB"/>
    <w:rsid w:val="009053FE"/>
    <w:rsid w:val="009062EA"/>
    <w:rsid w:val="00906CA7"/>
    <w:rsid w:val="009078C8"/>
    <w:rsid w:val="00907965"/>
    <w:rsid w:val="00907A90"/>
    <w:rsid w:val="00907E68"/>
    <w:rsid w:val="00907EF2"/>
    <w:rsid w:val="009103BE"/>
    <w:rsid w:val="009104AB"/>
    <w:rsid w:val="00910750"/>
    <w:rsid w:val="00910DA7"/>
    <w:rsid w:val="00910F4D"/>
    <w:rsid w:val="009112A5"/>
    <w:rsid w:val="009112D5"/>
    <w:rsid w:val="009116F3"/>
    <w:rsid w:val="00911B0E"/>
    <w:rsid w:val="009120D6"/>
    <w:rsid w:val="00913157"/>
    <w:rsid w:val="009135B7"/>
    <w:rsid w:val="00913C2C"/>
    <w:rsid w:val="00913F91"/>
    <w:rsid w:val="00914808"/>
    <w:rsid w:val="0091486B"/>
    <w:rsid w:val="009151E6"/>
    <w:rsid w:val="009156D0"/>
    <w:rsid w:val="00915F95"/>
    <w:rsid w:val="00916DF9"/>
    <w:rsid w:val="00917277"/>
    <w:rsid w:val="009201B9"/>
    <w:rsid w:val="009202DF"/>
    <w:rsid w:val="00920A40"/>
    <w:rsid w:val="00920ACC"/>
    <w:rsid w:val="00920B4E"/>
    <w:rsid w:val="00920C9C"/>
    <w:rsid w:val="00920D47"/>
    <w:rsid w:val="00920D4C"/>
    <w:rsid w:val="0092128D"/>
    <w:rsid w:val="00921298"/>
    <w:rsid w:val="00921650"/>
    <w:rsid w:val="00921A68"/>
    <w:rsid w:val="00921C40"/>
    <w:rsid w:val="00922466"/>
    <w:rsid w:val="00922B07"/>
    <w:rsid w:val="00922F60"/>
    <w:rsid w:val="009230FF"/>
    <w:rsid w:val="009233E4"/>
    <w:rsid w:val="009236B5"/>
    <w:rsid w:val="0092380E"/>
    <w:rsid w:val="00923935"/>
    <w:rsid w:val="00923A74"/>
    <w:rsid w:val="00923BA3"/>
    <w:rsid w:val="00923F92"/>
    <w:rsid w:val="00923FB5"/>
    <w:rsid w:val="00924091"/>
    <w:rsid w:val="0092453B"/>
    <w:rsid w:val="009245DB"/>
    <w:rsid w:val="009246CB"/>
    <w:rsid w:val="00924B76"/>
    <w:rsid w:val="00925585"/>
    <w:rsid w:val="009255B9"/>
    <w:rsid w:val="009256C8"/>
    <w:rsid w:val="00926166"/>
    <w:rsid w:val="0092664F"/>
    <w:rsid w:val="00926758"/>
    <w:rsid w:val="00926942"/>
    <w:rsid w:val="009269D1"/>
    <w:rsid w:val="00927446"/>
    <w:rsid w:val="00927B56"/>
    <w:rsid w:val="00930770"/>
    <w:rsid w:val="00930B86"/>
    <w:rsid w:val="00931023"/>
    <w:rsid w:val="00931962"/>
    <w:rsid w:val="009320A8"/>
    <w:rsid w:val="0093212A"/>
    <w:rsid w:val="009321C2"/>
    <w:rsid w:val="0093240D"/>
    <w:rsid w:val="00932422"/>
    <w:rsid w:val="0093274A"/>
    <w:rsid w:val="009327ED"/>
    <w:rsid w:val="009331D8"/>
    <w:rsid w:val="00933254"/>
    <w:rsid w:val="0093328E"/>
    <w:rsid w:val="00933801"/>
    <w:rsid w:val="00934D4A"/>
    <w:rsid w:val="00934D9D"/>
    <w:rsid w:val="00935280"/>
    <w:rsid w:val="0093532A"/>
    <w:rsid w:val="00935359"/>
    <w:rsid w:val="00935774"/>
    <w:rsid w:val="00935DF4"/>
    <w:rsid w:val="00935E99"/>
    <w:rsid w:val="00936349"/>
    <w:rsid w:val="00936440"/>
    <w:rsid w:val="00936661"/>
    <w:rsid w:val="00936AE0"/>
    <w:rsid w:val="00936C5F"/>
    <w:rsid w:val="0093727A"/>
    <w:rsid w:val="0093739F"/>
    <w:rsid w:val="0093751F"/>
    <w:rsid w:val="00940551"/>
    <w:rsid w:val="00940F27"/>
    <w:rsid w:val="00940F80"/>
    <w:rsid w:val="009414C7"/>
    <w:rsid w:val="00941E00"/>
    <w:rsid w:val="0094251D"/>
    <w:rsid w:val="00942945"/>
    <w:rsid w:val="00942A88"/>
    <w:rsid w:val="00942FDC"/>
    <w:rsid w:val="0094335A"/>
    <w:rsid w:val="00943435"/>
    <w:rsid w:val="0094353A"/>
    <w:rsid w:val="00943753"/>
    <w:rsid w:val="00943D75"/>
    <w:rsid w:val="00943F7F"/>
    <w:rsid w:val="0094458D"/>
    <w:rsid w:val="009447E0"/>
    <w:rsid w:val="00944AFF"/>
    <w:rsid w:val="0094588D"/>
    <w:rsid w:val="00945984"/>
    <w:rsid w:val="0094640F"/>
    <w:rsid w:val="009468E8"/>
    <w:rsid w:val="0094756C"/>
    <w:rsid w:val="009500B6"/>
    <w:rsid w:val="009501C8"/>
    <w:rsid w:val="009504CA"/>
    <w:rsid w:val="009505E5"/>
    <w:rsid w:val="0095078C"/>
    <w:rsid w:val="00951063"/>
    <w:rsid w:val="00951513"/>
    <w:rsid w:val="009516D6"/>
    <w:rsid w:val="0095288C"/>
    <w:rsid w:val="009528D6"/>
    <w:rsid w:val="00952AC1"/>
    <w:rsid w:val="00952EED"/>
    <w:rsid w:val="00953045"/>
    <w:rsid w:val="009533CD"/>
    <w:rsid w:val="0095436A"/>
    <w:rsid w:val="009547B2"/>
    <w:rsid w:val="009547FD"/>
    <w:rsid w:val="009553DA"/>
    <w:rsid w:val="00955659"/>
    <w:rsid w:val="00955A98"/>
    <w:rsid w:val="00955D33"/>
    <w:rsid w:val="00955D7F"/>
    <w:rsid w:val="009561CA"/>
    <w:rsid w:val="009561CB"/>
    <w:rsid w:val="00956692"/>
    <w:rsid w:val="009567BA"/>
    <w:rsid w:val="009567D9"/>
    <w:rsid w:val="00956A23"/>
    <w:rsid w:val="00956DCE"/>
    <w:rsid w:val="0095726E"/>
    <w:rsid w:val="00957AF2"/>
    <w:rsid w:val="00957C4E"/>
    <w:rsid w:val="009606DC"/>
    <w:rsid w:val="009610A1"/>
    <w:rsid w:val="00961EE2"/>
    <w:rsid w:val="00962024"/>
    <w:rsid w:val="00962227"/>
    <w:rsid w:val="00962588"/>
    <w:rsid w:val="0096268C"/>
    <w:rsid w:val="00962DC4"/>
    <w:rsid w:val="00962E3B"/>
    <w:rsid w:val="00963029"/>
    <w:rsid w:val="009631E7"/>
    <w:rsid w:val="00963916"/>
    <w:rsid w:val="0096395F"/>
    <w:rsid w:val="00963B0F"/>
    <w:rsid w:val="00963BB5"/>
    <w:rsid w:val="00963C0F"/>
    <w:rsid w:val="00963D14"/>
    <w:rsid w:val="00964188"/>
    <w:rsid w:val="009641BC"/>
    <w:rsid w:val="009641FD"/>
    <w:rsid w:val="00964293"/>
    <w:rsid w:val="009646CF"/>
    <w:rsid w:val="0096487C"/>
    <w:rsid w:val="00964C36"/>
    <w:rsid w:val="00964E50"/>
    <w:rsid w:val="0096517D"/>
    <w:rsid w:val="0096536C"/>
    <w:rsid w:val="0096552B"/>
    <w:rsid w:val="009659A2"/>
    <w:rsid w:val="00965AEC"/>
    <w:rsid w:val="00965B27"/>
    <w:rsid w:val="00965D93"/>
    <w:rsid w:val="00965E0C"/>
    <w:rsid w:val="00965E71"/>
    <w:rsid w:val="00965F99"/>
    <w:rsid w:val="00966398"/>
    <w:rsid w:val="009663ED"/>
    <w:rsid w:val="00966531"/>
    <w:rsid w:val="00966729"/>
    <w:rsid w:val="0096695E"/>
    <w:rsid w:val="00966F31"/>
    <w:rsid w:val="009673C6"/>
    <w:rsid w:val="00970288"/>
    <w:rsid w:val="00970579"/>
    <w:rsid w:val="009705C6"/>
    <w:rsid w:val="009705D4"/>
    <w:rsid w:val="00970790"/>
    <w:rsid w:val="00970FAD"/>
    <w:rsid w:val="009710DD"/>
    <w:rsid w:val="009713D8"/>
    <w:rsid w:val="00971652"/>
    <w:rsid w:val="009719E9"/>
    <w:rsid w:val="00971F25"/>
    <w:rsid w:val="00972102"/>
    <w:rsid w:val="0097217E"/>
    <w:rsid w:val="00972740"/>
    <w:rsid w:val="0097326C"/>
    <w:rsid w:val="00973360"/>
    <w:rsid w:val="009733D4"/>
    <w:rsid w:val="00973782"/>
    <w:rsid w:val="00973E51"/>
    <w:rsid w:val="00974059"/>
    <w:rsid w:val="00974126"/>
    <w:rsid w:val="009746E8"/>
    <w:rsid w:val="00974A6A"/>
    <w:rsid w:val="00974DCF"/>
    <w:rsid w:val="009752CB"/>
    <w:rsid w:val="009758F3"/>
    <w:rsid w:val="009761B3"/>
    <w:rsid w:val="00976FA9"/>
    <w:rsid w:val="00976FF8"/>
    <w:rsid w:val="0097734E"/>
    <w:rsid w:val="00977B86"/>
    <w:rsid w:val="00977C65"/>
    <w:rsid w:val="009800FB"/>
    <w:rsid w:val="009801FB"/>
    <w:rsid w:val="00980655"/>
    <w:rsid w:val="009806EE"/>
    <w:rsid w:val="0098112D"/>
    <w:rsid w:val="009814B8"/>
    <w:rsid w:val="00981648"/>
    <w:rsid w:val="009816A3"/>
    <w:rsid w:val="00981A0A"/>
    <w:rsid w:val="009823AD"/>
    <w:rsid w:val="0098297D"/>
    <w:rsid w:val="00982CDA"/>
    <w:rsid w:val="00983069"/>
    <w:rsid w:val="009838F5"/>
    <w:rsid w:val="00983D3B"/>
    <w:rsid w:val="00983FE3"/>
    <w:rsid w:val="00984511"/>
    <w:rsid w:val="00984A09"/>
    <w:rsid w:val="00984E58"/>
    <w:rsid w:val="00985146"/>
    <w:rsid w:val="0098568B"/>
    <w:rsid w:val="00986407"/>
    <w:rsid w:val="009866E4"/>
    <w:rsid w:val="00986774"/>
    <w:rsid w:val="009874D4"/>
    <w:rsid w:val="00987D75"/>
    <w:rsid w:val="009903A5"/>
    <w:rsid w:val="0099046B"/>
    <w:rsid w:val="00990BA9"/>
    <w:rsid w:val="009915F8"/>
    <w:rsid w:val="009917FF"/>
    <w:rsid w:val="00991855"/>
    <w:rsid w:val="00991B2A"/>
    <w:rsid w:val="00991C42"/>
    <w:rsid w:val="00991F1D"/>
    <w:rsid w:val="00992104"/>
    <w:rsid w:val="0099286D"/>
    <w:rsid w:val="009933CC"/>
    <w:rsid w:val="00993AC8"/>
    <w:rsid w:val="009940E5"/>
    <w:rsid w:val="009946ED"/>
    <w:rsid w:val="00994AED"/>
    <w:rsid w:val="009957D5"/>
    <w:rsid w:val="0099618E"/>
    <w:rsid w:val="009961A5"/>
    <w:rsid w:val="0099639C"/>
    <w:rsid w:val="00996444"/>
    <w:rsid w:val="009965FC"/>
    <w:rsid w:val="0099666E"/>
    <w:rsid w:val="00996B83"/>
    <w:rsid w:val="009A0301"/>
    <w:rsid w:val="009A09DC"/>
    <w:rsid w:val="009A0E0E"/>
    <w:rsid w:val="009A10D9"/>
    <w:rsid w:val="009A165B"/>
    <w:rsid w:val="009A18D2"/>
    <w:rsid w:val="009A1D1A"/>
    <w:rsid w:val="009A2372"/>
    <w:rsid w:val="009A2378"/>
    <w:rsid w:val="009A25FF"/>
    <w:rsid w:val="009A2872"/>
    <w:rsid w:val="009A2BC6"/>
    <w:rsid w:val="009A2EA2"/>
    <w:rsid w:val="009A344E"/>
    <w:rsid w:val="009A345F"/>
    <w:rsid w:val="009A3520"/>
    <w:rsid w:val="009A3A03"/>
    <w:rsid w:val="009A4110"/>
    <w:rsid w:val="009A415B"/>
    <w:rsid w:val="009A4C8E"/>
    <w:rsid w:val="009A56E9"/>
    <w:rsid w:val="009A5BF7"/>
    <w:rsid w:val="009A5E72"/>
    <w:rsid w:val="009A69B8"/>
    <w:rsid w:val="009A7242"/>
    <w:rsid w:val="009A740C"/>
    <w:rsid w:val="009A7E10"/>
    <w:rsid w:val="009B0A64"/>
    <w:rsid w:val="009B0BB2"/>
    <w:rsid w:val="009B0C1A"/>
    <w:rsid w:val="009B110C"/>
    <w:rsid w:val="009B13D1"/>
    <w:rsid w:val="009B160A"/>
    <w:rsid w:val="009B16EA"/>
    <w:rsid w:val="009B1BD6"/>
    <w:rsid w:val="009B1F7D"/>
    <w:rsid w:val="009B2150"/>
    <w:rsid w:val="009B220C"/>
    <w:rsid w:val="009B2970"/>
    <w:rsid w:val="009B2C3D"/>
    <w:rsid w:val="009B2CE0"/>
    <w:rsid w:val="009B2DE2"/>
    <w:rsid w:val="009B3089"/>
    <w:rsid w:val="009B327A"/>
    <w:rsid w:val="009B3D50"/>
    <w:rsid w:val="009B3F5A"/>
    <w:rsid w:val="009B451A"/>
    <w:rsid w:val="009B49C6"/>
    <w:rsid w:val="009B49E8"/>
    <w:rsid w:val="009B4A9C"/>
    <w:rsid w:val="009B4AFD"/>
    <w:rsid w:val="009B4B4C"/>
    <w:rsid w:val="009B4C35"/>
    <w:rsid w:val="009B4C45"/>
    <w:rsid w:val="009B4C5F"/>
    <w:rsid w:val="009B507C"/>
    <w:rsid w:val="009B551B"/>
    <w:rsid w:val="009B590F"/>
    <w:rsid w:val="009B5FAA"/>
    <w:rsid w:val="009B6361"/>
    <w:rsid w:val="009B66ED"/>
    <w:rsid w:val="009B6A89"/>
    <w:rsid w:val="009B6DC9"/>
    <w:rsid w:val="009B7238"/>
    <w:rsid w:val="009B7AEA"/>
    <w:rsid w:val="009C0A4C"/>
    <w:rsid w:val="009C0E29"/>
    <w:rsid w:val="009C0EB6"/>
    <w:rsid w:val="009C11F8"/>
    <w:rsid w:val="009C150A"/>
    <w:rsid w:val="009C161B"/>
    <w:rsid w:val="009C1F9D"/>
    <w:rsid w:val="009C2312"/>
    <w:rsid w:val="009C2685"/>
    <w:rsid w:val="009C344A"/>
    <w:rsid w:val="009C399D"/>
    <w:rsid w:val="009C3E9E"/>
    <w:rsid w:val="009C4F6B"/>
    <w:rsid w:val="009C50E4"/>
    <w:rsid w:val="009C5191"/>
    <w:rsid w:val="009C53E4"/>
    <w:rsid w:val="009C5814"/>
    <w:rsid w:val="009C67B5"/>
    <w:rsid w:val="009C7648"/>
    <w:rsid w:val="009D0A92"/>
    <w:rsid w:val="009D0B20"/>
    <w:rsid w:val="009D0C1A"/>
    <w:rsid w:val="009D0E53"/>
    <w:rsid w:val="009D11E4"/>
    <w:rsid w:val="009D2453"/>
    <w:rsid w:val="009D255C"/>
    <w:rsid w:val="009D27E6"/>
    <w:rsid w:val="009D33F4"/>
    <w:rsid w:val="009D3CE1"/>
    <w:rsid w:val="009D3E48"/>
    <w:rsid w:val="009D409A"/>
    <w:rsid w:val="009D411E"/>
    <w:rsid w:val="009D4429"/>
    <w:rsid w:val="009D4A12"/>
    <w:rsid w:val="009D5580"/>
    <w:rsid w:val="009D5847"/>
    <w:rsid w:val="009D5985"/>
    <w:rsid w:val="009D5D7C"/>
    <w:rsid w:val="009D661D"/>
    <w:rsid w:val="009D6A74"/>
    <w:rsid w:val="009D6AF4"/>
    <w:rsid w:val="009D70DE"/>
    <w:rsid w:val="009D737B"/>
    <w:rsid w:val="009D7649"/>
    <w:rsid w:val="009D7BD1"/>
    <w:rsid w:val="009D7DE8"/>
    <w:rsid w:val="009E02AC"/>
    <w:rsid w:val="009E0844"/>
    <w:rsid w:val="009E1640"/>
    <w:rsid w:val="009E1828"/>
    <w:rsid w:val="009E1905"/>
    <w:rsid w:val="009E2533"/>
    <w:rsid w:val="009E254B"/>
    <w:rsid w:val="009E268B"/>
    <w:rsid w:val="009E2945"/>
    <w:rsid w:val="009E2CA7"/>
    <w:rsid w:val="009E3F50"/>
    <w:rsid w:val="009E4C51"/>
    <w:rsid w:val="009E632A"/>
    <w:rsid w:val="009E6631"/>
    <w:rsid w:val="009E696F"/>
    <w:rsid w:val="009E6B77"/>
    <w:rsid w:val="009E6F39"/>
    <w:rsid w:val="009E7044"/>
    <w:rsid w:val="009E7105"/>
    <w:rsid w:val="009E7207"/>
    <w:rsid w:val="009F0087"/>
    <w:rsid w:val="009F0660"/>
    <w:rsid w:val="009F073C"/>
    <w:rsid w:val="009F0AA9"/>
    <w:rsid w:val="009F0C1B"/>
    <w:rsid w:val="009F0D39"/>
    <w:rsid w:val="009F1100"/>
    <w:rsid w:val="009F1511"/>
    <w:rsid w:val="009F17C6"/>
    <w:rsid w:val="009F1AF0"/>
    <w:rsid w:val="009F28A1"/>
    <w:rsid w:val="009F33D3"/>
    <w:rsid w:val="009F3B9C"/>
    <w:rsid w:val="009F40CB"/>
    <w:rsid w:val="009F4836"/>
    <w:rsid w:val="009F4BB3"/>
    <w:rsid w:val="009F54B1"/>
    <w:rsid w:val="009F5B49"/>
    <w:rsid w:val="009F5E51"/>
    <w:rsid w:val="009F6038"/>
    <w:rsid w:val="009F62F0"/>
    <w:rsid w:val="009F6598"/>
    <w:rsid w:val="009F66EB"/>
    <w:rsid w:val="009F6989"/>
    <w:rsid w:val="009F6CD9"/>
    <w:rsid w:val="009F6E8A"/>
    <w:rsid w:val="009F7082"/>
    <w:rsid w:val="009F718C"/>
    <w:rsid w:val="009F7521"/>
    <w:rsid w:val="009F76A5"/>
    <w:rsid w:val="009F77AA"/>
    <w:rsid w:val="009F7DCB"/>
    <w:rsid w:val="00A001C3"/>
    <w:rsid w:val="00A00A32"/>
    <w:rsid w:val="00A00CAB"/>
    <w:rsid w:val="00A01451"/>
    <w:rsid w:val="00A01464"/>
    <w:rsid w:val="00A01FF5"/>
    <w:rsid w:val="00A02240"/>
    <w:rsid w:val="00A023F0"/>
    <w:rsid w:val="00A0257F"/>
    <w:rsid w:val="00A02623"/>
    <w:rsid w:val="00A02C4C"/>
    <w:rsid w:val="00A02FE0"/>
    <w:rsid w:val="00A03280"/>
    <w:rsid w:val="00A032A5"/>
    <w:rsid w:val="00A032FB"/>
    <w:rsid w:val="00A0350A"/>
    <w:rsid w:val="00A03F66"/>
    <w:rsid w:val="00A0478B"/>
    <w:rsid w:val="00A051AC"/>
    <w:rsid w:val="00A0589C"/>
    <w:rsid w:val="00A060F9"/>
    <w:rsid w:val="00A066BA"/>
    <w:rsid w:val="00A06A08"/>
    <w:rsid w:val="00A0705D"/>
    <w:rsid w:val="00A07962"/>
    <w:rsid w:val="00A07996"/>
    <w:rsid w:val="00A10012"/>
    <w:rsid w:val="00A10AA1"/>
    <w:rsid w:val="00A11364"/>
    <w:rsid w:val="00A11414"/>
    <w:rsid w:val="00A118C1"/>
    <w:rsid w:val="00A119D8"/>
    <w:rsid w:val="00A124F7"/>
    <w:rsid w:val="00A127FC"/>
    <w:rsid w:val="00A12AB4"/>
    <w:rsid w:val="00A12FBC"/>
    <w:rsid w:val="00A130CF"/>
    <w:rsid w:val="00A130D7"/>
    <w:rsid w:val="00A13529"/>
    <w:rsid w:val="00A1385B"/>
    <w:rsid w:val="00A13AD8"/>
    <w:rsid w:val="00A13BC6"/>
    <w:rsid w:val="00A13D4F"/>
    <w:rsid w:val="00A1445D"/>
    <w:rsid w:val="00A1493E"/>
    <w:rsid w:val="00A1494B"/>
    <w:rsid w:val="00A14F48"/>
    <w:rsid w:val="00A15AE9"/>
    <w:rsid w:val="00A166B8"/>
    <w:rsid w:val="00A16805"/>
    <w:rsid w:val="00A168BA"/>
    <w:rsid w:val="00A168C3"/>
    <w:rsid w:val="00A16C1F"/>
    <w:rsid w:val="00A1777C"/>
    <w:rsid w:val="00A177B5"/>
    <w:rsid w:val="00A17E17"/>
    <w:rsid w:val="00A17FBA"/>
    <w:rsid w:val="00A200E8"/>
    <w:rsid w:val="00A20197"/>
    <w:rsid w:val="00A20386"/>
    <w:rsid w:val="00A20A41"/>
    <w:rsid w:val="00A20A63"/>
    <w:rsid w:val="00A20FF2"/>
    <w:rsid w:val="00A211F9"/>
    <w:rsid w:val="00A217BB"/>
    <w:rsid w:val="00A21C24"/>
    <w:rsid w:val="00A21C5C"/>
    <w:rsid w:val="00A21F1B"/>
    <w:rsid w:val="00A23064"/>
    <w:rsid w:val="00A23868"/>
    <w:rsid w:val="00A24678"/>
    <w:rsid w:val="00A248F9"/>
    <w:rsid w:val="00A24F8B"/>
    <w:rsid w:val="00A25A82"/>
    <w:rsid w:val="00A25F85"/>
    <w:rsid w:val="00A26559"/>
    <w:rsid w:val="00A26664"/>
    <w:rsid w:val="00A26952"/>
    <w:rsid w:val="00A26DAC"/>
    <w:rsid w:val="00A26EA3"/>
    <w:rsid w:val="00A26F1F"/>
    <w:rsid w:val="00A272AD"/>
    <w:rsid w:val="00A272B1"/>
    <w:rsid w:val="00A30162"/>
    <w:rsid w:val="00A30BFB"/>
    <w:rsid w:val="00A30FB4"/>
    <w:rsid w:val="00A311AE"/>
    <w:rsid w:val="00A3185C"/>
    <w:rsid w:val="00A31AB1"/>
    <w:rsid w:val="00A329A8"/>
    <w:rsid w:val="00A32D80"/>
    <w:rsid w:val="00A3371B"/>
    <w:rsid w:val="00A3384C"/>
    <w:rsid w:val="00A338BE"/>
    <w:rsid w:val="00A33ABC"/>
    <w:rsid w:val="00A33AC8"/>
    <w:rsid w:val="00A33FF2"/>
    <w:rsid w:val="00A3405D"/>
    <w:rsid w:val="00A3482F"/>
    <w:rsid w:val="00A34B98"/>
    <w:rsid w:val="00A35300"/>
    <w:rsid w:val="00A35E0F"/>
    <w:rsid w:val="00A35EC0"/>
    <w:rsid w:val="00A36258"/>
    <w:rsid w:val="00A366CB"/>
    <w:rsid w:val="00A36968"/>
    <w:rsid w:val="00A378EA"/>
    <w:rsid w:val="00A37AE4"/>
    <w:rsid w:val="00A37CCE"/>
    <w:rsid w:val="00A37FBC"/>
    <w:rsid w:val="00A4080B"/>
    <w:rsid w:val="00A40C01"/>
    <w:rsid w:val="00A40C33"/>
    <w:rsid w:val="00A412DA"/>
    <w:rsid w:val="00A415AC"/>
    <w:rsid w:val="00A423E5"/>
    <w:rsid w:val="00A4264C"/>
    <w:rsid w:val="00A42D98"/>
    <w:rsid w:val="00A4337A"/>
    <w:rsid w:val="00A433FF"/>
    <w:rsid w:val="00A435FE"/>
    <w:rsid w:val="00A43767"/>
    <w:rsid w:val="00A438D9"/>
    <w:rsid w:val="00A43C8D"/>
    <w:rsid w:val="00A43DA4"/>
    <w:rsid w:val="00A442A6"/>
    <w:rsid w:val="00A447C8"/>
    <w:rsid w:val="00A45E09"/>
    <w:rsid w:val="00A465CD"/>
    <w:rsid w:val="00A468A1"/>
    <w:rsid w:val="00A46E29"/>
    <w:rsid w:val="00A46F28"/>
    <w:rsid w:val="00A47B7B"/>
    <w:rsid w:val="00A47EBA"/>
    <w:rsid w:val="00A5015D"/>
    <w:rsid w:val="00A502DC"/>
    <w:rsid w:val="00A50458"/>
    <w:rsid w:val="00A50AD8"/>
    <w:rsid w:val="00A50D03"/>
    <w:rsid w:val="00A5145D"/>
    <w:rsid w:val="00A51BC0"/>
    <w:rsid w:val="00A51CCC"/>
    <w:rsid w:val="00A53059"/>
    <w:rsid w:val="00A5305D"/>
    <w:rsid w:val="00A5329B"/>
    <w:rsid w:val="00A53DD1"/>
    <w:rsid w:val="00A54018"/>
    <w:rsid w:val="00A54065"/>
    <w:rsid w:val="00A543DD"/>
    <w:rsid w:val="00A54450"/>
    <w:rsid w:val="00A548F9"/>
    <w:rsid w:val="00A54EC4"/>
    <w:rsid w:val="00A5531F"/>
    <w:rsid w:val="00A559A4"/>
    <w:rsid w:val="00A561D8"/>
    <w:rsid w:val="00A56388"/>
    <w:rsid w:val="00A56BB9"/>
    <w:rsid w:val="00A56D97"/>
    <w:rsid w:val="00A56E8D"/>
    <w:rsid w:val="00A5739D"/>
    <w:rsid w:val="00A57827"/>
    <w:rsid w:val="00A57BDC"/>
    <w:rsid w:val="00A60592"/>
    <w:rsid w:val="00A60BC7"/>
    <w:rsid w:val="00A60D9E"/>
    <w:rsid w:val="00A61645"/>
    <w:rsid w:val="00A6197D"/>
    <w:rsid w:val="00A61BA8"/>
    <w:rsid w:val="00A62012"/>
    <w:rsid w:val="00A62039"/>
    <w:rsid w:val="00A62467"/>
    <w:rsid w:val="00A625C5"/>
    <w:rsid w:val="00A62C67"/>
    <w:rsid w:val="00A635F9"/>
    <w:rsid w:val="00A644A7"/>
    <w:rsid w:val="00A64D89"/>
    <w:rsid w:val="00A65554"/>
    <w:rsid w:val="00A656F3"/>
    <w:rsid w:val="00A65830"/>
    <w:rsid w:val="00A66183"/>
    <w:rsid w:val="00A66247"/>
    <w:rsid w:val="00A66ACE"/>
    <w:rsid w:val="00A672C2"/>
    <w:rsid w:val="00A673FB"/>
    <w:rsid w:val="00A6777C"/>
    <w:rsid w:val="00A67AC4"/>
    <w:rsid w:val="00A67C17"/>
    <w:rsid w:val="00A67DE2"/>
    <w:rsid w:val="00A70455"/>
    <w:rsid w:val="00A70527"/>
    <w:rsid w:val="00A70A39"/>
    <w:rsid w:val="00A70F96"/>
    <w:rsid w:val="00A7114D"/>
    <w:rsid w:val="00A71606"/>
    <w:rsid w:val="00A7184A"/>
    <w:rsid w:val="00A71B11"/>
    <w:rsid w:val="00A71F70"/>
    <w:rsid w:val="00A71FD5"/>
    <w:rsid w:val="00A7298D"/>
    <w:rsid w:val="00A72D18"/>
    <w:rsid w:val="00A72EC9"/>
    <w:rsid w:val="00A732DC"/>
    <w:rsid w:val="00A7444E"/>
    <w:rsid w:val="00A74E61"/>
    <w:rsid w:val="00A7502D"/>
    <w:rsid w:val="00A75642"/>
    <w:rsid w:val="00A75B96"/>
    <w:rsid w:val="00A764CE"/>
    <w:rsid w:val="00A77021"/>
    <w:rsid w:val="00A770EE"/>
    <w:rsid w:val="00A77563"/>
    <w:rsid w:val="00A77854"/>
    <w:rsid w:val="00A77AE3"/>
    <w:rsid w:val="00A77B58"/>
    <w:rsid w:val="00A77BEC"/>
    <w:rsid w:val="00A77C53"/>
    <w:rsid w:val="00A77C68"/>
    <w:rsid w:val="00A77D25"/>
    <w:rsid w:val="00A80E9C"/>
    <w:rsid w:val="00A81127"/>
    <w:rsid w:val="00A8113E"/>
    <w:rsid w:val="00A81571"/>
    <w:rsid w:val="00A81843"/>
    <w:rsid w:val="00A81959"/>
    <w:rsid w:val="00A81B8A"/>
    <w:rsid w:val="00A81F03"/>
    <w:rsid w:val="00A82F48"/>
    <w:rsid w:val="00A83108"/>
    <w:rsid w:val="00A831C1"/>
    <w:rsid w:val="00A8344E"/>
    <w:rsid w:val="00A83455"/>
    <w:rsid w:val="00A834E9"/>
    <w:rsid w:val="00A839B8"/>
    <w:rsid w:val="00A83CC6"/>
    <w:rsid w:val="00A83E6C"/>
    <w:rsid w:val="00A83F9A"/>
    <w:rsid w:val="00A841FB"/>
    <w:rsid w:val="00A8443A"/>
    <w:rsid w:val="00A848F3"/>
    <w:rsid w:val="00A84E16"/>
    <w:rsid w:val="00A856C4"/>
    <w:rsid w:val="00A8586D"/>
    <w:rsid w:val="00A85AB6"/>
    <w:rsid w:val="00A862A7"/>
    <w:rsid w:val="00A8643B"/>
    <w:rsid w:val="00A864C2"/>
    <w:rsid w:val="00A8685A"/>
    <w:rsid w:val="00A86ECC"/>
    <w:rsid w:val="00A871F0"/>
    <w:rsid w:val="00A877FD"/>
    <w:rsid w:val="00A87975"/>
    <w:rsid w:val="00A904B4"/>
    <w:rsid w:val="00A906C0"/>
    <w:rsid w:val="00A90883"/>
    <w:rsid w:val="00A90B58"/>
    <w:rsid w:val="00A91EF8"/>
    <w:rsid w:val="00A92127"/>
    <w:rsid w:val="00A9257C"/>
    <w:rsid w:val="00A928A7"/>
    <w:rsid w:val="00A92D2B"/>
    <w:rsid w:val="00A9335C"/>
    <w:rsid w:val="00A93CFC"/>
    <w:rsid w:val="00A94071"/>
    <w:rsid w:val="00A94BB8"/>
    <w:rsid w:val="00A94F82"/>
    <w:rsid w:val="00A95ADC"/>
    <w:rsid w:val="00A95DEA"/>
    <w:rsid w:val="00A9614E"/>
    <w:rsid w:val="00A9639E"/>
    <w:rsid w:val="00A964FE"/>
    <w:rsid w:val="00A965C2"/>
    <w:rsid w:val="00A96747"/>
    <w:rsid w:val="00A96F8C"/>
    <w:rsid w:val="00A970FB"/>
    <w:rsid w:val="00A97647"/>
    <w:rsid w:val="00A97AF6"/>
    <w:rsid w:val="00A97C57"/>
    <w:rsid w:val="00A97F25"/>
    <w:rsid w:val="00AA0398"/>
    <w:rsid w:val="00AA0593"/>
    <w:rsid w:val="00AA0778"/>
    <w:rsid w:val="00AA09C2"/>
    <w:rsid w:val="00AA0E09"/>
    <w:rsid w:val="00AA11FF"/>
    <w:rsid w:val="00AA16BE"/>
    <w:rsid w:val="00AA176F"/>
    <w:rsid w:val="00AA1831"/>
    <w:rsid w:val="00AA1987"/>
    <w:rsid w:val="00AA1B79"/>
    <w:rsid w:val="00AA1C78"/>
    <w:rsid w:val="00AA1CC1"/>
    <w:rsid w:val="00AA244D"/>
    <w:rsid w:val="00AA36F7"/>
    <w:rsid w:val="00AA3794"/>
    <w:rsid w:val="00AA3F70"/>
    <w:rsid w:val="00AA4023"/>
    <w:rsid w:val="00AA408E"/>
    <w:rsid w:val="00AA4734"/>
    <w:rsid w:val="00AA47EA"/>
    <w:rsid w:val="00AA4A05"/>
    <w:rsid w:val="00AA5516"/>
    <w:rsid w:val="00AA610F"/>
    <w:rsid w:val="00AA684B"/>
    <w:rsid w:val="00AA6DCF"/>
    <w:rsid w:val="00AA721A"/>
    <w:rsid w:val="00AA7418"/>
    <w:rsid w:val="00AA7927"/>
    <w:rsid w:val="00AA7EAC"/>
    <w:rsid w:val="00AA7EF0"/>
    <w:rsid w:val="00AB03D7"/>
    <w:rsid w:val="00AB049A"/>
    <w:rsid w:val="00AB0DEA"/>
    <w:rsid w:val="00AB124A"/>
    <w:rsid w:val="00AB2411"/>
    <w:rsid w:val="00AB24E9"/>
    <w:rsid w:val="00AB2EEE"/>
    <w:rsid w:val="00AB3AF2"/>
    <w:rsid w:val="00AB3FE5"/>
    <w:rsid w:val="00AB4D5B"/>
    <w:rsid w:val="00AB5441"/>
    <w:rsid w:val="00AB57BB"/>
    <w:rsid w:val="00AB589D"/>
    <w:rsid w:val="00AB5ABC"/>
    <w:rsid w:val="00AB5E95"/>
    <w:rsid w:val="00AB6901"/>
    <w:rsid w:val="00AB6A89"/>
    <w:rsid w:val="00AB6CE1"/>
    <w:rsid w:val="00AB6D70"/>
    <w:rsid w:val="00AB7784"/>
    <w:rsid w:val="00AB7D1A"/>
    <w:rsid w:val="00AC0CFC"/>
    <w:rsid w:val="00AC0D3E"/>
    <w:rsid w:val="00AC0D83"/>
    <w:rsid w:val="00AC0F75"/>
    <w:rsid w:val="00AC198D"/>
    <w:rsid w:val="00AC228C"/>
    <w:rsid w:val="00AC24E8"/>
    <w:rsid w:val="00AC25A1"/>
    <w:rsid w:val="00AC2668"/>
    <w:rsid w:val="00AC2FC7"/>
    <w:rsid w:val="00AC3116"/>
    <w:rsid w:val="00AC3484"/>
    <w:rsid w:val="00AC3D8A"/>
    <w:rsid w:val="00AC3FB7"/>
    <w:rsid w:val="00AC3FEF"/>
    <w:rsid w:val="00AC45E6"/>
    <w:rsid w:val="00AC45F8"/>
    <w:rsid w:val="00AC4826"/>
    <w:rsid w:val="00AC48BC"/>
    <w:rsid w:val="00AC4BCA"/>
    <w:rsid w:val="00AC518E"/>
    <w:rsid w:val="00AC566E"/>
    <w:rsid w:val="00AC5C53"/>
    <w:rsid w:val="00AC5C73"/>
    <w:rsid w:val="00AC5CC4"/>
    <w:rsid w:val="00AC6610"/>
    <w:rsid w:val="00AC6D5E"/>
    <w:rsid w:val="00AC7046"/>
    <w:rsid w:val="00AD043D"/>
    <w:rsid w:val="00AD0831"/>
    <w:rsid w:val="00AD0F68"/>
    <w:rsid w:val="00AD11A3"/>
    <w:rsid w:val="00AD19FE"/>
    <w:rsid w:val="00AD1D0D"/>
    <w:rsid w:val="00AD1EAB"/>
    <w:rsid w:val="00AD259E"/>
    <w:rsid w:val="00AD2891"/>
    <w:rsid w:val="00AD2B48"/>
    <w:rsid w:val="00AD2C5D"/>
    <w:rsid w:val="00AD2F5A"/>
    <w:rsid w:val="00AD3289"/>
    <w:rsid w:val="00AD3A50"/>
    <w:rsid w:val="00AD3E92"/>
    <w:rsid w:val="00AD3EEF"/>
    <w:rsid w:val="00AD42B3"/>
    <w:rsid w:val="00AD4431"/>
    <w:rsid w:val="00AD4FCF"/>
    <w:rsid w:val="00AD5527"/>
    <w:rsid w:val="00AD5621"/>
    <w:rsid w:val="00AD5698"/>
    <w:rsid w:val="00AD627C"/>
    <w:rsid w:val="00AD6CFB"/>
    <w:rsid w:val="00AD6F8B"/>
    <w:rsid w:val="00AD77C9"/>
    <w:rsid w:val="00AD7A61"/>
    <w:rsid w:val="00AD7BEA"/>
    <w:rsid w:val="00AE0E24"/>
    <w:rsid w:val="00AE16B6"/>
    <w:rsid w:val="00AE241E"/>
    <w:rsid w:val="00AE265E"/>
    <w:rsid w:val="00AE2BC5"/>
    <w:rsid w:val="00AE336B"/>
    <w:rsid w:val="00AE3642"/>
    <w:rsid w:val="00AE3AA1"/>
    <w:rsid w:val="00AE3B58"/>
    <w:rsid w:val="00AE3C25"/>
    <w:rsid w:val="00AE42F3"/>
    <w:rsid w:val="00AE45DC"/>
    <w:rsid w:val="00AE488F"/>
    <w:rsid w:val="00AE4B2B"/>
    <w:rsid w:val="00AE4DE4"/>
    <w:rsid w:val="00AE54F0"/>
    <w:rsid w:val="00AE5BB3"/>
    <w:rsid w:val="00AE6BDA"/>
    <w:rsid w:val="00AE6DF6"/>
    <w:rsid w:val="00AE729B"/>
    <w:rsid w:val="00AE76B4"/>
    <w:rsid w:val="00AF0E95"/>
    <w:rsid w:val="00AF126C"/>
    <w:rsid w:val="00AF13FD"/>
    <w:rsid w:val="00AF1975"/>
    <w:rsid w:val="00AF1F92"/>
    <w:rsid w:val="00AF2E72"/>
    <w:rsid w:val="00AF36C6"/>
    <w:rsid w:val="00AF388E"/>
    <w:rsid w:val="00AF397E"/>
    <w:rsid w:val="00AF3B7C"/>
    <w:rsid w:val="00AF4094"/>
    <w:rsid w:val="00AF41B4"/>
    <w:rsid w:val="00AF4838"/>
    <w:rsid w:val="00AF48F3"/>
    <w:rsid w:val="00AF4AA5"/>
    <w:rsid w:val="00AF5016"/>
    <w:rsid w:val="00AF5186"/>
    <w:rsid w:val="00AF5211"/>
    <w:rsid w:val="00AF5C0E"/>
    <w:rsid w:val="00AF5CDD"/>
    <w:rsid w:val="00AF5E97"/>
    <w:rsid w:val="00AF6157"/>
    <w:rsid w:val="00AF62FD"/>
    <w:rsid w:val="00AF6496"/>
    <w:rsid w:val="00AF65F0"/>
    <w:rsid w:val="00AF70F4"/>
    <w:rsid w:val="00AF7AFB"/>
    <w:rsid w:val="00AF7B05"/>
    <w:rsid w:val="00AF7DDE"/>
    <w:rsid w:val="00AF7E82"/>
    <w:rsid w:val="00AF7FC6"/>
    <w:rsid w:val="00B00567"/>
    <w:rsid w:val="00B00604"/>
    <w:rsid w:val="00B008BF"/>
    <w:rsid w:val="00B008E0"/>
    <w:rsid w:val="00B01287"/>
    <w:rsid w:val="00B01B61"/>
    <w:rsid w:val="00B01CE8"/>
    <w:rsid w:val="00B02211"/>
    <w:rsid w:val="00B02399"/>
    <w:rsid w:val="00B02515"/>
    <w:rsid w:val="00B02EEE"/>
    <w:rsid w:val="00B03048"/>
    <w:rsid w:val="00B036AB"/>
    <w:rsid w:val="00B03814"/>
    <w:rsid w:val="00B03AED"/>
    <w:rsid w:val="00B04770"/>
    <w:rsid w:val="00B0544B"/>
    <w:rsid w:val="00B05B9B"/>
    <w:rsid w:val="00B05C1E"/>
    <w:rsid w:val="00B061C3"/>
    <w:rsid w:val="00B0648B"/>
    <w:rsid w:val="00B0677C"/>
    <w:rsid w:val="00B069E6"/>
    <w:rsid w:val="00B06BFA"/>
    <w:rsid w:val="00B06C85"/>
    <w:rsid w:val="00B07211"/>
    <w:rsid w:val="00B0724E"/>
    <w:rsid w:val="00B07696"/>
    <w:rsid w:val="00B07C47"/>
    <w:rsid w:val="00B07D8B"/>
    <w:rsid w:val="00B10BC1"/>
    <w:rsid w:val="00B10DB5"/>
    <w:rsid w:val="00B110F1"/>
    <w:rsid w:val="00B12927"/>
    <w:rsid w:val="00B129B4"/>
    <w:rsid w:val="00B12C1F"/>
    <w:rsid w:val="00B12DC4"/>
    <w:rsid w:val="00B12F08"/>
    <w:rsid w:val="00B136AE"/>
    <w:rsid w:val="00B138F0"/>
    <w:rsid w:val="00B13DA6"/>
    <w:rsid w:val="00B1401D"/>
    <w:rsid w:val="00B14455"/>
    <w:rsid w:val="00B144A3"/>
    <w:rsid w:val="00B14789"/>
    <w:rsid w:val="00B14A28"/>
    <w:rsid w:val="00B14D15"/>
    <w:rsid w:val="00B14F62"/>
    <w:rsid w:val="00B1571D"/>
    <w:rsid w:val="00B16197"/>
    <w:rsid w:val="00B161CE"/>
    <w:rsid w:val="00B1644B"/>
    <w:rsid w:val="00B164AF"/>
    <w:rsid w:val="00B1693E"/>
    <w:rsid w:val="00B16A3E"/>
    <w:rsid w:val="00B16C20"/>
    <w:rsid w:val="00B17093"/>
    <w:rsid w:val="00B17BA2"/>
    <w:rsid w:val="00B2028F"/>
    <w:rsid w:val="00B2065B"/>
    <w:rsid w:val="00B20702"/>
    <w:rsid w:val="00B20909"/>
    <w:rsid w:val="00B20B3A"/>
    <w:rsid w:val="00B210B7"/>
    <w:rsid w:val="00B21210"/>
    <w:rsid w:val="00B2166B"/>
    <w:rsid w:val="00B2173F"/>
    <w:rsid w:val="00B21E71"/>
    <w:rsid w:val="00B23294"/>
    <w:rsid w:val="00B23912"/>
    <w:rsid w:val="00B23E58"/>
    <w:rsid w:val="00B2412E"/>
    <w:rsid w:val="00B2415D"/>
    <w:rsid w:val="00B25871"/>
    <w:rsid w:val="00B25938"/>
    <w:rsid w:val="00B2603E"/>
    <w:rsid w:val="00B2652D"/>
    <w:rsid w:val="00B269E9"/>
    <w:rsid w:val="00B26AE3"/>
    <w:rsid w:val="00B26B9A"/>
    <w:rsid w:val="00B26DCD"/>
    <w:rsid w:val="00B26F50"/>
    <w:rsid w:val="00B27155"/>
    <w:rsid w:val="00B27273"/>
    <w:rsid w:val="00B27548"/>
    <w:rsid w:val="00B2790A"/>
    <w:rsid w:val="00B279D4"/>
    <w:rsid w:val="00B305E4"/>
    <w:rsid w:val="00B30A42"/>
    <w:rsid w:val="00B30A8C"/>
    <w:rsid w:val="00B30AAE"/>
    <w:rsid w:val="00B30EE2"/>
    <w:rsid w:val="00B31662"/>
    <w:rsid w:val="00B31AAE"/>
    <w:rsid w:val="00B31FD3"/>
    <w:rsid w:val="00B3203A"/>
    <w:rsid w:val="00B323ED"/>
    <w:rsid w:val="00B324A6"/>
    <w:rsid w:val="00B32796"/>
    <w:rsid w:val="00B33488"/>
    <w:rsid w:val="00B33611"/>
    <w:rsid w:val="00B33AA9"/>
    <w:rsid w:val="00B33D08"/>
    <w:rsid w:val="00B33FC0"/>
    <w:rsid w:val="00B34245"/>
    <w:rsid w:val="00B34DCD"/>
    <w:rsid w:val="00B34FD1"/>
    <w:rsid w:val="00B359BC"/>
    <w:rsid w:val="00B371FB"/>
    <w:rsid w:val="00B373B1"/>
    <w:rsid w:val="00B37BDC"/>
    <w:rsid w:val="00B37F96"/>
    <w:rsid w:val="00B40F39"/>
    <w:rsid w:val="00B41533"/>
    <w:rsid w:val="00B4183C"/>
    <w:rsid w:val="00B41B0A"/>
    <w:rsid w:val="00B41C06"/>
    <w:rsid w:val="00B42061"/>
    <w:rsid w:val="00B4225A"/>
    <w:rsid w:val="00B42A42"/>
    <w:rsid w:val="00B42EFE"/>
    <w:rsid w:val="00B43292"/>
    <w:rsid w:val="00B43B05"/>
    <w:rsid w:val="00B43B26"/>
    <w:rsid w:val="00B43C53"/>
    <w:rsid w:val="00B44142"/>
    <w:rsid w:val="00B443CC"/>
    <w:rsid w:val="00B444AB"/>
    <w:rsid w:val="00B4485A"/>
    <w:rsid w:val="00B44C78"/>
    <w:rsid w:val="00B451E8"/>
    <w:rsid w:val="00B458D8"/>
    <w:rsid w:val="00B45D5C"/>
    <w:rsid w:val="00B45E80"/>
    <w:rsid w:val="00B45EB6"/>
    <w:rsid w:val="00B45FEC"/>
    <w:rsid w:val="00B4640C"/>
    <w:rsid w:val="00B46481"/>
    <w:rsid w:val="00B468C6"/>
    <w:rsid w:val="00B469F6"/>
    <w:rsid w:val="00B46E3B"/>
    <w:rsid w:val="00B4708C"/>
    <w:rsid w:val="00B47A7D"/>
    <w:rsid w:val="00B47DAE"/>
    <w:rsid w:val="00B504A3"/>
    <w:rsid w:val="00B50886"/>
    <w:rsid w:val="00B52075"/>
    <w:rsid w:val="00B523DB"/>
    <w:rsid w:val="00B52442"/>
    <w:rsid w:val="00B526EC"/>
    <w:rsid w:val="00B535E6"/>
    <w:rsid w:val="00B537C9"/>
    <w:rsid w:val="00B538E5"/>
    <w:rsid w:val="00B540A9"/>
    <w:rsid w:val="00B549CB"/>
    <w:rsid w:val="00B54B97"/>
    <w:rsid w:val="00B555EA"/>
    <w:rsid w:val="00B55DAF"/>
    <w:rsid w:val="00B56301"/>
    <w:rsid w:val="00B56595"/>
    <w:rsid w:val="00B56A34"/>
    <w:rsid w:val="00B56E79"/>
    <w:rsid w:val="00B57063"/>
    <w:rsid w:val="00B57104"/>
    <w:rsid w:val="00B57637"/>
    <w:rsid w:val="00B577F7"/>
    <w:rsid w:val="00B57AF5"/>
    <w:rsid w:val="00B57C8E"/>
    <w:rsid w:val="00B57EF9"/>
    <w:rsid w:val="00B60003"/>
    <w:rsid w:val="00B61495"/>
    <w:rsid w:val="00B621D4"/>
    <w:rsid w:val="00B63B6A"/>
    <w:rsid w:val="00B63EEC"/>
    <w:rsid w:val="00B64152"/>
    <w:rsid w:val="00B64211"/>
    <w:rsid w:val="00B64775"/>
    <w:rsid w:val="00B647E0"/>
    <w:rsid w:val="00B64B87"/>
    <w:rsid w:val="00B64FC8"/>
    <w:rsid w:val="00B6539A"/>
    <w:rsid w:val="00B653B6"/>
    <w:rsid w:val="00B655BF"/>
    <w:rsid w:val="00B65665"/>
    <w:rsid w:val="00B6577B"/>
    <w:rsid w:val="00B66326"/>
    <w:rsid w:val="00B66377"/>
    <w:rsid w:val="00B66597"/>
    <w:rsid w:val="00B66B2B"/>
    <w:rsid w:val="00B66CA7"/>
    <w:rsid w:val="00B66E6F"/>
    <w:rsid w:val="00B66E73"/>
    <w:rsid w:val="00B67212"/>
    <w:rsid w:val="00B6723C"/>
    <w:rsid w:val="00B67266"/>
    <w:rsid w:val="00B67AC3"/>
    <w:rsid w:val="00B7004C"/>
    <w:rsid w:val="00B7061C"/>
    <w:rsid w:val="00B70CE3"/>
    <w:rsid w:val="00B71014"/>
    <w:rsid w:val="00B71186"/>
    <w:rsid w:val="00B71249"/>
    <w:rsid w:val="00B7195E"/>
    <w:rsid w:val="00B719F9"/>
    <w:rsid w:val="00B71A1D"/>
    <w:rsid w:val="00B71F5F"/>
    <w:rsid w:val="00B73989"/>
    <w:rsid w:val="00B739B6"/>
    <w:rsid w:val="00B73D16"/>
    <w:rsid w:val="00B74222"/>
    <w:rsid w:val="00B74260"/>
    <w:rsid w:val="00B74E7C"/>
    <w:rsid w:val="00B75721"/>
    <w:rsid w:val="00B75A62"/>
    <w:rsid w:val="00B75E26"/>
    <w:rsid w:val="00B75F01"/>
    <w:rsid w:val="00B7619A"/>
    <w:rsid w:val="00B763E6"/>
    <w:rsid w:val="00B766DA"/>
    <w:rsid w:val="00B76AD7"/>
    <w:rsid w:val="00B76DE5"/>
    <w:rsid w:val="00B7767A"/>
    <w:rsid w:val="00B808DC"/>
    <w:rsid w:val="00B80F68"/>
    <w:rsid w:val="00B81812"/>
    <w:rsid w:val="00B81997"/>
    <w:rsid w:val="00B81FFC"/>
    <w:rsid w:val="00B82043"/>
    <w:rsid w:val="00B82883"/>
    <w:rsid w:val="00B83407"/>
    <w:rsid w:val="00B838C0"/>
    <w:rsid w:val="00B83FB5"/>
    <w:rsid w:val="00B84A30"/>
    <w:rsid w:val="00B84F2B"/>
    <w:rsid w:val="00B85318"/>
    <w:rsid w:val="00B85A9B"/>
    <w:rsid w:val="00B86384"/>
    <w:rsid w:val="00B86B28"/>
    <w:rsid w:val="00B86C19"/>
    <w:rsid w:val="00B86CEF"/>
    <w:rsid w:val="00B86D44"/>
    <w:rsid w:val="00B86D6D"/>
    <w:rsid w:val="00B8742F"/>
    <w:rsid w:val="00B87C22"/>
    <w:rsid w:val="00B87EBC"/>
    <w:rsid w:val="00B900D8"/>
    <w:rsid w:val="00B90151"/>
    <w:rsid w:val="00B90774"/>
    <w:rsid w:val="00B9079C"/>
    <w:rsid w:val="00B90AAD"/>
    <w:rsid w:val="00B90E1F"/>
    <w:rsid w:val="00B9109E"/>
    <w:rsid w:val="00B919CD"/>
    <w:rsid w:val="00B91C70"/>
    <w:rsid w:val="00B921FF"/>
    <w:rsid w:val="00B923B4"/>
    <w:rsid w:val="00B92545"/>
    <w:rsid w:val="00B92C43"/>
    <w:rsid w:val="00B92C78"/>
    <w:rsid w:val="00B92D9D"/>
    <w:rsid w:val="00B93615"/>
    <w:rsid w:val="00B93A53"/>
    <w:rsid w:val="00B93CAA"/>
    <w:rsid w:val="00B93FF8"/>
    <w:rsid w:val="00B9422A"/>
    <w:rsid w:val="00B948E1"/>
    <w:rsid w:val="00B95238"/>
    <w:rsid w:val="00B95B22"/>
    <w:rsid w:val="00B95B46"/>
    <w:rsid w:val="00B96395"/>
    <w:rsid w:val="00B96B0A"/>
    <w:rsid w:val="00B96FC0"/>
    <w:rsid w:val="00B9747E"/>
    <w:rsid w:val="00B97674"/>
    <w:rsid w:val="00B976E5"/>
    <w:rsid w:val="00B97892"/>
    <w:rsid w:val="00B97E09"/>
    <w:rsid w:val="00BA03E6"/>
    <w:rsid w:val="00BA0FD4"/>
    <w:rsid w:val="00BA178F"/>
    <w:rsid w:val="00BA1792"/>
    <w:rsid w:val="00BA1808"/>
    <w:rsid w:val="00BA1AAE"/>
    <w:rsid w:val="00BA1CB5"/>
    <w:rsid w:val="00BA2302"/>
    <w:rsid w:val="00BA2350"/>
    <w:rsid w:val="00BA3736"/>
    <w:rsid w:val="00BA3862"/>
    <w:rsid w:val="00BA3866"/>
    <w:rsid w:val="00BA38CF"/>
    <w:rsid w:val="00BA3D0D"/>
    <w:rsid w:val="00BA44D5"/>
    <w:rsid w:val="00BA58BC"/>
    <w:rsid w:val="00BA5B30"/>
    <w:rsid w:val="00BA5B96"/>
    <w:rsid w:val="00BA640A"/>
    <w:rsid w:val="00BA691F"/>
    <w:rsid w:val="00BA6E47"/>
    <w:rsid w:val="00BA6EF3"/>
    <w:rsid w:val="00BA71B8"/>
    <w:rsid w:val="00BA7DB9"/>
    <w:rsid w:val="00BB02E3"/>
    <w:rsid w:val="00BB0329"/>
    <w:rsid w:val="00BB03AC"/>
    <w:rsid w:val="00BB0556"/>
    <w:rsid w:val="00BB0823"/>
    <w:rsid w:val="00BB08F9"/>
    <w:rsid w:val="00BB16AE"/>
    <w:rsid w:val="00BB18BC"/>
    <w:rsid w:val="00BB1C2D"/>
    <w:rsid w:val="00BB1D4B"/>
    <w:rsid w:val="00BB241A"/>
    <w:rsid w:val="00BB29C6"/>
    <w:rsid w:val="00BB2B23"/>
    <w:rsid w:val="00BB2FAF"/>
    <w:rsid w:val="00BB31ED"/>
    <w:rsid w:val="00BB4280"/>
    <w:rsid w:val="00BB4DB3"/>
    <w:rsid w:val="00BB4E35"/>
    <w:rsid w:val="00BB5F14"/>
    <w:rsid w:val="00BB5F29"/>
    <w:rsid w:val="00BB6A0A"/>
    <w:rsid w:val="00BB6EFB"/>
    <w:rsid w:val="00BC0E0A"/>
    <w:rsid w:val="00BC0E0B"/>
    <w:rsid w:val="00BC11A5"/>
    <w:rsid w:val="00BC1253"/>
    <w:rsid w:val="00BC1839"/>
    <w:rsid w:val="00BC18CE"/>
    <w:rsid w:val="00BC1B9D"/>
    <w:rsid w:val="00BC2066"/>
    <w:rsid w:val="00BC218F"/>
    <w:rsid w:val="00BC26C8"/>
    <w:rsid w:val="00BC2AE1"/>
    <w:rsid w:val="00BC2B9D"/>
    <w:rsid w:val="00BC3198"/>
    <w:rsid w:val="00BC32C5"/>
    <w:rsid w:val="00BC346C"/>
    <w:rsid w:val="00BC35FC"/>
    <w:rsid w:val="00BC3683"/>
    <w:rsid w:val="00BC38CC"/>
    <w:rsid w:val="00BC3A68"/>
    <w:rsid w:val="00BC41AC"/>
    <w:rsid w:val="00BC45E7"/>
    <w:rsid w:val="00BC4F83"/>
    <w:rsid w:val="00BC51F9"/>
    <w:rsid w:val="00BC52DC"/>
    <w:rsid w:val="00BC5681"/>
    <w:rsid w:val="00BC56E1"/>
    <w:rsid w:val="00BC583B"/>
    <w:rsid w:val="00BC5A68"/>
    <w:rsid w:val="00BC62BC"/>
    <w:rsid w:val="00BC642D"/>
    <w:rsid w:val="00BC71DC"/>
    <w:rsid w:val="00BC726A"/>
    <w:rsid w:val="00BC72DC"/>
    <w:rsid w:val="00BC774A"/>
    <w:rsid w:val="00BC7849"/>
    <w:rsid w:val="00BC7D81"/>
    <w:rsid w:val="00BD0855"/>
    <w:rsid w:val="00BD0982"/>
    <w:rsid w:val="00BD0F5A"/>
    <w:rsid w:val="00BD1700"/>
    <w:rsid w:val="00BD18A6"/>
    <w:rsid w:val="00BD18C2"/>
    <w:rsid w:val="00BD1BDB"/>
    <w:rsid w:val="00BD1C8E"/>
    <w:rsid w:val="00BD1D3A"/>
    <w:rsid w:val="00BD200D"/>
    <w:rsid w:val="00BD2168"/>
    <w:rsid w:val="00BD26DF"/>
    <w:rsid w:val="00BD2AF4"/>
    <w:rsid w:val="00BD2D6C"/>
    <w:rsid w:val="00BD33C5"/>
    <w:rsid w:val="00BD33C8"/>
    <w:rsid w:val="00BD35BF"/>
    <w:rsid w:val="00BD380A"/>
    <w:rsid w:val="00BD3EAF"/>
    <w:rsid w:val="00BD4706"/>
    <w:rsid w:val="00BD4F3F"/>
    <w:rsid w:val="00BD5467"/>
    <w:rsid w:val="00BD55DD"/>
    <w:rsid w:val="00BD5DFA"/>
    <w:rsid w:val="00BD67D0"/>
    <w:rsid w:val="00BD6A18"/>
    <w:rsid w:val="00BD6CC5"/>
    <w:rsid w:val="00BD6EC1"/>
    <w:rsid w:val="00BE00DF"/>
    <w:rsid w:val="00BE038D"/>
    <w:rsid w:val="00BE0848"/>
    <w:rsid w:val="00BE0BE1"/>
    <w:rsid w:val="00BE0C44"/>
    <w:rsid w:val="00BE0E54"/>
    <w:rsid w:val="00BE0E82"/>
    <w:rsid w:val="00BE0F94"/>
    <w:rsid w:val="00BE11B0"/>
    <w:rsid w:val="00BE1425"/>
    <w:rsid w:val="00BE18F7"/>
    <w:rsid w:val="00BE1F55"/>
    <w:rsid w:val="00BE22D4"/>
    <w:rsid w:val="00BE2FEC"/>
    <w:rsid w:val="00BE306D"/>
    <w:rsid w:val="00BE3233"/>
    <w:rsid w:val="00BE3378"/>
    <w:rsid w:val="00BE3CAF"/>
    <w:rsid w:val="00BE3F70"/>
    <w:rsid w:val="00BE406C"/>
    <w:rsid w:val="00BE40E2"/>
    <w:rsid w:val="00BE422B"/>
    <w:rsid w:val="00BE459D"/>
    <w:rsid w:val="00BE4921"/>
    <w:rsid w:val="00BE49B6"/>
    <w:rsid w:val="00BE4A25"/>
    <w:rsid w:val="00BE5258"/>
    <w:rsid w:val="00BE52E5"/>
    <w:rsid w:val="00BE553C"/>
    <w:rsid w:val="00BE5640"/>
    <w:rsid w:val="00BE5724"/>
    <w:rsid w:val="00BE5832"/>
    <w:rsid w:val="00BE5B55"/>
    <w:rsid w:val="00BE6073"/>
    <w:rsid w:val="00BE6480"/>
    <w:rsid w:val="00BE66D9"/>
    <w:rsid w:val="00BE66FC"/>
    <w:rsid w:val="00BE6996"/>
    <w:rsid w:val="00BE6F54"/>
    <w:rsid w:val="00BE72DB"/>
    <w:rsid w:val="00BE74B1"/>
    <w:rsid w:val="00BE7969"/>
    <w:rsid w:val="00BE79A4"/>
    <w:rsid w:val="00BE7B64"/>
    <w:rsid w:val="00BE7C0C"/>
    <w:rsid w:val="00BF00D4"/>
    <w:rsid w:val="00BF016F"/>
    <w:rsid w:val="00BF0176"/>
    <w:rsid w:val="00BF0864"/>
    <w:rsid w:val="00BF1166"/>
    <w:rsid w:val="00BF126B"/>
    <w:rsid w:val="00BF2436"/>
    <w:rsid w:val="00BF24A5"/>
    <w:rsid w:val="00BF26B5"/>
    <w:rsid w:val="00BF27B1"/>
    <w:rsid w:val="00BF29C5"/>
    <w:rsid w:val="00BF2BB1"/>
    <w:rsid w:val="00BF2DC9"/>
    <w:rsid w:val="00BF3D73"/>
    <w:rsid w:val="00BF3DBD"/>
    <w:rsid w:val="00BF3E1B"/>
    <w:rsid w:val="00BF3FE5"/>
    <w:rsid w:val="00BF49DC"/>
    <w:rsid w:val="00BF4C6D"/>
    <w:rsid w:val="00BF4FD8"/>
    <w:rsid w:val="00BF51B3"/>
    <w:rsid w:val="00BF53E7"/>
    <w:rsid w:val="00BF6078"/>
    <w:rsid w:val="00BF62D3"/>
    <w:rsid w:val="00BF66F7"/>
    <w:rsid w:val="00BF68D3"/>
    <w:rsid w:val="00BF6D03"/>
    <w:rsid w:val="00BF6E9E"/>
    <w:rsid w:val="00BF6F5B"/>
    <w:rsid w:val="00BF7663"/>
    <w:rsid w:val="00BF7F0D"/>
    <w:rsid w:val="00C00CB5"/>
    <w:rsid w:val="00C00CE5"/>
    <w:rsid w:val="00C00FD5"/>
    <w:rsid w:val="00C0129B"/>
    <w:rsid w:val="00C018B8"/>
    <w:rsid w:val="00C01D66"/>
    <w:rsid w:val="00C01F66"/>
    <w:rsid w:val="00C025A5"/>
    <w:rsid w:val="00C028C8"/>
    <w:rsid w:val="00C02F4A"/>
    <w:rsid w:val="00C03B62"/>
    <w:rsid w:val="00C03F93"/>
    <w:rsid w:val="00C041CB"/>
    <w:rsid w:val="00C04867"/>
    <w:rsid w:val="00C04D47"/>
    <w:rsid w:val="00C0534D"/>
    <w:rsid w:val="00C054CB"/>
    <w:rsid w:val="00C05632"/>
    <w:rsid w:val="00C0597D"/>
    <w:rsid w:val="00C05F10"/>
    <w:rsid w:val="00C060A4"/>
    <w:rsid w:val="00C0622A"/>
    <w:rsid w:val="00C063C9"/>
    <w:rsid w:val="00C0683B"/>
    <w:rsid w:val="00C06D90"/>
    <w:rsid w:val="00C0702C"/>
    <w:rsid w:val="00C07046"/>
    <w:rsid w:val="00C070A0"/>
    <w:rsid w:val="00C10116"/>
    <w:rsid w:val="00C102D4"/>
    <w:rsid w:val="00C10611"/>
    <w:rsid w:val="00C10952"/>
    <w:rsid w:val="00C10B21"/>
    <w:rsid w:val="00C11749"/>
    <w:rsid w:val="00C117AB"/>
    <w:rsid w:val="00C11DE5"/>
    <w:rsid w:val="00C12004"/>
    <w:rsid w:val="00C125FE"/>
    <w:rsid w:val="00C129FE"/>
    <w:rsid w:val="00C12A6A"/>
    <w:rsid w:val="00C13CF5"/>
    <w:rsid w:val="00C13DDE"/>
    <w:rsid w:val="00C14205"/>
    <w:rsid w:val="00C143BE"/>
    <w:rsid w:val="00C14604"/>
    <w:rsid w:val="00C14A23"/>
    <w:rsid w:val="00C14AC1"/>
    <w:rsid w:val="00C1565B"/>
    <w:rsid w:val="00C15794"/>
    <w:rsid w:val="00C16544"/>
    <w:rsid w:val="00C16630"/>
    <w:rsid w:val="00C201C7"/>
    <w:rsid w:val="00C2172F"/>
    <w:rsid w:val="00C21F9D"/>
    <w:rsid w:val="00C22394"/>
    <w:rsid w:val="00C226E0"/>
    <w:rsid w:val="00C23129"/>
    <w:rsid w:val="00C2377A"/>
    <w:rsid w:val="00C23B92"/>
    <w:rsid w:val="00C24C59"/>
    <w:rsid w:val="00C253CC"/>
    <w:rsid w:val="00C25432"/>
    <w:rsid w:val="00C25B84"/>
    <w:rsid w:val="00C25CAC"/>
    <w:rsid w:val="00C25D3E"/>
    <w:rsid w:val="00C2695E"/>
    <w:rsid w:val="00C26A88"/>
    <w:rsid w:val="00C26C2A"/>
    <w:rsid w:val="00C26F53"/>
    <w:rsid w:val="00C3036A"/>
    <w:rsid w:val="00C30438"/>
    <w:rsid w:val="00C30D3B"/>
    <w:rsid w:val="00C30D4D"/>
    <w:rsid w:val="00C30E29"/>
    <w:rsid w:val="00C31054"/>
    <w:rsid w:val="00C31E89"/>
    <w:rsid w:val="00C31EAF"/>
    <w:rsid w:val="00C320BD"/>
    <w:rsid w:val="00C325C6"/>
    <w:rsid w:val="00C32919"/>
    <w:rsid w:val="00C32A95"/>
    <w:rsid w:val="00C337A4"/>
    <w:rsid w:val="00C338D3"/>
    <w:rsid w:val="00C340D6"/>
    <w:rsid w:val="00C34151"/>
    <w:rsid w:val="00C342DC"/>
    <w:rsid w:val="00C343CF"/>
    <w:rsid w:val="00C34538"/>
    <w:rsid w:val="00C354D1"/>
    <w:rsid w:val="00C35D81"/>
    <w:rsid w:val="00C3620A"/>
    <w:rsid w:val="00C36305"/>
    <w:rsid w:val="00C3644C"/>
    <w:rsid w:val="00C36965"/>
    <w:rsid w:val="00C36BE7"/>
    <w:rsid w:val="00C3722E"/>
    <w:rsid w:val="00C4008E"/>
    <w:rsid w:val="00C4079F"/>
    <w:rsid w:val="00C40FEE"/>
    <w:rsid w:val="00C417F1"/>
    <w:rsid w:val="00C419A1"/>
    <w:rsid w:val="00C41CCE"/>
    <w:rsid w:val="00C4269C"/>
    <w:rsid w:val="00C4290F"/>
    <w:rsid w:val="00C42F0A"/>
    <w:rsid w:val="00C43077"/>
    <w:rsid w:val="00C4313A"/>
    <w:rsid w:val="00C434A3"/>
    <w:rsid w:val="00C4386E"/>
    <w:rsid w:val="00C4394E"/>
    <w:rsid w:val="00C43BA2"/>
    <w:rsid w:val="00C43BAE"/>
    <w:rsid w:val="00C43FF4"/>
    <w:rsid w:val="00C44901"/>
    <w:rsid w:val="00C44E3C"/>
    <w:rsid w:val="00C44EDD"/>
    <w:rsid w:val="00C45253"/>
    <w:rsid w:val="00C45500"/>
    <w:rsid w:val="00C45706"/>
    <w:rsid w:val="00C45A33"/>
    <w:rsid w:val="00C45CB5"/>
    <w:rsid w:val="00C45CE2"/>
    <w:rsid w:val="00C46679"/>
    <w:rsid w:val="00C46C1E"/>
    <w:rsid w:val="00C46DC0"/>
    <w:rsid w:val="00C47866"/>
    <w:rsid w:val="00C47AA7"/>
    <w:rsid w:val="00C501F0"/>
    <w:rsid w:val="00C5028C"/>
    <w:rsid w:val="00C5046F"/>
    <w:rsid w:val="00C50806"/>
    <w:rsid w:val="00C50D53"/>
    <w:rsid w:val="00C50F59"/>
    <w:rsid w:val="00C51628"/>
    <w:rsid w:val="00C5162D"/>
    <w:rsid w:val="00C5164A"/>
    <w:rsid w:val="00C51740"/>
    <w:rsid w:val="00C518AE"/>
    <w:rsid w:val="00C51CE3"/>
    <w:rsid w:val="00C5227D"/>
    <w:rsid w:val="00C522ED"/>
    <w:rsid w:val="00C526CC"/>
    <w:rsid w:val="00C527CD"/>
    <w:rsid w:val="00C52DFF"/>
    <w:rsid w:val="00C52E6B"/>
    <w:rsid w:val="00C5309D"/>
    <w:rsid w:val="00C53808"/>
    <w:rsid w:val="00C54183"/>
    <w:rsid w:val="00C54E64"/>
    <w:rsid w:val="00C550B4"/>
    <w:rsid w:val="00C551EA"/>
    <w:rsid w:val="00C557B3"/>
    <w:rsid w:val="00C55A33"/>
    <w:rsid w:val="00C55C25"/>
    <w:rsid w:val="00C5655E"/>
    <w:rsid w:val="00C56AEE"/>
    <w:rsid w:val="00C56D1E"/>
    <w:rsid w:val="00C56E34"/>
    <w:rsid w:val="00C571E2"/>
    <w:rsid w:val="00C574BF"/>
    <w:rsid w:val="00C60B0B"/>
    <w:rsid w:val="00C60C3D"/>
    <w:rsid w:val="00C60D38"/>
    <w:rsid w:val="00C614BA"/>
    <w:rsid w:val="00C6188F"/>
    <w:rsid w:val="00C62103"/>
    <w:rsid w:val="00C62572"/>
    <w:rsid w:val="00C626BF"/>
    <w:rsid w:val="00C62701"/>
    <w:rsid w:val="00C62789"/>
    <w:rsid w:val="00C63050"/>
    <w:rsid w:val="00C631EB"/>
    <w:rsid w:val="00C63B66"/>
    <w:rsid w:val="00C645D5"/>
    <w:rsid w:val="00C64738"/>
    <w:rsid w:val="00C647A1"/>
    <w:rsid w:val="00C647CC"/>
    <w:rsid w:val="00C647CE"/>
    <w:rsid w:val="00C6490F"/>
    <w:rsid w:val="00C6556E"/>
    <w:rsid w:val="00C65E25"/>
    <w:rsid w:val="00C65F01"/>
    <w:rsid w:val="00C6614C"/>
    <w:rsid w:val="00C66337"/>
    <w:rsid w:val="00C6644B"/>
    <w:rsid w:val="00C66962"/>
    <w:rsid w:val="00C66D05"/>
    <w:rsid w:val="00C66D97"/>
    <w:rsid w:val="00C66FDA"/>
    <w:rsid w:val="00C701DB"/>
    <w:rsid w:val="00C70710"/>
    <w:rsid w:val="00C70D3E"/>
    <w:rsid w:val="00C7257D"/>
    <w:rsid w:val="00C72C9F"/>
    <w:rsid w:val="00C73348"/>
    <w:rsid w:val="00C73B05"/>
    <w:rsid w:val="00C73D8A"/>
    <w:rsid w:val="00C73F45"/>
    <w:rsid w:val="00C74AE2"/>
    <w:rsid w:val="00C74C92"/>
    <w:rsid w:val="00C75209"/>
    <w:rsid w:val="00C757E6"/>
    <w:rsid w:val="00C7656D"/>
    <w:rsid w:val="00C76E48"/>
    <w:rsid w:val="00C7788C"/>
    <w:rsid w:val="00C8140B"/>
    <w:rsid w:val="00C81505"/>
    <w:rsid w:val="00C81738"/>
    <w:rsid w:val="00C81CF4"/>
    <w:rsid w:val="00C81DD7"/>
    <w:rsid w:val="00C825E1"/>
    <w:rsid w:val="00C83087"/>
    <w:rsid w:val="00C834FA"/>
    <w:rsid w:val="00C83CB3"/>
    <w:rsid w:val="00C83D33"/>
    <w:rsid w:val="00C841EA"/>
    <w:rsid w:val="00C84D8A"/>
    <w:rsid w:val="00C85163"/>
    <w:rsid w:val="00C8526A"/>
    <w:rsid w:val="00C8533C"/>
    <w:rsid w:val="00C85767"/>
    <w:rsid w:val="00C85F01"/>
    <w:rsid w:val="00C86292"/>
    <w:rsid w:val="00C863CA"/>
    <w:rsid w:val="00C863F5"/>
    <w:rsid w:val="00C86444"/>
    <w:rsid w:val="00C86A04"/>
    <w:rsid w:val="00C86BA5"/>
    <w:rsid w:val="00C8706B"/>
    <w:rsid w:val="00C8727E"/>
    <w:rsid w:val="00C8753B"/>
    <w:rsid w:val="00C87551"/>
    <w:rsid w:val="00C87892"/>
    <w:rsid w:val="00C90449"/>
    <w:rsid w:val="00C9058D"/>
    <w:rsid w:val="00C90A92"/>
    <w:rsid w:val="00C911EC"/>
    <w:rsid w:val="00C917B3"/>
    <w:rsid w:val="00C92067"/>
    <w:rsid w:val="00C93322"/>
    <w:rsid w:val="00C93608"/>
    <w:rsid w:val="00C9380B"/>
    <w:rsid w:val="00C9439D"/>
    <w:rsid w:val="00C94476"/>
    <w:rsid w:val="00C95013"/>
    <w:rsid w:val="00C9505C"/>
    <w:rsid w:val="00C95328"/>
    <w:rsid w:val="00C9596A"/>
    <w:rsid w:val="00C95C44"/>
    <w:rsid w:val="00C9626C"/>
    <w:rsid w:val="00C967E9"/>
    <w:rsid w:val="00C96845"/>
    <w:rsid w:val="00C97267"/>
    <w:rsid w:val="00C97DCF"/>
    <w:rsid w:val="00C97ECA"/>
    <w:rsid w:val="00C97F23"/>
    <w:rsid w:val="00CA021D"/>
    <w:rsid w:val="00CA064D"/>
    <w:rsid w:val="00CA0AC0"/>
    <w:rsid w:val="00CA0DB1"/>
    <w:rsid w:val="00CA1A05"/>
    <w:rsid w:val="00CA1AEB"/>
    <w:rsid w:val="00CA2071"/>
    <w:rsid w:val="00CA32DB"/>
    <w:rsid w:val="00CA36DF"/>
    <w:rsid w:val="00CA399A"/>
    <w:rsid w:val="00CA3A4E"/>
    <w:rsid w:val="00CA3BC3"/>
    <w:rsid w:val="00CA3BE7"/>
    <w:rsid w:val="00CA3C25"/>
    <w:rsid w:val="00CA4401"/>
    <w:rsid w:val="00CA4464"/>
    <w:rsid w:val="00CA4854"/>
    <w:rsid w:val="00CA48FD"/>
    <w:rsid w:val="00CA528C"/>
    <w:rsid w:val="00CA57E1"/>
    <w:rsid w:val="00CA608E"/>
    <w:rsid w:val="00CA644F"/>
    <w:rsid w:val="00CA6D8A"/>
    <w:rsid w:val="00CA7227"/>
    <w:rsid w:val="00CA74AC"/>
    <w:rsid w:val="00CB0713"/>
    <w:rsid w:val="00CB0837"/>
    <w:rsid w:val="00CB0ADC"/>
    <w:rsid w:val="00CB0B58"/>
    <w:rsid w:val="00CB0DD6"/>
    <w:rsid w:val="00CB11C5"/>
    <w:rsid w:val="00CB2059"/>
    <w:rsid w:val="00CB2D3F"/>
    <w:rsid w:val="00CB2D56"/>
    <w:rsid w:val="00CB3230"/>
    <w:rsid w:val="00CB3258"/>
    <w:rsid w:val="00CB3306"/>
    <w:rsid w:val="00CB3375"/>
    <w:rsid w:val="00CB33B8"/>
    <w:rsid w:val="00CB36B2"/>
    <w:rsid w:val="00CB466F"/>
    <w:rsid w:val="00CB4C9A"/>
    <w:rsid w:val="00CB4D61"/>
    <w:rsid w:val="00CB5580"/>
    <w:rsid w:val="00CB5790"/>
    <w:rsid w:val="00CB5A13"/>
    <w:rsid w:val="00CB621F"/>
    <w:rsid w:val="00CB73AC"/>
    <w:rsid w:val="00CB756B"/>
    <w:rsid w:val="00CB7EA7"/>
    <w:rsid w:val="00CC03A7"/>
    <w:rsid w:val="00CC03EC"/>
    <w:rsid w:val="00CC040C"/>
    <w:rsid w:val="00CC0425"/>
    <w:rsid w:val="00CC100F"/>
    <w:rsid w:val="00CC1902"/>
    <w:rsid w:val="00CC1C5A"/>
    <w:rsid w:val="00CC1EA7"/>
    <w:rsid w:val="00CC2440"/>
    <w:rsid w:val="00CC2847"/>
    <w:rsid w:val="00CC28DF"/>
    <w:rsid w:val="00CC3345"/>
    <w:rsid w:val="00CC3F21"/>
    <w:rsid w:val="00CC3FC3"/>
    <w:rsid w:val="00CC4D50"/>
    <w:rsid w:val="00CC5541"/>
    <w:rsid w:val="00CC57D0"/>
    <w:rsid w:val="00CC5AB8"/>
    <w:rsid w:val="00CC6150"/>
    <w:rsid w:val="00CC65C4"/>
    <w:rsid w:val="00CC6A8D"/>
    <w:rsid w:val="00CC6F20"/>
    <w:rsid w:val="00CD017D"/>
    <w:rsid w:val="00CD061E"/>
    <w:rsid w:val="00CD08DE"/>
    <w:rsid w:val="00CD0C55"/>
    <w:rsid w:val="00CD0D2E"/>
    <w:rsid w:val="00CD0E96"/>
    <w:rsid w:val="00CD134E"/>
    <w:rsid w:val="00CD1581"/>
    <w:rsid w:val="00CD1846"/>
    <w:rsid w:val="00CD24FA"/>
    <w:rsid w:val="00CD25B6"/>
    <w:rsid w:val="00CD2B23"/>
    <w:rsid w:val="00CD30A3"/>
    <w:rsid w:val="00CD36A3"/>
    <w:rsid w:val="00CD386C"/>
    <w:rsid w:val="00CD3AD8"/>
    <w:rsid w:val="00CD3F7D"/>
    <w:rsid w:val="00CD4751"/>
    <w:rsid w:val="00CD4A3F"/>
    <w:rsid w:val="00CD4E82"/>
    <w:rsid w:val="00CD5B08"/>
    <w:rsid w:val="00CD5B2F"/>
    <w:rsid w:val="00CD5BB8"/>
    <w:rsid w:val="00CD5D92"/>
    <w:rsid w:val="00CD6243"/>
    <w:rsid w:val="00CD633E"/>
    <w:rsid w:val="00CD66E2"/>
    <w:rsid w:val="00CD6C41"/>
    <w:rsid w:val="00CD6CA2"/>
    <w:rsid w:val="00CD712F"/>
    <w:rsid w:val="00CD72A9"/>
    <w:rsid w:val="00CD7AA5"/>
    <w:rsid w:val="00CD7BC0"/>
    <w:rsid w:val="00CD7F52"/>
    <w:rsid w:val="00CE09CC"/>
    <w:rsid w:val="00CE0DA2"/>
    <w:rsid w:val="00CE0F85"/>
    <w:rsid w:val="00CE15D4"/>
    <w:rsid w:val="00CE195E"/>
    <w:rsid w:val="00CE212A"/>
    <w:rsid w:val="00CE2247"/>
    <w:rsid w:val="00CE27D0"/>
    <w:rsid w:val="00CE33CD"/>
    <w:rsid w:val="00CE3527"/>
    <w:rsid w:val="00CE4744"/>
    <w:rsid w:val="00CE49C5"/>
    <w:rsid w:val="00CE4C5A"/>
    <w:rsid w:val="00CE4D59"/>
    <w:rsid w:val="00CE5C5B"/>
    <w:rsid w:val="00CE6A44"/>
    <w:rsid w:val="00CE6A9B"/>
    <w:rsid w:val="00CE73A3"/>
    <w:rsid w:val="00CE75C6"/>
    <w:rsid w:val="00CE7F9B"/>
    <w:rsid w:val="00CF063A"/>
    <w:rsid w:val="00CF07A4"/>
    <w:rsid w:val="00CF108C"/>
    <w:rsid w:val="00CF10A1"/>
    <w:rsid w:val="00CF1568"/>
    <w:rsid w:val="00CF1C0A"/>
    <w:rsid w:val="00CF268E"/>
    <w:rsid w:val="00CF2F69"/>
    <w:rsid w:val="00CF30AF"/>
    <w:rsid w:val="00CF3693"/>
    <w:rsid w:val="00CF36A1"/>
    <w:rsid w:val="00CF3AD5"/>
    <w:rsid w:val="00CF3ADC"/>
    <w:rsid w:val="00CF3C38"/>
    <w:rsid w:val="00CF3D0D"/>
    <w:rsid w:val="00CF3D4B"/>
    <w:rsid w:val="00CF3F1F"/>
    <w:rsid w:val="00CF42DA"/>
    <w:rsid w:val="00CF4CA9"/>
    <w:rsid w:val="00CF4E73"/>
    <w:rsid w:val="00CF5347"/>
    <w:rsid w:val="00CF556E"/>
    <w:rsid w:val="00CF5DAF"/>
    <w:rsid w:val="00CF6AAE"/>
    <w:rsid w:val="00CF7075"/>
    <w:rsid w:val="00CF73E9"/>
    <w:rsid w:val="00CF7902"/>
    <w:rsid w:val="00CF7B4F"/>
    <w:rsid w:val="00CF7CD0"/>
    <w:rsid w:val="00D002C8"/>
    <w:rsid w:val="00D005F0"/>
    <w:rsid w:val="00D00AED"/>
    <w:rsid w:val="00D00CAF"/>
    <w:rsid w:val="00D01371"/>
    <w:rsid w:val="00D01A73"/>
    <w:rsid w:val="00D01DFC"/>
    <w:rsid w:val="00D01F48"/>
    <w:rsid w:val="00D023BC"/>
    <w:rsid w:val="00D0242A"/>
    <w:rsid w:val="00D02469"/>
    <w:rsid w:val="00D02778"/>
    <w:rsid w:val="00D032DD"/>
    <w:rsid w:val="00D035B3"/>
    <w:rsid w:val="00D0367C"/>
    <w:rsid w:val="00D0372A"/>
    <w:rsid w:val="00D038BC"/>
    <w:rsid w:val="00D03926"/>
    <w:rsid w:val="00D03B5F"/>
    <w:rsid w:val="00D03EAD"/>
    <w:rsid w:val="00D04171"/>
    <w:rsid w:val="00D041F0"/>
    <w:rsid w:val="00D04356"/>
    <w:rsid w:val="00D0469E"/>
    <w:rsid w:val="00D049BD"/>
    <w:rsid w:val="00D051DA"/>
    <w:rsid w:val="00D051E9"/>
    <w:rsid w:val="00D0597E"/>
    <w:rsid w:val="00D05A81"/>
    <w:rsid w:val="00D05EBC"/>
    <w:rsid w:val="00D0641D"/>
    <w:rsid w:val="00D06975"/>
    <w:rsid w:val="00D06AAC"/>
    <w:rsid w:val="00D06B3E"/>
    <w:rsid w:val="00D06BB2"/>
    <w:rsid w:val="00D07085"/>
    <w:rsid w:val="00D07129"/>
    <w:rsid w:val="00D076CE"/>
    <w:rsid w:val="00D103D5"/>
    <w:rsid w:val="00D10C4F"/>
    <w:rsid w:val="00D116CA"/>
    <w:rsid w:val="00D11B5B"/>
    <w:rsid w:val="00D11B95"/>
    <w:rsid w:val="00D121CE"/>
    <w:rsid w:val="00D12699"/>
    <w:rsid w:val="00D1294F"/>
    <w:rsid w:val="00D13202"/>
    <w:rsid w:val="00D13416"/>
    <w:rsid w:val="00D13470"/>
    <w:rsid w:val="00D13A82"/>
    <w:rsid w:val="00D14CC3"/>
    <w:rsid w:val="00D15433"/>
    <w:rsid w:val="00D15766"/>
    <w:rsid w:val="00D15E82"/>
    <w:rsid w:val="00D15FFE"/>
    <w:rsid w:val="00D16167"/>
    <w:rsid w:val="00D16437"/>
    <w:rsid w:val="00D16495"/>
    <w:rsid w:val="00D16C59"/>
    <w:rsid w:val="00D17262"/>
    <w:rsid w:val="00D1730E"/>
    <w:rsid w:val="00D176AC"/>
    <w:rsid w:val="00D176F6"/>
    <w:rsid w:val="00D17987"/>
    <w:rsid w:val="00D20103"/>
    <w:rsid w:val="00D20440"/>
    <w:rsid w:val="00D20AFE"/>
    <w:rsid w:val="00D2197C"/>
    <w:rsid w:val="00D21BF6"/>
    <w:rsid w:val="00D22038"/>
    <w:rsid w:val="00D22506"/>
    <w:rsid w:val="00D2250A"/>
    <w:rsid w:val="00D22C74"/>
    <w:rsid w:val="00D22CAC"/>
    <w:rsid w:val="00D2438F"/>
    <w:rsid w:val="00D24418"/>
    <w:rsid w:val="00D2582B"/>
    <w:rsid w:val="00D258E8"/>
    <w:rsid w:val="00D25D04"/>
    <w:rsid w:val="00D2648D"/>
    <w:rsid w:val="00D264C0"/>
    <w:rsid w:val="00D268E9"/>
    <w:rsid w:val="00D2691B"/>
    <w:rsid w:val="00D26C52"/>
    <w:rsid w:val="00D2789A"/>
    <w:rsid w:val="00D27B60"/>
    <w:rsid w:val="00D27E9B"/>
    <w:rsid w:val="00D30130"/>
    <w:rsid w:val="00D3049D"/>
    <w:rsid w:val="00D304F3"/>
    <w:rsid w:val="00D307A8"/>
    <w:rsid w:val="00D307B9"/>
    <w:rsid w:val="00D30981"/>
    <w:rsid w:val="00D30B2A"/>
    <w:rsid w:val="00D30F3A"/>
    <w:rsid w:val="00D31068"/>
    <w:rsid w:val="00D313E2"/>
    <w:rsid w:val="00D319A6"/>
    <w:rsid w:val="00D33806"/>
    <w:rsid w:val="00D33BD5"/>
    <w:rsid w:val="00D33C38"/>
    <w:rsid w:val="00D33DF3"/>
    <w:rsid w:val="00D34218"/>
    <w:rsid w:val="00D34530"/>
    <w:rsid w:val="00D3461D"/>
    <w:rsid w:val="00D35159"/>
    <w:rsid w:val="00D36886"/>
    <w:rsid w:val="00D36D04"/>
    <w:rsid w:val="00D375D7"/>
    <w:rsid w:val="00D37A3A"/>
    <w:rsid w:val="00D37B7B"/>
    <w:rsid w:val="00D37EE5"/>
    <w:rsid w:val="00D4035B"/>
    <w:rsid w:val="00D4066E"/>
    <w:rsid w:val="00D40A3A"/>
    <w:rsid w:val="00D40AA8"/>
    <w:rsid w:val="00D410C2"/>
    <w:rsid w:val="00D41598"/>
    <w:rsid w:val="00D41966"/>
    <w:rsid w:val="00D42A15"/>
    <w:rsid w:val="00D43175"/>
    <w:rsid w:val="00D43357"/>
    <w:rsid w:val="00D44138"/>
    <w:rsid w:val="00D45165"/>
    <w:rsid w:val="00D45288"/>
    <w:rsid w:val="00D4531E"/>
    <w:rsid w:val="00D45434"/>
    <w:rsid w:val="00D45FD1"/>
    <w:rsid w:val="00D464DF"/>
    <w:rsid w:val="00D46500"/>
    <w:rsid w:val="00D476C3"/>
    <w:rsid w:val="00D479FA"/>
    <w:rsid w:val="00D505F9"/>
    <w:rsid w:val="00D51286"/>
    <w:rsid w:val="00D51E6D"/>
    <w:rsid w:val="00D52104"/>
    <w:rsid w:val="00D52464"/>
    <w:rsid w:val="00D526E1"/>
    <w:rsid w:val="00D52A81"/>
    <w:rsid w:val="00D52C9F"/>
    <w:rsid w:val="00D52EDD"/>
    <w:rsid w:val="00D53851"/>
    <w:rsid w:val="00D54462"/>
    <w:rsid w:val="00D552A1"/>
    <w:rsid w:val="00D555B9"/>
    <w:rsid w:val="00D55AE1"/>
    <w:rsid w:val="00D55FB2"/>
    <w:rsid w:val="00D5660A"/>
    <w:rsid w:val="00D56BA1"/>
    <w:rsid w:val="00D56F0C"/>
    <w:rsid w:val="00D570E6"/>
    <w:rsid w:val="00D57489"/>
    <w:rsid w:val="00D579F6"/>
    <w:rsid w:val="00D6025F"/>
    <w:rsid w:val="00D60DEE"/>
    <w:rsid w:val="00D61013"/>
    <w:rsid w:val="00D61045"/>
    <w:rsid w:val="00D61566"/>
    <w:rsid w:val="00D616F8"/>
    <w:rsid w:val="00D61766"/>
    <w:rsid w:val="00D61DC2"/>
    <w:rsid w:val="00D62282"/>
    <w:rsid w:val="00D6265B"/>
    <w:rsid w:val="00D62661"/>
    <w:rsid w:val="00D627E7"/>
    <w:rsid w:val="00D6362F"/>
    <w:rsid w:val="00D637EF"/>
    <w:rsid w:val="00D63833"/>
    <w:rsid w:val="00D639C5"/>
    <w:rsid w:val="00D64465"/>
    <w:rsid w:val="00D6495C"/>
    <w:rsid w:val="00D66238"/>
    <w:rsid w:val="00D6625E"/>
    <w:rsid w:val="00D66848"/>
    <w:rsid w:val="00D66CE6"/>
    <w:rsid w:val="00D67262"/>
    <w:rsid w:val="00D675E0"/>
    <w:rsid w:val="00D706AF"/>
    <w:rsid w:val="00D709F7"/>
    <w:rsid w:val="00D70BFB"/>
    <w:rsid w:val="00D711B6"/>
    <w:rsid w:val="00D71407"/>
    <w:rsid w:val="00D714A1"/>
    <w:rsid w:val="00D71CE0"/>
    <w:rsid w:val="00D721A6"/>
    <w:rsid w:val="00D729B1"/>
    <w:rsid w:val="00D729DE"/>
    <w:rsid w:val="00D72D14"/>
    <w:rsid w:val="00D72DC8"/>
    <w:rsid w:val="00D73283"/>
    <w:rsid w:val="00D73D5A"/>
    <w:rsid w:val="00D73F0A"/>
    <w:rsid w:val="00D745A0"/>
    <w:rsid w:val="00D74611"/>
    <w:rsid w:val="00D746DC"/>
    <w:rsid w:val="00D74D37"/>
    <w:rsid w:val="00D754F4"/>
    <w:rsid w:val="00D7597E"/>
    <w:rsid w:val="00D75C7A"/>
    <w:rsid w:val="00D75E37"/>
    <w:rsid w:val="00D7658D"/>
    <w:rsid w:val="00D76D5D"/>
    <w:rsid w:val="00D76DE9"/>
    <w:rsid w:val="00D7708A"/>
    <w:rsid w:val="00D806F4"/>
    <w:rsid w:val="00D80890"/>
    <w:rsid w:val="00D80E2F"/>
    <w:rsid w:val="00D823AF"/>
    <w:rsid w:val="00D8256D"/>
    <w:rsid w:val="00D8260E"/>
    <w:rsid w:val="00D8382F"/>
    <w:rsid w:val="00D83C39"/>
    <w:rsid w:val="00D84366"/>
    <w:rsid w:val="00D846A0"/>
    <w:rsid w:val="00D85908"/>
    <w:rsid w:val="00D85BF4"/>
    <w:rsid w:val="00D85DD8"/>
    <w:rsid w:val="00D86238"/>
    <w:rsid w:val="00D864C1"/>
    <w:rsid w:val="00D8656F"/>
    <w:rsid w:val="00D86769"/>
    <w:rsid w:val="00D8678F"/>
    <w:rsid w:val="00D86FA3"/>
    <w:rsid w:val="00D8794F"/>
    <w:rsid w:val="00D90ABA"/>
    <w:rsid w:val="00D90CA2"/>
    <w:rsid w:val="00D90CDD"/>
    <w:rsid w:val="00D912CF"/>
    <w:rsid w:val="00D915CB"/>
    <w:rsid w:val="00D9221C"/>
    <w:rsid w:val="00D9263E"/>
    <w:rsid w:val="00D92DFE"/>
    <w:rsid w:val="00D92ECE"/>
    <w:rsid w:val="00D92F48"/>
    <w:rsid w:val="00D93656"/>
    <w:rsid w:val="00D93849"/>
    <w:rsid w:val="00D93B1D"/>
    <w:rsid w:val="00D93C8F"/>
    <w:rsid w:val="00D94990"/>
    <w:rsid w:val="00D94A87"/>
    <w:rsid w:val="00D9522A"/>
    <w:rsid w:val="00D95482"/>
    <w:rsid w:val="00D954F2"/>
    <w:rsid w:val="00D955F3"/>
    <w:rsid w:val="00D95AB9"/>
    <w:rsid w:val="00D96793"/>
    <w:rsid w:val="00D96A33"/>
    <w:rsid w:val="00D96B5E"/>
    <w:rsid w:val="00D96C57"/>
    <w:rsid w:val="00D96D58"/>
    <w:rsid w:val="00D97358"/>
    <w:rsid w:val="00D9778D"/>
    <w:rsid w:val="00D97F25"/>
    <w:rsid w:val="00DA03F8"/>
    <w:rsid w:val="00DA08D7"/>
    <w:rsid w:val="00DA1359"/>
    <w:rsid w:val="00DA137F"/>
    <w:rsid w:val="00DA18B1"/>
    <w:rsid w:val="00DA1A5E"/>
    <w:rsid w:val="00DA22C1"/>
    <w:rsid w:val="00DA23CF"/>
    <w:rsid w:val="00DA26EE"/>
    <w:rsid w:val="00DA3FAF"/>
    <w:rsid w:val="00DA4530"/>
    <w:rsid w:val="00DA4601"/>
    <w:rsid w:val="00DA483E"/>
    <w:rsid w:val="00DA4A12"/>
    <w:rsid w:val="00DA4AB9"/>
    <w:rsid w:val="00DA4E4F"/>
    <w:rsid w:val="00DA4FB3"/>
    <w:rsid w:val="00DA524E"/>
    <w:rsid w:val="00DA53EF"/>
    <w:rsid w:val="00DA5701"/>
    <w:rsid w:val="00DA6357"/>
    <w:rsid w:val="00DA637C"/>
    <w:rsid w:val="00DA69F6"/>
    <w:rsid w:val="00DA6BB1"/>
    <w:rsid w:val="00DA74E7"/>
    <w:rsid w:val="00DA75B1"/>
    <w:rsid w:val="00DA7A1C"/>
    <w:rsid w:val="00DA7F68"/>
    <w:rsid w:val="00DA7FBB"/>
    <w:rsid w:val="00DA7FCA"/>
    <w:rsid w:val="00DB014B"/>
    <w:rsid w:val="00DB09A1"/>
    <w:rsid w:val="00DB17A3"/>
    <w:rsid w:val="00DB18F6"/>
    <w:rsid w:val="00DB1A85"/>
    <w:rsid w:val="00DB1E3F"/>
    <w:rsid w:val="00DB25E5"/>
    <w:rsid w:val="00DB264B"/>
    <w:rsid w:val="00DB2B66"/>
    <w:rsid w:val="00DB3007"/>
    <w:rsid w:val="00DB342D"/>
    <w:rsid w:val="00DB363B"/>
    <w:rsid w:val="00DB38D9"/>
    <w:rsid w:val="00DB3AC8"/>
    <w:rsid w:val="00DB48D3"/>
    <w:rsid w:val="00DB4A4B"/>
    <w:rsid w:val="00DB4F66"/>
    <w:rsid w:val="00DB59F6"/>
    <w:rsid w:val="00DB5D6B"/>
    <w:rsid w:val="00DB603F"/>
    <w:rsid w:val="00DB61F0"/>
    <w:rsid w:val="00DB6B2B"/>
    <w:rsid w:val="00DB6BE9"/>
    <w:rsid w:val="00DB7178"/>
    <w:rsid w:val="00DB7948"/>
    <w:rsid w:val="00DB7E0B"/>
    <w:rsid w:val="00DC0750"/>
    <w:rsid w:val="00DC0881"/>
    <w:rsid w:val="00DC0908"/>
    <w:rsid w:val="00DC0B41"/>
    <w:rsid w:val="00DC0C8F"/>
    <w:rsid w:val="00DC1119"/>
    <w:rsid w:val="00DC1B36"/>
    <w:rsid w:val="00DC1C3A"/>
    <w:rsid w:val="00DC1DA8"/>
    <w:rsid w:val="00DC2357"/>
    <w:rsid w:val="00DC26A4"/>
    <w:rsid w:val="00DC329D"/>
    <w:rsid w:val="00DC3588"/>
    <w:rsid w:val="00DC397C"/>
    <w:rsid w:val="00DC42D3"/>
    <w:rsid w:val="00DC471F"/>
    <w:rsid w:val="00DC4783"/>
    <w:rsid w:val="00DC4CFB"/>
    <w:rsid w:val="00DC4E64"/>
    <w:rsid w:val="00DC5F4D"/>
    <w:rsid w:val="00DC6194"/>
    <w:rsid w:val="00DC6220"/>
    <w:rsid w:val="00DC6794"/>
    <w:rsid w:val="00DC6CDA"/>
    <w:rsid w:val="00DC6D2F"/>
    <w:rsid w:val="00DC6DB9"/>
    <w:rsid w:val="00DC6F3B"/>
    <w:rsid w:val="00DC7356"/>
    <w:rsid w:val="00DC7F9F"/>
    <w:rsid w:val="00DD04CB"/>
    <w:rsid w:val="00DD0B80"/>
    <w:rsid w:val="00DD0BB1"/>
    <w:rsid w:val="00DD0FD0"/>
    <w:rsid w:val="00DD1135"/>
    <w:rsid w:val="00DD15A2"/>
    <w:rsid w:val="00DD1E0E"/>
    <w:rsid w:val="00DD3AEF"/>
    <w:rsid w:val="00DD3AFE"/>
    <w:rsid w:val="00DD3F90"/>
    <w:rsid w:val="00DD4525"/>
    <w:rsid w:val="00DD49CF"/>
    <w:rsid w:val="00DD4E31"/>
    <w:rsid w:val="00DD5011"/>
    <w:rsid w:val="00DD507F"/>
    <w:rsid w:val="00DD57D4"/>
    <w:rsid w:val="00DD592E"/>
    <w:rsid w:val="00DD5973"/>
    <w:rsid w:val="00DD5DE5"/>
    <w:rsid w:val="00DD5F09"/>
    <w:rsid w:val="00DD610B"/>
    <w:rsid w:val="00DD6147"/>
    <w:rsid w:val="00DD6255"/>
    <w:rsid w:val="00DD68E1"/>
    <w:rsid w:val="00DD7522"/>
    <w:rsid w:val="00DD7EB3"/>
    <w:rsid w:val="00DD7EE6"/>
    <w:rsid w:val="00DD7FDE"/>
    <w:rsid w:val="00DE05BF"/>
    <w:rsid w:val="00DE0885"/>
    <w:rsid w:val="00DE0D4A"/>
    <w:rsid w:val="00DE1436"/>
    <w:rsid w:val="00DE2937"/>
    <w:rsid w:val="00DE3570"/>
    <w:rsid w:val="00DE3574"/>
    <w:rsid w:val="00DE37A2"/>
    <w:rsid w:val="00DE3F7C"/>
    <w:rsid w:val="00DE4D76"/>
    <w:rsid w:val="00DE566E"/>
    <w:rsid w:val="00DE567F"/>
    <w:rsid w:val="00DE5B46"/>
    <w:rsid w:val="00DE5DF4"/>
    <w:rsid w:val="00DE5FF2"/>
    <w:rsid w:val="00DE6315"/>
    <w:rsid w:val="00DE74A0"/>
    <w:rsid w:val="00DE7544"/>
    <w:rsid w:val="00DE7552"/>
    <w:rsid w:val="00DE78F9"/>
    <w:rsid w:val="00DE7BB8"/>
    <w:rsid w:val="00DE7EFE"/>
    <w:rsid w:val="00DF0449"/>
    <w:rsid w:val="00DF069B"/>
    <w:rsid w:val="00DF0AFC"/>
    <w:rsid w:val="00DF0FFD"/>
    <w:rsid w:val="00DF1235"/>
    <w:rsid w:val="00DF15C3"/>
    <w:rsid w:val="00DF1915"/>
    <w:rsid w:val="00DF1FB0"/>
    <w:rsid w:val="00DF34A0"/>
    <w:rsid w:val="00DF3908"/>
    <w:rsid w:val="00DF3AD7"/>
    <w:rsid w:val="00DF3AF7"/>
    <w:rsid w:val="00DF3C63"/>
    <w:rsid w:val="00DF404E"/>
    <w:rsid w:val="00DF41CC"/>
    <w:rsid w:val="00DF45FF"/>
    <w:rsid w:val="00DF4DC2"/>
    <w:rsid w:val="00DF514C"/>
    <w:rsid w:val="00DF51FE"/>
    <w:rsid w:val="00DF5986"/>
    <w:rsid w:val="00DF5B4B"/>
    <w:rsid w:val="00DF6CE2"/>
    <w:rsid w:val="00DF6F7E"/>
    <w:rsid w:val="00DF7D03"/>
    <w:rsid w:val="00E005D3"/>
    <w:rsid w:val="00E0101E"/>
    <w:rsid w:val="00E01267"/>
    <w:rsid w:val="00E012AD"/>
    <w:rsid w:val="00E014D2"/>
    <w:rsid w:val="00E01872"/>
    <w:rsid w:val="00E01E6D"/>
    <w:rsid w:val="00E02095"/>
    <w:rsid w:val="00E02B70"/>
    <w:rsid w:val="00E04729"/>
    <w:rsid w:val="00E04BEF"/>
    <w:rsid w:val="00E04C13"/>
    <w:rsid w:val="00E0516F"/>
    <w:rsid w:val="00E05245"/>
    <w:rsid w:val="00E06222"/>
    <w:rsid w:val="00E06ED0"/>
    <w:rsid w:val="00E0743F"/>
    <w:rsid w:val="00E10036"/>
    <w:rsid w:val="00E11088"/>
    <w:rsid w:val="00E117B1"/>
    <w:rsid w:val="00E118F6"/>
    <w:rsid w:val="00E11ABE"/>
    <w:rsid w:val="00E11BEB"/>
    <w:rsid w:val="00E11D93"/>
    <w:rsid w:val="00E1211E"/>
    <w:rsid w:val="00E121E8"/>
    <w:rsid w:val="00E12233"/>
    <w:rsid w:val="00E12383"/>
    <w:rsid w:val="00E12542"/>
    <w:rsid w:val="00E137BE"/>
    <w:rsid w:val="00E13958"/>
    <w:rsid w:val="00E14A11"/>
    <w:rsid w:val="00E14C53"/>
    <w:rsid w:val="00E14F56"/>
    <w:rsid w:val="00E14FC2"/>
    <w:rsid w:val="00E15180"/>
    <w:rsid w:val="00E15822"/>
    <w:rsid w:val="00E15C72"/>
    <w:rsid w:val="00E164C5"/>
    <w:rsid w:val="00E1651A"/>
    <w:rsid w:val="00E16828"/>
    <w:rsid w:val="00E16AF9"/>
    <w:rsid w:val="00E16E82"/>
    <w:rsid w:val="00E16F6E"/>
    <w:rsid w:val="00E17520"/>
    <w:rsid w:val="00E2007A"/>
    <w:rsid w:val="00E2186B"/>
    <w:rsid w:val="00E219E8"/>
    <w:rsid w:val="00E22280"/>
    <w:rsid w:val="00E22B90"/>
    <w:rsid w:val="00E236EF"/>
    <w:rsid w:val="00E23CD1"/>
    <w:rsid w:val="00E24155"/>
    <w:rsid w:val="00E24272"/>
    <w:rsid w:val="00E24489"/>
    <w:rsid w:val="00E24963"/>
    <w:rsid w:val="00E249A5"/>
    <w:rsid w:val="00E24B49"/>
    <w:rsid w:val="00E25886"/>
    <w:rsid w:val="00E2618E"/>
    <w:rsid w:val="00E26435"/>
    <w:rsid w:val="00E26457"/>
    <w:rsid w:val="00E26CD5"/>
    <w:rsid w:val="00E26CF6"/>
    <w:rsid w:val="00E270D6"/>
    <w:rsid w:val="00E272AE"/>
    <w:rsid w:val="00E2733A"/>
    <w:rsid w:val="00E275D6"/>
    <w:rsid w:val="00E301C4"/>
    <w:rsid w:val="00E30460"/>
    <w:rsid w:val="00E30900"/>
    <w:rsid w:val="00E30AE2"/>
    <w:rsid w:val="00E30B73"/>
    <w:rsid w:val="00E30D5A"/>
    <w:rsid w:val="00E31C18"/>
    <w:rsid w:val="00E31DB3"/>
    <w:rsid w:val="00E32019"/>
    <w:rsid w:val="00E321A1"/>
    <w:rsid w:val="00E321EE"/>
    <w:rsid w:val="00E3228A"/>
    <w:rsid w:val="00E32E7C"/>
    <w:rsid w:val="00E3326F"/>
    <w:rsid w:val="00E33420"/>
    <w:rsid w:val="00E334A2"/>
    <w:rsid w:val="00E33527"/>
    <w:rsid w:val="00E336BB"/>
    <w:rsid w:val="00E34551"/>
    <w:rsid w:val="00E34BF7"/>
    <w:rsid w:val="00E34C83"/>
    <w:rsid w:val="00E34FFA"/>
    <w:rsid w:val="00E357BD"/>
    <w:rsid w:val="00E35D62"/>
    <w:rsid w:val="00E36538"/>
    <w:rsid w:val="00E36570"/>
    <w:rsid w:val="00E3667D"/>
    <w:rsid w:val="00E3675E"/>
    <w:rsid w:val="00E36816"/>
    <w:rsid w:val="00E36C29"/>
    <w:rsid w:val="00E36CE1"/>
    <w:rsid w:val="00E36CFD"/>
    <w:rsid w:val="00E36F21"/>
    <w:rsid w:val="00E36F68"/>
    <w:rsid w:val="00E37016"/>
    <w:rsid w:val="00E37035"/>
    <w:rsid w:val="00E37734"/>
    <w:rsid w:val="00E37E8F"/>
    <w:rsid w:val="00E40030"/>
    <w:rsid w:val="00E40264"/>
    <w:rsid w:val="00E40749"/>
    <w:rsid w:val="00E40A7F"/>
    <w:rsid w:val="00E41322"/>
    <w:rsid w:val="00E41421"/>
    <w:rsid w:val="00E41CA9"/>
    <w:rsid w:val="00E42358"/>
    <w:rsid w:val="00E4274F"/>
    <w:rsid w:val="00E42906"/>
    <w:rsid w:val="00E42ABF"/>
    <w:rsid w:val="00E42E24"/>
    <w:rsid w:val="00E42FE6"/>
    <w:rsid w:val="00E442E7"/>
    <w:rsid w:val="00E4459F"/>
    <w:rsid w:val="00E44BBA"/>
    <w:rsid w:val="00E44E73"/>
    <w:rsid w:val="00E451F9"/>
    <w:rsid w:val="00E4590B"/>
    <w:rsid w:val="00E45DBA"/>
    <w:rsid w:val="00E45F53"/>
    <w:rsid w:val="00E46266"/>
    <w:rsid w:val="00E46661"/>
    <w:rsid w:val="00E467F1"/>
    <w:rsid w:val="00E4727B"/>
    <w:rsid w:val="00E4777B"/>
    <w:rsid w:val="00E47C63"/>
    <w:rsid w:val="00E50AFA"/>
    <w:rsid w:val="00E50BDB"/>
    <w:rsid w:val="00E5106D"/>
    <w:rsid w:val="00E51670"/>
    <w:rsid w:val="00E51BFC"/>
    <w:rsid w:val="00E5210C"/>
    <w:rsid w:val="00E521E0"/>
    <w:rsid w:val="00E52772"/>
    <w:rsid w:val="00E52F03"/>
    <w:rsid w:val="00E5346E"/>
    <w:rsid w:val="00E53635"/>
    <w:rsid w:val="00E53AA4"/>
    <w:rsid w:val="00E53DCA"/>
    <w:rsid w:val="00E54A5D"/>
    <w:rsid w:val="00E55477"/>
    <w:rsid w:val="00E55960"/>
    <w:rsid w:val="00E561CC"/>
    <w:rsid w:val="00E5640E"/>
    <w:rsid w:val="00E56F13"/>
    <w:rsid w:val="00E5749A"/>
    <w:rsid w:val="00E6006C"/>
    <w:rsid w:val="00E60748"/>
    <w:rsid w:val="00E60B81"/>
    <w:rsid w:val="00E6119E"/>
    <w:rsid w:val="00E611F8"/>
    <w:rsid w:val="00E61A8C"/>
    <w:rsid w:val="00E62436"/>
    <w:rsid w:val="00E624B6"/>
    <w:rsid w:val="00E62AD7"/>
    <w:rsid w:val="00E62CC5"/>
    <w:rsid w:val="00E62EC9"/>
    <w:rsid w:val="00E6348F"/>
    <w:rsid w:val="00E636C6"/>
    <w:rsid w:val="00E6375C"/>
    <w:rsid w:val="00E638EE"/>
    <w:rsid w:val="00E63CCD"/>
    <w:rsid w:val="00E63F86"/>
    <w:rsid w:val="00E641ED"/>
    <w:rsid w:val="00E6448C"/>
    <w:rsid w:val="00E64979"/>
    <w:rsid w:val="00E64EB0"/>
    <w:rsid w:val="00E6575D"/>
    <w:rsid w:val="00E6588B"/>
    <w:rsid w:val="00E65C68"/>
    <w:rsid w:val="00E6610A"/>
    <w:rsid w:val="00E66BB7"/>
    <w:rsid w:val="00E66F0D"/>
    <w:rsid w:val="00E7068E"/>
    <w:rsid w:val="00E70E95"/>
    <w:rsid w:val="00E71951"/>
    <w:rsid w:val="00E71955"/>
    <w:rsid w:val="00E71CA4"/>
    <w:rsid w:val="00E71D37"/>
    <w:rsid w:val="00E72685"/>
    <w:rsid w:val="00E7268E"/>
    <w:rsid w:val="00E73D1A"/>
    <w:rsid w:val="00E741E0"/>
    <w:rsid w:val="00E74245"/>
    <w:rsid w:val="00E7470C"/>
    <w:rsid w:val="00E749F7"/>
    <w:rsid w:val="00E75751"/>
    <w:rsid w:val="00E757ED"/>
    <w:rsid w:val="00E759C8"/>
    <w:rsid w:val="00E760DB"/>
    <w:rsid w:val="00E76476"/>
    <w:rsid w:val="00E770BA"/>
    <w:rsid w:val="00E773B8"/>
    <w:rsid w:val="00E80F59"/>
    <w:rsid w:val="00E813B6"/>
    <w:rsid w:val="00E81599"/>
    <w:rsid w:val="00E818E3"/>
    <w:rsid w:val="00E81B0C"/>
    <w:rsid w:val="00E825D8"/>
    <w:rsid w:val="00E8282E"/>
    <w:rsid w:val="00E82BE3"/>
    <w:rsid w:val="00E83057"/>
    <w:rsid w:val="00E83BB0"/>
    <w:rsid w:val="00E83DE3"/>
    <w:rsid w:val="00E84A9E"/>
    <w:rsid w:val="00E84AC0"/>
    <w:rsid w:val="00E84E82"/>
    <w:rsid w:val="00E84ECF"/>
    <w:rsid w:val="00E85276"/>
    <w:rsid w:val="00E863B6"/>
    <w:rsid w:val="00E86D2D"/>
    <w:rsid w:val="00E86DF2"/>
    <w:rsid w:val="00E86EFD"/>
    <w:rsid w:val="00E877D8"/>
    <w:rsid w:val="00E87E94"/>
    <w:rsid w:val="00E90D1E"/>
    <w:rsid w:val="00E9186A"/>
    <w:rsid w:val="00E91883"/>
    <w:rsid w:val="00E91965"/>
    <w:rsid w:val="00E91FF9"/>
    <w:rsid w:val="00E92247"/>
    <w:rsid w:val="00E9246E"/>
    <w:rsid w:val="00E9251F"/>
    <w:rsid w:val="00E930B9"/>
    <w:rsid w:val="00E93D9F"/>
    <w:rsid w:val="00E94891"/>
    <w:rsid w:val="00E949AF"/>
    <w:rsid w:val="00E94B0E"/>
    <w:rsid w:val="00E9531F"/>
    <w:rsid w:val="00E95B6C"/>
    <w:rsid w:val="00E95F03"/>
    <w:rsid w:val="00E960CB"/>
    <w:rsid w:val="00E96382"/>
    <w:rsid w:val="00E9649B"/>
    <w:rsid w:val="00E96C74"/>
    <w:rsid w:val="00E9754B"/>
    <w:rsid w:val="00E9779E"/>
    <w:rsid w:val="00E9791D"/>
    <w:rsid w:val="00E97C2F"/>
    <w:rsid w:val="00EA027F"/>
    <w:rsid w:val="00EA02D8"/>
    <w:rsid w:val="00EA06F5"/>
    <w:rsid w:val="00EA1040"/>
    <w:rsid w:val="00EA1186"/>
    <w:rsid w:val="00EA173C"/>
    <w:rsid w:val="00EA1C24"/>
    <w:rsid w:val="00EA1E75"/>
    <w:rsid w:val="00EA1F97"/>
    <w:rsid w:val="00EA2287"/>
    <w:rsid w:val="00EA2856"/>
    <w:rsid w:val="00EA292F"/>
    <w:rsid w:val="00EA2B19"/>
    <w:rsid w:val="00EA2DAF"/>
    <w:rsid w:val="00EA3216"/>
    <w:rsid w:val="00EA3633"/>
    <w:rsid w:val="00EA37A3"/>
    <w:rsid w:val="00EA391B"/>
    <w:rsid w:val="00EA3E3D"/>
    <w:rsid w:val="00EA483B"/>
    <w:rsid w:val="00EA49FB"/>
    <w:rsid w:val="00EA4B4D"/>
    <w:rsid w:val="00EA4E70"/>
    <w:rsid w:val="00EA4E84"/>
    <w:rsid w:val="00EA568D"/>
    <w:rsid w:val="00EA5728"/>
    <w:rsid w:val="00EA5D19"/>
    <w:rsid w:val="00EA6006"/>
    <w:rsid w:val="00EA65BB"/>
    <w:rsid w:val="00EA72FA"/>
    <w:rsid w:val="00EA78E9"/>
    <w:rsid w:val="00EB03B7"/>
    <w:rsid w:val="00EB04D0"/>
    <w:rsid w:val="00EB078D"/>
    <w:rsid w:val="00EB0D8D"/>
    <w:rsid w:val="00EB0E5D"/>
    <w:rsid w:val="00EB0F04"/>
    <w:rsid w:val="00EB1028"/>
    <w:rsid w:val="00EB129A"/>
    <w:rsid w:val="00EB14B1"/>
    <w:rsid w:val="00EB16BB"/>
    <w:rsid w:val="00EB17FA"/>
    <w:rsid w:val="00EB18D1"/>
    <w:rsid w:val="00EB1E9B"/>
    <w:rsid w:val="00EB24FC"/>
    <w:rsid w:val="00EB25C8"/>
    <w:rsid w:val="00EB277C"/>
    <w:rsid w:val="00EB2B14"/>
    <w:rsid w:val="00EB2B46"/>
    <w:rsid w:val="00EB2FDF"/>
    <w:rsid w:val="00EB3912"/>
    <w:rsid w:val="00EB3D19"/>
    <w:rsid w:val="00EB3F76"/>
    <w:rsid w:val="00EB4DF5"/>
    <w:rsid w:val="00EB4FFB"/>
    <w:rsid w:val="00EB52FE"/>
    <w:rsid w:val="00EB5540"/>
    <w:rsid w:val="00EB57FA"/>
    <w:rsid w:val="00EB5A66"/>
    <w:rsid w:val="00EB5E43"/>
    <w:rsid w:val="00EB5FD1"/>
    <w:rsid w:val="00EB66C8"/>
    <w:rsid w:val="00EB6804"/>
    <w:rsid w:val="00EB749A"/>
    <w:rsid w:val="00EB750B"/>
    <w:rsid w:val="00EB7F70"/>
    <w:rsid w:val="00EC0483"/>
    <w:rsid w:val="00EC144C"/>
    <w:rsid w:val="00EC1739"/>
    <w:rsid w:val="00EC1865"/>
    <w:rsid w:val="00EC2506"/>
    <w:rsid w:val="00EC29F3"/>
    <w:rsid w:val="00EC2C7F"/>
    <w:rsid w:val="00EC2C9E"/>
    <w:rsid w:val="00EC2D75"/>
    <w:rsid w:val="00EC3121"/>
    <w:rsid w:val="00EC3243"/>
    <w:rsid w:val="00EC3578"/>
    <w:rsid w:val="00EC3707"/>
    <w:rsid w:val="00EC4B94"/>
    <w:rsid w:val="00EC4D0F"/>
    <w:rsid w:val="00EC4DE0"/>
    <w:rsid w:val="00EC5359"/>
    <w:rsid w:val="00EC5378"/>
    <w:rsid w:val="00EC563F"/>
    <w:rsid w:val="00EC593A"/>
    <w:rsid w:val="00EC5DA6"/>
    <w:rsid w:val="00EC5DF6"/>
    <w:rsid w:val="00EC6703"/>
    <w:rsid w:val="00EC69EA"/>
    <w:rsid w:val="00EC6D96"/>
    <w:rsid w:val="00EC6DA8"/>
    <w:rsid w:val="00ED0FB5"/>
    <w:rsid w:val="00ED14EF"/>
    <w:rsid w:val="00ED1DA7"/>
    <w:rsid w:val="00ED238D"/>
    <w:rsid w:val="00ED2DBE"/>
    <w:rsid w:val="00ED30CE"/>
    <w:rsid w:val="00ED315F"/>
    <w:rsid w:val="00ED3314"/>
    <w:rsid w:val="00ED3982"/>
    <w:rsid w:val="00ED3BE9"/>
    <w:rsid w:val="00ED45F7"/>
    <w:rsid w:val="00ED51E8"/>
    <w:rsid w:val="00ED5B8F"/>
    <w:rsid w:val="00ED6419"/>
    <w:rsid w:val="00ED6BA3"/>
    <w:rsid w:val="00ED6C0D"/>
    <w:rsid w:val="00ED6D96"/>
    <w:rsid w:val="00ED6ED4"/>
    <w:rsid w:val="00ED76B2"/>
    <w:rsid w:val="00ED797B"/>
    <w:rsid w:val="00EE003B"/>
    <w:rsid w:val="00EE0095"/>
    <w:rsid w:val="00EE02B8"/>
    <w:rsid w:val="00EE06A8"/>
    <w:rsid w:val="00EE095B"/>
    <w:rsid w:val="00EE09B8"/>
    <w:rsid w:val="00EE10F3"/>
    <w:rsid w:val="00EE11EF"/>
    <w:rsid w:val="00EE11FA"/>
    <w:rsid w:val="00EE15D6"/>
    <w:rsid w:val="00EE1D36"/>
    <w:rsid w:val="00EE2249"/>
    <w:rsid w:val="00EE2488"/>
    <w:rsid w:val="00EE251F"/>
    <w:rsid w:val="00EE2869"/>
    <w:rsid w:val="00EE2A82"/>
    <w:rsid w:val="00EE2B30"/>
    <w:rsid w:val="00EE2D37"/>
    <w:rsid w:val="00EE2D61"/>
    <w:rsid w:val="00EE2DF3"/>
    <w:rsid w:val="00EE3137"/>
    <w:rsid w:val="00EE3186"/>
    <w:rsid w:val="00EE3195"/>
    <w:rsid w:val="00EE33AD"/>
    <w:rsid w:val="00EE402B"/>
    <w:rsid w:val="00EE4064"/>
    <w:rsid w:val="00EE4427"/>
    <w:rsid w:val="00EE4894"/>
    <w:rsid w:val="00EE499E"/>
    <w:rsid w:val="00EE4C17"/>
    <w:rsid w:val="00EE504A"/>
    <w:rsid w:val="00EE51FA"/>
    <w:rsid w:val="00EE5295"/>
    <w:rsid w:val="00EE57A2"/>
    <w:rsid w:val="00EE58CE"/>
    <w:rsid w:val="00EE6244"/>
    <w:rsid w:val="00EE7024"/>
    <w:rsid w:val="00EE7400"/>
    <w:rsid w:val="00EE7959"/>
    <w:rsid w:val="00EE797E"/>
    <w:rsid w:val="00EE7AEC"/>
    <w:rsid w:val="00EE7FC7"/>
    <w:rsid w:val="00EF058C"/>
    <w:rsid w:val="00EF0B1E"/>
    <w:rsid w:val="00EF0CC6"/>
    <w:rsid w:val="00EF1659"/>
    <w:rsid w:val="00EF1BC9"/>
    <w:rsid w:val="00EF1EEE"/>
    <w:rsid w:val="00EF2A3D"/>
    <w:rsid w:val="00EF2CA6"/>
    <w:rsid w:val="00EF2ED8"/>
    <w:rsid w:val="00EF361E"/>
    <w:rsid w:val="00EF467A"/>
    <w:rsid w:val="00EF4879"/>
    <w:rsid w:val="00EF48BE"/>
    <w:rsid w:val="00EF4FBB"/>
    <w:rsid w:val="00EF58BC"/>
    <w:rsid w:val="00EF5C20"/>
    <w:rsid w:val="00EF5C98"/>
    <w:rsid w:val="00EF5CCC"/>
    <w:rsid w:val="00EF6A35"/>
    <w:rsid w:val="00EF7EAF"/>
    <w:rsid w:val="00EF7EF9"/>
    <w:rsid w:val="00EF7F08"/>
    <w:rsid w:val="00F00898"/>
    <w:rsid w:val="00F015D6"/>
    <w:rsid w:val="00F01795"/>
    <w:rsid w:val="00F0185E"/>
    <w:rsid w:val="00F01BC7"/>
    <w:rsid w:val="00F01BCF"/>
    <w:rsid w:val="00F01CF6"/>
    <w:rsid w:val="00F01F5F"/>
    <w:rsid w:val="00F022FC"/>
    <w:rsid w:val="00F02FCF"/>
    <w:rsid w:val="00F03675"/>
    <w:rsid w:val="00F04242"/>
    <w:rsid w:val="00F04DE4"/>
    <w:rsid w:val="00F04FD4"/>
    <w:rsid w:val="00F050AF"/>
    <w:rsid w:val="00F056FA"/>
    <w:rsid w:val="00F0590E"/>
    <w:rsid w:val="00F05C53"/>
    <w:rsid w:val="00F06242"/>
    <w:rsid w:val="00F063F3"/>
    <w:rsid w:val="00F06EF3"/>
    <w:rsid w:val="00F06F6D"/>
    <w:rsid w:val="00F07404"/>
    <w:rsid w:val="00F07E0B"/>
    <w:rsid w:val="00F10C68"/>
    <w:rsid w:val="00F10E8A"/>
    <w:rsid w:val="00F11114"/>
    <w:rsid w:val="00F11950"/>
    <w:rsid w:val="00F11BD4"/>
    <w:rsid w:val="00F11EEC"/>
    <w:rsid w:val="00F11F87"/>
    <w:rsid w:val="00F121D3"/>
    <w:rsid w:val="00F126F1"/>
    <w:rsid w:val="00F12D71"/>
    <w:rsid w:val="00F13250"/>
    <w:rsid w:val="00F1344E"/>
    <w:rsid w:val="00F1351A"/>
    <w:rsid w:val="00F13706"/>
    <w:rsid w:val="00F14472"/>
    <w:rsid w:val="00F144A5"/>
    <w:rsid w:val="00F145C5"/>
    <w:rsid w:val="00F15442"/>
    <w:rsid w:val="00F157A7"/>
    <w:rsid w:val="00F16300"/>
    <w:rsid w:val="00F163DE"/>
    <w:rsid w:val="00F171E9"/>
    <w:rsid w:val="00F172A1"/>
    <w:rsid w:val="00F17664"/>
    <w:rsid w:val="00F178AF"/>
    <w:rsid w:val="00F17E0D"/>
    <w:rsid w:val="00F205E5"/>
    <w:rsid w:val="00F2087D"/>
    <w:rsid w:val="00F2090B"/>
    <w:rsid w:val="00F20AC7"/>
    <w:rsid w:val="00F213DE"/>
    <w:rsid w:val="00F2174C"/>
    <w:rsid w:val="00F218CD"/>
    <w:rsid w:val="00F225B3"/>
    <w:rsid w:val="00F22CB6"/>
    <w:rsid w:val="00F22F07"/>
    <w:rsid w:val="00F23376"/>
    <w:rsid w:val="00F24AEA"/>
    <w:rsid w:val="00F24C7C"/>
    <w:rsid w:val="00F25B24"/>
    <w:rsid w:val="00F25BE7"/>
    <w:rsid w:val="00F25FD2"/>
    <w:rsid w:val="00F262BA"/>
    <w:rsid w:val="00F27365"/>
    <w:rsid w:val="00F2743A"/>
    <w:rsid w:val="00F27915"/>
    <w:rsid w:val="00F301CC"/>
    <w:rsid w:val="00F30605"/>
    <w:rsid w:val="00F31701"/>
    <w:rsid w:val="00F31FD4"/>
    <w:rsid w:val="00F32032"/>
    <w:rsid w:val="00F32642"/>
    <w:rsid w:val="00F32FA4"/>
    <w:rsid w:val="00F33533"/>
    <w:rsid w:val="00F3359A"/>
    <w:rsid w:val="00F3388F"/>
    <w:rsid w:val="00F33B57"/>
    <w:rsid w:val="00F33EBD"/>
    <w:rsid w:val="00F341E0"/>
    <w:rsid w:val="00F34390"/>
    <w:rsid w:val="00F34CFE"/>
    <w:rsid w:val="00F34F27"/>
    <w:rsid w:val="00F35837"/>
    <w:rsid w:val="00F3591E"/>
    <w:rsid w:val="00F3592D"/>
    <w:rsid w:val="00F3596C"/>
    <w:rsid w:val="00F35B82"/>
    <w:rsid w:val="00F35BC7"/>
    <w:rsid w:val="00F36B27"/>
    <w:rsid w:val="00F36C36"/>
    <w:rsid w:val="00F36F22"/>
    <w:rsid w:val="00F400A2"/>
    <w:rsid w:val="00F40134"/>
    <w:rsid w:val="00F40496"/>
    <w:rsid w:val="00F40620"/>
    <w:rsid w:val="00F40673"/>
    <w:rsid w:val="00F4079F"/>
    <w:rsid w:val="00F411FB"/>
    <w:rsid w:val="00F41220"/>
    <w:rsid w:val="00F413CB"/>
    <w:rsid w:val="00F41985"/>
    <w:rsid w:val="00F41BA7"/>
    <w:rsid w:val="00F41C14"/>
    <w:rsid w:val="00F42DD7"/>
    <w:rsid w:val="00F4308C"/>
    <w:rsid w:val="00F43C31"/>
    <w:rsid w:val="00F446F3"/>
    <w:rsid w:val="00F449FE"/>
    <w:rsid w:val="00F44CE1"/>
    <w:rsid w:val="00F44EE8"/>
    <w:rsid w:val="00F450CE"/>
    <w:rsid w:val="00F45798"/>
    <w:rsid w:val="00F45B5E"/>
    <w:rsid w:val="00F45F24"/>
    <w:rsid w:val="00F4644B"/>
    <w:rsid w:val="00F46E57"/>
    <w:rsid w:val="00F4716E"/>
    <w:rsid w:val="00F47210"/>
    <w:rsid w:val="00F47561"/>
    <w:rsid w:val="00F47ED0"/>
    <w:rsid w:val="00F503D4"/>
    <w:rsid w:val="00F50CA8"/>
    <w:rsid w:val="00F51476"/>
    <w:rsid w:val="00F51626"/>
    <w:rsid w:val="00F5186F"/>
    <w:rsid w:val="00F51898"/>
    <w:rsid w:val="00F51DCC"/>
    <w:rsid w:val="00F521FD"/>
    <w:rsid w:val="00F525EC"/>
    <w:rsid w:val="00F52C9A"/>
    <w:rsid w:val="00F52CF4"/>
    <w:rsid w:val="00F532B3"/>
    <w:rsid w:val="00F53748"/>
    <w:rsid w:val="00F5378F"/>
    <w:rsid w:val="00F539EC"/>
    <w:rsid w:val="00F54922"/>
    <w:rsid w:val="00F549D5"/>
    <w:rsid w:val="00F54F49"/>
    <w:rsid w:val="00F55183"/>
    <w:rsid w:val="00F553C1"/>
    <w:rsid w:val="00F55B29"/>
    <w:rsid w:val="00F55CC7"/>
    <w:rsid w:val="00F5612B"/>
    <w:rsid w:val="00F56DF4"/>
    <w:rsid w:val="00F5793A"/>
    <w:rsid w:val="00F57BAD"/>
    <w:rsid w:val="00F57DA8"/>
    <w:rsid w:val="00F57EFB"/>
    <w:rsid w:val="00F60082"/>
    <w:rsid w:val="00F6051B"/>
    <w:rsid w:val="00F609C9"/>
    <w:rsid w:val="00F610DC"/>
    <w:rsid w:val="00F61503"/>
    <w:rsid w:val="00F6155D"/>
    <w:rsid w:val="00F61A1D"/>
    <w:rsid w:val="00F62136"/>
    <w:rsid w:val="00F624E8"/>
    <w:rsid w:val="00F626CE"/>
    <w:rsid w:val="00F62A42"/>
    <w:rsid w:val="00F63499"/>
    <w:rsid w:val="00F63A2C"/>
    <w:rsid w:val="00F63CF7"/>
    <w:rsid w:val="00F63D66"/>
    <w:rsid w:val="00F640B4"/>
    <w:rsid w:val="00F64210"/>
    <w:rsid w:val="00F6427E"/>
    <w:rsid w:val="00F64404"/>
    <w:rsid w:val="00F64CAE"/>
    <w:rsid w:val="00F65252"/>
    <w:rsid w:val="00F6589F"/>
    <w:rsid w:val="00F65F95"/>
    <w:rsid w:val="00F66324"/>
    <w:rsid w:val="00F668BB"/>
    <w:rsid w:val="00F66E4A"/>
    <w:rsid w:val="00F66E84"/>
    <w:rsid w:val="00F67267"/>
    <w:rsid w:val="00F67741"/>
    <w:rsid w:val="00F67C35"/>
    <w:rsid w:val="00F67C99"/>
    <w:rsid w:val="00F70810"/>
    <w:rsid w:val="00F70D81"/>
    <w:rsid w:val="00F71817"/>
    <w:rsid w:val="00F71821"/>
    <w:rsid w:val="00F7190A"/>
    <w:rsid w:val="00F71B9C"/>
    <w:rsid w:val="00F71D82"/>
    <w:rsid w:val="00F72096"/>
    <w:rsid w:val="00F72AD3"/>
    <w:rsid w:val="00F72F90"/>
    <w:rsid w:val="00F72FE3"/>
    <w:rsid w:val="00F7323D"/>
    <w:rsid w:val="00F73518"/>
    <w:rsid w:val="00F73EF6"/>
    <w:rsid w:val="00F73F31"/>
    <w:rsid w:val="00F74813"/>
    <w:rsid w:val="00F75365"/>
    <w:rsid w:val="00F757AE"/>
    <w:rsid w:val="00F75D39"/>
    <w:rsid w:val="00F761F3"/>
    <w:rsid w:val="00F76DAC"/>
    <w:rsid w:val="00F77234"/>
    <w:rsid w:val="00F772AF"/>
    <w:rsid w:val="00F77545"/>
    <w:rsid w:val="00F77911"/>
    <w:rsid w:val="00F77E64"/>
    <w:rsid w:val="00F8027E"/>
    <w:rsid w:val="00F80449"/>
    <w:rsid w:val="00F8069B"/>
    <w:rsid w:val="00F808E8"/>
    <w:rsid w:val="00F80D46"/>
    <w:rsid w:val="00F814DF"/>
    <w:rsid w:val="00F81548"/>
    <w:rsid w:val="00F82028"/>
    <w:rsid w:val="00F824B5"/>
    <w:rsid w:val="00F8289F"/>
    <w:rsid w:val="00F829B2"/>
    <w:rsid w:val="00F8424C"/>
    <w:rsid w:val="00F84489"/>
    <w:rsid w:val="00F84494"/>
    <w:rsid w:val="00F84821"/>
    <w:rsid w:val="00F84BC6"/>
    <w:rsid w:val="00F84DAA"/>
    <w:rsid w:val="00F85044"/>
    <w:rsid w:val="00F85225"/>
    <w:rsid w:val="00F85555"/>
    <w:rsid w:val="00F85668"/>
    <w:rsid w:val="00F8566A"/>
    <w:rsid w:val="00F85AD1"/>
    <w:rsid w:val="00F85D7F"/>
    <w:rsid w:val="00F85DA5"/>
    <w:rsid w:val="00F85F6D"/>
    <w:rsid w:val="00F8624C"/>
    <w:rsid w:val="00F86C03"/>
    <w:rsid w:val="00F87250"/>
    <w:rsid w:val="00F8769D"/>
    <w:rsid w:val="00F87838"/>
    <w:rsid w:val="00F87A20"/>
    <w:rsid w:val="00F87CE0"/>
    <w:rsid w:val="00F87D43"/>
    <w:rsid w:val="00F9026B"/>
    <w:rsid w:val="00F902B8"/>
    <w:rsid w:val="00F90578"/>
    <w:rsid w:val="00F90966"/>
    <w:rsid w:val="00F90B47"/>
    <w:rsid w:val="00F90DF0"/>
    <w:rsid w:val="00F90EED"/>
    <w:rsid w:val="00F910B1"/>
    <w:rsid w:val="00F912CF"/>
    <w:rsid w:val="00F918A3"/>
    <w:rsid w:val="00F922FF"/>
    <w:rsid w:val="00F92629"/>
    <w:rsid w:val="00F92D07"/>
    <w:rsid w:val="00F92DD0"/>
    <w:rsid w:val="00F92E46"/>
    <w:rsid w:val="00F9379F"/>
    <w:rsid w:val="00F938F7"/>
    <w:rsid w:val="00F939BE"/>
    <w:rsid w:val="00F94584"/>
    <w:rsid w:val="00F947DB"/>
    <w:rsid w:val="00F948F7"/>
    <w:rsid w:val="00F94AB4"/>
    <w:rsid w:val="00F94D9B"/>
    <w:rsid w:val="00F953C1"/>
    <w:rsid w:val="00F953C7"/>
    <w:rsid w:val="00F9562A"/>
    <w:rsid w:val="00F95B8E"/>
    <w:rsid w:val="00F961C5"/>
    <w:rsid w:val="00F96910"/>
    <w:rsid w:val="00F97485"/>
    <w:rsid w:val="00F97980"/>
    <w:rsid w:val="00FA0281"/>
    <w:rsid w:val="00FA1167"/>
    <w:rsid w:val="00FA11A1"/>
    <w:rsid w:val="00FA1F37"/>
    <w:rsid w:val="00FA24F6"/>
    <w:rsid w:val="00FA268D"/>
    <w:rsid w:val="00FA3112"/>
    <w:rsid w:val="00FA3829"/>
    <w:rsid w:val="00FA38B1"/>
    <w:rsid w:val="00FA3FF2"/>
    <w:rsid w:val="00FA4056"/>
    <w:rsid w:val="00FA41DA"/>
    <w:rsid w:val="00FA44B1"/>
    <w:rsid w:val="00FA507F"/>
    <w:rsid w:val="00FA5087"/>
    <w:rsid w:val="00FA55D0"/>
    <w:rsid w:val="00FA5BC5"/>
    <w:rsid w:val="00FA60E5"/>
    <w:rsid w:val="00FA6C04"/>
    <w:rsid w:val="00FA6FED"/>
    <w:rsid w:val="00FA702D"/>
    <w:rsid w:val="00FA7347"/>
    <w:rsid w:val="00FA7442"/>
    <w:rsid w:val="00FA7995"/>
    <w:rsid w:val="00FA7A24"/>
    <w:rsid w:val="00FB01EA"/>
    <w:rsid w:val="00FB07FA"/>
    <w:rsid w:val="00FB0F30"/>
    <w:rsid w:val="00FB13A3"/>
    <w:rsid w:val="00FB13FD"/>
    <w:rsid w:val="00FB27C4"/>
    <w:rsid w:val="00FB2F46"/>
    <w:rsid w:val="00FB34FD"/>
    <w:rsid w:val="00FB36C8"/>
    <w:rsid w:val="00FB3C2B"/>
    <w:rsid w:val="00FB3D37"/>
    <w:rsid w:val="00FB473F"/>
    <w:rsid w:val="00FB4902"/>
    <w:rsid w:val="00FB551B"/>
    <w:rsid w:val="00FB587A"/>
    <w:rsid w:val="00FB5FCC"/>
    <w:rsid w:val="00FB6767"/>
    <w:rsid w:val="00FB731D"/>
    <w:rsid w:val="00FB7635"/>
    <w:rsid w:val="00FB7B2B"/>
    <w:rsid w:val="00FB7B31"/>
    <w:rsid w:val="00FB7C5E"/>
    <w:rsid w:val="00FB7D1A"/>
    <w:rsid w:val="00FB7DA9"/>
    <w:rsid w:val="00FC00B1"/>
    <w:rsid w:val="00FC00C6"/>
    <w:rsid w:val="00FC014C"/>
    <w:rsid w:val="00FC01ED"/>
    <w:rsid w:val="00FC07F7"/>
    <w:rsid w:val="00FC0C5C"/>
    <w:rsid w:val="00FC0CB6"/>
    <w:rsid w:val="00FC0E6B"/>
    <w:rsid w:val="00FC1385"/>
    <w:rsid w:val="00FC1764"/>
    <w:rsid w:val="00FC18ED"/>
    <w:rsid w:val="00FC1BCE"/>
    <w:rsid w:val="00FC2F23"/>
    <w:rsid w:val="00FC31F8"/>
    <w:rsid w:val="00FC3CAC"/>
    <w:rsid w:val="00FC44E8"/>
    <w:rsid w:val="00FC4910"/>
    <w:rsid w:val="00FC4A07"/>
    <w:rsid w:val="00FC4B60"/>
    <w:rsid w:val="00FC50C0"/>
    <w:rsid w:val="00FC688E"/>
    <w:rsid w:val="00FC6D1C"/>
    <w:rsid w:val="00FC6EC4"/>
    <w:rsid w:val="00FC7032"/>
    <w:rsid w:val="00FC729E"/>
    <w:rsid w:val="00FC730B"/>
    <w:rsid w:val="00FD0358"/>
    <w:rsid w:val="00FD05F7"/>
    <w:rsid w:val="00FD0858"/>
    <w:rsid w:val="00FD0BC3"/>
    <w:rsid w:val="00FD104A"/>
    <w:rsid w:val="00FD16D0"/>
    <w:rsid w:val="00FD1813"/>
    <w:rsid w:val="00FD1829"/>
    <w:rsid w:val="00FD1889"/>
    <w:rsid w:val="00FD19E8"/>
    <w:rsid w:val="00FD1A25"/>
    <w:rsid w:val="00FD1ADD"/>
    <w:rsid w:val="00FD1DD3"/>
    <w:rsid w:val="00FD320E"/>
    <w:rsid w:val="00FD331A"/>
    <w:rsid w:val="00FD367E"/>
    <w:rsid w:val="00FD44CF"/>
    <w:rsid w:val="00FD5438"/>
    <w:rsid w:val="00FD58AD"/>
    <w:rsid w:val="00FD5C84"/>
    <w:rsid w:val="00FD664D"/>
    <w:rsid w:val="00FD6802"/>
    <w:rsid w:val="00FD6903"/>
    <w:rsid w:val="00FD6918"/>
    <w:rsid w:val="00FD6FB3"/>
    <w:rsid w:val="00FD71F8"/>
    <w:rsid w:val="00FE0005"/>
    <w:rsid w:val="00FE0736"/>
    <w:rsid w:val="00FE0A4B"/>
    <w:rsid w:val="00FE0AE6"/>
    <w:rsid w:val="00FE0B5A"/>
    <w:rsid w:val="00FE0DC8"/>
    <w:rsid w:val="00FE0F2B"/>
    <w:rsid w:val="00FE1A4B"/>
    <w:rsid w:val="00FE1CDA"/>
    <w:rsid w:val="00FE208D"/>
    <w:rsid w:val="00FE24E7"/>
    <w:rsid w:val="00FE2CF2"/>
    <w:rsid w:val="00FE2DA5"/>
    <w:rsid w:val="00FE2E3B"/>
    <w:rsid w:val="00FE3328"/>
    <w:rsid w:val="00FE3D0A"/>
    <w:rsid w:val="00FE4190"/>
    <w:rsid w:val="00FE4CF0"/>
    <w:rsid w:val="00FE54EF"/>
    <w:rsid w:val="00FE5D5A"/>
    <w:rsid w:val="00FE6339"/>
    <w:rsid w:val="00FE65A2"/>
    <w:rsid w:val="00FE66BE"/>
    <w:rsid w:val="00FE694F"/>
    <w:rsid w:val="00FE6CCB"/>
    <w:rsid w:val="00FE75E1"/>
    <w:rsid w:val="00FE7B57"/>
    <w:rsid w:val="00FF03F7"/>
    <w:rsid w:val="00FF0642"/>
    <w:rsid w:val="00FF084F"/>
    <w:rsid w:val="00FF1010"/>
    <w:rsid w:val="00FF143B"/>
    <w:rsid w:val="00FF155D"/>
    <w:rsid w:val="00FF20AB"/>
    <w:rsid w:val="00FF2407"/>
    <w:rsid w:val="00FF26E0"/>
    <w:rsid w:val="00FF30B4"/>
    <w:rsid w:val="00FF34DC"/>
    <w:rsid w:val="00FF3576"/>
    <w:rsid w:val="00FF3ECC"/>
    <w:rsid w:val="00FF40A0"/>
    <w:rsid w:val="00FF40BA"/>
    <w:rsid w:val="00FF41C4"/>
    <w:rsid w:val="00FF452D"/>
    <w:rsid w:val="00FF48C4"/>
    <w:rsid w:val="00FF4ECC"/>
    <w:rsid w:val="00FF651F"/>
    <w:rsid w:val="00FF6A8A"/>
    <w:rsid w:val="00FF6B36"/>
    <w:rsid w:val="00FF6C91"/>
    <w:rsid w:val="00FF745E"/>
    <w:rsid w:val="00FF7DB0"/>
    <w:rsid w:val="00FF7E3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c2de"/>
    </o:shapedefaults>
    <o:shapelayout v:ext="edit">
      <o:idmap v:ext="edit" data="2"/>
    </o:shapelayout>
  </w:shapeDefaults>
  <w:decimalSymbol w:val=","/>
  <w:listSeparator w:val=";"/>
  <w14:docId w14:val="140F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0C8A"/>
    <w:pPr>
      <w:spacing w:after="120"/>
    </w:pPr>
    <w:rPr>
      <w:rFonts w:ascii="Arial" w:hAnsi="Arial"/>
      <w:sz w:val="20"/>
    </w:rPr>
  </w:style>
  <w:style w:type="paragraph" w:styleId="Naslov1">
    <w:name w:val="heading 1"/>
    <w:basedOn w:val="Navaden"/>
    <w:next w:val="Navaden"/>
    <w:link w:val="Naslov1Znak"/>
    <w:qFormat/>
    <w:rsid w:val="002F3727"/>
    <w:pPr>
      <w:keepNext/>
      <w:keepLines/>
      <w:spacing w:before="320" w:after="240"/>
      <w:jc w:val="center"/>
      <w:outlineLvl w:val="0"/>
    </w:pPr>
    <w:rPr>
      <w:rFonts w:eastAsiaTheme="majorEastAsia" w:cstheme="majorBidi"/>
      <w:b/>
      <w:bCs/>
      <w:caps/>
      <w:spacing w:val="4"/>
      <w:szCs w:val="28"/>
    </w:rPr>
  </w:style>
  <w:style w:type="paragraph" w:styleId="Naslov2">
    <w:name w:val="heading 2"/>
    <w:basedOn w:val="Navaden"/>
    <w:next w:val="Navaden"/>
    <w:link w:val="Naslov2Znak"/>
    <w:uiPriority w:val="9"/>
    <w:unhideWhenUsed/>
    <w:qFormat/>
    <w:rsid w:val="00401596"/>
    <w:pPr>
      <w:keepNext/>
      <w:keepLines/>
      <w:spacing w:before="360" w:after="240"/>
      <w:jc w:val="center"/>
      <w:outlineLvl w:val="1"/>
    </w:pPr>
    <w:rPr>
      <w:rFonts w:eastAsiaTheme="majorEastAsia" w:cstheme="majorBidi"/>
      <w:b/>
      <w:bCs/>
      <w:szCs w:val="28"/>
    </w:rPr>
  </w:style>
  <w:style w:type="paragraph" w:styleId="Naslov3">
    <w:name w:val="heading 3"/>
    <w:basedOn w:val="Navaden"/>
    <w:next w:val="Navaden"/>
    <w:link w:val="Naslov3Znak"/>
    <w:uiPriority w:val="9"/>
    <w:semiHidden/>
    <w:unhideWhenUsed/>
    <w:qFormat/>
    <w:rsid w:val="00DB3007"/>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nhideWhenUsed/>
    <w:qFormat/>
    <w:rsid w:val="00DB3007"/>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unhideWhenUsed/>
    <w:qFormat/>
    <w:rsid w:val="000E5454"/>
    <w:pPr>
      <w:keepNext/>
      <w:keepLines/>
      <w:spacing w:before="240" w:after="240"/>
      <w:jc w:val="center"/>
      <w:outlineLvl w:val="4"/>
    </w:pPr>
    <w:rPr>
      <w:rFonts w:eastAsia="Yu Gothic Light" w:cstheme="majorBidi"/>
      <w:b/>
      <w:bCs/>
    </w:rPr>
  </w:style>
  <w:style w:type="paragraph" w:styleId="Naslov6">
    <w:name w:val="heading 6"/>
    <w:basedOn w:val="Navaden"/>
    <w:next w:val="Navaden"/>
    <w:link w:val="Naslov6Znak"/>
    <w:uiPriority w:val="9"/>
    <w:semiHidden/>
    <w:unhideWhenUsed/>
    <w:qFormat/>
    <w:rsid w:val="00DB3007"/>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DB3007"/>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DB3007"/>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DB3007"/>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F3727"/>
    <w:rPr>
      <w:rFonts w:ascii="Arial" w:eastAsiaTheme="majorEastAsia" w:hAnsi="Arial" w:cstheme="majorBidi"/>
      <w:b/>
      <w:bCs/>
      <w:caps/>
      <w:spacing w:val="4"/>
      <w:sz w:val="20"/>
      <w:szCs w:val="28"/>
    </w:rPr>
  </w:style>
  <w:style w:type="paragraph" w:styleId="Glava">
    <w:name w:val="header"/>
    <w:basedOn w:val="Navaden"/>
    <w:link w:val="GlavaZnak"/>
    <w:rsid w:val="00261625"/>
    <w:pPr>
      <w:tabs>
        <w:tab w:val="center" w:pos="4320"/>
        <w:tab w:val="right" w:pos="8640"/>
      </w:tabs>
      <w:spacing w:after="0" w:line="260" w:lineRule="exact"/>
    </w:pPr>
    <w:rPr>
      <w:rFonts w:eastAsia="Times New Roman" w:cs="Times New Roman"/>
      <w:szCs w:val="24"/>
    </w:rPr>
  </w:style>
  <w:style w:type="character" w:customStyle="1" w:styleId="GlavaZnak">
    <w:name w:val="Glava Znak"/>
    <w:basedOn w:val="Privzetapisavaodstavka"/>
    <w:link w:val="Glava"/>
    <w:rsid w:val="00261625"/>
    <w:rPr>
      <w:rFonts w:ascii="Arial" w:eastAsia="Times New Roman" w:hAnsi="Arial" w:cs="Times New Roman"/>
      <w:sz w:val="20"/>
      <w:szCs w:val="24"/>
    </w:rPr>
  </w:style>
  <w:style w:type="paragraph" w:customStyle="1" w:styleId="Naslovpredpisa">
    <w:name w:val="Naslov_predpisa"/>
    <w:basedOn w:val="Navaden"/>
    <w:link w:val="NaslovpredpisaZnak"/>
    <w:qFormat/>
    <w:rsid w:val="00261625"/>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qFormat/>
    <w:rsid w:val="00261625"/>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avaden"/>
    <w:link w:val="NeotevilenodstavekZnak"/>
    <w:rsid w:val="00261625"/>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qFormat/>
    <w:rsid w:val="0026162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261625"/>
    <w:rPr>
      <w:rFonts w:ascii="Arial" w:eastAsia="Times New Roman" w:hAnsi="Arial" w:cs="Arial"/>
      <w:b/>
      <w:sz w:val="20"/>
      <w:lang w:eastAsia="sl-SI"/>
    </w:rPr>
  </w:style>
  <w:style w:type="paragraph" w:styleId="Odstavekseznama">
    <w:name w:val="List Paragraph"/>
    <w:basedOn w:val="Navaden"/>
    <w:link w:val="OdstavekseznamaZnak"/>
    <w:uiPriority w:val="34"/>
    <w:qFormat/>
    <w:rsid w:val="00AC7046"/>
  </w:style>
  <w:style w:type="character" w:customStyle="1" w:styleId="OdstavekseznamaZnak">
    <w:name w:val="Odstavek seznama Znak"/>
    <w:link w:val="Odstavekseznama"/>
    <w:uiPriority w:val="34"/>
    <w:rsid w:val="00AC7046"/>
    <w:rPr>
      <w:rFonts w:ascii="Arial" w:hAnsi="Arial"/>
      <w:sz w:val="20"/>
    </w:rPr>
  </w:style>
  <w:style w:type="character" w:styleId="Hiperpovezava">
    <w:name w:val="Hyperlink"/>
    <w:uiPriority w:val="99"/>
    <w:rsid w:val="00261625"/>
    <w:rPr>
      <w:color w:val="000080"/>
      <w:u w:val="single"/>
    </w:rPr>
  </w:style>
  <w:style w:type="paragraph" w:customStyle="1" w:styleId="Vrstapredpisa">
    <w:name w:val="Vrsta predpisa"/>
    <w:basedOn w:val="Navaden"/>
    <w:link w:val="VrstapredpisaZnak"/>
    <w:qFormat/>
    <w:rsid w:val="00261625"/>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1BC0"/>
    <w:rPr>
      <w:rFonts w:ascii="Tahoma" w:hAnsi="Tahoma" w:cs="Tahoma"/>
      <w:sz w:val="16"/>
      <w:szCs w:val="16"/>
    </w:rPr>
  </w:style>
  <w:style w:type="character" w:styleId="Pripombasklic">
    <w:name w:val="annotation reference"/>
    <w:basedOn w:val="Privzetapisavaodstavka"/>
    <w:uiPriority w:val="99"/>
    <w:unhideWhenUsed/>
    <w:rsid w:val="00C76E48"/>
    <w:rPr>
      <w:sz w:val="16"/>
      <w:szCs w:val="16"/>
    </w:rPr>
  </w:style>
  <w:style w:type="paragraph" w:styleId="Pripombabesedilo">
    <w:name w:val="annotation text"/>
    <w:basedOn w:val="Navaden"/>
    <w:link w:val="PripombabesediloZnak"/>
    <w:uiPriority w:val="99"/>
    <w:unhideWhenUsed/>
    <w:rsid w:val="00C76E48"/>
    <w:pPr>
      <w:spacing w:line="240" w:lineRule="auto"/>
    </w:pPr>
    <w:rPr>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semiHidden/>
    <w:unhideWhenUsed/>
    <w:rsid w:val="00C76E48"/>
    <w:rPr>
      <w:b/>
      <w:bCs/>
    </w:rPr>
  </w:style>
  <w:style w:type="character" w:customStyle="1" w:styleId="ZadevapripombeZnak">
    <w:name w:val="Zadeva pripombe Znak"/>
    <w:basedOn w:val="PripombabesediloZnak"/>
    <w:link w:val="Zadevapripombe"/>
    <w:semiHidden/>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aliases w:val="SUPERS,Footnote symbol,Footnote,Voetnootverwijzing,Footnote number,fr,o,Footnotemark,FR,Footnotemark1,Footnotemark2,FR1,Footnotemark3,FR2,Footnotemark4,FR3,Footnotemark5,FR4,Footnotemark6,Footnotemark7,Footnotemark8,FR5,Fussnota"/>
    <w:uiPriority w:val="99"/>
    <w:unhideWhenUsed/>
    <w:qFormat/>
    <w:rsid w:val="009F54B1"/>
    <w:rPr>
      <w:vertAlign w:val="superscript"/>
    </w:rPr>
  </w:style>
  <w:style w:type="table" w:customStyle="1" w:styleId="Tabelamrea1">
    <w:name w:val="Tabela – mreža1"/>
    <w:basedOn w:val="Navadnatabela"/>
    <w:next w:val="Tabelamrea"/>
    <w:uiPriority w:val="39"/>
    <w:rsid w:val="009F54B1"/>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A051AC"/>
    <w:pPr>
      <w:numPr>
        <w:numId w:val="9"/>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Naslov5Znak">
    <w:name w:val="Naslov 5 Znak"/>
    <w:basedOn w:val="Privzetapisavaodstavka"/>
    <w:link w:val="Naslov5"/>
    <w:uiPriority w:val="9"/>
    <w:rsid w:val="000E5454"/>
    <w:rPr>
      <w:rFonts w:ascii="Arial" w:eastAsia="Yu Gothic Light" w:hAnsi="Arial" w:cstheme="majorBidi"/>
      <w:b/>
      <w:bCs/>
      <w:sz w:val="20"/>
    </w:rPr>
  </w:style>
  <w:style w:type="character" w:customStyle="1" w:styleId="AlineazaodstavkomZnak">
    <w:name w:val="Alinea za odstavkom Znak"/>
    <w:link w:val="Alineazaodstavkom"/>
    <w:rsid w:val="008E6475"/>
    <w:rPr>
      <w:rFonts w:ascii="Arial" w:eastAsia="Times New Roman" w:hAnsi="Arial" w:cs="Arial"/>
      <w:sz w:val="20"/>
      <w:lang w:eastAsia="sl-SI"/>
    </w:rPr>
  </w:style>
  <w:style w:type="paragraph" w:customStyle="1" w:styleId="Odstavekseznama1">
    <w:name w:val="Odstavek seznama1"/>
    <w:basedOn w:val="Navaden"/>
    <w:link w:val="ListParagraphChar"/>
    <w:rsid w:val="008E6475"/>
    <w:pPr>
      <w:spacing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rsid w:val="008E6475"/>
    <w:pPr>
      <w:tabs>
        <w:tab w:val="num" w:pos="720"/>
      </w:tabs>
      <w:overflowPunct w:val="0"/>
      <w:autoSpaceDE w:val="0"/>
      <w:autoSpaceDN w:val="0"/>
      <w:adjustRightInd w:val="0"/>
      <w:spacing w:line="200" w:lineRule="exact"/>
      <w:ind w:left="720" w:hanging="720"/>
      <w:textAlignment w:val="baseline"/>
    </w:pPr>
    <w:rPr>
      <w:rFonts w:eastAsia="Times New Roman"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sz w:val="20"/>
      <w:lang w:eastAsia="sl-SI"/>
    </w:rPr>
  </w:style>
  <w:style w:type="paragraph" w:customStyle="1" w:styleId="rkovnatokazaodstavkom">
    <w:name w:val="Črkovna točka_za odstavkom"/>
    <w:basedOn w:val="Navaden"/>
    <w:link w:val="rkovnatokazaodstavkomZnak"/>
    <w:qFormat/>
    <w:rsid w:val="008E6475"/>
    <w:pPr>
      <w:numPr>
        <w:numId w:val="10"/>
      </w:numPr>
      <w:overflowPunct w:val="0"/>
      <w:autoSpaceDE w:val="0"/>
      <w:autoSpaceDN w:val="0"/>
      <w:adjustRightInd w:val="0"/>
      <w:spacing w:line="200" w:lineRule="exact"/>
      <w:textAlignment w:val="baseline"/>
    </w:pPr>
    <w:rPr>
      <w:lang w:eastAsia="sl-SI"/>
    </w:rPr>
  </w:style>
  <w:style w:type="paragraph" w:customStyle="1" w:styleId="Odsek">
    <w:name w:val="Odsek"/>
    <w:basedOn w:val="Oddelek"/>
    <w:link w:val="OdsekZnak"/>
    <w:rsid w:val="008E6475"/>
    <w:pPr>
      <w:ind w:left="1428" w:hanging="360"/>
    </w:pPr>
  </w:style>
  <w:style w:type="character" w:customStyle="1" w:styleId="OdsekZnak">
    <w:name w:val="Odsek Znak"/>
    <w:basedOn w:val="OddelekZnak1"/>
    <w:link w:val="Odsek"/>
    <w:rsid w:val="008E6475"/>
    <w:rPr>
      <w:rFonts w:ascii="Arial" w:eastAsia="Times New Roman" w:hAnsi="Arial" w:cs="Arial"/>
      <w:b/>
      <w:sz w:val="20"/>
      <w:lang w:eastAsia="sl-SI"/>
    </w:rPr>
  </w:style>
  <w:style w:type="paragraph" w:customStyle="1" w:styleId="Default">
    <w:name w:val="Default"/>
    <w:basedOn w:val="Navaden"/>
    <w:rsid w:val="008E6475"/>
    <w:pPr>
      <w:widowControl w:val="0"/>
      <w:suppressAutoHyphens/>
      <w:autoSpaceDE w:val="0"/>
      <w:spacing w:line="240" w:lineRule="auto"/>
    </w:pPr>
    <w:rPr>
      <w:rFonts w:eastAsia="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line="240" w:lineRule="auto"/>
      <w:ind w:firstLine="1021"/>
    </w:pPr>
    <w:rPr>
      <w:rFonts w:cs="Arial"/>
      <w:lang w:eastAsia="sl-SI"/>
    </w:rPr>
  </w:style>
  <w:style w:type="paragraph" w:customStyle="1" w:styleId="alineazaodstavkom1">
    <w:name w:val="alineazaodstavkom1"/>
    <w:basedOn w:val="Navaden"/>
    <w:rsid w:val="008E6475"/>
    <w:pPr>
      <w:spacing w:line="240" w:lineRule="auto"/>
      <w:ind w:left="425" w:hanging="425"/>
    </w:pPr>
    <w:rPr>
      <w:rFonts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1"/>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1"/>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1"/>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1"/>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1"/>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1"/>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1"/>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1"/>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1"/>
      </w:numPr>
      <w:tabs>
        <w:tab w:val="clear" w:pos="3118"/>
        <w:tab w:val="num" w:pos="360"/>
      </w:tabs>
      <w:spacing w:before="120" w:line="240" w:lineRule="auto"/>
      <w:ind w:left="0" w:firstLine="0"/>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semiHidden/>
    <w:unhideWhenUsed/>
    <w:rsid w:val="008E6475"/>
    <w:rPr>
      <w:color w:val="954F72" w:themeColor="followedHyperlink"/>
      <w:u w:val="single"/>
    </w:rPr>
  </w:style>
  <w:style w:type="paragraph" w:styleId="Noga">
    <w:name w:val="footer"/>
    <w:basedOn w:val="Navaden"/>
    <w:link w:val="NogaZnak"/>
    <w:uiPriority w:val="99"/>
    <w:unhideWhenUsed/>
    <w:rsid w:val="008E6475"/>
    <w:pPr>
      <w:tabs>
        <w:tab w:val="center" w:pos="4536"/>
        <w:tab w:val="right" w:pos="9072"/>
      </w:tabs>
      <w:spacing w:line="240" w:lineRule="auto"/>
    </w:pPr>
    <w:rPr>
      <w:rFonts w:eastAsia="Times New Roman" w:cs="Times New Roman"/>
      <w:szCs w:val="24"/>
    </w:rPr>
  </w:style>
  <w:style w:type="character" w:customStyle="1" w:styleId="NogaZnak">
    <w:name w:val="Noga Znak"/>
    <w:basedOn w:val="Privzetapisavaodstavka"/>
    <w:link w:val="Noga"/>
    <w:uiPriority w:val="99"/>
    <w:rsid w:val="008E6475"/>
    <w:rPr>
      <w:rFonts w:ascii="Arial" w:eastAsia="Times New Roman" w:hAnsi="Arial" w:cs="Times New Roman"/>
      <w:sz w:val="20"/>
      <w:szCs w:val="24"/>
    </w:rPr>
  </w:style>
  <w:style w:type="paragraph" w:customStyle="1" w:styleId="len0">
    <w:name w:val="Člen"/>
    <w:basedOn w:val="Navaden"/>
    <w:link w:val="lenZnak"/>
    <w:qFormat/>
    <w:rsid w:val="008E6475"/>
    <w:pPr>
      <w:suppressAutoHyphens/>
      <w:overflowPunct w:val="0"/>
      <w:autoSpaceDE w:val="0"/>
      <w:autoSpaceDN w:val="0"/>
      <w:adjustRightInd w:val="0"/>
      <w:spacing w:before="480" w:line="240" w:lineRule="auto"/>
      <w:jc w:val="center"/>
      <w:textAlignment w:val="baseline"/>
    </w:pPr>
    <w:rPr>
      <w:rFonts w:eastAsia="Times New Roman"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0">
    <w:name w:val="Odstavek"/>
    <w:basedOn w:val="Navaden"/>
    <w:link w:val="OdstavekZnak"/>
    <w:qFormat/>
    <w:rsid w:val="008E6475"/>
    <w:pPr>
      <w:overflowPunct w:val="0"/>
      <w:autoSpaceDE w:val="0"/>
      <w:autoSpaceDN w:val="0"/>
      <w:adjustRightInd w:val="0"/>
      <w:spacing w:before="240" w:line="240" w:lineRule="auto"/>
      <w:ind w:firstLine="1021"/>
      <w:textAlignment w:val="baseline"/>
    </w:pPr>
    <w:rPr>
      <w:rFonts w:eastAsia="Times New Roman" w:cs="Times New Roman"/>
    </w:rPr>
  </w:style>
  <w:style w:type="character" w:customStyle="1" w:styleId="OdstavekZnak">
    <w:name w:val="Odstavek Znak"/>
    <w:link w:val="Odstavek0"/>
    <w:rsid w:val="008E6475"/>
    <w:rPr>
      <w:rFonts w:ascii="Arial" w:eastAsia="Times New Roman" w:hAnsi="Arial" w:cs="Times New Roman"/>
    </w:rPr>
  </w:style>
  <w:style w:type="paragraph" w:customStyle="1" w:styleId="lennaslov0">
    <w:name w:val="Člen_naslov"/>
    <w:basedOn w:val="len0"/>
    <w:qFormat/>
    <w:rsid w:val="008E6475"/>
    <w:pPr>
      <w:spacing w:before="0"/>
    </w:pPr>
  </w:style>
  <w:style w:type="table" w:customStyle="1" w:styleId="Tabelamrea2">
    <w:name w:val="Tabela – mreža2"/>
    <w:basedOn w:val="Navadnatabela"/>
    <w:next w:val="Tabelamrea"/>
    <w:uiPriority w:val="39"/>
    <w:rsid w:val="008E6475"/>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21">
    <w:name w:val="Naslov 21"/>
    <w:basedOn w:val="Navaden"/>
    <w:next w:val="Navaden"/>
    <w:uiPriority w:val="9"/>
    <w:unhideWhenUsed/>
    <w:rsid w:val="00A53059"/>
    <w:pPr>
      <w:keepNext/>
      <w:keepLines/>
      <w:spacing w:before="40" w:after="0"/>
      <w:outlineLvl w:val="1"/>
    </w:pPr>
    <w:rPr>
      <w:rFonts w:ascii="Calibri Light" w:eastAsia="Yu Gothic Light" w:hAnsi="Calibri Light" w:cs="Times New Roman"/>
      <w:color w:val="2E74B5"/>
      <w:sz w:val="26"/>
      <w:szCs w:val="26"/>
    </w:rPr>
  </w:style>
  <w:style w:type="paragraph" w:customStyle="1" w:styleId="Naslov31">
    <w:name w:val="Naslov 31"/>
    <w:basedOn w:val="Navaden"/>
    <w:next w:val="Navaden"/>
    <w:uiPriority w:val="9"/>
    <w:unhideWhenUsed/>
    <w:qFormat/>
    <w:rsid w:val="00A53059"/>
    <w:pPr>
      <w:keepNext/>
      <w:keepLines/>
      <w:spacing w:before="40" w:after="0"/>
      <w:outlineLvl w:val="2"/>
    </w:pPr>
    <w:rPr>
      <w:rFonts w:ascii="Calibri Light" w:eastAsia="Yu Gothic Light" w:hAnsi="Calibri Light" w:cs="Times New Roman"/>
      <w:color w:val="1F4D78"/>
      <w:sz w:val="24"/>
      <w:szCs w:val="24"/>
    </w:rPr>
  </w:style>
  <w:style w:type="character" w:customStyle="1" w:styleId="Naslov2Znak">
    <w:name w:val="Naslov 2 Znak"/>
    <w:basedOn w:val="Privzetapisavaodstavka"/>
    <w:link w:val="Naslov2"/>
    <w:uiPriority w:val="9"/>
    <w:rsid w:val="00401596"/>
    <w:rPr>
      <w:rFonts w:ascii="Arial" w:eastAsiaTheme="majorEastAsia" w:hAnsi="Arial" w:cstheme="majorBidi"/>
      <w:b/>
      <w:bCs/>
      <w:sz w:val="20"/>
      <w:szCs w:val="28"/>
    </w:rPr>
  </w:style>
  <w:style w:type="character" w:customStyle="1" w:styleId="Naslov3Znak">
    <w:name w:val="Naslov 3 Znak"/>
    <w:basedOn w:val="Privzetapisavaodstavka"/>
    <w:link w:val="Naslov3"/>
    <w:uiPriority w:val="9"/>
    <w:semiHidden/>
    <w:rsid w:val="00DB3007"/>
    <w:rPr>
      <w:rFonts w:asciiTheme="majorHAnsi" w:eastAsiaTheme="majorEastAsia" w:hAnsiTheme="majorHAnsi" w:cstheme="majorBidi"/>
      <w:spacing w:val="4"/>
      <w:sz w:val="24"/>
      <w:szCs w:val="24"/>
    </w:rPr>
  </w:style>
  <w:style w:type="character" w:customStyle="1" w:styleId="highlight">
    <w:name w:val="highlight"/>
    <w:basedOn w:val="Privzetapisavaodstavka"/>
    <w:rsid w:val="00A53059"/>
  </w:style>
  <w:style w:type="paragraph" w:customStyle="1" w:styleId="Revizija1">
    <w:name w:val="Revizija1"/>
    <w:next w:val="Revizija"/>
    <w:hidden/>
    <w:uiPriority w:val="99"/>
    <w:semiHidden/>
    <w:rsid w:val="00A53059"/>
    <w:pPr>
      <w:spacing w:after="0" w:line="240" w:lineRule="auto"/>
    </w:pPr>
  </w:style>
  <w:style w:type="character" w:customStyle="1" w:styleId="Mention1">
    <w:name w:val="Mention1"/>
    <w:basedOn w:val="Privzetapisavaodstavka"/>
    <w:uiPriority w:val="99"/>
    <w:unhideWhenUsed/>
    <w:rsid w:val="00A53059"/>
    <w:rPr>
      <w:color w:val="2B579A"/>
      <w:shd w:val="clear" w:color="auto" w:fill="E1DFDD"/>
    </w:rPr>
  </w:style>
  <w:style w:type="character" w:customStyle="1" w:styleId="UnresolvedMention1">
    <w:name w:val="Unresolved Mention1"/>
    <w:basedOn w:val="Privzetapisavaodstavka"/>
    <w:uiPriority w:val="99"/>
    <w:semiHidden/>
    <w:unhideWhenUsed/>
    <w:rsid w:val="00A53059"/>
    <w:rPr>
      <w:color w:val="605E5C"/>
      <w:shd w:val="clear" w:color="auto" w:fill="E1DFDD"/>
    </w:rPr>
  </w:style>
  <w:style w:type="character" w:customStyle="1" w:styleId="Naslov2Znak1">
    <w:name w:val="Naslov 2 Znak1"/>
    <w:basedOn w:val="Privzetapisavaodstavka"/>
    <w:uiPriority w:val="9"/>
    <w:semiHidden/>
    <w:rsid w:val="00A53059"/>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A53059"/>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53059"/>
    <w:pPr>
      <w:spacing w:after="0" w:line="240" w:lineRule="auto"/>
    </w:pPr>
  </w:style>
  <w:style w:type="character" w:customStyle="1" w:styleId="Naslov4Znak">
    <w:name w:val="Naslov 4 Znak"/>
    <w:basedOn w:val="Privzetapisavaodstavka"/>
    <w:link w:val="Naslov4"/>
    <w:uiPriority w:val="9"/>
    <w:semiHidden/>
    <w:rsid w:val="00DB3007"/>
    <w:rPr>
      <w:rFonts w:asciiTheme="majorHAnsi" w:eastAsiaTheme="majorEastAsia" w:hAnsiTheme="majorHAnsi" w:cstheme="majorBidi"/>
      <w:i/>
      <w:iCs/>
      <w:sz w:val="24"/>
      <w:szCs w:val="24"/>
    </w:rPr>
  </w:style>
  <w:style w:type="character" w:customStyle="1" w:styleId="Naslov6Znak">
    <w:name w:val="Naslov 6 Znak"/>
    <w:basedOn w:val="Privzetapisavaodstavka"/>
    <w:link w:val="Naslov6"/>
    <w:uiPriority w:val="9"/>
    <w:semiHidden/>
    <w:rsid w:val="00DB3007"/>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DB3007"/>
    <w:rPr>
      <w:i/>
      <w:iCs/>
    </w:rPr>
  </w:style>
  <w:style w:type="character" w:customStyle="1" w:styleId="Naslov8Znak">
    <w:name w:val="Naslov 8 Znak"/>
    <w:basedOn w:val="Privzetapisavaodstavka"/>
    <w:link w:val="Naslov8"/>
    <w:uiPriority w:val="9"/>
    <w:semiHidden/>
    <w:rsid w:val="00DB3007"/>
    <w:rPr>
      <w:b/>
      <w:bCs/>
    </w:rPr>
  </w:style>
  <w:style w:type="character" w:customStyle="1" w:styleId="Naslov9Znak">
    <w:name w:val="Naslov 9 Znak"/>
    <w:basedOn w:val="Privzetapisavaodstavka"/>
    <w:link w:val="Naslov9"/>
    <w:uiPriority w:val="9"/>
    <w:semiHidden/>
    <w:rsid w:val="00DB3007"/>
    <w:rPr>
      <w:i/>
      <w:iCs/>
    </w:rPr>
  </w:style>
  <w:style w:type="paragraph" w:styleId="Napis">
    <w:name w:val="caption"/>
    <w:basedOn w:val="Navaden"/>
    <w:next w:val="Navaden"/>
    <w:uiPriority w:val="35"/>
    <w:unhideWhenUsed/>
    <w:qFormat/>
    <w:rsid w:val="00DB3007"/>
    <w:rPr>
      <w:b/>
      <w:bCs/>
      <w:sz w:val="18"/>
      <w:szCs w:val="18"/>
    </w:rPr>
  </w:style>
  <w:style w:type="paragraph" w:styleId="Naslov">
    <w:name w:val="Title"/>
    <w:basedOn w:val="Navaden"/>
    <w:next w:val="Navaden"/>
    <w:link w:val="NaslovZnak"/>
    <w:uiPriority w:val="10"/>
    <w:qFormat/>
    <w:rsid w:val="00DB300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DB3007"/>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DB3007"/>
    <w:pPr>
      <w:numPr>
        <w:ilvl w:val="1"/>
      </w:numPr>
      <w:spacing w:after="240"/>
      <w:ind w:left="284" w:hanging="284"/>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DB3007"/>
    <w:rPr>
      <w:rFonts w:asciiTheme="majorHAnsi" w:eastAsiaTheme="majorEastAsia" w:hAnsiTheme="majorHAnsi" w:cstheme="majorBidi"/>
      <w:sz w:val="24"/>
      <w:szCs w:val="24"/>
    </w:rPr>
  </w:style>
  <w:style w:type="character" w:styleId="Krepko">
    <w:name w:val="Strong"/>
    <w:basedOn w:val="Privzetapisavaodstavka"/>
    <w:uiPriority w:val="22"/>
    <w:qFormat/>
    <w:rsid w:val="00DB3007"/>
    <w:rPr>
      <w:b/>
      <w:bCs/>
      <w:color w:val="auto"/>
    </w:rPr>
  </w:style>
  <w:style w:type="character" w:styleId="Poudarek">
    <w:name w:val="Emphasis"/>
    <w:basedOn w:val="Privzetapisavaodstavka"/>
    <w:uiPriority w:val="20"/>
    <w:qFormat/>
    <w:rsid w:val="00DB3007"/>
    <w:rPr>
      <w:i/>
      <w:iCs/>
      <w:color w:val="auto"/>
    </w:rPr>
  </w:style>
  <w:style w:type="paragraph" w:styleId="Brezrazmikov">
    <w:name w:val="No Spacing"/>
    <w:uiPriority w:val="1"/>
    <w:qFormat/>
    <w:rsid w:val="00DB3007"/>
    <w:pPr>
      <w:spacing w:after="0" w:line="240" w:lineRule="auto"/>
    </w:pPr>
  </w:style>
  <w:style w:type="paragraph" w:styleId="Citat">
    <w:name w:val="Quote"/>
    <w:basedOn w:val="Navaden"/>
    <w:next w:val="Navaden"/>
    <w:link w:val="CitatZnak"/>
    <w:uiPriority w:val="29"/>
    <w:qFormat/>
    <w:rsid w:val="00DB30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DB3007"/>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DB30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DB3007"/>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DB3007"/>
    <w:rPr>
      <w:i/>
      <w:iCs/>
      <w:color w:val="auto"/>
    </w:rPr>
  </w:style>
  <w:style w:type="character" w:styleId="Intenzivenpoudarek">
    <w:name w:val="Intense Emphasis"/>
    <w:basedOn w:val="Privzetapisavaodstavka"/>
    <w:uiPriority w:val="21"/>
    <w:qFormat/>
    <w:rsid w:val="00DB3007"/>
    <w:rPr>
      <w:b/>
      <w:bCs/>
      <w:i/>
      <w:iCs/>
      <w:color w:val="auto"/>
    </w:rPr>
  </w:style>
  <w:style w:type="character" w:styleId="Neensklic">
    <w:name w:val="Subtle Reference"/>
    <w:basedOn w:val="Privzetapisavaodstavka"/>
    <w:uiPriority w:val="31"/>
    <w:qFormat/>
    <w:rsid w:val="00DB3007"/>
    <w:rPr>
      <w:smallCaps/>
      <w:color w:val="auto"/>
      <w:u w:val="single" w:color="7F7F7F" w:themeColor="text1" w:themeTint="80"/>
    </w:rPr>
  </w:style>
  <w:style w:type="character" w:styleId="Intenzivensklic">
    <w:name w:val="Intense Reference"/>
    <w:basedOn w:val="Privzetapisavaodstavka"/>
    <w:uiPriority w:val="32"/>
    <w:qFormat/>
    <w:rsid w:val="00DB3007"/>
    <w:rPr>
      <w:b/>
      <w:bCs/>
      <w:smallCaps/>
      <w:color w:val="auto"/>
      <w:u w:val="single"/>
    </w:rPr>
  </w:style>
  <w:style w:type="character" w:styleId="Naslovknjige">
    <w:name w:val="Book Title"/>
    <w:basedOn w:val="Privzetapisavaodstavka"/>
    <w:uiPriority w:val="33"/>
    <w:qFormat/>
    <w:rsid w:val="00DB3007"/>
    <w:rPr>
      <w:b/>
      <w:bCs/>
      <w:smallCaps/>
      <w:color w:val="auto"/>
    </w:rPr>
  </w:style>
  <w:style w:type="paragraph" w:styleId="NaslovTOC">
    <w:name w:val="TOC Heading"/>
    <w:basedOn w:val="Naslov1"/>
    <w:next w:val="Navaden"/>
    <w:uiPriority w:val="39"/>
    <w:unhideWhenUsed/>
    <w:qFormat/>
    <w:rsid w:val="00DB3007"/>
    <w:pPr>
      <w:outlineLvl w:val="9"/>
    </w:pPr>
  </w:style>
  <w:style w:type="character" w:customStyle="1" w:styleId="cf01">
    <w:name w:val="cf01"/>
    <w:basedOn w:val="Privzetapisavaodstavka"/>
    <w:rsid w:val="0022203B"/>
    <w:rPr>
      <w:rFonts w:ascii="Segoe UI" w:hAnsi="Segoe UI" w:cs="Segoe UI" w:hint="default"/>
      <w:b/>
      <w:bCs/>
      <w:sz w:val="18"/>
      <w:szCs w:val="18"/>
      <w:u w:val="single"/>
    </w:rPr>
  </w:style>
  <w:style w:type="character" w:customStyle="1" w:styleId="cf11">
    <w:name w:val="cf11"/>
    <w:basedOn w:val="Privzetapisavaodstavka"/>
    <w:rsid w:val="0022203B"/>
    <w:rPr>
      <w:rFonts w:ascii="Segoe UI" w:hAnsi="Segoe UI" w:cs="Segoe UI" w:hint="default"/>
      <w:b/>
      <w:bCs/>
      <w:sz w:val="18"/>
      <w:szCs w:val="18"/>
      <w:u w:val="single"/>
    </w:rPr>
  </w:style>
  <w:style w:type="paragraph" w:styleId="Navadensplet">
    <w:name w:val="Normal (Web)"/>
    <w:basedOn w:val="Navaden"/>
    <w:uiPriority w:val="99"/>
    <w:unhideWhenUsed/>
    <w:rsid w:val="005C75C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uvdate">
    <w:name w:val="Couv date"/>
    <w:rsid w:val="00862BC7"/>
    <w:pPr>
      <w:spacing w:after="0" w:line="240" w:lineRule="auto"/>
      <w:jc w:val="left"/>
    </w:pPr>
    <w:rPr>
      <w:rFonts w:ascii="EYInterstate Light" w:eastAsia="Times New Roman" w:hAnsi="EYInterstate Light" w:cs="Arial"/>
      <w:bCs/>
      <w:noProof/>
      <w:color w:val="646464"/>
      <w:spacing w:val="-10"/>
      <w:kern w:val="32"/>
      <w:sz w:val="20"/>
      <w:szCs w:val="20"/>
      <w:lang w:val="fr-FR" w:eastAsia="fr-FR"/>
    </w:rPr>
  </w:style>
  <w:style w:type="character" w:customStyle="1" w:styleId="PripombabesediloZnak1">
    <w:name w:val="Pripomba – besedilo Znak1"/>
    <w:basedOn w:val="Privzetapisavaodstavka"/>
    <w:uiPriority w:val="99"/>
    <w:rsid w:val="00BF4C6D"/>
    <w:rPr>
      <w:sz w:val="20"/>
      <w:szCs w:val="20"/>
    </w:rPr>
  </w:style>
  <w:style w:type="character" w:customStyle="1" w:styleId="Komentar-besediloZnak">
    <w:name w:val="Komentar - besedilo Znak"/>
    <w:link w:val="2"/>
    <w:uiPriority w:val="99"/>
    <w:rsid w:val="00475304"/>
    <w:rPr>
      <w:rFonts w:ascii="Arial" w:eastAsia="Times New Roman" w:hAnsi="Arial" w:cs="Times New Roman"/>
      <w:sz w:val="20"/>
      <w:szCs w:val="20"/>
    </w:rPr>
  </w:style>
  <w:style w:type="paragraph" w:customStyle="1" w:styleId="2">
    <w:name w:val="2"/>
    <w:basedOn w:val="Navaden"/>
    <w:next w:val="Pripombabesedilo"/>
    <w:link w:val="Komentar-besediloZnak"/>
    <w:uiPriority w:val="99"/>
    <w:unhideWhenUsed/>
    <w:rsid w:val="00312C5C"/>
    <w:pPr>
      <w:spacing w:line="240" w:lineRule="auto"/>
    </w:pPr>
    <w:rPr>
      <w:rFonts w:eastAsia="Times New Roman" w:cs="Times New Roman"/>
      <w:szCs w:val="20"/>
    </w:rPr>
  </w:style>
  <w:style w:type="paragraph" w:customStyle="1" w:styleId="alineazatevilnotoko">
    <w:name w:val="alineazatevil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jazarkovnotoko">
    <w:name w:val="alinejazarkov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10">
    <w:name w:val="tevilnatoka111"/>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1">
    <w:name w:val="1"/>
    <w:basedOn w:val="Navaden"/>
    <w:next w:val="Pripombabesedilo"/>
    <w:link w:val="Komentar-besediloZnak1"/>
    <w:uiPriority w:val="99"/>
    <w:unhideWhenUsed/>
    <w:rsid w:val="001444C1"/>
    <w:pPr>
      <w:spacing w:line="240" w:lineRule="auto"/>
    </w:pPr>
    <w:rPr>
      <w:rFonts w:asciiTheme="minorHAnsi" w:hAnsiTheme="minorHAnsi"/>
      <w:szCs w:val="20"/>
    </w:rPr>
  </w:style>
  <w:style w:type="character" w:customStyle="1" w:styleId="Komentar-besediloZnak1">
    <w:name w:val="Komentar - besedilo Znak1"/>
    <w:link w:val="1"/>
    <w:uiPriority w:val="99"/>
    <w:rsid w:val="001444C1"/>
    <w:rPr>
      <w:sz w:val="20"/>
      <w:szCs w:val="20"/>
    </w:rPr>
  </w:style>
  <w:style w:type="paragraph" w:customStyle="1" w:styleId="tevilnatoka111">
    <w:name w:val="Številčna točka 1.1.1"/>
    <w:basedOn w:val="Navaden"/>
    <w:qFormat/>
    <w:rsid w:val="00806D98"/>
    <w:pPr>
      <w:widowControl w:val="0"/>
      <w:numPr>
        <w:ilvl w:val="2"/>
        <w:numId w:val="14"/>
      </w:numPr>
      <w:overflowPunct w:val="0"/>
      <w:autoSpaceDE w:val="0"/>
      <w:autoSpaceDN w:val="0"/>
      <w:adjustRightInd w:val="0"/>
      <w:spacing w:after="0" w:line="240" w:lineRule="auto"/>
      <w:textAlignment w:val="baseline"/>
    </w:pPr>
    <w:rPr>
      <w:rFonts w:eastAsia="Times New Roman" w:cs="Times New Roman"/>
      <w:sz w:val="22"/>
      <w:szCs w:val="16"/>
      <w:lang w:eastAsia="sl-SI"/>
    </w:rPr>
  </w:style>
  <w:style w:type="paragraph" w:customStyle="1" w:styleId="tevilnatoka">
    <w:name w:val="Številčna točka"/>
    <w:basedOn w:val="Navaden"/>
    <w:link w:val="tevilnatokaZnak"/>
    <w:qFormat/>
    <w:rsid w:val="00806D98"/>
    <w:pPr>
      <w:numPr>
        <w:numId w:val="14"/>
      </w:numPr>
      <w:spacing w:after="0" w:line="240" w:lineRule="auto"/>
    </w:pPr>
    <w:rPr>
      <w:rFonts w:eastAsia="Times New Roman" w:cs="Times New Roman"/>
      <w:sz w:val="22"/>
      <w:lang w:val="x-none" w:eastAsia="sl-SI"/>
    </w:rPr>
  </w:style>
  <w:style w:type="character" w:customStyle="1" w:styleId="tevilnatokaZnak">
    <w:name w:val="Številčna točka Znak"/>
    <w:basedOn w:val="OdstavekZnak"/>
    <w:link w:val="tevilnatoka"/>
    <w:rsid w:val="00806D98"/>
    <w:rPr>
      <w:rFonts w:ascii="Arial" w:eastAsia="Times New Roman" w:hAnsi="Arial" w:cs="Times New Roman"/>
      <w:lang w:val="x-none" w:eastAsia="sl-SI"/>
    </w:rPr>
  </w:style>
  <w:style w:type="paragraph" w:customStyle="1" w:styleId="tevilnatoka11Nova">
    <w:name w:val="Številčna točka 1.1 Nova"/>
    <w:basedOn w:val="tevilnatoka"/>
    <w:qFormat/>
    <w:rsid w:val="00806D98"/>
    <w:pPr>
      <w:numPr>
        <w:ilvl w:val="1"/>
      </w:numPr>
      <w:tabs>
        <w:tab w:val="clear" w:pos="425"/>
        <w:tab w:val="num" w:pos="360"/>
      </w:tabs>
      <w:ind w:left="720" w:hanging="360"/>
    </w:pPr>
  </w:style>
  <w:style w:type="paragraph" w:customStyle="1" w:styleId="Alinejazarkovnotoko0">
    <w:name w:val="Alineja za črkovno točko"/>
    <w:basedOn w:val="Navaden"/>
    <w:link w:val="AlinejazarkovnotokoZnak"/>
    <w:qFormat/>
    <w:rsid w:val="00806D98"/>
    <w:pPr>
      <w:tabs>
        <w:tab w:val="left" w:pos="567"/>
      </w:tabs>
      <w:spacing w:after="0" w:line="240" w:lineRule="auto"/>
      <w:ind w:left="567" w:hanging="142"/>
    </w:pPr>
    <w:rPr>
      <w:rFonts w:eastAsia="Times New Roman" w:cs="Arial"/>
      <w:sz w:val="22"/>
      <w:lang w:eastAsia="sl-SI"/>
    </w:rPr>
  </w:style>
  <w:style w:type="character" w:customStyle="1" w:styleId="AlinejazarkovnotokoZnak">
    <w:name w:val="Alineja za črkovno točko Znak"/>
    <w:basedOn w:val="Privzetapisavaodstavka"/>
    <w:link w:val="Alinejazarkovnotoko0"/>
    <w:rsid w:val="00806D98"/>
    <w:rPr>
      <w:rFonts w:ascii="Arial" w:eastAsia="Times New Roman" w:hAnsi="Arial" w:cs="Arial"/>
      <w:lang w:eastAsia="sl-SI"/>
    </w:rPr>
  </w:style>
  <w:style w:type="paragraph" w:customStyle="1" w:styleId="Alineazatevilnotoko0">
    <w:name w:val="Alinea za številčno točko"/>
    <w:basedOn w:val="Alineazaodstavkom"/>
    <w:link w:val="AlineazatevilnotokoZnak"/>
    <w:qFormat/>
    <w:rsid w:val="00806D98"/>
    <w:pPr>
      <w:numPr>
        <w:numId w:val="0"/>
      </w:numPr>
      <w:tabs>
        <w:tab w:val="left" w:pos="567"/>
      </w:tabs>
      <w:overflowPunct/>
      <w:autoSpaceDE/>
      <w:autoSpaceDN/>
      <w:adjustRightInd/>
      <w:spacing w:line="240" w:lineRule="auto"/>
      <w:ind w:left="567" w:hanging="142"/>
      <w:textAlignment w:val="auto"/>
    </w:pPr>
    <w:rPr>
      <w:lang w:val="x-none"/>
    </w:rPr>
  </w:style>
  <w:style w:type="character" w:customStyle="1" w:styleId="AlineazatevilnotokoZnak">
    <w:name w:val="Alinea za številčno točko Znak"/>
    <w:basedOn w:val="rkovnatokazaodstavkomZnak"/>
    <w:link w:val="Alineazatevilnotoko0"/>
    <w:rsid w:val="00806D98"/>
    <w:rPr>
      <w:rFonts w:ascii="Arial" w:eastAsia="Times New Roman" w:hAnsi="Arial" w:cs="Arial"/>
      <w:sz w:val="20"/>
      <w:lang w:val="x-none" w:eastAsia="sl-SI"/>
    </w:rPr>
  </w:style>
  <w:style w:type="paragraph" w:customStyle="1" w:styleId="Zamaknjenadolobaprvinivo">
    <w:name w:val="Zamaknjena določba_prvi nivo"/>
    <w:basedOn w:val="Alineazaodstavkom"/>
    <w:link w:val="ZamaknjenadolobaprvinivoZnak"/>
    <w:qFormat/>
    <w:rsid w:val="00806D98"/>
    <w:pPr>
      <w:numPr>
        <w:numId w:val="0"/>
      </w:numPr>
      <w:overflowPunct/>
      <w:autoSpaceDE/>
      <w:autoSpaceDN/>
      <w:adjustRightInd/>
      <w:spacing w:line="240" w:lineRule="auto"/>
      <w:textAlignment w:val="auto"/>
    </w:pPr>
    <w:rPr>
      <w:sz w:val="22"/>
      <w:lang w:val="x-none"/>
    </w:rPr>
  </w:style>
  <w:style w:type="character" w:customStyle="1" w:styleId="ZamaknjenadolobaprvinivoZnak">
    <w:name w:val="Zamaknjena določba_prvi nivo Znak"/>
    <w:basedOn w:val="OdstavekZnak"/>
    <w:link w:val="Zamaknjenadolobaprvinivo"/>
    <w:rsid w:val="00806D98"/>
    <w:rPr>
      <w:rFonts w:ascii="Arial" w:eastAsia="Times New Roman" w:hAnsi="Arial" w:cs="Arial"/>
      <w:lang w:val="x-none" w:eastAsia="sl-SI"/>
    </w:rPr>
  </w:style>
  <w:style w:type="numbering" w:customStyle="1" w:styleId="Brezseznama1">
    <w:name w:val="Brez seznama1"/>
    <w:next w:val="Brezseznama"/>
    <w:uiPriority w:val="99"/>
    <w:semiHidden/>
    <w:unhideWhenUsed/>
    <w:rsid w:val="00EC6D96"/>
  </w:style>
  <w:style w:type="paragraph" w:customStyle="1" w:styleId="msonormal0">
    <w:name w:val="msonorma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oglavje0">
    <w:name w:val="poglavje"/>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oddelek0">
    <w:name w:val="oddelek"/>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prvinivo0">
    <w:name w:val="zamaknjenadolobaprvinivo"/>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del">
    <w:name w:val="de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C6D96"/>
    <w:rPr>
      <w:color w:val="605E5C"/>
      <w:shd w:val="clear" w:color="auto" w:fill="E1DFDD"/>
    </w:rPr>
  </w:style>
  <w:style w:type="paragraph" w:customStyle="1" w:styleId="Naslov11">
    <w:name w:val="Naslov 11"/>
    <w:basedOn w:val="Navaden"/>
    <w:next w:val="Navaden"/>
    <w:uiPriority w:val="9"/>
    <w:qFormat/>
    <w:rsid w:val="00EC6D96"/>
    <w:pPr>
      <w:keepNext/>
      <w:keepLines/>
      <w:spacing w:before="320" w:after="240"/>
      <w:jc w:val="center"/>
      <w:outlineLvl w:val="0"/>
    </w:pPr>
    <w:rPr>
      <w:rFonts w:eastAsia="Times New Roman" w:cs="Times New Roman"/>
      <w:b/>
      <w:bCs/>
      <w:caps/>
      <w:spacing w:val="4"/>
      <w:szCs w:val="28"/>
    </w:rPr>
  </w:style>
  <w:style w:type="paragraph" w:customStyle="1" w:styleId="Naslov41">
    <w:name w:val="Naslov 41"/>
    <w:basedOn w:val="Navaden"/>
    <w:next w:val="Navaden"/>
    <w:uiPriority w:val="9"/>
    <w:semiHidden/>
    <w:unhideWhenUsed/>
    <w:qFormat/>
    <w:rsid w:val="00EC6D96"/>
    <w:pPr>
      <w:keepNext/>
      <w:keepLines/>
      <w:spacing w:before="120" w:after="0"/>
      <w:outlineLvl w:val="3"/>
    </w:pPr>
    <w:rPr>
      <w:rFonts w:ascii="Calibri Light" w:eastAsia="Times New Roman" w:hAnsi="Calibri Light" w:cs="Times New Roman"/>
      <w:i/>
      <w:iCs/>
      <w:sz w:val="24"/>
      <w:szCs w:val="24"/>
    </w:rPr>
  </w:style>
  <w:style w:type="paragraph" w:customStyle="1" w:styleId="Naslov51">
    <w:name w:val="Naslov 51"/>
    <w:basedOn w:val="Navaden"/>
    <w:next w:val="Navaden"/>
    <w:uiPriority w:val="9"/>
    <w:unhideWhenUsed/>
    <w:qFormat/>
    <w:rsid w:val="00EC6D96"/>
    <w:pPr>
      <w:keepNext/>
      <w:keepLines/>
      <w:spacing w:before="240" w:after="240"/>
      <w:jc w:val="center"/>
      <w:outlineLvl w:val="4"/>
    </w:pPr>
    <w:rPr>
      <w:rFonts w:eastAsia="Yu Gothic Light" w:cs="Times New Roman"/>
      <w:b/>
      <w:bCs/>
    </w:rPr>
  </w:style>
  <w:style w:type="paragraph" w:customStyle="1" w:styleId="Naslov61">
    <w:name w:val="Naslov 61"/>
    <w:basedOn w:val="Navaden"/>
    <w:next w:val="Navaden"/>
    <w:uiPriority w:val="9"/>
    <w:semiHidden/>
    <w:unhideWhenUsed/>
    <w:qFormat/>
    <w:rsid w:val="00EC6D96"/>
    <w:pPr>
      <w:keepNext/>
      <w:keepLines/>
      <w:spacing w:before="120" w:after="0"/>
      <w:outlineLvl w:val="5"/>
    </w:pPr>
    <w:rPr>
      <w:rFonts w:ascii="Calibri Light" w:eastAsia="Times New Roman" w:hAnsi="Calibri Light" w:cs="Times New Roman"/>
      <w:b/>
      <w:bCs/>
      <w:i/>
      <w:iCs/>
    </w:rPr>
  </w:style>
  <w:style w:type="numbering" w:customStyle="1" w:styleId="Brezseznama11">
    <w:name w:val="Brez seznama11"/>
    <w:next w:val="Brezseznama"/>
    <w:uiPriority w:val="99"/>
    <w:semiHidden/>
    <w:unhideWhenUsed/>
    <w:rsid w:val="00EC6D96"/>
  </w:style>
  <w:style w:type="table" w:customStyle="1" w:styleId="Tabelamrea3">
    <w:name w:val="Tabela – mreža3"/>
    <w:basedOn w:val="Navadnatabela"/>
    <w:next w:val="Tabelamrea"/>
    <w:uiPriority w:val="39"/>
    <w:rsid w:val="00EC6D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1"/>
    <w:basedOn w:val="Navaden"/>
    <w:next w:val="Navaden"/>
    <w:uiPriority w:val="10"/>
    <w:qFormat/>
    <w:rsid w:val="00EC6D96"/>
    <w:pPr>
      <w:spacing w:after="0" w:line="240" w:lineRule="auto"/>
      <w:contextualSpacing/>
      <w:jc w:val="center"/>
    </w:pPr>
    <w:rPr>
      <w:rFonts w:ascii="Calibri Light" w:eastAsia="Times New Roman" w:hAnsi="Calibri Light" w:cs="Times New Roman"/>
      <w:b/>
      <w:bCs/>
      <w:spacing w:val="-7"/>
      <w:sz w:val="48"/>
      <w:szCs w:val="48"/>
    </w:rPr>
  </w:style>
  <w:style w:type="paragraph" w:customStyle="1" w:styleId="Podnaslov1">
    <w:name w:val="Podnaslov1"/>
    <w:basedOn w:val="Navaden"/>
    <w:next w:val="Navaden"/>
    <w:uiPriority w:val="11"/>
    <w:qFormat/>
    <w:rsid w:val="00EC6D96"/>
    <w:pPr>
      <w:numPr>
        <w:ilvl w:val="1"/>
      </w:numPr>
      <w:spacing w:after="240"/>
      <w:ind w:left="284" w:hanging="284"/>
      <w:jc w:val="center"/>
    </w:pPr>
    <w:rPr>
      <w:rFonts w:ascii="Calibri Light" w:eastAsia="Times New Roman" w:hAnsi="Calibri Light" w:cs="Times New Roman"/>
      <w:sz w:val="24"/>
      <w:szCs w:val="24"/>
    </w:rPr>
  </w:style>
  <w:style w:type="paragraph" w:customStyle="1" w:styleId="Citat1">
    <w:name w:val="Citat1"/>
    <w:basedOn w:val="Navaden"/>
    <w:next w:val="Navaden"/>
    <w:uiPriority w:val="29"/>
    <w:qFormat/>
    <w:rsid w:val="00EC6D96"/>
    <w:pPr>
      <w:spacing w:before="200" w:line="264" w:lineRule="auto"/>
      <w:ind w:left="864" w:right="864"/>
      <w:jc w:val="center"/>
    </w:pPr>
    <w:rPr>
      <w:rFonts w:ascii="Calibri Light" w:eastAsia="Times New Roman" w:hAnsi="Calibri Light" w:cs="Times New Roman"/>
      <w:i/>
      <w:iCs/>
      <w:sz w:val="24"/>
      <w:szCs w:val="24"/>
    </w:rPr>
  </w:style>
  <w:style w:type="paragraph" w:customStyle="1" w:styleId="Intenzivencitat1">
    <w:name w:val="Intenziven citat1"/>
    <w:basedOn w:val="Navaden"/>
    <w:next w:val="Navaden"/>
    <w:uiPriority w:val="30"/>
    <w:qFormat/>
    <w:rsid w:val="00EC6D96"/>
    <w:pPr>
      <w:spacing w:before="100" w:beforeAutospacing="1" w:after="240"/>
      <w:ind w:left="936" w:right="936"/>
      <w:jc w:val="center"/>
    </w:pPr>
    <w:rPr>
      <w:rFonts w:ascii="Calibri Light" w:eastAsia="Times New Roman" w:hAnsi="Calibri Light" w:cs="Times New Roman"/>
      <w:sz w:val="26"/>
      <w:szCs w:val="26"/>
    </w:rPr>
  </w:style>
  <w:style w:type="character" w:customStyle="1" w:styleId="Neensklic1">
    <w:name w:val="Nežen sklic1"/>
    <w:basedOn w:val="Privzetapisavaodstavka"/>
    <w:uiPriority w:val="31"/>
    <w:qFormat/>
    <w:rsid w:val="00EC6D96"/>
    <w:rPr>
      <w:smallCaps/>
      <w:color w:val="auto"/>
      <w:u w:val="single" w:color="7F7F7F"/>
    </w:rPr>
  </w:style>
  <w:style w:type="character" w:customStyle="1" w:styleId="Naslov1Znak1">
    <w:name w:val="Naslov 1 Znak1"/>
    <w:basedOn w:val="Privzetapisavaodstavka"/>
    <w:uiPriority w:val="9"/>
    <w:rsid w:val="00EC6D96"/>
    <w:rPr>
      <w:rFonts w:ascii="Calibri Light" w:eastAsia="Times New Roman" w:hAnsi="Calibri Light" w:cs="Times New Roman"/>
      <w:color w:val="2F5496"/>
      <w:sz w:val="32"/>
      <w:szCs w:val="32"/>
    </w:rPr>
  </w:style>
  <w:style w:type="character" w:customStyle="1" w:styleId="Naslov5Znak1">
    <w:name w:val="Naslov 5 Znak1"/>
    <w:basedOn w:val="Privzetapisavaodstavka"/>
    <w:uiPriority w:val="9"/>
    <w:semiHidden/>
    <w:rsid w:val="00EC6D96"/>
    <w:rPr>
      <w:rFonts w:ascii="Calibri Light" w:eastAsia="Times New Roman" w:hAnsi="Calibri Light" w:cs="Times New Roman"/>
      <w:color w:val="2F5496"/>
    </w:rPr>
  </w:style>
  <w:style w:type="character" w:customStyle="1" w:styleId="Naslov3Znak2">
    <w:name w:val="Naslov 3 Znak2"/>
    <w:basedOn w:val="Privzetapisavaodstavka"/>
    <w:uiPriority w:val="9"/>
    <w:semiHidden/>
    <w:rsid w:val="00EC6D96"/>
    <w:rPr>
      <w:rFonts w:ascii="Calibri Light" w:eastAsia="Times New Roman" w:hAnsi="Calibri Light" w:cs="Times New Roman"/>
      <w:color w:val="1F3763"/>
      <w:sz w:val="24"/>
      <w:szCs w:val="24"/>
    </w:rPr>
  </w:style>
  <w:style w:type="character" w:customStyle="1" w:styleId="Naslov4Znak1">
    <w:name w:val="Naslov 4 Znak1"/>
    <w:basedOn w:val="Privzetapisavaodstavka"/>
    <w:uiPriority w:val="9"/>
    <w:semiHidden/>
    <w:rsid w:val="00EC6D96"/>
    <w:rPr>
      <w:rFonts w:ascii="Calibri Light" w:eastAsia="Times New Roman" w:hAnsi="Calibri Light" w:cs="Times New Roman"/>
      <w:i/>
      <w:iCs/>
      <w:color w:val="2F5496"/>
    </w:rPr>
  </w:style>
  <w:style w:type="character" w:customStyle="1" w:styleId="Naslov6Znak1">
    <w:name w:val="Naslov 6 Znak1"/>
    <w:basedOn w:val="Privzetapisavaodstavka"/>
    <w:uiPriority w:val="9"/>
    <w:semiHidden/>
    <w:rsid w:val="00EC6D96"/>
    <w:rPr>
      <w:rFonts w:ascii="Calibri Light" w:eastAsia="Times New Roman" w:hAnsi="Calibri Light" w:cs="Times New Roman"/>
      <w:color w:val="1F3763"/>
    </w:rPr>
  </w:style>
  <w:style w:type="character" w:customStyle="1" w:styleId="NaslovZnak1">
    <w:name w:val="Naslov Znak1"/>
    <w:basedOn w:val="Privzetapisavaodstavka"/>
    <w:uiPriority w:val="10"/>
    <w:rsid w:val="00EC6D96"/>
    <w:rPr>
      <w:rFonts w:ascii="Calibri Light" w:eastAsia="Times New Roman" w:hAnsi="Calibri Light" w:cs="Times New Roman"/>
      <w:spacing w:val="-10"/>
      <w:kern w:val="28"/>
      <w:sz w:val="56"/>
      <w:szCs w:val="56"/>
    </w:rPr>
  </w:style>
  <w:style w:type="character" w:customStyle="1" w:styleId="PodnaslovZnak1">
    <w:name w:val="Podnaslov Znak1"/>
    <w:basedOn w:val="Privzetapisavaodstavka"/>
    <w:uiPriority w:val="11"/>
    <w:rsid w:val="00EC6D96"/>
    <w:rPr>
      <w:rFonts w:eastAsia="Times New Roman"/>
      <w:color w:val="5A5A5A"/>
      <w:spacing w:val="15"/>
    </w:rPr>
  </w:style>
  <w:style w:type="character" w:customStyle="1" w:styleId="CitatZnak1">
    <w:name w:val="Citat Znak1"/>
    <w:basedOn w:val="Privzetapisavaodstavka"/>
    <w:uiPriority w:val="29"/>
    <w:rsid w:val="00EC6D96"/>
    <w:rPr>
      <w:i/>
      <w:iCs/>
      <w:color w:val="404040"/>
    </w:rPr>
  </w:style>
  <w:style w:type="character" w:customStyle="1" w:styleId="IntenzivencitatZnak1">
    <w:name w:val="Intenziven citat Znak1"/>
    <w:basedOn w:val="Privzetapisavaodstavka"/>
    <w:uiPriority w:val="30"/>
    <w:rsid w:val="00EC6D96"/>
    <w:rPr>
      <w:i/>
      <w:iCs/>
      <w:color w:val="4472C4"/>
    </w:rPr>
  </w:style>
  <w:style w:type="numbering" w:customStyle="1" w:styleId="Trenutniseznam1">
    <w:name w:val="Trenutni seznam1"/>
    <w:uiPriority w:val="99"/>
    <w:rsid w:val="00E36CE1"/>
    <w:pPr>
      <w:numPr>
        <w:numId w:val="15"/>
      </w:numPr>
    </w:pPr>
  </w:style>
  <w:style w:type="numbering" w:customStyle="1" w:styleId="Trenutniseznam2">
    <w:name w:val="Trenutni seznam2"/>
    <w:uiPriority w:val="99"/>
    <w:rsid w:val="00E36CE1"/>
    <w:pPr>
      <w:numPr>
        <w:numId w:val="16"/>
      </w:numPr>
    </w:pPr>
  </w:style>
  <w:style w:type="paragraph" w:customStyle="1" w:styleId="alineazaodstavkom2">
    <w:name w:val="alinea_za_odstavkom"/>
    <w:basedOn w:val="Navaden"/>
    <w:rsid w:val="00AA1C78"/>
    <w:pPr>
      <w:spacing w:after="0" w:line="240" w:lineRule="auto"/>
      <w:ind w:hanging="425"/>
    </w:pPr>
    <w:rPr>
      <w:rFonts w:ascii="Times New Roman" w:eastAsia="Times New Roman" w:hAnsi="Times New Roman" w:cs="Times New Roman"/>
      <w:sz w:val="24"/>
      <w:szCs w:val="24"/>
      <w:lang w:val="en-US"/>
    </w:rPr>
  </w:style>
  <w:style w:type="paragraph" w:customStyle="1" w:styleId="rkovnatokazaodstavkomi">
    <w:name w:val="Črkovna točka za odstavkom (i)"/>
    <w:basedOn w:val="Alineazaodstavkom"/>
    <w:rsid w:val="005A1726"/>
    <w:pPr>
      <w:numPr>
        <w:numId w:val="17"/>
      </w:numPr>
      <w:suppressAutoHyphens/>
      <w:overflowPunct/>
      <w:autoSpaceDE/>
      <w:autoSpaceDN/>
      <w:adjustRightInd/>
      <w:spacing w:line="240" w:lineRule="auto"/>
      <w:textAlignment w:val="auto"/>
    </w:pPr>
    <w:rPr>
      <w:sz w:val="22"/>
      <w:lang w:eastAsia="ar-SA"/>
    </w:rPr>
  </w:style>
  <w:style w:type="paragraph" w:customStyle="1" w:styleId="center">
    <w:name w:val="center"/>
    <w:basedOn w:val="Navaden"/>
    <w:rsid w:val="002F57BC"/>
    <w:pPr>
      <w:spacing w:after="0" w:line="240" w:lineRule="auto"/>
      <w:jc w:val="center"/>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4F289B"/>
  </w:style>
  <w:style w:type="paragraph" w:customStyle="1" w:styleId="mainText">
    <w:name w:val="mainText"/>
    <w:basedOn w:val="Navaden"/>
    <w:rsid w:val="004F289B"/>
    <w:pPr>
      <w:spacing w:after="0" w:line="240" w:lineRule="auto"/>
      <w:jc w:val="left"/>
    </w:pPr>
    <w:rPr>
      <w:rFonts w:ascii="Times New Roman" w:eastAsia="Times New Roman" w:hAnsi="Times New Roman" w:cs="Times New Roman"/>
      <w:sz w:val="24"/>
      <w:szCs w:val="24"/>
      <w:lang w:val="en-US"/>
    </w:rPr>
  </w:style>
  <w:style w:type="paragraph" w:customStyle="1" w:styleId="textJustify">
    <w:name w:val="textJustify"/>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zamik">
    <w:name w:val="zamik"/>
    <w:basedOn w:val="Navaden"/>
    <w:rsid w:val="004F289B"/>
    <w:pPr>
      <w:spacing w:after="0" w:line="240" w:lineRule="auto"/>
      <w:ind w:firstLine="1021"/>
      <w:jc w:val="left"/>
    </w:pPr>
    <w:rPr>
      <w:rFonts w:ascii="Times New Roman" w:eastAsia="Times New Roman" w:hAnsi="Times New Roman" w:cs="Times New Roman"/>
      <w:sz w:val="24"/>
      <w:szCs w:val="24"/>
      <w:lang w:val="en-US"/>
    </w:rPr>
  </w:style>
  <w:style w:type="paragraph" w:customStyle="1" w:styleId="crkovnatockazastevilcnotocko">
    <w:name w:val="crkovna_tocka_za_stevilcno_tocko"/>
    <w:basedOn w:val="Navaden"/>
    <w:rsid w:val="004F289B"/>
    <w:pPr>
      <w:spacing w:after="0" w:line="240" w:lineRule="auto"/>
      <w:ind w:hanging="356"/>
    </w:pPr>
    <w:rPr>
      <w:rFonts w:ascii="Times New Roman" w:eastAsia="Times New Roman" w:hAnsi="Times New Roman" w:cs="Times New Roman"/>
      <w:sz w:val="24"/>
      <w:szCs w:val="24"/>
      <w:lang w:val="en-US"/>
    </w:rPr>
  </w:style>
  <w:style w:type="paragraph" w:customStyle="1" w:styleId="crkovnatockazaodstavkom">
    <w:name w:val="crkovna_tocka_za_odstavkom"/>
    <w:basedOn w:val="Navaden"/>
    <w:rsid w:val="004F289B"/>
    <w:pPr>
      <w:spacing w:after="0" w:line="240" w:lineRule="auto"/>
      <w:ind w:hanging="425"/>
    </w:pPr>
    <w:rPr>
      <w:rFonts w:ascii="Times New Roman" w:eastAsia="Times New Roman" w:hAnsi="Times New Roman" w:cs="Times New Roman"/>
      <w:sz w:val="24"/>
      <w:szCs w:val="24"/>
      <w:lang w:val="en-US"/>
    </w:rPr>
  </w:style>
  <w:style w:type="paragraph" w:customStyle="1" w:styleId="alineazacrkovnotocko">
    <w:name w:val="alinea_za_crkov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alineazastevilcnotocko">
    <w:name w:val="alinea_za_stevilc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evidencnastevilka">
    <w:name w:val="evidencna_stevilka"/>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krajdatumsprejetja">
    <w:name w:val="kraj_datum_sprejetja"/>
    <w:basedOn w:val="Navaden"/>
    <w:rsid w:val="004F289B"/>
    <w:pPr>
      <w:pBdr>
        <w:top w:val="none" w:sz="0" w:space="20" w:color="auto"/>
        <w:bottom w:val="none" w:sz="0" w:space="20" w:color="auto"/>
      </w:pBdr>
      <w:spacing w:after="0" w:line="240" w:lineRule="auto"/>
      <w:jc w:val="left"/>
    </w:pPr>
    <w:rPr>
      <w:rFonts w:ascii="Times New Roman" w:eastAsia="Times New Roman" w:hAnsi="Times New Roman" w:cs="Times New Roman"/>
      <w:sz w:val="24"/>
      <w:szCs w:val="24"/>
      <w:lang w:val="en-US"/>
    </w:rPr>
  </w:style>
  <w:style w:type="paragraph" w:customStyle="1" w:styleId="podpisnik">
    <w:name w:val="podpisnik"/>
    <w:basedOn w:val="Navaden"/>
    <w:rsid w:val="004F289B"/>
    <w:pPr>
      <w:pBdr>
        <w:top w:val="none" w:sz="0" w:space="24" w:color="auto"/>
      </w:pBdr>
      <w:spacing w:after="0" w:line="240" w:lineRule="auto"/>
      <w:jc w:val="center"/>
    </w:pPr>
    <w:rPr>
      <w:rFonts w:ascii="Times New Roman" w:eastAsia="Times New Roman" w:hAnsi="Times New Roman" w:cs="Times New Roman"/>
      <w:sz w:val="24"/>
      <w:szCs w:val="24"/>
      <w:lang w:val="en-US"/>
    </w:rPr>
  </w:style>
  <w:style w:type="paragraph" w:customStyle="1" w:styleId="oj-normal">
    <w:name w:val="oj-normal"/>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f0">
    <w:name w:val="pf0"/>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F289B"/>
    <w:rPr>
      <w:color w:val="605E5C"/>
      <w:shd w:val="clear" w:color="auto" w:fill="E1DFDD"/>
    </w:rPr>
  </w:style>
  <w:style w:type="numbering" w:customStyle="1" w:styleId="Brezseznama12">
    <w:name w:val="Brez seznama12"/>
    <w:next w:val="Brezseznama"/>
    <w:uiPriority w:val="99"/>
    <w:semiHidden/>
    <w:unhideWhenUsed/>
    <w:rsid w:val="004F289B"/>
  </w:style>
  <w:style w:type="paragraph" w:customStyle="1" w:styleId="rkovnatokazatevilnotokoi">
    <w:name w:val="Črkovna točka za številčno točko (i)"/>
    <w:rsid w:val="004F289B"/>
    <w:pPr>
      <w:numPr>
        <w:numId w:val="21"/>
      </w:numPr>
      <w:suppressAutoHyphens/>
      <w:spacing w:after="0" w:line="240" w:lineRule="auto"/>
      <w:jc w:val="left"/>
    </w:pPr>
    <w:rPr>
      <w:rFonts w:ascii="Arial" w:eastAsia="Times New Roman" w:hAnsi="Arial" w:cs="Arial"/>
      <w:lang w:eastAsia="ar-SA"/>
    </w:rPr>
  </w:style>
  <w:style w:type="paragraph" w:styleId="Kazalovsebine1">
    <w:name w:val="toc 1"/>
    <w:basedOn w:val="Navaden"/>
    <w:next w:val="Navaden"/>
    <w:autoRedefine/>
    <w:uiPriority w:val="39"/>
    <w:unhideWhenUsed/>
    <w:rsid w:val="004F289B"/>
    <w:pPr>
      <w:spacing w:after="100" w:line="240" w:lineRule="auto"/>
      <w:jc w:val="left"/>
    </w:pPr>
    <w:rPr>
      <w:rFonts w:ascii="Times New Roman" w:eastAsia="Times New Roman" w:hAnsi="Times New Roman" w:cs="Times New Roman"/>
      <w:sz w:val="24"/>
      <w:szCs w:val="24"/>
      <w:lang w:val="en-US"/>
    </w:rPr>
  </w:style>
  <w:style w:type="paragraph" w:customStyle="1" w:styleId="Kazalovsebine21">
    <w:name w:val="Kazalo vsebine 21"/>
    <w:basedOn w:val="Navaden"/>
    <w:next w:val="Navaden"/>
    <w:autoRedefine/>
    <w:uiPriority w:val="39"/>
    <w:unhideWhenUsed/>
    <w:rsid w:val="004F289B"/>
    <w:pPr>
      <w:spacing w:after="100" w:line="259" w:lineRule="auto"/>
      <w:ind w:left="220"/>
      <w:jc w:val="left"/>
    </w:pPr>
    <w:rPr>
      <w:rFonts w:ascii="Calibri" w:hAnsi="Calibri"/>
      <w:kern w:val="2"/>
      <w:sz w:val="22"/>
      <w:lang w:eastAsia="sl-SI"/>
      <w14:ligatures w14:val="standardContextual"/>
    </w:rPr>
  </w:style>
  <w:style w:type="paragraph" w:customStyle="1" w:styleId="Kazalovsebine31">
    <w:name w:val="Kazalo vsebine 31"/>
    <w:basedOn w:val="Navaden"/>
    <w:next w:val="Navaden"/>
    <w:autoRedefine/>
    <w:uiPriority w:val="39"/>
    <w:unhideWhenUsed/>
    <w:rsid w:val="004F289B"/>
    <w:pPr>
      <w:spacing w:after="100" w:line="259" w:lineRule="auto"/>
      <w:ind w:left="440"/>
      <w:jc w:val="left"/>
    </w:pPr>
    <w:rPr>
      <w:rFonts w:ascii="Calibri" w:hAnsi="Calibri"/>
      <w:kern w:val="2"/>
      <w:sz w:val="22"/>
      <w:lang w:eastAsia="sl-SI"/>
      <w14:ligatures w14:val="standardContextual"/>
    </w:rPr>
  </w:style>
  <w:style w:type="paragraph" w:customStyle="1" w:styleId="Kazalovsebine41">
    <w:name w:val="Kazalo vsebine 41"/>
    <w:basedOn w:val="Navaden"/>
    <w:next w:val="Navaden"/>
    <w:autoRedefine/>
    <w:uiPriority w:val="39"/>
    <w:unhideWhenUsed/>
    <w:rsid w:val="004F289B"/>
    <w:pPr>
      <w:spacing w:after="100" w:line="259" w:lineRule="auto"/>
      <w:ind w:left="660"/>
      <w:jc w:val="left"/>
    </w:pPr>
    <w:rPr>
      <w:rFonts w:ascii="Calibri" w:hAnsi="Calibri"/>
      <w:kern w:val="2"/>
      <w:sz w:val="22"/>
      <w:lang w:eastAsia="sl-SI"/>
      <w14:ligatures w14:val="standardContextual"/>
    </w:rPr>
  </w:style>
  <w:style w:type="paragraph" w:customStyle="1" w:styleId="Kazalovsebine51">
    <w:name w:val="Kazalo vsebine 51"/>
    <w:basedOn w:val="Navaden"/>
    <w:next w:val="Navaden"/>
    <w:autoRedefine/>
    <w:uiPriority w:val="39"/>
    <w:unhideWhenUsed/>
    <w:rsid w:val="004F289B"/>
    <w:pPr>
      <w:spacing w:after="100" w:line="259" w:lineRule="auto"/>
      <w:ind w:left="880"/>
      <w:jc w:val="left"/>
    </w:pPr>
    <w:rPr>
      <w:rFonts w:ascii="Calibri" w:hAnsi="Calibri"/>
      <w:kern w:val="2"/>
      <w:sz w:val="22"/>
      <w:lang w:eastAsia="sl-SI"/>
      <w14:ligatures w14:val="standardContextual"/>
    </w:rPr>
  </w:style>
  <w:style w:type="paragraph" w:customStyle="1" w:styleId="Kazalovsebine61">
    <w:name w:val="Kazalo vsebine 61"/>
    <w:basedOn w:val="Navaden"/>
    <w:next w:val="Navaden"/>
    <w:autoRedefine/>
    <w:uiPriority w:val="39"/>
    <w:unhideWhenUsed/>
    <w:rsid w:val="004F289B"/>
    <w:pPr>
      <w:spacing w:after="100" w:line="259" w:lineRule="auto"/>
      <w:ind w:left="1100"/>
      <w:jc w:val="left"/>
    </w:pPr>
    <w:rPr>
      <w:rFonts w:ascii="Calibri" w:hAnsi="Calibri"/>
      <w:kern w:val="2"/>
      <w:sz w:val="22"/>
      <w:lang w:eastAsia="sl-SI"/>
      <w14:ligatures w14:val="standardContextual"/>
    </w:rPr>
  </w:style>
  <w:style w:type="paragraph" w:customStyle="1" w:styleId="Kazalovsebine71">
    <w:name w:val="Kazalo vsebine 71"/>
    <w:basedOn w:val="Navaden"/>
    <w:next w:val="Navaden"/>
    <w:autoRedefine/>
    <w:uiPriority w:val="39"/>
    <w:unhideWhenUsed/>
    <w:rsid w:val="004F289B"/>
    <w:pPr>
      <w:spacing w:after="100" w:line="259" w:lineRule="auto"/>
      <w:ind w:left="1320"/>
      <w:jc w:val="left"/>
    </w:pPr>
    <w:rPr>
      <w:rFonts w:ascii="Calibri" w:hAnsi="Calibri"/>
      <w:kern w:val="2"/>
      <w:sz w:val="22"/>
      <w:lang w:eastAsia="sl-SI"/>
      <w14:ligatures w14:val="standardContextual"/>
    </w:rPr>
  </w:style>
  <w:style w:type="paragraph" w:customStyle="1" w:styleId="Kazalovsebine81">
    <w:name w:val="Kazalo vsebine 81"/>
    <w:basedOn w:val="Navaden"/>
    <w:next w:val="Navaden"/>
    <w:autoRedefine/>
    <w:uiPriority w:val="39"/>
    <w:unhideWhenUsed/>
    <w:rsid w:val="004F289B"/>
    <w:pPr>
      <w:spacing w:after="100" w:line="259" w:lineRule="auto"/>
      <w:ind w:left="1540"/>
      <w:jc w:val="left"/>
    </w:pPr>
    <w:rPr>
      <w:rFonts w:ascii="Calibri" w:hAnsi="Calibri"/>
      <w:kern w:val="2"/>
      <w:sz w:val="22"/>
      <w:lang w:eastAsia="sl-SI"/>
      <w14:ligatures w14:val="standardContextual"/>
    </w:rPr>
  </w:style>
  <w:style w:type="paragraph" w:customStyle="1" w:styleId="Kazalovsebine91">
    <w:name w:val="Kazalo vsebine 91"/>
    <w:basedOn w:val="Navaden"/>
    <w:next w:val="Navaden"/>
    <w:autoRedefine/>
    <w:uiPriority w:val="39"/>
    <w:unhideWhenUsed/>
    <w:rsid w:val="004F289B"/>
    <w:pPr>
      <w:spacing w:after="100" w:line="259" w:lineRule="auto"/>
      <w:ind w:left="1760"/>
      <w:jc w:val="left"/>
    </w:pPr>
    <w:rPr>
      <w:rFonts w:ascii="Calibri" w:hAnsi="Calibri"/>
      <w:kern w:val="2"/>
      <w:sz w:val="22"/>
      <w:lang w:eastAsia="sl-SI"/>
      <w14:ligatures w14:val="standardContextual"/>
    </w:rPr>
  </w:style>
  <w:style w:type="character" w:customStyle="1" w:styleId="cf21">
    <w:name w:val="cf21"/>
    <w:basedOn w:val="Privzetapisavaodstavka"/>
    <w:rsid w:val="004F289B"/>
    <w:rPr>
      <w:rFonts w:ascii="Segoe UI" w:hAnsi="Segoe UI" w:cs="Segoe UI" w:hint="default"/>
      <w:sz w:val="18"/>
      <w:szCs w:val="18"/>
      <w:shd w:val="clear" w:color="auto" w:fill="FFFF00"/>
      <w:vertAlign w:val="superscript"/>
    </w:rPr>
  </w:style>
  <w:style w:type="table" w:customStyle="1" w:styleId="GridTable5Dark-Accent11">
    <w:name w:val="Grid Table 5 Dark - Accent 11"/>
    <w:basedOn w:val="Navadnatabela"/>
    <w:uiPriority w:val="50"/>
    <w:rsid w:val="001F1CE7"/>
    <w:pPr>
      <w:spacing w:after="0" w:line="240" w:lineRule="auto"/>
      <w:jc w:val="left"/>
    </w:pPr>
    <w:rPr>
      <w:rFonts w:ascii="Cambria" w:eastAsia="MS Mincho" w:hAnsi="Cambria" w:cs="Times New Roman"/>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631">
      <w:bodyDiv w:val="1"/>
      <w:marLeft w:val="0"/>
      <w:marRight w:val="0"/>
      <w:marTop w:val="0"/>
      <w:marBottom w:val="0"/>
      <w:divBdr>
        <w:top w:val="none" w:sz="0" w:space="0" w:color="auto"/>
        <w:left w:val="none" w:sz="0" w:space="0" w:color="auto"/>
        <w:bottom w:val="none" w:sz="0" w:space="0" w:color="auto"/>
        <w:right w:val="none" w:sz="0" w:space="0" w:color="auto"/>
      </w:divBdr>
    </w:div>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184831135">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95206860">
      <w:bodyDiv w:val="1"/>
      <w:marLeft w:val="0"/>
      <w:marRight w:val="0"/>
      <w:marTop w:val="0"/>
      <w:marBottom w:val="0"/>
      <w:divBdr>
        <w:top w:val="none" w:sz="0" w:space="0" w:color="auto"/>
        <w:left w:val="none" w:sz="0" w:space="0" w:color="auto"/>
        <w:bottom w:val="none" w:sz="0" w:space="0" w:color="auto"/>
        <w:right w:val="none" w:sz="0" w:space="0" w:color="auto"/>
      </w:divBdr>
    </w:div>
    <w:div w:id="493185081">
      <w:bodyDiv w:val="1"/>
      <w:marLeft w:val="0"/>
      <w:marRight w:val="0"/>
      <w:marTop w:val="0"/>
      <w:marBottom w:val="0"/>
      <w:divBdr>
        <w:top w:val="none" w:sz="0" w:space="0" w:color="auto"/>
        <w:left w:val="none" w:sz="0" w:space="0" w:color="auto"/>
        <w:bottom w:val="none" w:sz="0" w:space="0" w:color="auto"/>
        <w:right w:val="none" w:sz="0" w:space="0" w:color="auto"/>
      </w:divBdr>
    </w:div>
    <w:div w:id="710769155">
      <w:bodyDiv w:val="1"/>
      <w:marLeft w:val="0"/>
      <w:marRight w:val="0"/>
      <w:marTop w:val="0"/>
      <w:marBottom w:val="0"/>
      <w:divBdr>
        <w:top w:val="none" w:sz="0" w:space="0" w:color="auto"/>
        <w:left w:val="none" w:sz="0" w:space="0" w:color="auto"/>
        <w:bottom w:val="none" w:sz="0" w:space="0" w:color="auto"/>
        <w:right w:val="none" w:sz="0" w:space="0" w:color="auto"/>
      </w:divBdr>
      <w:divsChild>
        <w:div w:id="262999587">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508177221">
          <w:marLeft w:val="0"/>
          <w:marRight w:val="0"/>
          <w:marTop w:val="0"/>
          <w:marBottom w:val="0"/>
          <w:divBdr>
            <w:top w:val="none" w:sz="0" w:space="0" w:color="auto"/>
            <w:left w:val="none" w:sz="0" w:space="0" w:color="auto"/>
            <w:bottom w:val="none" w:sz="0" w:space="0" w:color="auto"/>
            <w:right w:val="none" w:sz="0" w:space="0" w:color="auto"/>
          </w:divBdr>
        </w:div>
        <w:div w:id="878393995">
          <w:marLeft w:val="0"/>
          <w:marRight w:val="0"/>
          <w:marTop w:val="0"/>
          <w:marBottom w:val="0"/>
          <w:divBdr>
            <w:top w:val="none" w:sz="0" w:space="0" w:color="auto"/>
            <w:left w:val="none" w:sz="0" w:space="0" w:color="auto"/>
            <w:bottom w:val="none" w:sz="0" w:space="0" w:color="auto"/>
            <w:right w:val="none" w:sz="0" w:space="0" w:color="auto"/>
          </w:divBdr>
        </w:div>
        <w:div w:id="1431853075">
          <w:marLeft w:val="0"/>
          <w:marRight w:val="0"/>
          <w:marTop w:val="0"/>
          <w:marBottom w:val="0"/>
          <w:divBdr>
            <w:top w:val="none" w:sz="0" w:space="0" w:color="auto"/>
            <w:left w:val="none" w:sz="0" w:space="0" w:color="auto"/>
            <w:bottom w:val="none" w:sz="0" w:space="0" w:color="auto"/>
            <w:right w:val="none" w:sz="0" w:space="0" w:color="auto"/>
          </w:divBdr>
        </w:div>
        <w:div w:id="1599827740">
          <w:marLeft w:val="0"/>
          <w:marRight w:val="0"/>
          <w:marTop w:val="0"/>
          <w:marBottom w:val="0"/>
          <w:divBdr>
            <w:top w:val="none" w:sz="0" w:space="0" w:color="auto"/>
            <w:left w:val="none" w:sz="0" w:space="0" w:color="auto"/>
            <w:bottom w:val="none" w:sz="0" w:space="0" w:color="auto"/>
            <w:right w:val="none" w:sz="0" w:space="0" w:color="auto"/>
          </w:divBdr>
        </w:div>
        <w:div w:id="1910925010">
          <w:marLeft w:val="0"/>
          <w:marRight w:val="0"/>
          <w:marTop w:val="0"/>
          <w:marBottom w:val="0"/>
          <w:divBdr>
            <w:top w:val="none" w:sz="0" w:space="0" w:color="auto"/>
            <w:left w:val="none" w:sz="0" w:space="0" w:color="auto"/>
            <w:bottom w:val="none" w:sz="0" w:space="0" w:color="auto"/>
            <w:right w:val="none" w:sz="0" w:space="0" w:color="auto"/>
          </w:divBdr>
        </w:div>
        <w:div w:id="1938245665">
          <w:marLeft w:val="0"/>
          <w:marRight w:val="0"/>
          <w:marTop w:val="0"/>
          <w:marBottom w:val="0"/>
          <w:divBdr>
            <w:top w:val="none" w:sz="0" w:space="0" w:color="auto"/>
            <w:left w:val="none" w:sz="0" w:space="0" w:color="auto"/>
            <w:bottom w:val="none" w:sz="0" w:space="0" w:color="auto"/>
            <w:right w:val="none" w:sz="0" w:space="0" w:color="auto"/>
          </w:divBdr>
        </w:div>
        <w:div w:id="2023318851">
          <w:marLeft w:val="0"/>
          <w:marRight w:val="0"/>
          <w:marTop w:val="0"/>
          <w:marBottom w:val="0"/>
          <w:divBdr>
            <w:top w:val="none" w:sz="0" w:space="0" w:color="auto"/>
            <w:left w:val="none" w:sz="0" w:space="0" w:color="auto"/>
            <w:bottom w:val="none" w:sz="0" w:space="0" w:color="auto"/>
            <w:right w:val="none" w:sz="0" w:space="0" w:color="auto"/>
          </w:divBdr>
        </w:div>
      </w:divsChild>
    </w:div>
    <w:div w:id="767459033">
      <w:bodyDiv w:val="1"/>
      <w:marLeft w:val="0"/>
      <w:marRight w:val="0"/>
      <w:marTop w:val="0"/>
      <w:marBottom w:val="0"/>
      <w:divBdr>
        <w:top w:val="none" w:sz="0" w:space="0" w:color="auto"/>
        <w:left w:val="none" w:sz="0" w:space="0" w:color="auto"/>
        <w:bottom w:val="none" w:sz="0" w:space="0" w:color="auto"/>
        <w:right w:val="none" w:sz="0" w:space="0" w:color="auto"/>
      </w:divBdr>
    </w:div>
    <w:div w:id="862598698">
      <w:bodyDiv w:val="1"/>
      <w:marLeft w:val="0"/>
      <w:marRight w:val="0"/>
      <w:marTop w:val="0"/>
      <w:marBottom w:val="0"/>
      <w:divBdr>
        <w:top w:val="none" w:sz="0" w:space="0" w:color="auto"/>
        <w:left w:val="none" w:sz="0" w:space="0" w:color="auto"/>
        <w:bottom w:val="none" w:sz="0" w:space="0" w:color="auto"/>
        <w:right w:val="none" w:sz="0" w:space="0" w:color="auto"/>
      </w:divBdr>
    </w:div>
    <w:div w:id="1029572830">
      <w:bodyDiv w:val="1"/>
      <w:marLeft w:val="0"/>
      <w:marRight w:val="0"/>
      <w:marTop w:val="0"/>
      <w:marBottom w:val="0"/>
      <w:divBdr>
        <w:top w:val="none" w:sz="0" w:space="0" w:color="auto"/>
        <w:left w:val="none" w:sz="0" w:space="0" w:color="auto"/>
        <w:bottom w:val="none" w:sz="0" w:space="0" w:color="auto"/>
        <w:right w:val="none" w:sz="0" w:space="0" w:color="auto"/>
      </w:divBdr>
    </w:div>
    <w:div w:id="1106772511">
      <w:bodyDiv w:val="1"/>
      <w:marLeft w:val="0"/>
      <w:marRight w:val="0"/>
      <w:marTop w:val="0"/>
      <w:marBottom w:val="0"/>
      <w:divBdr>
        <w:top w:val="none" w:sz="0" w:space="0" w:color="auto"/>
        <w:left w:val="none" w:sz="0" w:space="0" w:color="auto"/>
        <w:bottom w:val="none" w:sz="0" w:space="0" w:color="auto"/>
        <w:right w:val="none" w:sz="0" w:space="0" w:color="auto"/>
      </w:divBdr>
    </w:div>
    <w:div w:id="1190028899">
      <w:bodyDiv w:val="1"/>
      <w:marLeft w:val="0"/>
      <w:marRight w:val="0"/>
      <w:marTop w:val="0"/>
      <w:marBottom w:val="0"/>
      <w:divBdr>
        <w:top w:val="none" w:sz="0" w:space="0" w:color="auto"/>
        <w:left w:val="none" w:sz="0" w:space="0" w:color="auto"/>
        <w:bottom w:val="none" w:sz="0" w:space="0" w:color="auto"/>
        <w:right w:val="none" w:sz="0" w:space="0" w:color="auto"/>
      </w:divBdr>
    </w:div>
    <w:div w:id="1209105708">
      <w:bodyDiv w:val="1"/>
      <w:marLeft w:val="0"/>
      <w:marRight w:val="0"/>
      <w:marTop w:val="0"/>
      <w:marBottom w:val="0"/>
      <w:divBdr>
        <w:top w:val="none" w:sz="0" w:space="0" w:color="auto"/>
        <w:left w:val="none" w:sz="0" w:space="0" w:color="auto"/>
        <w:bottom w:val="none" w:sz="0" w:space="0" w:color="auto"/>
        <w:right w:val="none" w:sz="0" w:space="0" w:color="auto"/>
      </w:divBdr>
    </w:div>
    <w:div w:id="1212184586">
      <w:bodyDiv w:val="1"/>
      <w:marLeft w:val="0"/>
      <w:marRight w:val="0"/>
      <w:marTop w:val="0"/>
      <w:marBottom w:val="0"/>
      <w:divBdr>
        <w:top w:val="none" w:sz="0" w:space="0" w:color="auto"/>
        <w:left w:val="none" w:sz="0" w:space="0" w:color="auto"/>
        <w:bottom w:val="none" w:sz="0" w:space="0" w:color="auto"/>
        <w:right w:val="none" w:sz="0" w:space="0" w:color="auto"/>
      </w:divBdr>
    </w:div>
    <w:div w:id="1276786758">
      <w:bodyDiv w:val="1"/>
      <w:marLeft w:val="0"/>
      <w:marRight w:val="0"/>
      <w:marTop w:val="0"/>
      <w:marBottom w:val="0"/>
      <w:divBdr>
        <w:top w:val="none" w:sz="0" w:space="0" w:color="auto"/>
        <w:left w:val="none" w:sz="0" w:space="0" w:color="auto"/>
        <w:bottom w:val="none" w:sz="0" w:space="0" w:color="auto"/>
        <w:right w:val="none" w:sz="0" w:space="0" w:color="auto"/>
      </w:divBdr>
    </w:div>
    <w:div w:id="1320966832">
      <w:bodyDiv w:val="1"/>
      <w:marLeft w:val="0"/>
      <w:marRight w:val="0"/>
      <w:marTop w:val="0"/>
      <w:marBottom w:val="0"/>
      <w:divBdr>
        <w:top w:val="none" w:sz="0" w:space="0" w:color="auto"/>
        <w:left w:val="none" w:sz="0" w:space="0" w:color="auto"/>
        <w:bottom w:val="none" w:sz="0" w:space="0" w:color="auto"/>
        <w:right w:val="none" w:sz="0" w:space="0" w:color="auto"/>
      </w:divBdr>
    </w:div>
    <w:div w:id="1392532554">
      <w:bodyDiv w:val="1"/>
      <w:marLeft w:val="0"/>
      <w:marRight w:val="0"/>
      <w:marTop w:val="0"/>
      <w:marBottom w:val="0"/>
      <w:divBdr>
        <w:top w:val="none" w:sz="0" w:space="0" w:color="auto"/>
        <w:left w:val="none" w:sz="0" w:space="0" w:color="auto"/>
        <w:bottom w:val="none" w:sz="0" w:space="0" w:color="auto"/>
        <w:right w:val="none" w:sz="0" w:space="0" w:color="auto"/>
      </w:divBdr>
    </w:div>
    <w:div w:id="1473014527">
      <w:bodyDiv w:val="1"/>
      <w:marLeft w:val="0"/>
      <w:marRight w:val="0"/>
      <w:marTop w:val="0"/>
      <w:marBottom w:val="0"/>
      <w:divBdr>
        <w:top w:val="none" w:sz="0" w:space="0" w:color="auto"/>
        <w:left w:val="none" w:sz="0" w:space="0" w:color="auto"/>
        <w:bottom w:val="none" w:sz="0" w:space="0" w:color="auto"/>
        <w:right w:val="none" w:sz="0" w:space="0" w:color="auto"/>
      </w:divBdr>
      <w:divsChild>
        <w:div w:id="72555480">
          <w:marLeft w:val="0"/>
          <w:marRight w:val="0"/>
          <w:marTop w:val="0"/>
          <w:marBottom w:val="0"/>
          <w:divBdr>
            <w:top w:val="none" w:sz="0" w:space="0" w:color="auto"/>
            <w:left w:val="none" w:sz="0" w:space="0" w:color="auto"/>
            <w:bottom w:val="none" w:sz="0" w:space="0" w:color="auto"/>
            <w:right w:val="none" w:sz="0" w:space="0" w:color="auto"/>
          </w:divBdr>
        </w:div>
        <w:div w:id="559099079">
          <w:marLeft w:val="0"/>
          <w:marRight w:val="0"/>
          <w:marTop w:val="0"/>
          <w:marBottom w:val="0"/>
          <w:divBdr>
            <w:top w:val="none" w:sz="0" w:space="0" w:color="auto"/>
            <w:left w:val="none" w:sz="0" w:space="0" w:color="auto"/>
            <w:bottom w:val="none" w:sz="0" w:space="0" w:color="auto"/>
            <w:right w:val="none" w:sz="0" w:space="0" w:color="auto"/>
          </w:divBdr>
        </w:div>
        <w:div w:id="1161040964">
          <w:marLeft w:val="0"/>
          <w:marRight w:val="0"/>
          <w:marTop w:val="0"/>
          <w:marBottom w:val="0"/>
          <w:divBdr>
            <w:top w:val="none" w:sz="0" w:space="0" w:color="auto"/>
            <w:left w:val="none" w:sz="0" w:space="0" w:color="auto"/>
            <w:bottom w:val="none" w:sz="0" w:space="0" w:color="auto"/>
            <w:right w:val="none" w:sz="0" w:space="0" w:color="auto"/>
          </w:divBdr>
        </w:div>
        <w:div w:id="1601797008">
          <w:marLeft w:val="0"/>
          <w:marRight w:val="0"/>
          <w:marTop w:val="0"/>
          <w:marBottom w:val="0"/>
          <w:divBdr>
            <w:top w:val="none" w:sz="0" w:space="0" w:color="auto"/>
            <w:left w:val="none" w:sz="0" w:space="0" w:color="auto"/>
            <w:bottom w:val="none" w:sz="0" w:space="0" w:color="auto"/>
            <w:right w:val="none" w:sz="0" w:space="0" w:color="auto"/>
          </w:divBdr>
        </w:div>
        <w:div w:id="1695498666">
          <w:marLeft w:val="0"/>
          <w:marRight w:val="0"/>
          <w:marTop w:val="0"/>
          <w:marBottom w:val="0"/>
          <w:divBdr>
            <w:top w:val="none" w:sz="0" w:space="0" w:color="auto"/>
            <w:left w:val="none" w:sz="0" w:space="0" w:color="auto"/>
            <w:bottom w:val="none" w:sz="0" w:space="0" w:color="auto"/>
            <w:right w:val="none" w:sz="0" w:space="0" w:color="auto"/>
          </w:divBdr>
        </w:div>
        <w:div w:id="1953900836">
          <w:marLeft w:val="0"/>
          <w:marRight w:val="0"/>
          <w:marTop w:val="0"/>
          <w:marBottom w:val="0"/>
          <w:divBdr>
            <w:top w:val="none" w:sz="0" w:space="0" w:color="auto"/>
            <w:left w:val="none" w:sz="0" w:space="0" w:color="auto"/>
            <w:bottom w:val="none" w:sz="0" w:space="0" w:color="auto"/>
            <w:right w:val="none" w:sz="0" w:space="0" w:color="auto"/>
          </w:divBdr>
        </w:div>
      </w:divsChild>
    </w:div>
    <w:div w:id="1473448234">
      <w:bodyDiv w:val="1"/>
      <w:marLeft w:val="0"/>
      <w:marRight w:val="0"/>
      <w:marTop w:val="0"/>
      <w:marBottom w:val="0"/>
      <w:divBdr>
        <w:top w:val="none" w:sz="0" w:space="0" w:color="auto"/>
        <w:left w:val="none" w:sz="0" w:space="0" w:color="auto"/>
        <w:bottom w:val="none" w:sz="0" w:space="0" w:color="auto"/>
        <w:right w:val="none" w:sz="0" w:space="0" w:color="auto"/>
      </w:divBdr>
    </w:div>
    <w:div w:id="1528832186">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606382212">
      <w:bodyDiv w:val="1"/>
      <w:marLeft w:val="0"/>
      <w:marRight w:val="0"/>
      <w:marTop w:val="0"/>
      <w:marBottom w:val="0"/>
      <w:divBdr>
        <w:top w:val="none" w:sz="0" w:space="0" w:color="auto"/>
        <w:left w:val="none" w:sz="0" w:space="0" w:color="auto"/>
        <w:bottom w:val="none" w:sz="0" w:space="0" w:color="auto"/>
        <w:right w:val="none" w:sz="0" w:space="0" w:color="auto"/>
      </w:divBdr>
    </w:div>
    <w:div w:id="1630279137">
      <w:bodyDiv w:val="1"/>
      <w:marLeft w:val="0"/>
      <w:marRight w:val="0"/>
      <w:marTop w:val="0"/>
      <w:marBottom w:val="0"/>
      <w:divBdr>
        <w:top w:val="none" w:sz="0" w:space="0" w:color="auto"/>
        <w:left w:val="none" w:sz="0" w:space="0" w:color="auto"/>
        <w:bottom w:val="none" w:sz="0" w:space="0" w:color="auto"/>
        <w:right w:val="none" w:sz="0" w:space="0" w:color="auto"/>
      </w:divBdr>
    </w:div>
    <w:div w:id="1678341697">
      <w:bodyDiv w:val="1"/>
      <w:marLeft w:val="0"/>
      <w:marRight w:val="0"/>
      <w:marTop w:val="0"/>
      <w:marBottom w:val="0"/>
      <w:divBdr>
        <w:top w:val="none" w:sz="0" w:space="0" w:color="auto"/>
        <w:left w:val="none" w:sz="0" w:space="0" w:color="auto"/>
        <w:bottom w:val="none" w:sz="0" w:space="0" w:color="auto"/>
        <w:right w:val="none" w:sz="0" w:space="0" w:color="auto"/>
      </w:divBdr>
    </w:div>
    <w:div w:id="1730152812">
      <w:bodyDiv w:val="1"/>
      <w:marLeft w:val="0"/>
      <w:marRight w:val="0"/>
      <w:marTop w:val="0"/>
      <w:marBottom w:val="0"/>
      <w:divBdr>
        <w:top w:val="none" w:sz="0" w:space="0" w:color="auto"/>
        <w:left w:val="none" w:sz="0" w:space="0" w:color="auto"/>
        <w:bottom w:val="none" w:sz="0" w:space="0" w:color="auto"/>
        <w:right w:val="none" w:sz="0" w:space="0" w:color="auto"/>
      </w:divBdr>
    </w:div>
    <w:div w:id="1743601899">
      <w:bodyDiv w:val="1"/>
      <w:marLeft w:val="0"/>
      <w:marRight w:val="0"/>
      <w:marTop w:val="0"/>
      <w:marBottom w:val="0"/>
      <w:divBdr>
        <w:top w:val="none" w:sz="0" w:space="0" w:color="auto"/>
        <w:left w:val="none" w:sz="0" w:space="0" w:color="auto"/>
        <w:bottom w:val="none" w:sz="0" w:space="0" w:color="auto"/>
        <w:right w:val="none" w:sz="0" w:space="0" w:color="auto"/>
      </w:divBdr>
    </w:div>
    <w:div w:id="1795520374">
      <w:bodyDiv w:val="1"/>
      <w:marLeft w:val="0"/>
      <w:marRight w:val="0"/>
      <w:marTop w:val="0"/>
      <w:marBottom w:val="0"/>
      <w:divBdr>
        <w:top w:val="none" w:sz="0" w:space="0" w:color="auto"/>
        <w:left w:val="none" w:sz="0" w:space="0" w:color="auto"/>
        <w:bottom w:val="none" w:sz="0" w:space="0" w:color="auto"/>
        <w:right w:val="none" w:sz="0" w:space="0" w:color="auto"/>
      </w:divBdr>
    </w:div>
    <w:div w:id="1930891324">
      <w:bodyDiv w:val="1"/>
      <w:marLeft w:val="0"/>
      <w:marRight w:val="0"/>
      <w:marTop w:val="0"/>
      <w:marBottom w:val="0"/>
      <w:divBdr>
        <w:top w:val="none" w:sz="0" w:space="0" w:color="auto"/>
        <w:left w:val="none" w:sz="0" w:space="0" w:color="auto"/>
        <w:bottom w:val="none" w:sz="0" w:space="0" w:color="auto"/>
        <w:right w:val="none" w:sz="0" w:space="0" w:color="auto"/>
      </w:divBdr>
    </w:div>
    <w:div w:id="2003510896">
      <w:bodyDiv w:val="1"/>
      <w:marLeft w:val="0"/>
      <w:marRight w:val="0"/>
      <w:marTop w:val="0"/>
      <w:marBottom w:val="0"/>
      <w:divBdr>
        <w:top w:val="none" w:sz="0" w:space="0" w:color="auto"/>
        <w:left w:val="none" w:sz="0" w:space="0" w:color="auto"/>
        <w:bottom w:val="none" w:sz="0" w:space="0" w:color="auto"/>
        <w:right w:val="none" w:sz="0" w:space="0" w:color="auto"/>
      </w:divBdr>
      <w:divsChild>
        <w:div w:id="344409403">
          <w:marLeft w:val="0"/>
          <w:marRight w:val="0"/>
          <w:marTop w:val="0"/>
          <w:marBottom w:val="0"/>
          <w:divBdr>
            <w:top w:val="none" w:sz="0" w:space="0" w:color="auto"/>
            <w:left w:val="none" w:sz="0" w:space="0" w:color="auto"/>
            <w:bottom w:val="none" w:sz="0" w:space="0" w:color="auto"/>
            <w:right w:val="none" w:sz="0" w:space="0" w:color="auto"/>
          </w:divBdr>
          <w:divsChild>
            <w:div w:id="249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ex.com" TargetMode="Externa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oedl.com/insights/renewable-energy/2025/april/italy-energy-release-two-zero-potential-for-producers" TargetMode="External"/><Relationship Id="rId1" Type="http://schemas.openxmlformats.org/officeDocument/2006/relationships/hyperlink" Target="https://www.lemonde.fr/economie/article/2024/04/16/electricite-inquietude-des-industriels-sur-la-tarification-a-long-terme_6228097_32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8473-41BE-476A-B021-AE6B0F3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18862</Words>
  <Characters>107517</Characters>
  <Application>Microsoft Office Word</Application>
  <DocSecurity>0</DocSecurity>
  <Lines>895</Lines>
  <Paragraphs>252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2025-12-16T07:52:00Z</dcterms:created>
  <dcterms:modified xsi:type="dcterms:W3CDTF">2025-12-16T13:11:00Z</dcterms:modified>
</cp:coreProperties>
</file>